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header4.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Default="000D733F">
      <w:pPr>
        <w:spacing w:after="200" w:line="276" w:lineRule="auto"/>
      </w:pPr>
      <w:bookmarkStart w:id="0" w:name="_GoBack"/>
      <w:bookmarkEnd w:id="0"/>
    </w:p>
    <w:p w:rsidR="000D733F" w:rsidRDefault="000D733F" w:rsidP="009E79EC"/>
    <w:p w:rsidR="000D733F" w:rsidRDefault="000D733F">
      <w:pPr>
        <w:spacing w:after="200" w:line="276" w:lineRule="auto"/>
      </w:pPr>
    </w:p>
    <w:p w:rsidR="000D733F" w:rsidRDefault="000D733F">
      <w:pPr>
        <w:spacing w:after="200" w:line="276" w:lineRule="auto"/>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0D733F" w:rsidRPr="001227C3" w:rsidRDefault="000D733F" w:rsidP="000D733F">
      <w:pPr>
        <w:pStyle w:val="Title"/>
        <w:ind w:left="2694" w:right="-624"/>
        <w:rPr>
          <w:noProof/>
          <w:color w:val="FFFFFF"/>
          <w:spacing w:val="0"/>
          <w:sz w:val="50"/>
          <w:szCs w:val="50"/>
          <w:lang w:val="en-US" w:eastAsia="en-US"/>
        </w:rPr>
      </w:pPr>
      <w:r w:rsidRPr="001227C3">
        <w:rPr>
          <w:noProof/>
          <w:color w:val="FFFFFF"/>
          <w:spacing w:val="0"/>
          <w:sz w:val="50"/>
          <w:szCs w:val="50"/>
          <w:lang w:val="en-US" w:eastAsia="en-US"/>
        </w:rPr>
        <w:t xml:space="preserve">Aid Program Performance Report 2013-14 </w:t>
      </w:r>
      <w:r w:rsidRPr="001227C3">
        <w:rPr>
          <w:noProof/>
          <w:color w:val="FFFFFF"/>
          <w:spacing w:val="0"/>
          <w:sz w:val="50"/>
          <w:szCs w:val="50"/>
        </w:rPr>
        <w:drawing>
          <wp:anchor distT="0" distB="0" distL="114300" distR="114300" simplePos="0" relativeHeight="251662336" behindDoc="1" locked="1" layoutInCell="1" allowOverlap="1" wp14:anchorId="3604C8F8" wp14:editId="709E9560">
            <wp:simplePos x="0" y="0"/>
            <wp:positionH relativeFrom="page">
              <wp:align>left</wp:align>
            </wp:positionH>
            <wp:positionV relativeFrom="page">
              <wp:align>top</wp:align>
            </wp:positionV>
            <wp:extent cx="7558405" cy="10691495"/>
            <wp:effectExtent l="0" t="0" r="4445"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733F" w:rsidRPr="001227C3" w:rsidRDefault="00421857" w:rsidP="000D733F">
      <w:pPr>
        <w:pStyle w:val="Subtitle"/>
        <w:ind w:left="2694" w:right="-624"/>
        <w:rPr>
          <w:noProof/>
          <w:color w:val="FFFFFF"/>
          <w:spacing w:val="0"/>
          <w:sz w:val="32"/>
          <w:szCs w:val="32"/>
          <w:lang w:val="en-US" w:eastAsia="en-US"/>
        </w:rPr>
      </w:pPr>
      <w:r>
        <w:rPr>
          <w:noProof/>
          <w:color w:val="FFFFFF"/>
          <w:spacing w:val="0"/>
          <w:sz w:val="32"/>
          <w:szCs w:val="32"/>
          <w:lang w:val="en-US" w:eastAsia="en-US"/>
        </w:rPr>
        <w:t xml:space="preserve">Tonga </w:t>
      </w:r>
      <w:r w:rsidR="000D733F" w:rsidRPr="001227C3">
        <w:rPr>
          <w:noProof/>
          <w:color w:val="FFFFFF"/>
          <w:spacing w:val="0"/>
          <w:sz w:val="32"/>
          <w:szCs w:val="32"/>
          <w:lang w:val="en-US" w:eastAsia="en-US"/>
        </w:rPr>
        <w:t xml:space="preserve"> </w:t>
      </w:r>
    </w:p>
    <w:p w:rsidR="000D733F" w:rsidRDefault="000D733F" w:rsidP="001227C3">
      <w:pPr>
        <w:pStyle w:val="Date"/>
        <w:spacing w:before="200" w:after="600" w:line="380" w:lineRule="atLeast"/>
        <w:ind w:left="2694" w:right="-624"/>
        <w:rPr>
          <w:rFonts w:ascii="Helvetica" w:eastAsia="Times New Roman" w:hAnsi="Helvetica"/>
          <w:noProof/>
          <w:color w:val="FFFFFF"/>
          <w:kern w:val="28"/>
          <w:sz w:val="24"/>
          <w:lang w:val="en-US" w:eastAsia="en-US"/>
        </w:rPr>
      </w:pPr>
      <w:r w:rsidRPr="001227C3">
        <w:rPr>
          <w:rFonts w:ascii="Helvetica" w:eastAsia="Times New Roman" w:hAnsi="Helvetica"/>
          <w:noProof/>
          <w:color w:val="FFFFFF"/>
          <w:kern w:val="28"/>
          <w:sz w:val="24"/>
          <w:lang w:val="en-US" w:eastAsia="en-US"/>
        </w:rPr>
        <w:t>September 2014</w:t>
      </w:r>
    </w:p>
    <w:p w:rsidR="001D6059" w:rsidRDefault="001D6059" w:rsidP="00CD061B">
      <w:pPr>
        <w:rPr>
          <w:lang w:val="en-US" w:eastAsia="en-US"/>
        </w:rPr>
      </w:pPr>
    </w:p>
    <w:p w:rsidR="005B42EE" w:rsidRPr="00CD061B" w:rsidRDefault="005B42EE" w:rsidP="00CD061B">
      <w:pPr>
        <w:rPr>
          <w:lang w:val="en-US" w:eastAsia="en-US"/>
        </w:rPr>
        <w:sectPr w:rsidR="005B42EE" w:rsidRPr="00CD061B" w:rsidSect="000D733F">
          <w:headerReference w:type="even" r:id="rId10"/>
          <w:headerReference w:type="default" r:id="rId11"/>
          <w:footerReference w:type="even" r:id="rId12"/>
          <w:footerReference w:type="default" r:id="rId13"/>
          <w:headerReference w:type="first" r:id="rId14"/>
          <w:footerReference w:type="first" r:id="rId15"/>
          <w:pgSz w:w="11907" w:h="16840" w:code="9"/>
          <w:pgMar w:top="2268" w:right="1871" w:bottom="907" w:left="1871" w:header="851" w:footer="454" w:gutter="0"/>
          <w:cols w:space="720"/>
          <w:docGrid w:linePitch="272"/>
        </w:sectPr>
      </w:pPr>
    </w:p>
    <w:p w:rsidR="00F55249" w:rsidRPr="00447126" w:rsidRDefault="00F55249" w:rsidP="00F55249">
      <w:pPr>
        <w:pStyle w:val="Heading2"/>
        <w:rPr>
          <w:rStyle w:val="BodyTextChar"/>
          <w:color w:val="auto"/>
        </w:rPr>
      </w:pPr>
      <w:bookmarkStart w:id="1" w:name="_Toc373853205"/>
      <w:r w:rsidRPr="00447126">
        <w:rPr>
          <w:sz w:val="28"/>
        </w:rPr>
        <w:lastRenderedPageBreak/>
        <w:t>Key Messages</w:t>
      </w:r>
      <w:bookmarkEnd w:id="1"/>
      <w:r w:rsidRPr="00447126">
        <w:rPr>
          <w:sz w:val="28"/>
        </w:rPr>
        <w:tab/>
      </w:r>
      <w:r w:rsidRPr="00447126">
        <w:rPr>
          <w:sz w:val="28"/>
        </w:rPr>
        <w:tab/>
      </w:r>
      <w:r w:rsidRPr="00447126">
        <w:rPr>
          <w:sz w:val="32"/>
          <w:szCs w:val="32"/>
        </w:rPr>
        <w:tab/>
      </w:r>
      <w:r w:rsidRPr="00447126">
        <w:rPr>
          <w:sz w:val="32"/>
          <w:szCs w:val="32"/>
        </w:rPr>
        <w:tab/>
      </w:r>
      <w:r w:rsidRPr="00447126">
        <w:rPr>
          <w:sz w:val="32"/>
          <w:szCs w:val="32"/>
        </w:rPr>
        <w:tab/>
      </w:r>
      <w:r w:rsidRPr="00447126">
        <w:rPr>
          <w:sz w:val="32"/>
          <w:szCs w:val="32"/>
        </w:rPr>
        <w:tab/>
      </w:r>
    </w:p>
    <w:p w:rsidR="0006269E" w:rsidRDefault="0006269E" w:rsidP="0006269E">
      <w:pPr>
        <w:pStyle w:val="ListBullet"/>
        <w:numPr>
          <w:ilvl w:val="0"/>
          <w:numId w:val="0"/>
        </w:numPr>
      </w:pPr>
      <w:r w:rsidRPr="00447126">
        <w:t xml:space="preserve">This Aid Program Performance Report </w:t>
      </w:r>
      <w:r>
        <w:t>describes</w:t>
      </w:r>
      <w:r w:rsidRPr="00447126">
        <w:t xml:space="preserve"> the Australian Government’s progress towards its </w:t>
      </w:r>
      <w:r>
        <w:t xml:space="preserve">Tongan </w:t>
      </w:r>
      <w:r w:rsidRPr="00447126">
        <w:t xml:space="preserve">bilateral aid program objectives </w:t>
      </w:r>
      <w:r>
        <w:t xml:space="preserve">over the period July </w:t>
      </w:r>
      <w:r w:rsidRPr="00447126">
        <w:t xml:space="preserve">2013 to </w:t>
      </w:r>
      <w:r>
        <w:t xml:space="preserve">June </w:t>
      </w:r>
      <w:r w:rsidRPr="00447126">
        <w:t>2014</w:t>
      </w:r>
      <w:r>
        <w:t xml:space="preserve"> (2013-14)</w:t>
      </w:r>
      <w:r w:rsidRPr="00447126">
        <w:t>.</w:t>
      </w:r>
    </w:p>
    <w:p w:rsidR="006D7F26" w:rsidRDefault="006D7F26" w:rsidP="006D7F26">
      <w:pPr>
        <w:pStyle w:val="ListBullet"/>
        <w:numPr>
          <w:ilvl w:val="0"/>
          <w:numId w:val="0"/>
        </w:numPr>
      </w:pPr>
      <w:r>
        <w:t>Foreign development assistance is a critical component of Tonga’s economic and social infrastructure development.  Open dialogue with the Tongan Government and a coordinated approach with other donors were vital to the success of the program in 2013-14.</w:t>
      </w:r>
    </w:p>
    <w:p w:rsidR="0006269E" w:rsidRDefault="0006269E" w:rsidP="0006269E">
      <w:pPr>
        <w:pStyle w:val="ListBullet"/>
        <w:numPr>
          <w:ilvl w:val="0"/>
          <w:numId w:val="0"/>
        </w:numPr>
      </w:pPr>
      <w:r>
        <w:t xml:space="preserve">During the reporting period there were strong improvements in economic reform; gender equity reform; and the implementation of health, education and infrastructure programs. </w:t>
      </w:r>
    </w:p>
    <w:p w:rsidR="0006269E" w:rsidRDefault="0006269E" w:rsidP="00F87E45">
      <w:pPr>
        <w:pStyle w:val="ListBullet"/>
        <w:numPr>
          <w:ilvl w:val="0"/>
          <w:numId w:val="30"/>
        </w:numPr>
        <w:ind w:left="357" w:hanging="357"/>
      </w:pPr>
      <w:r>
        <w:t>Australia provided budget support</w:t>
      </w:r>
      <w:r w:rsidR="00B24114">
        <w:t xml:space="preserve"> and technical assistance</w:t>
      </w:r>
      <w:r>
        <w:t xml:space="preserve"> for economic reforms which have yielded a primary surplus budget and provided substantial relief for Tonga’s significant debt pressures. </w:t>
      </w:r>
    </w:p>
    <w:p w:rsidR="0006269E" w:rsidRPr="00DD53F2" w:rsidRDefault="0006269E" w:rsidP="00F87E45">
      <w:pPr>
        <w:pStyle w:val="NormalWeb"/>
        <w:numPr>
          <w:ilvl w:val="0"/>
          <w:numId w:val="30"/>
        </w:numPr>
        <w:spacing w:before="0" w:beforeAutospacing="0" w:after="120" w:afterAutospacing="0" w:line="280" w:lineRule="exact"/>
        <w:ind w:left="357" w:hanging="357"/>
        <w:rPr>
          <w:rFonts w:ascii="Franklin Gothic Book" w:hAnsi="Franklin Gothic Book"/>
          <w:sz w:val="21"/>
        </w:rPr>
      </w:pPr>
      <w:r w:rsidRPr="00DD53F2">
        <w:rPr>
          <w:rFonts w:ascii="Franklin Gothic Book" w:hAnsi="Franklin Gothic Book"/>
          <w:sz w:val="21"/>
        </w:rPr>
        <w:t xml:space="preserve">A country plan for Australia’s Pacific Women Shaping Pacific Development (PWSPD) </w:t>
      </w:r>
      <w:r w:rsidR="00CB02B9" w:rsidRPr="00DD53F2">
        <w:rPr>
          <w:rFonts w:ascii="Franklin Gothic Book" w:hAnsi="Franklin Gothic Book"/>
          <w:sz w:val="21"/>
        </w:rPr>
        <w:t xml:space="preserve">which has </w:t>
      </w:r>
      <w:r w:rsidRPr="00DD53F2">
        <w:rPr>
          <w:rFonts w:ascii="Franklin Gothic Book" w:hAnsi="Franklin Gothic Book"/>
          <w:sz w:val="21"/>
        </w:rPr>
        <w:t>a strong focus on reducing violence against women</w:t>
      </w:r>
      <w:r w:rsidR="00CB02B9" w:rsidRPr="00DD53F2">
        <w:rPr>
          <w:rFonts w:ascii="Franklin Gothic Book" w:hAnsi="Franklin Gothic Book"/>
          <w:sz w:val="21"/>
        </w:rPr>
        <w:t xml:space="preserve"> was endorsed by Tonga</w:t>
      </w:r>
      <w:r w:rsidRPr="00DD53F2">
        <w:rPr>
          <w:rFonts w:ascii="Franklin Gothic Book" w:hAnsi="Franklin Gothic Book"/>
          <w:sz w:val="21"/>
        </w:rPr>
        <w:t>. Australia</w:t>
      </w:r>
      <w:r w:rsidR="00CB02B9" w:rsidRPr="00DD53F2">
        <w:rPr>
          <w:rFonts w:ascii="Franklin Gothic Book" w:hAnsi="Franklin Gothic Book"/>
          <w:sz w:val="21"/>
        </w:rPr>
        <w:t xml:space="preserve"> focussed this year’s support on implementing that plan and </w:t>
      </w:r>
      <w:r w:rsidRPr="00DD53F2">
        <w:rPr>
          <w:rFonts w:ascii="Franklin Gothic Book" w:hAnsi="Franklin Gothic Book"/>
          <w:sz w:val="21"/>
        </w:rPr>
        <w:t xml:space="preserve">the Tongan Family Protection </w:t>
      </w:r>
      <w:r w:rsidR="00DD53F2" w:rsidRPr="00DD53F2">
        <w:rPr>
          <w:rFonts w:ascii="Franklin Gothic Book" w:hAnsi="Franklin Gothic Book"/>
          <w:sz w:val="21"/>
        </w:rPr>
        <w:t xml:space="preserve">Act </w:t>
      </w:r>
      <w:r w:rsidRPr="00DD53F2">
        <w:rPr>
          <w:rFonts w:ascii="Franklin Gothic Book" w:hAnsi="Franklin Gothic Book"/>
          <w:sz w:val="21"/>
        </w:rPr>
        <w:t xml:space="preserve">2013 </w:t>
      </w:r>
      <w:r w:rsidR="00CB02B9" w:rsidRPr="00DD53F2">
        <w:rPr>
          <w:rFonts w:ascii="Franklin Gothic Book" w:hAnsi="Franklin Gothic Book"/>
          <w:sz w:val="21"/>
        </w:rPr>
        <w:t>which established</w:t>
      </w:r>
      <w:r w:rsidRPr="00DD53F2">
        <w:rPr>
          <w:rFonts w:ascii="Franklin Gothic Book" w:hAnsi="Franklin Gothic Book"/>
          <w:sz w:val="21"/>
        </w:rPr>
        <w:t xml:space="preserve"> domestic violenc</w:t>
      </w:r>
      <w:r w:rsidR="00CB02B9" w:rsidRPr="00DD53F2">
        <w:rPr>
          <w:rFonts w:ascii="Franklin Gothic Book" w:hAnsi="Franklin Gothic Book"/>
          <w:sz w:val="21"/>
        </w:rPr>
        <w:t>e as a criminal offence and set</w:t>
      </w:r>
      <w:r w:rsidRPr="00DD53F2">
        <w:rPr>
          <w:rFonts w:ascii="Franklin Gothic Book" w:hAnsi="Franklin Gothic Book"/>
          <w:sz w:val="21"/>
        </w:rPr>
        <w:t xml:space="preserve"> out important legislative protections for women and children. </w:t>
      </w:r>
    </w:p>
    <w:p w:rsidR="0006269E" w:rsidRDefault="001E627B" w:rsidP="00AD1F6D">
      <w:pPr>
        <w:pStyle w:val="ListBullet"/>
        <w:numPr>
          <w:ilvl w:val="0"/>
          <w:numId w:val="30"/>
        </w:numPr>
      </w:pPr>
      <w:r w:rsidRPr="00994811">
        <w:t>Non-communicable diseases are not only the biggest killer</w:t>
      </w:r>
      <w:r w:rsidR="006D7F26" w:rsidRPr="00994811">
        <w:t>s</w:t>
      </w:r>
      <w:r w:rsidRPr="00994811">
        <w:t xml:space="preserve"> of Tongans, they significantly cut short </w:t>
      </w:r>
      <w:r w:rsidR="00947D65" w:rsidRPr="00994811">
        <w:t>Tongan life expectancy</w:t>
      </w:r>
      <w:r w:rsidRPr="00994811">
        <w:t>.</w:t>
      </w:r>
      <w:r>
        <w:t xml:space="preserve">  </w:t>
      </w:r>
      <w:r w:rsidR="0006269E">
        <w:t>Progress on legislative reforms</w:t>
      </w:r>
      <w:r w:rsidR="00A37310">
        <w:t xml:space="preserve"> to support health objectives</w:t>
      </w:r>
      <w:r w:rsidR="0006269E">
        <w:t xml:space="preserve"> included a 15 per cent increase in the tobacco excise tax and work towards tobacco control amendment bills (for more smoke-free premises and enabling enforcement officers to issue on-the-spot fines).   Over the period 2011 to 2013, Australia supported a range of improvements in health centre infrastructure, services and standards, which</w:t>
      </w:r>
      <w:r w:rsidR="00CB02B9">
        <w:t>,</w:t>
      </w:r>
      <w:r w:rsidR="0006269E">
        <w:t xml:space="preserve"> </w:t>
      </w:r>
      <w:r>
        <w:t xml:space="preserve">along with Australian-supported training of specialised non-communicable disease nurses, </w:t>
      </w:r>
      <w:r w:rsidR="0006269E">
        <w:t xml:space="preserve">has helped decrease the incidence of diabetic sepsis and subsequent amputations.  Breast cancer is the most commonly diagnosed cancer in Tonga – the provision in </w:t>
      </w:r>
      <w:r w:rsidR="00E13D91">
        <w:t xml:space="preserve">May 2014 </w:t>
      </w:r>
      <w:r w:rsidR="0006269E">
        <w:t xml:space="preserve">of Tonga’s first mammography machine is expected to increase early detection rates and subsequently improve survival chances. </w:t>
      </w:r>
    </w:p>
    <w:p w:rsidR="0006269E" w:rsidRPr="00AE23A2" w:rsidRDefault="0006269E" w:rsidP="00AD1F6D">
      <w:pPr>
        <w:pStyle w:val="ListBullet"/>
        <w:numPr>
          <w:ilvl w:val="0"/>
          <w:numId w:val="30"/>
        </w:numPr>
      </w:pPr>
      <w:r>
        <w:t>With Australian support t</w:t>
      </w:r>
      <w:r w:rsidRPr="007F4961">
        <w:t>he quality of basic education in Tonga</w:t>
      </w:r>
      <w:r>
        <w:t xml:space="preserve"> was strengthened:</w:t>
      </w:r>
      <w:r w:rsidRPr="007F4961">
        <w:t xml:space="preserve"> 150 teachers gained professional certification; curriculum materials for classes 1 to 8 were revised to improve teaching strategies and learning outcomes</w:t>
      </w:r>
      <w:r>
        <w:t>;</w:t>
      </w:r>
      <w:r w:rsidRPr="007F4961">
        <w:t xml:space="preserve"> Tonga’s National Early Childhood Education policy was updated and support provided to operationalise key elements</w:t>
      </w:r>
      <w:r>
        <w:t>;</w:t>
      </w:r>
      <w:r w:rsidRPr="007F4961">
        <w:t xml:space="preserve"> development of  Early Childhood Education</w:t>
      </w:r>
      <w:r w:rsidRPr="007F4961" w:rsidDel="009404FE">
        <w:t xml:space="preserve"> </w:t>
      </w:r>
      <w:r w:rsidRPr="007F4961">
        <w:t>Resources (in the Tongan language) was completed</w:t>
      </w:r>
      <w:r>
        <w:t>;</w:t>
      </w:r>
      <w:r w:rsidRPr="007F4961">
        <w:t xml:space="preserve"> the Early Childhood Education</w:t>
      </w:r>
      <w:r w:rsidRPr="007F4961" w:rsidDel="009404FE">
        <w:t xml:space="preserve"> </w:t>
      </w:r>
      <w:r w:rsidRPr="007F4961">
        <w:t xml:space="preserve">Curriculum </w:t>
      </w:r>
      <w:r>
        <w:t xml:space="preserve">was </w:t>
      </w:r>
      <w:r w:rsidRPr="007F4961">
        <w:t>revised and an Early Childhood Education</w:t>
      </w:r>
      <w:r w:rsidRPr="007F4961" w:rsidDel="009404FE">
        <w:t xml:space="preserve"> </w:t>
      </w:r>
      <w:r w:rsidRPr="007F4961">
        <w:t>teaching qualification was developed.</w:t>
      </w:r>
    </w:p>
    <w:p w:rsidR="0006269E" w:rsidRDefault="0006269E" w:rsidP="00AD1F6D">
      <w:pPr>
        <w:pStyle w:val="ListBullet"/>
        <w:numPr>
          <w:ilvl w:val="0"/>
          <w:numId w:val="30"/>
        </w:numPr>
      </w:pPr>
      <w:r>
        <w:t xml:space="preserve">Australia </w:t>
      </w:r>
      <w:r w:rsidRPr="00F87E45">
        <w:t>generated over 11,700 days of employment for local workers through road maintenance activities. The Nuku’alofa Urban Development Project improved waste collection and management services and expanded water metering to businesses and residential services to improve revenue for the water utility.</w:t>
      </w:r>
    </w:p>
    <w:p w:rsidR="0006269E" w:rsidRDefault="0006269E" w:rsidP="00AD1F6D">
      <w:pPr>
        <w:pStyle w:val="ListBullet"/>
        <w:numPr>
          <w:ilvl w:val="0"/>
          <w:numId w:val="30"/>
        </w:numPr>
      </w:pPr>
      <w:r>
        <w:t xml:space="preserve">Australia was also a major contributor to the emergency response to Tropical Cyclone Ian which hit Tonga’s </w:t>
      </w:r>
      <w:r w:rsidR="00DD53F2">
        <w:t xml:space="preserve">outer islands </w:t>
      </w:r>
      <w:r>
        <w:t>in January 2014 causing one death and economic losses estimated at around</w:t>
      </w:r>
      <w:r w:rsidR="00FD1E1B">
        <w:t xml:space="preserve"> A$55 million.</w:t>
      </w:r>
    </w:p>
    <w:p w:rsidR="00266A09" w:rsidRPr="0006269E" w:rsidRDefault="0006269E" w:rsidP="0006269E">
      <w:pPr>
        <w:spacing w:after="200" w:line="276" w:lineRule="auto"/>
        <w:rPr>
          <w:rFonts w:ascii="Franklin Gothic Book" w:eastAsia="Times New Roman" w:hAnsi="Franklin Gothic Book"/>
          <w:sz w:val="21"/>
        </w:rPr>
      </w:pPr>
      <w:r w:rsidRPr="0006269E">
        <w:rPr>
          <w:rFonts w:ascii="Franklin Gothic Book" w:eastAsia="Times New Roman" w:hAnsi="Franklin Gothic Book"/>
          <w:sz w:val="21"/>
        </w:rPr>
        <w:t>The program is well placed to deliver against the Australian Government’s economic diplomacy and development assistance priorities as described in its new aid policy. A new Aid Investment Plan needs to be developed in consultation with the Tongan Government and other donors.  Investment in economic reforms must be consolidated.  More work is required to further improve consideration of gender equity, disability inclusiveness and private sector engagement across the program.</w:t>
      </w:r>
    </w:p>
    <w:p w:rsidR="00ED1C7B" w:rsidRDefault="000D733F" w:rsidP="000D733F">
      <w:pPr>
        <w:pStyle w:val="Heading2"/>
        <w:rPr>
          <w:sz w:val="32"/>
          <w:szCs w:val="32"/>
        </w:rPr>
      </w:pPr>
      <w:r w:rsidRPr="009E38C1">
        <w:rPr>
          <w:sz w:val="28"/>
        </w:rPr>
        <w:lastRenderedPageBreak/>
        <w:t xml:space="preserve">Context </w:t>
      </w:r>
      <w:r w:rsidRPr="009E38C1">
        <w:rPr>
          <w:sz w:val="28"/>
        </w:rPr>
        <w:tab/>
      </w:r>
      <w:r>
        <w:rPr>
          <w:sz w:val="32"/>
          <w:szCs w:val="32"/>
        </w:rPr>
        <w:tab/>
      </w:r>
    </w:p>
    <w:p w:rsidR="00AC4795" w:rsidRPr="005220AC" w:rsidRDefault="00AC4795" w:rsidP="00AC4795">
      <w:pPr>
        <w:pStyle w:val="BriefBackground"/>
        <w:numPr>
          <w:ilvl w:val="0"/>
          <w:numId w:val="0"/>
        </w:numPr>
        <w:spacing w:line="280" w:lineRule="exact"/>
        <w:rPr>
          <w:rFonts w:ascii="Franklin Gothic Book" w:eastAsia="Times New Roman" w:hAnsi="Franklin Gothic Book" w:cs="Times New Roman"/>
          <w:i/>
          <w:color w:val="auto"/>
          <w:sz w:val="21"/>
          <w:lang w:eastAsia="en-AU"/>
        </w:rPr>
      </w:pPr>
      <w:r w:rsidRPr="005220AC">
        <w:rPr>
          <w:rFonts w:ascii="Franklin Gothic Book" w:eastAsia="Times New Roman" w:hAnsi="Franklin Gothic Book" w:cs="Times New Roman"/>
          <w:i/>
          <w:color w:val="auto"/>
          <w:sz w:val="21"/>
          <w:lang w:eastAsia="en-AU"/>
        </w:rPr>
        <w:t>Economy</w:t>
      </w:r>
    </w:p>
    <w:p w:rsidR="00AC4795" w:rsidRDefault="00AC4795" w:rsidP="00AC4795">
      <w:pPr>
        <w:autoSpaceDE w:val="0"/>
        <w:autoSpaceDN w:val="0"/>
        <w:adjustRightInd w:val="0"/>
        <w:spacing w:after="120" w:line="280" w:lineRule="exact"/>
        <w:rPr>
          <w:rFonts w:ascii="Franklin Gothic Book" w:hAnsi="Franklin Gothic Book" w:cs="Franklin Gothic Book"/>
          <w:sz w:val="21"/>
          <w:szCs w:val="21"/>
        </w:rPr>
      </w:pPr>
      <w:r w:rsidRPr="00333FB5">
        <w:rPr>
          <w:rFonts w:ascii="Franklin Gothic Book" w:hAnsi="Franklin Gothic Book" w:cs="Franklin Gothic Book"/>
          <w:sz w:val="21"/>
          <w:szCs w:val="21"/>
        </w:rPr>
        <w:t>Tonga’s small open economy is vulnerable to external shocks and was hard hit by the Global Financial Crisis.  Tonga import</w:t>
      </w:r>
      <w:r w:rsidR="00620FB5">
        <w:rPr>
          <w:rFonts w:ascii="Franklin Gothic Book" w:hAnsi="Franklin Gothic Book" w:cs="Franklin Gothic Book"/>
          <w:sz w:val="21"/>
          <w:szCs w:val="21"/>
        </w:rPr>
        <w:t>s</w:t>
      </w:r>
      <w:r w:rsidRPr="00333FB5">
        <w:rPr>
          <w:rFonts w:ascii="Franklin Gothic Book" w:hAnsi="Franklin Gothic Book" w:cs="Franklin Gothic Book"/>
          <w:sz w:val="21"/>
          <w:szCs w:val="21"/>
        </w:rPr>
        <w:t xml:space="preserve"> a high proportion of its food, mainly from New Zealand. It remains dependent on </w:t>
      </w:r>
      <w:r w:rsidR="00C72902" w:rsidRPr="00333FB5">
        <w:rPr>
          <w:rFonts w:ascii="Franklin Gothic Book" w:hAnsi="Franklin Gothic Book" w:cs="Franklin Gothic Book"/>
          <w:sz w:val="21"/>
          <w:szCs w:val="21"/>
        </w:rPr>
        <w:t xml:space="preserve">foreign development assistance </w:t>
      </w:r>
      <w:r w:rsidRPr="00333FB5">
        <w:rPr>
          <w:rFonts w:ascii="Franklin Gothic Book" w:hAnsi="Franklin Gothic Book" w:cs="Franklin Gothic Book"/>
          <w:sz w:val="21"/>
          <w:szCs w:val="21"/>
        </w:rPr>
        <w:t>and remittances from Tongan communities overseas to offset its trade deficit and support social infrastructure</w:t>
      </w:r>
      <w:r w:rsidR="00BE5F4A">
        <w:rPr>
          <w:rFonts w:ascii="Franklin Gothic Book" w:hAnsi="Franklin Gothic Book" w:cs="Franklin Gothic Book"/>
          <w:sz w:val="21"/>
          <w:szCs w:val="21"/>
        </w:rPr>
        <w:t xml:space="preserve"> and services</w:t>
      </w:r>
      <w:r w:rsidRPr="00333FB5">
        <w:rPr>
          <w:rFonts w:ascii="Franklin Gothic Book" w:hAnsi="Franklin Gothic Book" w:cs="Franklin Gothic Book"/>
          <w:sz w:val="21"/>
          <w:szCs w:val="21"/>
        </w:rPr>
        <w:t>.</w:t>
      </w:r>
      <w:r>
        <w:rPr>
          <w:rFonts w:ascii="Franklin Gothic Book" w:hAnsi="Franklin Gothic Book" w:cs="Franklin Gothic Book"/>
          <w:sz w:val="21"/>
          <w:szCs w:val="21"/>
        </w:rPr>
        <w:t xml:space="preserve"> </w:t>
      </w:r>
    </w:p>
    <w:p w:rsidR="00AC4795" w:rsidRPr="00510686" w:rsidRDefault="00AC4795" w:rsidP="00AC4795">
      <w:pPr>
        <w:autoSpaceDE w:val="0"/>
        <w:autoSpaceDN w:val="0"/>
        <w:adjustRightInd w:val="0"/>
        <w:spacing w:after="120" w:line="280" w:lineRule="exact"/>
        <w:rPr>
          <w:rFonts w:ascii="Franklin Gothic Book" w:hAnsi="Franklin Gothic Book" w:cs="Franklin Gothic Book"/>
          <w:color w:val="000000"/>
          <w:sz w:val="21"/>
          <w:szCs w:val="21"/>
          <w:lang w:eastAsia="en-US"/>
        </w:rPr>
      </w:pPr>
      <w:r w:rsidRPr="00510686">
        <w:rPr>
          <w:rFonts w:ascii="Franklin Gothic Book" w:hAnsi="Franklin Gothic Book" w:cs="Franklin Gothic Book"/>
          <w:sz w:val="21"/>
          <w:szCs w:val="21"/>
        </w:rPr>
        <w:t xml:space="preserve">Economic growth in Tonga has </w:t>
      </w:r>
      <w:r>
        <w:rPr>
          <w:rFonts w:ascii="Franklin Gothic Book" w:hAnsi="Franklin Gothic Book" w:cs="Franklin Gothic Book"/>
          <w:sz w:val="21"/>
          <w:szCs w:val="21"/>
        </w:rPr>
        <w:t>averaged less than one per cent annually</w:t>
      </w:r>
      <w:r w:rsidRPr="00510686">
        <w:rPr>
          <w:rFonts w:ascii="Franklin Gothic Book" w:hAnsi="Franklin Gothic Book" w:cs="Franklin Gothic Book"/>
          <w:sz w:val="21"/>
          <w:szCs w:val="21"/>
        </w:rPr>
        <w:t xml:space="preserve"> over the last decade</w:t>
      </w:r>
      <w:r>
        <w:rPr>
          <w:rFonts w:ascii="Franklin Gothic Book" w:hAnsi="Franklin Gothic Book" w:cs="Franklin Gothic Book"/>
          <w:sz w:val="21"/>
          <w:szCs w:val="21"/>
        </w:rPr>
        <w:t>. The effects of the global financial crisis and consequent sharp fall in remittances resulted in GDP declining by more than three per cent</w:t>
      </w:r>
      <w:r w:rsidR="00F87E45">
        <w:rPr>
          <w:rFonts w:ascii="Franklin Gothic Book" w:hAnsi="Franklin Gothic Book" w:cs="Franklin Gothic Book"/>
          <w:sz w:val="21"/>
          <w:szCs w:val="21"/>
        </w:rPr>
        <w:t>.</w:t>
      </w:r>
      <w:r>
        <w:rPr>
          <w:rFonts w:ascii="Franklin Gothic Book" w:hAnsi="Franklin Gothic Book" w:cs="Franklin Gothic Book"/>
          <w:sz w:val="21"/>
          <w:szCs w:val="21"/>
        </w:rPr>
        <w:t xml:space="preserve"> </w:t>
      </w:r>
      <w:r w:rsidRPr="00510686">
        <w:rPr>
          <w:rFonts w:ascii="Franklin Gothic Book" w:hAnsi="Franklin Gothic Book" w:cs="Franklin Gothic Book"/>
          <w:sz w:val="21"/>
          <w:szCs w:val="21"/>
        </w:rPr>
        <w:t xml:space="preserve"> </w:t>
      </w:r>
      <w:r>
        <w:rPr>
          <w:rFonts w:ascii="Franklin Gothic Book" w:hAnsi="Franklin Gothic Book" w:cs="Franklin Gothic Book"/>
          <w:sz w:val="21"/>
          <w:szCs w:val="21"/>
        </w:rPr>
        <w:t>I</w:t>
      </w:r>
      <w:r w:rsidRPr="00510686">
        <w:rPr>
          <w:rFonts w:ascii="Franklin Gothic Book" w:hAnsi="Franklin Gothic Book" w:cs="Franklin Gothic Book"/>
          <w:sz w:val="21"/>
          <w:szCs w:val="21"/>
        </w:rPr>
        <w:t xml:space="preserve">n 2013-14 the economy was expected to increase to </w:t>
      </w:r>
      <w:r w:rsidR="00F87E45">
        <w:rPr>
          <w:rFonts w:ascii="Franklin Gothic Book" w:hAnsi="Franklin Gothic Book" w:cs="Franklin Gothic Book"/>
          <w:sz w:val="21"/>
          <w:szCs w:val="21"/>
        </w:rPr>
        <w:t xml:space="preserve">one and </w:t>
      </w:r>
      <w:r w:rsidR="00823B17">
        <w:rPr>
          <w:rFonts w:ascii="Franklin Gothic Book" w:hAnsi="Franklin Gothic Book" w:cs="Franklin Gothic Book"/>
          <w:sz w:val="21"/>
          <w:szCs w:val="21"/>
        </w:rPr>
        <w:t xml:space="preserve">a </w:t>
      </w:r>
      <w:r w:rsidR="00F87E45">
        <w:rPr>
          <w:rFonts w:ascii="Franklin Gothic Book" w:hAnsi="Franklin Gothic Book" w:cs="Franklin Gothic Book"/>
          <w:sz w:val="21"/>
          <w:szCs w:val="21"/>
        </w:rPr>
        <w:t>half</w:t>
      </w:r>
      <w:r w:rsidRPr="00510686">
        <w:rPr>
          <w:rFonts w:ascii="Franklin Gothic Book" w:hAnsi="Franklin Gothic Book" w:cs="Franklin Gothic Book"/>
          <w:sz w:val="21"/>
          <w:szCs w:val="21"/>
        </w:rPr>
        <w:t xml:space="preserve"> per cent as a result of infrastructure projects financed by development partners.</w:t>
      </w:r>
      <w:r w:rsidRPr="00510686">
        <w:rPr>
          <w:rStyle w:val="FootnoteReference"/>
          <w:rFonts w:ascii="Franklin Gothic Book" w:hAnsi="Franklin Gothic Book" w:cs="Franklin Gothic Book"/>
          <w:szCs w:val="16"/>
        </w:rPr>
        <w:footnoteReference w:id="1"/>
      </w:r>
      <w:r w:rsidRPr="00510686">
        <w:rPr>
          <w:rFonts w:ascii="Franklin Gothic Book" w:hAnsi="Franklin Gothic Book" w:cs="Franklin Gothic Book"/>
          <w:sz w:val="21"/>
          <w:szCs w:val="21"/>
        </w:rPr>
        <w:t xml:space="preserve">  </w:t>
      </w:r>
    </w:p>
    <w:p w:rsidR="00AC4795" w:rsidRPr="00D36CA5" w:rsidRDefault="00AC4795" w:rsidP="00AC4795">
      <w:pPr>
        <w:spacing w:after="120" w:line="280" w:lineRule="exact"/>
        <w:rPr>
          <w:rFonts w:ascii="Franklin Gothic Book" w:hAnsi="Franklin Gothic Book"/>
          <w:b/>
          <w:sz w:val="21"/>
          <w:szCs w:val="21"/>
        </w:rPr>
      </w:pPr>
      <w:r>
        <w:rPr>
          <w:rFonts w:ascii="Franklin Gothic Book" w:hAnsi="Franklin Gothic Book" w:cs="Franklin Gothic Book"/>
          <w:sz w:val="21"/>
          <w:szCs w:val="21"/>
        </w:rPr>
        <w:t xml:space="preserve">With support from Australia and other like-minded development partners, Tonga’s fiscal position has stabilised, resulting in the IMF and World Bank downgrading its debt distress rating in July </w:t>
      </w:r>
      <w:r w:rsidRPr="00B83623">
        <w:rPr>
          <w:rFonts w:ascii="Franklin Gothic Book" w:hAnsi="Franklin Gothic Book" w:cs="Franklin Gothic Book"/>
          <w:sz w:val="21"/>
          <w:szCs w:val="21"/>
        </w:rPr>
        <w:t>2013</w:t>
      </w:r>
      <w:r w:rsidRPr="00B83623">
        <w:rPr>
          <w:rStyle w:val="FootnoteReference"/>
          <w:rFonts w:cs="Franklin Gothic Book"/>
        </w:rPr>
        <w:footnoteReference w:id="2"/>
      </w:r>
      <w:r>
        <w:rPr>
          <w:rFonts w:ascii="Franklin Gothic Book" w:hAnsi="Franklin Gothic Book" w:cs="Franklin Gothic Book"/>
          <w:sz w:val="21"/>
          <w:szCs w:val="21"/>
        </w:rPr>
        <w:t xml:space="preserve"> </w:t>
      </w:r>
      <w:r w:rsidRPr="00B83623">
        <w:rPr>
          <w:rFonts w:ascii="Franklin Gothic Book" w:hAnsi="Franklin Gothic Book" w:cs="Franklin Gothic Book"/>
          <w:sz w:val="21"/>
          <w:szCs w:val="21"/>
        </w:rPr>
        <w:t>from</w:t>
      </w:r>
      <w:r>
        <w:rPr>
          <w:rFonts w:ascii="Franklin Gothic Book" w:hAnsi="Franklin Gothic Book" w:cs="Franklin Gothic Book"/>
          <w:sz w:val="21"/>
          <w:szCs w:val="21"/>
        </w:rPr>
        <w:t xml:space="preserve"> high to moderate, </w:t>
      </w:r>
      <w:r w:rsidRPr="0030554C">
        <w:rPr>
          <w:rFonts w:ascii="Franklin Gothic Book" w:hAnsi="Franklin Gothic Book" w:cs="Franklin Gothic Book"/>
          <w:sz w:val="21"/>
          <w:szCs w:val="21"/>
        </w:rPr>
        <w:t xml:space="preserve">reflecting improvements in the policy environment and </w:t>
      </w:r>
      <w:r>
        <w:rPr>
          <w:rFonts w:ascii="Franklin Gothic Book" w:hAnsi="Franklin Gothic Book" w:cs="Franklin Gothic Book"/>
          <w:sz w:val="21"/>
          <w:szCs w:val="21"/>
        </w:rPr>
        <w:t xml:space="preserve">a ‘no new debt’ policy applied by government </w:t>
      </w:r>
      <w:r w:rsidRPr="0030554C">
        <w:rPr>
          <w:rFonts w:ascii="Franklin Gothic Book" w:hAnsi="Franklin Gothic Book" w:cs="Franklin Gothic Book"/>
          <w:sz w:val="21"/>
          <w:szCs w:val="21"/>
        </w:rPr>
        <w:t>in recent years</w:t>
      </w:r>
      <w:r>
        <w:rPr>
          <w:rFonts w:ascii="Franklin Gothic Book" w:hAnsi="Franklin Gothic Book" w:cs="Franklin Gothic Book"/>
          <w:sz w:val="21"/>
          <w:szCs w:val="21"/>
        </w:rPr>
        <w:t xml:space="preserve">. Nevertheless, the national debt remains a concern given </w:t>
      </w:r>
      <w:r w:rsidRPr="00970D0C">
        <w:rPr>
          <w:rFonts w:ascii="Franklin Gothic Book" w:hAnsi="Franklin Gothic Book" w:cs="Franklin Gothic Book"/>
          <w:sz w:val="21"/>
          <w:szCs w:val="21"/>
        </w:rPr>
        <w:t>the country’s lack of fiscal room and constrained debt servicing capacity</w:t>
      </w:r>
      <w:r>
        <w:rPr>
          <w:rFonts w:ascii="Franklin Gothic Book" w:hAnsi="Franklin Gothic Book" w:cs="Franklin Gothic Book"/>
          <w:sz w:val="21"/>
          <w:szCs w:val="21"/>
        </w:rPr>
        <w:t xml:space="preserve">. </w:t>
      </w:r>
      <w:r w:rsidRPr="00970D0C">
        <w:rPr>
          <w:rFonts w:ascii="Franklin Gothic Book" w:hAnsi="Franklin Gothic Book"/>
          <w:sz w:val="21"/>
          <w:szCs w:val="21"/>
        </w:rPr>
        <w:t>According to the IMF,</w:t>
      </w:r>
      <w:r>
        <w:rPr>
          <w:rFonts w:ascii="Franklin Gothic Book" w:hAnsi="Franklin Gothic Book"/>
          <w:sz w:val="21"/>
          <w:szCs w:val="21"/>
        </w:rPr>
        <w:t xml:space="preserve"> </w:t>
      </w:r>
      <w:r w:rsidRPr="00970D0C">
        <w:rPr>
          <w:rFonts w:ascii="Franklin Gothic Book" w:hAnsi="Franklin Gothic Book"/>
          <w:sz w:val="21"/>
          <w:szCs w:val="21"/>
        </w:rPr>
        <w:t>Tonga’s total public debt was 44 per cent of GDP and external debt was 40 per cent of GDP (with two thirds of external debt owed to China’s EXIM Bank</w:t>
      </w:r>
      <w:r>
        <w:rPr>
          <w:rFonts w:ascii="Franklin Gothic Book" w:hAnsi="Franklin Gothic Book"/>
          <w:sz w:val="21"/>
          <w:szCs w:val="21"/>
        </w:rPr>
        <w:t>)</w:t>
      </w:r>
      <w:r w:rsidRPr="00970D0C">
        <w:rPr>
          <w:rFonts w:ascii="Franklin Gothic Book" w:hAnsi="Franklin Gothic Book"/>
          <w:sz w:val="21"/>
          <w:szCs w:val="21"/>
        </w:rPr>
        <w:t>.</w:t>
      </w:r>
    </w:p>
    <w:p w:rsidR="00AC4795" w:rsidRPr="0030554C" w:rsidRDefault="00AC4795" w:rsidP="00AC4795">
      <w:pPr>
        <w:autoSpaceDE w:val="0"/>
        <w:autoSpaceDN w:val="0"/>
        <w:adjustRightInd w:val="0"/>
        <w:spacing w:after="120" w:line="280" w:lineRule="exact"/>
        <w:rPr>
          <w:rFonts w:ascii="Franklin Gothic Book" w:hAnsi="Franklin Gothic Book" w:cs="Franklin Gothic Book"/>
          <w:sz w:val="21"/>
          <w:szCs w:val="21"/>
        </w:rPr>
      </w:pPr>
      <w:r w:rsidRPr="0030554C">
        <w:rPr>
          <w:rFonts w:ascii="Franklin Gothic Book" w:hAnsi="Franklin Gothic Book" w:cs="Franklin Gothic Book"/>
          <w:sz w:val="21"/>
          <w:szCs w:val="21"/>
        </w:rPr>
        <w:t xml:space="preserve">Tonga is an active participant in </w:t>
      </w:r>
      <w:r>
        <w:rPr>
          <w:rFonts w:ascii="Franklin Gothic Book" w:hAnsi="Franklin Gothic Book" w:cs="Franklin Gothic Book"/>
          <w:sz w:val="21"/>
          <w:szCs w:val="21"/>
        </w:rPr>
        <w:t>Australia’s</w:t>
      </w:r>
      <w:r w:rsidRPr="0030554C">
        <w:rPr>
          <w:rFonts w:ascii="Franklin Gothic Book" w:hAnsi="Franklin Gothic Book" w:cs="Franklin Gothic Book"/>
          <w:sz w:val="21"/>
          <w:szCs w:val="21"/>
        </w:rPr>
        <w:t xml:space="preserve"> Seasonal Worker Program and since 2012 almost 2700 Tongans have participated in the program</w:t>
      </w:r>
      <w:r>
        <w:rPr>
          <w:rFonts w:ascii="Franklin Gothic Book" w:hAnsi="Franklin Gothic Book" w:cs="Franklin Gothic Book"/>
          <w:sz w:val="21"/>
          <w:szCs w:val="21"/>
        </w:rPr>
        <w:t xml:space="preserve">, </w:t>
      </w:r>
      <w:r w:rsidRPr="0030554C">
        <w:rPr>
          <w:rFonts w:ascii="Franklin Gothic Book" w:hAnsi="Franklin Gothic Book" w:cs="Franklin Gothic Book"/>
          <w:sz w:val="21"/>
          <w:szCs w:val="21"/>
        </w:rPr>
        <w:t>which represents approximately 77 per cent of all participants. Tonga</w:t>
      </w:r>
      <w:r>
        <w:rPr>
          <w:rFonts w:ascii="Franklin Gothic Book" w:hAnsi="Franklin Gothic Book" w:cs="Franklin Gothic Book"/>
          <w:sz w:val="21"/>
          <w:szCs w:val="21"/>
        </w:rPr>
        <w:t xml:space="preserve"> has also played a prominent and constructive role in</w:t>
      </w:r>
      <w:r w:rsidRPr="0030554C">
        <w:rPr>
          <w:rFonts w:ascii="Franklin Gothic Book" w:hAnsi="Franklin Gothic Book" w:cs="Franklin Gothic Book"/>
          <w:sz w:val="21"/>
          <w:szCs w:val="21"/>
        </w:rPr>
        <w:t xml:space="preserve"> advocat</w:t>
      </w:r>
      <w:r>
        <w:rPr>
          <w:rFonts w:ascii="Franklin Gothic Book" w:hAnsi="Franklin Gothic Book" w:cs="Franklin Gothic Book"/>
          <w:sz w:val="21"/>
          <w:szCs w:val="21"/>
        </w:rPr>
        <w:t>ing</w:t>
      </w:r>
      <w:r w:rsidRPr="0030554C">
        <w:rPr>
          <w:rFonts w:ascii="Franklin Gothic Book" w:hAnsi="Franklin Gothic Book" w:cs="Franklin Gothic Book"/>
          <w:sz w:val="21"/>
          <w:szCs w:val="21"/>
        </w:rPr>
        <w:t xml:space="preserve"> for increased access to regional labour markets for Tongan labour</w:t>
      </w:r>
      <w:r>
        <w:rPr>
          <w:rFonts w:ascii="Franklin Gothic Book" w:hAnsi="Franklin Gothic Book" w:cs="Franklin Gothic Book"/>
          <w:sz w:val="21"/>
          <w:szCs w:val="21"/>
        </w:rPr>
        <w:t>.</w:t>
      </w:r>
    </w:p>
    <w:p w:rsidR="00AC4795" w:rsidRPr="00031C7F" w:rsidRDefault="00AC4795" w:rsidP="00AC4795">
      <w:pPr>
        <w:pStyle w:val="BodyText"/>
        <w:spacing w:after="120"/>
        <w:rPr>
          <w:i/>
          <w:szCs w:val="21"/>
        </w:rPr>
      </w:pPr>
      <w:r w:rsidRPr="00510686">
        <w:t xml:space="preserve">On 11 January 2014, </w:t>
      </w:r>
      <w:r>
        <w:t xml:space="preserve">Category 5 </w:t>
      </w:r>
      <w:r w:rsidRPr="00510686">
        <w:t xml:space="preserve">Tropical Cyclone Ian (TC Ian), the strongest storm on record </w:t>
      </w:r>
      <w:r>
        <w:t xml:space="preserve">to be </w:t>
      </w:r>
      <w:r w:rsidRPr="00510686">
        <w:t xml:space="preserve">experienced </w:t>
      </w:r>
      <w:r>
        <w:t>in</w:t>
      </w:r>
      <w:r w:rsidRPr="00510686">
        <w:t xml:space="preserve"> Tonga, hit the Ha’apai island group in Tonga’s north. It caused significant damage and economic losses estimated at around US$50 million (equivalent to 11 per cent of Tonga’s GDP)</w:t>
      </w:r>
      <w:r>
        <w:rPr>
          <w:rStyle w:val="FootnoteReference"/>
        </w:rPr>
        <w:footnoteReference w:id="3"/>
      </w:r>
      <w:r w:rsidRPr="00510686">
        <w:t>. There was one confirmed fatality and extensive damage to housing, crops and public buildings. Australia</w:t>
      </w:r>
      <w:r>
        <w:t xml:space="preserve"> was a major contributor to an effectively </w:t>
      </w:r>
      <w:r w:rsidRPr="00C17219">
        <w:t xml:space="preserve">coordinated donor response.  </w:t>
      </w:r>
      <w:r w:rsidRPr="0010416A">
        <w:t>Ongoing response efforts to this and any future natural disasters will continue to place strain on the Tongan economy</w:t>
      </w:r>
      <w:r>
        <w:t>.</w:t>
      </w:r>
    </w:p>
    <w:p w:rsidR="00AC4795" w:rsidRPr="00510686" w:rsidRDefault="00AC4795" w:rsidP="00AC4795">
      <w:pPr>
        <w:pStyle w:val="BriefBackground"/>
        <w:numPr>
          <w:ilvl w:val="0"/>
          <w:numId w:val="0"/>
        </w:numPr>
        <w:spacing w:line="280" w:lineRule="exact"/>
        <w:ind w:left="360" w:hanging="360"/>
        <w:rPr>
          <w:rFonts w:ascii="Franklin Gothic Book" w:hAnsi="Franklin Gothic Book"/>
          <w:i/>
          <w:sz w:val="21"/>
          <w:szCs w:val="21"/>
        </w:rPr>
      </w:pPr>
      <w:r w:rsidRPr="00510686">
        <w:rPr>
          <w:rFonts w:ascii="Franklin Gothic Book" w:hAnsi="Franklin Gothic Book"/>
          <w:i/>
          <w:sz w:val="21"/>
          <w:szCs w:val="21"/>
        </w:rPr>
        <w:t>Politics</w:t>
      </w:r>
    </w:p>
    <w:p w:rsidR="00AC4795" w:rsidRPr="00AE23A2" w:rsidRDefault="00AC4795" w:rsidP="00AC4795">
      <w:pPr>
        <w:spacing w:after="120" w:line="280" w:lineRule="exact"/>
        <w:rPr>
          <w:rFonts w:ascii="Franklin Gothic Book" w:hAnsi="Franklin Gothic Book"/>
          <w:sz w:val="21"/>
          <w:szCs w:val="21"/>
        </w:rPr>
      </w:pPr>
      <w:r w:rsidRPr="00AE23A2">
        <w:rPr>
          <w:rFonts w:ascii="Franklin Gothic Book" w:hAnsi="Franklin Gothic Book"/>
          <w:sz w:val="21"/>
          <w:szCs w:val="21"/>
        </w:rPr>
        <w:t xml:space="preserve">Tonga is an important regional partner with strong migration links to Australia. </w:t>
      </w:r>
      <w:r>
        <w:rPr>
          <w:rFonts w:ascii="Franklin Gothic Book" w:hAnsi="Franklin Gothic Book"/>
          <w:sz w:val="21"/>
          <w:szCs w:val="21"/>
        </w:rPr>
        <w:t>Tonga</w:t>
      </w:r>
      <w:r w:rsidR="003D1722">
        <w:rPr>
          <w:rFonts w:ascii="Franklin Gothic Book" w:hAnsi="Franklin Gothic Book"/>
          <w:sz w:val="21"/>
          <w:szCs w:val="21"/>
        </w:rPr>
        <w:t>’s</w:t>
      </w:r>
      <w:r>
        <w:rPr>
          <w:rFonts w:ascii="Franklin Gothic Book" w:hAnsi="Franklin Gothic Book"/>
          <w:sz w:val="21"/>
          <w:szCs w:val="21"/>
        </w:rPr>
        <w:t xml:space="preserve"> first elections following democratic reforms </w:t>
      </w:r>
      <w:r w:rsidR="004126E3">
        <w:rPr>
          <w:rFonts w:ascii="Franklin Gothic Book" w:hAnsi="Franklin Gothic Book"/>
          <w:sz w:val="21"/>
          <w:szCs w:val="21"/>
        </w:rPr>
        <w:t xml:space="preserve">were held </w:t>
      </w:r>
      <w:r>
        <w:rPr>
          <w:rFonts w:ascii="Franklin Gothic Book" w:hAnsi="Franklin Gothic Book"/>
          <w:sz w:val="21"/>
          <w:szCs w:val="21"/>
        </w:rPr>
        <w:t xml:space="preserve">in 2010.  The next general election will be held in November 2014.  Politics in Tonga has been stable during the APPR reporting period and has been underpinned by a broad commitment to democratisation and economic reform. </w:t>
      </w:r>
      <w:r>
        <w:rPr>
          <w:rFonts w:ascii="Franklin Gothic Book" w:hAnsi="Franklin Gothic Book" w:cs="Calibri"/>
          <w:color w:val="000000"/>
          <w:sz w:val="21"/>
          <w:szCs w:val="21"/>
          <w:lang w:eastAsia="en-US"/>
        </w:rPr>
        <w:t xml:space="preserve"> There were </w:t>
      </w:r>
      <w:r w:rsidRPr="00AE23A2">
        <w:rPr>
          <w:rFonts w:ascii="Franklin Gothic Book" w:hAnsi="Franklin Gothic Book" w:cs="Calibri"/>
          <w:color w:val="000000"/>
          <w:sz w:val="21"/>
          <w:szCs w:val="21"/>
          <w:lang w:eastAsia="en-US"/>
        </w:rPr>
        <w:t>no women elected to the People’s Representatives seats at the last election in 2010 (Dr Ana Taufe'ulungaki</w:t>
      </w:r>
      <w:r w:rsidR="00AF0036">
        <w:rPr>
          <w:rFonts w:ascii="Franklin Gothic Book" w:hAnsi="Franklin Gothic Book" w:cs="Calibri"/>
          <w:color w:val="000000"/>
          <w:sz w:val="21"/>
          <w:szCs w:val="21"/>
          <w:lang w:eastAsia="en-US"/>
        </w:rPr>
        <w:t xml:space="preserve"> </w:t>
      </w:r>
      <w:r w:rsidRPr="00AE23A2">
        <w:rPr>
          <w:rFonts w:ascii="Franklin Gothic Book" w:hAnsi="Franklin Gothic Book" w:cs="Calibri"/>
          <w:color w:val="000000"/>
          <w:sz w:val="21"/>
          <w:szCs w:val="21"/>
          <w:lang w:eastAsia="en-US"/>
        </w:rPr>
        <w:t xml:space="preserve">was subsequently appointed Minister for Education by the Prime Minister).  Currently all 23 District Officers and 155 Town Officers are male.  </w:t>
      </w:r>
      <w:r w:rsidR="00897221">
        <w:rPr>
          <w:rFonts w:ascii="Franklin Gothic Book" w:hAnsi="Franklin Gothic Book" w:cs="Calibri"/>
          <w:color w:val="000000"/>
          <w:sz w:val="21"/>
          <w:szCs w:val="21"/>
          <w:lang w:eastAsia="en-US"/>
        </w:rPr>
        <w:t>However, f</w:t>
      </w:r>
      <w:r w:rsidRPr="00AE23A2">
        <w:rPr>
          <w:rFonts w:ascii="Franklin Gothic Book" w:hAnsi="Franklin Gothic Book" w:cs="Calibri"/>
          <w:color w:val="000000"/>
          <w:sz w:val="21"/>
          <w:szCs w:val="21"/>
          <w:lang w:eastAsia="en-US"/>
        </w:rPr>
        <w:t>emale representation i</w:t>
      </w:r>
      <w:r w:rsidRPr="00AE23A2">
        <w:rPr>
          <w:rFonts w:ascii="Franklin Gothic Book" w:hAnsi="Franklin Gothic Book"/>
          <w:sz w:val="21"/>
          <w:szCs w:val="21"/>
        </w:rPr>
        <w:t xml:space="preserve">n senior levels of the civil service is </w:t>
      </w:r>
      <w:r>
        <w:rPr>
          <w:rFonts w:ascii="Franklin Gothic Book" w:hAnsi="Franklin Gothic Book"/>
          <w:sz w:val="21"/>
          <w:szCs w:val="21"/>
        </w:rPr>
        <w:t>stronger</w:t>
      </w:r>
      <w:r w:rsidRPr="00AE23A2">
        <w:rPr>
          <w:rFonts w:ascii="Franklin Gothic Book" w:hAnsi="Franklin Gothic Book"/>
          <w:sz w:val="21"/>
          <w:szCs w:val="21"/>
        </w:rPr>
        <w:t>, with women currently representing one third of Ministry heads within Tonga’s civil service and over half of deputy level civil servants</w:t>
      </w:r>
      <w:r>
        <w:rPr>
          <w:rFonts w:ascii="Franklin Gothic Book" w:hAnsi="Franklin Gothic Book"/>
          <w:sz w:val="21"/>
          <w:szCs w:val="21"/>
        </w:rPr>
        <w:t>.</w:t>
      </w:r>
      <w:r w:rsidRPr="00AE23A2">
        <w:rPr>
          <w:rFonts w:ascii="Franklin Gothic Book" w:hAnsi="Franklin Gothic Book"/>
          <w:sz w:val="21"/>
          <w:szCs w:val="21"/>
        </w:rPr>
        <w:t xml:space="preserve">   </w:t>
      </w:r>
    </w:p>
    <w:p w:rsidR="00AC4795" w:rsidRPr="00510686" w:rsidRDefault="00AC4795" w:rsidP="00AC4795">
      <w:pPr>
        <w:pStyle w:val="BriefBackground"/>
        <w:numPr>
          <w:ilvl w:val="0"/>
          <w:numId w:val="0"/>
        </w:numPr>
        <w:spacing w:line="280" w:lineRule="exact"/>
        <w:ind w:left="360" w:hanging="360"/>
        <w:rPr>
          <w:rFonts w:ascii="Franklin Gothic Book" w:hAnsi="Franklin Gothic Book"/>
          <w:i/>
          <w:sz w:val="21"/>
          <w:szCs w:val="21"/>
        </w:rPr>
      </w:pPr>
      <w:r w:rsidRPr="00510686">
        <w:rPr>
          <w:rFonts w:ascii="Franklin Gothic Book" w:hAnsi="Franklin Gothic Book"/>
          <w:i/>
          <w:sz w:val="21"/>
          <w:szCs w:val="21"/>
        </w:rPr>
        <w:t>Development situation</w:t>
      </w:r>
    </w:p>
    <w:p w:rsidR="00AC4795" w:rsidRDefault="00AC4795" w:rsidP="00AC4795">
      <w:pPr>
        <w:spacing w:after="120" w:line="280" w:lineRule="exact"/>
        <w:rPr>
          <w:rFonts w:ascii="Franklin Gothic Book" w:hAnsi="Franklin Gothic Book"/>
          <w:sz w:val="21"/>
          <w:szCs w:val="21"/>
        </w:rPr>
      </w:pPr>
      <w:r>
        <w:rPr>
          <w:rFonts w:ascii="Franklin Gothic Book" w:hAnsi="Franklin Gothic Book"/>
          <w:sz w:val="21"/>
          <w:szCs w:val="21"/>
        </w:rPr>
        <w:t>Tonga’s d</w:t>
      </w:r>
      <w:r w:rsidRPr="00510686">
        <w:rPr>
          <w:rFonts w:ascii="Franklin Gothic Book" w:hAnsi="Franklin Gothic Book"/>
          <w:sz w:val="21"/>
          <w:szCs w:val="21"/>
        </w:rPr>
        <w:t>evelopment challenges include debt</w:t>
      </w:r>
      <w:r>
        <w:rPr>
          <w:rFonts w:ascii="Franklin Gothic Book" w:hAnsi="Franklin Gothic Book"/>
          <w:sz w:val="21"/>
          <w:szCs w:val="21"/>
        </w:rPr>
        <w:t xml:space="preserve"> exposure</w:t>
      </w:r>
      <w:r w:rsidRPr="00510686">
        <w:rPr>
          <w:rFonts w:ascii="Franklin Gothic Book" w:hAnsi="Franklin Gothic Book"/>
          <w:sz w:val="21"/>
          <w:szCs w:val="21"/>
        </w:rPr>
        <w:t xml:space="preserve">, </w:t>
      </w:r>
      <w:r>
        <w:rPr>
          <w:rFonts w:ascii="Franklin Gothic Book" w:hAnsi="Franklin Gothic Book"/>
          <w:sz w:val="21"/>
          <w:szCs w:val="21"/>
        </w:rPr>
        <w:t>declines in the</w:t>
      </w:r>
      <w:r w:rsidRPr="00510686">
        <w:rPr>
          <w:rFonts w:ascii="Franklin Gothic Book" w:hAnsi="Franklin Gothic Book"/>
          <w:sz w:val="21"/>
          <w:szCs w:val="21"/>
        </w:rPr>
        <w:t xml:space="preserve"> quality of education</w:t>
      </w:r>
      <w:r>
        <w:rPr>
          <w:rFonts w:ascii="Franklin Gothic Book" w:hAnsi="Franklin Gothic Book"/>
          <w:sz w:val="21"/>
          <w:szCs w:val="21"/>
        </w:rPr>
        <w:t>,</w:t>
      </w:r>
      <w:r w:rsidRPr="00510686">
        <w:rPr>
          <w:rFonts w:ascii="Franklin Gothic Book" w:hAnsi="Franklin Gothic Book"/>
          <w:sz w:val="21"/>
          <w:szCs w:val="21"/>
        </w:rPr>
        <w:t xml:space="preserve"> rising levels of non-communicable diseases such as diabetes and heart disease, a limited revenue base, and limited employment opportunities</w:t>
      </w:r>
      <w:r>
        <w:rPr>
          <w:rFonts w:ascii="Franklin Gothic Book" w:hAnsi="Franklin Gothic Book"/>
          <w:sz w:val="21"/>
          <w:szCs w:val="21"/>
        </w:rPr>
        <w:t xml:space="preserve"> for a young and growing population</w:t>
      </w:r>
      <w:r w:rsidRPr="00510686">
        <w:rPr>
          <w:rFonts w:ascii="Franklin Gothic Book" w:hAnsi="Franklin Gothic Book"/>
          <w:sz w:val="21"/>
          <w:szCs w:val="21"/>
        </w:rPr>
        <w:t xml:space="preserve">. </w:t>
      </w:r>
      <w:r w:rsidRPr="00E17B4D">
        <w:rPr>
          <w:rFonts w:ascii="Franklin Gothic Book" w:hAnsi="Franklin Gothic Book"/>
          <w:sz w:val="21"/>
          <w:szCs w:val="21"/>
        </w:rPr>
        <w:t xml:space="preserve">Absolute poverty is very low in </w:t>
      </w:r>
      <w:r w:rsidRPr="00E17B4D">
        <w:rPr>
          <w:rFonts w:ascii="Franklin Gothic Book" w:hAnsi="Franklin Gothic Book"/>
          <w:sz w:val="21"/>
          <w:szCs w:val="21"/>
        </w:rPr>
        <w:lastRenderedPageBreak/>
        <w:t>Tonga but around one</w:t>
      </w:r>
      <w:r w:rsidR="00E257E2">
        <w:rPr>
          <w:rFonts w:ascii="Franklin Gothic Book" w:hAnsi="Franklin Gothic Book"/>
          <w:sz w:val="21"/>
          <w:szCs w:val="21"/>
        </w:rPr>
        <w:t xml:space="preserve"> </w:t>
      </w:r>
      <w:r w:rsidRPr="00E17B4D">
        <w:rPr>
          <w:rFonts w:ascii="Franklin Gothic Book" w:hAnsi="Franklin Gothic Book"/>
          <w:sz w:val="21"/>
          <w:szCs w:val="21"/>
        </w:rPr>
        <w:t>quarter</w:t>
      </w:r>
      <w:r w:rsidRPr="00E17B4D">
        <w:rPr>
          <w:rStyle w:val="FootnoteReference"/>
          <w:rFonts w:ascii="Franklin Gothic Book" w:hAnsi="Franklin Gothic Book"/>
          <w:sz w:val="21"/>
          <w:szCs w:val="21"/>
          <w:vertAlign w:val="superscript"/>
        </w:rPr>
        <w:footnoteReference w:id="4"/>
      </w:r>
      <w:r w:rsidRPr="00E17B4D">
        <w:rPr>
          <w:rFonts w:ascii="Franklin Gothic Book" w:hAnsi="Franklin Gothic Book"/>
          <w:sz w:val="21"/>
          <w:szCs w:val="21"/>
        </w:rPr>
        <w:t xml:space="preserve"> of Tongan households experience a level of </w:t>
      </w:r>
      <w:r>
        <w:rPr>
          <w:rFonts w:ascii="Franklin Gothic Book" w:hAnsi="Franklin Gothic Book"/>
          <w:sz w:val="21"/>
          <w:szCs w:val="21"/>
        </w:rPr>
        <w:t xml:space="preserve">hardship </w:t>
      </w:r>
      <w:r w:rsidRPr="000F3506">
        <w:rPr>
          <w:rFonts w:ascii="Franklin Gothic Book" w:hAnsi="Franklin Gothic Book"/>
          <w:sz w:val="21"/>
          <w:szCs w:val="21"/>
        </w:rPr>
        <w:t>which makes it difficult to regularly meet the full range of basic needs.</w:t>
      </w:r>
      <w:r w:rsidRPr="00F7408B">
        <w:rPr>
          <w:rStyle w:val="FootnoteReference"/>
          <w:rFonts w:ascii="Franklin Gothic Book" w:hAnsi="Franklin Gothic Book"/>
          <w:sz w:val="21"/>
          <w:szCs w:val="21"/>
          <w:vertAlign w:val="superscript"/>
        </w:rPr>
        <w:footnoteReference w:id="5"/>
      </w:r>
      <w:r>
        <w:rPr>
          <w:rFonts w:ascii="Franklin Gothic Book" w:hAnsi="Franklin Gothic Book"/>
          <w:sz w:val="21"/>
          <w:szCs w:val="21"/>
          <w:vertAlign w:val="superscript"/>
        </w:rPr>
        <w:t xml:space="preserve"> </w:t>
      </w:r>
      <w:r w:rsidRPr="000F3506">
        <w:rPr>
          <w:rFonts w:ascii="Franklin Gothic Book" w:hAnsi="Franklin Gothic Book"/>
          <w:sz w:val="21"/>
          <w:szCs w:val="21"/>
        </w:rPr>
        <w:t>Hardship is most keenly felt among those living in outer islands, in families with no or limited access to remittances, in families with irregular employment, by recent migrants to urban centres, and by people with disability</w:t>
      </w:r>
      <w:r w:rsidRPr="00E17B4D">
        <w:rPr>
          <w:rFonts w:ascii="Franklin Gothic Book" w:hAnsi="Franklin Gothic Book"/>
          <w:sz w:val="21"/>
          <w:szCs w:val="21"/>
        </w:rPr>
        <w:t xml:space="preserve">. </w:t>
      </w:r>
    </w:p>
    <w:p w:rsidR="00AC4795" w:rsidRDefault="00AC4795" w:rsidP="00AC4795">
      <w:pPr>
        <w:pStyle w:val="BodyText"/>
        <w:rPr>
          <w:rFonts w:cs="Arial"/>
          <w:sz w:val="16"/>
          <w:szCs w:val="16"/>
        </w:rPr>
      </w:pPr>
      <w:r w:rsidRPr="0011089F">
        <w:t xml:space="preserve">Despite its economic difficulties Tonga </w:t>
      </w:r>
      <w:r>
        <w:t xml:space="preserve">has made strong </w:t>
      </w:r>
      <w:r w:rsidRPr="0011089F">
        <w:t xml:space="preserve">progress against the Millennium Development Goals (MDGs). Tonga’s progress </w:t>
      </w:r>
      <w:r>
        <w:t xml:space="preserve">is </w:t>
      </w:r>
      <w:r w:rsidRPr="0011089F">
        <w:t xml:space="preserve">on track </w:t>
      </w:r>
      <w:r>
        <w:t>for</w:t>
      </w:r>
      <w:r w:rsidRPr="0011089F">
        <w:t>: universal primary education (MDG2), reducing childhood mortality (MDG4), improving maternal health (MDG5)</w:t>
      </w:r>
      <w:r>
        <w:t>,</w:t>
      </w:r>
      <w:r w:rsidRPr="0011089F">
        <w:t xml:space="preserve"> combatting HIV/AIDs and other diseases (MDG6) and ensuring environmental stability (MDG7)</w:t>
      </w:r>
      <w:r w:rsidRPr="0011089F">
        <w:rPr>
          <w:rStyle w:val="FootnoteReference"/>
          <w:szCs w:val="16"/>
        </w:rPr>
        <w:footnoteReference w:id="6"/>
      </w:r>
      <w:r w:rsidRPr="0011089F">
        <w:rPr>
          <w:sz w:val="16"/>
          <w:szCs w:val="16"/>
        </w:rPr>
        <w:t>.</w:t>
      </w:r>
      <w:r>
        <w:rPr>
          <w:b/>
        </w:rPr>
        <w:t xml:space="preserve"> </w:t>
      </w:r>
      <w:r>
        <w:t xml:space="preserve">Tonga still </w:t>
      </w:r>
      <w:r w:rsidRPr="00597777">
        <w:t>faces serious health challenges</w:t>
      </w:r>
      <w:r>
        <w:t xml:space="preserve"> with n</w:t>
      </w:r>
      <w:r w:rsidRPr="00597777">
        <w:t>on-c</w:t>
      </w:r>
      <w:r>
        <w:t xml:space="preserve">ommunicable diseases </w:t>
      </w:r>
      <w:r w:rsidRPr="00597777">
        <w:t>responsible for four of the five most common causes of mortality (diabetes, heart disease, stroke and lung disease)</w:t>
      </w:r>
      <w:r w:rsidR="0042387E">
        <w:t>.  More critically, n</w:t>
      </w:r>
      <w:r w:rsidR="0042387E" w:rsidRPr="00597777">
        <w:t>on-c</w:t>
      </w:r>
      <w:r w:rsidR="0042387E">
        <w:t>ommunicable diseases are decreasing Tongan life expectancy</w:t>
      </w:r>
      <w:r w:rsidRPr="00597777">
        <w:t xml:space="preserve">. </w:t>
      </w:r>
      <w:r>
        <w:t>T</w:t>
      </w:r>
      <w:r w:rsidRPr="0011089F">
        <w:t xml:space="preserve">here are no MDG targets classified as being off-track but those relating to poverty </w:t>
      </w:r>
      <w:r>
        <w:t xml:space="preserve">(particularly in the outer islands) and high youth unemployment </w:t>
      </w:r>
      <w:r w:rsidRPr="0011089F">
        <w:t>(MDG1), and gender equality</w:t>
      </w:r>
      <w:r>
        <w:t xml:space="preserve"> and empowering women</w:t>
      </w:r>
      <w:r w:rsidRPr="0011089F">
        <w:t xml:space="preserve"> (</w:t>
      </w:r>
      <w:r w:rsidRPr="00B7529A">
        <w:t xml:space="preserve">MDG3) have mixed results. </w:t>
      </w:r>
      <w:r w:rsidRPr="00B7529A">
        <w:rPr>
          <w:rFonts w:cs="Tahoma"/>
          <w:lang w:val="en-GB"/>
        </w:rPr>
        <w:t xml:space="preserve"> The Pacific 2013 MDG Tracking Report found most countries in the region recorded slow progress on empowering women. Tonga has made efforts to progress MDG3 by </w:t>
      </w:r>
      <w:r w:rsidRPr="00B7529A">
        <w:rPr>
          <w:rFonts w:cs="Arial"/>
        </w:rPr>
        <w:t xml:space="preserve">launching its revised Gender and Development Policy in May 2014 and also </w:t>
      </w:r>
      <w:r w:rsidRPr="00B7529A">
        <w:rPr>
          <w:rFonts w:cs="Tahoma"/>
          <w:lang w:val="en-GB"/>
        </w:rPr>
        <w:t xml:space="preserve">passed the </w:t>
      </w:r>
      <w:r w:rsidRPr="00B7529A">
        <w:rPr>
          <w:rFonts w:cs="Tahoma"/>
          <w:i/>
          <w:lang w:val="en-GB"/>
        </w:rPr>
        <w:t>Family Protection Act in 2013</w:t>
      </w:r>
      <w:r w:rsidRPr="00B7529A">
        <w:rPr>
          <w:rFonts w:cs="Tahoma"/>
          <w:lang w:val="en-GB"/>
        </w:rPr>
        <w:t>.</w:t>
      </w:r>
      <w:r w:rsidRPr="00E17B4D">
        <w:rPr>
          <w:rStyle w:val="FootnoteReference"/>
          <w:szCs w:val="16"/>
          <w:lang w:val="en-GB"/>
        </w:rPr>
        <w:footnoteReference w:id="7"/>
      </w:r>
      <w:r w:rsidRPr="00E17B4D">
        <w:rPr>
          <w:rFonts w:cs="Arial"/>
          <w:sz w:val="16"/>
          <w:szCs w:val="16"/>
        </w:rPr>
        <w:t xml:space="preserve"> </w:t>
      </w:r>
    </w:p>
    <w:p w:rsidR="00AC4795" w:rsidRDefault="00AC4795" w:rsidP="00AC4795">
      <w:pPr>
        <w:pStyle w:val="BodyText"/>
        <w:rPr>
          <w:rFonts w:eastAsia="SimSun"/>
          <w:i/>
          <w:szCs w:val="21"/>
        </w:rPr>
      </w:pPr>
      <w:r>
        <w:rPr>
          <w:rFonts w:eastAsia="SimSun"/>
          <w:i/>
          <w:szCs w:val="21"/>
        </w:rPr>
        <w:t>D</w:t>
      </w:r>
      <w:r w:rsidRPr="00DF18A1">
        <w:rPr>
          <w:rFonts w:eastAsia="SimSun"/>
          <w:i/>
          <w:szCs w:val="21"/>
        </w:rPr>
        <w:t>onors</w:t>
      </w:r>
    </w:p>
    <w:p w:rsidR="00AC4795" w:rsidRDefault="00AC4795" w:rsidP="00AC4795">
      <w:pPr>
        <w:spacing w:after="120" w:line="280" w:lineRule="exact"/>
        <w:rPr>
          <w:rFonts w:ascii="Franklin Gothic Book" w:hAnsi="Franklin Gothic Book"/>
          <w:sz w:val="21"/>
          <w:szCs w:val="21"/>
        </w:rPr>
      </w:pPr>
      <w:r w:rsidRPr="00226A21">
        <w:rPr>
          <w:rFonts w:ascii="Franklin Gothic Book" w:hAnsi="Franklin Gothic Book"/>
          <w:sz w:val="21"/>
          <w:szCs w:val="21"/>
        </w:rPr>
        <w:t>Foreign development assistance (as loans, grants and direct aid) is an important component of the Tongan economy. Australia is Tonga’s largest development partner</w:t>
      </w:r>
      <w:r>
        <w:rPr>
          <w:rFonts w:ascii="Franklin Gothic Book" w:hAnsi="Franklin Gothic Book"/>
          <w:sz w:val="21"/>
          <w:szCs w:val="21"/>
        </w:rPr>
        <w:t xml:space="preserve">. </w:t>
      </w:r>
      <w:r w:rsidRPr="00226A21">
        <w:rPr>
          <w:rFonts w:ascii="Franklin Gothic Book" w:hAnsi="Franklin Gothic Book"/>
          <w:sz w:val="21"/>
          <w:szCs w:val="21"/>
        </w:rPr>
        <w:t xml:space="preserve">In 2012, Australian official development assistance (ODA) was 36.8 per cent of all aid from OECD DAC member countries received by Tonga. The next biggest donors were New Zealand (23.9 per cent) and </w:t>
      </w:r>
      <w:r w:rsidRPr="00467EA5">
        <w:rPr>
          <w:rFonts w:ascii="Franklin Gothic Book" w:hAnsi="Franklin Gothic Book"/>
          <w:sz w:val="21"/>
          <w:szCs w:val="21"/>
        </w:rPr>
        <w:t>Japan (16.5 per cent)</w:t>
      </w:r>
      <w:r w:rsidRPr="00467EA5">
        <w:rPr>
          <w:rStyle w:val="FootnoteReference"/>
          <w:rFonts w:ascii="Franklin Gothic Book" w:eastAsia="Times New Roman" w:hAnsi="Franklin Gothic Book"/>
          <w:szCs w:val="16"/>
          <w:lang w:val="en-GB"/>
        </w:rPr>
        <w:footnoteReference w:id="8"/>
      </w:r>
      <w:r w:rsidRPr="00467EA5">
        <w:rPr>
          <w:rStyle w:val="FootnoteReference"/>
          <w:rFonts w:ascii="Franklin Gothic Book" w:eastAsia="Times New Roman" w:hAnsi="Franklin Gothic Book"/>
          <w:szCs w:val="16"/>
          <w:lang w:val="en-GB"/>
        </w:rPr>
        <w:t>.</w:t>
      </w:r>
      <w:r w:rsidRPr="00467EA5">
        <w:rPr>
          <w:rFonts w:ascii="Franklin Gothic Book" w:hAnsi="Franklin Gothic Book"/>
          <w:sz w:val="21"/>
          <w:szCs w:val="21"/>
        </w:rPr>
        <w:t xml:space="preserve"> In 2013-14, Australia’s total development assistance to Tonga was $29.3</w:t>
      </w:r>
      <w:r>
        <w:rPr>
          <w:rFonts w:ascii="Franklin Gothic Book" w:hAnsi="Franklin Gothic Book"/>
          <w:sz w:val="21"/>
          <w:szCs w:val="21"/>
        </w:rPr>
        <w:t xml:space="preserve"> </w:t>
      </w:r>
      <w:r w:rsidRPr="00467EA5">
        <w:rPr>
          <w:rFonts w:ascii="Franklin Gothic Book" w:hAnsi="Franklin Gothic Book"/>
          <w:sz w:val="21"/>
          <w:szCs w:val="21"/>
        </w:rPr>
        <w:t xml:space="preserve">million which consists of approximately $17 million in bilateral funding, $8.2 million in regional funding and approximately $3.4 million in ODA from other Australian government departments.   </w:t>
      </w:r>
    </w:p>
    <w:p w:rsidR="000500AA" w:rsidRDefault="00AC4795" w:rsidP="000500AA">
      <w:pPr>
        <w:rPr>
          <w:color w:val="1F497D"/>
        </w:rPr>
      </w:pPr>
      <w:r w:rsidRPr="002009F6">
        <w:rPr>
          <w:rFonts w:ascii="Franklin Gothic Book" w:eastAsia="Times New Roman" w:hAnsi="Franklin Gothic Book"/>
          <w:sz w:val="21"/>
        </w:rPr>
        <w:t xml:space="preserve">Australia </w:t>
      </w:r>
      <w:r>
        <w:rPr>
          <w:rFonts w:ascii="Franklin Gothic Book" w:eastAsia="Times New Roman" w:hAnsi="Franklin Gothic Book"/>
          <w:sz w:val="21"/>
        </w:rPr>
        <w:t>works closely with New Zealand</w:t>
      </w:r>
      <w:r w:rsidR="00E257E2">
        <w:rPr>
          <w:rFonts w:ascii="Franklin Gothic Book" w:eastAsia="Times New Roman" w:hAnsi="Franklin Gothic Book"/>
          <w:sz w:val="21"/>
        </w:rPr>
        <w:t>,</w:t>
      </w:r>
      <w:r w:rsidRPr="002009F6">
        <w:rPr>
          <w:rFonts w:ascii="Franklin Gothic Book" w:eastAsia="Times New Roman" w:hAnsi="Franklin Gothic Book"/>
          <w:sz w:val="21"/>
        </w:rPr>
        <w:t xml:space="preserve"> </w:t>
      </w:r>
      <w:r>
        <w:rPr>
          <w:rFonts w:ascii="Franklin Gothic Book" w:eastAsia="Times New Roman" w:hAnsi="Franklin Gothic Book"/>
          <w:sz w:val="21"/>
        </w:rPr>
        <w:t xml:space="preserve">the World Bank and the Asian Development Bank. </w:t>
      </w:r>
      <w:r w:rsidRPr="00226A21">
        <w:rPr>
          <w:rFonts w:ascii="Franklin Gothic Book" w:hAnsi="Franklin Gothic Book"/>
          <w:sz w:val="21"/>
          <w:szCs w:val="21"/>
        </w:rPr>
        <w:t>China is also a major donor with Government of Tonga budget figures estimating that China provided Tonga with $8.74 million in 2013-14</w:t>
      </w:r>
      <w:r w:rsidR="003D1722">
        <w:rPr>
          <w:rFonts w:ascii="Franklin Gothic Book" w:hAnsi="Franklin Gothic Book"/>
          <w:sz w:val="21"/>
          <w:szCs w:val="21"/>
        </w:rPr>
        <w:t>.</w:t>
      </w:r>
      <w:r w:rsidRPr="00226A21">
        <w:rPr>
          <w:rStyle w:val="FootnoteReference"/>
          <w:rFonts w:eastAsia="Times New Roman"/>
          <w:szCs w:val="16"/>
          <w:lang w:val="en-GB"/>
        </w:rPr>
        <w:footnoteReference w:id="9"/>
      </w:r>
      <w:r w:rsidRPr="00226A21">
        <w:rPr>
          <w:rFonts w:ascii="Franklin Gothic Book" w:hAnsi="Franklin Gothic Book"/>
          <w:sz w:val="21"/>
          <w:szCs w:val="21"/>
        </w:rPr>
        <w:t xml:space="preserve">  </w:t>
      </w:r>
      <w:r w:rsidR="000500AA" w:rsidRPr="000500AA">
        <w:rPr>
          <w:rFonts w:ascii="Franklin Gothic Book" w:eastAsia="Times New Roman" w:hAnsi="Franklin Gothic Book"/>
          <w:sz w:val="21"/>
        </w:rPr>
        <w:t>China has a substantial presence in Tonga. Australia will continue to pursue opportunities for enhanced cooperation with China within the wider donor community</w:t>
      </w:r>
      <w:r w:rsidR="000500AA">
        <w:rPr>
          <w:color w:val="1F497D"/>
        </w:rPr>
        <w:t>.</w:t>
      </w:r>
    </w:p>
    <w:p w:rsidR="001535A0" w:rsidRDefault="001535A0" w:rsidP="004820CE">
      <w:pPr>
        <w:pStyle w:val="Heading2"/>
        <w:rPr>
          <w:sz w:val="28"/>
        </w:rPr>
      </w:pPr>
      <w:r w:rsidRPr="009E38C1">
        <w:rPr>
          <w:sz w:val="28"/>
        </w:rPr>
        <w:t>Expenditure</w:t>
      </w:r>
    </w:p>
    <w:p w:rsidR="00987586" w:rsidRDefault="00F22096" w:rsidP="00987586">
      <w:pPr>
        <w:pStyle w:val="BodyText"/>
      </w:pPr>
      <w:r>
        <w:t xml:space="preserve">Australian foreign development assistance </w:t>
      </w:r>
      <w:r w:rsidR="00592128">
        <w:t xml:space="preserve">expenditure for Tonga </w:t>
      </w:r>
      <w:r w:rsidR="00987586">
        <w:t xml:space="preserve">for the period July 2013-June 2014 </w:t>
      </w:r>
      <w:r>
        <w:t xml:space="preserve">(AUD20.32 million) </w:t>
      </w:r>
      <w:r w:rsidR="00987586">
        <w:t xml:space="preserve">is summarised below.  Other Government Department expenditure is not currently allocated against aid program objectives </w:t>
      </w:r>
      <w:r>
        <w:t xml:space="preserve">and subsequently not covered in the body of this report </w:t>
      </w:r>
      <w:r w:rsidR="00987586">
        <w:t xml:space="preserve">– this </w:t>
      </w:r>
      <w:r>
        <w:t xml:space="preserve">gap </w:t>
      </w:r>
      <w:r w:rsidR="00987586">
        <w:t>will be addressed as part of the development of the Aid Investment P</w:t>
      </w:r>
      <w:r w:rsidR="00174AC1">
        <w:t xml:space="preserve">lan </w:t>
      </w:r>
      <w:r w:rsidR="00987586">
        <w:t xml:space="preserve">in 2014-2015.  </w:t>
      </w:r>
      <w:r>
        <w:t>More d</w:t>
      </w:r>
      <w:r w:rsidR="00987586">
        <w:t xml:space="preserve">etail on Other Government Department </w:t>
      </w:r>
      <w:r w:rsidR="0057135A">
        <w:t xml:space="preserve">expenditure for 2013-14 can be found </w:t>
      </w:r>
      <w:r w:rsidR="0057135A" w:rsidRPr="006C39B3">
        <w:t xml:space="preserve">at </w:t>
      </w:r>
      <w:r w:rsidR="006C39B3" w:rsidRPr="006C39B3">
        <w:rPr>
          <w:b/>
        </w:rPr>
        <w:t>Annex E</w:t>
      </w:r>
      <w:r w:rsidR="0057135A" w:rsidRPr="006C39B3">
        <w:t>.</w:t>
      </w:r>
    </w:p>
    <w:p w:rsidR="00AF0036" w:rsidRDefault="00AF0036" w:rsidP="00987586">
      <w:pPr>
        <w:pStyle w:val="BodyText"/>
        <w:rPr>
          <w:b/>
        </w:rPr>
      </w:pPr>
    </w:p>
    <w:p w:rsidR="004820CE" w:rsidRDefault="004820CE" w:rsidP="00987586">
      <w:pPr>
        <w:pStyle w:val="BodyText"/>
        <w:rPr>
          <w:b/>
        </w:rPr>
      </w:pPr>
    </w:p>
    <w:p w:rsidR="00AF0036" w:rsidRDefault="00AF0036" w:rsidP="00987586">
      <w:pPr>
        <w:pStyle w:val="BodyText"/>
        <w:rPr>
          <w:b/>
        </w:rPr>
      </w:pPr>
    </w:p>
    <w:p w:rsidR="00C051F1" w:rsidRPr="00D961A6" w:rsidRDefault="00D961A6" w:rsidP="00987586">
      <w:pPr>
        <w:pStyle w:val="BodyText"/>
        <w:rPr>
          <w:b/>
        </w:rPr>
      </w:pPr>
      <w:r w:rsidRPr="00D961A6">
        <w:rPr>
          <w:b/>
        </w:rPr>
        <w:lastRenderedPageBreak/>
        <w:t xml:space="preserve">Table </w:t>
      </w:r>
      <w:r w:rsidRPr="00D961A6">
        <w:rPr>
          <w:b/>
        </w:rPr>
        <w:fldChar w:fldCharType="begin"/>
      </w:r>
      <w:r w:rsidRPr="00D961A6">
        <w:rPr>
          <w:b/>
        </w:rPr>
        <w:instrText xml:space="preserve"> SEQ Table \* ARABIC </w:instrText>
      </w:r>
      <w:r w:rsidRPr="00D961A6">
        <w:rPr>
          <w:b/>
        </w:rPr>
        <w:fldChar w:fldCharType="separate"/>
      </w:r>
      <w:r w:rsidR="0059686E">
        <w:rPr>
          <w:b/>
          <w:noProof/>
        </w:rPr>
        <w:t>1</w:t>
      </w:r>
      <w:r w:rsidRPr="00D961A6">
        <w:rPr>
          <w:b/>
          <w:noProof/>
        </w:rPr>
        <w:fldChar w:fldCharType="end"/>
      </w:r>
      <w:r w:rsidRPr="00D961A6">
        <w:rPr>
          <w:b/>
          <w:noProof/>
        </w:rPr>
        <w:t>(a):</w:t>
      </w:r>
      <w:r w:rsidRPr="00D961A6">
        <w:rPr>
          <w:b/>
        </w:rPr>
        <w:t xml:space="preserve"> Expenditure by Department of Foreign Affairs and Trade </w:t>
      </w:r>
      <w:r>
        <w:rPr>
          <w:b/>
        </w:rPr>
        <w:t xml:space="preserve">(DFAT) </w:t>
      </w:r>
      <w:r w:rsidRPr="00D961A6">
        <w:rPr>
          <w:b/>
        </w:rPr>
        <w:t>in FY 2013-14</w:t>
      </w:r>
    </w:p>
    <w:tbl>
      <w:tblPr>
        <w:tblStyle w:val="TableGrid"/>
        <w:tblW w:w="0" w:type="auto"/>
        <w:tblLook w:val="04A0" w:firstRow="1" w:lastRow="0" w:firstColumn="1" w:lastColumn="0" w:noHBand="0" w:noVBand="1"/>
      </w:tblPr>
      <w:tblGrid>
        <w:gridCol w:w="6629"/>
        <w:gridCol w:w="1417"/>
        <w:gridCol w:w="1411"/>
      </w:tblGrid>
      <w:tr w:rsidR="00C051F1" w:rsidRPr="00BD595C" w:rsidTr="00B61C7B">
        <w:trPr>
          <w:trHeight w:val="539"/>
        </w:trPr>
        <w:tc>
          <w:tcPr>
            <w:tcW w:w="6629" w:type="dxa"/>
            <w:tcBorders>
              <w:bottom w:val="single" w:sz="4" w:space="0" w:color="auto"/>
            </w:tcBorders>
          </w:tcPr>
          <w:p w:rsidR="00C051F1" w:rsidRPr="00BD595C" w:rsidRDefault="00C051F1" w:rsidP="00C051F1">
            <w:pPr>
              <w:pStyle w:val="BodyText"/>
              <w:rPr>
                <w:b/>
                <w:sz w:val="16"/>
                <w:szCs w:val="16"/>
              </w:rPr>
            </w:pPr>
            <w:r w:rsidRPr="00BD595C">
              <w:rPr>
                <w:b/>
                <w:sz w:val="16"/>
                <w:szCs w:val="16"/>
              </w:rPr>
              <w:t>Partnership objective</w:t>
            </w:r>
          </w:p>
        </w:tc>
        <w:tc>
          <w:tcPr>
            <w:tcW w:w="1417" w:type="dxa"/>
            <w:tcBorders>
              <w:bottom w:val="single" w:sz="4" w:space="0" w:color="auto"/>
            </w:tcBorders>
          </w:tcPr>
          <w:p w:rsidR="00C051F1" w:rsidRPr="00BD595C" w:rsidRDefault="00D961A6" w:rsidP="00D961A6">
            <w:pPr>
              <w:pStyle w:val="BodyText"/>
              <w:rPr>
                <w:b/>
                <w:sz w:val="16"/>
                <w:szCs w:val="16"/>
              </w:rPr>
            </w:pPr>
            <w:r w:rsidRPr="00BD595C">
              <w:rPr>
                <w:b/>
                <w:sz w:val="16"/>
                <w:szCs w:val="16"/>
              </w:rPr>
              <w:t xml:space="preserve">Expenditure (AUD </w:t>
            </w:r>
            <w:r w:rsidR="00C051F1" w:rsidRPr="00BD595C">
              <w:rPr>
                <w:b/>
                <w:sz w:val="16"/>
                <w:szCs w:val="16"/>
              </w:rPr>
              <w:t>million</w:t>
            </w:r>
            <w:r w:rsidRPr="00BD595C">
              <w:rPr>
                <w:b/>
                <w:sz w:val="16"/>
                <w:szCs w:val="16"/>
              </w:rPr>
              <w:t>)</w:t>
            </w:r>
          </w:p>
        </w:tc>
        <w:tc>
          <w:tcPr>
            <w:tcW w:w="1411" w:type="dxa"/>
            <w:tcBorders>
              <w:bottom w:val="single" w:sz="4" w:space="0" w:color="auto"/>
            </w:tcBorders>
          </w:tcPr>
          <w:p w:rsidR="00C051F1" w:rsidRPr="00BD595C" w:rsidRDefault="00C051F1" w:rsidP="00D961A6">
            <w:pPr>
              <w:pStyle w:val="BodyText"/>
              <w:rPr>
                <w:b/>
                <w:sz w:val="16"/>
                <w:szCs w:val="16"/>
              </w:rPr>
            </w:pPr>
            <w:r w:rsidRPr="00BD595C">
              <w:rPr>
                <w:b/>
                <w:sz w:val="16"/>
                <w:szCs w:val="16"/>
              </w:rPr>
              <w:t xml:space="preserve">% of </w:t>
            </w:r>
            <w:r w:rsidR="00D961A6" w:rsidRPr="00BD595C">
              <w:rPr>
                <w:b/>
                <w:sz w:val="16"/>
                <w:szCs w:val="16"/>
              </w:rPr>
              <w:t>DFAT expenditure</w:t>
            </w:r>
          </w:p>
        </w:tc>
      </w:tr>
      <w:tr w:rsidR="00C051F1" w:rsidRPr="00BD595C" w:rsidTr="003C6324">
        <w:tc>
          <w:tcPr>
            <w:tcW w:w="6629" w:type="dxa"/>
            <w:tcBorders>
              <w:bottom w:val="nil"/>
            </w:tcBorders>
          </w:tcPr>
          <w:p w:rsidR="00C051F1" w:rsidRPr="00BD595C" w:rsidRDefault="00C051F1" w:rsidP="00987586">
            <w:pPr>
              <w:pStyle w:val="BodyText"/>
              <w:rPr>
                <w:sz w:val="16"/>
                <w:szCs w:val="16"/>
              </w:rPr>
            </w:pPr>
            <w:r w:rsidRPr="00BD595C">
              <w:rPr>
                <w:sz w:val="16"/>
                <w:szCs w:val="16"/>
              </w:rPr>
              <w:t>More efficient and effective public sector</w:t>
            </w:r>
          </w:p>
        </w:tc>
        <w:tc>
          <w:tcPr>
            <w:tcW w:w="1417" w:type="dxa"/>
            <w:tcBorders>
              <w:bottom w:val="nil"/>
            </w:tcBorders>
          </w:tcPr>
          <w:p w:rsidR="00C051F1" w:rsidRPr="00BD595C" w:rsidRDefault="00D961A6" w:rsidP="00987586">
            <w:pPr>
              <w:pStyle w:val="BodyText"/>
              <w:rPr>
                <w:sz w:val="16"/>
                <w:szCs w:val="16"/>
              </w:rPr>
            </w:pPr>
            <w:r w:rsidRPr="00BD595C">
              <w:rPr>
                <w:rFonts w:cs="Calibri"/>
                <w:color w:val="000000"/>
                <w:sz w:val="16"/>
                <w:szCs w:val="16"/>
              </w:rPr>
              <w:t>7</w:t>
            </w:r>
            <w:r w:rsidR="00C051F1" w:rsidRPr="00BD595C">
              <w:rPr>
                <w:rFonts w:cs="Calibri"/>
                <w:color w:val="000000"/>
                <w:sz w:val="16"/>
                <w:szCs w:val="16"/>
              </w:rPr>
              <w:t>.22</w:t>
            </w:r>
          </w:p>
        </w:tc>
        <w:tc>
          <w:tcPr>
            <w:tcW w:w="1411" w:type="dxa"/>
            <w:tcBorders>
              <w:bottom w:val="nil"/>
            </w:tcBorders>
          </w:tcPr>
          <w:p w:rsidR="00C051F1" w:rsidRPr="00BD595C" w:rsidRDefault="006C39B3" w:rsidP="006C39B3">
            <w:pPr>
              <w:pStyle w:val="BodyText"/>
              <w:rPr>
                <w:sz w:val="16"/>
                <w:szCs w:val="16"/>
              </w:rPr>
            </w:pPr>
            <w:r>
              <w:rPr>
                <w:sz w:val="16"/>
                <w:szCs w:val="16"/>
              </w:rPr>
              <w:t>43</w:t>
            </w:r>
          </w:p>
        </w:tc>
      </w:tr>
      <w:tr w:rsidR="00C051F1" w:rsidRPr="00BD595C" w:rsidTr="003C6324">
        <w:tc>
          <w:tcPr>
            <w:tcW w:w="6629" w:type="dxa"/>
            <w:tcBorders>
              <w:top w:val="nil"/>
            </w:tcBorders>
          </w:tcPr>
          <w:p w:rsidR="00C051F1" w:rsidRPr="00BD595C" w:rsidRDefault="00C051F1" w:rsidP="003C6324">
            <w:pPr>
              <w:pStyle w:val="BodyText"/>
              <w:jc w:val="right"/>
              <w:rPr>
                <w:i/>
                <w:sz w:val="16"/>
                <w:szCs w:val="16"/>
              </w:rPr>
            </w:pPr>
            <w:r w:rsidRPr="00BD595C">
              <w:rPr>
                <w:i/>
                <w:sz w:val="16"/>
                <w:szCs w:val="16"/>
              </w:rPr>
              <w:t xml:space="preserve">** </w:t>
            </w:r>
            <w:r w:rsidR="00BD595C">
              <w:rPr>
                <w:i/>
                <w:sz w:val="16"/>
                <w:szCs w:val="16"/>
              </w:rPr>
              <w:t xml:space="preserve">included </w:t>
            </w:r>
            <w:r w:rsidRPr="00BD595C">
              <w:rPr>
                <w:i/>
                <w:sz w:val="16"/>
                <w:szCs w:val="16"/>
              </w:rPr>
              <w:t>Performance linked aid</w:t>
            </w:r>
          </w:p>
        </w:tc>
        <w:tc>
          <w:tcPr>
            <w:tcW w:w="1417" w:type="dxa"/>
            <w:tcBorders>
              <w:top w:val="nil"/>
            </w:tcBorders>
          </w:tcPr>
          <w:p w:rsidR="00C051F1" w:rsidRPr="00BD595C" w:rsidRDefault="00D961A6" w:rsidP="003C6324">
            <w:pPr>
              <w:pStyle w:val="BodyText"/>
              <w:jc w:val="right"/>
              <w:rPr>
                <w:i/>
                <w:sz w:val="16"/>
                <w:szCs w:val="16"/>
              </w:rPr>
            </w:pPr>
            <w:r w:rsidRPr="00BD595C">
              <w:rPr>
                <w:i/>
                <w:sz w:val="16"/>
                <w:szCs w:val="16"/>
              </w:rPr>
              <w:t>5.00</w:t>
            </w:r>
          </w:p>
        </w:tc>
        <w:tc>
          <w:tcPr>
            <w:tcW w:w="1411" w:type="dxa"/>
            <w:tcBorders>
              <w:top w:val="nil"/>
            </w:tcBorders>
          </w:tcPr>
          <w:p w:rsidR="00C051F1" w:rsidRPr="00BD595C" w:rsidRDefault="00D961A6" w:rsidP="00987586">
            <w:pPr>
              <w:pStyle w:val="BodyText"/>
              <w:rPr>
                <w:i/>
                <w:sz w:val="16"/>
                <w:szCs w:val="16"/>
              </w:rPr>
            </w:pPr>
            <w:r w:rsidRPr="00BD595C">
              <w:rPr>
                <w:i/>
                <w:sz w:val="16"/>
                <w:szCs w:val="16"/>
              </w:rPr>
              <w:t>-</w:t>
            </w:r>
          </w:p>
        </w:tc>
      </w:tr>
      <w:tr w:rsidR="00B26B8F" w:rsidRPr="00BD595C" w:rsidTr="00592128">
        <w:tc>
          <w:tcPr>
            <w:tcW w:w="6629" w:type="dxa"/>
          </w:tcPr>
          <w:p w:rsidR="00B26B8F" w:rsidRPr="00BD595C" w:rsidRDefault="00B26B8F" w:rsidP="007A3C6F">
            <w:pPr>
              <w:pStyle w:val="BodyText"/>
              <w:rPr>
                <w:sz w:val="16"/>
                <w:szCs w:val="16"/>
              </w:rPr>
            </w:pPr>
            <w:r w:rsidRPr="00BD595C">
              <w:rPr>
                <w:sz w:val="16"/>
                <w:szCs w:val="16"/>
              </w:rPr>
              <w:t>Improved technical and vocational skills</w:t>
            </w:r>
          </w:p>
        </w:tc>
        <w:tc>
          <w:tcPr>
            <w:tcW w:w="1417" w:type="dxa"/>
          </w:tcPr>
          <w:p w:rsidR="00B26B8F" w:rsidRPr="00BD595C" w:rsidRDefault="00B26B8F" w:rsidP="007A3C6F">
            <w:pPr>
              <w:pStyle w:val="BodyText"/>
              <w:rPr>
                <w:sz w:val="16"/>
                <w:szCs w:val="16"/>
              </w:rPr>
            </w:pPr>
            <w:r>
              <w:rPr>
                <w:sz w:val="16"/>
                <w:szCs w:val="16"/>
              </w:rPr>
              <w:t>4.66</w:t>
            </w:r>
          </w:p>
        </w:tc>
        <w:tc>
          <w:tcPr>
            <w:tcW w:w="1411" w:type="dxa"/>
          </w:tcPr>
          <w:p w:rsidR="00B26B8F" w:rsidRPr="00BD595C" w:rsidRDefault="00B26B8F" w:rsidP="007A3C6F">
            <w:pPr>
              <w:pStyle w:val="BodyText"/>
              <w:rPr>
                <w:sz w:val="16"/>
                <w:szCs w:val="16"/>
              </w:rPr>
            </w:pPr>
            <w:r>
              <w:rPr>
                <w:sz w:val="16"/>
                <w:szCs w:val="16"/>
              </w:rPr>
              <w:t>27</w:t>
            </w:r>
          </w:p>
        </w:tc>
      </w:tr>
      <w:tr w:rsidR="00B26B8F" w:rsidRPr="00BD595C" w:rsidTr="003C6324">
        <w:tc>
          <w:tcPr>
            <w:tcW w:w="6629" w:type="dxa"/>
          </w:tcPr>
          <w:p w:rsidR="00B26B8F" w:rsidRPr="00BD595C" w:rsidRDefault="00B26B8F" w:rsidP="003C6324">
            <w:pPr>
              <w:pStyle w:val="BodyText"/>
              <w:jc w:val="right"/>
              <w:rPr>
                <w:i/>
                <w:sz w:val="16"/>
                <w:szCs w:val="16"/>
              </w:rPr>
            </w:pPr>
            <w:r w:rsidRPr="00BD595C">
              <w:rPr>
                <w:i/>
                <w:sz w:val="16"/>
                <w:szCs w:val="16"/>
              </w:rPr>
              <w:t xml:space="preserve">** </w:t>
            </w:r>
            <w:r>
              <w:rPr>
                <w:i/>
                <w:sz w:val="16"/>
                <w:szCs w:val="16"/>
              </w:rPr>
              <w:t>included</w:t>
            </w:r>
            <w:r w:rsidRPr="00BD595C">
              <w:rPr>
                <w:i/>
                <w:sz w:val="16"/>
                <w:szCs w:val="16"/>
              </w:rPr>
              <w:t xml:space="preserve"> Education Support program (TESP2)</w:t>
            </w:r>
          </w:p>
        </w:tc>
        <w:tc>
          <w:tcPr>
            <w:tcW w:w="1417" w:type="dxa"/>
          </w:tcPr>
          <w:p w:rsidR="00B26B8F" w:rsidRPr="00BD595C" w:rsidRDefault="00B26B8F" w:rsidP="003C6324">
            <w:pPr>
              <w:pStyle w:val="BodyText"/>
              <w:jc w:val="right"/>
              <w:rPr>
                <w:i/>
                <w:sz w:val="16"/>
                <w:szCs w:val="16"/>
              </w:rPr>
            </w:pPr>
            <w:r w:rsidRPr="00BD595C">
              <w:rPr>
                <w:i/>
                <w:sz w:val="16"/>
                <w:szCs w:val="16"/>
              </w:rPr>
              <w:t>2.01</w:t>
            </w:r>
          </w:p>
        </w:tc>
        <w:tc>
          <w:tcPr>
            <w:tcW w:w="1411" w:type="dxa"/>
          </w:tcPr>
          <w:p w:rsidR="00B26B8F" w:rsidRPr="00BD595C" w:rsidRDefault="00B26B8F" w:rsidP="007A3C6F">
            <w:pPr>
              <w:pStyle w:val="BodyText"/>
              <w:rPr>
                <w:sz w:val="16"/>
                <w:szCs w:val="16"/>
              </w:rPr>
            </w:pPr>
            <w:r>
              <w:rPr>
                <w:sz w:val="16"/>
                <w:szCs w:val="16"/>
              </w:rPr>
              <w:t>-</w:t>
            </w:r>
          </w:p>
        </w:tc>
      </w:tr>
      <w:tr w:rsidR="00B26B8F" w:rsidRPr="00BD595C" w:rsidTr="003C6324">
        <w:tc>
          <w:tcPr>
            <w:tcW w:w="6629" w:type="dxa"/>
          </w:tcPr>
          <w:p w:rsidR="00B26B8F" w:rsidRPr="00BD595C" w:rsidRDefault="00B26B8F" w:rsidP="003C6324">
            <w:pPr>
              <w:pStyle w:val="BodyText"/>
              <w:jc w:val="right"/>
              <w:rPr>
                <w:i/>
                <w:sz w:val="16"/>
                <w:szCs w:val="16"/>
              </w:rPr>
            </w:pPr>
            <w:r w:rsidRPr="00BD595C">
              <w:rPr>
                <w:i/>
                <w:sz w:val="16"/>
                <w:szCs w:val="16"/>
              </w:rPr>
              <w:t xml:space="preserve">** </w:t>
            </w:r>
            <w:r>
              <w:rPr>
                <w:i/>
                <w:sz w:val="16"/>
                <w:szCs w:val="16"/>
              </w:rPr>
              <w:t>included</w:t>
            </w:r>
            <w:r w:rsidRPr="00BD595C">
              <w:rPr>
                <w:i/>
                <w:sz w:val="16"/>
                <w:szCs w:val="16"/>
              </w:rPr>
              <w:t xml:space="preserve"> Australia Awards (Scholarships programs)</w:t>
            </w:r>
          </w:p>
        </w:tc>
        <w:tc>
          <w:tcPr>
            <w:tcW w:w="1417" w:type="dxa"/>
          </w:tcPr>
          <w:p w:rsidR="00B26B8F" w:rsidRPr="00BD595C" w:rsidRDefault="00B26B8F" w:rsidP="003C6324">
            <w:pPr>
              <w:pStyle w:val="BodyText"/>
              <w:jc w:val="right"/>
              <w:rPr>
                <w:i/>
                <w:sz w:val="16"/>
                <w:szCs w:val="16"/>
              </w:rPr>
            </w:pPr>
            <w:r w:rsidRPr="00BD595C">
              <w:rPr>
                <w:i/>
                <w:sz w:val="16"/>
                <w:szCs w:val="16"/>
              </w:rPr>
              <w:t>2.14</w:t>
            </w:r>
          </w:p>
        </w:tc>
        <w:tc>
          <w:tcPr>
            <w:tcW w:w="1411" w:type="dxa"/>
          </w:tcPr>
          <w:p w:rsidR="00B26B8F" w:rsidRPr="00BD595C" w:rsidRDefault="00B26B8F" w:rsidP="007A3C6F">
            <w:pPr>
              <w:pStyle w:val="BodyText"/>
              <w:rPr>
                <w:sz w:val="16"/>
                <w:szCs w:val="16"/>
              </w:rPr>
            </w:pPr>
            <w:r>
              <w:rPr>
                <w:sz w:val="16"/>
                <w:szCs w:val="16"/>
              </w:rPr>
              <w:t>-</w:t>
            </w:r>
          </w:p>
        </w:tc>
      </w:tr>
      <w:tr w:rsidR="00B26B8F" w:rsidRPr="00BD595C" w:rsidTr="00592128">
        <w:tc>
          <w:tcPr>
            <w:tcW w:w="6629" w:type="dxa"/>
          </w:tcPr>
          <w:p w:rsidR="00B26B8F" w:rsidRPr="00BD595C" w:rsidRDefault="00B26B8F" w:rsidP="00987586">
            <w:pPr>
              <w:pStyle w:val="BodyText"/>
              <w:rPr>
                <w:sz w:val="16"/>
                <w:szCs w:val="16"/>
              </w:rPr>
            </w:pPr>
            <w:r w:rsidRPr="00BD595C">
              <w:rPr>
                <w:sz w:val="16"/>
                <w:szCs w:val="16"/>
              </w:rPr>
              <w:t>Development of infrastructure to improve the everyday lives of the people</w:t>
            </w:r>
          </w:p>
        </w:tc>
        <w:tc>
          <w:tcPr>
            <w:tcW w:w="1417" w:type="dxa"/>
          </w:tcPr>
          <w:p w:rsidR="00B26B8F" w:rsidRPr="00BD595C" w:rsidRDefault="00B26B8F" w:rsidP="00987586">
            <w:pPr>
              <w:pStyle w:val="BodyText"/>
              <w:rPr>
                <w:sz w:val="16"/>
                <w:szCs w:val="16"/>
              </w:rPr>
            </w:pPr>
            <w:r w:rsidRPr="00BD595C">
              <w:rPr>
                <w:sz w:val="16"/>
                <w:szCs w:val="16"/>
              </w:rPr>
              <w:t>3.57</w:t>
            </w:r>
          </w:p>
        </w:tc>
        <w:tc>
          <w:tcPr>
            <w:tcW w:w="1411" w:type="dxa"/>
          </w:tcPr>
          <w:p w:rsidR="00B26B8F" w:rsidRPr="00BD595C" w:rsidRDefault="00B26B8F" w:rsidP="00987586">
            <w:pPr>
              <w:pStyle w:val="BodyText"/>
              <w:rPr>
                <w:sz w:val="16"/>
                <w:szCs w:val="16"/>
              </w:rPr>
            </w:pPr>
            <w:r>
              <w:rPr>
                <w:sz w:val="16"/>
                <w:szCs w:val="16"/>
              </w:rPr>
              <w:t>21</w:t>
            </w:r>
          </w:p>
        </w:tc>
      </w:tr>
      <w:tr w:rsidR="00B26B8F" w:rsidRPr="00BD595C" w:rsidTr="00592128">
        <w:tc>
          <w:tcPr>
            <w:tcW w:w="6629" w:type="dxa"/>
          </w:tcPr>
          <w:p w:rsidR="00B26B8F" w:rsidRPr="00BD595C" w:rsidRDefault="00B26B8F" w:rsidP="00205827">
            <w:pPr>
              <w:pStyle w:val="BodyText"/>
              <w:rPr>
                <w:sz w:val="16"/>
                <w:szCs w:val="16"/>
              </w:rPr>
            </w:pPr>
            <w:r w:rsidRPr="00BD595C">
              <w:rPr>
                <w:sz w:val="16"/>
                <w:szCs w:val="16"/>
              </w:rPr>
              <w:t>Improved health</w:t>
            </w:r>
          </w:p>
        </w:tc>
        <w:tc>
          <w:tcPr>
            <w:tcW w:w="1417" w:type="dxa"/>
          </w:tcPr>
          <w:p w:rsidR="00B26B8F" w:rsidRPr="00BD595C" w:rsidRDefault="00B26B8F" w:rsidP="007A3C6F">
            <w:pPr>
              <w:pStyle w:val="BodyText"/>
              <w:rPr>
                <w:sz w:val="16"/>
                <w:szCs w:val="16"/>
              </w:rPr>
            </w:pPr>
            <w:r w:rsidRPr="00BD595C">
              <w:rPr>
                <w:sz w:val="16"/>
                <w:szCs w:val="16"/>
              </w:rPr>
              <w:t>0.29</w:t>
            </w:r>
          </w:p>
        </w:tc>
        <w:tc>
          <w:tcPr>
            <w:tcW w:w="1411" w:type="dxa"/>
          </w:tcPr>
          <w:p w:rsidR="00B26B8F" w:rsidRPr="00BD595C" w:rsidRDefault="006C39B3" w:rsidP="007A3C6F">
            <w:pPr>
              <w:pStyle w:val="BodyText"/>
              <w:rPr>
                <w:sz w:val="16"/>
                <w:szCs w:val="16"/>
              </w:rPr>
            </w:pPr>
            <w:r>
              <w:rPr>
                <w:sz w:val="16"/>
                <w:szCs w:val="16"/>
              </w:rPr>
              <w:t>2</w:t>
            </w:r>
          </w:p>
        </w:tc>
      </w:tr>
      <w:tr w:rsidR="00B26B8F" w:rsidRPr="00BD595C" w:rsidTr="00592128">
        <w:tc>
          <w:tcPr>
            <w:tcW w:w="6629" w:type="dxa"/>
          </w:tcPr>
          <w:p w:rsidR="00B26B8F" w:rsidRPr="00BD595C" w:rsidRDefault="00B26B8F" w:rsidP="00987586">
            <w:pPr>
              <w:pStyle w:val="BodyText"/>
              <w:rPr>
                <w:sz w:val="16"/>
                <w:szCs w:val="16"/>
              </w:rPr>
            </w:pPr>
            <w:r w:rsidRPr="00BD595C">
              <w:rPr>
                <w:sz w:val="16"/>
                <w:szCs w:val="16"/>
              </w:rPr>
              <w:t>Humanitarian</w:t>
            </w:r>
            <w:r w:rsidRPr="00BD595C">
              <w:rPr>
                <w:sz w:val="16"/>
                <w:szCs w:val="16"/>
              </w:rPr>
              <w:footnoteReference w:id="10"/>
            </w:r>
          </w:p>
        </w:tc>
        <w:tc>
          <w:tcPr>
            <w:tcW w:w="1417" w:type="dxa"/>
          </w:tcPr>
          <w:p w:rsidR="00B26B8F" w:rsidRPr="00BD595C" w:rsidRDefault="00B26B8F" w:rsidP="00987586">
            <w:pPr>
              <w:pStyle w:val="BodyText"/>
              <w:rPr>
                <w:sz w:val="16"/>
                <w:szCs w:val="16"/>
              </w:rPr>
            </w:pPr>
            <w:r w:rsidRPr="00BD595C">
              <w:rPr>
                <w:sz w:val="16"/>
                <w:szCs w:val="16"/>
              </w:rPr>
              <w:t>0.84</w:t>
            </w:r>
          </w:p>
        </w:tc>
        <w:tc>
          <w:tcPr>
            <w:tcW w:w="1411" w:type="dxa"/>
          </w:tcPr>
          <w:p w:rsidR="00B26B8F" w:rsidRPr="00BD595C" w:rsidRDefault="00B26B8F" w:rsidP="00987586">
            <w:pPr>
              <w:pStyle w:val="BodyText"/>
              <w:rPr>
                <w:sz w:val="16"/>
                <w:szCs w:val="16"/>
              </w:rPr>
            </w:pPr>
            <w:r>
              <w:rPr>
                <w:sz w:val="16"/>
                <w:szCs w:val="16"/>
              </w:rPr>
              <w:t>5</w:t>
            </w:r>
          </w:p>
        </w:tc>
      </w:tr>
      <w:tr w:rsidR="00B26B8F" w:rsidRPr="00BD595C" w:rsidTr="00592128">
        <w:tc>
          <w:tcPr>
            <w:tcW w:w="6629" w:type="dxa"/>
          </w:tcPr>
          <w:p w:rsidR="00B26B8F" w:rsidRPr="00BD595C" w:rsidRDefault="00B26B8F" w:rsidP="00987586">
            <w:pPr>
              <w:pStyle w:val="BodyText"/>
              <w:rPr>
                <w:sz w:val="16"/>
                <w:szCs w:val="16"/>
              </w:rPr>
            </w:pPr>
            <w:r w:rsidRPr="00BD595C">
              <w:rPr>
                <w:sz w:val="16"/>
                <w:szCs w:val="16"/>
              </w:rPr>
              <w:t>Other bilateral</w:t>
            </w:r>
            <w:r w:rsidRPr="00BD595C">
              <w:rPr>
                <w:sz w:val="16"/>
                <w:szCs w:val="16"/>
              </w:rPr>
              <w:footnoteReference w:id="11"/>
            </w:r>
          </w:p>
        </w:tc>
        <w:tc>
          <w:tcPr>
            <w:tcW w:w="1417" w:type="dxa"/>
          </w:tcPr>
          <w:p w:rsidR="00B26B8F" w:rsidRPr="00BD595C" w:rsidRDefault="00B26B8F" w:rsidP="00987586">
            <w:pPr>
              <w:pStyle w:val="BodyText"/>
              <w:rPr>
                <w:sz w:val="16"/>
                <w:szCs w:val="16"/>
              </w:rPr>
            </w:pPr>
            <w:r w:rsidRPr="00BD595C">
              <w:rPr>
                <w:sz w:val="16"/>
                <w:szCs w:val="16"/>
              </w:rPr>
              <w:t>0.37</w:t>
            </w:r>
          </w:p>
        </w:tc>
        <w:tc>
          <w:tcPr>
            <w:tcW w:w="1411" w:type="dxa"/>
          </w:tcPr>
          <w:p w:rsidR="00B26B8F" w:rsidRPr="00BD595C" w:rsidRDefault="00B26B8F" w:rsidP="006C39B3">
            <w:pPr>
              <w:pStyle w:val="BodyText"/>
              <w:rPr>
                <w:sz w:val="16"/>
                <w:szCs w:val="16"/>
              </w:rPr>
            </w:pPr>
            <w:r>
              <w:rPr>
                <w:sz w:val="16"/>
                <w:szCs w:val="16"/>
              </w:rPr>
              <w:t>2</w:t>
            </w:r>
          </w:p>
        </w:tc>
      </w:tr>
      <w:tr w:rsidR="00B26B8F" w:rsidRPr="00BD595C" w:rsidTr="00592128">
        <w:tc>
          <w:tcPr>
            <w:tcW w:w="6629" w:type="dxa"/>
          </w:tcPr>
          <w:p w:rsidR="00B26B8F" w:rsidRPr="00BD595C" w:rsidRDefault="00B26B8F" w:rsidP="00987586">
            <w:pPr>
              <w:pStyle w:val="BodyText"/>
              <w:rPr>
                <w:b/>
                <w:sz w:val="16"/>
                <w:szCs w:val="16"/>
              </w:rPr>
            </w:pPr>
            <w:r w:rsidRPr="00BD595C">
              <w:rPr>
                <w:b/>
                <w:sz w:val="16"/>
                <w:szCs w:val="16"/>
              </w:rPr>
              <w:t>Sub-total</w:t>
            </w:r>
          </w:p>
        </w:tc>
        <w:tc>
          <w:tcPr>
            <w:tcW w:w="1417" w:type="dxa"/>
          </w:tcPr>
          <w:p w:rsidR="00B26B8F" w:rsidRPr="00BD595C" w:rsidRDefault="00B26B8F" w:rsidP="00987586">
            <w:pPr>
              <w:pStyle w:val="BodyText"/>
              <w:rPr>
                <w:b/>
                <w:sz w:val="16"/>
                <w:szCs w:val="16"/>
              </w:rPr>
            </w:pPr>
            <w:r w:rsidRPr="00BD595C">
              <w:rPr>
                <w:b/>
                <w:sz w:val="16"/>
                <w:szCs w:val="16"/>
              </w:rPr>
              <w:t>16.95</w:t>
            </w:r>
          </w:p>
        </w:tc>
        <w:tc>
          <w:tcPr>
            <w:tcW w:w="1411" w:type="dxa"/>
          </w:tcPr>
          <w:p w:rsidR="00B26B8F" w:rsidRPr="00BD595C" w:rsidRDefault="00B26B8F" w:rsidP="00987586">
            <w:pPr>
              <w:pStyle w:val="BodyText"/>
              <w:rPr>
                <w:b/>
                <w:sz w:val="16"/>
                <w:szCs w:val="16"/>
              </w:rPr>
            </w:pPr>
            <w:r w:rsidRPr="00BD595C">
              <w:rPr>
                <w:b/>
                <w:sz w:val="16"/>
                <w:szCs w:val="16"/>
              </w:rPr>
              <w:t>100</w:t>
            </w:r>
          </w:p>
        </w:tc>
      </w:tr>
    </w:tbl>
    <w:p w:rsidR="00D961A6" w:rsidRPr="00B26B8F" w:rsidRDefault="00B26B8F" w:rsidP="00F22096">
      <w:pPr>
        <w:spacing w:before="240" w:after="200" w:line="276" w:lineRule="auto"/>
        <w:rPr>
          <w:rFonts w:ascii="Franklin Gothic Book" w:eastAsia="Times New Roman" w:hAnsi="Franklin Gothic Book"/>
          <w:b/>
          <w:sz w:val="21"/>
        </w:rPr>
      </w:pPr>
      <w:bookmarkStart w:id="2" w:name="_Toc373853206"/>
      <w:r w:rsidRPr="00B26B8F">
        <w:rPr>
          <w:rFonts w:ascii="Franklin Gothic Book" w:eastAsia="Times New Roman" w:hAnsi="Franklin Gothic Book"/>
          <w:b/>
          <w:sz w:val="21"/>
        </w:rPr>
        <w:t>Table 1(b): Expenditure by Other Government Departments</w:t>
      </w:r>
      <w:r w:rsidR="00F22096">
        <w:rPr>
          <w:rFonts w:ascii="Franklin Gothic Book" w:eastAsia="Times New Roman" w:hAnsi="Franklin Gothic Book"/>
          <w:b/>
          <w:sz w:val="21"/>
        </w:rPr>
        <w:t xml:space="preserve"> (OGD) </w:t>
      </w:r>
      <w:r w:rsidRPr="00B26B8F">
        <w:rPr>
          <w:rFonts w:ascii="Franklin Gothic Book" w:eastAsia="Times New Roman" w:hAnsi="Franklin Gothic Book"/>
          <w:b/>
          <w:sz w:val="21"/>
        </w:rPr>
        <w:t>in FY 2013-14</w:t>
      </w:r>
    </w:p>
    <w:tbl>
      <w:tblPr>
        <w:tblStyle w:val="TableGrid"/>
        <w:tblW w:w="0" w:type="auto"/>
        <w:tblLook w:val="04A0" w:firstRow="1" w:lastRow="0" w:firstColumn="1" w:lastColumn="0" w:noHBand="0" w:noVBand="1"/>
      </w:tblPr>
      <w:tblGrid>
        <w:gridCol w:w="6629"/>
        <w:gridCol w:w="1417"/>
        <w:gridCol w:w="1411"/>
      </w:tblGrid>
      <w:tr w:rsidR="00D961A6" w:rsidRPr="00F22096" w:rsidTr="00B61C7B">
        <w:trPr>
          <w:trHeight w:val="552"/>
        </w:trPr>
        <w:tc>
          <w:tcPr>
            <w:tcW w:w="6629" w:type="dxa"/>
          </w:tcPr>
          <w:p w:rsidR="00D961A6" w:rsidRPr="00F22096" w:rsidRDefault="00D961A6" w:rsidP="00F22096">
            <w:pPr>
              <w:pStyle w:val="BodyText"/>
              <w:rPr>
                <w:b/>
                <w:sz w:val="16"/>
                <w:szCs w:val="16"/>
              </w:rPr>
            </w:pPr>
            <w:r w:rsidRPr="00F22096">
              <w:rPr>
                <w:b/>
                <w:sz w:val="16"/>
                <w:szCs w:val="16"/>
              </w:rPr>
              <w:t>Department</w:t>
            </w:r>
          </w:p>
        </w:tc>
        <w:tc>
          <w:tcPr>
            <w:tcW w:w="1417" w:type="dxa"/>
          </w:tcPr>
          <w:p w:rsidR="00D961A6" w:rsidRPr="00F22096" w:rsidRDefault="00B26B8F" w:rsidP="00BD595C">
            <w:pPr>
              <w:pStyle w:val="BodyText"/>
              <w:rPr>
                <w:b/>
                <w:sz w:val="16"/>
                <w:szCs w:val="16"/>
              </w:rPr>
            </w:pPr>
            <w:r w:rsidRPr="00F22096">
              <w:rPr>
                <w:b/>
                <w:sz w:val="16"/>
                <w:szCs w:val="16"/>
              </w:rPr>
              <w:t xml:space="preserve">Expenditure </w:t>
            </w:r>
            <w:r w:rsidRPr="00F22096">
              <w:rPr>
                <w:b/>
                <w:sz w:val="16"/>
                <w:szCs w:val="16"/>
              </w:rPr>
              <w:br/>
              <w:t>AUD</w:t>
            </w:r>
            <w:r w:rsidR="00D961A6" w:rsidRPr="00F22096">
              <w:rPr>
                <w:b/>
                <w:sz w:val="16"/>
                <w:szCs w:val="16"/>
              </w:rPr>
              <w:t xml:space="preserve"> million</w:t>
            </w:r>
          </w:p>
        </w:tc>
        <w:tc>
          <w:tcPr>
            <w:tcW w:w="1411" w:type="dxa"/>
          </w:tcPr>
          <w:p w:rsidR="00D961A6" w:rsidRPr="00F22096" w:rsidRDefault="00D961A6" w:rsidP="00D961A6">
            <w:pPr>
              <w:pStyle w:val="BodyText"/>
              <w:rPr>
                <w:b/>
                <w:sz w:val="16"/>
                <w:szCs w:val="16"/>
              </w:rPr>
            </w:pPr>
            <w:r w:rsidRPr="00F22096">
              <w:rPr>
                <w:b/>
                <w:sz w:val="16"/>
                <w:szCs w:val="16"/>
              </w:rPr>
              <w:t>% of OGD expenditure</w:t>
            </w:r>
          </w:p>
        </w:tc>
      </w:tr>
      <w:tr w:rsidR="00D961A6" w:rsidRPr="00F22096" w:rsidTr="00BD595C">
        <w:tc>
          <w:tcPr>
            <w:tcW w:w="6629" w:type="dxa"/>
          </w:tcPr>
          <w:p w:rsidR="00D961A6" w:rsidRPr="00F22096" w:rsidRDefault="00D961A6" w:rsidP="00BD595C">
            <w:pPr>
              <w:pStyle w:val="BodyText"/>
              <w:rPr>
                <w:sz w:val="16"/>
                <w:szCs w:val="16"/>
              </w:rPr>
            </w:pPr>
            <w:r w:rsidRPr="00F22096">
              <w:rPr>
                <w:rFonts w:cs="Calibri"/>
                <w:bCs/>
                <w:color w:val="000000"/>
                <w:sz w:val="16"/>
                <w:szCs w:val="16"/>
              </w:rPr>
              <w:t>Australian Federal Police</w:t>
            </w:r>
          </w:p>
        </w:tc>
        <w:tc>
          <w:tcPr>
            <w:tcW w:w="1417" w:type="dxa"/>
          </w:tcPr>
          <w:p w:rsidR="00D961A6" w:rsidRPr="00F22096" w:rsidRDefault="00B26B8F" w:rsidP="00BD595C">
            <w:pPr>
              <w:pStyle w:val="BodyText"/>
              <w:rPr>
                <w:sz w:val="16"/>
                <w:szCs w:val="16"/>
              </w:rPr>
            </w:pPr>
            <w:r w:rsidRPr="00F22096">
              <w:rPr>
                <w:sz w:val="16"/>
                <w:szCs w:val="16"/>
              </w:rPr>
              <w:t>2.60</w:t>
            </w:r>
          </w:p>
        </w:tc>
        <w:tc>
          <w:tcPr>
            <w:tcW w:w="1411" w:type="dxa"/>
          </w:tcPr>
          <w:p w:rsidR="00D961A6" w:rsidRPr="00F22096" w:rsidRDefault="00F22096" w:rsidP="00BD595C">
            <w:pPr>
              <w:pStyle w:val="BodyText"/>
              <w:rPr>
                <w:sz w:val="16"/>
                <w:szCs w:val="16"/>
              </w:rPr>
            </w:pPr>
            <w:r w:rsidRPr="00F22096">
              <w:rPr>
                <w:sz w:val="16"/>
                <w:szCs w:val="16"/>
              </w:rPr>
              <w:t>77</w:t>
            </w:r>
          </w:p>
        </w:tc>
      </w:tr>
      <w:tr w:rsidR="00D961A6" w:rsidRPr="00F22096" w:rsidTr="00BD595C">
        <w:tc>
          <w:tcPr>
            <w:tcW w:w="6629" w:type="dxa"/>
          </w:tcPr>
          <w:p w:rsidR="00D961A6" w:rsidRPr="00F22096" w:rsidRDefault="00D961A6" w:rsidP="00BD595C">
            <w:pPr>
              <w:pStyle w:val="BodyText"/>
              <w:rPr>
                <w:sz w:val="16"/>
                <w:szCs w:val="16"/>
              </w:rPr>
            </w:pPr>
            <w:r w:rsidRPr="00F22096">
              <w:rPr>
                <w:rFonts w:cs="Calibri"/>
                <w:bCs/>
                <w:color w:val="000000"/>
                <w:sz w:val="16"/>
                <w:szCs w:val="16"/>
              </w:rPr>
              <w:t>Australian Centre for International Agricultural Research (ACIAR)</w:t>
            </w:r>
          </w:p>
        </w:tc>
        <w:tc>
          <w:tcPr>
            <w:tcW w:w="1417" w:type="dxa"/>
          </w:tcPr>
          <w:p w:rsidR="00D961A6" w:rsidRPr="00F22096" w:rsidRDefault="00B26B8F" w:rsidP="00BD595C">
            <w:pPr>
              <w:pStyle w:val="BodyText"/>
              <w:rPr>
                <w:sz w:val="16"/>
                <w:szCs w:val="16"/>
              </w:rPr>
            </w:pPr>
            <w:r w:rsidRPr="00F22096">
              <w:rPr>
                <w:sz w:val="16"/>
                <w:szCs w:val="16"/>
              </w:rPr>
              <w:t>0.60</w:t>
            </w:r>
          </w:p>
        </w:tc>
        <w:tc>
          <w:tcPr>
            <w:tcW w:w="1411" w:type="dxa"/>
          </w:tcPr>
          <w:p w:rsidR="00D961A6" w:rsidRPr="00F22096" w:rsidRDefault="00F22096" w:rsidP="00F22096">
            <w:pPr>
              <w:pStyle w:val="BodyText"/>
              <w:rPr>
                <w:sz w:val="16"/>
                <w:szCs w:val="16"/>
              </w:rPr>
            </w:pPr>
            <w:r w:rsidRPr="00F22096">
              <w:rPr>
                <w:sz w:val="16"/>
                <w:szCs w:val="16"/>
              </w:rPr>
              <w:t>18</w:t>
            </w:r>
          </w:p>
        </w:tc>
      </w:tr>
      <w:tr w:rsidR="00D961A6" w:rsidRPr="00F22096" w:rsidTr="00BD595C">
        <w:tc>
          <w:tcPr>
            <w:tcW w:w="6629" w:type="dxa"/>
          </w:tcPr>
          <w:p w:rsidR="00D961A6" w:rsidRPr="00F22096" w:rsidRDefault="00D961A6" w:rsidP="00BD595C">
            <w:pPr>
              <w:pStyle w:val="BodyText"/>
              <w:rPr>
                <w:sz w:val="16"/>
                <w:szCs w:val="16"/>
              </w:rPr>
            </w:pPr>
            <w:r w:rsidRPr="00F22096">
              <w:rPr>
                <w:rFonts w:cs="Calibri"/>
                <w:bCs/>
                <w:color w:val="000000"/>
                <w:sz w:val="16"/>
                <w:szCs w:val="16"/>
              </w:rPr>
              <w:t>Reserve Bank of Australia</w:t>
            </w:r>
          </w:p>
        </w:tc>
        <w:tc>
          <w:tcPr>
            <w:tcW w:w="1417" w:type="dxa"/>
          </w:tcPr>
          <w:p w:rsidR="00D961A6" w:rsidRPr="00F22096" w:rsidRDefault="00B26B8F" w:rsidP="00BD595C">
            <w:pPr>
              <w:pStyle w:val="BodyText"/>
              <w:rPr>
                <w:sz w:val="16"/>
                <w:szCs w:val="16"/>
              </w:rPr>
            </w:pPr>
            <w:r w:rsidRPr="00F22096">
              <w:rPr>
                <w:sz w:val="16"/>
                <w:szCs w:val="16"/>
              </w:rPr>
              <w:t>0.17</w:t>
            </w:r>
          </w:p>
        </w:tc>
        <w:tc>
          <w:tcPr>
            <w:tcW w:w="1411" w:type="dxa"/>
          </w:tcPr>
          <w:p w:rsidR="00D961A6" w:rsidRPr="00F22096" w:rsidRDefault="00F22096" w:rsidP="00BD595C">
            <w:pPr>
              <w:pStyle w:val="BodyText"/>
              <w:rPr>
                <w:sz w:val="16"/>
                <w:szCs w:val="16"/>
              </w:rPr>
            </w:pPr>
            <w:r w:rsidRPr="00F22096">
              <w:rPr>
                <w:sz w:val="16"/>
                <w:szCs w:val="16"/>
              </w:rPr>
              <w:t>5</w:t>
            </w:r>
          </w:p>
        </w:tc>
      </w:tr>
      <w:tr w:rsidR="00D961A6" w:rsidRPr="00F22096" w:rsidTr="003C6324">
        <w:tc>
          <w:tcPr>
            <w:tcW w:w="6629" w:type="dxa"/>
            <w:tcBorders>
              <w:bottom w:val="single" w:sz="4" w:space="0" w:color="auto"/>
            </w:tcBorders>
          </w:tcPr>
          <w:p w:rsidR="00D961A6" w:rsidRPr="00F22096" w:rsidRDefault="00D961A6" w:rsidP="00BD595C">
            <w:pPr>
              <w:pStyle w:val="BodyText"/>
              <w:rPr>
                <w:b/>
                <w:sz w:val="16"/>
                <w:szCs w:val="16"/>
              </w:rPr>
            </w:pPr>
            <w:r w:rsidRPr="00F22096">
              <w:rPr>
                <w:b/>
                <w:sz w:val="16"/>
                <w:szCs w:val="16"/>
              </w:rPr>
              <w:t>Sub-total</w:t>
            </w:r>
          </w:p>
        </w:tc>
        <w:tc>
          <w:tcPr>
            <w:tcW w:w="1417" w:type="dxa"/>
            <w:tcBorders>
              <w:bottom w:val="single" w:sz="4" w:space="0" w:color="auto"/>
            </w:tcBorders>
          </w:tcPr>
          <w:p w:rsidR="00D961A6" w:rsidRPr="00F22096" w:rsidRDefault="00B26B8F" w:rsidP="00BD595C">
            <w:pPr>
              <w:pStyle w:val="BodyText"/>
              <w:rPr>
                <w:b/>
                <w:sz w:val="16"/>
                <w:szCs w:val="16"/>
              </w:rPr>
            </w:pPr>
            <w:r w:rsidRPr="00F22096">
              <w:rPr>
                <w:b/>
                <w:sz w:val="16"/>
                <w:szCs w:val="16"/>
              </w:rPr>
              <w:t>3.37</w:t>
            </w:r>
          </w:p>
        </w:tc>
        <w:tc>
          <w:tcPr>
            <w:tcW w:w="1411" w:type="dxa"/>
            <w:tcBorders>
              <w:bottom w:val="single" w:sz="4" w:space="0" w:color="auto"/>
            </w:tcBorders>
          </w:tcPr>
          <w:p w:rsidR="00D961A6" w:rsidRPr="00F22096" w:rsidRDefault="00F22096" w:rsidP="00BD595C">
            <w:pPr>
              <w:pStyle w:val="BodyText"/>
              <w:rPr>
                <w:b/>
                <w:sz w:val="16"/>
                <w:szCs w:val="16"/>
              </w:rPr>
            </w:pPr>
            <w:r w:rsidRPr="00F22096">
              <w:rPr>
                <w:b/>
                <w:sz w:val="16"/>
                <w:szCs w:val="16"/>
              </w:rPr>
              <w:t>100</w:t>
            </w:r>
          </w:p>
        </w:tc>
      </w:tr>
      <w:tr w:rsidR="003C6324" w:rsidRPr="00F22096" w:rsidTr="003C6324">
        <w:trPr>
          <w:trHeight w:val="268"/>
        </w:trPr>
        <w:tc>
          <w:tcPr>
            <w:tcW w:w="6629" w:type="dxa"/>
            <w:tcBorders>
              <w:left w:val="nil"/>
              <w:bottom w:val="single" w:sz="12" w:space="0" w:color="auto"/>
              <w:right w:val="nil"/>
            </w:tcBorders>
          </w:tcPr>
          <w:p w:rsidR="003C6324" w:rsidRPr="00F22096" w:rsidRDefault="003C6324" w:rsidP="003C6324">
            <w:pPr>
              <w:pStyle w:val="BodyText"/>
              <w:spacing w:after="0" w:line="240" w:lineRule="auto"/>
              <w:rPr>
                <w:b/>
                <w:sz w:val="16"/>
                <w:szCs w:val="16"/>
              </w:rPr>
            </w:pPr>
          </w:p>
        </w:tc>
        <w:tc>
          <w:tcPr>
            <w:tcW w:w="1417" w:type="dxa"/>
            <w:tcBorders>
              <w:left w:val="nil"/>
              <w:bottom w:val="single" w:sz="12" w:space="0" w:color="auto"/>
              <w:right w:val="nil"/>
            </w:tcBorders>
          </w:tcPr>
          <w:p w:rsidR="003C6324" w:rsidRPr="00F22096" w:rsidRDefault="003C6324" w:rsidP="003C6324">
            <w:pPr>
              <w:pStyle w:val="BodyText"/>
              <w:spacing w:after="0" w:line="240" w:lineRule="auto"/>
              <w:rPr>
                <w:b/>
                <w:sz w:val="16"/>
                <w:szCs w:val="16"/>
              </w:rPr>
            </w:pPr>
          </w:p>
        </w:tc>
        <w:tc>
          <w:tcPr>
            <w:tcW w:w="1411" w:type="dxa"/>
            <w:tcBorders>
              <w:left w:val="nil"/>
              <w:bottom w:val="single" w:sz="12" w:space="0" w:color="auto"/>
              <w:right w:val="nil"/>
            </w:tcBorders>
          </w:tcPr>
          <w:p w:rsidR="003C6324" w:rsidRPr="00F22096" w:rsidRDefault="003C6324" w:rsidP="003C6324">
            <w:pPr>
              <w:pStyle w:val="BodyText"/>
              <w:spacing w:after="0" w:line="240" w:lineRule="auto"/>
              <w:rPr>
                <w:b/>
                <w:sz w:val="16"/>
                <w:szCs w:val="16"/>
              </w:rPr>
            </w:pPr>
          </w:p>
        </w:tc>
      </w:tr>
      <w:tr w:rsidR="003C6324" w:rsidRPr="00F22096" w:rsidTr="007A3C6F">
        <w:tc>
          <w:tcPr>
            <w:tcW w:w="6629" w:type="dxa"/>
            <w:tcBorders>
              <w:top w:val="single" w:sz="12" w:space="0" w:color="auto"/>
              <w:left w:val="nil"/>
              <w:bottom w:val="single" w:sz="12" w:space="0" w:color="auto"/>
              <w:right w:val="nil"/>
            </w:tcBorders>
          </w:tcPr>
          <w:p w:rsidR="003C6324" w:rsidRPr="00F22096" w:rsidRDefault="003C6324" w:rsidP="003C6324">
            <w:pPr>
              <w:pStyle w:val="BodyText"/>
              <w:jc w:val="right"/>
              <w:rPr>
                <w:b/>
                <w:sz w:val="16"/>
                <w:szCs w:val="16"/>
              </w:rPr>
            </w:pPr>
            <w:r>
              <w:rPr>
                <w:b/>
                <w:sz w:val="16"/>
                <w:szCs w:val="16"/>
              </w:rPr>
              <w:t>TOTAL:</w:t>
            </w:r>
          </w:p>
        </w:tc>
        <w:tc>
          <w:tcPr>
            <w:tcW w:w="2828" w:type="dxa"/>
            <w:gridSpan w:val="2"/>
            <w:tcBorders>
              <w:top w:val="single" w:sz="12" w:space="0" w:color="auto"/>
              <w:left w:val="nil"/>
              <w:bottom w:val="single" w:sz="12" w:space="0" w:color="auto"/>
              <w:right w:val="nil"/>
            </w:tcBorders>
          </w:tcPr>
          <w:p w:rsidR="003C6324" w:rsidRPr="00F22096" w:rsidRDefault="003C6324" w:rsidP="00BD595C">
            <w:pPr>
              <w:pStyle w:val="BodyText"/>
              <w:rPr>
                <w:b/>
                <w:sz w:val="16"/>
                <w:szCs w:val="16"/>
              </w:rPr>
            </w:pPr>
            <w:r>
              <w:rPr>
                <w:b/>
                <w:sz w:val="16"/>
                <w:szCs w:val="16"/>
              </w:rPr>
              <w:t>AUD 20.32 million</w:t>
            </w:r>
          </w:p>
        </w:tc>
      </w:tr>
    </w:tbl>
    <w:p w:rsidR="00B04D30" w:rsidRDefault="00B04D30" w:rsidP="00B61C7B">
      <w:pPr>
        <w:spacing w:after="200" w:line="276" w:lineRule="auto"/>
        <w:rPr>
          <w:sz w:val="28"/>
        </w:rPr>
      </w:pPr>
    </w:p>
    <w:p w:rsidR="000D733F" w:rsidRPr="00757BAA" w:rsidRDefault="000D733F" w:rsidP="004820CE">
      <w:pPr>
        <w:pStyle w:val="Heading2"/>
        <w:rPr>
          <w:rStyle w:val="BodyTextChar"/>
          <w:rFonts w:eastAsia="SimSun"/>
          <w:b/>
          <w:bCs/>
          <w:i/>
          <w:iCs/>
        </w:rPr>
      </w:pPr>
      <w:r w:rsidRPr="00120598">
        <w:rPr>
          <w:sz w:val="28"/>
        </w:rPr>
        <w:lastRenderedPageBreak/>
        <w:t>Progress towards objectives</w:t>
      </w:r>
      <w:r>
        <w:rPr>
          <w:sz w:val="32"/>
          <w:szCs w:val="32"/>
        </w:rPr>
        <w:tab/>
      </w:r>
    </w:p>
    <w:p w:rsidR="00A925BC" w:rsidRDefault="007A3C6F" w:rsidP="00654E76">
      <w:pPr>
        <w:pStyle w:val="Caption"/>
      </w:pPr>
      <w:r>
        <w:t xml:space="preserve">Overall, the Australian aid program in Tonga continues to make steady progress against program objectives.  There have been notable </w:t>
      </w:r>
      <w:r w:rsidR="00A925BC">
        <w:t xml:space="preserve">achievements across all sectors particularly the </w:t>
      </w:r>
      <w:r>
        <w:t>public</w:t>
      </w:r>
      <w:r w:rsidR="00CF4AD5">
        <w:t xml:space="preserve"> sector</w:t>
      </w:r>
      <w:r>
        <w:t xml:space="preserve"> and health </w:t>
      </w:r>
      <w:r w:rsidR="00CF4AD5">
        <w:t>programs</w:t>
      </w:r>
      <w:r w:rsidR="00A925BC">
        <w:t xml:space="preserve">.  </w:t>
      </w:r>
      <w:r>
        <w:t xml:space="preserve">Early assessments indicate the new Technical </w:t>
      </w:r>
      <w:r w:rsidR="00994811">
        <w:t xml:space="preserve">and </w:t>
      </w:r>
      <w:r>
        <w:t xml:space="preserve">Vocational Education and Training Program </w:t>
      </w:r>
      <w:r w:rsidR="008D76FA">
        <w:t>was</w:t>
      </w:r>
      <w:r w:rsidR="00961125">
        <w:t xml:space="preserve"> </w:t>
      </w:r>
      <w:r>
        <w:t>addressing the weaknesses of the previous program</w:t>
      </w:r>
      <w:r w:rsidR="00961125">
        <w:t xml:space="preserve"> and </w:t>
      </w:r>
      <w:r w:rsidR="008D76FA">
        <w:t xml:space="preserve">was </w:t>
      </w:r>
      <w:r w:rsidR="00961125">
        <w:t>on track to deliver good results in coming years</w:t>
      </w:r>
      <w:r>
        <w:t>.</w:t>
      </w:r>
      <w:r w:rsidR="00961125">
        <w:t xml:space="preserve">  Progr</w:t>
      </w:r>
      <w:r w:rsidR="008D76FA">
        <w:t>ess on infrastructure programs wa</w:t>
      </w:r>
      <w:r w:rsidR="00961125">
        <w:t xml:space="preserve">s inconsistent: </w:t>
      </w:r>
      <w:r w:rsidR="00A925BC">
        <w:t>reporting indicated the more complex programs, with the greater number of partners involved, were suffering the greatest delays.  Australia will maintain open and frank dialogue with program partners to work through such challenges.</w:t>
      </w:r>
    </w:p>
    <w:p w:rsidR="006D1991" w:rsidRDefault="00961125" w:rsidP="00654E76">
      <w:pPr>
        <w:pStyle w:val="Caption"/>
      </w:pPr>
      <w:r>
        <w:t xml:space="preserve"> </w:t>
      </w:r>
    </w:p>
    <w:p w:rsidR="000D733F" w:rsidRDefault="000D733F" w:rsidP="00654E76">
      <w:pPr>
        <w:pStyle w:val="Caption"/>
      </w:pPr>
      <w:r>
        <w:t xml:space="preserve">Table </w:t>
      </w:r>
      <w:fldSimple w:instr=" SEQ Table \* ARABIC ">
        <w:r w:rsidR="0059686E">
          <w:rPr>
            <w:noProof/>
          </w:rPr>
          <w:t>2</w:t>
        </w:r>
      </w:fldSimple>
      <w:r>
        <w:t xml:space="preserve"> Rating of the program's progress towards Australia’s objectives</w:t>
      </w:r>
    </w:p>
    <w:tbl>
      <w:tblPr>
        <w:tblStyle w:val="APPR"/>
        <w:tblW w:w="5000" w:type="pct"/>
        <w:tblLook w:val="0000" w:firstRow="0" w:lastRow="0" w:firstColumn="0" w:lastColumn="0" w:noHBand="0" w:noVBand="0"/>
      </w:tblPr>
      <w:tblGrid>
        <w:gridCol w:w="6762"/>
        <w:gridCol w:w="1111"/>
        <w:gridCol w:w="460"/>
        <w:gridCol w:w="1180"/>
      </w:tblGrid>
      <w:tr w:rsidR="000D733F" w:rsidRPr="0019341B" w:rsidTr="00564630">
        <w:trPr>
          <w:cnfStyle w:val="000000010000" w:firstRow="0" w:lastRow="0" w:firstColumn="0" w:lastColumn="0" w:oddVBand="0" w:evenVBand="0" w:oddHBand="0" w:evenHBand="1" w:firstRowFirstColumn="0" w:firstRowLastColumn="0" w:lastRowFirstColumn="0" w:lastRowLastColumn="0"/>
          <w:trHeight w:val="513"/>
        </w:trPr>
        <w:tc>
          <w:tcPr>
            <w:tcW w:w="61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D733F" w:rsidRPr="0019341B" w:rsidRDefault="000D733F" w:rsidP="00CF4707">
            <w:pPr>
              <w:pStyle w:val="TableTextColumnHeading"/>
              <w:framePr w:wrap="around"/>
            </w:pPr>
            <w:r w:rsidRPr="0019341B">
              <w:rPr>
                <w:noProof/>
                <w:lang w:eastAsia="en-AU"/>
              </w:rPr>
              <w:drawing>
                <wp:anchor distT="0" distB="0" distL="114300" distR="114300" simplePos="0" relativeHeight="251663360" behindDoc="0" locked="0" layoutInCell="1" allowOverlap="1" wp14:anchorId="0ED5886D" wp14:editId="30DF7D83">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Objective</w:t>
            </w:r>
          </w:p>
        </w:tc>
        <w:tc>
          <w:tcPr>
            <w:tcW w:w="99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D733F" w:rsidRPr="0019341B" w:rsidRDefault="000D733F" w:rsidP="00CF4707">
            <w:pPr>
              <w:pStyle w:val="TableTextColumnHeading"/>
              <w:framePr w:wrap="around"/>
            </w:pPr>
            <w:r>
              <w:t>Current Rating</w:t>
            </w:r>
          </w:p>
        </w:tc>
        <w:tc>
          <w:tcPr>
            <w:tcW w:w="39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D733F" w:rsidRDefault="000D733F" w:rsidP="00CF4707">
            <w:pPr>
              <w:pStyle w:val="TableTextColumnHeading"/>
              <w:framePr w:wrap="around"/>
            </w:pPr>
          </w:p>
        </w:tc>
        <w:tc>
          <w:tcPr>
            <w:tcW w:w="10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D733F" w:rsidRPr="0019341B" w:rsidRDefault="000D733F" w:rsidP="00CF4707">
            <w:pPr>
              <w:pStyle w:val="TableTextColumnHeading"/>
              <w:framePr w:wrap="around"/>
            </w:pPr>
            <w:r>
              <w:t>Previous Rating</w:t>
            </w:r>
          </w:p>
        </w:tc>
      </w:tr>
    </w:tbl>
    <w:tbl>
      <w:tblPr>
        <w:tblStyle w:val="APPR"/>
        <w:tblW w:w="5000" w:type="pct"/>
        <w:tblLook w:val="0000" w:firstRow="0" w:lastRow="0" w:firstColumn="0" w:lastColumn="0" w:noHBand="0" w:noVBand="0"/>
      </w:tblPr>
      <w:tblGrid>
        <w:gridCol w:w="6762"/>
        <w:gridCol w:w="1111"/>
        <w:gridCol w:w="460"/>
        <w:gridCol w:w="1180"/>
      </w:tblGrid>
      <w:tr w:rsidR="00705528" w:rsidRPr="009D53C4" w:rsidTr="00A444DB">
        <w:trPr>
          <w:cnfStyle w:val="000000010000" w:firstRow="0" w:lastRow="0" w:firstColumn="0" w:lastColumn="0" w:oddVBand="0" w:evenVBand="0" w:oddHBand="0" w:evenHBand="1" w:firstRowFirstColumn="0" w:firstRowLastColumn="0" w:lastRowFirstColumn="0" w:lastRowLastColumn="0"/>
        </w:trPr>
        <w:tc>
          <w:tcPr>
            <w:tcW w:w="67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705528" w:rsidRPr="00100AA2" w:rsidRDefault="00705528" w:rsidP="001E4AB7">
            <w:pPr>
              <w:pStyle w:val="TableTextEntries"/>
            </w:pPr>
            <w:r>
              <w:t>M</w:t>
            </w:r>
            <w:r w:rsidRPr="00B641ED">
              <w:t>ore efficient and effective public sector</w:t>
            </w:r>
          </w:p>
        </w:tc>
        <w:tc>
          <w:tcPr>
            <w:tcW w:w="108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8000"/>
            <w:noWrap/>
          </w:tcPr>
          <w:p w:rsidR="00705528" w:rsidRPr="0053739B" w:rsidRDefault="00705528" w:rsidP="000D733F">
            <w:pPr>
              <w:pStyle w:val="TableTextEntries"/>
              <w:jc w:val="center"/>
            </w:pPr>
            <w:r w:rsidRPr="0053739B">
              <w:t>Green</w:t>
            </w:r>
          </w:p>
        </w:tc>
        <w:tc>
          <w:tcPr>
            <w:tcW w:w="4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705528" w:rsidRPr="00443639" w:rsidRDefault="00705528" w:rsidP="000D733F">
            <w:pPr>
              <w:pStyle w:val="TableTextEntries"/>
              <w:jc w:val="center"/>
              <w:rPr>
                <w:color w:val="FFFFFF" w:themeColor="background1"/>
              </w:rPr>
            </w:pPr>
          </w:p>
        </w:tc>
        <w:tc>
          <w:tcPr>
            <w:tcW w:w="113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8000"/>
            <w:noWrap/>
          </w:tcPr>
          <w:p w:rsidR="00705528" w:rsidRPr="00705528" w:rsidRDefault="00705528" w:rsidP="00705528">
            <w:pPr>
              <w:pStyle w:val="TableTextEntries"/>
              <w:jc w:val="center"/>
            </w:pPr>
            <w:r w:rsidRPr="00705528">
              <w:t>Green</w:t>
            </w:r>
          </w:p>
        </w:tc>
      </w:tr>
      <w:tr w:rsidR="00705528" w:rsidRPr="009D53C4" w:rsidTr="00A444DB">
        <w:trPr>
          <w:cnfStyle w:val="000000010000" w:firstRow="0" w:lastRow="0" w:firstColumn="0" w:lastColumn="0" w:oddVBand="0" w:evenVBand="0" w:oddHBand="0" w:evenHBand="1" w:firstRowFirstColumn="0" w:firstRowLastColumn="0" w:lastRowFirstColumn="0" w:lastRowLastColumn="0"/>
        </w:trPr>
        <w:tc>
          <w:tcPr>
            <w:tcW w:w="67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705528" w:rsidRPr="00100AA2" w:rsidRDefault="00705528" w:rsidP="001E4AB7">
            <w:pPr>
              <w:pStyle w:val="TableTextEntries"/>
            </w:pPr>
            <w:r w:rsidRPr="00B641ED">
              <w:t>Improved technical and vocational skills</w:t>
            </w:r>
          </w:p>
        </w:tc>
        <w:tc>
          <w:tcPr>
            <w:tcW w:w="108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8000"/>
            <w:noWrap/>
          </w:tcPr>
          <w:p w:rsidR="00705528" w:rsidRPr="0053739B" w:rsidRDefault="000E2C04" w:rsidP="000D733F">
            <w:pPr>
              <w:pStyle w:val="TableTextEntries"/>
              <w:jc w:val="center"/>
            </w:pPr>
            <w:r>
              <w:t xml:space="preserve">Green </w:t>
            </w:r>
          </w:p>
        </w:tc>
        <w:tc>
          <w:tcPr>
            <w:tcW w:w="4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705528" w:rsidRPr="00443639" w:rsidRDefault="00705528" w:rsidP="000D733F">
            <w:pPr>
              <w:pStyle w:val="TableTextEntries"/>
              <w:jc w:val="center"/>
              <w:rPr>
                <w:color w:val="FFFFFF" w:themeColor="background1"/>
              </w:rPr>
            </w:pPr>
          </w:p>
        </w:tc>
        <w:tc>
          <w:tcPr>
            <w:tcW w:w="113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themeFill="accent6" w:themeFillShade="BF"/>
            <w:noWrap/>
          </w:tcPr>
          <w:p w:rsidR="00705528" w:rsidRPr="00705528" w:rsidRDefault="00705528" w:rsidP="00705528">
            <w:pPr>
              <w:pStyle w:val="TableTextEntries"/>
              <w:jc w:val="center"/>
            </w:pPr>
            <w:r w:rsidRPr="00705528">
              <w:t>Amber</w:t>
            </w:r>
          </w:p>
        </w:tc>
      </w:tr>
      <w:tr w:rsidR="00705528" w:rsidRPr="009D53C4" w:rsidTr="00A444DB">
        <w:trPr>
          <w:cnfStyle w:val="000000010000" w:firstRow="0" w:lastRow="0" w:firstColumn="0" w:lastColumn="0" w:oddVBand="0" w:evenVBand="0" w:oddHBand="0" w:evenHBand="1" w:firstRowFirstColumn="0" w:firstRowLastColumn="0" w:lastRowFirstColumn="0" w:lastRowLastColumn="0"/>
        </w:trPr>
        <w:tc>
          <w:tcPr>
            <w:tcW w:w="67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705528" w:rsidRPr="00B641ED" w:rsidRDefault="00705528" w:rsidP="001E4AB7">
            <w:pPr>
              <w:pStyle w:val="TableTextEntries"/>
            </w:pPr>
            <w:r w:rsidRPr="00B641ED">
              <w:t>Develop</w:t>
            </w:r>
            <w:r>
              <w:t xml:space="preserve">ment of </w:t>
            </w:r>
            <w:r w:rsidRPr="00B641ED">
              <w:t>infrastructure to improve the everyday lives of the people</w:t>
            </w:r>
          </w:p>
        </w:tc>
        <w:tc>
          <w:tcPr>
            <w:tcW w:w="108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themeFill="accent6" w:themeFillShade="BF"/>
            <w:noWrap/>
          </w:tcPr>
          <w:p w:rsidR="00705528" w:rsidRPr="0053739B" w:rsidRDefault="00AA24C0" w:rsidP="00E641F5">
            <w:pPr>
              <w:pStyle w:val="TableTextEntries"/>
              <w:jc w:val="center"/>
            </w:pPr>
            <w:r w:rsidRPr="0053739B">
              <w:t>Amber</w:t>
            </w:r>
          </w:p>
        </w:tc>
        <w:tc>
          <w:tcPr>
            <w:tcW w:w="4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705528" w:rsidRPr="00443639" w:rsidRDefault="00705528" w:rsidP="000D733F">
            <w:pPr>
              <w:pStyle w:val="TableTextEntries"/>
              <w:jc w:val="center"/>
              <w:rPr>
                <w:color w:val="FFFFFF" w:themeColor="background1"/>
              </w:rPr>
            </w:pPr>
          </w:p>
        </w:tc>
        <w:tc>
          <w:tcPr>
            <w:tcW w:w="113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themeFill="accent6" w:themeFillShade="BF"/>
            <w:noWrap/>
          </w:tcPr>
          <w:p w:rsidR="00705528" w:rsidRPr="00705528" w:rsidRDefault="00705528" w:rsidP="00705528">
            <w:pPr>
              <w:pStyle w:val="TableTextEntries"/>
              <w:jc w:val="center"/>
            </w:pPr>
            <w:r w:rsidRPr="00705528">
              <w:t>Amber</w:t>
            </w:r>
          </w:p>
        </w:tc>
      </w:tr>
      <w:tr w:rsidR="00A444DB" w:rsidRPr="00705528" w:rsidTr="00A444DB">
        <w:trPr>
          <w:cnfStyle w:val="000000010000" w:firstRow="0" w:lastRow="0" w:firstColumn="0" w:lastColumn="0" w:oddVBand="0" w:evenVBand="0" w:oddHBand="0" w:evenHBand="1" w:firstRowFirstColumn="0" w:firstRowLastColumn="0" w:lastRowFirstColumn="0" w:lastRowLastColumn="0"/>
        </w:trPr>
        <w:tc>
          <w:tcPr>
            <w:tcW w:w="6720" w:type="dxa"/>
          </w:tcPr>
          <w:p w:rsidR="00A444DB" w:rsidRPr="00100AA2" w:rsidRDefault="00A444DB" w:rsidP="007A3C6F">
            <w:pPr>
              <w:pStyle w:val="TableTextEntries"/>
            </w:pPr>
            <w:r w:rsidRPr="00B641ED">
              <w:t>Improved health</w:t>
            </w:r>
          </w:p>
        </w:tc>
        <w:tc>
          <w:tcPr>
            <w:tcW w:w="1083" w:type="dxa"/>
            <w:shd w:val="clear" w:color="auto" w:fill="008000"/>
            <w:noWrap/>
          </w:tcPr>
          <w:p w:rsidR="00A444DB" w:rsidRPr="0053739B" w:rsidRDefault="00A444DB" w:rsidP="007A3C6F">
            <w:pPr>
              <w:pStyle w:val="TableTextEntries"/>
              <w:tabs>
                <w:tab w:val="center" w:pos="391"/>
              </w:tabs>
            </w:pPr>
            <w:r w:rsidRPr="0053739B">
              <w:tab/>
              <w:t>Green</w:t>
            </w:r>
          </w:p>
        </w:tc>
        <w:tc>
          <w:tcPr>
            <w:tcW w:w="432" w:type="dxa"/>
          </w:tcPr>
          <w:p w:rsidR="00A444DB" w:rsidRPr="00443639" w:rsidRDefault="00A444DB" w:rsidP="007A3C6F">
            <w:pPr>
              <w:pStyle w:val="TableTextEntries"/>
              <w:jc w:val="center"/>
              <w:rPr>
                <w:color w:val="FFFFFF" w:themeColor="background1"/>
              </w:rPr>
            </w:pPr>
          </w:p>
        </w:tc>
        <w:tc>
          <w:tcPr>
            <w:tcW w:w="1138" w:type="dxa"/>
            <w:shd w:val="clear" w:color="auto" w:fill="008000"/>
            <w:noWrap/>
          </w:tcPr>
          <w:p w:rsidR="00A444DB" w:rsidRPr="00705528" w:rsidRDefault="00A444DB" w:rsidP="007A3C6F">
            <w:pPr>
              <w:pStyle w:val="TableTextEntries"/>
              <w:jc w:val="center"/>
            </w:pPr>
            <w:r w:rsidRPr="00705528">
              <w:t>Green</w:t>
            </w:r>
          </w:p>
        </w:tc>
      </w:tr>
    </w:tbl>
    <w:p w:rsidR="000D733F" w:rsidRPr="00180B19" w:rsidRDefault="000D733F" w:rsidP="000D733F">
      <w:pPr>
        <w:pStyle w:val="Note"/>
      </w:pPr>
      <w:r w:rsidRPr="00180B19">
        <w:t xml:space="preserve">Note: </w:t>
      </w:r>
    </w:p>
    <w:p w:rsidR="000D733F" w:rsidRPr="00180B19" w:rsidRDefault="000D733F" w:rsidP="000D733F">
      <w:pPr>
        <w:pStyle w:val="Note"/>
      </w:pPr>
      <w:r w:rsidRPr="00E74404">
        <w:rPr>
          <w:color w:val="72AF2F"/>
        </w:rPr>
        <w:sym w:font="Webdings" w:char="F067"/>
      </w:r>
      <w:r w:rsidRPr="00180B19">
        <w:t> </w:t>
      </w:r>
      <w:r w:rsidRPr="00180B19">
        <w:t xml:space="preserve"> </w:t>
      </w:r>
      <w:r>
        <w:t xml:space="preserve">Green. </w:t>
      </w:r>
      <w:r w:rsidRPr="00180B19">
        <w:t>Progress is as expected for this point in time and it is likely that the objective will be achieved. Standard program management practices are sufficient.</w:t>
      </w:r>
    </w:p>
    <w:p w:rsidR="000D733F" w:rsidRPr="00180B19" w:rsidRDefault="000D733F" w:rsidP="000D733F">
      <w:pPr>
        <w:pStyle w:val="Note"/>
      </w:pPr>
      <w:r w:rsidRPr="00E74404">
        <w:rPr>
          <w:color w:val="E36C0A"/>
        </w:rPr>
        <w:sym w:font="Webdings" w:char="F067"/>
      </w:r>
      <w:r w:rsidRPr="00180B19">
        <w:t> </w:t>
      </w:r>
      <w:r w:rsidRPr="00180B19">
        <w:t xml:space="preserve"> </w:t>
      </w:r>
      <w:r>
        <w:t xml:space="preserve">Amber. </w:t>
      </w:r>
      <w:r w:rsidRPr="00180B19">
        <w:t>Progress is somewhat less than expected for this point in time and restorative action will be necessary if the objective is to be achieved. Close performance monitoring is recommended.</w:t>
      </w:r>
    </w:p>
    <w:p w:rsidR="000D733F" w:rsidRDefault="000D733F" w:rsidP="000D733F">
      <w:pPr>
        <w:pStyle w:val="Note"/>
      </w:pPr>
      <w:r w:rsidRPr="004C4A3E">
        <w:rPr>
          <w:color w:val="FF0000"/>
        </w:rPr>
        <w:sym w:font="Webdings" w:char="F067"/>
      </w:r>
      <w:r w:rsidRPr="00180B19">
        <w:t> </w:t>
      </w:r>
      <w:r w:rsidRPr="00180B19">
        <w:t xml:space="preserve"> </w:t>
      </w:r>
      <w:r>
        <w:t xml:space="preserve">Red. </w:t>
      </w:r>
      <w:r w:rsidRPr="00180B19">
        <w:t>Progress is significantly less than expected for this point in time and the objective is not likely to be met given available resources and priorities. Recasting the objective may be required.</w:t>
      </w:r>
    </w:p>
    <w:p w:rsidR="000D733F" w:rsidRDefault="000D733F" w:rsidP="000D733F">
      <w:pPr>
        <w:pStyle w:val="Note"/>
      </w:pPr>
      <w:r>
        <w:t xml:space="preserve">Reporting period: </w:t>
      </w:r>
      <w:r w:rsidRPr="00180B19">
        <w:t xml:space="preserve"> </w:t>
      </w:r>
    </w:p>
    <w:p w:rsidR="00974DD9" w:rsidRDefault="00AD17F1" w:rsidP="00425076">
      <w:pPr>
        <w:pStyle w:val="Heading2"/>
        <w:rPr>
          <w:rFonts w:ascii="Franklin Gothic Book" w:hAnsi="Franklin Gothic Book"/>
          <w:sz w:val="21"/>
          <w:szCs w:val="21"/>
        </w:rPr>
      </w:pPr>
      <w:r>
        <w:rPr>
          <w:sz w:val="28"/>
        </w:rPr>
        <w:t>O</w:t>
      </w:r>
      <w:r w:rsidR="003C59A4" w:rsidRPr="00425076">
        <w:rPr>
          <w:sz w:val="28"/>
        </w:rPr>
        <w:t>bjective: More efficient and effective public sector</w:t>
      </w:r>
      <w:r w:rsidR="00974DD9" w:rsidRPr="008D0360">
        <w:rPr>
          <w:rFonts w:ascii="Franklin Gothic Book" w:hAnsi="Franklin Gothic Book"/>
          <w:sz w:val="21"/>
          <w:szCs w:val="21"/>
        </w:rPr>
        <w:t xml:space="preserve"> </w:t>
      </w:r>
    </w:p>
    <w:p w:rsidR="00EE5342" w:rsidRDefault="00C20631" w:rsidP="000A1AFF">
      <w:pPr>
        <w:pStyle w:val="BodyText"/>
      </w:pPr>
      <w:r>
        <w:rPr>
          <w:szCs w:val="21"/>
        </w:rPr>
        <w:t xml:space="preserve">Australia’s overarching aims for this sector are to </w:t>
      </w:r>
      <w:r>
        <w:t>support the Government of Tonga to ensure that policies and programs are fiscally sustainable, strategically targeted</w:t>
      </w:r>
      <w:r w:rsidR="00BF4864">
        <w:t xml:space="preserve"> on core development priorities</w:t>
      </w:r>
      <w:r>
        <w:t xml:space="preserve"> and </w:t>
      </w:r>
      <w:r w:rsidRPr="00B92F1A">
        <w:rPr>
          <w:szCs w:val="21"/>
        </w:rPr>
        <w:t>implemented</w:t>
      </w:r>
      <w:r>
        <w:t xml:space="preserve"> in the most cost-effective manner.</w:t>
      </w:r>
    </w:p>
    <w:p w:rsidR="00C20631" w:rsidRPr="00B92F1A" w:rsidRDefault="00C20631" w:rsidP="000A1AFF">
      <w:pPr>
        <w:pStyle w:val="BodyText"/>
        <w:rPr>
          <w:szCs w:val="21"/>
        </w:rPr>
      </w:pPr>
      <w:r w:rsidRPr="00B92F1A">
        <w:rPr>
          <w:szCs w:val="21"/>
        </w:rPr>
        <w:t xml:space="preserve">Since 2011, Australia has worked with the Government of Tonga and other donors to develop and implement </w:t>
      </w:r>
      <w:r w:rsidR="00D31A0A">
        <w:rPr>
          <w:szCs w:val="21"/>
        </w:rPr>
        <w:t xml:space="preserve">an economic reform program known as the </w:t>
      </w:r>
      <w:r w:rsidR="00152F98" w:rsidRPr="00B92F1A">
        <w:rPr>
          <w:szCs w:val="21"/>
        </w:rPr>
        <w:t xml:space="preserve">Joint Policy </w:t>
      </w:r>
      <w:r w:rsidR="00D31A0A">
        <w:rPr>
          <w:szCs w:val="21"/>
        </w:rPr>
        <w:t xml:space="preserve">Action </w:t>
      </w:r>
      <w:r w:rsidR="00152F98" w:rsidRPr="00B92F1A">
        <w:rPr>
          <w:szCs w:val="21"/>
        </w:rPr>
        <w:t>Matrix</w:t>
      </w:r>
      <w:r w:rsidR="00D31A0A">
        <w:rPr>
          <w:szCs w:val="21"/>
        </w:rPr>
        <w:t xml:space="preserve">.  The Joint Policy Action Matrix </w:t>
      </w:r>
      <w:r w:rsidRPr="00B92F1A">
        <w:rPr>
          <w:szCs w:val="21"/>
        </w:rPr>
        <w:t>help</w:t>
      </w:r>
      <w:r w:rsidR="00D31A0A">
        <w:rPr>
          <w:szCs w:val="21"/>
        </w:rPr>
        <w:t>s</w:t>
      </w:r>
      <w:r w:rsidRPr="00B92F1A">
        <w:rPr>
          <w:szCs w:val="21"/>
        </w:rPr>
        <w:t xml:space="preserve"> coordinate and prioritise programs of most partners involved in this sector.  </w:t>
      </w:r>
      <w:r w:rsidR="00D31A0A">
        <w:rPr>
          <w:szCs w:val="21"/>
        </w:rPr>
        <w:t xml:space="preserve">It </w:t>
      </w:r>
      <w:r w:rsidRPr="00B92F1A">
        <w:rPr>
          <w:szCs w:val="21"/>
        </w:rPr>
        <w:t>provide</w:t>
      </w:r>
      <w:r w:rsidR="00D31A0A">
        <w:rPr>
          <w:szCs w:val="21"/>
        </w:rPr>
        <w:t>s</w:t>
      </w:r>
      <w:r w:rsidRPr="00B92F1A">
        <w:rPr>
          <w:szCs w:val="21"/>
        </w:rPr>
        <w:t xml:space="preserve"> incentives, mainly in the form of </w:t>
      </w:r>
      <w:r w:rsidR="00152F98" w:rsidRPr="00B92F1A">
        <w:rPr>
          <w:szCs w:val="21"/>
        </w:rPr>
        <w:t xml:space="preserve">performance-linked </w:t>
      </w:r>
      <w:r w:rsidRPr="00B92F1A">
        <w:rPr>
          <w:szCs w:val="21"/>
        </w:rPr>
        <w:t>budgetary support</w:t>
      </w:r>
      <w:r w:rsidR="009A74F8" w:rsidRPr="00B92F1A">
        <w:rPr>
          <w:szCs w:val="21"/>
        </w:rPr>
        <w:t xml:space="preserve"> and technical expertise</w:t>
      </w:r>
      <w:r w:rsidRPr="00B92F1A">
        <w:rPr>
          <w:szCs w:val="21"/>
        </w:rPr>
        <w:t>, to strengthen public financial management, reduce debt and enhance the business enabling environment.</w:t>
      </w:r>
    </w:p>
    <w:p w:rsidR="00E93D8A" w:rsidRPr="00B92F1A" w:rsidRDefault="00E93D8A" w:rsidP="009A74F8">
      <w:pPr>
        <w:pStyle w:val="BodyText"/>
        <w:rPr>
          <w:szCs w:val="21"/>
        </w:rPr>
      </w:pPr>
      <w:r w:rsidRPr="00B92F1A">
        <w:rPr>
          <w:szCs w:val="21"/>
        </w:rPr>
        <w:t xml:space="preserve">Through its </w:t>
      </w:r>
      <w:r w:rsidR="009A74F8" w:rsidRPr="00B92F1A">
        <w:rPr>
          <w:szCs w:val="21"/>
        </w:rPr>
        <w:t xml:space="preserve">partner </w:t>
      </w:r>
      <w:r w:rsidRPr="00B92F1A">
        <w:rPr>
          <w:szCs w:val="21"/>
        </w:rPr>
        <w:t xml:space="preserve">engagement </w:t>
      </w:r>
      <w:r w:rsidR="009A74F8" w:rsidRPr="00B92F1A">
        <w:rPr>
          <w:szCs w:val="21"/>
        </w:rPr>
        <w:t xml:space="preserve">on </w:t>
      </w:r>
      <w:r w:rsidR="00D31A0A">
        <w:rPr>
          <w:szCs w:val="21"/>
        </w:rPr>
        <w:t xml:space="preserve">this reform program </w:t>
      </w:r>
      <w:r w:rsidRPr="00B92F1A">
        <w:rPr>
          <w:szCs w:val="21"/>
        </w:rPr>
        <w:t>Australia has gained a seat at the policy discussion table with the Government of Tonga</w:t>
      </w:r>
      <w:r w:rsidR="00D31A0A">
        <w:rPr>
          <w:szCs w:val="21"/>
        </w:rPr>
        <w:t>, together with other development partners</w:t>
      </w:r>
      <w:r w:rsidRPr="00B92F1A">
        <w:rPr>
          <w:szCs w:val="21"/>
        </w:rPr>
        <w:t xml:space="preserve">.  This is vital to help maintain policy reform momentum and ensure policies and expenditure </w:t>
      </w:r>
      <w:r w:rsidR="009A74F8" w:rsidRPr="00B92F1A">
        <w:rPr>
          <w:szCs w:val="21"/>
        </w:rPr>
        <w:t xml:space="preserve">move </w:t>
      </w:r>
      <w:r w:rsidRPr="00B92F1A">
        <w:rPr>
          <w:szCs w:val="21"/>
        </w:rPr>
        <w:t xml:space="preserve">in a </w:t>
      </w:r>
      <w:r w:rsidR="00792CAD" w:rsidRPr="00B92F1A">
        <w:rPr>
          <w:szCs w:val="21"/>
        </w:rPr>
        <w:t>‘</w:t>
      </w:r>
      <w:r w:rsidRPr="00B92F1A">
        <w:rPr>
          <w:szCs w:val="21"/>
        </w:rPr>
        <w:t>pro-poor</w:t>
      </w:r>
      <w:r w:rsidR="00792CAD" w:rsidRPr="00B92F1A">
        <w:rPr>
          <w:szCs w:val="21"/>
        </w:rPr>
        <w:t>’</w:t>
      </w:r>
      <w:r w:rsidRPr="00B92F1A">
        <w:rPr>
          <w:szCs w:val="21"/>
        </w:rPr>
        <w:t xml:space="preserve"> direction. Macro</w:t>
      </w:r>
      <w:r w:rsidR="009A74F8" w:rsidRPr="00B92F1A">
        <w:rPr>
          <w:szCs w:val="21"/>
        </w:rPr>
        <w:t>-</w:t>
      </w:r>
      <w:r w:rsidRPr="00B92F1A">
        <w:rPr>
          <w:szCs w:val="21"/>
        </w:rPr>
        <w:t>policy reforms of this kind also help</w:t>
      </w:r>
      <w:r w:rsidR="00F20BA7" w:rsidRPr="00B92F1A">
        <w:rPr>
          <w:szCs w:val="21"/>
        </w:rPr>
        <w:t xml:space="preserve"> </w:t>
      </w:r>
      <w:r w:rsidRPr="00B92F1A">
        <w:rPr>
          <w:szCs w:val="21"/>
        </w:rPr>
        <w:t xml:space="preserve">ensure the effectiveness of Australia’s broader aid program to Tonga. </w:t>
      </w:r>
      <w:r w:rsidR="009A74F8" w:rsidRPr="00B92F1A">
        <w:rPr>
          <w:szCs w:val="21"/>
        </w:rPr>
        <w:t xml:space="preserve"> </w:t>
      </w:r>
    </w:p>
    <w:p w:rsidR="00F20BA7" w:rsidRPr="00B92F1A" w:rsidRDefault="00F20BA7" w:rsidP="00B92F1A">
      <w:pPr>
        <w:pStyle w:val="BodyText"/>
        <w:rPr>
          <w:b/>
          <w:szCs w:val="21"/>
        </w:rPr>
      </w:pPr>
      <w:r w:rsidRPr="00B92F1A">
        <w:rPr>
          <w:b/>
          <w:szCs w:val="21"/>
        </w:rPr>
        <w:t>Benchmark 1: Strengthening Public Financial Management</w:t>
      </w:r>
    </w:p>
    <w:p w:rsidR="00F20BA7" w:rsidRPr="00B76767" w:rsidRDefault="00F20BA7" w:rsidP="00590E64">
      <w:pPr>
        <w:pStyle w:val="BodyText"/>
        <w:rPr>
          <w:szCs w:val="21"/>
        </w:rPr>
      </w:pPr>
      <w:r w:rsidRPr="00B76767">
        <w:rPr>
          <w:szCs w:val="21"/>
        </w:rPr>
        <w:t>Although external shocks continue to present risks, Tonga</w:t>
      </w:r>
      <w:r w:rsidR="00792CAD" w:rsidRPr="00B76767">
        <w:rPr>
          <w:szCs w:val="21"/>
        </w:rPr>
        <w:t xml:space="preserve"> </w:t>
      </w:r>
      <w:r w:rsidRPr="00B76767">
        <w:rPr>
          <w:szCs w:val="21"/>
        </w:rPr>
        <w:t xml:space="preserve">has </w:t>
      </w:r>
      <w:r w:rsidR="00792CAD" w:rsidRPr="00B76767">
        <w:rPr>
          <w:szCs w:val="21"/>
        </w:rPr>
        <w:t xml:space="preserve">worked constructively with its development partners in recent years to improve economic and financial management.  That work is beginning to show strong results.  Tonga </w:t>
      </w:r>
      <w:r w:rsidRPr="00B76767">
        <w:rPr>
          <w:szCs w:val="21"/>
        </w:rPr>
        <w:t xml:space="preserve">brought down fiscal deficit and set </w:t>
      </w:r>
      <w:r w:rsidR="001F573C">
        <w:rPr>
          <w:szCs w:val="21"/>
        </w:rPr>
        <w:t>its</w:t>
      </w:r>
      <w:r w:rsidRPr="00B76767">
        <w:rPr>
          <w:szCs w:val="21"/>
        </w:rPr>
        <w:t xml:space="preserve"> public finances on a sustainable footing. The overall deficit has fallen from over </w:t>
      </w:r>
      <w:r w:rsidR="00B61C7B">
        <w:rPr>
          <w:szCs w:val="21"/>
        </w:rPr>
        <w:t>seven</w:t>
      </w:r>
      <w:r w:rsidRPr="00B76767">
        <w:rPr>
          <w:szCs w:val="21"/>
        </w:rPr>
        <w:t xml:space="preserve"> percent of GDP in FY2010</w:t>
      </w:r>
      <w:r w:rsidR="00B61C7B">
        <w:rPr>
          <w:szCs w:val="21"/>
        </w:rPr>
        <w:t>-</w:t>
      </w:r>
      <w:r w:rsidRPr="00B76767">
        <w:rPr>
          <w:szCs w:val="21"/>
        </w:rPr>
        <w:t xml:space="preserve">11 to </w:t>
      </w:r>
      <w:r w:rsidR="00B61C7B">
        <w:rPr>
          <w:szCs w:val="21"/>
        </w:rPr>
        <w:t>one</w:t>
      </w:r>
      <w:r w:rsidRPr="00B76767">
        <w:rPr>
          <w:szCs w:val="21"/>
        </w:rPr>
        <w:t xml:space="preserve"> per</w:t>
      </w:r>
      <w:r w:rsidR="00B61C7B">
        <w:rPr>
          <w:szCs w:val="21"/>
        </w:rPr>
        <w:t xml:space="preserve"> </w:t>
      </w:r>
      <w:r w:rsidRPr="00B76767">
        <w:rPr>
          <w:szCs w:val="21"/>
        </w:rPr>
        <w:t>cent of GDP in FY2012</w:t>
      </w:r>
      <w:r w:rsidR="00B61C7B">
        <w:rPr>
          <w:szCs w:val="21"/>
        </w:rPr>
        <w:t>-</w:t>
      </w:r>
      <w:r w:rsidRPr="00B76767">
        <w:rPr>
          <w:szCs w:val="21"/>
        </w:rPr>
        <w:t>13</w:t>
      </w:r>
      <w:r w:rsidRPr="001558DA">
        <w:rPr>
          <w:szCs w:val="21"/>
        </w:rPr>
        <w:t xml:space="preserve">.  A primary budget </w:t>
      </w:r>
      <w:r w:rsidR="00333FB5" w:rsidRPr="001558DA">
        <w:rPr>
          <w:szCs w:val="21"/>
        </w:rPr>
        <w:t xml:space="preserve">surplus </w:t>
      </w:r>
      <w:r w:rsidRPr="001558DA">
        <w:rPr>
          <w:szCs w:val="21"/>
        </w:rPr>
        <w:t>was achieved in 2013-14</w:t>
      </w:r>
      <w:r w:rsidR="003C28CA">
        <w:rPr>
          <w:szCs w:val="21"/>
        </w:rPr>
        <w:t xml:space="preserve">. </w:t>
      </w:r>
      <w:r w:rsidR="001849E9" w:rsidRPr="00B76767">
        <w:rPr>
          <w:szCs w:val="21"/>
        </w:rPr>
        <w:t xml:space="preserve">Tonga </w:t>
      </w:r>
      <w:r w:rsidR="00792CAD" w:rsidRPr="00B76767">
        <w:rPr>
          <w:szCs w:val="21"/>
        </w:rPr>
        <w:t xml:space="preserve">is now in a </w:t>
      </w:r>
      <w:r w:rsidR="00D976A3" w:rsidRPr="00B76767">
        <w:rPr>
          <w:szCs w:val="21"/>
        </w:rPr>
        <w:t xml:space="preserve">better </w:t>
      </w:r>
      <w:r w:rsidR="00792CAD" w:rsidRPr="00B76767">
        <w:rPr>
          <w:szCs w:val="21"/>
        </w:rPr>
        <w:t>position to increase and improve essential service delivery in areas such as health, education and infrastructure maintenance.</w:t>
      </w:r>
    </w:p>
    <w:p w:rsidR="00D976A3" w:rsidRPr="00B76767" w:rsidRDefault="00590E64" w:rsidP="00590E64">
      <w:pPr>
        <w:pStyle w:val="BodyText"/>
        <w:rPr>
          <w:szCs w:val="21"/>
        </w:rPr>
      </w:pPr>
      <w:r w:rsidRPr="00B76767">
        <w:rPr>
          <w:szCs w:val="21"/>
        </w:rPr>
        <w:lastRenderedPageBreak/>
        <w:t>To improve the depth of financial management skills</w:t>
      </w:r>
      <w:r w:rsidR="00535832">
        <w:rPr>
          <w:szCs w:val="21"/>
        </w:rPr>
        <w:t xml:space="preserve"> in the public sector</w:t>
      </w:r>
      <w:r w:rsidRPr="00B76767">
        <w:rPr>
          <w:szCs w:val="21"/>
        </w:rPr>
        <w:t>, d</w:t>
      </w:r>
      <w:r w:rsidR="00D976A3" w:rsidRPr="00B76767">
        <w:rPr>
          <w:szCs w:val="21"/>
        </w:rPr>
        <w:t>uring the reporting period 1</w:t>
      </w:r>
      <w:r w:rsidR="00DD53F2">
        <w:rPr>
          <w:szCs w:val="21"/>
        </w:rPr>
        <w:t>33</w:t>
      </w:r>
      <w:r w:rsidR="00D976A3" w:rsidRPr="00B76767">
        <w:rPr>
          <w:szCs w:val="21"/>
        </w:rPr>
        <w:t xml:space="preserve"> public servants </w:t>
      </w:r>
      <w:r w:rsidR="00DD53F2">
        <w:rPr>
          <w:szCs w:val="21"/>
        </w:rPr>
        <w:t xml:space="preserve">(89 women and 44 men) </w:t>
      </w:r>
      <w:r w:rsidRPr="00B76767">
        <w:rPr>
          <w:szCs w:val="21"/>
        </w:rPr>
        <w:t xml:space="preserve">attended </w:t>
      </w:r>
      <w:r w:rsidR="00D976A3" w:rsidRPr="00B76767">
        <w:rPr>
          <w:szCs w:val="21"/>
        </w:rPr>
        <w:t xml:space="preserve">six customised </w:t>
      </w:r>
      <w:r w:rsidRPr="00B76767">
        <w:rPr>
          <w:szCs w:val="21"/>
        </w:rPr>
        <w:t xml:space="preserve">public administration </w:t>
      </w:r>
      <w:r w:rsidR="00D976A3" w:rsidRPr="00B76767">
        <w:rPr>
          <w:szCs w:val="21"/>
        </w:rPr>
        <w:t xml:space="preserve">courses </w:t>
      </w:r>
      <w:r w:rsidRPr="00B76767">
        <w:rPr>
          <w:szCs w:val="21"/>
        </w:rPr>
        <w:t xml:space="preserve">which </w:t>
      </w:r>
      <w:r w:rsidR="00D976A3" w:rsidRPr="00B76767">
        <w:rPr>
          <w:szCs w:val="21"/>
        </w:rPr>
        <w:t xml:space="preserve">included tailored training on implementing </w:t>
      </w:r>
      <w:r w:rsidR="001F573C">
        <w:rPr>
          <w:szCs w:val="21"/>
        </w:rPr>
        <w:t>Tonga’s new</w:t>
      </w:r>
      <w:r w:rsidR="00D976A3" w:rsidRPr="00B76767">
        <w:rPr>
          <w:szCs w:val="21"/>
        </w:rPr>
        <w:t xml:space="preserve"> Public Financial Management Reform Roadmap. </w:t>
      </w:r>
    </w:p>
    <w:p w:rsidR="00F20BA7" w:rsidRPr="00B92F1A" w:rsidRDefault="00F20BA7" w:rsidP="00B92F1A">
      <w:pPr>
        <w:pStyle w:val="BodyText"/>
        <w:rPr>
          <w:i/>
          <w:szCs w:val="21"/>
        </w:rPr>
      </w:pPr>
      <w:r w:rsidRPr="00B92F1A">
        <w:rPr>
          <w:i/>
          <w:szCs w:val="21"/>
        </w:rPr>
        <w:t>Aligning Expenditure with Policy Priorities</w:t>
      </w:r>
    </w:p>
    <w:p w:rsidR="002A37DB" w:rsidRDefault="00F20BA7" w:rsidP="002A37DB">
      <w:pPr>
        <w:pStyle w:val="BodyText"/>
        <w:rPr>
          <w:szCs w:val="21"/>
        </w:rPr>
      </w:pPr>
      <w:r w:rsidRPr="00B76767">
        <w:rPr>
          <w:szCs w:val="21"/>
        </w:rPr>
        <w:t xml:space="preserve">Better alignment between expenditure and policy priorities is an important focus of ongoing reforms. </w:t>
      </w:r>
      <w:r w:rsidR="00792CAD" w:rsidRPr="00B76767">
        <w:rPr>
          <w:szCs w:val="21"/>
        </w:rPr>
        <w:t xml:space="preserve">Tonga </w:t>
      </w:r>
      <w:r w:rsidRPr="00B76767">
        <w:rPr>
          <w:szCs w:val="21"/>
        </w:rPr>
        <w:t xml:space="preserve">is undertaking efforts towards improved alignment and has made significant progress over recent years. </w:t>
      </w:r>
      <w:r w:rsidR="00141388">
        <w:rPr>
          <w:szCs w:val="21"/>
        </w:rPr>
        <w:t>For example, o</w:t>
      </w:r>
      <w:r w:rsidR="00141388" w:rsidRPr="0024588B">
        <w:rPr>
          <w:szCs w:val="21"/>
        </w:rPr>
        <w:t xml:space="preserve">ver the reporting period, </w:t>
      </w:r>
      <w:r w:rsidR="00141388">
        <w:rPr>
          <w:szCs w:val="21"/>
        </w:rPr>
        <w:t>T</w:t>
      </w:r>
      <w:r w:rsidR="00141388" w:rsidRPr="00BB173A">
        <w:rPr>
          <w:szCs w:val="21"/>
        </w:rPr>
        <w:t>onga succeeded in maintaining funding allocated to health and education as a share of total expenditure (12</w:t>
      </w:r>
      <w:r w:rsidR="00141388">
        <w:rPr>
          <w:szCs w:val="21"/>
        </w:rPr>
        <w:t xml:space="preserve"> per cent</w:t>
      </w:r>
      <w:r w:rsidR="00141388" w:rsidRPr="00BB173A">
        <w:rPr>
          <w:szCs w:val="21"/>
        </w:rPr>
        <w:t xml:space="preserve"> and 1</w:t>
      </w:r>
      <w:r w:rsidR="00141388">
        <w:rPr>
          <w:szCs w:val="21"/>
        </w:rPr>
        <w:t>6 per cent</w:t>
      </w:r>
      <w:r w:rsidR="00141388" w:rsidRPr="00BB173A">
        <w:rPr>
          <w:szCs w:val="21"/>
        </w:rPr>
        <w:t xml:space="preserve"> respectively).</w:t>
      </w:r>
      <w:r w:rsidR="00141388" w:rsidRPr="004820CE">
        <w:rPr>
          <w:rStyle w:val="FootnoteReference"/>
          <w:rFonts w:ascii="Franklin Gothic Book" w:eastAsia="SimSun" w:hAnsi="Franklin Gothic Book" w:cs="Franklin Gothic Book"/>
          <w:szCs w:val="16"/>
        </w:rPr>
        <w:footnoteReference w:id="12"/>
      </w:r>
      <w:r w:rsidR="00141388" w:rsidRPr="004820CE">
        <w:rPr>
          <w:rStyle w:val="FootnoteReference"/>
          <w:rFonts w:ascii="Franklin Gothic Book" w:eastAsia="SimSun" w:hAnsi="Franklin Gothic Book" w:cs="Franklin Gothic Book"/>
          <w:szCs w:val="16"/>
        </w:rPr>
        <w:t xml:space="preserve"> </w:t>
      </w:r>
    </w:p>
    <w:p w:rsidR="00F20BA7" w:rsidRPr="00B76767" w:rsidRDefault="00F20BA7" w:rsidP="002A37DB">
      <w:pPr>
        <w:pStyle w:val="BodyText"/>
        <w:rPr>
          <w:szCs w:val="21"/>
        </w:rPr>
      </w:pPr>
      <w:r w:rsidRPr="00B76767">
        <w:rPr>
          <w:szCs w:val="21"/>
        </w:rPr>
        <w:t xml:space="preserve">Tonga </w:t>
      </w:r>
      <w:r w:rsidR="00141388">
        <w:rPr>
          <w:szCs w:val="21"/>
        </w:rPr>
        <w:t xml:space="preserve">also </w:t>
      </w:r>
      <w:r w:rsidRPr="00B76767">
        <w:rPr>
          <w:szCs w:val="21"/>
        </w:rPr>
        <w:t>legislated new controls requiring Ministry of Finance approval on transfers between sub-programs of the Budget. This reform represents the culmination of several years’ preparatory activity and will strengthen the link between budget allocations passed by the Parliament and actual expenditure. World Bank analysis indicated that previously, actual expenditure varied from budgeted allocations by more than 20 per</w:t>
      </w:r>
      <w:r w:rsidR="0045791E">
        <w:rPr>
          <w:szCs w:val="21"/>
        </w:rPr>
        <w:t xml:space="preserve"> </w:t>
      </w:r>
      <w:r w:rsidRPr="00B76767">
        <w:rPr>
          <w:szCs w:val="21"/>
        </w:rPr>
        <w:t>cent for 65 per</w:t>
      </w:r>
      <w:r w:rsidR="0045791E">
        <w:rPr>
          <w:szCs w:val="21"/>
        </w:rPr>
        <w:t xml:space="preserve"> </w:t>
      </w:r>
      <w:r w:rsidRPr="00B76767">
        <w:rPr>
          <w:szCs w:val="21"/>
        </w:rPr>
        <w:t>cent of sub-programs across government. Nearly 20 per</w:t>
      </w:r>
      <w:r w:rsidR="0045791E">
        <w:rPr>
          <w:szCs w:val="21"/>
        </w:rPr>
        <w:t xml:space="preserve"> </w:t>
      </w:r>
      <w:r w:rsidRPr="00B76767">
        <w:rPr>
          <w:szCs w:val="21"/>
        </w:rPr>
        <w:t>cent of sub-programs were subject to variances of more than 50 per</w:t>
      </w:r>
      <w:r w:rsidR="0045791E">
        <w:rPr>
          <w:szCs w:val="21"/>
        </w:rPr>
        <w:t xml:space="preserve"> </w:t>
      </w:r>
      <w:r w:rsidRPr="00B76767">
        <w:rPr>
          <w:szCs w:val="21"/>
        </w:rPr>
        <w:t>cent of budget allocation.</w:t>
      </w:r>
    </w:p>
    <w:p w:rsidR="00F20BA7" w:rsidRPr="00B92F1A" w:rsidRDefault="00F20BA7" w:rsidP="00B92F1A">
      <w:pPr>
        <w:pStyle w:val="BodyText"/>
        <w:rPr>
          <w:i/>
          <w:szCs w:val="21"/>
        </w:rPr>
      </w:pPr>
      <w:r w:rsidRPr="00B92F1A">
        <w:rPr>
          <w:i/>
          <w:szCs w:val="21"/>
        </w:rPr>
        <w:t>Strengthening Fiscal Policy</w:t>
      </w:r>
    </w:p>
    <w:p w:rsidR="00F20BA7" w:rsidRPr="00B76767" w:rsidRDefault="00F20BA7" w:rsidP="00B76767">
      <w:pPr>
        <w:pStyle w:val="BodyText"/>
        <w:rPr>
          <w:szCs w:val="21"/>
        </w:rPr>
      </w:pPr>
      <w:r w:rsidRPr="00B76767">
        <w:rPr>
          <w:szCs w:val="21"/>
        </w:rPr>
        <w:t xml:space="preserve">The Government </w:t>
      </w:r>
      <w:r w:rsidR="00132524">
        <w:rPr>
          <w:szCs w:val="21"/>
        </w:rPr>
        <w:t xml:space="preserve">of Tonga </w:t>
      </w:r>
      <w:r w:rsidRPr="00B76767">
        <w:rPr>
          <w:szCs w:val="21"/>
        </w:rPr>
        <w:t xml:space="preserve">is pursuing an ambitious tax reform agenda, guided by a review of tax policy and administration supported by Australia, as well as policies to use fiscal instruments to address health challenges. The review recommended reforms to reduce tax exemptions and concessions to improve transparency and reduce revenue loss; the introduction of a presumptive tax for Small and Medium Enterprises (SMEs) and new tax regimes for natural resources and land rentals. This work is being progressed with Australian aid support for technical assistance and major tax and customs IT upgrades. </w:t>
      </w:r>
    </w:p>
    <w:p w:rsidR="00F20BA7" w:rsidRDefault="00F20BA7" w:rsidP="00B76767">
      <w:pPr>
        <w:pStyle w:val="BodyText"/>
        <w:rPr>
          <w:szCs w:val="21"/>
        </w:rPr>
      </w:pPr>
      <w:r w:rsidRPr="00B76767">
        <w:rPr>
          <w:szCs w:val="21"/>
        </w:rPr>
        <w:t>Over the reporting period, Tonga also approved a new rules-based system to manage all requests for discretionary tax exemptions.  A framework for standardi</w:t>
      </w:r>
      <w:r w:rsidR="0045791E">
        <w:rPr>
          <w:szCs w:val="21"/>
        </w:rPr>
        <w:t>s</w:t>
      </w:r>
      <w:r w:rsidRPr="00B76767">
        <w:rPr>
          <w:szCs w:val="21"/>
        </w:rPr>
        <w:t xml:space="preserve">ed and transparent investment incentives was also introduced, in order to support priority investment in a fiscally sustainable manner. The government also introduced tax increases on cigarettes, alcohol and fatty foods, to </w:t>
      </w:r>
      <w:r w:rsidR="00580007">
        <w:rPr>
          <w:szCs w:val="21"/>
        </w:rPr>
        <w:t>encourage</w:t>
      </w:r>
      <w:r w:rsidRPr="00B76767">
        <w:rPr>
          <w:szCs w:val="21"/>
        </w:rPr>
        <w:t xml:space="preserve"> healthy choices by consumers. </w:t>
      </w:r>
    </w:p>
    <w:p w:rsidR="00AF54D5" w:rsidRPr="00B92F1A" w:rsidRDefault="00AF54D5" w:rsidP="00AF54D5">
      <w:pPr>
        <w:pStyle w:val="BodyText"/>
        <w:rPr>
          <w:szCs w:val="21"/>
        </w:rPr>
      </w:pPr>
      <w:r w:rsidRPr="00B92F1A">
        <w:rPr>
          <w:szCs w:val="21"/>
        </w:rPr>
        <w:t xml:space="preserve">Engagement in October 2013 of a Tax Compliance and Audit Adviser with Tonga’s Customs Department has helped improve the valuation, classification and audit of imported goods.  </w:t>
      </w:r>
      <w:r w:rsidR="00C95B98" w:rsidRPr="00B92F1A">
        <w:rPr>
          <w:szCs w:val="21"/>
        </w:rPr>
        <w:t>A joint approach to op</w:t>
      </w:r>
      <w:r w:rsidRPr="00B92F1A">
        <w:rPr>
          <w:szCs w:val="21"/>
        </w:rPr>
        <w:t xml:space="preserve">erational efficiencies in the Compliance and Audit Division resulted in 41 per cent of total outstanding tax compliance cases being resolved, generating approximately </w:t>
      </w:r>
      <w:r w:rsidR="0045791E">
        <w:rPr>
          <w:szCs w:val="21"/>
        </w:rPr>
        <w:t>A</w:t>
      </w:r>
      <w:r w:rsidRPr="00B92F1A">
        <w:rPr>
          <w:szCs w:val="21"/>
        </w:rPr>
        <w:t xml:space="preserve">$954,510 in additional revenue.  </w:t>
      </w:r>
    </w:p>
    <w:p w:rsidR="00F20BA7" w:rsidRPr="00B92F1A" w:rsidRDefault="00F20BA7" w:rsidP="00B92F1A">
      <w:pPr>
        <w:pStyle w:val="BodyText"/>
        <w:rPr>
          <w:i/>
          <w:szCs w:val="21"/>
        </w:rPr>
      </w:pPr>
      <w:r w:rsidRPr="00B92F1A">
        <w:rPr>
          <w:i/>
          <w:szCs w:val="21"/>
        </w:rPr>
        <w:t>Procurement reform</w:t>
      </w:r>
    </w:p>
    <w:p w:rsidR="00A640AF" w:rsidRDefault="00F20BA7" w:rsidP="00B76767">
      <w:pPr>
        <w:pStyle w:val="BodyText"/>
        <w:rPr>
          <w:szCs w:val="21"/>
        </w:rPr>
      </w:pPr>
      <w:r w:rsidRPr="00B76767">
        <w:rPr>
          <w:szCs w:val="21"/>
        </w:rPr>
        <w:t>Strong progress was achieved by Tonga over the 2013-14 reporting period on implementation of the Government’s Procurement Reform Action Plan, which outlines a set of regulatory and procedural reforms to progressively address weaknesses and build a more robust and efficient procurement system</w:t>
      </w:r>
      <w:r w:rsidR="00A640AF">
        <w:rPr>
          <w:szCs w:val="21"/>
        </w:rPr>
        <w:t>.  T</w:t>
      </w:r>
      <w:r w:rsidRPr="00B76767">
        <w:rPr>
          <w:szCs w:val="21"/>
        </w:rPr>
        <w:t>he Reform Plan was developed with support from the Australian Aid Program as part of Australia’s 2012-13 performance-linked aid, and reported on in the 2012-13 APPR.</w:t>
      </w:r>
      <w:r w:rsidR="00A640AF">
        <w:rPr>
          <w:szCs w:val="21"/>
        </w:rPr>
        <w:t xml:space="preserve"> </w:t>
      </w:r>
    </w:p>
    <w:p w:rsidR="00A640AF" w:rsidRPr="00A640AF" w:rsidRDefault="00F20BA7" w:rsidP="00A640AF">
      <w:pPr>
        <w:pStyle w:val="BodyText"/>
        <w:rPr>
          <w:szCs w:val="21"/>
        </w:rPr>
      </w:pPr>
      <w:r w:rsidRPr="00B76767">
        <w:rPr>
          <w:szCs w:val="21"/>
        </w:rPr>
        <w:t>A restructured Central Procurement Unit</w:t>
      </w:r>
      <w:r w:rsidR="00D31A0A">
        <w:rPr>
          <w:szCs w:val="21"/>
        </w:rPr>
        <w:t>, supported by two Australian-aid funded procurement specialists,</w:t>
      </w:r>
      <w:r w:rsidRPr="00B76767">
        <w:rPr>
          <w:szCs w:val="21"/>
        </w:rPr>
        <w:t xml:space="preserve"> </w:t>
      </w:r>
      <w:r w:rsidR="00A640AF">
        <w:rPr>
          <w:szCs w:val="21"/>
        </w:rPr>
        <w:t xml:space="preserve">was </w:t>
      </w:r>
      <w:r w:rsidRPr="00B76767">
        <w:rPr>
          <w:szCs w:val="21"/>
        </w:rPr>
        <w:t>established in the Ministry of Finance and National Planning</w:t>
      </w:r>
      <w:r w:rsidR="00D31A0A">
        <w:rPr>
          <w:szCs w:val="21"/>
        </w:rPr>
        <w:t>. T</w:t>
      </w:r>
      <w:r w:rsidRPr="00B76767">
        <w:rPr>
          <w:szCs w:val="21"/>
        </w:rPr>
        <w:t xml:space="preserve">he contract value threshold for all procurement to be handled by the Central Procurement Unit has been reduced from TOP 30,000 to TOP 7,500. The lowering of the contract value threshold will increase the oversight of the </w:t>
      </w:r>
      <w:r w:rsidR="00A640AF" w:rsidRPr="00B76767">
        <w:rPr>
          <w:szCs w:val="21"/>
        </w:rPr>
        <w:lastRenderedPageBreak/>
        <w:t xml:space="preserve">Central Procurement Unit </w:t>
      </w:r>
      <w:r w:rsidRPr="00B76767">
        <w:rPr>
          <w:szCs w:val="21"/>
        </w:rPr>
        <w:t xml:space="preserve">for a large </w:t>
      </w:r>
      <w:r w:rsidR="0023649B">
        <w:rPr>
          <w:szCs w:val="21"/>
        </w:rPr>
        <w:t>proportion</w:t>
      </w:r>
      <w:r w:rsidRPr="00B76767">
        <w:rPr>
          <w:szCs w:val="21"/>
        </w:rPr>
        <w:t xml:space="preserve"> of government procurement and help address capacity constraints for the key processes of tendering and awarding contracts.</w:t>
      </w:r>
      <w:r w:rsidR="00A640AF">
        <w:rPr>
          <w:szCs w:val="21"/>
        </w:rPr>
        <w:t xml:space="preserve">  </w:t>
      </w:r>
      <w:r w:rsidR="00A640AF" w:rsidRPr="00B92F1A">
        <w:rPr>
          <w:szCs w:val="21"/>
        </w:rPr>
        <w:t xml:space="preserve">In addition, a review of the Public Procurement Regulations (2010) commenced and Central Procurement Unit staffing levels were increased to full capacity.  Work commenced on refining standard bidding documents and producing a procurement practitioner’s manual. </w:t>
      </w:r>
      <w:r w:rsidR="00621D9D" w:rsidRPr="00B92F1A">
        <w:rPr>
          <w:szCs w:val="21"/>
        </w:rPr>
        <w:t>C</w:t>
      </w:r>
      <w:r w:rsidR="00A640AF" w:rsidRPr="00B92F1A">
        <w:rPr>
          <w:szCs w:val="21"/>
        </w:rPr>
        <w:t xml:space="preserve">ommon use items procurement, starting with government travel, </w:t>
      </w:r>
      <w:r w:rsidR="00621D9D" w:rsidRPr="00B92F1A">
        <w:rPr>
          <w:szCs w:val="21"/>
        </w:rPr>
        <w:t xml:space="preserve">commenced </w:t>
      </w:r>
      <w:r w:rsidR="00A640AF" w:rsidRPr="00B92F1A">
        <w:rPr>
          <w:szCs w:val="21"/>
        </w:rPr>
        <w:t xml:space="preserve">with </w:t>
      </w:r>
      <w:r w:rsidR="00621D9D" w:rsidRPr="00B92F1A">
        <w:rPr>
          <w:szCs w:val="21"/>
        </w:rPr>
        <w:t>a view to achieving</w:t>
      </w:r>
      <w:r w:rsidR="00A640AF" w:rsidRPr="00B92F1A">
        <w:rPr>
          <w:szCs w:val="21"/>
        </w:rPr>
        <w:t xml:space="preserve"> better value for money</w:t>
      </w:r>
      <w:r w:rsidR="00621D9D" w:rsidRPr="00B92F1A">
        <w:rPr>
          <w:szCs w:val="21"/>
        </w:rPr>
        <w:t xml:space="preserve"> across government</w:t>
      </w:r>
      <w:r w:rsidR="00A640AF" w:rsidRPr="00B92F1A">
        <w:rPr>
          <w:szCs w:val="21"/>
        </w:rPr>
        <w:t xml:space="preserve">. </w:t>
      </w:r>
    </w:p>
    <w:p w:rsidR="00F20BA7" w:rsidRPr="00B92F1A" w:rsidRDefault="00F20BA7" w:rsidP="00B92F1A">
      <w:pPr>
        <w:pStyle w:val="BodyText"/>
        <w:rPr>
          <w:b/>
          <w:szCs w:val="21"/>
        </w:rPr>
      </w:pPr>
      <w:r w:rsidRPr="00B92F1A">
        <w:rPr>
          <w:b/>
          <w:szCs w:val="21"/>
        </w:rPr>
        <w:t>Benchmark 2: Reducing debt</w:t>
      </w:r>
    </w:p>
    <w:p w:rsidR="00F20BA7" w:rsidRPr="00B76767" w:rsidRDefault="00F20BA7" w:rsidP="00B76767">
      <w:pPr>
        <w:pStyle w:val="BodyText"/>
        <w:rPr>
          <w:szCs w:val="21"/>
        </w:rPr>
      </w:pPr>
      <w:r w:rsidRPr="00B76767">
        <w:rPr>
          <w:szCs w:val="21"/>
        </w:rPr>
        <w:t xml:space="preserve">The Government has successfully implemented and remains committed to a policy to avoid any new non-concessional borrowing, and debt levels have been trending downwards. Public and </w:t>
      </w:r>
      <w:r w:rsidR="00D31A0A">
        <w:rPr>
          <w:szCs w:val="21"/>
        </w:rPr>
        <w:t>Publicly</w:t>
      </w:r>
      <w:r w:rsidRPr="00B76767">
        <w:rPr>
          <w:szCs w:val="21"/>
        </w:rPr>
        <w:t>-Guaranteed (PPG) external debt has fallen from 41.9 per</w:t>
      </w:r>
      <w:r w:rsidR="0045791E">
        <w:rPr>
          <w:szCs w:val="21"/>
        </w:rPr>
        <w:t xml:space="preserve"> </w:t>
      </w:r>
      <w:r w:rsidRPr="00B76767">
        <w:rPr>
          <w:szCs w:val="21"/>
        </w:rPr>
        <w:t>cent of GDP in FY2012 to 40.8 per</w:t>
      </w:r>
      <w:r w:rsidR="0045791E">
        <w:rPr>
          <w:szCs w:val="21"/>
        </w:rPr>
        <w:t xml:space="preserve"> </w:t>
      </w:r>
      <w:r w:rsidRPr="00B76767">
        <w:rPr>
          <w:szCs w:val="21"/>
        </w:rPr>
        <w:t>cent in FY2014 and is expected to fall further to 38.3 percent by FY2016.</w:t>
      </w:r>
    </w:p>
    <w:p w:rsidR="00F20BA7" w:rsidRPr="00B76767" w:rsidRDefault="00F20BA7" w:rsidP="00B76767">
      <w:pPr>
        <w:pStyle w:val="BodyText"/>
        <w:rPr>
          <w:szCs w:val="21"/>
        </w:rPr>
      </w:pPr>
      <w:r w:rsidRPr="00B76767">
        <w:rPr>
          <w:szCs w:val="21"/>
        </w:rPr>
        <w:t>As a result the IMF and the World Bank downgraded Tonga’s debt distress rating from high to moderate.</w:t>
      </w:r>
    </w:p>
    <w:p w:rsidR="00F20BA7" w:rsidRPr="00B92F1A" w:rsidRDefault="00F20BA7" w:rsidP="00B92F1A">
      <w:pPr>
        <w:pStyle w:val="BodyText"/>
        <w:rPr>
          <w:b/>
          <w:szCs w:val="21"/>
        </w:rPr>
      </w:pPr>
      <w:r w:rsidRPr="00B92F1A">
        <w:rPr>
          <w:b/>
          <w:szCs w:val="21"/>
        </w:rPr>
        <w:t xml:space="preserve">Benchmark 3: Enhancing the Business-Enabling Environment </w:t>
      </w:r>
    </w:p>
    <w:p w:rsidR="00F20BA7" w:rsidRPr="00B76767" w:rsidRDefault="00F20BA7" w:rsidP="00B76767">
      <w:pPr>
        <w:pStyle w:val="BodyText"/>
        <w:rPr>
          <w:szCs w:val="21"/>
        </w:rPr>
      </w:pPr>
      <w:r w:rsidRPr="00B76767">
        <w:rPr>
          <w:szCs w:val="21"/>
        </w:rPr>
        <w:t xml:space="preserve">Since the </w:t>
      </w:r>
      <w:r w:rsidR="007D5B31">
        <w:rPr>
          <w:szCs w:val="21"/>
        </w:rPr>
        <w:t xml:space="preserve">Global Economic Crisis </w:t>
      </w:r>
      <w:r w:rsidRPr="00B76767">
        <w:rPr>
          <w:szCs w:val="21"/>
        </w:rPr>
        <w:t>and in the context of ongoing declines in remittances, the Government</w:t>
      </w:r>
      <w:r w:rsidR="00DD53F2">
        <w:rPr>
          <w:szCs w:val="21"/>
        </w:rPr>
        <w:t xml:space="preserve"> of Tonga</w:t>
      </w:r>
      <w:r w:rsidRPr="00B76767">
        <w:rPr>
          <w:szCs w:val="21"/>
        </w:rPr>
        <w:t xml:space="preserve"> has stepped up its commitment to business environment reforms as a means of encouraging investment and private sector development. Since 2007, Tonga has made significant progress in strengthening the business regulatory environment and corporati</w:t>
      </w:r>
      <w:r w:rsidR="0045791E">
        <w:rPr>
          <w:szCs w:val="21"/>
        </w:rPr>
        <w:t>s</w:t>
      </w:r>
      <w:r w:rsidRPr="00B76767">
        <w:rPr>
          <w:szCs w:val="21"/>
        </w:rPr>
        <w:t>ing and privati</w:t>
      </w:r>
      <w:r w:rsidR="0045791E">
        <w:rPr>
          <w:szCs w:val="21"/>
        </w:rPr>
        <w:t>s</w:t>
      </w:r>
      <w:r w:rsidRPr="00B76767">
        <w:rPr>
          <w:szCs w:val="21"/>
        </w:rPr>
        <w:t xml:space="preserve">ing several </w:t>
      </w:r>
      <w:r w:rsidR="007D5B31">
        <w:rPr>
          <w:szCs w:val="21"/>
        </w:rPr>
        <w:t>state-owned enterprises (</w:t>
      </w:r>
      <w:r w:rsidRPr="00B76767">
        <w:rPr>
          <w:szCs w:val="21"/>
        </w:rPr>
        <w:t>SOEs</w:t>
      </w:r>
      <w:r w:rsidR="007D5B31">
        <w:rPr>
          <w:szCs w:val="21"/>
        </w:rPr>
        <w:t>)</w:t>
      </w:r>
      <w:r w:rsidRPr="00B76767">
        <w:rPr>
          <w:szCs w:val="21"/>
        </w:rPr>
        <w:t xml:space="preserve">. Reflecting these reforms, Tonga is now the highest ranked Pacific Islands Country in the </w:t>
      </w:r>
      <w:r w:rsidR="002D2A6B">
        <w:rPr>
          <w:szCs w:val="21"/>
        </w:rPr>
        <w:t xml:space="preserve">ADB’s </w:t>
      </w:r>
      <w:r w:rsidRPr="00B76767">
        <w:rPr>
          <w:szCs w:val="21"/>
        </w:rPr>
        <w:t xml:space="preserve">Doing Business Survey, having moved up three places and above Fiji in the last year. Despite the significant steps taken, more remains to be done, including addressing constraints to </w:t>
      </w:r>
      <w:r w:rsidR="00106C8D">
        <w:rPr>
          <w:szCs w:val="21"/>
        </w:rPr>
        <w:t xml:space="preserve">SOE </w:t>
      </w:r>
      <w:r w:rsidRPr="00B76767">
        <w:rPr>
          <w:szCs w:val="21"/>
        </w:rPr>
        <w:t xml:space="preserve">performance. </w:t>
      </w:r>
    </w:p>
    <w:p w:rsidR="00F20BA7" w:rsidRDefault="00F20BA7" w:rsidP="00B76767">
      <w:pPr>
        <w:pStyle w:val="BodyText"/>
        <w:rPr>
          <w:szCs w:val="21"/>
        </w:rPr>
      </w:pPr>
      <w:r w:rsidRPr="00B76767">
        <w:rPr>
          <w:szCs w:val="21"/>
        </w:rPr>
        <w:t>Tonga also took forward measures to reduce regulatory impediments to increased foreign direct investment (FDI), a key driver of growth and job creation. The government approved a revised policy framework for foreign investment to enable more foreign investment in the fisheries and agriculture sector.</w:t>
      </w:r>
    </w:p>
    <w:p w:rsidR="00106C8D" w:rsidRPr="00B92F1A" w:rsidRDefault="00106C8D" w:rsidP="00B92F1A">
      <w:pPr>
        <w:pStyle w:val="BodyText"/>
        <w:rPr>
          <w:szCs w:val="21"/>
        </w:rPr>
      </w:pPr>
      <w:r>
        <w:rPr>
          <w:szCs w:val="21"/>
        </w:rPr>
        <w:t>In 2013-14 key program achievements</w:t>
      </w:r>
      <w:r w:rsidRPr="00B01E2E">
        <w:rPr>
          <w:szCs w:val="21"/>
        </w:rPr>
        <w:t xml:space="preserve"> included the preparation of an amended SOE Act, governance training</w:t>
      </w:r>
      <w:r>
        <w:rPr>
          <w:szCs w:val="21"/>
        </w:rPr>
        <w:t xml:space="preserve"> for SOE Boards</w:t>
      </w:r>
      <w:r w:rsidRPr="00B01E2E">
        <w:rPr>
          <w:szCs w:val="21"/>
        </w:rPr>
        <w:t>, the development of a director performance appraisal system and a skill-based director selection process, and training to assist in implementing the provisions of the amended SOE Act.</w:t>
      </w:r>
      <w:r w:rsidRPr="00B92F1A">
        <w:rPr>
          <w:szCs w:val="21"/>
        </w:rPr>
        <w:t xml:space="preserve">  </w:t>
      </w:r>
    </w:p>
    <w:p w:rsidR="000A1AFF" w:rsidRPr="00B92F1A" w:rsidRDefault="000A1AFF" w:rsidP="00F874E3">
      <w:pPr>
        <w:pStyle w:val="BodyText"/>
        <w:keepNext/>
        <w:rPr>
          <w:b/>
          <w:szCs w:val="21"/>
        </w:rPr>
      </w:pPr>
      <w:r w:rsidRPr="00B92F1A">
        <w:rPr>
          <w:b/>
          <w:szCs w:val="21"/>
        </w:rPr>
        <w:t xml:space="preserve">Political governance </w:t>
      </w:r>
    </w:p>
    <w:p w:rsidR="000A1AFF" w:rsidRPr="00B92F1A" w:rsidRDefault="000A1AFF" w:rsidP="00F874E3">
      <w:pPr>
        <w:pStyle w:val="BodyText"/>
        <w:keepNext/>
        <w:rPr>
          <w:szCs w:val="21"/>
        </w:rPr>
      </w:pPr>
      <w:r w:rsidRPr="00B92F1A">
        <w:rPr>
          <w:szCs w:val="21"/>
        </w:rPr>
        <w:t>The ‘Tonga Governance Strengthening Program’ (TGSP) was agreed by Tonga, Australia and the UN</w:t>
      </w:r>
      <w:r w:rsidR="00663B18" w:rsidRPr="00B92F1A">
        <w:rPr>
          <w:szCs w:val="21"/>
        </w:rPr>
        <w:t xml:space="preserve"> </w:t>
      </w:r>
      <w:r w:rsidRPr="00B92F1A">
        <w:rPr>
          <w:szCs w:val="21"/>
        </w:rPr>
        <w:t>D</w:t>
      </w:r>
      <w:r w:rsidR="00663B18" w:rsidRPr="00B92F1A">
        <w:rPr>
          <w:szCs w:val="21"/>
        </w:rPr>
        <w:t xml:space="preserve">evelopment </w:t>
      </w:r>
      <w:r w:rsidRPr="00B92F1A">
        <w:rPr>
          <w:szCs w:val="21"/>
        </w:rPr>
        <w:t>P</w:t>
      </w:r>
      <w:r w:rsidR="00663B18" w:rsidRPr="00B92F1A">
        <w:rPr>
          <w:szCs w:val="21"/>
        </w:rPr>
        <w:t>rogram</w:t>
      </w:r>
      <w:r w:rsidRPr="00B92F1A">
        <w:rPr>
          <w:szCs w:val="21"/>
        </w:rPr>
        <w:t xml:space="preserve"> </w:t>
      </w:r>
      <w:r w:rsidR="00B96E00">
        <w:rPr>
          <w:szCs w:val="21"/>
        </w:rPr>
        <w:t xml:space="preserve">(UNDP) </w:t>
      </w:r>
      <w:r w:rsidRPr="00B92F1A">
        <w:rPr>
          <w:szCs w:val="21"/>
        </w:rPr>
        <w:t>in April 2013.  TGSP is implemented by UN</w:t>
      </w:r>
      <w:r w:rsidR="00663B18" w:rsidRPr="00B92F1A">
        <w:rPr>
          <w:szCs w:val="21"/>
        </w:rPr>
        <w:t xml:space="preserve"> Development Program </w:t>
      </w:r>
      <w:r w:rsidRPr="00B92F1A">
        <w:rPr>
          <w:szCs w:val="21"/>
        </w:rPr>
        <w:t>and aims to work with Tonga’s Parliament, Electoral Commission</w:t>
      </w:r>
      <w:r w:rsidR="00E82B59">
        <w:rPr>
          <w:szCs w:val="21"/>
        </w:rPr>
        <w:t xml:space="preserve"> (TEC)</w:t>
      </w:r>
      <w:r w:rsidRPr="00B92F1A">
        <w:rPr>
          <w:szCs w:val="21"/>
        </w:rPr>
        <w:t xml:space="preserve"> and civil society to increase their effectiveness and build community understanding of their roles and responsibilities. </w:t>
      </w:r>
    </w:p>
    <w:p w:rsidR="000A1AFF" w:rsidRPr="00B92F1A" w:rsidRDefault="000A1AFF" w:rsidP="000A1AFF">
      <w:pPr>
        <w:pStyle w:val="BodyText"/>
        <w:rPr>
          <w:szCs w:val="21"/>
        </w:rPr>
      </w:pPr>
      <w:r w:rsidRPr="00B92F1A">
        <w:rPr>
          <w:szCs w:val="21"/>
        </w:rPr>
        <w:t xml:space="preserve">A key success </w:t>
      </w:r>
      <w:r w:rsidR="006F660F" w:rsidRPr="00B92F1A">
        <w:rPr>
          <w:szCs w:val="21"/>
        </w:rPr>
        <w:t xml:space="preserve">of the program </w:t>
      </w:r>
      <w:r w:rsidRPr="00B92F1A">
        <w:rPr>
          <w:szCs w:val="21"/>
        </w:rPr>
        <w:t>was the Women’s Practice Parliament</w:t>
      </w:r>
      <w:r w:rsidR="006F660F" w:rsidRPr="00B92F1A">
        <w:rPr>
          <w:szCs w:val="21"/>
        </w:rPr>
        <w:t>,</w:t>
      </w:r>
      <w:r w:rsidR="00FD6364" w:rsidRPr="00B92F1A">
        <w:rPr>
          <w:szCs w:val="21"/>
        </w:rPr>
        <w:t xml:space="preserve"> </w:t>
      </w:r>
      <w:r w:rsidRPr="00B92F1A">
        <w:rPr>
          <w:szCs w:val="21"/>
        </w:rPr>
        <w:t>which promoted the participation of Tongan women as potential future political leaders, important</w:t>
      </w:r>
      <w:r w:rsidR="006F660F" w:rsidRPr="00B92F1A">
        <w:rPr>
          <w:szCs w:val="21"/>
        </w:rPr>
        <w:t xml:space="preserve"> in the context of</w:t>
      </w:r>
      <w:r w:rsidRPr="00B92F1A">
        <w:rPr>
          <w:szCs w:val="21"/>
        </w:rPr>
        <w:t xml:space="preserve"> </w:t>
      </w:r>
      <w:r w:rsidR="00663B18" w:rsidRPr="00B92F1A">
        <w:rPr>
          <w:szCs w:val="21"/>
        </w:rPr>
        <w:t xml:space="preserve">November 2014 </w:t>
      </w:r>
      <w:r w:rsidRPr="00B92F1A">
        <w:rPr>
          <w:szCs w:val="21"/>
        </w:rPr>
        <w:t xml:space="preserve">national elections. TGSP subsequently provided training for potential candidates through its Women’s Leadership </w:t>
      </w:r>
      <w:r w:rsidR="00663B18" w:rsidRPr="00B92F1A">
        <w:rPr>
          <w:szCs w:val="21"/>
        </w:rPr>
        <w:t>C</w:t>
      </w:r>
      <w:r w:rsidRPr="00B92F1A">
        <w:rPr>
          <w:szCs w:val="21"/>
        </w:rPr>
        <w:t xml:space="preserve">ampaign workshop. </w:t>
      </w:r>
    </w:p>
    <w:p w:rsidR="00663B18" w:rsidRPr="00B92F1A" w:rsidRDefault="000A1AFF" w:rsidP="00B92F1A">
      <w:pPr>
        <w:pStyle w:val="BodyText"/>
        <w:rPr>
          <w:szCs w:val="21"/>
        </w:rPr>
      </w:pPr>
      <w:r w:rsidRPr="00B92F1A">
        <w:rPr>
          <w:szCs w:val="21"/>
        </w:rPr>
        <w:t>As part of TGSP, the Australian Electoral Commission</w:t>
      </w:r>
      <w:r w:rsidR="00E82B59">
        <w:rPr>
          <w:szCs w:val="21"/>
        </w:rPr>
        <w:t xml:space="preserve"> (AEC)</w:t>
      </w:r>
      <w:r w:rsidRPr="00B92F1A">
        <w:rPr>
          <w:szCs w:val="21"/>
        </w:rPr>
        <w:t xml:space="preserve"> is helping Tonga to prepare for the 2014 national elections.  The </w:t>
      </w:r>
      <w:r w:rsidR="00E82B59">
        <w:rPr>
          <w:szCs w:val="21"/>
        </w:rPr>
        <w:t xml:space="preserve">AEC </w:t>
      </w:r>
      <w:r w:rsidRPr="00B92F1A">
        <w:rPr>
          <w:szCs w:val="21"/>
        </w:rPr>
        <w:t xml:space="preserve">has supported the </w:t>
      </w:r>
      <w:r w:rsidR="00E82B59">
        <w:rPr>
          <w:szCs w:val="21"/>
        </w:rPr>
        <w:t xml:space="preserve">TEC </w:t>
      </w:r>
      <w:r w:rsidRPr="00B92F1A">
        <w:rPr>
          <w:szCs w:val="21"/>
        </w:rPr>
        <w:t xml:space="preserve">since January 2014 by updating electoral rolls, holding </w:t>
      </w:r>
      <w:r w:rsidR="00E82B59">
        <w:rPr>
          <w:szCs w:val="21"/>
        </w:rPr>
        <w:t xml:space="preserve">a </w:t>
      </w:r>
      <w:r w:rsidR="0050683D" w:rsidRPr="00B92F1A">
        <w:rPr>
          <w:szCs w:val="21"/>
        </w:rPr>
        <w:t>t</w:t>
      </w:r>
      <w:r w:rsidR="002569A5" w:rsidRPr="00B92F1A">
        <w:rPr>
          <w:szCs w:val="21"/>
        </w:rPr>
        <w:t xml:space="preserve">raining </w:t>
      </w:r>
      <w:r w:rsidRPr="00B92F1A">
        <w:rPr>
          <w:szCs w:val="21"/>
        </w:rPr>
        <w:t xml:space="preserve">workshop; providing a </w:t>
      </w:r>
      <w:r w:rsidR="00663B18" w:rsidRPr="00B92F1A">
        <w:rPr>
          <w:szCs w:val="21"/>
        </w:rPr>
        <w:t>v</w:t>
      </w:r>
      <w:r w:rsidRPr="00B92F1A">
        <w:rPr>
          <w:szCs w:val="21"/>
        </w:rPr>
        <w:t xml:space="preserve">oter </w:t>
      </w:r>
      <w:r w:rsidR="00663B18" w:rsidRPr="00B92F1A">
        <w:rPr>
          <w:szCs w:val="21"/>
        </w:rPr>
        <w:t>e</w:t>
      </w:r>
      <w:r w:rsidRPr="00B92F1A">
        <w:rPr>
          <w:szCs w:val="21"/>
        </w:rPr>
        <w:t xml:space="preserve">ducation training package and </w:t>
      </w:r>
      <w:r w:rsidR="00663B18" w:rsidRPr="00B92F1A">
        <w:rPr>
          <w:szCs w:val="21"/>
        </w:rPr>
        <w:t xml:space="preserve">initiated </w:t>
      </w:r>
      <w:r w:rsidRPr="00B92F1A">
        <w:rPr>
          <w:szCs w:val="21"/>
        </w:rPr>
        <w:t xml:space="preserve">a comprehensive voter registration </w:t>
      </w:r>
      <w:r w:rsidR="002569A5" w:rsidRPr="00B92F1A">
        <w:rPr>
          <w:szCs w:val="21"/>
        </w:rPr>
        <w:t>system</w:t>
      </w:r>
      <w:r w:rsidRPr="00B92F1A">
        <w:rPr>
          <w:szCs w:val="21"/>
        </w:rPr>
        <w:t xml:space="preserve"> based on contemporary technology. </w:t>
      </w:r>
      <w:r w:rsidR="00663B18" w:rsidRPr="00B92F1A">
        <w:rPr>
          <w:szCs w:val="21"/>
        </w:rPr>
        <w:t xml:space="preserve"> The </w:t>
      </w:r>
      <w:r w:rsidR="00B96E00">
        <w:rPr>
          <w:szCs w:val="21"/>
        </w:rPr>
        <w:t xml:space="preserve">AEC </w:t>
      </w:r>
      <w:r w:rsidR="00663B18" w:rsidRPr="00B92F1A">
        <w:rPr>
          <w:szCs w:val="21"/>
        </w:rPr>
        <w:t xml:space="preserve">has also provided ongoing support to the </w:t>
      </w:r>
      <w:r w:rsidR="00B96E00">
        <w:rPr>
          <w:szCs w:val="21"/>
        </w:rPr>
        <w:t xml:space="preserve">TEC </w:t>
      </w:r>
      <w:r w:rsidR="00663B18" w:rsidRPr="00B92F1A">
        <w:rPr>
          <w:szCs w:val="21"/>
        </w:rPr>
        <w:t>for the administration of national and local-level elections.</w:t>
      </w:r>
    </w:p>
    <w:p w:rsidR="00D43420" w:rsidRDefault="00D43420" w:rsidP="00B92F1A">
      <w:pPr>
        <w:pStyle w:val="BodyText"/>
        <w:rPr>
          <w:szCs w:val="21"/>
        </w:rPr>
      </w:pPr>
      <w:r w:rsidRPr="0054064D">
        <w:rPr>
          <w:szCs w:val="21"/>
        </w:rPr>
        <w:lastRenderedPageBreak/>
        <w:t xml:space="preserve">Despite </w:t>
      </w:r>
      <w:r>
        <w:rPr>
          <w:szCs w:val="21"/>
        </w:rPr>
        <w:t xml:space="preserve">these </w:t>
      </w:r>
      <w:r w:rsidRPr="0054064D">
        <w:rPr>
          <w:szCs w:val="21"/>
        </w:rPr>
        <w:t>gains, TGSP has</w:t>
      </w:r>
      <w:r>
        <w:rPr>
          <w:szCs w:val="21"/>
        </w:rPr>
        <w:t xml:space="preserve"> also </w:t>
      </w:r>
      <w:r w:rsidRPr="0054064D">
        <w:rPr>
          <w:szCs w:val="21"/>
        </w:rPr>
        <w:t>experienced setbacks</w:t>
      </w:r>
      <w:r>
        <w:rPr>
          <w:szCs w:val="21"/>
        </w:rPr>
        <w:t xml:space="preserve">. </w:t>
      </w:r>
      <w:r w:rsidR="00663B18">
        <w:rPr>
          <w:szCs w:val="21"/>
        </w:rPr>
        <w:t xml:space="preserve"> Australia </w:t>
      </w:r>
      <w:r>
        <w:rPr>
          <w:szCs w:val="21"/>
        </w:rPr>
        <w:t xml:space="preserve">and </w:t>
      </w:r>
      <w:r w:rsidR="00B96E00">
        <w:rPr>
          <w:szCs w:val="21"/>
        </w:rPr>
        <w:t xml:space="preserve">UNDP </w:t>
      </w:r>
      <w:r>
        <w:rPr>
          <w:szCs w:val="21"/>
        </w:rPr>
        <w:t>are working together to address issues within the program including delays</w:t>
      </w:r>
      <w:r w:rsidRPr="0054064D">
        <w:rPr>
          <w:szCs w:val="21"/>
        </w:rPr>
        <w:t xml:space="preserve"> and</w:t>
      </w:r>
      <w:r>
        <w:rPr>
          <w:szCs w:val="21"/>
        </w:rPr>
        <w:t xml:space="preserve"> ongoing challenges with program monitoring and evaluation, communication and reporting requirements. These challenges have impacted on </w:t>
      </w:r>
      <w:r w:rsidR="00663B18">
        <w:rPr>
          <w:szCs w:val="21"/>
        </w:rPr>
        <w:t xml:space="preserve">Australia’s </w:t>
      </w:r>
      <w:r>
        <w:rPr>
          <w:szCs w:val="21"/>
        </w:rPr>
        <w:t xml:space="preserve">ability to fully </w:t>
      </w:r>
      <w:r w:rsidRPr="0054064D">
        <w:rPr>
          <w:szCs w:val="21"/>
        </w:rPr>
        <w:t>asses</w:t>
      </w:r>
      <w:r>
        <w:rPr>
          <w:szCs w:val="21"/>
        </w:rPr>
        <w:t>s</w:t>
      </w:r>
      <w:r w:rsidRPr="0054064D">
        <w:rPr>
          <w:szCs w:val="21"/>
        </w:rPr>
        <w:t xml:space="preserve"> the project’s overall progress</w:t>
      </w:r>
      <w:r>
        <w:rPr>
          <w:szCs w:val="21"/>
        </w:rPr>
        <w:t xml:space="preserve"> to date</w:t>
      </w:r>
      <w:r w:rsidR="00FD6364">
        <w:rPr>
          <w:szCs w:val="21"/>
        </w:rPr>
        <w:t>.</w:t>
      </w:r>
      <w:r>
        <w:rPr>
          <w:szCs w:val="21"/>
        </w:rPr>
        <w:t xml:space="preserve"> </w:t>
      </w:r>
    </w:p>
    <w:p w:rsidR="00112ABA" w:rsidRPr="00183E12" w:rsidRDefault="003C59A4" w:rsidP="00852234">
      <w:pPr>
        <w:tabs>
          <w:tab w:val="left" w:pos="2552"/>
        </w:tabs>
        <w:rPr>
          <w:rFonts w:ascii="Helvetica" w:hAnsi="Helvetica" w:cs="Arial"/>
          <w:bCs/>
          <w:color w:val="007FAD"/>
          <w:kern w:val="28"/>
          <w:sz w:val="28"/>
          <w:szCs w:val="28"/>
        </w:rPr>
      </w:pPr>
      <w:r w:rsidRPr="00425076">
        <w:rPr>
          <w:rFonts w:ascii="Helvetica" w:hAnsi="Helvetica" w:cs="Arial"/>
          <w:bCs/>
          <w:color w:val="007FAD"/>
          <w:kern w:val="28"/>
          <w:sz w:val="28"/>
          <w:szCs w:val="28"/>
        </w:rPr>
        <w:t>Objective:</w:t>
      </w:r>
      <w:r w:rsidR="00F13EE0" w:rsidRPr="00425076">
        <w:rPr>
          <w:rFonts w:ascii="Helvetica" w:hAnsi="Helvetica" w:cs="Arial"/>
          <w:bCs/>
          <w:color w:val="007FAD"/>
          <w:kern w:val="28"/>
          <w:sz w:val="28"/>
          <w:szCs w:val="28"/>
        </w:rPr>
        <w:t xml:space="preserve"> Improved </w:t>
      </w:r>
      <w:r w:rsidR="002D2A6B">
        <w:rPr>
          <w:rFonts w:ascii="Helvetica" w:hAnsi="Helvetica" w:cs="Arial"/>
          <w:bCs/>
          <w:color w:val="007FAD"/>
          <w:kern w:val="28"/>
          <w:sz w:val="28"/>
          <w:szCs w:val="28"/>
        </w:rPr>
        <w:t xml:space="preserve">Basic Education and </w:t>
      </w:r>
      <w:r w:rsidR="00B97DD5">
        <w:rPr>
          <w:rFonts w:ascii="Helvetica" w:hAnsi="Helvetica" w:cs="Arial"/>
          <w:bCs/>
          <w:color w:val="007FAD"/>
          <w:kern w:val="28"/>
          <w:sz w:val="28"/>
          <w:szCs w:val="28"/>
        </w:rPr>
        <w:t>T</w:t>
      </w:r>
      <w:r w:rsidR="00F13EE0" w:rsidRPr="00425076">
        <w:rPr>
          <w:rFonts w:ascii="Helvetica" w:hAnsi="Helvetica" w:cs="Arial"/>
          <w:bCs/>
          <w:color w:val="007FAD"/>
          <w:kern w:val="28"/>
          <w:sz w:val="28"/>
          <w:szCs w:val="28"/>
        </w:rPr>
        <w:t>echnical</w:t>
      </w:r>
      <w:r w:rsidR="00112ABA">
        <w:rPr>
          <w:rFonts w:ascii="Helvetica" w:hAnsi="Helvetica" w:cs="Arial"/>
          <w:bCs/>
          <w:color w:val="007FAD"/>
          <w:kern w:val="28"/>
          <w:sz w:val="28"/>
          <w:szCs w:val="28"/>
        </w:rPr>
        <w:t xml:space="preserve"> </w:t>
      </w:r>
      <w:r w:rsidR="00112ABA" w:rsidRPr="00183E12">
        <w:rPr>
          <w:rFonts w:ascii="Helvetica" w:hAnsi="Helvetica" w:cs="Arial"/>
          <w:bCs/>
          <w:color w:val="007FAD"/>
          <w:kern w:val="28"/>
          <w:sz w:val="28"/>
          <w:szCs w:val="28"/>
        </w:rPr>
        <w:t xml:space="preserve">and </w:t>
      </w:r>
      <w:r w:rsidR="00B97DD5">
        <w:rPr>
          <w:rFonts w:ascii="Helvetica" w:hAnsi="Helvetica" w:cs="Arial"/>
          <w:bCs/>
          <w:color w:val="007FAD"/>
          <w:kern w:val="28"/>
          <w:sz w:val="28"/>
          <w:szCs w:val="28"/>
        </w:rPr>
        <w:t>V</w:t>
      </w:r>
      <w:r w:rsidR="00112ABA" w:rsidRPr="00183E12">
        <w:rPr>
          <w:rFonts w:ascii="Helvetica" w:hAnsi="Helvetica" w:cs="Arial"/>
          <w:bCs/>
          <w:color w:val="007FAD"/>
          <w:kern w:val="28"/>
          <w:sz w:val="28"/>
          <w:szCs w:val="28"/>
        </w:rPr>
        <w:t>o</w:t>
      </w:r>
      <w:r w:rsidR="0021567C">
        <w:rPr>
          <w:rFonts w:ascii="Helvetica" w:hAnsi="Helvetica" w:cs="Arial"/>
          <w:bCs/>
          <w:color w:val="007FAD"/>
          <w:kern w:val="28"/>
          <w:sz w:val="28"/>
          <w:szCs w:val="28"/>
        </w:rPr>
        <w:t xml:space="preserve">cational Education and Training </w:t>
      </w:r>
      <w:r w:rsidR="00112ABA" w:rsidRPr="00183E12">
        <w:rPr>
          <w:rFonts w:ascii="Helvetica" w:hAnsi="Helvetica" w:cs="Arial"/>
          <w:bCs/>
          <w:color w:val="007FAD"/>
          <w:kern w:val="28"/>
          <w:sz w:val="28"/>
          <w:szCs w:val="28"/>
        </w:rPr>
        <w:t>skills</w:t>
      </w:r>
      <w:r w:rsidR="00B97DD5">
        <w:rPr>
          <w:rFonts w:ascii="Helvetica" w:hAnsi="Helvetica" w:cs="Arial"/>
          <w:bCs/>
          <w:color w:val="007FAD"/>
          <w:kern w:val="28"/>
          <w:sz w:val="28"/>
          <w:szCs w:val="28"/>
        </w:rPr>
        <w:t xml:space="preserve"> </w:t>
      </w:r>
    </w:p>
    <w:p w:rsidR="002C509D" w:rsidRPr="003609E9" w:rsidRDefault="00365382" w:rsidP="00F33463">
      <w:pPr>
        <w:pStyle w:val="BodyText"/>
        <w:rPr>
          <w:szCs w:val="21"/>
        </w:rPr>
      </w:pPr>
      <w:r>
        <w:rPr>
          <w:szCs w:val="21"/>
        </w:rPr>
        <w:t xml:space="preserve">Performance against this objective in 2013-14 was satisfactory.  </w:t>
      </w:r>
      <w:r w:rsidR="003609E9">
        <w:rPr>
          <w:szCs w:val="21"/>
        </w:rPr>
        <w:t>Corrective</w:t>
      </w:r>
      <w:r w:rsidR="003609E9" w:rsidRPr="003609E9">
        <w:rPr>
          <w:szCs w:val="21"/>
        </w:rPr>
        <w:t xml:space="preserve"> </w:t>
      </w:r>
      <w:r w:rsidR="00627CD6">
        <w:rPr>
          <w:szCs w:val="21"/>
        </w:rPr>
        <w:t xml:space="preserve">action was </w:t>
      </w:r>
      <w:r w:rsidR="00EE1500" w:rsidRPr="003609E9">
        <w:rPr>
          <w:szCs w:val="21"/>
        </w:rPr>
        <w:t>taken</w:t>
      </w:r>
      <w:r w:rsidR="001619CC" w:rsidRPr="003609E9">
        <w:rPr>
          <w:szCs w:val="21"/>
        </w:rPr>
        <w:t xml:space="preserve"> to end</w:t>
      </w:r>
      <w:r w:rsidR="00AE10D4" w:rsidRPr="003609E9">
        <w:rPr>
          <w:szCs w:val="21"/>
        </w:rPr>
        <w:t xml:space="preserve"> </w:t>
      </w:r>
      <w:r w:rsidR="001619CC" w:rsidRPr="003609E9">
        <w:rPr>
          <w:szCs w:val="21"/>
        </w:rPr>
        <w:t>the previous</w:t>
      </w:r>
      <w:r w:rsidR="003609E9">
        <w:rPr>
          <w:szCs w:val="21"/>
        </w:rPr>
        <w:t xml:space="preserve"> </w:t>
      </w:r>
      <w:r w:rsidR="00DA437B" w:rsidRPr="003609E9">
        <w:rPr>
          <w:szCs w:val="21"/>
        </w:rPr>
        <w:t xml:space="preserve">Tonga Technical </w:t>
      </w:r>
      <w:r>
        <w:rPr>
          <w:szCs w:val="21"/>
        </w:rPr>
        <w:t xml:space="preserve">and </w:t>
      </w:r>
      <w:r w:rsidR="00DA437B" w:rsidRPr="003609E9">
        <w:rPr>
          <w:szCs w:val="21"/>
        </w:rPr>
        <w:t xml:space="preserve">Vocational Education and Training </w:t>
      </w:r>
      <w:r w:rsidR="00D301D0">
        <w:rPr>
          <w:szCs w:val="21"/>
        </w:rPr>
        <w:t xml:space="preserve">(TVET) </w:t>
      </w:r>
      <w:r w:rsidR="00DA437B" w:rsidRPr="003609E9">
        <w:rPr>
          <w:szCs w:val="21"/>
        </w:rPr>
        <w:t xml:space="preserve">Support Program </w:t>
      </w:r>
      <w:r w:rsidR="00F33463">
        <w:rPr>
          <w:szCs w:val="21"/>
        </w:rPr>
        <w:t>which was underperforming</w:t>
      </w:r>
      <w:r w:rsidR="00093570">
        <w:rPr>
          <w:szCs w:val="21"/>
        </w:rPr>
        <w:t xml:space="preserve">. </w:t>
      </w:r>
      <w:r w:rsidR="00F33463">
        <w:rPr>
          <w:szCs w:val="21"/>
        </w:rPr>
        <w:t xml:space="preserve">The </w:t>
      </w:r>
      <w:r>
        <w:rPr>
          <w:szCs w:val="21"/>
        </w:rPr>
        <w:t xml:space="preserve">replacement </w:t>
      </w:r>
      <w:r w:rsidR="003838F3">
        <w:rPr>
          <w:szCs w:val="21"/>
        </w:rPr>
        <w:t xml:space="preserve">TVET </w:t>
      </w:r>
      <w:r w:rsidR="002C509D" w:rsidRPr="003609E9">
        <w:rPr>
          <w:szCs w:val="21"/>
        </w:rPr>
        <w:t xml:space="preserve">program </w:t>
      </w:r>
      <w:r w:rsidR="00093570">
        <w:rPr>
          <w:szCs w:val="21"/>
        </w:rPr>
        <w:t>made good early progress</w:t>
      </w:r>
      <w:r>
        <w:rPr>
          <w:szCs w:val="21"/>
        </w:rPr>
        <w:t xml:space="preserve"> during the reporting period</w:t>
      </w:r>
      <w:r w:rsidR="002B5667">
        <w:rPr>
          <w:szCs w:val="21"/>
        </w:rPr>
        <w:t xml:space="preserve">, particularly </w:t>
      </w:r>
      <w:r w:rsidR="005F2163">
        <w:rPr>
          <w:szCs w:val="21"/>
        </w:rPr>
        <w:t xml:space="preserve">with the </w:t>
      </w:r>
      <w:r w:rsidR="005A689B">
        <w:rPr>
          <w:szCs w:val="21"/>
        </w:rPr>
        <w:t xml:space="preserve">release of </w:t>
      </w:r>
      <w:r w:rsidR="005F2163">
        <w:rPr>
          <w:szCs w:val="21"/>
        </w:rPr>
        <w:t xml:space="preserve">Tonga’s </w:t>
      </w:r>
      <w:r w:rsidR="005F2163" w:rsidRPr="00132D54">
        <w:rPr>
          <w:i/>
          <w:szCs w:val="21"/>
        </w:rPr>
        <w:t>Draft National TVET Policy Framework 2013–2017</w:t>
      </w:r>
      <w:r w:rsidR="005F2163">
        <w:rPr>
          <w:szCs w:val="21"/>
        </w:rPr>
        <w:t xml:space="preserve"> (developed with support from Australia) </w:t>
      </w:r>
      <w:r w:rsidR="00D301D0">
        <w:rPr>
          <w:szCs w:val="21"/>
        </w:rPr>
        <w:t xml:space="preserve">to reform Tonga’s TVET system from one </w:t>
      </w:r>
      <w:r w:rsidR="00D301D0" w:rsidRPr="007249AC">
        <w:rPr>
          <w:szCs w:val="21"/>
        </w:rPr>
        <w:t>driven by supply</w:t>
      </w:r>
      <w:r w:rsidR="00D301D0">
        <w:rPr>
          <w:szCs w:val="21"/>
        </w:rPr>
        <w:t xml:space="preserve"> </w:t>
      </w:r>
      <w:r w:rsidR="00D301D0" w:rsidRPr="007249AC">
        <w:rPr>
          <w:szCs w:val="21"/>
        </w:rPr>
        <w:t xml:space="preserve">to </w:t>
      </w:r>
      <w:r w:rsidR="00D301D0">
        <w:rPr>
          <w:szCs w:val="21"/>
        </w:rPr>
        <w:t xml:space="preserve">one </w:t>
      </w:r>
      <w:r w:rsidR="00D301D0" w:rsidRPr="007249AC">
        <w:rPr>
          <w:szCs w:val="21"/>
        </w:rPr>
        <w:t>driven by demand</w:t>
      </w:r>
      <w:r w:rsidR="003838F3">
        <w:rPr>
          <w:szCs w:val="21"/>
        </w:rPr>
        <w:t xml:space="preserve">. A </w:t>
      </w:r>
      <w:r w:rsidR="005A689B">
        <w:rPr>
          <w:szCs w:val="21"/>
        </w:rPr>
        <w:t xml:space="preserve">managing contractor </w:t>
      </w:r>
      <w:r w:rsidR="003838F3">
        <w:rPr>
          <w:szCs w:val="21"/>
        </w:rPr>
        <w:t>was also engaged to deliver accredited TVET courses</w:t>
      </w:r>
      <w:r w:rsidR="004820CE">
        <w:rPr>
          <w:szCs w:val="21"/>
        </w:rPr>
        <w:t xml:space="preserve"> </w:t>
      </w:r>
      <w:r w:rsidR="00915692">
        <w:rPr>
          <w:szCs w:val="21"/>
        </w:rPr>
        <w:t>and the establishment of a</w:t>
      </w:r>
      <w:r w:rsidR="00915692" w:rsidRPr="00E32E8A">
        <w:rPr>
          <w:szCs w:val="21"/>
        </w:rPr>
        <w:t xml:space="preserve"> F</w:t>
      </w:r>
      <w:r w:rsidR="00915692">
        <w:rPr>
          <w:szCs w:val="21"/>
        </w:rPr>
        <w:t xml:space="preserve">acility Management Group which includes Tongan government participation </w:t>
      </w:r>
      <w:r w:rsidR="004820CE">
        <w:rPr>
          <w:szCs w:val="21"/>
        </w:rPr>
        <w:t xml:space="preserve">will </w:t>
      </w:r>
      <w:r w:rsidR="00915692">
        <w:rPr>
          <w:szCs w:val="21"/>
        </w:rPr>
        <w:t xml:space="preserve">provide </w:t>
      </w:r>
      <w:r w:rsidR="004820CE">
        <w:rPr>
          <w:szCs w:val="21"/>
        </w:rPr>
        <w:t>oversight</w:t>
      </w:r>
      <w:r w:rsidR="00D14164">
        <w:rPr>
          <w:szCs w:val="21"/>
        </w:rPr>
        <w:t xml:space="preserve"> of its</w:t>
      </w:r>
      <w:r w:rsidR="004E7EAF">
        <w:rPr>
          <w:szCs w:val="21"/>
        </w:rPr>
        <w:t xml:space="preserve"> operations and strategy</w:t>
      </w:r>
      <w:r w:rsidR="00D14164">
        <w:rPr>
          <w:szCs w:val="21"/>
        </w:rPr>
        <w:t>. T</w:t>
      </w:r>
      <w:r w:rsidR="004820CE">
        <w:rPr>
          <w:szCs w:val="21"/>
        </w:rPr>
        <w:t xml:space="preserve">he </w:t>
      </w:r>
      <w:r w:rsidR="005A689B">
        <w:rPr>
          <w:szCs w:val="21"/>
        </w:rPr>
        <w:t>labour market</w:t>
      </w:r>
      <w:r w:rsidR="00D14164">
        <w:rPr>
          <w:szCs w:val="21"/>
        </w:rPr>
        <w:t xml:space="preserve"> in Tonga and the Pacific region</w:t>
      </w:r>
      <w:r w:rsidR="005A689B">
        <w:rPr>
          <w:szCs w:val="21"/>
        </w:rPr>
        <w:t xml:space="preserve"> has been analysed to ensure demand driven training courses are offered</w:t>
      </w:r>
      <w:r w:rsidR="003838F3">
        <w:rPr>
          <w:szCs w:val="21"/>
        </w:rPr>
        <w:t>.</w:t>
      </w:r>
    </w:p>
    <w:p w:rsidR="00FE0A7A" w:rsidRPr="00C7654E" w:rsidRDefault="0071157E" w:rsidP="00F33463">
      <w:pPr>
        <w:pStyle w:val="BodyText"/>
        <w:rPr>
          <w:i/>
          <w:szCs w:val="21"/>
        </w:rPr>
      </w:pPr>
      <w:r w:rsidRPr="00C7654E">
        <w:rPr>
          <w:i/>
          <w:szCs w:val="21"/>
        </w:rPr>
        <w:t>Tonga Education Support Program – Phase 2</w:t>
      </w:r>
      <w:r w:rsidR="00E41532" w:rsidRPr="00C7654E">
        <w:rPr>
          <w:i/>
          <w:szCs w:val="21"/>
        </w:rPr>
        <w:t xml:space="preserve"> (TESP2)</w:t>
      </w:r>
    </w:p>
    <w:p w:rsidR="00CA6124" w:rsidRDefault="0053264E" w:rsidP="0060258D">
      <w:pPr>
        <w:pStyle w:val="BodyText"/>
        <w:rPr>
          <w:szCs w:val="21"/>
        </w:rPr>
      </w:pPr>
      <w:r>
        <w:rPr>
          <w:szCs w:val="21"/>
        </w:rPr>
        <w:t>Australia also supports basic education in Tonga</w:t>
      </w:r>
      <w:r w:rsidR="004820CE">
        <w:rPr>
          <w:szCs w:val="21"/>
        </w:rPr>
        <w:t xml:space="preserve"> through TESP2</w:t>
      </w:r>
      <w:r w:rsidR="0066312A">
        <w:rPr>
          <w:szCs w:val="21"/>
        </w:rPr>
        <w:t xml:space="preserve">. </w:t>
      </w:r>
      <w:r w:rsidR="0060258D" w:rsidRPr="00BE00F8">
        <w:rPr>
          <w:szCs w:val="21"/>
        </w:rPr>
        <w:t>Key achievements</w:t>
      </w:r>
      <w:r w:rsidR="0060258D">
        <w:rPr>
          <w:szCs w:val="21"/>
        </w:rPr>
        <w:t xml:space="preserve"> against TESP2 targets </w:t>
      </w:r>
      <w:r w:rsidR="0060258D" w:rsidRPr="00BE00F8">
        <w:rPr>
          <w:szCs w:val="21"/>
        </w:rPr>
        <w:t>for 2013–14</w:t>
      </w:r>
      <w:r w:rsidR="00CA6124">
        <w:rPr>
          <w:szCs w:val="21"/>
        </w:rPr>
        <w:t xml:space="preserve"> </w:t>
      </w:r>
      <w:r w:rsidR="003B5ACE">
        <w:rPr>
          <w:szCs w:val="21"/>
        </w:rPr>
        <w:t>are described below.</w:t>
      </w:r>
      <w:r w:rsidR="0060258D" w:rsidRPr="00AB0863">
        <w:t xml:space="preserve"> </w:t>
      </w:r>
      <w:r w:rsidR="0060258D">
        <w:t xml:space="preserve">  </w:t>
      </w:r>
    </w:p>
    <w:p w:rsidR="00147E3E" w:rsidRDefault="00147E3E" w:rsidP="00AD1F6D">
      <w:pPr>
        <w:pStyle w:val="ListBullet"/>
        <w:numPr>
          <w:ilvl w:val="0"/>
          <w:numId w:val="30"/>
        </w:numPr>
        <w:rPr>
          <w:szCs w:val="21"/>
        </w:rPr>
      </w:pPr>
      <w:r>
        <w:rPr>
          <w:szCs w:val="21"/>
        </w:rPr>
        <w:t>Improvement of</w:t>
      </w:r>
      <w:r w:rsidR="0060258D" w:rsidRPr="008D0360">
        <w:rPr>
          <w:szCs w:val="21"/>
        </w:rPr>
        <w:t xml:space="preserve"> student learning outcomes and teacher quality</w:t>
      </w:r>
      <w:r w:rsidR="0021567C">
        <w:rPr>
          <w:szCs w:val="21"/>
        </w:rPr>
        <w:t>.</w:t>
      </w:r>
    </w:p>
    <w:p w:rsidR="00147E3E" w:rsidRDefault="0021567C" w:rsidP="00147E3E">
      <w:pPr>
        <w:pStyle w:val="ListBullet"/>
        <w:numPr>
          <w:ilvl w:val="1"/>
          <w:numId w:val="30"/>
        </w:numPr>
        <w:rPr>
          <w:szCs w:val="21"/>
        </w:rPr>
      </w:pPr>
      <w:r>
        <w:rPr>
          <w:szCs w:val="21"/>
        </w:rPr>
        <w:t>C</w:t>
      </w:r>
      <w:r w:rsidR="0060258D" w:rsidRPr="008D0360">
        <w:rPr>
          <w:szCs w:val="21"/>
        </w:rPr>
        <w:t>urriculum materials for classes 1 to 8 were revised</w:t>
      </w:r>
      <w:r w:rsidR="00CA6124">
        <w:rPr>
          <w:szCs w:val="21"/>
        </w:rPr>
        <w:t xml:space="preserve"> to </w:t>
      </w:r>
      <w:r w:rsidR="0060258D" w:rsidRPr="008D0360">
        <w:rPr>
          <w:szCs w:val="21"/>
        </w:rPr>
        <w:t>improve teaching strategies and student learning outcomes</w:t>
      </w:r>
      <w:r>
        <w:rPr>
          <w:szCs w:val="21"/>
        </w:rPr>
        <w:t>.</w:t>
      </w:r>
      <w:r w:rsidR="00CA6124">
        <w:rPr>
          <w:szCs w:val="21"/>
        </w:rPr>
        <w:t xml:space="preserve"> </w:t>
      </w:r>
    </w:p>
    <w:p w:rsidR="00CA6124" w:rsidRDefault="0021567C" w:rsidP="00147E3E">
      <w:pPr>
        <w:pStyle w:val="ListBullet"/>
        <w:numPr>
          <w:ilvl w:val="1"/>
          <w:numId w:val="30"/>
        </w:numPr>
        <w:rPr>
          <w:szCs w:val="21"/>
        </w:rPr>
      </w:pPr>
      <w:r>
        <w:rPr>
          <w:szCs w:val="21"/>
        </w:rPr>
        <w:t>O</w:t>
      </w:r>
      <w:r w:rsidR="00CA6124">
        <w:rPr>
          <w:szCs w:val="21"/>
        </w:rPr>
        <w:t>ver</w:t>
      </w:r>
      <w:r w:rsidR="0060258D" w:rsidRPr="008D0360">
        <w:rPr>
          <w:szCs w:val="21"/>
        </w:rPr>
        <w:t xml:space="preserve"> 30</w:t>
      </w:r>
      <w:r w:rsidR="0060258D" w:rsidRPr="00CA6124">
        <w:rPr>
          <w:rFonts w:ascii="Arial" w:hAnsi="Arial" w:cs="Arial"/>
          <w:sz w:val="18"/>
          <w:szCs w:val="18"/>
        </w:rPr>
        <w:t xml:space="preserve"> </w:t>
      </w:r>
      <w:r w:rsidR="0060258D" w:rsidRPr="008D0360">
        <w:rPr>
          <w:szCs w:val="21"/>
        </w:rPr>
        <w:t xml:space="preserve">untrained primary school teachers and 120 secondary school teachers </w:t>
      </w:r>
      <w:r w:rsidR="00CA6124">
        <w:rPr>
          <w:szCs w:val="21"/>
        </w:rPr>
        <w:t>were provided with</w:t>
      </w:r>
      <w:r w:rsidR="00756DD8">
        <w:rPr>
          <w:szCs w:val="21"/>
        </w:rPr>
        <w:t xml:space="preserve"> </w:t>
      </w:r>
      <w:r w:rsidR="0060258D" w:rsidRPr="008D0360">
        <w:rPr>
          <w:szCs w:val="21"/>
        </w:rPr>
        <w:t>training and professional development at the Tonga Institute of Education</w:t>
      </w:r>
      <w:r>
        <w:rPr>
          <w:szCs w:val="21"/>
        </w:rPr>
        <w:t>.</w:t>
      </w:r>
    </w:p>
    <w:p w:rsidR="00147E3E" w:rsidRDefault="00147E3E" w:rsidP="00147E3E">
      <w:pPr>
        <w:pStyle w:val="ListBullet"/>
        <w:numPr>
          <w:ilvl w:val="1"/>
          <w:numId w:val="30"/>
        </w:numPr>
        <w:rPr>
          <w:szCs w:val="21"/>
        </w:rPr>
      </w:pPr>
      <w:r>
        <w:rPr>
          <w:szCs w:val="21"/>
        </w:rPr>
        <w:t xml:space="preserve">Tonga’s Ministry of Education and Training </w:t>
      </w:r>
      <w:r w:rsidRPr="008D0360">
        <w:rPr>
          <w:szCs w:val="21"/>
        </w:rPr>
        <w:t>staff appraisal policy was approved and training for 366 principals and school officers was completed</w:t>
      </w:r>
      <w:r w:rsidR="003B5ACE">
        <w:rPr>
          <w:szCs w:val="21"/>
        </w:rPr>
        <w:t>.</w:t>
      </w:r>
    </w:p>
    <w:p w:rsidR="00147E3E" w:rsidRDefault="003B5ACE" w:rsidP="00AD1F6D">
      <w:pPr>
        <w:pStyle w:val="ListBullet"/>
        <w:numPr>
          <w:ilvl w:val="0"/>
          <w:numId w:val="30"/>
        </w:numPr>
        <w:rPr>
          <w:szCs w:val="21"/>
        </w:rPr>
      </w:pPr>
      <w:r>
        <w:rPr>
          <w:szCs w:val="21"/>
        </w:rPr>
        <w:t>I</w:t>
      </w:r>
      <w:r w:rsidR="0047483B">
        <w:rPr>
          <w:szCs w:val="21"/>
        </w:rPr>
        <w:t>mprove</w:t>
      </w:r>
      <w:r w:rsidR="00147E3E">
        <w:rPr>
          <w:szCs w:val="21"/>
        </w:rPr>
        <w:t>d</w:t>
      </w:r>
      <w:r w:rsidR="0047483B">
        <w:rPr>
          <w:szCs w:val="21"/>
        </w:rPr>
        <w:t xml:space="preserve"> access to education</w:t>
      </w:r>
    </w:p>
    <w:p w:rsidR="00147E3E" w:rsidRDefault="00F25644" w:rsidP="00147E3E">
      <w:pPr>
        <w:pStyle w:val="ListBullet"/>
        <w:numPr>
          <w:ilvl w:val="1"/>
          <w:numId w:val="30"/>
        </w:numPr>
        <w:rPr>
          <w:szCs w:val="21"/>
        </w:rPr>
      </w:pPr>
      <w:r>
        <w:rPr>
          <w:szCs w:val="21"/>
        </w:rPr>
        <w:t>A</w:t>
      </w:r>
      <w:r w:rsidR="003B5ACE">
        <w:rPr>
          <w:szCs w:val="21"/>
        </w:rPr>
        <w:t xml:space="preserve"> </w:t>
      </w:r>
      <w:r w:rsidR="0047483B" w:rsidRPr="0065725F">
        <w:rPr>
          <w:szCs w:val="21"/>
        </w:rPr>
        <w:t xml:space="preserve">scoping report of </w:t>
      </w:r>
      <w:r w:rsidR="0057528D">
        <w:rPr>
          <w:szCs w:val="21"/>
        </w:rPr>
        <w:t>e</w:t>
      </w:r>
      <w:r w:rsidR="0047483B" w:rsidRPr="0065725F">
        <w:rPr>
          <w:szCs w:val="21"/>
        </w:rPr>
        <w:t xml:space="preserve">arly </w:t>
      </w:r>
      <w:r w:rsidR="0057528D">
        <w:rPr>
          <w:szCs w:val="21"/>
        </w:rPr>
        <w:t>c</w:t>
      </w:r>
      <w:r w:rsidR="0047483B" w:rsidRPr="0065725F">
        <w:rPr>
          <w:szCs w:val="21"/>
        </w:rPr>
        <w:t xml:space="preserve">hildhood </w:t>
      </w:r>
      <w:r w:rsidR="0057528D">
        <w:rPr>
          <w:szCs w:val="21"/>
        </w:rPr>
        <w:t>e</w:t>
      </w:r>
      <w:r w:rsidR="0047483B" w:rsidRPr="0065725F">
        <w:rPr>
          <w:szCs w:val="21"/>
        </w:rPr>
        <w:t xml:space="preserve">ducation needs </w:t>
      </w:r>
      <w:r>
        <w:rPr>
          <w:szCs w:val="21"/>
        </w:rPr>
        <w:t xml:space="preserve">was </w:t>
      </w:r>
      <w:r w:rsidR="0047483B">
        <w:rPr>
          <w:szCs w:val="21"/>
        </w:rPr>
        <w:t>c</w:t>
      </w:r>
      <w:r w:rsidR="0047483B" w:rsidRPr="0065725F">
        <w:rPr>
          <w:szCs w:val="21"/>
        </w:rPr>
        <w:t xml:space="preserve">ompleted. Identifying </w:t>
      </w:r>
      <w:r w:rsidR="0057528D">
        <w:rPr>
          <w:szCs w:val="21"/>
        </w:rPr>
        <w:t>e</w:t>
      </w:r>
      <w:r w:rsidR="0057528D" w:rsidRPr="0065725F">
        <w:rPr>
          <w:szCs w:val="21"/>
        </w:rPr>
        <w:t xml:space="preserve">arly </w:t>
      </w:r>
      <w:r w:rsidR="0057528D">
        <w:rPr>
          <w:szCs w:val="21"/>
        </w:rPr>
        <w:t>c</w:t>
      </w:r>
      <w:r w:rsidR="0057528D" w:rsidRPr="0065725F">
        <w:rPr>
          <w:szCs w:val="21"/>
        </w:rPr>
        <w:t xml:space="preserve">hildhood </w:t>
      </w:r>
      <w:r w:rsidR="0057528D">
        <w:rPr>
          <w:szCs w:val="21"/>
        </w:rPr>
        <w:t>e</w:t>
      </w:r>
      <w:r w:rsidR="0057528D" w:rsidRPr="0065725F">
        <w:rPr>
          <w:szCs w:val="21"/>
        </w:rPr>
        <w:t xml:space="preserve">ducation </w:t>
      </w:r>
      <w:r w:rsidR="0047483B" w:rsidRPr="0065725F">
        <w:rPr>
          <w:szCs w:val="21"/>
        </w:rPr>
        <w:t xml:space="preserve">needs </w:t>
      </w:r>
      <w:r w:rsidR="006E3C42">
        <w:rPr>
          <w:szCs w:val="21"/>
        </w:rPr>
        <w:t>helps the program better target areas of priority and inform future resourcing decisions.</w:t>
      </w:r>
      <w:r>
        <w:rPr>
          <w:szCs w:val="21"/>
        </w:rPr>
        <w:t xml:space="preserve"> </w:t>
      </w:r>
      <w:r w:rsidR="006E3C42">
        <w:rPr>
          <w:szCs w:val="21"/>
        </w:rPr>
        <w:t xml:space="preserve"> </w:t>
      </w:r>
      <w:r w:rsidR="0047483B">
        <w:rPr>
          <w:szCs w:val="21"/>
        </w:rPr>
        <w:t xml:space="preserve">This work also </w:t>
      </w:r>
      <w:r w:rsidR="002C1F6B">
        <w:rPr>
          <w:szCs w:val="21"/>
        </w:rPr>
        <w:t xml:space="preserve">informed </w:t>
      </w:r>
      <w:r w:rsidR="0057528D">
        <w:rPr>
          <w:szCs w:val="21"/>
        </w:rPr>
        <w:t>e</w:t>
      </w:r>
      <w:r w:rsidR="0057528D" w:rsidRPr="0065725F">
        <w:rPr>
          <w:szCs w:val="21"/>
        </w:rPr>
        <w:t xml:space="preserve">arly </w:t>
      </w:r>
      <w:r w:rsidR="0057528D">
        <w:rPr>
          <w:szCs w:val="21"/>
        </w:rPr>
        <w:t>c</w:t>
      </w:r>
      <w:r w:rsidR="0057528D" w:rsidRPr="0065725F">
        <w:rPr>
          <w:szCs w:val="21"/>
        </w:rPr>
        <w:t xml:space="preserve">hildhood </w:t>
      </w:r>
      <w:r w:rsidR="0057528D">
        <w:rPr>
          <w:szCs w:val="21"/>
        </w:rPr>
        <w:t>e</w:t>
      </w:r>
      <w:r w:rsidR="0057528D" w:rsidRPr="0065725F">
        <w:rPr>
          <w:szCs w:val="21"/>
        </w:rPr>
        <w:t xml:space="preserve">ducation </w:t>
      </w:r>
      <w:r w:rsidR="0047483B" w:rsidRPr="0065725F">
        <w:rPr>
          <w:szCs w:val="21"/>
        </w:rPr>
        <w:t>materials</w:t>
      </w:r>
      <w:r w:rsidR="0047483B" w:rsidRPr="0007324B">
        <w:rPr>
          <w:szCs w:val="21"/>
        </w:rPr>
        <w:t xml:space="preserve"> for teachers and students. </w:t>
      </w:r>
    </w:p>
    <w:p w:rsidR="0047483B" w:rsidRPr="008D0360" w:rsidRDefault="0047483B" w:rsidP="00147E3E">
      <w:pPr>
        <w:pStyle w:val="ListBullet"/>
        <w:numPr>
          <w:ilvl w:val="1"/>
          <w:numId w:val="30"/>
        </w:numPr>
        <w:rPr>
          <w:szCs w:val="21"/>
        </w:rPr>
      </w:pPr>
      <w:r w:rsidRPr="002E48E3">
        <w:rPr>
          <w:szCs w:val="21"/>
        </w:rPr>
        <w:t xml:space="preserve">CBM - Nossal Institute </w:t>
      </w:r>
      <w:r w:rsidR="00147E3E">
        <w:rPr>
          <w:szCs w:val="21"/>
        </w:rPr>
        <w:t xml:space="preserve">was commissioned </w:t>
      </w:r>
      <w:r w:rsidRPr="002E48E3">
        <w:rPr>
          <w:szCs w:val="21"/>
        </w:rPr>
        <w:t xml:space="preserve">to examine disability inclusiveness challenges in Tonga and provide recommendations for </w:t>
      </w:r>
      <w:r>
        <w:rPr>
          <w:szCs w:val="21"/>
        </w:rPr>
        <w:t>the educati</w:t>
      </w:r>
      <w:r w:rsidRPr="002E48E3">
        <w:rPr>
          <w:szCs w:val="21"/>
        </w:rPr>
        <w:t>on program</w:t>
      </w:r>
    </w:p>
    <w:p w:rsidR="00F25644" w:rsidRPr="003B5ACE" w:rsidRDefault="00F25644" w:rsidP="00F25644">
      <w:pPr>
        <w:pStyle w:val="ListBullet"/>
        <w:numPr>
          <w:ilvl w:val="0"/>
          <w:numId w:val="30"/>
        </w:numPr>
        <w:rPr>
          <w:szCs w:val="21"/>
        </w:rPr>
      </w:pPr>
      <w:r w:rsidRPr="003B5ACE">
        <w:rPr>
          <w:szCs w:val="21"/>
        </w:rPr>
        <w:t xml:space="preserve">A performance assessment framework TESP2 was developed and implemented – </w:t>
      </w:r>
      <w:r w:rsidR="00AD2FB3">
        <w:rPr>
          <w:szCs w:val="21"/>
        </w:rPr>
        <w:t xml:space="preserve">this was </w:t>
      </w:r>
      <w:r w:rsidRPr="003B5ACE">
        <w:rPr>
          <w:szCs w:val="21"/>
        </w:rPr>
        <w:t xml:space="preserve">a critical component of implementation given the challenges faced by the previous program.  </w:t>
      </w:r>
    </w:p>
    <w:p w:rsidR="0047483B" w:rsidRPr="002E48E3" w:rsidRDefault="0047483B" w:rsidP="00F15599">
      <w:pPr>
        <w:spacing w:after="120" w:line="280" w:lineRule="exact"/>
        <w:rPr>
          <w:rFonts w:ascii="Franklin Gothic Book" w:hAnsi="Franklin Gothic Book"/>
          <w:sz w:val="21"/>
          <w:szCs w:val="21"/>
        </w:rPr>
      </w:pPr>
      <w:r>
        <w:rPr>
          <w:rFonts w:ascii="Franklin Gothic Book" w:hAnsi="Franklin Gothic Book"/>
          <w:sz w:val="21"/>
          <w:szCs w:val="21"/>
        </w:rPr>
        <w:t xml:space="preserve">Despite </w:t>
      </w:r>
      <w:r w:rsidR="000A0EB2">
        <w:rPr>
          <w:rFonts w:ascii="Franklin Gothic Book" w:hAnsi="Franklin Gothic Book"/>
          <w:sz w:val="21"/>
          <w:szCs w:val="21"/>
        </w:rPr>
        <w:t xml:space="preserve">the good progress on these fronts, other important elements of the program progressed slowly due to capacity constraints in Tonga’s Ministry of Education, which is responsible for implementation. </w:t>
      </w:r>
    </w:p>
    <w:p w:rsidR="0060258D" w:rsidRDefault="00AD2FB3" w:rsidP="00AD1F6D">
      <w:pPr>
        <w:pStyle w:val="ListBullet"/>
        <w:numPr>
          <w:ilvl w:val="0"/>
          <w:numId w:val="30"/>
        </w:numPr>
        <w:rPr>
          <w:szCs w:val="21"/>
        </w:rPr>
      </w:pPr>
      <w:r>
        <w:rPr>
          <w:szCs w:val="21"/>
        </w:rPr>
        <w:t xml:space="preserve">Development of a </w:t>
      </w:r>
      <w:r w:rsidR="000A0EB2">
        <w:rPr>
          <w:szCs w:val="21"/>
        </w:rPr>
        <w:t>U</w:t>
      </w:r>
      <w:r w:rsidR="0060258D" w:rsidRPr="003F0996">
        <w:rPr>
          <w:szCs w:val="21"/>
        </w:rPr>
        <w:t>nified Grant System</w:t>
      </w:r>
      <w:r w:rsidR="000A0EB2">
        <w:rPr>
          <w:szCs w:val="21"/>
        </w:rPr>
        <w:t xml:space="preserve"> </w:t>
      </w:r>
      <w:r w:rsidR="0060258D" w:rsidRPr="003F0996">
        <w:rPr>
          <w:szCs w:val="21"/>
        </w:rPr>
        <w:t xml:space="preserve">to improve the </w:t>
      </w:r>
      <w:r w:rsidR="0060258D">
        <w:rPr>
          <w:szCs w:val="21"/>
        </w:rPr>
        <w:t>management of</w:t>
      </w:r>
      <w:r w:rsidR="0060258D" w:rsidRPr="003F0996">
        <w:rPr>
          <w:szCs w:val="21"/>
        </w:rPr>
        <w:t xml:space="preserve"> </w:t>
      </w:r>
      <w:r w:rsidR="000A0EB2">
        <w:rPr>
          <w:szCs w:val="21"/>
        </w:rPr>
        <w:t xml:space="preserve">school </w:t>
      </w:r>
      <w:r w:rsidR="0060258D" w:rsidRPr="003F0996">
        <w:rPr>
          <w:szCs w:val="21"/>
        </w:rPr>
        <w:t xml:space="preserve">grants </w:t>
      </w:r>
      <w:r w:rsidR="0060258D">
        <w:rPr>
          <w:szCs w:val="21"/>
        </w:rPr>
        <w:t xml:space="preserve">that are linked to </w:t>
      </w:r>
      <w:r w:rsidR="0060258D" w:rsidRPr="003F0996">
        <w:rPr>
          <w:szCs w:val="21"/>
        </w:rPr>
        <w:t>minimum service standards</w:t>
      </w:r>
      <w:r>
        <w:rPr>
          <w:szCs w:val="21"/>
        </w:rPr>
        <w:t xml:space="preserve"> was delayed</w:t>
      </w:r>
      <w:r w:rsidR="0060258D">
        <w:rPr>
          <w:szCs w:val="21"/>
        </w:rPr>
        <w:t xml:space="preserve">. </w:t>
      </w:r>
    </w:p>
    <w:p w:rsidR="000A0EB2" w:rsidRPr="00AE521C" w:rsidRDefault="000A0EB2" w:rsidP="00AD1F6D">
      <w:pPr>
        <w:pStyle w:val="ListBullet"/>
        <w:numPr>
          <w:ilvl w:val="0"/>
          <w:numId w:val="30"/>
        </w:numPr>
        <w:rPr>
          <w:szCs w:val="21"/>
        </w:rPr>
      </w:pPr>
      <w:r>
        <w:rPr>
          <w:szCs w:val="21"/>
        </w:rPr>
        <w:t xml:space="preserve">An Inclusive Education </w:t>
      </w:r>
      <w:r w:rsidR="00563ED8">
        <w:rPr>
          <w:szCs w:val="21"/>
        </w:rPr>
        <w:t xml:space="preserve">(IE) </w:t>
      </w:r>
      <w:r>
        <w:rPr>
          <w:szCs w:val="21"/>
        </w:rPr>
        <w:t>scoping r</w:t>
      </w:r>
      <w:r w:rsidRPr="00AE521C">
        <w:rPr>
          <w:szCs w:val="21"/>
        </w:rPr>
        <w:t>eport</w:t>
      </w:r>
      <w:r>
        <w:rPr>
          <w:szCs w:val="21"/>
        </w:rPr>
        <w:t xml:space="preserve">, to </w:t>
      </w:r>
      <w:r w:rsidR="00366D74">
        <w:rPr>
          <w:szCs w:val="21"/>
        </w:rPr>
        <w:t xml:space="preserve">develop data on disabilities and a plan for Tonga to improve education for the disabled, </w:t>
      </w:r>
      <w:r w:rsidRPr="00AE521C">
        <w:rPr>
          <w:szCs w:val="21"/>
        </w:rPr>
        <w:t xml:space="preserve">was </w:t>
      </w:r>
      <w:r>
        <w:rPr>
          <w:szCs w:val="21"/>
        </w:rPr>
        <w:t xml:space="preserve">not completed </w:t>
      </w:r>
      <w:r w:rsidR="00366D74">
        <w:rPr>
          <w:szCs w:val="21"/>
        </w:rPr>
        <w:t xml:space="preserve">due to MET’s difficulty in identifying the </w:t>
      </w:r>
      <w:r w:rsidR="00366D74" w:rsidRPr="00AD1F6D">
        <w:t>requirements</w:t>
      </w:r>
      <w:r w:rsidR="00366D74">
        <w:rPr>
          <w:szCs w:val="21"/>
        </w:rPr>
        <w:t xml:space="preserve"> for this work, </w:t>
      </w:r>
      <w:r w:rsidR="0021567C">
        <w:rPr>
          <w:szCs w:val="21"/>
        </w:rPr>
        <w:t xml:space="preserve">which would allow </w:t>
      </w:r>
      <w:r w:rsidR="00366D74">
        <w:rPr>
          <w:szCs w:val="21"/>
        </w:rPr>
        <w:t>recruit</w:t>
      </w:r>
      <w:r w:rsidR="0021567C">
        <w:rPr>
          <w:szCs w:val="21"/>
        </w:rPr>
        <w:t>ment of</w:t>
      </w:r>
      <w:r w:rsidR="00366D74">
        <w:rPr>
          <w:szCs w:val="21"/>
        </w:rPr>
        <w:t xml:space="preserve"> the appropriate </w:t>
      </w:r>
      <w:r>
        <w:rPr>
          <w:szCs w:val="21"/>
        </w:rPr>
        <w:t>technical assistance.</w:t>
      </w:r>
      <w:r w:rsidRPr="00AE521C">
        <w:rPr>
          <w:szCs w:val="21"/>
        </w:rPr>
        <w:t xml:space="preserve"> </w:t>
      </w:r>
      <w:r>
        <w:rPr>
          <w:szCs w:val="21"/>
        </w:rPr>
        <w:t xml:space="preserve">It is intended that this work </w:t>
      </w:r>
      <w:r w:rsidRPr="00AE521C">
        <w:rPr>
          <w:szCs w:val="21"/>
        </w:rPr>
        <w:t xml:space="preserve">provide </w:t>
      </w:r>
      <w:r>
        <w:rPr>
          <w:szCs w:val="21"/>
        </w:rPr>
        <w:t>an improved understanding of Tonga’s</w:t>
      </w:r>
      <w:r w:rsidRPr="00AE521C">
        <w:rPr>
          <w:szCs w:val="21"/>
        </w:rPr>
        <w:t xml:space="preserve"> IE needs to inform the </w:t>
      </w:r>
      <w:r w:rsidRPr="00AE521C">
        <w:rPr>
          <w:szCs w:val="21"/>
        </w:rPr>
        <w:lastRenderedPageBreak/>
        <w:t xml:space="preserve">development of learning and teaching resources, physical facilities, capacity building and professional development of IE staff. </w:t>
      </w:r>
    </w:p>
    <w:p w:rsidR="000A0EB2" w:rsidRPr="008D0360" w:rsidRDefault="00AD2FB3" w:rsidP="008D0360">
      <w:pPr>
        <w:spacing w:line="280" w:lineRule="exact"/>
        <w:contextualSpacing/>
        <w:rPr>
          <w:rFonts w:ascii="Franklin Gothic Book" w:hAnsi="Franklin Gothic Book"/>
          <w:sz w:val="21"/>
          <w:szCs w:val="21"/>
        </w:rPr>
      </w:pPr>
      <w:r>
        <w:rPr>
          <w:rFonts w:ascii="Franklin Gothic Book" w:hAnsi="Franklin Gothic Book"/>
          <w:sz w:val="21"/>
          <w:szCs w:val="21"/>
        </w:rPr>
        <w:t xml:space="preserve">Australia will continue to work with </w:t>
      </w:r>
      <w:r w:rsidR="00BC690A">
        <w:rPr>
          <w:rFonts w:ascii="Franklin Gothic Book" w:hAnsi="Franklin Gothic Book"/>
          <w:sz w:val="21"/>
          <w:szCs w:val="21"/>
        </w:rPr>
        <w:t>Tonga to improve implementation progress for TESP</w:t>
      </w:r>
      <w:r>
        <w:rPr>
          <w:rFonts w:ascii="Franklin Gothic Book" w:hAnsi="Franklin Gothic Book"/>
          <w:sz w:val="21"/>
          <w:szCs w:val="21"/>
        </w:rPr>
        <w:t xml:space="preserve">2.  Options include </w:t>
      </w:r>
      <w:r w:rsidR="00BC690A">
        <w:rPr>
          <w:rFonts w:ascii="Franklin Gothic Book" w:hAnsi="Franklin Gothic Book"/>
          <w:sz w:val="21"/>
          <w:szCs w:val="21"/>
        </w:rPr>
        <w:t>offer</w:t>
      </w:r>
      <w:r>
        <w:rPr>
          <w:rFonts w:ascii="Franklin Gothic Book" w:hAnsi="Franklin Gothic Book"/>
          <w:sz w:val="21"/>
          <w:szCs w:val="21"/>
        </w:rPr>
        <w:t xml:space="preserve">ing </w:t>
      </w:r>
      <w:r w:rsidR="00BC690A">
        <w:rPr>
          <w:rFonts w:ascii="Franklin Gothic Book" w:hAnsi="Franklin Gothic Book"/>
          <w:sz w:val="21"/>
          <w:szCs w:val="21"/>
        </w:rPr>
        <w:t>more direct support to procure technical assistance efficiently</w:t>
      </w:r>
      <w:r>
        <w:rPr>
          <w:rFonts w:ascii="Franklin Gothic Book" w:hAnsi="Franklin Gothic Book"/>
          <w:sz w:val="21"/>
          <w:szCs w:val="21"/>
        </w:rPr>
        <w:t xml:space="preserve"> and </w:t>
      </w:r>
      <w:r w:rsidR="00BC690A">
        <w:rPr>
          <w:rFonts w:ascii="Franklin Gothic Book" w:hAnsi="Franklin Gothic Book"/>
          <w:sz w:val="21"/>
          <w:szCs w:val="21"/>
        </w:rPr>
        <w:t xml:space="preserve">the introduction of a performance-linked funding component to </w:t>
      </w:r>
      <w:r>
        <w:rPr>
          <w:rFonts w:ascii="Franklin Gothic Book" w:hAnsi="Franklin Gothic Book"/>
          <w:sz w:val="21"/>
          <w:szCs w:val="21"/>
        </w:rPr>
        <w:t xml:space="preserve">encourage better </w:t>
      </w:r>
      <w:r w:rsidR="00BC690A">
        <w:rPr>
          <w:rFonts w:ascii="Franklin Gothic Book" w:hAnsi="Franklin Gothic Book"/>
          <w:sz w:val="21"/>
          <w:szCs w:val="21"/>
        </w:rPr>
        <w:t>implementation progress.</w:t>
      </w:r>
    </w:p>
    <w:p w:rsidR="0060258D" w:rsidRPr="00E43471" w:rsidRDefault="00020C72" w:rsidP="0060258D">
      <w:pPr>
        <w:pStyle w:val="BodyText"/>
        <w:rPr>
          <w:szCs w:val="21"/>
        </w:rPr>
      </w:pPr>
      <w:r>
        <w:rPr>
          <w:rFonts w:cs="Arial"/>
          <w:i/>
        </w:rPr>
        <w:br/>
      </w:r>
      <w:r w:rsidR="0060258D" w:rsidRPr="00E43471">
        <w:rPr>
          <w:rFonts w:cs="Arial"/>
          <w:i/>
        </w:rPr>
        <w:t xml:space="preserve">Australia </w:t>
      </w:r>
      <w:r w:rsidR="0060258D" w:rsidRPr="00E43471">
        <w:rPr>
          <w:rFonts w:cs="Arial"/>
          <w:i/>
          <w:szCs w:val="21"/>
        </w:rPr>
        <w:t>Awards</w:t>
      </w:r>
      <w:r w:rsidR="0060258D" w:rsidRPr="00E43471">
        <w:rPr>
          <w:rFonts w:cs="Arial"/>
          <w:b/>
          <w:szCs w:val="21"/>
          <w:u w:val="single"/>
        </w:rPr>
        <w:t xml:space="preserve"> </w:t>
      </w:r>
    </w:p>
    <w:p w:rsidR="004C57F5" w:rsidRPr="00D845E4" w:rsidRDefault="0066312A" w:rsidP="004C57F5">
      <w:pPr>
        <w:pStyle w:val="BodyText"/>
        <w:spacing w:after="120"/>
        <w:rPr>
          <w:szCs w:val="21"/>
        </w:rPr>
      </w:pPr>
      <w:r>
        <w:rPr>
          <w:szCs w:val="21"/>
        </w:rPr>
        <w:t xml:space="preserve">Australia Awards continued to be a successful educational tool but further work is required to improve completion rates for the Pacific Scholarships and encourage students to maintain linkages with people in their study country. </w:t>
      </w:r>
      <w:r w:rsidR="004C57F5" w:rsidRPr="00D845E4">
        <w:rPr>
          <w:szCs w:val="21"/>
        </w:rPr>
        <w:t xml:space="preserve">Australia Awards </w:t>
      </w:r>
      <w:r w:rsidR="008B214D">
        <w:rPr>
          <w:szCs w:val="21"/>
        </w:rPr>
        <w:t xml:space="preserve">were </w:t>
      </w:r>
      <w:r w:rsidR="004C57F5" w:rsidRPr="00D845E4">
        <w:rPr>
          <w:szCs w:val="21"/>
        </w:rPr>
        <w:t xml:space="preserve">provided to develop Tonga’s leadership and management capacity across priority areas. In 2013, Australia awarded </w:t>
      </w:r>
      <w:r w:rsidR="00966165">
        <w:rPr>
          <w:szCs w:val="21"/>
        </w:rPr>
        <w:t xml:space="preserve">eight </w:t>
      </w:r>
      <w:r w:rsidR="004C57F5" w:rsidRPr="00D845E4">
        <w:rPr>
          <w:szCs w:val="21"/>
        </w:rPr>
        <w:t>(62 per cent female) Australia Awards Scholarships and 27 (70 per cent female) Austra</w:t>
      </w:r>
      <w:r w:rsidR="00D15D3D">
        <w:rPr>
          <w:szCs w:val="21"/>
        </w:rPr>
        <w:t>lia Awards Pacific Scholarships</w:t>
      </w:r>
      <w:r w:rsidR="004C57F5" w:rsidRPr="00D845E4">
        <w:rPr>
          <w:szCs w:val="21"/>
        </w:rPr>
        <w:t xml:space="preserve">. </w:t>
      </w:r>
      <w:r w:rsidR="00D15D3D">
        <w:rPr>
          <w:szCs w:val="21"/>
        </w:rPr>
        <w:t xml:space="preserve"> Over the period </w:t>
      </w:r>
      <w:r w:rsidR="004C57F5" w:rsidRPr="00D845E4">
        <w:rPr>
          <w:szCs w:val="21"/>
        </w:rPr>
        <w:t>2009-2013</w:t>
      </w:r>
      <w:r w:rsidR="00D15D3D">
        <w:rPr>
          <w:szCs w:val="21"/>
        </w:rPr>
        <w:t xml:space="preserve"> </w:t>
      </w:r>
      <w:r w:rsidR="004C57F5" w:rsidRPr="00D845E4">
        <w:rPr>
          <w:szCs w:val="21"/>
        </w:rPr>
        <w:t>there was a 100</w:t>
      </w:r>
      <w:r w:rsidR="00892D91">
        <w:rPr>
          <w:szCs w:val="21"/>
        </w:rPr>
        <w:t xml:space="preserve"> per cent</w:t>
      </w:r>
      <w:r w:rsidR="004C57F5" w:rsidRPr="00D845E4">
        <w:rPr>
          <w:szCs w:val="21"/>
        </w:rPr>
        <w:t xml:space="preserve"> </w:t>
      </w:r>
      <w:r w:rsidR="00482DA4">
        <w:rPr>
          <w:szCs w:val="21"/>
        </w:rPr>
        <w:t>completion</w:t>
      </w:r>
      <w:r w:rsidR="004C57F5" w:rsidRPr="00D845E4">
        <w:rPr>
          <w:szCs w:val="21"/>
        </w:rPr>
        <w:t xml:space="preserve"> rate for Australia Awards Scholarship students </w:t>
      </w:r>
      <w:r w:rsidR="00482DA4">
        <w:rPr>
          <w:szCs w:val="21"/>
        </w:rPr>
        <w:t>but</w:t>
      </w:r>
      <w:r w:rsidR="00892D91">
        <w:rPr>
          <w:szCs w:val="21"/>
        </w:rPr>
        <w:t xml:space="preserve"> </w:t>
      </w:r>
      <w:r w:rsidR="00D15D3D">
        <w:rPr>
          <w:szCs w:val="21"/>
        </w:rPr>
        <w:t xml:space="preserve">only </w:t>
      </w:r>
      <w:r w:rsidR="00482DA4">
        <w:rPr>
          <w:szCs w:val="21"/>
        </w:rPr>
        <w:t xml:space="preserve">a </w:t>
      </w:r>
      <w:r w:rsidR="004C57F5" w:rsidRPr="00D845E4">
        <w:rPr>
          <w:szCs w:val="21"/>
        </w:rPr>
        <w:t>63</w:t>
      </w:r>
      <w:r w:rsidR="00D15D3D">
        <w:rPr>
          <w:szCs w:val="21"/>
        </w:rPr>
        <w:t> </w:t>
      </w:r>
      <w:r w:rsidR="00892D91">
        <w:rPr>
          <w:szCs w:val="21"/>
        </w:rPr>
        <w:t>per cent</w:t>
      </w:r>
      <w:r w:rsidR="004C57F5" w:rsidRPr="00D845E4">
        <w:rPr>
          <w:szCs w:val="21"/>
        </w:rPr>
        <w:t xml:space="preserve"> completion rate for the Australia Awards Pacific Scholarship</w:t>
      </w:r>
      <w:r w:rsidR="00D15D3D">
        <w:rPr>
          <w:szCs w:val="21"/>
        </w:rPr>
        <w:t>s</w:t>
      </w:r>
      <w:r w:rsidR="004C57F5" w:rsidRPr="00D845E4">
        <w:rPr>
          <w:szCs w:val="21"/>
        </w:rPr>
        <w:t>.  The</w:t>
      </w:r>
      <w:r w:rsidR="00482DA4">
        <w:rPr>
          <w:szCs w:val="21"/>
        </w:rPr>
        <w:t xml:space="preserve"> large majority of</w:t>
      </w:r>
      <w:r w:rsidR="004C57F5" w:rsidRPr="00D845E4">
        <w:rPr>
          <w:szCs w:val="21"/>
        </w:rPr>
        <w:t xml:space="preserve"> </w:t>
      </w:r>
      <w:r w:rsidR="00D15D3D">
        <w:rPr>
          <w:szCs w:val="21"/>
        </w:rPr>
        <w:t xml:space="preserve">these </w:t>
      </w:r>
      <w:r w:rsidR="004C57F5" w:rsidRPr="00D845E4">
        <w:rPr>
          <w:szCs w:val="21"/>
        </w:rPr>
        <w:t xml:space="preserve">students have returned </w:t>
      </w:r>
      <w:r w:rsidR="00695ED6">
        <w:rPr>
          <w:szCs w:val="21"/>
        </w:rPr>
        <w:t xml:space="preserve">to </w:t>
      </w:r>
      <w:r w:rsidR="004C57F5" w:rsidRPr="00D845E4">
        <w:rPr>
          <w:szCs w:val="21"/>
        </w:rPr>
        <w:t>work in Tonga.</w:t>
      </w:r>
    </w:p>
    <w:p w:rsidR="004C57F5" w:rsidRDefault="004C57F5" w:rsidP="004C57F5">
      <w:pPr>
        <w:pStyle w:val="BodyText"/>
        <w:spacing w:after="120"/>
        <w:rPr>
          <w:szCs w:val="21"/>
        </w:rPr>
      </w:pPr>
      <w:r w:rsidRPr="00D845E4">
        <w:rPr>
          <w:szCs w:val="21"/>
        </w:rPr>
        <w:t xml:space="preserve">A tracer study of Tongan scholarship students since 1987 was undertaken in February 2014. </w:t>
      </w:r>
      <w:r w:rsidR="00D15D3D">
        <w:rPr>
          <w:szCs w:val="21"/>
        </w:rPr>
        <w:t xml:space="preserve"> While the response numbers were small, t</w:t>
      </w:r>
      <w:r w:rsidRPr="00D845E4">
        <w:rPr>
          <w:szCs w:val="21"/>
        </w:rPr>
        <w:t xml:space="preserve">he findings indicate Australia Awards </w:t>
      </w:r>
      <w:r w:rsidR="00D15D3D">
        <w:rPr>
          <w:szCs w:val="21"/>
        </w:rPr>
        <w:t xml:space="preserve">provide </w:t>
      </w:r>
      <w:r w:rsidR="00D15D3D" w:rsidRPr="00D845E4">
        <w:rPr>
          <w:szCs w:val="21"/>
        </w:rPr>
        <w:t xml:space="preserve">an overall positive impact </w:t>
      </w:r>
      <w:r w:rsidRPr="00D845E4">
        <w:rPr>
          <w:szCs w:val="21"/>
        </w:rPr>
        <w:t xml:space="preserve">to alumni knowledge and skills </w:t>
      </w:r>
      <w:r w:rsidR="00482DA4">
        <w:rPr>
          <w:szCs w:val="21"/>
        </w:rPr>
        <w:t xml:space="preserve">and </w:t>
      </w:r>
      <w:r w:rsidR="00D15D3D">
        <w:rPr>
          <w:szCs w:val="21"/>
        </w:rPr>
        <w:t>those alumni</w:t>
      </w:r>
      <w:r w:rsidR="00482DA4">
        <w:rPr>
          <w:szCs w:val="21"/>
        </w:rPr>
        <w:t xml:space="preserve"> are making substantive</w:t>
      </w:r>
      <w:r w:rsidRPr="00D845E4">
        <w:rPr>
          <w:szCs w:val="21"/>
        </w:rPr>
        <w:t xml:space="preserve"> contribut</w:t>
      </w:r>
      <w:r w:rsidR="00482DA4">
        <w:rPr>
          <w:szCs w:val="21"/>
        </w:rPr>
        <w:t>ions</w:t>
      </w:r>
      <w:r w:rsidRPr="00D845E4">
        <w:rPr>
          <w:szCs w:val="21"/>
        </w:rPr>
        <w:t xml:space="preserve"> to Tonga’s development. </w:t>
      </w:r>
      <w:r w:rsidR="000E2189">
        <w:t>Of the 67 respondents, over ninety per</w:t>
      </w:r>
      <w:r w:rsidR="00966165">
        <w:t xml:space="preserve"> </w:t>
      </w:r>
      <w:r w:rsidR="000E2189">
        <w:t>cent were currently in full time employment</w:t>
      </w:r>
      <w:r w:rsidR="00482DA4">
        <w:t>,</w:t>
      </w:r>
      <w:r w:rsidR="000E2189">
        <w:t xml:space="preserve"> with the majority working in Tonga’s public sector</w:t>
      </w:r>
      <w:r w:rsidR="000E2189">
        <w:rPr>
          <w:szCs w:val="21"/>
        </w:rPr>
        <w:t xml:space="preserve">. </w:t>
      </w:r>
      <w:r w:rsidRPr="00D845E4">
        <w:rPr>
          <w:szCs w:val="21"/>
        </w:rPr>
        <w:t>However</w:t>
      </w:r>
      <w:r w:rsidR="000E2189">
        <w:rPr>
          <w:szCs w:val="21"/>
        </w:rPr>
        <w:t>,</w:t>
      </w:r>
      <w:r w:rsidRPr="00D845E4">
        <w:rPr>
          <w:szCs w:val="21"/>
        </w:rPr>
        <w:t xml:space="preserve"> the study found that few alumni maintain ongoing linkages with people in their study country (A</w:t>
      </w:r>
      <w:r w:rsidR="00D15D3D">
        <w:rPr>
          <w:szCs w:val="21"/>
        </w:rPr>
        <w:t xml:space="preserve">ustralia or the Pacific region).  </w:t>
      </w:r>
      <w:r w:rsidRPr="00D845E4">
        <w:rPr>
          <w:szCs w:val="21"/>
        </w:rPr>
        <w:t xml:space="preserve">Drawing on the study findings, </w:t>
      </w:r>
      <w:r w:rsidR="00D15D3D">
        <w:rPr>
          <w:szCs w:val="21"/>
        </w:rPr>
        <w:t xml:space="preserve">Australia </w:t>
      </w:r>
      <w:r w:rsidRPr="00D845E4">
        <w:rPr>
          <w:szCs w:val="21"/>
        </w:rPr>
        <w:t xml:space="preserve">will work with the </w:t>
      </w:r>
      <w:r w:rsidR="00D15D3D">
        <w:rPr>
          <w:szCs w:val="21"/>
        </w:rPr>
        <w:t xml:space="preserve">Tonga </w:t>
      </w:r>
      <w:r w:rsidRPr="00D845E4">
        <w:rPr>
          <w:szCs w:val="21"/>
        </w:rPr>
        <w:t xml:space="preserve">Scholarship Committee </w:t>
      </w:r>
      <w:r w:rsidR="00667F73">
        <w:rPr>
          <w:szCs w:val="21"/>
        </w:rPr>
        <w:t xml:space="preserve">to improve completion rates for the </w:t>
      </w:r>
      <w:r w:rsidR="00D15D3D">
        <w:rPr>
          <w:szCs w:val="21"/>
        </w:rPr>
        <w:t xml:space="preserve">current </w:t>
      </w:r>
      <w:r w:rsidR="00667F73">
        <w:rPr>
          <w:szCs w:val="21"/>
        </w:rPr>
        <w:t xml:space="preserve">cohort </w:t>
      </w:r>
      <w:r w:rsidR="007D53B4">
        <w:rPr>
          <w:szCs w:val="21"/>
        </w:rPr>
        <w:t xml:space="preserve">of </w:t>
      </w:r>
      <w:r w:rsidR="00667F73" w:rsidRPr="00D845E4">
        <w:rPr>
          <w:szCs w:val="21"/>
        </w:rPr>
        <w:t>98 students</w:t>
      </w:r>
      <w:r w:rsidR="008B2226">
        <w:rPr>
          <w:szCs w:val="21"/>
        </w:rPr>
        <w:t xml:space="preserve"> and encourage greater people-</w:t>
      </w:r>
      <w:r w:rsidR="005C331F">
        <w:rPr>
          <w:szCs w:val="21"/>
        </w:rPr>
        <w:t>to</w:t>
      </w:r>
      <w:r w:rsidR="008B2226">
        <w:rPr>
          <w:szCs w:val="21"/>
        </w:rPr>
        <w:t>-</w:t>
      </w:r>
      <w:r w:rsidR="005C331F">
        <w:rPr>
          <w:szCs w:val="21"/>
        </w:rPr>
        <w:t>people linkages</w:t>
      </w:r>
      <w:r w:rsidR="00A33264">
        <w:rPr>
          <w:szCs w:val="21"/>
        </w:rPr>
        <w:t>.</w:t>
      </w:r>
      <w:r w:rsidRPr="00D845E4">
        <w:rPr>
          <w:szCs w:val="21"/>
        </w:rPr>
        <w:t xml:space="preserve"> </w:t>
      </w:r>
    </w:p>
    <w:p w:rsidR="00360703" w:rsidRDefault="00360703" w:rsidP="00647C48">
      <w:pPr>
        <w:pStyle w:val="ListBullet"/>
        <w:numPr>
          <w:ilvl w:val="0"/>
          <w:numId w:val="0"/>
        </w:numPr>
        <w:tabs>
          <w:tab w:val="clear" w:pos="284"/>
        </w:tabs>
        <w:ind w:left="360" w:hanging="360"/>
        <w:rPr>
          <w:rFonts w:ascii="Helvetica" w:hAnsi="Helvetica" w:cs="Arial"/>
          <w:bCs/>
          <w:color w:val="007FAD"/>
          <w:kern w:val="28"/>
          <w:sz w:val="28"/>
          <w:szCs w:val="28"/>
        </w:rPr>
      </w:pPr>
    </w:p>
    <w:p w:rsidR="00647C48" w:rsidRPr="00647C48" w:rsidRDefault="00647C48" w:rsidP="00F558C6">
      <w:pPr>
        <w:spacing w:after="200" w:line="276" w:lineRule="auto"/>
        <w:rPr>
          <w:rFonts w:ascii="Helvetica" w:hAnsi="Helvetica" w:cs="Arial"/>
          <w:bCs/>
          <w:color w:val="007FAD"/>
          <w:kern w:val="28"/>
          <w:sz w:val="28"/>
          <w:szCs w:val="28"/>
        </w:rPr>
      </w:pPr>
      <w:r w:rsidRPr="00647C48">
        <w:rPr>
          <w:rFonts w:ascii="Helvetica" w:hAnsi="Helvetica" w:cs="Arial"/>
          <w:bCs/>
          <w:color w:val="007FAD"/>
          <w:kern w:val="28"/>
          <w:sz w:val="28"/>
          <w:szCs w:val="28"/>
        </w:rPr>
        <w:t>Objective: Development of infrastructure to improve the everyday lives of people</w:t>
      </w:r>
    </w:p>
    <w:p w:rsidR="0088395D" w:rsidRDefault="000A5C6B" w:rsidP="00F340E8">
      <w:pPr>
        <w:pStyle w:val="BodyText"/>
        <w:rPr>
          <w:szCs w:val="21"/>
        </w:rPr>
      </w:pPr>
      <w:r>
        <w:rPr>
          <w:szCs w:val="21"/>
        </w:rPr>
        <w:t>Australia’s assistance to Tonga’s infrastructure sector is implemented through co-financing agreements with multilateral development banks, due to their comparative advantage in this area</w:t>
      </w:r>
      <w:r w:rsidR="00262899">
        <w:rPr>
          <w:szCs w:val="21"/>
        </w:rPr>
        <w:t>.</w:t>
      </w:r>
      <w:r w:rsidRPr="00F558C6">
        <w:rPr>
          <w:rStyle w:val="FootnoteReference"/>
          <w:sz w:val="18"/>
          <w:szCs w:val="18"/>
        </w:rPr>
        <w:footnoteReference w:id="13"/>
      </w:r>
      <w:r>
        <w:rPr>
          <w:szCs w:val="21"/>
        </w:rPr>
        <w:t xml:space="preserve"> </w:t>
      </w:r>
    </w:p>
    <w:p w:rsidR="000D31F2" w:rsidRPr="00F70B3B" w:rsidRDefault="00577501" w:rsidP="00F340E8">
      <w:pPr>
        <w:pStyle w:val="BodyText"/>
        <w:rPr>
          <w:szCs w:val="21"/>
        </w:rPr>
      </w:pPr>
      <w:r w:rsidRPr="00F70B3B">
        <w:rPr>
          <w:szCs w:val="21"/>
        </w:rPr>
        <w:t>While assessed as satisfactory overall, progress in this sector was not consistent</w:t>
      </w:r>
      <w:r w:rsidR="003D6B3D" w:rsidRPr="00F70B3B">
        <w:rPr>
          <w:szCs w:val="21"/>
        </w:rPr>
        <w:t>.</w:t>
      </w:r>
      <w:r w:rsidR="00F70B3B" w:rsidRPr="00F70B3B">
        <w:rPr>
          <w:szCs w:val="21"/>
        </w:rPr>
        <w:t xml:space="preserve"> </w:t>
      </w:r>
      <w:r w:rsidR="000A5C6B">
        <w:rPr>
          <w:szCs w:val="21"/>
        </w:rPr>
        <w:t xml:space="preserve"> </w:t>
      </w:r>
      <w:r w:rsidR="00AB1920">
        <w:rPr>
          <w:szCs w:val="21"/>
        </w:rPr>
        <w:t xml:space="preserve">Over the reporting period the program </w:t>
      </w:r>
      <w:r w:rsidR="00D82B72">
        <w:rPr>
          <w:szCs w:val="21"/>
        </w:rPr>
        <w:t xml:space="preserve">had </w:t>
      </w:r>
      <w:r w:rsidR="00105C80">
        <w:rPr>
          <w:szCs w:val="21"/>
        </w:rPr>
        <w:t xml:space="preserve">some </w:t>
      </w:r>
      <w:r w:rsidR="00AB1920">
        <w:rPr>
          <w:szCs w:val="21"/>
        </w:rPr>
        <w:t xml:space="preserve">significant </w:t>
      </w:r>
      <w:r w:rsidR="00D82B72">
        <w:rPr>
          <w:szCs w:val="21"/>
        </w:rPr>
        <w:t>achievements</w:t>
      </w:r>
      <w:r w:rsidR="00AB1920">
        <w:rPr>
          <w:szCs w:val="21"/>
        </w:rPr>
        <w:t>.  A</w:t>
      </w:r>
      <w:r w:rsidR="00F70B3B" w:rsidRPr="00F70B3B">
        <w:rPr>
          <w:szCs w:val="21"/>
        </w:rPr>
        <w:t>ccess to water and waste management services</w:t>
      </w:r>
      <w:r w:rsidR="00AB1920">
        <w:rPr>
          <w:szCs w:val="21"/>
        </w:rPr>
        <w:t xml:space="preserve"> for </w:t>
      </w:r>
      <w:r w:rsidR="00AB1920" w:rsidRPr="00F70B3B">
        <w:rPr>
          <w:szCs w:val="21"/>
        </w:rPr>
        <w:t>Nuku’alofa residences</w:t>
      </w:r>
      <w:r w:rsidR="00AB1920">
        <w:rPr>
          <w:szCs w:val="21"/>
        </w:rPr>
        <w:t xml:space="preserve"> was </w:t>
      </w:r>
      <w:r w:rsidR="00D82B72">
        <w:rPr>
          <w:szCs w:val="21"/>
        </w:rPr>
        <w:t xml:space="preserve">greatly </w:t>
      </w:r>
      <w:r w:rsidR="00AB1920">
        <w:rPr>
          <w:szCs w:val="21"/>
        </w:rPr>
        <w:t xml:space="preserve">improved.  The </w:t>
      </w:r>
      <w:r w:rsidR="00F70B3B" w:rsidRPr="00F70B3B">
        <w:rPr>
          <w:szCs w:val="21"/>
        </w:rPr>
        <w:t xml:space="preserve">management and condition of Tonga’s road network </w:t>
      </w:r>
      <w:r w:rsidR="00AB1920">
        <w:rPr>
          <w:szCs w:val="21"/>
        </w:rPr>
        <w:t xml:space="preserve">was improved and included </w:t>
      </w:r>
      <w:r w:rsidR="00F70B3B" w:rsidRPr="00F70B3B">
        <w:rPr>
          <w:szCs w:val="21"/>
        </w:rPr>
        <w:t>increased private sector participation</w:t>
      </w:r>
      <w:r w:rsidR="00AB1920">
        <w:rPr>
          <w:szCs w:val="21"/>
        </w:rPr>
        <w:t xml:space="preserve">.  </w:t>
      </w:r>
      <w:r w:rsidR="000D31F2" w:rsidRPr="008804B9">
        <w:rPr>
          <w:szCs w:val="21"/>
        </w:rPr>
        <w:t xml:space="preserve">In November 2013, </w:t>
      </w:r>
      <w:r w:rsidR="000D31F2">
        <w:rPr>
          <w:szCs w:val="21"/>
        </w:rPr>
        <w:t>t</w:t>
      </w:r>
      <w:r w:rsidR="000D31F2" w:rsidRPr="008804B9">
        <w:rPr>
          <w:szCs w:val="21"/>
        </w:rPr>
        <w:t>he Transport Sector Consolidation Project was awarded first runner up for the prestigious Institute of Asset Management’s ‘Asset Management Achievement Award’</w:t>
      </w:r>
      <w:r w:rsidR="000D31F2">
        <w:rPr>
          <w:szCs w:val="21"/>
        </w:rPr>
        <w:t xml:space="preserve">, in recognition of the </w:t>
      </w:r>
      <w:r w:rsidR="000D31F2" w:rsidRPr="008804B9">
        <w:rPr>
          <w:szCs w:val="21"/>
        </w:rPr>
        <w:t>complex institutional reforms and changes achieved</w:t>
      </w:r>
      <w:r w:rsidR="000D31F2">
        <w:rPr>
          <w:szCs w:val="21"/>
        </w:rPr>
        <w:t xml:space="preserve"> by the project</w:t>
      </w:r>
      <w:r w:rsidR="00B05799" w:rsidRPr="004A5B1F">
        <w:rPr>
          <w:rStyle w:val="FootnoteReference"/>
          <w:sz w:val="18"/>
          <w:szCs w:val="18"/>
        </w:rPr>
        <w:footnoteReference w:id="14"/>
      </w:r>
      <w:r w:rsidR="000D31F2" w:rsidRPr="008804B9">
        <w:rPr>
          <w:szCs w:val="21"/>
        </w:rPr>
        <w:t xml:space="preserve">.  </w:t>
      </w:r>
      <w:r w:rsidR="000D31F2">
        <w:rPr>
          <w:szCs w:val="21"/>
        </w:rPr>
        <w:t xml:space="preserve">The installation of two on-grid solar generators and 550 solar home systems is helping Tonga progressively reduce its </w:t>
      </w:r>
      <w:r w:rsidR="000D31F2" w:rsidRPr="00F70B3B">
        <w:rPr>
          <w:szCs w:val="21"/>
        </w:rPr>
        <w:t>dependence on imported fossil fuel for power generation.</w:t>
      </w:r>
    </w:p>
    <w:p w:rsidR="00F70B3B" w:rsidRPr="00F70B3B" w:rsidRDefault="000A5C6B" w:rsidP="00F70B3B">
      <w:pPr>
        <w:pStyle w:val="BodyText"/>
        <w:spacing w:after="120"/>
        <w:rPr>
          <w:szCs w:val="21"/>
        </w:rPr>
      </w:pPr>
      <w:r>
        <w:rPr>
          <w:szCs w:val="21"/>
        </w:rPr>
        <w:t>In contrast</w:t>
      </w:r>
      <w:r w:rsidR="000D31F2">
        <w:rPr>
          <w:szCs w:val="21"/>
        </w:rPr>
        <w:t>, t</w:t>
      </w:r>
      <w:r w:rsidR="00AB1920">
        <w:rPr>
          <w:szCs w:val="21"/>
        </w:rPr>
        <w:t>he i</w:t>
      </w:r>
      <w:r w:rsidR="00F70B3B" w:rsidRPr="00F70B3B">
        <w:rPr>
          <w:szCs w:val="21"/>
        </w:rPr>
        <w:t>nstitutional and regulatory environment for the Tonga Energy Road</w:t>
      </w:r>
      <w:r w:rsidR="00611BC1">
        <w:rPr>
          <w:szCs w:val="21"/>
        </w:rPr>
        <w:t xml:space="preserve"> M</w:t>
      </w:r>
      <w:r w:rsidR="00F70B3B" w:rsidRPr="00F70B3B">
        <w:rPr>
          <w:szCs w:val="21"/>
        </w:rPr>
        <w:t>ap</w:t>
      </w:r>
      <w:r w:rsidR="00AB1920">
        <w:rPr>
          <w:szCs w:val="21"/>
        </w:rPr>
        <w:t xml:space="preserve"> was </w:t>
      </w:r>
      <w:r w:rsidR="000D31F2">
        <w:rPr>
          <w:szCs w:val="21"/>
        </w:rPr>
        <w:t>not strengthened as planned due to delayed take-up of project initiatives by Tonga</w:t>
      </w:r>
      <w:r w:rsidR="00AB1920">
        <w:rPr>
          <w:szCs w:val="21"/>
        </w:rPr>
        <w:t>.</w:t>
      </w:r>
      <w:r>
        <w:rPr>
          <w:szCs w:val="21"/>
        </w:rPr>
        <w:t xml:space="preserve"> </w:t>
      </w:r>
      <w:r w:rsidR="007C468E">
        <w:rPr>
          <w:szCs w:val="21"/>
        </w:rPr>
        <w:t>Some delays are attributable to project complexities.  The World Bank will continue work with the Implementation Unit to improve results on this project.</w:t>
      </w:r>
      <w:r w:rsidR="000D31F2">
        <w:rPr>
          <w:szCs w:val="21"/>
        </w:rPr>
        <w:t xml:space="preserve"> </w:t>
      </w:r>
    </w:p>
    <w:p w:rsidR="00577501" w:rsidRPr="000D31F2" w:rsidRDefault="00577501" w:rsidP="00902A80">
      <w:pPr>
        <w:pStyle w:val="Heading3"/>
      </w:pPr>
      <w:r w:rsidRPr="000D31F2">
        <w:t>World Bank-led Transport Sector Consolidation Project</w:t>
      </w:r>
    </w:p>
    <w:p w:rsidR="008758FF" w:rsidRDefault="00577501" w:rsidP="00F340E8">
      <w:pPr>
        <w:pStyle w:val="BodyText"/>
        <w:rPr>
          <w:szCs w:val="21"/>
        </w:rPr>
      </w:pPr>
      <w:r w:rsidRPr="008804B9">
        <w:rPr>
          <w:szCs w:val="21"/>
        </w:rPr>
        <w:lastRenderedPageBreak/>
        <w:t xml:space="preserve">The Transport Sector Consolidation Project (TSCP) strengthens policy, planning and institutional arrangements for the transport sector, improves safety and security for air and sea transport, and builds domestic </w:t>
      </w:r>
      <w:r>
        <w:rPr>
          <w:szCs w:val="21"/>
        </w:rPr>
        <w:t xml:space="preserve">private sector </w:t>
      </w:r>
      <w:r w:rsidRPr="008804B9">
        <w:rPr>
          <w:szCs w:val="21"/>
        </w:rPr>
        <w:t xml:space="preserve">capacity to undertake road maintenance activities. </w:t>
      </w:r>
    </w:p>
    <w:p w:rsidR="00BC6321" w:rsidRDefault="00577501" w:rsidP="00BC6321">
      <w:pPr>
        <w:pStyle w:val="BodyText"/>
        <w:rPr>
          <w:szCs w:val="21"/>
        </w:rPr>
      </w:pPr>
      <w:r>
        <w:rPr>
          <w:szCs w:val="21"/>
        </w:rPr>
        <w:t xml:space="preserve">Australia’s co-financing under TSCP has focussed on </w:t>
      </w:r>
      <w:r w:rsidR="008758FF">
        <w:rPr>
          <w:szCs w:val="21"/>
        </w:rPr>
        <w:t xml:space="preserve">the </w:t>
      </w:r>
      <w:r>
        <w:rPr>
          <w:szCs w:val="21"/>
        </w:rPr>
        <w:t>road maintenance component</w:t>
      </w:r>
      <w:r w:rsidR="008758FF">
        <w:rPr>
          <w:szCs w:val="21"/>
        </w:rPr>
        <w:t xml:space="preserve">.  Overall the project is </w:t>
      </w:r>
      <w:r w:rsidR="008758FF" w:rsidRPr="0039207C">
        <w:rPr>
          <w:szCs w:val="21"/>
        </w:rPr>
        <w:t xml:space="preserve">progressing </w:t>
      </w:r>
      <w:r w:rsidR="008758FF" w:rsidRPr="00B83FAA">
        <w:rPr>
          <w:szCs w:val="21"/>
        </w:rPr>
        <w:t>satisfactorily</w:t>
      </w:r>
      <w:r w:rsidR="008758FF">
        <w:rPr>
          <w:szCs w:val="21"/>
        </w:rPr>
        <w:t>,</w:t>
      </w:r>
      <w:r w:rsidR="008758FF" w:rsidRPr="0039207C">
        <w:rPr>
          <w:szCs w:val="21"/>
        </w:rPr>
        <w:t xml:space="preserve"> with improve</w:t>
      </w:r>
      <w:r w:rsidR="008758FF">
        <w:rPr>
          <w:szCs w:val="21"/>
        </w:rPr>
        <w:t>ments over the previous year on</w:t>
      </w:r>
      <w:r w:rsidR="008758FF" w:rsidRPr="0039207C">
        <w:rPr>
          <w:szCs w:val="21"/>
        </w:rPr>
        <w:t xml:space="preserve"> </w:t>
      </w:r>
      <w:r w:rsidR="008758FF">
        <w:rPr>
          <w:szCs w:val="21"/>
        </w:rPr>
        <w:t>m</w:t>
      </w:r>
      <w:r w:rsidR="008758FF" w:rsidRPr="0039207C">
        <w:rPr>
          <w:szCs w:val="21"/>
        </w:rPr>
        <w:t xml:space="preserve">anagement and condition of Tonga’s road network </w:t>
      </w:r>
      <w:r w:rsidR="008758FF">
        <w:rPr>
          <w:szCs w:val="21"/>
        </w:rPr>
        <w:t>and</w:t>
      </w:r>
      <w:r w:rsidR="008758FF" w:rsidRPr="0039207C">
        <w:rPr>
          <w:szCs w:val="21"/>
        </w:rPr>
        <w:t xml:space="preserve"> increased private sector participation</w:t>
      </w:r>
      <w:r w:rsidR="00BC6321">
        <w:rPr>
          <w:szCs w:val="21"/>
        </w:rPr>
        <w:t xml:space="preserve">.  Despite these improvements, heading in to the final year of the program, implementation and disbursement </w:t>
      </w:r>
      <w:r w:rsidR="00BC6321" w:rsidRPr="00B83FAA">
        <w:rPr>
          <w:szCs w:val="21"/>
        </w:rPr>
        <w:t>progress</w:t>
      </w:r>
      <w:r w:rsidR="00BC6321">
        <w:rPr>
          <w:szCs w:val="21"/>
        </w:rPr>
        <w:t xml:space="preserve"> is still slow and program reporting remains a challenge</w:t>
      </w:r>
      <w:r w:rsidR="00BC6321" w:rsidRPr="00B83FAA">
        <w:rPr>
          <w:szCs w:val="21"/>
        </w:rPr>
        <w:t xml:space="preserve">. </w:t>
      </w:r>
      <w:r w:rsidR="00BC6321">
        <w:rPr>
          <w:szCs w:val="21"/>
        </w:rPr>
        <w:t xml:space="preserve"> </w:t>
      </w:r>
    </w:p>
    <w:p w:rsidR="00577501" w:rsidRDefault="00577501" w:rsidP="00F340E8">
      <w:pPr>
        <w:pStyle w:val="BodyText"/>
        <w:rPr>
          <w:szCs w:val="21"/>
        </w:rPr>
      </w:pPr>
      <w:r w:rsidRPr="00AF5B11">
        <w:rPr>
          <w:szCs w:val="21"/>
        </w:rPr>
        <w:t>The target for routine road maintenance</w:t>
      </w:r>
      <w:r w:rsidRPr="003D3D42">
        <w:rPr>
          <w:rStyle w:val="FootnoteReference"/>
          <w:sz w:val="18"/>
          <w:szCs w:val="18"/>
        </w:rPr>
        <w:footnoteReference w:id="15"/>
      </w:r>
      <w:r w:rsidRPr="00AF5B11">
        <w:rPr>
          <w:szCs w:val="21"/>
        </w:rPr>
        <w:t xml:space="preserve"> was achieved with 462 kilometres</w:t>
      </w:r>
      <w:r w:rsidR="00C57950">
        <w:rPr>
          <w:szCs w:val="21"/>
        </w:rPr>
        <w:t xml:space="preserve"> (km)</w:t>
      </w:r>
      <w:r w:rsidRPr="00AF5B11">
        <w:rPr>
          <w:szCs w:val="21"/>
        </w:rPr>
        <w:t xml:space="preserve"> of road maintained however the cumulative (Year 1 and Year 2) target of 75km of roads receiving periodic maintenance was not reached, with only 11km completed in 2013</w:t>
      </w:r>
      <w:r w:rsidR="00C57950">
        <w:rPr>
          <w:szCs w:val="21"/>
        </w:rPr>
        <w:t>-</w:t>
      </w:r>
      <w:r w:rsidRPr="00AF5B11">
        <w:rPr>
          <w:szCs w:val="21"/>
        </w:rPr>
        <w:t xml:space="preserve">14 and 19 </w:t>
      </w:r>
      <w:r w:rsidR="00C57950">
        <w:rPr>
          <w:szCs w:val="21"/>
        </w:rPr>
        <w:t xml:space="preserve">km </w:t>
      </w:r>
      <w:r w:rsidRPr="00AF5B11">
        <w:rPr>
          <w:szCs w:val="21"/>
        </w:rPr>
        <w:t>completed in 2012</w:t>
      </w:r>
      <w:r w:rsidR="00C57950">
        <w:rPr>
          <w:szCs w:val="21"/>
        </w:rPr>
        <w:t>-</w:t>
      </w:r>
      <w:r w:rsidRPr="00AF5B11">
        <w:rPr>
          <w:szCs w:val="21"/>
        </w:rPr>
        <w:t xml:space="preserve">13. </w:t>
      </w:r>
      <w:r w:rsidR="008758FF">
        <w:rPr>
          <w:szCs w:val="21"/>
        </w:rPr>
        <w:t xml:space="preserve"> </w:t>
      </w:r>
      <w:r w:rsidRPr="00AF5B11">
        <w:rPr>
          <w:szCs w:val="21"/>
        </w:rPr>
        <w:t>More positively, TSCP continued to support development of Tonga’s local contracting industry: eight local private sector businesses were competitively awarded the road</w:t>
      </w:r>
      <w:r>
        <w:rPr>
          <w:szCs w:val="21"/>
        </w:rPr>
        <w:t xml:space="preserve"> maintenance contracts. TSCP is </w:t>
      </w:r>
      <w:r w:rsidR="008758FF">
        <w:rPr>
          <w:szCs w:val="21"/>
        </w:rPr>
        <w:t>making progress</w:t>
      </w:r>
      <w:r>
        <w:rPr>
          <w:szCs w:val="21"/>
        </w:rPr>
        <w:t xml:space="preserve"> </w:t>
      </w:r>
      <w:r w:rsidR="008758FF">
        <w:rPr>
          <w:szCs w:val="21"/>
        </w:rPr>
        <w:t xml:space="preserve">on </w:t>
      </w:r>
      <w:r>
        <w:rPr>
          <w:szCs w:val="21"/>
        </w:rPr>
        <w:t xml:space="preserve">the target of 48,000 (cumulative) person days of employment by 2015. </w:t>
      </w:r>
      <w:r w:rsidR="003D3D42">
        <w:rPr>
          <w:szCs w:val="21"/>
        </w:rPr>
        <w:t>C</w:t>
      </w:r>
      <w:r>
        <w:rPr>
          <w:szCs w:val="21"/>
        </w:rPr>
        <w:t xml:space="preserve">ontracts </w:t>
      </w:r>
      <w:r w:rsidR="003D3D42">
        <w:rPr>
          <w:szCs w:val="21"/>
        </w:rPr>
        <w:t xml:space="preserve">to date have </w:t>
      </w:r>
      <w:r w:rsidRPr="0073122F">
        <w:rPr>
          <w:szCs w:val="21"/>
        </w:rPr>
        <w:t>(so far)</w:t>
      </w:r>
      <w:r>
        <w:rPr>
          <w:szCs w:val="21"/>
        </w:rPr>
        <w:t xml:space="preserve"> generated 11,770 days so that the current cumulative total is 31,000 days of employment. </w:t>
      </w:r>
    </w:p>
    <w:p w:rsidR="00515CEF" w:rsidRDefault="008758FF" w:rsidP="00515CEF">
      <w:pPr>
        <w:pStyle w:val="BodyText"/>
        <w:rPr>
          <w:szCs w:val="21"/>
        </w:rPr>
      </w:pPr>
      <w:r>
        <w:rPr>
          <w:szCs w:val="21"/>
        </w:rPr>
        <w:t>In 2013-14, to support further reform of the transport sector, the project provided recommendations to Tonga’s Government</w:t>
      </w:r>
      <w:r w:rsidRPr="00AC486B">
        <w:rPr>
          <w:szCs w:val="21"/>
        </w:rPr>
        <w:t xml:space="preserve"> for the divestment of 14 non-core business functions from Ministry of Infrastructure to the private sector or a more appropriate Ministry or Government Department. Divestment of a government quarry was completed </w:t>
      </w:r>
      <w:r>
        <w:rPr>
          <w:szCs w:val="21"/>
        </w:rPr>
        <w:t>which is expected to reduce</w:t>
      </w:r>
      <w:r w:rsidRPr="00AC486B">
        <w:rPr>
          <w:szCs w:val="21"/>
        </w:rPr>
        <w:t xml:space="preserve"> road maintenance costs through a 5 year concession arrangement for quality stone chip supply. </w:t>
      </w:r>
      <w:r>
        <w:rPr>
          <w:szCs w:val="21"/>
        </w:rPr>
        <w:t xml:space="preserve"> Tongan Government</w:t>
      </w:r>
      <w:r w:rsidRPr="00AC486B">
        <w:rPr>
          <w:szCs w:val="21"/>
        </w:rPr>
        <w:t xml:space="preserve"> action on several other divestment opportunities has slowed, possibly due to </w:t>
      </w:r>
      <w:r>
        <w:rPr>
          <w:szCs w:val="21"/>
        </w:rPr>
        <w:t xml:space="preserve">the </w:t>
      </w:r>
      <w:r w:rsidRPr="00AC486B">
        <w:rPr>
          <w:szCs w:val="21"/>
        </w:rPr>
        <w:t>distraction of Cyclone Ian</w:t>
      </w:r>
      <w:r>
        <w:rPr>
          <w:szCs w:val="21"/>
        </w:rPr>
        <w:t xml:space="preserve"> recovery efforts</w:t>
      </w:r>
      <w:r w:rsidRPr="00AC486B">
        <w:rPr>
          <w:szCs w:val="21"/>
        </w:rPr>
        <w:t>.</w:t>
      </w:r>
      <w:r w:rsidR="00515CEF">
        <w:rPr>
          <w:szCs w:val="21"/>
        </w:rPr>
        <w:t xml:space="preserve">  </w:t>
      </w:r>
      <w:r w:rsidR="00515CEF" w:rsidRPr="008804B9">
        <w:rPr>
          <w:szCs w:val="21"/>
        </w:rPr>
        <w:t xml:space="preserve"> </w:t>
      </w:r>
    </w:p>
    <w:p w:rsidR="00577501" w:rsidRPr="000D31F2" w:rsidRDefault="00577501" w:rsidP="00577501">
      <w:pPr>
        <w:pStyle w:val="BodyText"/>
        <w:rPr>
          <w:b/>
        </w:rPr>
      </w:pPr>
      <w:r w:rsidRPr="000D31F2">
        <w:rPr>
          <w:b/>
        </w:rPr>
        <w:t xml:space="preserve">Asian Development Bank-led Nuku’alofa Urban Development Project </w:t>
      </w:r>
    </w:p>
    <w:p w:rsidR="00577501" w:rsidRDefault="00577501" w:rsidP="00577501">
      <w:pPr>
        <w:pStyle w:val="BodyText"/>
        <w:rPr>
          <w:rFonts w:eastAsia="SimSun"/>
          <w:szCs w:val="21"/>
        </w:rPr>
      </w:pPr>
      <w:r>
        <w:rPr>
          <w:rFonts w:eastAsia="SimSun"/>
          <w:szCs w:val="21"/>
        </w:rPr>
        <w:t xml:space="preserve">The Nuku’alofa Urban Development Project (NUDP) improves the policy environment for urban planning and the availability of water supply and solid waste management services in Nuku’alofa. </w:t>
      </w:r>
    </w:p>
    <w:p w:rsidR="00577501" w:rsidRPr="00707D00" w:rsidRDefault="00577501" w:rsidP="00902A80">
      <w:pPr>
        <w:pStyle w:val="Heading3"/>
        <w:rPr>
          <w:i w:val="0"/>
        </w:rPr>
      </w:pPr>
      <w:r w:rsidRPr="00707D00">
        <w:rPr>
          <w:i w:val="0"/>
        </w:rPr>
        <w:t>There was good progress on scheduled start-up activities and the majority of 2013-14 targets were achieved</w:t>
      </w:r>
      <w:r w:rsidR="00417022" w:rsidRPr="00707D00">
        <w:rPr>
          <w:i w:val="0"/>
        </w:rPr>
        <w:t>.  T</w:t>
      </w:r>
      <w:r w:rsidRPr="00707D00">
        <w:rPr>
          <w:i w:val="0"/>
        </w:rPr>
        <w:t xml:space="preserve">he Nuku’alofa Strategic Development Plan is expected to be finalised by September 2014 and will link to the Tonga National Infrastructure Investment Plan II. </w:t>
      </w:r>
      <w:r w:rsidR="00417022" w:rsidRPr="00707D00">
        <w:rPr>
          <w:i w:val="0"/>
        </w:rPr>
        <w:t xml:space="preserve"> </w:t>
      </w:r>
      <w:r w:rsidRPr="00707D00">
        <w:rPr>
          <w:i w:val="0"/>
        </w:rPr>
        <w:t xml:space="preserve">From a baseline of 50 per cent in 2011, solid waste collection services are now available to 65 per cent of households in Nuku’alofa (approximately 4,550 households and 22,750 residents). A septage tanker, two waste collection trucks and front end loader </w:t>
      </w:r>
      <w:r w:rsidR="00417022" w:rsidRPr="00707D00">
        <w:rPr>
          <w:i w:val="0"/>
        </w:rPr>
        <w:t>were procured</w:t>
      </w:r>
      <w:r w:rsidRPr="00707D00">
        <w:rPr>
          <w:i w:val="0"/>
        </w:rPr>
        <w:t xml:space="preserve">. </w:t>
      </w:r>
      <w:r w:rsidR="00417022" w:rsidRPr="00707D00">
        <w:rPr>
          <w:i w:val="0"/>
        </w:rPr>
        <w:t xml:space="preserve"> </w:t>
      </w:r>
      <w:r w:rsidRPr="00707D00">
        <w:rPr>
          <w:i w:val="0"/>
        </w:rPr>
        <w:t xml:space="preserve">Water testing equipment has been delivered and is used for monthly environmental auditing. Water meters for business and residential premises have been procured to improve the accuracy of metering and billing. The construction of an impervious liner for Cell Number 2 at Tapuhia waste </w:t>
      </w:r>
      <w:r w:rsidR="003D3D42" w:rsidRPr="00707D00">
        <w:rPr>
          <w:i w:val="0"/>
        </w:rPr>
        <w:t xml:space="preserve">management facility </w:t>
      </w:r>
      <w:r w:rsidRPr="00707D00">
        <w:rPr>
          <w:i w:val="0"/>
        </w:rPr>
        <w:t xml:space="preserve">is on track to be completed by November 2014 despite significant delays due to rain.   </w:t>
      </w:r>
    </w:p>
    <w:p w:rsidR="00577501" w:rsidRPr="00707D00" w:rsidRDefault="00417022" w:rsidP="00902A80">
      <w:pPr>
        <w:pStyle w:val="Heading3"/>
        <w:rPr>
          <w:i w:val="0"/>
        </w:rPr>
      </w:pPr>
      <w:r w:rsidRPr="00707D00">
        <w:rPr>
          <w:i w:val="0"/>
        </w:rPr>
        <w:t xml:space="preserve">NUDP </w:t>
      </w:r>
      <w:r w:rsidR="00577501" w:rsidRPr="00707D00">
        <w:rPr>
          <w:i w:val="0"/>
        </w:rPr>
        <w:t>also helped create asset management registers for the Tonga Water Board and the Waste Authority Limited. This will help authorities plan for scheduled main</w:t>
      </w:r>
      <w:r w:rsidRPr="00707D00">
        <w:rPr>
          <w:i w:val="0"/>
        </w:rPr>
        <w:t>tenance and will provide a road</w:t>
      </w:r>
      <w:r w:rsidR="00577501" w:rsidRPr="00707D00">
        <w:rPr>
          <w:i w:val="0"/>
        </w:rPr>
        <w:t xml:space="preserve">map for budget needs. An accounting package to assist </w:t>
      </w:r>
      <w:r w:rsidRPr="00707D00">
        <w:rPr>
          <w:i w:val="0"/>
        </w:rPr>
        <w:t xml:space="preserve">Waste Authority Limited </w:t>
      </w:r>
      <w:r w:rsidR="00577501" w:rsidRPr="00707D00">
        <w:rPr>
          <w:i w:val="0"/>
        </w:rPr>
        <w:t>manage finance activities has been installed and training was completed in 2013</w:t>
      </w:r>
      <w:r w:rsidR="009038B5" w:rsidRPr="00707D00">
        <w:rPr>
          <w:i w:val="0"/>
        </w:rPr>
        <w:t>.</w:t>
      </w:r>
      <w:r w:rsidR="00577501" w:rsidRPr="00707D00">
        <w:rPr>
          <w:i w:val="0"/>
        </w:rPr>
        <w:t xml:space="preserve"> </w:t>
      </w:r>
    </w:p>
    <w:p w:rsidR="00577501" w:rsidRDefault="00577501" w:rsidP="00577501">
      <w:pPr>
        <w:pStyle w:val="BodyText"/>
        <w:spacing w:after="0"/>
        <w:rPr>
          <w:szCs w:val="21"/>
        </w:rPr>
      </w:pPr>
      <w:r w:rsidRPr="00D1792A">
        <w:rPr>
          <w:szCs w:val="21"/>
        </w:rPr>
        <w:t xml:space="preserve">Another challenge successfully addressed by the project was a requirement for urgent replacement of the waste compactor for Nuku’alofa’s main Tapuhia waste management facility. The project was able to reprioritise funding to address this, and ensure the facility is able to continue operating in a more environmentally safe </w:t>
      </w:r>
      <w:r w:rsidR="00B01DAC">
        <w:rPr>
          <w:szCs w:val="21"/>
        </w:rPr>
        <w:t xml:space="preserve">and efficient </w:t>
      </w:r>
      <w:r w:rsidRPr="00D1792A">
        <w:rPr>
          <w:szCs w:val="21"/>
        </w:rPr>
        <w:t>manner.</w:t>
      </w:r>
    </w:p>
    <w:p w:rsidR="0036675F" w:rsidRDefault="0036675F" w:rsidP="00577501">
      <w:pPr>
        <w:pStyle w:val="BodyText"/>
        <w:spacing w:after="0"/>
        <w:rPr>
          <w:szCs w:val="21"/>
        </w:rPr>
      </w:pPr>
    </w:p>
    <w:p w:rsidR="00577501" w:rsidRPr="00F776BA" w:rsidRDefault="00577501" w:rsidP="00F776BA">
      <w:pPr>
        <w:pStyle w:val="BodyText"/>
        <w:spacing w:after="0"/>
        <w:rPr>
          <w:b/>
        </w:rPr>
      </w:pPr>
      <w:r w:rsidRPr="00F776BA">
        <w:rPr>
          <w:b/>
        </w:rPr>
        <w:lastRenderedPageBreak/>
        <w:t xml:space="preserve">World Bank-led Tonga Energy Road Map Institutional and Regulatory Framework Strengthening Project </w:t>
      </w:r>
    </w:p>
    <w:p w:rsidR="00CA3D73" w:rsidRDefault="00CA3D73" w:rsidP="00794D6B">
      <w:pPr>
        <w:pStyle w:val="BodyText"/>
        <w:spacing w:after="0"/>
        <w:rPr>
          <w:szCs w:val="21"/>
        </w:rPr>
      </w:pPr>
    </w:p>
    <w:p w:rsidR="00577501" w:rsidRDefault="00577501" w:rsidP="00794D6B">
      <w:pPr>
        <w:pStyle w:val="BodyText"/>
        <w:spacing w:after="0"/>
        <w:rPr>
          <w:szCs w:val="21"/>
        </w:rPr>
      </w:pPr>
      <w:r w:rsidRPr="002546AE">
        <w:rPr>
          <w:szCs w:val="21"/>
        </w:rPr>
        <w:t xml:space="preserve">The </w:t>
      </w:r>
      <w:r w:rsidR="002546AE" w:rsidRPr="002546AE">
        <w:t>Tonga Energy Road Map (</w:t>
      </w:r>
      <w:r w:rsidR="002546AE" w:rsidRPr="00794D6B">
        <w:rPr>
          <w:szCs w:val="21"/>
        </w:rPr>
        <w:t>TERM</w:t>
      </w:r>
      <w:r w:rsidR="002546AE">
        <w:rPr>
          <w:szCs w:val="21"/>
        </w:rPr>
        <w:t>)</w:t>
      </w:r>
      <w:r w:rsidR="002546AE" w:rsidRPr="00794D6B">
        <w:rPr>
          <w:szCs w:val="21"/>
        </w:rPr>
        <w:t xml:space="preserve"> </w:t>
      </w:r>
      <w:r w:rsidR="002546AE" w:rsidRPr="002546AE">
        <w:t xml:space="preserve">Institutional and Regulatory Framework Strengthening </w:t>
      </w:r>
      <w:r w:rsidRPr="00794D6B">
        <w:rPr>
          <w:szCs w:val="21"/>
        </w:rPr>
        <w:t xml:space="preserve">project </w:t>
      </w:r>
      <w:r w:rsidR="00A0627D" w:rsidRPr="00794D6B">
        <w:rPr>
          <w:szCs w:val="21"/>
        </w:rPr>
        <w:t xml:space="preserve">aims to </w:t>
      </w:r>
      <w:r w:rsidR="00855C20">
        <w:rPr>
          <w:szCs w:val="21"/>
        </w:rPr>
        <w:t xml:space="preserve">provide </w:t>
      </w:r>
      <w:r w:rsidR="00A0627D" w:rsidRPr="00794D6B">
        <w:rPr>
          <w:szCs w:val="21"/>
        </w:rPr>
        <w:t xml:space="preserve">a </w:t>
      </w:r>
      <w:r w:rsidR="00855C20">
        <w:rPr>
          <w:szCs w:val="21"/>
        </w:rPr>
        <w:t>‘</w:t>
      </w:r>
      <w:r w:rsidR="00A0627D" w:rsidRPr="00794D6B">
        <w:rPr>
          <w:szCs w:val="21"/>
        </w:rPr>
        <w:t>least cost approach</w:t>
      </w:r>
      <w:r w:rsidR="00855C20">
        <w:rPr>
          <w:szCs w:val="21"/>
        </w:rPr>
        <w:t>’</w:t>
      </w:r>
      <w:r w:rsidR="00A0627D" w:rsidRPr="00794D6B">
        <w:rPr>
          <w:szCs w:val="21"/>
        </w:rPr>
        <w:t xml:space="preserve"> implementation plan to reduce Tonga’s vulnerability to oil price shocks and achieve an increase in quality access to modern energy services in a financially and environmentally sustainable manner.  </w:t>
      </w:r>
      <w:r w:rsidRPr="00794D6B">
        <w:rPr>
          <w:szCs w:val="21"/>
        </w:rPr>
        <w:t xml:space="preserve">This project has not tracked as well as expected </w:t>
      </w:r>
      <w:r w:rsidR="000913C3">
        <w:rPr>
          <w:szCs w:val="21"/>
        </w:rPr>
        <w:t xml:space="preserve">during the reporting period </w:t>
      </w:r>
      <w:r w:rsidRPr="00794D6B">
        <w:rPr>
          <w:szCs w:val="21"/>
        </w:rPr>
        <w:t xml:space="preserve">due to delayed Government take up of project initiatives. </w:t>
      </w:r>
      <w:r w:rsidR="00855C20">
        <w:rPr>
          <w:szCs w:val="21"/>
        </w:rPr>
        <w:t xml:space="preserve"> </w:t>
      </w:r>
      <w:r w:rsidRPr="00502F83">
        <w:rPr>
          <w:szCs w:val="21"/>
        </w:rPr>
        <w:t xml:space="preserve">Key reforms envisaged in the TERM work plan included a review of electricity tariffs with a view to the </w:t>
      </w:r>
      <w:r w:rsidRPr="00745013">
        <w:rPr>
          <w:szCs w:val="21"/>
        </w:rPr>
        <w:t>introduction of a lifeline tariff</w:t>
      </w:r>
      <w:r>
        <w:rPr>
          <w:szCs w:val="21"/>
        </w:rPr>
        <w:t xml:space="preserve"> for the poor</w:t>
      </w:r>
      <w:r w:rsidRPr="00C57950">
        <w:rPr>
          <w:rStyle w:val="FootnoteReference"/>
          <w:sz w:val="18"/>
          <w:szCs w:val="18"/>
        </w:rPr>
        <w:footnoteReference w:id="16"/>
      </w:r>
      <w:r w:rsidRPr="00C57950">
        <w:rPr>
          <w:rStyle w:val="FootnoteReference"/>
          <w:sz w:val="18"/>
          <w:szCs w:val="18"/>
        </w:rPr>
        <w:t xml:space="preserve"> </w:t>
      </w:r>
      <w:r w:rsidRPr="00745013">
        <w:rPr>
          <w:szCs w:val="21"/>
        </w:rPr>
        <w:t xml:space="preserve">and improved incentives for efficient </w:t>
      </w:r>
      <w:r w:rsidR="00855C20">
        <w:rPr>
          <w:szCs w:val="21"/>
        </w:rPr>
        <w:t xml:space="preserve">energy </w:t>
      </w:r>
      <w:r w:rsidRPr="00745013">
        <w:rPr>
          <w:szCs w:val="21"/>
        </w:rPr>
        <w:t>generation</w:t>
      </w:r>
      <w:r w:rsidR="0073122F">
        <w:rPr>
          <w:szCs w:val="21"/>
        </w:rPr>
        <w:t xml:space="preserve">. </w:t>
      </w:r>
      <w:r w:rsidR="00DB48C4">
        <w:rPr>
          <w:szCs w:val="21"/>
        </w:rPr>
        <w:t xml:space="preserve">The Tongan Government </w:t>
      </w:r>
      <w:r w:rsidR="009A6868">
        <w:rPr>
          <w:szCs w:val="21"/>
        </w:rPr>
        <w:t xml:space="preserve">has </w:t>
      </w:r>
      <w:r w:rsidR="00DB48C4">
        <w:rPr>
          <w:szCs w:val="21"/>
        </w:rPr>
        <w:t xml:space="preserve">since approved the introduction of a lifeline tariff by adopting a gradual subsidy drawback which provides maximum savings to low volume users (less than 50kWh per month) but withdraws the subsidy for high volume users, leaving no one worse off than they were before the introduction of the tariff.  </w:t>
      </w:r>
      <w:r>
        <w:rPr>
          <w:szCs w:val="21"/>
        </w:rPr>
        <w:t>With assista</w:t>
      </w:r>
      <w:r w:rsidR="00855C20">
        <w:rPr>
          <w:szCs w:val="21"/>
        </w:rPr>
        <w:t>nce from the World Bank, TERM Implementation Unit has</w:t>
      </w:r>
      <w:r>
        <w:rPr>
          <w:szCs w:val="21"/>
        </w:rPr>
        <w:t xml:space="preserve"> prepared a draft paper</w:t>
      </w:r>
      <w:r w:rsidR="00A036C6">
        <w:rPr>
          <w:szCs w:val="21"/>
        </w:rPr>
        <w:t xml:space="preserve"> for </w:t>
      </w:r>
      <w:r w:rsidR="0036675F">
        <w:rPr>
          <w:szCs w:val="21"/>
        </w:rPr>
        <w:t>government</w:t>
      </w:r>
      <w:r>
        <w:rPr>
          <w:szCs w:val="21"/>
        </w:rPr>
        <w:t xml:space="preserve"> </w:t>
      </w:r>
      <w:r w:rsidR="00855C20">
        <w:rPr>
          <w:szCs w:val="21"/>
        </w:rPr>
        <w:t xml:space="preserve">consideration </w:t>
      </w:r>
      <w:r>
        <w:rPr>
          <w:szCs w:val="21"/>
        </w:rPr>
        <w:t>on the lifeline tariff</w:t>
      </w:r>
      <w:r w:rsidR="00855C20">
        <w:rPr>
          <w:szCs w:val="21"/>
        </w:rPr>
        <w:t xml:space="preserve">.  </w:t>
      </w:r>
      <w:r>
        <w:rPr>
          <w:szCs w:val="21"/>
        </w:rPr>
        <w:t>The World Bank is also</w:t>
      </w:r>
      <w:r w:rsidRPr="000736F0">
        <w:rPr>
          <w:szCs w:val="21"/>
        </w:rPr>
        <w:t xml:space="preserve"> assisting the </w:t>
      </w:r>
      <w:r w:rsidR="00855C20">
        <w:rPr>
          <w:szCs w:val="21"/>
        </w:rPr>
        <w:t xml:space="preserve">Implementation Unit </w:t>
      </w:r>
      <w:r w:rsidRPr="000736F0">
        <w:rPr>
          <w:szCs w:val="21"/>
        </w:rPr>
        <w:t xml:space="preserve">complete </w:t>
      </w:r>
      <w:r w:rsidR="00855C20">
        <w:rPr>
          <w:szCs w:val="21"/>
        </w:rPr>
        <w:t>a</w:t>
      </w:r>
      <w:r w:rsidRPr="000736F0">
        <w:rPr>
          <w:szCs w:val="21"/>
        </w:rPr>
        <w:t xml:space="preserve"> review of TERM project</w:t>
      </w:r>
      <w:r>
        <w:rPr>
          <w:szCs w:val="21"/>
        </w:rPr>
        <w:t>.</w:t>
      </w:r>
    </w:p>
    <w:p w:rsidR="0059152E" w:rsidRDefault="0059152E" w:rsidP="00794D6B">
      <w:pPr>
        <w:pStyle w:val="BodyText"/>
        <w:spacing w:after="0"/>
        <w:rPr>
          <w:szCs w:val="21"/>
        </w:rPr>
      </w:pPr>
    </w:p>
    <w:p w:rsidR="00577501" w:rsidRDefault="00855C20" w:rsidP="0059152E">
      <w:pPr>
        <w:spacing w:line="280" w:lineRule="exact"/>
        <w:rPr>
          <w:rFonts w:ascii="Franklin Gothic Book" w:hAnsi="Franklin Gothic Book"/>
          <w:sz w:val="21"/>
          <w:szCs w:val="21"/>
        </w:rPr>
      </w:pPr>
      <w:r>
        <w:rPr>
          <w:rFonts w:ascii="Franklin Gothic Book" w:hAnsi="Franklin Gothic Book"/>
          <w:sz w:val="21"/>
          <w:szCs w:val="21"/>
        </w:rPr>
        <w:t>Tonga’s</w:t>
      </w:r>
      <w:r w:rsidR="00577501" w:rsidRPr="003E3895">
        <w:rPr>
          <w:rFonts w:ascii="Franklin Gothic Book" w:hAnsi="Franklin Gothic Book"/>
          <w:sz w:val="21"/>
          <w:szCs w:val="21"/>
        </w:rPr>
        <w:t xml:space="preserve"> </w:t>
      </w:r>
      <w:r w:rsidR="00577501">
        <w:rPr>
          <w:rFonts w:ascii="Franklin Gothic Book" w:hAnsi="Franklin Gothic Book"/>
          <w:sz w:val="21"/>
          <w:szCs w:val="21"/>
        </w:rPr>
        <w:t xml:space="preserve">intention to roll the </w:t>
      </w:r>
      <w:r>
        <w:rPr>
          <w:rFonts w:ascii="Franklin Gothic Book" w:hAnsi="Franklin Gothic Book"/>
          <w:sz w:val="21"/>
          <w:szCs w:val="21"/>
        </w:rPr>
        <w:t xml:space="preserve">Implementation Unit </w:t>
      </w:r>
      <w:r w:rsidR="00577501">
        <w:rPr>
          <w:rFonts w:ascii="Franklin Gothic Book" w:hAnsi="Franklin Gothic Book"/>
          <w:sz w:val="21"/>
          <w:szCs w:val="21"/>
        </w:rPr>
        <w:t>into a M</w:t>
      </w:r>
      <w:r w:rsidR="00577501" w:rsidRPr="003E3895">
        <w:rPr>
          <w:rFonts w:ascii="Franklin Gothic Book" w:hAnsi="Franklin Gothic Book"/>
          <w:sz w:val="21"/>
          <w:szCs w:val="21"/>
        </w:rPr>
        <w:t>inist</w:t>
      </w:r>
      <w:r w:rsidR="00577501">
        <w:rPr>
          <w:rFonts w:ascii="Franklin Gothic Book" w:hAnsi="Franklin Gothic Book"/>
          <w:sz w:val="21"/>
          <w:szCs w:val="21"/>
        </w:rPr>
        <w:t xml:space="preserve">ry by July 2015, to regularise its status, </w:t>
      </w:r>
      <w:r>
        <w:rPr>
          <w:rFonts w:ascii="Franklin Gothic Book" w:hAnsi="Franklin Gothic Book"/>
          <w:sz w:val="21"/>
          <w:szCs w:val="21"/>
        </w:rPr>
        <w:t xml:space="preserve">was </w:t>
      </w:r>
      <w:r w:rsidR="00577501">
        <w:rPr>
          <w:rFonts w:ascii="Franklin Gothic Book" w:hAnsi="Franklin Gothic Book"/>
          <w:sz w:val="21"/>
          <w:szCs w:val="21"/>
        </w:rPr>
        <w:t>met 12 months early, with the</w:t>
      </w:r>
      <w:r w:rsidR="00577501" w:rsidRPr="003E3895">
        <w:rPr>
          <w:rFonts w:ascii="Franklin Gothic Book" w:hAnsi="Franklin Gothic Book"/>
          <w:sz w:val="21"/>
          <w:szCs w:val="21"/>
        </w:rPr>
        <w:t xml:space="preserve"> TERM </w:t>
      </w:r>
      <w:r w:rsidR="00577501">
        <w:rPr>
          <w:rFonts w:ascii="Franklin Gothic Book" w:hAnsi="Franklin Gothic Book"/>
          <w:sz w:val="21"/>
          <w:szCs w:val="21"/>
        </w:rPr>
        <w:t>agency brought into the Ministry of Environment and Information (under the Prime Minister</w:t>
      </w:r>
      <w:r w:rsidR="0073122F">
        <w:rPr>
          <w:rFonts w:ascii="Franklin Gothic Book" w:hAnsi="Franklin Gothic Book"/>
          <w:sz w:val="21"/>
          <w:szCs w:val="21"/>
        </w:rPr>
        <w:t>’s responsibilities</w:t>
      </w:r>
      <w:r w:rsidR="00577501">
        <w:rPr>
          <w:rFonts w:ascii="Franklin Gothic Book" w:hAnsi="Franklin Gothic Book"/>
          <w:sz w:val="21"/>
          <w:szCs w:val="21"/>
        </w:rPr>
        <w:t xml:space="preserve">) from July 2014. This </w:t>
      </w:r>
      <w:r w:rsidR="00577501" w:rsidRPr="003E3895">
        <w:rPr>
          <w:rFonts w:ascii="Franklin Gothic Book" w:hAnsi="Franklin Gothic Book"/>
          <w:sz w:val="21"/>
          <w:szCs w:val="21"/>
        </w:rPr>
        <w:t xml:space="preserve">positive </w:t>
      </w:r>
      <w:r w:rsidR="00577501">
        <w:rPr>
          <w:rFonts w:ascii="Franklin Gothic Book" w:hAnsi="Franklin Gothic Book"/>
          <w:sz w:val="21"/>
          <w:szCs w:val="21"/>
        </w:rPr>
        <w:t xml:space="preserve">step </w:t>
      </w:r>
      <w:r w:rsidR="00813C9A">
        <w:rPr>
          <w:rFonts w:ascii="Franklin Gothic Book" w:hAnsi="Franklin Gothic Book"/>
          <w:sz w:val="21"/>
          <w:szCs w:val="21"/>
        </w:rPr>
        <w:t xml:space="preserve">may </w:t>
      </w:r>
      <w:r w:rsidR="00577501">
        <w:rPr>
          <w:rFonts w:ascii="Franklin Gothic Book" w:hAnsi="Franklin Gothic Book"/>
          <w:sz w:val="21"/>
          <w:szCs w:val="21"/>
        </w:rPr>
        <w:t xml:space="preserve">help </w:t>
      </w:r>
      <w:r w:rsidR="00577501" w:rsidRPr="003E3895">
        <w:rPr>
          <w:rFonts w:ascii="Franklin Gothic Book" w:hAnsi="Franklin Gothic Book"/>
          <w:sz w:val="21"/>
          <w:szCs w:val="21"/>
        </w:rPr>
        <w:t>en</w:t>
      </w:r>
      <w:r w:rsidR="00577501">
        <w:rPr>
          <w:rFonts w:ascii="Franklin Gothic Book" w:hAnsi="Franklin Gothic Book"/>
          <w:sz w:val="21"/>
          <w:szCs w:val="21"/>
        </w:rPr>
        <w:t xml:space="preserve">sure </w:t>
      </w:r>
      <w:r w:rsidR="00813C9A">
        <w:rPr>
          <w:rFonts w:ascii="Franklin Gothic Book" w:hAnsi="Franklin Gothic Book"/>
          <w:sz w:val="21"/>
          <w:szCs w:val="21"/>
        </w:rPr>
        <w:t xml:space="preserve">ongoing </w:t>
      </w:r>
      <w:r w:rsidR="00577501">
        <w:rPr>
          <w:rFonts w:ascii="Franklin Gothic Book" w:hAnsi="Franklin Gothic Book"/>
          <w:sz w:val="21"/>
          <w:szCs w:val="21"/>
        </w:rPr>
        <w:t>focus and delivery of the road map goals and priorities.</w:t>
      </w:r>
    </w:p>
    <w:p w:rsidR="0059152E" w:rsidRDefault="0059152E" w:rsidP="0059152E">
      <w:pPr>
        <w:spacing w:line="280" w:lineRule="exact"/>
        <w:rPr>
          <w:rFonts w:ascii="Franklin Gothic Book" w:hAnsi="Franklin Gothic Book"/>
          <w:sz w:val="21"/>
          <w:szCs w:val="21"/>
        </w:rPr>
      </w:pPr>
    </w:p>
    <w:p w:rsidR="00577501" w:rsidRDefault="000913C3" w:rsidP="0059152E">
      <w:pPr>
        <w:spacing w:line="280" w:lineRule="exact"/>
        <w:rPr>
          <w:rFonts w:ascii="Franklin Gothic Book" w:hAnsi="Franklin Gothic Book"/>
          <w:sz w:val="21"/>
          <w:szCs w:val="21"/>
        </w:rPr>
      </w:pPr>
      <w:r>
        <w:rPr>
          <w:rFonts w:ascii="Franklin Gothic Book" w:hAnsi="Franklin Gothic Book"/>
          <w:sz w:val="21"/>
          <w:szCs w:val="21"/>
        </w:rPr>
        <w:t xml:space="preserve">Through this project </w:t>
      </w:r>
      <w:r w:rsidR="00CA3D73">
        <w:rPr>
          <w:rFonts w:ascii="Franklin Gothic Book" w:hAnsi="Franklin Gothic Book"/>
          <w:sz w:val="21"/>
          <w:szCs w:val="21"/>
        </w:rPr>
        <w:t xml:space="preserve">Australia co-funded the </w:t>
      </w:r>
      <w:r w:rsidR="00577501">
        <w:rPr>
          <w:rFonts w:ascii="Franklin Gothic Book" w:hAnsi="Franklin Gothic Book"/>
          <w:sz w:val="21"/>
          <w:szCs w:val="21"/>
        </w:rPr>
        <w:t xml:space="preserve">installation of </w:t>
      </w:r>
      <w:r w:rsidR="00577501" w:rsidRPr="00F975F8">
        <w:rPr>
          <w:rFonts w:ascii="Franklin Gothic Book" w:hAnsi="Franklin Gothic Book"/>
          <w:sz w:val="21"/>
          <w:szCs w:val="21"/>
        </w:rPr>
        <w:t>550 solar home systems</w:t>
      </w:r>
      <w:r w:rsidR="00577501">
        <w:rPr>
          <w:rFonts w:ascii="Franklin Gothic Book" w:hAnsi="Franklin Gothic Book"/>
          <w:sz w:val="21"/>
          <w:szCs w:val="21"/>
        </w:rPr>
        <w:t xml:space="preserve"> by the</w:t>
      </w:r>
      <w:r w:rsidR="00577501" w:rsidRPr="00F975F8">
        <w:rPr>
          <w:rFonts w:ascii="Franklin Gothic Book" w:hAnsi="Franklin Gothic Book"/>
          <w:sz w:val="21"/>
          <w:szCs w:val="21"/>
        </w:rPr>
        <w:t xml:space="preserve"> </w:t>
      </w:r>
      <w:r w:rsidR="00577501">
        <w:rPr>
          <w:rFonts w:ascii="Franklin Gothic Book" w:hAnsi="Franklin Gothic Book"/>
          <w:sz w:val="21"/>
          <w:szCs w:val="21"/>
        </w:rPr>
        <w:t>Japan International Cooperation Agency (</w:t>
      </w:r>
      <w:r w:rsidR="00577501" w:rsidRPr="00F975F8">
        <w:rPr>
          <w:rFonts w:ascii="Franklin Gothic Book" w:hAnsi="Franklin Gothic Book"/>
          <w:sz w:val="21"/>
          <w:szCs w:val="21"/>
        </w:rPr>
        <w:t>JICA</w:t>
      </w:r>
      <w:r w:rsidR="00577501">
        <w:rPr>
          <w:rFonts w:ascii="Franklin Gothic Book" w:hAnsi="Franklin Gothic Book"/>
          <w:sz w:val="21"/>
          <w:szCs w:val="21"/>
        </w:rPr>
        <w:t>) in</w:t>
      </w:r>
      <w:r w:rsidR="00577501" w:rsidRPr="00F975F8">
        <w:rPr>
          <w:rFonts w:ascii="Franklin Gothic Book" w:hAnsi="Franklin Gothic Book"/>
          <w:sz w:val="21"/>
          <w:szCs w:val="21"/>
        </w:rPr>
        <w:t xml:space="preserve"> November 2013</w:t>
      </w:r>
      <w:r w:rsidR="00CA3D73">
        <w:rPr>
          <w:rFonts w:ascii="Franklin Gothic Book" w:hAnsi="Franklin Gothic Book"/>
          <w:sz w:val="21"/>
          <w:szCs w:val="21"/>
        </w:rPr>
        <w:t xml:space="preserve"> and the integration of t</w:t>
      </w:r>
      <w:r w:rsidR="00577501">
        <w:rPr>
          <w:rFonts w:ascii="Franklin Gothic Book" w:hAnsi="Franklin Gothic Book"/>
          <w:sz w:val="21"/>
          <w:szCs w:val="21"/>
        </w:rPr>
        <w:t>wo o</w:t>
      </w:r>
      <w:r w:rsidR="00577501" w:rsidRPr="00F975F8">
        <w:rPr>
          <w:rFonts w:ascii="Franklin Gothic Book" w:hAnsi="Franklin Gothic Book"/>
          <w:sz w:val="21"/>
          <w:szCs w:val="21"/>
        </w:rPr>
        <w:t xml:space="preserve">n-grid </w:t>
      </w:r>
      <w:r w:rsidR="00577501">
        <w:rPr>
          <w:rFonts w:ascii="Franklin Gothic Book" w:hAnsi="Franklin Gothic Book"/>
          <w:sz w:val="21"/>
          <w:szCs w:val="21"/>
        </w:rPr>
        <w:t xml:space="preserve">solar </w:t>
      </w:r>
      <w:r w:rsidR="00577501" w:rsidRPr="00F975F8">
        <w:rPr>
          <w:rFonts w:ascii="Franklin Gothic Book" w:hAnsi="Franklin Gothic Book"/>
          <w:sz w:val="21"/>
          <w:szCs w:val="21"/>
        </w:rPr>
        <w:t xml:space="preserve">systems on the </w:t>
      </w:r>
      <w:r w:rsidR="00577501">
        <w:rPr>
          <w:rFonts w:ascii="Franklin Gothic Book" w:hAnsi="Franklin Gothic Book"/>
          <w:sz w:val="21"/>
          <w:szCs w:val="21"/>
        </w:rPr>
        <w:t>islands of Tongatapu and Vava’u</w:t>
      </w:r>
      <w:r w:rsidR="00577501" w:rsidRPr="00F975F8">
        <w:rPr>
          <w:rFonts w:ascii="Franklin Gothic Book" w:hAnsi="Franklin Gothic Book"/>
          <w:sz w:val="21"/>
          <w:szCs w:val="21"/>
        </w:rPr>
        <w:t>.</w:t>
      </w:r>
      <w:r w:rsidR="00577501">
        <w:rPr>
          <w:rFonts w:ascii="Franklin Gothic Book" w:hAnsi="Franklin Gothic Book"/>
          <w:sz w:val="21"/>
          <w:szCs w:val="21"/>
        </w:rPr>
        <w:t xml:space="preserve"> </w:t>
      </w:r>
    </w:p>
    <w:p w:rsidR="00577501" w:rsidRDefault="00577501" w:rsidP="00577501">
      <w:pPr>
        <w:rPr>
          <w:rFonts w:ascii="Franklin Gothic Book" w:hAnsi="Franklin Gothic Book"/>
          <w:sz w:val="21"/>
          <w:szCs w:val="21"/>
        </w:rPr>
      </w:pPr>
    </w:p>
    <w:p w:rsidR="00A73753" w:rsidRDefault="00A73753" w:rsidP="00A73753">
      <w:pPr>
        <w:pStyle w:val="BodyText"/>
        <w:spacing w:after="0"/>
        <w:rPr>
          <w:rFonts w:ascii="Helvetica" w:hAnsi="Helvetica" w:cs="Arial"/>
          <w:bCs/>
          <w:color w:val="007FAD"/>
          <w:kern w:val="28"/>
          <w:sz w:val="28"/>
          <w:szCs w:val="28"/>
        </w:rPr>
      </w:pPr>
      <w:r w:rsidRPr="0016673E">
        <w:rPr>
          <w:rFonts w:ascii="Helvetica" w:hAnsi="Helvetica" w:cs="Arial"/>
          <w:bCs/>
          <w:color w:val="007FAD"/>
          <w:kern w:val="28"/>
          <w:sz w:val="28"/>
          <w:szCs w:val="28"/>
        </w:rPr>
        <w:t>Objective: Improved health</w:t>
      </w:r>
    </w:p>
    <w:p w:rsidR="00E54B55" w:rsidRPr="0016673E" w:rsidRDefault="00E54B55" w:rsidP="00A73753">
      <w:pPr>
        <w:pStyle w:val="BodyText"/>
        <w:spacing w:after="0"/>
        <w:rPr>
          <w:rFonts w:ascii="Helvetica" w:hAnsi="Helvetica" w:cs="Arial"/>
          <w:bCs/>
          <w:color w:val="007FAD"/>
          <w:kern w:val="28"/>
          <w:sz w:val="28"/>
          <w:szCs w:val="28"/>
        </w:rPr>
      </w:pPr>
    </w:p>
    <w:p w:rsidR="00A73753" w:rsidRDefault="00E54B55" w:rsidP="00A73753">
      <w:pPr>
        <w:pStyle w:val="ListParagraph"/>
        <w:numPr>
          <w:ilvl w:val="0"/>
          <w:numId w:val="0"/>
        </w:numPr>
        <w:spacing w:line="280" w:lineRule="exact"/>
        <w:jc w:val="both"/>
        <w:rPr>
          <w:rFonts w:ascii="Franklin Gothic Book" w:hAnsi="Franklin Gothic Book"/>
          <w:sz w:val="21"/>
          <w:szCs w:val="21"/>
        </w:rPr>
      </w:pPr>
      <w:r>
        <w:rPr>
          <w:rFonts w:ascii="Franklin Gothic Book" w:hAnsi="Franklin Gothic Book"/>
          <w:sz w:val="21"/>
          <w:szCs w:val="21"/>
        </w:rPr>
        <w:t xml:space="preserve">Progress in this sector was satisfactory overall. </w:t>
      </w:r>
      <w:r w:rsidR="00A73753" w:rsidRPr="0028175A">
        <w:rPr>
          <w:rFonts w:ascii="Franklin Gothic Book" w:hAnsi="Franklin Gothic Book"/>
          <w:sz w:val="21"/>
          <w:szCs w:val="21"/>
        </w:rPr>
        <w:t>Australia provides support directly to Tonga’s Ministry of Health to improve community health services and deliver</w:t>
      </w:r>
      <w:r w:rsidR="00A73753">
        <w:rPr>
          <w:rFonts w:ascii="Franklin Gothic Book" w:hAnsi="Franklin Gothic Book"/>
          <w:sz w:val="21"/>
          <w:szCs w:val="21"/>
        </w:rPr>
        <w:t xml:space="preserve"> </w:t>
      </w:r>
      <w:r w:rsidR="00A73753" w:rsidRPr="00DB3C39">
        <w:rPr>
          <w:rFonts w:ascii="Franklin Gothic Book" w:hAnsi="Franklin Gothic Book"/>
          <w:sz w:val="21"/>
          <w:szCs w:val="21"/>
        </w:rPr>
        <w:t>preventative health measures</w:t>
      </w:r>
      <w:r w:rsidR="00A73753">
        <w:rPr>
          <w:rFonts w:ascii="Franklin Gothic Book" w:hAnsi="Franklin Gothic Book"/>
          <w:sz w:val="21"/>
          <w:szCs w:val="21"/>
        </w:rPr>
        <w:t xml:space="preserve"> t</w:t>
      </w:r>
      <w:r w:rsidR="00A73753" w:rsidRPr="00DB3C39">
        <w:rPr>
          <w:rFonts w:ascii="Franklin Gothic Book" w:hAnsi="Franklin Gothic Book"/>
          <w:sz w:val="21"/>
          <w:szCs w:val="21"/>
        </w:rPr>
        <w:t>hrough the Tonga Health Systems Support Program</w:t>
      </w:r>
      <w:r w:rsidR="00A73753">
        <w:rPr>
          <w:rFonts w:ascii="Franklin Gothic Book" w:hAnsi="Franklin Gothic Book"/>
          <w:sz w:val="21"/>
          <w:szCs w:val="21"/>
        </w:rPr>
        <w:t xml:space="preserve"> (THSSP). THSSP has</w:t>
      </w:r>
      <w:r w:rsidR="00A73753" w:rsidRPr="00DB3C39">
        <w:rPr>
          <w:rFonts w:ascii="Franklin Gothic Book" w:hAnsi="Franklin Gothic Book"/>
          <w:sz w:val="21"/>
          <w:szCs w:val="21"/>
        </w:rPr>
        <w:t xml:space="preserve"> a </w:t>
      </w:r>
      <w:r w:rsidR="00A73753">
        <w:rPr>
          <w:rFonts w:ascii="Franklin Gothic Book" w:hAnsi="Franklin Gothic Book"/>
          <w:sz w:val="21"/>
          <w:szCs w:val="21"/>
        </w:rPr>
        <w:t xml:space="preserve">strong </w:t>
      </w:r>
      <w:r w:rsidR="00A73753" w:rsidRPr="00DB3C39">
        <w:rPr>
          <w:rFonts w:ascii="Franklin Gothic Book" w:hAnsi="Franklin Gothic Book"/>
          <w:sz w:val="21"/>
          <w:szCs w:val="21"/>
        </w:rPr>
        <w:t>focus on halting</w:t>
      </w:r>
      <w:r w:rsidR="00A73753">
        <w:rPr>
          <w:rFonts w:ascii="Franklin Gothic Book" w:hAnsi="Franklin Gothic Book"/>
          <w:sz w:val="21"/>
          <w:szCs w:val="21"/>
        </w:rPr>
        <w:t xml:space="preserve"> a rise in </w:t>
      </w:r>
      <w:r w:rsidR="00A73753" w:rsidRPr="00DB3C39">
        <w:rPr>
          <w:rFonts w:ascii="Franklin Gothic Book" w:hAnsi="Franklin Gothic Book"/>
          <w:sz w:val="21"/>
          <w:szCs w:val="21"/>
        </w:rPr>
        <w:t xml:space="preserve">the prevalence of </w:t>
      </w:r>
      <w:r w:rsidR="00D907F8">
        <w:rPr>
          <w:rFonts w:ascii="Franklin Gothic Book" w:hAnsi="Franklin Gothic Book"/>
          <w:sz w:val="21"/>
          <w:szCs w:val="21"/>
        </w:rPr>
        <w:t xml:space="preserve">non-communicable disease (NCD) </w:t>
      </w:r>
      <w:r w:rsidR="00A73753" w:rsidRPr="00DB3C39">
        <w:rPr>
          <w:rFonts w:ascii="Franklin Gothic Book" w:hAnsi="Franklin Gothic Book"/>
          <w:sz w:val="21"/>
          <w:szCs w:val="21"/>
        </w:rPr>
        <w:t>risk factors</w:t>
      </w:r>
      <w:r w:rsidR="00D907F8">
        <w:rPr>
          <w:rFonts w:ascii="Franklin Gothic Book" w:hAnsi="Franklin Gothic Book"/>
          <w:sz w:val="21"/>
          <w:szCs w:val="21"/>
        </w:rPr>
        <w:t xml:space="preserve"> </w:t>
      </w:r>
      <w:r w:rsidR="00D907F8" w:rsidRPr="00C761FA">
        <w:rPr>
          <w:rFonts w:ascii="Franklin Gothic Book" w:hAnsi="Franklin Gothic Book"/>
          <w:sz w:val="21"/>
          <w:szCs w:val="21"/>
        </w:rPr>
        <w:t>which are now so prevalent they are reducing life expectancy and creating a major economi</w:t>
      </w:r>
      <w:r w:rsidR="00D907F8">
        <w:rPr>
          <w:rFonts w:ascii="Franklin Gothic Book" w:hAnsi="Franklin Gothic Book"/>
          <w:sz w:val="21"/>
          <w:szCs w:val="21"/>
        </w:rPr>
        <w:t>c burden</w:t>
      </w:r>
      <w:r w:rsidR="00A73753" w:rsidRPr="00DB3C39">
        <w:rPr>
          <w:rFonts w:ascii="Franklin Gothic Book" w:hAnsi="Franklin Gothic Book"/>
          <w:sz w:val="21"/>
          <w:szCs w:val="21"/>
        </w:rPr>
        <w:t xml:space="preserve">. </w:t>
      </w:r>
      <w:r w:rsidR="00A73753">
        <w:rPr>
          <w:rFonts w:ascii="Franklin Gothic Book" w:hAnsi="Franklin Gothic Book"/>
          <w:sz w:val="21"/>
          <w:szCs w:val="21"/>
        </w:rPr>
        <w:t xml:space="preserve"> </w:t>
      </w:r>
      <w:r w:rsidR="00A73753" w:rsidRPr="00575047">
        <w:rPr>
          <w:rFonts w:ascii="Franklin Gothic Book" w:hAnsi="Franklin Gothic Book"/>
          <w:sz w:val="21"/>
          <w:szCs w:val="21"/>
        </w:rPr>
        <w:t xml:space="preserve">The program also supports </w:t>
      </w:r>
      <w:r w:rsidR="00A73753">
        <w:rPr>
          <w:rFonts w:ascii="Franklin Gothic Book" w:hAnsi="Franklin Gothic Book"/>
          <w:sz w:val="21"/>
          <w:szCs w:val="21"/>
        </w:rPr>
        <w:t xml:space="preserve">improvement of primary health care services to a common national standard, </w:t>
      </w:r>
      <w:r w:rsidR="00A73753" w:rsidRPr="0071014D">
        <w:rPr>
          <w:rFonts w:ascii="Franklin Gothic Book" w:hAnsi="Franklin Gothic Book"/>
          <w:sz w:val="21"/>
          <w:szCs w:val="21"/>
        </w:rPr>
        <w:t>a highly cost-effective twinning arrangement</w:t>
      </w:r>
      <w:r w:rsidR="00A73753">
        <w:rPr>
          <w:rFonts w:ascii="Franklin Gothic Book" w:hAnsi="Franklin Gothic Book"/>
          <w:sz w:val="21"/>
          <w:szCs w:val="21"/>
        </w:rPr>
        <w:t xml:space="preserve"> and</w:t>
      </w:r>
      <w:r w:rsidR="00A73753" w:rsidRPr="0071014D">
        <w:rPr>
          <w:rFonts w:ascii="Franklin Gothic Book" w:hAnsi="Franklin Gothic Book"/>
          <w:sz w:val="21"/>
          <w:szCs w:val="21"/>
        </w:rPr>
        <w:t xml:space="preserve"> critical</w:t>
      </w:r>
      <w:r w:rsidR="00A73753">
        <w:rPr>
          <w:rFonts w:ascii="Franklin Gothic Book" w:hAnsi="Franklin Gothic Book"/>
          <w:sz w:val="21"/>
          <w:szCs w:val="21"/>
        </w:rPr>
        <w:t xml:space="preserve"> </w:t>
      </w:r>
      <w:r w:rsidR="00A73753" w:rsidRPr="00575047">
        <w:rPr>
          <w:rFonts w:ascii="Franklin Gothic Book" w:hAnsi="Franklin Gothic Book"/>
          <w:sz w:val="21"/>
          <w:szCs w:val="21"/>
        </w:rPr>
        <w:t>clinical positions, mentoring and training</w:t>
      </w:r>
      <w:r w:rsidR="00A73753">
        <w:rPr>
          <w:rFonts w:ascii="Franklin Gothic Book" w:hAnsi="Franklin Gothic Book"/>
          <w:sz w:val="21"/>
          <w:szCs w:val="21"/>
        </w:rPr>
        <w:t xml:space="preserve"> </w:t>
      </w:r>
      <w:r w:rsidR="00A73753" w:rsidRPr="00575047">
        <w:rPr>
          <w:rFonts w:ascii="Franklin Gothic Book" w:hAnsi="Franklin Gothic Book"/>
          <w:sz w:val="21"/>
          <w:szCs w:val="21"/>
        </w:rPr>
        <w:t xml:space="preserve">to </w:t>
      </w:r>
      <w:r w:rsidR="00A73753">
        <w:rPr>
          <w:rFonts w:ascii="Franklin Gothic Book" w:hAnsi="Franklin Gothic Book"/>
          <w:sz w:val="21"/>
          <w:szCs w:val="21"/>
        </w:rPr>
        <w:t>support the operation of Tonga’s major hospital</w:t>
      </w:r>
      <w:r w:rsidR="00A73753" w:rsidRPr="00575047">
        <w:rPr>
          <w:rFonts w:ascii="Franklin Gothic Book" w:hAnsi="Franklin Gothic Book"/>
          <w:sz w:val="21"/>
          <w:szCs w:val="21"/>
        </w:rPr>
        <w:t>.</w:t>
      </w:r>
    </w:p>
    <w:p w:rsidR="00A73753" w:rsidRPr="00203F50" w:rsidRDefault="00A73753" w:rsidP="00A73753">
      <w:pPr>
        <w:pStyle w:val="ListParagraph"/>
        <w:numPr>
          <w:ilvl w:val="0"/>
          <w:numId w:val="0"/>
        </w:numPr>
        <w:spacing w:line="280" w:lineRule="exact"/>
        <w:jc w:val="both"/>
        <w:rPr>
          <w:rFonts w:ascii="Franklin Gothic Book" w:hAnsi="Franklin Gothic Book"/>
          <w:i/>
          <w:sz w:val="21"/>
          <w:szCs w:val="21"/>
        </w:rPr>
      </w:pPr>
      <w:r>
        <w:rPr>
          <w:rFonts w:ascii="Franklin Gothic Book" w:hAnsi="Franklin Gothic Book"/>
          <w:i/>
          <w:sz w:val="21"/>
          <w:szCs w:val="21"/>
        </w:rPr>
        <w:t>Policy reform</w:t>
      </w:r>
    </w:p>
    <w:p w:rsidR="00D907F8" w:rsidRDefault="00A73753" w:rsidP="00A73753">
      <w:pPr>
        <w:pStyle w:val="ListParagraph"/>
        <w:numPr>
          <w:ilvl w:val="0"/>
          <w:numId w:val="0"/>
        </w:numPr>
        <w:spacing w:line="280" w:lineRule="exact"/>
        <w:jc w:val="both"/>
        <w:rPr>
          <w:rFonts w:ascii="Franklin Gothic Book" w:hAnsi="Franklin Gothic Book"/>
          <w:sz w:val="21"/>
          <w:szCs w:val="21"/>
        </w:rPr>
      </w:pPr>
      <w:r>
        <w:rPr>
          <w:rFonts w:ascii="Franklin Gothic Book" w:hAnsi="Franklin Gothic Book"/>
          <w:sz w:val="21"/>
          <w:szCs w:val="21"/>
        </w:rPr>
        <w:t>At the level of policy reform, a key success over the period was</w:t>
      </w:r>
      <w:r w:rsidRPr="00DB3C39">
        <w:rPr>
          <w:rFonts w:ascii="Franklin Gothic Book" w:hAnsi="Franklin Gothic Book"/>
          <w:sz w:val="21"/>
          <w:szCs w:val="21"/>
        </w:rPr>
        <w:t xml:space="preserve"> </w:t>
      </w:r>
      <w:r>
        <w:rPr>
          <w:rFonts w:ascii="Franklin Gothic Book" w:hAnsi="Franklin Gothic Book"/>
          <w:sz w:val="21"/>
          <w:szCs w:val="21"/>
        </w:rPr>
        <w:t>progress on</w:t>
      </w:r>
      <w:r w:rsidRPr="00DB3C39">
        <w:rPr>
          <w:rFonts w:ascii="Franklin Gothic Book" w:hAnsi="Franklin Gothic Book"/>
          <w:sz w:val="21"/>
          <w:szCs w:val="21"/>
        </w:rPr>
        <w:t xml:space="preserve"> legislative </w:t>
      </w:r>
      <w:r>
        <w:rPr>
          <w:rFonts w:ascii="Franklin Gothic Book" w:hAnsi="Franklin Gothic Book"/>
          <w:sz w:val="21"/>
          <w:szCs w:val="21"/>
        </w:rPr>
        <w:t>reforms</w:t>
      </w:r>
      <w:r w:rsidRPr="00DB3C39">
        <w:rPr>
          <w:rFonts w:ascii="Franklin Gothic Book" w:hAnsi="Franklin Gothic Book"/>
          <w:sz w:val="21"/>
          <w:szCs w:val="21"/>
        </w:rPr>
        <w:t xml:space="preserve"> to support </w:t>
      </w:r>
      <w:r>
        <w:rPr>
          <w:rFonts w:ascii="Franklin Gothic Book" w:hAnsi="Franklin Gothic Book"/>
          <w:sz w:val="21"/>
          <w:szCs w:val="21"/>
        </w:rPr>
        <w:t xml:space="preserve">public </w:t>
      </w:r>
      <w:r w:rsidRPr="00DB3C39">
        <w:rPr>
          <w:rFonts w:ascii="Franklin Gothic Book" w:hAnsi="Franklin Gothic Book"/>
          <w:sz w:val="21"/>
          <w:szCs w:val="21"/>
        </w:rPr>
        <w:t xml:space="preserve">health objectives, including a 15 per cent increase in tobacco excise tax and </w:t>
      </w:r>
      <w:r>
        <w:rPr>
          <w:rFonts w:ascii="Franklin Gothic Book" w:hAnsi="Franklin Gothic Book"/>
          <w:sz w:val="21"/>
          <w:szCs w:val="21"/>
        </w:rPr>
        <w:t xml:space="preserve">work towards </w:t>
      </w:r>
      <w:r w:rsidRPr="00DB3C39">
        <w:rPr>
          <w:rFonts w:ascii="Franklin Gothic Book" w:hAnsi="Franklin Gothic Book"/>
          <w:sz w:val="21"/>
          <w:szCs w:val="21"/>
        </w:rPr>
        <w:t xml:space="preserve">the introduction of tobacco control amendment bills </w:t>
      </w:r>
      <w:r>
        <w:rPr>
          <w:rFonts w:ascii="Franklin Gothic Book" w:hAnsi="Franklin Gothic Book"/>
          <w:sz w:val="21"/>
          <w:szCs w:val="21"/>
        </w:rPr>
        <w:t>(for</w:t>
      </w:r>
      <w:r w:rsidRPr="00DB3C39">
        <w:rPr>
          <w:rFonts w:ascii="Franklin Gothic Book" w:hAnsi="Franklin Gothic Book"/>
          <w:sz w:val="21"/>
          <w:szCs w:val="21"/>
        </w:rPr>
        <w:t xml:space="preserve"> more smoke free premises, and </w:t>
      </w:r>
      <w:r>
        <w:rPr>
          <w:rFonts w:ascii="Franklin Gothic Book" w:hAnsi="Franklin Gothic Book"/>
          <w:sz w:val="21"/>
          <w:szCs w:val="21"/>
        </w:rPr>
        <w:t xml:space="preserve">enabling </w:t>
      </w:r>
      <w:r w:rsidRPr="00DB3C39">
        <w:rPr>
          <w:rFonts w:ascii="Franklin Gothic Book" w:hAnsi="Franklin Gothic Book"/>
          <w:sz w:val="21"/>
          <w:szCs w:val="21"/>
        </w:rPr>
        <w:t>tobacco enforcement officers to enforce the Act by issuing on the spot fines to offenders</w:t>
      </w:r>
      <w:r>
        <w:rPr>
          <w:rFonts w:ascii="Franklin Gothic Book" w:hAnsi="Franklin Gothic Book"/>
          <w:sz w:val="21"/>
          <w:szCs w:val="21"/>
        </w:rPr>
        <w:t>)</w:t>
      </w:r>
      <w:r w:rsidRPr="00DB3C39">
        <w:rPr>
          <w:rFonts w:ascii="Franklin Gothic Book" w:hAnsi="Franklin Gothic Book"/>
          <w:sz w:val="21"/>
          <w:szCs w:val="21"/>
        </w:rPr>
        <w:t>.</w:t>
      </w:r>
      <w:r>
        <w:rPr>
          <w:rFonts w:ascii="Franklin Gothic Book" w:hAnsi="Franklin Gothic Book"/>
          <w:sz w:val="21"/>
          <w:szCs w:val="21"/>
        </w:rPr>
        <w:t xml:space="preserve"> </w:t>
      </w:r>
    </w:p>
    <w:p w:rsidR="00A73753" w:rsidRPr="00203F50" w:rsidRDefault="00A73753" w:rsidP="00A73753">
      <w:pPr>
        <w:pStyle w:val="ListParagraph"/>
        <w:numPr>
          <w:ilvl w:val="0"/>
          <w:numId w:val="0"/>
        </w:numPr>
        <w:spacing w:line="280" w:lineRule="exact"/>
        <w:jc w:val="both"/>
        <w:rPr>
          <w:rFonts w:ascii="Franklin Gothic Book" w:hAnsi="Franklin Gothic Book"/>
          <w:i/>
          <w:sz w:val="21"/>
          <w:szCs w:val="21"/>
        </w:rPr>
      </w:pPr>
      <w:r>
        <w:rPr>
          <w:rFonts w:ascii="Franklin Gothic Book" w:hAnsi="Franklin Gothic Book"/>
          <w:i/>
          <w:sz w:val="21"/>
          <w:szCs w:val="21"/>
        </w:rPr>
        <w:t>Systems improvements</w:t>
      </w:r>
    </w:p>
    <w:p w:rsidR="00A73753" w:rsidRDefault="00A73753" w:rsidP="00A73753">
      <w:pPr>
        <w:pStyle w:val="ListParagraph"/>
        <w:numPr>
          <w:ilvl w:val="0"/>
          <w:numId w:val="0"/>
        </w:numPr>
        <w:spacing w:line="280" w:lineRule="exact"/>
        <w:jc w:val="both"/>
        <w:rPr>
          <w:rFonts w:ascii="Franklin Gothic Book" w:hAnsi="Franklin Gothic Book"/>
          <w:sz w:val="21"/>
          <w:szCs w:val="21"/>
        </w:rPr>
      </w:pPr>
      <w:r w:rsidRPr="003D2232">
        <w:rPr>
          <w:rFonts w:ascii="Franklin Gothic Book" w:hAnsi="Franklin Gothic Book"/>
          <w:sz w:val="21"/>
          <w:szCs w:val="21"/>
        </w:rPr>
        <w:t>In February 2014, the first cadre of 20 registered</w:t>
      </w:r>
      <w:r>
        <w:rPr>
          <w:rFonts w:ascii="Franklin Gothic Book" w:hAnsi="Franklin Gothic Book"/>
          <w:sz w:val="21"/>
          <w:szCs w:val="21"/>
        </w:rPr>
        <w:t xml:space="preserve"> specialist NCD</w:t>
      </w:r>
      <w:r w:rsidRPr="003D2232">
        <w:rPr>
          <w:rFonts w:ascii="Franklin Gothic Book" w:hAnsi="Franklin Gothic Book"/>
          <w:sz w:val="21"/>
          <w:szCs w:val="21"/>
        </w:rPr>
        <w:t xml:space="preserve"> nurses graduate</w:t>
      </w:r>
      <w:r>
        <w:rPr>
          <w:rFonts w:ascii="Franklin Gothic Book" w:hAnsi="Franklin Gothic Book"/>
          <w:sz w:val="21"/>
          <w:szCs w:val="21"/>
        </w:rPr>
        <w:t xml:space="preserve">d </w:t>
      </w:r>
      <w:r w:rsidRPr="003D2232">
        <w:rPr>
          <w:rFonts w:ascii="Franklin Gothic Book" w:hAnsi="Franklin Gothic Book"/>
          <w:sz w:val="21"/>
          <w:szCs w:val="21"/>
        </w:rPr>
        <w:t xml:space="preserve">with an </w:t>
      </w:r>
      <w:r w:rsidRPr="003D2232">
        <w:rPr>
          <w:rFonts w:ascii="Franklin Gothic Book" w:hAnsi="Franklin Gothic Book"/>
          <w:i/>
          <w:sz w:val="21"/>
          <w:szCs w:val="21"/>
        </w:rPr>
        <w:t>Advanced Diploma in Nursing Practice (Prevention, Detection and Management of NCDs)</w:t>
      </w:r>
      <w:r>
        <w:rPr>
          <w:rFonts w:ascii="Franklin Gothic Book" w:hAnsi="Franklin Gothic Book"/>
          <w:i/>
          <w:sz w:val="21"/>
          <w:szCs w:val="21"/>
        </w:rPr>
        <w:t xml:space="preserve"> </w:t>
      </w:r>
      <w:r>
        <w:rPr>
          <w:rFonts w:ascii="Franklin Gothic Book" w:hAnsi="Franklin Gothic Book"/>
          <w:sz w:val="21"/>
          <w:szCs w:val="21"/>
        </w:rPr>
        <w:t xml:space="preserve">developed and delivered though THSSP </w:t>
      </w:r>
      <w:r w:rsidRPr="00203F50">
        <w:rPr>
          <w:rFonts w:ascii="Franklin Gothic Book" w:hAnsi="Franklin Gothic Book"/>
          <w:sz w:val="21"/>
          <w:szCs w:val="21"/>
        </w:rPr>
        <w:t>and were</w:t>
      </w:r>
      <w:r>
        <w:rPr>
          <w:rFonts w:ascii="Franklin Gothic Book" w:hAnsi="Franklin Gothic Book"/>
          <w:sz w:val="21"/>
          <w:szCs w:val="21"/>
        </w:rPr>
        <w:t xml:space="preserve"> placed in village health centres across Tonga</w:t>
      </w:r>
      <w:r w:rsidRPr="003D2232">
        <w:rPr>
          <w:rFonts w:ascii="Franklin Gothic Book" w:hAnsi="Franklin Gothic Book"/>
          <w:sz w:val="21"/>
          <w:szCs w:val="21"/>
        </w:rPr>
        <w:t>.</w:t>
      </w:r>
      <w:r>
        <w:rPr>
          <w:rFonts w:ascii="Franklin Gothic Book" w:hAnsi="Franklin Gothic Book"/>
          <w:sz w:val="21"/>
          <w:szCs w:val="21"/>
        </w:rPr>
        <w:t xml:space="preserve"> This built</w:t>
      </w:r>
      <w:r w:rsidRPr="003D2232">
        <w:rPr>
          <w:rFonts w:ascii="Franklin Gothic Book" w:hAnsi="Franklin Gothic Book"/>
          <w:sz w:val="21"/>
          <w:szCs w:val="21"/>
        </w:rPr>
        <w:t xml:space="preserve"> on the program’s </w:t>
      </w:r>
      <w:r>
        <w:rPr>
          <w:rFonts w:ascii="Franklin Gothic Book" w:hAnsi="Franklin Gothic Book"/>
          <w:sz w:val="21"/>
          <w:szCs w:val="21"/>
        </w:rPr>
        <w:t xml:space="preserve">earlier support for the </w:t>
      </w:r>
      <w:r w:rsidRPr="003D2232">
        <w:rPr>
          <w:rFonts w:ascii="Franklin Gothic Book" w:hAnsi="Franklin Gothic Book"/>
          <w:sz w:val="21"/>
          <w:szCs w:val="21"/>
        </w:rPr>
        <w:t xml:space="preserve">establishment of an NCD nursing </w:t>
      </w:r>
      <w:r w:rsidRPr="0071014D">
        <w:rPr>
          <w:rFonts w:ascii="Franklin Gothic Book" w:hAnsi="Franklin Gothic Book"/>
          <w:sz w:val="21"/>
          <w:szCs w:val="21"/>
        </w:rPr>
        <w:t>cadre</w:t>
      </w:r>
      <w:r w:rsidRPr="003D2232">
        <w:rPr>
          <w:rFonts w:ascii="Franklin Gothic Book" w:hAnsi="Franklin Gothic Book"/>
          <w:sz w:val="21"/>
          <w:szCs w:val="21"/>
        </w:rPr>
        <w:t xml:space="preserve"> (reported in 2012 APPR), to identify, monitor and treat NCDs in a community setting. </w:t>
      </w:r>
      <w:r w:rsidRPr="00203F50">
        <w:rPr>
          <w:rFonts w:ascii="Franklin Gothic Book" w:hAnsi="Franklin Gothic Book"/>
          <w:sz w:val="21"/>
          <w:szCs w:val="21"/>
        </w:rPr>
        <w:t>THSSP paid the salaries of the first graduates as a pilot</w:t>
      </w:r>
      <w:r>
        <w:rPr>
          <w:rFonts w:ascii="Franklin Gothic Book" w:hAnsi="Franklin Gothic Book"/>
          <w:sz w:val="21"/>
          <w:szCs w:val="21"/>
        </w:rPr>
        <w:t xml:space="preserve"> </w:t>
      </w:r>
      <w:r>
        <w:rPr>
          <w:rFonts w:ascii="Franklin Gothic Book" w:hAnsi="Franklin Gothic Book"/>
          <w:sz w:val="21"/>
          <w:szCs w:val="21"/>
        </w:rPr>
        <w:lastRenderedPageBreak/>
        <w:t>and to demonstrate</w:t>
      </w:r>
      <w:r w:rsidRPr="00203F50">
        <w:rPr>
          <w:rFonts w:ascii="Franklin Gothic Book" w:hAnsi="Franklin Gothic Book"/>
          <w:sz w:val="21"/>
          <w:szCs w:val="21"/>
        </w:rPr>
        <w:t xml:space="preserve"> their value</w:t>
      </w:r>
      <w:r w:rsidR="008D13E3">
        <w:rPr>
          <w:rFonts w:ascii="Franklin Gothic Book" w:hAnsi="Franklin Gothic Book"/>
          <w:sz w:val="21"/>
          <w:szCs w:val="21"/>
        </w:rPr>
        <w:t xml:space="preserve"> t</w:t>
      </w:r>
      <w:r>
        <w:rPr>
          <w:rFonts w:ascii="Franklin Gothic Book" w:hAnsi="Franklin Gothic Book"/>
          <w:sz w:val="21"/>
          <w:szCs w:val="21"/>
        </w:rPr>
        <w:t xml:space="preserve">he Tongan government </w:t>
      </w:r>
      <w:r w:rsidRPr="00203F50">
        <w:rPr>
          <w:rFonts w:ascii="Franklin Gothic Book" w:hAnsi="Franklin Gothic Book"/>
          <w:sz w:val="21"/>
          <w:szCs w:val="21"/>
        </w:rPr>
        <w:t>has now recogni</w:t>
      </w:r>
      <w:r w:rsidR="008D13E3">
        <w:rPr>
          <w:rFonts w:ascii="Franklin Gothic Book" w:hAnsi="Franklin Gothic Book"/>
          <w:sz w:val="21"/>
          <w:szCs w:val="21"/>
        </w:rPr>
        <w:t>s</w:t>
      </w:r>
      <w:r w:rsidRPr="00203F50">
        <w:rPr>
          <w:rFonts w:ascii="Franklin Gothic Book" w:hAnsi="Franklin Gothic Book"/>
          <w:sz w:val="21"/>
          <w:szCs w:val="21"/>
        </w:rPr>
        <w:t>ed</w:t>
      </w:r>
      <w:r>
        <w:rPr>
          <w:rFonts w:ascii="Franklin Gothic Book" w:hAnsi="Franklin Gothic Book"/>
          <w:sz w:val="21"/>
          <w:szCs w:val="21"/>
        </w:rPr>
        <w:t xml:space="preserve"> the value of this new health cadre and has absorbed them into its</w:t>
      </w:r>
      <w:r w:rsidRPr="00203F50">
        <w:rPr>
          <w:rFonts w:ascii="Franklin Gothic Book" w:hAnsi="Franklin Gothic Book"/>
          <w:sz w:val="21"/>
          <w:szCs w:val="21"/>
        </w:rPr>
        <w:t xml:space="preserve"> health workforce</w:t>
      </w:r>
      <w:r>
        <w:rPr>
          <w:rFonts w:ascii="Franklin Gothic Book" w:hAnsi="Franklin Gothic Book"/>
          <w:sz w:val="21"/>
          <w:szCs w:val="21"/>
        </w:rPr>
        <w:t xml:space="preserve">, strengthening community-based NCD treatment and prevention in Tonga in a sustainable manner. </w:t>
      </w:r>
      <w:r w:rsidRPr="003D2232">
        <w:rPr>
          <w:rFonts w:ascii="Franklin Gothic Book" w:hAnsi="Franklin Gothic Book"/>
          <w:sz w:val="21"/>
          <w:szCs w:val="21"/>
        </w:rPr>
        <w:t xml:space="preserve"> </w:t>
      </w:r>
    </w:p>
    <w:p w:rsidR="00A73753" w:rsidRDefault="00A73753" w:rsidP="00A73753">
      <w:pPr>
        <w:pStyle w:val="ListParagraph"/>
        <w:numPr>
          <w:ilvl w:val="0"/>
          <w:numId w:val="0"/>
        </w:numPr>
        <w:spacing w:line="280" w:lineRule="exact"/>
      </w:pPr>
      <w:r w:rsidRPr="006C6E58">
        <w:rPr>
          <w:rFonts w:ascii="Franklin Gothic Book" w:hAnsi="Franklin Gothic Book"/>
          <w:sz w:val="21"/>
        </w:rPr>
        <w:t>Efforts also continued on improving health services to all Tongan communities by bringing health centres up to</w:t>
      </w:r>
      <w:r>
        <w:rPr>
          <w:rFonts w:ascii="Franklin Gothic Book" w:hAnsi="Franklin Gothic Book"/>
          <w:sz w:val="21"/>
        </w:rPr>
        <w:t xml:space="preserve"> an established</w:t>
      </w:r>
      <w:r w:rsidRPr="006C6E58">
        <w:rPr>
          <w:rFonts w:ascii="Franklin Gothic Book" w:hAnsi="Franklin Gothic Book"/>
          <w:sz w:val="21"/>
        </w:rPr>
        <w:t xml:space="preserve"> standard. Under</w:t>
      </w:r>
      <w:r>
        <w:rPr>
          <w:rFonts w:ascii="Franklin Gothic Book" w:hAnsi="Franklin Gothic Book"/>
          <w:sz w:val="21"/>
        </w:rPr>
        <w:t xml:space="preserve"> THSSP</w:t>
      </w:r>
      <w:r w:rsidRPr="006C6E58">
        <w:rPr>
          <w:rFonts w:ascii="Franklin Gothic Book" w:hAnsi="Franklin Gothic Book"/>
          <w:sz w:val="21"/>
        </w:rPr>
        <w:t>, a fourth community health outreach centre was renovated in 2013 to provide services to 558 households – this is in addition to three health centres renovated in 2011</w:t>
      </w:r>
      <w:r>
        <w:rPr>
          <w:rFonts w:ascii="Franklin Gothic Book" w:hAnsi="Franklin Gothic Book"/>
          <w:sz w:val="21"/>
        </w:rPr>
        <w:t>,</w:t>
      </w:r>
      <w:r w:rsidRPr="006C6E58">
        <w:rPr>
          <w:rFonts w:ascii="Franklin Gothic Book" w:hAnsi="Franklin Gothic Book"/>
          <w:sz w:val="21"/>
        </w:rPr>
        <w:t xml:space="preserve"> </w:t>
      </w:r>
      <w:r>
        <w:rPr>
          <w:rFonts w:ascii="Franklin Gothic Book" w:hAnsi="Franklin Gothic Book"/>
          <w:sz w:val="21"/>
        </w:rPr>
        <w:t xml:space="preserve">which </w:t>
      </w:r>
      <w:r w:rsidRPr="006C6E58">
        <w:rPr>
          <w:rFonts w:ascii="Franklin Gothic Book" w:hAnsi="Franklin Gothic Book"/>
          <w:sz w:val="21"/>
        </w:rPr>
        <w:t>ha</w:t>
      </w:r>
      <w:r>
        <w:rPr>
          <w:rFonts w:ascii="Franklin Gothic Book" w:hAnsi="Franklin Gothic Book"/>
          <w:sz w:val="21"/>
        </w:rPr>
        <w:t xml:space="preserve">s helped </w:t>
      </w:r>
      <w:r w:rsidRPr="006C6E58">
        <w:rPr>
          <w:rFonts w:ascii="Franklin Gothic Book" w:hAnsi="Franklin Gothic Book"/>
          <w:sz w:val="21"/>
        </w:rPr>
        <w:t>improve services for up to 2200 households along with upgrades to staffing (NCD nurses), equipment, provision of medicines, equipment, and furniture.</w:t>
      </w:r>
      <w:r>
        <w:rPr>
          <w:rFonts w:ascii="Franklin Gothic Book" w:hAnsi="Franklin Gothic Book"/>
          <w:sz w:val="21"/>
        </w:rPr>
        <w:t xml:space="preserve"> </w:t>
      </w:r>
      <w:r w:rsidRPr="008D6C58">
        <w:rPr>
          <w:rFonts w:ascii="Franklin Gothic Book" w:hAnsi="Franklin Gothic Book"/>
          <w:sz w:val="21"/>
        </w:rPr>
        <w:t>Early analysis</w:t>
      </w:r>
      <w:r>
        <w:rPr>
          <w:rFonts w:ascii="Franklin Gothic Book" w:hAnsi="Franklin Gothic Book"/>
          <w:sz w:val="21"/>
        </w:rPr>
        <w:t xml:space="preserve"> </w:t>
      </w:r>
      <w:r w:rsidR="005A27B5">
        <w:rPr>
          <w:rFonts w:ascii="Franklin Gothic Book" w:hAnsi="Franklin Gothic Book"/>
          <w:sz w:val="21"/>
        </w:rPr>
        <w:t xml:space="preserve">from the Health Ministry </w:t>
      </w:r>
      <w:r>
        <w:rPr>
          <w:rFonts w:ascii="Franklin Gothic Book" w:hAnsi="Franklin Gothic Book"/>
          <w:sz w:val="21"/>
        </w:rPr>
        <w:t>indicates that this improvement in</w:t>
      </w:r>
      <w:r w:rsidRPr="008D6C58">
        <w:rPr>
          <w:rFonts w:ascii="Franklin Gothic Book" w:hAnsi="Franklin Gothic Book"/>
          <w:sz w:val="21"/>
        </w:rPr>
        <w:t xml:space="preserve"> services</w:t>
      </w:r>
      <w:r>
        <w:rPr>
          <w:rFonts w:ascii="Franklin Gothic Book" w:hAnsi="Franklin Gothic Book"/>
          <w:sz w:val="21"/>
        </w:rPr>
        <w:t>,</w:t>
      </w:r>
      <w:r w:rsidRPr="008D6C58">
        <w:rPr>
          <w:rFonts w:ascii="Franklin Gothic Book" w:hAnsi="Franklin Gothic Book"/>
          <w:sz w:val="21"/>
        </w:rPr>
        <w:t xml:space="preserve"> along with </w:t>
      </w:r>
      <w:r>
        <w:rPr>
          <w:rFonts w:ascii="Franklin Gothic Book" w:hAnsi="Franklin Gothic Book"/>
          <w:sz w:val="21"/>
        </w:rPr>
        <w:t>the presence of NCD nurses</w:t>
      </w:r>
      <w:r w:rsidR="002D0A40">
        <w:rPr>
          <w:rFonts w:ascii="Franklin Gothic Book" w:hAnsi="Franklin Gothic Book"/>
          <w:sz w:val="21"/>
        </w:rPr>
        <w:t xml:space="preserve"> mentioned above</w:t>
      </w:r>
      <w:r>
        <w:rPr>
          <w:rFonts w:ascii="Franklin Gothic Book" w:hAnsi="Franklin Gothic Book"/>
          <w:sz w:val="21"/>
        </w:rPr>
        <w:t>,</w:t>
      </w:r>
      <w:r w:rsidR="002F12DD">
        <w:rPr>
          <w:rFonts w:ascii="Franklin Gothic Book" w:hAnsi="Franklin Gothic Book"/>
          <w:sz w:val="21"/>
        </w:rPr>
        <w:t xml:space="preserve"> and could be attributing </w:t>
      </w:r>
      <w:r w:rsidR="00595782">
        <w:rPr>
          <w:rFonts w:ascii="Franklin Gothic Book" w:hAnsi="Franklin Gothic Book"/>
          <w:sz w:val="21"/>
        </w:rPr>
        <w:t xml:space="preserve">a trend in </w:t>
      </w:r>
      <w:r>
        <w:rPr>
          <w:rFonts w:ascii="Franklin Gothic Book" w:hAnsi="Franklin Gothic Book"/>
          <w:sz w:val="21"/>
        </w:rPr>
        <w:t>reductions</w:t>
      </w:r>
      <w:r w:rsidRPr="008D6C58">
        <w:rPr>
          <w:rFonts w:ascii="Franklin Gothic Book" w:hAnsi="Franklin Gothic Book"/>
          <w:sz w:val="21"/>
        </w:rPr>
        <w:t xml:space="preserve"> in the number of diabetic sepsis cases and subsequent amputations</w:t>
      </w:r>
      <w:r>
        <w:rPr>
          <w:rFonts w:ascii="Franklin Gothic Book" w:hAnsi="Franklin Gothic Book"/>
          <w:sz w:val="21"/>
        </w:rPr>
        <w:t>, as well as to improved preventative health measures at community level</w:t>
      </w:r>
      <w:r w:rsidRPr="008D6C58">
        <w:rPr>
          <w:rFonts w:ascii="Franklin Gothic Book" w:hAnsi="Franklin Gothic Book"/>
          <w:sz w:val="21"/>
        </w:rPr>
        <w:t>. The program will continue to monitor th</w:t>
      </w:r>
      <w:r>
        <w:rPr>
          <w:rFonts w:ascii="Franklin Gothic Book" w:hAnsi="Franklin Gothic Book"/>
          <w:sz w:val="21"/>
        </w:rPr>
        <w:t>ese trends.</w:t>
      </w:r>
      <w:r w:rsidRPr="006C6E58">
        <w:t xml:space="preserve">  </w:t>
      </w:r>
    </w:p>
    <w:p w:rsidR="00A73753" w:rsidRDefault="00A73753" w:rsidP="00A73753">
      <w:pPr>
        <w:pStyle w:val="BodyText"/>
        <w:spacing w:after="120"/>
      </w:pPr>
      <w:r>
        <w:t xml:space="preserve">THSSP </w:t>
      </w:r>
      <w:r w:rsidRPr="006C6E58">
        <w:t xml:space="preserve">also </w:t>
      </w:r>
      <w:r>
        <w:t xml:space="preserve">provided ongoing operational </w:t>
      </w:r>
      <w:r w:rsidRPr="006C6E58">
        <w:t>support</w:t>
      </w:r>
      <w:r>
        <w:t xml:space="preserve"> to Tonga’s major hospital, Vaiola, through the provision of long-term specialist medical staff, </w:t>
      </w:r>
      <w:r w:rsidR="00322102">
        <w:t>which</w:t>
      </w:r>
      <w:r>
        <w:t xml:space="preserve"> fill </w:t>
      </w:r>
      <w:r w:rsidRPr="00D77F3D">
        <w:t>a gap in critical services</w:t>
      </w:r>
      <w:r>
        <w:t xml:space="preserve">. </w:t>
      </w:r>
      <w:r w:rsidRPr="00BD3EAA">
        <w:t xml:space="preserve">This has provided the flexibility to engage locums when needed and to have longer-term support for areas that are unlikely to be filled locally for some time. </w:t>
      </w:r>
      <w:r w:rsidR="00322102">
        <w:t xml:space="preserve">Currently </w:t>
      </w:r>
      <w:r w:rsidRPr="00BD3EAA">
        <w:t xml:space="preserve">an </w:t>
      </w:r>
      <w:r>
        <w:t>a</w:t>
      </w:r>
      <w:r w:rsidRPr="00BD3EAA">
        <w:t xml:space="preserve">naesthetist, </w:t>
      </w:r>
      <w:r>
        <w:t>p</w:t>
      </w:r>
      <w:r w:rsidRPr="00BD3EAA">
        <w:t>athologist</w:t>
      </w:r>
      <w:r>
        <w:t xml:space="preserve"> and a b</w:t>
      </w:r>
      <w:r w:rsidRPr="00BD3EAA">
        <w:t xml:space="preserve">iomedical engineer </w:t>
      </w:r>
      <w:r w:rsidRPr="00D77F3D">
        <w:t>act as mentors and help build local staff</w:t>
      </w:r>
      <w:r>
        <w:t xml:space="preserve"> and systems capacity, for example by maintaining essential</w:t>
      </w:r>
      <w:r w:rsidRPr="00D77F3D">
        <w:t xml:space="preserve"> clinical equipment </w:t>
      </w:r>
      <w:r>
        <w:t xml:space="preserve">and by </w:t>
      </w:r>
      <w:r w:rsidRPr="00742344">
        <w:t>identif</w:t>
      </w:r>
      <w:r>
        <w:t>ying</w:t>
      </w:r>
      <w:r w:rsidRPr="00742344">
        <w:t xml:space="preserve"> </w:t>
      </w:r>
      <w:r>
        <w:t xml:space="preserve">local health staff as </w:t>
      </w:r>
      <w:r w:rsidRPr="00742344">
        <w:t>candidate</w:t>
      </w:r>
      <w:r>
        <w:t>s for</w:t>
      </w:r>
      <w:r w:rsidRPr="00742344">
        <w:t xml:space="preserve"> further training</w:t>
      </w:r>
      <w:r>
        <w:t xml:space="preserve">.  The work of the long-term specialists is complemented by that of a regional health program, the Pacific Islands Program, implemented through the Royal Australian College of Surgeons. Under this initiative, four specialised surgical groups visited Tonga and performed 539 consultations (272 males and 267 females) and 169 operations (88 males and 81 females). </w:t>
      </w:r>
    </w:p>
    <w:p w:rsidR="00A73753" w:rsidRPr="007436B1" w:rsidRDefault="00A73753" w:rsidP="00A73753">
      <w:pPr>
        <w:pStyle w:val="BodyText"/>
      </w:pPr>
      <w:r>
        <w:t xml:space="preserve">A significant outcome for this reporting period included the provision of </w:t>
      </w:r>
      <w:r w:rsidRPr="00DE57D4">
        <w:t>the first mammography machine in Tonga</w:t>
      </w:r>
      <w:r w:rsidR="00E62FDB">
        <w:t>.</w:t>
      </w:r>
      <w:r w:rsidRPr="002013EB">
        <w:rPr>
          <w:rStyle w:val="FootnoteReference"/>
          <w:szCs w:val="16"/>
        </w:rPr>
        <w:footnoteReference w:id="17"/>
      </w:r>
      <w:r w:rsidR="00276149">
        <w:t xml:space="preserve">  Breast cancer is </w:t>
      </w:r>
      <w:r w:rsidRPr="007436B1">
        <w:t>the most commonly diagnosed cancer in Tonga</w:t>
      </w:r>
      <w:r w:rsidR="00276149">
        <w:t xml:space="preserve"> and a</w:t>
      </w:r>
      <w:r w:rsidRPr="007436B1">
        <w:t xml:space="preserve">ccess to </w:t>
      </w:r>
      <w:r>
        <w:t>mam</w:t>
      </w:r>
      <w:r w:rsidRPr="007436B1">
        <w:t xml:space="preserve">mography services </w:t>
      </w:r>
      <w:r>
        <w:t>is anticipated to increase</w:t>
      </w:r>
      <w:r w:rsidRPr="007436B1">
        <w:t xml:space="preserve"> early detection rates</w:t>
      </w:r>
      <w:r>
        <w:t xml:space="preserve"> and substantially improve survival outcomes. </w:t>
      </w:r>
      <w:r w:rsidR="002B37A7">
        <w:t>The service will be launched as part of ‘Breast Cancer Awareness Week’ in 2014.</w:t>
      </w:r>
    </w:p>
    <w:p w:rsidR="00A73753" w:rsidRPr="00385BDE" w:rsidRDefault="00697FA2" w:rsidP="00A73753">
      <w:pPr>
        <w:widowControl w:val="0"/>
        <w:spacing w:after="120" w:line="280" w:lineRule="exact"/>
        <w:jc w:val="both"/>
        <w:rPr>
          <w:rFonts w:ascii="Franklin Gothic Book" w:hAnsi="Franklin Gothic Book"/>
          <w:sz w:val="21"/>
          <w:szCs w:val="21"/>
        </w:rPr>
      </w:pPr>
      <w:r>
        <w:rPr>
          <w:rFonts w:ascii="Franklin Gothic Book" w:hAnsi="Franklin Gothic Book"/>
          <w:sz w:val="21"/>
          <w:szCs w:val="21"/>
        </w:rPr>
        <w:t>O</w:t>
      </w:r>
      <w:r w:rsidR="00A73753" w:rsidRPr="00385BDE">
        <w:rPr>
          <w:rFonts w:ascii="Franklin Gothic Book" w:hAnsi="Franklin Gothic Book"/>
          <w:sz w:val="21"/>
          <w:szCs w:val="21"/>
        </w:rPr>
        <w:t xml:space="preserve">ther significant </w:t>
      </w:r>
      <w:r w:rsidR="00C63C59">
        <w:rPr>
          <w:rFonts w:ascii="Franklin Gothic Book" w:hAnsi="Franklin Gothic Book"/>
          <w:sz w:val="21"/>
          <w:szCs w:val="21"/>
        </w:rPr>
        <w:t>achievements</w:t>
      </w:r>
      <w:r w:rsidR="00A73753" w:rsidRPr="00385BDE">
        <w:rPr>
          <w:rFonts w:ascii="Franklin Gothic Book" w:hAnsi="Franklin Gothic Book"/>
          <w:sz w:val="21"/>
          <w:szCs w:val="21"/>
        </w:rPr>
        <w:t xml:space="preserve"> </w:t>
      </w:r>
      <w:r>
        <w:rPr>
          <w:rFonts w:ascii="Franklin Gothic Book" w:hAnsi="Franklin Gothic Book"/>
          <w:sz w:val="21"/>
          <w:szCs w:val="21"/>
        </w:rPr>
        <w:t xml:space="preserve">of this wide-ranging program </w:t>
      </w:r>
      <w:r w:rsidR="0074232C">
        <w:rPr>
          <w:rFonts w:ascii="Franklin Gothic Book" w:hAnsi="Franklin Gothic Book"/>
          <w:sz w:val="21"/>
          <w:szCs w:val="21"/>
        </w:rPr>
        <w:t xml:space="preserve">are detailed in </w:t>
      </w:r>
      <w:r w:rsidR="0074232C" w:rsidRPr="0003529F">
        <w:rPr>
          <w:rFonts w:ascii="Franklin Gothic Book" w:hAnsi="Franklin Gothic Book"/>
          <w:sz w:val="21"/>
          <w:szCs w:val="21"/>
        </w:rPr>
        <w:t>Annex F.</w:t>
      </w:r>
    </w:p>
    <w:p w:rsidR="00A73753" w:rsidRPr="00902A80" w:rsidRDefault="00A73753" w:rsidP="00902A80">
      <w:pPr>
        <w:pStyle w:val="Heading3"/>
      </w:pPr>
      <w:r w:rsidRPr="00902A80">
        <w:t>Challenges/factors affecting progress</w:t>
      </w:r>
    </w:p>
    <w:p w:rsidR="00A73753" w:rsidRDefault="00A73753" w:rsidP="00A73753">
      <w:pPr>
        <w:pStyle w:val="BodyText"/>
        <w:spacing w:after="120"/>
      </w:pPr>
      <w:r w:rsidRPr="005B5A13">
        <w:t xml:space="preserve">An independent progress review of the </w:t>
      </w:r>
      <w:r w:rsidRPr="005B5A13">
        <w:rPr>
          <w:i/>
        </w:rPr>
        <w:t xml:space="preserve">Tonga Health Systems Support Program </w:t>
      </w:r>
      <w:r w:rsidRPr="005B5A13">
        <w:t>undertaken in 2013 identified a need to strengthen governance arrangements for health promotion work in Tonga, to ensure a more coherent and consistent approach to health promotion messages, which is needed to achieve the behaviour changes required to address NCDs effectively. In response, a new governance structure for management and oversight of national NCD activities has been designed and agreed to by all major stakeholders</w:t>
      </w:r>
      <w:r>
        <w:t xml:space="preserve">. </w:t>
      </w:r>
    </w:p>
    <w:p w:rsidR="00A73753" w:rsidRDefault="00A73753" w:rsidP="00A73753">
      <w:pPr>
        <w:pStyle w:val="BodyText"/>
        <w:spacing w:after="120"/>
      </w:pPr>
      <w:r>
        <w:t>Procurement issues identified through earli</w:t>
      </w:r>
      <w:r w:rsidR="00276149">
        <w:t>er program audits are improving.</w:t>
      </w:r>
      <w:r>
        <w:t xml:space="preserve"> </w:t>
      </w:r>
      <w:r w:rsidR="00276149">
        <w:t>H</w:t>
      </w:r>
      <w:r>
        <w:t>owever</w:t>
      </w:r>
      <w:r w:rsidR="00276149">
        <w:t>,</w:t>
      </w:r>
      <w:r>
        <w:t xml:space="preserve"> challenges remain in embedding the new procurement processes. Budget and financial management also require ongoing strengthening and monitoring. </w:t>
      </w:r>
    </w:p>
    <w:p w:rsidR="00A73753" w:rsidRDefault="006B54ED" w:rsidP="005A7BEA">
      <w:pPr>
        <w:pStyle w:val="Heading2"/>
        <w:rPr>
          <w:sz w:val="28"/>
        </w:rPr>
      </w:pPr>
      <w:r>
        <w:rPr>
          <w:sz w:val="28"/>
        </w:rPr>
        <w:t xml:space="preserve">Other bilateral aid: </w:t>
      </w:r>
      <w:r w:rsidR="00A73753">
        <w:rPr>
          <w:sz w:val="28"/>
        </w:rPr>
        <w:t>Humanitarian</w:t>
      </w:r>
    </w:p>
    <w:p w:rsidR="007127E0" w:rsidRDefault="007127E0" w:rsidP="007127E0">
      <w:pPr>
        <w:pStyle w:val="BodyText"/>
        <w:spacing w:after="0"/>
      </w:pPr>
      <w:r>
        <w:t xml:space="preserve">Australia was a major contributor to the emergency response to Tropical Cyclone Ian, the strongest storm on record in Tonga which hit the Ha’apai island group in Tonga’s north in January 2014.  The cyclone caused economic losses estimated at around </w:t>
      </w:r>
      <w:r w:rsidR="00595782">
        <w:t xml:space="preserve"> A$55 million </w:t>
      </w:r>
      <w:r>
        <w:t>(equivalent to 11 per cent of Tonga’s GDP). Australia’s response included emergency relief supplies, 200 tents and 250 hygiene kits for displaced families</w:t>
      </w:r>
      <w:r w:rsidR="00567976">
        <w:t>,</w:t>
      </w:r>
      <w:r>
        <w:t xml:space="preserve"> and three Australian Civilian Corps specialists, who assisted Tonga’s response </w:t>
      </w:r>
      <w:r>
        <w:lastRenderedPageBreak/>
        <w:t xml:space="preserve">and recovery efforts. The program also purchased essential drugs and a water pump for the main hospital in Ha’apai; and helped rebuild and rapidly restore critical food sources (vegetable and staple crop plantation) for approximately 150 vulnerable households in Ha’apai.  Funding within a joint Australia-World Bank program was re-prioritised allow the WB to repair damaged critical infrastructure (airport tower, port, roads).  </w:t>
      </w:r>
    </w:p>
    <w:p w:rsidR="00A73753" w:rsidRDefault="00A73753" w:rsidP="005A7BEA">
      <w:pPr>
        <w:pStyle w:val="Heading2"/>
        <w:rPr>
          <w:sz w:val="28"/>
        </w:rPr>
      </w:pPr>
      <w:r>
        <w:rPr>
          <w:sz w:val="28"/>
        </w:rPr>
        <w:t>Other bilateral aid</w:t>
      </w:r>
      <w:r w:rsidR="00276149">
        <w:rPr>
          <w:sz w:val="28"/>
        </w:rPr>
        <w:t>: gender equality</w:t>
      </w:r>
    </w:p>
    <w:p w:rsidR="008043F8" w:rsidRPr="0030653F" w:rsidRDefault="008043F8" w:rsidP="008043F8">
      <w:pPr>
        <w:pStyle w:val="NormalWeb"/>
        <w:spacing w:before="0" w:beforeAutospacing="0" w:after="120" w:afterAutospacing="0" w:line="280" w:lineRule="exact"/>
        <w:rPr>
          <w:rFonts w:ascii="Franklin Gothic Book" w:hAnsi="Franklin Gothic Book"/>
          <w:sz w:val="21"/>
          <w:szCs w:val="21"/>
        </w:rPr>
      </w:pPr>
      <w:r w:rsidRPr="00AE23A2">
        <w:rPr>
          <w:rFonts w:ascii="Franklin Gothic Book" w:hAnsi="Franklin Gothic Book" w:cs="Arial"/>
          <w:sz w:val="21"/>
          <w:szCs w:val="21"/>
        </w:rPr>
        <w:t xml:space="preserve">A country plan for Australia’s </w:t>
      </w:r>
      <w:r w:rsidRPr="00AE23A2">
        <w:rPr>
          <w:rFonts w:ascii="Franklin Gothic Book" w:hAnsi="Franklin Gothic Book" w:cs="Arial"/>
          <w:i/>
          <w:sz w:val="21"/>
          <w:szCs w:val="21"/>
        </w:rPr>
        <w:t>Pacific Women Shaping Pacific Development (PWSPD)</w:t>
      </w:r>
      <w:r w:rsidRPr="00AE23A2">
        <w:rPr>
          <w:rFonts w:ascii="Franklin Gothic Book" w:hAnsi="Franklin Gothic Book" w:cs="Arial"/>
          <w:sz w:val="21"/>
          <w:szCs w:val="21"/>
        </w:rPr>
        <w:t xml:space="preserve"> was developed and endorsed by Tonga, with a strong focus on reducing violence against </w:t>
      </w:r>
      <w:r w:rsidRPr="00306742">
        <w:rPr>
          <w:rFonts w:ascii="Franklin Gothic Book" w:hAnsi="Franklin Gothic Book" w:cs="Arial"/>
          <w:sz w:val="21"/>
          <w:szCs w:val="21"/>
        </w:rPr>
        <w:t xml:space="preserve">women. </w:t>
      </w:r>
      <w:r w:rsidRPr="004707F8">
        <w:rPr>
          <w:rFonts w:ascii="Franklin Gothic Book" w:hAnsi="Franklin Gothic Book"/>
          <w:sz w:val="21"/>
          <w:szCs w:val="21"/>
        </w:rPr>
        <w:t>Australia</w:t>
      </w:r>
      <w:r>
        <w:rPr>
          <w:rFonts w:ascii="Franklin Gothic Book" w:hAnsi="Franklin Gothic Book"/>
          <w:sz w:val="21"/>
          <w:szCs w:val="21"/>
        </w:rPr>
        <w:t xml:space="preserve"> focussed this year’s support on implementing that plan and </w:t>
      </w:r>
      <w:r w:rsidRPr="004707F8">
        <w:rPr>
          <w:rFonts w:ascii="Franklin Gothic Book" w:hAnsi="Franklin Gothic Book"/>
          <w:sz w:val="21"/>
          <w:szCs w:val="21"/>
        </w:rPr>
        <w:t>the</w:t>
      </w:r>
      <w:r w:rsidRPr="004707F8">
        <w:rPr>
          <w:rFonts w:ascii="Franklin Gothic Book" w:hAnsi="Franklin Gothic Book" w:cs="Arial"/>
          <w:sz w:val="21"/>
          <w:szCs w:val="21"/>
        </w:rPr>
        <w:t xml:space="preserve"> </w:t>
      </w:r>
      <w:r w:rsidRPr="004707F8">
        <w:rPr>
          <w:rFonts w:ascii="Franklin Gothic Book" w:hAnsi="Franklin Gothic Book" w:cs="Arial"/>
          <w:i/>
          <w:sz w:val="21"/>
          <w:szCs w:val="21"/>
        </w:rPr>
        <w:t>Tongan Family Protection</w:t>
      </w:r>
      <w:r w:rsidR="00A13B34">
        <w:rPr>
          <w:rFonts w:ascii="Franklin Gothic Book" w:hAnsi="Franklin Gothic Book" w:cs="Arial"/>
          <w:i/>
          <w:sz w:val="21"/>
          <w:szCs w:val="21"/>
        </w:rPr>
        <w:t xml:space="preserve"> Act</w:t>
      </w:r>
      <w:r w:rsidRPr="004707F8">
        <w:rPr>
          <w:rFonts w:ascii="Franklin Gothic Book" w:hAnsi="Franklin Gothic Book" w:cs="Arial"/>
          <w:i/>
          <w:sz w:val="21"/>
          <w:szCs w:val="21"/>
        </w:rPr>
        <w:t xml:space="preserve"> 2013</w:t>
      </w:r>
      <w:r w:rsidRPr="004707F8">
        <w:rPr>
          <w:rFonts w:ascii="Franklin Gothic Book" w:hAnsi="Franklin Gothic Book" w:cs="Arial"/>
          <w:sz w:val="21"/>
          <w:szCs w:val="21"/>
        </w:rPr>
        <w:t xml:space="preserve"> </w:t>
      </w:r>
      <w:r>
        <w:rPr>
          <w:rFonts w:ascii="Franklin Gothic Book" w:hAnsi="Franklin Gothic Book"/>
          <w:sz w:val="21"/>
          <w:szCs w:val="21"/>
        </w:rPr>
        <w:t>which established</w:t>
      </w:r>
      <w:r w:rsidRPr="004707F8">
        <w:rPr>
          <w:rFonts w:ascii="Franklin Gothic Book" w:hAnsi="Franklin Gothic Book"/>
          <w:sz w:val="21"/>
          <w:szCs w:val="21"/>
        </w:rPr>
        <w:t xml:space="preserve"> domestic violenc</w:t>
      </w:r>
      <w:r>
        <w:rPr>
          <w:rFonts w:ascii="Franklin Gothic Book" w:hAnsi="Franklin Gothic Book"/>
          <w:sz w:val="21"/>
          <w:szCs w:val="21"/>
        </w:rPr>
        <w:t>e as a criminal offence and set</w:t>
      </w:r>
      <w:r w:rsidRPr="004707F8">
        <w:rPr>
          <w:rFonts w:ascii="Franklin Gothic Book" w:hAnsi="Franklin Gothic Book"/>
          <w:sz w:val="21"/>
          <w:szCs w:val="21"/>
        </w:rPr>
        <w:t xml:space="preserve"> out important legislative protections for women and children. </w:t>
      </w:r>
      <w:r>
        <w:rPr>
          <w:rFonts w:ascii="Franklin Gothic Book" w:hAnsi="Franklin Gothic Book"/>
          <w:sz w:val="21"/>
          <w:szCs w:val="21"/>
        </w:rPr>
        <w:t xml:space="preserve"> </w:t>
      </w:r>
      <w:r w:rsidRPr="00447126">
        <w:rPr>
          <w:rFonts w:ascii="Franklin Gothic Book" w:hAnsi="Franklin Gothic Book" w:cs="Arial"/>
          <w:sz w:val="21"/>
          <w:szCs w:val="21"/>
        </w:rPr>
        <w:t>A specialist gender adviser is working with Tongan government ministries to strengthen gen</w:t>
      </w:r>
      <w:r w:rsidRPr="00AE23A2">
        <w:rPr>
          <w:rFonts w:ascii="Franklin Gothic Book" w:hAnsi="Franklin Gothic Book" w:cs="Arial"/>
          <w:sz w:val="21"/>
          <w:szCs w:val="21"/>
        </w:rPr>
        <w:t xml:space="preserve">der equality objectives across all investments supported by Australian aid. </w:t>
      </w:r>
      <w:r w:rsidRPr="00AE23A2">
        <w:rPr>
          <w:rFonts w:ascii="Franklin Gothic Book" w:hAnsi="Franklin Gothic Book"/>
          <w:sz w:val="21"/>
          <w:szCs w:val="21"/>
        </w:rPr>
        <w:t xml:space="preserve">The first </w:t>
      </w:r>
      <w:r w:rsidRPr="008043F8">
        <w:rPr>
          <w:rFonts w:ascii="Franklin Gothic Book" w:hAnsi="Franklin Gothic Book"/>
          <w:i/>
          <w:sz w:val="21"/>
          <w:szCs w:val="21"/>
        </w:rPr>
        <w:t>Practice Parliament for Women in Tonga</w:t>
      </w:r>
      <w:r w:rsidRPr="00AE23A2">
        <w:rPr>
          <w:rFonts w:ascii="Franklin Gothic Book" w:hAnsi="Franklin Gothic Book"/>
          <w:sz w:val="21"/>
          <w:szCs w:val="21"/>
        </w:rPr>
        <w:t xml:space="preserve"> was held on 10-11 April 2014, which successfully encouraged women’s participation in politics, a particular focus with national elections scheduled for November 2014. </w:t>
      </w:r>
    </w:p>
    <w:p w:rsidR="00EF586A" w:rsidRPr="0030653F" w:rsidRDefault="008043F8" w:rsidP="00EF586A">
      <w:pPr>
        <w:pStyle w:val="NormalWeb"/>
        <w:spacing w:before="0" w:beforeAutospacing="0" w:after="120" w:afterAutospacing="0" w:line="280" w:lineRule="exact"/>
        <w:rPr>
          <w:rFonts w:ascii="Franklin Gothic Book" w:hAnsi="Franklin Gothic Book"/>
          <w:sz w:val="21"/>
          <w:szCs w:val="21"/>
        </w:rPr>
      </w:pPr>
      <w:r>
        <w:rPr>
          <w:rFonts w:ascii="Franklin Gothic Book" w:hAnsi="Franklin Gothic Book" w:cs="Arial"/>
          <w:sz w:val="21"/>
          <w:szCs w:val="21"/>
        </w:rPr>
        <w:t xml:space="preserve">Further detail on gender equality achievements is available at </w:t>
      </w:r>
      <w:r w:rsidRPr="007808C6">
        <w:rPr>
          <w:rFonts w:ascii="Franklin Gothic Book" w:hAnsi="Franklin Gothic Book" w:cs="Arial"/>
          <w:sz w:val="21"/>
          <w:szCs w:val="21"/>
        </w:rPr>
        <w:t>Annex G</w:t>
      </w:r>
      <w:r>
        <w:rPr>
          <w:rFonts w:ascii="Franklin Gothic Book" w:hAnsi="Franklin Gothic Book" w:cs="Arial"/>
          <w:sz w:val="21"/>
          <w:szCs w:val="21"/>
        </w:rPr>
        <w:t>.</w:t>
      </w:r>
    </w:p>
    <w:p w:rsidR="005B156A" w:rsidRDefault="005B156A" w:rsidP="009038B5">
      <w:pPr>
        <w:pStyle w:val="ListBullet"/>
        <w:numPr>
          <w:ilvl w:val="0"/>
          <w:numId w:val="0"/>
        </w:numPr>
        <w:tabs>
          <w:tab w:val="clear" w:pos="284"/>
        </w:tabs>
        <w:ind w:left="360" w:hanging="360"/>
        <w:rPr>
          <w:rFonts w:ascii="Helvetica" w:hAnsi="Helvetica" w:cs="Arial"/>
          <w:bCs/>
          <w:color w:val="007FAD"/>
          <w:kern w:val="28"/>
          <w:sz w:val="28"/>
          <w:szCs w:val="28"/>
        </w:rPr>
      </w:pPr>
    </w:p>
    <w:p w:rsidR="000D733F" w:rsidRPr="009038B5" w:rsidRDefault="000D733F" w:rsidP="009038B5">
      <w:pPr>
        <w:pStyle w:val="ListBullet"/>
        <w:numPr>
          <w:ilvl w:val="0"/>
          <w:numId w:val="0"/>
        </w:numPr>
        <w:tabs>
          <w:tab w:val="clear" w:pos="284"/>
        </w:tabs>
        <w:ind w:left="360" w:hanging="360"/>
        <w:rPr>
          <w:rFonts w:ascii="Helvetica" w:hAnsi="Helvetica" w:cs="Arial"/>
          <w:color w:val="007FAD"/>
          <w:kern w:val="28"/>
          <w:sz w:val="28"/>
          <w:szCs w:val="28"/>
        </w:rPr>
      </w:pPr>
      <w:r w:rsidRPr="009038B5">
        <w:rPr>
          <w:rFonts w:ascii="Helvetica" w:hAnsi="Helvetica" w:cs="Arial"/>
          <w:bCs/>
          <w:color w:val="007FAD"/>
          <w:kern w:val="28"/>
          <w:sz w:val="28"/>
          <w:szCs w:val="28"/>
        </w:rPr>
        <w:t xml:space="preserve">Analysis of Quality at Implementation </w:t>
      </w:r>
      <w:r w:rsidR="004A661E">
        <w:rPr>
          <w:rFonts w:ascii="Helvetica" w:hAnsi="Helvetica" w:cs="Arial"/>
          <w:bCs/>
          <w:color w:val="007FAD"/>
          <w:kern w:val="28"/>
          <w:sz w:val="28"/>
          <w:szCs w:val="28"/>
        </w:rPr>
        <w:t>r</w:t>
      </w:r>
      <w:r w:rsidRPr="009038B5">
        <w:rPr>
          <w:rFonts w:ascii="Helvetica" w:hAnsi="Helvetica" w:cs="Arial"/>
          <w:bCs/>
          <w:color w:val="007FAD"/>
          <w:kern w:val="28"/>
          <w:sz w:val="28"/>
          <w:szCs w:val="28"/>
        </w:rPr>
        <w:t xml:space="preserve">eports </w:t>
      </w:r>
    </w:p>
    <w:p w:rsidR="00196D2A" w:rsidRDefault="005272EE" w:rsidP="00C2651B">
      <w:pPr>
        <w:pStyle w:val="BodyText"/>
        <w:spacing w:after="120"/>
        <w:rPr>
          <w:szCs w:val="21"/>
        </w:rPr>
      </w:pPr>
      <w:r w:rsidRPr="005272EE">
        <w:rPr>
          <w:szCs w:val="21"/>
        </w:rPr>
        <w:t xml:space="preserve">The 2013 Quality at Implementation (QAI) scores for current investments reflect a portfolio of investments that are </w:t>
      </w:r>
      <w:r w:rsidR="002321CE">
        <w:rPr>
          <w:szCs w:val="21"/>
        </w:rPr>
        <w:t xml:space="preserve">highly </w:t>
      </w:r>
      <w:r w:rsidRPr="005272EE">
        <w:rPr>
          <w:szCs w:val="21"/>
        </w:rPr>
        <w:t>relevant to Tonga’s development needs</w:t>
      </w:r>
      <w:r w:rsidR="0036675F">
        <w:rPr>
          <w:szCs w:val="21"/>
        </w:rPr>
        <w:t>.</w:t>
      </w:r>
      <w:r w:rsidRPr="005272EE">
        <w:rPr>
          <w:szCs w:val="21"/>
        </w:rPr>
        <w:t xml:space="preserve"> </w:t>
      </w:r>
      <w:r w:rsidR="0036675F">
        <w:rPr>
          <w:szCs w:val="21"/>
        </w:rPr>
        <w:t>T</w:t>
      </w:r>
      <w:r w:rsidR="007E6DAB">
        <w:rPr>
          <w:szCs w:val="21"/>
        </w:rPr>
        <w:t xml:space="preserve">he majority </w:t>
      </w:r>
      <w:r w:rsidR="00E626EA">
        <w:rPr>
          <w:szCs w:val="21"/>
        </w:rPr>
        <w:t xml:space="preserve">are performing </w:t>
      </w:r>
      <w:r w:rsidRPr="005272EE">
        <w:rPr>
          <w:szCs w:val="21"/>
        </w:rPr>
        <w:t>adequate</w:t>
      </w:r>
      <w:r w:rsidR="00E626EA">
        <w:rPr>
          <w:szCs w:val="21"/>
        </w:rPr>
        <w:t>ly</w:t>
      </w:r>
      <w:r w:rsidRPr="005272EE">
        <w:rPr>
          <w:szCs w:val="21"/>
        </w:rPr>
        <w:t xml:space="preserve"> or better overall in terms of effectiveness and efficiency</w:t>
      </w:r>
      <w:r w:rsidR="0036675F">
        <w:rPr>
          <w:szCs w:val="21"/>
        </w:rPr>
        <w:t>. Two notable exceptions are t</w:t>
      </w:r>
      <w:r w:rsidR="009446A8">
        <w:rPr>
          <w:szCs w:val="21"/>
        </w:rPr>
        <w:t xml:space="preserve">he </w:t>
      </w:r>
      <w:r w:rsidR="009446A8" w:rsidRPr="005272EE">
        <w:rPr>
          <w:szCs w:val="21"/>
        </w:rPr>
        <w:t>‘final QAI’ rating for the former TSP1 TVET support program</w:t>
      </w:r>
      <w:r w:rsidR="009446A8">
        <w:rPr>
          <w:szCs w:val="21"/>
        </w:rPr>
        <w:t>,</w:t>
      </w:r>
      <w:r w:rsidR="009446A8" w:rsidRPr="005272EE">
        <w:rPr>
          <w:szCs w:val="21"/>
        </w:rPr>
        <w:t xml:space="preserve"> which was </w:t>
      </w:r>
      <w:r w:rsidR="004A661E">
        <w:rPr>
          <w:szCs w:val="21"/>
        </w:rPr>
        <w:t>replaced</w:t>
      </w:r>
      <w:r w:rsidR="0036675F">
        <w:rPr>
          <w:szCs w:val="21"/>
        </w:rPr>
        <w:t>;</w:t>
      </w:r>
      <w:r w:rsidR="009446A8" w:rsidRPr="005272EE">
        <w:rPr>
          <w:szCs w:val="21"/>
        </w:rPr>
        <w:t xml:space="preserve"> and ratings for the ‘Tonga Business Recovery Program’</w:t>
      </w:r>
      <w:r w:rsidR="0036675F">
        <w:rPr>
          <w:szCs w:val="21"/>
        </w:rPr>
        <w:t xml:space="preserve"> (</w:t>
      </w:r>
      <w:r w:rsidR="009446A8" w:rsidRPr="005272EE">
        <w:rPr>
          <w:szCs w:val="21"/>
        </w:rPr>
        <w:t>which is a legacy investment from 2006 that continues to be monitored as it involves repayments into a revolving loan fund that will not be completed until 2022)</w:t>
      </w:r>
      <w:r w:rsidR="0036675F">
        <w:rPr>
          <w:szCs w:val="21"/>
        </w:rPr>
        <w:t xml:space="preserve">. </w:t>
      </w:r>
    </w:p>
    <w:p w:rsidR="005272EE" w:rsidRPr="005272EE" w:rsidRDefault="00196D2A" w:rsidP="00C2651B">
      <w:pPr>
        <w:pStyle w:val="BodyText"/>
        <w:spacing w:after="120"/>
        <w:rPr>
          <w:szCs w:val="21"/>
        </w:rPr>
      </w:pPr>
      <w:r>
        <w:rPr>
          <w:szCs w:val="21"/>
        </w:rPr>
        <w:t xml:space="preserve">The preponderance of ‘adequate’ ratings for effectiveness and efficiency (rather than, for example, ‘very high quality’) </w:t>
      </w:r>
      <w:r w:rsidR="005272EE" w:rsidRPr="005272EE">
        <w:rPr>
          <w:szCs w:val="21"/>
        </w:rPr>
        <w:t>reflect</w:t>
      </w:r>
      <w:r>
        <w:rPr>
          <w:szCs w:val="21"/>
        </w:rPr>
        <w:t>s</w:t>
      </w:r>
      <w:r w:rsidR="005272EE" w:rsidRPr="005272EE">
        <w:rPr>
          <w:szCs w:val="21"/>
        </w:rPr>
        <w:t xml:space="preserve"> sub-optimal rates of implementation in the delivery of programs through partner government systems</w:t>
      </w:r>
      <w:r>
        <w:rPr>
          <w:szCs w:val="21"/>
        </w:rPr>
        <w:t>, which are</w:t>
      </w:r>
      <w:r w:rsidR="005272EE" w:rsidRPr="005272EE">
        <w:rPr>
          <w:szCs w:val="21"/>
        </w:rPr>
        <w:t xml:space="preserve"> hampered by organisational and capacity constraints.</w:t>
      </w:r>
      <w:r w:rsidR="009038B5">
        <w:rPr>
          <w:szCs w:val="21"/>
        </w:rPr>
        <w:t xml:space="preserve"> </w:t>
      </w:r>
      <w:r w:rsidR="005272EE" w:rsidRPr="005272EE">
        <w:rPr>
          <w:szCs w:val="21"/>
        </w:rPr>
        <w:t xml:space="preserve">Despite this, the gains being achieved from working through Tongan government systems, in term of strengthening Tonga’s policy settings and gradually improving the organisational capacity of counterpart ministries, far outweigh the costs. Where the evidence indicates that is not the case, action </w:t>
      </w:r>
      <w:r w:rsidR="002321CE">
        <w:rPr>
          <w:szCs w:val="21"/>
        </w:rPr>
        <w:t xml:space="preserve">has been taken </w:t>
      </w:r>
      <w:r w:rsidR="005272EE" w:rsidRPr="005272EE">
        <w:rPr>
          <w:szCs w:val="21"/>
        </w:rPr>
        <w:t>to redress the situation</w:t>
      </w:r>
      <w:r w:rsidR="004A661E">
        <w:rPr>
          <w:szCs w:val="21"/>
        </w:rPr>
        <w:t>.</w:t>
      </w:r>
      <w:r w:rsidR="005272EE" w:rsidRPr="005272EE">
        <w:rPr>
          <w:szCs w:val="21"/>
        </w:rPr>
        <w:t xml:space="preserve"> </w:t>
      </w:r>
    </w:p>
    <w:p w:rsidR="0059152E" w:rsidRPr="0059152E" w:rsidRDefault="005272EE" w:rsidP="00D678A7">
      <w:pPr>
        <w:pStyle w:val="BodyText"/>
      </w:pPr>
      <w:r w:rsidRPr="005272EE">
        <w:rPr>
          <w:szCs w:val="21"/>
        </w:rPr>
        <w:t xml:space="preserve">To address weaknesses in the integration of gender equality issues in most investments, a gender adviser </w:t>
      </w:r>
      <w:r w:rsidR="0061049F">
        <w:rPr>
          <w:szCs w:val="21"/>
        </w:rPr>
        <w:t xml:space="preserve">was contracted.  </w:t>
      </w:r>
      <w:r w:rsidR="00E62FDB">
        <w:rPr>
          <w:szCs w:val="21"/>
        </w:rPr>
        <w:t xml:space="preserve">The adviser </w:t>
      </w:r>
      <w:r w:rsidR="007F0C11">
        <w:rPr>
          <w:szCs w:val="21"/>
        </w:rPr>
        <w:t xml:space="preserve">will </w:t>
      </w:r>
      <w:r w:rsidR="00E62FDB">
        <w:rPr>
          <w:szCs w:val="21"/>
        </w:rPr>
        <w:t xml:space="preserve"> work with DFAT staff</w:t>
      </w:r>
      <w:r w:rsidR="007F0C11">
        <w:rPr>
          <w:szCs w:val="21"/>
        </w:rPr>
        <w:t xml:space="preserve">, </w:t>
      </w:r>
      <w:r w:rsidR="00E62FDB">
        <w:rPr>
          <w:szCs w:val="21"/>
        </w:rPr>
        <w:t xml:space="preserve"> Tongan government counterparts</w:t>
      </w:r>
      <w:r w:rsidR="007F0C11">
        <w:rPr>
          <w:szCs w:val="21"/>
        </w:rPr>
        <w:t xml:space="preserve"> and development partners to ensure all programs consider how best to address the differential needs of women and men, girls and boys.</w:t>
      </w:r>
    </w:p>
    <w:p w:rsidR="000D733F" w:rsidRPr="00D92E37" w:rsidRDefault="000D733F" w:rsidP="00902A80">
      <w:pPr>
        <w:pStyle w:val="Heading3"/>
      </w:pPr>
      <w:r w:rsidRPr="00D92E37">
        <w:t xml:space="preserve">Partner Performance </w:t>
      </w:r>
    </w:p>
    <w:p w:rsidR="00B41E2F" w:rsidRDefault="005272EE" w:rsidP="00C2651B">
      <w:pPr>
        <w:pStyle w:val="BodyText"/>
        <w:spacing w:after="120"/>
      </w:pPr>
      <w:r>
        <w:t>Overall</w:t>
      </w:r>
      <w:r w:rsidR="00D743A0">
        <w:t>,</w:t>
      </w:r>
      <w:r w:rsidR="005D70CC">
        <w:t xml:space="preserve"> there has been very g</w:t>
      </w:r>
      <w:r w:rsidR="00025EEF">
        <w:t>ood performance by all partie</w:t>
      </w:r>
      <w:r w:rsidR="006352A2">
        <w:t>s</w:t>
      </w:r>
      <w:r w:rsidR="00025EEF">
        <w:t xml:space="preserve"> </w:t>
      </w:r>
      <w:r w:rsidR="00B305BD">
        <w:t xml:space="preserve">- </w:t>
      </w:r>
      <w:r w:rsidR="004A661E">
        <w:t xml:space="preserve">Australia, Tonga, </w:t>
      </w:r>
      <w:r w:rsidR="00851EE8">
        <w:t xml:space="preserve">New Zealand, </w:t>
      </w:r>
      <w:r w:rsidR="00B305BD">
        <w:t xml:space="preserve">European Union, </w:t>
      </w:r>
      <w:r w:rsidR="004A661E">
        <w:t>World Bank</w:t>
      </w:r>
      <w:r w:rsidR="00B305BD">
        <w:t xml:space="preserve"> and Asian Development Bank </w:t>
      </w:r>
      <w:r w:rsidR="004A661E">
        <w:t xml:space="preserve">- </w:t>
      </w:r>
      <w:r w:rsidR="006352A2">
        <w:t xml:space="preserve">working </w:t>
      </w:r>
      <w:r>
        <w:t xml:space="preserve">together on </w:t>
      </w:r>
      <w:r w:rsidR="006352A2">
        <w:t xml:space="preserve">the </w:t>
      </w:r>
      <w:r w:rsidR="00025EEF">
        <w:t>Jo</w:t>
      </w:r>
      <w:r w:rsidR="004A661E">
        <w:t>int Policy Reform Matrix</w:t>
      </w:r>
      <w:r>
        <w:t xml:space="preserve">. </w:t>
      </w:r>
      <w:r w:rsidR="00C640E5">
        <w:t>I</w:t>
      </w:r>
      <w:r w:rsidR="00AB7ACD">
        <w:t xml:space="preserve">n </w:t>
      </w:r>
      <w:r w:rsidR="005D70CC">
        <w:t xml:space="preserve">the </w:t>
      </w:r>
      <w:r>
        <w:t>education</w:t>
      </w:r>
      <w:r w:rsidR="005D70CC">
        <w:t xml:space="preserve"> sector</w:t>
      </w:r>
      <w:r w:rsidR="00AB7ACD">
        <w:t xml:space="preserve"> Tonga, Australia and New Zealand </w:t>
      </w:r>
      <w:r w:rsidR="005D70CC">
        <w:t>have worked well</w:t>
      </w:r>
      <w:r w:rsidR="00AB7ACD">
        <w:t xml:space="preserve"> together to design and agree programs </w:t>
      </w:r>
      <w:r w:rsidR="005D70CC">
        <w:t xml:space="preserve">but capacity issues </w:t>
      </w:r>
      <w:r w:rsidR="00C640E5">
        <w:t xml:space="preserve">in the counterpart ministry have </w:t>
      </w:r>
      <w:r w:rsidR="005D70CC">
        <w:t xml:space="preserve">impeded program performance to some degree. </w:t>
      </w:r>
      <w:r w:rsidR="00A0627D">
        <w:t xml:space="preserve"> </w:t>
      </w:r>
      <w:r w:rsidR="009C2E08">
        <w:t xml:space="preserve"> In the infrastructure sector, the Australian aid program has good working relationships with the</w:t>
      </w:r>
      <w:r w:rsidR="00C640E5">
        <w:t xml:space="preserve"> World Bank and Asian Development Bank, which</w:t>
      </w:r>
      <w:r w:rsidR="009C2E08">
        <w:t xml:space="preserve"> have been </w:t>
      </w:r>
      <w:r w:rsidR="00A0627D">
        <w:t>responsive</w:t>
      </w:r>
      <w:r w:rsidR="00C640E5">
        <w:t xml:space="preserve"> in addressing any issues</w:t>
      </w:r>
      <w:r w:rsidR="00D27495">
        <w:t xml:space="preserve"> </w:t>
      </w:r>
      <w:r>
        <w:t>raised</w:t>
      </w:r>
      <w:r w:rsidR="002B716B" w:rsidRPr="002B716B">
        <w:t xml:space="preserve">. Further work will be </w:t>
      </w:r>
      <w:r w:rsidR="002208BC">
        <w:t xml:space="preserve">undertaken </w:t>
      </w:r>
      <w:r w:rsidR="002B716B" w:rsidRPr="002B716B">
        <w:t>to resolve concerns with UNDP not fully meeting requirements to deliver the TGSP program</w:t>
      </w:r>
      <w:r w:rsidR="00902A80">
        <w:t>.</w:t>
      </w:r>
    </w:p>
    <w:p w:rsidR="00B41E2F" w:rsidRDefault="00B41E2F" w:rsidP="002B716B">
      <w:pPr>
        <w:pStyle w:val="BodyText"/>
      </w:pPr>
    </w:p>
    <w:p w:rsidR="00B41E2F" w:rsidRPr="002B716B" w:rsidRDefault="00B41E2F" w:rsidP="002B716B">
      <w:pPr>
        <w:pStyle w:val="BodyText"/>
        <w:rPr>
          <w:iCs/>
        </w:rPr>
      </w:pPr>
    </w:p>
    <w:p w:rsidR="00E53AC8" w:rsidRPr="00634028" w:rsidRDefault="009761F5" w:rsidP="00902A80">
      <w:pPr>
        <w:pStyle w:val="Heading3"/>
      </w:pPr>
      <w:r w:rsidRPr="00634028">
        <w:t>R</w:t>
      </w:r>
      <w:r w:rsidR="00E53AC8" w:rsidRPr="00634028">
        <w:t>isks</w:t>
      </w:r>
    </w:p>
    <w:p w:rsidR="009761F5" w:rsidRPr="009761F5" w:rsidRDefault="009761F5" w:rsidP="009761F5">
      <w:pPr>
        <w:pStyle w:val="BodyText"/>
      </w:pPr>
      <w:r>
        <w:t>Key risks managed by the Tonga program are presented in Table</w:t>
      </w:r>
      <w:r w:rsidR="00B41E2F">
        <w:t xml:space="preserve"> below</w:t>
      </w:r>
      <w:r>
        <w:t>.</w:t>
      </w:r>
    </w:p>
    <w:tbl>
      <w:tblPr>
        <w:tblStyle w:val="APPR"/>
        <w:tblpPr w:leftFromText="180" w:rightFromText="180" w:vertAnchor="text" w:horzAnchor="margin" w:tblpXSpec="right" w:tblpY="396"/>
        <w:tblW w:w="5000" w:type="pct"/>
        <w:tblLook w:val="0600" w:firstRow="0" w:lastRow="0" w:firstColumn="0" w:lastColumn="0" w:noHBand="1" w:noVBand="1"/>
      </w:tblPr>
      <w:tblGrid>
        <w:gridCol w:w="2741"/>
        <w:gridCol w:w="3341"/>
        <w:gridCol w:w="3431"/>
      </w:tblGrid>
      <w:tr w:rsidR="00527A5D" w:rsidRPr="00180B19" w:rsidTr="00BF2133">
        <w:tc>
          <w:tcPr>
            <w:tcW w:w="2487" w:type="dxa"/>
            <w:hideMark/>
          </w:tcPr>
          <w:p w:rsidR="00527A5D" w:rsidRPr="005023D9" w:rsidRDefault="00527A5D" w:rsidP="00527A5D">
            <w:pPr>
              <w:pStyle w:val="TableTextColumnHeading"/>
              <w:framePr w:hSpace="0" w:wrap="auto" w:vAnchor="margin" w:yAlign="inline"/>
            </w:pPr>
            <w:r w:rsidRPr="005023D9">
              <w:t>Key risks</w:t>
            </w:r>
          </w:p>
        </w:tc>
        <w:tc>
          <w:tcPr>
            <w:tcW w:w="3054" w:type="dxa"/>
          </w:tcPr>
          <w:p w:rsidR="00527A5D" w:rsidRPr="005023D9" w:rsidRDefault="00527A5D" w:rsidP="00527A5D">
            <w:pPr>
              <w:pStyle w:val="TableTextColumnHeading"/>
              <w:framePr w:hSpace="0" w:wrap="auto" w:vAnchor="margin" w:yAlign="inline"/>
            </w:pPr>
            <w:r w:rsidRPr="005023D9">
              <w:t>What actions were taken to manage the risks over the past year</w:t>
            </w:r>
          </w:p>
        </w:tc>
        <w:tc>
          <w:tcPr>
            <w:tcW w:w="3124" w:type="dxa"/>
          </w:tcPr>
          <w:p w:rsidR="00527A5D" w:rsidRPr="005023D9" w:rsidRDefault="00527A5D" w:rsidP="00527A5D">
            <w:pPr>
              <w:pStyle w:val="TableTextColumnHeading"/>
              <w:framePr w:hSpace="0" w:wrap="auto" w:vAnchor="margin" w:yAlign="inline"/>
            </w:pPr>
            <w:r w:rsidRPr="005023D9">
              <w:t>What further actions will be taken to manage the risks in the coming year</w:t>
            </w:r>
          </w:p>
        </w:tc>
      </w:tr>
    </w:tbl>
    <w:p w:rsidR="00E53AC8" w:rsidRDefault="00E53AC8" w:rsidP="00E53AC8">
      <w:pPr>
        <w:pStyle w:val="Caption"/>
      </w:pPr>
      <w:r>
        <w:t>Table 3 Management of key risks to achieving objectives</w:t>
      </w:r>
    </w:p>
    <w:tbl>
      <w:tblPr>
        <w:tblStyle w:val="APPR"/>
        <w:tblW w:w="5000" w:type="pct"/>
        <w:tblLook w:val="0600" w:firstRow="0" w:lastRow="0" w:firstColumn="0" w:lastColumn="0" w:noHBand="1" w:noVBand="1"/>
      </w:tblPr>
      <w:tblGrid>
        <w:gridCol w:w="2749"/>
        <w:gridCol w:w="3338"/>
        <w:gridCol w:w="3426"/>
      </w:tblGrid>
      <w:tr w:rsidR="00E53AC8" w:rsidRPr="00180B19" w:rsidTr="00DC0E31">
        <w:trPr>
          <w:trHeight w:val="401"/>
        </w:trPr>
        <w:tc>
          <w:tcPr>
            <w:tcW w:w="2495" w:type="dxa"/>
          </w:tcPr>
          <w:p w:rsidR="00E53AC8" w:rsidRPr="0051206D" w:rsidRDefault="00E53AC8" w:rsidP="003C5931">
            <w:pPr>
              <w:pStyle w:val="TableTextEntries"/>
              <w:rPr>
                <w:rFonts w:cs="Franklin Gothic Book"/>
                <w:sz w:val="18"/>
                <w:szCs w:val="18"/>
              </w:rPr>
            </w:pPr>
            <w:r w:rsidRPr="0051206D">
              <w:rPr>
                <w:rFonts w:cs="Franklin Gothic Book"/>
                <w:sz w:val="18"/>
                <w:szCs w:val="18"/>
              </w:rPr>
              <w:t>Australian aid funds channelled through partner government systems are misused,  under-utilised or misappropriated</w:t>
            </w:r>
          </w:p>
        </w:tc>
        <w:tc>
          <w:tcPr>
            <w:tcW w:w="3051" w:type="dxa"/>
          </w:tcPr>
          <w:p w:rsidR="00E53AC8" w:rsidRPr="00F23204" w:rsidRDefault="00E53AC8" w:rsidP="00975141">
            <w:pPr>
              <w:keepLines/>
              <w:spacing w:before="40" w:after="40" w:line="200" w:lineRule="atLeast"/>
              <w:rPr>
                <w:rFonts w:ascii="Franklin Gothic Book" w:hAnsi="Franklin Gothic Book" w:cs="Franklin Gothic Book"/>
                <w:sz w:val="18"/>
                <w:szCs w:val="18"/>
              </w:rPr>
            </w:pPr>
            <w:r w:rsidRPr="00F23204">
              <w:rPr>
                <w:rFonts w:ascii="Franklin Gothic Book" w:hAnsi="Franklin Gothic Book" w:cs="Franklin Gothic Book"/>
                <w:sz w:val="18"/>
                <w:szCs w:val="18"/>
              </w:rPr>
              <w:t>The 2011</w:t>
            </w:r>
            <w:r w:rsidRPr="002208BC">
              <w:rPr>
                <w:rStyle w:val="FootnoteReference"/>
                <w:rFonts w:ascii="Franklin Gothic Book" w:hAnsi="Franklin Gothic Book" w:cs="Franklin Gothic Book"/>
                <w:szCs w:val="16"/>
              </w:rPr>
              <w:footnoteReference w:id="18"/>
            </w:r>
            <w:r w:rsidRPr="00634028">
              <w:rPr>
                <w:rFonts w:ascii="Franklin Gothic Book" w:hAnsi="Franklin Gothic Book" w:cs="Franklin Gothic Book"/>
                <w:sz w:val="16"/>
                <w:szCs w:val="16"/>
              </w:rPr>
              <w:t xml:space="preserve"> </w:t>
            </w:r>
            <w:r w:rsidRPr="00F23204">
              <w:rPr>
                <w:rFonts w:ascii="Franklin Gothic Book" w:hAnsi="Franklin Gothic Book" w:cs="Franklin Gothic Book"/>
                <w:sz w:val="18"/>
                <w:szCs w:val="18"/>
              </w:rPr>
              <w:t xml:space="preserve">Australian Aid Assessment of National Systems (ANS) for Tonga concluded </w:t>
            </w:r>
            <w:r w:rsidRPr="0051206D">
              <w:rPr>
                <w:rFonts w:ascii="Franklin Gothic Book" w:hAnsi="Franklin Gothic Book" w:cs="Franklin Gothic Book"/>
                <w:sz w:val="18"/>
                <w:szCs w:val="18"/>
              </w:rPr>
              <w:t>that overall there is moderate level of fiduciary and corruption risks associated with using government systems in Tonga. It noted a “moderate to substantial” risk associated with external scrutiny and audit functions and recommended mitigation measures to address identified risks. A subsequent procurement review in July 2013 also recommended risk mitigations measures. In response, DFAT introduced annual independent audits of all programs funded directly through partner systems in Tonga. DFAT also recruited two international procurement specialists to work in-line in Tonga’s Central Tenders Board to oversight all major government procurement, with strengthened oversight of any Australian aid program-funded procurement, revised thresholds for procurement by the Central Procurement Unit and procurement planning. Sector level assessments were also undertaken for health and education to further analyse and mitigate</w:t>
            </w:r>
            <w:r w:rsidR="00975141" w:rsidRPr="0051206D" w:rsidDel="00975141">
              <w:rPr>
                <w:rFonts w:ascii="Franklin Gothic Book" w:hAnsi="Franklin Gothic Book" w:cs="Franklin Gothic Book"/>
                <w:sz w:val="18"/>
                <w:szCs w:val="18"/>
              </w:rPr>
              <w:t xml:space="preserve"> </w:t>
            </w:r>
            <w:r w:rsidRPr="0051206D">
              <w:rPr>
                <w:rFonts w:ascii="Franklin Gothic Book" w:hAnsi="Franklin Gothic Book" w:cs="Franklin Gothic Book"/>
                <w:sz w:val="18"/>
                <w:szCs w:val="18"/>
              </w:rPr>
              <w:t>-specific risks in those sectors.</w:t>
            </w:r>
          </w:p>
        </w:tc>
        <w:tc>
          <w:tcPr>
            <w:tcW w:w="3119" w:type="dxa"/>
          </w:tcPr>
          <w:p w:rsidR="00E53AC8" w:rsidRPr="0051206D" w:rsidDel="00F23204" w:rsidRDefault="00E53AC8" w:rsidP="003C5931">
            <w:pPr>
              <w:pStyle w:val="TableTextEntries"/>
              <w:rPr>
                <w:rFonts w:cs="Franklin Gothic Book"/>
                <w:sz w:val="18"/>
                <w:szCs w:val="18"/>
              </w:rPr>
            </w:pPr>
            <w:r w:rsidRPr="00F23204">
              <w:rPr>
                <w:rFonts w:eastAsia="SimSun" w:cs="Franklin Gothic Book"/>
                <w:iCs w:val="0"/>
                <w:sz w:val="18"/>
                <w:szCs w:val="18"/>
                <w:lang w:eastAsia="en-AU"/>
              </w:rPr>
              <w:t>Thanks to the in-depth risk analysis and strong mitigation actions taken over recent years, no further action is required beyond these measures. The ANS will be updated in March 2015</w:t>
            </w:r>
            <w:r>
              <w:rPr>
                <w:rFonts w:eastAsia="SimSun" w:cs="Franklin Gothic Book"/>
                <w:iCs w:val="0"/>
                <w:sz w:val="18"/>
                <w:szCs w:val="18"/>
                <w:lang w:eastAsia="en-AU"/>
              </w:rPr>
              <w:t xml:space="preserve"> and DFAT will negotiate with Go</w:t>
            </w:r>
            <w:r w:rsidRPr="00F23204">
              <w:rPr>
                <w:rFonts w:eastAsia="SimSun" w:cs="Franklin Gothic Book"/>
                <w:iCs w:val="0"/>
                <w:sz w:val="18"/>
                <w:szCs w:val="18"/>
                <w:lang w:eastAsia="en-AU"/>
              </w:rPr>
              <w:t>T to address its findings and recommendations.  Outcome of this process will be reported in the 2014-15 APPR</w:t>
            </w:r>
            <w:r>
              <w:rPr>
                <w:rFonts w:eastAsia="SimSun" w:cs="Franklin Gothic Book"/>
                <w:iCs w:val="0"/>
                <w:sz w:val="18"/>
                <w:szCs w:val="18"/>
                <w:lang w:eastAsia="en-AU"/>
              </w:rPr>
              <w:t>.</w:t>
            </w:r>
          </w:p>
        </w:tc>
      </w:tr>
      <w:tr w:rsidR="00E53AC8" w:rsidRPr="00180B19" w:rsidTr="00DC0E31">
        <w:trPr>
          <w:trHeight w:val="97"/>
        </w:trPr>
        <w:tc>
          <w:tcPr>
            <w:tcW w:w="2495" w:type="dxa"/>
          </w:tcPr>
          <w:p w:rsidR="00E53AC8" w:rsidRPr="0051206D" w:rsidRDefault="00E53AC8" w:rsidP="003C5931">
            <w:pPr>
              <w:pStyle w:val="TableTextEntries"/>
              <w:rPr>
                <w:sz w:val="18"/>
                <w:szCs w:val="18"/>
              </w:rPr>
            </w:pPr>
            <w:r w:rsidRPr="005D70CC">
              <w:rPr>
                <w:rFonts w:cs="Franklin Gothic Book"/>
                <w:sz w:val="18"/>
                <w:szCs w:val="18"/>
              </w:rPr>
              <w:t>External shocks</w:t>
            </w:r>
            <w:r>
              <w:rPr>
                <w:rFonts w:cs="Franklin Gothic Book"/>
                <w:sz w:val="18"/>
                <w:szCs w:val="18"/>
              </w:rPr>
              <w:t xml:space="preserve"> and/or deterioration in debt management </w:t>
            </w:r>
            <w:r w:rsidRPr="005D70CC">
              <w:rPr>
                <w:rFonts w:cs="Franklin Gothic Book"/>
                <w:sz w:val="18"/>
                <w:szCs w:val="18"/>
              </w:rPr>
              <w:t>(affecting Tonga’s debt levels have an impact on the program’s objectives</w:t>
            </w:r>
            <w:r w:rsidR="00B41E2F">
              <w:rPr>
                <w:rFonts w:cs="Franklin Gothic Book"/>
                <w:sz w:val="18"/>
                <w:szCs w:val="18"/>
              </w:rPr>
              <w:t>)</w:t>
            </w:r>
            <w:r w:rsidRPr="005D70CC">
              <w:rPr>
                <w:rFonts w:cs="Franklin Gothic Book"/>
                <w:sz w:val="18"/>
                <w:szCs w:val="18"/>
              </w:rPr>
              <w:t>.</w:t>
            </w:r>
            <w:r w:rsidRPr="005D70CC">
              <w:rPr>
                <w:rFonts w:eastAsia="SimSun"/>
                <w:iCs w:val="0"/>
                <w:sz w:val="18"/>
                <w:szCs w:val="18"/>
                <w:lang w:eastAsia="en-AU"/>
              </w:rPr>
              <w:t xml:space="preserve"> </w:t>
            </w:r>
          </w:p>
        </w:tc>
        <w:tc>
          <w:tcPr>
            <w:tcW w:w="3051" w:type="dxa"/>
          </w:tcPr>
          <w:p w:rsidR="00E53AC8" w:rsidRPr="0051206D" w:rsidRDefault="00E53AC8" w:rsidP="003C5931">
            <w:pPr>
              <w:keepLines/>
              <w:spacing w:before="40" w:after="40" w:line="200" w:lineRule="atLeast"/>
              <w:rPr>
                <w:rFonts w:ascii="Franklin Gothic Book" w:hAnsi="Franklin Gothic Book"/>
                <w:sz w:val="18"/>
                <w:szCs w:val="18"/>
              </w:rPr>
            </w:pPr>
            <w:r w:rsidRPr="008763CD">
              <w:rPr>
                <w:rFonts w:ascii="Franklin Gothic Book" w:hAnsi="Franklin Gothic Book" w:cs="Franklin Gothic Book"/>
                <w:sz w:val="18"/>
                <w:szCs w:val="18"/>
              </w:rPr>
              <w:t>Australian Aid Program staff work with Tongan officials to coordinate with development partners, to monitor the impact of economic shocks and disasters to Tonga’s economy. If required, programs will be reorientated to address critical needs in the event of future shocks.</w:t>
            </w:r>
            <w:r w:rsidRPr="005D70CC">
              <w:rPr>
                <w:sz w:val="18"/>
                <w:szCs w:val="18"/>
              </w:rPr>
              <w:t xml:space="preserve"> </w:t>
            </w:r>
          </w:p>
        </w:tc>
        <w:tc>
          <w:tcPr>
            <w:tcW w:w="3119" w:type="dxa"/>
          </w:tcPr>
          <w:p w:rsidR="00E53AC8" w:rsidRDefault="00E53AC8" w:rsidP="003C5931">
            <w:pPr>
              <w:pStyle w:val="TableTextEntries"/>
              <w:rPr>
                <w:rFonts w:eastAsia="SimSun"/>
                <w:iCs w:val="0"/>
                <w:sz w:val="18"/>
                <w:szCs w:val="18"/>
                <w:lang w:eastAsia="en-AU"/>
              </w:rPr>
            </w:pPr>
            <w:r w:rsidRPr="005D70CC">
              <w:rPr>
                <w:rFonts w:eastAsia="SimSun"/>
                <w:iCs w:val="0"/>
                <w:sz w:val="18"/>
                <w:szCs w:val="18"/>
                <w:lang w:eastAsia="en-AU"/>
              </w:rPr>
              <w:t xml:space="preserve"> We will continue to work closely with the GoT officials, (and possibly a new government) to particularly encourage the maint</w:t>
            </w:r>
            <w:r>
              <w:rPr>
                <w:rFonts w:eastAsia="SimSun"/>
                <w:iCs w:val="0"/>
                <w:sz w:val="18"/>
                <w:szCs w:val="18"/>
                <w:lang w:eastAsia="en-AU"/>
              </w:rPr>
              <w:t>enance of Tonga’s ‘</w:t>
            </w:r>
            <w:r w:rsidRPr="005D70CC">
              <w:rPr>
                <w:rFonts w:eastAsia="SimSun"/>
                <w:iCs w:val="0"/>
                <w:sz w:val="18"/>
                <w:szCs w:val="18"/>
                <w:lang w:eastAsia="en-AU"/>
              </w:rPr>
              <w:t>no new debt</w:t>
            </w:r>
            <w:r>
              <w:rPr>
                <w:rFonts w:eastAsia="SimSun"/>
                <w:iCs w:val="0"/>
                <w:sz w:val="18"/>
                <w:szCs w:val="18"/>
                <w:lang w:eastAsia="en-AU"/>
              </w:rPr>
              <w:t>’</w:t>
            </w:r>
            <w:r w:rsidRPr="005D70CC">
              <w:rPr>
                <w:rFonts w:eastAsia="SimSun"/>
                <w:iCs w:val="0"/>
                <w:sz w:val="18"/>
                <w:szCs w:val="18"/>
                <w:lang w:eastAsia="en-AU"/>
              </w:rPr>
              <w:t xml:space="preserve"> policy. We will work with other donors and GoT to further develop Tonga’s ability to analyse offers of financial assistance from other donors, to ensure fiscally responsible approaches are pursued</w:t>
            </w:r>
            <w:r>
              <w:rPr>
                <w:rFonts w:eastAsia="SimSun"/>
                <w:iCs w:val="0"/>
                <w:sz w:val="18"/>
                <w:szCs w:val="18"/>
                <w:lang w:eastAsia="en-AU"/>
              </w:rPr>
              <w:t xml:space="preserve"> (including </w:t>
            </w:r>
            <w:r>
              <w:t>better planning and preparedness around shocks and scenario analysis</w:t>
            </w:r>
            <w:r w:rsidR="00B41E2F">
              <w:t>)</w:t>
            </w:r>
            <w:r>
              <w:t>.</w:t>
            </w:r>
          </w:p>
          <w:p w:rsidR="00E53AC8" w:rsidRPr="0051206D" w:rsidRDefault="00E53AC8" w:rsidP="003C5931">
            <w:pPr>
              <w:pStyle w:val="TableTextEntries"/>
              <w:rPr>
                <w:sz w:val="18"/>
                <w:szCs w:val="18"/>
              </w:rPr>
            </w:pPr>
          </w:p>
        </w:tc>
      </w:tr>
      <w:tr w:rsidR="00E53AC8" w:rsidRPr="00180B19" w:rsidTr="00902A80">
        <w:trPr>
          <w:trHeight w:val="401"/>
        </w:trPr>
        <w:tc>
          <w:tcPr>
            <w:tcW w:w="2495" w:type="dxa"/>
            <w:tcBorders>
              <w:top w:val="nil"/>
              <w:bottom w:val="nil"/>
            </w:tcBorders>
          </w:tcPr>
          <w:p w:rsidR="00E53AC8" w:rsidRPr="0096267C" w:rsidRDefault="00E53AC8" w:rsidP="003C5931">
            <w:pPr>
              <w:rPr>
                <w:rFonts w:ascii="Franklin Gothic Book" w:hAnsi="Franklin Gothic Book"/>
                <w:sz w:val="18"/>
                <w:szCs w:val="18"/>
              </w:rPr>
            </w:pPr>
            <w:r w:rsidRPr="0096267C">
              <w:rPr>
                <w:rFonts w:ascii="Franklin Gothic Book" w:hAnsi="Franklin Gothic Book"/>
                <w:sz w:val="18"/>
                <w:szCs w:val="18"/>
              </w:rPr>
              <w:lastRenderedPageBreak/>
              <w:t>New TVET program underperforms like its predecessor  and does not deliver expected outcomes</w:t>
            </w:r>
          </w:p>
          <w:p w:rsidR="00E53AC8" w:rsidRPr="0096267C" w:rsidRDefault="00E53AC8" w:rsidP="003C5931">
            <w:pPr>
              <w:spacing w:line="280" w:lineRule="exact"/>
              <w:contextualSpacing/>
              <w:rPr>
                <w:rFonts w:ascii="Franklin Gothic Book" w:hAnsi="Franklin Gothic Book"/>
                <w:sz w:val="18"/>
                <w:szCs w:val="18"/>
              </w:rPr>
            </w:pPr>
          </w:p>
          <w:p w:rsidR="00E53AC8" w:rsidRPr="0096267C" w:rsidRDefault="00E53AC8" w:rsidP="003C5931">
            <w:pPr>
              <w:pStyle w:val="TableTextEntries"/>
              <w:rPr>
                <w:rFonts w:eastAsia="SimSun"/>
                <w:iCs w:val="0"/>
                <w:sz w:val="18"/>
                <w:szCs w:val="18"/>
                <w:lang w:eastAsia="en-AU"/>
              </w:rPr>
            </w:pPr>
          </w:p>
        </w:tc>
        <w:tc>
          <w:tcPr>
            <w:tcW w:w="3051" w:type="dxa"/>
            <w:tcBorders>
              <w:top w:val="nil"/>
              <w:bottom w:val="nil"/>
            </w:tcBorders>
          </w:tcPr>
          <w:p w:rsidR="00E53AC8" w:rsidRPr="0096267C" w:rsidRDefault="00E53AC8" w:rsidP="003C5931">
            <w:pPr>
              <w:keepLines/>
              <w:spacing w:before="40" w:after="40" w:line="200" w:lineRule="atLeast"/>
              <w:rPr>
                <w:rFonts w:ascii="Franklin Gothic Book" w:hAnsi="Franklin Gothic Book"/>
                <w:sz w:val="18"/>
                <w:szCs w:val="18"/>
              </w:rPr>
            </w:pPr>
            <w:r w:rsidRPr="0096267C">
              <w:rPr>
                <w:rFonts w:ascii="Franklin Gothic Book" w:hAnsi="Franklin Gothic Book"/>
                <w:sz w:val="18"/>
                <w:szCs w:val="18"/>
              </w:rPr>
              <w:t>Unlike its predecessor, which was implemented by the relevant GoT ministry, the new program is being delivered through a specialist firm contracted directly to DFAT. The new program has a much stronger focus on procuring delivery of accredited TVET training in line with labour-market demand – the earlier program’s focus on strengthening Tonga’s own TVET system has been reduced. The program is working to an annual work-plan with agreed outputs directly monitored by DFAT.</w:t>
            </w:r>
          </w:p>
        </w:tc>
        <w:tc>
          <w:tcPr>
            <w:tcW w:w="3119" w:type="dxa"/>
            <w:tcBorders>
              <w:top w:val="nil"/>
              <w:bottom w:val="nil"/>
            </w:tcBorders>
          </w:tcPr>
          <w:p w:rsidR="00E53AC8" w:rsidRPr="0096267C" w:rsidRDefault="00E53AC8" w:rsidP="003C5931">
            <w:pPr>
              <w:pStyle w:val="TableTextEntries"/>
              <w:rPr>
                <w:rFonts w:cs="Franklin Gothic Book"/>
                <w:sz w:val="18"/>
                <w:szCs w:val="18"/>
              </w:rPr>
            </w:pPr>
            <w:r w:rsidRPr="0096267C">
              <w:rPr>
                <w:iCs w:val="0"/>
                <w:sz w:val="18"/>
                <w:szCs w:val="18"/>
                <w:lang w:eastAsia="en-AU"/>
              </w:rPr>
              <w:t>DFAT’s contract with the provider clearly sets out the objectives for the program. DFAT staff</w:t>
            </w:r>
            <w:r w:rsidR="00902A80">
              <w:rPr>
                <w:iCs w:val="0"/>
                <w:sz w:val="18"/>
                <w:szCs w:val="18"/>
                <w:lang w:eastAsia="en-AU"/>
              </w:rPr>
              <w:t xml:space="preserve"> </w:t>
            </w:r>
            <w:r>
              <w:rPr>
                <w:iCs w:val="0"/>
                <w:sz w:val="18"/>
                <w:szCs w:val="18"/>
                <w:lang w:eastAsia="en-AU"/>
              </w:rPr>
              <w:t>meet</w:t>
            </w:r>
            <w:r w:rsidRPr="0096267C">
              <w:rPr>
                <w:iCs w:val="0"/>
                <w:sz w:val="18"/>
                <w:szCs w:val="18"/>
                <w:lang w:eastAsia="en-AU"/>
              </w:rPr>
              <w:t xml:space="preserve"> with the Facility Manager regularly to monitor program progress and ensure that the </w:t>
            </w:r>
            <w:r w:rsidR="007003D6">
              <w:rPr>
                <w:iCs w:val="0"/>
                <w:sz w:val="18"/>
                <w:szCs w:val="18"/>
                <w:lang w:eastAsia="en-AU"/>
              </w:rPr>
              <w:t>replacement program-</w:t>
            </w:r>
            <w:r w:rsidRPr="002208BC">
              <w:rPr>
                <w:i/>
                <w:iCs w:val="0"/>
                <w:sz w:val="18"/>
                <w:szCs w:val="18"/>
                <w:lang w:eastAsia="en-AU"/>
              </w:rPr>
              <w:t>I</w:t>
            </w:r>
            <w:r w:rsidR="007003D6" w:rsidRPr="002208BC">
              <w:rPr>
                <w:i/>
                <w:iCs w:val="0"/>
                <w:sz w:val="18"/>
                <w:szCs w:val="18"/>
                <w:lang w:eastAsia="en-AU"/>
              </w:rPr>
              <w:t xml:space="preserve">nterim Skills </w:t>
            </w:r>
            <w:r w:rsidRPr="002208BC">
              <w:rPr>
                <w:i/>
                <w:iCs w:val="0"/>
                <w:sz w:val="18"/>
                <w:szCs w:val="18"/>
                <w:lang w:eastAsia="en-AU"/>
              </w:rPr>
              <w:t>D</w:t>
            </w:r>
            <w:r w:rsidR="007003D6" w:rsidRPr="002208BC">
              <w:rPr>
                <w:i/>
                <w:iCs w:val="0"/>
                <w:sz w:val="18"/>
                <w:szCs w:val="18"/>
                <w:lang w:eastAsia="en-AU"/>
              </w:rPr>
              <w:t xml:space="preserve">evelopment </w:t>
            </w:r>
            <w:r w:rsidRPr="002208BC">
              <w:rPr>
                <w:i/>
                <w:iCs w:val="0"/>
                <w:sz w:val="18"/>
                <w:szCs w:val="18"/>
                <w:lang w:eastAsia="en-AU"/>
              </w:rPr>
              <w:t>F</w:t>
            </w:r>
            <w:r w:rsidR="007003D6" w:rsidRPr="002208BC">
              <w:rPr>
                <w:i/>
                <w:iCs w:val="0"/>
                <w:sz w:val="18"/>
                <w:szCs w:val="18"/>
                <w:lang w:eastAsia="en-AU"/>
              </w:rPr>
              <w:t>acility-</w:t>
            </w:r>
            <w:r w:rsidRPr="002208BC">
              <w:rPr>
                <w:i/>
                <w:iCs w:val="0"/>
                <w:sz w:val="18"/>
                <w:szCs w:val="18"/>
                <w:lang w:eastAsia="en-AU"/>
              </w:rPr>
              <w:t xml:space="preserve"> </w:t>
            </w:r>
            <w:r w:rsidRPr="0096267C">
              <w:rPr>
                <w:iCs w:val="0"/>
                <w:sz w:val="18"/>
                <w:szCs w:val="18"/>
                <w:lang w:eastAsia="en-AU"/>
              </w:rPr>
              <w:t xml:space="preserve">delivers expected outcomes. An independent review of the program will be undertaken in 2015 to validate progress and make recommendations </w:t>
            </w:r>
            <w:r w:rsidR="008876E3">
              <w:rPr>
                <w:iCs w:val="0"/>
                <w:sz w:val="18"/>
                <w:szCs w:val="18"/>
                <w:lang w:eastAsia="en-AU"/>
              </w:rPr>
              <w:t xml:space="preserve">for </w:t>
            </w:r>
            <w:r w:rsidRPr="0096267C">
              <w:rPr>
                <w:iCs w:val="0"/>
                <w:sz w:val="18"/>
                <w:szCs w:val="18"/>
                <w:lang w:eastAsia="en-AU"/>
              </w:rPr>
              <w:t xml:space="preserve"> a planned follow-up phase of the program.</w:t>
            </w:r>
          </w:p>
          <w:p w:rsidR="00E53AC8" w:rsidRPr="0096267C" w:rsidRDefault="00E53AC8" w:rsidP="003C5931">
            <w:pPr>
              <w:pStyle w:val="TableTextEntries"/>
              <w:rPr>
                <w:rFonts w:eastAsia="SimSun"/>
                <w:iCs w:val="0"/>
                <w:sz w:val="18"/>
                <w:szCs w:val="18"/>
                <w:lang w:eastAsia="en-AU"/>
              </w:rPr>
            </w:pPr>
          </w:p>
        </w:tc>
      </w:tr>
      <w:tr w:rsidR="00E53AC8" w:rsidRPr="00180B19" w:rsidTr="00DC0E31">
        <w:trPr>
          <w:trHeight w:val="401"/>
        </w:trPr>
        <w:tc>
          <w:tcPr>
            <w:tcW w:w="2495" w:type="dxa"/>
          </w:tcPr>
          <w:p w:rsidR="00E53AC8" w:rsidRPr="00527A5D" w:rsidRDefault="00E53AC8" w:rsidP="003C5931">
            <w:pPr>
              <w:rPr>
                <w:rFonts w:ascii="Franklin Gothic Book" w:hAnsi="Franklin Gothic Book"/>
                <w:sz w:val="18"/>
                <w:szCs w:val="18"/>
              </w:rPr>
            </w:pPr>
            <w:r w:rsidRPr="00527A5D">
              <w:rPr>
                <w:rFonts w:ascii="Franklin Gothic Book" w:hAnsi="Franklin Gothic Book"/>
                <w:sz w:val="18"/>
                <w:szCs w:val="18"/>
              </w:rPr>
              <w:t>Slow implementation of Tonga Education Support Program Phase 2, due to ongoing capacity constraints in Tonga’s Ministry of Education.</w:t>
            </w:r>
          </w:p>
        </w:tc>
        <w:tc>
          <w:tcPr>
            <w:tcW w:w="3051" w:type="dxa"/>
          </w:tcPr>
          <w:p w:rsidR="00E53AC8" w:rsidRPr="00527A5D" w:rsidRDefault="00E53AC8" w:rsidP="00004261">
            <w:pPr>
              <w:pStyle w:val="TableTextEntries"/>
              <w:rPr>
                <w:rFonts w:eastAsia="SimSun"/>
                <w:iCs w:val="0"/>
                <w:sz w:val="18"/>
                <w:szCs w:val="18"/>
                <w:lang w:eastAsia="en-AU"/>
              </w:rPr>
            </w:pPr>
            <w:r w:rsidRPr="00527A5D">
              <w:rPr>
                <w:sz w:val="18"/>
                <w:szCs w:val="18"/>
              </w:rPr>
              <w:t>New TESP 2 program design introduced stronger work-planning and monitoring and evaluation requirements for the program, including development of a Performance Assessment Framework including baseline measurements. Mixed results in Year 1 of implementation were identified using these tools.</w:t>
            </w:r>
          </w:p>
        </w:tc>
        <w:tc>
          <w:tcPr>
            <w:tcW w:w="3119" w:type="dxa"/>
          </w:tcPr>
          <w:p w:rsidR="00E53AC8" w:rsidRPr="00527A5D" w:rsidRDefault="00E53AC8" w:rsidP="003C5931">
            <w:pPr>
              <w:pStyle w:val="TableTextEntries"/>
              <w:rPr>
                <w:iCs w:val="0"/>
                <w:sz w:val="18"/>
                <w:szCs w:val="18"/>
              </w:rPr>
            </w:pPr>
            <w:r w:rsidRPr="00527A5D">
              <w:rPr>
                <w:rFonts w:eastAsia="SimSun"/>
                <w:iCs w:val="0"/>
                <w:sz w:val="18"/>
                <w:szCs w:val="18"/>
                <w:lang w:eastAsia="en-AU"/>
              </w:rPr>
              <w:t>DFAT will need to discuss with Ministry of Education strategies to improve implementation progress for TESP2, to ensure program delivery stays on track. DFAT will offer more direct support to MET to procure technical assistance efficiently. We will also consider the introduction of a performance-linked funding component, to incentivise improved implementation progress.</w:t>
            </w:r>
          </w:p>
        </w:tc>
      </w:tr>
      <w:tr w:rsidR="00DC0E31" w:rsidRPr="00180B19" w:rsidTr="00DC0E31">
        <w:trPr>
          <w:trHeight w:val="401"/>
        </w:trPr>
        <w:tc>
          <w:tcPr>
            <w:tcW w:w="2495" w:type="dxa"/>
            <w:tcBorders>
              <w:top w:val="nil"/>
              <w:bottom w:val="nil"/>
            </w:tcBorders>
          </w:tcPr>
          <w:p w:rsidR="00DC0E31" w:rsidRPr="005243C3" w:rsidRDefault="00DC0E31" w:rsidP="003C5931">
            <w:pPr>
              <w:rPr>
                <w:sz w:val="18"/>
                <w:szCs w:val="18"/>
              </w:rPr>
            </w:pPr>
            <w:r w:rsidRPr="005243C3">
              <w:rPr>
                <w:rFonts w:ascii="Franklin Gothic Book" w:hAnsi="Franklin Gothic Book"/>
                <w:sz w:val="18"/>
                <w:szCs w:val="18"/>
              </w:rPr>
              <w:t>The design and approval process for new health program is delayed which could delay implementation of new health program for Tonga</w:t>
            </w:r>
            <w:r w:rsidRPr="005243C3">
              <w:rPr>
                <w:sz w:val="18"/>
                <w:szCs w:val="18"/>
              </w:rPr>
              <w:t xml:space="preserve">. </w:t>
            </w:r>
          </w:p>
          <w:p w:rsidR="00DC0E31" w:rsidRPr="005243C3" w:rsidRDefault="00DC0E31" w:rsidP="003C5931">
            <w:pPr>
              <w:rPr>
                <w:rFonts w:ascii="Franklin Gothic Book" w:hAnsi="Franklin Gothic Book"/>
                <w:sz w:val="18"/>
                <w:szCs w:val="18"/>
              </w:rPr>
            </w:pPr>
          </w:p>
        </w:tc>
        <w:tc>
          <w:tcPr>
            <w:tcW w:w="3051" w:type="dxa"/>
            <w:tcBorders>
              <w:top w:val="nil"/>
              <w:bottom w:val="nil"/>
            </w:tcBorders>
          </w:tcPr>
          <w:p w:rsidR="00DC0E31" w:rsidRPr="005243C3" w:rsidRDefault="00DC0E31" w:rsidP="002208BC">
            <w:pPr>
              <w:pStyle w:val="TableTextEntries"/>
              <w:rPr>
                <w:sz w:val="18"/>
                <w:szCs w:val="18"/>
              </w:rPr>
            </w:pPr>
            <w:r w:rsidRPr="005243C3">
              <w:rPr>
                <w:rFonts w:eastAsia="SimSun"/>
                <w:iCs w:val="0"/>
                <w:sz w:val="18"/>
                <w:szCs w:val="18"/>
                <w:lang w:eastAsia="en-AU"/>
              </w:rPr>
              <w:t>The current health program is due to end 3</w:t>
            </w:r>
            <w:r w:rsidR="006E100A" w:rsidRPr="005243C3">
              <w:rPr>
                <w:rFonts w:eastAsia="SimSun"/>
                <w:iCs w:val="0"/>
                <w:sz w:val="18"/>
                <w:szCs w:val="18"/>
                <w:lang w:eastAsia="en-AU"/>
              </w:rPr>
              <w:t>0</w:t>
            </w:r>
            <w:r w:rsidRPr="005243C3">
              <w:rPr>
                <w:rFonts w:eastAsia="SimSun"/>
                <w:iCs w:val="0"/>
                <w:sz w:val="18"/>
                <w:szCs w:val="18"/>
                <w:lang w:eastAsia="en-AU"/>
              </w:rPr>
              <w:t xml:space="preserve"> June 2015. To prepare for the next phase of support, a</w:t>
            </w:r>
            <w:r w:rsidRPr="005243C3">
              <w:rPr>
                <w:sz w:val="18"/>
                <w:szCs w:val="18"/>
              </w:rPr>
              <w:t xml:space="preserve">nalysis of Tonga’s health sector was undertaken over June-July 2014. The analysis was commissioned to recommend priority areas of future support, and inform the design for a new health program in Tonga. The design process was scheduled October 2014 but key participants </w:t>
            </w:r>
            <w:r w:rsidR="005243C3">
              <w:rPr>
                <w:sz w:val="18"/>
                <w:szCs w:val="18"/>
              </w:rPr>
              <w:t xml:space="preserve">are </w:t>
            </w:r>
            <w:r w:rsidRPr="005243C3">
              <w:rPr>
                <w:sz w:val="18"/>
                <w:szCs w:val="18"/>
              </w:rPr>
              <w:t>unavailable</w:t>
            </w:r>
            <w:r w:rsidR="002208BC">
              <w:rPr>
                <w:sz w:val="18"/>
                <w:szCs w:val="18"/>
              </w:rPr>
              <w:t xml:space="preserve"> </w:t>
            </w:r>
            <w:r w:rsidR="005243C3">
              <w:rPr>
                <w:sz w:val="18"/>
                <w:szCs w:val="18"/>
              </w:rPr>
              <w:t xml:space="preserve">so </w:t>
            </w:r>
            <w:r w:rsidR="002208BC">
              <w:rPr>
                <w:sz w:val="18"/>
                <w:szCs w:val="18"/>
              </w:rPr>
              <w:t xml:space="preserve">it </w:t>
            </w:r>
            <w:r w:rsidR="005243C3">
              <w:rPr>
                <w:sz w:val="18"/>
                <w:szCs w:val="18"/>
              </w:rPr>
              <w:t>has been rescheduled to commence February 2015</w:t>
            </w:r>
            <w:r w:rsidRPr="005243C3">
              <w:rPr>
                <w:sz w:val="18"/>
                <w:szCs w:val="18"/>
              </w:rPr>
              <w:t>.</w:t>
            </w:r>
          </w:p>
        </w:tc>
        <w:tc>
          <w:tcPr>
            <w:tcW w:w="3119" w:type="dxa"/>
            <w:tcBorders>
              <w:top w:val="nil"/>
              <w:bottom w:val="nil"/>
            </w:tcBorders>
          </w:tcPr>
          <w:p w:rsidR="00DC0E31" w:rsidRPr="005243C3" w:rsidRDefault="00DC0E31" w:rsidP="003C5931">
            <w:pPr>
              <w:pStyle w:val="TableTextEntries"/>
              <w:rPr>
                <w:rFonts w:eastAsia="SimSun"/>
                <w:iCs w:val="0"/>
                <w:sz w:val="18"/>
                <w:szCs w:val="18"/>
                <w:lang w:eastAsia="en-AU"/>
              </w:rPr>
            </w:pPr>
            <w:r w:rsidRPr="005243C3">
              <w:rPr>
                <w:rFonts w:eastAsia="SimSun"/>
                <w:iCs w:val="0"/>
                <w:sz w:val="18"/>
                <w:szCs w:val="18"/>
                <w:lang w:eastAsia="en-AU"/>
              </w:rPr>
              <w:t>DFAT will extend the duration of the current program to ensure continuity in support for the Tonga health sector</w:t>
            </w:r>
            <w:r w:rsidR="00E044B3">
              <w:rPr>
                <w:rFonts w:eastAsia="SimSun"/>
                <w:iCs w:val="0"/>
                <w:sz w:val="18"/>
                <w:szCs w:val="18"/>
                <w:lang w:eastAsia="en-AU"/>
              </w:rPr>
              <w:t>.</w:t>
            </w:r>
            <w:r w:rsidRPr="005243C3">
              <w:rPr>
                <w:rFonts w:eastAsia="SimSun"/>
                <w:iCs w:val="0"/>
                <w:sz w:val="18"/>
                <w:szCs w:val="18"/>
                <w:lang w:eastAsia="en-AU"/>
              </w:rPr>
              <w:t xml:space="preserve"> </w:t>
            </w:r>
          </w:p>
        </w:tc>
      </w:tr>
    </w:tbl>
    <w:p w:rsidR="00120598" w:rsidRDefault="00120598" w:rsidP="009C2E08">
      <w:pPr>
        <w:pStyle w:val="ListBullet"/>
        <w:numPr>
          <w:ilvl w:val="0"/>
          <w:numId w:val="0"/>
        </w:numPr>
        <w:tabs>
          <w:tab w:val="clear" w:pos="284"/>
        </w:tabs>
        <w:ind w:left="360"/>
      </w:pPr>
    </w:p>
    <w:p w:rsidR="000D733F" w:rsidRPr="00D92E37" w:rsidRDefault="000D733F" w:rsidP="00902A80">
      <w:pPr>
        <w:pStyle w:val="Heading3"/>
      </w:pPr>
      <w:r w:rsidRPr="00D92E37">
        <w:t xml:space="preserve">Management </w:t>
      </w:r>
      <w:r w:rsidR="00805ADD" w:rsidRPr="00D92E37">
        <w:t>Responses</w:t>
      </w:r>
    </w:p>
    <w:p w:rsidR="00C640E5" w:rsidRPr="003D7652" w:rsidRDefault="00C640E5" w:rsidP="00C640E5">
      <w:pPr>
        <w:pStyle w:val="Heading2"/>
        <w:rPr>
          <w:color w:val="auto"/>
          <w:sz w:val="28"/>
        </w:rPr>
      </w:pPr>
      <w:r w:rsidRPr="003D7652">
        <w:rPr>
          <w:rFonts w:ascii="Franklin Gothic Book" w:hAnsi="Franklin Gothic Book"/>
          <w:color w:val="auto"/>
          <w:sz w:val="21"/>
          <w:szCs w:val="21"/>
        </w:rPr>
        <w:t xml:space="preserve">Australia will work closely with </w:t>
      </w:r>
      <w:r w:rsidR="00173B88">
        <w:rPr>
          <w:rFonts w:ascii="Franklin Gothic Book" w:hAnsi="Franklin Gothic Book"/>
          <w:color w:val="auto"/>
          <w:sz w:val="21"/>
          <w:szCs w:val="21"/>
        </w:rPr>
        <w:t>Tonga</w:t>
      </w:r>
      <w:r w:rsidRPr="003D7652">
        <w:rPr>
          <w:rFonts w:ascii="Franklin Gothic Book" w:hAnsi="Franklin Gothic Book"/>
          <w:color w:val="auto"/>
          <w:sz w:val="21"/>
          <w:szCs w:val="21"/>
        </w:rPr>
        <w:t xml:space="preserve"> to particularly encourage prudent management of the economy with a focus on maintaining Tonga’s ‘no new debt’ policy. </w:t>
      </w:r>
      <w:r w:rsidR="00173B88">
        <w:rPr>
          <w:rFonts w:ascii="Franklin Gothic Book" w:hAnsi="Franklin Gothic Book"/>
          <w:color w:val="auto"/>
          <w:sz w:val="21"/>
          <w:szCs w:val="21"/>
        </w:rPr>
        <w:t xml:space="preserve">In particular Australia </w:t>
      </w:r>
      <w:r w:rsidRPr="003D7652">
        <w:rPr>
          <w:rFonts w:ascii="Franklin Gothic Book" w:hAnsi="Franklin Gothic Book"/>
          <w:color w:val="auto"/>
          <w:sz w:val="21"/>
          <w:szCs w:val="21"/>
        </w:rPr>
        <w:t xml:space="preserve">will work with other donors and </w:t>
      </w:r>
      <w:r w:rsidR="00173B88">
        <w:rPr>
          <w:rFonts w:ascii="Franklin Gothic Book" w:hAnsi="Franklin Gothic Book"/>
          <w:color w:val="auto"/>
          <w:sz w:val="21"/>
          <w:szCs w:val="21"/>
        </w:rPr>
        <w:t xml:space="preserve">Tonga </w:t>
      </w:r>
      <w:r w:rsidRPr="003D7652">
        <w:rPr>
          <w:rFonts w:ascii="Franklin Gothic Book" w:hAnsi="Franklin Gothic Book"/>
          <w:color w:val="auto"/>
          <w:sz w:val="21"/>
          <w:szCs w:val="21"/>
        </w:rPr>
        <w:t>to further develop Tonga’s ability to analyse offers of financi</w:t>
      </w:r>
      <w:r w:rsidR="00173B88">
        <w:rPr>
          <w:rFonts w:ascii="Franklin Gothic Book" w:hAnsi="Franklin Gothic Book"/>
          <w:color w:val="auto"/>
          <w:sz w:val="21"/>
          <w:szCs w:val="21"/>
        </w:rPr>
        <w:t>al assistance.  This will help</w:t>
      </w:r>
      <w:r w:rsidRPr="003D7652">
        <w:rPr>
          <w:rFonts w:ascii="Franklin Gothic Book" w:hAnsi="Franklin Gothic Book"/>
          <w:color w:val="auto"/>
          <w:sz w:val="21"/>
          <w:szCs w:val="21"/>
        </w:rPr>
        <w:t xml:space="preserve"> ensure fiscally responsible approaches are pu</w:t>
      </w:r>
      <w:r w:rsidR="005674CE">
        <w:rPr>
          <w:rFonts w:ascii="Franklin Gothic Book" w:hAnsi="Franklin Gothic Book"/>
          <w:color w:val="auto"/>
          <w:sz w:val="21"/>
          <w:szCs w:val="21"/>
        </w:rPr>
        <w:t xml:space="preserve">rsued including better planning </w:t>
      </w:r>
      <w:r w:rsidR="00173B88">
        <w:rPr>
          <w:rFonts w:ascii="Franklin Gothic Book" w:hAnsi="Franklin Gothic Book"/>
          <w:color w:val="auto"/>
          <w:sz w:val="21"/>
          <w:szCs w:val="21"/>
        </w:rPr>
        <w:t xml:space="preserve">for economic </w:t>
      </w:r>
      <w:r w:rsidRPr="003D7652">
        <w:rPr>
          <w:rFonts w:ascii="Franklin Gothic Book" w:hAnsi="Franklin Gothic Book"/>
          <w:color w:val="auto"/>
          <w:sz w:val="21"/>
          <w:szCs w:val="21"/>
        </w:rPr>
        <w:t>shocks.</w:t>
      </w:r>
    </w:p>
    <w:p w:rsidR="00E46D58" w:rsidRDefault="0069307D" w:rsidP="00C95CC0">
      <w:pPr>
        <w:pStyle w:val="Heading2"/>
        <w:rPr>
          <w:rFonts w:ascii="Franklin Gothic Book" w:hAnsi="Franklin Gothic Book"/>
          <w:color w:val="auto"/>
          <w:sz w:val="21"/>
          <w:szCs w:val="21"/>
        </w:rPr>
      </w:pPr>
      <w:r>
        <w:rPr>
          <w:rFonts w:ascii="Franklin Gothic Book" w:hAnsi="Franklin Gothic Book"/>
          <w:color w:val="auto"/>
          <w:sz w:val="21"/>
          <w:szCs w:val="21"/>
        </w:rPr>
        <w:t xml:space="preserve">In June 2014 the Australian Government released a new aid policy and framework for performance management.  This policy provides an opportunity for Australia, in consultation with Tonga and other development partners to </w:t>
      </w:r>
      <w:r w:rsidR="005674CE">
        <w:rPr>
          <w:rFonts w:ascii="Franklin Gothic Book" w:hAnsi="Franklin Gothic Book"/>
          <w:color w:val="auto"/>
          <w:sz w:val="21"/>
          <w:szCs w:val="21"/>
        </w:rPr>
        <w:t>review the Tonga aid program objectives</w:t>
      </w:r>
      <w:r w:rsidR="004C15B8">
        <w:rPr>
          <w:rFonts w:ascii="Franklin Gothic Book" w:hAnsi="Franklin Gothic Book"/>
          <w:color w:val="auto"/>
          <w:sz w:val="21"/>
          <w:szCs w:val="21"/>
        </w:rPr>
        <w:t xml:space="preserve"> and supporting initiatives</w:t>
      </w:r>
      <w:r w:rsidR="005674CE">
        <w:rPr>
          <w:rFonts w:ascii="Franklin Gothic Book" w:hAnsi="Franklin Gothic Book"/>
          <w:color w:val="auto"/>
          <w:sz w:val="21"/>
          <w:szCs w:val="21"/>
        </w:rPr>
        <w:t>.</w:t>
      </w:r>
      <w:r w:rsidR="004C15B8">
        <w:rPr>
          <w:rFonts w:ascii="Franklin Gothic Book" w:hAnsi="Franklin Gothic Book"/>
          <w:color w:val="auto"/>
          <w:sz w:val="21"/>
          <w:szCs w:val="21"/>
        </w:rPr>
        <w:t xml:space="preserve">  </w:t>
      </w:r>
      <w:r w:rsidR="008F78E7">
        <w:rPr>
          <w:rFonts w:ascii="Franklin Gothic Book" w:hAnsi="Franklin Gothic Book"/>
          <w:color w:val="auto"/>
          <w:sz w:val="21"/>
          <w:szCs w:val="21"/>
        </w:rPr>
        <w:t xml:space="preserve">The new </w:t>
      </w:r>
      <w:r w:rsidR="005E69CC">
        <w:rPr>
          <w:rFonts w:ascii="Franklin Gothic Book" w:hAnsi="Franklin Gothic Book"/>
          <w:color w:val="auto"/>
          <w:sz w:val="21"/>
          <w:szCs w:val="21"/>
        </w:rPr>
        <w:t xml:space="preserve">aid </w:t>
      </w:r>
      <w:r w:rsidR="008F78E7">
        <w:rPr>
          <w:rFonts w:ascii="Franklin Gothic Book" w:hAnsi="Franklin Gothic Book"/>
          <w:color w:val="auto"/>
          <w:sz w:val="21"/>
          <w:szCs w:val="21"/>
        </w:rPr>
        <w:t xml:space="preserve">arrangement will </w:t>
      </w:r>
      <w:r w:rsidR="005E69CC">
        <w:rPr>
          <w:rFonts w:ascii="Franklin Gothic Book" w:hAnsi="Franklin Gothic Book"/>
          <w:color w:val="auto"/>
          <w:sz w:val="21"/>
          <w:szCs w:val="21"/>
        </w:rPr>
        <w:t xml:space="preserve">be based on sound evidence, a clear articulation of interests and developed in the spirit of partnership.  It will </w:t>
      </w:r>
      <w:r w:rsidR="008F78E7">
        <w:rPr>
          <w:rFonts w:ascii="Franklin Gothic Book" w:hAnsi="Franklin Gothic Book"/>
          <w:color w:val="auto"/>
          <w:sz w:val="21"/>
          <w:szCs w:val="21"/>
        </w:rPr>
        <w:t>need to better consider the role of the private sec</w:t>
      </w:r>
      <w:r w:rsidR="005E69CC">
        <w:rPr>
          <w:rFonts w:ascii="Franklin Gothic Book" w:hAnsi="Franklin Gothic Book"/>
          <w:color w:val="auto"/>
          <w:sz w:val="21"/>
          <w:szCs w:val="21"/>
        </w:rPr>
        <w:t xml:space="preserve">tor and </w:t>
      </w:r>
      <w:r w:rsidR="008F78E7">
        <w:rPr>
          <w:rFonts w:ascii="Franklin Gothic Book" w:hAnsi="Franklin Gothic Book"/>
          <w:color w:val="auto"/>
          <w:sz w:val="21"/>
          <w:szCs w:val="21"/>
        </w:rPr>
        <w:t>civil society</w:t>
      </w:r>
      <w:r w:rsidR="005E69CC">
        <w:rPr>
          <w:rFonts w:ascii="Franklin Gothic Book" w:hAnsi="Franklin Gothic Book"/>
          <w:color w:val="auto"/>
          <w:sz w:val="21"/>
          <w:szCs w:val="21"/>
        </w:rPr>
        <w:t>, and include provisions to improve gender equity and disability outcomes</w:t>
      </w:r>
      <w:r w:rsidR="008F78E7">
        <w:rPr>
          <w:rFonts w:ascii="Franklin Gothic Book" w:hAnsi="Franklin Gothic Book"/>
          <w:color w:val="auto"/>
          <w:sz w:val="21"/>
          <w:szCs w:val="21"/>
        </w:rPr>
        <w:t>.</w:t>
      </w:r>
      <w:r w:rsidR="005674CE">
        <w:rPr>
          <w:rFonts w:ascii="Franklin Gothic Book" w:hAnsi="Franklin Gothic Book"/>
          <w:color w:val="auto"/>
          <w:sz w:val="21"/>
          <w:szCs w:val="21"/>
        </w:rPr>
        <w:t xml:space="preserve">  </w:t>
      </w:r>
      <w:r>
        <w:rPr>
          <w:rFonts w:ascii="Franklin Gothic Book" w:hAnsi="Franklin Gothic Book"/>
          <w:color w:val="auto"/>
          <w:sz w:val="21"/>
          <w:szCs w:val="21"/>
        </w:rPr>
        <w:t xml:space="preserve"> </w:t>
      </w:r>
    </w:p>
    <w:p w:rsidR="00C95CC0" w:rsidRDefault="00FA2E86" w:rsidP="00C95CC0">
      <w:pPr>
        <w:pStyle w:val="Heading2"/>
        <w:rPr>
          <w:rFonts w:ascii="Franklin Gothic Book" w:hAnsi="Franklin Gothic Book"/>
          <w:sz w:val="21"/>
          <w:szCs w:val="21"/>
        </w:rPr>
      </w:pPr>
      <w:r>
        <w:rPr>
          <w:rFonts w:ascii="Franklin Gothic Book" w:hAnsi="Franklin Gothic Book"/>
          <w:color w:val="auto"/>
          <w:sz w:val="21"/>
          <w:szCs w:val="21"/>
        </w:rPr>
        <w:t>In the meantime, t</w:t>
      </w:r>
      <w:r w:rsidR="00C95CC0" w:rsidRPr="003D7652">
        <w:rPr>
          <w:rFonts w:ascii="Franklin Gothic Book" w:hAnsi="Franklin Gothic Book"/>
          <w:color w:val="auto"/>
          <w:sz w:val="21"/>
          <w:szCs w:val="21"/>
        </w:rPr>
        <w:t xml:space="preserve">he Gender Adviser will continue to work with </w:t>
      </w:r>
      <w:r w:rsidR="00E46D58">
        <w:rPr>
          <w:rFonts w:ascii="Franklin Gothic Book" w:hAnsi="Franklin Gothic Book"/>
          <w:color w:val="auto"/>
          <w:sz w:val="21"/>
          <w:szCs w:val="21"/>
        </w:rPr>
        <w:t xml:space="preserve">the Tongan aid program </w:t>
      </w:r>
      <w:r w:rsidR="00C95CC0" w:rsidRPr="003D7652">
        <w:rPr>
          <w:rFonts w:ascii="Franklin Gothic Book" w:hAnsi="Franklin Gothic Book"/>
          <w:color w:val="auto"/>
          <w:sz w:val="21"/>
          <w:szCs w:val="21"/>
        </w:rPr>
        <w:t xml:space="preserve">to improve gender equity across the program and boost the capacity of staff </w:t>
      </w:r>
      <w:r w:rsidR="00E46D58">
        <w:rPr>
          <w:rFonts w:ascii="Franklin Gothic Book" w:hAnsi="Franklin Gothic Book"/>
          <w:color w:val="auto"/>
          <w:sz w:val="21"/>
          <w:szCs w:val="21"/>
        </w:rPr>
        <w:t xml:space="preserve">manage this </w:t>
      </w:r>
      <w:r>
        <w:rPr>
          <w:rFonts w:ascii="Franklin Gothic Book" w:hAnsi="Franklin Gothic Book"/>
          <w:color w:val="auto"/>
          <w:sz w:val="21"/>
          <w:szCs w:val="21"/>
        </w:rPr>
        <w:t xml:space="preserve">issue </w:t>
      </w:r>
      <w:r w:rsidR="00E46D58">
        <w:rPr>
          <w:rFonts w:ascii="Franklin Gothic Book" w:hAnsi="Franklin Gothic Book"/>
          <w:color w:val="auto"/>
          <w:sz w:val="21"/>
          <w:szCs w:val="21"/>
        </w:rPr>
        <w:t xml:space="preserve">on an ongoing basis. The program will also </w:t>
      </w:r>
      <w:r w:rsidR="00C46E78">
        <w:rPr>
          <w:rFonts w:ascii="Franklin Gothic Book" w:hAnsi="Franklin Gothic Book"/>
          <w:color w:val="auto"/>
          <w:sz w:val="21"/>
          <w:szCs w:val="21"/>
        </w:rPr>
        <w:t xml:space="preserve">accelerate work to </w:t>
      </w:r>
      <w:r w:rsidR="00E46D58">
        <w:rPr>
          <w:rFonts w:ascii="Franklin Gothic Book" w:hAnsi="Franklin Gothic Book"/>
          <w:color w:val="auto"/>
          <w:sz w:val="21"/>
          <w:szCs w:val="21"/>
        </w:rPr>
        <w:t>incorporat</w:t>
      </w:r>
      <w:r w:rsidR="00C46E78">
        <w:rPr>
          <w:rFonts w:ascii="Franklin Gothic Book" w:hAnsi="Franklin Gothic Book"/>
          <w:color w:val="auto"/>
          <w:sz w:val="21"/>
          <w:szCs w:val="21"/>
        </w:rPr>
        <w:t>e</w:t>
      </w:r>
      <w:r w:rsidR="00E46D58">
        <w:rPr>
          <w:rFonts w:ascii="Franklin Gothic Book" w:hAnsi="Franklin Gothic Book"/>
          <w:color w:val="auto"/>
          <w:sz w:val="21"/>
          <w:szCs w:val="21"/>
        </w:rPr>
        <w:t xml:space="preserve"> </w:t>
      </w:r>
      <w:r w:rsidR="00C95CC0" w:rsidRPr="003D7652">
        <w:rPr>
          <w:rFonts w:ascii="Franklin Gothic Book" w:hAnsi="Franklin Gothic Book"/>
          <w:color w:val="auto"/>
          <w:sz w:val="21"/>
          <w:szCs w:val="21"/>
        </w:rPr>
        <w:t xml:space="preserve">disability inclusiveness </w:t>
      </w:r>
      <w:r w:rsidR="00E46D58">
        <w:rPr>
          <w:rFonts w:ascii="Franklin Gothic Book" w:hAnsi="Franklin Gothic Book"/>
          <w:color w:val="auto"/>
          <w:sz w:val="21"/>
          <w:szCs w:val="21"/>
        </w:rPr>
        <w:t xml:space="preserve">within the program.  </w:t>
      </w:r>
    </w:p>
    <w:p w:rsidR="002D5FD8" w:rsidRDefault="002D5FD8">
      <w:pPr>
        <w:spacing w:after="200" w:line="276" w:lineRule="auto"/>
        <w:rPr>
          <w:rFonts w:ascii="Helvetica" w:eastAsia="Times New Roman" w:hAnsi="Helvetica" w:cs="Arial"/>
          <w:color w:val="007FAD"/>
          <w:kern w:val="28"/>
          <w:sz w:val="28"/>
          <w:szCs w:val="28"/>
        </w:rPr>
        <w:sectPr w:rsidR="002D5FD8" w:rsidSect="0006269E">
          <w:headerReference w:type="even" r:id="rId17"/>
          <w:footerReference w:type="first" r:id="rId18"/>
          <w:pgSz w:w="11906" w:h="16838" w:code="9"/>
          <w:pgMar w:top="1814" w:right="851" w:bottom="851" w:left="1814" w:header="709" w:footer="425" w:gutter="0"/>
          <w:cols w:space="708"/>
          <w:docGrid w:linePitch="360"/>
        </w:sectPr>
      </w:pPr>
    </w:p>
    <w:p w:rsidR="00166D01" w:rsidRPr="009E38C1" w:rsidRDefault="00166D01" w:rsidP="00166D01">
      <w:pPr>
        <w:pStyle w:val="Heading2"/>
        <w:rPr>
          <w:sz w:val="28"/>
        </w:rPr>
      </w:pPr>
      <w:r w:rsidRPr="009E38C1">
        <w:rPr>
          <w:sz w:val="28"/>
        </w:rPr>
        <w:lastRenderedPageBreak/>
        <w:t>Annex A</w:t>
      </w:r>
      <w:r w:rsidR="00E86976">
        <w:rPr>
          <w:sz w:val="28"/>
        </w:rPr>
        <w:t xml:space="preserve">: </w:t>
      </w:r>
      <w:r w:rsidRPr="009E38C1">
        <w:rPr>
          <w:sz w:val="28"/>
        </w:rPr>
        <w:t>Progress in addressing 2012-13 management responses</w:t>
      </w:r>
    </w:p>
    <w:tbl>
      <w:tblPr>
        <w:tblStyle w:val="APPR"/>
        <w:tblpPr w:leftFromText="180" w:rightFromText="180" w:vertAnchor="text" w:tblpY="1"/>
        <w:tblW w:w="5000" w:type="pct"/>
        <w:tblLayout w:type="fixed"/>
        <w:tblLook w:val="0000" w:firstRow="0" w:lastRow="0" w:firstColumn="0" w:lastColumn="0" w:noHBand="0" w:noVBand="0"/>
      </w:tblPr>
      <w:tblGrid>
        <w:gridCol w:w="6515"/>
        <w:gridCol w:w="992"/>
        <w:gridCol w:w="6938"/>
      </w:tblGrid>
      <w:tr w:rsidR="00166D01" w:rsidRPr="00180B19" w:rsidTr="00155513">
        <w:trPr>
          <w:cnfStyle w:val="000000010000" w:firstRow="0" w:lastRow="0" w:firstColumn="0" w:lastColumn="0" w:oddVBand="0" w:evenVBand="0" w:oddHBand="0" w:evenHBand="1" w:firstRowFirstColumn="0" w:firstRowLastColumn="0" w:lastRowFirstColumn="0" w:lastRowLastColumn="0"/>
        </w:trPr>
        <w:tc>
          <w:tcPr>
            <w:tcW w:w="6473" w:type="dxa"/>
          </w:tcPr>
          <w:p w:rsidR="00166D01" w:rsidRPr="00180B19" w:rsidRDefault="00166D01" w:rsidP="00155513">
            <w:pPr>
              <w:pStyle w:val="TableTextColumnHeading"/>
              <w:framePr w:hSpace="0" w:wrap="auto" w:vAnchor="margin" w:yAlign="inline"/>
            </w:pPr>
            <w:r w:rsidRPr="00FE4491">
              <w:t>Management consequences identified in 201</w:t>
            </w:r>
            <w:r>
              <w:t>2-13</w:t>
            </w:r>
            <w:r w:rsidRPr="00FE4491">
              <w:t xml:space="preserve"> </w:t>
            </w:r>
            <w:r>
              <w:t>APPR</w:t>
            </w:r>
            <w:r>
              <w:tab/>
            </w:r>
          </w:p>
        </w:tc>
        <w:tc>
          <w:tcPr>
            <w:tcW w:w="964" w:type="dxa"/>
          </w:tcPr>
          <w:p w:rsidR="00166D01" w:rsidRPr="00180B19" w:rsidRDefault="00166D01" w:rsidP="00155513">
            <w:pPr>
              <w:pStyle w:val="TableTextColumnHeading"/>
              <w:framePr w:hSpace="0" w:wrap="auto" w:vAnchor="margin" w:yAlign="inline"/>
            </w:pPr>
            <w:r w:rsidRPr="00FE4491">
              <w:t>Rating</w:t>
            </w:r>
          </w:p>
        </w:tc>
        <w:tc>
          <w:tcPr>
            <w:tcW w:w="6896" w:type="dxa"/>
          </w:tcPr>
          <w:p w:rsidR="00166D01" w:rsidRPr="00180B19" w:rsidRDefault="00166D01" w:rsidP="00155513">
            <w:pPr>
              <w:pStyle w:val="TableTextColumnHeading"/>
              <w:framePr w:hSpace="0" w:wrap="auto" w:vAnchor="margin" w:yAlign="inline"/>
            </w:pPr>
            <w:r w:rsidRPr="00FE4491">
              <w:t xml:space="preserve">Progress made in </w:t>
            </w:r>
            <w:r>
              <w:t>2013-14</w:t>
            </w:r>
          </w:p>
        </w:tc>
      </w:tr>
      <w:tr w:rsidR="00166D01" w:rsidRPr="00180B19" w:rsidTr="00553AB1">
        <w:trPr>
          <w:cnfStyle w:val="000000010000" w:firstRow="0" w:lastRow="0" w:firstColumn="0" w:lastColumn="0" w:oddVBand="0" w:evenVBand="0" w:oddHBand="0" w:evenHBand="1" w:firstRowFirstColumn="0" w:firstRowLastColumn="0" w:lastRowFirstColumn="0" w:lastRowLastColumn="0"/>
          <w:trHeight w:val="1106"/>
        </w:trPr>
        <w:tc>
          <w:tcPr>
            <w:tcW w:w="6473" w:type="dxa"/>
          </w:tcPr>
          <w:p w:rsidR="00166D01" w:rsidRPr="0053470C" w:rsidRDefault="00166D01" w:rsidP="00155513">
            <w:pPr>
              <w:pStyle w:val="TableTextEntries"/>
            </w:pPr>
            <w:r w:rsidRPr="0053470C">
              <w:t xml:space="preserve">The Tonga program will table the new delivery strategy for economic and public sector reform for formal approval by the Government of Tonga at the October 2013 Partnership for Development Talks. Focus will then shift to implementing new programs highlighted in the delivery strategy, particularly support for procurement reform and negotiating new reform targets under the Joint Policy Reform Matrix. </w:t>
            </w:r>
          </w:p>
          <w:p w:rsidR="00166D01" w:rsidRPr="00100AA2" w:rsidRDefault="00166D01" w:rsidP="00155513">
            <w:pPr>
              <w:pStyle w:val="TableTextEntries"/>
            </w:pPr>
          </w:p>
        </w:tc>
        <w:tc>
          <w:tcPr>
            <w:tcW w:w="964" w:type="dxa"/>
            <w:shd w:val="clear" w:color="auto" w:fill="72AF2F"/>
          </w:tcPr>
          <w:p w:rsidR="00166D01" w:rsidRPr="00443639" w:rsidRDefault="00166D01" w:rsidP="00155513">
            <w:pPr>
              <w:pStyle w:val="TableTextEntries"/>
              <w:jc w:val="center"/>
              <w:rPr>
                <w:color w:val="FFFFFF" w:themeColor="background1"/>
              </w:rPr>
            </w:pPr>
            <w:r>
              <w:rPr>
                <w:color w:val="FFFFFF" w:themeColor="background1"/>
              </w:rPr>
              <w:t>Achieved</w:t>
            </w:r>
          </w:p>
        </w:tc>
        <w:tc>
          <w:tcPr>
            <w:tcW w:w="6896" w:type="dxa"/>
          </w:tcPr>
          <w:p w:rsidR="00166D01" w:rsidRPr="00516512" w:rsidRDefault="00166D01" w:rsidP="00155513">
            <w:pPr>
              <w:pStyle w:val="TableTextEntries"/>
              <w:rPr>
                <w:b/>
                <w:color w:val="92D050"/>
              </w:rPr>
            </w:pPr>
            <w:r>
              <w:t>The new delivery strategy for economic and public sector reform was formally approved by the Government of Tonga at the Aid Program Talks that were held in December 2013.  New programs, highlighted in the delivery strategy, commenced implementation with a focus on support for procurement reform and negotiating new reform targets under the Joint Policy Reform Matrix.</w:t>
            </w:r>
          </w:p>
        </w:tc>
      </w:tr>
      <w:tr w:rsidR="00166D01" w:rsidRPr="00180B19" w:rsidTr="00553AB1">
        <w:trPr>
          <w:cnfStyle w:val="000000010000" w:firstRow="0" w:lastRow="0" w:firstColumn="0" w:lastColumn="0" w:oddVBand="0" w:evenVBand="0" w:oddHBand="0" w:evenHBand="1" w:firstRowFirstColumn="0" w:firstRowLastColumn="0" w:lastRowFirstColumn="0" w:lastRowLastColumn="0"/>
          <w:trHeight w:val="1106"/>
        </w:trPr>
        <w:tc>
          <w:tcPr>
            <w:tcW w:w="6473" w:type="dxa"/>
          </w:tcPr>
          <w:p w:rsidR="00166D01" w:rsidRPr="0053470C" w:rsidRDefault="00166D01" w:rsidP="00155513">
            <w:pPr>
              <w:pStyle w:val="TableTextEntries"/>
            </w:pPr>
            <w:r w:rsidRPr="0053470C">
              <w:t xml:space="preserve">In the education and skills area the priority will be on implementing new programs designed in 2012–13. With basic education the priority will be developing a performance assessment framework, completing baseline studies and monitoring to ensure program impact can be measured. The program will mobilise the new interim TVET facility so Tongans have access to courses relevant to the country’s labour market needs. The program will begin the detailed design of a new TVET program to start in 2015. </w:t>
            </w:r>
          </w:p>
        </w:tc>
        <w:tc>
          <w:tcPr>
            <w:tcW w:w="964" w:type="dxa"/>
            <w:shd w:val="clear" w:color="auto" w:fill="72AF2F"/>
          </w:tcPr>
          <w:p w:rsidR="00166D01" w:rsidRDefault="00166D01" w:rsidP="00155513">
            <w:pPr>
              <w:pStyle w:val="TableTextEntries"/>
              <w:jc w:val="center"/>
              <w:rPr>
                <w:color w:val="FFFFFF" w:themeColor="background1"/>
              </w:rPr>
            </w:pPr>
            <w:r>
              <w:rPr>
                <w:color w:val="FFFFFF" w:themeColor="background1"/>
              </w:rPr>
              <w:t>Achieved</w:t>
            </w:r>
          </w:p>
        </w:tc>
        <w:tc>
          <w:tcPr>
            <w:tcW w:w="6896" w:type="dxa"/>
          </w:tcPr>
          <w:p w:rsidR="00166D01" w:rsidRDefault="00166D01" w:rsidP="00155513">
            <w:pPr>
              <w:pStyle w:val="TableTextEntries"/>
            </w:pPr>
            <w:r>
              <w:t xml:space="preserve">The new basic education support program began implementation and its </w:t>
            </w:r>
            <w:r w:rsidRPr="00DD2E5F">
              <w:t>performance assessment framework</w:t>
            </w:r>
            <w:r>
              <w:t xml:space="preserve"> developed to assist with monitoring the program’s impact, plus the baseline studies were completed. T</w:t>
            </w:r>
            <w:r w:rsidRPr="00DD2E5F">
              <w:t>he new</w:t>
            </w:r>
            <w:r>
              <w:t xml:space="preserve">, interim technical vocational education and training (TVET) </w:t>
            </w:r>
            <w:r w:rsidRPr="00DD2E5F">
              <w:t>facility</w:t>
            </w:r>
            <w:r>
              <w:t xml:space="preserve"> commenced operations, too. The design process for a longer term TVET program in on track to</w:t>
            </w:r>
            <w:r w:rsidRPr="00DD2E5F">
              <w:t xml:space="preserve"> start in 2015</w:t>
            </w:r>
            <w:r w:rsidRPr="0053470C">
              <w:t xml:space="preserve">. </w:t>
            </w:r>
          </w:p>
        </w:tc>
      </w:tr>
      <w:tr w:rsidR="00166D01" w:rsidRPr="00180B19" w:rsidTr="00553AB1">
        <w:trPr>
          <w:cnfStyle w:val="000000010000" w:firstRow="0" w:lastRow="0" w:firstColumn="0" w:lastColumn="0" w:oddVBand="0" w:evenVBand="0" w:oddHBand="0" w:evenHBand="1" w:firstRowFirstColumn="0" w:firstRowLastColumn="0" w:lastRowFirstColumn="0" w:lastRowLastColumn="0"/>
          <w:trHeight w:val="2094"/>
        </w:trPr>
        <w:tc>
          <w:tcPr>
            <w:tcW w:w="6473" w:type="dxa"/>
          </w:tcPr>
          <w:p w:rsidR="00166D01" w:rsidRPr="00100AA2" w:rsidRDefault="00166D01" w:rsidP="00155513">
            <w:pPr>
              <w:pStyle w:val="TableTextEntries"/>
            </w:pPr>
            <w:r w:rsidRPr="002D1680">
              <w:t xml:space="preserve">In the health sector the focus will be on implementing the recommendations of the mid-term review of the current health program, particularly improving the pace of delivery of health-promotion activities and supporting Tonga to take a whole-of-government policy response to the challenge posed by NCDs. The current health program will be extended by two years so momentum continues to the end of the partnership. Key analytical work will begin to inform Australia’s future support to the sector. In particular, a study of broad health challenges and Tonga’s own plans will allow DFAT to decide where Australia can make the greatest difference. Detailed public financial management system analysis will help identify risks and inform consideration of a sector budget support approach. </w:t>
            </w:r>
          </w:p>
        </w:tc>
        <w:tc>
          <w:tcPr>
            <w:tcW w:w="964" w:type="dxa"/>
            <w:shd w:val="clear" w:color="auto" w:fill="72AF2F"/>
          </w:tcPr>
          <w:p w:rsidR="00166D01" w:rsidRPr="00443639" w:rsidRDefault="00166D01" w:rsidP="00155513">
            <w:pPr>
              <w:pStyle w:val="TableTextEntries"/>
              <w:jc w:val="center"/>
              <w:rPr>
                <w:color w:val="FFFFFF" w:themeColor="background1"/>
              </w:rPr>
            </w:pPr>
            <w:r>
              <w:rPr>
                <w:color w:val="FFFFFF" w:themeColor="background1"/>
              </w:rPr>
              <w:t>Achieved</w:t>
            </w:r>
          </w:p>
        </w:tc>
        <w:tc>
          <w:tcPr>
            <w:tcW w:w="6896" w:type="dxa"/>
          </w:tcPr>
          <w:p w:rsidR="00166D01" w:rsidRPr="00B30E77" w:rsidRDefault="007D4FC9" w:rsidP="00155513">
            <w:pPr>
              <w:pStyle w:val="TableTextEntries"/>
              <w:rPr>
                <w:color w:val="92D050"/>
              </w:rPr>
            </w:pPr>
            <w:r w:rsidRPr="009251AD">
              <w:t xml:space="preserve">Ninety-five per cent of the recommendations of the mid-term review of the health program have been implemented.  The current health program was extended to by two years (to December 2015) and key analytical work commenced in early 2014 to inform Australia’s future support to the sector. Public financial management system analysis will be done </w:t>
            </w:r>
            <w:r>
              <w:t>through an assessment of National Systems update in March 2015 this process along with the</w:t>
            </w:r>
            <w:r w:rsidRPr="009251AD">
              <w:t xml:space="preserve"> design process for a new health program in 2014-15 </w:t>
            </w:r>
            <w:r>
              <w:t xml:space="preserve">will scope options </w:t>
            </w:r>
            <w:r w:rsidRPr="00FA3485">
              <w:t xml:space="preserve">and assess feasibility of  </w:t>
            </w:r>
            <w:r>
              <w:t xml:space="preserve">building a </w:t>
            </w:r>
            <w:r w:rsidRPr="009251AD">
              <w:t>sector budget support approach</w:t>
            </w:r>
            <w:r>
              <w:t xml:space="preserve"> into the program</w:t>
            </w:r>
            <w:r w:rsidRPr="009251AD">
              <w:t>.</w:t>
            </w:r>
          </w:p>
        </w:tc>
      </w:tr>
      <w:tr w:rsidR="00166D01" w:rsidRPr="00180B19" w:rsidTr="00553AB1">
        <w:trPr>
          <w:cnfStyle w:val="000000010000" w:firstRow="0" w:lastRow="0" w:firstColumn="0" w:lastColumn="0" w:oddVBand="0" w:evenVBand="0" w:oddHBand="0" w:evenHBand="1" w:firstRowFirstColumn="0" w:firstRowLastColumn="0" w:lastRowFirstColumn="0" w:lastRowLastColumn="0"/>
          <w:trHeight w:val="981"/>
        </w:trPr>
        <w:tc>
          <w:tcPr>
            <w:tcW w:w="6473" w:type="dxa"/>
          </w:tcPr>
          <w:p w:rsidR="00166D01" w:rsidRPr="00100AA2" w:rsidRDefault="00166D01" w:rsidP="00155513">
            <w:pPr>
              <w:pStyle w:val="TableTextEntries"/>
            </w:pPr>
            <w:r w:rsidRPr="002D1680">
              <w:t xml:space="preserve">Delivery strategies will be completed in health and infrastructure to provide direction to program areas moving forward. Implementation schedules for economic and public sector management (drawing on the work completed as part of the delivery strategy), education and TVET will be agreed at partnership for development talks. </w:t>
            </w:r>
          </w:p>
        </w:tc>
        <w:tc>
          <w:tcPr>
            <w:tcW w:w="964" w:type="dxa"/>
            <w:shd w:val="clear" w:color="auto" w:fill="E36C0A"/>
          </w:tcPr>
          <w:p w:rsidR="00166D01" w:rsidRPr="00443639" w:rsidRDefault="00166D01" w:rsidP="00155513">
            <w:pPr>
              <w:pStyle w:val="TableTextEntries"/>
              <w:jc w:val="center"/>
              <w:rPr>
                <w:color w:val="FFFFFF" w:themeColor="background1"/>
              </w:rPr>
            </w:pPr>
            <w:r>
              <w:rPr>
                <w:color w:val="FFFFFF" w:themeColor="background1"/>
              </w:rPr>
              <w:t>Partly achieved</w:t>
            </w:r>
          </w:p>
        </w:tc>
        <w:tc>
          <w:tcPr>
            <w:tcW w:w="6896" w:type="dxa"/>
          </w:tcPr>
          <w:p w:rsidR="00166D01" w:rsidRPr="00B30E77" w:rsidRDefault="00166D01" w:rsidP="00F40FB5">
            <w:pPr>
              <w:pStyle w:val="TableTextEntries"/>
              <w:rPr>
                <w:color w:val="F79646" w:themeColor="accent6"/>
              </w:rPr>
            </w:pPr>
            <w:r w:rsidRPr="00D059C4">
              <w:t>Delivery strategies for health and infrastructure</w:t>
            </w:r>
            <w:r w:rsidR="00D059C4" w:rsidRPr="00D059C4">
              <w:t xml:space="preserve"> </w:t>
            </w:r>
            <w:r w:rsidRPr="00D059C4">
              <w:t>were not completed</w:t>
            </w:r>
            <w:r w:rsidR="00D059C4" w:rsidRPr="00D059C4">
              <w:t xml:space="preserve"> </w:t>
            </w:r>
            <w:r w:rsidR="00C640E5" w:rsidRPr="00D059C4">
              <w:t xml:space="preserve">but </w:t>
            </w:r>
            <w:r w:rsidRPr="00D059C4">
              <w:t>will instead be  incorporated</w:t>
            </w:r>
            <w:r w:rsidR="007522CA">
              <w:t xml:space="preserve"> </w:t>
            </w:r>
            <w:r w:rsidR="007D4FC9" w:rsidRPr="00D059C4">
              <w:t>into</w:t>
            </w:r>
            <w:r w:rsidR="00C640E5" w:rsidRPr="00D059C4">
              <w:t xml:space="preserve"> a new</w:t>
            </w:r>
            <w:r w:rsidR="00D059C4" w:rsidRPr="00D059C4">
              <w:t xml:space="preserve"> </w:t>
            </w:r>
            <w:r w:rsidRPr="00D059C4">
              <w:t>Aid Investment Plan</w:t>
            </w:r>
            <w:r w:rsidR="00C640E5" w:rsidRPr="00D059C4">
              <w:t xml:space="preserve"> for Tonga.</w:t>
            </w:r>
            <w:r w:rsidR="005C3405">
              <w:t xml:space="preserve"> Moreover,</w:t>
            </w:r>
            <w:r w:rsidR="00F40FB5">
              <w:t xml:space="preserve"> in late 2013 a stocktake analysis paper was done for Tonga’s Infrastructure</w:t>
            </w:r>
            <w:r w:rsidR="005C3405">
              <w:t xml:space="preserve"> sector and will</w:t>
            </w:r>
            <w:r w:rsidR="00F40FB5">
              <w:t xml:space="preserve"> </w:t>
            </w:r>
            <w:r w:rsidR="005C3405">
              <w:t xml:space="preserve">feed in to the Aid Investment Plan. </w:t>
            </w:r>
            <w:r w:rsidRPr="00D059C4">
              <w:t>Implementation schedules for economic and public sector management (drawing on the work completed as part of the delivery strategy), education and TVET were agreed at aid programming talks in December 2013.</w:t>
            </w:r>
          </w:p>
        </w:tc>
      </w:tr>
      <w:tr w:rsidR="00166D01" w:rsidRPr="00180B19" w:rsidTr="00A45FC6">
        <w:trPr>
          <w:cnfStyle w:val="000000010000" w:firstRow="0" w:lastRow="0" w:firstColumn="0" w:lastColumn="0" w:oddVBand="0" w:evenVBand="0" w:oddHBand="0" w:evenHBand="1" w:firstRowFirstColumn="0" w:firstRowLastColumn="0" w:lastRowFirstColumn="0" w:lastRowLastColumn="0"/>
          <w:trHeight w:val="1252"/>
        </w:trPr>
        <w:tc>
          <w:tcPr>
            <w:tcW w:w="6473" w:type="dxa"/>
          </w:tcPr>
          <w:p w:rsidR="00166D01" w:rsidRPr="00100AA2" w:rsidRDefault="00166D01" w:rsidP="00155513">
            <w:pPr>
              <w:pStyle w:val="TableTextEntries"/>
            </w:pPr>
            <w:r w:rsidRPr="002D1680">
              <w:lastRenderedPageBreak/>
              <w:t>The Tonga program will begin program-wide analysis to inform a new country situational analysis which will inform Australian priorities to be discussed as part of the next generation of the Partnership for Development after 2015. Also, DFAT will develop a program-wide performance assessment framework, including specific ways to supplement the Government of Tonga’s monitoring and evaluation systems where these are not able to provide the performance information DFAT requires</w:t>
            </w:r>
            <w:r>
              <w:t>.</w:t>
            </w:r>
          </w:p>
        </w:tc>
        <w:tc>
          <w:tcPr>
            <w:tcW w:w="964" w:type="dxa"/>
            <w:shd w:val="clear" w:color="auto" w:fill="E36C0A" w:themeFill="accent6" w:themeFillShade="BF"/>
          </w:tcPr>
          <w:p w:rsidR="007522CA" w:rsidRPr="00734FB4" w:rsidRDefault="00734FB4" w:rsidP="00155513">
            <w:pPr>
              <w:pStyle w:val="TableTextEntries"/>
              <w:jc w:val="center"/>
              <w:rPr>
                <w:color w:val="FFFFFF" w:themeColor="background1"/>
              </w:rPr>
            </w:pPr>
            <w:r>
              <w:rPr>
                <w:color w:val="FFFFFF" w:themeColor="background1"/>
              </w:rPr>
              <w:t>Partly A</w:t>
            </w:r>
            <w:r w:rsidR="00166D01" w:rsidRPr="00734FB4">
              <w:rPr>
                <w:color w:val="FFFFFF" w:themeColor="background1"/>
              </w:rPr>
              <w:t>chieved</w:t>
            </w:r>
          </w:p>
          <w:p w:rsidR="007522CA" w:rsidRPr="00734FB4" w:rsidRDefault="007522CA" w:rsidP="00734FB4">
            <w:pPr>
              <w:rPr>
                <w:lang w:eastAsia="en-US"/>
              </w:rPr>
            </w:pPr>
          </w:p>
          <w:p w:rsidR="007522CA" w:rsidRPr="00734FB4" w:rsidRDefault="007522CA" w:rsidP="00734FB4">
            <w:pPr>
              <w:pStyle w:val="TableTextEntries"/>
              <w:jc w:val="center"/>
            </w:pPr>
          </w:p>
          <w:p w:rsidR="007522CA" w:rsidRPr="00734FB4" w:rsidRDefault="007522CA" w:rsidP="00734FB4">
            <w:pPr>
              <w:rPr>
                <w:lang w:eastAsia="en-US"/>
              </w:rPr>
            </w:pPr>
          </w:p>
          <w:p w:rsidR="007522CA" w:rsidRDefault="007522CA" w:rsidP="007522CA">
            <w:pPr>
              <w:rPr>
                <w:lang w:eastAsia="en-US"/>
              </w:rPr>
            </w:pPr>
          </w:p>
          <w:p w:rsidR="007522CA" w:rsidRDefault="007522CA" w:rsidP="007522CA">
            <w:pPr>
              <w:rPr>
                <w:lang w:eastAsia="en-US"/>
              </w:rPr>
            </w:pPr>
          </w:p>
          <w:p w:rsidR="00166D01" w:rsidRPr="00734FB4" w:rsidRDefault="00166D01" w:rsidP="00734FB4">
            <w:pPr>
              <w:rPr>
                <w:lang w:eastAsia="en-US"/>
              </w:rPr>
            </w:pPr>
          </w:p>
        </w:tc>
        <w:tc>
          <w:tcPr>
            <w:tcW w:w="6896" w:type="dxa"/>
          </w:tcPr>
          <w:p w:rsidR="00166D01" w:rsidRPr="00B30E77" w:rsidRDefault="00823E6C" w:rsidP="00823E6C">
            <w:pPr>
              <w:pStyle w:val="TableTextEntries"/>
              <w:rPr>
                <w:color w:val="F79646" w:themeColor="accent6"/>
              </w:rPr>
            </w:pPr>
            <w:r>
              <w:t>This work was delayed due to election of a new Australian government and development of a new aid policy and d</w:t>
            </w:r>
            <w:r w:rsidR="00166D01">
              <w:t>ifferent corporate requirements</w:t>
            </w:r>
            <w:r>
              <w:t xml:space="preserve">. An economic ‘drivers of growth’ analysis was undertaken and a literature review on poverty analysis completed; an economic diplomacy strategy for Tonga was also prepared. This work will contribute to development of </w:t>
            </w:r>
            <w:r w:rsidR="00166D01">
              <w:t>, an Aid Investment Plan in 2014-15</w:t>
            </w:r>
            <w:r>
              <w:t>, which</w:t>
            </w:r>
            <w:r w:rsidR="00166D01">
              <w:t xml:space="preserve"> will inform </w:t>
            </w:r>
            <w:r w:rsidR="00166D01" w:rsidRPr="002D1680">
              <w:t>Australian priorities to be discussed as part of the</w:t>
            </w:r>
            <w:r w:rsidR="00166D01">
              <w:t xml:space="preserve"> Australia-Tonga bilateral relationship. </w:t>
            </w:r>
          </w:p>
        </w:tc>
      </w:tr>
      <w:tr w:rsidR="00166D01" w:rsidRPr="00180B19" w:rsidTr="00734FB4">
        <w:trPr>
          <w:cnfStyle w:val="000000010000" w:firstRow="0" w:lastRow="0" w:firstColumn="0" w:lastColumn="0" w:oddVBand="0" w:evenVBand="0" w:oddHBand="0" w:evenHBand="1" w:firstRowFirstColumn="0" w:firstRowLastColumn="0" w:lastRowFirstColumn="0" w:lastRowLastColumn="0"/>
          <w:trHeight w:val="1234"/>
        </w:trPr>
        <w:tc>
          <w:tcPr>
            <w:tcW w:w="6473" w:type="dxa"/>
          </w:tcPr>
          <w:p w:rsidR="00166D01" w:rsidRPr="002D1680" w:rsidRDefault="00166D01" w:rsidP="00155513">
            <w:pPr>
              <w:pStyle w:val="TableTextEntries"/>
            </w:pPr>
            <w:r w:rsidRPr="002D1680">
              <w:t xml:space="preserve">The Tonga program will begin implementing a country gender work plan under the Pacific Women Shaping Pacific Development Initiative. Given already stretched resources for DFAT in Nuku’alofa and the complexity of starting this new work, the success of the work plan will require direct and ongoing support from DFAT’s Pacific Division gender specialists and dedicated resources at </w:t>
            </w:r>
            <w:r>
              <w:t xml:space="preserve">the </w:t>
            </w:r>
            <w:r w:rsidRPr="002D1680">
              <w:t xml:space="preserve">regional support hub in Suva to ensure effective implementation. </w:t>
            </w:r>
          </w:p>
        </w:tc>
        <w:tc>
          <w:tcPr>
            <w:tcW w:w="964" w:type="dxa"/>
            <w:shd w:val="clear" w:color="auto" w:fill="4D9C3A"/>
          </w:tcPr>
          <w:p w:rsidR="00166D01" w:rsidRDefault="00166D01" w:rsidP="00155513">
            <w:pPr>
              <w:pStyle w:val="TableTextEntries"/>
              <w:jc w:val="center"/>
              <w:rPr>
                <w:color w:val="FFFFFF" w:themeColor="background1"/>
              </w:rPr>
            </w:pPr>
            <w:r>
              <w:rPr>
                <w:color w:val="FFFFFF" w:themeColor="background1"/>
              </w:rPr>
              <w:t xml:space="preserve">Achieved </w:t>
            </w:r>
          </w:p>
        </w:tc>
        <w:tc>
          <w:tcPr>
            <w:tcW w:w="6896" w:type="dxa"/>
          </w:tcPr>
          <w:p w:rsidR="00166D01" w:rsidRPr="00B30E77" w:rsidRDefault="00166D01" w:rsidP="00155513">
            <w:pPr>
              <w:pStyle w:val="TableTextEntries"/>
              <w:rPr>
                <w:color w:val="F79646" w:themeColor="accent6"/>
              </w:rPr>
            </w:pPr>
            <w:r w:rsidRPr="008B53CF">
              <w:t>The Tonga</w:t>
            </w:r>
            <w:r>
              <w:t xml:space="preserve"> gender work </w:t>
            </w:r>
            <w:r w:rsidRPr="008B53CF">
              <w:t xml:space="preserve">plan under the </w:t>
            </w:r>
            <w:r w:rsidRPr="008B53CF">
              <w:rPr>
                <w:i/>
              </w:rPr>
              <w:t>Pacific Women Shaping Pacific Development Initiative</w:t>
            </w:r>
            <w:r w:rsidRPr="008B53CF">
              <w:t xml:space="preserve"> began implementation</w:t>
            </w:r>
            <w:r>
              <w:t xml:space="preserve"> in 2013-14,</w:t>
            </w:r>
            <w:r w:rsidRPr="008B53CF">
              <w:t xml:space="preserve"> as outlined in the body of the APPR, </w:t>
            </w:r>
            <w:r>
              <w:t xml:space="preserve">with support from </w:t>
            </w:r>
            <w:r w:rsidRPr="008B53CF">
              <w:t xml:space="preserve"> Post,</w:t>
            </w:r>
            <w:r>
              <w:t xml:space="preserve"> and</w:t>
            </w:r>
            <w:r w:rsidRPr="008B53CF">
              <w:t xml:space="preserve"> with direct and ongoing support from DFAT’s Pacific Division gender specialists.  The engagement of a Gender Adviser was also made possible by drawing on resources from the regional support hub in Suva.</w:t>
            </w:r>
          </w:p>
        </w:tc>
      </w:tr>
      <w:tr w:rsidR="00166D01" w:rsidRPr="00180B19" w:rsidTr="00734FB4">
        <w:trPr>
          <w:cnfStyle w:val="000000010000" w:firstRow="0" w:lastRow="0" w:firstColumn="0" w:lastColumn="0" w:oddVBand="0" w:evenVBand="0" w:oddHBand="0" w:evenHBand="1" w:firstRowFirstColumn="0" w:firstRowLastColumn="0" w:lastRowFirstColumn="0" w:lastRowLastColumn="0"/>
          <w:trHeight w:val="1710"/>
        </w:trPr>
        <w:tc>
          <w:tcPr>
            <w:tcW w:w="6473" w:type="dxa"/>
          </w:tcPr>
          <w:p w:rsidR="00166D01" w:rsidRPr="002D1680" w:rsidRDefault="00166D01" w:rsidP="00155513">
            <w:pPr>
              <w:pStyle w:val="TableTextEntries"/>
            </w:pPr>
            <w:r w:rsidRPr="004E11B9">
              <w:t xml:space="preserve">The Tonga program will work with DFAT’s Pacific Division’s regional team to take forward the findings of the review of the Pacific Seasonal Workers Scheme, given the importance of labour mobility to Tonga’s economic outlook. A priority will be strengthening the program to develop the Government of Tonga’s capacity to manage program responsibilities and maximise the benefits of the program. </w:t>
            </w:r>
          </w:p>
        </w:tc>
        <w:tc>
          <w:tcPr>
            <w:tcW w:w="964" w:type="dxa"/>
            <w:shd w:val="clear" w:color="auto" w:fill="E36C0A" w:themeFill="accent6" w:themeFillShade="BF"/>
          </w:tcPr>
          <w:p w:rsidR="00166D01" w:rsidRDefault="00166D01" w:rsidP="00155513">
            <w:pPr>
              <w:pStyle w:val="TableTextEntries"/>
              <w:jc w:val="center"/>
              <w:rPr>
                <w:color w:val="FFFFFF" w:themeColor="background1"/>
              </w:rPr>
            </w:pPr>
            <w:r>
              <w:rPr>
                <w:color w:val="FFFFFF" w:themeColor="background1"/>
              </w:rPr>
              <w:t>Partly</w:t>
            </w:r>
          </w:p>
          <w:p w:rsidR="00166D01" w:rsidRDefault="00166D01" w:rsidP="00155513">
            <w:pPr>
              <w:pStyle w:val="TableTextEntries"/>
              <w:jc w:val="center"/>
              <w:rPr>
                <w:color w:val="FFFFFF" w:themeColor="background1"/>
              </w:rPr>
            </w:pPr>
            <w:r>
              <w:rPr>
                <w:color w:val="FFFFFF" w:themeColor="background1"/>
              </w:rPr>
              <w:t xml:space="preserve">Achieved </w:t>
            </w:r>
          </w:p>
        </w:tc>
        <w:tc>
          <w:tcPr>
            <w:tcW w:w="6896" w:type="dxa"/>
          </w:tcPr>
          <w:p w:rsidR="00166D01" w:rsidRPr="00B30E77" w:rsidRDefault="00166D01" w:rsidP="00493715">
            <w:pPr>
              <w:rPr>
                <w:color w:val="F79646" w:themeColor="accent6"/>
              </w:rPr>
            </w:pPr>
            <w:r w:rsidRPr="007D5BA9">
              <w:rPr>
                <w:rFonts w:ascii="Franklin Gothic Book" w:eastAsia="Times New Roman" w:hAnsi="Franklin Gothic Book"/>
                <w:iCs/>
                <w:sz w:val="17"/>
                <w:szCs w:val="17"/>
                <w:lang w:eastAsia="en-US"/>
              </w:rPr>
              <w:t>Over the last 12 months Australia has finalised the Labour Mobility Initiative design (which builds on the review of our support for the Pacific Seasonal Worker Pilot Scheme</w:t>
            </w:r>
            <w:r>
              <w:rPr>
                <w:rFonts w:ascii="Franklin Gothic Book" w:eastAsia="Times New Roman" w:hAnsi="Franklin Gothic Book"/>
                <w:iCs/>
                <w:sz w:val="17"/>
                <w:szCs w:val="17"/>
                <w:lang w:eastAsia="en-US"/>
              </w:rPr>
              <w:t>)</w:t>
            </w:r>
            <w:r w:rsidRPr="007D5BA9">
              <w:rPr>
                <w:rFonts w:ascii="Franklin Gothic Book" w:eastAsia="Times New Roman" w:hAnsi="Franklin Gothic Book"/>
                <w:iCs/>
                <w:sz w:val="17"/>
                <w:szCs w:val="17"/>
                <w:lang w:eastAsia="en-US"/>
              </w:rPr>
              <w:t xml:space="preserve">. </w:t>
            </w:r>
            <w:r>
              <w:rPr>
                <w:rFonts w:ascii="Franklin Gothic Book" w:eastAsia="Times New Roman" w:hAnsi="Franklin Gothic Book"/>
                <w:iCs/>
                <w:sz w:val="17"/>
                <w:szCs w:val="17"/>
                <w:lang w:eastAsia="en-US"/>
              </w:rPr>
              <w:t xml:space="preserve">Given the importance of labour mobility to Tonga’s economic outlook, </w:t>
            </w:r>
            <w:r w:rsidRPr="00F231EE">
              <w:rPr>
                <w:rFonts w:ascii="Franklin Gothic Book" w:eastAsia="Times New Roman" w:hAnsi="Franklin Gothic Book"/>
                <w:iCs/>
                <w:sz w:val="17"/>
                <w:szCs w:val="17"/>
                <w:lang w:eastAsia="en-US"/>
              </w:rPr>
              <w:t xml:space="preserve">Australia is building </w:t>
            </w:r>
            <w:r>
              <w:rPr>
                <w:rFonts w:ascii="Franklin Gothic Book" w:eastAsia="Times New Roman" w:hAnsi="Franklin Gothic Book"/>
                <w:iCs/>
                <w:sz w:val="17"/>
                <w:szCs w:val="17"/>
                <w:lang w:eastAsia="en-US"/>
              </w:rPr>
              <w:t>on the SWP</w:t>
            </w:r>
            <w:r w:rsidRPr="00F231EE">
              <w:rPr>
                <w:rFonts w:ascii="Franklin Gothic Book" w:eastAsia="Times New Roman" w:hAnsi="Franklin Gothic Book"/>
                <w:iCs/>
                <w:sz w:val="17"/>
                <w:szCs w:val="17"/>
                <w:lang w:eastAsia="en-US"/>
              </w:rPr>
              <w:t xml:space="preserve"> by providing Tongans with vocational tr</w:t>
            </w:r>
            <w:r>
              <w:rPr>
                <w:rFonts w:ascii="Franklin Gothic Book" w:eastAsia="Times New Roman" w:hAnsi="Franklin Gothic Book"/>
                <w:iCs/>
                <w:sz w:val="17"/>
                <w:szCs w:val="17"/>
                <w:lang w:eastAsia="en-US"/>
              </w:rPr>
              <w:t>aining opportunities through the</w:t>
            </w:r>
            <w:r w:rsidRPr="00F231EE">
              <w:rPr>
                <w:rFonts w:ascii="Franklin Gothic Book" w:eastAsia="Times New Roman" w:hAnsi="Franklin Gothic Book"/>
                <w:iCs/>
                <w:sz w:val="17"/>
                <w:szCs w:val="17"/>
                <w:lang w:eastAsia="en-US"/>
              </w:rPr>
              <w:t xml:space="preserve"> aid program, to help Tongans access jobs in Tonga and overseas. </w:t>
            </w:r>
            <w:r>
              <w:rPr>
                <w:rFonts w:ascii="Franklin Gothic Book" w:eastAsia="Times New Roman" w:hAnsi="Franklin Gothic Book"/>
                <w:iCs/>
                <w:sz w:val="17"/>
                <w:szCs w:val="17"/>
                <w:lang w:eastAsia="en-US"/>
              </w:rPr>
              <w:t>It is expected that a</w:t>
            </w:r>
            <w:r w:rsidRPr="00F231EE">
              <w:rPr>
                <w:rFonts w:ascii="Franklin Gothic Book" w:eastAsia="Times New Roman" w:hAnsi="Franklin Gothic Book"/>
                <w:iCs/>
                <w:sz w:val="17"/>
                <w:szCs w:val="17"/>
                <w:lang w:eastAsia="en-US"/>
              </w:rPr>
              <w:t xml:space="preserve"> new managing contractor </w:t>
            </w:r>
            <w:r>
              <w:rPr>
                <w:rFonts w:ascii="Franklin Gothic Book" w:eastAsia="Times New Roman" w:hAnsi="Franklin Gothic Book"/>
                <w:iCs/>
                <w:sz w:val="17"/>
                <w:szCs w:val="17"/>
                <w:lang w:eastAsia="en-US"/>
              </w:rPr>
              <w:t>for the SWP will commence</w:t>
            </w:r>
            <w:r w:rsidRPr="00F231EE">
              <w:rPr>
                <w:rFonts w:ascii="Franklin Gothic Book" w:eastAsia="Times New Roman" w:hAnsi="Franklin Gothic Book"/>
                <w:iCs/>
                <w:sz w:val="17"/>
                <w:szCs w:val="17"/>
                <w:lang w:eastAsia="en-US"/>
              </w:rPr>
              <w:t xml:space="preserve"> work in late 2014</w:t>
            </w:r>
            <w:r>
              <w:rPr>
                <w:rFonts w:ascii="Franklin Gothic Book" w:eastAsia="Times New Roman" w:hAnsi="Franklin Gothic Book"/>
                <w:iCs/>
                <w:sz w:val="17"/>
                <w:szCs w:val="17"/>
                <w:lang w:eastAsia="en-US"/>
              </w:rPr>
              <w:t xml:space="preserve">. Australian </w:t>
            </w:r>
            <w:r w:rsidRPr="00F231EE">
              <w:rPr>
                <w:rFonts w:ascii="Franklin Gothic Book" w:eastAsia="Times New Roman" w:hAnsi="Franklin Gothic Book"/>
                <w:iCs/>
                <w:sz w:val="17"/>
                <w:szCs w:val="17"/>
                <w:lang w:eastAsia="en-US"/>
              </w:rPr>
              <w:t>funding has continued to support the World Bank to provide capacity building to the Tongan government to help them prepare and manage their seasonal workers.</w:t>
            </w:r>
            <w:r>
              <w:rPr>
                <w:rFonts w:ascii="Franklin Gothic Book" w:eastAsia="Times New Roman" w:hAnsi="Franklin Gothic Book"/>
                <w:iCs/>
                <w:sz w:val="17"/>
                <w:szCs w:val="17"/>
                <w:lang w:eastAsia="en-US"/>
              </w:rPr>
              <w:t xml:space="preserve"> </w:t>
            </w:r>
            <w:r w:rsidRPr="00F231EE">
              <w:rPr>
                <w:rFonts w:ascii="Franklin Gothic Book" w:eastAsia="Times New Roman" w:hAnsi="Franklin Gothic Book"/>
                <w:iCs/>
                <w:sz w:val="17"/>
                <w:szCs w:val="17"/>
                <w:lang w:eastAsia="en-US"/>
              </w:rPr>
              <w:t xml:space="preserve"> Tonga's efforts to refine its labour sending and governance arrangements will continue to yield ongoing results for Tonga.   </w:t>
            </w:r>
          </w:p>
        </w:tc>
      </w:tr>
    </w:tbl>
    <w:p w:rsidR="000D733F" w:rsidRPr="00671434" w:rsidRDefault="000D733F" w:rsidP="000D733F">
      <w:pPr>
        <w:pStyle w:val="Note"/>
      </w:pPr>
      <w:r w:rsidRPr="0075352D">
        <w:rPr>
          <w:color w:val="72AF2F"/>
        </w:rPr>
        <w:sym w:font="Webdings" w:char="F067"/>
      </w:r>
      <w:r w:rsidRPr="00FE4491">
        <w:t> </w:t>
      </w:r>
      <w:r w:rsidRPr="00FE4491">
        <w:t xml:space="preserve"> </w:t>
      </w:r>
      <w:r w:rsidRPr="00EA3BAD">
        <w:t>Achieved.</w:t>
      </w:r>
      <w:r w:rsidRPr="00706D30">
        <w:t xml:space="preserve">  Significant progress has been made in addressing </w:t>
      </w:r>
      <w:r>
        <w:t xml:space="preserve">the issue </w:t>
      </w:r>
    </w:p>
    <w:p w:rsidR="000D733F" w:rsidRPr="00EA3BAD" w:rsidRDefault="000D733F" w:rsidP="000D733F">
      <w:pPr>
        <w:pStyle w:val="Note"/>
      </w:pPr>
      <w:r w:rsidRPr="00EA3BAD">
        <w:rPr>
          <w:color w:val="E36C0A"/>
        </w:rPr>
        <w:sym w:font="Webdings" w:char="F067"/>
      </w:r>
      <w:r w:rsidRPr="00EA3BAD">
        <w:t> </w:t>
      </w:r>
      <w:r w:rsidRPr="00EA3BAD">
        <w:t xml:space="preserve"> Partly achieved.  </w:t>
      </w:r>
      <w:r>
        <w:t>Some pr</w:t>
      </w:r>
      <w:r w:rsidRPr="00EA3BAD">
        <w:t xml:space="preserve">ogress </w:t>
      </w:r>
      <w:r>
        <w:t xml:space="preserve">has been made in addressing the issue, but the issue has not been resolved </w:t>
      </w:r>
    </w:p>
    <w:p w:rsidR="000D733F" w:rsidRDefault="000D733F" w:rsidP="000D733F">
      <w:pPr>
        <w:pStyle w:val="Note"/>
      </w:pPr>
      <w:r w:rsidRPr="00EA3BAD">
        <w:rPr>
          <w:color w:val="FF0000"/>
        </w:rPr>
        <w:sym w:font="Webdings" w:char="F067"/>
      </w:r>
      <w:r w:rsidRPr="00EA3BAD">
        <w:t> </w:t>
      </w:r>
      <w:r w:rsidRPr="00EA3BAD">
        <w:t xml:space="preserve"> Not achieved. Progress </w:t>
      </w:r>
      <w:r>
        <w:t xml:space="preserve">in addressing the issue </w:t>
      </w:r>
      <w:r w:rsidRPr="00EA3BAD">
        <w:t>has been significantly below expectations</w:t>
      </w:r>
    </w:p>
    <w:p w:rsidR="000D733F" w:rsidRDefault="000D733F" w:rsidP="000D733F">
      <w:pPr>
        <w:pStyle w:val="BodyText"/>
      </w:pPr>
    </w:p>
    <w:p w:rsidR="002D5FD8" w:rsidRDefault="002D5FD8" w:rsidP="000D733F">
      <w:pPr>
        <w:spacing w:after="200" w:line="276" w:lineRule="auto"/>
        <w:rPr>
          <w:rFonts w:ascii="Franklin Gothic Book" w:hAnsi="Franklin Gothic Book"/>
          <w:sz w:val="21"/>
        </w:rPr>
        <w:sectPr w:rsidR="002D5FD8" w:rsidSect="002D5FD8">
          <w:pgSz w:w="16838" w:h="11906" w:orient="landscape" w:code="9"/>
          <w:pgMar w:top="1814" w:right="1814" w:bottom="851" w:left="851" w:header="709" w:footer="425" w:gutter="0"/>
          <w:cols w:space="708"/>
          <w:docGrid w:linePitch="360"/>
        </w:sectPr>
      </w:pPr>
    </w:p>
    <w:p w:rsidR="00F62BD3" w:rsidRPr="009E38C1" w:rsidRDefault="00F62BD3" w:rsidP="00F62BD3">
      <w:pPr>
        <w:pStyle w:val="Heading2"/>
        <w:tabs>
          <w:tab w:val="left" w:pos="1560"/>
        </w:tabs>
        <w:rPr>
          <w:sz w:val="28"/>
        </w:rPr>
      </w:pPr>
      <w:r w:rsidRPr="009E38C1">
        <w:rPr>
          <w:sz w:val="28"/>
        </w:rPr>
        <w:lastRenderedPageBreak/>
        <w:t>Annex B</w:t>
      </w:r>
      <w:r w:rsidR="00E86976">
        <w:rPr>
          <w:sz w:val="28"/>
        </w:rPr>
        <w:t xml:space="preserve">: </w:t>
      </w:r>
      <w:r w:rsidRPr="009E38C1">
        <w:rPr>
          <w:sz w:val="28"/>
        </w:rPr>
        <w:t>Quality at Implementation ratings</w:t>
      </w:r>
      <w:r w:rsidRPr="009E38C1">
        <w:rPr>
          <w:sz w:val="28"/>
        </w:rPr>
        <w:tab/>
      </w:r>
    </w:p>
    <w:tbl>
      <w:tblPr>
        <w:tblStyle w:val="APPR"/>
        <w:tblpPr w:leftFromText="180" w:rightFromText="180" w:vertAnchor="text" w:horzAnchor="margin" w:tblpY="62"/>
        <w:tblW w:w="4278" w:type="pct"/>
        <w:tblBorders>
          <w:bottom w:val="single" w:sz="4" w:space="0" w:color="auto"/>
        </w:tblBorders>
        <w:tblLayout w:type="fixed"/>
        <w:tblLook w:val="0000" w:firstRow="0" w:lastRow="0" w:firstColumn="0" w:lastColumn="0" w:noHBand="0" w:noVBand="0"/>
      </w:tblPr>
      <w:tblGrid>
        <w:gridCol w:w="2126"/>
        <w:gridCol w:w="35"/>
        <w:gridCol w:w="841"/>
        <w:gridCol w:w="182"/>
        <w:gridCol w:w="655"/>
        <w:gridCol w:w="519"/>
        <w:gridCol w:w="1170"/>
        <w:gridCol w:w="1170"/>
        <w:gridCol w:w="566"/>
        <w:gridCol w:w="604"/>
        <w:gridCol w:w="233"/>
        <w:gridCol w:w="938"/>
        <w:gridCol w:w="709"/>
        <w:gridCol w:w="461"/>
        <w:gridCol w:w="376"/>
        <w:gridCol w:w="840"/>
        <w:gridCol w:w="934"/>
      </w:tblGrid>
      <w:tr w:rsidR="00F62BD3" w:rsidRPr="009D53C4" w:rsidTr="00827018">
        <w:trPr>
          <w:cnfStyle w:val="000000010000" w:firstRow="0" w:lastRow="0" w:firstColumn="0" w:lastColumn="0" w:oddVBand="0" w:evenVBand="0" w:oddHBand="0" w:evenHBand="1" w:firstRowFirstColumn="0" w:firstRowLastColumn="0" w:lastRowFirstColumn="0" w:lastRowLastColumn="0"/>
          <w:trHeight w:val="22"/>
        </w:trPr>
        <w:tc>
          <w:tcPr>
            <w:tcW w:w="2085" w:type="dxa"/>
            <w:textDirection w:val="btLr"/>
          </w:tcPr>
          <w:p w:rsidR="00F62BD3" w:rsidRDefault="00F62BD3" w:rsidP="00827018">
            <w:pPr>
              <w:pStyle w:val="TableTextColumnHeading"/>
              <w:framePr w:hSpace="0" w:wrap="auto" w:vAnchor="margin" w:yAlign="inline"/>
            </w:pPr>
          </w:p>
          <w:p w:rsidR="00F62BD3" w:rsidRDefault="00F62BD3" w:rsidP="00827018">
            <w:pPr>
              <w:pStyle w:val="TableTextColumnHeading"/>
              <w:framePr w:hSpace="0" w:wrap="auto" w:vAnchor="margin" w:yAlign="inline"/>
            </w:pPr>
          </w:p>
          <w:p w:rsidR="00F62BD3" w:rsidRDefault="00F62BD3" w:rsidP="00827018">
            <w:pPr>
              <w:pStyle w:val="TableTextColumnHeading"/>
              <w:framePr w:hSpace="0" w:wrap="auto" w:vAnchor="margin" w:yAlign="inline"/>
            </w:pPr>
          </w:p>
          <w:p w:rsidR="00F62BD3" w:rsidRDefault="00F62BD3" w:rsidP="00827018">
            <w:pPr>
              <w:pStyle w:val="TableTextColumnHeading"/>
              <w:framePr w:hSpace="0" w:wrap="auto" w:vAnchor="margin" w:yAlign="inline"/>
            </w:pPr>
          </w:p>
          <w:p w:rsidR="00F62BD3" w:rsidRPr="001756DA" w:rsidRDefault="00F62BD3" w:rsidP="00827018">
            <w:pPr>
              <w:pStyle w:val="TableTextColumnHeading"/>
              <w:framePr w:hSpace="0" w:wrap="auto" w:vAnchor="margin" w:yAlign="inline"/>
            </w:pPr>
          </w:p>
        </w:tc>
        <w:tc>
          <w:tcPr>
            <w:tcW w:w="848" w:type="dxa"/>
            <w:gridSpan w:val="2"/>
            <w:textDirection w:val="btLr"/>
          </w:tcPr>
          <w:p w:rsidR="00F62BD3" w:rsidRPr="00FE4491" w:rsidRDefault="00F62BD3" w:rsidP="00827018">
            <w:pPr>
              <w:pStyle w:val="TableTextColumnHeading"/>
              <w:framePr w:hSpace="0" w:wrap="auto" w:vAnchor="margin" w:yAlign="inline"/>
            </w:pPr>
          </w:p>
        </w:tc>
        <w:tc>
          <w:tcPr>
            <w:tcW w:w="809" w:type="dxa"/>
            <w:gridSpan w:val="2"/>
            <w:textDirection w:val="btLr"/>
          </w:tcPr>
          <w:p w:rsidR="00F62BD3" w:rsidRPr="00FE4491" w:rsidRDefault="00F62BD3" w:rsidP="00827018">
            <w:pPr>
              <w:pStyle w:val="TableTextColumnHeading"/>
              <w:framePr w:hSpace="0" w:wrap="auto" w:vAnchor="margin" w:yAlign="inline"/>
            </w:pPr>
          </w:p>
        </w:tc>
        <w:tc>
          <w:tcPr>
            <w:tcW w:w="3397" w:type="dxa"/>
            <w:gridSpan w:val="4"/>
            <w:textDirection w:val="btLr"/>
          </w:tcPr>
          <w:p w:rsidR="00F62BD3" w:rsidRPr="00FE4491" w:rsidRDefault="00F62BD3" w:rsidP="00827018">
            <w:pPr>
              <w:pStyle w:val="TableTextColumnHeading"/>
              <w:framePr w:hSpace="0" w:wrap="auto" w:vAnchor="margin" w:yAlign="inline"/>
            </w:pPr>
          </w:p>
        </w:tc>
        <w:tc>
          <w:tcPr>
            <w:tcW w:w="809" w:type="dxa"/>
            <w:gridSpan w:val="2"/>
            <w:textDirection w:val="btLr"/>
          </w:tcPr>
          <w:p w:rsidR="00F62BD3" w:rsidRPr="00FE4491" w:rsidRDefault="00F62BD3" w:rsidP="00827018">
            <w:pPr>
              <w:pStyle w:val="TableTextColumnHeading"/>
              <w:framePr w:hSpace="0" w:wrap="auto" w:vAnchor="margin" w:yAlign="inline"/>
            </w:pPr>
          </w:p>
        </w:tc>
        <w:tc>
          <w:tcPr>
            <w:tcW w:w="1619" w:type="dxa"/>
            <w:gridSpan w:val="2"/>
            <w:textDirection w:val="btLr"/>
          </w:tcPr>
          <w:p w:rsidR="00F62BD3" w:rsidRPr="00FE4491" w:rsidRDefault="00F62BD3" w:rsidP="00827018">
            <w:pPr>
              <w:pStyle w:val="TableTextColumnHeading"/>
              <w:framePr w:hSpace="0" w:wrap="auto" w:vAnchor="margin" w:yAlign="inline"/>
            </w:pPr>
          </w:p>
        </w:tc>
        <w:tc>
          <w:tcPr>
            <w:tcW w:w="809" w:type="dxa"/>
            <w:gridSpan w:val="2"/>
            <w:textDirection w:val="btLr"/>
          </w:tcPr>
          <w:p w:rsidR="00F62BD3" w:rsidRPr="00FE4491" w:rsidRDefault="00F62BD3" w:rsidP="00827018">
            <w:pPr>
              <w:pStyle w:val="TableTextColumnHeading"/>
              <w:framePr w:hSpace="0" w:wrap="auto" w:vAnchor="margin" w:yAlign="inline"/>
            </w:pPr>
          </w:p>
        </w:tc>
        <w:tc>
          <w:tcPr>
            <w:tcW w:w="812" w:type="dxa"/>
            <w:textDirection w:val="btLr"/>
          </w:tcPr>
          <w:p w:rsidR="00F62BD3" w:rsidRPr="00FE4491" w:rsidRDefault="00F62BD3" w:rsidP="00827018">
            <w:pPr>
              <w:pStyle w:val="TableTextColumnHeading"/>
              <w:framePr w:hSpace="0" w:wrap="auto" w:vAnchor="margin" w:yAlign="inline"/>
            </w:pPr>
          </w:p>
        </w:tc>
        <w:tc>
          <w:tcPr>
            <w:tcW w:w="890" w:type="dxa"/>
            <w:textDirection w:val="btLr"/>
          </w:tcPr>
          <w:p w:rsidR="00F62BD3" w:rsidRPr="00FE4491" w:rsidRDefault="00F62BD3" w:rsidP="00827018">
            <w:pPr>
              <w:pStyle w:val="TableTextColumnHeading"/>
              <w:framePr w:hSpace="0" w:wrap="auto" w:vAnchor="margin" w:yAlign="inline"/>
            </w:pPr>
          </w:p>
        </w:tc>
      </w:tr>
      <w:tr w:rsidR="00F62BD3" w:rsidRPr="00D52B35" w:rsidTr="00827018">
        <w:trPr>
          <w:gridAfter w:val="1"/>
          <w:cnfStyle w:val="000000010000" w:firstRow="0" w:lastRow="0" w:firstColumn="0" w:lastColumn="0" w:oddVBand="0" w:evenVBand="0" w:oddHBand="0" w:evenHBand="1" w:firstRowFirstColumn="0" w:firstRowLastColumn="0" w:lastRowFirstColumn="0" w:lastRowLastColumn="0"/>
          <w:wAfter w:w="892" w:type="dxa"/>
          <w:cantSplit/>
          <w:trHeight w:val="1148"/>
        </w:trPr>
        <w:tc>
          <w:tcPr>
            <w:tcW w:w="2120" w:type="dxa"/>
            <w:gridSpan w:val="2"/>
            <w:shd w:val="clear" w:color="auto" w:fill="auto"/>
          </w:tcPr>
          <w:p w:rsidR="00F62BD3" w:rsidRPr="00D52B35" w:rsidRDefault="00F62BD3" w:rsidP="00827018">
            <w:pPr>
              <w:pStyle w:val="TableTextColumnHeading"/>
              <w:framePr w:hSpace="0" w:wrap="auto" w:vAnchor="margin" w:yAlign="inline"/>
              <w:rPr>
                <w:sz w:val="18"/>
                <w:szCs w:val="18"/>
              </w:rPr>
            </w:pPr>
            <w:r w:rsidRPr="00D52B35">
              <w:rPr>
                <w:noProof/>
                <w:sz w:val="18"/>
                <w:szCs w:val="18"/>
                <w:lang w:eastAsia="en-AU"/>
              </w:rPr>
              <w:drawing>
                <wp:anchor distT="0" distB="0" distL="114300" distR="114300" simplePos="0" relativeHeight="251669504" behindDoc="0" locked="0" layoutInCell="1" allowOverlap="1" wp14:anchorId="08DEE21C" wp14:editId="699505A4">
                  <wp:simplePos x="0" y="0"/>
                  <wp:positionH relativeFrom="column">
                    <wp:posOffset>0</wp:posOffset>
                  </wp:positionH>
                  <wp:positionV relativeFrom="paragraph">
                    <wp:posOffset>0</wp:posOffset>
                  </wp:positionV>
                  <wp:extent cx="1857375" cy="228600"/>
                  <wp:effectExtent l="0" t="0" r="9525" b="0"/>
                  <wp:wrapNone/>
                  <wp:docPr id="6" name="Picture 6"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2B35">
              <w:rPr>
                <w:sz w:val="18"/>
                <w:szCs w:val="18"/>
              </w:rPr>
              <w:t>Investment name</w:t>
            </w:r>
          </w:p>
        </w:tc>
        <w:tc>
          <w:tcPr>
            <w:tcW w:w="995" w:type="dxa"/>
            <w:gridSpan w:val="2"/>
            <w:shd w:val="clear" w:color="auto" w:fill="auto"/>
            <w:textDirection w:val="btLr"/>
          </w:tcPr>
          <w:p w:rsidR="00F62BD3" w:rsidRPr="00D52B35" w:rsidRDefault="00F62BD3" w:rsidP="00827018">
            <w:pPr>
              <w:pStyle w:val="TableTextColumnHeading"/>
              <w:framePr w:hSpace="0" w:wrap="auto" w:vAnchor="margin" w:yAlign="inline"/>
              <w:rPr>
                <w:sz w:val="18"/>
                <w:szCs w:val="18"/>
              </w:rPr>
            </w:pPr>
            <w:r w:rsidRPr="00D52B35">
              <w:rPr>
                <w:sz w:val="18"/>
                <w:szCs w:val="18"/>
              </w:rPr>
              <w:t>Approved budget and duration</w:t>
            </w:r>
          </w:p>
        </w:tc>
        <w:tc>
          <w:tcPr>
            <w:tcW w:w="1146" w:type="dxa"/>
            <w:gridSpan w:val="2"/>
            <w:shd w:val="clear" w:color="auto" w:fill="auto"/>
            <w:textDirection w:val="btLr"/>
          </w:tcPr>
          <w:p w:rsidR="00F62BD3" w:rsidRPr="00D52B35" w:rsidRDefault="00F62BD3" w:rsidP="00827018">
            <w:pPr>
              <w:pStyle w:val="TableTextColumnHeading"/>
              <w:framePr w:hSpace="0" w:wrap="auto" w:vAnchor="margin" w:yAlign="inline"/>
              <w:rPr>
                <w:sz w:val="18"/>
                <w:szCs w:val="18"/>
              </w:rPr>
            </w:pPr>
            <w:r w:rsidRPr="00D52B35">
              <w:rPr>
                <w:sz w:val="18"/>
                <w:szCs w:val="18"/>
              </w:rPr>
              <w:t>QaI year</w:t>
            </w:r>
          </w:p>
        </w:tc>
        <w:tc>
          <w:tcPr>
            <w:tcW w:w="1142" w:type="dxa"/>
            <w:shd w:val="clear" w:color="auto" w:fill="auto"/>
            <w:noWrap/>
            <w:textDirection w:val="btLr"/>
          </w:tcPr>
          <w:p w:rsidR="00F62BD3" w:rsidRPr="00D52B35" w:rsidRDefault="00F62BD3" w:rsidP="00827018">
            <w:pPr>
              <w:pStyle w:val="TableTextColumnHeading"/>
              <w:framePr w:hSpace="0" w:wrap="auto" w:vAnchor="margin" w:yAlign="inline"/>
              <w:rPr>
                <w:sz w:val="18"/>
                <w:szCs w:val="18"/>
              </w:rPr>
            </w:pPr>
            <w:r w:rsidRPr="00D52B35">
              <w:rPr>
                <w:sz w:val="18"/>
                <w:szCs w:val="18"/>
              </w:rPr>
              <w:t>Relevance</w:t>
            </w:r>
          </w:p>
        </w:tc>
        <w:tc>
          <w:tcPr>
            <w:tcW w:w="1142" w:type="dxa"/>
            <w:shd w:val="clear" w:color="auto" w:fill="auto"/>
            <w:noWrap/>
            <w:textDirection w:val="btLr"/>
          </w:tcPr>
          <w:p w:rsidR="00F62BD3" w:rsidRPr="00D52B35" w:rsidRDefault="00F62BD3" w:rsidP="00827018">
            <w:pPr>
              <w:pStyle w:val="TableTextColumnHeading"/>
              <w:framePr w:hSpace="0" w:wrap="auto" w:vAnchor="margin" w:yAlign="inline"/>
              <w:rPr>
                <w:sz w:val="18"/>
                <w:szCs w:val="18"/>
              </w:rPr>
            </w:pPr>
            <w:r w:rsidRPr="00D52B35">
              <w:rPr>
                <w:sz w:val="18"/>
                <w:szCs w:val="18"/>
              </w:rPr>
              <w:t>Effectiveness</w:t>
            </w:r>
          </w:p>
        </w:tc>
        <w:tc>
          <w:tcPr>
            <w:tcW w:w="1142" w:type="dxa"/>
            <w:gridSpan w:val="2"/>
            <w:shd w:val="clear" w:color="auto" w:fill="auto"/>
            <w:noWrap/>
            <w:textDirection w:val="btLr"/>
          </w:tcPr>
          <w:p w:rsidR="00F62BD3" w:rsidRPr="00D52B35" w:rsidRDefault="00F62BD3" w:rsidP="00827018">
            <w:pPr>
              <w:pStyle w:val="TableTextColumnHeading"/>
              <w:framePr w:hSpace="0" w:wrap="auto" w:vAnchor="margin" w:yAlign="inline"/>
              <w:rPr>
                <w:sz w:val="18"/>
                <w:szCs w:val="18"/>
              </w:rPr>
            </w:pPr>
            <w:r w:rsidRPr="00D52B35">
              <w:rPr>
                <w:sz w:val="18"/>
                <w:szCs w:val="18"/>
              </w:rPr>
              <w:t>Efficiency</w:t>
            </w:r>
          </w:p>
        </w:tc>
        <w:tc>
          <w:tcPr>
            <w:tcW w:w="1143" w:type="dxa"/>
            <w:gridSpan w:val="2"/>
            <w:shd w:val="clear" w:color="auto" w:fill="auto"/>
            <w:noWrap/>
            <w:textDirection w:val="btLr"/>
          </w:tcPr>
          <w:p w:rsidR="00F62BD3" w:rsidRPr="00D52B35" w:rsidRDefault="00F62BD3" w:rsidP="00827018">
            <w:pPr>
              <w:pStyle w:val="TableTextColumnHeading"/>
              <w:framePr w:hSpace="0" w:wrap="auto" w:vAnchor="margin" w:yAlign="inline"/>
              <w:rPr>
                <w:sz w:val="18"/>
                <w:szCs w:val="18"/>
              </w:rPr>
            </w:pPr>
            <w:r w:rsidRPr="00D52B35">
              <w:rPr>
                <w:sz w:val="18"/>
                <w:szCs w:val="18"/>
              </w:rPr>
              <w:t>Monitoring and Evaluation</w:t>
            </w:r>
          </w:p>
        </w:tc>
        <w:tc>
          <w:tcPr>
            <w:tcW w:w="1142" w:type="dxa"/>
            <w:gridSpan w:val="2"/>
            <w:shd w:val="clear" w:color="auto" w:fill="auto"/>
            <w:noWrap/>
            <w:textDirection w:val="btLr"/>
          </w:tcPr>
          <w:p w:rsidR="00F62BD3" w:rsidRPr="00D52B35" w:rsidRDefault="00F62BD3" w:rsidP="00827018">
            <w:pPr>
              <w:pStyle w:val="TableTextColumnHeading"/>
              <w:framePr w:hSpace="0" w:wrap="auto" w:vAnchor="margin" w:yAlign="inline"/>
              <w:rPr>
                <w:sz w:val="18"/>
                <w:szCs w:val="18"/>
              </w:rPr>
            </w:pPr>
            <w:r w:rsidRPr="00D52B35">
              <w:rPr>
                <w:sz w:val="18"/>
                <w:szCs w:val="18"/>
              </w:rPr>
              <w:t>Sustainability</w:t>
            </w:r>
          </w:p>
        </w:tc>
        <w:tc>
          <w:tcPr>
            <w:tcW w:w="1186" w:type="dxa"/>
            <w:gridSpan w:val="2"/>
            <w:shd w:val="clear" w:color="auto" w:fill="auto"/>
            <w:noWrap/>
            <w:textDirection w:val="btLr"/>
          </w:tcPr>
          <w:p w:rsidR="00F62BD3" w:rsidRPr="00D52B35" w:rsidRDefault="00F62BD3" w:rsidP="00827018">
            <w:pPr>
              <w:pStyle w:val="TableTextColumnHeading"/>
              <w:framePr w:hSpace="0" w:wrap="auto" w:vAnchor="margin" w:yAlign="inline"/>
              <w:rPr>
                <w:sz w:val="18"/>
                <w:szCs w:val="18"/>
              </w:rPr>
            </w:pPr>
            <w:r w:rsidRPr="00D52B35">
              <w:rPr>
                <w:sz w:val="18"/>
                <w:szCs w:val="18"/>
              </w:rPr>
              <w:t>Gender equality</w:t>
            </w:r>
          </w:p>
        </w:tc>
      </w:tr>
    </w:tbl>
    <w:p w:rsidR="00F62BD3" w:rsidRDefault="00F62BD3" w:rsidP="000D733F">
      <w:pPr>
        <w:spacing w:after="200" w:line="276" w:lineRule="auto"/>
      </w:pPr>
    </w:p>
    <w:tbl>
      <w:tblPr>
        <w:tblStyle w:val="APPR"/>
        <w:tblW w:w="4120" w:type="pct"/>
        <w:tblBorders>
          <w:top w:val="none" w:sz="0" w:space="0" w:color="auto"/>
          <w:bottom w:val="none" w:sz="0" w:space="0" w:color="auto"/>
        </w:tblBorders>
        <w:tblLayout w:type="fixed"/>
        <w:tblLook w:val="0000" w:firstRow="0" w:lastRow="0" w:firstColumn="0" w:lastColumn="0" w:noHBand="0" w:noVBand="0"/>
      </w:tblPr>
      <w:tblGrid>
        <w:gridCol w:w="2263"/>
        <w:gridCol w:w="1134"/>
        <w:gridCol w:w="38"/>
        <w:gridCol w:w="103"/>
        <w:gridCol w:w="734"/>
        <w:gridCol w:w="1174"/>
        <w:gridCol w:w="1174"/>
        <w:gridCol w:w="1314"/>
        <w:gridCol w:w="1275"/>
        <w:gridCol w:w="1418"/>
        <w:gridCol w:w="1276"/>
      </w:tblGrid>
      <w:tr w:rsidR="00F62BD3" w:rsidRPr="009D53C4" w:rsidTr="00827018">
        <w:trPr>
          <w:cnfStyle w:val="000000010000" w:firstRow="0" w:lastRow="0" w:firstColumn="0" w:lastColumn="0" w:oddVBand="0" w:evenVBand="0" w:oddHBand="0" w:evenHBand="1" w:firstRowFirstColumn="0" w:firstRowLastColumn="0" w:lastRowFirstColumn="0" w:lastRowLastColumn="0"/>
          <w:cantSplit/>
          <w:trHeight w:val="367"/>
        </w:trPr>
        <w:tc>
          <w:tcPr>
            <w:tcW w:w="2221" w:type="dxa"/>
            <w:shd w:val="clear" w:color="auto" w:fill="auto"/>
          </w:tcPr>
          <w:p w:rsidR="00F62BD3" w:rsidRDefault="00F62BD3" w:rsidP="00827018">
            <w:pPr>
              <w:pStyle w:val="TableTextEntries"/>
            </w:pPr>
            <w:r>
              <w:t>Performance Linked Aid</w:t>
            </w:r>
          </w:p>
        </w:tc>
        <w:tc>
          <w:tcPr>
            <w:tcW w:w="1247" w:type="dxa"/>
            <w:gridSpan w:val="3"/>
            <w:shd w:val="clear" w:color="auto" w:fill="auto"/>
          </w:tcPr>
          <w:p w:rsidR="00F62BD3" w:rsidRDefault="00F62BD3" w:rsidP="00827018">
            <w:pPr>
              <w:pStyle w:val="TableTextEntries"/>
              <w:rPr>
                <w:sz w:val="16"/>
                <w:szCs w:val="16"/>
              </w:rPr>
            </w:pPr>
            <w:r>
              <w:t>$</w:t>
            </w:r>
            <w:r w:rsidRPr="00705FE0">
              <w:rPr>
                <w:sz w:val="16"/>
                <w:szCs w:val="16"/>
              </w:rPr>
              <w:t xml:space="preserve">10 </w:t>
            </w:r>
            <w:r>
              <w:rPr>
                <w:sz w:val="16"/>
                <w:szCs w:val="16"/>
              </w:rPr>
              <w:t xml:space="preserve">million over </w:t>
            </w:r>
          </w:p>
          <w:p w:rsidR="00F62BD3" w:rsidRDefault="00F62BD3" w:rsidP="00827018">
            <w:pPr>
              <w:pStyle w:val="TableTextEntries"/>
            </w:pPr>
          </w:p>
        </w:tc>
        <w:tc>
          <w:tcPr>
            <w:tcW w:w="706" w:type="dxa"/>
            <w:shd w:val="clear" w:color="auto" w:fill="auto"/>
          </w:tcPr>
          <w:p w:rsidR="00F62BD3" w:rsidRPr="00FE4491" w:rsidRDefault="00F62BD3" w:rsidP="00827018">
            <w:pPr>
              <w:pStyle w:val="TableTextEntries"/>
              <w:jc w:val="center"/>
            </w:pPr>
            <w:r>
              <w:t>2013</w:t>
            </w:r>
          </w:p>
        </w:tc>
        <w:tc>
          <w:tcPr>
            <w:tcW w:w="1146" w:type="dxa"/>
            <w:shd w:val="clear" w:color="auto" w:fill="72AF2F"/>
            <w:noWrap/>
          </w:tcPr>
          <w:p w:rsidR="00F62BD3" w:rsidRPr="00FE4491" w:rsidRDefault="00F62BD3" w:rsidP="00827018">
            <w:pPr>
              <w:pStyle w:val="TableTextEntries"/>
              <w:jc w:val="center"/>
            </w:pPr>
            <w:r>
              <w:t>6</w:t>
            </w:r>
          </w:p>
        </w:tc>
        <w:tc>
          <w:tcPr>
            <w:tcW w:w="1146" w:type="dxa"/>
            <w:shd w:val="clear" w:color="auto" w:fill="72AF2F"/>
            <w:noWrap/>
          </w:tcPr>
          <w:p w:rsidR="00F62BD3" w:rsidRDefault="00F62BD3" w:rsidP="00827018">
            <w:pPr>
              <w:pStyle w:val="TableTextEntries"/>
              <w:jc w:val="center"/>
            </w:pPr>
            <w:r>
              <w:t>5</w:t>
            </w:r>
          </w:p>
        </w:tc>
        <w:tc>
          <w:tcPr>
            <w:tcW w:w="1286" w:type="dxa"/>
            <w:shd w:val="clear" w:color="auto" w:fill="72AF2F"/>
            <w:noWrap/>
          </w:tcPr>
          <w:p w:rsidR="00F62BD3" w:rsidRPr="00FE4491" w:rsidRDefault="00F62BD3" w:rsidP="00827018">
            <w:pPr>
              <w:pStyle w:val="TableTextEntries"/>
              <w:jc w:val="center"/>
            </w:pPr>
            <w:r>
              <w:t>5</w:t>
            </w:r>
          </w:p>
        </w:tc>
        <w:tc>
          <w:tcPr>
            <w:tcW w:w="1247" w:type="dxa"/>
            <w:shd w:val="clear" w:color="auto" w:fill="72AF2F"/>
            <w:noWrap/>
          </w:tcPr>
          <w:p w:rsidR="00F62BD3" w:rsidRDefault="00F62BD3" w:rsidP="00827018">
            <w:pPr>
              <w:pStyle w:val="TableTextEntries"/>
              <w:jc w:val="center"/>
            </w:pPr>
            <w:r>
              <w:t>5</w:t>
            </w:r>
          </w:p>
        </w:tc>
        <w:tc>
          <w:tcPr>
            <w:tcW w:w="1390" w:type="dxa"/>
            <w:shd w:val="clear" w:color="auto" w:fill="72AF2F"/>
            <w:noWrap/>
          </w:tcPr>
          <w:p w:rsidR="00F62BD3" w:rsidRDefault="00F62BD3" w:rsidP="00827018">
            <w:pPr>
              <w:pStyle w:val="TableTextEntries"/>
              <w:jc w:val="center"/>
            </w:pPr>
            <w:r>
              <w:t>5</w:t>
            </w:r>
          </w:p>
        </w:tc>
        <w:tc>
          <w:tcPr>
            <w:tcW w:w="1234" w:type="dxa"/>
            <w:shd w:val="clear" w:color="auto" w:fill="FFFF00"/>
            <w:noWrap/>
          </w:tcPr>
          <w:p w:rsidR="00F62BD3" w:rsidRDefault="00F62BD3" w:rsidP="00827018">
            <w:pPr>
              <w:pStyle w:val="TableTextEntries"/>
              <w:jc w:val="center"/>
            </w:pPr>
            <w:r>
              <w:t>4</w:t>
            </w:r>
          </w:p>
        </w:tc>
      </w:tr>
      <w:tr w:rsidR="00A24B9D" w:rsidRPr="009D53C4" w:rsidTr="00A24B9D">
        <w:trPr>
          <w:cnfStyle w:val="000000010000" w:firstRow="0" w:lastRow="0" w:firstColumn="0" w:lastColumn="0" w:oddVBand="0" w:evenVBand="0" w:oddHBand="0" w:evenHBand="1" w:firstRowFirstColumn="0" w:firstRowLastColumn="0" w:lastRowFirstColumn="0" w:lastRowLastColumn="0"/>
          <w:cantSplit/>
          <w:trHeight w:val="367"/>
        </w:trPr>
        <w:tc>
          <w:tcPr>
            <w:tcW w:w="2221" w:type="dxa"/>
            <w:shd w:val="clear" w:color="auto" w:fill="auto"/>
          </w:tcPr>
          <w:p w:rsidR="00A24B9D" w:rsidRDefault="00A24B9D" w:rsidP="00827018">
            <w:pPr>
              <w:pStyle w:val="TableTextEntries"/>
            </w:pPr>
          </w:p>
        </w:tc>
        <w:tc>
          <w:tcPr>
            <w:tcW w:w="1247" w:type="dxa"/>
            <w:gridSpan w:val="3"/>
            <w:shd w:val="clear" w:color="auto" w:fill="auto"/>
          </w:tcPr>
          <w:p w:rsidR="00A24B9D" w:rsidRDefault="00A24B9D" w:rsidP="00827018">
            <w:pPr>
              <w:pStyle w:val="TableTextEntries"/>
            </w:pPr>
          </w:p>
        </w:tc>
        <w:tc>
          <w:tcPr>
            <w:tcW w:w="706" w:type="dxa"/>
            <w:shd w:val="clear" w:color="auto" w:fill="auto"/>
          </w:tcPr>
          <w:p w:rsidR="00A24B9D" w:rsidRDefault="00A24B9D" w:rsidP="00827018">
            <w:pPr>
              <w:pStyle w:val="TableTextEntries"/>
              <w:jc w:val="center"/>
            </w:pPr>
            <w:r>
              <w:t>2012</w:t>
            </w:r>
          </w:p>
        </w:tc>
        <w:tc>
          <w:tcPr>
            <w:tcW w:w="1146" w:type="dxa"/>
            <w:shd w:val="clear" w:color="auto" w:fill="1B9F11"/>
            <w:noWrap/>
          </w:tcPr>
          <w:p w:rsidR="00A24B9D" w:rsidRDefault="00A24B9D" w:rsidP="00827018">
            <w:pPr>
              <w:pStyle w:val="TableTextEntries"/>
              <w:jc w:val="center"/>
            </w:pPr>
            <w:r>
              <w:t>6</w:t>
            </w:r>
          </w:p>
        </w:tc>
        <w:tc>
          <w:tcPr>
            <w:tcW w:w="1146" w:type="dxa"/>
            <w:shd w:val="clear" w:color="auto" w:fill="1B9F11"/>
            <w:noWrap/>
          </w:tcPr>
          <w:p w:rsidR="00A24B9D" w:rsidRDefault="00A24B9D" w:rsidP="00827018">
            <w:pPr>
              <w:pStyle w:val="TableTextEntries"/>
              <w:jc w:val="center"/>
            </w:pPr>
            <w:r>
              <w:t>5</w:t>
            </w:r>
          </w:p>
        </w:tc>
        <w:tc>
          <w:tcPr>
            <w:tcW w:w="1286" w:type="dxa"/>
            <w:shd w:val="clear" w:color="auto" w:fill="1B9F11"/>
            <w:noWrap/>
          </w:tcPr>
          <w:p w:rsidR="00A24B9D" w:rsidRDefault="00A24B9D" w:rsidP="00827018">
            <w:pPr>
              <w:pStyle w:val="TableTextEntries"/>
              <w:jc w:val="center"/>
            </w:pPr>
            <w:r>
              <w:t>5</w:t>
            </w:r>
          </w:p>
        </w:tc>
        <w:tc>
          <w:tcPr>
            <w:tcW w:w="1247" w:type="dxa"/>
            <w:shd w:val="clear" w:color="auto" w:fill="1B9F11"/>
            <w:noWrap/>
          </w:tcPr>
          <w:p w:rsidR="00A24B9D" w:rsidRDefault="00A24B9D" w:rsidP="00827018">
            <w:pPr>
              <w:pStyle w:val="TableTextEntries"/>
              <w:jc w:val="center"/>
            </w:pPr>
            <w:r>
              <w:t>5</w:t>
            </w:r>
          </w:p>
        </w:tc>
        <w:tc>
          <w:tcPr>
            <w:tcW w:w="1390" w:type="dxa"/>
            <w:shd w:val="clear" w:color="auto" w:fill="1B9F11"/>
            <w:noWrap/>
          </w:tcPr>
          <w:p w:rsidR="00A24B9D" w:rsidRDefault="00A24B9D" w:rsidP="00827018">
            <w:pPr>
              <w:pStyle w:val="TableTextEntries"/>
              <w:jc w:val="center"/>
            </w:pPr>
            <w:r>
              <w:t>5</w:t>
            </w:r>
          </w:p>
        </w:tc>
        <w:tc>
          <w:tcPr>
            <w:tcW w:w="1234" w:type="dxa"/>
            <w:shd w:val="clear" w:color="auto" w:fill="FFFF00"/>
            <w:noWrap/>
          </w:tcPr>
          <w:p w:rsidR="00A24B9D" w:rsidRDefault="00A24B9D" w:rsidP="00827018">
            <w:pPr>
              <w:pStyle w:val="TableTextEntries"/>
              <w:jc w:val="center"/>
            </w:pPr>
            <w:r>
              <w:t>4</w:t>
            </w:r>
          </w:p>
        </w:tc>
      </w:tr>
      <w:tr w:rsidR="00F62BD3" w:rsidRPr="009D53C4" w:rsidTr="007808C6">
        <w:trPr>
          <w:cnfStyle w:val="000000010000" w:firstRow="0" w:lastRow="0" w:firstColumn="0" w:lastColumn="0" w:oddVBand="0" w:evenVBand="0" w:oddHBand="0" w:evenHBand="1" w:firstRowFirstColumn="0" w:firstRowLastColumn="0" w:lastRowFirstColumn="0" w:lastRowLastColumn="0"/>
          <w:cantSplit/>
          <w:trHeight w:val="596"/>
        </w:trPr>
        <w:tc>
          <w:tcPr>
            <w:tcW w:w="2221" w:type="dxa"/>
          </w:tcPr>
          <w:p w:rsidR="00F62BD3" w:rsidRDefault="00F62BD3" w:rsidP="00827018">
            <w:pPr>
              <w:pStyle w:val="TableTextEntries"/>
            </w:pPr>
            <w:r>
              <w:t>Economic and Public Sector Reform Program</w:t>
            </w:r>
            <w:r w:rsidR="00643ACC">
              <w:rPr>
                <w:rStyle w:val="FootnoteReference"/>
              </w:rPr>
              <w:footnoteReference w:id="19"/>
            </w:r>
            <w:r>
              <w:t xml:space="preserve"> </w:t>
            </w:r>
          </w:p>
        </w:tc>
        <w:tc>
          <w:tcPr>
            <w:tcW w:w="1144" w:type="dxa"/>
            <w:gridSpan w:val="2"/>
          </w:tcPr>
          <w:p w:rsidR="00F62BD3" w:rsidRPr="000C0449" w:rsidRDefault="00F62BD3" w:rsidP="00827018">
            <w:pPr>
              <w:pStyle w:val="TableTextEntries"/>
              <w:rPr>
                <w:sz w:val="16"/>
                <w:szCs w:val="16"/>
              </w:rPr>
            </w:pPr>
            <w:r w:rsidRPr="00A80456">
              <w:rPr>
                <w:sz w:val="16"/>
                <w:szCs w:val="16"/>
              </w:rPr>
              <w:t xml:space="preserve">$13,083,255 </w:t>
            </w:r>
            <w:r w:rsidRPr="000C0449">
              <w:rPr>
                <w:sz w:val="16"/>
                <w:szCs w:val="16"/>
              </w:rPr>
              <w:t xml:space="preserve">up to </w:t>
            </w:r>
          </w:p>
          <w:p w:rsidR="00F62BD3" w:rsidRPr="00A80456" w:rsidRDefault="00F62BD3" w:rsidP="00827018">
            <w:pPr>
              <w:pStyle w:val="TableTextEntries"/>
              <w:rPr>
                <w:sz w:val="16"/>
                <w:szCs w:val="16"/>
              </w:rPr>
            </w:pPr>
            <w:r w:rsidRPr="000C0449">
              <w:rPr>
                <w:sz w:val="16"/>
                <w:szCs w:val="16"/>
              </w:rPr>
              <w:t>10 years</w:t>
            </w:r>
          </w:p>
        </w:tc>
        <w:tc>
          <w:tcPr>
            <w:tcW w:w="809" w:type="dxa"/>
            <w:gridSpan w:val="2"/>
          </w:tcPr>
          <w:p w:rsidR="00F62BD3" w:rsidRDefault="00F62BD3" w:rsidP="00827018">
            <w:pPr>
              <w:pStyle w:val="TableTextEntries"/>
              <w:jc w:val="center"/>
            </w:pPr>
            <w:r>
              <w:t>2013</w:t>
            </w:r>
          </w:p>
        </w:tc>
        <w:tc>
          <w:tcPr>
            <w:tcW w:w="1146" w:type="dxa"/>
            <w:shd w:val="clear" w:color="auto" w:fill="72AF2F"/>
            <w:noWrap/>
          </w:tcPr>
          <w:p w:rsidR="00F62BD3" w:rsidRDefault="00F62BD3" w:rsidP="00827018">
            <w:pPr>
              <w:pStyle w:val="TableTextEntries"/>
              <w:jc w:val="center"/>
            </w:pPr>
            <w:r>
              <w:t>5</w:t>
            </w:r>
          </w:p>
        </w:tc>
        <w:tc>
          <w:tcPr>
            <w:tcW w:w="1146" w:type="dxa"/>
            <w:shd w:val="clear" w:color="auto" w:fill="FFFF00"/>
            <w:noWrap/>
          </w:tcPr>
          <w:p w:rsidR="00F62BD3" w:rsidRDefault="00F62BD3" w:rsidP="00827018">
            <w:pPr>
              <w:pStyle w:val="TableTextEntries"/>
              <w:jc w:val="center"/>
            </w:pPr>
            <w:r>
              <w:t>4</w:t>
            </w:r>
          </w:p>
        </w:tc>
        <w:tc>
          <w:tcPr>
            <w:tcW w:w="1286" w:type="dxa"/>
            <w:shd w:val="clear" w:color="auto" w:fill="FFFF00"/>
            <w:noWrap/>
          </w:tcPr>
          <w:p w:rsidR="00F62BD3" w:rsidRDefault="00F62BD3" w:rsidP="00827018">
            <w:pPr>
              <w:pStyle w:val="TableTextEntries"/>
              <w:jc w:val="center"/>
            </w:pPr>
            <w:r>
              <w:t>4</w:t>
            </w:r>
          </w:p>
        </w:tc>
        <w:tc>
          <w:tcPr>
            <w:tcW w:w="1247" w:type="dxa"/>
            <w:shd w:val="clear" w:color="auto" w:fill="F79646" w:themeFill="accent6"/>
            <w:noWrap/>
          </w:tcPr>
          <w:p w:rsidR="00F62BD3" w:rsidRDefault="00F62BD3" w:rsidP="00827018">
            <w:pPr>
              <w:pStyle w:val="TableTextEntries"/>
              <w:jc w:val="center"/>
            </w:pPr>
            <w:r>
              <w:t>3</w:t>
            </w:r>
          </w:p>
        </w:tc>
        <w:tc>
          <w:tcPr>
            <w:tcW w:w="1390" w:type="dxa"/>
            <w:shd w:val="clear" w:color="auto" w:fill="72AF2F"/>
            <w:noWrap/>
          </w:tcPr>
          <w:p w:rsidR="00F62BD3" w:rsidRDefault="00F62BD3" w:rsidP="00827018">
            <w:pPr>
              <w:pStyle w:val="TableTextEntries"/>
              <w:jc w:val="center"/>
            </w:pPr>
            <w:r>
              <w:t>4</w:t>
            </w:r>
          </w:p>
        </w:tc>
        <w:tc>
          <w:tcPr>
            <w:tcW w:w="1234" w:type="dxa"/>
            <w:shd w:val="clear" w:color="auto" w:fill="F79646" w:themeFill="accent6"/>
            <w:noWrap/>
          </w:tcPr>
          <w:p w:rsidR="00F62BD3" w:rsidRDefault="00F62BD3" w:rsidP="00827018">
            <w:pPr>
              <w:pStyle w:val="TableTextEntries"/>
              <w:jc w:val="center"/>
            </w:pPr>
            <w:r>
              <w:t>3</w:t>
            </w:r>
          </w:p>
        </w:tc>
      </w:tr>
      <w:tr w:rsidR="0010085A" w:rsidRPr="009D53C4" w:rsidTr="00C17BE1">
        <w:trPr>
          <w:cnfStyle w:val="000000010000" w:firstRow="0" w:lastRow="0" w:firstColumn="0" w:lastColumn="0" w:oddVBand="0" w:evenVBand="0" w:oddHBand="0" w:evenHBand="1" w:firstRowFirstColumn="0" w:firstRowLastColumn="0" w:lastRowFirstColumn="0" w:lastRowLastColumn="0"/>
          <w:cantSplit/>
          <w:trHeight w:val="598"/>
        </w:trPr>
        <w:tc>
          <w:tcPr>
            <w:tcW w:w="2221" w:type="dxa"/>
          </w:tcPr>
          <w:p w:rsidR="0010085A" w:rsidRDefault="0010085A" w:rsidP="00827018">
            <w:pPr>
              <w:pStyle w:val="TableTextEntries"/>
            </w:pPr>
          </w:p>
        </w:tc>
        <w:tc>
          <w:tcPr>
            <w:tcW w:w="1144" w:type="dxa"/>
            <w:gridSpan w:val="2"/>
          </w:tcPr>
          <w:p w:rsidR="0010085A" w:rsidRPr="00A80456" w:rsidRDefault="0010085A" w:rsidP="00827018">
            <w:pPr>
              <w:pStyle w:val="TableTextEntries"/>
              <w:rPr>
                <w:sz w:val="16"/>
                <w:szCs w:val="16"/>
              </w:rPr>
            </w:pPr>
          </w:p>
        </w:tc>
        <w:tc>
          <w:tcPr>
            <w:tcW w:w="809" w:type="dxa"/>
            <w:gridSpan w:val="2"/>
          </w:tcPr>
          <w:p w:rsidR="0010085A" w:rsidRDefault="0010085A" w:rsidP="00827018">
            <w:pPr>
              <w:pStyle w:val="TableTextEntries"/>
              <w:jc w:val="center"/>
            </w:pPr>
            <w:r>
              <w:t>2012</w:t>
            </w:r>
          </w:p>
        </w:tc>
        <w:tc>
          <w:tcPr>
            <w:tcW w:w="1146" w:type="dxa"/>
            <w:shd w:val="clear" w:color="auto" w:fill="69A12B"/>
            <w:noWrap/>
          </w:tcPr>
          <w:p w:rsidR="0010085A" w:rsidRDefault="00F234E1" w:rsidP="00827018">
            <w:pPr>
              <w:pStyle w:val="TableTextEntries"/>
              <w:jc w:val="center"/>
            </w:pPr>
            <w:r>
              <w:t>5</w:t>
            </w:r>
          </w:p>
        </w:tc>
        <w:tc>
          <w:tcPr>
            <w:tcW w:w="1146" w:type="dxa"/>
            <w:shd w:val="clear" w:color="auto" w:fill="FFFF00"/>
            <w:noWrap/>
          </w:tcPr>
          <w:p w:rsidR="0010085A" w:rsidRDefault="00F234E1" w:rsidP="00827018">
            <w:pPr>
              <w:pStyle w:val="TableTextEntries"/>
              <w:jc w:val="center"/>
            </w:pPr>
            <w:r>
              <w:t>4</w:t>
            </w:r>
          </w:p>
        </w:tc>
        <w:tc>
          <w:tcPr>
            <w:tcW w:w="1286" w:type="dxa"/>
            <w:shd w:val="clear" w:color="auto" w:fill="FF9933"/>
            <w:noWrap/>
          </w:tcPr>
          <w:p w:rsidR="0010085A" w:rsidRDefault="00F234E1" w:rsidP="00827018">
            <w:pPr>
              <w:pStyle w:val="TableTextEntries"/>
              <w:jc w:val="center"/>
            </w:pPr>
            <w:r>
              <w:t>3</w:t>
            </w:r>
          </w:p>
        </w:tc>
        <w:tc>
          <w:tcPr>
            <w:tcW w:w="1247" w:type="dxa"/>
            <w:shd w:val="clear" w:color="auto" w:fill="FFFF00"/>
            <w:noWrap/>
          </w:tcPr>
          <w:p w:rsidR="0010085A" w:rsidRDefault="00F234E1" w:rsidP="00827018">
            <w:pPr>
              <w:pStyle w:val="TableTextEntries"/>
              <w:jc w:val="center"/>
            </w:pPr>
            <w:r>
              <w:t>4</w:t>
            </w:r>
          </w:p>
        </w:tc>
        <w:tc>
          <w:tcPr>
            <w:tcW w:w="1390" w:type="dxa"/>
            <w:shd w:val="clear" w:color="auto" w:fill="FF9933"/>
            <w:noWrap/>
          </w:tcPr>
          <w:p w:rsidR="0010085A" w:rsidRDefault="00F234E1" w:rsidP="00827018">
            <w:pPr>
              <w:pStyle w:val="TableTextEntries"/>
              <w:jc w:val="center"/>
            </w:pPr>
            <w:r>
              <w:t>3</w:t>
            </w:r>
          </w:p>
        </w:tc>
        <w:tc>
          <w:tcPr>
            <w:tcW w:w="1234" w:type="dxa"/>
            <w:shd w:val="clear" w:color="auto" w:fill="FF9933"/>
            <w:noWrap/>
          </w:tcPr>
          <w:p w:rsidR="0010085A" w:rsidRDefault="00F234E1" w:rsidP="00827018">
            <w:pPr>
              <w:pStyle w:val="TableTextEntries"/>
              <w:jc w:val="center"/>
            </w:pPr>
            <w:r>
              <w:t>3</w:t>
            </w:r>
          </w:p>
        </w:tc>
      </w:tr>
      <w:tr w:rsidR="00F62BD3" w:rsidRPr="009D53C4" w:rsidTr="00827018">
        <w:trPr>
          <w:cnfStyle w:val="000000010000" w:firstRow="0" w:lastRow="0" w:firstColumn="0" w:lastColumn="0" w:oddVBand="0" w:evenVBand="0" w:oddHBand="0" w:evenHBand="1" w:firstRowFirstColumn="0" w:firstRowLastColumn="0" w:lastRowFirstColumn="0" w:lastRowLastColumn="0"/>
          <w:cantSplit/>
          <w:trHeight w:val="424"/>
        </w:trPr>
        <w:tc>
          <w:tcPr>
            <w:tcW w:w="2221" w:type="dxa"/>
          </w:tcPr>
          <w:p w:rsidR="00F62BD3" w:rsidRDefault="00F62BD3" w:rsidP="00827018">
            <w:pPr>
              <w:pStyle w:val="TableTextEntries"/>
            </w:pPr>
            <w:r>
              <w:t>Tonga Governance Strengthening Program</w:t>
            </w:r>
          </w:p>
        </w:tc>
        <w:tc>
          <w:tcPr>
            <w:tcW w:w="1144" w:type="dxa"/>
            <w:gridSpan w:val="2"/>
          </w:tcPr>
          <w:p w:rsidR="00F62BD3" w:rsidRPr="00A80456" w:rsidRDefault="00F62BD3" w:rsidP="00827018">
            <w:pPr>
              <w:pStyle w:val="TableTextEntries"/>
              <w:rPr>
                <w:sz w:val="16"/>
                <w:szCs w:val="16"/>
              </w:rPr>
            </w:pPr>
            <w:r w:rsidRPr="00A80456">
              <w:rPr>
                <w:sz w:val="16"/>
                <w:szCs w:val="16"/>
              </w:rPr>
              <w:t>$3.8 million over 3 years</w:t>
            </w:r>
          </w:p>
        </w:tc>
        <w:tc>
          <w:tcPr>
            <w:tcW w:w="809" w:type="dxa"/>
            <w:gridSpan w:val="2"/>
          </w:tcPr>
          <w:p w:rsidR="00F62BD3" w:rsidRDefault="00F62BD3" w:rsidP="00827018">
            <w:pPr>
              <w:pStyle w:val="TableTextEntries"/>
              <w:jc w:val="center"/>
            </w:pPr>
            <w:r>
              <w:t>2013</w:t>
            </w:r>
          </w:p>
        </w:tc>
        <w:tc>
          <w:tcPr>
            <w:tcW w:w="1146" w:type="dxa"/>
            <w:shd w:val="clear" w:color="auto" w:fill="72AF2F"/>
            <w:noWrap/>
          </w:tcPr>
          <w:p w:rsidR="00F62BD3" w:rsidRDefault="00F62BD3" w:rsidP="00827018">
            <w:pPr>
              <w:pStyle w:val="TableTextEntries"/>
              <w:jc w:val="center"/>
            </w:pPr>
            <w:r>
              <w:t>6</w:t>
            </w:r>
          </w:p>
        </w:tc>
        <w:tc>
          <w:tcPr>
            <w:tcW w:w="1146" w:type="dxa"/>
            <w:shd w:val="clear" w:color="auto" w:fill="FFFF00"/>
            <w:noWrap/>
          </w:tcPr>
          <w:p w:rsidR="00F62BD3" w:rsidRDefault="00F62BD3" w:rsidP="00827018">
            <w:pPr>
              <w:pStyle w:val="TableTextEntries"/>
              <w:jc w:val="center"/>
            </w:pPr>
            <w:r>
              <w:t>4</w:t>
            </w:r>
          </w:p>
        </w:tc>
        <w:tc>
          <w:tcPr>
            <w:tcW w:w="1286" w:type="dxa"/>
            <w:shd w:val="clear" w:color="auto" w:fill="FFFF00"/>
            <w:noWrap/>
          </w:tcPr>
          <w:p w:rsidR="00F62BD3" w:rsidRDefault="00F62BD3" w:rsidP="00827018">
            <w:pPr>
              <w:pStyle w:val="TableTextEntries"/>
              <w:jc w:val="center"/>
            </w:pPr>
            <w:r>
              <w:t>4</w:t>
            </w:r>
          </w:p>
        </w:tc>
        <w:tc>
          <w:tcPr>
            <w:tcW w:w="1247" w:type="dxa"/>
            <w:shd w:val="clear" w:color="auto" w:fill="FFFF00"/>
            <w:noWrap/>
          </w:tcPr>
          <w:p w:rsidR="00F62BD3" w:rsidRDefault="00F62BD3" w:rsidP="00827018">
            <w:pPr>
              <w:pStyle w:val="TableTextEntries"/>
              <w:jc w:val="center"/>
            </w:pPr>
            <w:r>
              <w:t>4</w:t>
            </w:r>
          </w:p>
        </w:tc>
        <w:tc>
          <w:tcPr>
            <w:tcW w:w="1390" w:type="dxa"/>
            <w:shd w:val="clear" w:color="auto" w:fill="FFFF00"/>
            <w:noWrap/>
          </w:tcPr>
          <w:p w:rsidR="00F62BD3" w:rsidRDefault="00F62BD3" w:rsidP="00827018">
            <w:pPr>
              <w:pStyle w:val="TableTextEntries"/>
              <w:jc w:val="center"/>
            </w:pPr>
            <w:r>
              <w:t>4</w:t>
            </w:r>
          </w:p>
        </w:tc>
        <w:tc>
          <w:tcPr>
            <w:tcW w:w="1234" w:type="dxa"/>
            <w:shd w:val="clear" w:color="auto" w:fill="FFFF00"/>
            <w:noWrap/>
          </w:tcPr>
          <w:p w:rsidR="00F62BD3" w:rsidRDefault="00F62BD3" w:rsidP="00827018">
            <w:pPr>
              <w:pStyle w:val="TableTextEntries"/>
              <w:jc w:val="center"/>
            </w:pPr>
            <w:r>
              <w:t>4</w:t>
            </w:r>
          </w:p>
        </w:tc>
      </w:tr>
      <w:tr w:rsidR="00F62BD3" w:rsidRPr="009D53C4" w:rsidTr="007808C6">
        <w:trPr>
          <w:cnfStyle w:val="000000010000" w:firstRow="0" w:lastRow="0" w:firstColumn="0" w:lastColumn="0" w:oddVBand="0" w:evenVBand="0" w:oddHBand="0" w:evenHBand="1" w:firstRowFirstColumn="0" w:firstRowLastColumn="0" w:lastRowFirstColumn="0" w:lastRowLastColumn="0"/>
          <w:cantSplit/>
          <w:trHeight w:val="551"/>
        </w:trPr>
        <w:tc>
          <w:tcPr>
            <w:tcW w:w="2221" w:type="dxa"/>
          </w:tcPr>
          <w:p w:rsidR="00F62BD3" w:rsidRDefault="00F62BD3" w:rsidP="00827018">
            <w:pPr>
              <w:pStyle w:val="TableTextEntries"/>
            </w:pPr>
            <w:r>
              <w:t>Tonga Business Recovery Program</w:t>
            </w:r>
          </w:p>
        </w:tc>
        <w:tc>
          <w:tcPr>
            <w:tcW w:w="1144" w:type="dxa"/>
            <w:gridSpan w:val="2"/>
          </w:tcPr>
          <w:p w:rsidR="00F62BD3" w:rsidRPr="00A80456" w:rsidRDefault="00F62BD3" w:rsidP="00827018">
            <w:pPr>
              <w:pStyle w:val="TableTextEntries"/>
              <w:rPr>
                <w:sz w:val="16"/>
                <w:szCs w:val="16"/>
              </w:rPr>
            </w:pPr>
            <w:r w:rsidRPr="00A80456">
              <w:rPr>
                <w:sz w:val="16"/>
                <w:szCs w:val="16"/>
              </w:rPr>
              <w:t>$5,979 012 over  25 years</w:t>
            </w:r>
          </w:p>
        </w:tc>
        <w:tc>
          <w:tcPr>
            <w:tcW w:w="809" w:type="dxa"/>
            <w:gridSpan w:val="2"/>
          </w:tcPr>
          <w:p w:rsidR="00F62BD3" w:rsidRDefault="00F62BD3" w:rsidP="00827018">
            <w:pPr>
              <w:pStyle w:val="TableTextEntries"/>
              <w:jc w:val="center"/>
            </w:pPr>
            <w:r>
              <w:t>2013</w:t>
            </w:r>
          </w:p>
        </w:tc>
        <w:tc>
          <w:tcPr>
            <w:tcW w:w="1146" w:type="dxa"/>
            <w:shd w:val="clear" w:color="auto" w:fill="FFFF00"/>
            <w:noWrap/>
          </w:tcPr>
          <w:p w:rsidR="00F62BD3" w:rsidRDefault="00F62BD3" w:rsidP="00827018">
            <w:pPr>
              <w:pStyle w:val="TableTextEntries"/>
              <w:jc w:val="center"/>
            </w:pPr>
            <w:r>
              <w:t>4</w:t>
            </w:r>
          </w:p>
        </w:tc>
        <w:tc>
          <w:tcPr>
            <w:tcW w:w="1146" w:type="dxa"/>
            <w:shd w:val="clear" w:color="auto" w:fill="FFFF00"/>
            <w:noWrap/>
          </w:tcPr>
          <w:p w:rsidR="00F62BD3" w:rsidRDefault="00F62BD3" w:rsidP="00827018">
            <w:pPr>
              <w:pStyle w:val="TableTextEntries"/>
              <w:jc w:val="center"/>
            </w:pPr>
            <w:r>
              <w:t>4</w:t>
            </w:r>
          </w:p>
        </w:tc>
        <w:tc>
          <w:tcPr>
            <w:tcW w:w="1286" w:type="dxa"/>
            <w:shd w:val="clear" w:color="auto" w:fill="F79646" w:themeFill="accent6"/>
            <w:noWrap/>
          </w:tcPr>
          <w:p w:rsidR="00F62BD3" w:rsidRDefault="00F62BD3" w:rsidP="00827018">
            <w:pPr>
              <w:pStyle w:val="TableTextEntries"/>
              <w:jc w:val="center"/>
            </w:pPr>
            <w:r>
              <w:t>3</w:t>
            </w:r>
          </w:p>
        </w:tc>
        <w:tc>
          <w:tcPr>
            <w:tcW w:w="1247" w:type="dxa"/>
            <w:shd w:val="clear" w:color="auto" w:fill="FF0000"/>
            <w:noWrap/>
          </w:tcPr>
          <w:p w:rsidR="00F62BD3" w:rsidRDefault="00F62BD3" w:rsidP="00827018">
            <w:pPr>
              <w:pStyle w:val="TableTextEntries"/>
              <w:jc w:val="center"/>
            </w:pPr>
            <w:r>
              <w:t>2</w:t>
            </w:r>
          </w:p>
        </w:tc>
        <w:tc>
          <w:tcPr>
            <w:tcW w:w="1390" w:type="dxa"/>
            <w:shd w:val="clear" w:color="auto" w:fill="F79646" w:themeFill="accent6"/>
            <w:noWrap/>
          </w:tcPr>
          <w:p w:rsidR="00F62BD3" w:rsidRDefault="00F62BD3" w:rsidP="00827018">
            <w:pPr>
              <w:pStyle w:val="TableTextEntries"/>
              <w:jc w:val="center"/>
            </w:pPr>
            <w:r>
              <w:t>3</w:t>
            </w:r>
          </w:p>
        </w:tc>
        <w:tc>
          <w:tcPr>
            <w:tcW w:w="1234" w:type="dxa"/>
            <w:shd w:val="clear" w:color="auto" w:fill="F79646" w:themeFill="accent6"/>
            <w:noWrap/>
          </w:tcPr>
          <w:p w:rsidR="00F62BD3" w:rsidRDefault="00F62BD3" w:rsidP="00827018">
            <w:pPr>
              <w:pStyle w:val="TableTextEntries"/>
              <w:jc w:val="center"/>
            </w:pPr>
            <w:r>
              <w:t>3</w:t>
            </w:r>
          </w:p>
        </w:tc>
      </w:tr>
      <w:tr w:rsidR="0010085A" w:rsidRPr="009D53C4" w:rsidTr="00FB4AA0">
        <w:trPr>
          <w:cnfStyle w:val="000000010000" w:firstRow="0" w:lastRow="0" w:firstColumn="0" w:lastColumn="0" w:oddVBand="0" w:evenVBand="0" w:oddHBand="0" w:evenHBand="1" w:firstRowFirstColumn="0" w:firstRowLastColumn="0" w:lastRowFirstColumn="0" w:lastRowLastColumn="0"/>
          <w:cantSplit/>
          <w:trHeight w:val="629"/>
        </w:trPr>
        <w:tc>
          <w:tcPr>
            <w:tcW w:w="2221" w:type="dxa"/>
          </w:tcPr>
          <w:p w:rsidR="0010085A" w:rsidRDefault="0010085A" w:rsidP="00827018">
            <w:pPr>
              <w:pStyle w:val="TableTextEntries"/>
            </w:pPr>
          </w:p>
        </w:tc>
        <w:tc>
          <w:tcPr>
            <w:tcW w:w="1144" w:type="dxa"/>
            <w:gridSpan w:val="2"/>
          </w:tcPr>
          <w:p w:rsidR="0010085A" w:rsidRPr="00A80456" w:rsidRDefault="0010085A" w:rsidP="00827018">
            <w:pPr>
              <w:pStyle w:val="TableTextEntries"/>
              <w:rPr>
                <w:sz w:val="16"/>
                <w:szCs w:val="16"/>
              </w:rPr>
            </w:pPr>
          </w:p>
        </w:tc>
        <w:tc>
          <w:tcPr>
            <w:tcW w:w="809" w:type="dxa"/>
            <w:gridSpan w:val="2"/>
          </w:tcPr>
          <w:p w:rsidR="0010085A" w:rsidRDefault="0010085A" w:rsidP="00827018">
            <w:pPr>
              <w:pStyle w:val="TableTextEntries"/>
              <w:jc w:val="center"/>
            </w:pPr>
            <w:r>
              <w:t>2012</w:t>
            </w:r>
          </w:p>
        </w:tc>
        <w:tc>
          <w:tcPr>
            <w:tcW w:w="1146" w:type="dxa"/>
            <w:shd w:val="clear" w:color="auto" w:fill="FF9933"/>
            <w:noWrap/>
          </w:tcPr>
          <w:p w:rsidR="0010085A" w:rsidRPr="00FB4AA0" w:rsidRDefault="00FB4AA0" w:rsidP="00827018">
            <w:pPr>
              <w:pStyle w:val="TableTextEntries"/>
              <w:jc w:val="center"/>
            </w:pPr>
            <w:r w:rsidRPr="00FB4AA0">
              <w:t>3</w:t>
            </w:r>
          </w:p>
        </w:tc>
        <w:tc>
          <w:tcPr>
            <w:tcW w:w="1146" w:type="dxa"/>
            <w:shd w:val="clear" w:color="auto" w:fill="FF9933"/>
            <w:noWrap/>
          </w:tcPr>
          <w:p w:rsidR="0010085A" w:rsidRPr="00FB4AA0" w:rsidRDefault="00FB4AA0" w:rsidP="00827018">
            <w:pPr>
              <w:pStyle w:val="TableTextEntries"/>
              <w:jc w:val="center"/>
            </w:pPr>
            <w:r w:rsidRPr="00FB4AA0">
              <w:t>3</w:t>
            </w:r>
          </w:p>
        </w:tc>
        <w:tc>
          <w:tcPr>
            <w:tcW w:w="1286" w:type="dxa"/>
            <w:shd w:val="clear" w:color="auto" w:fill="FF9933"/>
            <w:noWrap/>
          </w:tcPr>
          <w:p w:rsidR="0010085A" w:rsidRDefault="00FB4AA0" w:rsidP="00827018">
            <w:pPr>
              <w:pStyle w:val="TableTextEntries"/>
              <w:jc w:val="center"/>
            </w:pPr>
            <w:r>
              <w:t>3</w:t>
            </w:r>
          </w:p>
        </w:tc>
        <w:tc>
          <w:tcPr>
            <w:tcW w:w="1247" w:type="dxa"/>
            <w:shd w:val="clear" w:color="auto" w:fill="FF9933"/>
            <w:noWrap/>
          </w:tcPr>
          <w:p w:rsidR="0010085A" w:rsidRPr="00FB4AA0" w:rsidRDefault="00FB4AA0" w:rsidP="00827018">
            <w:pPr>
              <w:pStyle w:val="TableTextEntries"/>
              <w:jc w:val="center"/>
              <w:rPr>
                <w:color w:val="FFC000"/>
              </w:rPr>
            </w:pPr>
            <w:r>
              <w:t>3</w:t>
            </w:r>
          </w:p>
        </w:tc>
        <w:tc>
          <w:tcPr>
            <w:tcW w:w="1390" w:type="dxa"/>
            <w:shd w:val="clear" w:color="auto" w:fill="FF9933"/>
            <w:noWrap/>
          </w:tcPr>
          <w:p w:rsidR="0010085A" w:rsidRDefault="00FB4AA0" w:rsidP="00827018">
            <w:pPr>
              <w:pStyle w:val="TableTextEntries"/>
              <w:jc w:val="center"/>
            </w:pPr>
            <w:r>
              <w:t>3</w:t>
            </w:r>
          </w:p>
        </w:tc>
        <w:tc>
          <w:tcPr>
            <w:tcW w:w="1234" w:type="dxa"/>
            <w:shd w:val="clear" w:color="auto" w:fill="FFFF00"/>
            <w:noWrap/>
          </w:tcPr>
          <w:p w:rsidR="0010085A" w:rsidRDefault="00FB4AA0" w:rsidP="00827018">
            <w:pPr>
              <w:pStyle w:val="TableTextEntries"/>
              <w:jc w:val="center"/>
            </w:pPr>
            <w:r>
              <w:t>4</w:t>
            </w:r>
          </w:p>
        </w:tc>
      </w:tr>
      <w:tr w:rsidR="00F62BD3" w:rsidRPr="009D53C4" w:rsidTr="00827018">
        <w:trPr>
          <w:cnfStyle w:val="000000010000" w:firstRow="0" w:lastRow="0" w:firstColumn="0" w:lastColumn="0" w:oddVBand="0" w:evenVBand="0" w:oddHBand="0" w:evenHBand="1" w:firstRowFirstColumn="0" w:firstRowLastColumn="0" w:lastRowFirstColumn="0" w:lastRowLastColumn="0"/>
          <w:cantSplit/>
          <w:trHeight w:val="346"/>
        </w:trPr>
        <w:tc>
          <w:tcPr>
            <w:tcW w:w="2221" w:type="dxa"/>
          </w:tcPr>
          <w:p w:rsidR="00F62BD3" w:rsidRPr="00FE4491" w:rsidRDefault="00F62BD3" w:rsidP="00827018">
            <w:pPr>
              <w:pStyle w:val="TableTextEntries"/>
            </w:pPr>
            <w:r>
              <w:t>Tonga Energy Roadmap</w:t>
            </w:r>
          </w:p>
        </w:tc>
        <w:tc>
          <w:tcPr>
            <w:tcW w:w="1106" w:type="dxa"/>
          </w:tcPr>
          <w:p w:rsidR="00F62BD3" w:rsidRPr="00A80456" w:rsidRDefault="00F62BD3" w:rsidP="00827018">
            <w:pPr>
              <w:pStyle w:val="TableTextEntries"/>
              <w:rPr>
                <w:sz w:val="16"/>
                <w:szCs w:val="16"/>
              </w:rPr>
            </w:pPr>
            <w:r w:rsidRPr="00A80456">
              <w:rPr>
                <w:sz w:val="16"/>
                <w:szCs w:val="16"/>
              </w:rPr>
              <w:t xml:space="preserve">$7,400,000 </w:t>
            </w:r>
          </w:p>
          <w:p w:rsidR="00F62BD3" w:rsidRPr="00A80456" w:rsidRDefault="00F62BD3" w:rsidP="00827018">
            <w:pPr>
              <w:pStyle w:val="TableTextEntries"/>
              <w:rPr>
                <w:sz w:val="16"/>
                <w:szCs w:val="16"/>
              </w:rPr>
            </w:pPr>
            <w:r w:rsidRPr="00A80456">
              <w:rPr>
                <w:sz w:val="16"/>
                <w:szCs w:val="16"/>
              </w:rPr>
              <w:t>4 years</w:t>
            </w:r>
          </w:p>
        </w:tc>
        <w:tc>
          <w:tcPr>
            <w:tcW w:w="847" w:type="dxa"/>
            <w:gridSpan w:val="3"/>
          </w:tcPr>
          <w:p w:rsidR="00F62BD3" w:rsidRPr="00FE4491" w:rsidRDefault="00F62BD3" w:rsidP="00827018">
            <w:pPr>
              <w:pStyle w:val="TableTextEntries"/>
            </w:pPr>
            <w:r w:rsidRPr="00FE4491">
              <w:t>20</w:t>
            </w:r>
            <w:r>
              <w:t>1</w:t>
            </w:r>
            <w:r w:rsidR="0010085A">
              <w:t>3</w:t>
            </w:r>
          </w:p>
        </w:tc>
        <w:tc>
          <w:tcPr>
            <w:tcW w:w="1146" w:type="dxa"/>
            <w:shd w:val="clear" w:color="auto" w:fill="72AF2F"/>
            <w:noWrap/>
          </w:tcPr>
          <w:p w:rsidR="00F62BD3" w:rsidRPr="00FE4491" w:rsidRDefault="00F62BD3" w:rsidP="00827018">
            <w:pPr>
              <w:pStyle w:val="TableTextEntries"/>
              <w:jc w:val="center"/>
            </w:pPr>
            <w:r w:rsidRPr="00FE4491">
              <w:t>5</w:t>
            </w:r>
          </w:p>
        </w:tc>
        <w:tc>
          <w:tcPr>
            <w:tcW w:w="1146" w:type="dxa"/>
            <w:shd w:val="clear" w:color="auto" w:fill="FFFF00"/>
            <w:noWrap/>
          </w:tcPr>
          <w:p w:rsidR="00F62BD3" w:rsidRPr="00FE4491" w:rsidRDefault="00F62BD3" w:rsidP="00827018">
            <w:pPr>
              <w:pStyle w:val="TableTextEntries"/>
              <w:jc w:val="center"/>
            </w:pPr>
            <w:r>
              <w:t>4</w:t>
            </w:r>
          </w:p>
        </w:tc>
        <w:tc>
          <w:tcPr>
            <w:tcW w:w="1286" w:type="dxa"/>
            <w:shd w:val="clear" w:color="auto" w:fill="F79646"/>
            <w:noWrap/>
          </w:tcPr>
          <w:p w:rsidR="00F62BD3" w:rsidRPr="00FE4491" w:rsidRDefault="00F62BD3" w:rsidP="00827018">
            <w:pPr>
              <w:pStyle w:val="TableTextEntries"/>
              <w:jc w:val="center"/>
            </w:pPr>
            <w:r>
              <w:t>3</w:t>
            </w:r>
          </w:p>
        </w:tc>
        <w:tc>
          <w:tcPr>
            <w:tcW w:w="1247" w:type="dxa"/>
            <w:shd w:val="clear" w:color="auto" w:fill="FF0000"/>
            <w:noWrap/>
          </w:tcPr>
          <w:p w:rsidR="00F62BD3" w:rsidRPr="00FE4491" w:rsidRDefault="00F62BD3" w:rsidP="00827018">
            <w:pPr>
              <w:pStyle w:val="TableTextEntries"/>
              <w:jc w:val="center"/>
            </w:pPr>
            <w:r>
              <w:t>2</w:t>
            </w:r>
          </w:p>
        </w:tc>
        <w:tc>
          <w:tcPr>
            <w:tcW w:w="1390" w:type="dxa"/>
            <w:shd w:val="clear" w:color="auto" w:fill="F79646" w:themeFill="accent6"/>
            <w:noWrap/>
          </w:tcPr>
          <w:p w:rsidR="00F62BD3" w:rsidRPr="00FE4491" w:rsidRDefault="00F62BD3" w:rsidP="00827018">
            <w:pPr>
              <w:pStyle w:val="TableTextEntries"/>
              <w:jc w:val="center"/>
            </w:pPr>
            <w:r>
              <w:t>3</w:t>
            </w:r>
          </w:p>
        </w:tc>
        <w:tc>
          <w:tcPr>
            <w:tcW w:w="1234" w:type="dxa"/>
            <w:shd w:val="clear" w:color="auto" w:fill="F79646" w:themeFill="accent6"/>
            <w:noWrap/>
          </w:tcPr>
          <w:p w:rsidR="00F62BD3" w:rsidRPr="00FE4491" w:rsidRDefault="00F62BD3" w:rsidP="00827018">
            <w:pPr>
              <w:pStyle w:val="TableTextEntries"/>
              <w:jc w:val="center"/>
            </w:pPr>
            <w:r>
              <w:t>3</w:t>
            </w:r>
          </w:p>
        </w:tc>
      </w:tr>
      <w:tr w:rsidR="00F62BD3" w:rsidRPr="009D53C4" w:rsidTr="00827018">
        <w:trPr>
          <w:cnfStyle w:val="000000010000" w:firstRow="0" w:lastRow="0" w:firstColumn="0" w:lastColumn="0" w:oddVBand="0" w:evenVBand="0" w:oddHBand="0" w:evenHBand="1" w:firstRowFirstColumn="0" w:firstRowLastColumn="0" w:lastRowFirstColumn="0" w:lastRowLastColumn="0"/>
          <w:cantSplit/>
          <w:trHeight w:val="496"/>
        </w:trPr>
        <w:tc>
          <w:tcPr>
            <w:tcW w:w="2221" w:type="dxa"/>
            <w:shd w:val="clear" w:color="auto" w:fill="auto"/>
          </w:tcPr>
          <w:p w:rsidR="00F62BD3" w:rsidRDefault="00F62BD3" w:rsidP="00827018">
            <w:pPr>
              <w:pStyle w:val="TableTextEntries"/>
            </w:pPr>
            <w:r>
              <w:t>Nuku’alofa Urban Development Project</w:t>
            </w:r>
          </w:p>
        </w:tc>
        <w:tc>
          <w:tcPr>
            <w:tcW w:w="1106" w:type="dxa"/>
            <w:shd w:val="clear" w:color="auto" w:fill="auto"/>
          </w:tcPr>
          <w:p w:rsidR="00F62BD3" w:rsidRPr="00A80456" w:rsidRDefault="00F62BD3" w:rsidP="00827018">
            <w:pPr>
              <w:pStyle w:val="TableTextEntries"/>
              <w:rPr>
                <w:sz w:val="16"/>
                <w:szCs w:val="16"/>
              </w:rPr>
            </w:pPr>
            <w:r w:rsidRPr="00A80456">
              <w:rPr>
                <w:sz w:val="16"/>
                <w:szCs w:val="16"/>
              </w:rPr>
              <w:t>$6.1 million 4 years</w:t>
            </w:r>
          </w:p>
        </w:tc>
        <w:tc>
          <w:tcPr>
            <w:tcW w:w="847" w:type="dxa"/>
            <w:gridSpan w:val="3"/>
            <w:shd w:val="clear" w:color="auto" w:fill="auto"/>
          </w:tcPr>
          <w:p w:rsidR="00F62BD3" w:rsidRPr="00FE4491" w:rsidRDefault="00F62BD3" w:rsidP="00827018">
            <w:pPr>
              <w:pStyle w:val="TableTextEntries"/>
            </w:pPr>
            <w:r>
              <w:t>2013</w:t>
            </w:r>
          </w:p>
        </w:tc>
        <w:tc>
          <w:tcPr>
            <w:tcW w:w="1146" w:type="dxa"/>
            <w:shd w:val="clear" w:color="auto" w:fill="72AF2F"/>
            <w:noWrap/>
          </w:tcPr>
          <w:p w:rsidR="00F62BD3" w:rsidRPr="00FE4491" w:rsidRDefault="00F62BD3" w:rsidP="00827018">
            <w:pPr>
              <w:pStyle w:val="TableTextEntries"/>
              <w:jc w:val="center"/>
            </w:pPr>
            <w:r>
              <w:t>5</w:t>
            </w:r>
          </w:p>
        </w:tc>
        <w:tc>
          <w:tcPr>
            <w:tcW w:w="1146" w:type="dxa"/>
            <w:shd w:val="clear" w:color="auto" w:fill="FFFF00"/>
            <w:noWrap/>
          </w:tcPr>
          <w:p w:rsidR="00F62BD3" w:rsidRDefault="00F62BD3" w:rsidP="00827018">
            <w:pPr>
              <w:pStyle w:val="TableTextEntries"/>
              <w:jc w:val="center"/>
            </w:pPr>
            <w:r>
              <w:t>4</w:t>
            </w:r>
          </w:p>
        </w:tc>
        <w:tc>
          <w:tcPr>
            <w:tcW w:w="1286" w:type="dxa"/>
            <w:shd w:val="clear" w:color="auto" w:fill="FFFF00"/>
            <w:noWrap/>
          </w:tcPr>
          <w:p w:rsidR="00F62BD3" w:rsidRPr="00FE4491" w:rsidRDefault="00F62BD3" w:rsidP="00827018">
            <w:pPr>
              <w:pStyle w:val="TableTextEntries"/>
              <w:jc w:val="center"/>
            </w:pPr>
            <w:r>
              <w:t>4</w:t>
            </w:r>
          </w:p>
        </w:tc>
        <w:tc>
          <w:tcPr>
            <w:tcW w:w="1247" w:type="dxa"/>
            <w:shd w:val="clear" w:color="auto" w:fill="FFFF00"/>
            <w:noWrap/>
          </w:tcPr>
          <w:p w:rsidR="00F62BD3" w:rsidRDefault="00F62BD3" w:rsidP="00827018">
            <w:pPr>
              <w:pStyle w:val="TableTextEntries"/>
              <w:jc w:val="center"/>
            </w:pPr>
            <w:r>
              <w:t>4</w:t>
            </w:r>
          </w:p>
        </w:tc>
        <w:tc>
          <w:tcPr>
            <w:tcW w:w="1390" w:type="dxa"/>
            <w:shd w:val="clear" w:color="auto" w:fill="FFFF00"/>
            <w:noWrap/>
          </w:tcPr>
          <w:p w:rsidR="00F62BD3" w:rsidRDefault="00F62BD3" w:rsidP="00827018">
            <w:pPr>
              <w:pStyle w:val="TableTextEntries"/>
              <w:jc w:val="center"/>
            </w:pPr>
            <w:r>
              <w:t>4</w:t>
            </w:r>
          </w:p>
        </w:tc>
        <w:tc>
          <w:tcPr>
            <w:tcW w:w="1234" w:type="dxa"/>
            <w:shd w:val="clear" w:color="auto" w:fill="72AF2F"/>
            <w:noWrap/>
          </w:tcPr>
          <w:p w:rsidR="00F62BD3" w:rsidRDefault="00F62BD3" w:rsidP="00827018">
            <w:pPr>
              <w:pStyle w:val="TableTextEntries"/>
              <w:jc w:val="center"/>
            </w:pPr>
            <w:r>
              <w:t>5</w:t>
            </w:r>
          </w:p>
        </w:tc>
      </w:tr>
      <w:tr w:rsidR="00DE5036" w:rsidRPr="009D53C4" w:rsidTr="00F61142">
        <w:trPr>
          <w:cnfStyle w:val="000000010000" w:firstRow="0" w:lastRow="0" w:firstColumn="0" w:lastColumn="0" w:oddVBand="0" w:evenVBand="0" w:oddHBand="0" w:evenHBand="1" w:firstRowFirstColumn="0" w:firstRowLastColumn="0" w:lastRowFirstColumn="0" w:lastRowLastColumn="0"/>
          <w:cantSplit/>
          <w:trHeight w:val="496"/>
        </w:trPr>
        <w:tc>
          <w:tcPr>
            <w:tcW w:w="2221" w:type="dxa"/>
            <w:shd w:val="clear" w:color="auto" w:fill="auto"/>
          </w:tcPr>
          <w:p w:rsidR="00DE5036" w:rsidRDefault="00DE5036" w:rsidP="00827018">
            <w:pPr>
              <w:pStyle w:val="TableTextEntries"/>
            </w:pPr>
          </w:p>
        </w:tc>
        <w:tc>
          <w:tcPr>
            <w:tcW w:w="1106" w:type="dxa"/>
            <w:shd w:val="clear" w:color="auto" w:fill="auto"/>
          </w:tcPr>
          <w:p w:rsidR="00DE5036" w:rsidRPr="00A80456" w:rsidRDefault="00DE5036" w:rsidP="00827018">
            <w:pPr>
              <w:pStyle w:val="TableTextEntries"/>
              <w:rPr>
                <w:sz w:val="16"/>
                <w:szCs w:val="16"/>
              </w:rPr>
            </w:pPr>
          </w:p>
        </w:tc>
        <w:tc>
          <w:tcPr>
            <w:tcW w:w="847" w:type="dxa"/>
            <w:gridSpan w:val="3"/>
            <w:shd w:val="clear" w:color="auto" w:fill="auto"/>
          </w:tcPr>
          <w:p w:rsidR="00DE5036" w:rsidRDefault="00F61142" w:rsidP="00827018">
            <w:pPr>
              <w:pStyle w:val="TableTextEntries"/>
            </w:pPr>
            <w:r>
              <w:t>2012</w:t>
            </w:r>
          </w:p>
        </w:tc>
        <w:tc>
          <w:tcPr>
            <w:tcW w:w="1146" w:type="dxa"/>
            <w:shd w:val="clear" w:color="auto" w:fill="009900"/>
            <w:noWrap/>
          </w:tcPr>
          <w:p w:rsidR="00DE5036" w:rsidRDefault="00F61142" w:rsidP="00827018">
            <w:pPr>
              <w:pStyle w:val="TableTextEntries"/>
              <w:jc w:val="center"/>
            </w:pPr>
            <w:r>
              <w:t>5</w:t>
            </w:r>
          </w:p>
        </w:tc>
        <w:tc>
          <w:tcPr>
            <w:tcW w:w="1146" w:type="dxa"/>
            <w:shd w:val="clear" w:color="auto" w:fill="009900"/>
            <w:noWrap/>
          </w:tcPr>
          <w:p w:rsidR="00DE5036" w:rsidRDefault="00F61142" w:rsidP="00827018">
            <w:pPr>
              <w:pStyle w:val="TableTextEntries"/>
              <w:jc w:val="center"/>
            </w:pPr>
            <w:r>
              <w:t>5</w:t>
            </w:r>
          </w:p>
        </w:tc>
        <w:tc>
          <w:tcPr>
            <w:tcW w:w="1286" w:type="dxa"/>
            <w:shd w:val="clear" w:color="auto" w:fill="FFFF00"/>
            <w:noWrap/>
          </w:tcPr>
          <w:p w:rsidR="00DE5036" w:rsidRDefault="00F61142" w:rsidP="00827018">
            <w:pPr>
              <w:pStyle w:val="TableTextEntries"/>
              <w:jc w:val="center"/>
            </w:pPr>
            <w:r>
              <w:t>4</w:t>
            </w:r>
          </w:p>
        </w:tc>
        <w:tc>
          <w:tcPr>
            <w:tcW w:w="1247" w:type="dxa"/>
            <w:shd w:val="clear" w:color="auto" w:fill="FFFF00"/>
            <w:noWrap/>
          </w:tcPr>
          <w:p w:rsidR="00DE5036" w:rsidRDefault="00F61142" w:rsidP="00827018">
            <w:pPr>
              <w:pStyle w:val="TableTextEntries"/>
              <w:jc w:val="center"/>
            </w:pPr>
            <w:r>
              <w:t>4</w:t>
            </w:r>
          </w:p>
        </w:tc>
        <w:tc>
          <w:tcPr>
            <w:tcW w:w="1390" w:type="dxa"/>
            <w:shd w:val="clear" w:color="auto" w:fill="FFFF00"/>
            <w:noWrap/>
          </w:tcPr>
          <w:p w:rsidR="00DE5036" w:rsidRDefault="00F61142" w:rsidP="00827018">
            <w:pPr>
              <w:pStyle w:val="TableTextEntries"/>
              <w:jc w:val="center"/>
            </w:pPr>
            <w:r>
              <w:t>4</w:t>
            </w:r>
          </w:p>
        </w:tc>
        <w:tc>
          <w:tcPr>
            <w:tcW w:w="1234" w:type="dxa"/>
            <w:shd w:val="clear" w:color="auto" w:fill="FFFF00"/>
            <w:noWrap/>
          </w:tcPr>
          <w:p w:rsidR="00DE5036" w:rsidRDefault="00F61142" w:rsidP="00827018">
            <w:pPr>
              <w:pStyle w:val="TableTextEntries"/>
              <w:jc w:val="center"/>
            </w:pPr>
            <w:r>
              <w:t>4</w:t>
            </w:r>
          </w:p>
        </w:tc>
      </w:tr>
      <w:tr w:rsidR="00F62BD3" w:rsidRPr="009D53C4" w:rsidTr="00827018">
        <w:trPr>
          <w:cnfStyle w:val="000000010000" w:firstRow="0" w:lastRow="0" w:firstColumn="0" w:lastColumn="0" w:oddVBand="0" w:evenVBand="0" w:oddHBand="0" w:evenHBand="1" w:firstRowFirstColumn="0" w:firstRowLastColumn="0" w:lastRowFirstColumn="0" w:lastRowLastColumn="0"/>
          <w:cantSplit/>
          <w:trHeight w:val="404"/>
        </w:trPr>
        <w:tc>
          <w:tcPr>
            <w:tcW w:w="2221" w:type="dxa"/>
          </w:tcPr>
          <w:p w:rsidR="00F62BD3" w:rsidRDefault="00F62BD3" w:rsidP="00827018">
            <w:pPr>
              <w:pStyle w:val="TableTextEntries"/>
            </w:pPr>
            <w:r>
              <w:t>Tonga Health Systems Support Program</w:t>
            </w:r>
          </w:p>
        </w:tc>
        <w:tc>
          <w:tcPr>
            <w:tcW w:w="1106" w:type="dxa"/>
          </w:tcPr>
          <w:p w:rsidR="00F62BD3" w:rsidRPr="00A80456" w:rsidRDefault="00F62BD3" w:rsidP="00827018">
            <w:pPr>
              <w:pStyle w:val="TableTextEntries"/>
              <w:rPr>
                <w:sz w:val="16"/>
                <w:szCs w:val="16"/>
              </w:rPr>
            </w:pPr>
            <w:r w:rsidRPr="00A80456">
              <w:rPr>
                <w:sz w:val="16"/>
                <w:szCs w:val="16"/>
              </w:rPr>
              <w:t xml:space="preserve">$8,300,00 </w:t>
            </w:r>
          </w:p>
          <w:p w:rsidR="00F62BD3" w:rsidRPr="00A80456" w:rsidRDefault="00F62BD3" w:rsidP="00827018">
            <w:pPr>
              <w:pStyle w:val="TableTextEntries"/>
              <w:rPr>
                <w:sz w:val="16"/>
                <w:szCs w:val="16"/>
              </w:rPr>
            </w:pPr>
            <w:r w:rsidRPr="00A80456">
              <w:rPr>
                <w:sz w:val="16"/>
                <w:szCs w:val="16"/>
              </w:rPr>
              <w:t>4 years</w:t>
            </w:r>
          </w:p>
        </w:tc>
        <w:tc>
          <w:tcPr>
            <w:tcW w:w="847" w:type="dxa"/>
            <w:gridSpan w:val="3"/>
          </w:tcPr>
          <w:p w:rsidR="00F62BD3" w:rsidRDefault="00F62BD3" w:rsidP="00827018">
            <w:pPr>
              <w:pStyle w:val="TableTextEntries"/>
            </w:pPr>
            <w:r>
              <w:t>2013</w:t>
            </w:r>
          </w:p>
        </w:tc>
        <w:tc>
          <w:tcPr>
            <w:tcW w:w="1146" w:type="dxa"/>
            <w:shd w:val="clear" w:color="auto" w:fill="669900"/>
            <w:noWrap/>
          </w:tcPr>
          <w:p w:rsidR="00F62BD3" w:rsidRDefault="00F62BD3" w:rsidP="00827018">
            <w:pPr>
              <w:pStyle w:val="TableTextEntries"/>
              <w:jc w:val="center"/>
            </w:pPr>
            <w:r>
              <w:t>5</w:t>
            </w:r>
          </w:p>
        </w:tc>
        <w:tc>
          <w:tcPr>
            <w:tcW w:w="1146" w:type="dxa"/>
            <w:shd w:val="clear" w:color="auto" w:fill="669900"/>
            <w:noWrap/>
          </w:tcPr>
          <w:p w:rsidR="00F62BD3" w:rsidRDefault="00F62BD3" w:rsidP="00827018">
            <w:pPr>
              <w:pStyle w:val="TableTextEntries"/>
              <w:jc w:val="center"/>
            </w:pPr>
            <w:r>
              <w:t>5</w:t>
            </w:r>
          </w:p>
        </w:tc>
        <w:tc>
          <w:tcPr>
            <w:tcW w:w="1286" w:type="dxa"/>
            <w:shd w:val="clear" w:color="auto" w:fill="FFFF00"/>
            <w:noWrap/>
          </w:tcPr>
          <w:p w:rsidR="00F62BD3" w:rsidRPr="0064689B" w:rsidRDefault="00F62BD3" w:rsidP="00827018">
            <w:pPr>
              <w:pStyle w:val="TableTextEntries"/>
              <w:jc w:val="center"/>
              <w:rPr>
                <w:highlight w:val="yellow"/>
              </w:rPr>
            </w:pPr>
            <w:r w:rsidRPr="0064689B">
              <w:rPr>
                <w:highlight w:val="yellow"/>
              </w:rPr>
              <w:t>4</w:t>
            </w:r>
          </w:p>
        </w:tc>
        <w:tc>
          <w:tcPr>
            <w:tcW w:w="1247" w:type="dxa"/>
            <w:shd w:val="clear" w:color="auto" w:fill="FFFF00"/>
            <w:noWrap/>
          </w:tcPr>
          <w:p w:rsidR="00F62BD3" w:rsidRPr="0064689B" w:rsidRDefault="00F62BD3" w:rsidP="00827018">
            <w:pPr>
              <w:pStyle w:val="TableTextEntries"/>
              <w:jc w:val="center"/>
              <w:rPr>
                <w:highlight w:val="yellow"/>
              </w:rPr>
            </w:pPr>
            <w:r w:rsidRPr="0064689B">
              <w:rPr>
                <w:highlight w:val="yellow"/>
              </w:rPr>
              <w:t>4</w:t>
            </w:r>
          </w:p>
        </w:tc>
        <w:tc>
          <w:tcPr>
            <w:tcW w:w="1390" w:type="dxa"/>
            <w:shd w:val="clear" w:color="auto" w:fill="FFFF00"/>
            <w:noWrap/>
          </w:tcPr>
          <w:p w:rsidR="00F62BD3" w:rsidRPr="0064689B" w:rsidRDefault="00F62BD3" w:rsidP="00827018">
            <w:pPr>
              <w:pStyle w:val="TableTextEntries"/>
              <w:jc w:val="center"/>
              <w:rPr>
                <w:highlight w:val="yellow"/>
              </w:rPr>
            </w:pPr>
            <w:r w:rsidRPr="0064689B">
              <w:rPr>
                <w:highlight w:val="yellow"/>
              </w:rPr>
              <w:t>4</w:t>
            </w:r>
          </w:p>
        </w:tc>
        <w:tc>
          <w:tcPr>
            <w:tcW w:w="1234" w:type="dxa"/>
            <w:shd w:val="clear" w:color="auto" w:fill="FFFF00"/>
            <w:noWrap/>
          </w:tcPr>
          <w:p w:rsidR="00F62BD3" w:rsidRPr="0064689B" w:rsidRDefault="00F62BD3" w:rsidP="00827018">
            <w:pPr>
              <w:pStyle w:val="TableTextEntries"/>
              <w:jc w:val="center"/>
              <w:rPr>
                <w:highlight w:val="yellow"/>
              </w:rPr>
            </w:pPr>
            <w:r w:rsidRPr="0064689B">
              <w:rPr>
                <w:highlight w:val="yellow"/>
              </w:rPr>
              <w:t>4</w:t>
            </w:r>
          </w:p>
        </w:tc>
      </w:tr>
      <w:tr w:rsidR="00DE5036" w:rsidRPr="009D53C4" w:rsidTr="00F61142">
        <w:trPr>
          <w:cnfStyle w:val="000000010000" w:firstRow="0" w:lastRow="0" w:firstColumn="0" w:lastColumn="0" w:oddVBand="0" w:evenVBand="0" w:oddHBand="0" w:evenHBand="1" w:firstRowFirstColumn="0" w:firstRowLastColumn="0" w:lastRowFirstColumn="0" w:lastRowLastColumn="0"/>
          <w:cantSplit/>
          <w:trHeight w:val="404"/>
        </w:trPr>
        <w:tc>
          <w:tcPr>
            <w:tcW w:w="2221" w:type="dxa"/>
          </w:tcPr>
          <w:p w:rsidR="00DE5036" w:rsidRDefault="00DE5036" w:rsidP="00827018">
            <w:pPr>
              <w:pStyle w:val="TableTextEntries"/>
            </w:pPr>
          </w:p>
        </w:tc>
        <w:tc>
          <w:tcPr>
            <w:tcW w:w="1106" w:type="dxa"/>
          </w:tcPr>
          <w:p w:rsidR="00DE5036" w:rsidRPr="00A80456" w:rsidRDefault="00DE5036" w:rsidP="00827018">
            <w:pPr>
              <w:pStyle w:val="TableTextEntries"/>
              <w:rPr>
                <w:sz w:val="16"/>
                <w:szCs w:val="16"/>
              </w:rPr>
            </w:pPr>
          </w:p>
        </w:tc>
        <w:tc>
          <w:tcPr>
            <w:tcW w:w="847" w:type="dxa"/>
            <w:gridSpan w:val="3"/>
          </w:tcPr>
          <w:p w:rsidR="00DE5036" w:rsidRDefault="00F61142" w:rsidP="00827018">
            <w:pPr>
              <w:pStyle w:val="TableTextEntries"/>
            </w:pPr>
            <w:r>
              <w:t>2012</w:t>
            </w:r>
          </w:p>
        </w:tc>
        <w:tc>
          <w:tcPr>
            <w:tcW w:w="1146" w:type="dxa"/>
            <w:shd w:val="clear" w:color="auto" w:fill="009900"/>
            <w:noWrap/>
          </w:tcPr>
          <w:p w:rsidR="00DE5036" w:rsidRDefault="00F61142" w:rsidP="00827018">
            <w:pPr>
              <w:pStyle w:val="TableTextEntries"/>
              <w:jc w:val="center"/>
            </w:pPr>
            <w:r>
              <w:t>6</w:t>
            </w:r>
          </w:p>
        </w:tc>
        <w:tc>
          <w:tcPr>
            <w:tcW w:w="1146" w:type="dxa"/>
            <w:shd w:val="clear" w:color="auto" w:fill="009900"/>
            <w:noWrap/>
          </w:tcPr>
          <w:p w:rsidR="00DE5036" w:rsidRDefault="00F61142" w:rsidP="00827018">
            <w:pPr>
              <w:pStyle w:val="TableTextEntries"/>
              <w:jc w:val="center"/>
            </w:pPr>
            <w:r>
              <w:t>5</w:t>
            </w:r>
          </w:p>
        </w:tc>
        <w:tc>
          <w:tcPr>
            <w:tcW w:w="1286" w:type="dxa"/>
            <w:shd w:val="clear" w:color="auto" w:fill="FFFF00"/>
            <w:noWrap/>
          </w:tcPr>
          <w:p w:rsidR="00DE5036" w:rsidRPr="0064689B" w:rsidRDefault="00F61142" w:rsidP="00827018">
            <w:pPr>
              <w:pStyle w:val="TableTextEntries"/>
              <w:jc w:val="center"/>
              <w:rPr>
                <w:highlight w:val="yellow"/>
              </w:rPr>
            </w:pPr>
            <w:r>
              <w:rPr>
                <w:highlight w:val="yellow"/>
              </w:rPr>
              <w:t>4</w:t>
            </w:r>
          </w:p>
        </w:tc>
        <w:tc>
          <w:tcPr>
            <w:tcW w:w="1247" w:type="dxa"/>
            <w:shd w:val="clear" w:color="auto" w:fill="FFFF00"/>
            <w:noWrap/>
          </w:tcPr>
          <w:p w:rsidR="00DE5036" w:rsidRPr="0064689B" w:rsidRDefault="00F61142" w:rsidP="00827018">
            <w:pPr>
              <w:pStyle w:val="TableTextEntries"/>
              <w:jc w:val="center"/>
              <w:rPr>
                <w:highlight w:val="yellow"/>
              </w:rPr>
            </w:pPr>
            <w:r>
              <w:rPr>
                <w:highlight w:val="yellow"/>
              </w:rPr>
              <w:t>4</w:t>
            </w:r>
          </w:p>
        </w:tc>
        <w:tc>
          <w:tcPr>
            <w:tcW w:w="1390" w:type="dxa"/>
            <w:shd w:val="clear" w:color="auto" w:fill="FFFF00"/>
            <w:noWrap/>
          </w:tcPr>
          <w:p w:rsidR="00DE5036" w:rsidRPr="0064689B" w:rsidRDefault="00F61142" w:rsidP="00827018">
            <w:pPr>
              <w:pStyle w:val="TableTextEntries"/>
              <w:jc w:val="center"/>
              <w:rPr>
                <w:highlight w:val="yellow"/>
              </w:rPr>
            </w:pPr>
            <w:r>
              <w:rPr>
                <w:highlight w:val="yellow"/>
              </w:rPr>
              <w:t>4</w:t>
            </w:r>
          </w:p>
        </w:tc>
        <w:tc>
          <w:tcPr>
            <w:tcW w:w="1234" w:type="dxa"/>
            <w:shd w:val="clear" w:color="auto" w:fill="FFFF00"/>
            <w:noWrap/>
          </w:tcPr>
          <w:p w:rsidR="00DE5036" w:rsidRPr="0064689B" w:rsidRDefault="00F61142" w:rsidP="00827018">
            <w:pPr>
              <w:pStyle w:val="TableTextEntries"/>
              <w:jc w:val="center"/>
              <w:rPr>
                <w:highlight w:val="yellow"/>
              </w:rPr>
            </w:pPr>
            <w:r>
              <w:rPr>
                <w:highlight w:val="yellow"/>
              </w:rPr>
              <w:t>4</w:t>
            </w:r>
          </w:p>
        </w:tc>
      </w:tr>
      <w:tr w:rsidR="00F62BD3" w:rsidRPr="009D53C4" w:rsidTr="007808C6">
        <w:trPr>
          <w:cnfStyle w:val="000000010000" w:firstRow="0" w:lastRow="0" w:firstColumn="0" w:lastColumn="0" w:oddVBand="0" w:evenVBand="0" w:oddHBand="0" w:evenHBand="1" w:firstRowFirstColumn="0" w:firstRowLastColumn="0" w:lastRowFirstColumn="0" w:lastRowLastColumn="0"/>
          <w:cantSplit/>
          <w:trHeight w:val="415"/>
        </w:trPr>
        <w:tc>
          <w:tcPr>
            <w:tcW w:w="2221" w:type="dxa"/>
          </w:tcPr>
          <w:p w:rsidR="00F62BD3" w:rsidRPr="009827A6" w:rsidRDefault="00F62BD3" w:rsidP="00827018">
            <w:pPr>
              <w:pStyle w:val="TableTextEntries"/>
              <w:rPr>
                <w:rFonts w:cs="Calibri"/>
                <w:szCs w:val="16"/>
              </w:rPr>
            </w:pPr>
            <w:r w:rsidRPr="009827A6">
              <w:rPr>
                <w:rFonts w:cs="Calibri"/>
                <w:szCs w:val="16"/>
              </w:rPr>
              <w:t>Transport Sector Consolidation Project</w:t>
            </w:r>
          </w:p>
        </w:tc>
        <w:tc>
          <w:tcPr>
            <w:tcW w:w="1247" w:type="dxa"/>
            <w:gridSpan w:val="3"/>
          </w:tcPr>
          <w:p w:rsidR="00F62BD3" w:rsidRPr="00A80456" w:rsidRDefault="00F62BD3" w:rsidP="00827018">
            <w:pPr>
              <w:pStyle w:val="TableTextEntries"/>
              <w:rPr>
                <w:sz w:val="16"/>
                <w:szCs w:val="16"/>
              </w:rPr>
            </w:pPr>
            <w:r w:rsidRPr="00A80456">
              <w:rPr>
                <w:sz w:val="16"/>
                <w:szCs w:val="16"/>
              </w:rPr>
              <w:t>$11.5 million 5 years</w:t>
            </w:r>
          </w:p>
        </w:tc>
        <w:tc>
          <w:tcPr>
            <w:tcW w:w="706" w:type="dxa"/>
          </w:tcPr>
          <w:p w:rsidR="00F62BD3" w:rsidRDefault="00F62BD3" w:rsidP="00827018">
            <w:pPr>
              <w:pStyle w:val="TableTextEntries"/>
            </w:pPr>
            <w:r>
              <w:t>2013</w:t>
            </w:r>
          </w:p>
        </w:tc>
        <w:tc>
          <w:tcPr>
            <w:tcW w:w="1146" w:type="dxa"/>
            <w:shd w:val="clear" w:color="auto" w:fill="669900"/>
            <w:noWrap/>
          </w:tcPr>
          <w:p w:rsidR="00F62BD3" w:rsidRDefault="00F62BD3" w:rsidP="00827018">
            <w:pPr>
              <w:pStyle w:val="TableTextEntries"/>
              <w:jc w:val="center"/>
            </w:pPr>
            <w:r>
              <w:t>5</w:t>
            </w:r>
          </w:p>
        </w:tc>
        <w:tc>
          <w:tcPr>
            <w:tcW w:w="1146" w:type="dxa"/>
            <w:shd w:val="clear" w:color="auto" w:fill="FFFF00"/>
            <w:noWrap/>
          </w:tcPr>
          <w:p w:rsidR="00F62BD3" w:rsidRPr="006F77C7" w:rsidRDefault="00F62BD3" w:rsidP="00827018">
            <w:pPr>
              <w:pStyle w:val="TableTextEntries"/>
              <w:jc w:val="center"/>
              <w:rPr>
                <w:highlight w:val="yellow"/>
              </w:rPr>
            </w:pPr>
            <w:r w:rsidRPr="006F77C7">
              <w:rPr>
                <w:highlight w:val="yellow"/>
              </w:rPr>
              <w:t>4</w:t>
            </w:r>
          </w:p>
        </w:tc>
        <w:tc>
          <w:tcPr>
            <w:tcW w:w="1286" w:type="dxa"/>
            <w:shd w:val="clear" w:color="auto" w:fill="FFFF00"/>
            <w:noWrap/>
          </w:tcPr>
          <w:p w:rsidR="00F62BD3" w:rsidRPr="006F77C7" w:rsidRDefault="00F62BD3" w:rsidP="00827018">
            <w:pPr>
              <w:pStyle w:val="TableTextEntries"/>
              <w:jc w:val="center"/>
              <w:rPr>
                <w:highlight w:val="yellow"/>
              </w:rPr>
            </w:pPr>
            <w:r w:rsidRPr="006F77C7">
              <w:rPr>
                <w:highlight w:val="yellow"/>
              </w:rPr>
              <w:t>4</w:t>
            </w:r>
          </w:p>
        </w:tc>
        <w:tc>
          <w:tcPr>
            <w:tcW w:w="1247" w:type="dxa"/>
            <w:shd w:val="clear" w:color="auto" w:fill="669900"/>
            <w:noWrap/>
          </w:tcPr>
          <w:p w:rsidR="00F62BD3" w:rsidRDefault="00F62BD3" w:rsidP="00827018">
            <w:pPr>
              <w:pStyle w:val="TableTextEntries"/>
              <w:jc w:val="center"/>
            </w:pPr>
            <w:r>
              <w:t>5</w:t>
            </w:r>
          </w:p>
        </w:tc>
        <w:tc>
          <w:tcPr>
            <w:tcW w:w="1390" w:type="dxa"/>
            <w:shd w:val="clear" w:color="auto" w:fill="FFFF00"/>
            <w:noWrap/>
          </w:tcPr>
          <w:p w:rsidR="00F62BD3" w:rsidRDefault="00F62BD3" w:rsidP="00827018">
            <w:pPr>
              <w:pStyle w:val="TableTextEntries"/>
              <w:jc w:val="center"/>
            </w:pPr>
            <w:r>
              <w:t>4</w:t>
            </w:r>
          </w:p>
        </w:tc>
        <w:tc>
          <w:tcPr>
            <w:tcW w:w="1234" w:type="dxa"/>
            <w:shd w:val="clear" w:color="auto" w:fill="FF0000"/>
            <w:noWrap/>
          </w:tcPr>
          <w:p w:rsidR="00F62BD3" w:rsidRDefault="00F62BD3" w:rsidP="00827018">
            <w:pPr>
              <w:pStyle w:val="TableTextEntries"/>
              <w:jc w:val="center"/>
            </w:pPr>
            <w:r>
              <w:t>2</w:t>
            </w:r>
          </w:p>
        </w:tc>
      </w:tr>
      <w:tr w:rsidR="00DE5036" w:rsidRPr="009D53C4" w:rsidTr="007808C6">
        <w:trPr>
          <w:cnfStyle w:val="000000010000" w:firstRow="0" w:lastRow="0" w:firstColumn="0" w:lastColumn="0" w:oddVBand="0" w:evenVBand="0" w:oddHBand="0" w:evenHBand="1" w:firstRowFirstColumn="0" w:firstRowLastColumn="0" w:lastRowFirstColumn="0" w:lastRowLastColumn="0"/>
          <w:cantSplit/>
          <w:trHeight w:val="337"/>
        </w:trPr>
        <w:tc>
          <w:tcPr>
            <w:tcW w:w="2221" w:type="dxa"/>
          </w:tcPr>
          <w:p w:rsidR="00DE5036" w:rsidRPr="009827A6" w:rsidRDefault="00DE5036" w:rsidP="00827018">
            <w:pPr>
              <w:pStyle w:val="TableTextEntries"/>
              <w:rPr>
                <w:rFonts w:cs="Calibri"/>
                <w:szCs w:val="16"/>
              </w:rPr>
            </w:pPr>
          </w:p>
        </w:tc>
        <w:tc>
          <w:tcPr>
            <w:tcW w:w="1247" w:type="dxa"/>
            <w:gridSpan w:val="3"/>
          </w:tcPr>
          <w:p w:rsidR="00DE5036" w:rsidRPr="00A80456" w:rsidRDefault="00DE5036" w:rsidP="00827018">
            <w:pPr>
              <w:pStyle w:val="TableTextEntries"/>
              <w:rPr>
                <w:sz w:val="16"/>
                <w:szCs w:val="16"/>
              </w:rPr>
            </w:pPr>
          </w:p>
        </w:tc>
        <w:tc>
          <w:tcPr>
            <w:tcW w:w="706" w:type="dxa"/>
          </w:tcPr>
          <w:p w:rsidR="00DE5036" w:rsidRDefault="007506CA" w:rsidP="00827018">
            <w:pPr>
              <w:pStyle w:val="TableTextEntries"/>
            </w:pPr>
            <w:r>
              <w:t>2012</w:t>
            </w:r>
          </w:p>
        </w:tc>
        <w:tc>
          <w:tcPr>
            <w:tcW w:w="1146" w:type="dxa"/>
            <w:shd w:val="clear" w:color="auto" w:fill="009900"/>
            <w:noWrap/>
          </w:tcPr>
          <w:p w:rsidR="00DE5036" w:rsidRDefault="00F61142" w:rsidP="00827018">
            <w:pPr>
              <w:pStyle w:val="TableTextEntries"/>
              <w:jc w:val="center"/>
            </w:pPr>
            <w:r>
              <w:t>5</w:t>
            </w:r>
          </w:p>
        </w:tc>
        <w:tc>
          <w:tcPr>
            <w:tcW w:w="1146" w:type="dxa"/>
            <w:shd w:val="clear" w:color="auto" w:fill="FFC000"/>
            <w:noWrap/>
          </w:tcPr>
          <w:p w:rsidR="00DE5036" w:rsidRPr="006F77C7" w:rsidRDefault="00F61142" w:rsidP="00827018">
            <w:pPr>
              <w:pStyle w:val="TableTextEntries"/>
              <w:jc w:val="center"/>
              <w:rPr>
                <w:highlight w:val="yellow"/>
              </w:rPr>
            </w:pPr>
            <w:r>
              <w:rPr>
                <w:highlight w:val="yellow"/>
              </w:rPr>
              <w:t>3</w:t>
            </w:r>
          </w:p>
        </w:tc>
        <w:tc>
          <w:tcPr>
            <w:tcW w:w="1286" w:type="dxa"/>
            <w:shd w:val="clear" w:color="auto" w:fill="FFFF00"/>
            <w:noWrap/>
          </w:tcPr>
          <w:p w:rsidR="00DE5036" w:rsidRPr="006F77C7" w:rsidRDefault="00F61142" w:rsidP="00827018">
            <w:pPr>
              <w:pStyle w:val="TableTextEntries"/>
              <w:jc w:val="center"/>
              <w:rPr>
                <w:highlight w:val="yellow"/>
              </w:rPr>
            </w:pPr>
            <w:r>
              <w:rPr>
                <w:highlight w:val="yellow"/>
              </w:rPr>
              <w:t>4</w:t>
            </w:r>
          </w:p>
        </w:tc>
        <w:tc>
          <w:tcPr>
            <w:tcW w:w="1247" w:type="dxa"/>
            <w:shd w:val="clear" w:color="auto" w:fill="009900"/>
            <w:noWrap/>
          </w:tcPr>
          <w:p w:rsidR="00DE5036" w:rsidRDefault="00F61142" w:rsidP="00827018">
            <w:pPr>
              <w:pStyle w:val="TableTextEntries"/>
              <w:jc w:val="center"/>
            </w:pPr>
            <w:r>
              <w:t>5</w:t>
            </w:r>
          </w:p>
        </w:tc>
        <w:tc>
          <w:tcPr>
            <w:tcW w:w="1390" w:type="dxa"/>
            <w:shd w:val="clear" w:color="auto" w:fill="FF9933"/>
            <w:noWrap/>
          </w:tcPr>
          <w:p w:rsidR="00DE5036" w:rsidRDefault="00F61142" w:rsidP="00827018">
            <w:pPr>
              <w:pStyle w:val="TableTextEntries"/>
              <w:jc w:val="center"/>
            </w:pPr>
            <w:r>
              <w:t>3</w:t>
            </w:r>
          </w:p>
        </w:tc>
        <w:tc>
          <w:tcPr>
            <w:tcW w:w="1234" w:type="dxa"/>
            <w:shd w:val="clear" w:color="auto" w:fill="FF9933"/>
            <w:noWrap/>
          </w:tcPr>
          <w:p w:rsidR="00DE5036" w:rsidRDefault="00F61142" w:rsidP="00827018">
            <w:pPr>
              <w:pStyle w:val="TableTextEntries"/>
              <w:jc w:val="center"/>
            </w:pPr>
            <w:r>
              <w:t>3</w:t>
            </w:r>
          </w:p>
        </w:tc>
      </w:tr>
      <w:tr w:rsidR="00F62BD3" w:rsidRPr="009D53C4" w:rsidTr="007808C6">
        <w:trPr>
          <w:cnfStyle w:val="000000010000" w:firstRow="0" w:lastRow="0" w:firstColumn="0" w:lastColumn="0" w:oddVBand="0" w:evenVBand="0" w:oddHBand="0" w:evenHBand="1" w:firstRowFirstColumn="0" w:firstRowLastColumn="0" w:lastRowFirstColumn="0" w:lastRowLastColumn="0"/>
          <w:cantSplit/>
          <w:trHeight w:val="540"/>
        </w:trPr>
        <w:tc>
          <w:tcPr>
            <w:tcW w:w="2221" w:type="dxa"/>
          </w:tcPr>
          <w:p w:rsidR="00F62BD3" w:rsidRDefault="00F62BD3" w:rsidP="00827018">
            <w:pPr>
              <w:pStyle w:val="TableTextEntries"/>
            </w:pPr>
            <w:r>
              <w:t>Tonga Energy Road Map</w:t>
            </w:r>
          </w:p>
        </w:tc>
        <w:tc>
          <w:tcPr>
            <w:tcW w:w="1247" w:type="dxa"/>
            <w:gridSpan w:val="3"/>
          </w:tcPr>
          <w:p w:rsidR="00F62BD3" w:rsidRPr="00A80456" w:rsidRDefault="00F62BD3" w:rsidP="00827018">
            <w:pPr>
              <w:pStyle w:val="TableTextEntries"/>
              <w:rPr>
                <w:sz w:val="16"/>
                <w:szCs w:val="16"/>
              </w:rPr>
            </w:pPr>
            <w:r w:rsidRPr="00A80456">
              <w:rPr>
                <w:sz w:val="16"/>
                <w:szCs w:val="16"/>
              </w:rPr>
              <w:t xml:space="preserve">$7.4 million bilateral </w:t>
            </w:r>
            <w:r w:rsidR="007808C6">
              <w:rPr>
                <w:sz w:val="16"/>
                <w:szCs w:val="16"/>
              </w:rPr>
              <w:t xml:space="preserve">&amp; </w:t>
            </w:r>
            <w:r w:rsidRPr="00A80456">
              <w:rPr>
                <w:sz w:val="16"/>
                <w:szCs w:val="16"/>
              </w:rPr>
              <w:t>PRIF regional</w:t>
            </w:r>
          </w:p>
        </w:tc>
        <w:tc>
          <w:tcPr>
            <w:tcW w:w="706" w:type="dxa"/>
          </w:tcPr>
          <w:p w:rsidR="00F62BD3" w:rsidRDefault="00F62BD3" w:rsidP="00827018">
            <w:pPr>
              <w:pStyle w:val="TableTextEntries"/>
            </w:pPr>
            <w:r>
              <w:t>2013</w:t>
            </w:r>
          </w:p>
        </w:tc>
        <w:tc>
          <w:tcPr>
            <w:tcW w:w="1146" w:type="dxa"/>
            <w:shd w:val="clear" w:color="auto" w:fill="FFFF00"/>
            <w:noWrap/>
          </w:tcPr>
          <w:p w:rsidR="00F62BD3" w:rsidRDefault="00F62BD3" w:rsidP="00827018">
            <w:pPr>
              <w:pStyle w:val="TableTextEntries"/>
              <w:jc w:val="center"/>
            </w:pPr>
            <w:r>
              <w:t>4</w:t>
            </w:r>
          </w:p>
        </w:tc>
        <w:tc>
          <w:tcPr>
            <w:tcW w:w="1146" w:type="dxa"/>
            <w:shd w:val="clear" w:color="auto" w:fill="F79646" w:themeFill="accent6"/>
            <w:noWrap/>
          </w:tcPr>
          <w:p w:rsidR="00F62BD3" w:rsidRDefault="00F62BD3" w:rsidP="00827018">
            <w:pPr>
              <w:pStyle w:val="TableTextEntries"/>
              <w:jc w:val="center"/>
            </w:pPr>
            <w:r>
              <w:t>3</w:t>
            </w:r>
          </w:p>
        </w:tc>
        <w:tc>
          <w:tcPr>
            <w:tcW w:w="1286" w:type="dxa"/>
            <w:shd w:val="clear" w:color="auto" w:fill="F79646" w:themeFill="accent6"/>
            <w:noWrap/>
          </w:tcPr>
          <w:p w:rsidR="00F62BD3" w:rsidRDefault="00F62BD3" w:rsidP="00827018">
            <w:pPr>
              <w:pStyle w:val="TableTextEntries"/>
              <w:jc w:val="center"/>
            </w:pPr>
            <w:r>
              <w:t>3</w:t>
            </w:r>
          </w:p>
        </w:tc>
        <w:tc>
          <w:tcPr>
            <w:tcW w:w="1247" w:type="dxa"/>
            <w:shd w:val="clear" w:color="auto" w:fill="FFFF00"/>
            <w:noWrap/>
          </w:tcPr>
          <w:p w:rsidR="00F62BD3" w:rsidRDefault="00F62BD3" w:rsidP="00827018">
            <w:pPr>
              <w:pStyle w:val="TableTextEntries"/>
              <w:jc w:val="center"/>
            </w:pPr>
            <w:r>
              <w:t>4</w:t>
            </w:r>
          </w:p>
        </w:tc>
        <w:tc>
          <w:tcPr>
            <w:tcW w:w="1390" w:type="dxa"/>
            <w:shd w:val="clear" w:color="auto" w:fill="FFFF00"/>
            <w:noWrap/>
          </w:tcPr>
          <w:p w:rsidR="00F62BD3" w:rsidRDefault="00F62BD3" w:rsidP="00827018">
            <w:pPr>
              <w:pStyle w:val="TableTextEntries"/>
              <w:jc w:val="center"/>
            </w:pPr>
            <w:r>
              <w:t>4</w:t>
            </w:r>
          </w:p>
        </w:tc>
        <w:tc>
          <w:tcPr>
            <w:tcW w:w="1234" w:type="dxa"/>
            <w:shd w:val="clear" w:color="auto" w:fill="FF0000"/>
            <w:noWrap/>
          </w:tcPr>
          <w:p w:rsidR="00F62BD3" w:rsidRDefault="00F62BD3" w:rsidP="00827018">
            <w:pPr>
              <w:pStyle w:val="TableTextEntries"/>
              <w:jc w:val="center"/>
            </w:pPr>
            <w:r>
              <w:t>2</w:t>
            </w:r>
          </w:p>
        </w:tc>
      </w:tr>
      <w:tr w:rsidR="007506CA" w:rsidRPr="009D53C4" w:rsidTr="00F61142">
        <w:trPr>
          <w:cnfStyle w:val="000000010000" w:firstRow="0" w:lastRow="0" w:firstColumn="0" w:lastColumn="0" w:oddVBand="0" w:evenVBand="0" w:oddHBand="0" w:evenHBand="1" w:firstRowFirstColumn="0" w:firstRowLastColumn="0" w:lastRowFirstColumn="0" w:lastRowLastColumn="0"/>
          <w:cantSplit/>
          <w:trHeight w:val="381"/>
        </w:trPr>
        <w:tc>
          <w:tcPr>
            <w:tcW w:w="2221" w:type="dxa"/>
          </w:tcPr>
          <w:p w:rsidR="007506CA" w:rsidRDefault="007506CA" w:rsidP="00827018">
            <w:pPr>
              <w:pStyle w:val="TableTextEntries"/>
            </w:pPr>
          </w:p>
        </w:tc>
        <w:tc>
          <w:tcPr>
            <w:tcW w:w="1247" w:type="dxa"/>
            <w:gridSpan w:val="3"/>
          </w:tcPr>
          <w:p w:rsidR="007506CA" w:rsidRPr="00A80456" w:rsidRDefault="007506CA" w:rsidP="00827018">
            <w:pPr>
              <w:pStyle w:val="TableTextEntries"/>
              <w:rPr>
                <w:sz w:val="16"/>
                <w:szCs w:val="16"/>
              </w:rPr>
            </w:pPr>
          </w:p>
        </w:tc>
        <w:tc>
          <w:tcPr>
            <w:tcW w:w="706" w:type="dxa"/>
          </w:tcPr>
          <w:p w:rsidR="007506CA" w:rsidRDefault="007506CA" w:rsidP="00827018">
            <w:pPr>
              <w:pStyle w:val="TableTextEntries"/>
            </w:pPr>
            <w:r>
              <w:t>2012</w:t>
            </w:r>
          </w:p>
        </w:tc>
        <w:tc>
          <w:tcPr>
            <w:tcW w:w="1146" w:type="dxa"/>
            <w:shd w:val="clear" w:color="auto" w:fill="009900"/>
            <w:noWrap/>
          </w:tcPr>
          <w:p w:rsidR="007506CA" w:rsidRDefault="00F61142" w:rsidP="00827018">
            <w:pPr>
              <w:pStyle w:val="TableTextEntries"/>
              <w:jc w:val="center"/>
            </w:pPr>
            <w:r>
              <w:t>5</w:t>
            </w:r>
          </w:p>
        </w:tc>
        <w:tc>
          <w:tcPr>
            <w:tcW w:w="1146" w:type="dxa"/>
            <w:shd w:val="clear" w:color="auto" w:fill="FFFF00"/>
            <w:noWrap/>
          </w:tcPr>
          <w:p w:rsidR="007506CA" w:rsidRDefault="00F61142" w:rsidP="00827018">
            <w:pPr>
              <w:pStyle w:val="TableTextEntries"/>
              <w:jc w:val="center"/>
            </w:pPr>
            <w:r>
              <w:t>4</w:t>
            </w:r>
          </w:p>
        </w:tc>
        <w:tc>
          <w:tcPr>
            <w:tcW w:w="1286" w:type="dxa"/>
            <w:shd w:val="clear" w:color="auto" w:fill="F79646" w:themeFill="accent6"/>
            <w:noWrap/>
          </w:tcPr>
          <w:p w:rsidR="007506CA" w:rsidRDefault="00F61142" w:rsidP="00827018">
            <w:pPr>
              <w:pStyle w:val="TableTextEntries"/>
              <w:jc w:val="center"/>
            </w:pPr>
            <w:r>
              <w:t>3</w:t>
            </w:r>
          </w:p>
        </w:tc>
        <w:tc>
          <w:tcPr>
            <w:tcW w:w="1247" w:type="dxa"/>
            <w:shd w:val="clear" w:color="auto" w:fill="FFFF00"/>
            <w:noWrap/>
          </w:tcPr>
          <w:p w:rsidR="007506CA" w:rsidRDefault="00F61142" w:rsidP="00827018">
            <w:pPr>
              <w:pStyle w:val="TableTextEntries"/>
              <w:jc w:val="center"/>
            </w:pPr>
            <w:r>
              <w:t>4</w:t>
            </w:r>
          </w:p>
        </w:tc>
        <w:tc>
          <w:tcPr>
            <w:tcW w:w="1390" w:type="dxa"/>
            <w:shd w:val="clear" w:color="auto" w:fill="FFFF00"/>
            <w:noWrap/>
          </w:tcPr>
          <w:p w:rsidR="007506CA" w:rsidRDefault="00F61142" w:rsidP="00827018">
            <w:pPr>
              <w:pStyle w:val="TableTextEntries"/>
              <w:jc w:val="center"/>
            </w:pPr>
            <w:r>
              <w:t>4</w:t>
            </w:r>
          </w:p>
        </w:tc>
        <w:tc>
          <w:tcPr>
            <w:tcW w:w="1234" w:type="dxa"/>
            <w:shd w:val="clear" w:color="auto" w:fill="FF0000"/>
            <w:noWrap/>
          </w:tcPr>
          <w:p w:rsidR="007506CA" w:rsidRDefault="00F61142" w:rsidP="00827018">
            <w:pPr>
              <w:pStyle w:val="TableTextEntries"/>
              <w:jc w:val="center"/>
            </w:pPr>
            <w:r>
              <w:t>2</w:t>
            </w:r>
          </w:p>
        </w:tc>
      </w:tr>
      <w:tr w:rsidR="00F62BD3" w:rsidRPr="009D53C4" w:rsidTr="007808C6">
        <w:trPr>
          <w:cnfStyle w:val="000000010000" w:firstRow="0" w:lastRow="0" w:firstColumn="0" w:lastColumn="0" w:oddVBand="0" w:evenVBand="0" w:oddHBand="0" w:evenHBand="1" w:firstRowFirstColumn="0" w:firstRowLastColumn="0" w:lastRowFirstColumn="0" w:lastRowLastColumn="0"/>
          <w:cantSplit/>
          <w:trHeight w:val="1003"/>
        </w:trPr>
        <w:tc>
          <w:tcPr>
            <w:tcW w:w="2221" w:type="dxa"/>
          </w:tcPr>
          <w:p w:rsidR="00F62BD3" w:rsidRDefault="00F62BD3" w:rsidP="00827018">
            <w:pPr>
              <w:pStyle w:val="TableTextEntries"/>
            </w:pPr>
            <w:r>
              <w:t>Tonga Technical Vocational Education and Training Support Program 1</w:t>
            </w:r>
            <w:r w:rsidR="00F63AA7">
              <w:rPr>
                <w:rStyle w:val="FootnoteReference"/>
              </w:rPr>
              <w:footnoteReference w:id="20"/>
            </w:r>
          </w:p>
        </w:tc>
        <w:tc>
          <w:tcPr>
            <w:tcW w:w="1247" w:type="dxa"/>
            <w:gridSpan w:val="3"/>
          </w:tcPr>
          <w:p w:rsidR="00F62BD3" w:rsidRPr="00A80456" w:rsidRDefault="00F62BD3" w:rsidP="00827018">
            <w:pPr>
              <w:pStyle w:val="TableTextEntries"/>
              <w:rPr>
                <w:sz w:val="16"/>
                <w:szCs w:val="16"/>
              </w:rPr>
            </w:pPr>
            <w:r w:rsidRPr="00A80456">
              <w:rPr>
                <w:sz w:val="16"/>
                <w:szCs w:val="16"/>
              </w:rPr>
              <w:t>$7,420,000 (Australia &amp; NZ contributed $3.7m</w:t>
            </w:r>
            <w:r w:rsidR="007808C6">
              <w:rPr>
                <w:sz w:val="16"/>
                <w:szCs w:val="16"/>
              </w:rPr>
              <w:t xml:space="preserve"> </w:t>
            </w:r>
            <w:r w:rsidRPr="00A80456">
              <w:rPr>
                <w:sz w:val="16"/>
                <w:szCs w:val="16"/>
              </w:rPr>
              <w:t xml:space="preserve">each) </w:t>
            </w:r>
          </w:p>
          <w:p w:rsidR="00F62BD3" w:rsidRPr="00A80456" w:rsidRDefault="00F62BD3" w:rsidP="00827018">
            <w:pPr>
              <w:pStyle w:val="TableTextEntries"/>
              <w:rPr>
                <w:sz w:val="16"/>
                <w:szCs w:val="16"/>
              </w:rPr>
            </w:pPr>
            <w:r w:rsidRPr="00A80456">
              <w:rPr>
                <w:sz w:val="16"/>
                <w:szCs w:val="16"/>
              </w:rPr>
              <w:t>(2012-2013)</w:t>
            </w:r>
          </w:p>
        </w:tc>
        <w:tc>
          <w:tcPr>
            <w:tcW w:w="706" w:type="dxa"/>
          </w:tcPr>
          <w:p w:rsidR="00F62BD3" w:rsidRDefault="00F62BD3" w:rsidP="00827018">
            <w:pPr>
              <w:pStyle w:val="TableTextEntries"/>
            </w:pPr>
            <w:r>
              <w:t>2013</w:t>
            </w:r>
          </w:p>
        </w:tc>
        <w:tc>
          <w:tcPr>
            <w:tcW w:w="1146" w:type="dxa"/>
            <w:shd w:val="clear" w:color="auto" w:fill="72AF2F"/>
            <w:noWrap/>
          </w:tcPr>
          <w:p w:rsidR="00F62BD3" w:rsidRDefault="00F62BD3" w:rsidP="00827018">
            <w:pPr>
              <w:pStyle w:val="TableTextEntries"/>
              <w:jc w:val="center"/>
            </w:pPr>
            <w:r>
              <w:t>5</w:t>
            </w:r>
          </w:p>
        </w:tc>
        <w:tc>
          <w:tcPr>
            <w:tcW w:w="1146" w:type="dxa"/>
            <w:shd w:val="clear" w:color="auto" w:fill="F79646" w:themeFill="accent6"/>
            <w:noWrap/>
          </w:tcPr>
          <w:p w:rsidR="00F62BD3" w:rsidRDefault="00F62BD3" w:rsidP="00827018">
            <w:pPr>
              <w:pStyle w:val="TableTextEntries"/>
              <w:jc w:val="center"/>
            </w:pPr>
            <w:r>
              <w:t>3</w:t>
            </w:r>
          </w:p>
        </w:tc>
        <w:tc>
          <w:tcPr>
            <w:tcW w:w="1286" w:type="dxa"/>
            <w:shd w:val="clear" w:color="auto" w:fill="FF0000"/>
            <w:noWrap/>
          </w:tcPr>
          <w:p w:rsidR="00F62BD3" w:rsidRDefault="00F62BD3" w:rsidP="00827018">
            <w:pPr>
              <w:pStyle w:val="TableTextEntries"/>
              <w:jc w:val="center"/>
            </w:pPr>
            <w:r>
              <w:t>2</w:t>
            </w:r>
          </w:p>
        </w:tc>
        <w:tc>
          <w:tcPr>
            <w:tcW w:w="1247" w:type="dxa"/>
            <w:shd w:val="clear" w:color="auto" w:fill="FF0000"/>
            <w:noWrap/>
          </w:tcPr>
          <w:p w:rsidR="00F62BD3" w:rsidRDefault="00F62BD3" w:rsidP="00827018">
            <w:pPr>
              <w:pStyle w:val="TableTextEntries"/>
              <w:jc w:val="center"/>
            </w:pPr>
            <w:r>
              <w:t>2</w:t>
            </w:r>
          </w:p>
        </w:tc>
        <w:tc>
          <w:tcPr>
            <w:tcW w:w="1390" w:type="dxa"/>
            <w:shd w:val="clear" w:color="auto" w:fill="FF0000"/>
            <w:noWrap/>
          </w:tcPr>
          <w:p w:rsidR="00F62BD3" w:rsidRDefault="00F62BD3" w:rsidP="00827018">
            <w:pPr>
              <w:pStyle w:val="TableTextEntries"/>
              <w:jc w:val="center"/>
            </w:pPr>
            <w:r>
              <w:t>2</w:t>
            </w:r>
          </w:p>
        </w:tc>
        <w:tc>
          <w:tcPr>
            <w:tcW w:w="1234" w:type="dxa"/>
            <w:shd w:val="clear" w:color="auto" w:fill="FF0000"/>
            <w:noWrap/>
          </w:tcPr>
          <w:p w:rsidR="00F62BD3" w:rsidRDefault="00F62BD3" w:rsidP="00827018">
            <w:pPr>
              <w:pStyle w:val="TableTextEntries"/>
              <w:jc w:val="center"/>
            </w:pPr>
            <w:r>
              <w:t>2</w:t>
            </w:r>
          </w:p>
        </w:tc>
      </w:tr>
      <w:tr w:rsidR="0045460B" w:rsidRPr="009D53C4" w:rsidTr="0045460B">
        <w:trPr>
          <w:cnfStyle w:val="000000010000" w:firstRow="0" w:lastRow="0" w:firstColumn="0" w:lastColumn="0" w:oddVBand="0" w:evenVBand="0" w:oddHBand="0" w:evenHBand="1" w:firstRowFirstColumn="0" w:firstRowLastColumn="0" w:lastRowFirstColumn="0" w:lastRowLastColumn="0"/>
          <w:cantSplit/>
          <w:trHeight w:val="322"/>
        </w:trPr>
        <w:tc>
          <w:tcPr>
            <w:tcW w:w="2221" w:type="dxa"/>
          </w:tcPr>
          <w:p w:rsidR="0045460B" w:rsidRDefault="0045460B" w:rsidP="00827018">
            <w:pPr>
              <w:pStyle w:val="TableTextEntries"/>
            </w:pPr>
          </w:p>
        </w:tc>
        <w:tc>
          <w:tcPr>
            <w:tcW w:w="1247" w:type="dxa"/>
            <w:gridSpan w:val="3"/>
          </w:tcPr>
          <w:p w:rsidR="0045460B" w:rsidRPr="00A80456" w:rsidRDefault="0045460B" w:rsidP="00827018">
            <w:pPr>
              <w:pStyle w:val="TableTextEntries"/>
              <w:rPr>
                <w:sz w:val="16"/>
                <w:szCs w:val="16"/>
              </w:rPr>
            </w:pPr>
          </w:p>
        </w:tc>
        <w:tc>
          <w:tcPr>
            <w:tcW w:w="706" w:type="dxa"/>
          </w:tcPr>
          <w:p w:rsidR="0045460B" w:rsidRDefault="0045460B" w:rsidP="00827018">
            <w:pPr>
              <w:pStyle w:val="TableTextEntries"/>
            </w:pPr>
            <w:r>
              <w:t>2012</w:t>
            </w:r>
          </w:p>
        </w:tc>
        <w:tc>
          <w:tcPr>
            <w:tcW w:w="7589" w:type="dxa"/>
            <w:gridSpan w:val="6"/>
            <w:shd w:val="clear" w:color="auto" w:fill="FFFF00"/>
            <w:noWrap/>
          </w:tcPr>
          <w:p w:rsidR="0045460B" w:rsidRDefault="0045460B" w:rsidP="00374D58">
            <w:pPr>
              <w:pStyle w:val="TableTextEntries"/>
              <w:jc w:val="center"/>
            </w:pPr>
            <w:r>
              <w:t xml:space="preserve">Program </w:t>
            </w:r>
            <w:r w:rsidR="000C4335">
              <w:t>was</w:t>
            </w:r>
            <w:r w:rsidR="00374D58">
              <w:t xml:space="preserve"> in process of being </w:t>
            </w:r>
            <w:r w:rsidR="000C4335">
              <w:t xml:space="preserve"> closed </w:t>
            </w:r>
            <w:r w:rsidR="00374D58">
              <w:t xml:space="preserve">so </w:t>
            </w:r>
            <w:r w:rsidR="000C4335">
              <w:t>not monitored in 2012</w:t>
            </w:r>
          </w:p>
        </w:tc>
      </w:tr>
      <w:tr w:rsidR="00F62BD3" w:rsidRPr="009D53C4" w:rsidTr="00827018">
        <w:trPr>
          <w:cnfStyle w:val="000000010000" w:firstRow="0" w:lastRow="0" w:firstColumn="0" w:lastColumn="0" w:oddVBand="0" w:evenVBand="0" w:oddHBand="0" w:evenHBand="1" w:firstRowFirstColumn="0" w:firstRowLastColumn="0" w:lastRowFirstColumn="0" w:lastRowLastColumn="0"/>
          <w:cantSplit/>
          <w:trHeight w:val="322"/>
        </w:trPr>
        <w:tc>
          <w:tcPr>
            <w:tcW w:w="2221" w:type="dxa"/>
          </w:tcPr>
          <w:p w:rsidR="00F62BD3" w:rsidRPr="00FE4491" w:rsidRDefault="00F62BD3" w:rsidP="00827018">
            <w:pPr>
              <w:pStyle w:val="TableTextEntries"/>
            </w:pPr>
            <w:r>
              <w:t xml:space="preserve">Tonga Education Support Program 2 </w:t>
            </w:r>
          </w:p>
        </w:tc>
        <w:tc>
          <w:tcPr>
            <w:tcW w:w="1247" w:type="dxa"/>
            <w:gridSpan w:val="3"/>
          </w:tcPr>
          <w:p w:rsidR="00F62BD3" w:rsidRPr="00A80456" w:rsidRDefault="00F62BD3" w:rsidP="00827018">
            <w:pPr>
              <w:pStyle w:val="TableTextEntries"/>
              <w:rPr>
                <w:sz w:val="16"/>
                <w:szCs w:val="16"/>
              </w:rPr>
            </w:pPr>
            <w:r w:rsidRPr="00A80456">
              <w:rPr>
                <w:sz w:val="16"/>
                <w:szCs w:val="16"/>
              </w:rPr>
              <w:t>$12,000,000 3 years</w:t>
            </w:r>
          </w:p>
        </w:tc>
        <w:tc>
          <w:tcPr>
            <w:tcW w:w="706" w:type="dxa"/>
          </w:tcPr>
          <w:p w:rsidR="00F62BD3" w:rsidRPr="00FE4491" w:rsidRDefault="00F62BD3" w:rsidP="00827018">
            <w:pPr>
              <w:pStyle w:val="TableTextEntries"/>
            </w:pPr>
            <w:r>
              <w:t>2013</w:t>
            </w:r>
          </w:p>
        </w:tc>
        <w:tc>
          <w:tcPr>
            <w:tcW w:w="1146" w:type="dxa"/>
            <w:shd w:val="clear" w:color="auto" w:fill="FFFF00"/>
            <w:noWrap/>
          </w:tcPr>
          <w:p w:rsidR="00F62BD3" w:rsidRPr="00FE4491" w:rsidRDefault="00F62BD3" w:rsidP="00827018">
            <w:pPr>
              <w:pStyle w:val="TableTextEntries"/>
              <w:jc w:val="center"/>
            </w:pPr>
            <w:r>
              <w:t>4</w:t>
            </w:r>
          </w:p>
        </w:tc>
        <w:tc>
          <w:tcPr>
            <w:tcW w:w="1146" w:type="dxa"/>
            <w:shd w:val="clear" w:color="auto" w:fill="72AF2F"/>
            <w:noWrap/>
          </w:tcPr>
          <w:p w:rsidR="00F62BD3" w:rsidRPr="00FE4491" w:rsidRDefault="00F62BD3" w:rsidP="00827018">
            <w:pPr>
              <w:pStyle w:val="TableTextEntries"/>
              <w:jc w:val="center"/>
            </w:pPr>
            <w:r w:rsidRPr="0064689B">
              <w:t>5</w:t>
            </w:r>
          </w:p>
        </w:tc>
        <w:tc>
          <w:tcPr>
            <w:tcW w:w="1286" w:type="dxa"/>
            <w:shd w:val="clear" w:color="auto" w:fill="FFFF00"/>
            <w:noWrap/>
          </w:tcPr>
          <w:p w:rsidR="00F62BD3" w:rsidRPr="00FE4491" w:rsidRDefault="00F62BD3" w:rsidP="00827018">
            <w:pPr>
              <w:pStyle w:val="TableTextEntries"/>
              <w:jc w:val="center"/>
            </w:pPr>
            <w:r>
              <w:t>4</w:t>
            </w:r>
          </w:p>
        </w:tc>
        <w:tc>
          <w:tcPr>
            <w:tcW w:w="1247" w:type="dxa"/>
            <w:shd w:val="clear" w:color="auto" w:fill="72AF2F"/>
            <w:noWrap/>
          </w:tcPr>
          <w:p w:rsidR="00F62BD3" w:rsidRPr="00FE4491" w:rsidRDefault="00F62BD3" w:rsidP="00827018">
            <w:pPr>
              <w:pStyle w:val="TableTextEntries"/>
              <w:jc w:val="center"/>
            </w:pPr>
            <w:r>
              <w:t>5</w:t>
            </w:r>
          </w:p>
        </w:tc>
        <w:tc>
          <w:tcPr>
            <w:tcW w:w="1390" w:type="dxa"/>
            <w:shd w:val="clear" w:color="auto" w:fill="FFFF00"/>
            <w:noWrap/>
          </w:tcPr>
          <w:p w:rsidR="00F62BD3" w:rsidRPr="00FE4491" w:rsidRDefault="00F62BD3" w:rsidP="00827018">
            <w:pPr>
              <w:pStyle w:val="TableTextEntries"/>
              <w:jc w:val="center"/>
            </w:pPr>
            <w:r>
              <w:t>4</w:t>
            </w:r>
          </w:p>
        </w:tc>
        <w:tc>
          <w:tcPr>
            <w:tcW w:w="1234" w:type="dxa"/>
            <w:shd w:val="clear" w:color="auto" w:fill="FFFF00"/>
            <w:noWrap/>
          </w:tcPr>
          <w:p w:rsidR="00F62BD3" w:rsidRPr="00FE4491" w:rsidRDefault="00F62BD3" w:rsidP="00827018">
            <w:pPr>
              <w:pStyle w:val="TableTextEntries"/>
              <w:jc w:val="center"/>
            </w:pPr>
            <w:r>
              <w:t>4</w:t>
            </w:r>
          </w:p>
        </w:tc>
      </w:tr>
      <w:tr w:rsidR="00BE5BB9" w:rsidRPr="009D53C4" w:rsidTr="00A25CC3">
        <w:trPr>
          <w:cnfStyle w:val="000000010000" w:firstRow="0" w:lastRow="0" w:firstColumn="0" w:lastColumn="0" w:oddVBand="0" w:evenVBand="0" w:oddHBand="0" w:evenHBand="1" w:firstRowFirstColumn="0" w:firstRowLastColumn="0" w:lastRowFirstColumn="0" w:lastRowLastColumn="0"/>
          <w:cantSplit/>
          <w:trHeight w:val="322"/>
        </w:trPr>
        <w:tc>
          <w:tcPr>
            <w:tcW w:w="2221" w:type="dxa"/>
          </w:tcPr>
          <w:p w:rsidR="00BE5BB9" w:rsidRDefault="00BE5BB9" w:rsidP="00827018">
            <w:pPr>
              <w:pStyle w:val="TableTextEntries"/>
            </w:pPr>
          </w:p>
        </w:tc>
        <w:tc>
          <w:tcPr>
            <w:tcW w:w="1247" w:type="dxa"/>
            <w:gridSpan w:val="3"/>
          </w:tcPr>
          <w:p w:rsidR="00BE5BB9" w:rsidRPr="00A80456" w:rsidRDefault="00BE5BB9" w:rsidP="00827018">
            <w:pPr>
              <w:pStyle w:val="TableTextEntries"/>
              <w:rPr>
                <w:sz w:val="16"/>
                <w:szCs w:val="16"/>
              </w:rPr>
            </w:pPr>
          </w:p>
        </w:tc>
        <w:tc>
          <w:tcPr>
            <w:tcW w:w="706" w:type="dxa"/>
          </w:tcPr>
          <w:p w:rsidR="00BE5BB9" w:rsidRDefault="00BE5BB9" w:rsidP="00827018">
            <w:pPr>
              <w:pStyle w:val="TableTextEntries"/>
            </w:pPr>
            <w:r>
              <w:t>2012</w:t>
            </w:r>
          </w:p>
        </w:tc>
        <w:tc>
          <w:tcPr>
            <w:tcW w:w="1146" w:type="dxa"/>
            <w:shd w:val="clear" w:color="auto" w:fill="009900"/>
            <w:noWrap/>
          </w:tcPr>
          <w:p w:rsidR="00BE5BB9" w:rsidRDefault="00A25CC3" w:rsidP="00827018">
            <w:pPr>
              <w:pStyle w:val="TableTextEntries"/>
              <w:jc w:val="center"/>
            </w:pPr>
            <w:r>
              <w:t>5</w:t>
            </w:r>
          </w:p>
        </w:tc>
        <w:tc>
          <w:tcPr>
            <w:tcW w:w="1146" w:type="dxa"/>
            <w:shd w:val="clear" w:color="auto" w:fill="009900"/>
            <w:noWrap/>
          </w:tcPr>
          <w:p w:rsidR="00BE5BB9" w:rsidRPr="0064689B" w:rsidRDefault="00A25CC3" w:rsidP="00827018">
            <w:pPr>
              <w:pStyle w:val="TableTextEntries"/>
              <w:jc w:val="center"/>
            </w:pPr>
            <w:r>
              <w:t>5</w:t>
            </w:r>
          </w:p>
        </w:tc>
        <w:tc>
          <w:tcPr>
            <w:tcW w:w="1286" w:type="dxa"/>
            <w:shd w:val="clear" w:color="auto" w:fill="FFFF00"/>
            <w:noWrap/>
          </w:tcPr>
          <w:p w:rsidR="00BE5BB9" w:rsidRDefault="00A25CC3" w:rsidP="00827018">
            <w:pPr>
              <w:pStyle w:val="TableTextEntries"/>
              <w:jc w:val="center"/>
            </w:pPr>
            <w:r>
              <w:t>4</w:t>
            </w:r>
          </w:p>
        </w:tc>
        <w:tc>
          <w:tcPr>
            <w:tcW w:w="1247" w:type="dxa"/>
            <w:shd w:val="clear" w:color="auto" w:fill="F8A45E"/>
            <w:noWrap/>
          </w:tcPr>
          <w:p w:rsidR="00BE5BB9" w:rsidRDefault="00A25CC3" w:rsidP="00827018">
            <w:pPr>
              <w:pStyle w:val="TableTextEntries"/>
              <w:jc w:val="center"/>
            </w:pPr>
            <w:r>
              <w:t>3</w:t>
            </w:r>
          </w:p>
        </w:tc>
        <w:tc>
          <w:tcPr>
            <w:tcW w:w="1390" w:type="dxa"/>
            <w:shd w:val="clear" w:color="auto" w:fill="FFFF00"/>
            <w:noWrap/>
          </w:tcPr>
          <w:p w:rsidR="00BE5BB9" w:rsidRDefault="00A25CC3" w:rsidP="00827018">
            <w:pPr>
              <w:pStyle w:val="TableTextEntries"/>
              <w:jc w:val="center"/>
            </w:pPr>
            <w:r>
              <w:t>4</w:t>
            </w:r>
          </w:p>
        </w:tc>
        <w:tc>
          <w:tcPr>
            <w:tcW w:w="1234" w:type="dxa"/>
            <w:shd w:val="clear" w:color="auto" w:fill="FFFF00"/>
            <w:noWrap/>
          </w:tcPr>
          <w:p w:rsidR="00BE5BB9" w:rsidRDefault="00A25CC3" w:rsidP="00827018">
            <w:pPr>
              <w:pStyle w:val="TableTextEntries"/>
              <w:jc w:val="center"/>
            </w:pPr>
            <w:r>
              <w:t>4</w:t>
            </w:r>
          </w:p>
        </w:tc>
      </w:tr>
      <w:tr w:rsidR="00F62BD3" w:rsidRPr="009D53C4" w:rsidTr="00827018">
        <w:trPr>
          <w:cnfStyle w:val="000000010000" w:firstRow="0" w:lastRow="0" w:firstColumn="0" w:lastColumn="0" w:oddVBand="0" w:evenVBand="0" w:oddHBand="0" w:evenHBand="1" w:firstRowFirstColumn="0" w:firstRowLastColumn="0" w:lastRowFirstColumn="0" w:lastRowLastColumn="0"/>
          <w:cantSplit/>
          <w:trHeight w:val="460"/>
        </w:trPr>
        <w:tc>
          <w:tcPr>
            <w:tcW w:w="2221" w:type="dxa"/>
          </w:tcPr>
          <w:p w:rsidR="00F62BD3" w:rsidRPr="00541110" w:rsidRDefault="00F62BD3" w:rsidP="00827018">
            <w:pPr>
              <w:pStyle w:val="TableTextEntries"/>
              <w:rPr>
                <w:rFonts w:ascii="Calibri" w:hAnsi="Calibri" w:cs="Calibri"/>
                <w:sz w:val="16"/>
                <w:szCs w:val="16"/>
              </w:rPr>
            </w:pPr>
            <w:r w:rsidRPr="00541110">
              <w:rPr>
                <w:sz w:val="16"/>
                <w:szCs w:val="16"/>
              </w:rPr>
              <w:t>Australian Awards Scholarships</w:t>
            </w:r>
            <w:r w:rsidRPr="00541110">
              <w:rPr>
                <w:rFonts w:ascii="Calibri" w:hAnsi="Calibri" w:cs="Calibri"/>
                <w:sz w:val="16"/>
                <w:szCs w:val="16"/>
              </w:rPr>
              <w:t xml:space="preserve"> </w:t>
            </w:r>
            <w:r w:rsidR="002969D6">
              <w:rPr>
                <w:rFonts w:ascii="Calibri" w:hAnsi="Calibri" w:cs="Calibri"/>
                <w:sz w:val="16"/>
                <w:szCs w:val="16"/>
              </w:rPr>
              <w:t xml:space="preserve"> </w:t>
            </w:r>
            <w:r w:rsidR="006B44F8">
              <w:rPr>
                <w:rFonts w:ascii="Calibri" w:hAnsi="Calibri" w:cs="Calibri"/>
                <w:sz w:val="16"/>
                <w:szCs w:val="16"/>
              </w:rPr>
              <w:t xml:space="preserve">(cluster QAI covering </w:t>
            </w:r>
            <w:r w:rsidR="002D45BD">
              <w:rPr>
                <w:rFonts w:ascii="Calibri" w:hAnsi="Calibri" w:cs="Calibri"/>
                <w:sz w:val="16"/>
                <w:szCs w:val="16"/>
              </w:rPr>
              <w:t>scholarship programs)</w:t>
            </w:r>
          </w:p>
        </w:tc>
        <w:tc>
          <w:tcPr>
            <w:tcW w:w="1247" w:type="dxa"/>
            <w:gridSpan w:val="3"/>
          </w:tcPr>
          <w:p w:rsidR="00F62BD3" w:rsidRPr="00A80456" w:rsidRDefault="00F62BD3" w:rsidP="00827018">
            <w:pPr>
              <w:pStyle w:val="TableTextEntries"/>
              <w:rPr>
                <w:sz w:val="16"/>
                <w:szCs w:val="16"/>
              </w:rPr>
            </w:pPr>
            <w:r w:rsidRPr="00A80456">
              <w:rPr>
                <w:sz w:val="16"/>
                <w:szCs w:val="16"/>
              </w:rPr>
              <w:t>$12,099,487 over 26 years</w:t>
            </w:r>
          </w:p>
        </w:tc>
        <w:tc>
          <w:tcPr>
            <w:tcW w:w="706" w:type="dxa"/>
          </w:tcPr>
          <w:p w:rsidR="00F62BD3" w:rsidRDefault="00F62BD3" w:rsidP="00827018">
            <w:pPr>
              <w:pStyle w:val="TableTextEntries"/>
            </w:pPr>
            <w:r>
              <w:t>2013</w:t>
            </w:r>
          </w:p>
        </w:tc>
        <w:tc>
          <w:tcPr>
            <w:tcW w:w="1146" w:type="dxa"/>
            <w:shd w:val="clear" w:color="auto" w:fill="FFFF00"/>
            <w:noWrap/>
          </w:tcPr>
          <w:p w:rsidR="00F62BD3" w:rsidRDefault="00F62BD3" w:rsidP="00827018">
            <w:pPr>
              <w:pStyle w:val="TableTextEntries"/>
              <w:jc w:val="center"/>
            </w:pPr>
            <w:r>
              <w:t>4</w:t>
            </w:r>
          </w:p>
        </w:tc>
        <w:tc>
          <w:tcPr>
            <w:tcW w:w="1146" w:type="dxa"/>
            <w:shd w:val="clear" w:color="auto" w:fill="F79646" w:themeFill="accent6"/>
            <w:noWrap/>
          </w:tcPr>
          <w:p w:rsidR="00F62BD3" w:rsidRDefault="00F62BD3" w:rsidP="00827018">
            <w:pPr>
              <w:pStyle w:val="TableTextEntries"/>
              <w:jc w:val="center"/>
            </w:pPr>
            <w:r>
              <w:t>3</w:t>
            </w:r>
          </w:p>
        </w:tc>
        <w:tc>
          <w:tcPr>
            <w:tcW w:w="1286" w:type="dxa"/>
            <w:shd w:val="clear" w:color="auto" w:fill="FFFF00"/>
            <w:noWrap/>
          </w:tcPr>
          <w:p w:rsidR="00F62BD3" w:rsidRDefault="00F62BD3" w:rsidP="00827018">
            <w:pPr>
              <w:pStyle w:val="TableTextEntries"/>
              <w:jc w:val="center"/>
            </w:pPr>
            <w:r>
              <w:t>4</w:t>
            </w:r>
          </w:p>
        </w:tc>
        <w:tc>
          <w:tcPr>
            <w:tcW w:w="1247" w:type="dxa"/>
            <w:shd w:val="clear" w:color="auto" w:fill="FFFF00"/>
            <w:noWrap/>
          </w:tcPr>
          <w:p w:rsidR="00F62BD3" w:rsidRDefault="00F62BD3" w:rsidP="00827018">
            <w:pPr>
              <w:pStyle w:val="TableTextEntries"/>
              <w:jc w:val="center"/>
            </w:pPr>
            <w:r>
              <w:t>4</w:t>
            </w:r>
          </w:p>
        </w:tc>
        <w:tc>
          <w:tcPr>
            <w:tcW w:w="1390" w:type="dxa"/>
            <w:shd w:val="clear" w:color="auto" w:fill="FFFF00"/>
            <w:noWrap/>
          </w:tcPr>
          <w:p w:rsidR="00F62BD3" w:rsidRDefault="00F62BD3" w:rsidP="00827018">
            <w:pPr>
              <w:pStyle w:val="TableTextEntries"/>
              <w:jc w:val="center"/>
            </w:pPr>
            <w:r>
              <w:t>4</w:t>
            </w:r>
          </w:p>
        </w:tc>
        <w:tc>
          <w:tcPr>
            <w:tcW w:w="1234" w:type="dxa"/>
            <w:shd w:val="clear" w:color="auto" w:fill="F79646" w:themeFill="accent6"/>
            <w:noWrap/>
          </w:tcPr>
          <w:p w:rsidR="00F62BD3" w:rsidRDefault="00F62BD3" w:rsidP="00827018">
            <w:pPr>
              <w:pStyle w:val="TableTextEntries"/>
              <w:jc w:val="center"/>
            </w:pPr>
            <w:r>
              <w:t>3</w:t>
            </w:r>
          </w:p>
        </w:tc>
      </w:tr>
      <w:tr w:rsidR="00BE5BB9" w:rsidRPr="009D53C4" w:rsidTr="006B44F8">
        <w:trPr>
          <w:cnfStyle w:val="000000010000" w:firstRow="0" w:lastRow="0" w:firstColumn="0" w:lastColumn="0" w:oddVBand="0" w:evenVBand="0" w:oddHBand="0" w:evenHBand="1" w:firstRowFirstColumn="0" w:firstRowLastColumn="0" w:lastRowFirstColumn="0" w:lastRowLastColumn="0"/>
          <w:cantSplit/>
          <w:trHeight w:val="460"/>
        </w:trPr>
        <w:tc>
          <w:tcPr>
            <w:tcW w:w="2221" w:type="dxa"/>
          </w:tcPr>
          <w:p w:rsidR="00BE5BB9" w:rsidRPr="00541110" w:rsidRDefault="002969D6" w:rsidP="00AD1F6D">
            <w:pPr>
              <w:pStyle w:val="TableTextEntries"/>
              <w:numPr>
                <w:ilvl w:val="0"/>
                <w:numId w:val="29"/>
              </w:numPr>
              <w:rPr>
                <w:sz w:val="16"/>
                <w:szCs w:val="16"/>
              </w:rPr>
            </w:pPr>
            <w:r>
              <w:rPr>
                <w:sz w:val="16"/>
                <w:szCs w:val="16"/>
              </w:rPr>
              <w:t>Aus</w:t>
            </w:r>
            <w:r w:rsidR="006B44F8">
              <w:rPr>
                <w:sz w:val="16"/>
                <w:szCs w:val="16"/>
              </w:rPr>
              <w:t>tralian Development Scholarships II</w:t>
            </w:r>
          </w:p>
        </w:tc>
        <w:tc>
          <w:tcPr>
            <w:tcW w:w="1247" w:type="dxa"/>
            <w:gridSpan w:val="3"/>
          </w:tcPr>
          <w:p w:rsidR="00BE5BB9" w:rsidRPr="00A80456" w:rsidRDefault="00BE5BB9" w:rsidP="00827018">
            <w:pPr>
              <w:pStyle w:val="TableTextEntries"/>
              <w:rPr>
                <w:sz w:val="16"/>
                <w:szCs w:val="16"/>
              </w:rPr>
            </w:pPr>
          </w:p>
        </w:tc>
        <w:tc>
          <w:tcPr>
            <w:tcW w:w="706" w:type="dxa"/>
          </w:tcPr>
          <w:p w:rsidR="00BE5BB9" w:rsidRDefault="00BE5BB9" w:rsidP="00827018">
            <w:pPr>
              <w:pStyle w:val="TableTextEntries"/>
            </w:pPr>
            <w:r>
              <w:t>2012</w:t>
            </w:r>
          </w:p>
        </w:tc>
        <w:tc>
          <w:tcPr>
            <w:tcW w:w="1146" w:type="dxa"/>
            <w:shd w:val="clear" w:color="auto" w:fill="009900"/>
            <w:noWrap/>
          </w:tcPr>
          <w:p w:rsidR="00BE5BB9" w:rsidRDefault="006B44F8" w:rsidP="00827018">
            <w:pPr>
              <w:pStyle w:val="TableTextEntries"/>
              <w:jc w:val="center"/>
            </w:pPr>
            <w:r>
              <w:t>5</w:t>
            </w:r>
          </w:p>
        </w:tc>
        <w:tc>
          <w:tcPr>
            <w:tcW w:w="1146" w:type="dxa"/>
            <w:shd w:val="clear" w:color="auto" w:fill="009900"/>
            <w:noWrap/>
          </w:tcPr>
          <w:p w:rsidR="00BE5BB9" w:rsidRDefault="006B44F8" w:rsidP="00827018">
            <w:pPr>
              <w:pStyle w:val="TableTextEntries"/>
              <w:jc w:val="center"/>
            </w:pPr>
            <w:r>
              <w:t>5</w:t>
            </w:r>
          </w:p>
        </w:tc>
        <w:tc>
          <w:tcPr>
            <w:tcW w:w="1286" w:type="dxa"/>
            <w:shd w:val="clear" w:color="auto" w:fill="009900"/>
            <w:noWrap/>
          </w:tcPr>
          <w:p w:rsidR="00BE5BB9" w:rsidRDefault="006B44F8" w:rsidP="00827018">
            <w:pPr>
              <w:pStyle w:val="TableTextEntries"/>
              <w:jc w:val="center"/>
            </w:pPr>
            <w:r>
              <w:t>5</w:t>
            </w:r>
          </w:p>
        </w:tc>
        <w:tc>
          <w:tcPr>
            <w:tcW w:w="1247" w:type="dxa"/>
            <w:shd w:val="clear" w:color="auto" w:fill="F79646" w:themeFill="accent6"/>
            <w:noWrap/>
          </w:tcPr>
          <w:p w:rsidR="00BE5BB9" w:rsidRDefault="006B44F8" w:rsidP="00827018">
            <w:pPr>
              <w:pStyle w:val="TableTextEntries"/>
              <w:jc w:val="center"/>
            </w:pPr>
            <w:r>
              <w:t>3</w:t>
            </w:r>
          </w:p>
        </w:tc>
        <w:tc>
          <w:tcPr>
            <w:tcW w:w="1390" w:type="dxa"/>
            <w:shd w:val="clear" w:color="auto" w:fill="FFFF00"/>
            <w:noWrap/>
          </w:tcPr>
          <w:p w:rsidR="00BE5BB9" w:rsidRDefault="006B44F8" w:rsidP="00827018">
            <w:pPr>
              <w:pStyle w:val="TableTextEntries"/>
              <w:jc w:val="center"/>
            </w:pPr>
            <w:r>
              <w:t>4</w:t>
            </w:r>
          </w:p>
        </w:tc>
        <w:tc>
          <w:tcPr>
            <w:tcW w:w="1234" w:type="dxa"/>
            <w:shd w:val="clear" w:color="auto" w:fill="FFFF00"/>
            <w:noWrap/>
          </w:tcPr>
          <w:p w:rsidR="00BE5BB9" w:rsidRDefault="006B44F8" w:rsidP="00827018">
            <w:pPr>
              <w:pStyle w:val="TableTextEntries"/>
              <w:jc w:val="center"/>
            </w:pPr>
            <w:r>
              <w:t>4</w:t>
            </w:r>
          </w:p>
        </w:tc>
      </w:tr>
      <w:tr w:rsidR="004D2245" w:rsidRPr="009D53C4" w:rsidTr="004D2245">
        <w:trPr>
          <w:cnfStyle w:val="000000010000" w:firstRow="0" w:lastRow="0" w:firstColumn="0" w:lastColumn="0" w:oddVBand="0" w:evenVBand="0" w:oddHBand="0" w:evenHBand="1" w:firstRowFirstColumn="0" w:firstRowLastColumn="0" w:lastRowFirstColumn="0" w:lastRowLastColumn="0"/>
          <w:cantSplit/>
          <w:trHeight w:val="534"/>
        </w:trPr>
        <w:tc>
          <w:tcPr>
            <w:tcW w:w="2221" w:type="dxa"/>
          </w:tcPr>
          <w:p w:rsidR="002969D6" w:rsidRPr="00541110" w:rsidRDefault="006B44F8" w:rsidP="00AD1F6D">
            <w:pPr>
              <w:pStyle w:val="TableTextEntries"/>
              <w:numPr>
                <w:ilvl w:val="0"/>
                <w:numId w:val="29"/>
              </w:numPr>
              <w:rPr>
                <w:sz w:val="16"/>
                <w:szCs w:val="16"/>
              </w:rPr>
            </w:pPr>
            <w:r>
              <w:rPr>
                <w:sz w:val="16"/>
                <w:szCs w:val="16"/>
              </w:rPr>
              <w:t>Australian Regional Development Scholarships II</w:t>
            </w:r>
          </w:p>
        </w:tc>
        <w:tc>
          <w:tcPr>
            <w:tcW w:w="1247" w:type="dxa"/>
            <w:gridSpan w:val="3"/>
          </w:tcPr>
          <w:p w:rsidR="002969D6" w:rsidRPr="00A80456" w:rsidRDefault="002969D6" w:rsidP="00827018">
            <w:pPr>
              <w:pStyle w:val="TableTextEntries"/>
              <w:rPr>
                <w:sz w:val="16"/>
                <w:szCs w:val="16"/>
              </w:rPr>
            </w:pPr>
          </w:p>
        </w:tc>
        <w:tc>
          <w:tcPr>
            <w:tcW w:w="706" w:type="dxa"/>
          </w:tcPr>
          <w:p w:rsidR="002969D6" w:rsidRDefault="002969D6" w:rsidP="00827018">
            <w:pPr>
              <w:pStyle w:val="TableTextEntries"/>
            </w:pPr>
            <w:r>
              <w:t>2012</w:t>
            </w:r>
          </w:p>
        </w:tc>
        <w:tc>
          <w:tcPr>
            <w:tcW w:w="1146" w:type="dxa"/>
            <w:shd w:val="clear" w:color="auto" w:fill="009900"/>
            <w:noWrap/>
          </w:tcPr>
          <w:p w:rsidR="002969D6" w:rsidRDefault="006B44F8" w:rsidP="00827018">
            <w:pPr>
              <w:pStyle w:val="TableTextEntries"/>
              <w:jc w:val="center"/>
            </w:pPr>
            <w:r>
              <w:t>5</w:t>
            </w:r>
          </w:p>
        </w:tc>
        <w:tc>
          <w:tcPr>
            <w:tcW w:w="1146" w:type="dxa"/>
            <w:shd w:val="clear" w:color="auto" w:fill="009900"/>
            <w:noWrap/>
          </w:tcPr>
          <w:p w:rsidR="002969D6" w:rsidRDefault="006B44F8" w:rsidP="00827018">
            <w:pPr>
              <w:pStyle w:val="TableTextEntries"/>
              <w:jc w:val="center"/>
            </w:pPr>
            <w:r>
              <w:t>5</w:t>
            </w:r>
          </w:p>
        </w:tc>
        <w:tc>
          <w:tcPr>
            <w:tcW w:w="1286" w:type="dxa"/>
            <w:shd w:val="clear" w:color="auto" w:fill="FF0000"/>
            <w:noWrap/>
          </w:tcPr>
          <w:p w:rsidR="002969D6" w:rsidRDefault="006B44F8" w:rsidP="00827018">
            <w:pPr>
              <w:pStyle w:val="TableTextEntries"/>
              <w:jc w:val="center"/>
            </w:pPr>
            <w:r>
              <w:t>2</w:t>
            </w:r>
          </w:p>
        </w:tc>
        <w:tc>
          <w:tcPr>
            <w:tcW w:w="1247" w:type="dxa"/>
            <w:shd w:val="clear" w:color="auto" w:fill="FF9933"/>
            <w:noWrap/>
          </w:tcPr>
          <w:p w:rsidR="002969D6" w:rsidRDefault="006B44F8" w:rsidP="00827018">
            <w:pPr>
              <w:pStyle w:val="TableTextEntries"/>
              <w:jc w:val="center"/>
            </w:pPr>
            <w:r>
              <w:t>3</w:t>
            </w:r>
          </w:p>
        </w:tc>
        <w:tc>
          <w:tcPr>
            <w:tcW w:w="1390" w:type="dxa"/>
            <w:shd w:val="clear" w:color="auto" w:fill="FFFF00"/>
            <w:noWrap/>
          </w:tcPr>
          <w:p w:rsidR="002969D6" w:rsidRDefault="006B44F8" w:rsidP="00827018">
            <w:pPr>
              <w:pStyle w:val="TableTextEntries"/>
              <w:jc w:val="center"/>
            </w:pPr>
            <w:r>
              <w:t>4</w:t>
            </w:r>
          </w:p>
        </w:tc>
        <w:tc>
          <w:tcPr>
            <w:tcW w:w="1234" w:type="dxa"/>
            <w:shd w:val="clear" w:color="auto" w:fill="FFFF00"/>
            <w:noWrap/>
          </w:tcPr>
          <w:p w:rsidR="002969D6" w:rsidRDefault="006B44F8" w:rsidP="00827018">
            <w:pPr>
              <w:pStyle w:val="TableTextEntries"/>
              <w:jc w:val="center"/>
            </w:pPr>
            <w:r>
              <w:t>4</w:t>
            </w:r>
          </w:p>
        </w:tc>
      </w:tr>
    </w:tbl>
    <w:p w:rsidR="00F63AA7" w:rsidRDefault="00F63AA7" w:rsidP="00F63AA7">
      <w:pPr>
        <w:pStyle w:val="Note"/>
      </w:pPr>
      <w:r>
        <w:lastRenderedPageBreak/>
        <w:t>Definitions of rating scale:</w:t>
      </w:r>
      <w:r>
        <w:tab/>
      </w:r>
    </w:p>
    <w:p w:rsidR="00F63AA7" w:rsidRDefault="00F63AA7" w:rsidP="00F63AA7">
      <w:pPr>
        <w:pStyle w:val="Note"/>
      </w:pPr>
      <w:r>
        <w:t>Satisfactory (4, 5 and 6)</w:t>
      </w:r>
    </w:p>
    <w:p w:rsidR="00F63AA7" w:rsidRDefault="00F63AA7" w:rsidP="00F63AA7">
      <w:pPr>
        <w:pStyle w:val="Note"/>
      </w:pPr>
      <w:r w:rsidRPr="00593946">
        <w:rPr>
          <w:color w:val="72AF2F"/>
        </w:rPr>
        <w:sym w:font="Webdings" w:char="F067"/>
      </w:r>
      <w:r>
        <w:t xml:space="preserve"> = 6 = Very high quality</w:t>
      </w:r>
    </w:p>
    <w:p w:rsidR="00F63AA7" w:rsidRDefault="00F63AA7" w:rsidP="00F63AA7">
      <w:pPr>
        <w:pStyle w:val="Note"/>
      </w:pPr>
      <w:r w:rsidRPr="00593946">
        <w:rPr>
          <w:color w:val="72AF2F"/>
        </w:rPr>
        <w:sym w:font="Webdings" w:char="F067"/>
      </w:r>
      <w:r>
        <w:t xml:space="preserve"> = 5 = Good quality</w:t>
      </w:r>
    </w:p>
    <w:p w:rsidR="00F63AA7" w:rsidRDefault="00F63AA7" w:rsidP="00F63AA7">
      <w:pPr>
        <w:pStyle w:val="Note"/>
      </w:pPr>
      <w:r w:rsidRPr="000774FD">
        <w:rPr>
          <w:color w:val="FFFF00"/>
        </w:rPr>
        <w:sym w:font="Webdings" w:char="F067"/>
      </w:r>
      <w:r>
        <w:t xml:space="preserve"> = 4 = Adequate quality, needs some work</w:t>
      </w:r>
    </w:p>
    <w:p w:rsidR="00F63AA7" w:rsidRDefault="00F63AA7" w:rsidP="00F63AA7">
      <w:pPr>
        <w:pStyle w:val="Note"/>
      </w:pPr>
      <w:r>
        <w:t>Less than satisfactory (1, 2 and 3)</w:t>
      </w:r>
    </w:p>
    <w:p w:rsidR="00F63AA7" w:rsidRDefault="00F63AA7" w:rsidP="00F63AA7">
      <w:pPr>
        <w:pStyle w:val="Note"/>
      </w:pPr>
      <w:r w:rsidRPr="00593946">
        <w:rPr>
          <w:color w:val="E36C0A"/>
        </w:rPr>
        <w:sym w:font="Webdings" w:char="F067"/>
      </w:r>
      <w:r w:rsidRPr="00593946">
        <w:rPr>
          <w:color w:val="E36C0A"/>
        </w:rPr>
        <w:t xml:space="preserve"> </w:t>
      </w:r>
      <w:r>
        <w:t>= 3 = Less than adequate quality; needs significant work</w:t>
      </w:r>
    </w:p>
    <w:p w:rsidR="00F63AA7" w:rsidRDefault="00F63AA7" w:rsidP="00F63AA7">
      <w:pPr>
        <w:pStyle w:val="Note"/>
      </w:pPr>
      <w:r w:rsidRPr="000774FD">
        <w:rPr>
          <w:color w:val="FF0000"/>
        </w:rPr>
        <w:sym w:font="Webdings" w:char="F067"/>
      </w:r>
      <w:r>
        <w:t xml:space="preserve"> = 2 = Poor quality; needs major work to improve</w:t>
      </w:r>
    </w:p>
    <w:p w:rsidR="00F63AA7" w:rsidRDefault="00F63AA7" w:rsidP="00F63AA7">
      <w:pPr>
        <w:pStyle w:val="Note"/>
      </w:pPr>
      <w:r w:rsidRPr="000774FD">
        <w:rPr>
          <w:color w:val="FF0000"/>
        </w:rPr>
        <w:sym w:font="Webdings" w:char="F067"/>
      </w:r>
      <w:r>
        <w:t xml:space="preserve"> = 1 = Very poor quality; needs major overhaul</w:t>
      </w:r>
    </w:p>
    <w:p w:rsidR="000D733F" w:rsidRPr="009E38C1" w:rsidRDefault="000D733F" w:rsidP="000D733F">
      <w:pPr>
        <w:pStyle w:val="Heading2"/>
        <w:rPr>
          <w:sz w:val="28"/>
        </w:rPr>
      </w:pPr>
      <w:r w:rsidRPr="009E38C1">
        <w:rPr>
          <w:sz w:val="28"/>
        </w:rPr>
        <w:t>Annex C</w:t>
      </w:r>
      <w:r w:rsidR="00E86976">
        <w:rPr>
          <w:sz w:val="28"/>
        </w:rPr>
        <w:t xml:space="preserve">: </w:t>
      </w:r>
      <w:r w:rsidRPr="009E38C1">
        <w:rPr>
          <w:sz w:val="28"/>
        </w:rPr>
        <w:t>Evaluation and Review Pipeline Planning</w:t>
      </w:r>
    </w:p>
    <w:p w:rsidR="00E86976" w:rsidRDefault="00E86976" w:rsidP="00654E76">
      <w:pPr>
        <w:pStyle w:val="Caption"/>
      </w:pPr>
    </w:p>
    <w:p w:rsidR="000D733F" w:rsidRPr="00071B95" w:rsidRDefault="000D733F" w:rsidP="00654E76">
      <w:pPr>
        <w:pStyle w:val="Caption"/>
      </w:pPr>
      <w:r w:rsidRPr="00071B95">
        <w:t xml:space="preserve">List of </w:t>
      </w:r>
      <w:r w:rsidR="00805ADD">
        <w:t>e</w:t>
      </w:r>
      <w:r w:rsidRPr="00071B95">
        <w:t>valuations completed</w:t>
      </w:r>
      <w:r>
        <w:t xml:space="preserve"> </w:t>
      </w:r>
      <w:r w:rsidRPr="00071B95">
        <w:t xml:space="preserve">in the reporting period </w:t>
      </w:r>
    </w:p>
    <w:tbl>
      <w:tblPr>
        <w:tblStyle w:val="APPR"/>
        <w:tblW w:w="0" w:type="auto"/>
        <w:tblLook w:val="04A0" w:firstRow="1" w:lastRow="0" w:firstColumn="1" w:lastColumn="0" w:noHBand="0" w:noVBand="1"/>
      </w:tblPr>
      <w:tblGrid>
        <w:gridCol w:w="1944"/>
        <w:gridCol w:w="1961"/>
        <w:gridCol w:w="2059"/>
        <w:gridCol w:w="1967"/>
        <w:gridCol w:w="1949"/>
        <w:gridCol w:w="1771"/>
        <w:gridCol w:w="1545"/>
      </w:tblGrid>
      <w:tr w:rsidR="000D733F" w:rsidRPr="00071B95" w:rsidTr="000D733F">
        <w:trPr>
          <w:cnfStyle w:val="100000000000" w:firstRow="1" w:lastRow="0" w:firstColumn="0" w:lastColumn="0" w:oddVBand="0" w:evenVBand="0" w:oddHBand="0" w:evenHBand="0" w:firstRowFirstColumn="0" w:firstRowLastColumn="0" w:lastRowFirstColumn="0" w:lastRowLastColumn="0"/>
        </w:trPr>
        <w:tc>
          <w:tcPr>
            <w:tcW w:w="1902" w:type="dxa"/>
          </w:tcPr>
          <w:p w:rsidR="000D733F" w:rsidRPr="00071B95" w:rsidRDefault="000D733F" w:rsidP="00CF4707">
            <w:pPr>
              <w:pStyle w:val="TableTextColumnHeading"/>
              <w:framePr w:wrap="around"/>
              <w:rPr>
                <w:b/>
              </w:rPr>
            </w:pPr>
            <w:r w:rsidRPr="00071B95">
              <w:rPr>
                <w:b/>
              </w:rPr>
              <w:t xml:space="preserve">Name of </w:t>
            </w:r>
            <w:r w:rsidR="00501CD2">
              <w:rPr>
                <w:b/>
              </w:rPr>
              <w:t>Investment</w:t>
            </w:r>
          </w:p>
        </w:tc>
        <w:tc>
          <w:tcPr>
            <w:tcW w:w="1933" w:type="dxa"/>
          </w:tcPr>
          <w:p w:rsidR="000D733F" w:rsidRPr="00071B95" w:rsidRDefault="000D733F" w:rsidP="00CF4707">
            <w:pPr>
              <w:pStyle w:val="TableTextColumnHeading"/>
              <w:framePr w:wrap="around"/>
              <w:rPr>
                <w:b/>
              </w:rPr>
            </w:pPr>
            <w:r w:rsidRPr="00071B95">
              <w:rPr>
                <w:b/>
              </w:rPr>
              <w:t>Aidworks number</w:t>
            </w:r>
          </w:p>
        </w:tc>
        <w:tc>
          <w:tcPr>
            <w:tcW w:w="2031" w:type="dxa"/>
          </w:tcPr>
          <w:p w:rsidR="000D733F" w:rsidRPr="00071B95" w:rsidRDefault="000D733F" w:rsidP="00CF4707">
            <w:pPr>
              <w:pStyle w:val="TableTextColumnHeading"/>
              <w:framePr w:wrap="around"/>
              <w:rPr>
                <w:b/>
              </w:rPr>
            </w:pPr>
            <w:r>
              <w:rPr>
                <w:b/>
              </w:rPr>
              <w:t>Name of evaluation</w:t>
            </w:r>
          </w:p>
        </w:tc>
        <w:tc>
          <w:tcPr>
            <w:tcW w:w="1939" w:type="dxa"/>
          </w:tcPr>
          <w:p w:rsidR="000D733F" w:rsidRPr="00071B95" w:rsidRDefault="000D733F" w:rsidP="00CF4707">
            <w:pPr>
              <w:pStyle w:val="TableTextColumnHeading"/>
              <w:framePr w:wrap="around"/>
              <w:rPr>
                <w:b/>
              </w:rPr>
            </w:pPr>
            <w:r w:rsidRPr="00071B95">
              <w:rPr>
                <w:b/>
              </w:rPr>
              <w:t xml:space="preserve">Date </w:t>
            </w:r>
            <w:r>
              <w:rPr>
                <w:b/>
              </w:rPr>
              <w:t>finalised</w:t>
            </w:r>
          </w:p>
        </w:tc>
        <w:tc>
          <w:tcPr>
            <w:tcW w:w="1921" w:type="dxa"/>
          </w:tcPr>
          <w:p w:rsidR="000D733F" w:rsidRPr="00071B95" w:rsidRDefault="000D733F" w:rsidP="00CF4707">
            <w:pPr>
              <w:pStyle w:val="TableTextColumnHeading"/>
              <w:framePr w:wrap="around"/>
              <w:rPr>
                <w:b/>
              </w:rPr>
            </w:pPr>
            <w:r w:rsidRPr="00071B95">
              <w:rPr>
                <w:b/>
              </w:rPr>
              <w:t>Date Evaluation report Uploaded into Aidworks</w:t>
            </w:r>
          </w:p>
        </w:tc>
        <w:tc>
          <w:tcPr>
            <w:tcW w:w="1743" w:type="dxa"/>
          </w:tcPr>
          <w:p w:rsidR="000D733F" w:rsidRPr="00071B95" w:rsidRDefault="000D733F" w:rsidP="00CF4707">
            <w:pPr>
              <w:pStyle w:val="TableTextColumnHeading"/>
              <w:framePr w:wrap="around"/>
              <w:rPr>
                <w:b/>
              </w:rPr>
            </w:pPr>
            <w:r w:rsidRPr="00071B95">
              <w:rPr>
                <w:b/>
              </w:rPr>
              <w:t>Date Management response uploaded into Aidworks</w:t>
            </w:r>
          </w:p>
        </w:tc>
        <w:tc>
          <w:tcPr>
            <w:tcW w:w="1503" w:type="dxa"/>
          </w:tcPr>
          <w:p w:rsidR="000D733F" w:rsidRPr="00071B95" w:rsidRDefault="000D733F" w:rsidP="00CF4707">
            <w:pPr>
              <w:pStyle w:val="TableTextColumnHeading"/>
              <w:framePr w:wrap="around"/>
              <w:rPr>
                <w:b/>
              </w:rPr>
            </w:pPr>
            <w:r w:rsidRPr="00071B95">
              <w:rPr>
                <w:b/>
              </w:rPr>
              <w:t>Published on website</w:t>
            </w:r>
          </w:p>
        </w:tc>
      </w:tr>
    </w:tbl>
    <w:tbl>
      <w:tblPr>
        <w:tblStyle w:val="APPR"/>
        <w:tblW w:w="0" w:type="auto"/>
        <w:tblBorders>
          <w:top w:val="none" w:sz="0" w:space="0" w:color="auto"/>
          <w:bottom w:val="none" w:sz="0" w:space="0" w:color="auto"/>
        </w:tblBorders>
        <w:tblLook w:val="04A0" w:firstRow="1" w:lastRow="0" w:firstColumn="1" w:lastColumn="0" w:noHBand="0" w:noVBand="1"/>
      </w:tblPr>
      <w:tblGrid>
        <w:gridCol w:w="1944"/>
        <w:gridCol w:w="1961"/>
        <w:gridCol w:w="2059"/>
        <w:gridCol w:w="1967"/>
        <w:gridCol w:w="1949"/>
        <w:gridCol w:w="1771"/>
        <w:gridCol w:w="1545"/>
      </w:tblGrid>
      <w:tr w:rsidR="00F4628C" w:rsidRPr="00071B95" w:rsidTr="00F4628C">
        <w:trPr>
          <w:cnfStyle w:val="100000000000" w:firstRow="1" w:lastRow="0" w:firstColumn="0" w:lastColumn="0" w:oddVBand="0" w:evenVBand="0" w:oddHBand="0" w:evenHBand="0" w:firstRowFirstColumn="0" w:firstRowLastColumn="0" w:lastRowFirstColumn="0" w:lastRowLastColumn="0"/>
          <w:trHeight w:val="897"/>
        </w:trPr>
        <w:tc>
          <w:tcPr>
            <w:tcW w:w="1902" w:type="dxa"/>
          </w:tcPr>
          <w:p w:rsidR="00F4628C" w:rsidRPr="00071B95" w:rsidRDefault="00F4628C" w:rsidP="000D733F">
            <w:pPr>
              <w:pStyle w:val="TableTextEntries"/>
            </w:pPr>
            <w:r w:rsidRPr="00FB5515">
              <w:rPr>
                <w:b w:val="0"/>
              </w:rPr>
              <w:t>Tonga Economic and Public Sector Reform Program</w:t>
            </w:r>
            <w:r>
              <w:rPr>
                <w:b w:val="0"/>
              </w:rPr>
              <w:t xml:space="preserve"> </w:t>
            </w:r>
          </w:p>
        </w:tc>
        <w:tc>
          <w:tcPr>
            <w:tcW w:w="1933" w:type="dxa"/>
          </w:tcPr>
          <w:p w:rsidR="00F4628C" w:rsidRPr="00071B95" w:rsidRDefault="00F4628C" w:rsidP="000D733F">
            <w:pPr>
              <w:pStyle w:val="TableTextEntries"/>
            </w:pPr>
            <w:r>
              <w:rPr>
                <w:b w:val="0"/>
              </w:rPr>
              <w:t xml:space="preserve">Covered: </w:t>
            </w:r>
            <w:r w:rsidRPr="005F629D">
              <w:rPr>
                <w:b w:val="0"/>
              </w:rPr>
              <w:t>ING000, INI190, ING994, INK248</w:t>
            </w:r>
          </w:p>
        </w:tc>
        <w:tc>
          <w:tcPr>
            <w:tcW w:w="2031" w:type="dxa"/>
          </w:tcPr>
          <w:p w:rsidR="00F4628C" w:rsidRPr="00071B95" w:rsidRDefault="00F4628C" w:rsidP="000D733F">
            <w:pPr>
              <w:pStyle w:val="TableTextEntries"/>
            </w:pPr>
            <w:r w:rsidRPr="00FB5515">
              <w:rPr>
                <w:b w:val="0"/>
              </w:rPr>
              <w:t>Review of Economic and Public Sector Reform Program</w:t>
            </w:r>
          </w:p>
        </w:tc>
        <w:tc>
          <w:tcPr>
            <w:tcW w:w="1939" w:type="dxa"/>
          </w:tcPr>
          <w:p w:rsidR="00F4628C" w:rsidRPr="00071B95" w:rsidRDefault="00F4628C" w:rsidP="000D733F">
            <w:pPr>
              <w:pStyle w:val="TableTextEntries"/>
            </w:pPr>
            <w:r>
              <w:rPr>
                <w:b w:val="0"/>
              </w:rPr>
              <w:t>July 2013</w:t>
            </w:r>
          </w:p>
        </w:tc>
        <w:tc>
          <w:tcPr>
            <w:tcW w:w="1921" w:type="dxa"/>
          </w:tcPr>
          <w:p w:rsidR="00F4628C" w:rsidRPr="00071B95" w:rsidRDefault="00F4628C" w:rsidP="000D733F">
            <w:pPr>
              <w:pStyle w:val="TableTextEntries"/>
            </w:pPr>
            <w:r>
              <w:rPr>
                <w:b w:val="0"/>
              </w:rPr>
              <w:t>31 March 2014 (refer ING000 and ING994)</w:t>
            </w:r>
          </w:p>
        </w:tc>
        <w:tc>
          <w:tcPr>
            <w:tcW w:w="1743" w:type="dxa"/>
          </w:tcPr>
          <w:p w:rsidR="00F4628C" w:rsidRPr="00071B95" w:rsidRDefault="00F4628C" w:rsidP="000D733F">
            <w:pPr>
              <w:pStyle w:val="TableTextEntries"/>
            </w:pPr>
            <w:r>
              <w:rPr>
                <w:b w:val="0"/>
              </w:rPr>
              <w:t>31 March 2014 (refer ING000 and ING994)</w:t>
            </w:r>
          </w:p>
        </w:tc>
        <w:tc>
          <w:tcPr>
            <w:tcW w:w="1503" w:type="dxa"/>
          </w:tcPr>
          <w:p w:rsidR="00F4628C" w:rsidRPr="00071B95" w:rsidRDefault="00F4628C" w:rsidP="00D31A0A">
            <w:pPr>
              <w:pStyle w:val="TableTextEntries"/>
              <w:rPr>
                <w:b w:val="0"/>
              </w:rPr>
            </w:pPr>
            <w:r w:rsidRPr="00FB5515">
              <w:rPr>
                <w:b w:val="0"/>
              </w:rPr>
              <w:t>No</w:t>
            </w:r>
            <w:r w:rsidR="00D31A0A">
              <w:rPr>
                <w:b w:val="0"/>
              </w:rPr>
              <w:t>t yet</w:t>
            </w:r>
          </w:p>
        </w:tc>
      </w:tr>
    </w:tbl>
    <w:p w:rsidR="000D733F" w:rsidRDefault="000D733F" w:rsidP="005C3405">
      <w:pPr>
        <w:pStyle w:val="Caption"/>
      </w:pPr>
      <w:r w:rsidRPr="00071B95">
        <w:t>List of evaluation</w:t>
      </w:r>
      <w:r w:rsidR="00E86976">
        <w:t>s planned in the next 12 months</w:t>
      </w:r>
    </w:p>
    <w:tbl>
      <w:tblPr>
        <w:tblStyle w:val="APPR"/>
        <w:tblW w:w="0" w:type="auto"/>
        <w:tblLook w:val="0600" w:firstRow="0" w:lastRow="0" w:firstColumn="0" w:lastColumn="0" w:noHBand="1" w:noVBand="1"/>
      </w:tblPr>
      <w:tblGrid>
        <w:gridCol w:w="2643"/>
        <w:gridCol w:w="2558"/>
        <w:gridCol w:w="2640"/>
        <w:gridCol w:w="2640"/>
        <w:gridCol w:w="2659"/>
      </w:tblGrid>
      <w:tr w:rsidR="00E86976" w:rsidRPr="00071B95" w:rsidTr="007A3C6F">
        <w:tc>
          <w:tcPr>
            <w:tcW w:w="2601" w:type="dxa"/>
          </w:tcPr>
          <w:p w:rsidR="00E86976" w:rsidRPr="00071B95" w:rsidRDefault="00E86976" w:rsidP="007A3C6F">
            <w:pPr>
              <w:pStyle w:val="TableTextColumnHeading"/>
              <w:framePr w:wrap="around"/>
            </w:pPr>
            <w:r w:rsidRPr="00071B95">
              <w:t xml:space="preserve">Name of </w:t>
            </w:r>
            <w:r>
              <w:t>Investment</w:t>
            </w:r>
          </w:p>
        </w:tc>
        <w:tc>
          <w:tcPr>
            <w:tcW w:w="2530" w:type="dxa"/>
          </w:tcPr>
          <w:p w:rsidR="00E86976" w:rsidRPr="00071B95" w:rsidRDefault="00E86976" w:rsidP="007A3C6F">
            <w:pPr>
              <w:pStyle w:val="TableTextColumnHeading"/>
              <w:framePr w:wrap="around"/>
            </w:pPr>
            <w:r w:rsidRPr="00071B95">
              <w:t>Aidworks number</w:t>
            </w:r>
          </w:p>
        </w:tc>
        <w:tc>
          <w:tcPr>
            <w:tcW w:w="2612" w:type="dxa"/>
          </w:tcPr>
          <w:p w:rsidR="00E86976" w:rsidRPr="00071B95" w:rsidRDefault="00E86976" w:rsidP="007A3C6F">
            <w:pPr>
              <w:pStyle w:val="TableTextColumnHeading"/>
              <w:framePr w:wrap="around"/>
            </w:pPr>
            <w:r w:rsidRPr="00071B95">
              <w:t>Type of evaluation</w:t>
            </w:r>
          </w:p>
        </w:tc>
        <w:tc>
          <w:tcPr>
            <w:tcW w:w="2612" w:type="dxa"/>
          </w:tcPr>
          <w:p w:rsidR="00E86976" w:rsidRPr="00071B95" w:rsidRDefault="00E86976" w:rsidP="007A3C6F">
            <w:pPr>
              <w:pStyle w:val="TableTextColumnHeading"/>
              <w:framePr w:wrap="around"/>
            </w:pPr>
            <w:r w:rsidRPr="00071B95">
              <w:t>Purpose of evaluation</w:t>
            </w:r>
          </w:p>
        </w:tc>
        <w:tc>
          <w:tcPr>
            <w:tcW w:w="2617" w:type="dxa"/>
          </w:tcPr>
          <w:p w:rsidR="00E86976" w:rsidRPr="00071B95" w:rsidRDefault="00E86976" w:rsidP="007A3C6F">
            <w:pPr>
              <w:pStyle w:val="TableTextColumnHeading"/>
              <w:framePr w:wrap="around"/>
            </w:pPr>
            <w:r w:rsidRPr="00071B95">
              <w:t>Expected completion date</w:t>
            </w:r>
          </w:p>
        </w:tc>
      </w:tr>
    </w:tbl>
    <w:tbl>
      <w:tblPr>
        <w:tblStyle w:val="APPR"/>
        <w:tblW w:w="0" w:type="auto"/>
        <w:tblLook w:val="0600" w:firstRow="0" w:lastRow="0" w:firstColumn="0" w:lastColumn="0" w:noHBand="1" w:noVBand="1"/>
      </w:tblPr>
      <w:tblGrid>
        <w:gridCol w:w="2643"/>
        <w:gridCol w:w="2558"/>
        <w:gridCol w:w="2640"/>
        <w:gridCol w:w="2640"/>
        <w:gridCol w:w="2671"/>
      </w:tblGrid>
      <w:tr w:rsidR="00E86976" w:rsidRPr="00071B95" w:rsidTr="007A3C6F">
        <w:tc>
          <w:tcPr>
            <w:tcW w:w="2601" w:type="dxa"/>
            <w:vAlign w:val="center"/>
          </w:tcPr>
          <w:p w:rsidR="00E86976" w:rsidRPr="003275D0" w:rsidRDefault="00E86976" w:rsidP="007A3C6F">
            <w:pPr>
              <w:pStyle w:val="TableTextEntries"/>
            </w:pPr>
            <w:r w:rsidRPr="00C91B5D">
              <w:rPr>
                <w:rFonts w:ascii="Arial" w:hAnsi="Arial" w:cs="Arial"/>
                <w:sz w:val="16"/>
                <w:szCs w:val="16"/>
                <w:lang w:eastAsia="en-AU"/>
              </w:rPr>
              <w:t>Tonga Education Support Program 2 (TESP2)</w:t>
            </w:r>
          </w:p>
        </w:tc>
        <w:tc>
          <w:tcPr>
            <w:tcW w:w="2530" w:type="dxa"/>
            <w:vAlign w:val="center"/>
          </w:tcPr>
          <w:p w:rsidR="00E86976" w:rsidRPr="003275D0" w:rsidRDefault="00E86976" w:rsidP="007A3C6F">
            <w:pPr>
              <w:pStyle w:val="TableTextEntries"/>
            </w:pPr>
            <w:r>
              <w:t>INK888</w:t>
            </w:r>
          </w:p>
        </w:tc>
        <w:tc>
          <w:tcPr>
            <w:tcW w:w="2612" w:type="dxa"/>
          </w:tcPr>
          <w:p w:rsidR="00E86976" w:rsidRPr="003275D0" w:rsidRDefault="00E86976" w:rsidP="007A3C6F">
            <w:pPr>
              <w:pStyle w:val="TableTextEntries"/>
            </w:pPr>
            <w:r>
              <w:t>Independent Review</w:t>
            </w:r>
          </w:p>
        </w:tc>
        <w:tc>
          <w:tcPr>
            <w:tcW w:w="2612" w:type="dxa"/>
          </w:tcPr>
          <w:p w:rsidR="00E86976" w:rsidRPr="003275D0" w:rsidRDefault="00E86976" w:rsidP="007A3C6F">
            <w:pPr>
              <w:pStyle w:val="TableTextEntries"/>
              <w:rPr>
                <w:color w:val="000000" w:themeColor="text1" w:themeShade="BF"/>
              </w:rPr>
            </w:pPr>
            <w:r>
              <w:t>T</w:t>
            </w:r>
            <w:r w:rsidRPr="003275D0">
              <w:t>o verify program outcomes</w:t>
            </w:r>
            <w:r>
              <w:t>.</w:t>
            </w:r>
          </w:p>
        </w:tc>
        <w:tc>
          <w:tcPr>
            <w:tcW w:w="2629" w:type="dxa"/>
          </w:tcPr>
          <w:p w:rsidR="00E86976" w:rsidRPr="003275D0" w:rsidRDefault="00E86976" w:rsidP="007A3C6F">
            <w:pPr>
              <w:pStyle w:val="TableTextEntries"/>
            </w:pPr>
            <w:r>
              <w:t>May 2015</w:t>
            </w:r>
          </w:p>
        </w:tc>
      </w:tr>
    </w:tbl>
    <w:p w:rsidR="00E86976" w:rsidRDefault="00E86976" w:rsidP="00E86976">
      <w:pPr>
        <w:pStyle w:val="BodyText"/>
      </w:pPr>
    </w:p>
    <w:p w:rsidR="00E86976" w:rsidRDefault="00E86976" w:rsidP="00E86976">
      <w:pPr>
        <w:pStyle w:val="BodyText"/>
      </w:pPr>
    </w:p>
    <w:p w:rsidR="00E86976" w:rsidRDefault="00E86976" w:rsidP="00E86976">
      <w:pPr>
        <w:pStyle w:val="BodyText"/>
      </w:pPr>
    </w:p>
    <w:p w:rsidR="00E86976" w:rsidRPr="00E86976" w:rsidRDefault="00E86976" w:rsidP="00E86976">
      <w:pPr>
        <w:pStyle w:val="BodyText"/>
        <w:sectPr w:rsidR="00E86976" w:rsidRPr="00E86976" w:rsidSect="002D5FD8">
          <w:pgSz w:w="16838" w:h="11906" w:orient="landscape" w:code="9"/>
          <w:pgMar w:top="1814" w:right="1814" w:bottom="851" w:left="851" w:header="709" w:footer="425" w:gutter="0"/>
          <w:cols w:space="708"/>
          <w:docGrid w:linePitch="360"/>
        </w:sectPr>
      </w:pPr>
    </w:p>
    <w:p w:rsidR="000D733F" w:rsidRPr="009E38C1" w:rsidRDefault="000D733F" w:rsidP="000D733F">
      <w:pPr>
        <w:pStyle w:val="Heading2"/>
        <w:rPr>
          <w:sz w:val="28"/>
        </w:rPr>
      </w:pPr>
      <w:r w:rsidRPr="009E38C1">
        <w:rPr>
          <w:sz w:val="28"/>
        </w:rPr>
        <w:lastRenderedPageBreak/>
        <w:t>Annex D</w:t>
      </w:r>
      <w:r w:rsidR="00E86976">
        <w:rPr>
          <w:sz w:val="28"/>
        </w:rPr>
        <w:t xml:space="preserve">: </w:t>
      </w:r>
      <w:r w:rsidRPr="009E38C1">
        <w:rPr>
          <w:sz w:val="28"/>
        </w:rPr>
        <w:t>Performance Benchmarks 2014 -15</w:t>
      </w:r>
    </w:p>
    <w:tbl>
      <w:tblPr>
        <w:tblStyle w:val="DFATTable"/>
        <w:tblW w:w="5000" w:type="pct"/>
        <w:tblLook w:val="04A0" w:firstRow="1" w:lastRow="0" w:firstColumn="1" w:lastColumn="0" w:noHBand="0" w:noVBand="1"/>
      </w:tblPr>
      <w:tblGrid>
        <w:gridCol w:w="3301"/>
        <w:gridCol w:w="3301"/>
        <w:gridCol w:w="7279"/>
      </w:tblGrid>
      <w:tr w:rsidR="000D733F" w:rsidRPr="004F7D80" w:rsidTr="00064F28">
        <w:trPr>
          <w:tblHeader/>
        </w:trPr>
        <w:tc>
          <w:tcPr>
            <w:tcW w:w="1189" w:type="pct"/>
            <w:tcBorders>
              <w:top w:val="single" w:sz="12" w:space="0" w:color="auto"/>
              <w:left w:val="single" w:sz="4" w:space="0" w:color="auto"/>
              <w:bottom w:val="nil"/>
            </w:tcBorders>
            <w:tcMar>
              <w:top w:w="57" w:type="dxa"/>
              <w:bottom w:w="57" w:type="dxa"/>
            </w:tcMar>
          </w:tcPr>
          <w:p w:rsidR="000D733F" w:rsidRPr="002749B6" w:rsidRDefault="000D733F" w:rsidP="000D733F">
            <w:pPr>
              <w:pStyle w:val="TableHeading1"/>
            </w:pPr>
            <w:r w:rsidRPr="002749B6">
              <w:t>Program strategic objective</w:t>
            </w:r>
          </w:p>
        </w:tc>
        <w:tc>
          <w:tcPr>
            <w:tcW w:w="1189" w:type="pct"/>
            <w:tcBorders>
              <w:top w:val="single" w:sz="12" w:space="0" w:color="auto"/>
              <w:bottom w:val="nil"/>
            </w:tcBorders>
          </w:tcPr>
          <w:p w:rsidR="000D733F" w:rsidRPr="002749B6" w:rsidRDefault="000D733F" w:rsidP="000D733F">
            <w:pPr>
              <w:pStyle w:val="TableHeading1"/>
            </w:pPr>
            <w:r w:rsidRPr="002749B6">
              <w:t xml:space="preserve">2014-15 benchmark </w:t>
            </w:r>
          </w:p>
        </w:tc>
        <w:tc>
          <w:tcPr>
            <w:tcW w:w="2622" w:type="pct"/>
            <w:tcBorders>
              <w:top w:val="single" w:sz="12" w:space="0" w:color="auto"/>
              <w:bottom w:val="nil"/>
            </w:tcBorders>
          </w:tcPr>
          <w:p w:rsidR="000D733F" w:rsidRPr="002749B6" w:rsidRDefault="000D733F" w:rsidP="000D733F">
            <w:pPr>
              <w:pStyle w:val="TableHeading1"/>
            </w:pPr>
            <w:r w:rsidRPr="002749B6">
              <w:t>Rationale for selecting this performance benchmark</w:t>
            </w:r>
          </w:p>
        </w:tc>
      </w:tr>
      <w:tr w:rsidR="006F749A" w:rsidRPr="004F7D80" w:rsidTr="003D7652">
        <w:trPr>
          <w:trHeight w:val="1697"/>
        </w:trPr>
        <w:tc>
          <w:tcPr>
            <w:tcW w:w="1189" w:type="pct"/>
            <w:tcBorders>
              <w:top w:val="nil"/>
              <w:left w:val="single" w:sz="4" w:space="0" w:color="auto"/>
              <w:bottom w:val="nil"/>
            </w:tcBorders>
            <w:tcMar>
              <w:top w:w="57" w:type="dxa"/>
              <w:bottom w:w="57" w:type="dxa"/>
            </w:tcMar>
          </w:tcPr>
          <w:p w:rsidR="006F749A" w:rsidRPr="002749B6" w:rsidRDefault="006F749A" w:rsidP="000D733F">
            <w:pPr>
              <w:pStyle w:val="TableTextEntries"/>
            </w:pPr>
            <w:r w:rsidRPr="002749B6">
              <w:t>Support partner government reforms to promote fiscal sustainability and improve public expenditure management</w:t>
            </w:r>
          </w:p>
        </w:tc>
        <w:tc>
          <w:tcPr>
            <w:tcW w:w="1189" w:type="pct"/>
            <w:tcBorders>
              <w:top w:val="nil"/>
              <w:bottom w:val="nil"/>
            </w:tcBorders>
          </w:tcPr>
          <w:p w:rsidR="006F749A" w:rsidRPr="002749B6" w:rsidRDefault="006F749A" w:rsidP="000D733F">
            <w:pPr>
              <w:pStyle w:val="TableTextEntries"/>
            </w:pPr>
            <w:r w:rsidRPr="006455A9">
              <w:rPr>
                <w:b/>
                <w:bCs/>
                <w:lang w:eastAsia="en-AU"/>
              </w:rPr>
              <w:t>Economic and Public Sector Governance</w:t>
            </w:r>
            <w:r w:rsidR="00BD2D48">
              <w:rPr>
                <w:b/>
                <w:bCs/>
                <w:lang w:eastAsia="en-AU"/>
              </w:rPr>
              <w:t xml:space="preserve"> Program</w:t>
            </w:r>
            <w:r w:rsidRPr="006455A9">
              <w:rPr>
                <w:b/>
                <w:bCs/>
                <w:lang w:eastAsia="en-AU"/>
              </w:rPr>
              <w:t xml:space="preserve"> - </w:t>
            </w:r>
            <w:r w:rsidRPr="006455A9">
              <w:rPr>
                <w:lang w:eastAsia="en-AU"/>
              </w:rPr>
              <w:t>Ministry of Revenue will increase revenue collection by between 1-2 per cent this year.</w:t>
            </w:r>
            <w:r>
              <w:rPr>
                <w:lang w:eastAsia="en-AU"/>
              </w:rPr>
              <w:t xml:space="preserve"> Australia funds a </w:t>
            </w:r>
            <w:r w:rsidRPr="006455A9">
              <w:rPr>
                <w:lang w:eastAsia="en-AU"/>
              </w:rPr>
              <w:t xml:space="preserve">Tax Services and Tax Compliance Adviser as well as an Adviser to the Head of Customs </w:t>
            </w:r>
            <w:r>
              <w:rPr>
                <w:lang w:eastAsia="en-AU"/>
              </w:rPr>
              <w:t xml:space="preserve">is </w:t>
            </w:r>
            <w:r w:rsidRPr="006455A9">
              <w:rPr>
                <w:lang w:eastAsia="en-AU"/>
              </w:rPr>
              <w:t>deployed to support the achievement of this target.</w:t>
            </w:r>
          </w:p>
        </w:tc>
        <w:tc>
          <w:tcPr>
            <w:tcW w:w="2622" w:type="pct"/>
            <w:tcBorders>
              <w:top w:val="nil"/>
              <w:bottom w:val="nil"/>
            </w:tcBorders>
          </w:tcPr>
          <w:p w:rsidR="006F749A" w:rsidRPr="002749B6" w:rsidRDefault="006F749A" w:rsidP="00F2232D">
            <w:pPr>
              <w:pStyle w:val="TableTextEntries"/>
            </w:pPr>
            <w:r>
              <w:t xml:space="preserve">A key focus of the aid program in Tonga is to </w:t>
            </w:r>
            <w:r w:rsidRPr="00990B49">
              <w:rPr>
                <w:lang w:val="en-US"/>
              </w:rPr>
              <w:t xml:space="preserve">maintain economic stability </w:t>
            </w:r>
            <w:r>
              <w:rPr>
                <w:lang w:val="en-US"/>
              </w:rPr>
              <w:t xml:space="preserve">and improve public sector governance. The achievement of this benchmark </w:t>
            </w:r>
            <w:r w:rsidR="00994636">
              <w:rPr>
                <w:lang w:val="en-US"/>
              </w:rPr>
              <w:t xml:space="preserve">will increase revenue </w:t>
            </w:r>
            <w:r w:rsidR="009C63C0">
              <w:rPr>
                <w:lang w:val="en-US"/>
              </w:rPr>
              <w:t xml:space="preserve">streams for government. </w:t>
            </w:r>
          </w:p>
        </w:tc>
      </w:tr>
      <w:tr w:rsidR="006F749A" w:rsidRPr="002208BC" w:rsidTr="00140BF2">
        <w:trPr>
          <w:trHeight w:val="1390"/>
        </w:trPr>
        <w:tc>
          <w:tcPr>
            <w:tcW w:w="1189" w:type="pct"/>
            <w:tcBorders>
              <w:top w:val="nil"/>
              <w:left w:val="single" w:sz="4" w:space="0" w:color="auto"/>
              <w:bottom w:val="nil"/>
            </w:tcBorders>
            <w:tcMar>
              <w:top w:w="57" w:type="dxa"/>
              <w:bottom w:w="57" w:type="dxa"/>
            </w:tcMar>
          </w:tcPr>
          <w:p w:rsidR="006F749A" w:rsidRPr="002208BC" w:rsidRDefault="006F749A" w:rsidP="009C63C0">
            <w:pPr>
              <w:pStyle w:val="TableTextEntries"/>
            </w:pPr>
            <w:r w:rsidRPr="002208BC">
              <w:t>Improve health outcomes</w:t>
            </w:r>
            <w:r w:rsidR="009C63C0" w:rsidRPr="002208BC">
              <w:t xml:space="preserve"> with a particular focus on reducing the impact of </w:t>
            </w:r>
            <w:r w:rsidR="00AF5215" w:rsidRPr="002208BC">
              <w:t>non-communicable diseases (</w:t>
            </w:r>
            <w:r w:rsidR="009C63C0" w:rsidRPr="002208BC">
              <w:t>NCDs</w:t>
            </w:r>
            <w:r w:rsidR="00AF5215" w:rsidRPr="002208BC">
              <w:t>)</w:t>
            </w:r>
            <w:r w:rsidR="009C63C0" w:rsidRPr="002208BC">
              <w:t>.</w:t>
            </w:r>
          </w:p>
          <w:p w:rsidR="003E707F" w:rsidRPr="002208BC" w:rsidRDefault="003E707F" w:rsidP="009C63C0">
            <w:pPr>
              <w:pStyle w:val="TableTextEntries"/>
            </w:pPr>
          </w:p>
        </w:tc>
        <w:tc>
          <w:tcPr>
            <w:tcW w:w="1189" w:type="pct"/>
            <w:tcBorders>
              <w:top w:val="nil"/>
              <w:bottom w:val="nil"/>
            </w:tcBorders>
          </w:tcPr>
          <w:p w:rsidR="006F749A" w:rsidRPr="002208BC" w:rsidRDefault="006F749A" w:rsidP="008E452F">
            <w:pPr>
              <w:pStyle w:val="TableTextEntries"/>
              <w:rPr>
                <w:b/>
                <w:bCs/>
                <w:lang w:eastAsia="en-AU"/>
              </w:rPr>
            </w:pPr>
            <w:r w:rsidRPr="002208BC">
              <w:rPr>
                <w:b/>
                <w:bCs/>
              </w:rPr>
              <w:t xml:space="preserve">Health </w:t>
            </w:r>
            <w:r w:rsidR="00CC3BE3" w:rsidRPr="002208BC">
              <w:rPr>
                <w:b/>
                <w:bCs/>
              </w:rPr>
              <w:t>Program</w:t>
            </w:r>
            <w:r w:rsidRPr="002208BC">
              <w:rPr>
                <w:b/>
                <w:bCs/>
              </w:rPr>
              <w:t>-</w:t>
            </w:r>
            <w:r w:rsidRPr="002208BC">
              <w:t xml:space="preserve"> </w:t>
            </w:r>
            <w:r w:rsidR="009216D2" w:rsidRPr="002208BC">
              <w:rPr>
                <w:rFonts w:cs="Calibri"/>
              </w:rPr>
              <w:t>Halt the increase in overall prevalence of obesity. Primary health care provided to all communities in Tonga to follow a common national standard</w:t>
            </w:r>
            <w:r w:rsidR="009216D2" w:rsidRPr="002208BC">
              <w:t xml:space="preserve"> </w:t>
            </w:r>
            <w:r w:rsidR="008E452F" w:rsidRPr="002208BC">
              <w:t xml:space="preserve">and </w:t>
            </w:r>
            <w:r w:rsidR="003E707F" w:rsidRPr="002208BC">
              <w:t xml:space="preserve">to carry out a review of NCD financing in Tonga and agree targets with </w:t>
            </w:r>
            <w:r w:rsidR="00586560" w:rsidRPr="002208BC">
              <w:t>government of Tonga</w:t>
            </w:r>
            <w:r w:rsidR="003E707F" w:rsidRPr="002208BC">
              <w:t xml:space="preserve"> </w:t>
            </w:r>
            <w:r w:rsidR="008E1D2A" w:rsidRPr="002208BC">
              <w:t xml:space="preserve">on </w:t>
            </w:r>
            <w:r w:rsidR="007D7628" w:rsidRPr="002208BC">
              <w:t xml:space="preserve">the </w:t>
            </w:r>
            <w:r w:rsidR="008E1D2A" w:rsidRPr="002208BC">
              <w:t xml:space="preserve">appropriate level of </w:t>
            </w:r>
            <w:r w:rsidR="003E707F" w:rsidRPr="002208BC">
              <w:t xml:space="preserve">increases in expenditure </w:t>
            </w:r>
            <w:r w:rsidR="007D7628" w:rsidRPr="002208BC">
              <w:t>over the medium term</w:t>
            </w:r>
            <w:r w:rsidR="007D7628" w:rsidRPr="002208BC">
              <w:rPr>
                <w:rFonts w:ascii="Calibri" w:hAnsi="Calibri" w:cs="Calibri"/>
                <w:b/>
                <w:bCs/>
                <w:sz w:val="22"/>
                <w:szCs w:val="22"/>
              </w:rPr>
              <w:t xml:space="preserve"> </w:t>
            </w:r>
            <w:r w:rsidR="003E707F" w:rsidRPr="002208BC">
              <w:t xml:space="preserve">on health promotion, </w:t>
            </w:r>
            <w:r w:rsidR="007D7628" w:rsidRPr="002208BC">
              <w:t xml:space="preserve">and </w:t>
            </w:r>
            <w:r w:rsidR="003E707F" w:rsidRPr="002208BC">
              <w:t xml:space="preserve">primary and secondary </w:t>
            </w:r>
            <w:r w:rsidR="007D7628" w:rsidRPr="002208BC">
              <w:t xml:space="preserve">prevention. </w:t>
            </w:r>
          </w:p>
        </w:tc>
        <w:tc>
          <w:tcPr>
            <w:tcW w:w="2622" w:type="pct"/>
            <w:tcBorders>
              <w:top w:val="nil"/>
              <w:bottom w:val="nil"/>
            </w:tcBorders>
          </w:tcPr>
          <w:p w:rsidR="003D26AB" w:rsidRPr="009440DF" w:rsidRDefault="0085069F" w:rsidP="002208BC">
            <w:pPr>
              <w:pStyle w:val="TableTextEntries"/>
              <w:rPr>
                <w:rFonts w:cs="Calibri"/>
              </w:rPr>
            </w:pPr>
            <w:r w:rsidRPr="009440DF">
              <w:rPr>
                <w:rFonts w:cs="Calibri"/>
              </w:rPr>
              <w:t xml:space="preserve">The benchmark aligns with </w:t>
            </w:r>
            <w:r w:rsidR="009216D2" w:rsidRPr="009440DF">
              <w:rPr>
                <w:rFonts w:cs="Calibri"/>
              </w:rPr>
              <w:t xml:space="preserve">the overall objectives of the THSSP </w:t>
            </w:r>
            <w:r w:rsidRPr="009440DF">
              <w:rPr>
                <w:rFonts w:cs="Calibri"/>
              </w:rPr>
              <w:t>and reflects the partner government’s high priority interest in addressing NCDs by focussing on costing for appropriate/required health care. An evaluation in 2013</w:t>
            </w:r>
            <w:r w:rsidRPr="009440DF">
              <w:rPr>
                <w:rFonts w:cs="Calibri"/>
              </w:rPr>
              <w:footnoteReference w:id="21"/>
            </w:r>
            <w:r w:rsidRPr="009440DF">
              <w:rPr>
                <w:rFonts w:cs="Calibri"/>
              </w:rPr>
              <w:t xml:space="preserve"> found that hospitalisation related to NCDs accounts for around 20 per cent of health expenditure. NCDs impose important economic costs to government in Tonga which, supported by Australia, finances the large majority of health expenditure. Setting agreed expenditure targets will help develop a health care financing strategy to help manage this burden. </w:t>
            </w:r>
            <w:r w:rsidR="0057651B" w:rsidRPr="009440DF">
              <w:rPr>
                <w:rFonts w:cs="Calibri"/>
              </w:rPr>
              <w:t xml:space="preserve"> </w:t>
            </w:r>
          </w:p>
        </w:tc>
      </w:tr>
      <w:tr w:rsidR="00162574" w:rsidRPr="004F7D80" w:rsidTr="00363DF7">
        <w:trPr>
          <w:trHeight w:val="1285"/>
        </w:trPr>
        <w:tc>
          <w:tcPr>
            <w:tcW w:w="1189" w:type="pct"/>
            <w:tcBorders>
              <w:top w:val="nil"/>
              <w:left w:val="single" w:sz="4" w:space="0" w:color="auto"/>
              <w:bottom w:val="nil"/>
            </w:tcBorders>
            <w:tcMar>
              <w:top w:w="57" w:type="dxa"/>
              <w:bottom w:w="57" w:type="dxa"/>
            </w:tcMar>
          </w:tcPr>
          <w:p w:rsidR="00162574" w:rsidRPr="00FE21B3" w:rsidRDefault="00162574" w:rsidP="000D733F">
            <w:pPr>
              <w:pStyle w:val="TableTextEntries"/>
            </w:pPr>
            <w:r w:rsidRPr="00FE21B3">
              <w:t>To stimulate economic growth and private sector development by investing in economic infrastructure</w:t>
            </w:r>
          </w:p>
        </w:tc>
        <w:tc>
          <w:tcPr>
            <w:tcW w:w="1189" w:type="pct"/>
            <w:tcBorders>
              <w:top w:val="nil"/>
              <w:bottom w:val="nil"/>
            </w:tcBorders>
          </w:tcPr>
          <w:p w:rsidR="00136732" w:rsidRDefault="003A5D29" w:rsidP="00140BF2">
            <w:pPr>
              <w:rPr>
                <w:rFonts w:ascii="Franklin Gothic Book" w:eastAsia="Times New Roman" w:hAnsi="Franklin Gothic Book" w:cs="Calibri"/>
                <w:iCs/>
                <w:sz w:val="17"/>
                <w:szCs w:val="17"/>
                <w:lang w:eastAsia="en-US"/>
              </w:rPr>
            </w:pPr>
            <w:r w:rsidRPr="009440DF">
              <w:rPr>
                <w:rFonts w:ascii="Franklin Gothic Book" w:eastAsia="Times New Roman" w:hAnsi="Franklin Gothic Book"/>
                <w:b/>
                <w:bCs/>
                <w:iCs/>
                <w:sz w:val="17"/>
                <w:szCs w:val="17"/>
                <w:lang w:eastAsia="en-US"/>
              </w:rPr>
              <w:t>Private Sector</w:t>
            </w:r>
            <w:r w:rsidR="00C2651B" w:rsidRPr="009440DF">
              <w:rPr>
                <w:rFonts w:ascii="Franklin Gothic Book" w:eastAsia="Times New Roman" w:hAnsi="Franklin Gothic Book"/>
                <w:b/>
                <w:bCs/>
                <w:iCs/>
                <w:sz w:val="17"/>
                <w:szCs w:val="17"/>
                <w:lang w:eastAsia="en-US"/>
              </w:rPr>
              <w:t xml:space="preserve"> Development</w:t>
            </w:r>
            <w:r w:rsidRPr="009440DF">
              <w:rPr>
                <w:rFonts w:ascii="Franklin Gothic Book" w:eastAsia="Times New Roman" w:hAnsi="Franklin Gothic Book"/>
                <w:b/>
                <w:bCs/>
                <w:iCs/>
                <w:sz w:val="17"/>
                <w:szCs w:val="17"/>
                <w:lang w:eastAsia="en-US"/>
              </w:rPr>
              <w:t xml:space="preserve"> </w:t>
            </w:r>
            <w:r w:rsidR="001853BF" w:rsidRPr="009440DF">
              <w:rPr>
                <w:rFonts w:ascii="Franklin Gothic Book" w:eastAsia="Times New Roman" w:hAnsi="Franklin Gothic Book"/>
                <w:b/>
                <w:bCs/>
                <w:iCs/>
                <w:sz w:val="17"/>
                <w:szCs w:val="17"/>
                <w:lang w:eastAsia="en-US"/>
              </w:rPr>
              <w:t>-</w:t>
            </w:r>
            <w:r w:rsidR="007F5606">
              <w:rPr>
                <w:color w:val="1F497D"/>
                <w:szCs w:val="20"/>
                <w:lang w:eastAsia="en-US"/>
              </w:rPr>
              <w:t xml:space="preserve"> </w:t>
            </w:r>
            <w:r w:rsidR="007F5606" w:rsidRPr="007F5606">
              <w:rPr>
                <w:rFonts w:ascii="Franklin Gothic Book" w:eastAsia="Times New Roman" w:hAnsi="Franklin Gothic Book" w:cs="Calibri"/>
                <w:iCs/>
                <w:sz w:val="17"/>
                <w:szCs w:val="17"/>
                <w:lang w:eastAsia="en-US"/>
              </w:rPr>
              <w:t>Complete a Private Sector Development and Trade Facilitation strategy to inform appropriate entry points and investment choices. This work will be done in coordination with ADB’s Private Sector Development Initiative; Pacific Trade and Invest and the Suva-based Market Development Facility and will draw on and help update existing trade diagnostic studies.</w:t>
            </w:r>
          </w:p>
          <w:p w:rsidR="00136732" w:rsidRDefault="00136732" w:rsidP="00140BF2">
            <w:pPr>
              <w:rPr>
                <w:rFonts w:ascii="Franklin Gothic Book" w:eastAsia="Times New Roman" w:hAnsi="Franklin Gothic Book" w:cs="Calibri"/>
                <w:iCs/>
                <w:sz w:val="17"/>
                <w:szCs w:val="17"/>
                <w:lang w:eastAsia="en-US"/>
              </w:rPr>
            </w:pPr>
          </w:p>
          <w:p w:rsidR="00162574" w:rsidRDefault="00BF3E56" w:rsidP="00140BF2">
            <w:pPr>
              <w:rPr>
                <w:iCs/>
                <w:sz w:val="17"/>
                <w:szCs w:val="17"/>
                <w:lang w:eastAsia="en-US"/>
              </w:rPr>
            </w:pPr>
            <w:r w:rsidRPr="00C2651B">
              <w:rPr>
                <w:b/>
                <w:iCs/>
                <w:sz w:val="17"/>
                <w:szCs w:val="17"/>
                <w:lang w:eastAsia="en-US"/>
              </w:rPr>
              <w:t>Infrastructure Program</w:t>
            </w:r>
            <w:r w:rsidRPr="00C2651B">
              <w:rPr>
                <w:iCs/>
                <w:sz w:val="17"/>
                <w:szCs w:val="17"/>
                <w:lang w:eastAsia="en-US"/>
              </w:rPr>
              <w:t>-</w:t>
            </w:r>
            <w:r>
              <w:rPr>
                <w:iCs/>
                <w:sz w:val="17"/>
                <w:szCs w:val="17"/>
                <w:lang w:eastAsia="en-US"/>
              </w:rPr>
              <w:t xml:space="preserve"> </w:t>
            </w:r>
            <w:r w:rsidRPr="00363DF7">
              <w:rPr>
                <w:rFonts w:ascii="Franklin Gothic Book" w:eastAsia="Times New Roman" w:hAnsi="Franklin Gothic Book"/>
                <w:iCs/>
                <w:sz w:val="17"/>
                <w:szCs w:val="17"/>
                <w:lang w:eastAsia="en-US"/>
              </w:rPr>
              <w:t xml:space="preserve">Through the </w:t>
            </w:r>
            <w:r w:rsidRPr="00363DF7">
              <w:rPr>
                <w:rFonts w:ascii="Franklin Gothic Book" w:eastAsia="Times New Roman" w:hAnsi="Franklin Gothic Book"/>
                <w:iCs/>
                <w:sz w:val="17"/>
                <w:szCs w:val="17"/>
                <w:lang w:eastAsia="en-US"/>
              </w:rPr>
              <w:lastRenderedPageBreak/>
              <w:t>Nuku’alofa Urban Development Program, c</w:t>
            </w:r>
            <w:r w:rsidR="003C5AA7" w:rsidRPr="00363DF7">
              <w:rPr>
                <w:rFonts w:ascii="Franklin Gothic Book" w:eastAsia="Times New Roman" w:hAnsi="Franklin Gothic Book"/>
                <w:iCs/>
                <w:sz w:val="17"/>
                <w:szCs w:val="17"/>
                <w:lang w:eastAsia="en-US"/>
              </w:rPr>
              <w:t>omplet</w:t>
            </w:r>
            <w:r w:rsidRPr="00363DF7">
              <w:rPr>
                <w:rFonts w:ascii="Franklin Gothic Book" w:eastAsia="Times New Roman" w:hAnsi="Franklin Gothic Book"/>
                <w:iCs/>
                <w:sz w:val="17"/>
                <w:szCs w:val="17"/>
                <w:lang w:eastAsia="en-US"/>
              </w:rPr>
              <w:t>e</w:t>
            </w:r>
            <w:r w:rsidR="003C5AA7" w:rsidRPr="00363DF7">
              <w:rPr>
                <w:rFonts w:ascii="Franklin Gothic Book" w:eastAsia="Times New Roman" w:hAnsi="Franklin Gothic Book"/>
                <w:iCs/>
                <w:sz w:val="17"/>
                <w:szCs w:val="17"/>
                <w:lang w:eastAsia="en-US"/>
              </w:rPr>
              <w:t xml:space="preserve"> the up grading of the waste facility</w:t>
            </w:r>
            <w:r w:rsidR="003C5AA7" w:rsidRPr="00BF3E56">
              <w:rPr>
                <w:iCs/>
                <w:sz w:val="17"/>
                <w:szCs w:val="17"/>
                <w:lang w:eastAsia="en-US"/>
              </w:rPr>
              <w:t xml:space="preserve"> </w:t>
            </w:r>
            <w:r w:rsidR="003C5AA7" w:rsidRPr="00363DF7">
              <w:rPr>
                <w:rFonts w:ascii="Franklin Gothic Book" w:eastAsia="Times New Roman" w:hAnsi="Franklin Gothic Book"/>
                <w:sz w:val="17"/>
                <w:szCs w:val="17"/>
                <w:lang w:eastAsia="en-US"/>
              </w:rPr>
              <w:t xml:space="preserve">including completion of cell 2 and the procurement of the essential machinery </w:t>
            </w:r>
            <w:r w:rsidRPr="00363DF7">
              <w:rPr>
                <w:rFonts w:ascii="Franklin Gothic Book" w:eastAsia="Times New Roman" w:hAnsi="Franklin Gothic Book"/>
                <w:sz w:val="17"/>
                <w:szCs w:val="17"/>
                <w:lang w:eastAsia="en-US"/>
              </w:rPr>
              <w:t>(</w:t>
            </w:r>
            <w:r w:rsidR="003C5AA7" w:rsidRPr="00363DF7">
              <w:rPr>
                <w:rFonts w:ascii="Franklin Gothic Book" w:eastAsia="Times New Roman" w:hAnsi="Franklin Gothic Book"/>
                <w:sz w:val="17"/>
                <w:szCs w:val="17"/>
                <w:lang w:eastAsia="en-US"/>
              </w:rPr>
              <w:t xml:space="preserve">including </w:t>
            </w:r>
            <w:r w:rsidRPr="00363DF7">
              <w:rPr>
                <w:rFonts w:ascii="Franklin Gothic Book" w:eastAsia="Times New Roman" w:hAnsi="Franklin Gothic Book"/>
                <w:sz w:val="17"/>
                <w:szCs w:val="17"/>
                <w:lang w:eastAsia="en-US"/>
              </w:rPr>
              <w:t>a</w:t>
            </w:r>
            <w:r w:rsidR="003C5AA7" w:rsidRPr="00363DF7">
              <w:rPr>
                <w:rFonts w:ascii="Franklin Gothic Book" w:eastAsia="Times New Roman" w:hAnsi="Franklin Gothic Book"/>
                <w:sz w:val="17"/>
                <w:szCs w:val="17"/>
                <w:lang w:eastAsia="en-US"/>
              </w:rPr>
              <w:t xml:space="preserve"> replacement compactor</w:t>
            </w:r>
            <w:r w:rsidRPr="00363DF7">
              <w:rPr>
                <w:rFonts w:ascii="Franklin Gothic Book" w:eastAsia="Times New Roman" w:hAnsi="Franklin Gothic Book"/>
                <w:sz w:val="17"/>
                <w:szCs w:val="17"/>
                <w:lang w:eastAsia="en-US"/>
              </w:rPr>
              <w:t>)</w:t>
            </w:r>
            <w:r w:rsidR="003A5D29" w:rsidRPr="00363DF7">
              <w:rPr>
                <w:rFonts w:ascii="Franklin Gothic Book" w:eastAsia="Times New Roman" w:hAnsi="Franklin Gothic Book"/>
                <w:sz w:val="17"/>
                <w:szCs w:val="17"/>
                <w:lang w:eastAsia="en-US"/>
              </w:rPr>
              <w:t>.</w:t>
            </w:r>
            <w:r w:rsidR="003A5D29">
              <w:rPr>
                <w:iCs/>
                <w:sz w:val="17"/>
                <w:szCs w:val="17"/>
                <w:lang w:eastAsia="en-US"/>
              </w:rPr>
              <w:t xml:space="preserve"> </w:t>
            </w:r>
          </w:p>
          <w:p w:rsidR="001853BF" w:rsidRPr="00BF3E56" w:rsidRDefault="001853BF" w:rsidP="00140BF2">
            <w:pPr>
              <w:rPr>
                <w:rFonts w:ascii="Franklin Gothic Book" w:eastAsia="Times New Roman" w:hAnsi="Franklin Gothic Book"/>
                <w:iCs/>
                <w:sz w:val="17"/>
                <w:szCs w:val="17"/>
                <w:lang w:eastAsia="en-US"/>
              </w:rPr>
            </w:pPr>
          </w:p>
        </w:tc>
        <w:tc>
          <w:tcPr>
            <w:tcW w:w="2622" w:type="pct"/>
            <w:tcBorders>
              <w:top w:val="nil"/>
              <w:bottom w:val="nil"/>
            </w:tcBorders>
          </w:tcPr>
          <w:p w:rsidR="009440DF" w:rsidRPr="009440DF" w:rsidRDefault="009440DF" w:rsidP="009440DF">
            <w:pPr>
              <w:rPr>
                <w:rFonts w:ascii="Franklin Gothic Book" w:eastAsia="Times New Roman" w:hAnsi="Franklin Gothic Book" w:cs="Calibri"/>
                <w:iCs/>
                <w:sz w:val="17"/>
                <w:szCs w:val="17"/>
                <w:lang w:eastAsia="en-US"/>
              </w:rPr>
            </w:pPr>
            <w:r w:rsidRPr="009440DF">
              <w:rPr>
                <w:rFonts w:ascii="Franklin Gothic Book" w:eastAsia="Times New Roman" w:hAnsi="Franklin Gothic Book" w:cs="Calibri"/>
                <w:iCs/>
                <w:sz w:val="17"/>
                <w:szCs w:val="17"/>
                <w:lang w:eastAsia="en-US"/>
              </w:rPr>
              <w:lastRenderedPageBreak/>
              <w:t>The achievement of this benchmark will guide future support for private sector development in Tonga to further Tonga’s economic growth.</w:t>
            </w:r>
          </w:p>
          <w:p w:rsidR="00394B6E" w:rsidRPr="009440DF" w:rsidRDefault="00394B6E" w:rsidP="00394B6E">
            <w:pPr>
              <w:pStyle w:val="CommentText"/>
              <w:rPr>
                <w:rFonts w:cs="Calibri"/>
                <w:iCs/>
                <w:sz w:val="17"/>
                <w:szCs w:val="17"/>
                <w:lang w:eastAsia="en-US"/>
              </w:rPr>
            </w:pPr>
          </w:p>
          <w:p w:rsidR="00C2651B" w:rsidRPr="009440DF" w:rsidRDefault="00C2651B" w:rsidP="003C5AA7">
            <w:pPr>
              <w:pStyle w:val="CommentText"/>
              <w:rPr>
                <w:rFonts w:cs="Calibri"/>
                <w:iCs/>
                <w:sz w:val="17"/>
                <w:szCs w:val="17"/>
                <w:lang w:eastAsia="en-US"/>
              </w:rPr>
            </w:pPr>
          </w:p>
          <w:p w:rsidR="00C2651B" w:rsidRPr="009440DF" w:rsidRDefault="00C2651B" w:rsidP="003C5AA7">
            <w:pPr>
              <w:pStyle w:val="CommentText"/>
              <w:rPr>
                <w:rFonts w:cs="Calibri"/>
                <w:iCs/>
                <w:sz w:val="17"/>
                <w:szCs w:val="17"/>
                <w:lang w:eastAsia="en-US"/>
              </w:rPr>
            </w:pPr>
          </w:p>
          <w:p w:rsidR="00363DF7" w:rsidRDefault="00363DF7" w:rsidP="003C5AA7">
            <w:pPr>
              <w:pStyle w:val="CommentText"/>
              <w:rPr>
                <w:rFonts w:cs="Calibri"/>
                <w:iCs/>
                <w:sz w:val="17"/>
                <w:szCs w:val="17"/>
                <w:lang w:eastAsia="en-US"/>
              </w:rPr>
            </w:pPr>
          </w:p>
          <w:p w:rsidR="009440DF" w:rsidRPr="009440DF" w:rsidRDefault="009440DF" w:rsidP="003C5AA7">
            <w:pPr>
              <w:pStyle w:val="CommentText"/>
              <w:rPr>
                <w:rFonts w:cs="Calibri"/>
                <w:iCs/>
                <w:sz w:val="17"/>
                <w:szCs w:val="17"/>
                <w:lang w:eastAsia="en-US"/>
              </w:rPr>
            </w:pPr>
          </w:p>
          <w:p w:rsidR="003C5AA7" w:rsidRPr="00136732" w:rsidRDefault="00BF3E56" w:rsidP="003C5AA7">
            <w:pPr>
              <w:pStyle w:val="CommentText"/>
              <w:rPr>
                <w:sz w:val="17"/>
                <w:szCs w:val="17"/>
                <w:lang w:eastAsia="en-US"/>
              </w:rPr>
            </w:pPr>
            <w:r w:rsidRPr="00136732">
              <w:rPr>
                <w:sz w:val="17"/>
                <w:szCs w:val="17"/>
                <w:lang w:eastAsia="en-US"/>
              </w:rPr>
              <w:lastRenderedPageBreak/>
              <w:t xml:space="preserve">The achievement of this benchmark, will add an </w:t>
            </w:r>
            <w:r w:rsidR="003C5AA7" w:rsidRPr="00136732">
              <w:rPr>
                <w:sz w:val="17"/>
                <w:szCs w:val="17"/>
                <w:lang w:eastAsia="en-US"/>
              </w:rPr>
              <w:t xml:space="preserve">additional 8-10 years to the lifespan of the </w:t>
            </w:r>
            <w:r w:rsidR="00367755" w:rsidRPr="00136732">
              <w:rPr>
                <w:sz w:val="17"/>
                <w:szCs w:val="17"/>
                <w:lang w:eastAsia="en-US"/>
              </w:rPr>
              <w:t xml:space="preserve">waste management </w:t>
            </w:r>
            <w:r w:rsidR="003C5AA7" w:rsidRPr="00136732">
              <w:rPr>
                <w:sz w:val="17"/>
                <w:szCs w:val="17"/>
                <w:lang w:eastAsia="en-US"/>
              </w:rPr>
              <w:t>site</w:t>
            </w:r>
            <w:r w:rsidR="00367755" w:rsidRPr="00136732">
              <w:rPr>
                <w:sz w:val="17"/>
                <w:szCs w:val="17"/>
                <w:lang w:eastAsia="en-US"/>
              </w:rPr>
              <w:t xml:space="preserve">, </w:t>
            </w:r>
            <w:r w:rsidR="008010F1" w:rsidRPr="00136732">
              <w:rPr>
                <w:sz w:val="17"/>
                <w:szCs w:val="17"/>
                <w:lang w:eastAsia="en-US"/>
              </w:rPr>
              <w:t xml:space="preserve">and </w:t>
            </w:r>
            <w:r w:rsidRPr="00136732">
              <w:rPr>
                <w:sz w:val="17"/>
                <w:szCs w:val="17"/>
                <w:lang w:eastAsia="en-US"/>
              </w:rPr>
              <w:t xml:space="preserve">will enable efficient operations of the facility </w:t>
            </w:r>
            <w:r w:rsidR="008010F1" w:rsidRPr="00136732">
              <w:rPr>
                <w:sz w:val="17"/>
                <w:szCs w:val="17"/>
                <w:lang w:eastAsia="en-US"/>
              </w:rPr>
              <w:t xml:space="preserve">to </w:t>
            </w:r>
            <w:r w:rsidRPr="00136732">
              <w:rPr>
                <w:sz w:val="17"/>
                <w:szCs w:val="17"/>
                <w:lang w:eastAsia="en-US"/>
              </w:rPr>
              <w:t>provide essential services</w:t>
            </w:r>
            <w:r w:rsidR="00363DF7" w:rsidRPr="00136732">
              <w:rPr>
                <w:sz w:val="17"/>
                <w:szCs w:val="17"/>
                <w:lang w:eastAsia="en-US"/>
              </w:rPr>
              <w:t>.</w:t>
            </w:r>
            <w:r w:rsidRPr="00136732">
              <w:rPr>
                <w:sz w:val="17"/>
                <w:szCs w:val="17"/>
                <w:lang w:eastAsia="en-US"/>
              </w:rPr>
              <w:t xml:space="preserve"> to Nuku’alofa’s urban areas.</w:t>
            </w:r>
          </w:p>
          <w:p w:rsidR="00162574" w:rsidRPr="009440DF" w:rsidRDefault="00162574" w:rsidP="00767D94">
            <w:pPr>
              <w:pStyle w:val="TableTextEntries"/>
              <w:rPr>
                <w:rFonts w:cs="Calibri"/>
              </w:rPr>
            </w:pPr>
          </w:p>
        </w:tc>
      </w:tr>
      <w:tr w:rsidR="006F749A" w:rsidRPr="004F7D80" w:rsidTr="00AF5215">
        <w:trPr>
          <w:trHeight w:val="1002"/>
        </w:trPr>
        <w:tc>
          <w:tcPr>
            <w:tcW w:w="1189" w:type="pct"/>
            <w:tcBorders>
              <w:top w:val="nil"/>
              <w:left w:val="single" w:sz="4" w:space="0" w:color="auto"/>
              <w:bottom w:val="single" w:sz="4" w:space="0" w:color="auto"/>
            </w:tcBorders>
            <w:tcMar>
              <w:top w:w="57" w:type="dxa"/>
              <w:bottom w:w="57" w:type="dxa"/>
            </w:tcMar>
          </w:tcPr>
          <w:p w:rsidR="00224DA9" w:rsidRPr="00FE21B3" w:rsidRDefault="006F749A" w:rsidP="00E90886">
            <w:pPr>
              <w:pStyle w:val="TableTextEntries"/>
            </w:pPr>
            <w:r w:rsidRPr="00FE21B3">
              <w:lastRenderedPageBreak/>
              <w:t xml:space="preserve">To </w:t>
            </w:r>
            <w:r w:rsidR="00202BD4" w:rsidRPr="003D7652">
              <w:t>i</w:t>
            </w:r>
            <w:r w:rsidR="00224DA9" w:rsidRPr="003D7652">
              <w:t>ncrease</w:t>
            </w:r>
            <w:r w:rsidR="00E90886" w:rsidRPr="003D7652">
              <w:t xml:space="preserve"> the </w:t>
            </w:r>
            <w:r w:rsidR="00224DA9" w:rsidRPr="003D7652">
              <w:t>numbers</w:t>
            </w:r>
            <w:r w:rsidR="00E90886" w:rsidRPr="003D7652">
              <w:t xml:space="preserve"> </w:t>
            </w:r>
            <w:r w:rsidR="00224DA9" w:rsidRPr="003D7652">
              <w:t xml:space="preserve">of children with a disability </w:t>
            </w:r>
            <w:r w:rsidR="00E90886" w:rsidRPr="003D7652">
              <w:t xml:space="preserve">that </w:t>
            </w:r>
            <w:r w:rsidR="00224DA9" w:rsidRPr="003D7652">
              <w:t>have access to quality learning opportunities</w:t>
            </w:r>
            <w:r w:rsidR="00224DA9">
              <w:rPr>
                <w:rFonts w:ascii="Calibri" w:hAnsi="Calibri" w:cs="Calibri"/>
                <w:sz w:val="18"/>
                <w:szCs w:val="18"/>
              </w:rPr>
              <w:t>.</w:t>
            </w:r>
          </w:p>
        </w:tc>
        <w:tc>
          <w:tcPr>
            <w:tcW w:w="1189" w:type="pct"/>
            <w:tcBorders>
              <w:top w:val="nil"/>
              <w:bottom w:val="single" w:sz="4" w:space="0" w:color="auto"/>
            </w:tcBorders>
          </w:tcPr>
          <w:p w:rsidR="00224DA9" w:rsidRDefault="006F749A" w:rsidP="00ED332B">
            <w:pPr>
              <w:rPr>
                <w:rFonts w:ascii="Franklin Gothic Book" w:eastAsia="Times New Roman" w:hAnsi="Franklin Gothic Book"/>
                <w:b/>
                <w:iCs/>
                <w:sz w:val="17"/>
                <w:szCs w:val="17"/>
              </w:rPr>
            </w:pPr>
            <w:r w:rsidRPr="003D4982">
              <w:rPr>
                <w:rFonts w:ascii="Franklin Gothic Book" w:hAnsi="Franklin Gothic Book"/>
                <w:b/>
                <w:bCs/>
                <w:sz w:val="17"/>
                <w:szCs w:val="17"/>
              </w:rPr>
              <w:t>Education</w:t>
            </w:r>
            <w:r w:rsidR="00CC3BE3">
              <w:rPr>
                <w:rFonts w:ascii="Franklin Gothic Book" w:hAnsi="Franklin Gothic Book"/>
                <w:b/>
                <w:bCs/>
                <w:sz w:val="17"/>
                <w:szCs w:val="17"/>
              </w:rPr>
              <w:t xml:space="preserve"> </w:t>
            </w:r>
            <w:r w:rsidR="00CC3BE3" w:rsidRPr="00CC3BE3">
              <w:rPr>
                <w:rFonts w:ascii="Franklin Gothic Book" w:eastAsia="Times New Roman" w:hAnsi="Franklin Gothic Book"/>
                <w:b/>
                <w:iCs/>
                <w:sz w:val="17"/>
                <w:szCs w:val="17"/>
              </w:rPr>
              <w:t>Program</w:t>
            </w:r>
            <w:r w:rsidRPr="003D4982">
              <w:rPr>
                <w:rFonts w:ascii="Franklin Gothic Book" w:hAnsi="Franklin Gothic Book"/>
                <w:b/>
                <w:bCs/>
                <w:sz w:val="17"/>
                <w:szCs w:val="17"/>
              </w:rPr>
              <w:t xml:space="preserve"> –</w:t>
            </w:r>
            <w:r w:rsidR="00202BD4">
              <w:rPr>
                <w:rFonts w:ascii="Franklin Gothic Book" w:eastAsia="Times New Roman" w:hAnsi="Franklin Gothic Book"/>
                <w:b/>
                <w:iCs/>
                <w:sz w:val="17"/>
                <w:szCs w:val="17"/>
              </w:rPr>
              <w:t xml:space="preserve"> </w:t>
            </w:r>
            <w:r w:rsidR="00202BD4" w:rsidRPr="00480A3B">
              <w:rPr>
                <w:rFonts w:ascii="Franklin Gothic Book" w:eastAsia="Times New Roman" w:hAnsi="Franklin Gothic Book"/>
                <w:iCs/>
                <w:sz w:val="17"/>
                <w:szCs w:val="17"/>
                <w:lang w:eastAsia="en-US"/>
              </w:rPr>
              <w:t>An Inclusive Education scoping report</w:t>
            </w:r>
            <w:r w:rsidR="00202BD4" w:rsidRPr="00136732">
              <w:rPr>
                <w:rFonts w:ascii="Franklin Gothic Book" w:eastAsia="Times New Roman" w:hAnsi="Franklin Gothic Book"/>
                <w:iCs/>
                <w:sz w:val="17"/>
                <w:szCs w:val="17"/>
                <w:lang w:eastAsia="en-US"/>
              </w:rPr>
              <w:t xml:space="preserve"> completed with baseline data identified.</w:t>
            </w:r>
            <w:r w:rsidR="00202BD4">
              <w:rPr>
                <w:rFonts w:ascii="Calibri" w:hAnsi="Calibri" w:cs="Calibri"/>
                <w:sz w:val="18"/>
                <w:szCs w:val="18"/>
                <w:lang w:eastAsia="en-US"/>
              </w:rPr>
              <w:t xml:space="preserve"> </w:t>
            </w:r>
          </w:p>
          <w:p w:rsidR="00224DA9" w:rsidRPr="00AC43E3" w:rsidRDefault="00224DA9" w:rsidP="00ED332B">
            <w:pPr>
              <w:rPr>
                <w:rFonts w:ascii="Franklin Gothic Book" w:eastAsia="Times New Roman" w:hAnsi="Franklin Gothic Book"/>
                <w:b/>
                <w:iCs/>
                <w:sz w:val="17"/>
                <w:szCs w:val="17"/>
              </w:rPr>
            </w:pPr>
          </w:p>
        </w:tc>
        <w:tc>
          <w:tcPr>
            <w:tcW w:w="2622" w:type="pct"/>
            <w:tcBorders>
              <w:top w:val="nil"/>
              <w:bottom w:val="single" w:sz="4" w:space="0" w:color="auto"/>
            </w:tcBorders>
          </w:tcPr>
          <w:p w:rsidR="00C01097" w:rsidRDefault="00202BD4" w:rsidP="00CF7F12">
            <w:pPr>
              <w:pStyle w:val="TableTextEntries"/>
            </w:pPr>
            <w:r w:rsidRPr="00202BD4">
              <w:rPr>
                <w:iCs w:val="0"/>
              </w:rPr>
              <w:t xml:space="preserve">This benchmark will improve access to education opportunities for all children, boys and girls to attend and complete a full course of Primary </w:t>
            </w:r>
            <w:r>
              <w:rPr>
                <w:iCs w:val="0"/>
              </w:rPr>
              <w:t>s</w:t>
            </w:r>
            <w:r w:rsidRPr="00202BD4">
              <w:rPr>
                <w:iCs w:val="0"/>
              </w:rPr>
              <w:t xml:space="preserve">chooling. It will increase access </w:t>
            </w:r>
            <w:r>
              <w:rPr>
                <w:iCs w:val="0"/>
              </w:rPr>
              <w:t xml:space="preserve">to </w:t>
            </w:r>
            <w:r w:rsidRPr="00202BD4">
              <w:rPr>
                <w:iCs w:val="0"/>
              </w:rPr>
              <w:t xml:space="preserve">schools that have been made more accessible to children with disabilities and </w:t>
            </w:r>
            <w:r>
              <w:rPr>
                <w:iCs w:val="0"/>
              </w:rPr>
              <w:t>i</w:t>
            </w:r>
            <w:r w:rsidRPr="00202BD4">
              <w:rPr>
                <w:iCs w:val="0"/>
              </w:rPr>
              <w:t>ncrease</w:t>
            </w:r>
            <w:r>
              <w:rPr>
                <w:iCs w:val="0"/>
              </w:rPr>
              <w:t xml:space="preserve"> the number</w:t>
            </w:r>
            <w:r w:rsidRPr="00202BD4">
              <w:rPr>
                <w:iCs w:val="0"/>
              </w:rPr>
              <w:t xml:space="preserve"> of children with a disability completing primary school</w:t>
            </w:r>
            <w:r>
              <w:rPr>
                <w:iCs w:val="0"/>
              </w:rPr>
              <w:t>.</w:t>
            </w:r>
          </w:p>
        </w:tc>
      </w:tr>
    </w:tbl>
    <w:p w:rsidR="0055151D" w:rsidRDefault="0055151D" w:rsidP="00C11C29">
      <w:pPr>
        <w:rPr>
          <w:iCs/>
        </w:rPr>
        <w:sectPr w:rsidR="0055151D" w:rsidSect="001C745A">
          <w:pgSz w:w="16840" w:h="11907" w:orient="landscape" w:code="9"/>
          <w:pgMar w:top="1871" w:right="2268" w:bottom="1871" w:left="907" w:header="851" w:footer="454" w:gutter="0"/>
          <w:cols w:space="720"/>
          <w:docGrid w:linePitch="272"/>
        </w:sectPr>
      </w:pPr>
    </w:p>
    <w:p w:rsidR="0055151D" w:rsidRPr="009E38C1" w:rsidRDefault="0055151D" w:rsidP="0055151D">
      <w:pPr>
        <w:pStyle w:val="Heading2"/>
        <w:rPr>
          <w:sz w:val="28"/>
        </w:rPr>
      </w:pPr>
      <w:r>
        <w:rPr>
          <w:sz w:val="28"/>
        </w:rPr>
        <w:lastRenderedPageBreak/>
        <w:t>A</w:t>
      </w:r>
      <w:r w:rsidRPr="009E38C1">
        <w:rPr>
          <w:sz w:val="28"/>
        </w:rPr>
        <w:t xml:space="preserve">nnex </w:t>
      </w:r>
      <w:r>
        <w:rPr>
          <w:sz w:val="28"/>
        </w:rPr>
        <w:t>E: Other Government Department Support</w:t>
      </w:r>
    </w:p>
    <w:p w:rsidR="0055151D" w:rsidRPr="0055151D" w:rsidRDefault="0055151D" w:rsidP="0055151D">
      <w:pPr>
        <w:pStyle w:val="ListBullet"/>
        <w:numPr>
          <w:ilvl w:val="0"/>
          <w:numId w:val="0"/>
        </w:numPr>
      </w:pPr>
      <w:r w:rsidRPr="0055151D">
        <w:t xml:space="preserve">The Australian Federal Police (AFP) work in Tonga as part of the Tonga Police Development Program (TPDP - $2.6 million in 2013-14) which is a joint commitment with New Zealand and Tonga. The current phase of assistance is focused on strengthening community level policing and organisational development.  Key achievements included: work implemented to combat school based violence; training of probationary constable mentors; appointment of a curriculum development officer within the Tonga Police College to ensure fair and merit-based recruitment processes  and to maintain the College’s  registration as a National Training Provider;  training in prosecution support (to improve quality of police briefs of evidence to courts);  supervisors’ leadership development training and training in the use of force. A closed circuit television network was also installed in key police locations to help the Tonga Police address professional standards issues (by making available high quality independent evidence of actions).  Two community Police Stations were constructed and the program also supported expansion of Community Policing Posts to outer islands. </w:t>
      </w:r>
    </w:p>
    <w:p w:rsidR="0055151D" w:rsidRPr="0055151D" w:rsidRDefault="0055151D" w:rsidP="0055151D">
      <w:pPr>
        <w:pStyle w:val="ListBullet"/>
        <w:numPr>
          <w:ilvl w:val="0"/>
          <w:numId w:val="0"/>
        </w:numPr>
      </w:pPr>
    </w:p>
    <w:p w:rsidR="0055151D" w:rsidRPr="0055151D" w:rsidRDefault="0055151D" w:rsidP="0055151D">
      <w:pPr>
        <w:pStyle w:val="ListBullet"/>
        <w:numPr>
          <w:ilvl w:val="0"/>
          <w:numId w:val="0"/>
        </w:numPr>
      </w:pPr>
      <w:r w:rsidRPr="0055151D">
        <w:t xml:space="preserve">The AFP program also made important contributions to initiatives to end violence against women during this reporting period.  The Australian Federal Police (AFP) developed a training program to support Tonga </w:t>
      </w:r>
      <w:r w:rsidR="00800A90">
        <w:t>P</w:t>
      </w:r>
      <w:r w:rsidRPr="0055151D">
        <w:t xml:space="preserve">olice to implement the Family Protection Act. In addition, under the Tonga Police Development Program (TPDP), the AFP has supported Tonga </w:t>
      </w:r>
      <w:r w:rsidR="006E5226">
        <w:t>P</w:t>
      </w:r>
      <w:r w:rsidRPr="0055151D">
        <w:t>olice to recruit more women in policing, to ensure a more gender-sensitive approach to responding to sexual and gender-based violence. The TPDP funded two conferences</w:t>
      </w:r>
      <w:r w:rsidRPr="002208BC">
        <w:rPr>
          <w:rStyle w:val="FootnoteReference"/>
          <w:sz w:val="18"/>
          <w:szCs w:val="18"/>
        </w:rPr>
        <w:footnoteRef/>
      </w:r>
      <w:r w:rsidRPr="002208BC">
        <w:rPr>
          <w:rStyle w:val="FootnoteReference"/>
          <w:sz w:val="18"/>
          <w:szCs w:val="18"/>
        </w:rPr>
        <w:footnoteRef/>
      </w:r>
      <w:r w:rsidRPr="0055151D">
        <w:t xml:space="preserve"> for stakeholders to discuss initiatives that combat violence against women and children. As a result, a female Tonga Police officer has been seconded to each crisis centre to facilitate the reporting of domestic violence incidents.</w:t>
      </w:r>
    </w:p>
    <w:p w:rsidR="0055151D" w:rsidRPr="0055151D" w:rsidRDefault="0055151D" w:rsidP="0055151D">
      <w:pPr>
        <w:pStyle w:val="ListBullet"/>
        <w:numPr>
          <w:ilvl w:val="0"/>
          <w:numId w:val="0"/>
        </w:numPr>
      </w:pPr>
      <w:r w:rsidRPr="0055151D">
        <w:t xml:space="preserve">The Australian Centre for International Agricultural Research supported continued development of the cultured pearl industry in Tonga and worked working regionally with the Secretariat of the Pacific Community and its partners, to build research and development capacity capable of sustaining the development of high-value crops for domestic consumption and export; as well as support for the export of sea cucumbers (the second most valuable marine export in </w:t>
      </w:r>
      <w:r>
        <w:t>the Pacific region after tuna).</w:t>
      </w:r>
    </w:p>
    <w:p w:rsidR="0055151D" w:rsidRPr="0055151D" w:rsidRDefault="0055151D" w:rsidP="0055151D">
      <w:pPr>
        <w:pStyle w:val="ListBullet"/>
        <w:numPr>
          <w:ilvl w:val="0"/>
          <w:numId w:val="0"/>
        </w:numPr>
      </w:pPr>
    </w:p>
    <w:p w:rsidR="0055151D" w:rsidRDefault="0055151D" w:rsidP="0055151D">
      <w:pPr>
        <w:pStyle w:val="ListBullet"/>
        <w:numPr>
          <w:ilvl w:val="0"/>
          <w:numId w:val="0"/>
        </w:numPr>
      </w:pPr>
      <w:r w:rsidRPr="0055151D">
        <w:t>The Reserve Bank of Australia provided an economist to the National Reserve Bank of Tonga (NRBT) to build capacity of NRBT staff to undertake economic analysis and to provide monetary policy advice. The economist also had a major role in economic and financial forecasting as well as drafting the NRBT’s biannual Monetary Policy Statement</w:t>
      </w:r>
      <w:r>
        <w:t>.</w:t>
      </w:r>
    </w:p>
    <w:p w:rsidR="00102103" w:rsidRDefault="00102103" w:rsidP="0055151D">
      <w:pPr>
        <w:pStyle w:val="ListBullet"/>
        <w:numPr>
          <w:ilvl w:val="0"/>
          <w:numId w:val="0"/>
        </w:numPr>
      </w:pPr>
    </w:p>
    <w:p w:rsidR="00102103" w:rsidRDefault="00102103" w:rsidP="0055151D">
      <w:pPr>
        <w:pStyle w:val="ListBullet"/>
        <w:numPr>
          <w:ilvl w:val="0"/>
          <w:numId w:val="0"/>
        </w:numPr>
        <w:sectPr w:rsidR="00102103" w:rsidSect="0055151D">
          <w:pgSz w:w="11907" w:h="16840" w:code="9"/>
          <w:pgMar w:top="2268" w:right="1871" w:bottom="907" w:left="1871" w:header="851" w:footer="454" w:gutter="0"/>
          <w:cols w:space="720"/>
          <w:docGrid w:linePitch="272"/>
        </w:sectPr>
      </w:pPr>
    </w:p>
    <w:p w:rsidR="00102103" w:rsidRPr="009E38C1" w:rsidRDefault="00102103" w:rsidP="00102103">
      <w:pPr>
        <w:pStyle w:val="Heading2"/>
        <w:rPr>
          <w:sz w:val="28"/>
        </w:rPr>
      </w:pPr>
      <w:r>
        <w:rPr>
          <w:sz w:val="28"/>
        </w:rPr>
        <w:lastRenderedPageBreak/>
        <w:t>A</w:t>
      </w:r>
      <w:r w:rsidRPr="009E38C1">
        <w:rPr>
          <w:sz w:val="28"/>
        </w:rPr>
        <w:t xml:space="preserve">nnex </w:t>
      </w:r>
      <w:r>
        <w:rPr>
          <w:sz w:val="28"/>
        </w:rPr>
        <w:t>F: Additional detail for health sector programs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6345"/>
      </w:tblGrid>
      <w:tr w:rsidR="00E61BED" w:rsidTr="004E7EAF">
        <w:trPr>
          <w:trHeight w:val="922"/>
        </w:trPr>
        <w:tc>
          <w:tcPr>
            <w:tcW w:w="2943" w:type="dxa"/>
            <w:tcBorders>
              <w:top w:val="single" w:sz="4" w:space="0" w:color="auto"/>
              <w:left w:val="single" w:sz="4" w:space="0" w:color="auto"/>
              <w:bottom w:val="single" w:sz="4" w:space="0" w:color="auto"/>
              <w:right w:val="single" w:sz="4" w:space="0" w:color="auto"/>
            </w:tcBorders>
            <w:shd w:val="clear" w:color="auto" w:fill="C7D5E6"/>
          </w:tcPr>
          <w:p w:rsidR="00E61BED" w:rsidRPr="009F069A" w:rsidRDefault="00E61BED" w:rsidP="004E7EAF">
            <w:pPr>
              <w:pStyle w:val="BodyText"/>
              <w:rPr>
                <w:rFonts w:cs="Calibri"/>
                <w:sz w:val="20"/>
                <w:szCs w:val="20"/>
              </w:rPr>
            </w:pPr>
            <w:r w:rsidRPr="009F069A">
              <w:rPr>
                <w:rFonts w:cs="Calibri"/>
                <w:sz w:val="20"/>
                <w:szCs w:val="20"/>
              </w:rPr>
              <w:t>Shared development outcome:</w:t>
            </w:r>
          </w:p>
        </w:tc>
        <w:tc>
          <w:tcPr>
            <w:tcW w:w="6345" w:type="dxa"/>
            <w:tcBorders>
              <w:top w:val="single" w:sz="4" w:space="0" w:color="auto"/>
              <w:left w:val="single" w:sz="4" w:space="0" w:color="auto"/>
              <w:bottom w:val="single" w:sz="4" w:space="0" w:color="auto"/>
              <w:right w:val="single" w:sz="4" w:space="0" w:color="auto"/>
            </w:tcBorders>
            <w:shd w:val="clear" w:color="auto" w:fill="C7D5E6"/>
          </w:tcPr>
          <w:p w:rsidR="00E61BED" w:rsidRPr="009F069A" w:rsidRDefault="00E61BED" w:rsidP="004E7EAF">
            <w:pPr>
              <w:pStyle w:val="BodyText"/>
              <w:rPr>
                <w:rFonts w:cs="Calibri"/>
                <w:i/>
                <w:iCs/>
                <w:sz w:val="20"/>
                <w:szCs w:val="20"/>
              </w:rPr>
            </w:pPr>
            <w:r>
              <w:rPr>
                <w:sz w:val="20"/>
                <w:szCs w:val="20"/>
              </w:rPr>
              <w:t>I</w:t>
            </w:r>
            <w:r w:rsidRPr="009F069A">
              <w:rPr>
                <w:sz w:val="20"/>
                <w:szCs w:val="20"/>
              </w:rPr>
              <w:t>mproved health outcomes, with a particular focus on reducing the impact of NCDs.</w:t>
            </w:r>
          </w:p>
        </w:tc>
      </w:tr>
      <w:tr w:rsidR="00E61BED" w:rsidTr="004E7EAF">
        <w:trPr>
          <w:trHeight w:val="2518"/>
        </w:trPr>
        <w:tc>
          <w:tcPr>
            <w:tcW w:w="2943" w:type="dxa"/>
            <w:tcBorders>
              <w:top w:val="single" w:sz="4" w:space="0" w:color="auto"/>
              <w:left w:val="single" w:sz="4" w:space="0" w:color="auto"/>
              <w:bottom w:val="single" w:sz="4" w:space="0" w:color="auto"/>
              <w:right w:val="single" w:sz="4" w:space="0" w:color="auto"/>
            </w:tcBorders>
            <w:shd w:val="clear" w:color="auto" w:fill="C7D5E6"/>
          </w:tcPr>
          <w:p w:rsidR="00E61BED" w:rsidRDefault="00E61BED" w:rsidP="004E7EAF">
            <w:pPr>
              <w:pStyle w:val="BodyText"/>
              <w:rPr>
                <w:sz w:val="20"/>
                <w:szCs w:val="20"/>
              </w:rPr>
            </w:pPr>
            <w:r w:rsidRPr="009F069A">
              <w:rPr>
                <w:sz w:val="20"/>
                <w:szCs w:val="20"/>
              </w:rPr>
              <w:t>Australia’s objective:</w:t>
            </w:r>
          </w:p>
          <w:p w:rsidR="00E61BED" w:rsidRDefault="00E61BED" w:rsidP="004E7EAF">
            <w:pPr>
              <w:pStyle w:val="BodyText"/>
              <w:rPr>
                <w:sz w:val="20"/>
                <w:szCs w:val="20"/>
              </w:rPr>
            </w:pPr>
          </w:p>
          <w:p w:rsidR="00E61BED" w:rsidRDefault="00E61BED" w:rsidP="004E7EAF">
            <w:pPr>
              <w:pStyle w:val="BodyText"/>
              <w:rPr>
                <w:sz w:val="20"/>
                <w:szCs w:val="20"/>
              </w:rPr>
            </w:pPr>
          </w:p>
          <w:p w:rsidR="00E61BED" w:rsidRDefault="00E61BED" w:rsidP="004E7EAF">
            <w:pPr>
              <w:pStyle w:val="BodyText"/>
              <w:rPr>
                <w:sz w:val="20"/>
                <w:szCs w:val="20"/>
              </w:rPr>
            </w:pPr>
          </w:p>
          <w:p w:rsidR="00E61BED" w:rsidRDefault="00E61BED" w:rsidP="004E7EAF">
            <w:pPr>
              <w:pStyle w:val="BodyText"/>
              <w:rPr>
                <w:sz w:val="20"/>
                <w:szCs w:val="20"/>
              </w:rPr>
            </w:pPr>
            <w:r>
              <w:rPr>
                <w:sz w:val="20"/>
                <w:szCs w:val="20"/>
              </w:rPr>
              <w:t>Key 2013-14 targets</w:t>
            </w:r>
          </w:p>
          <w:p w:rsidR="00E61BED" w:rsidRDefault="00E61BED" w:rsidP="004E7EAF">
            <w:pPr>
              <w:pStyle w:val="BodyText"/>
              <w:rPr>
                <w:sz w:val="20"/>
                <w:szCs w:val="20"/>
              </w:rPr>
            </w:pPr>
          </w:p>
          <w:p w:rsidR="00E61BED" w:rsidRPr="009F069A" w:rsidRDefault="00E61BED" w:rsidP="004E7EAF">
            <w:pPr>
              <w:pStyle w:val="BodyText"/>
              <w:rPr>
                <w:sz w:val="20"/>
                <w:szCs w:val="20"/>
              </w:rPr>
            </w:pPr>
          </w:p>
        </w:tc>
        <w:tc>
          <w:tcPr>
            <w:tcW w:w="6345" w:type="dxa"/>
            <w:tcBorders>
              <w:top w:val="single" w:sz="4" w:space="0" w:color="auto"/>
              <w:left w:val="single" w:sz="4" w:space="0" w:color="auto"/>
              <w:bottom w:val="single" w:sz="4" w:space="0" w:color="auto"/>
              <w:right w:val="single" w:sz="4" w:space="0" w:color="auto"/>
            </w:tcBorders>
            <w:shd w:val="clear" w:color="auto" w:fill="C7D5E6"/>
          </w:tcPr>
          <w:p w:rsidR="00E61BED" w:rsidRDefault="00E61BED" w:rsidP="004E7EAF">
            <w:pPr>
              <w:pStyle w:val="BodyText"/>
              <w:rPr>
                <w:sz w:val="20"/>
                <w:szCs w:val="20"/>
              </w:rPr>
            </w:pPr>
            <w:r w:rsidRPr="00E85F75">
              <w:rPr>
                <w:sz w:val="20"/>
                <w:szCs w:val="20"/>
              </w:rPr>
              <w:t xml:space="preserve">The Tonga Health Systems Support Program is dedicated to halting the rising prevalence of NCDs risk factors.  It focuses on primary and secondary prevention and takes a comprehensive approach in strengthening community health services, implementing health promotion and behaviour change campaigns and legislative reform. </w:t>
            </w:r>
          </w:p>
          <w:p w:rsidR="00E61BED" w:rsidRPr="00325017" w:rsidRDefault="00E61BED" w:rsidP="00E61BED">
            <w:pPr>
              <w:pStyle w:val="TableTextEntries"/>
              <w:numPr>
                <w:ilvl w:val="0"/>
                <w:numId w:val="25"/>
              </w:numPr>
              <w:rPr>
                <w:rFonts w:cs="Franklin Gothic Book"/>
                <w:sz w:val="18"/>
                <w:szCs w:val="18"/>
              </w:rPr>
            </w:pPr>
            <w:r w:rsidRPr="00325017">
              <w:rPr>
                <w:rFonts w:cs="Franklin Gothic Book"/>
                <w:sz w:val="18"/>
                <w:szCs w:val="18"/>
              </w:rPr>
              <w:t>Reduced prevalence of NCDs risk factors including:</w:t>
            </w:r>
          </w:p>
          <w:p w:rsidR="00E61BED" w:rsidRPr="00325017" w:rsidRDefault="00E61BED" w:rsidP="004E7EAF">
            <w:pPr>
              <w:pStyle w:val="TableTextEntries"/>
              <w:rPr>
                <w:rFonts w:cs="Franklin Gothic Book"/>
                <w:sz w:val="18"/>
                <w:szCs w:val="18"/>
              </w:rPr>
            </w:pPr>
            <w:r w:rsidRPr="00325017">
              <w:rPr>
                <w:rFonts w:cs="Franklin Gothic Book"/>
                <w:sz w:val="18"/>
                <w:szCs w:val="18"/>
              </w:rPr>
              <w:t xml:space="preserve">     </w:t>
            </w:r>
            <w:r>
              <w:rPr>
                <w:rFonts w:cs="Franklin Gothic Book"/>
                <w:i/>
                <w:sz w:val="18"/>
                <w:szCs w:val="18"/>
              </w:rPr>
              <w:t xml:space="preserve">      </w:t>
            </w:r>
            <w:r w:rsidRPr="00325017">
              <w:rPr>
                <w:rFonts w:cs="Franklin Gothic Book"/>
                <w:i/>
                <w:sz w:val="18"/>
                <w:szCs w:val="18"/>
              </w:rPr>
              <w:t>Tobacco use</w:t>
            </w:r>
            <w:r w:rsidRPr="00325017">
              <w:rPr>
                <w:rFonts w:cs="Franklin Gothic Book"/>
                <w:sz w:val="18"/>
                <w:szCs w:val="18"/>
              </w:rPr>
              <w:t>: 2 per cent decrease in prevalence of smokers by 2015</w:t>
            </w:r>
          </w:p>
          <w:p w:rsidR="00E61BED" w:rsidRPr="00325017" w:rsidRDefault="00E61BED" w:rsidP="00E61BED">
            <w:pPr>
              <w:pStyle w:val="TableTextEntries"/>
              <w:numPr>
                <w:ilvl w:val="0"/>
                <w:numId w:val="25"/>
              </w:numPr>
              <w:rPr>
                <w:rFonts w:cs="Franklin Gothic Book"/>
                <w:sz w:val="18"/>
                <w:szCs w:val="18"/>
              </w:rPr>
            </w:pPr>
            <w:r w:rsidRPr="00325017">
              <w:rPr>
                <w:rFonts w:cs="Franklin Gothic Book"/>
                <w:i/>
                <w:sz w:val="18"/>
                <w:szCs w:val="18"/>
              </w:rPr>
              <w:t xml:space="preserve">     Obesity</w:t>
            </w:r>
            <w:r w:rsidRPr="00325017">
              <w:rPr>
                <w:rFonts w:cs="Franklin Gothic Book"/>
                <w:sz w:val="18"/>
                <w:szCs w:val="18"/>
              </w:rPr>
              <w:t>: halt the increase in overall prevalence of obesity by 2015. Budget for preventive health care to reach 10 per cent of total public health operational budget by 2015 (</w:t>
            </w:r>
            <w:r>
              <w:rPr>
                <w:rFonts w:cs="Franklin Gothic Book"/>
                <w:sz w:val="18"/>
                <w:szCs w:val="18"/>
              </w:rPr>
              <w:t>to include Go</w:t>
            </w:r>
            <w:r w:rsidR="00143EA6">
              <w:rPr>
                <w:rFonts w:cs="Franklin Gothic Book"/>
                <w:sz w:val="18"/>
                <w:szCs w:val="18"/>
              </w:rPr>
              <w:t>T</w:t>
            </w:r>
            <w:r>
              <w:rPr>
                <w:rFonts w:cs="Franklin Gothic Book"/>
                <w:sz w:val="18"/>
                <w:szCs w:val="18"/>
              </w:rPr>
              <w:t xml:space="preserve">’s preventative budget and includes salaries and wages). </w:t>
            </w:r>
            <w:r w:rsidRPr="00325017">
              <w:rPr>
                <w:rFonts w:cs="Franklin Gothic Book"/>
                <w:sz w:val="18"/>
                <w:szCs w:val="18"/>
              </w:rPr>
              <w:t xml:space="preserve"> </w:t>
            </w:r>
          </w:p>
          <w:p w:rsidR="00E61BED" w:rsidRPr="009F069A" w:rsidRDefault="00E61BED" w:rsidP="00E61BED">
            <w:pPr>
              <w:pStyle w:val="TableTextEntries"/>
              <w:numPr>
                <w:ilvl w:val="0"/>
                <w:numId w:val="25"/>
              </w:numPr>
              <w:rPr>
                <w:sz w:val="20"/>
                <w:szCs w:val="20"/>
              </w:rPr>
            </w:pPr>
            <w:r w:rsidRPr="0040655C">
              <w:rPr>
                <w:rFonts w:cs="Franklin Gothic Book"/>
                <w:sz w:val="18"/>
                <w:szCs w:val="18"/>
              </w:rPr>
              <w:t>Primary health care provided to all communities in Tonga to follow a common national standard.</w:t>
            </w:r>
          </w:p>
        </w:tc>
      </w:tr>
    </w:tbl>
    <w:p w:rsidR="00E61BED" w:rsidRPr="00143EA6" w:rsidRDefault="00E61BED" w:rsidP="00902A80">
      <w:pPr>
        <w:pStyle w:val="Heading3"/>
        <w:rPr>
          <w:i w:val="0"/>
        </w:rPr>
      </w:pPr>
      <w:r w:rsidRPr="00143EA6">
        <w:rPr>
          <w:i w:val="0"/>
        </w:rPr>
        <w:t>The objective was rated green because the program performed well against its targets for 2013-14 to support Tonga’s health sector. However, the medium-term Partnership objective of halting the increase in the overall prevalence of obesity remains challenging to achieve, with key NCD risk factors continuing to deteriorate. The Partnership objective is arguably outside the control of Australia’s aid program to achieve and will need to be refined in the development of a new Aid Investment Plan for Australia’s aid to Tonga.</w:t>
      </w:r>
    </w:p>
    <w:p w:rsidR="00E61BED" w:rsidRPr="00143EA6" w:rsidRDefault="00E61BED" w:rsidP="00902A80">
      <w:pPr>
        <w:pStyle w:val="Heading3"/>
        <w:rPr>
          <w:rFonts w:ascii="Arial" w:hAnsi="Arial" w:cs="Arial"/>
          <w:i w:val="0"/>
        </w:rPr>
      </w:pPr>
      <w:r w:rsidRPr="00143EA6">
        <w:rPr>
          <w:i w:val="0"/>
        </w:rPr>
        <w:t>Tonga faces serious a health crisis. Non-communicable diseases (NCDs) have reached epidemic proportions over the last 20 years and are responsible for four of the five most common causes of death (diabetes, heart disease, stroke and lung disease).   Life expectancy in Tonga has fallen as a result of NCDs.</w:t>
      </w:r>
      <w:r w:rsidRPr="00143EA6">
        <w:rPr>
          <w:rStyle w:val="FootnoteReference"/>
          <w:rFonts w:ascii="Franklin Gothic Book" w:hAnsi="Franklin Gothic Book"/>
          <w:i w:val="0"/>
          <w:sz w:val="21"/>
          <w:szCs w:val="21"/>
          <w:vertAlign w:val="superscript"/>
        </w:rPr>
        <w:footnoteReference w:id="22"/>
      </w:r>
      <w:r w:rsidRPr="00143EA6">
        <w:rPr>
          <w:i w:val="0"/>
          <w:vertAlign w:val="superscript"/>
        </w:rPr>
        <w:t xml:space="preserve"> </w:t>
      </w:r>
      <w:r w:rsidRPr="00143EA6">
        <w:rPr>
          <w:i w:val="0"/>
        </w:rPr>
        <w:t>Hospitalisation related to NCDs accounts for around 20 per cent of health expenditure</w:t>
      </w:r>
      <w:r w:rsidRPr="00143EA6">
        <w:rPr>
          <w:rStyle w:val="FootnoteReference"/>
          <w:rFonts w:ascii="Franklin Gothic Book" w:hAnsi="Franklin Gothic Book"/>
          <w:i w:val="0"/>
          <w:sz w:val="21"/>
          <w:szCs w:val="21"/>
          <w:vertAlign w:val="superscript"/>
        </w:rPr>
        <w:footnoteReference w:id="23"/>
      </w:r>
      <w:r w:rsidRPr="00143EA6">
        <w:rPr>
          <w:i w:val="0"/>
        </w:rPr>
        <w:t xml:space="preserve"> and NCDs impose important economic costs to government in Tonga which, supported by Australia, finances the large majority of health expenditure. </w:t>
      </w:r>
      <w:r w:rsidRPr="00143EA6">
        <w:rPr>
          <w:rFonts w:cs="Arial"/>
          <w:i w:val="0"/>
        </w:rPr>
        <w:t xml:space="preserve"> </w:t>
      </w:r>
      <w:r w:rsidRPr="00143EA6">
        <w:rPr>
          <w:i w:val="0"/>
        </w:rPr>
        <w:t xml:space="preserve">The importance of addressing NCDs is reflected in Tonga’s Strategic Development Framework, in recognition of the seriousness of this development issue. </w:t>
      </w:r>
    </w:p>
    <w:p w:rsidR="00E61BED" w:rsidRPr="00203F50" w:rsidRDefault="00E61BED" w:rsidP="00E61BED">
      <w:pPr>
        <w:pStyle w:val="ListParagraph"/>
        <w:numPr>
          <w:ilvl w:val="0"/>
          <w:numId w:val="0"/>
        </w:numPr>
        <w:spacing w:line="280" w:lineRule="exact"/>
        <w:jc w:val="both"/>
        <w:rPr>
          <w:rFonts w:ascii="Franklin Gothic Book" w:hAnsi="Franklin Gothic Book"/>
          <w:i/>
          <w:sz w:val="21"/>
          <w:szCs w:val="21"/>
        </w:rPr>
      </w:pPr>
      <w:r>
        <w:rPr>
          <w:rFonts w:ascii="Franklin Gothic Book" w:hAnsi="Franklin Gothic Book"/>
          <w:i/>
          <w:sz w:val="21"/>
          <w:szCs w:val="21"/>
        </w:rPr>
        <w:t>Policy reform</w:t>
      </w:r>
    </w:p>
    <w:p w:rsidR="00E61BED" w:rsidRDefault="00D94D53" w:rsidP="00E61BED">
      <w:pPr>
        <w:pStyle w:val="ListParagraph"/>
        <w:numPr>
          <w:ilvl w:val="0"/>
          <w:numId w:val="0"/>
        </w:numPr>
        <w:spacing w:line="280" w:lineRule="exact"/>
        <w:jc w:val="both"/>
        <w:rPr>
          <w:rFonts w:ascii="Franklin Gothic Book" w:hAnsi="Franklin Gothic Book"/>
          <w:sz w:val="21"/>
          <w:szCs w:val="21"/>
        </w:rPr>
      </w:pPr>
      <w:r>
        <w:rPr>
          <w:rFonts w:ascii="Franklin Gothic Book" w:hAnsi="Franklin Gothic Book"/>
          <w:sz w:val="21"/>
          <w:szCs w:val="21"/>
        </w:rPr>
        <w:t xml:space="preserve">A </w:t>
      </w:r>
      <w:r w:rsidR="00E61BED">
        <w:rPr>
          <w:rFonts w:ascii="Franklin Gothic Book" w:hAnsi="Franklin Gothic Book"/>
          <w:sz w:val="21"/>
          <w:szCs w:val="21"/>
        </w:rPr>
        <w:t>key success over the period was</w:t>
      </w:r>
      <w:r w:rsidR="00E61BED" w:rsidRPr="00DB3C39">
        <w:rPr>
          <w:rFonts w:ascii="Franklin Gothic Book" w:hAnsi="Franklin Gothic Book"/>
          <w:sz w:val="21"/>
          <w:szCs w:val="21"/>
        </w:rPr>
        <w:t xml:space="preserve"> </w:t>
      </w:r>
      <w:r w:rsidR="00E61BED">
        <w:rPr>
          <w:rFonts w:ascii="Franklin Gothic Book" w:hAnsi="Franklin Gothic Book"/>
          <w:sz w:val="21"/>
          <w:szCs w:val="21"/>
        </w:rPr>
        <w:t>progress on</w:t>
      </w:r>
      <w:r w:rsidR="00E61BED" w:rsidRPr="00DB3C39">
        <w:rPr>
          <w:rFonts w:ascii="Franklin Gothic Book" w:hAnsi="Franklin Gothic Book"/>
          <w:sz w:val="21"/>
          <w:szCs w:val="21"/>
        </w:rPr>
        <w:t xml:space="preserve"> legislative </w:t>
      </w:r>
      <w:r w:rsidR="00E61BED">
        <w:rPr>
          <w:rFonts w:ascii="Franklin Gothic Book" w:hAnsi="Franklin Gothic Book"/>
          <w:sz w:val="21"/>
          <w:szCs w:val="21"/>
        </w:rPr>
        <w:t>reforms</w:t>
      </w:r>
      <w:r w:rsidR="00E61BED" w:rsidRPr="00DB3C39">
        <w:rPr>
          <w:rFonts w:ascii="Franklin Gothic Book" w:hAnsi="Franklin Gothic Book"/>
          <w:sz w:val="21"/>
          <w:szCs w:val="21"/>
        </w:rPr>
        <w:t xml:space="preserve"> to support </w:t>
      </w:r>
      <w:r w:rsidR="00E61BED">
        <w:rPr>
          <w:rFonts w:ascii="Franklin Gothic Book" w:hAnsi="Franklin Gothic Book"/>
          <w:sz w:val="21"/>
          <w:szCs w:val="21"/>
        </w:rPr>
        <w:t xml:space="preserve">public </w:t>
      </w:r>
      <w:r w:rsidR="00E61BED" w:rsidRPr="00DB3C39">
        <w:rPr>
          <w:rFonts w:ascii="Franklin Gothic Book" w:hAnsi="Franklin Gothic Book"/>
          <w:sz w:val="21"/>
          <w:szCs w:val="21"/>
        </w:rPr>
        <w:t xml:space="preserve">health objectives, including a 15 per cent increase in tobacco excise tax and </w:t>
      </w:r>
      <w:r w:rsidR="00E61BED">
        <w:rPr>
          <w:rFonts w:ascii="Franklin Gothic Book" w:hAnsi="Franklin Gothic Book"/>
          <w:sz w:val="21"/>
          <w:szCs w:val="21"/>
        </w:rPr>
        <w:t xml:space="preserve">work towards </w:t>
      </w:r>
      <w:r w:rsidR="00E61BED" w:rsidRPr="00DB3C39">
        <w:rPr>
          <w:rFonts w:ascii="Franklin Gothic Book" w:hAnsi="Franklin Gothic Book"/>
          <w:sz w:val="21"/>
          <w:szCs w:val="21"/>
        </w:rPr>
        <w:t xml:space="preserve">the introduction of tobacco control amendment bills </w:t>
      </w:r>
      <w:r w:rsidR="00E61BED">
        <w:rPr>
          <w:rFonts w:ascii="Franklin Gothic Book" w:hAnsi="Franklin Gothic Book"/>
          <w:sz w:val="21"/>
          <w:szCs w:val="21"/>
        </w:rPr>
        <w:t>(for</w:t>
      </w:r>
      <w:r w:rsidR="00E61BED" w:rsidRPr="00DB3C39">
        <w:rPr>
          <w:rFonts w:ascii="Franklin Gothic Book" w:hAnsi="Franklin Gothic Book"/>
          <w:sz w:val="21"/>
          <w:szCs w:val="21"/>
        </w:rPr>
        <w:t xml:space="preserve"> more smoke free premises, and </w:t>
      </w:r>
      <w:r w:rsidR="00E61BED">
        <w:rPr>
          <w:rFonts w:ascii="Franklin Gothic Book" w:hAnsi="Franklin Gothic Book"/>
          <w:sz w:val="21"/>
          <w:szCs w:val="21"/>
        </w:rPr>
        <w:t xml:space="preserve">enabling </w:t>
      </w:r>
      <w:r w:rsidR="00E61BED" w:rsidRPr="00DB3C39">
        <w:rPr>
          <w:rFonts w:ascii="Franklin Gothic Book" w:hAnsi="Franklin Gothic Book"/>
          <w:sz w:val="21"/>
          <w:szCs w:val="21"/>
        </w:rPr>
        <w:t>tobacco enforcement officers to enforce the Act by issuing on the spot fines to offenders</w:t>
      </w:r>
      <w:r w:rsidR="00E61BED">
        <w:rPr>
          <w:rFonts w:ascii="Franklin Gothic Book" w:hAnsi="Franklin Gothic Book"/>
          <w:sz w:val="21"/>
          <w:szCs w:val="21"/>
        </w:rPr>
        <w:t>)</w:t>
      </w:r>
      <w:r w:rsidR="00E61BED" w:rsidRPr="00DB3C39">
        <w:rPr>
          <w:rFonts w:ascii="Franklin Gothic Book" w:hAnsi="Franklin Gothic Book"/>
          <w:sz w:val="21"/>
          <w:szCs w:val="21"/>
        </w:rPr>
        <w:t>.</w:t>
      </w:r>
      <w:r w:rsidR="00E61BED">
        <w:rPr>
          <w:rFonts w:ascii="Franklin Gothic Book" w:hAnsi="Franklin Gothic Book"/>
          <w:sz w:val="21"/>
          <w:szCs w:val="21"/>
        </w:rPr>
        <w:t xml:space="preserve"> These reforms are </w:t>
      </w:r>
      <w:r w:rsidR="00E61BED" w:rsidRPr="00DB3C39">
        <w:rPr>
          <w:rFonts w:ascii="Franklin Gothic Book" w:hAnsi="Franklin Gothic Book"/>
          <w:sz w:val="21"/>
          <w:szCs w:val="21"/>
        </w:rPr>
        <w:t xml:space="preserve">in line with </w:t>
      </w:r>
      <w:r w:rsidR="00E61BED">
        <w:rPr>
          <w:rFonts w:ascii="Franklin Gothic Book" w:hAnsi="Franklin Gothic Book"/>
          <w:sz w:val="21"/>
          <w:szCs w:val="21"/>
        </w:rPr>
        <w:t xml:space="preserve">the </w:t>
      </w:r>
      <w:r w:rsidR="00E61BED" w:rsidRPr="00DB3C39">
        <w:rPr>
          <w:rFonts w:ascii="Franklin Gothic Book" w:hAnsi="Franklin Gothic Book"/>
          <w:sz w:val="21"/>
          <w:szCs w:val="21"/>
        </w:rPr>
        <w:t>W</w:t>
      </w:r>
      <w:r w:rsidR="00E61BED">
        <w:rPr>
          <w:rFonts w:ascii="Franklin Gothic Book" w:hAnsi="Franklin Gothic Book"/>
          <w:sz w:val="21"/>
          <w:szCs w:val="21"/>
        </w:rPr>
        <w:t xml:space="preserve">orld </w:t>
      </w:r>
      <w:r w:rsidR="00E61BED" w:rsidRPr="00DB3C39">
        <w:rPr>
          <w:rFonts w:ascii="Franklin Gothic Book" w:hAnsi="Franklin Gothic Book"/>
          <w:sz w:val="21"/>
          <w:szCs w:val="21"/>
        </w:rPr>
        <w:t>H</w:t>
      </w:r>
      <w:r w:rsidR="00E61BED">
        <w:rPr>
          <w:rFonts w:ascii="Franklin Gothic Book" w:hAnsi="Franklin Gothic Book"/>
          <w:sz w:val="21"/>
          <w:szCs w:val="21"/>
        </w:rPr>
        <w:t xml:space="preserve">ealth </w:t>
      </w:r>
      <w:r w:rsidR="00E61BED" w:rsidRPr="00DB3C39">
        <w:rPr>
          <w:rFonts w:ascii="Franklin Gothic Book" w:hAnsi="Franklin Gothic Book"/>
          <w:sz w:val="21"/>
          <w:szCs w:val="21"/>
        </w:rPr>
        <w:t>O</w:t>
      </w:r>
      <w:r w:rsidR="00E61BED">
        <w:rPr>
          <w:rFonts w:ascii="Franklin Gothic Book" w:hAnsi="Franklin Gothic Book"/>
          <w:sz w:val="21"/>
          <w:szCs w:val="21"/>
        </w:rPr>
        <w:t>rganisation</w:t>
      </w:r>
      <w:r w:rsidR="00E61BED" w:rsidRPr="00DB3C39">
        <w:rPr>
          <w:rFonts w:ascii="Franklin Gothic Book" w:hAnsi="Franklin Gothic Book"/>
          <w:sz w:val="21"/>
          <w:szCs w:val="21"/>
        </w:rPr>
        <w:t xml:space="preserve"> Framework Convention on Tobacco Control</w:t>
      </w:r>
      <w:r w:rsidR="00E61BED">
        <w:rPr>
          <w:rFonts w:ascii="Franklin Gothic Book" w:hAnsi="Franklin Gothic Book"/>
          <w:sz w:val="21"/>
          <w:szCs w:val="21"/>
        </w:rPr>
        <w:t>, which Tonga has adopted.</w:t>
      </w:r>
      <w:r w:rsidR="00E61BED" w:rsidRPr="00DB3C39">
        <w:rPr>
          <w:rFonts w:ascii="Franklin Gothic Book" w:hAnsi="Franklin Gothic Book"/>
          <w:sz w:val="21"/>
          <w:szCs w:val="21"/>
        </w:rPr>
        <w:t xml:space="preserve"> </w:t>
      </w:r>
      <w:r w:rsidR="00E61BED">
        <w:rPr>
          <w:rFonts w:ascii="Franklin Gothic Book" w:hAnsi="Franklin Gothic Book"/>
          <w:sz w:val="21"/>
          <w:szCs w:val="21"/>
        </w:rPr>
        <w:t>THSSP also supported development and adoption by the Tongan government, through the National NCD Committee, of a</w:t>
      </w:r>
      <w:r w:rsidR="00E61BED" w:rsidRPr="00DB3C39">
        <w:rPr>
          <w:rFonts w:ascii="Franklin Gothic Book" w:hAnsi="Franklin Gothic Book"/>
          <w:sz w:val="21"/>
          <w:szCs w:val="21"/>
        </w:rPr>
        <w:t xml:space="preserve"> strategic health communications framework for physical activity and healthy eating, to help </w:t>
      </w:r>
      <w:r w:rsidR="00E61BED">
        <w:rPr>
          <w:rFonts w:ascii="Franklin Gothic Book" w:hAnsi="Franklin Gothic Book"/>
          <w:sz w:val="21"/>
          <w:szCs w:val="21"/>
        </w:rPr>
        <w:t>address the high incidence of</w:t>
      </w:r>
      <w:r w:rsidR="00E61BED" w:rsidRPr="00DB3C39">
        <w:rPr>
          <w:rFonts w:ascii="Franklin Gothic Book" w:hAnsi="Franklin Gothic Book"/>
          <w:sz w:val="21"/>
          <w:szCs w:val="21"/>
        </w:rPr>
        <w:t xml:space="preserve"> obesity</w:t>
      </w:r>
      <w:r w:rsidR="00E61BED">
        <w:rPr>
          <w:rFonts w:ascii="Franklin Gothic Book" w:hAnsi="Franklin Gothic Book"/>
          <w:sz w:val="21"/>
          <w:szCs w:val="21"/>
        </w:rPr>
        <w:t xml:space="preserve"> and other NCD risk factors. A </w:t>
      </w:r>
      <w:r w:rsidR="00E61BED">
        <w:rPr>
          <w:rFonts w:ascii="Franklin Gothic Book" w:hAnsi="Franklin Gothic Book"/>
          <w:sz w:val="21"/>
          <w:szCs w:val="21"/>
        </w:rPr>
        <w:lastRenderedPageBreak/>
        <w:t>s</w:t>
      </w:r>
      <w:r w:rsidR="00E61BED" w:rsidRPr="00DB3C39">
        <w:rPr>
          <w:rFonts w:ascii="Franklin Gothic Book" w:hAnsi="Franklin Gothic Book"/>
          <w:sz w:val="21"/>
          <w:szCs w:val="21"/>
        </w:rPr>
        <w:t>trategic</w:t>
      </w:r>
      <w:r w:rsidR="00E61BED">
        <w:rPr>
          <w:rFonts w:ascii="Franklin Gothic Book" w:hAnsi="Franklin Gothic Book"/>
          <w:sz w:val="21"/>
          <w:szCs w:val="21"/>
        </w:rPr>
        <w:t xml:space="preserve"> health communications adviser was recruited </w:t>
      </w:r>
      <w:r w:rsidR="00E61BED" w:rsidRPr="00DB3C39">
        <w:rPr>
          <w:rFonts w:ascii="Franklin Gothic Book" w:hAnsi="Franklin Gothic Book"/>
          <w:sz w:val="21"/>
          <w:szCs w:val="21"/>
        </w:rPr>
        <w:t xml:space="preserve">in </w:t>
      </w:r>
      <w:r w:rsidR="00E61BED">
        <w:rPr>
          <w:rFonts w:ascii="Franklin Gothic Book" w:hAnsi="Franklin Gothic Book"/>
          <w:sz w:val="21"/>
          <w:szCs w:val="21"/>
        </w:rPr>
        <w:t>June</w:t>
      </w:r>
      <w:r w:rsidR="00E61BED" w:rsidRPr="00DB3C39">
        <w:rPr>
          <w:rFonts w:ascii="Franklin Gothic Book" w:hAnsi="Franklin Gothic Book"/>
          <w:sz w:val="21"/>
          <w:szCs w:val="21"/>
        </w:rPr>
        <w:t xml:space="preserve"> 2014</w:t>
      </w:r>
      <w:r w:rsidR="00E61BED">
        <w:rPr>
          <w:rFonts w:ascii="Franklin Gothic Book" w:hAnsi="Franklin Gothic Book"/>
          <w:sz w:val="21"/>
          <w:szCs w:val="21"/>
        </w:rPr>
        <w:t xml:space="preserve"> to begin work with government to implement the new</w:t>
      </w:r>
      <w:r w:rsidR="00E61BED" w:rsidRPr="00DB3C39">
        <w:rPr>
          <w:rFonts w:ascii="Franklin Gothic Book" w:hAnsi="Franklin Gothic Book"/>
          <w:sz w:val="21"/>
          <w:szCs w:val="21"/>
        </w:rPr>
        <w:t xml:space="preserve"> framework</w:t>
      </w:r>
      <w:r w:rsidR="00E61BED">
        <w:rPr>
          <w:rFonts w:ascii="Franklin Gothic Book" w:hAnsi="Franklin Gothic Book"/>
          <w:sz w:val="21"/>
          <w:szCs w:val="21"/>
        </w:rPr>
        <w:t xml:space="preserve"> from July 2014</w:t>
      </w:r>
      <w:r w:rsidR="00E61BED" w:rsidRPr="00DB3C39">
        <w:rPr>
          <w:rFonts w:ascii="Franklin Gothic Book" w:hAnsi="Franklin Gothic Book"/>
          <w:sz w:val="21"/>
          <w:szCs w:val="21"/>
        </w:rPr>
        <w:t>.</w:t>
      </w:r>
      <w:r w:rsidR="00E61BED">
        <w:rPr>
          <w:rFonts w:ascii="Franklin Gothic Book" w:hAnsi="Franklin Gothic Book"/>
          <w:sz w:val="21"/>
          <w:szCs w:val="21"/>
        </w:rPr>
        <w:t xml:space="preserve"> </w:t>
      </w:r>
    </w:p>
    <w:p w:rsidR="00E61BED" w:rsidRPr="00426D70" w:rsidRDefault="00E61BED" w:rsidP="00E61BED">
      <w:pPr>
        <w:pStyle w:val="ListParagraph"/>
        <w:numPr>
          <w:ilvl w:val="0"/>
          <w:numId w:val="0"/>
        </w:numPr>
        <w:spacing w:line="280" w:lineRule="exact"/>
        <w:jc w:val="both"/>
        <w:rPr>
          <w:rFonts w:ascii="Franklin Gothic Book" w:hAnsi="Franklin Gothic Book"/>
          <w:sz w:val="21"/>
          <w:szCs w:val="21"/>
        </w:rPr>
      </w:pPr>
      <w:r>
        <w:rPr>
          <w:rFonts w:ascii="Franklin Gothic Book" w:hAnsi="Franklin Gothic Book"/>
          <w:sz w:val="21"/>
          <w:szCs w:val="21"/>
        </w:rPr>
        <w:t xml:space="preserve">In terms of budget allocations, the Tongan Government met the Partnership target </w:t>
      </w:r>
      <w:r w:rsidRPr="00203F50">
        <w:rPr>
          <w:rFonts w:ascii="Franklin Gothic Book" w:hAnsi="Franklin Gothic Book"/>
          <w:sz w:val="21"/>
          <w:szCs w:val="21"/>
        </w:rPr>
        <w:t>for the M</w:t>
      </w:r>
      <w:r>
        <w:rPr>
          <w:rFonts w:ascii="Franklin Gothic Book" w:hAnsi="Franklin Gothic Book"/>
          <w:sz w:val="21"/>
          <w:szCs w:val="21"/>
        </w:rPr>
        <w:t xml:space="preserve">inistry of Health’s </w:t>
      </w:r>
      <w:r w:rsidRPr="00203F50">
        <w:rPr>
          <w:rFonts w:ascii="Franklin Gothic Book" w:hAnsi="Franklin Gothic Book"/>
          <w:sz w:val="21"/>
          <w:szCs w:val="21"/>
        </w:rPr>
        <w:t xml:space="preserve">budget for preventative health care to be </w:t>
      </w:r>
      <w:r>
        <w:rPr>
          <w:rFonts w:ascii="Franklin Gothic Book" w:hAnsi="Franklin Gothic Book"/>
          <w:sz w:val="21"/>
          <w:szCs w:val="21"/>
        </w:rPr>
        <w:t xml:space="preserve">at least </w:t>
      </w:r>
      <w:r w:rsidRPr="00203F50">
        <w:rPr>
          <w:rFonts w:ascii="Franklin Gothic Book" w:hAnsi="Franklin Gothic Book"/>
          <w:sz w:val="21"/>
          <w:szCs w:val="21"/>
        </w:rPr>
        <w:t>10 per cent of the total health operational budget</w:t>
      </w:r>
      <w:r>
        <w:rPr>
          <w:rFonts w:ascii="Franklin Gothic Book" w:hAnsi="Franklin Gothic Book"/>
          <w:sz w:val="21"/>
          <w:szCs w:val="21"/>
        </w:rPr>
        <w:t xml:space="preserve">. </w:t>
      </w:r>
      <w:r w:rsidRPr="00426D70">
        <w:rPr>
          <w:rFonts w:ascii="Franklin Gothic Book" w:hAnsi="Franklin Gothic Book"/>
          <w:sz w:val="21"/>
          <w:szCs w:val="21"/>
        </w:rPr>
        <w:t>The TH</w:t>
      </w:r>
      <w:r w:rsidR="006E5226">
        <w:rPr>
          <w:rFonts w:ascii="Franklin Gothic Book" w:hAnsi="Franklin Gothic Book"/>
          <w:sz w:val="21"/>
          <w:szCs w:val="21"/>
        </w:rPr>
        <w:t>S</w:t>
      </w:r>
      <w:r w:rsidRPr="00426D70">
        <w:rPr>
          <w:rFonts w:ascii="Franklin Gothic Book" w:hAnsi="Franklin Gothic Book"/>
          <w:sz w:val="21"/>
          <w:szCs w:val="21"/>
        </w:rPr>
        <w:t>SP program is also supporting finalisation and release of two major health surveys (the 2011-2012 Knowledge, Attitude and Practices (KAP) survey data</w:t>
      </w:r>
      <w:r>
        <w:rPr>
          <w:rFonts w:ascii="Franklin Gothic Book" w:hAnsi="Franklin Gothic Book"/>
          <w:sz w:val="21"/>
          <w:szCs w:val="21"/>
        </w:rPr>
        <w:t xml:space="preserve"> was released in </w:t>
      </w:r>
      <w:r w:rsidRPr="00FA1806">
        <w:rPr>
          <w:rFonts w:ascii="Franklin Gothic Book" w:hAnsi="Franklin Gothic Book"/>
          <w:sz w:val="21"/>
          <w:szCs w:val="21"/>
        </w:rPr>
        <w:t>July 2014</w:t>
      </w:r>
      <w:r>
        <w:rPr>
          <w:rStyle w:val="FootnoteReference"/>
        </w:rPr>
        <w:footnoteReference w:id="24"/>
      </w:r>
      <w:r>
        <w:rPr>
          <w:rFonts w:ascii="Franklin Gothic Book" w:hAnsi="Franklin Gothic Book"/>
          <w:b/>
          <w:sz w:val="21"/>
          <w:szCs w:val="21"/>
        </w:rPr>
        <w:t xml:space="preserve"> </w:t>
      </w:r>
      <w:r w:rsidRPr="00426D70">
        <w:rPr>
          <w:rFonts w:ascii="Franklin Gothic Book" w:hAnsi="Franklin Gothic Book"/>
          <w:sz w:val="21"/>
          <w:szCs w:val="21"/>
        </w:rPr>
        <w:t>and the World Health Organisation’s (WHO) STEPwise Approach to Surveillance of NCD Risk Factors (STEPS) survey</w:t>
      </w:r>
      <w:r>
        <w:rPr>
          <w:rFonts w:ascii="Franklin Gothic Book" w:hAnsi="Franklin Gothic Book"/>
          <w:sz w:val="21"/>
          <w:szCs w:val="21"/>
        </w:rPr>
        <w:t xml:space="preserve"> which</w:t>
      </w:r>
      <w:r w:rsidRPr="00426D70">
        <w:rPr>
          <w:rFonts w:ascii="Franklin Gothic Book" w:hAnsi="Franklin Gothic Book"/>
          <w:sz w:val="21"/>
          <w:szCs w:val="21"/>
        </w:rPr>
        <w:t xml:space="preserve"> is due to be released in late 2014. These surveys will provide much-needed baseline data on NCD risk factors and allow better monitoring and improved targeting of future health promotion and other interventions.</w:t>
      </w:r>
    </w:p>
    <w:p w:rsidR="00E61BED" w:rsidRPr="00E153FC" w:rsidRDefault="00E61BED" w:rsidP="00902A80">
      <w:pPr>
        <w:pStyle w:val="Heading3"/>
      </w:pPr>
      <w:r w:rsidRPr="00E153FC">
        <w:t>Another important reform being supported by THSSP is for primary health care to all communities in Tonga to follow a common national standard. The development of common national standards for health care was pursued through the preparation of a standard health centre operations manual.</w:t>
      </w:r>
      <w:r w:rsidRPr="00E153FC">
        <w:rPr>
          <w:rStyle w:val="FootnoteReference"/>
          <w:b/>
        </w:rPr>
        <w:footnoteReference w:id="25"/>
      </w:r>
      <w:r w:rsidRPr="00E153FC">
        <w:t xml:space="preserve"> The national standards are expected to be approved and implemented in at least</w:t>
      </w:r>
      <w:r w:rsidR="009D58DC" w:rsidRPr="00E153FC">
        <w:t xml:space="preserve"> ten</w:t>
      </w:r>
      <w:r w:rsidRPr="00E153FC">
        <w:t xml:space="preserve"> of Tonga’s 14 health centres by 2015. </w:t>
      </w:r>
    </w:p>
    <w:p w:rsidR="00E61BED" w:rsidRDefault="00E61BED" w:rsidP="00E61BED">
      <w:pPr>
        <w:pStyle w:val="BodyText"/>
        <w:spacing w:after="120"/>
      </w:pPr>
      <w:r>
        <w:t xml:space="preserve">Australia’s scholarship program also provides post-graduate training opportunities for Ministry of Health staff. Over the longer term, this will help to address some of the </w:t>
      </w:r>
      <w:r w:rsidRPr="006C6E58">
        <w:t xml:space="preserve">critical </w:t>
      </w:r>
      <w:r>
        <w:t xml:space="preserve">medical </w:t>
      </w:r>
      <w:r w:rsidRPr="006C6E58">
        <w:t>staffing deficiencies</w:t>
      </w:r>
      <w:r>
        <w:t>. However, there will likely continue to be a need for visiting and long-term in-country placements of specialists into the future, as it is difficult for a small country like Tonga to resource the full range of senior specialist heath positions. Moreover, Tongan specialists</w:t>
      </w:r>
      <w:r w:rsidRPr="00742344">
        <w:t xml:space="preserve"> </w:t>
      </w:r>
      <w:r>
        <w:t xml:space="preserve">are often </w:t>
      </w:r>
      <w:r w:rsidRPr="00742344">
        <w:t xml:space="preserve">recruited to work </w:t>
      </w:r>
      <w:r>
        <w:t xml:space="preserve">elsewhere </w:t>
      </w:r>
      <w:r w:rsidRPr="00742344">
        <w:t xml:space="preserve">in </w:t>
      </w:r>
      <w:r>
        <w:t>the region, leaving gaps at home</w:t>
      </w:r>
      <w:r>
        <w:rPr>
          <w:rStyle w:val="FootnoteReference"/>
        </w:rPr>
        <w:footnoteReference w:id="26"/>
      </w:r>
      <w:r>
        <w:t xml:space="preserve">. </w:t>
      </w:r>
    </w:p>
    <w:p w:rsidR="00E61BED" w:rsidRDefault="00E61BED" w:rsidP="00E61BED">
      <w:pPr>
        <w:pStyle w:val="BodyText"/>
      </w:pPr>
      <w:r>
        <w:t>The</w:t>
      </w:r>
      <w:r w:rsidRPr="00DE57D4">
        <w:t xml:space="preserve"> twinning program with St John of God Hospital </w:t>
      </w:r>
      <w:r>
        <w:t xml:space="preserve">(SJOG) </w:t>
      </w:r>
      <w:r w:rsidRPr="00DE57D4">
        <w:t xml:space="preserve">in Ballarat </w:t>
      </w:r>
      <w:r>
        <w:t>is highly valued by MoH for its</w:t>
      </w:r>
      <w:r w:rsidRPr="004A55ED">
        <w:t xml:space="preserve"> </w:t>
      </w:r>
      <w:r>
        <w:t xml:space="preserve">effectiveness as its longstanding relationship over 20 years has allowed some major changes to be introduced to Tongan medical, nursing, administration and engineering practices. The model is based on funding exchange visits to SJOG in Ballarat for staff from Tonga and visits from SJOG staff to Tonga. These visits are determined by a needs analysis and over its life has involved staff from all hospital areas: nursing staff (administrative, intensive care, surgical ward nurses, academic), electricians plumbers, pharmacists, sterilisation and decontamination experts , radiographers and radiologists, accident and emergency  physicians,  mental health nurses maintenance staff and a medical superintendent. </w:t>
      </w:r>
    </w:p>
    <w:p w:rsidR="00E61BED" w:rsidRPr="007436B1" w:rsidRDefault="00E61BED" w:rsidP="00E61BED">
      <w:pPr>
        <w:pStyle w:val="BodyText"/>
      </w:pPr>
      <w:r>
        <w:t xml:space="preserve">A significant outcome for this reporting period included the provision of </w:t>
      </w:r>
      <w:r w:rsidRPr="00DE57D4">
        <w:t>the first mammography machine in Tonga</w:t>
      </w:r>
      <w:r>
        <w:t>,</w:t>
      </w:r>
      <w:r w:rsidRPr="002013EB">
        <w:rPr>
          <w:rStyle w:val="FootnoteReference"/>
          <w:szCs w:val="16"/>
        </w:rPr>
        <w:footnoteReference w:id="27"/>
      </w:r>
      <w:r w:rsidRPr="002013EB">
        <w:rPr>
          <w:sz w:val="16"/>
          <w:szCs w:val="16"/>
        </w:rPr>
        <w:t xml:space="preserve"> </w:t>
      </w:r>
      <w:r w:rsidRPr="007436B1">
        <w:t xml:space="preserve">as </w:t>
      </w:r>
      <w:r w:rsidR="006B2F01">
        <w:t xml:space="preserve">breast cancer is </w:t>
      </w:r>
      <w:r w:rsidRPr="007436B1">
        <w:t>the most commonly diagnosed cancer in Tonga</w:t>
      </w:r>
      <w:r>
        <w:t>. A</w:t>
      </w:r>
      <w:r w:rsidRPr="007436B1">
        <w:t xml:space="preserve">ccess to </w:t>
      </w:r>
      <w:r>
        <w:t>mam</w:t>
      </w:r>
      <w:r w:rsidRPr="007436B1">
        <w:t xml:space="preserve">mography services </w:t>
      </w:r>
      <w:r>
        <w:t>is anticipated to increase</w:t>
      </w:r>
      <w:r w:rsidRPr="007436B1">
        <w:t xml:space="preserve"> early detection rates</w:t>
      </w:r>
      <w:r>
        <w:t xml:space="preserve"> and substantially improve survival outcomes. The exchange is a two way process and recently </w:t>
      </w:r>
      <w:r w:rsidRPr="00E65A13">
        <w:t xml:space="preserve">graduated midwives from Australia </w:t>
      </w:r>
      <w:r>
        <w:t>did a rotation at the V</w:t>
      </w:r>
      <w:r w:rsidR="00664F71">
        <w:t>a</w:t>
      </w:r>
      <w:r>
        <w:t xml:space="preserve">iola Hospital where they </w:t>
      </w:r>
      <w:r>
        <w:lastRenderedPageBreak/>
        <w:t xml:space="preserve">were exposed to a high percentage of natural </w:t>
      </w:r>
      <w:r w:rsidRPr="00E65A13">
        <w:t>births, which are increasingly hard to deliver in SJOG Ballarat which has a very high</w:t>
      </w:r>
      <w:r>
        <w:t xml:space="preserve"> caesarian </w:t>
      </w:r>
      <w:r w:rsidRPr="00E65A13">
        <w:t>section rate.</w:t>
      </w:r>
    </w:p>
    <w:p w:rsidR="00E61BED" w:rsidRPr="001B36DA" w:rsidRDefault="00E61BED" w:rsidP="00E61BED">
      <w:pPr>
        <w:widowControl w:val="0"/>
        <w:spacing w:after="120" w:line="280" w:lineRule="exact"/>
        <w:jc w:val="both"/>
        <w:rPr>
          <w:rFonts w:ascii="Franklin Gothic Book" w:eastAsia="Times New Roman" w:hAnsi="Franklin Gothic Book"/>
          <w:sz w:val="21"/>
          <w:szCs w:val="21"/>
        </w:rPr>
      </w:pPr>
      <w:r w:rsidRPr="001B36DA">
        <w:rPr>
          <w:rFonts w:ascii="Franklin Gothic Book" w:eastAsia="Times New Roman" w:hAnsi="Franklin Gothic Book"/>
          <w:sz w:val="21"/>
          <w:szCs w:val="21"/>
        </w:rPr>
        <w:t>Another key achievement over the reporting period was the support provided by THSSP to help Tonga’s Ministry of Health respond to Tropical Cyclone Ian</w:t>
      </w:r>
      <w:r w:rsidRPr="001B36DA">
        <w:rPr>
          <w:rStyle w:val="FootnoteReference"/>
          <w:rFonts w:ascii="Franklin Gothic Book" w:hAnsi="Franklin Gothic Book"/>
          <w:szCs w:val="16"/>
        </w:rPr>
        <w:footnoteReference w:id="28"/>
      </w:r>
      <w:r w:rsidRPr="001B36DA">
        <w:rPr>
          <w:rFonts w:ascii="Franklin Gothic Book" w:eastAsia="Times New Roman" w:hAnsi="Franklin Gothic Book"/>
          <w:sz w:val="21"/>
          <w:szCs w:val="21"/>
        </w:rPr>
        <w:t xml:space="preserve">. THSSP’s ‘flexible fund’ allowed the rapid mobilisation of additional medical staff to Ha’apai to assess damage and fund an immediate emergency response, including the purchase of essential drugs and a replacement water pump for Ha’apai’s main hospital. THSSP’s ‘flexible fund’ was also used to repair damage to the hospital following the cyclone. More broadly, the ‘flexible fund’ also funded a range of small scale and/or urgent works across Tonga. </w:t>
      </w:r>
      <w:r>
        <w:rPr>
          <w:rFonts w:ascii="Franklin Gothic Book" w:eastAsia="Times New Roman" w:hAnsi="Franklin Gothic Book"/>
          <w:sz w:val="21"/>
          <w:szCs w:val="21"/>
        </w:rPr>
        <w:t xml:space="preserve">The fund </w:t>
      </w:r>
      <w:r w:rsidRPr="001B36DA">
        <w:rPr>
          <w:rFonts w:ascii="Franklin Gothic Book" w:eastAsia="Times New Roman" w:hAnsi="Franklin Gothic Book"/>
          <w:sz w:val="21"/>
          <w:szCs w:val="21"/>
        </w:rPr>
        <w:t xml:space="preserve">has provided hospital equipment and medical supplies that have allowed for a transition to improved and higher quality of care (e.g. Intensive Care Unit beds) as well as basic supplies that the Ministry </w:t>
      </w:r>
      <w:r>
        <w:rPr>
          <w:rFonts w:ascii="Franklin Gothic Book" w:eastAsia="Times New Roman" w:hAnsi="Franklin Gothic Book"/>
          <w:sz w:val="21"/>
          <w:szCs w:val="21"/>
        </w:rPr>
        <w:t>could not fund</w:t>
      </w:r>
      <w:r w:rsidRPr="001B36DA">
        <w:rPr>
          <w:rFonts w:ascii="Franklin Gothic Book" w:eastAsia="Times New Roman" w:hAnsi="Franklin Gothic Book"/>
          <w:sz w:val="21"/>
          <w:szCs w:val="21"/>
        </w:rPr>
        <w:t xml:space="preserve"> (e.g. linen for hospital beds). Funds have also been used to upgrade the oxygen plant, which has been an ongoing challenge to the hospital. The flexible fund has also been used to upgrade laboratory and radiology services, with the result that fewer tests need to be referred to New Zealand or Australia. With strong leadership in these areas, Tonga is close to being self-sufficient for basic lab and radiology services. </w:t>
      </w:r>
    </w:p>
    <w:p w:rsidR="00E61BED" w:rsidRPr="00385BDE" w:rsidRDefault="00E61BED" w:rsidP="00E61BED">
      <w:pPr>
        <w:widowControl w:val="0"/>
        <w:spacing w:after="120" w:line="280" w:lineRule="exact"/>
        <w:jc w:val="both"/>
        <w:rPr>
          <w:rFonts w:ascii="Franklin Gothic Book" w:hAnsi="Franklin Gothic Book"/>
          <w:sz w:val="21"/>
          <w:szCs w:val="21"/>
        </w:rPr>
      </w:pPr>
      <w:r w:rsidRPr="00385BDE">
        <w:rPr>
          <w:rFonts w:ascii="Franklin Gothic Book" w:hAnsi="Franklin Gothic Book"/>
          <w:sz w:val="21"/>
          <w:szCs w:val="21"/>
        </w:rPr>
        <w:t>Other significant progress made under the program in 2013–14 includes:</w:t>
      </w:r>
    </w:p>
    <w:p w:rsidR="00E61BED" w:rsidRPr="00BB4D7B" w:rsidRDefault="00E61BED" w:rsidP="00DC72DE">
      <w:pPr>
        <w:pStyle w:val="ListParagraph"/>
        <w:numPr>
          <w:ilvl w:val="0"/>
          <w:numId w:val="22"/>
        </w:numPr>
        <w:spacing w:after="0"/>
        <w:ind w:left="357" w:hanging="357"/>
        <w:rPr>
          <w:rFonts w:ascii="Franklin Gothic Book" w:hAnsi="Franklin Gothic Book"/>
          <w:sz w:val="21"/>
          <w:szCs w:val="21"/>
        </w:rPr>
      </w:pPr>
      <w:r w:rsidRPr="00DC72DE">
        <w:rPr>
          <w:rFonts w:ascii="Franklin Gothic Book" w:hAnsi="Franklin Gothic Book"/>
          <w:bCs/>
          <w:sz w:val="21"/>
          <w:szCs w:val="21"/>
        </w:rPr>
        <w:t>Exceeded the target set for primary-school aged children screened for rheumatic heart disease by health centre staff, with 91 per cent of schools covered (well above the  target</w:t>
      </w:r>
      <w:r w:rsidRPr="00BB4D7B">
        <w:rPr>
          <w:rFonts w:ascii="Franklin Gothic Book" w:hAnsi="Franklin Gothic Book"/>
          <w:sz w:val="21"/>
          <w:szCs w:val="21"/>
        </w:rPr>
        <w:t xml:space="preserve"> of 80 per cent)</w:t>
      </w:r>
      <w:r w:rsidRPr="00BB4D7B">
        <w:rPr>
          <w:rStyle w:val="FootnoteReference"/>
          <w:rFonts w:ascii="Franklin Gothic Book" w:hAnsi="Franklin Gothic Book"/>
          <w:bCs/>
          <w:sz w:val="21"/>
          <w:szCs w:val="21"/>
        </w:rPr>
        <w:t>.</w:t>
      </w:r>
      <w:r w:rsidRPr="00BB4D7B">
        <w:rPr>
          <w:rStyle w:val="FootnoteReference"/>
          <w:rFonts w:ascii="Franklin Gothic Book" w:hAnsi="Franklin Gothic Book"/>
          <w:bCs/>
          <w:szCs w:val="16"/>
        </w:rPr>
        <w:footnoteReference w:id="29"/>
      </w:r>
      <w:r w:rsidRPr="00BB4D7B">
        <w:rPr>
          <w:rFonts w:ascii="Franklin Gothic Book" w:hAnsi="Franklin Gothic Book"/>
          <w:sz w:val="16"/>
          <w:szCs w:val="16"/>
        </w:rPr>
        <w:t xml:space="preserve"> </w:t>
      </w:r>
    </w:p>
    <w:p w:rsidR="00E61BED" w:rsidRDefault="00E61BED" w:rsidP="00DC72DE">
      <w:pPr>
        <w:pStyle w:val="ListParagraph"/>
        <w:numPr>
          <w:ilvl w:val="0"/>
          <w:numId w:val="22"/>
        </w:numPr>
        <w:spacing w:after="0"/>
        <w:ind w:left="357" w:hanging="357"/>
        <w:rPr>
          <w:rFonts w:ascii="Franklin Gothic Book" w:hAnsi="Franklin Gothic Book"/>
          <w:sz w:val="21"/>
          <w:szCs w:val="21"/>
        </w:rPr>
      </w:pPr>
      <w:r w:rsidRPr="00BB4D7B">
        <w:rPr>
          <w:rFonts w:ascii="Franklin Gothic Book" w:hAnsi="Franklin Gothic Book"/>
          <w:sz w:val="21"/>
          <w:szCs w:val="21"/>
        </w:rPr>
        <w:t>95 per cent of the recommendations of a 2013 Independent Progress Report of the THSSP</w:t>
      </w:r>
      <w:r w:rsidRPr="002208BC">
        <w:rPr>
          <w:rStyle w:val="FootnoteReference"/>
          <w:rFonts w:ascii="Franklin Gothic Book" w:hAnsi="Franklin Gothic Book"/>
          <w:bCs/>
          <w:szCs w:val="16"/>
        </w:rPr>
        <w:footnoteReference w:id="30"/>
      </w:r>
      <w:r w:rsidRPr="002208BC">
        <w:rPr>
          <w:rStyle w:val="FootnoteReference"/>
          <w:rFonts w:ascii="Franklin Gothic Book" w:hAnsi="Franklin Gothic Book"/>
          <w:bCs/>
          <w:szCs w:val="16"/>
        </w:rPr>
        <w:t xml:space="preserve"> </w:t>
      </w:r>
      <w:r w:rsidRPr="00BB4D7B">
        <w:rPr>
          <w:rFonts w:ascii="Franklin Gothic Book" w:hAnsi="Franklin Gothic Book"/>
          <w:sz w:val="21"/>
          <w:szCs w:val="21"/>
        </w:rPr>
        <w:t xml:space="preserve">have been implemented. In particular, the THSSP program successfully addressed difficulties with slow implementation due to budget and procurement efficiency issues in the Ministry of Health, identified in last year’s Annual Program Report. The marked improvement in disbursement and implementation progress is reflected in the achievements set out above. </w:t>
      </w:r>
    </w:p>
    <w:p w:rsidR="00E61BED" w:rsidRPr="00BB4D7B" w:rsidRDefault="00E61BED" w:rsidP="00E61BED">
      <w:pPr>
        <w:pStyle w:val="ListParagraph"/>
        <w:numPr>
          <w:ilvl w:val="0"/>
          <w:numId w:val="22"/>
        </w:numPr>
        <w:spacing w:after="0"/>
        <w:ind w:left="360"/>
        <w:rPr>
          <w:rFonts w:ascii="Franklin Gothic Book" w:hAnsi="Franklin Gothic Book"/>
          <w:bCs/>
          <w:sz w:val="21"/>
          <w:szCs w:val="21"/>
        </w:rPr>
      </w:pPr>
      <w:r w:rsidRPr="00BB4D7B">
        <w:rPr>
          <w:rFonts w:ascii="Franklin Gothic Book" w:hAnsi="Franklin Gothic Book"/>
          <w:bCs/>
          <w:sz w:val="21"/>
          <w:szCs w:val="21"/>
        </w:rPr>
        <w:t>To inform a new program design, a</w:t>
      </w:r>
      <w:r w:rsidRPr="00BB4D7B">
        <w:rPr>
          <w:rFonts w:ascii="Franklin Gothic Book" w:hAnsi="Franklin Gothic Book"/>
          <w:bCs/>
          <w:i/>
          <w:sz w:val="21"/>
          <w:szCs w:val="21"/>
        </w:rPr>
        <w:t xml:space="preserve"> Tonga Health Sector Analysis</w:t>
      </w:r>
      <w:r w:rsidRPr="00BB4D7B">
        <w:rPr>
          <w:rFonts w:ascii="Franklin Gothic Book" w:hAnsi="Franklin Gothic Book"/>
          <w:bCs/>
          <w:sz w:val="21"/>
          <w:szCs w:val="21"/>
        </w:rPr>
        <w:t xml:space="preserve"> was undertaken in early 2014 to review the overall ‘shape’ of health services in Tonga, and specifically look at how GoT’s response to the NCD challenge could be strengthened.  </w:t>
      </w:r>
    </w:p>
    <w:p w:rsidR="00E61BED" w:rsidRPr="00BB4D7B" w:rsidRDefault="00E61BED" w:rsidP="00E61BED">
      <w:pPr>
        <w:pStyle w:val="ListParagraph"/>
        <w:numPr>
          <w:ilvl w:val="0"/>
          <w:numId w:val="0"/>
        </w:numPr>
        <w:spacing w:after="0"/>
        <w:ind w:left="360"/>
        <w:rPr>
          <w:rFonts w:ascii="Franklin Gothic Book" w:hAnsi="Franklin Gothic Book"/>
          <w:bCs/>
          <w:sz w:val="21"/>
          <w:szCs w:val="21"/>
        </w:rPr>
      </w:pPr>
    </w:p>
    <w:p w:rsidR="00E61BED" w:rsidRPr="00B80C8D" w:rsidRDefault="00E61BED" w:rsidP="00E61BED">
      <w:pPr>
        <w:pStyle w:val="BodyText"/>
      </w:pPr>
      <w:r>
        <w:t>The achievements above demonstrated the value of working through government systems and developing strong and productive relationships and effective policy dialogue on the health sector, with the Ministry of Health and other Tongan government and civil society stakeholders involved in the multi-sectoral response to NCD prevention. DFAT holds regular</w:t>
      </w:r>
      <w:r w:rsidRPr="00A6495C">
        <w:t xml:space="preserve"> bi-monthly meetings with </w:t>
      </w:r>
      <w:r>
        <w:t xml:space="preserve">the </w:t>
      </w:r>
      <w:r w:rsidRPr="00A6495C">
        <w:t>THSSP</w:t>
      </w:r>
      <w:r>
        <w:t xml:space="preserve"> program management team as well as </w:t>
      </w:r>
      <w:r w:rsidRPr="00A6495C">
        <w:t>other ad</w:t>
      </w:r>
      <w:r>
        <w:t xml:space="preserve"> </w:t>
      </w:r>
      <w:r w:rsidRPr="00A6495C">
        <w:t xml:space="preserve">hoc meetings </w:t>
      </w:r>
      <w:r>
        <w:t xml:space="preserve">with other parties </w:t>
      </w:r>
      <w:r w:rsidRPr="00A6495C">
        <w:t xml:space="preserve">as </w:t>
      </w:r>
      <w:r>
        <w:t xml:space="preserve">the </w:t>
      </w:r>
      <w:r w:rsidRPr="00A6495C">
        <w:t>need arises.</w:t>
      </w:r>
      <w:r>
        <w:t xml:space="preserve"> </w:t>
      </w:r>
    </w:p>
    <w:p w:rsidR="00E61BED" w:rsidRPr="004B5028" w:rsidRDefault="00E61BED" w:rsidP="00902A80">
      <w:pPr>
        <w:pStyle w:val="Heading3"/>
      </w:pPr>
      <w:r w:rsidRPr="004B5028">
        <w:t>Challenges/factors affecting progress</w:t>
      </w:r>
    </w:p>
    <w:p w:rsidR="00E61BED" w:rsidRDefault="00E61BED" w:rsidP="00E61BED">
      <w:pPr>
        <w:pStyle w:val="BodyText"/>
        <w:spacing w:after="120"/>
      </w:pPr>
      <w:r w:rsidRPr="005B5A13">
        <w:t xml:space="preserve">An independent progress review of the </w:t>
      </w:r>
      <w:r w:rsidRPr="005B5A13">
        <w:rPr>
          <w:i/>
        </w:rPr>
        <w:t xml:space="preserve">Tonga Health Systems Support Program </w:t>
      </w:r>
      <w:r w:rsidRPr="005B5A13">
        <w:t xml:space="preserve">undertaken in 2013 identified a need to strengthen governance arrangements for health promotion </w:t>
      </w:r>
      <w:r w:rsidRPr="005B5A13">
        <w:lastRenderedPageBreak/>
        <w:t>work in Tonga, to ensure a more coherent and consistent approach to health promotion messages, which is needed to achieve the behaviour changes required to address NCDs effectively. In response, a new governance structure for management and oversight of national NCD activities has been designed and agreed to by all major stakeholders</w:t>
      </w:r>
      <w:r>
        <w:t xml:space="preserve">. </w:t>
      </w:r>
    </w:p>
    <w:p w:rsidR="00E61BED" w:rsidRDefault="00E61BED" w:rsidP="00E61BED">
      <w:pPr>
        <w:pStyle w:val="BodyText"/>
        <w:spacing w:after="120"/>
      </w:pPr>
      <w:r>
        <w:t xml:space="preserve">Procurement issues identified through earlier program audits are improving, however challenges remain in embedding the new procurement processes. Budget and financial management also require ongoing strengthening and monitoring. </w:t>
      </w:r>
    </w:p>
    <w:p w:rsidR="00E61BED" w:rsidRPr="001D3B36" w:rsidRDefault="00E61BED" w:rsidP="00E61BED">
      <w:pPr>
        <w:pStyle w:val="ListBullet"/>
        <w:numPr>
          <w:ilvl w:val="0"/>
          <w:numId w:val="0"/>
        </w:numPr>
        <w:tabs>
          <w:tab w:val="clear" w:pos="284"/>
        </w:tabs>
        <w:ind w:left="360" w:hanging="360"/>
        <w:rPr>
          <w:i/>
        </w:rPr>
      </w:pPr>
      <w:r w:rsidRPr="001D3B36">
        <w:rPr>
          <w:i/>
        </w:rPr>
        <w:t>Gender</w:t>
      </w:r>
      <w:r>
        <w:rPr>
          <w:i/>
        </w:rPr>
        <w:t xml:space="preserve"> equality</w:t>
      </w:r>
    </w:p>
    <w:p w:rsidR="00E61BED" w:rsidRPr="00B02CC4" w:rsidRDefault="00E61BED" w:rsidP="00E61BED">
      <w:pPr>
        <w:spacing w:after="120" w:line="280" w:lineRule="exact"/>
        <w:rPr>
          <w:rFonts w:ascii="Franklin Gothic Book" w:eastAsia="Times New Roman" w:hAnsi="Franklin Gothic Book"/>
          <w:sz w:val="21"/>
        </w:rPr>
      </w:pPr>
      <w:r w:rsidRPr="00B02CC4">
        <w:rPr>
          <w:rFonts w:ascii="Franklin Gothic Book" w:eastAsia="Times New Roman" w:hAnsi="Franklin Gothic Book"/>
          <w:sz w:val="21"/>
        </w:rPr>
        <w:t xml:space="preserve">Gender-disaggregated data </w:t>
      </w:r>
      <w:r>
        <w:rPr>
          <w:rFonts w:ascii="Franklin Gothic Book" w:eastAsia="Times New Roman" w:hAnsi="Franklin Gothic Book"/>
          <w:sz w:val="21"/>
        </w:rPr>
        <w:t xml:space="preserve">is </w:t>
      </w:r>
      <w:r w:rsidRPr="00B02CC4">
        <w:rPr>
          <w:rFonts w:ascii="Franklin Gothic Book" w:eastAsia="Times New Roman" w:hAnsi="Franklin Gothic Book"/>
          <w:sz w:val="21"/>
        </w:rPr>
        <w:t xml:space="preserve">embedded in the </w:t>
      </w:r>
      <w:r>
        <w:rPr>
          <w:rFonts w:ascii="Franklin Gothic Book" w:eastAsia="Times New Roman" w:hAnsi="Franklin Gothic Book"/>
          <w:sz w:val="21"/>
        </w:rPr>
        <w:t xml:space="preserve">health </w:t>
      </w:r>
      <w:r w:rsidRPr="00B02CC4">
        <w:rPr>
          <w:rFonts w:ascii="Franklin Gothic Book" w:eastAsia="Times New Roman" w:hAnsi="Franklin Gothic Book"/>
          <w:sz w:val="21"/>
        </w:rPr>
        <w:t>program and</w:t>
      </w:r>
      <w:r>
        <w:rPr>
          <w:rFonts w:ascii="Franklin Gothic Book" w:eastAsia="Times New Roman" w:hAnsi="Franklin Gothic Book"/>
          <w:sz w:val="21"/>
        </w:rPr>
        <w:t xml:space="preserve"> is</w:t>
      </w:r>
      <w:r w:rsidRPr="00B02CC4">
        <w:rPr>
          <w:rFonts w:ascii="Franklin Gothic Book" w:eastAsia="Times New Roman" w:hAnsi="Franklin Gothic Book"/>
          <w:sz w:val="21"/>
        </w:rPr>
        <w:t xml:space="preserve"> used to inform program activities. The new cadre of NCD nurses has opened professional opportunities for women, and there is strong female representation in positions</w:t>
      </w:r>
      <w:r>
        <w:rPr>
          <w:rFonts w:ascii="Franklin Gothic Book" w:eastAsia="Times New Roman" w:hAnsi="Franklin Gothic Book"/>
          <w:sz w:val="21"/>
        </w:rPr>
        <w:t xml:space="preserve"> of responsibility in THSSP.</w:t>
      </w:r>
      <w:r w:rsidRPr="006C1856">
        <w:rPr>
          <w:rFonts w:ascii="Franklin Gothic Book" w:eastAsia="Times New Roman" w:hAnsi="Franklin Gothic Book"/>
          <w:sz w:val="21"/>
        </w:rPr>
        <w:t xml:space="preserve"> </w:t>
      </w:r>
      <w:r>
        <w:rPr>
          <w:rFonts w:ascii="Franklin Gothic Book" w:eastAsia="Times New Roman" w:hAnsi="Franklin Gothic Book"/>
          <w:sz w:val="21"/>
        </w:rPr>
        <w:t>Work to engage male nurses will be done at the same time as future training.  A specialist g</w:t>
      </w:r>
      <w:r w:rsidRPr="00B02CC4">
        <w:rPr>
          <w:rFonts w:ascii="Franklin Gothic Book" w:eastAsia="Times New Roman" w:hAnsi="Franklin Gothic Book"/>
          <w:sz w:val="21"/>
        </w:rPr>
        <w:t xml:space="preserve">ender </w:t>
      </w:r>
      <w:r>
        <w:rPr>
          <w:rFonts w:ascii="Franklin Gothic Book" w:eastAsia="Times New Roman" w:hAnsi="Franklin Gothic Book"/>
          <w:sz w:val="21"/>
        </w:rPr>
        <w:t>a</w:t>
      </w:r>
      <w:r w:rsidRPr="00B02CC4">
        <w:rPr>
          <w:rFonts w:ascii="Franklin Gothic Book" w:eastAsia="Times New Roman" w:hAnsi="Franklin Gothic Book"/>
          <w:sz w:val="21"/>
        </w:rPr>
        <w:t xml:space="preserve">dviser </w:t>
      </w:r>
      <w:r>
        <w:rPr>
          <w:rFonts w:ascii="Franklin Gothic Book" w:eastAsia="Times New Roman" w:hAnsi="Franklin Gothic Book"/>
          <w:sz w:val="21"/>
        </w:rPr>
        <w:t xml:space="preserve">was contracted by DFAT to contribute to the </w:t>
      </w:r>
      <w:r w:rsidRPr="00B02CC4">
        <w:rPr>
          <w:rFonts w:ascii="Franklin Gothic Book" w:eastAsia="Times New Roman" w:hAnsi="Franklin Gothic Book"/>
          <w:sz w:val="21"/>
        </w:rPr>
        <w:t>Tonga Health Sector Analysis and the initial design process for Phase II of THSSP</w:t>
      </w:r>
      <w:r>
        <w:rPr>
          <w:rFonts w:ascii="Franklin Gothic Book" w:eastAsia="Times New Roman" w:hAnsi="Franklin Gothic Book"/>
          <w:sz w:val="21"/>
        </w:rPr>
        <w:t xml:space="preserve"> (described earlier) to ensure gender equality is incorporated into our support to Tonga’s health sector</w:t>
      </w:r>
      <w:r w:rsidRPr="00B02CC4">
        <w:rPr>
          <w:rFonts w:ascii="Franklin Gothic Book" w:eastAsia="Times New Roman" w:hAnsi="Franklin Gothic Book"/>
          <w:sz w:val="21"/>
        </w:rPr>
        <w:t>.</w:t>
      </w:r>
    </w:p>
    <w:p w:rsidR="00E61BED" w:rsidRPr="0021003F" w:rsidRDefault="00E61BED" w:rsidP="00E61BED">
      <w:pPr>
        <w:pStyle w:val="BodyText"/>
      </w:pPr>
      <w:r w:rsidRPr="00D73CCD">
        <w:t>To reduce the risk of non-communicable diseases (NCDs) in Tonga, the Australian Government continued its support for the Australian Sports Outreach Program</w:t>
      </w:r>
      <w:r>
        <w:t>’s (ASOP) “Kau Mai” initiative</w:t>
      </w:r>
      <w:r w:rsidRPr="00D73CCD">
        <w:t xml:space="preserve">, to improve physical activity among women and girls. </w:t>
      </w:r>
      <w:r w:rsidRPr="000721CB">
        <w:t xml:space="preserve">Between 2011 and 2014, the Australian Government committed $1.26 million for development through sport activities in Tonga. </w:t>
      </w:r>
      <w:r w:rsidRPr="0021003F">
        <w:t>Through this program, mass media campaigns created significant demand for community based physical activity in 2013-14, with a reported increase in regular exercise among women and girls in all four islands of Tonga. Over 3,400 women and girls also participated in Australian sponsored netball programs, an increase from 3,000 in 2012-13. The greatest proportional increase of women and girls</w:t>
      </w:r>
      <w:r>
        <w:t>’</w:t>
      </w:r>
      <w:r w:rsidRPr="0021003F">
        <w:t xml:space="preserve"> participation in physical activity was in the outer islands, with a 50 per cent increase in netball participation in Ha’apai. The ASOP in Tonga has been shortlisted for the</w:t>
      </w:r>
      <w:r>
        <w:t xml:space="preserve"> global</w:t>
      </w:r>
      <w:r w:rsidRPr="0021003F">
        <w:t xml:space="preserve"> Beyond Sport Award</w:t>
      </w:r>
      <w:r>
        <w:t>s</w:t>
      </w:r>
      <w:r w:rsidRPr="0021003F">
        <w:rPr>
          <w:rStyle w:val="FootnoteReference"/>
        </w:rPr>
        <w:footnoteReference w:id="31"/>
      </w:r>
      <w:r w:rsidRPr="0021003F">
        <w:t>, acknowledging the program’s contribution to reducing the impact of NCDs among Tongan women and girls.</w:t>
      </w:r>
    </w:p>
    <w:p w:rsidR="00E61BED" w:rsidRPr="00981D96" w:rsidRDefault="00E61BED" w:rsidP="00E61BED">
      <w:pPr>
        <w:pStyle w:val="ListBullet"/>
        <w:numPr>
          <w:ilvl w:val="0"/>
          <w:numId w:val="0"/>
        </w:numPr>
        <w:tabs>
          <w:tab w:val="clear" w:pos="284"/>
        </w:tabs>
        <w:ind w:left="360" w:hanging="360"/>
        <w:rPr>
          <w:i/>
        </w:rPr>
      </w:pPr>
      <w:r w:rsidRPr="00981D96">
        <w:rPr>
          <w:i/>
        </w:rPr>
        <w:t>Forward priorities</w:t>
      </w:r>
      <w:r>
        <w:rPr>
          <w:i/>
        </w:rPr>
        <w:t>/management consequences</w:t>
      </w:r>
    </w:p>
    <w:p w:rsidR="00E61BED" w:rsidRPr="003A6E0B" w:rsidRDefault="00E61BED" w:rsidP="00E61BED">
      <w:pPr>
        <w:pStyle w:val="BodyText"/>
        <w:spacing w:after="0"/>
      </w:pPr>
      <w:r w:rsidRPr="00B00FF1">
        <w:t xml:space="preserve">In 2013, </w:t>
      </w:r>
      <w:r>
        <w:t xml:space="preserve">based on the recommendations of the independent progress review (and due to slow disbursement and implementation progress in the early years of the THSSP program), </w:t>
      </w:r>
      <w:r w:rsidRPr="00B00FF1">
        <w:t>Australia and Tonga agreed to extend the current program to 2015</w:t>
      </w:r>
      <w:r>
        <w:t>,</w:t>
      </w:r>
      <w:r w:rsidRPr="00B00FF1">
        <w:t xml:space="preserve"> to allow for critica</w:t>
      </w:r>
      <w:r>
        <w:t>l activities to be completed and</w:t>
      </w:r>
      <w:r w:rsidRPr="00B00FF1">
        <w:t xml:space="preserve"> </w:t>
      </w:r>
      <w:r>
        <w:t>to prepare the design of a further phase of support beyond 2015 (design due t</w:t>
      </w:r>
      <w:r w:rsidRPr="00B00FF1">
        <w:t>o commence in last quarter of 2014</w:t>
      </w:r>
      <w:r>
        <w:t>)</w:t>
      </w:r>
      <w:r w:rsidRPr="00B00FF1">
        <w:t xml:space="preserve">. </w:t>
      </w:r>
      <w:r w:rsidRPr="003A6E0B">
        <w:t>DFAT</w:t>
      </w:r>
      <w:r>
        <w:t xml:space="preserve"> also</w:t>
      </w:r>
      <w:r w:rsidRPr="003A6E0B">
        <w:t xml:space="preserve"> commissioned</w:t>
      </w:r>
      <w:r>
        <w:t xml:space="preserve"> the</w:t>
      </w:r>
      <w:r w:rsidRPr="003A6E0B">
        <w:t xml:space="preserve"> CBM-Nossal Institute</w:t>
      </w:r>
      <w:r>
        <w:t>, a specialised disability research body,</w:t>
      </w:r>
      <w:r w:rsidRPr="003A6E0B">
        <w:t xml:space="preserve"> to undertake research to examine disability inclusiveness challenges in Tonga and provide recommendations for the health program</w:t>
      </w:r>
      <w:r>
        <w:t xml:space="preserve"> (among others) – these will be incorporated in the design of the</w:t>
      </w:r>
      <w:r w:rsidRPr="003A6E0B">
        <w:t xml:space="preserve"> next </w:t>
      </w:r>
      <w:r>
        <w:t>phase of support</w:t>
      </w:r>
      <w:r w:rsidRPr="003A6E0B">
        <w:t>.</w:t>
      </w:r>
    </w:p>
    <w:p w:rsidR="00102103" w:rsidRDefault="00102103" w:rsidP="0055151D">
      <w:pPr>
        <w:pStyle w:val="ListBullet"/>
        <w:numPr>
          <w:ilvl w:val="0"/>
          <w:numId w:val="0"/>
        </w:numPr>
        <w:sectPr w:rsidR="00102103" w:rsidSect="0055151D">
          <w:pgSz w:w="11907" w:h="16840" w:code="9"/>
          <w:pgMar w:top="2268" w:right="1871" w:bottom="907" w:left="1871" w:header="851" w:footer="454" w:gutter="0"/>
          <w:cols w:space="720"/>
          <w:docGrid w:linePitch="272"/>
        </w:sectPr>
      </w:pPr>
    </w:p>
    <w:p w:rsidR="00102103" w:rsidRPr="009E38C1" w:rsidRDefault="00102103" w:rsidP="00102103">
      <w:pPr>
        <w:pStyle w:val="Heading2"/>
        <w:rPr>
          <w:sz w:val="28"/>
        </w:rPr>
      </w:pPr>
      <w:r>
        <w:rPr>
          <w:sz w:val="28"/>
        </w:rPr>
        <w:lastRenderedPageBreak/>
        <w:t>A</w:t>
      </w:r>
      <w:r w:rsidRPr="009E38C1">
        <w:rPr>
          <w:sz w:val="28"/>
        </w:rPr>
        <w:t xml:space="preserve">nnex </w:t>
      </w:r>
      <w:r>
        <w:rPr>
          <w:sz w:val="28"/>
        </w:rPr>
        <w:t>G: Additional detail for gender equity initiatives</w:t>
      </w:r>
    </w:p>
    <w:p w:rsidR="00D259ED" w:rsidRPr="00756DD8" w:rsidRDefault="00D259ED" w:rsidP="00D259ED">
      <w:pPr>
        <w:spacing w:after="120" w:line="280" w:lineRule="exact"/>
        <w:contextualSpacing/>
        <w:rPr>
          <w:rFonts w:ascii="Franklin Gothic Book" w:hAnsi="Franklin Gothic Book" w:cs="Arial"/>
          <w:sz w:val="21"/>
          <w:szCs w:val="21"/>
        </w:rPr>
      </w:pPr>
      <w:r w:rsidRPr="00756DD8">
        <w:rPr>
          <w:rFonts w:ascii="Franklin Gothic Book" w:hAnsi="Franklin Gothic Book" w:cs="Arial"/>
          <w:sz w:val="21"/>
          <w:szCs w:val="21"/>
        </w:rPr>
        <w:t>There have been some important achievements to advance gender equality in Tonga over 2013-14.  Firstly, the country work plan for Tonga to participate in the Pacific Women Shaping Pacific Development (PWSPD) Initiative</w:t>
      </w:r>
      <w:r w:rsidRPr="00756DD8">
        <w:rPr>
          <w:rStyle w:val="FootnoteReference"/>
          <w:rFonts w:ascii="Franklin Gothic Book" w:hAnsi="Franklin Gothic Book" w:cs="Arial"/>
          <w:szCs w:val="16"/>
        </w:rPr>
        <w:footnoteReference w:id="32"/>
      </w:r>
      <w:r w:rsidRPr="00756DD8">
        <w:rPr>
          <w:rFonts w:ascii="Franklin Gothic Book" w:hAnsi="Franklin Gothic Book" w:cs="Arial"/>
          <w:sz w:val="16"/>
          <w:szCs w:val="16"/>
        </w:rPr>
        <w:t xml:space="preserve"> </w:t>
      </w:r>
      <w:r w:rsidRPr="00756DD8">
        <w:rPr>
          <w:rFonts w:ascii="Franklin Gothic Book" w:hAnsi="Franklin Gothic Book" w:cs="Arial"/>
          <w:sz w:val="21"/>
          <w:szCs w:val="21"/>
        </w:rPr>
        <w:t>was endorsed by the</w:t>
      </w:r>
      <w:r>
        <w:rPr>
          <w:rFonts w:ascii="Franklin Gothic Book" w:hAnsi="Franklin Gothic Book" w:cs="Arial"/>
          <w:sz w:val="21"/>
          <w:szCs w:val="21"/>
        </w:rPr>
        <w:t xml:space="preserve"> Tongan Government</w:t>
      </w:r>
      <w:r w:rsidRPr="00756DD8">
        <w:rPr>
          <w:rFonts w:ascii="Franklin Gothic Book" w:hAnsi="Franklin Gothic Book" w:cs="Arial"/>
          <w:sz w:val="21"/>
          <w:szCs w:val="21"/>
        </w:rPr>
        <w:t>. Australia will invest $10.1 million over the next ten years on initiatives supporting women’s empowerment in Tonga through the PWSPD.</w:t>
      </w:r>
    </w:p>
    <w:p w:rsidR="00D259ED" w:rsidRDefault="00D259ED" w:rsidP="00D259ED">
      <w:pPr>
        <w:pStyle w:val="BodyText"/>
        <w:rPr>
          <w:szCs w:val="21"/>
        </w:rPr>
      </w:pPr>
      <w:r w:rsidRPr="00C30110">
        <w:rPr>
          <w:rFonts w:cs="Arial"/>
          <w:szCs w:val="21"/>
        </w:rPr>
        <w:t xml:space="preserve">A major focus of </w:t>
      </w:r>
      <w:r>
        <w:rPr>
          <w:rFonts w:cs="Arial"/>
          <w:szCs w:val="21"/>
        </w:rPr>
        <w:t xml:space="preserve">the </w:t>
      </w:r>
      <w:r w:rsidRPr="00C30110">
        <w:rPr>
          <w:rFonts w:cs="Arial"/>
          <w:szCs w:val="21"/>
        </w:rPr>
        <w:t>country plan is on reducing violence against women</w:t>
      </w:r>
      <w:r>
        <w:rPr>
          <w:rFonts w:cs="Arial"/>
          <w:szCs w:val="21"/>
        </w:rPr>
        <w:t>,</w:t>
      </w:r>
      <w:r w:rsidRPr="00C30110">
        <w:rPr>
          <w:rFonts w:cs="Arial"/>
          <w:szCs w:val="21"/>
        </w:rPr>
        <w:t xml:space="preserve"> with core funding being provided for the </w:t>
      </w:r>
      <w:r w:rsidRPr="008D5E3F">
        <w:rPr>
          <w:rFonts w:cs="Arial"/>
          <w:i/>
          <w:szCs w:val="21"/>
        </w:rPr>
        <w:t>Women and Children’s Crisis Centre</w:t>
      </w:r>
      <w:r w:rsidRPr="00C30110">
        <w:rPr>
          <w:rFonts w:cs="Arial"/>
          <w:szCs w:val="21"/>
        </w:rPr>
        <w:t xml:space="preserve"> and the </w:t>
      </w:r>
      <w:r w:rsidRPr="008D5E3F">
        <w:rPr>
          <w:rFonts w:cs="Arial"/>
          <w:i/>
          <w:szCs w:val="21"/>
        </w:rPr>
        <w:t xml:space="preserve">Tonga National Women and Children’s Centre </w:t>
      </w:r>
      <w:r w:rsidRPr="00C30110">
        <w:rPr>
          <w:rFonts w:cs="Arial"/>
          <w:szCs w:val="21"/>
        </w:rPr>
        <w:t>to increase the quality and coverage of services for victims of violence</w:t>
      </w:r>
      <w:r>
        <w:rPr>
          <w:rFonts w:cs="Arial"/>
          <w:szCs w:val="21"/>
        </w:rPr>
        <w:t xml:space="preserve">. </w:t>
      </w:r>
      <w:r w:rsidRPr="000F3506">
        <w:rPr>
          <w:szCs w:val="21"/>
        </w:rPr>
        <w:t xml:space="preserve">The extent of violence against women and girls in Tonga was confirmed in the 2012 National Study on Domestic Violence against Women. This found that </w:t>
      </w:r>
      <w:r>
        <w:rPr>
          <w:szCs w:val="21"/>
        </w:rPr>
        <w:t xml:space="preserve">one </w:t>
      </w:r>
      <w:r w:rsidRPr="000F3506">
        <w:rPr>
          <w:szCs w:val="21"/>
        </w:rPr>
        <w:t xml:space="preserve">in </w:t>
      </w:r>
      <w:r>
        <w:rPr>
          <w:szCs w:val="21"/>
        </w:rPr>
        <w:t>three</w:t>
      </w:r>
      <w:r w:rsidRPr="000F3506">
        <w:rPr>
          <w:szCs w:val="21"/>
        </w:rPr>
        <w:t xml:space="preserve"> ever-partnered women experienced physical violence at the hand of an intimate partner and 68</w:t>
      </w:r>
      <w:r>
        <w:rPr>
          <w:szCs w:val="21"/>
        </w:rPr>
        <w:t xml:space="preserve"> per cent</w:t>
      </w:r>
      <w:r w:rsidRPr="000F3506">
        <w:rPr>
          <w:szCs w:val="21"/>
        </w:rPr>
        <w:t xml:space="preserve"> of women had experienced physical violence by a person other than their partner.   </w:t>
      </w:r>
    </w:p>
    <w:p w:rsidR="00D259ED" w:rsidRDefault="00D259ED" w:rsidP="00D259ED">
      <w:pPr>
        <w:spacing w:line="280" w:lineRule="exact"/>
        <w:rPr>
          <w:rFonts w:ascii="Franklin Gothic Book" w:hAnsi="Franklin Gothic Book" w:cs="Arial"/>
          <w:sz w:val="21"/>
          <w:szCs w:val="21"/>
        </w:rPr>
      </w:pPr>
      <w:r>
        <w:rPr>
          <w:rFonts w:ascii="Franklin Gothic Book" w:hAnsi="Franklin Gothic Book" w:cs="Arial"/>
          <w:sz w:val="21"/>
          <w:szCs w:val="21"/>
        </w:rPr>
        <w:t>The plan also</w:t>
      </w:r>
      <w:r w:rsidRPr="00C30110">
        <w:rPr>
          <w:rFonts w:ascii="Franklin Gothic Book" w:hAnsi="Franklin Gothic Book" w:cs="Arial"/>
          <w:sz w:val="21"/>
          <w:szCs w:val="21"/>
        </w:rPr>
        <w:t xml:space="preserve"> </w:t>
      </w:r>
      <w:r>
        <w:rPr>
          <w:rFonts w:ascii="Franklin Gothic Book" w:hAnsi="Franklin Gothic Book" w:cs="Arial"/>
          <w:sz w:val="21"/>
          <w:szCs w:val="21"/>
        </w:rPr>
        <w:t>funds</w:t>
      </w:r>
      <w:r w:rsidRPr="00C30110">
        <w:rPr>
          <w:rFonts w:ascii="Franklin Gothic Book" w:hAnsi="Franklin Gothic Book" w:cs="Arial"/>
          <w:sz w:val="21"/>
          <w:szCs w:val="21"/>
        </w:rPr>
        <w:t xml:space="preserve"> a Gender Equality Adviser </w:t>
      </w:r>
      <w:r>
        <w:rPr>
          <w:rFonts w:ascii="Franklin Gothic Book" w:hAnsi="Franklin Gothic Book" w:cs="Arial"/>
          <w:sz w:val="21"/>
          <w:szCs w:val="21"/>
        </w:rPr>
        <w:t>who</w:t>
      </w:r>
      <w:r w:rsidRPr="00C30110">
        <w:rPr>
          <w:rFonts w:ascii="Franklin Gothic Book" w:hAnsi="Franklin Gothic Book" w:cs="Arial"/>
          <w:sz w:val="21"/>
          <w:szCs w:val="21"/>
        </w:rPr>
        <w:t xml:space="preserve"> </w:t>
      </w:r>
      <w:r>
        <w:rPr>
          <w:rFonts w:ascii="Franklin Gothic Book" w:hAnsi="Franklin Gothic Book" w:cs="Arial"/>
          <w:sz w:val="21"/>
          <w:szCs w:val="21"/>
        </w:rPr>
        <w:t xml:space="preserve">has supported </w:t>
      </w:r>
      <w:r w:rsidRPr="00C30110">
        <w:rPr>
          <w:rFonts w:ascii="Franklin Gothic Book" w:hAnsi="Franklin Gothic Book" w:cs="Arial"/>
          <w:sz w:val="21"/>
          <w:szCs w:val="21"/>
        </w:rPr>
        <w:t>the Tonga Division of Women’s Affairs to strengthen the progression of gender policy reforms</w:t>
      </w:r>
      <w:r>
        <w:rPr>
          <w:rFonts w:ascii="Franklin Gothic Book" w:hAnsi="Franklin Gothic Book" w:cs="Arial"/>
          <w:sz w:val="21"/>
          <w:szCs w:val="21"/>
        </w:rPr>
        <w:t>. This included: provision of training to the National Advisory Committee on Tonga’s revised Gender and Development (GAD) Policy</w:t>
      </w:r>
      <w:r w:rsidRPr="007E614A">
        <w:rPr>
          <w:rStyle w:val="FootnoteReference"/>
          <w:rFonts w:ascii="Franklin Gothic Book" w:hAnsi="Franklin Gothic Book" w:cs="Arial"/>
          <w:szCs w:val="16"/>
        </w:rPr>
        <w:footnoteReference w:id="33"/>
      </w:r>
      <w:r w:rsidRPr="007E614A">
        <w:rPr>
          <w:rFonts w:ascii="Franklin Gothic Book" w:hAnsi="Franklin Gothic Book" w:cs="Arial"/>
          <w:sz w:val="16"/>
          <w:szCs w:val="16"/>
        </w:rPr>
        <w:t xml:space="preserve"> </w:t>
      </w:r>
      <w:r>
        <w:rPr>
          <w:rFonts w:ascii="Franklin Gothic Book" w:hAnsi="Franklin Gothic Book" w:cs="Arial"/>
          <w:sz w:val="21"/>
          <w:szCs w:val="21"/>
        </w:rPr>
        <w:t xml:space="preserve"> as well as assisting with developing an implementation plan for the revised GAD policy and the Family Protection</w:t>
      </w:r>
      <w:r w:rsidR="00AF0F85">
        <w:rPr>
          <w:rFonts w:ascii="Franklin Gothic Book" w:hAnsi="Franklin Gothic Book" w:cs="Arial"/>
          <w:sz w:val="21"/>
          <w:szCs w:val="21"/>
        </w:rPr>
        <w:t xml:space="preserve"> </w:t>
      </w:r>
      <w:r w:rsidR="00C574F9">
        <w:rPr>
          <w:rFonts w:ascii="Franklin Gothic Book" w:hAnsi="Franklin Gothic Book" w:cs="Arial"/>
          <w:sz w:val="21"/>
          <w:szCs w:val="21"/>
        </w:rPr>
        <w:t>Act</w:t>
      </w:r>
      <w:r>
        <w:rPr>
          <w:rFonts w:ascii="Franklin Gothic Book" w:hAnsi="Franklin Gothic Book" w:cs="Arial"/>
          <w:sz w:val="21"/>
          <w:szCs w:val="21"/>
        </w:rPr>
        <w:t xml:space="preserve">. For </w:t>
      </w:r>
      <w:r w:rsidRPr="00C30110">
        <w:rPr>
          <w:rFonts w:ascii="Franklin Gothic Book" w:hAnsi="Franklin Gothic Book" w:cs="Arial"/>
          <w:sz w:val="21"/>
          <w:szCs w:val="21"/>
        </w:rPr>
        <w:t>DFAT’s Nuku’alofa Pos</w:t>
      </w:r>
      <w:r>
        <w:rPr>
          <w:rFonts w:ascii="Franklin Gothic Book" w:hAnsi="Franklin Gothic Book" w:cs="Arial"/>
          <w:sz w:val="21"/>
          <w:szCs w:val="21"/>
        </w:rPr>
        <w:t>t the adviser’s work extends to providing advice to improve gender inclusiveness in all sector programs.</w:t>
      </w:r>
    </w:p>
    <w:p w:rsidR="00D259ED" w:rsidRPr="00C30110" w:rsidRDefault="00D259ED" w:rsidP="00D259ED">
      <w:pPr>
        <w:spacing w:line="280" w:lineRule="exact"/>
        <w:rPr>
          <w:rFonts w:ascii="Franklin Gothic Book" w:hAnsi="Franklin Gothic Book" w:cs="Arial"/>
          <w:sz w:val="21"/>
          <w:szCs w:val="21"/>
        </w:rPr>
      </w:pPr>
    </w:p>
    <w:p w:rsidR="00D259ED" w:rsidRDefault="00D259ED" w:rsidP="00D259ED">
      <w:pPr>
        <w:pStyle w:val="BodyText"/>
        <w:spacing w:after="0"/>
        <w:rPr>
          <w:rFonts w:cs="Arial"/>
          <w:szCs w:val="21"/>
        </w:rPr>
      </w:pPr>
      <w:r>
        <w:rPr>
          <w:rFonts w:cs="Arial"/>
          <w:szCs w:val="21"/>
        </w:rPr>
        <w:t xml:space="preserve">Secondly, </w:t>
      </w:r>
      <w:r w:rsidRPr="00C30110">
        <w:rPr>
          <w:rFonts w:cs="Arial"/>
          <w:szCs w:val="21"/>
        </w:rPr>
        <w:t xml:space="preserve">the </w:t>
      </w:r>
      <w:r w:rsidRPr="00D57946">
        <w:rPr>
          <w:rFonts w:cs="Arial"/>
          <w:i/>
          <w:szCs w:val="21"/>
        </w:rPr>
        <w:t>Tongan Family Protection Bill 2013</w:t>
      </w:r>
      <w:r>
        <w:rPr>
          <w:rFonts w:cs="Arial"/>
          <w:szCs w:val="21"/>
        </w:rPr>
        <w:t xml:space="preserve"> </w:t>
      </w:r>
      <w:r w:rsidRPr="00C30110">
        <w:rPr>
          <w:rFonts w:cs="Arial"/>
          <w:szCs w:val="21"/>
        </w:rPr>
        <w:t>was passed by Parliament</w:t>
      </w:r>
      <w:r w:rsidRPr="004E2A6E">
        <w:rPr>
          <w:rFonts w:cs="Arial"/>
          <w:szCs w:val="21"/>
        </w:rPr>
        <w:t xml:space="preserve"> in 2013</w:t>
      </w:r>
      <w:r>
        <w:rPr>
          <w:rFonts w:cs="Arial"/>
          <w:szCs w:val="21"/>
        </w:rPr>
        <w:t xml:space="preserve"> and came into effect as an Act on 1 July 2014</w:t>
      </w:r>
      <w:r w:rsidRPr="004E2A6E">
        <w:rPr>
          <w:rFonts w:cs="Arial"/>
          <w:szCs w:val="21"/>
        </w:rPr>
        <w:t>.</w:t>
      </w:r>
      <w:r>
        <w:rPr>
          <w:rFonts w:cs="Arial"/>
          <w:szCs w:val="21"/>
        </w:rPr>
        <w:t xml:space="preserve"> The </w:t>
      </w:r>
      <w:r w:rsidRPr="004E2A6E">
        <w:rPr>
          <w:rFonts w:cs="Arial"/>
          <w:szCs w:val="21"/>
        </w:rPr>
        <w:t>Tonga Gender Country Plan</w:t>
      </w:r>
      <w:r>
        <w:rPr>
          <w:rFonts w:cs="Arial"/>
          <w:szCs w:val="21"/>
        </w:rPr>
        <w:t xml:space="preserve"> (PWSPD) </w:t>
      </w:r>
      <w:r w:rsidRPr="004E2A6E">
        <w:rPr>
          <w:rFonts w:cs="Arial"/>
          <w:szCs w:val="21"/>
        </w:rPr>
        <w:t xml:space="preserve">supports the implementation of the Family Protection </w:t>
      </w:r>
      <w:r>
        <w:rPr>
          <w:rFonts w:cs="Arial"/>
          <w:szCs w:val="21"/>
        </w:rPr>
        <w:t>Act</w:t>
      </w:r>
      <w:r w:rsidRPr="004E2A6E">
        <w:rPr>
          <w:rFonts w:cs="Arial"/>
          <w:szCs w:val="21"/>
        </w:rPr>
        <w:t xml:space="preserve"> through the Ministry of Internal Affairs</w:t>
      </w:r>
      <w:r>
        <w:rPr>
          <w:rFonts w:cs="Arial"/>
          <w:szCs w:val="21"/>
        </w:rPr>
        <w:t>. Australia</w:t>
      </w:r>
      <w:r w:rsidRPr="004E2A6E">
        <w:rPr>
          <w:rFonts w:cs="Arial"/>
          <w:szCs w:val="21"/>
        </w:rPr>
        <w:t xml:space="preserve"> </w:t>
      </w:r>
      <w:r>
        <w:rPr>
          <w:rFonts w:cs="Arial"/>
          <w:szCs w:val="21"/>
        </w:rPr>
        <w:t xml:space="preserve">supported </w:t>
      </w:r>
      <w:r w:rsidRPr="004E2A6E">
        <w:rPr>
          <w:rFonts w:cs="Arial"/>
          <w:szCs w:val="21"/>
        </w:rPr>
        <w:t xml:space="preserve">the drafting of </w:t>
      </w:r>
      <w:r>
        <w:rPr>
          <w:rFonts w:cs="Arial"/>
          <w:szCs w:val="21"/>
        </w:rPr>
        <w:t xml:space="preserve">the </w:t>
      </w:r>
      <w:r w:rsidRPr="004E2A6E">
        <w:rPr>
          <w:rFonts w:cs="Arial"/>
          <w:szCs w:val="21"/>
        </w:rPr>
        <w:t xml:space="preserve">Bill </w:t>
      </w:r>
      <w:r>
        <w:rPr>
          <w:rFonts w:cs="Arial"/>
          <w:szCs w:val="21"/>
        </w:rPr>
        <w:t xml:space="preserve">which </w:t>
      </w:r>
      <w:r w:rsidRPr="004E2A6E">
        <w:rPr>
          <w:rFonts w:cs="Arial"/>
          <w:szCs w:val="21"/>
        </w:rPr>
        <w:t>sets out important legislative protections for women and children</w:t>
      </w:r>
      <w:r>
        <w:rPr>
          <w:rFonts w:cs="Arial"/>
          <w:szCs w:val="21"/>
        </w:rPr>
        <w:t>. I</w:t>
      </w:r>
      <w:r w:rsidRPr="004E2A6E">
        <w:rPr>
          <w:rFonts w:cs="Arial"/>
          <w:szCs w:val="21"/>
        </w:rPr>
        <w:t xml:space="preserve">t </w:t>
      </w:r>
      <w:r w:rsidRPr="00C30110">
        <w:rPr>
          <w:rFonts w:cs="Arial"/>
          <w:szCs w:val="21"/>
        </w:rPr>
        <w:t>establishes domestic violence as a criminal offence and introduces expanded access to protection and restraining orders. It is also the first legislation in the Pacific to recognise ‘economic’ abuse as a form of violence.</w:t>
      </w:r>
      <w:r>
        <w:rPr>
          <w:rFonts w:cs="Arial"/>
          <w:szCs w:val="21"/>
        </w:rPr>
        <w:t xml:space="preserve"> The Act also </w:t>
      </w:r>
      <w:r w:rsidRPr="000A6BE5">
        <w:rPr>
          <w:rFonts w:cs="Arial"/>
          <w:szCs w:val="21"/>
        </w:rPr>
        <w:t xml:space="preserve">clarifies the role of the </w:t>
      </w:r>
      <w:r>
        <w:rPr>
          <w:rFonts w:cs="Arial"/>
          <w:szCs w:val="21"/>
        </w:rPr>
        <w:t>Tonga police under the</w:t>
      </w:r>
      <w:r w:rsidRPr="000A6BE5">
        <w:rPr>
          <w:rFonts w:cs="Arial"/>
          <w:szCs w:val="21"/>
        </w:rPr>
        <w:t xml:space="preserve"> ‘No Drop’ policy </w:t>
      </w:r>
      <w:r>
        <w:rPr>
          <w:rFonts w:cs="Arial"/>
          <w:szCs w:val="21"/>
        </w:rPr>
        <w:t xml:space="preserve">for </w:t>
      </w:r>
      <w:r w:rsidRPr="000A6BE5">
        <w:rPr>
          <w:rFonts w:cs="Arial"/>
          <w:szCs w:val="21"/>
        </w:rPr>
        <w:t>domestic assault</w:t>
      </w:r>
      <w:r>
        <w:rPr>
          <w:rFonts w:cs="Arial"/>
          <w:szCs w:val="21"/>
        </w:rPr>
        <w:t xml:space="preserve"> cases introduced in 2009</w:t>
      </w:r>
      <w:r w:rsidRPr="000A6BE5">
        <w:rPr>
          <w:rFonts w:cs="Arial"/>
          <w:szCs w:val="21"/>
        </w:rPr>
        <w:t>. This policy means all cases must progress to a judicial hearing and charges cannot be dropped once they have been filed.</w:t>
      </w:r>
    </w:p>
    <w:p w:rsidR="00D259ED" w:rsidRDefault="00D259ED" w:rsidP="00D259ED">
      <w:pPr>
        <w:pStyle w:val="BodyText"/>
        <w:spacing w:after="0"/>
        <w:rPr>
          <w:rFonts w:cs="Arial"/>
          <w:szCs w:val="21"/>
        </w:rPr>
      </w:pPr>
    </w:p>
    <w:p w:rsidR="00D259ED" w:rsidRDefault="00D259ED" w:rsidP="00D259ED">
      <w:pPr>
        <w:pStyle w:val="CommentText"/>
        <w:spacing w:after="120" w:line="280" w:lineRule="exact"/>
        <w:rPr>
          <w:rFonts w:cs="Arial"/>
          <w:sz w:val="21"/>
          <w:szCs w:val="21"/>
        </w:rPr>
      </w:pPr>
      <w:r>
        <w:rPr>
          <w:rFonts w:cs="Arial"/>
          <w:sz w:val="21"/>
          <w:szCs w:val="21"/>
        </w:rPr>
        <w:t>T</w:t>
      </w:r>
      <w:r w:rsidRPr="004E2A6E">
        <w:rPr>
          <w:rFonts w:cs="Arial"/>
          <w:sz w:val="21"/>
          <w:szCs w:val="21"/>
        </w:rPr>
        <w:t xml:space="preserve">he Australian Federal Police </w:t>
      </w:r>
      <w:r>
        <w:rPr>
          <w:rFonts w:cs="Arial"/>
          <w:sz w:val="21"/>
          <w:szCs w:val="21"/>
        </w:rPr>
        <w:t xml:space="preserve">(AFP) </w:t>
      </w:r>
      <w:r w:rsidRPr="004E2A6E">
        <w:rPr>
          <w:rFonts w:cs="Arial"/>
          <w:sz w:val="21"/>
          <w:szCs w:val="21"/>
        </w:rPr>
        <w:t>develop</w:t>
      </w:r>
      <w:r>
        <w:rPr>
          <w:rFonts w:cs="Arial"/>
          <w:sz w:val="21"/>
          <w:szCs w:val="21"/>
        </w:rPr>
        <w:t>ed</w:t>
      </w:r>
      <w:r w:rsidRPr="004E2A6E">
        <w:rPr>
          <w:rFonts w:cs="Arial"/>
          <w:sz w:val="21"/>
          <w:szCs w:val="21"/>
        </w:rPr>
        <w:t xml:space="preserve"> a tr</w:t>
      </w:r>
      <w:r>
        <w:rPr>
          <w:rFonts w:cs="Arial"/>
          <w:sz w:val="21"/>
          <w:szCs w:val="21"/>
        </w:rPr>
        <w:t>aining program to support Tonga</w:t>
      </w:r>
      <w:r w:rsidRPr="004E2A6E">
        <w:rPr>
          <w:rFonts w:cs="Arial"/>
          <w:sz w:val="21"/>
          <w:szCs w:val="21"/>
        </w:rPr>
        <w:t xml:space="preserve"> </w:t>
      </w:r>
      <w:r w:rsidR="00C574F9">
        <w:rPr>
          <w:rFonts w:cs="Arial"/>
          <w:sz w:val="21"/>
          <w:szCs w:val="21"/>
        </w:rPr>
        <w:t>P</w:t>
      </w:r>
      <w:r w:rsidRPr="004E2A6E">
        <w:rPr>
          <w:rFonts w:cs="Arial"/>
          <w:sz w:val="21"/>
          <w:szCs w:val="21"/>
        </w:rPr>
        <w:t>olice to implem</w:t>
      </w:r>
      <w:r>
        <w:rPr>
          <w:rFonts w:cs="Arial"/>
          <w:sz w:val="21"/>
          <w:szCs w:val="21"/>
        </w:rPr>
        <w:t>ent the Family Protection Act. In addition, u</w:t>
      </w:r>
      <w:r w:rsidRPr="00CD64A2">
        <w:rPr>
          <w:rFonts w:cs="Arial"/>
          <w:sz w:val="21"/>
          <w:szCs w:val="21"/>
        </w:rPr>
        <w:t>nder the Tonga Police Development Program (TPDP)</w:t>
      </w:r>
      <w:r>
        <w:rPr>
          <w:rFonts w:cs="Arial"/>
          <w:sz w:val="21"/>
          <w:szCs w:val="21"/>
        </w:rPr>
        <w:t>, the</w:t>
      </w:r>
      <w:r w:rsidRPr="00CD64A2">
        <w:rPr>
          <w:rFonts w:cs="Arial"/>
          <w:sz w:val="21"/>
          <w:szCs w:val="21"/>
        </w:rPr>
        <w:t xml:space="preserve"> AFP</w:t>
      </w:r>
      <w:r>
        <w:rPr>
          <w:rFonts w:cs="Arial"/>
          <w:sz w:val="21"/>
          <w:szCs w:val="21"/>
        </w:rPr>
        <w:t xml:space="preserve"> has supported Tonga police to recruit more </w:t>
      </w:r>
      <w:r w:rsidRPr="00CD64A2">
        <w:rPr>
          <w:rFonts w:cs="Arial"/>
          <w:sz w:val="21"/>
          <w:szCs w:val="21"/>
        </w:rPr>
        <w:t>women in policing</w:t>
      </w:r>
      <w:r>
        <w:rPr>
          <w:rFonts w:cs="Arial"/>
          <w:sz w:val="21"/>
          <w:szCs w:val="21"/>
        </w:rPr>
        <w:t>, to ensure a</w:t>
      </w:r>
      <w:r w:rsidRPr="00554EE2">
        <w:rPr>
          <w:rFonts w:cs="Arial"/>
          <w:sz w:val="21"/>
          <w:szCs w:val="21"/>
        </w:rPr>
        <w:t xml:space="preserve"> more gender-sensitive approach to responding to sexual and gender-based violence.</w:t>
      </w:r>
      <w:r>
        <w:rPr>
          <w:rFonts w:cs="Arial"/>
          <w:sz w:val="21"/>
          <w:szCs w:val="21"/>
        </w:rPr>
        <w:t xml:space="preserve"> The </w:t>
      </w:r>
      <w:r w:rsidRPr="00CD64A2">
        <w:rPr>
          <w:rFonts w:cs="Arial"/>
          <w:sz w:val="21"/>
          <w:szCs w:val="21"/>
        </w:rPr>
        <w:t xml:space="preserve">TPDP </w:t>
      </w:r>
      <w:r>
        <w:rPr>
          <w:rFonts w:cs="Arial"/>
          <w:sz w:val="21"/>
          <w:szCs w:val="21"/>
        </w:rPr>
        <w:t>funded two conferences</w:t>
      </w:r>
      <w:r w:rsidRPr="007E614A">
        <w:rPr>
          <w:rStyle w:val="FootnoteReference"/>
          <w:rFonts w:cs="Arial"/>
          <w:szCs w:val="16"/>
        </w:rPr>
        <w:footnoteReference w:id="34"/>
      </w:r>
      <w:r w:rsidRPr="007E614A">
        <w:rPr>
          <w:rFonts w:cs="Arial"/>
          <w:sz w:val="16"/>
          <w:szCs w:val="16"/>
        </w:rPr>
        <w:t xml:space="preserve"> </w:t>
      </w:r>
      <w:r>
        <w:rPr>
          <w:rFonts w:cs="Arial"/>
          <w:sz w:val="21"/>
          <w:szCs w:val="21"/>
        </w:rPr>
        <w:t xml:space="preserve">for </w:t>
      </w:r>
      <w:r w:rsidRPr="0059489E">
        <w:rPr>
          <w:rFonts w:cs="Arial"/>
          <w:sz w:val="21"/>
          <w:szCs w:val="21"/>
        </w:rPr>
        <w:t>stakeholders</w:t>
      </w:r>
      <w:r w:rsidRPr="00CD64A2">
        <w:rPr>
          <w:rFonts w:cs="Arial"/>
          <w:sz w:val="21"/>
          <w:szCs w:val="21"/>
        </w:rPr>
        <w:t xml:space="preserve"> to discuss initiatives that </w:t>
      </w:r>
      <w:r w:rsidRPr="00CD64A2">
        <w:rPr>
          <w:rFonts w:cs="Arial"/>
          <w:sz w:val="21"/>
          <w:szCs w:val="21"/>
        </w:rPr>
        <w:lastRenderedPageBreak/>
        <w:t>combat violence against women and children.</w:t>
      </w:r>
      <w:r>
        <w:rPr>
          <w:rFonts w:cs="Arial"/>
          <w:sz w:val="21"/>
          <w:szCs w:val="21"/>
        </w:rPr>
        <w:t xml:space="preserve"> As a result, </w:t>
      </w:r>
      <w:r w:rsidRPr="00CD64A2">
        <w:rPr>
          <w:rFonts w:cs="Arial"/>
          <w:sz w:val="21"/>
          <w:szCs w:val="21"/>
        </w:rPr>
        <w:t xml:space="preserve">a female Tonga Police </w:t>
      </w:r>
      <w:r>
        <w:rPr>
          <w:rFonts w:cs="Arial"/>
          <w:sz w:val="21"/>
          <w:szCs w:val="21"/>
        </w:rPr>
        <w:t xml:space="preserve">officer </w:t>
      </w:r>
      <w:r w:rsidRPr="00CD64A2">
        <w:rPr>
          <w:rFonts w:cs="Arial"/>
          <w:sz w:val="21"/>
          <w:szCs w:val="21"/>
        </w:rPr>
        <w:t xml:space="preserve">has been seconded to each </w:t>
      </w:r>
      <w:r>
        <w:rPr>
          <w:rFonts w:cs="Arial"/>
          <w:sz w:val="21"/>
          <w:szCs w:val="21"/>
        </w:rPr>
        <w:t>crisis centre</w:t>
      </w:r>
      <w:r w:rsidRPr="00CD64A2">
        <w:rPr>
          <w:rFonts w:cs="Arial"/>
          <w:sz w:val="21"/>
          <w:szCs w:val="21"/>
        </w:rPr>
        <w:t xml:space="preserve"> to facilitate the reporting of domestic violence incidents. </w:t>
      </w:r>
    </w:p>
    <w:p w:rsidR="00D259ED" w:rsidRPr="00CD64A2" w:rsidRDefault="00D259ED" w:rsidP="00D259ED">
      <w:pPr>
        <w:pStyle w:val="BodyText"/>
        <w:spacing w:after="0"/>
        <w:rPr>
          <w:rFonts w:cs="Arial"/>
          <w:szCs w:val="21"/>
        </w:rPr>
      </w:pPr>
    </w:p>
    <w:p w:rsidR="00D259ED" w:rsidRDefault="00D259ED" w:rsidP="00D259ED">
      <w:pPr>
        <w:pStyle w:val="NormalWeb"/>
        <w:spacing w:before="0" w:beforeAutospacing="0" w:after="120" w:afterAutospacing="0" w:line="280" w:lineRule="exact"/>
        <w:rPr>
          <w:rFonts w:ascii="Franklin Gothic Book" w:hAnsi="Franklin Gothic Book" w:cs="Arial"/>
          <w:sz w:val="21"/>
          <w:szCs w:val="21"/>
        </w:rPr>
      </w:pPr>
      <w:r w:rsidRPr="00C30110">
        <w:rPr>
          <w:rFonts w:ascii="Franklin Gothic Book" w:hAnsi="Franklin Gothic Book" w:cs="Arial"/>
          <w:sz w:val="21"/>
          <w:szCs w:val="21"/>
        </w:rPr>
        <w:t>Thirdly, Australia has support</w:t>
      </w:r>
      <w:r>
        <w:rPr>
          <w:rFonts w:ascii="Franklin Gothic Book" w:hAnsi="Franklin Gothic Book" w:cs="Arial"/>
          <w:sz w:val="21"/>
          <w:szCs w:val="21"/>
        </w:rPr>
        <w:t>ed</w:t>
      </w:r>
      <w:r w:rsidRPr="00C30110">
        <w:rPr>
          <w:rFonts w:ascii="Franklin Gothic Book" w:hAnsi="Franklin Gothic Book" w:cs="Arial"/>
          <w:sz w:val="21"/>
          <w:szCs w:val="21"/>
        </w:rPr>
        <w:t xml:space="preserve"> </w:t>
      </w:r>
      <w:r>
        <w:rPr>
          <w:rFonts w:ascii="Franklin Gothic Book" w:hAnsi="Franklin Gothic Book" w:cs="Arial"/>
          <w:sz w:val="21"/>
          <w:szCs w:val="21"/>
        </w:rPr>
        <w:t xml:space="preserve">Tonga </w:t>
      </w:r>
      <w:r w:rsidRPr="00C30110">
        <w:rPr>
          <w:rFonts w:ascii="Franklin Gothic Book" w:hAnsi="Franklin Gothic Book" w:cs="Arial"/>
          <w:sz w:val="21"/>
          <w:szCs w:val="21"/>
        </w:rPr>
        <w:t>in ensuring fair elections, regardless of gender.</w:t>
      </w:r>
      <w:r>
        <w:rPr>
          <w:rFonts w:ascii="Franklin Gothic Book" w:hAnsi="Franklin Gothic Book" w:cs="Arial"/>
          <w:sz w:val="21"/>
          <w:szCs w:val="21"/>
        </w:rPr>
        <w:t xml:space="preserve"> </w:t>
      </w:r>
      <w:r w:rsidRPr="000C498F">
        <w:rPr>
          <w:rFonts w:ascii="Franklin Gothic Book" w:hAnsi="Franklin Gothic Book" w:cs="Arial"/>
          <w:sz w:val="21"/>
          <w:szCs w:val="21"/>
        </w:rPr>
        <w:t xml:space="preserve"> </w:t>
      </w:r>
      <w:r w:rsidRPr="000C498F">
        <w:rPr>
          <w:rFonts w:ascii="Franklin Gothic Book" w:hAnsi="Franklin Gothic Book"/>
          <w:sz w:val="21"/>
          <w:szCs w:val="21"/>
        </w:rPr>
        <w:t>Tonga has among the lowest level of female elected-representatives globally.</w:t>
      </w:r>
      <w:r w:rsidRPr="00D70BEF">
        <w:rPr>
          <w:rStyle w:val="FootnoteReference"/>
          <w:rFonts w:ascii="Franklin Gothic Book" w:hAnsi="Franklin Gothic Book"/>
          <w:szCs w:val="16"/>
        </w:rPr>
        <w:footnoteReference w:id="35"/>
      </w:r>
      <w:r w:rsidRPr="000C498F">
        <w:rPr>
          <w:rFonts w:ascii="Franklin Gothic Book" w:hAnsi="Franklin Gothic Book" w:cs="Arial"/>
          <w:sz w:val="21"/>
          <w:szCs w:val="21"/>
        </w:rPr>
        <w:t xml:space="preserve"> </w:t>
      </w:r>
      <w:r>
        <w:rPr>
          <w:rFonts w:ascii="Franklin Gothic Book" w:hAnsi="Franklin Gothic Book" w:cs="Arial"/>
          <w:sz w:val="21"/>
          <w:szCs w:val="21"/>
        </w:rPr>
        <w:t xml:space="preserve"> Australia’s support enabled </w:t>
      </w:r>
      <w:r w:rsidRPr="00C30110">
        <w:rPr>
          <w:rFonts w:ascii="Franklin Gothic Book" w:hAnsi="Franklin Gothic Book" w:cs="Arial"/>
          <w:sz w:val="21"/>
          <w:szCs w:val="21"/>
        </w:rPr>
        <w:t xml:space="preserve">the first Practice Parliament for Women in Tonga </w:t>
      </w:r>
      <w:r>
        <w:rPr>
          <w:rFonts w:ascii="Franklin Gothic Book" w:hAnsi="Franklin Gothic Book" w:cs="Arial"/>
          <w:sz w:val="21"/>
          <w:szCs w:val="21"/>
        </w:rPr>
        <w:t xml:space="preserve">to be </w:t>
      </w:r>
      <w:r w:rsidRPr="00C30110">
        <w:rPr>
          <w:rFonts w:ascii="Franklin Gothic Book" w:hAnsi="Franklin Gothic Book" w:cs="Arial"/>
          <w:sz w:val="21"/>
          <w:szCs w:val="21"/>
        </w:rPr>
        <w:t xml:space="preserve">held </w:t>
      </w:r>
      <w:r>
        <w:rPr>
          <w:rFonts w:ascii="Franklin Gothic Book" w:hAnsi="Franklin Gothic Book" w:cs="Arial"/>
          <w:sz w:val="21"/>
          <w:szCs w:val="21"/>
        </w:rPr>
        <w:t>over 10-11</w:t>
      </w:r>
      <w:r w:rsidRPr="00C30110">
        <w:rPr>
          <w:rFonts w:ascii="Franklin Gothic Book" w:hAnsi="Franklin Gothic Book" w:cs="Arial"/>
          <w:sz w:val="21"/>
          <w:szCs w:val="21"/>
        </w:rPr>
        <w:t xml:space="preserve"> April 2014. The Practice Parliament encourage</w:t>
      </w:r>
      <w:r>
        <w:rPr>
          <w:rFonts w:ascii="Franklin Gothic Book" w:hAnsi="Franklin Gothic Book" w:cs="Arial"/>
          <w:sz w:val="21"/>
          <w:szCs w:val="21"/>
        </w:rPr>
        <w:t>d</w:t>
      </w:r>
      <w:r w:rsidRPr="00C30110">
        <w:rPr>
          <w:rFonts w:ascii="Franklin Gothic Book" w:hAnsi="Franklin Gothic Book" w:cs="Arial"/>
          <w:sz w:val="21"/>
          <w:szCs w:val="21"/>
        </w:rPr>
        <w:t xml:space="preserve"> women to become more interested and active in politics, particularly with the upcoming national elections </w:t>
      </w:r>
      <w:r w:rsidRPr="000C498F">
        <w:rPr>
          <w:rFonts w:ascii="Franklin Gothic Book" w:hAnsi="Franklin Gothic Book" w:cs="Arial"/>
          <w:sz w:val="21"/>
          <w:szCs w:val="21"/>
        </w:rPr>
        <w:t>scheduled for November 2014</w:t>
      </w:r>
      <w:r w:rsidR="00C574F9">
        <w:rPr>
          <w:rFonts w:ascii="Franklin Gothic Book" w:hAnsi="Franklin Gothic Book" w:cs="Arial"/>
          <w:sz w:val="21"/>
          <w:szCs w:val="21"/>
        </w:rPr>
        <w:t>.</w:t>
      </w:r>
      <w:r>
        <w:rPr>
          <w:rFonts w:ascii="Franklin Gothic Book" w:hAnsi="Franklin Gothic Book" w:cs="Arial"/>
          <w:sz w:val="21"/>
          <w:szCs w:val="21"/>
        </w:rPr>
        <w:t xml:space="preserve"> </w:t>
      </w:r>
      <w:r w:rsidRPr="000C498F">
        <w:rPr>
          <w:rFonts w:ascii="Franklin Gothic Book" w:hAnsi="Franklin Gothic Book" w:cs="Arial"/>
          <w:sz w:val="21"/>
          <w:szCs w:val="21"/>
        </w:rPr>
        <w:t>Thirty</w:t>
      </w:r>
      <w:r>
        <w:rPr>
          <w:rFonts w:ascii="Franklin Gothic Book" w:hAnsi="Franklin Gothic Book" w:cs="Arial"/>
          <w:sz w:val="21"/>
          <w:szCs w:val="21"/>
        </w:rPr>
        <w:t xml:space="preserve"> </w:t>
      </w:r>
      <w:r w:rsidRPr="00C30110">
        <w:rPr>
          <w:rFonts w:ascii="Franklin Gothic Book" w:hAnsi="Franklin Gothic Book" w:cs="Arial"/>
          <w:sz w:val="21"/>
          <w:szCs w:val="21"/>
        </w:rPr>
        <w:t>women</w:t>
      </w:r>
      <w:r>
        <w:rPr>
          <w:rFonts w:ascii="Franklin Gothic Book" w:hAnsi="Franklin Gothic Book" w:cs="Arial"/>
          <w:sz w:val="21"/>
          <w:szCs w:val="21"/>
        </w:rPr>
        <w:t>,</w:t>
      </w:r>
      <w:r w:rsidRPr="00C30110">
        <w:rPr>
          <w:rFonts w:ascii="Franklin Gothic Book" w:hAnsi="Franklin Gothic Book" w:cs="Arial"/>
          <w:sz w:val="21"/>
          <w:szCs w:val="21"/>
        </w:rPr>
        <w:t xml:space="preserve"> selected from 91 applicants</w:t>
      </w:r>
      <w:r>
        <w:rPr>
          <w:rFonts w:ascii="Franklin Gothic Book" w:hAnsi="Franklin Gothic Book" w:cs="Arial"/>
          <w:sz w:val="21"/>
          <w:szCs w:val="21"/>
        </w:rPr>
        <w:t xml:space="preserve"> and</w:t>
      </w:r>
      <w:r w:rsidRPr="00C30110">
        <w:rPr>
          <w:rFonts w:ascii="Franklin Gothic Book" w:hAnsi="Franklin Gothic Book" w:cs="Arial"/>
          <w:sz w:val="21"/>
          <w:szCs w:val="21"/>
        </w:rPr>
        <w:t xml:space="preserve"> representing all island groups across</w:t>
      </w:r>
      <w:r>
        <w:rPr>
          <w:rFonts w:ascii="Franklin Gothic Book" w:hAnsi="Franklin Gothic Book" w:cs="Arial"/>
          <w:sz w:val="21"/>
          <w:szCs w:val="21"/>
        </w:rPr>
        <w:t xml:space="preserve"> Tonga, participated </w:t>
      </w:r>
      <w:r w:rsidRPr="00A969B6">
        <w:rPr>
          <w:rFonts w:ascii="Franklin Gothic Book" w:hAnsi="Franklin Gothic Book" w:cs="Arial"/>
          <w:sz w:val="21"/>
          <w:szCs w:val="21"/>
        </w:rPr>
        <w:t xml:space="preserve">in </w:t>
      </w:r>
      <w:r>
        <w:rPr>
          <w:rFonts w:ascii="Franklin Gothic Book" w:hAnsi="Franklin Gothic Book" w:cs="Arial"/>
          <w:sz w:val="21"/>
          <w:szCs w:val="21"/>
        </w:rPr>
        <w:t xml:space="preserve">the event. Participation exceeded expectations with </w:t>
      </w:r>
      <w:r w:rsidRPr="00756D1D">
        <w:rPr>
          <w:rFonts w:ascii="Franklin Gothic Book" w:hAnsi="Franklin Gothic Book" w:cs="Arial"/>
          <w:sz w:val="21"/>
          <w:szCs w:val="21"/>
        </w:rPr>
        <w:t xml:space="preserve">31 public hearings and meetings across Tonga, numerous talk-back radio programmes and a high volume of </w:t>
      </w:r>
      <w:r>
        <w:rPr>
          <w:rFonts w:ascii="Franklin Gothic Book" w:hAnsi="Franklin Gothic Book" w:cs="Arial"/>
          <w:sz w:val="21"/>
          <w:szCs w:val="21"/>
        </w:rPr>
        <w:t>social media activity</w:t>
      </w:r>
      <w:r w:rsidRPr="00756D1D">
        <w:rPr>
          <w:rFonts w:ascii="Franklin Gothic Book" w:hAnsi="Franklin Gothic Book" w:cs="Arial"/>
          <w:sz w:val="21"/>
          <w:szCs w:val="21"/>
        </w:rPr>
        <w:t xml:space="preserve"> in the lead up to the event.</w:t>
      </w:r>
    </w:p>
    <w:p w:rsidR="00D259ED" w:rsidRPr="00564630" w:rsidRDefault="00D259ED" w:rsidP="00D259ED">
      <w:pPr>
        <w:pStyle w:val="NormalWeb"/>
        <w:spacing w:before="0" w:beforeAutospacing="0" w:after="120" w:afterAutospacing="0" w:line="280" w:lineRule="exact"/>
        <w:rPr>
          <w:rFonts w:ascii="Franklin Gothic Book" w:hAnsi="Franklin Gothic Book" w:cs="Arial"/>
          <w:sz w:val="21"/>
          <w:szCs w:val="21"/>
        </w:rPr>
      </w:pPr>
      <w:r w:rsidRPr="00564630">
        <w:rPr>
          <w:rFonts w:ascii="Franklin Gothic Book" w:hAnsi="Franklin Gothic Book"/>
          <w:sz w:val="21"/>
          <w:szCs w:val="21"/>
        </w:rPr>
        <w:t xml:space="preserve">Women and women’s groups in Tonga have limited access to credit and business development skills.  Under the country plan, Australia will support the implementation of a training needs assessment of women’s organisations that support women in small and medium enterprise development. </w:t>
      </w:r>
      <w:r w:rsidRPr="00564630">
        <w:rPr>
          <w:rFonts w:ascii="Franklin Gothic Book" w:hAnsi="Franklin Gothic Book" w:cs="Arial"/>
          <w:sz w:val="21"/>
          <w:szCs w:val="21"/>
        </w:rPr>
        <w:t xml:space="preserve"> </w:t>
      </w:r>
    </w:p>
    <w:p w:rsidR="00E86976" w:rsidRDefault="0055151D" w:rsidP="00C11C29">
      <w:pPr>
        <w:rPr>
          <w:iCs/>
        </w:rPr>
        <w:sectPr w:rsidR="00E86976" w:rsidSect="0055151D">
          <w:pgSz w:w="11907" w:h="16840" w:code="9"/>
          <w:pgMar w:top="2268" w:right="1871" w:bottom="907" w:left="1871" w:header="851" w:footer="454" w:gutter="0"/>
          <w:cols w:space="720"/>
          <w:docGrid w:linePitch="272"/>
        </w:sectPr>
      </w:pPr>
      <w:r>
        <w:rPr>
          <w:iCs/>
        </w:rPr>
        <w:t xml:space="preserve"> </w:t>
      </w:r>
    </w:p>
    <w:bookmarkEnd w:id="2"/>
    <w:p w:rsidR="00A47FF9" w:rsidRDefault="00A47FF9" w:rsidP="00A47FF9">
      <w:pPr>
        <w:pStyle w:val="Heading2"/>
        <w:spacing w:before="0" w:line="276" w:lineRule="auto"/>
        <w:rPr>
          <w:sz w:val="32"/>
          <w:szCs w:val="32"/>
        </w:rPr>
      </w:pPr>
      <w:r>
        <w:rPr>
          <w:sz w:val="28"/>
        </w:rPr>
        <w:lastRenderedPageBreak/>
        <w:t>Annex H: Annual performance of selected Pacific Regional programs at the Country level</w:t>
      </w:r>
      <w:r>
        <w:rPr>
          <w:sz w:val="28"/>
        </w:rPr>
        <w:tab/>
      </w:r>
      <w:r>
        <w:rPr>
          <w:sz w:val="32"/>
          <w:szCs w:val="32"/>
        </w:rPr>
        <w:tab/>
      </w:r>
      <w:r>
        <w:rPr>
          <w:sz w:val="32"/>
          <w:szCs w:val="32"/>
        </w:rPr>
        <w:tab/>
      </w:r>
    </w:p>
    <w:p w:rsidR="00A47FF9" w:rsidRDefault="00A47FF9" w:rsidP="00A47FF9">
      <w:pPr>
        <w:pStyle w:val="Heading2"/>
        <w:spacing w:before="0" w:line="276" w:lineRule="auto"/>
        <w:rPr>
          <w:sz w:val="28"/>
        </w:rPr>
      </w:pPr>
      <w:r>
        <w:rPr>
          <w:sz w:val="28"/>
        </w:rPr>
        <w:t>Tonga Bilateral Program - 2013</w:t>
      </w:r>
      <w:r>
        <w:rPr>
          <w:sz w:val="28"/>
        </w:rPr>
        <w:tab/>
      </w:r>
      <w:r>
        <w:rPr>
          <w:sz w:val="28"/>
        </w:rPr>
        <w:tab/>
      </w:r>
    </w:p>
    <w:p w:rsidR="00A47FF9" w:rsidRDefault="00A47FF9" w:rsidP="00A47FF9">
      <w:pPr>
        <w:pStyle w:val="Caption"/>
        <w:spacing w:before="0" w:after="120" w:line="276" w:lineRule="auto"/>
      </w:pPr>
      <w:r>
        <w:t>Pacific Regional Program ODA attributed to bilateral program</w:t>
      </w:r>
    </w:p>
    <w:tbl>
      <w:tblPr>
        <w:tblStyle w:val="APPR"/>
        <w:tblpPr w:leftFromText="180" w:rightFromText="180" w:vertAnchor="text" w:tblpY="1"/>
        <w:tblW w:w="5000" w:type="pct"/>
        <w:tblLayout w:type="fixed"/>
        <w:tblLook w:val="04A0" w:firstRow="1" w:lastRow="0" w:firstColumn="1" w:lastColumn="0" w:noHBand="0" w:noVBand="1"/>
      </w:tblPr>
      <w:tblGrid>
        <w:gridCol w:w="5608"/>
        <w:gridCol w:w="1400"/>
        <w:gridCol w:w="1429"/>
      </w:tblGrid>
      <w:tr w:rsidR="00A47FF9" w:rsidTr="00A47FF9">
        <w:trPr>
          <w:cnfStyle w:val="100000000000" w:firstRow="1" w:lastRow="0" w:firstColumn="0" w:lastColumn="0" w:oddVBand="0" w:evenVBand="0" w:oddHBand="0" w:evenHBand="0" w:firstRowFirstColumn="0" w:firstRowLastColumn="0" w:lastRowFirstColumn="0" w:lastRowLastColumn="0"/>
        </w:trPr>
        <w:tc>
          <w:tcPr>
            <w:tcW w:w="6329" w:type="dxa"/>
            <w:tcBorders>
              <w:left w:val="nil"/>
              <w:right w:val="nil"/>
            </w:tcBorders>
          </w:tcPr>
          <w:p w:rsidR="00A47FF9" w:rsidRDefault="00A47FF9">
            <w:pPr>
              <w:pStyle w:val="TableHeading1"/>
              <w:spacing w:before="0" w:after="120" w:line="276" w:lineRule="auto"/>
              <w:rPr>
                <w:lang w:eastAsia="en-AU"/>
              </w:rPr>
            </w:pPr>
          </w:p>
        </w:tc>
        <w:tc>
          <w:tcPr>
            <w:tcW w:w="1534" w:type="dxa"/>
            <w:tcBorders>
              <w:left w:val="nil"/>
              <w:right w:val="nil"/>
            </w:tcBorders>
            <w:hideMark/>
          </w:tcPr>
          <w:p w:rsidR="00A47FF9" w:rsidRDefault="00A47FF9">
            <w:pPr>
              <w:pStyle w:val="TableHeading1"/>
              <w:spacing w:before="0" w:after="120" w:line="276" w:lineRule="auto"/>
              <w:rPr>
                <w:lang w:eastAsia="en-AU"/>
              </w:rPr>
            </w:pPr>
            <w:r>
              <w:rPr>
                <w:lang w:eastAsia="en-AU"/>
              </w:rPr>
              <w:t xml:space="preserve">2013/14 </w:t>
            </w:r>
            <w:r>
              <w:rPr>
                <w:lang w:eastAsia="en-AU"/>
              </w:rPr>
              <w:br/>
              <w:t>(Actual)</w:t>
            </w:r>
          </w:p>
        </w:tc>
        <w:tc>
          <w:tcPr>
            <w:tcW w:w="1552" w:type="dxa"/>
            <w:tcBorders>
              <w:left w:val="nil"/>
              <w:right w:val="nil"/>
            </w:tcBorders>
            <w:hideMark/>
          </w:tcPr>
          <w:p w:rsidR="00A47FF9" w:rsidRDefault="00A47FF9">
            <w:pPr>
              <w:pStyle w:val="TableHeading1"/>
              <w:spacing w:before="0" w:after="120" w:line="276" w:lineRule="auto"/>
              <w:rPr>
                <w:lang w:eastAsia="en-AU"/>
              </w:rPr>
            </w:pPr>
            <w:r>
              <w:rPr>
                <w:lang w:eastAsia="en-AU"/>
              </w:rPr>
              <w:t>2014/15</w:t>
            </w:r>
            <w:r>
              <w:rPr>
                <w:lang w:eastAsia="en-AU"/>
              </w:rPr>
              <w:br/>
              <w:t xml:space="preserve"> (Plan)</w:t>
            </w:r>
          </w:p>
        </w:tc>
      </w:tr>
      <w:tr w:rsidR="00A47FF9" w:rsidTr="00A47FF9">
        <w:trPr>
          <w:cnfStyle w:val="100000000000" w:firstRow="1" w:lastRow="0" w:firstColumn="0" w:lastColumn="0" w:oddVBand="0" w:evenVBand="0" w:oddHBand="0" w:evenHBand="0" w:firstRowFirstColumn="0" w:firstRowLastColumn="0" w:lastRowFirstColumn="0" w:lastRowLastColumn="0"/>
        </w:trPr>
        <w:tc>
          <w:tcPr>
            <w:tcW w:w="6329" w:type="dxa"/>
            <w:tcBorders>
              <w:left w:val="nil"/>
              <w:right w:val="nil"/>
            </w:tcBorders>
            <w:hideMark/>
          </w:tcPr>
          <w:p w:rsidR="00A47FF9" w:rsidRDefault="00A47FF9">
            <w:pPr>
              <w:pStyle w:val="TableTextEntries"/>
              <w:spacing w:before="0" w:after="120" w:line="276" w:lineRule="auto"/>
              <w:rPr>
                <w:lang w:eastAsia="en-AU"/>
              </w:rPr>
            </w:pPr>
            <w:r>
              <w:rPr>
                <w:lang w:eastAsia="en-AU"/>
              </w:rPr>
              <w:t>Tonga</w:t>
            </w:r>
          </w:p>
        </w:tc>
        <w:tc>
          <w:tcPr>
            <w:tcW w:w="1534" w:type="dxa"/>
            <w:tcBorders>
              <w:left w:val="nil"/>
              <w:right w:val="nil"/>
            </w:tcBorders>
            <w:hideMark/>
          </w:tcPr>
          <w:p w:rsidR="00A47FF9" w:rsidRDefault="00A47FF9">
            <w:pPr>
              <w:pStyle w:val="TableTextEntries"/>
              <w:spacing w:before="0" w:after="120" w:line="276" w:lineRule="auto"/>
              <w:rPr>
                <w:lang w:eastAsia="en-AU"/>
              </w:rPr>
            </w:pPr>
            <w:r>
              <w:rPr>
                <w:lang w:eastAsia="en-AU"/>
              </w:rPr>
              <w:t>A$6,189,224</w:t>
            </w:r>
          </w:p>
        </w:tc>
        <w:tc>
          <w:tcPr>
            <w:tcW w:w="1552" w:type="dxa"/>
            <w:tcBorders>
              <w:left w:val="nil"/>
              <w:right w:val="nil"/>
            </w:tcBorders>
            <w:hideMark/>
          </w:tcPr>
          <w:p w:rsidR="00A47FF9" w:rsidRDefault="00A47FF9">
            <w:pPr>
              <w:pStyle w:val="TableTextEntries"/>
              <w:spacing w:before="0" w:after="120" w:line="276" w:lineRule="auto"/>
              <w:rPr>
                <w:lang w:eastAsia="en-AU"/>
              </w:rPr>
            </w:pPr>
            <w:r>
              <w:rPr>
                <w:lang w:eastAsia="en-AU"/>
              </w:rPr>
              <w:t>A$6,481,265</w:t>
            </w:r>
          </w:p>
        </w:tc>
      </w:tr>
    </w:tbl>
    <w:p w:rsidR="00A47FF9" w:rsidRDefault="00A47FF9" w:rsidP="00A47FF9">
      <w:pPr>
        <w:pStyle w:val="ListBullet"/>
        <w:numPr>
          <w:ilvl w:val="0"/>
          <w:numId w:val="0"/>
        </w:numPr>
        <w:spacing w:line="276" w:lineRule="auto"/>
      </w:pPr>
    </w:p>
    <w:p w:rsidR="00A47FF9" w:rsidRDefault="00A47FF9" w:rsidP="00A47FF9">
      <w:pPr>
        <w:pStyle w:val="ListBullet"/>
        <w:numPr>
          <w:ilvl w:val="0"/>
          <w:numId w:val="0"/>
        </w:numPr>
        <w:spacing w:line="276" w:lineRule="auto"/>
      </w:pPr>
      <w:r>
        <w:t>This Annex outlines the country-level results of selected investments of the Pacific Regional Aid Program for Tonga. All information included in this annex is drawn from internal and external reporting produced by DFAT and our implementing partners on investments managed by the Pacific Regional aid program. This information should not be treated as comprehensive.</w:t>
      </w:r>
    </w:p>
    <w:p w:rsidR="00A47FF9" w:rsidRDefault="00A47FF9" w:rsidP="00A47FF9">
      <w:pPr>
        <w:pStyle w:val="Heading2"/>
        <w:spacing w:before="0" w:line="276" w:lineRule="auto"/>
        <w:rPr>
          <w:rStyle w:val="BodyTextChar"/>
        </w:rPr>
      </w:pPr>
      <w:r>
        <w:rPr>
          <w:sz w:val="28"/>
        </w:rPr>
        <w:t xml:space="preserve">Contributions to Tonga Country Program Objectives </w:t>
      </w:r>
      <w:r>
        <w:rPr>
          <w:sz w:val="28"/>
        </w:rPr>
        <w:tab/>
      </w:r>
      <w:r>
        <w:rPr>
          <w:sz w:val="32"/>
          <w:szCs w:val="32"/>
        </w:rPr>
        <w:tab/>
      </w:r>
      <w:r>
        <w:rPr>
          <w:rStyle w:val="BodyTextChar"/>
        </w:rPr>
        <w:tab/>
      </w:r>
    </w:p>
    <w:p w:rsidR="00A47FF9" w:rsidRDefault="00A47FF9" w:rsidP="00143EA6">
      <w:pPr>
        <w:pStyle w:val="Heading3"/>
        <w:rPr>
          <w:rFonts w:ascii="Helvetica" w:hAnsi="Helvetica" w:cs="Arial"/>
          <w:sz w:val="22"/>
          <w:szCs w:val="22"/>
          <w:lang w:eastAsia="zh-CN"/>
        </w:rPr>
      </w:pPr>
      <w:r>
        <w:t xml:space="preserve">Objective 1 – More efficient and effective public sector </w:t>
      </w:r>
    </w:p>
    <w:p w:rsidR="00A47FF9" w:rsidRDefault="00A47FF9" w:rsidP="00143EA6">
      <w:pPr>
        <w:pStyle w:val="Heading3"/>
      </w:pPr>
      <w:r>
        <w:t>Examples of contributions to this objective from the DFAT Pacific Regional Program include:</w:t>
      </w:r>
    </w:p>
    <w:p w:rsidR="00A47FF9" w:rsidRDefault="00A47FF9" w:rsidP="00A47FF9">
      <w:pPr>
        <w:pStyle w:val="ListBullet"/>
        <w:numPr>
          <w:ilvl w:val="0"/>
          <w:numId w:val="36"/>
        </w:numPr>
        <w:tabs>
          <w:tab w:val="clear" w:pos="284"/>
          <w:tab w:val="left" w:pos="720"/>
        </w:tabs>
        <w:spacing w:line="276" w:lineRule="auto"/>
      </w:pPr>
      <w:r>
        <w:t xml:space="preserve">Tonga is receiving extensive technical assistance from the Pacific Financial Technical Assistance Centre (PFTAC) to strengthen tax administration, macroeconomic analysis and forecasting, as well as building bank supervision capacity. PFTAC also supported the modernisation of a comprehensive revenue policy and legislation framework, including for Tonga’s natural resources. These achievements contributed to broader-based and more efficient revenue systems. </w:t>
      </w:r>
    </w:p>
    <w:p w:rsidR="00A47FF9" w:rsidRDefault="00A47FF9" w:rsidP="00A47FF9">
      <w:pPr>
        <w:pStyle w:val="ListBullet"/>
        <w:numPr>
          <w:ilvl w:val="0"/>
          <w:numId w:val="36"/>
        </w:numPr>
        <w:tabs>
          <w:tab w:val="clear" w:pos="284"/>
          <w:tab w:val="left" w:pos="720"/>
        </w:tabs>
        <w:spacing w:line="276" w:lineRule="auto"/>
      </w:pPr>
      <w:r>
        <w:t>The Pacific Islands Centre for Public Administration (PICPA) ran training courses in Tonga on public sector auditing, public sector basic accounting, project management and change management. Tonga was also the recipient of advisory services and workshops for heads of civil service training institutions.</w:t>
      </w:r>
    </w:p>
    <w:p w:rsidR="00A47FF9" w:rsidRDefault="00A47FF9" w:rsidP="00A47FF9">
      <w:pPr>
        <w:pStyle w:val="ListBullet"/>
        <w:numPr>
          <w:ilvl w:val="0"/>
          <w:numId w:val="36"/>
        </w:numPr>
        <w:tabs>
          <w:tab w:val="clear" w:pos="284"/>
          <w:tab w:val="left" w:pos="720"/>
        </w:tabs>
        <w:spacing w:line="276" w:lineRule="auto"/>
      </w:pPr>
      <w:r>
        <w:t>The Pacific Association of Supreme Audit Institutions (PASAI) ran five training workshops in the Pacific, which aimed to build and sustain on public auditing capacity and were attended by four participants from Tonga.</w:t>
      </w:r>
    </w:p>
    <w:p w:rsidR="00A47FF9" w:rsidRDefault="00A47FF9" w:rsidP="00A47FF9">
      <w:pPr>
        <w:spacing w:after="120" w:line="276" w:lineRule="auto"/>
        <w:rPr>
          <w:rFonts w:ascii="Helvetica" w:eastAsia="Times New Roman" w:hAnsi="Helvetica" w:cs="Arial"/>
          <w:b/>
          <w:color w:val="124486"/>
          <w:kern w:val="28"/>
          <w:sz w:val="22"/>
          <w:szCs w:val="22"/>
          <w:lang w:eastAsia="zh-CN"/>
        </w:rPr>
      </w:pPr>
      <w:r>
        <w:rPr>
          <w:rFonts w:ascii="Helvetica" w:eastAsia="Times New Roman" w:hAnsi="Helvetica" w:cs="Arial"/>
          <w:b/>
          <w:color w:val="124486"/>
          <w:kern w:val="28"/>
          <w:sz w:val="22"/>
          <w:szCs w:val="22"/>
          <w:lang w:eastAsia="zh-CN"/>
        </w:rPr>
        <w:t xml:space="preserve">Objective 2 – Improved health </w:t>
      </w:r>
    </w:p>
    <w:p w:rsidR="00A47FF9" w:rsidRDefault="00A47FF9" w:rsidP="00A47FF9">
      <w:pPr>
        <w:spacing w:after="120" w:line="276" w:lineRule="auto"/>
        <w:rPr>
          <w:rFonts w:ascii="Franklin Gothic Book" w:eastAsia="Times New Roman" w:hAnsi="Franklin Gothic Book"/>
          <w:sz w:val="21"/>
        </w:rPr>
      </w:pPr>
      <w:r>
        <w:rPr>
          <w:rFonts w:ascii="Franklin Gothic Book" w:eastAsia="Times New Roman" w:hAnsi="Franklin Gothic Book"/>
          <w:sz w:val="21"/>
        </w:rPr>
        <w:t>Examples of contributions to this objective from the DFAT Pacific Regional Program include:</w:t>
      </w:r>
    </w:p>
    <w:p w:rsidR="00A47FF9" w:rsidRDefault="00A47FF9" w:rsidP="00A47FF9">
      <w:pPr>
        <w:pStyle w:val="ListBullet"/>
        <w:numPr>
          <w:ilvl w:val="0"/>
          <w:numId w:val="36"/>
        </w:numPr>
        <w:tabs>
          <w:tab w:val="clear" w:pos="284"/>
          <w:tab w:val="left" w:pos="720"/>
        </w:tabs>
        <w:spacing w:line="276" w:lineRule="auto"/>
      </w:pPr>
      <w:r>
        <w:t>The Australian Sports Outreach Program (ASOP) in Tonga won a World Health Organization</w:t>
      </w:r>
      <w:r w:rsidR="00F530F6">
        <w:t xml:space="preserve"> Healthy Islands Recognition Award for Best Practice </w:t>
      </w:r>
      <w:r>
        <w:t>award in July 2013 for its contribution to improving the physical activity of women in order to reduce the prevalence of obesity and the incidence of non-communicable diseases. Kau Mai Tonga Netipolo (C</w:t>
      </w:r>
      <w:r w:rsidR="000F46E6">
        <w:t>’</w:t>
      </w:r>
      <w:r>
        <w:t>m</w:t>
      </w:r>
      <w:r w:rsidR="000F46E6">
        <w:t>o</w:t>
      </w:r>
      <w:r>
        <w:t>n Tonga, Let’s Play Netball) provides an opportunity for women aged 15 to 45 to participate in</w:t>
      </w:r>
      <w:r w:rsidR="000F46E6">
        <w:t xml:space="preserve"> regular physical activity through netball</w:t>
      </w:r>
      <w:r>
        <w:t xml:space="preserve">. The Ministry of Internal Affairs, in collaboration with the Tonga Netball Association, is also increasing the number of village-based physical activity options for women. Preliminary results from a national media campaign reveal that more than 90 per cent of women were aware of </w:t>
      </w:r>
      <w:r>
        <w:lastRenderedPageBreak/>
        <w:t>the campaign Over 3,400 women and girls also participated in Australian sponsored netball programs, an increase from 3,000 in 2012-13.</w:t>
      </w:r>
    </w:p>
    <w:p w:rsidR="00A47FF9" w:rsidRDefault="00A47FF9" w:rsidP="00A47FF9">
      <w:pPr>
        <w:pStyle w:val="ListBullet"/>
        <w:numPr>
          <w:ilvl w:val="0"/>
          <w:numId w:val="36"/>
        </w:numPr>
        <w:tabs>
          <w:tab w:val="clear" w:pos="284"/>
          <w:tab w:val="left" w:pos="720"/>
        </w:tabs>
        <w:spacing w:line="276" w:lineRule="auto"/>
      </w:pPr>
      <w:r>
        <w:t>The Pacific Island Program implemented by the Royal Australian College of Surgeons ran eight in-country workshops and three surgical visits to Tonga, aiming to increase the capacity of Tongan clinicians to diagnose and undertake medical procedures independently.</w:t>
      </w:r>
    </w:p>
    <w:p w:rsidR="00A47FF9" w:rsidRDefault="00A47FF9" w:rsidP="00A47FF9">
      <w:pPr>
        <w:pStyle w:val="ListBullet"/>
        <w:numPr>
          <w:ilvl w:val="0"/>
          <w:numId w:val="36"/>
        </w:numPr>
        <w:tabs>
          <w:tab w:val="clear" w:pos="284"/>
          <w:tab w:val="left" w:pos="720"/>
        </w:tabs>
        <w:spacing w:line="276" w:lineRule="auto"/>
      </w:pPr>
      <w:r>
        <w:t>Secretariat of the Pacific Community (SPC) is assisting Tonga to address the prevalence of diabetes and other non-communicable diseases (NCDs). In 2013, SPC conducted diabetes training for 35 community nurses and health extension officers over three days, and trained Tonga’s first dedicated NCD nurses.</w:t>
      </w:r>
    </w:p>
    <w:p w:rsidR="00A47FF9" w:rsidRDefault="00A47FF9" w:rsidP="00A47FF9">
      <w:pPr>
        <w:spacing w:after="120" w:line="276" w:lineRule="auto"/>
        <w:rPr>
          <w:rFonts w:ascii="Helvetica" w:eastAsia="Times New Roman" w:hAnsi="Helvetica" w:cs="Arial"/>
          <w:b/>
          <w:color w:val="124486"/>
          <w:kern w:val="28"/>
          <w:sz w:val="22"/>
          <w:szCs w:val="22"/>
          <w:lang w:eastAsia="zh-CN"/>
        </w:rPr>
      </w:pPr>
      <w:r>
        <w:rPr>
          <w:rFonts w:ascii="Helvetica" w:eastAsia="Times New Roman" w:hAnsi="Helvetica" w:cs="Arial"/>
          <w:b/>
          <w:color w:val="124486"/>
          <w:kern w:val="28"/>
          <w:sz w:val="22"/>
          <w:szCs w:val="22"/>
          <w:lang w:eastAsia="zh-CN"/>
        </w:rPr>
        <w:t xml:space="preserve">Objective 3 – Improved technical and vocational skills </w:t>
      </w:r>
    </w:p>
    <w:p w:rsidR="00A47FF9" w:rsidRDefault="00A47FF9" w:rsidP="00A47FF9">
      <w:pPr>
        <w:spacing w:after="120" w:line="276" w:lineRule="auto"/>
        <w:rPr>
          <w:rFonts w:ascii="Franklin Gothic Book" w:eastAsia="Times New Roman" w:hAnsi="Franklin Gothic Book"/>
          <w:sz w:val="21"/>
        </w:rPr>
      </w:pPr>
      <w:r>
        <w:rPr>
          <w:rFonts w:ascii="Franklin Gothic Book" w:eastAsia="Times New Roman" w:hAnsi="Franklin Gothic Book"/>
          <w:sz w:val="21"/>
        </w:rPr>
        <w:t>Examples of contributions to this objective from the DFAT Pacific Regional Program include:</w:t>
      </w:r>
    </w:p>
    <w:p w:rsidR="00A47FF9" w:rsidRDefault="00A47FF9" w:rsidP="00A47FF9">
      <w:pPr>
        <w:pStyle w:val="ListBullet"/>
        <w:numPr>
          <w:ilvl w:val="0"/>
          <w:numId w:val="36"/>
        </w:numPr>
        <w:tabs>
          <w:tab w:val="clear" w:pos="284"/>
          <w:tab w:val="left" w:pos="720"/>
        </w:tabs>
        <w:spacing w:line="276" w:lineRule="auto"/>
      </w:pPr>
      <w:r>
        <w:t>Pacific Regional core funding to the Australia Pacific Technical College (APTC) in 2013 supported 305 enrolments and 238 graduates from Tonga.</w:t>
      </w:r>
    </w:p>
    <w:p w:rsidR="00A47FF9" w:rsidRDefault="00A47FF9" w:rsidP="00A47FF9">
      <w:pPr>
        <w:spacing w:after="120" w:line="276" w:lineRule="auto"/>
        <w:rPr>
          <w:rFonts w:ascii="Helvetica" w:eastAsia="Times New Roman" w:hAnsi="Helvetica" w:cs="Arial"/>
          <w:b/>
          <w:color w:val="124486"/>
          <w:kern w:val="28"/>
          <w:sz w:val="22"/>
          <w:szCs w:val="22"/>
          <w:lang w:eastAsia="zh-CN"/>
        </w:rPr>
      </w:pPr>
      <w:r>
        <w:rPr>
          <w:rFonts w:ascii="Helvetica" w:eastAsia="Times New Roman" w:hAnsi="Helvetica" w:cs="Arial"/>
          <w:b/>
          <w:color w:val="124486"/>
          <w:kern w:val="28"/>
          <w:sz w:val="22"/>
          <w:szCs w:val="22"/>
          <w:lang w:eastAsia="zh-CN"/>
        </w:rPr>
        <w:t xml:space="preserve">Objective 4 – Development of infrastructure to improve the everyday lives of the people </w:t>
      </w:r>
    </w:p>
    <w:p w:rsidR="00A47FF9" w:rsidRDefault="00A47FF9" w:rsidP="00A47FF9">
      <w:pPr>
        <w:spacing w:after="120" w:line="276" w:lineRule="auto"/>
        <w:rPr>
          <w:rFonts w:ascii="Franklin Gothic Book" w:eastAsia="Times New Roman" w:hAnsi="Franklin Gothic Book"/>
          <w:sz w:val="21"/>
        </w:rPr>
      </w:pPr>
      <w:r>
        <w:rPr>
          <w:rFonts w:ascii="Franklin Gothic Book" w:eastAsia="Times New Roman" w:hAnsi="Franklin Gothic Book"/>
          <w:sz w:val="21"/>
        </w:rPr>
        <w:t>Examples of contributions to this objective from the DFAT Pacific Regional Program include:</w:t>
      </w:r>
    </w:p>
    <w:p w:rsidR="00B81C65" w:rsidRDefault="00B81C65" w:rsidP="00A47FF9">
      <w:pPr>
        <w:pStyle w:val="ListBullet"/>
        <w:numPr>
          <w:ilvl w:val="0"/>
          <w:numId w:val="36"/>
        </w:numPr>
        <w:tabs>
          <w:tab w:val="clear" w:pos="284"/>
          <w:tab w:val="left" w:pos="720"/>
        </w:tabs>
        <w:spacing w:line="276" w:lineRule="auto"/>
      </w:pPr>
      <w:r>
        <w:t>Through Energising the Pacific, the Pacific Regional Infrastructure Facility (PRIF) has supported the development of the Tonga Energy Road Map. PRIF continues to support the Institutional and Regulatory Framework Strengthening project to undertake key reforms, increase the proportion of grid-based renewable energy sources and co-ordinate donor support so as to make best use of limited donor resources</w:t>
      </w:r>
    </w:p>
    <w:p w:rsidR="00A47FF9" w:rsidRDefault="00A47FF9" w:rsidP="00A47FF9">
      <w:pPr>
        <w:pStyle w:val="ListBullet"/>
        <w:numPr>
          <w:ilvl w:val="0"/>
          <w:numId w:val="0"/>
        </w:numPr>
        <w:spacing w:line="276" w:lineRule="auto"/>
        <w:rPr>
          <w:rFonts w:ascii="Helvetica" w:hAnsi="Helvetica" w:cs="Arial"/>
          <w:color w:val="007FAD"/>
          <w:kern w:val="28"/>
          <w:sz w:val="28"/>
          <w:szCs w:val="28"/>
        </w:rPr>
      </w:pPr>
      <w:r>
        <w:rPr>
          <w:rFonts w:ascii="Helvetica" w:hAnsi="Helvetica" w:cs="Arial"/>
          <w:color w:val="007FAD"/>
          <w:kern w:val="28"/>
          <w:sz w:val="28"/>
          <w:szCs w:val="28"/>
        </w:rPr>
        <w:t>Regional Services that complement the Tonga Bilateral Program</w:t>
      </w:r>
    </w:p>
    <w:p w:rsidR="00A47FF9" w:rsidRDefault="00A47FF9" w:rsidP="00A47FF9">
      <w:pPr>
        <w:pStyle w:val="ListBullet"/>
        <w:numPr>
          <w:ilvl w:val="0"/>
          <w:numId w:val="0"/>
        </w:numPr>
        <w:spacing w:line="276" w:lineRule="auto"/>
      </w:pPr>
      <w:r>
        <w:t>Examples of contributions to the Tonga Bilateral Program from Regional Institutions and Regional Services supported by the DFAT Pacific Regional Program include:</w:t>
      </w:r>
    </w:p>
    <w:p w:rsidR="00A47FF9" w:rsidRDefault="00A47FF9" w:rsidP="00A47FF9">
      <w:pPr>
        <w:pStyle w:val="ListBullet"/>
        <w:numPr>
          <w:ilvl w:val="0"/>
          <w:numId w:val="36"/>
        </w:numPr>
        <w:tabs>
          <w:tab w:val="clear" w:pos="284"/>
          <w:tab w:val="left" w:pos="720"/>
        </w:tabs>
        <w:spacing w:line="276" w:lineRule="auto"/>
      </w:pPr>
      <w:r>
        <w:t>The Pacific Financial Inclusion Program (PFIP) contributed to financial inclusiveness in Tonga. As part of this initiative, in 2014, Westpac Bank launched branchless banking/mobile money pilots. Low-cost international remittances to mobile wallets were also introduced in 2013/14. PFIP also successfully completed a partnership with Westpac to implement Financial Literacy training. Participants were taught basic budgeting and money management, and at the same time, Westpac opened and administered savings account for each participant.</w:t>
      </w:r>
    </w:p>
    <w:p w:rsidR="00A47FF9" w:rsidRDefault="00A47FF9" w:rsidP="00A47FF9">
      <w:pPr>
        <w:pStyle w:val="ListBullet"/>
        <w:numPr>
          <w:ilvl w:val="0"/>
          <w:numId w:val="36"/>
        </w:numPr>
        <w:tabs>
          <w:tab w:val="clear" w:pos="284"/>
          <w:tab w:val="left" w:pos="720"/>
        </w:tabs>
        <w:spacing w:line="276" w:lineRule="auto"/>
      </w:pPr>
      <w:r>
        <w:t>The Tonga Chamber of Commerce and Industry (TCCI) provides a private sector voice at the national-level and continues to provide alternative approaches to driving and engineering economic growth. PLP provided support for TCCI’s core funding, facilitation and hosting of public-private dialogues, and support to emerging business leaders through the youth in business program for secondary and tertiary school. TCCI now hosts an annual dialogue between government and the private sector. Among other things, TCCI is regularly approached to provide technical advice on national economic development issues.</w:t>
      </w:r>
    </w:p>
    <w:p w:rsidR="00A47FF9" w:rsidRDefault="00A47FF9" w:rsidP="00A47FF9">
      <w:pPr>
        <w:pStyle w:val="ListBullet"/>
        <w:numPr>
          <w:ilvl w:val="0"/>
          <w:numId w:val="36"/>
        </w:numPr>
        <w:tabs>
          <w:tab w:val="clear" w:pos="284"/>
          <w:tab w:val="left" w:pos="720"/>
        </w:tabs>
        <w:spacing w:line="276" w:lineRule="auto"/>
      </w:pPr>
      <w:r>
        <w:t xml:space="preserve">In 2014, the Pacific Assistance Media Scheme (PACMAS) delivered a total of 14 national and regional workshops in the areas of Media Strengthening and Pacific Communication Broadcast Technicians. Out of 184 participants in these workshops, </w:t>
      </w:r>
      <w:r>
        <w:lastRenderedPageBreak/>
        <w:t xml:space="preserve">Tonga had the fourth-highest number of participants of any PICT.  PACMAS is also working with SPREP to support Tonga’s national broadcaster to improve its capacity to provide quality and timely information to enable communities to prepare and respond to natural disasters. </w:t>
      </w:r>
    </w:p>
    <w:p w:rsidR="00A47FF9" w:rsidRDefault="00A47FF9" w:rsidP="00A47FF9">
      <w:pPr>
        <w:pStyle w:val="ListBullet"/>
        <w:numPr>
          <w:ilvl w:val="0"/>
          <w:numId w:val="36"/>
        </w:numPr>
        <w:tabs>
          <w:tab w:val="clear" w:pos="284"/>
          <w:tab w:val="left" w:pos="720"/>
        </w:tabs>
        <w:spacing w:line="276" w:lineRule="auto"/>
      </w:pPr>
      <w:r>
        <w:t>Secretariat of the Pacific Community (SPC) has assisted the Petani Village Women’s Group on Eua to develop a community garden as a measure to address food security issues through sustainable agriculture and land management technologies. While produce is currently being grown for domestic use, the group plans to use the garden to generate income in future.</w:t>
      </w:r>
    </w:p>
    <w:p w:rsidR="00A47FF9" w:rsidRDefault="00A47FF9" w:rsidP="00A47FF9">
      <w:pPr>
        <w:pStyle w:val="ListBullet"/>
        <w:numPr>
          <w:ilvl w:val="0"/>
          <w:numId w:val="36"/>
        </w:numPr>
        <w:tabs>
          <w:tab w:val="clear" w:pos="284"/>
          <w:tab w:val="left" w:pos="720"/>
        </w:tabs>
        <w:spacing w:line="276" w:lineRule="auto"/>
      </w:pPr>
      <w:r>
        <w:t>The Pacific Women Shaping Pacific Development Initiative supported a Parliamentary Officer from Tonga to undertake a placement at the Australian Parliamentary Library in Canberra, during which time she developed a research paper on the viability of temporary special measures for the Tongan Parliament. The paper was presented at the Pacific Island Political Studies Association Conference in Tahiti in July 2014.</w:t>
      </w:r>
    </w:p>
    <w:p w:rsidR="00A47FF9" w:rsidRDefault="00A47FF9" w:rsidP="00A47FF9">
      <w:pPr>
        <w:pStyle w:val="Heading2"/>
        <w:spacing w:before="0" w:line="276" w:lineRule="auto"/>
        <w:rPr>
          <w:sz w:val="28"/>
        </w:rPr>
      </w:pPr>
      <w:r>
        <w:rPr>
          <w:sz w:val="28"/>
        </w:rPr>
        <w:t>Case study: Tonga National Leadership Development Forum</w:t>
      </w:r>
    </w:p>
    <w:p w:rsidR="000D733F" w:rsidRPr="00D95DDC" w:rsidRDefault="00A47FF9" w:rsidP="006B2F01">
      <w:pPr>
        <w:pStyle w:val="ListBullet"/>
        <w:numPr>
          <w:ilvl w:val="0"/>
          <w:numId w:val="0"/>
        </w:numPr>
        <w:tabs>
          <w:tab w:val="clear" w:pos="284"/>
          <w:tab w:val="left" w:pos="720"/>
        </w:tabs>
        <w:spacing w:line="276" w:lineRule="auto"/>
        <w:ind w:left="360" w:hanging="360"/>
      </w:pPr>
      <w:r>
        <w:t xml:space="preserve">The Pacific Leadership Program (PLP) supports a coalition of eminent Tongans in the Tonga National Leadership Development Forum (TNLDF). This group identified that within Tonga’s hierarchical society holding elected leaders to account was culturally difficult, thereby creating an obstacle for the emerging democracy. To address this, TNLDF held public consultations on a Leadership Code which provided a non-threatening opportunity for members of the community to articulate their expectations of leaders. The TNLDF brought Tongan MPs back to their own constituencies for the consultations which enabled the public to exercise leadership themselves by asking questions of their MPs. An outcome has been that some MPs have adopted more transparent and consultative processes around how they spend their constituency allocations. Previously, constituents did not know how the allocations were spent and felt culturally constrained in asking questions. The Leadership Code that has been developed by the TNLDF defines the role and responsibilities of leaders, and provides a basis for the population to hold their leaders to account.   </w:t>
      </w:r>
    </w:p>
    <w:sectPr w:rsidR="000D733F" w:rsidRPr="00D95DDC" w:rsidSect="00A47FF9">
      <w:pgSz w:w="11907" w:h="16840" w:code="9"/>
      <w:pgMar w:top="2268" w:right="1871" w:bottom="907" w:left="1871"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A0A" w:rsidRDefault="00D31A0A" w:rsidP="0050529F">
      <w:r>
        <w:separator/>
      </w:r>
    </w:p>
    <w:p w:rsidR="00D31A0A" w:rsidRDefault="00D31A0A"/>
    <w:p w:rsidR="00D31A0A" w:rsidRDefault="00D31A0A"/>
    <w:p w:rsidR="00D31A0A" w:rsidRDefault="00D31A0A"/>
    <w:p w:rsidR="00D31A0A" w:rsidRDefault="00D31A0A"/>
    <w:p w:rsidR="00D31A0A" w:rsidRDefault="00D31A0A"/>
    <w:p w:rsidR="00D31A0A" w:rsidRDefault="00D31A0A"/>
  </w:endnote>
  <w:endnote w:type="continuationSeparator" w:id="0">
    <w:p w:rsidR="00D31A0A" w:rsidRDefault="00D31A0A" w:rsidP="0050529F">
      <w:r>
        <w:continuationSeparator/>
      </w:r>
    </w:p>
    <w:p w:rsidR="00D31A0A" w:rsidRDefault="00D31A0A"/>
    <w:p w:rsidR="00D31A0A" w:rsidRDefault="00D31A0A"/>
    <w:p w:rsidR="00D31A0A" w:rsidRDefault="00D31A0A"/>
    <w:p w:rsidR="00D31A0A" w:rsidRDefault="00D31A0A"/>
    <w:p w:rsidR="00D31A0A" w:rsidRDefault="00D31A0A"/>
    <w:p w:rsidR="00D31A0A" w:rsidRDefault="00D31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A0A" w:rsidRPr="0091071F" w:rsidRDefault="00D31A0A" w:rsidP="000D733F">
    <w:pPr>
      <w:pStyle w:val="Footer"/>
    </w:pPr>
    <w:r w:rsidRPr="0091071F">
      <w:fldChar w:fldCharType="begin"/>
    </w:r>
    <w:r w:rsidRPr="0091071F">
      <w:instrText xml:space="preserve"> PAGE </w:instrText>
    </w:r>
    <w:r w:rsidRPr="0091071F">
      <w:fldChar w:fldCharType="separate"/>
    </w:r>
    <w:r>
      <w:rPr>
        <w:noProof/>
      </w:rPr>
      <w:t>10</w:t>
    </w:r>
    <w:r w:rsidRPr="0091071F">
      <w:fldChar w:fldCharType="end"/>
    </w:r>
    <w:r w:rsidRPr="0091071F">
      <w:tab/>
    </w:r>
    <w:r>
      <w:fldChar w:fldCharType="begin"/>
    </w:r>
    <w:r>
      <w:instrText xml:space="preserve"> STYLEREF  Title </w:instrText>
    </w:r>
    <w:r>
      <w:rPr>
        <w:noProof/>
      </w:rPr>
      <w:fldChar w:fldCharType="end"/>
    </w:r>
    <w:r>
      <w:t xml:space="preserve"> &lt;&lt;Name of Country Program&gt;&gt;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A0A" w:rsidRPr="0091071F" w:rsidRDefault="00D31A0A" w:rsidP="000D733F">
    <w:pPr>
      <w:pStyle w:val="Footer"/>
    </w:pPr>
    <w:r>
      <w:tab/>
    </w:r>
    <w:r w:rsidR="00C24EE9">
      <w:fldChar w:fldCharType="begin"/>
    </w:r>
    <w:r w:rsidR="00C24EE9">
      <w:instrText xml:space="preserve"> STYLEREF Title \* MERGEFORMAT </w:instrText>
    </w:r>
    <w:r w:rsidR="00C24EE9">
      <w:rPr>
        <w:noProof/>
      </w:rPr>
      <w:fldChar w:fldCharType="end"/>
    </w:r>
    <w:r w:rsidRPr="0091071F">
      <w:tab/>
    </w:r>
    <w:r w:rsidRPr="0091071F">
      <w:rPr>
        <w:rStyle w:val="PageNumber"/>
        <w:color w:val="3E3935"/>
      </w:rPr>
      <w:tab/>
    </w:r>
    <w:r w:rsidRPr="0091071F">
      <w:rPr>
        <w:rStyle w:val="PageNumber"/>
        <w:color w:val="3E3935"/>
      </w:rPr>
      <w:fldChar w:fldCharType="begin"/>
    </w:r>
    <w:r w:rsidRPr="0091071F">
      <w:rPr>
        <w:rStyle w:val="PageNumber"/>
        <w:color w:val="3E3935"/>
      </w:rPr>
      <w:instrText xml:space="preserve"> PAGE </w:instrText>
    </w:r>
    <w:r w:rsidRPr="0091071F">
      <w:rPr>
        <w:rStyle w:val="PageNumber"/>
        <w:color w:val="3E3935"/>
      </w:rPr>
      <w:fldChar w:fldCharType="separate"/>
    </w:r>
    <w:r w:rsidR="00951424">
      <w:rPr>
        <w:rStyle w:val="PageNumber"/>
        <w:noProof/>
        <w:color w:val="3E3935"/>
      </w:rPr>
      <w:t>1</w:t>
    </w:r>
    <w:r w:rsidRPr="0091071F">
      <w:rPr>
        <w:rStyle w:val="PageNumber"/>
        <w:color w:val="3E39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424" w:rsidRDefault="0095142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A0A" w:rsidRPr="004C4A3E" w:rsidRDefault="00D31A0A"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658240" behindDoc="1" locked="1" layoutInCell="1" allowOverlap="1" wp14:anchorId="3E9C275F" wp14:editId="079F2B1A">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AusAID web address graphic" style="position:absolute;margin-left:0;margin-top:671.9pt;width:581.1pt;height:17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2013-14</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30</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657216" behindDoc="1" locked="0" layoutInCell="1" allowOverlap="1" wp14:anchorId="004531C8" wp14:editId="79937502">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56192" behindDoc="1" locked="0" layoutInCell="1" allowOverlap="1" wp14:anchorId="28FCC624" wp14:editId="044A10E6">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A0A" w:rsidRPr="001A6D40" w:rsidRDefault="00D31A0A" w:rsidP="001A6D40">
      <w:pPr>
        <w:pStyle w:val="Footer"/>
      </w:pPr>
    </w:p>
  </w:footnote>
  <w:footnote w:type="continuationSeparator" w:id="0">
    <w:p w:rsidR="00D31A0A" w:rsidRDefault="00D31A0A" w:rsidP="0050529F">
      <w:r>
        <w:continuationSeparator/>
      </w:r>
    </w:p>
    <w:p w:rsidR="00D31A0A" w:rsidRDefault="00D31A0A"/>
    <w:p w:rsidR="00D31A0A" w:rsidRDefault="00D31A0A"/>
    <w:p w:rsidR="00D31A0A" w:rsidRDefault="00D31A0A"/>
    <w:p w:rsidR="00D31A0A" w:rsidRDefault="00D31A0A"/>
    <w:p w:rsidR="00D31A0A" w:rsidRDefault="00D31A0A"/>
    <w:p w:rsidR="00D31A0A" w:rsidRDefault="00D31A0A"/>
  </w:footnote>
  <w:footnote w:id="1">
    <w:p w:rsidR="00D31A0A" w:rsidRPr="00DD1881" w:rsidRDefault="00D31A0A" w:rsidP="00AC4795">
      <w:pPr>
        <w:pStyle w:val="FootnoteText"/>
        <w:spacing w:line="240" w:lineRule="auto"/>
        <w:rPr>
          <w:rFonts w:cstheme="minorBidi"/>
        </w:rPr>
      </w:pPr>
      <w:r>
        <w:rPr>
          <w:rStyle w:val="FootnoteReference"/>
          <w:szCs w:val="16"/>
        </w:rPr>
        <w:footnoteRef/>
      </w:r>
      <w:r>
        <w:rPr>
          <w:rFonts w:ascii="Times New Roman" w:hAnsi="Times New Roman"/>
        </w:rPr>
        <w:t xml:space="preserve"> </w:t>
      </w:r>
      <w:r w:rsidRPr="00DD1881">
        <w:t xml:space="preserve">Asian Development Bank ‘Asian Development Outlook 2014 Fiscal Policy for Economic Growth “South Pacific Economies” </w:t>
      </w:r>
      <w:hyperlink r:id="rId1" w:history="1">
        <w:r w:rsidRPr="00DD1881">
          <w:rPr>
            <w:rStyle w:val="Hyperlink"/>
            <w:color w:val="auto"/>
            <w:sz w:val="16"/>
            <w:szCs w:val="16"/>
          </w:rPr>
          <w:t>http://www.adb.org/publications/asian-development-outlook-2014-fiscal-policy-inclusive-growth</w:t>
        </w:r>
      </w:hyperlink>
      <w:r w:rsidRPr="00DD1881">
        <w:t xml:space="preserve">. </w:t>
      </w:r>
      <w:r w:rsidRPr="00DD1881">
        <w:rPr>
          <w:i/>
        </w:rPr>
        <w:t>The Government of Tonga Budget Statement for Year Ending 30 June 2015</w:t>
      </w:r>
      <w:r w:rsidRPr="00DD1881">
        <w:t xml:space="preserve"> estimated GDP growth was 1.8 per cent, page8.</w:t>
      </w:r>
    </w:p>
  </w:footnote>
  <w:footnote w:id="2">
    <w:p w:rsidR="00D31A0A" w:rsidRDefault="00D31A0A" w:rsidP="00AC4795">
      <w:pPr>
        <w:pStyle w:val="FootnoteText"/>
        <w:spacing w:line="240" w:lineRule="auto"/>
      </w:pPr>
      <w:r>
        <w:rPr>
          <w:rStyle w:val="FootnoteReference"/>
        </w:rPr>
        <w:footnoteRef/>
      </w:r>
      <w:r>
        <w:t xml:space="preserve"> </w:t>
      </w:r>
      <w:r w:rsidRPr="003F0160">
        <w:t xml:space="preserve">Joint IMF/World Bank Debt Sustainability </w:t>
      </w:r>
      <w:r w:rsidRPr="00072A97">
        <w:t>Analysis July 2</w:t>
      </w:r>
      <w:r w:rsidRPr="00FC6914">
        <w:t xml:space="preserve">013 </w:t>
      </w:r>
      <w:hyperlink r:id="rId2" w:history="1">
        <w:r w:rsidRPr="00900368">
          <w:rPr>
            <w:rStyle w:val="Hyperlink"/>
            <w:rFonts w:cs="Arial"/>
            <w:color w:val="auto"/>
            <w:sz w:val="16"/>
          </w:rPr>
          <w:t>www.</w:t>
        </w:r>
        <w:r w:rsidRPr="00900368">
          <w:rPr>
            <w:rStyle w:val="Hyperlink"/>
            <w:rFonts w:cs="Arial"/>
            <w:bCs/>
            <w:color w:val="auto"/>
            <w:sz w:val="16"/>
          </w:rPr>
          <w:t>imf</w:t>
        </w:r>
        <w:r w:rsidRPr="00900368">
          <w:rPr>
            <w:rStyle w:val="Hyperlink"/>
            <w:rFonts w:cs="Arial"/>
            <w:color w:val="auto"/>
            <w:sz w:val="16"/>
          </w:rPr>
          <w:t>.org/external/pubs/ft/dsa/pdf/</w:t>
        </w:r>
        <w:r w:rsidRPr="00900368">
          <w:rPr>
            <w:rStyle w:val="Hyperlink"/>
            <w:rFonts w:cs="Arial"/>
            <w:bCs/>
            <w:color w:val="auto"/>
            <w:sz w:val="16"/>
          </w:rPr>
          <w:t>2013</w:t>
        </w:r>
        <w:r w:rsidRPr="00900368">
          <w:rPr>
            <w:rStyle w:val="Hyperlink"/>
            <w:rFonts w:cs="Arial"/>
            <w:color w:val="auto"/>
            <w:sz w:val="16"/>
          </w:rPr>
          <w:t>/dsacr13234.pdf</w:t>
        </w:r>
      </w:hyperlink>
      <w:r>
        <w:rPr>
          <w:rStyle w:val="HTMLCite"/>
          <w:rFonts w:ascii="Arial" w:hAnsi="Arial" w:cs="Arial"/>
          <w:color w:val="222222"/>
        </w:rPr>
        <w:t xml:space="preserve"> </w:t>
      </w:r>
    </w:p>
  </w:footnote>
  <w:footnote w:id="3">
    <w:p w:rsidR="00D31A0A" w:rsidRPr="00DD1881" w:rsidRDefault="00D31A0A" w:rsidP="00AC4795">
      <w:pPr>
        <w:pStyle w:val="FootnoteText"/>
        <w:spacing w:line="240" w:lineRule="auto"/>
      </w:pPr>
      <w:r w:rsidRPr="00DD1881">
        <w:rPr>
          <w:rStyle w:val="FootnoteReference"/>
          <w:rFonts w:ascii="Franklin Gothic Book" w:hAnsi="Franklin Gothic Book"/>
          <w:szCs w:val="16"/>
        </w:rPr>
        <w:footnoteRef/>
      </w:r>
      <w:r w:rsidRPr="00DD1881">
        <w:t xml:space="preserve"> World Bank Supports Disaster Reconstruction and Recovery in Tonga http://www.worldbank.org/en/news/press-release/2014/05/29/world-bank-supports-disaster-reconstruction-and-recovery-in-tonga</w:t>
      </w:r>
    </w:p>
  </w:footnote>
  <w:footnote w:id="4">
    <w:p w:rsidR="00D31A0A" w:rsidRPr="001D0D5C" w:rsidRDefault="00D31A0A" w:rsidP="00AC4795">
      <w:pPr>
        <w:pStyle w:val="FootnoteText"/>
        <w:spacing w:line="240" w:lineRule="auto"/>
        <w:rPr>
          <w:rFonts w:cstheme="minorBidi"/>
        </w:rPr>
      </w:pPr>
      <w:r w:rsidRPr="001D0D5C">
        <w:rPr>
          <w:rStyle w:val="FootnoteReference"/>
          <w:rFonts w:ascii="Franklin Gothic Book" w:hAnsi="Franklin Gothic Book"/>
        </w:rPr>
        <w:footnoteRef/>
      </w:r>
      <w:r w:rsidRPr="001D0D5C">
        <w:rPr>
          <w:rStyle w:val="FootnoteReference"/>
          <w:rFonts w:ascii="Franklin Gothic Book" w:hAnsi="Franklin Gothic Book"/>
          <w:szCs w:val="16"/>
        </w:rPr>
        <w:t xml:space="preserve"> </w:t>
      </w:r>
      <w:r w:rsidRPr="001D0D5C">
        <w:t xml:space="preserve">Government of Tonga, Department of Statistics (2009). Data presented in a 2009 social protection issues paper prepared for the government’s Ministry of Finance and National Planning.  </w:t>
      </w:r>
    </w:p>
  </w:footnote>
  <w:footnote w:id="5">
    <w:p w:rsidR="00D31A0A" w:rsidRPr="001D0D5C" w:rsidRDefault="00D31A0A" w:rsidP="00AC4795">
      <w:pPr>
        <w:pStyle w:val="FootnoteText"/>
        <w:spacing w:line="240" w:lineRule="auto"/>
      </w:pPr>
      <w:r w:rsidRPr="001D0D5C">
        <w:rPr>
          <w:rStyle w:val="FootnoteReference"/>
          <w:rFonts w:ascii="Franklin Gothic Book" w:hAnsi="Franklin Gothic Book"/>
        </w:rPr>
        <w:footnoteRef/>
      </w:r>
      <w:r w:rsidRPr="001D0D5C">
        <w:t xml:space="preserve"> </w:t>
      </w:r>
      <w:r w:rsidRPr="001D0D5C">
        <w:rPr>
          <w:rFonts w:cs="Calibri"/>
          <w:color w:val="000000"/>
          <w:lang w:eastAsia="en-US"/>
        </w:rPr>
        <w:t xml:space="preserve">Through </w:t>
      </w:r>
      <w:r w:rsidRPr="001D0D5C">
        <w:rPr>
          <w:rFonts w:cs="Calibri"/>
          <w:i/>
          <w:color w:val="000000"/>
          <w:lang w:eastAsia="en-US"/>
        </w:rPr>
        <w:t>Pacific Women Shaping Development Initiative</w:t>
      </w:r>
      <w:r w:rsidRPr="001D0D5C">
        <w:rPr>
          <w:rFonts w:cs="Calibri"/>
          <w:color w:val="000000"/>
          <w:lang w:eastAsia="en-US"/>
        </w:rPr>
        <w:t>, the Australian Government will fund research into the social and economic impacts of the seasonal migrant worker scheme on women, men and families in Tonga.</w:t>
      </w:r>
    </w:p>
  </w:footnote>
  <w:footnote w:id="6">
    <w:p w:rsidR="00D31A0A" w:rsidRPr="00467EA5" w:rsidRDefault="00D31A0A" w:rsidP="00AC4795">
      <w:pPr>
        <w:pStyle w:val="FootnoteText"/>
        <w:spacing w:line="240" w:lineRule="auto"/>
        <w:rPr>
          <w:szCs w:val="16"/>
        </w:rPr>
      </w:pPr>
      <w:r w:rsidRPr="009960CD">
        <w:rPr>
          <w:rStyle w:val="FootnoteReference"/>
        </w:rPr>
        <w:footnoteRef/>
      </w:r>
      <w:r>
        <w:t xml:space="preserve">2013 </w:t>
      </w:r>
      <w:r w:rsidRPr="00467EA5">
        <w:rPr>
          <w:szCs w:val="16"/>
        </w:rPr>
        <w:t>MDG Tracking Report, Pacific Islands Forum Secretariat.</w:t>
      </w:r>
    </w:p>
  </w:footnote>
  <w:footnote w:id="7">
    <w:p w:rsidR="00D31A0A" w:rsidRPr="00467EA5" w:rsidRDefault="00D31A0A" w:rsidP="00AC4795">
      <w:pPr>
        <w:rPr>
          <w:rFonts w:ascii="Franklin Gothic Book" w:hAnsi="Franklin Gothic Book"/>
          <w:sz w:val="16"/>
          <w:szCs w:val="16"/>
        </w:rPr>
      </w:pPr>
      <w:r w:rsidRPr="00467EA5">
        <w:rPr>
          <w:rStyle w:val="FootnoteReference"/>
          <w:rFonts w:ascii="Franklin Gothic Book" w:hAnsi="Franklin Gothic Book"/>
          <w:szCs w:val="16"/>
        </w:rPr>
        <w:footnoteRef/>
      </w:r>
      <w:r w:rsidRPr="00467EA5">
        <w:rPr>
          <w:rStyle w:val="FootnoteReference"/>
          <w:rFonts w:ascii="Franklin Gothic Book" w:hAnsi="Franklin Gothic Book"/>
          <w:szCs w:val="16"/>
        </w:rPr>
        <w:t xml:space="preserve"> </w:t>
      </w:r>
      <w:r w:rsidRPr="00467EA5">
        <w:rPr>
          <w:rFonts w:ascii="Franklin Gothic Book" w:hAnsi="Franklin Gothic Book" w:cs="Arial"/>
          <w:sz w:val="16"/>
          <w:szCs w:val="16"/>
        </w:rPr>
        <w:t>http://www.mic.gov.to/news-today/press-releases/4962-ministers-remarks-on-the-official-launching-of-revised-national-policy-on-gender-and-development-a-strategic-development-plan</w:t>
      </w:r>
    </w:p>
  </w:footnote>
  <w:footnote w:id="8">
    <w:p w:rsidR="00D31A0A" w:rsidRPr="00D50EB6" w:rsidRDefault="00D31A0A" w:rsidP="00AC4795">
      <w:pPr>
        <w:pStyle w:val="FootnoteText"/>
        <w:spacing w:line="240" w:lineRule="auto"/>
        <w:rPr>
          <w:szCs w:val="16"/>
        </w:rPr>
      </w:pPr>
      <w:r w:rsidRPr="00D50EB6">
        <w:rPr>
          <w:rStyle w:val="FootnoteReference"/>
          <w:rFonts w:ascii="Franklin Gothic Book" w:hAnsi="Franklin Gothic Book"/>
          <w:szCs w:val="16"/>
        </w:rPr>
        <w:footnoteRef/>
      </w:r>
      <w:r w:rsidRPr="00D50EB6">
        <w:rPr>
          <w:szCs w:val="16"/>
        </w:rPr>
        <w:t xml:space="preserve"> The latest OECD Statistics only provide 2012 figures, http://stats.oecd.org/</w:t>
      </w:r>
    </w:p>
  </w:footnote>
  <w:footnote w:id="9">
    <w:p w:rsidR="00D31A0A" w:rsidRDefault="00D31A0A" w:rsidP="00AC4795">
      <w:pPr>
        <w:pStyle w:val="FootnoteText"/>
        <w:spacing w:line="240" w:lineRule="auto"/>
      </w:pPr>
      <w:r w:rsidRPr="00467EA5">
        <w:rPr>
          <w:rStyle w:val="FootnoteReference"/>
          <w:rFonts w:ascii="Franklin Gothic Book" w:hAnsi="Franklin Gothic Book"/>
          <w:szCs w:val="16"/>
        </w:rPr>
        <w:footnoteRef/>
      </w:r>
      <w:r w:rsidRPr="00467EA5">
        <w:rPr>
          <w:szCs w:val="16"/>
        </w:rPr>
        <w:t xml:space="preserve"> This is estimated expenditure and is cash, in-kind grant or loans. Refer Table 70: </w:t>
      </w:r>
      <w:r w:rsidRPr="00467EA5">
        <w:rPr>
          <w:i/>
          <w:szCs w:val="16"/>
        </w:rPr>
        <w:t>Government of Tonga Budget Statement for year ending 30</w:t>
      </w:r>
      <w:r w:rsidRPr="00467EA5">
        <w:rPr>
          <w:i/>
          <w:szCs w:val="16"/>
          <w:vertAlign w:val="superscript"/>
        </w:rPr>
        <w:t xml:space="preserve"> </w:t>
      </w:r>
      <w:r w:rsidRPr="00467EA5">
        <w:rPr>
          <w:i/>
          <w:szCs w:val="16"/>
        </w:rPr>
        <w:t>June 2015</w:t>
      </w:r>
      <w:r w:rsidRPr="00467EA5">
        <w:rPr>
          <w:szCs w:val="16"/>
        </w:rPr>
        <w:t xml:space="preserve"> p.126.</w:t>
      </w:r>
    </w:p>
  </w:footnote>
  <w:footnote w:id="10">
    <w:p w:rsidR="00D31A0A" w:rsidRPr="0030594B" w:rsidRDefault="00D31A0A" w:rsidP="00D961A6">
      <w:pPr>
        <w:rPr>
          <w:rFonts w:ascii="Franklin Gothic Book" w:hAnsi="Franklin Gothic Book"/>
          <w:sz w:val="16"/>
          <w:szCs w:val="16"/>
        </w:rPr>
      </w:pPr>
      <w:r>
        <w:rPr>
          <w:rStyle w:val="FootnoteReference"/>
        </w:rPr>
        <w:footnoteRef/>
      </w:r>
      <w:r>
        <w:t xml:space="preserve"> </w:t>
      </w:r>
      <w:r w:rsidRPr="0030594B">
        <w:rPr>
          <w:rFonts w:ascii="Franklin Gothic Book" w:hAnsi="Franklin Gothic Book"/>
          <w:sz w:val="16"/>
          <w:szCs w:val="16"/>
        </w:rPr>
        <w:t>Costs associated with responding to Tropical Cyclone Ian</w:t>
      </w:r>
      <w:r>
        <w:rPr>
          <w:rFonts w:ascii="Franklin Gothic Book" w:hAnsi="Franklin Gothic Book"/>
          <w:sz w:val="16"/>
          <w:szCs w:val="16"/>
        </w:rPr>
        <w:t xml:space="preserve">.  For example, </w:t>
      </w:r>
      <w:r w:rsidRPr="0030594B">
        <w:rPr>
          <w:rFonts w:ascii="Franklin Gothic Book" w:hAnsi="Franklin Gothic Book"/>
          <w:sz w:val="16"/>
          <w:szCs w:val="16"/>
        </w:rPr>
        <w:t>supplies to Tonga Red Cross such as blankets, water containers, tarpaulins</w:t>
      </w:r>
      <w:r>
        <w:rPr>
          <w:rFonts w:ascii="Franklin Gothic Book" w:hAnsi="Franklin Gothic Book"/>
          <w:sz w:val="16"/>
          <w:szCs w:val="16"/>
        </w:rPr>
        <w:t xml:space="preserve">.  Also </w:t>
      </w:r>
      <w:r w:rsidRPr="0030594B">
        <w:rPr>
          <w:rFonts w:ascii="Franklin Gothic Book" w:hAnsi="Franklin Gothic Book"/>
          <w:sz w:val="16"/>
          <w:szCs w:val="16"/>
        </w:rPr>
        <w:t>supplies for t</w:t>
      </w:r>
      <w:r>
        <w:rPr>
          <w:rFonts w:ascii="Franklin Gothic Book" w:hAnsi="Franklin Gothic Book"/>
          <w:sz w:val="16"/>
          <w:szCs w:val="16"/>
        </w:rPr>
        <w:t xml:space="preserve">he Tonga Meteorological Service such as a </w:t>
      </w:r>
      <w:r w:rsidRPr="0030594B">
        <w:rPr>
          <w:rFonts w:ascii="Franklin Gothic Book" w:hAnsi="Franklin Gothic Book"/>
          <w:sz w:val="16"/>
          <w:szCs w:val="16"/>
        </w:rPr>
        <w:t>container office for outer island (Eua)</w:t>
      </w:r>
      <w:r>
        <w:rPr>
          <w:rFonts w:ascii="Franklin Gothic Book" w:hAnsi="Franklin Gothic Book"/>
          <w:sz w:val="16"/>
          <w:szCs w:val="16"/>
        </w:rPr>
        <w:t>,</w:t>
      </w:r>
      <w:r w:rsidRPr="0030594B">
        <w:rPr>
          <w:rFonts w:ascii="Franklin Gothic Book" w:hAnsi="Franklin Gothic Book"/>
          <w:sz w:val="16"/>
          <w:szCs w:val="16"/>
        </w:rPr>
        <w:t xml:space="preserve"> satellite phone, high frequency</w:t>
      </w:r>
      <w:r>
        <w:rPr>
          <w:rFonts w:ascii="Franklin Gothic Book" w:hAnsi="Franklin Gothic Book"/>
          <w:sz w:val="16"/>
          <w:szCs w:val="16"/>
        </w:rPr>
        <w:t xml:space="preserve"> radio and a standby generator</w:t>
      </w:r>
      <w:r w:rsidRPr="0030594B">
        <w:rPr>
          <w:rFonts w:ascii="Franklin Gothic Book" w:hAnsi="Franklin Gothic Book"/>
          <w:sz w:val="16"/>
          <w:szCs w:val="16"/>
        </w:rPr>
        <w:t>.</w:t>
      </w:r>
    </w:p>
  </w:footnote>
  <w:footnote w:id="11">
    <w:p w:rsidR="00D31A0A" w:rsidRPr="0030594B" w:rsidRDefault="00D31A0A" w:rsidP="00D961A6">
      <w:pPr>
        <w:rPr>
          <w:rFonts w:ascii="Franklin Gothic Book" w:hAnsi="Franklin Gothic Book"/>
          <w:sz w:val="16"/>
          <w:szCs w:val="16"/>
        </w:rPr>
      </w:pPr>
      <w:r w:rsidRPr="0030594B">
        <w:rPr>
          <w:rStyle w:val="FootnoteReference"/>
          <w:rFonts w:ascii="Franklin Gothic Book" w:hAnsi="Franklin Gothic Book"/>
          <w:szCs w:val="16"/>
        </w:rPr>
        <w:footnoteRef/>
      </w:r>
      <w:r w:rsidRPr="0030594B">
        <w:rPr>
          <w:rFonts w:ascii="Franklin Gothic Book" w:hAnsi="Franklin Gothic Book"/>
          <w:sz w:val="16"/>
          <w:szCs w:val="16"/>
        </w:rPr>
        <w:t xml:space="preserve"> Other program management expenses include program monitoring and audits, Public Financial Management assessments, gender data research, training, support for White Ribbon day.</w:t>
      </w:r>
    </w:p>
  </w:footnote>
  <w:footnote w:id="12">
    <w:p w:rsidR="00D31A0A" w:rsidRDefault="00D31A0A" w:rsidP="00141388">
      <w:pPr>
        <w:pStyle w:val="FootnoteText"/>
        <w:spacing w:line="240" w:lineRule="auto"/>
      </w:pPr>
      <w:r>
        <w:rPr>
          <w:rStyle w:val="FootnoteReference"/>
        </w:rPr>
        <w:footnoteRef/>
      </w:r>
      <w:r>
        <w:t xml:space="preserve"> </w:t>
      </w:r>
      <w:r w:rsidRPr="00663EC7">
        <w:t>The Australian Aid Program through its budget support will encourage Tonga’s commitment to maintaining funding for health and education service delivery during the tough fiscal position in the years ahead</w:t>
      </w:r>
      <w:r>
        <w:t xml:space="preserve">. </w:t>
      </w:r>
      <w:r w:rsidRPr="00663EC7">
        <w:t>This will be particularly important given the costs to the economy from high rates of non-communicable diseases and the importance of a healthy, well-educated and mobile workforce to Tonga’s economic outlook.</w:t>
      </w:r>
    </w:p>
  </w:footnote>
  <w:footnote w:id="13">
    <w:p w:rsidR="00D31A0A" w:rsidRPr="00AE7DC4" w:rsidRDefault="00D31A0A" w:rsidP="000A5C6B">
      <w:pPr>
        <w:pStyle w:val="FootnoteText"/>
        <w:spacing w:line="240" w:lineRule="auto"/>
        <w:rPr>
          <w:szCs w:val="16"/>
        </w:rPr>
      </w:pPr>
      <w:r w:rsidRPr="00AE7DC4">
        <w:rPr>
          <w:rStyle w:val="FootnoteReference"/>
          <w:szCs w:val="16"/>
        </w:rPr>
        <w:footnoteRef/>
      </w:r>
      <w:r w:rsidRPr="00AE7DC4">
        <w:rPr>
          <w:szCs w:val="16"/>
        </w:rPr>
        <w:t xml:space="preserve">  Two projects, TERM and TSCP, are managed by World Bank and coordinated through the Pacific Region Infrastructure Facility.</w:t>
      </w:r>
    </w:p>
  </w:footnote>
  <w:footnote w:id="14">
    <w:p w:rsidR="00D31A0A" w:rsidRDefault="00D31A0A" w:rsidP="00B05799">
      <w:pPr>
        <w:pStyle w:val="FootnoteText"/>
        <w:spacing w:line="240" w:lineRule="auto"/>
      </w:pPr>
      <w:r w:rsidRPr="009E0903">
        <w:rPr>
          <w:rStyle w:val="FootnoteReference"/>
          <w:rFonts w:ascii="Franklin Gothic Book" w:hAnsi="Franklin Gothic Book"/>
          <w:szCs w:val="16"/>
        </w:rPr>
        <w:footnoteRef/>
      </w:r>
      <w:r w:rsidRPr="009E0903">
        <w:rPr>
          <w:szCs w:val="16"/>
        </w:rPr>
        <w:t xml:space="preserve"> Institute of Asset Management, </w:t>
      </w:r>
      <w:hyperlink r:id="rId3" w:history="1">
        <w:r w:rsidRPr="009E0903">
          <w:rPr>
            <w:rStyle w:val="Hyperlink"/>
            <w:color w:val="auto"/>
            <w:sz w:val="16"/>
            <w:szCs w:val="16"/>
          </w:rPr>
          <w:t>https://theiam.org/about-us/IAM-Awards/Asset-Management-Achievement-Award</w:t>
        </w:r>
      </w:hyperlink>
      <w:r w:rsidRPr="009E0903">
        <w:t>.</w:t>
      </w:r>
    </w:p>
  </w:footnote>
  <w:footnote w:id="15">
    <w:p w:rsidR="00D31A0A" w:rsidRPr="009E0903" w:rsidRDefault="00D31A0A" w:rsidP="00577501">
      <w:pPr>
        <w:pStyle w:val="FootnoteText"/>
        <w:spacing w:line="240" w:lineRule="auto"/>
        <w:rPr>
          <w:szCs w:val="16"/>
        </w:rPr>
      </w:pPr>
      <w:r w:rsidRPr="007F36EA">
        <w:rPr>
          <w:rStyle w:val="FootnoteReference"/>
          <w:rFonts w:ascii="Franklin Gothic Book" w:hAnsi="Franklin Gothic Book"/>
          <w:szCs w:val="16"/>
        </w:rPr>
        <w:footnoteRef/>
      </w:r>
      <w:r w:rsidRPr="007F36EA">
        <w:rPr>
          <w:szCs w:val="16"/>
        </w:rPr>
        <w:t xml:space="preserve"> Target for 2013-14 was 75 kilometres (km) of road (35km of which is unsealed) periodically maintained, and 194km of road under general routine maintenance. </w:t>
      </w:r>
    </w:p>
  </w:footnote>
  <w:footnote w:id="16">
    <w:p w:rsidR="00D31A0A" w:rsidRDefault="00D31A0A" w:rsidP="00577501">
      <w:pPr>
        <w:pStyle w:val="FootnoteText"/>
        <w:spacing w:line="240" w:lineRule="auto"/>
      </w:pPr>
      <w:r w:rsidRPr="00932373">
        <w:rPr>
          <w:rStyle w:val="FootnoteReference"/>
        </w:rPr>
        <w:footnoteRef/>
      </w:r>
      <w:r w:rsidRPr="00932373">
        <w:t xml:space="preserve"> A lifeline tariff is a targeted subsidy to support the poor and vulnerable households to have access to energy services. It is typically based on the consumption level of households, whereby subsidised rates are offered for a first block of consumption, which is usually enough to cover basic needs and rates revert to market price thereafter</w:t>
      </w:r>
      <w:r>
        <w:t>.</w:t>
      </w:r>
    </w:p>
  </w:footnote>
  <w:footnote w:id="17">
    <w:p w:rsidR="00D31A0A" w:rsidRPr="000C298B" w:rsidRDefault="00D31A0A" w:rsidP="00A73753">
      <w:pPr>
        <w:pStyle w:val="FootnoteText"/>
        <w:spacing w:line="240" w:lineRule="auto"/>
      </w:pPr>
      <w:r w:rsidRPr="00110DA4">
        <w:rPr>
          <w:rStyle w:val="FootnoteReference"/>
          <w:rFonts w:ascii="Franklin Gothic Book" w:hAnsi="Franklin Gothic Book"/>
          <w:szCs w:val="16"/>
        </w:rPr>
        <w:footnoteRef/>
      </w:r>
      <w:r w:rsidRPr="00110DA4">
        <w:rPr>
          <w:szCs w:val="16"/>
        </w:rPr>
        <w:t xml:space="preserve">Per the recent </w:t>
      </w:r>
      <w:r w:rsidRPr="00110DA4">
        <w:rPr>
          <w:i/>
          <w:szCs w:val="16"/>
        </w:rPr>
        <w:t>Tonga Health Sector Analysis 2014</w:t>
      </w:r>
      <w:r w:rsidRPr="00110DA4">
        <w:rPr>
          <w:szCs w:val="16"/>
        </w:rPr>
        <w:t xml:space="preserve"> Final Draft Report 08 August 2014, Health Resource Facility (Dr Alice Levisay with contributions from Lynleigh Evans).</w:t>
      </w:r>
      <w:r w:rsidRPr="000C298B">
        <w:t xml:space="preserve"> </w:t>
      </w:r>
    </w:p>
  </w:footnote>
  <w:footnote w:id="18">
    <w:p w:rsidR="00D31A0A" w:rsidRDefault="00D31A0A" w:rsidP="00E53AC8">
      <w:pPr>
        <w:pStyle w:val="FootnoteText"/>
      </w:pPr>
      <w:r>
        <w:rPr>
          <w:rStyle w:val="FootnoteReference"/>
        </w:rPr>
        <w:footnoteRef/>
      </w:r>
      <w:r>
        <w:t xml:space="preserve"> The ANS was endorsed on 23 December 2011.</w:t>
      </w:r>
    </w:p>
  </w:footnote>
  <w:footnote w:id="19">
    <w:p w:rsidR="00D31A0A" w:rsidRDefault="00D31A0A" w:rsidP="002208BC">
      <w:pPr>
        <w:pStyle w:val="FootnoteText"/>
        <w:spacing w:line="240" w:lineRule="auto"/>
      </w:pPr>
      <w:r>
        <w:rPr>
          <w:rStyle w:val="FootnoteReference"/>
        </w:rPr>
        <w:footnoteRef/>
      </w:r>
      <w:r>
        <w:t xml:space="preserve"> The QAI for the Economic and Public Sector Reform program cluster totalling $13, 083, 255.93 covers: </w:t>
      </w:r>
      <w:r w:rsidRPr="0035117B">
        <w:rPr>
          <w:i/>
        </w:rPr>
        <w:t>Financial Economic Management  Program (</w:t>
      </w:r>
      <w:r>
        <w:rPr>
          <w:i/>
        </w:rPr>
        <w:t xml:space="preserve">$4,829,717 over </w:t>
      </w:r>
      <w:r w:rsidRPr="0035117B">
        <w:rPr>
          <w:i/>
        </w:rPr>
        <w:t>2004-2013),</w:t>
      </w:r>
      <w:r>
        <w:t xml:space="preserve">  </w:t>
      </w:r>
      <w:r w:rsidRPr="0035117B">
        <w:rPr>
          <w:i/>
        </w:rPr>
        <w:t>Economic and Public Sector Management (</w:t>
      </w:r>
      <w:r>
        <w:rPr>
          <w:i/>
        </w:rPr>
        <w:t xml:space="preserve">$4,245,590 over </w:t>
      </w:r>
      <w:r w:rsidRPr="0035117B">
        <w:rPr>
          <w:i/>
        </w:rPr>
        <w:t>2008-2013),</w:t>
      </w:r>
      <w:r>
        <w:t xml:space="preserve"> </w:t>
      </w:r>
      <w:r w:rsidRPr="0035117B">
        <w:rPr>
          <w:i/>
        </w:rPr>
        <w:t>Tonga Pacific Technical Assistance Mission (</w:t>
      </w:r>
      <w:r>
        <w:rPr>
          <w:i/>
        </w:rPr>
        <w:t xml:space="preserve"> $4,007,949 over </w:t>
      </w:r>
      <w:r w:rsidRPr="0035117B">
        <w:rPr>
          <w:i/>
        </w:rPr>
        <w:t>2006-2014)</w:t>
      </w:r>
    </w:p>
  </w:footnote>
  <w:footnote w:id="20">
    <w:p w:rsidR="00D31A0A" w:rsidRDefault="00D31A0A" w:rsidP="00F63AA7">
      <w:pPr>
        <w:pStyle w:val="FootnoteText"/>
        <w:spacing w:line="240" w:lineRule="auto"/>
      </w:pPr>
      <w:r>
        <w:rPr>
          <w:rStyle w:val="FootnoteReference"/>
        </w:rPr>
        <w:footnoteRef/>
      </w:r>
      <w:r>
        <w:t xml:space="preserve"> These are QAI Final Report scores and the program was concluded due to poor performance. Australia, Tonga and New Zealand decided to conclude TSP1. Australia continued to support Tonga’s TVET sector with new program commencing implementation in May 2014.</w:t>
      </w:r>
    </w:p>
    <w:p w:rsidR="00D31A0A" w:rsidRDefault="00D31A0A">
      <w:pPr>
        <w:pStyle w:val="FootnoteText"/>
      </w:pPr>
    </w:p>
  </w:footnote>
  <w:footnote w:id="21">
    <w:p w:rsidR="00D31A0A" w:rsidRDefault="00D31A0A" w:rsidP="0085069F">
      <w:pPr>
        <w:pStyle w:val="FootnoteText"/>
      </w:pPr>
      <w:r>
        <w:rPr>
          <w:rStyle w:val="FootnoteReference"/>
        </w:rPr>
        <w:footnoteRef/>
      </w:r>
      <w:r>
        <w:t xml:space="preserve"> AusAID, </w:t>
      </w:r>
      <w:r>
        <w:rPr>
          <w:i/>
        </w:rPr>
        <w:t xml:space="preserve">Independent Progress Report of the Tonga Health Systems Support Program, </w:t>
      </w:r>
      <w:r>
        <w:t>April 2013.</w:t>
      </w:r>
    </w:p>
  </w:footnote>
  <w:footnote w:id="22">
    <w:p w:rsidR="00D31A0A" w:rsidRDefault="00D31A0A" w:rsidP="00E61BED">
      <w:pPr>
        <w:pStyle w:val="FootnoteText"/>
        <w:spacing w:line="240" w:lineRule="auto"/>
      </w:pPr>
      <w:r>
        <w:rPr>
          <w:rStyle w:val="FootnoteReference"/>
        </w:rPr>
        <w:footnoteRef/>
      </w:r>
      <w:r>
        <w:t xml:space="preserve"> World Bank, </w:t>
      </w:r>
      <w:r w:rsidRPr="00350D98">
        <w:rPr>
          <w:i/>
        </w:rPr>
        <w:t>The Economic Costs of NCDs in the Pacific Islands,</w:t>
      </w:r>
      <w:r>
        <w:t xml:space="preserve"> </w:t>
      </w:r>
      <w:r w:rsidRPr="00350D98">
        <w:t>http://www.worldbank.org/en/news/feature/2013/01/16/the-economic-costs-of-noncommunicable-diseases-in-the-pacific-islands</w:t>
      </w:r>
      <w:r>
        <w:t>.</w:t>
      </w:r>
    </w:p>
  </w:footnote>
  <w:footnote w:id="23">
    <w:p w:rsidR="00D31A0A" w:rsidRDefault="00D31A0A" w:rsidP="00E61BED">
      <w:pPr>
        <w:pStyle w:val="FootnoteText"/>
      </w:pPr>
      <w:r>
        <w:rPr>
          <w:rStyle w:val="FootnoteReference"/>
        </w:rPr>
        <w:footnoteRef/>
      </w:r>
      <w:r>
        <w:t xml:space="preserve"> AusAID, </w:t>
      </w:r>
      <w:r w:rsidRPr="002B4D5D">
        <w:rPr>
          <w:i/>
        </w:rPr>
        <w:t>Independent Progress Report of the Tonga Health Systems Support Program</w:t>
      </w:r>
      <w:r>
        <w:rPr>
          <w:i/>
        </w:rPr>
        <w:t xml:space="preserve">, </w:t>
      </w:r>
      <w:r>
        <w:t>April 2013.</w:t>
      </w:r>
    </w:p>
  </w:footnote>
  <w:footnote w:id="24">
    <w:p w:rsidR="00D31A0A" w:rsidRPr="0060641C" w:rsidRDefault="00D31A0A" w:rsidP="00E61BED">
      <w:pPr>
        <w:shd w:val="clear" w:color="auto" w:fill="FFFFFF"/>
        <w:rPr>
          <w:rFonts w:ascii="Franklin Gothic Book" w:hAnsi="Franklin Gothic Book"/>
          <w:sz w:val="16"/>
          <w:szCs w:val="16"/>
        </w:rPr>
      </w:pPr>
      <w:r w:rsidRPr="001402E4">
        <w:rPr>
          <w:rStyle w:val="FootnoteReference"/>
          <w:rFonts w:ascii="Franklin Gothic Book" w:hAnsi="Franklin Gothic Book"/>
          <w:szCs w:val="16"/>
        </w:rPr>
        <w:footnoteRef/>
      </w:r>
      <w:r w:rsidRPr="001402E4">
        <w:rPr>
          <w:rFonts w:ascii="Franklin Gothic Book" w:hAnsi="Franklin Gothic Book"/>
          <w:sz w:val="16"/>
          <w:szCs w:val="16"/>
        </w:rPr>
        <w:t xml:space="preserve"> </w:t>
      </w:r>
      <w:r w:rsidRPr="0060641C">
        <w:rPr>
          <w:rFonts w:ascii="Franklin Gothic Book" w:hAnsi="Franklin Gothic Book"/>
          <w:sz w:val="16"/>
          <w:szCs w:val="16"/>
        </w:rPr>
        <w:t xml:space="preserve">The report of </w:t>
      </w:r>
      <w:r w:rsidRPr="0060641C">
        <w:rPr>
          <w:rFonts w:ascii="Franklin Gothic Book" w:eastAsia="Times New Roman" w:hAnsi="Franklin Gothic Book"/>
          <w:sz w:val="16"/>
          <w:szCs w:val="16"/>
        </w:rPr>
        <w:t>the knowledge, attitude and practices and practices (KAP) towards NCDs in Tonga survey was launched by Ministry of Health on July 5 2014 includes information gathered during a nation-wide survey conducted between 2011 and 2012</w:t>
      </w:r>
      <w:r w:rsidRPr="0060641C">
        <w:rPr>
          <w:rFonts w:ascii="Franklin Gothic Book" w:eastAsia="Times New Roman" w:hAnsi="Franklin Gothic Book" w:cs="Arial"/>
          <w:sz w:val="16"/>
          <w:szCs w:val="16"/>
          <w:lang w:val="en-US"/>
        </w:rPr>
        <w:t xml:space="preserve">. </w:t>
      </w:r>
      <w:hyperlink r:id="rId4" w:history="1">
        <w:r w:rsidRPr="0060641C">
          <w:rPr>
            <w:rStyle w:val="Hyperlink"/>
            <w:rFonts w:ascii="Franklin Gothic Book" w:hAnsi="Franklin Gothic Book"/>
            <w:color w:val="auto"/>
            <w:sz w:val="16"/>
            <w:szCs w:val="16"/>
          </w:rPr>
          <w:t>http://www.tongadailynews.to/?p=7202</w:t>
        </w:r>
      </w:hyperlink>
      <w:r w:rsidRPr="0060641C">
        <w:rPr>
          <w:rFonts w:ascii="Franklin Gothic Book" w:hAnsi="Franklin Gothic Book"/>
          <w:sz w:val="16"/>
          <w:szCs w:val="16"/>
        </w:rPr>
        <w:t xml:space="preserve"> </w:t>
      </w:r>
    </w:p>
  </w:footnote>
  <w:footnote w:id="25">
    <w:p w:rsidR="00D31A0A" w:rsidRPr="005B30E4" w:rsidRDefault="00D31A0A" w:rsidP="00E61BED">
      <w:pPr>
        <w:pStyle w:val="FootnoteText"/>
        <w:spacing w:line="240" w:lineRule="auto"/>
        <w:rPr>
          <w:sz w:val="18"/>
          <w:szCs w:val="18"/>
        </w:rPr>
      </w:pPr>
      <w:r w:rsidRPr="0060641C">
        <w:rPr>
          <w:rStyle w:val="FootnoteReference"/>
          <w:rFonts w:ascii="Franklin Gothic Book" w:hAnsi="Franklin Gothic Book"/>
          <w:szCs w:val="16"/>
        </w:rPr>
        <w:footnoteRef/>
      </w:r>
      <w:r w:rsidRPr="0060641C">
        <w:rPr>
          <w:szCs w:val="16"/>
        </w:rPr>
        <w:t xml:space="preserve"> The manual will include information on staffing, building standards and equipment, medicines and medical supplies, infection control, patient care, clinical guidelines, and operational guidelines</w:t>
      </w:r>
      <w:r>
        <w:rPr>
          <w:sz w:val="18"/>
          <w:szCs w:val="18"/>
        </w:rPr>
        <w:t>.</w:t>
      </w:r>
    </w:p>
  </w:footnote>
  <w:footnote w:id="26">
    <w:p w:rsidR="00D31A0A" w:rsidRPr="00110DA4" w:rsidRDefault="00D31A0A" w:rsidP="00E61BED">
      <w:pPr>
        <w:pStyle w:val="FootnoteText"/>
        <w:rPr>
          <w:szCs w:val="16"/>
        </w:rPr>
      </w:pPr>
      <w:r w:rsidRPr="000C298B">
        <w:rPr>
          <w:rStyle w:val="FootnoteReference"/>
          <w:szCs w:val="16"/>
        </w:rPr>
        <w:footnoteRef/>
      </w:r>
      <w:r w:rsidRPr="000C298B">
        <w:t xml:space="preserve"> </w:t>
      </w:r>
      <w:r w:rsidRPr="00110DA4">
        <w:rPr>
          <w:szCs w:val="16"/>
        </w:rPr>
        <w:t xml:space="preserve">AusAID, </w:t>
      </w:r>
      <w:r w:rsidRPr="00110DA4">
        <w:rPr>
          <w:i/>
          <w:szCs w:val="16"/>
        </w:rPr>
        <w:t xml:space="preserve">Independent Progress Report of the Tonga Health Systems Support Program, </w:t>
      </w:r>
      <w:r w:rsidRPr="00110DA4">
        <w:rPr>
          <w:szCs w:val="16"/>
        </w:rPr>
        <w:t>April 2013.</w:t>
      </w:r>
    </w:p>
  </w:footnote>
  <w:footnote w:id="27">
    <w:p w:rsidR="00D31A0A" w:rsidRPr="000C298B" w:rsidRDefault="00D31A0A" w:rsidP="00E61BED">
      <w:pPr>
        <w:pStyle w:val="FootnoteText"/>
        <w:spacing w:line="240" w:lineRule="auto"/>
      </w:pPr>
      <w:r w:rsidRPr="00110DA4">
        <w:rPr>
          <w:rStyle w:val="FootnoteReference"/>
          <w:rFonts w:ascii="Franklin Gothic Book" w:hAnsi="Franklin Gothic Book"/>
          <w:szCs w:val="16"/>
        </w:rPr>
        <w:footnoteRef/>
      </w:r>
      <w:r w:rsidRPr="00110DA4">
        <w:rPr>
          <w:szCs w:val="16"/>
        </w:rPr>
        <w:t xml:space="preserve">Per the recent </w:t>
      </w:r>
      <w:r w:rsidRPr="00110DA4">
        <w:rPr>
          <w:i/>
          <w:szCs w:val="16"/>
        </w:rPr>
        <w:t>Tonga Health Sector Analysis 2014</w:t>
      </w:r>
      <w:r w:rsidRPr="00110DA4">
        <w:rPr>
          <w:szCs w:val="16"/>
        </w:rPr>
        <w:t xml:space="preserve"> Final Draft Report 08 August 2014, Health Resource Facility (Dr Alice Levisay with contributions from Lynleigh Evans).</w:t>
      </w:r>
      <w:r w:rsidRPr="000C298B">
        <w:t xml:space="preserve"> </w:t>
      </w:r>
    </w:p>
  </w:footnote>
  <w:footnote w:id="28">
    <w:p w:rsidR="00D31A0A" w:rsidRPr="00782B97" w:rsidRDefault="00D31A0A" w:rsidP="00E61BED">
      <w:pPr>
        <w:widowControl w:val="0"/>
        <w:rPr>
          <w:rFonts w:ascii="Franklin Gothic Book" w:hAnsi="Franklin Gothic Book"/>
          <w:sz w:val="16"/>
          <w:szCs w:val="16"/>
        </w:rPr>
      </w:pPr>
      <w:r w:rsidRPr="00782B97">
        <w:rPr>
          <w:rStyle w:val="FootnoteReference"/>
          <w:rFonts w:ascii="Franklin Gothic Book" w:hAnsi="Franklin Gothic Book"/>
        </w:rPr>
        <w:footnoteRef/>
      </w:r>
      <w:r w:rsidRPr="00782B97">
        <w:rPr>
          <w:rFonts w:ascii="Franklin Gothic Book" w:hAnsi="Franklin Gothic Book"/>
        </w:rPr>
        <w:t xml:space="preserve"> </w:t>
      </w:r>
      <w:r w:rsidRPr="00782B97">
        <w:rPr>
          <w:rFonts w:ascii="Franklin Gothic Book" w:hAnsi="Franklin Gothic Book"/>
          <w:sz w:val="16"/>
          <w:szCs w:val="16"/>
        </w:rPr>
        <w:t xml:space="preserve">Tropical Cyclone Ian struck the Ha'apai island group on 11 January 2014, leaving one person dead and more than 3,500 homeless  (from a population of 6, 500).  Australia’s response includes: $50,000 in emergency relief supplies; 200 tents and 250 hygiene kits for displaced families, plus 3 Australian Civilian Corps specialists assisted Tonga’s response and recovery efforts. </w:t>
      </w:r>
    </w:p>
  </w:footnote>
  <w:footnote w:id="29">
    <w:p w:rsidR="00D31A0A" w:rsidRPr="00782B97" w:rsidRDefault="00D31A0A" w:rsidP="00E61BED">
      <w:pPr>
        <w:pStyle w:val="FootnoteText"/>
        <w:spacing w:line="240" w:lineRule="auto"/>
        <w:rPr>
          <w:szCs w:val="16"/>
        </w:rPr>
      </w:pPr>
      <w:r w:rsidRPr="00782B97">
        <w:rPr>
          <w:rStyle w:val="FootnoteReference"/>
          <w:rFonts w:ascii="Franklin Gothic Book" w:hAnsi="Franklin Gothic Book"/>
          <w:szCs w:val="16"/>
        </w:rPr>
        <w:footnoteRef/>
      </w:r>
      <w:r w:rsidRPr="00782B97">
        <w:rPr>
          <w:szCs w:val="16"/>
        </w:rPr>
        <w:t xml:space="preserve"> Government of Tonga, Ministry of Health (2014) unpublished internal report ‘Report of Phase 2 Primary School RHD Screening Project 2014’. Additional screening was programmed for August to September 2014 to cover 36 schools in - 6 in 'Eua, 12 Ha'apai island groups and 18 Central Tongatapu (the main island of Tonga).</w:t>
      </w:r>
    </w:p>
  </w:footnote>
  <w:footnote w:id="30">
    <w:p w:rsidR="00D31A0A" w:rsidRPr="00782B97" w:rsidRDefault="00D31A0A" w:rsidP="00E61BED">
      <w:pPr>
        <w:pStyle w:val="FootnoteText"/>
        <w:spacing w:line="240" w:lineRule="auto"/>
        <w:rPr>
          <w:szCs w:val="16"/>
        </w:rPr>
      </w:pPr>
      <w:r w:rsidRPr="00782B97">
        <w:rPr>
          <w:rStyle w:val="FootnoteReference"/>
          <w:rFonts w:ascii="Franklin Gothic Book" w:hAnsi="Franklin Gothic Book"/>
          <w:szCs w:val="16"/>
        </w:rPr>
        <w:footnoteRef/>
      </w:r>
      <w:r w:rsidRPr="00782B97">
        <w:rPr>
          <w:szCs w:val="16"/>
        </w:rPr>
        <w:t xml:space="preserve"> </w:t>
      </w:r>
      <w:r w:rsidRPr="00782B97">
        <w:rPr>
          <w:bCs/>
          <w:szCs w:val="16"/>
        </w:rPr>
        <w:t>THSSP Independent Progress Report</w:t>
      </w:r>
      <w:r w:rsidRPr="00782B97">
        <w:rPr>
          <w:szCs w:val="16"/>
        </w:rPr>
        <w:t xml:space="preserve"> </w:t>
      </w:r>
      <w:hyperlink r:id="rId5" w:history="1">
        <w:r w:rsidRPr="00782B97">
          <w:rPr>
            <w:rStyle w:val="Hyperlink"/>
            <w:color w:val="auto"/>
            <w:sz w:val="16"/>
            <w:szCs w:val="16"/>
          </w:rPr>
          <w:t>http://aid.dfat.gov.au/Publications/Pages/tonga-hssp-independent-progress-report.aspx</w:t>
        </w:r>
      </w:hyperlink>
      <w:r w:rsidRPr="00782B97">
        <w:rPr>
          <w:rStyle w:val="Hyperlink"/>
          <w:color w:val="auto"/>
          <w:sz w:val="16"/>
          <w:szCs w:val="16"/>
        </w:rPr>
        <w:t xml:space="preserve">. </w:t>
      </w:r>
      <w:r w:rsidRPr="00782B97">
        <w:rPr>
          <w:bCs/>
          <w:szCs w:val="16"/>
        </w:rPr>
        <w:t xml:space="preserve"> Those outstanding mostly relate to the purchase of IT equipment which was delayed due complex procurement process.</w:t>
      </w:r>
    </w:p>
    <w:p w:rsidR="00D31A0A" w:rsidRDefault="00D31A0A" w:rsidP="00E61BED">
      <w:pPr>
        <w:pStyle w:val="FootnoteText"/>
      </w:pPr>
    </w:p>
  </w:footnote>
  <w:footnote w:id="31">
    <w:p w:rsidR="00D31A0A" w:rsidRPr="00981D96" w:rsidRDefault="00D31A0A" w:rsidP="00E61BED">
      <w:pPr>
        <w:pStyle w:val="FootnoteText"/>
        <w:spacing w:line="240" w:lineRule="auto"/>
        <w:rPr>
          <w:b/>
        </w:rPr>
      </w:pPr>
      <w:r>
        <w:rPr>
          <w:rStyle w:val="FootnoteReference"/>
        </w:rPr>
        <w:footnoteRef/>
      </w:r>
      <w:r>
        <w:t xml:space="preserve"> </w:t>
      </w:r>
      <w:r w:rsidRPr="00981D96">
        <w:rPr>
          <w:b/>
          <w:szCs w:val="16"/>
        </w:rPr>
        <w:t xml:space="preserve"> </w:t>
      </w:r>
      <w:r w:rsidRPr="00981D96">
        <w:rPr>
          <w:rFonts w:cs="Arial"/>
          <w:color w:val="363636"/>
          <w:szCs w:val="16"/>
        </w:rPr>
        <w:t xml:space="preserve">Beyond Sport is a global organisation </w:t>
      </w:r>
      <w:r>
        <w:rPr>
          <w:rFonts w:cs="Arial"/>
          <w:color w:val="363636"/>
          <w:szCs w:val="16"/>
        </w:rPr>
        <w:t xml:space="preserve">that believes sport can play </w:t>
      </w:r>
      <w:r w:rsidRPr="00981D96">
        <w:rPr>
          <w:rFonts w:cs="Arial"/>
          <w:color w:val="363636"/>
          <w:szCs w:val="16"/>
        </w:rPr>
        <w:t>an active role in sustainable social change</w:t>
      </w:r>
      <w:r>
        <w:rPr>
          <w:rFonts w:cs="Arial"/>
          <w:color w:val="363636"/>
          <w:szCs w:val="16"/>
        </w:rPr>
        <w:t xml:space="preserve"> </w:t>
      </w:r>
      <w:hyperlink r:id="rId6" w:history="1">
        <w:r w:rsidRPr="006C4358">
          <w:rPr>
            <w:rStyle w:val="Hyperlink"/>
            <w:color w:val="auto"/>
            <w:sz w:val="16"/>
            <w:szCs w:val="16"/>
          </w:rPr>
          <w:t>http://www.beyondsport.org/</w:t>
        </w:r>
      </w:hyperlink>
      <w:r w:rsidRPr="006C4358">
        <w:t xml:space="preserve"> </w:t>
      </w:r>
    </w:p>
  </w:footnote>
  <w:footnote w:id="32">
    <w:p w:rsidR="00D31A0A" w:rsidRPr="00704AF5" w:rsidRDefault="00D31A0A" w:rsidP="00D259ED">
      <w:pPr>
        <w:pStyle w:val="BodyText"/>
        <w:spacing w:after="0" w:line="240" w:lineRule="auto"/>
        <w:rPr>
          <w:rFonts w:cs="Arial"/>
          <w:sz w:val="18"/>
          <w:szCs w:val="18"/>
        </w:rPr>
      </w:pPr>
      <w:r w:rsidRPr="0030594B">
        <w:rPr>
          <w:rStyle w:val="FootnoteReference"/>
          <w:rFonts w:ascii="Franklin Gothic Book" w:hAnsi="Franklin Gothic Book"/>
          <w:szCs w:val="16"/>
        </w:rPr>
        <w:footnoteRef/>
      </w:r>
      <w:r w:rsidRPr="0030594B">
        <w:rPr>
          <w:sz w:val="16"/>
          <w:szCs w:val="16"/>
        </w:rPr>
        <w:t xml:space="preserve"> </w:t>
      </w:r>
      <w:r w:rsidRPr="0030594B">
        <w:rPr>
          <w:rFonts w:cs="Arial"/>
          <w:sz w:val="16"/>
          <w:szCs w:val="16"/>
        </w:rPr>
        <w:t>At the 2012 Pacific Islands Forum, Australia announced the Pacific Women Shaping Pacific Development (PWSPD) Initiative, a 10-year commitment to increase:  women’s participation in leadership and decision-making roles; economic opportunities for women through improved access to financial services and markets; safety for women through better services for survivors of violence, access to justice and preventing violence.</w:t>
      </w:r>
      <w:r w:rsidRPr="00704AF5">
        <w:rPr>
          <w:rFonts w:cs="Arial"/>
          <w:sz w:val="18"/>
          <w:szCs w:val="18"/>
        </w:rPr>
        <w:t xml:space="preserve"> </w:t>
      </w:r>
    </w:p>
  </w:footnote>
  <w:footnote w:id="33">
    <w:p w:rsidR="00D31A0A" w:rsidRPr="0030594B" w:rsidRDefault="00D31A0A" w:rsidP="00D259ED">
      <w:pPr>
        <w:pStyle w:val="FootnoteText"/>
        <w:spacing w:line="240" w:lineRule="auto"/>
        <w:rPr>
          <w:szCs w:val="16"/>
        </w:rPr>
      </w:pPr>
      <w:r w:rsidRPr="00A340CC">
        <w:rPr>
          <w:rStyle w:val="FootnoteReference"/>
          <w:szCs w:val="16"/>
        </w:rPr>
        <w:footnoteRef/>
      </w:r>
      <w:r w:rsidRPr="00704AF5">
        <w:rPr>
          <w:rStyle w:val="FootnoteReference"/>
          <w:sz w:val="22"/>
          <w:szCs w:val="24"/>
        </w:rPr>
        <w:t xml:space="preserve"> </w:t>
      </w:r>
      <w:r w:rsidRPr="0030594B">
        <w:rPr>
          <w:rFonts w:cs="Arial"/>
          <w:szCs w:val="16"/>
        </w:rPr>
        <w:t>Tonga launched its revised Gender and Development Policy in May 2014 which was thirteen years after the policy was first launched (in 2001).  http://www.mic.gov.to/news-today/press-releases/4962-ministers-remarks-on-the-official-launching-of-revised-national-policy-on-gender-and-development-a-strategic-development-plan.</w:t>
      </w:r>
    </w:p>
  </w:footnote>
  <w:footnote w:id="34">
    <w:p w:rsidR="00D31A0A" w:rsidRPr="006133B6" w:rsidRDefault="00D31A0A" w:rsidP="00D259ED">
      <w:pPr>
        <w:pStyle w:val="CommentText"/>
        <w:spacing w:after="0" w:line="240" w:lineRule="auto"/>
        <w:rPr>
          <w:rFonts w:cs="Arial"/>
          <w:sz w:val="16"/>
          <w:szCs w:val="16"/>
        </w:rPr>
      </w:pPr>
      <w:r w:rsidRPr="0030594B">
        <w:rPr>
          <w:rStyle w:val="FootnoteReference"/>
          <w:rFonts w:ascii="Franklin Gothic Book" w:hAnsi="Franklin Gothic Book"/>
          <w:szCs w:val="16"/>
        </w:rPr>
        <w:footnoteRef/>
      </w:r>
      <w:r w:rsidRPr="0030594B">
        <w:rPr>
          <w:rFonts w:cs="Arial"/>
          <w:sz w:val="16"/>
          <w:szCs w:val="16"/>
        </w:rPr>
        <w:t>The AFP funded the Tonga Police Women’s Advisory Network annual conference plus helped the two domestic violence crisis centres host a conference which brought together community, church groups, non-government organisations, government agencies and police representatives.</w:t>
      </w:r>
    </w:p>
  </w:footnote>
  <w:footnote w:id="35">
    <w:p w:rsidR="00D31A0A" w:rsidRDefault="00D31A0A" w:rsidP="00D259ED">
      <w:pPr>
        <w:pStyle w:val="FootnoteText"/>
        <w:spacing w:line="240" w:lineRule="auto"/>
      </w:pPr>
      <w:r w:rsidRPr="006133B6">
        <w:rPr>
          <w:rFonts w:cs="Arial"/>
        </w:rPr>
        <w:footnoteRef/>
      </w:r>
      <w:r w:rsidRPr="006133B6">
        <w:rPr>
          <w:rFonts w:cs="Arial"/>
          <w:szCs w:val="16"/>
        </w:rPr>
        <w:t xml:space="preserve"> </w:t>
      </w:r>
      <w:r w:rsidRPr="0030594B">
        <w:rPr>
          <w:rFonts w:cs="Arial"/>
          <w:szCs w:val="16"/>
        </w:rPr>
        <w:t>Currently, all 23 District Officers and 155 Town Officers are male</w:t>
      </w:r>
      <w:r>
        <w:rPr>
          <w:rFonts w:cs="Arial"/>
          <w:szCs w:val="16"/>
        </w:rPr>
        <w:t xml:space="preserve"> and no</w:t>
      </w:r>
      <w:r w:rsidRPr="006133B6">
        <w:rPr>
          <w:rFonts w:cs="Arial"/>
          <w:szCs w:val="16"/>
        </w:rPr>
        <w:t xml:space="preserve"> women were elected to the People’s Representatives seats at the last election (in 2010)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424" w:rsidRDefault="009514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424" w:rsidRDefault="009514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424" w:rsidRDefault="009514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A0A" w:rsidRDefault="00D31A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6">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7">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nsid w:val="272578CE"/>
    <w:multiLevelType w:val="hybridMultilevel"/>
    <w:tmpl w:val="04662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1">
    <w:nsid w:val="29073E0A"/>
    <w:multiLevelType w:val="hybridMultilevel"/>
    <w:tmpl w:val="570E4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58023B7"/>
    <w:multiLevelType w:val="multilevel"/>
    <w:tmpl w:val="92D210E4"/>
    <w:lvl w:ilvl="0">
      <w:start w:val="1"/>
      <w:numFmt w:val="bullet"/>
      <w:pStyle w:val="BriefTalkingPoint"/>
      <w:lvlText w:val=""/>
      <w:lvlJc w:val="left"/>
      <w:pPr>
        <w:ind w:left="360" w:hanging="360"/>
      </w:pPr>
      <w:rPr>
        <w:rFonts w:ascii="Symbol" w:hAnsi="Symbol" w:hint="default"/>
        <w:color w:val="auto"/>
      </w:rPr>
    </w:lvl>
    <w:lvl w:ilvl="1">
      <w:numFmt w:val="bullet"/>
      <w:lvlText w:val="–"/>
      <w:lvlJc w:val="left"/>
      <w:pPr>
        <w:ind w:left="720" w:hanging="360"/>
      </w:pPr>
      <w:rPr>
        <w:rFonts w:ascii="Times New Roman" w:hAnsi="Times New Roman" w:cs="Times New Roman" w:hint="default"/>
      </w:rPr>
    </w:lvl>
    <w:lvl w:ilvl="2">
      <w:start w:val="1"/>
      <w:numFmt w:val="none"/>
      <w:lvlRestart w:val="0"/>
      <w:lvlText w:val="%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65C3689"/>
    <w:multiLevelType w:val="hybridMultilevel"/>
    <w:tmpl w:val="E3F49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31E283F"/>
    <w:multiLevelType w:val="hybridMultilevel"/>
    <w:tmpl w:val="E8DE3E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BC8054D"/>
    <w:multiLevelType w:val="hybridMultilevel"/>
    <w:tmpl w:val="E8B61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1B43CA7"/>
    <w:multiLevelType w:val="hybridMultilevel"/>
    <w:tmpl w:val="DEAC0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5F382E42"/>
    <w:multiLevelType w:val="hybridMultilevel"/>
    <w:tmpl w:val="C9903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20E70E8"/>
    <w:multiLevelType w:val="hybridMultilevel"/>
    <w:tmpl w:val="CB867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34F2C8D"/>
    <w:multiLevelType w:val="hybridMultilevel"/>
    <w:tmpl w:val="B1442B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5">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8">
    <w:nsid w:val="6DA93966"/>
    <w:multiLevelType w:val="hybridMultilevel"/>
    <w:tmpl w:val="79726608"/>
    <w:lvl w:ilvl="0" w:tplc="BD94538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3F25CAE"/>
    <w:multiLevelType w:val="hybridMultilevel"/>
    <w:tmpl w:val="A524F28A"/>
    <w:lvl w:ilvl="0" w:tplc="65B086CC">
      <w:start w:val="1"/>
      <w:numFmt w:val="decimal"/>
      <w:lvlText w:val="%1."/>
      <w:lvlJc w:val="left"/>
      <w:pPr>
        <w:ind w:left="720" w:hanging="360"/>
      </w:pPr>
      <w:rPr>
        <w:rFonts w:ascii="Franklin Gothic Book" w:cs="Franklin Gothic Book"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8F342BC"/>
    <w:multiLevelType w:val="hybridMultilevel"/>
    <w:tmpl w:val="AEFCAB2E"/>
    <w:lvl w:ilvl="0" w:tplc="9CBC61A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F7A528B"/>
    <w:multiLevelType w:val="hybridMultilevel"/>
    <w:tmpl w:val="C66A47BA"/>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0"/>
  </w:num>
  <w:num w:numId="3">
    <w:abstractNumId w:val="4"/>
  </w:num>
  <w:num w:numId="4">
    <w:abstractNumId w:val="19"/>
  </w:num>
  <w:num w:numId="5">
    <w:abstractNumId w:val="16"/>
  </w:num>
  <w:num w:numId="6">
    <w:abstractNumId w:val="14"/>
  </w:num>
  <w:num w:numId="7">
    <w:abstractNumId w:val="26"/>
  </w:num>
  <w:num w:numId="8">
    <w:abstractNumId w:val="3"/>
  </w:num>
  <w:num w:numId="9">
    <w:abstractNumId w:val="6"/>
  </w:num>
  <w:num w:numId="10">
    <w:abstractNumId w:val="31"/>
  </w:num>
  <w:num w:numId="11">
    <w:abstractNumId w:val="32"/>
  </w:num>
  <w:num w:numId="12">
    <w:abstractNumId w:val="0"/>
  </w:num>
  <w:num w:numId="13">
    <w:abstractNumId w:val="2"/>
  </w:num>
  <w:num w:numId="14">
    <w:abstractNumId w:val="25"/>
  </w:num>
  <w:num w:numId="15">
    <w:abstractNumId w:val="1"/>
  </w:num>
  <w:num w:numId="16">
    <w:abstractNumId w:val="10"/>
  </w:num>
  <w:num w:numId="17">
    <w:abstractNumId w:val="7"/>
  </w:num>
  <w:num w:numId="18">
    <w:abstractNumId w:val="5"/>
  </w:num>
  <w:num w:numId="19">
    <w:abstractNumId w:val="12"/>
  </w:num>
  <w:num w:numId="20">
    <w:abstractNumId w:val="27"/>
  </w:num>
  <w:num w:numId="21">
    <w:abstractNumId w:val="18"/>
  </w:num>
  <w:num w:numId="22">
    <w:abstractNumId w:val="28"/>
  </w:num>
  <w:num w:numId="23">
    <w:abstractNumId w:val="15"/>
  </w:num>
  <w:num w:numId="24">
    <w:abstractNumId w:val="23"/>
  </w:num>
  <w:num w:numId="25">
    <w:abstractNumId w:val="11"/>
  </w:num>
  <w:num w:numId="26">
    <w:abstractNumId w:val="21"/>
  </w:num>
  <w:num w:numId="27">
    <w:abstractNumId w:val="22"/>
  </w:num>
  <w:num w:numId="28">
    <w:abstractNumId w:val="17"/>
  </w:num>
  <w:num w:numId="29">
    <w:abstractNumId w:val="13"/>
  </w:num>
  <w:num w:numId="30">
    <w:abstractNumId w:val="30"/>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8"/>
  </w:num>
  <w:num w:numId="34">
    <w:abstractNumId w:val="8"/>
  </w:num>
  <w:num w:numId="35">
    <w:abstractNumId w:val="32"/>
  </w:num>
  <w:num w:numId="36">
    <w:abstractNumId w:val="32"/>
  </w:num>
  <w:num w:numId="37">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334"/>
    <w:rsid w:val="000004FF"/>
    <w:rsid w:val="00002161"/>
    <w:rsid w:val="0000242A"/>
    <w:rsid w:val="00002A92"/>
    <w:rsid w:val="00002E28"/>
    <w:rsid w:val="000039CF"/>
    <w:rsid w:val="00004261"/>
    <w:rsid w:val="00004B39"/>
    <w:rsid w:val="00004E18"/>
    <w:rsid w:val="00007E94"/>
    <w:rsid w:val="000126FB"/>
    <w:rsid w:val="00013B20"/>
    <w:rsid w:val="000142A2"/>
    <w:rsid w:val="000143D9"/>
    <w:rsid w:val="00017043"/>
    <w:rsid w:val="000171D8"/>
    <w:rsid w:val="0001750E"/>
    <w:rsid w:val="0001753B"/>
    <w:rsid w:val="00020121"/>
    <w:rsid w:val="00020C72"/>
    <w:rsid w:val="00021A9E"/>
    <w:rsid w:val="000231D1"/>
    <w:rsid w:val="00023F53"/>
    <w:rsid w:val="00025EEF"/>
    <w:rsid w:val="0002695B"/>
    <w:rsid w:val="0002735C"/>
    <w:rsid w:val="00027629"/>
    <w:rsid w:val="00030111"/>
    <w:rsid w:val="00031100"/>
    <w:rsid w:val="0003171E"/>
    <w:rsid w:val="000319E6"/>
    <w:rsid w:val="00031A1A"/>
    <w:rsid w:val="00031C33"/>
    <w:rsid w:val="00031C7F"/>
    <w:rsid w:val="00031EB5"/>
    <w:rsid w:val="00032138"/>
    <w:rsid w:val="0003231A"/>
    <w:rsid w:val="00033317"/>
    <w:rsid w:val="00034A93"/>
    <w:rsid w:val="0003529F"/>
    <w:rsid w:val="000375C4"/>
    <w:rsid w:val="00040AF6"/>
    <w:rsid w:val="00040D63"/>
    <w:rsid w:val="0004209B"/>
    <w:rsid w:val="000426DF"/>
    <w:rsid w:val="00042D41"/>
    <w:rsid w:val="00043360"/>
    <w:rsid w:val="00047063"/>
    <w:rsid w:val="000500AA"/>
    <w:rsid w:val="000529AD"/>
    <w:rsid w:val="00052B9C"/>
    <w:rsid w:val="00054312"/>
    <w:rsid w:val="00054384"/>
    <w:rsid w:val="00054AFC"/>
    <w:rsid w:val="0005506B"/>
    <w:rsid w:val="000550B0"/>
    <w:rsid w:val="00055C8C"/>
    <w:rsid w:val="00055E78"/>
    <w:rsid w:val="00057589"/>
    <w:rsid w:val="00057D09"/>
    <w:rsid w:val="00061C5A"/>
    <w:rsid w:val="0006269E"/>
    <w:rsid w:val="0006278A"/>
    <w:rsid w:val="00062D30"/>
    <w:rsid w:val="00064F28"/>
    <w:rsid w:val="000653AA"/>
    <w:rsid w:val="000675D3"/>
    <w:rsid w:val="000677A6"/>
    <w:rsid w:val="0007014F"/>
    <w:rsid w:val="00071B95"/>
    <w:rsid w:val="00072A97"/>
    <w:rsid w:val="00072C3E"/>
    <w:rsid w:val="000733BA"/>
    <w:rsid w:val="000736F0"/>
    <w:rsid w:val="0007395B"/>
    <w:rsid w:val="00073E16"/>
    <w:rsid w:val="000745E2"/>
    <w:rsid w:val="000766E9"/>
    <w:rsid w:val="00076954"/>
    <w:rsid w:val="0007703B"/>
    <w:rsid w:val="00077385"/>
    <w:rsid w:val="000774FD"/>
    <w:rsid w:val="00081E47"/>
    <w:rsid w:val="00081F4E"/>
    <w:rsid w:val="000905A8"/>
    <w:rsid w:val="00090E65"/>
    <w:rsid w:val="000913C3"/>
    <w:rsid w:val="00091878"/>
    <w:rsid w:val="00092DEB"/>
    <w:rsid w:val="00093570"/>
    <w:rsid w:val="000957FC"/>
    <w:rsid w:val="00096A46"/>
    <w:rsid w:val="000979A0"/>
    <w:rsid w:val="00097B02"/>
    <w:rsid w:val="000A0EB2"/>
    <w:rsid w:val="000A12C2"/>
    <w:rsid w:val="000A1618"/>
    <w:rsid w:val="000A1AFF"/>
    <w:rsid w:val="000A1C08"/>
    <w:rsid w:val="000A1D41"/>
    <w:rsid w:val="000A3B57"/>
    <w:rsid w:val="000A3FDA"/>
    <w:rsid w:val="000A4898"/>
    <w:rsid w:val="000A5C6B"/>
    <w:rsid w:val="000A7E39"/>
    <w:rsid w:val="000B04BE"/>
    <w:rsid w:val="000B18D5"/>
    <w:rsid w:val="000B3121"/>
    <w:rsid w:val="000B465C"/>
    <w:rsid w:val="000B63B2"/>
    <w:rsid w:val="000B68F6"/>
    <w:rsid w:val="000B6BE5"/>
    <w:rsid w:val="000B6FEA"/>
    <w:rsid w:val="000B7319"/>
    <w:rsid w:val="000B75E8"/>
    <w:rsid w:val="000C0071"/>
    <w:rsid w:val="000C2105"/>
    <w:rsid w:val="000C258A"/>
    <w:rsid w:val="000C29BF"/>
    <w:rsid w:val="000C315F"/>
    <w:rsid w:val="000C4335"/>
    <w:rsid w:val="000C535E"/>
    <w:rsid w:val="000C53A7"/>
    <w:rsid w:val="000C6080"/>
    <w:rsid w:val="000C60A8"/>
    <w:rsid w:val="000C60BF"/>
    <w:rsid w:val="000C61F6"/>
    <w:rsid w:val="000C6311"/>
    <w:rsid w:val="000D151B"/>
    <w:rsid w:val="000D1887"/>
    <w:rsid w:val="000D1993"/>
    <w:rsid w:val="000D25EE"/>
    <w:rsid w:val="000D2A1F"/>
    <w:rsid w:val="000D31F2"/>
    <w:rsid w:val="000D45F9"/>
    <w:rsid w:val="000D5FAD"/>
    <w:rsid w:val="000D733F"/>
    <w:rsid w:val="000E06BC"/>
    <w:rsid w:val="000E2189"/>
    <w:rsid w:val="000E294E"/>
    <w:rsid w:val="000E2C04"/>
    <w:rsid w:val="000E2FAF"/>
    <w:rsid w:val="000E4573"/>
    <w:rsid w:val="000E4CBA"/>
    <w:rsid w:val="000E6696"/>
    <w:rsid w:val="000E7297"/>
    <w:rsid w:val="000E7A8D"/>
    <w:rsid w:val="000F108B"/>
    <w:rsid w:val="000F2D94"/>
    <w:rsid w:val="000F2EA1"/>
    <w:rsid w:val="000F46E6"/>
    <w:rsid w:val="000F56BD"/>
    <w:rsid w:val="000F5F98"/>
    <w:rsid w:val="000F68A0"/>
    <w:rsid w:val="000F6C74"/>
    <w:rsid w:val="001001A4"/>
    <w:rsid w:val="0010038F"/>
    <w:rsid w:val="00100485"/>
    <w:rsid w:val="0010085A"/>
    <w:rsid w:val="00100AA2"/>
    <w:rsid w:val="00102003"/>
    <w:rsid w:val="00102103"/>
    <w:rsid w:val="00103D21"/>
    <w:rsid w:val="0010416A"/>
    <w:rsid w:val="001046AC"/>
    <w:rsid w:val="0010480C"/>
    <w:rsid w:val="00105C80"/>
    <w:rsid w:val="00106185"/>
    <w:rsid w:val="00106BDC"/>
    <w:rsid w:val="00106C8D"/>
    <w:rsid w:val="0010729C"/>
    <w:rsid w:val="00110122"/>
    <w:rsid w:val="00110DA4"/>
    <w:rsid w:val="00111A5B"/>
    <w:rsid w:val="00111A84"/>
    <w:rsid w:val="00112ABA"/>
    <w:rsid w:val="00112E3C"/>
    <w:rsid w:val="00112E97"/>
    <w:rsid w:val="001139DE"/>
    <w:rsid w:val="001145B8"/>
    <w:rsid w:val="00114751"/>
    <w:rsid w:val="00114E95"/>
    <w:rsid w:val="001154CA"/>
    <w:rsid w:val="001171DE"/>
    <w:rsid w:val="0011746F"/>
    <w:rsid w:val="00120598"/>
    <w:rsid w:val="00120FC7"/>
    <w:rsid w:val="0012127D"/>
    <w:rsid w:val="00121B98"/>
    <w:rsid w:val="00121FBF"/>
    <w:rsid w:val="00122038"/>
    <w:rsid w:val="001227C3"/>
    <w:rsid w:val="00123656"/>
    <w:rsid w:val="0012429A"/>
    <w:rsid w:val="001244CF"/>
    <w:rsid w:val="0012485F"/>
    <w:rsid w:val="001258C6"/>
    <w:rsid w:val="0012793C"/>
    <w:rsid w:val="001305E7"/>
    <w:rsid w:val="0013072D"/>
    <w:rsid w:val="00130E94"/>
    <w:rsid w:val="00131FF0"/>
    <w:rsid w:val="00132003"/>
    <w:rsid w:val="00132367"/>
    <w:rsid w:val="00132524"/>
    <w:rsid w:val="00132D54"/>
    <w:rsid w:val="00133AAD"/>
    <w:rsid w:val="00133FB1"/>
    <w:rsid w:val="00135806"/>
    <w:rsid w:val="00135E49"/>
    <w:rsid w:val="001366B4"/>
    <w:rsid w:val="00136732"/>
    <w:rsid w:val="001367A9"/>
    <w:rsid w:val="00136ECC"/>
    <w:rsid w:val="001375E3"/>
    <w:rsid w:val="00137B2F"/>
    <w:rsid w:val="0014006B"/>
    <w:rsid w:val="0014083D"/>
    <w:rsid w:val="00140BF2"/>
    <w:rsid w:val="00141388"/>
    <w:rsid w:val="00141790"/>
    <w:rsid w:val="00141A30"/>
    <w:rsid w:val="00143053"/>
    <w:rsid w:val="00143EA6"/>
    <w:rsid w:val="00144002"/>
    <w:rsid w:val="0014401F"/>
    <w:rsid w:val="0014411B"/>
    <w:rsid w:val="001448E7"/>
    <w:rsid w:val="001452E2"/>
    <w:rsid w:val="00147846"/>
    <w:rsid w:val="00147E3E"/>
    <w:rsid w:val="00147FA6"/>
    <w:rsid w:val="0015043E"/>
    <w:rsid w:val="00150776"/>
    <w:rsid w:val="001507D0"/>
    <w:rsid w:val="0015134D"/>
    <w:rsid w:val="001529B3"/>
    <w:rsid w:val="00152DFD"/>
    <w:rsid w:val="00152F98"/>
    <w:rsid w:val="001535A0"/>
    <w:rsid w:val="00154EF9"/>
    <w:rsid w:val="001551F2"/>
    <w:rsid w:val="00155513"/>
    <w:rsid w:val="0015578D"/>
    <w:rsid w:val="001558DA"/>
    <w:rsid w:val="001573CF"/>
    <w:rsid w:val="00157858"/>
    <w:rsid w:val="00157867"/>
    <w:rsid w:val="001612CE"/>
    <w:rsid w:val="001619CC"/>
    <w:rsid w:val="001624FB"/>
    <w:rsid w:val="00162574"/>
    <w:rsid w:val="00162A31"/>
    <w:rsid w:val="0016473A"/>
    <w:rsid w:val="00164F97"/>
    <w:rsid w:val="0016544D"/>
    <w:rsid w:val="001657F1"/>
    <w:rsid w:val="0016673E"/>
    <w:rsid w:val="00166760"/>
    <w:rsid w:val="00166D01"/>
    <w:rsid w:val="00167331"/>
    <w:rsid w:val="0016740F"/>
    <w:rsid w:val="00172229"/>
    <w:rsid w:val="00173031"/>
    <w:rsid w:val="00173B88"/>
    <w:rsid w:val="00173C6E"/>
    <w:rsid w:val="00174273"/>
    <w:rsid w:val="00174AC1"/>
    <w:rsid w:val="00174DE4"/>
    <w:rsid w:val="00175CB8"/>
    <w:rsid w:val="001767AA"/>
    <w:rsid w:val="00180B19"/>
    <w:rsid w:val="0018196F"/>
    <w:rsid w:val="001829BB"/>
    <w:rsid w:val="0018305E"/>
    <w:rsid w:val="001832FD"/>
    <w:rsid w:val="0018353A"/>
    <w:rsid w:val="00183E12"/>
    <w:rsid w:val="001849E9"/>
    <w:rsid w:val="00184F54"/>
    <w:rsid w:val="001853BF"/>
    <w:rsid w:val="00190F42"/>
    <w:rsid w:val="00192498"/>
    <w:rsid w:val="001943B6"/>
    <w:rsid w:val="00194806"/>
    <w:rsid w:val="00194CAC"/>
    <w:rsid w:val="001967B5"/>
    <w:rsid w:val="00196D2A"/>
    <w:rsid w:val="001A0ABC"/>
    <w:rsid w:val="001A2494"/>
    <w:rsid w:val="001A3733"/>
    <w:rsid w:val="001A374B"/>
    <w:rsid w:val="001A511C"/>
    <w:rsid w:val="001A6D40"/>
    <w:rsid w:val="001A73D6"/>
    <w:rsid w:val="001B08A5"/>
    <w:rsid w:val="001B154D"/>
    <w:rsid w:val="001B1A0C"/>
    <w:rsid w:val="001B2948"/>
    <w:rsid w:val="001B36DA"/>
    <w:rsid w:val="001B41CD"/>
    <w:rsid w:val="001B5B0D"/>
    <w:rsid w:val="001B6F06"/>
    <w:rsid w:val="001B714C"/>
    <w:rsid w:val="001B7690"/>
    <w:rsid w:val="001C1EA0"/>
    <w:rsid w:val="001C203E"/>
    <w:rsid w:val="001C244C"/>
    <w:rsid w:val="001C26A8"/>
    <w:rsid w:val="001C31B9"/>
    <w:rsid w:val="001C49E0"/>
    <w:rsid w:val="001C507E"/>
    <w:rsid w:val="001C6069"/>
    <w:rsid w:val="001C6553"/>
    <w:rsid w:val="001C6919"/>
    <w:rsid w:val="001C700E"/>
    <w:rsid w:val="001C7117"/>
    <w:rsid w:val="001C745A"/>
    <w:rsid w:val="001C79F7"/>
    <w:rsid w:val="001C7DDD"/>
    <w:rsid w:val="001D0052"/>
    <w:rsid w:val="001D04F2"/>
    <w:rsid w:val="001D0D5C"/>
    <w:rsid w:val="001D127D"/>
    <w:rsid w:val="001D20FC"/>
    <w:rsid w:val="001D210A"/>
    <w:rsid w:val="001D3B1A"/>
    <w:rsid w:val="001D3B36"/>
    <w:rsid w:val="001D4C83"/>
    <w:rsid w:val="001D6059"/>
    <w:rsid w:val="001D6AC4"/>
    <w:rsid w:val="001E22DB"/>
    <w:rsid w:val="001E4AB7"/>
    <w:rsid w:val="001E4BDE"/>
    <w:rsid w:val="001E4C38"/>
    <w:rsid w:val="001E4F0E"/>
    <w:rsid w:val="001E627B"/>
    <w:rsid w:val="001E6635"/>
    <w:rsid w:val="001E6699"/>
    <w:rsid w:val="001E6C09"/>
    <w:rsid w:val="001F071B"/>
    <w:rsid w:val="001F0F31"/>
    <w:rsid w:val="001F12A2"/>
    <w:rsid w:val="001F37A2"/>
    <w:rsid w:val="001F4236"/>
    <w:rsid w:val="001F573C"/>
    <w:rsid w:val="001F5CB1"/>
    <w:rsid w:val="001F6196"/>
    <w:rsid w:val="001F61A8"/>
    <w:rsid w:val="001F61C5"/>
    <w:rsid w:val="001F6E42"/>
    <w:rsid w:val="001F7480"/>
    <w:rsid w:val="002009F6"/>
    <w:rsid w:val="00201174"/>
    <w:rsid w:val="00202880"/>
    <w:rsid w:val="00202BD4"/>
    <w:rsid w:val="00202E4E"/>
    <w:rsid w:val="0020336D"/>
    <w:rsid w:val="00203BCC"/>
    <w:rsid w:val="00205827"/>
    <w:rsid w:val="00205E0B"/>
    <w:rsid w:val="00205F2B"/>
    <w:rsid w:val="002107F4"/>
    <w:rsid w:val="00210E72"/>
    <w:rsid w:val="002115BD"/>
    <w:rsid w:val="002126BA"/>
    <w:rsid w:val="00212B27"/>
    <w:rsid w:val="002133F7"/>
    <w:rsid w:val="00213503"/>
    <w:rsid w:val="0021515C"/>
    <w:rsid w:val="0021567C"/>
    <w:rsid w:val="00215A3A"/>
    <w:rsid w:val="00215B85"/>
    <w:rsid w:val="00216569"/>
    <w:rsid w:val="00216728"/>
    <w:rsid w:val="00216855"/>
    <w:rsid w:val="00216BF0"/>
    <w:rsid w:val="00216D31"/>
    <w:rsid w:val="00220093"/>
    <w:rsid w:val="002208BC"/>
    <w:rsid w:val="002208C9"/>
    <w:rsid w:val="00220DCA"/>
    <w:rsid w:val="002220DE"/>
    <w:rsid w:val="002227A9"/>
    <w:rsid w:val="002229AB"/>
    <w:rsid w:val="00222B27"/>
    <w:rsid w:val="00223CB3"/>
    <w:rsid w:val="00224DA9"/>
    <w:rsid w:val="00225DCC"/>
    <w:rsid w:val="00226A21"/>
    <w:rsid w:val="00226DEE"/>
    <w:rsid w:val="00230E04"/>
    <w:rsid w:val="00231D45"/>
    <w:rsid w:val="002321CE"/>
    <w:rsid w:val="0023239B"/>
    <w:rsid w:val="002335A9"/>
    <w:rsid w:val="002343CF"/>
    <w:rsid w:val="002345B6"/>
    <w:rsid w:val="00235B4A"/>
    <w:rsid w:val="00235D29"/>
    <w:rsid w:val="002363D9"/>
    <w:rsid w:val="0023649B"/>
    <w:rsid w:val="0023682C"/>
    <w:rsid w:val="00236B8C"/>
    <w:rsid w:val="00237C4B"/>
    <w:rsid w:val="00240D4E"/>
    <w:rsid w:val="00240D59"/>
    <w:rsid w:val="00242611"/>
    <w:rsid w:val="00244193"/>
    <w:rsid w:val="002441D5"/>
    <w:rsid w:val="00244AAA"/>
    <w:rsid w:val="00244B5D"/>
    <w:rsid w:val="00245714"/>
    <w:rsid w:val="0024588B"/>
    <w:rsid w:val="00245E6B"/>
    <w:rsid w:val="00246E5F"/>
    <w:rsid w:val="002479A4"/>
    <w:rsid w:val="00252687"/>
    <w:rsid w:val="002526C5"/>
    <w:rsid w:val="00252742"/>
    <w:rsid w:val="00253656"/>
    <w:rsid w:val="002546AE"/>
    <w:rsid w:val="0025525E"/>
    <w:rsid w:val="002569A5"/>
    <w:rsid w:val="002578EC"/>
    <w:rsid w:val="00257FDE"/>
    <w:rsid w:val="00261E78"/>
    <w:rsid w:val="00261E86"/>
    <w:rsid w:val="00262899"/>
    <w:rsid w:val="00262EC1"/>
    <w:rsid w:val="00266358"/>
    <w:rsid w:val="00266A09"/>
    <w:rsid w:val="00267FCB"/>
    <w:rsid w:val="00270898"/>
    <w:rsid w:val="00272090"/>
    <w:rsid w:val="00272262"/>
    <w:rsid w:val="00272AF0"/>
    <w:rsid w:val="00273455"/>
    <w:rsid w:val="00273C6F"/>
    <w:rsid w:val="00275C42"/>
    <w:rsid w:val="00276149"/>
    <w:rsid w:val="0028175A"/>
    <w:rsid w:val="00283388"/>
    <w:rsid w:val="002835A5"/>
    <w:rsid w:val="00284083"/>
    <w:rsid w:val="00284463"/>
    <w:rsid w:val="002849B4"/>
    <w:rsid w:val="00286E82"/>
    <w:rsid w:val="002911A4"/>
    <w:rsid w:val="00291F1C"/>
    <w:rsid w:val="00291FC3"/>
    <w:rsid w:val="00292353"/>
    <w:rsid w:val="00292CD6"/>
    <w:rsid w:val="002941BA"/>
    <w:rsid w:val="002969D6"/>
    <w:rsid w:val="00297FA7"/>
    <w:rsid w:val="002A0D1B"/>
    <w:rsid w:val="002A102E"/>
    <w:rsid w:val="002A15F4"/>
    <w:rsid w:val="002A1935"/>
    <w:rsid w:val="002A1A79"/>
    <w:rsid w:val="002A21D1"/>
    <w:rsid w:val="002A22F7"/>
    <w:rsid w:val="002A27D6"/>
    <w:rsid w:val="002A33ED"/>
    <w:rsid w:val="002A37DB"/>
    <w:rsid w:val="002A43D6"/>
    <w:rsid w:val="002A4D70"/>
    <w:rsid w:val="002A4D7D"/>
    <w:rsid w:val="002A55E3"/>
    <w:rsid w:val="002A588B"/>
    <w:rsid w:val="002A5E82"/>
    <w:rsid w:val="002A69FE"/>
    <w:rsid w:val="002A7067"/>
    <w:rsid w:val="002A73A3"/>
    <w:rsid w:val="002B1F66"/>
    <w:rsid w:val="002B30EE"/>
    <w:rsid w:val="002B31B3"/>
    <w:rsid w:val="002B37A7"/>
    <w:rsid w:val="002B3965"/>
    <w:rsid w:val="002B433A"/>
    <w:rsid w:val="002B5667"/>
    <w:rsid w:val="002B61A8"/>
    <w:rsid w:val="002B646E"/>
    <w:rsid w:val="002B661F"/>
    <w:rsid w:val="002B6EBE"/>
    <w:rsid w:val="002B716B"/>
    <w:rsid w:val="002B79D4"/>
    <w:rsid w:val="002B7CFA"/>
    <w:rsid w:val="002C0725"/>
    <w:rsid w:val="002C1E00"/>
    <w:rsid w:val="002C1F6B"/>
    <w:rsid w:val="002C48A1"/>
    <w:rsid w:val="002C509D"/>
    <w:rsid w:val="002C639B"/>
    <w:rsid w:val="002D0A40"/>
    <w:rsid w:val="002D1328"/>
    <w:rsid w:val="002D2A6B"/>
    <w:rsid w:val="002D34CA"/>
    <w:rsid w:val="002D38E5"/>
    <w:rsid w:val="002D45BD"/>
    <w:rsid w:val="002D5D7B"/>
    <w:rsid w:val="002D5FD8"/>
    <w:rsid w:val="002D6914"/>
    <w:rsid w:val="002D6DF0"/>
    <w:rsid w:val="002D75DA"/>
    <w:rsid w:val="002D7FFA"/>
    <w:rsid w:val="002E0189"/>
    <w:rsid w:val="002E262E"/>
    <w:rsid w:val="002E3011"/>
    <w:rsid w:val="002E55EA"/>
    <w:rsid w:val="002E5604"/>
    <w:rsid w:val="002E5B07"/>
    <w:rsid w:val="002E5B97"/>
    <w:rsid w:val="002F12DD"/>
    <w:rsid w:val="002F4021"/>
    <w:rsid w:val="002F479A"/>
    <w:rsid w:val="002F4D99"/>
    <w:rsid w:val="002F54F3"/>
    <w:rsid w:val="002F5A14"/>
    <w:rsid w:val="002F6AFF"/>
    <w:rsid w:val="002F6BAF"/>
    <w:rsid w:val="00303038"/>
    <w:rsid w:val="0030318A"/>
    <w:rsid w:val="00303D86"/>
    <w:rsid w:val="0030554C"/>
    <w:rsid w:val="0030594B"/>
    <w:rsid w:val="0030653F"/>
    <w:rsid w:val="00306549"/>
    <w:rsid w:val="00306734"/>
    <w:rsid w:val="00306742"/>
    <w:rsid w:val="003076F0"/>
    <w:rsid w:val="00310426"/>
    <w:rsid w:val="003105E2"/>
    <w:rsid w:val="00310974"/>
    <w:rsid w:val="00312A67"/>
    <w:rsid w:val="00313B36"/>
    <w:rsid w:val="00314027"/>
    <w:rsid w:val="00314D2B"/>
    <w:rsid w:val="00315135"/>
    <w:rsid w:val="00315A53"/>
    <w:rsid w:val="00315D13"/>
    <w:rsid w:val="003167E5"/>
    <w:rsid w:val="00316A4F"/>
    <w:rsid w:val="00316DC1"/>
    <w:rsid w:val="003170AD"/>
    <w:rsid w:val="003201D7"/>
    <w:rsid w:val="003204E5"/>
    <w:rsid w:val="00320FCE"/>
    <w:rsid w:val="003219A7"/>
    <w:rsid w:val="00322102"/>
    <w:rsid w:val="003223F8"/>
    <w:rsid w:val="0032292A"/>
    <w:rsid w:val="00322D92"/>
    <w:rsid w:val="003247BE"/>
    <w:rsid w:val="0032486D"/>
    <w:rsid w:val="00325017"/>
    <w:rsid w:val="00325713"/>
    <w:rsid w:val="00325B5F"/>
    <w:rsid w:val="00325D5E"/>
    <w:rsid w:val="003260C0"/>
    <w:rsid w:val="00326697"/>
    <w:rsid w:val="003266E1"/>
    <w:rsid w:val="00326B5A"/>
    <w:rsid w:val="003275D0"/>
    <w:rsid w:val="003279FD"/>
    <w:rsid w:val="003327F8"/>
    <w:rsid w:val="00333F6D"/>
    <w:rsid w:val="00333F91"/>
    <w:rsid w:val="00333FB5"/>
    <w:rsid w:val="00334448"/>
    <w:rsid w:val="003345BE"/>
    <w:rsid w:val="003346B8"/>
    <w:rsid w:val="00335F19"/>
    <w:rsid w:val="003363C7"/>
    <w:rsid w:val="00337974"/>
    <w:rsid w:val="00341177"/>
    <w:rsid w:val="00341311"/>
    <w:rsid w:val="00342BDB"/>
    <w:rsid w:val="00342BF7"/>
    <w:rsid w:val="00343348"/>
    <w:rsid w:val="00343B25"/>
    <w:rsid w:val="00343C57"/>
    <w:rsid w:val="00345B8E"/>
    <w:rsid w:val="00347846"/>
    <w:rsid w:val="003518C2"/>
    <w:rsid w:val="00351ACA"/>
    <w:rsid w:val="00352AE5"/>
    <w:rsid w:val="0035518C"/>
    <w:rsid w:val="0035586C"/>
    <w:rsid w:val="00356151"/>
    <w:rsid w:val="00357648"/>
    <w:rsid w:val="00357AF7"/>
    <w:rsid w:val="00360662"/>
    <w:rsid w:val="00360703"/>
    <w:rsid w:val="003609E9"/>
    <w:rsid w:val="00363DF7"/>
    <w:rsid w:val="00365382"/>
    <w:rsid w:val="0036578A"/>
    <w:rsid w:val="0036675F"/>
    <w:rsid w:val="00366A41"/>
    <w:rsid w:val="00366D74"/>
    <w:rsid w:val="00367755"/>
    <w:rsid w:val="00371F53"/>
    <w:rsid w:val="00372E1B"/>
    <w:rsid w:val="00373525"/>
    <w:rsid w:val="00373EBD"/>
    <w:rsid w:val="003743C8"/>
    <w:rsid w:val="00374D58"/>
    <w:rsid w:val="0038037D"/>
    <w:rsid w:val="00380CA1"/>
    <w:rsid w:val="00381344"/>
    <w:rsid w:val="00381B42"/>
    <w:rsid w:val="00383294"/>
    <w:rsid w:val="003838F3"/>
    <w:rsid w:val="00383CAE"/>
    <w:rsid w:val="00383F3F"/>
    <w:rsid w:val="00384342"/>
    <w:rsid w:val="00385208"/>
    <w:rsid w:val="00385A4C"/>
    <w:rsid w:val="00385BDE"/>
    <w:rsid w:val="00386342"/>
    <w:rsid w:val="00390687"/>
    <w:rsid w:val="00391EAD"/>
    <w:rsid w:val="00392981"/>
    <w:rsid w:val="003946C7"/>
    <w:rsid w:val="00394B6E"/>
    <w:rsid w:val="00395340"/>
    <w:rsid w:val="00395A33"/>
    <w:rsid w:val="00395CFA"/>
    <w:rsid w:val="003A021D"/>
    <w:rsid w:val="003A0289"/>
    <w:rsid w:val="003A0702"/>
    <w:rsid w:val="003A27D2"/>
    <w:rsid w:val="003A2D7B"/>
    <w:rsid w:val="003A3FCA"/>
    <w:rsid w:val="003A42B9"/>
    <w:rsid w:val="003A4DA0"/>
    <w:rsid w:val="003A50DD"/>
    <w:rsid w:val="003A55D3"/>
    <w:rsid w:val="003A5D29"/>
    <w:rsid w:val="003A64B8"/>
    <w:rsid w:val="003A6C54"/>
    <w:rsid w:val="003A6E95"/>
    <w:rsid w:val="003A74BF"/>
    <w:rsid w:val="003B122C"/>
    <w:rsid w:val="003B1FEC"/>
    <w:rsid w:val="003B2756"/>
    <w:rsid w:val="003B29C6"/>
    <w:rsid w:val="003B42EE"/>
    <w:rsid w:val="003B4B07"/>
    <w:rsid w:val="003B5ACE"/>
    <w:rsid w:val="003B635B"/>
    <w:rsid w:val="003C0250"/>
    <w:rsid w:val="003C0A23"/>
    <w:rsid w:val="003C24C0"/>
    <w:rsid w:val="003C288C"/>
    <w:rsid w:val="003C28CA"/>
    <w:rsid w:val="003C31EE"/>
    <w:rsid w:val="003C55D4"/>
    <w:rsid w:val="003C56A9"/>
    <w:rsid w:val="003C5931"/>
    <w:rsid w:val="003C59A4"/>
    <w:rsid w:val="003C5AA7"/>
    <w:rsid w:val="003C6324"/>
    <w:rsid w:val="003C6767"/>
    <w:rsid w:val="003C7721"/>
    <w:rsid w:val="003C7C80"/>
    <w:rsid w:val="003D081D"/>
    <w:rsid w:val="003D1722"/>
    <w:rsid w:val="003D2232"/>
    <w:rsid w:val="003D26AB"/>
    <w:rsid w:val="003D2E2F"/>
    <w:rsid w:val="003D3D42"/>
    <w:rsid w:val="003D44F4"/>
    <w:rsid w:val="003D54AC"/>
    <w:rsid w:val="003D6B3D"/>
    <w:rsid w:val="003D6D58"/>
    <w:rsid w:val="003D739C"/>
    <w:rsid w:val="003D7652"/>
    <w:rsid w:val="003E00E3"/>
    <w:rsid w:val="003E0E66"/>
    <w:rsid w:val="003E2C79"/>
    <w:rsid w:val="003E39EC"/>
    <w:rsid w:val="003E47F7"/>
    <w:rsid w:val="003E4982"/>
    <w:rsid w:val="003E594A"/>
    <w:rsid w:val="003E5BB0"/>
    <w:rsid w:val="003E63B3"/>
    <w:rsid w:val="003E707F"/>
    <w:rsid w:val="003E74D2"/>
    <w:rsid w:val="003E7AA9"/>
    <w:rsid w:val="003F0160"/>
    <w:rsid w:val="003F146D"/>
    <w:rsid w:val="003F292F"/>
    <w:rsid w:val="003F2E87"/>
    <w:rsid w:val="003F50DF"/>
    <w:rsid w:val="003F5C2C"/>
    <w:rsid w:val="003F7551"/>
    <w:rsid w:val="00400289"/>
    <w:rsid w:val="004003E8"/>
    <w:rsid w:val="00403152"/>
    <w:rsid w:val="004037BC"/>
    <w:rsid w:val="00403AAA"/>
    <w:rsid w:val="00403C82"/>
    <w:rsid w:val="004045BC"/>
    <w:rsid w:val="00406000"/>
    <w:rsid w:val="0040655C"/>
    <w:rsid w:val="00407974"/>
    <w:rsid w:val="00407DB7"/>
    <w:rsid w:val="0041137B"/>
    <w:rsid w:val="004124E9"/>
    <w:rsid w:val="004126E3"/>
    <w:rsid w:val="00412707"/>
    <w:rsid w:val="00412BE9"/>
    <w:rsid w:val="00412F0D"/>
    <w:rsid w:val="00413539"/>
    <w:rsid w:val="0041396D"/>
    <w:rsid w:val="00413B09"/>
    <w:rsid w:val="004148D4"/>
    <w:rsid w:val="00415A92"/>
    <w:rsid w:val="00416521"/>
    <w:rsid w:val="00417022"/>
    <w:rsid w:val="0041730D"/>
    <w:rsid w:val="00420119"/>
    <w:rsid w:val="00420E02"/>
    <w:rsid w:val="00421857"/>
    <w:rsid w:val="00422394"/>
    <w:rsid w:val="004226E4"/>
    <w:rsid w:val="004228CD"/>
    <w:rsid w:val="00423105"/>
    <w:rsid w:val="0042387E"/>
    <w:rsid w:val="00423CD7"/>
    <w:rsid w:val="00424A40"/>
    <w:rsid w:val="00425076"/>
    <w:rsid w:val="0042527A"/>
    <w:rsid w:val="00426354"/>
    <w:rsid w:val="00426B1A"/>
    <w:rsid w:val="00430946"/>
    <w:rsid w:val="004309DD"/>
    <w:rsid w:val="004309E9"/>
    <w:rsid w:val="00431024"/>
    <w:rsid w:val="00431028"/>
    <w:rsid w:val="00431311"/>
    <w:rsid w:val="004313C7"/>
    <w:rsid w:val="00431687"/>
    <w:rsid w:val="004324AE"/>
    <w:rsid w:val="004326AB"/>
    <w:rsid w:val="00435370"/>
    <w:rsid w:val="00435654"/>
    <w:rsid w:val="00435769"/>
    <w:rsid w:val="00435C49"/>
    <w:rsid w:val="00435CB0"/>
    <w:rsid w:val="00436322"/>
    <w:rsid w:val="00437C95"/>
    <w:rsid w:val="00437DB4"/>
    <w:rsid w:val="004414A1"/>
    <w:rsid w:val="00441E77"/>
    <w:rsid w:val="00442748"/>
    <w:rsid w:val="00443124"/>
    <w:rsid w:val="00443639"/>
    <w:rsid w:val="004445EE"/>
    <w:rsid w:val="004453CE"/>
    <w:rsid w:val="00445A3B"/>
    <w:rsid w:val="00445C4E"/>
    <w:rsid w:val="00446742"/>
    <w:rsid w:val="0044762A"/>
    <w:rsid w:val="0045044F"/>
    <w:rsid w:val="004504F9"/>
    <w:rsid w:val="004505D6"/>
    <w:rsid w:val="00451F0D"/>
    <w:rsid w:val="0045460B"/>
    <w:rsid w:val="0045475F"/>
    <w:rsid w:val="004572BF"/>
    <w:rsid w:val="0045791E"/>
    <w:rsid w:val="004613BC"/>
    <w:rsid w:val="00462000"/>
    <w:rsid w:val="00462578"/>
    <w:rsid w:val="00462DAE"/>
    <w:rsid w:val="00463397"/>
    <w:rsid w:val="00463681"/>
    <w:rsid w:val="00465AD4"/>
    <w:rsid w:val="00466529"/>
    <w:rsid w:val="00466C98"/>
    <w:rsid w:val="00466DD6"/>
    <w:rsid w:val="00467633"/>
    <w:rsid w:val="00467C3F"/>
    <w:rsid w:val="00467CE4"/>
    <w:rsid w:val="00467EA5"/>
    <w:rsid w:val="00471C20"/>
    <w:rsid w:val="0047483B"/>
    <w:rsid w:val="00474BEB"/>
    <w:rsid w:val="0047570A"/>
    <w:rsid w:val="004766FF"/>
    <w:rsid w:val="00476DC9"/>
    <w:rsid w:val="00477058"/>
    <w:rsid w:val="0047710F"/>
    <w:rsid w:val="004804F1"/>
    <w:rsid w:val="00480A3B"/>
    <w:rsid w:val="00480C8F"/>
    <w:rsid w:val="004815A6"/>
    <w:rsid w:val="00481777"/>
    <w:rsid w:val="004820CE"/>
    <w:rsid w:val="00482267"/>
    <w:rsid w:val="00482DA4"/>
    <w:rsid w:val="004830FF"/>
    <w:rsid w:val="004844D9"/>
    <w:rsid w:val="004859D1"/>
    <w:rsid w:val="0048673D"/>
    <w:rsid w:val="0048701D"/>
    <w:rsid w:val="004908C1"/>
    <w:rsid w:val="00490BDE"/>
    <w:rsid w:val="00490D17"/>
    <w:rsid w:val="0049129B"/>
    <w:rsid w:val="00492843"/>
    <w:rsid w:val="00492BD0"/>
    <w:rsid w:val="00493715"/>
    <w:rsid w:val="00493A31"/>
    <w:rsid w:val="00494504"/>
    <w:rsid w:val="004957EC"/>
    <w:rsid w:val="00496F8D"/>
    <w:rsid w:val="00497281"/>
    <w:rsid w:val="00497B7C"/>
    <w:rsid w:val="004A08ED"/>
    <w:rsid w:val="004A0C8F"/>
    <w:rsid w:val="004A1681"/>
    <w:rsid w:val="004A1C29"/>
    <w:rsid w:val="004A1E7C"/>
    <w:rsid w:val="004A228B"/>
    <w:rsid w:val="004A4497"/>
    <w:rsid w:val="004A50C8"/>
    <w:rsid w:val="004A55ED"/>
    <w:rsid w:val="004A568F"/>
    <w:rsid w:val="004A661E"/>
    <w:rsid w:val="004A7400"/>
    <w:rsid w:val="004B09C8"/>
    <w:rsid w:val="004B0B41"/>
    <w:rsid w:val="004B10F7"/>
    <w:rsid w:val="004B201A"/>
    <w:rsid w:val="004B41B9"/>
    <w:rsid w:val="004B5028"/>
    <w:rsid w:val="004B5C67"/>
    <w:rsid w:val="004B61D6"/>
    <w:rsid w:val="004B64F3"/>
    <w:rsid w:val="004B6ABD"/>
    <w:rsid w:val="004B7964"/>
    <w:rsid w:val="004C09EA"/>
    <w:rsid w:val="004C15B8"/>
    <w:rsid w:val="004C28DB"/>
    <w:rsid w:val="004C36CF"/>
    <w:rsid w:val="004C4A3E"/>
    <w:rsid w:val="004C5610"/>
    <w:rsid w:val="004C57F5"/>
    <w:rsid w:val="004C59EA"/>
    <w:rsid w:val="004C5A26"/>
    <w:rsid w:val="004C65C6"/>
    <w:rsid w:val="004C660D"/>
    <w:rsid w:val="004C7E92"/>
    <w:rsid w:val="004D0699"/>
    <w:rsid w:val="004D0A0B"/>
    <w:rsid w:val="004D1529"/>
    <w:rsid w:val="004D19CE"/>
    <w:rsid w:val="004D1A89"/>
    <w:rsid w:val="004D2245"/>
    <w:rsid w:val="004D23F6"/>
    <w:rsid w:val="004D27BC"/>
    <w:rsid w:val="004D2B5A"/>
    <w:rsid w:val="004D2ED0"/>
    <w:rsid w:val="004D4522"/>
    <w:rsid w:val="004D4CF7"/>
    <w:rsid w:val="004D558C"/>
    <w:rsid w:val="004D571E"/>
    <w:rsid w:val="004D6238"/>
    <w:rsid w:val="004D6EE9"/>
    <w:rsid w:val="004D73F7"/>
    <w:rsid w:val="004E01E9"/>
    <w:rsid w:val="004E11B9"/>
    <w:rsid w:val="004E19B9"/>
    <w:rsid w:val="004E26C5"/>
    <w:rsid w:val="004E2790"/>
    <w:rsid w:val="004E3B5E"/>
    <w:rsid w:val="004E3E40"/>
    <w:rsid w:val="004E526D"/>
    <w:rsid w:val="004E570D"/>
    <w:rsid w:val="004E59DB"/>
    <w:rsid w:val="004E6400"/>
    <w:rsid w:val="004E642E"/>
    <w:rsid w:val="004E65AA"/>
    <w:rsid w:val="004E6924"/>
    <w:rsid w:val="004E6A61"/>
    <w:rsid w:val="004E6E33"/>
    <w:rsid w:val="004E702A"/>
    <w:rsid w:val="004E7D25"/>
    <w:rsid w:val="004E7EAF"/>
    <w:rsid w:val="004F0C2D"/>
    <w:rsid w:val="004F31CB"/>
    <w:rsid w:val="004F3D7E"/>
    <w:rsid w:val="004F45D5"/>
    <w:rsid w:val="004F4720"/>
    <w:rsid w:val="004F521E"/>
    <w:rsid w:val="004F6486"/>
    <w:rsid w:val="004F74B2"/>
    <w:rsid w:val="00500DCE"/>
    <w:rsid w:val="00500EB4"/>
    <w:rsid w:val="00501CD2"/>
    <w:rsid w:val="00502082"/>
    <w:rsid w:val="0050308C"/>
    <w:rsid w:val="00503974"/>
    <w:rsid w:val="0050439B"/>
    <w:rsid w:val="00504F9F"/>
    <w:rsid w:val="0050529F"/>
    <w:rsid w:val="0050683D"/>
    <w:rsid w:val="00506A51"/>
    <w:rsid w:val="005071F4"/>
    <w:rsid w:val="005100BF"/>
    <w:rsid w:val="005109F1"/>
    <w:rsid w:val="00510C8D"/>
    <w:rsid w:val="00510D81"/>
    <w:rsid w:val="005110C3"/>
    <w:rsid w:val="00511394"/>
    <w:rsid w:val="0051206D"/>
    <w:rsid w:val="005127AD"/>
    <w:rsid w:val="00512C84"/>
    <w:rsid w:val="00513A68"/>
    <w:rsid w:val="00514B5E"/>
    <w:rsid w:val="00514CD6"/>
    <w:rsid w:val="005157C1"/>
    <w:rsid w:val="00515954"/>
    <w:rsid w:val="00515CEF"/>
    <w:rsid w:val="00515E3D"/>
    <w:rsid w:val="005164CB"/>
    <w:rsid w:val="00516796"/>
    <w:rsid w:val="005208AC"/>
    <w:rsid w:val="005220AC"/>
    <w:rsid w:val="0052286C"/>
    <w:rsid w:val="00522AB9"/>
    <w:rsid w:val="0052355C"/>
    <w:rsid w:val="00523BA6"/>
    <w:rsid w:val="00524286"/>
    <w:rsid w:val="005243C3"/>
    <w:rsid w:val="00524E9C"/>
    <w:rsid w:val="005265B9"/>
    <w:rsid w:val="0052685B"/>
    <w:rsid w:val="005272EE"/>
    <w:rsid w:val="00527558"/>
    <w:rsid w:val="00527A5D"/>
    <w:rsid w:val="005307E8"/>
    <w:rsid w:val="0053175E"/>
    <w:rsid w:val="00531992"/>
    <w:rsid w:val="0053264E"/>
    <w:rsid w:val="005326A4"/>
    <w:rsid w:val="00532905"/>
    <w:rsid w:val="005334A3"/>
    <w:rsid w:val="00533533"/>
    <w:rsid w:val="0053470C"/>
    <w:rsid w:val="00535832"/>
    <w:rsid w:val="00535C99"/>
    <w:rsid w:val="00535E24"/>
    <w:rsid w:val="0053739B"/>
    <w:rsid w:val="00537E02"/>
    <w:rsid w:val="0054064D"/>
    <w:rsid w:val="0054072A"/>
    <w:rsid w:val="00542718"/>
    <w:rsid w:val="0054294D"/>
    <w:rsid w:val="00542968"/>
    <w:rsid w:val="00543224"/>
    <w:rsid w:val="005440F6"/>
    <w:rsid w:val="00544A2F"/>
    <w:rsid w:val="00544CCD"/>
    <w:rsid w:val="0054557A"/>
    <w:rsid w:val="00546B44"/>
    <w:rsid w:val="00546DD6"/>
    <w:rsid w:val="005472DA"/>
    <w:rsid w:val="0055151D"/>
    <w:rsid w:val="0055172C"/>
    <w:rsid w:val="00551B21"/>
    <w:rsid w:val="0055294A"/>
    <w:rsid w:val="00553AB1"/>
    <w:rsid w:val="0055771D"/>
    <w:rsid w:val="00557C64"/>
    <w:rsid w:val="005625C9"/>
    <w:rsid w:val="00563ED8"/>
    <w:rsid w:val="00564630"/>
    <w:rsid w:val="00564E1C"/>
    <w:rsid w:val="00565055"/>
    <w:rsid w:val="00565635"/>
    <w:rsid w:val="00565C9F"/>
    <w:rsid w:val="00565EB6"/>
    <w:rsid w:val="005674CE"/>
    <w:rsid w:val="00567976"/>
    <w:rsid w:val="00567FCF"/>
    <w:rsid w:val="005702CB"/>
    <w:rsid w:val="00570603"/>
    <w:rsid w:val="00570765"/>
    <w:rsid w:val="0057135A"/>
    <w:rsid w:val="005714FF"/>
    <w:rsid w:val="005732BD"/>
    <w:rsid w:val="00573E59"/>
    <w:rsid w:val="00574538"/>
    <w:rsid w:val="005748A3"/>
    <w:rsid w:val="005751D2"/>
    <w:rsid w:val="0057528D"/>
    <w:rsid w:val="00575295"/>
    <w:rsid w:val="0057651B"/>
    <w:rsid w:val="00576F19"/>
    <w:rsid w:val="00577501"/>
    <w:rsid w:val="00577CEA"/>
    <w:rsid w:val="00580007"/>
    <w:rsid w:val="00580D42"/>
    <w:rsid w:val="00581C01"/>
    <w:rsid w:val="0058242D"/>
    <w:rsid w:val="00582506"/>
    <w:rsid w:val="005827AB"/>
    <w:rsid w:val="0058314F"/>
    <w:rsid w:val="00583A83"/>
    <w:rsid w:val="005845CB"/>
    <w:rsid w:val="0058498A"/>
    <w:rsid w:val="00586350"/>
    <w:rsid w:val="00586560"/>
    <w:rsid w:val="00586611"/>
    <w:rsid w:val="0058794E"/>
    <w:rsid w:val="005900E1"/>
    <w:rsid w:val="005909D2"/>
    <w:rsid w:val="00590E64"/>
    <w:rsid w:val="0059152E"/>
    <w:rsid w:val="00592128"/>
    <w:rsid w:val="00593D0A"/>
    <w:rsid w:val="0059461A"/>
    <w:rsid w:val="00594F53"/>
    <w:rsid w:val="00595782"/>
    <w:rsid w:val="005957F6"/>
    <w:rsid w:val="0059610B"/>
    <w:rsid w:val="005965D0"/>
    <w:rsid w:val="0059686E"/>
    <w:rsid w:val="00597520"/>
    <w:rsid w:val="005A0C42"/>
    <w:rsid w:val="005A1785"/>
    <w:rsid w:val="005A18C5"/>
    <w:rsid w:val="005A27B5"/>
    <w:rsid w:val="005A3ED5"/>
    <w:rsid w:val="005A401D"/>
    <w:rsid w:val="005A511C"/>
    <w:rsid w:val="005A532B"/>
    <w:rsid w:val="005A5C39"/>
    <w:rsid w:val="005A689B"/>
    <w:rsid w:val="005A7670"/>
    <w:rsid w:val="005A7770"/>
    <w:rsid w:val="005A7BEA"/>
    <w:rsid w:val="005A7CF6"/>
    <w:rsid w:val="005B156A"/>
    <w:rsid w:val="005B1AE2"/>
    <w:rsid w:val="005B30E4"/>
    <w:rsid w:val="005B3B62"/>
    <w:rsid w:val="005B41ED"/>
    <w:rsid w:val="005B42EE"/>
    <w:rsid w:val="005B4792"/>
    <w:rsid w:val="005B55C6"/>
    <w:rsid w:val="005B5A13"/>
    <w:rsid w:val="005B6302"/>
    <w:rsid w:val="005B69AA"/>
    <w:rsid w:val="005B7318"/>
    <w:rsid w:val="005B7341"/>
    <w:rsid w:val="005B7C71"/>
    <w:rsid w:val="005C0807"/>
    <w:rsid w:val="005C09D4"/>
    <w:rsid w:val="005C331F"/>
    <w:rsid w:val="005C3405"/>
    <w:rsid w:val="005C4A6B"/>
    <w:rsid w:val="005C509D"/>
    <w:rsid w:val="005C543E"/>
    <w:rsid w:val="005C661F"/>
    <w:rsid w:val="005C7DCC"/>
    <w:rsid w:val="005D0474"/>
    <w:rsid w:val="005D1A90"/>
    <w:rsid w:val="005D2A59"/>
    <w:rsid w:val="005D33E7"/>
    <w:rsid w:val="005D6BCE"/>
    <w:rsid w:val="005D6DD4"/>
    <w:rsid w:val="005D70CC"/>
    <w:rsid w:val="005D7318"/>
    <w:rsid w:val="005D7483"/>
    <w:rsid w:val="005D77B9"/>
    <w:rsid w:val="005E037D"/>
    <w:rsid w:val="005E1AA6"/>
    <w:rsid w:val="005E231C"/>
    <w:rsid w:val="005E3062"/>
    <w:rsid w:val="005E48DE"/>
    <w:rsid w:val="005E5144"/>
    <w:rsid w:val="005E69CC"/>
    <w:rsid w:val="005E78A6"/>
    <w:rsid w:val="005E7A8D"/>
    <w:rsid w:val="005F0C00"/>
    <w:rsid w:val="005F0DE9"/>
    <w:rsid w:val="005F15ED"/>
    <w:rsid w:val="005F2163"/>
    <w:rsid w:val="005F2188"/>
    <w:rsid w:val="005F2533"/>
    <w:rsid w:val="005F33F2"/>
    <w:rsid w:val="005F343B"/>
    <w:rsid w:val="005F460C"/>
    <w:rsid w:val="005F51F6"/>
    <w:rsid w:val="005F53E0"/>
    <w:rsid w:val="005F6030"/>
    <w:rsid w:val="005F74D0"/>
    <w:rsid w:val="005F7915"/>
    <w:rsid w:val="006008D1"/>
    <w:rsid w:val="00600E70"/>
    <w:rsid w:val="0060117A"/>
    <w:rsid w:val="006022C5"/>
    <w:rsid w:val="0060258D"/>
    <w:rsid w:val="0060453C"/>
    <w:rsid w:val="0060641C"/>
    <w:rsid w:val="0061049F"/>
    <w:rsid w:val="0061061A"/>
    <w:rsid w:val="00611BC1"/>
    <w:rsid w:val="0061201B"/>
    <w:rsid w:val="00612A37"/>
    <w:rsid w:val="00612E14"/>
    <w:rsid w:val="006133B6"/>
    <w:rsid w:val="00614051"/>
    <w:rsid w:val="006143A9"/>
    <w:rsid w:val="00615A56"/>
    <w:rsid w:val="00616132"/>
    <w:rsid w:val="006172AF"/>
    <w:rsid w:val="00617F30"/>
    <w:rsid w:val="0062029A"/>
    <w:rsid w:val="00620FB5"/>
    <w:rsid w:val="00621D9D"/>
    <w:rsid w:val="0062598A"/>
    <w:rsid w:val="00625A52"/>
    <w:rsid w:val="0062686B"/>
    <w:rsid w:val="00626B76"/>
    <w:rsid w:val="006270BE"/>
    <w:rsid w:val="00627404"/>
    <w:rsid w:val="006277F2"/>
    <w:rsid w:val="00627A0B"/>
    <w:rsid w:val="00627CD6"/>
    <w:rsid w:val="00633104"/>
    <w:rsid w:val="00633A74"/>
    <w:rsid w:val="00633AFB"/>
    <w:rsid w:val="00634028"/>
    <w:rsid w:val="006340FC"/>
    <w:rsid w:val="0063418A"/>
    <w:rsid w:val="006352A2"/>
    <w:rsid w:val="00637549"/>
    <w:rsid w:val="00637960"/>
    <w:rsid w:val="00642A6F"/>
    <w:rsid w:val="00642E50"/>
    <w:rsid w:val="00643346"/>
    <w:rsid w:val="00643ACC"/>
    <w:rsid w:val="00645FFE"/>
    <w:rsid w:val="00646049"/>
    <w:rsid w:val="006461C1"/>
    <w:rsid w:val="00646DB9"/>
    <w:rsid w:val="00647C48"/>
    <w:rsid w:val="00647FBA"/>
    <w:rsid w:val="0065079A"/>
    <w:rsid w:val="006511C5"/>
    <w:rsid w:val="00652439"/>
    <w:rsid w:val="0065268F"/>
    <w:rsid w:val="0065391A"/>
    <w:rsid w:val="00653B18"/>
    <w:rsid w:val="00654E76"/>
    <w:rsid w:val="0065679C"/>
    <w:rsid w:val="006570AF"/>
    <w:rsid w:val="00657108"/>
    <w:rsid w:val="00657F9C"/>
    <w:rsid w:val="00660126"/>
    <w:rsid w:val="0066105A"/>
    <w:rsid w:val="006623F1"/>
    <w:rsid w:val="0066312A"/>
    <w:rsid w:val="00663306"/>
    <w:rsid w:val="00663909"/>
    <w:rsid w:val="00663B18"/>
    <w:rsid w:val="00663E95"/>
    <w:rsid w:val="00664F71"/>
    <w:rsid w:val="006658A2"/>
    <w:rsid w:val="006659FF"/>
    <w:rsid w:val="006671BC"/>
    <w:rsid w:val="006676D2"/>
    <w:rsid w:val="00667F73"/>
    <w:rsid w:val="0067154D"/>
    <w:rsid w:val="0067255A"/>
    <w:rsid w:val="0067299B"/>
    <w:rsid w:val="00673287"/>
    <w:rsid w:val="00673BEC"/>
    <w:rsid w:val="006745D2"/>
    <w:rsid w:val="00674E7C"/>
    <w:rsid w:val="00675A06"/>
    <w:rsid w:val="00675C91"/>
    <w:rsid w:val="006763E9"/>
    <w:rsid w:val="00677C43"/>
    <w:rsid w:val="00680178"/>
    <w:rsid w:val="0068065D"/>
    <w:rsid w:val="00680679"/>
    <w:rsid w:val="00681086"/>
    <w:rsid w:val="0068146D"/>
    <w:rsid w:val="00681694"/>
    <w:rsid w:val="00682DB1"/>
    <w:rsid w:val="006834C9"/>
    <w:rsid w:val="00683EE3"/>
    <w:rsid w:val="00683FFB"/>
    <w:rsid w:val="006875C6"/>
    <w:rsid w:val="0068768A"/>
    <w:rsid w:val="00690BEA"/>
    <w:rsid w:val="00691B7A"/>
    <w:rsid w:val="0069307D"/>
    <w:rsid w:val="00695279"/>
    <w:rsid w:val="00695ED6"/>
    <w:rsid w:val="006961A0"/>
    <w:rsid w:val="00697B38"/>
    <w:rsid w:val="00697C69"/>
    <w:rsid w:val="00697DA8"/>
    <w:rsid w:val="00697FA2"/>
    <w:rsid w:val="006A125C"/>
    <w:rsid w:val="006A13E6"/>
    <w:rsid w:val="006A2753"/>
    <w:rsid w:val="006A4B9A"/>
    <w:rsid w:val="006A6C6F"/>
    <w:rsid w:val="006A739E"/>
    <w:rsid w:val="006A7ECA"/>
    <w:rsid w:val="006B0F12"/>
    <w:rsid w:val="006B2F01"/>
    <w:rsid w:val="006B31F2"/>
    <w:rsid w:val="006B33A7"/>
    <w:rsid w:val="006B3FA8"/>
    <w:rsid w:val="006B44F8"/>
    <w:rsid w:val="006B4FAA"/>
    <w:rsid w:val="006B54ED"/>
    <w:rsid w:val="006B6146"/>
    <w:rsid w:val="006B7302"/>
    <w:rsid w:val="006B74D4"/>
    <w:rsid w:val="006C0913"/>
    <w:rsid w:val="006C0D15"/>
    <w:rsid w:val="006C1260"/>
    <w:rsid w:val="006C1697"/>
    <w:rsid w:val="006C1856"/>
    <w:rsid w:val="006C2232"/>
    <w:rsid w:val="006C39B3"/>
    <w:rsid w:val="006C4358"/>
    <w:rsid w:val="006C605E"/>
    <w:rsid w:val="006C6800"/>
    <w:rsid w:val="006C6A45"/>
    <w:rsid w:val="006C6DD8"/>
    <w:rsid w:val="006C7E7F"/>
    <w:rsid w:val="006D0932"/>
    <w:rsid w:val="006D094F"/>
    <w:rsid w:val="006D0BC5"/>
    <w:rsid w:val="006D1991"/>
    <w:rsid w:val="006D1E07"/>
    <w:rsid w:val="006D269F"/>
    <w:rsid w:val="006D2943"/>
    <w:rsid w:val="006D2CF2"/>
    <w:rsid w:val="006D2E37"/>
    <w:rsid w:val="006D34C3"/>
    <w:rsid w:val="006D3C29"/>
    <w:rsid w:val="006D46D3"/>
    <w:rsid w:val="006D56CD"/>
    <w:rsid w:val="006D57C4"/>
    <w:rsid w:val="006D66A9"/>
    <w:rsid w:val="006D7F26"/>
    <w:rsid w:val="006E100A"/>
    <w:rsid w:val="006E327C"/>
    <w:rsid w:val="006E3C42"/>
    <w:rsid w:val="006E5226"/>
    <w:rsid w:val="006E7795"/>
    <w:rsid w:val="006E7E9F"/>
    <w:rsid w:val="006E7FA8"/>
    <w:rsid w:val="006F00DB"/>
    <w:rsid w:val="006F01C7"/>
    <w:rsid w:val="006F4623"/>
    <w:rsid w:val="006F4B40"/>
    <w:rsid w:val="006F601A"/>
    <w:rsid w:val="006F6350"/>
    <w:rsid w:val="006F660F"/>
    <w:rsid w:val="006F749A"/>
    <w:rsid w:val="007003D6"/>
    <w:rsid w:val="007006DD"/>
    <w:rsid w:val="00701FEA"/>
    <w:rsid w:val="00702ABA"/>
    <w:rsid w:val="00703345"/>
    <w:rsid w:val="007040D1"/>
    <w:rsid w:val="0070426F"/>
    <w:rsid w:val="00704DD4"/>
    <w:rsid w:val="00705249"/>
    <w:rsid w:val="00705528"/>
    <w:rsid w:val="00705F8C"/>
    <w:rsid w:val="007065F3"/>
    <w:rsid w:val="007068C1"/>
    <w:rsid w:val="007069F7"/>
    <w:rsid w:val="00706DE1"/>
    <w:rsid w:val="00707D00"/>
    <w:rsid w:val="00710059"/>
    <w:rsid w:val="00710337"/>
    <w:rsid w:val="007109BE"/>
    <w:rsid w:val="007110C9"/>
    <w:rsid w:val="0071157E"/>
    <w:rsid w:val="00712349"/>
    <w:rsid w:val="007127E0"/>
    <w:rsid w:val="00712FCE"/>
    <w:rsid w:val="00713081"/>
    <w:rsid w:val="00714BA3"/>
    <w:rsid w:val="007162FE"/>
    <w:rsid w:val="007164F5"/>
    <w:rsid w:val="007167AE"/>
    <w:rsid w:val="007177AE"/>
    <w:rsid w:val="0072011F"/>
    <w:rsid w:val="00721098"/>
    <w:rsid w:val="00721C13"/>
    <w:rsid w:val="00722B6E"/>
    <w:rsid w:val="00723487"/>
    <w:rsid w:val="0072495B"/>
    <w:rsid w:val="00724F43"/>
    <w:rsid w:val="00725D30"/>
    <w:rsid w:val="00726CC7"/>
    <w:rsid w:val="007300CC"/>
    <w:rsid w:val="007311E0"/>
    <w:rsid w:val="0073122F"/>
    <w:rsid w:val="0073323D"/>
    <w:rsid w:val="00734D37"/>
    <w:rsid w:val="00734FB4"/>
    <w:rsid w:val="007360D3"/>
    <w:rsid w:val="007362F6"/>
    <w:rsid w:val="0073644C"/>
    <w:rsid w:val="00736693"/>
    <w:rsid w:val="00737641"/>
    <w:rsid w:val="00737799"/>
    <w:rsid w:val="00737C72"/>
    <w:rsid w:val="00741CA9"/>
    <w:rsid w:val="0074232C"/>
    <w:rsid w:val="007452F9"/>
    <w:rsid w:val="0074660C"/>
    <w:rsid w:val="007479C3"/>
    <w:rsid w:val="00747B69"/>
    <w:rsid w:val="0075003D"/>
    <w:rsid w:val="00750081"/>
    <w:rsid w:val="007506CA"/>
    <w:rsid w:val="00750BA5"/>
    <w:rsid w:val="00750E77"/>
    <w:rsid w:val="00751449"/>
    <w:rsid w:val="007522CA"/>
    <w:rsid w:val="00752656"/>
    <w:rsid w:val="007528B4"/>
    <w:rsid w:val="0075323D"/>
    <w:rsid w:val="00754017"/>
    <w:rsid w:val="00755D95"/>
    <w:rsid w:val="00756B0E"/>
    <w:rsid w:val="00756DD8"/>
    <w:rsid w:val="00757393"/>
    <w:rsid w:val="007579A7"/>
    <w:rsid w:val="00757BAA"/>
    <w:rsid w:val="0076029A"/>
    <w:rsid w:val="0076138D"/>
    <w:rsid w:val="00761D6A"/>
    <w:rsid w:val="007628B7"/>
    <w:rsid w:val="00762A57"/>
    <w:rsid w:val="00762B9C"/>
    <w:rsid w:val="00762F99"/>
    <w:rsid w:val="0076338B"/>
    <w:rsid w:val="00764068"/>
    <w:rsid w:val="0076469E"/>
    <w:rsid w:val="00764E35"/>
    <w:rsid w:val="00765156"/>
    <w:rsid w:val="00766BCF"/>
    <w:rsid w:val="00767D94"/>
    <w:rsid w:val="00767F2C"/>
    <w:rsid w:val="00767F39"/>
    <w:rsid w:val="007705BC"/>
    <w:rsid w:val="007717C3"/>
    <w:rsid w:val="00771AE1"/>
    <w:rsid w:val="007726E1"/>
    <w:rsid w:val="007730C4"/>
    <w:rsid w:val="00774F4B"/>
    <w:rsid w:val="00776C47"/>
    <w:rsid w:val="007801B1"/>
    <w:rsid w:val="007808C6"/>
    <w:rsid w:val="00781996"/>
    <w:rsid w:val="00782B97"/>
    <w:rsid w:val="0078398D"/>
    <w:rsid w:val="00784205"/>
    <w:rsid w:val="00784CAD"/>
    <w:rsid w:val="007857A5"/>
    <w:rsid w:val="0078728B"/>
    <w:rsid w:val="00790150"/>
    <w:rsid w:val="00790450"/>
    <w:rsid w:val="007913BC"/>
    <w:rsid w:val="0079248C"/>
    <w:rsid w:val="0079256F"/>
    <w:rsid w:val="00792CAD"/>
    <w:rsid w:val="0079307B"/>
    <w:rsid w:val="007941CF"/>
    <w:rsid w:val="00794B25"/>
    <w:rsid w:val="00794D6B"/>
    <w:rsid w:val="00796F48"/>
    <w:rsid w:val="007A02AE"/>
    <w:rsid w:val="007A107E"/>
    <w:rsid w:val="007A14CF"/>
    <w:rsid w:val="007A261C"/>
    <w:rsid w:val="007A2A5E"/>
    <w:rsid w:val="007A3162"/>
    <w:rsid w:val="007A3C6A"/>
    <w:rsid w:val="007A3C6F"/>
    <w:rsid w:val="007A5821"/>
    <w:rsid w:val="007A5AE0"/>
    <w:rsid w:val="007A6B87"/>
    <w:rsid w:val="007A6CD5"/>
    <w:rsid w:val="007A70EF"/>
    <w:rsid w:val="007A716E"/>
    <w:rsid w:val="007B0178"/>
    <w:rsid w:val="007B0EBF"/>
    <w:rsid w:val="007B12EF"/>
    <w:rsid w:val="007B2B60"/>
    <w:rsid w:val="007B44C3"/>
    <w:rsid w:val="007B51E2"/>
    <w:rsid w:val="007B5252"/>
    <w:rsid w:val="007B6C3A"/>
    <w:rsid w:val="007B6F81"/>
    <w:rsid w:val="007B7899"/>
    <w:rsid w:val="007C08B4"/>
    <w:rsid w:val="007C244B"/>
    <w:rsid w:val="007C2E75"/>
    <w:rsid w:val="007C43F2"/>
    <w:rsid w:val="007C468E"/>
    <w:rsid w:val="007C4815"/>
    <w:rsid w:val="007C4CCB"/>
    <w:rsid w:val="007C5534"/>
    <w:rsid w:val="007D1D7F"/>
    <w:rsid w:val="007D3065"/>
    <w:rsid w:val="007D386C"/>
    <w:rsid w:val="007D3D14"/>
    <w:rsid w:val="007D4A1E"/>
    <w:rsid w:val="007D4FC9"/>
    <w:rsid w:val="007D53B4"/>
    <w:rsid w:val="007D5B31"/>
    <w:rsid w:val="007D5D8D"/>
    <w:rsid w:val="007D67D1"/>
    <w:rsid w:val="007D6D43"/>
    <w:rsid w:val="007D7628"/>
    <w:rsid w:val="007D7BF9"/>
    <w:rsid w:val="007E10A5"/>
    <w:rsid w:val="007E2A95"/>
    <w:rsid w:val="007E3C75"/>
    <w:rsid w:val="007E3D71"/>
    <w:rsid w:val="007E4760"/>
    <w:rsid w:val="007E5ADF"/>
    <w:rsid w:val="007E614A"/>
    <w:rsid w:val="007E6DAB"/>
    <w:rsid w:val="007E7C39"/>
    <w:rsid w:val="007F0036"/>
    <w:rsid w:val="007F0C11"/>
    <w:rsid w:val="007F2841"/>
    <w:rsid w:val="007F2E13"/>
    <w:rsid w:val="007F36EA"/>
    <w:rsid w:val="007F3C5B"/>
    <w:rsid w:val="007F3E30"/>
    <w:rsid w:val="007F4415"/>
    <w:rsid w:val="007F5606"/>
    <w:rsid w:val="007F6EEB"/>
    <w:rsid w:val="0080096B"/>
    <w:rsid w:val="00800A90"/>
    <w:rsid w:val="00800B90"/>
    <w:rsid w:val="008010F1"/>
    <w:rsid w:val="00802A66"/>
    <w:rsid w:val="00802E72"/>
    <w:rsid w:val="00803481"/>
    <w:rsid w:val="00803D01"/>
    <w:rsid w:val="008043F8"/>
    <w:rsid w:val="00804BCF"/>
    <w:rsid w:val="00804CA6"/>
    <w:rsid w:val="008050DE"/>
    <w:rsid w:val="00805ADD"/>
    <w:rsid w:val="008064DA"/>
    <w:rsid w:val="00806663"/>
    <w:rsid w:val="00807492"/>
    <w:rsid w:val="008103A0"/>
    <w:rsid w:val="00810DE3"/>
    <w:rsid w:val="0081220F"/>
    <w:rsid w:val="008128C3"/>
    <w:rsid w:val="008139C8"/>
    <w:rsid w:val="00813C9A"/>
    <w:rsid w:val="00817654"/>
    <w:rsid w:val="00817959"/>
    <w:rsid w:val="0082028E"/>
    <w:rsid w:val="00820BA8"/>
    <w:rsid w:val="00821541"/>
    <w:rsid w:val="00821890"/>
    <w:rsid w:val="00821A06"/>
    <w:rsid w:val="008220F3"/>
    <w:rsid w:val="00822273"/>
    <w:rsid w:val="00822A2D"/>
    <w:rsid w:val="00822CF4"/>
    <w:rsid w:val="008235DB"/>
    <w:rsid w:val="00823632"/>
    <w:rsid w:val="0082377E"/>
    <w:rsid w:val="00823B17"/>
    <w:rsid w:val="00823B1F"/>
    <w:rsid w:val="00823E6C"/>
    <w:rsid w:val="00824D00"/>
    <w:rsid w:val="00825B54"/>
    <w:rsid w:val="00826FE4"/>
    <w:rsid w:val="00827018"/>
    <w:rsid w:val="00827657"/>
    <w:rsid w:val="00830647"/>
    <w:rsid w:val="00830893"/>
    <w:rsid w:val="00830E80"/>
    <w:rsid w:val="00832911"/>
    <w:rsid w:val="00833EB7"/>
    <w:rsid w:val="008340B6"/>
    <w:rsid w:val="00836241"/>
    <w:rsid w:val="008371D5"/>
    <w:rsid w:val="00837350"/>
    <w:rsid w:val="00837B58"/>
    <w:rsid w:val="00840503"/>
    <w:rsid w:val="0084089E"/>
    <w:rsid w:val="0084092F"/>
    <w:rsid w:val="00840988"/>
    <w:rsid w:val="00840CE3"/>
    <w:rsid w:val="0084208F"/>
    <w:rsid w:val="00842DB6"/>
    <w:rsid w:val="0084331A"/>
    <w:rsid w:val="00844C87"/>
    <w:rsid w:val="0084642C"/>
    <w:rsid w:val="0085025D"/>
    <w:rsid w:val="0085069F"/>
    <w:rsid w:val="00851EE8"/>
    <w:rsid w:val="00852234"/>
    <w:rsid w:val="008532FB"/>
    <w:rsid w:val="0085367C"/>
    <w:rsid w:val="008540F0"/>
    <w:rsid w:val="00855C20"/>
    <w:rsid w:val="008568C0"/>
    <w:rsid w:val="00856C2A"/>
    <w:rsid w:val="00861A15"/>
    <w:rsid w:val="00862476"/>
    <w:rsid w:val="00862566"/>
    <w:rsid w:val="0086331C"/>
    <w:rsid w:val="008634B5"/>
    <w:rsid w:val="00863C14"/>
    <w:rsid w:val="00863D45"/>
    <w:rsid w:val="00864874"/>
    <w:rsid w:val="00864FF4"/>
    <w:rsid w:val="008650A6"/>
    <w:rsid w:val="0086554B"/>
    <w:rsid w:val="00865635"/>
    <w:rsid w:val="00866FF7"/>
    <w:rsid w:val="00871CA1"/>
    <w:rsid w:val="008723F5"/>
    <w:rsid w:val="008726CE"/>
    <w:rsid w:val="00874A0A"/>
    <w:rsid w:val="00874F47"/>
    <w:rsid w:val="008758FF"/>
    <w:rsid w:val="00875CCB"/>
    <w:rsid w:val="008763CD"/>
    <w:rsid w:val="00876965"/>
    <w:rsid w:val="00877D87"/>
    <w:rsid w:val="00877EBD"/>
    <w:rsid w:val="00877EC9"/>
    <w:rsid w:val="00880255"/>
    <w:rsid w:val="00880E35"/>
    <w:rsid w:val="008810FA"/>
    <w:rsid w:val="008812F5"/>
    <w:rsid w:val="008819C9"/>
    <w:rsid w:val="00881ED9"/>
    <w:rsid w:val="0088320A"/>
    <w:rsid w:val="0088395D"/>
    <w:rsid w:val="00884878"/>
    <w:rsid w:val="00884B7D"/>
    <w:rsid w:val="00885B9C"/>
    <w:rsid w:val="00885F1E"/>
    <w:rsid w:val="00886B11"/>
    <w:rsid w:val="00886D18"/>
    <w:rsid w:val="008876E3"/>
    <w:rsid w:val="00890736"/>
    <w:rsid w:val="00890B81"/>
    <w:rsid w:val="00891009"/>
    <w:rsid w:val="00892303"/>
    <w:rsid w:val="00892D91"/>
    <w:rsid w:val="0089570A"/>
    <w:rsid w:val="00896927"/>
    <w:rsid w:val="00897221"/>
    <w:rsid w:val="00897B03"/>
    <w:rsid w:val="00897E16"/>
    <w:rsid w:val="008A144E"/>
    <w:rsid w:val="008A1DED"/>
    <w:rsid w:val="008A2F36"/>
    <w:rsid w:val="008A2FBD"/>
    <w:rsid w:val="008A310A"/>
    <w:rsid w:val="008A4DA7"/>
    <w:rsid w:val="008A54CD"/>
    <w:rsid w:val="008A6603"/>
    <w:rsid w:val="008A71EE"/>
    <w:rsid w:val="008B0455"/>
    <w:rsid w:val="008B1618"/>
    <w:rsid w:val="008B214D"/>
    <w:rsid w:val="008B2226"/>
    <w:rsid w:val="008B4292"/>
    <w:rsid w:val="008B44E6"/>
    <w:rsid w:val="008B5ECF"/>
    <w:rsid w:val="008B5F65"/>
    <w:rsid w:val="008B6682"/>
    <w:rsid w:val="008B6C27"/>
    <w:rsid w:val="008B79BF"/>
    <w:rsid w:val="008B7A9C"/>
    <w:rsid w:val="008C08AE"/>
    <w:rsid w:val="008C0F8E"/>
    <w:rsid w:val="008C0FBD"/>
    <w:rsid w:val="008C1B4D"/>
    <w:rsid w:val="008C35A7"/>
    <w:rsid w:val="008C3B39"/>
    <w:rsid w:val="008C4903"/>
    <w:rsid w:val="008C4FD9"/>
    <w:rsid w:val="008C5617"/>
    <w:rsid w:val="008C5B1C"/>
    <w:rsid w:val="008C64C3"/>
    <w:rsid w:val="008C6687"/>
    <w:rsid w:val="008C6BA9"/>
    <w:rsid w:val="008C70BD"/>
    <w:rsid w:val="008C79C7"/>
    <w:rsid w:val="008C7AC8"/>
    <w:rsid w:val="008D0242"/>
    <w:rsid w:val="008D0360"/>
    <w:rsid w:val="008D0421"/>
    <w:rsid w:val="008D13E3"/>
    <w:rsid w:val="008D1AC8"/>
    <w:rsid w:val="008D1B3A"/>
    <w:rsid w:val="008D1C58"/>
    <w:rsid w:val="008D2573"/>
    <w:rsid w:val="008D27EF"/>
    <w:rsid w:val="008D28DF"/>
    <w:rsid w:val="008D2DC8"/>
    <w:rsid w:val="008D34F9"/>
    <w:rsid w:val="008D745E"/>
    <w:rsid w:val="008D76FA"/>
    <w:rsid w:val="008D7D0A"/>
    <w:rsid w:val="008E1D2A"/>
    <w:rsid w:val="008E29AB"/>
    <w:rsid w:val="008E323F"/>
    <w:rsid w:val="008E41ED"/>
    <w:rsid w:val="008E42C6"/>
    <w:rsid w:val="008E44A5"/>
    <w:rsid w:val="008E452F"/>
    <w:rsid w:val="008E4EF2"/>
    <w:rsid w:val="008E55F5"/>
    <w:rsid w:val="008E76DC"/>
    <w:rsid w:val="008E7C23"/>
    <w:rsid w:val="008F015E"/>
    <w:rsid w:val="008F06F2"/>
    <w:rsid w:val="008F1E28"/>
    <w:rsid w:val="008F21A0"/>
    <w:rsid w:val="008F3846"/>
    <w:rsid w:val="008F4C4B"/>
    <w:rsid w:val="008F5D80"/>
    <w:rsid w:val="008F6CC0"/>
    <w:rsid w:val="008F709B"/>
    <w:rsid w:val="008F78E7"/>
    <w:rsid w:val="00900368"/>
    <w:rsid w:val="009006D2"/>
    <w:rsid w:val="00901942"/>
    <w:rsid w:val="00902A80"/>
    <w:rsid w:val="00903624"/>
    <w:rsid w:val="009038B5"/>
    <w:rsid w:val="00904B77"/>
    <w:rsid w:val="009057ED"/>
    <w:rsid w:val="009063E6"/>
    <w:rsid w:val="009103F3"/>
    <w:rsid w:val="009123E5"/>
    <w:rsid w:val="009126A4"/>
    <w:rsid w:val="009136AF"/>
    <w:rsid w:val="00914A61"/>
    <w:rsid w:val="00915692"/>
    <w:rsid w:val="009163AF"/>
    <w:rsid w:val="00916D52"/>
    <w:rsid w:val="00917756"/>
    <w:rsid w:val="00917BD7"/>
    <w:rsid w:val="009216D2"/>
    <w:rsid w:val="00922EF3"/>
    <w:rsid w:val="009231B8"/>
    <w:rsid w:val="00923D3D"/>
    <w:rsid w:val="00924CCB"/>
    <w:rsid w:val="0092520A"/>
    <w:rsid w:val="00925F76"/>
    <w:rsid w:val="00926076"/>
    <w:rsid w:val="0092680A"/>
    <w:rsid w:val="0092690B"/>
    <w:rsid w:val="00927978"/>
    <w:rsid w:val="009315C8"/>
    <w:rsid w:val="009319BE"/>
    <w:rsid w:val="00932373"/>
    <w:rsid w:val="00932FAD"/>
    <w:rsid w:val="00935593"/>
    <w:rsid w:val="00936ECF"/>
    <w:rsid w:val="00937307"/>
    <w:rsid w:val="0093733D"/>
    <w:rsid w:val="00940029"/>
    <w:rsid w:val="00940835"/>
    <w:rsid w:val="009409B5"/>
    <w:rsid w:val="00940F66"/>
    <w:rsid w:val="00941134"/>
    <w:rsid w:val="0094237C"/>
    <w:rsid w:val="009440DF"/>
    <w:rsid w:val="009445BA"/>
    <w:rsid w:val="009446A8"/>
    <w:rsid w:val="00945130"/>
    <w:rsid w:val="009457B4"/>
    <w:rsid w:val="00945B0A"/>
    <w:rsid w:val="00945C92"/>
    <w:rsid w:val="00946773"/>
    <w:rsid w:val="00946F68"/>
    <w:rsid w:val="009475F3"/>
    <w:rsid w:val="00947D65"/>
    <w:rsid w:val="0095007E"/>
    <w:rsid w:val="00950EEB"/>
    <w:rsid w:val="00950EF5"/>
    <w:rsid w:val="0095122D"/>
    <w:rsid w:val="00951424"/>
    <w:rsid w:val="00951562"/>
    <w:rsid w:val="00951651"/>
    <w:rsid w:val="00951A4D"/>
    <w:rsid w:val="00951DAE"/>
    <w:rsid w:val="00952BF7"/>
    <w:rsid w:val="00953CAB"/>
    <w:rsid w:val="00953CE1"/>
    <w:rsid w:val="00954E4A"/>
    <w:rsid w:val="00954EF3"/>
    <w:rsid w:val="00955CAF"/>
    <w:rsid w:val="0095603B"/>
    <w:rsid w:val="00957601"/>
    <w:rsid w:val="00957948"/>
    <w:rsid w:val="00957E1C"/>
    <w:rsid w:val="00961125"/>
    <w:rsid w:val="00963D45"/>
    <w:rsid w:val="00963E01"/>
    <w:rsid w:val="00964EC5"/>
    <w:rsid w:val="009660EF"/>
    <w:rsid w:val="00966165"/>
    <w:rsid w:val="009667AB"/>
    <w:rsid w:val="009668EF"/>
    <w:rsid w:val="0096765A"/>
    <w:rsid w:val="00970D0C"/>
    <w:rsid w:val="009713CF"/>
    <w:rsid w:val="00971E1A"/>
    <w:rsid w:val="00972850"/>
    <w:rsid w:val="009729A9"/>
    <w:rsid w:val="00974D10"/>
    <w:rsid w:val="00974DD9"/>
    <w:rsid w:val="009750BB"/>
    <w:rsid w:val="00975141"/>
    <w:rsid w:val="009761F5"/>
    <w:rsid w:val="009761F8"/>
    <w:rsid w:val="00976AF1"/>
    <w:rsid w:val="00976FB3"/>
    <w:rsid w:val="0098030D"/>
    <w:rsid w:val="00981E62"/>
    <w:rsid w:val="00984995"/>
    <w:rsid w:val="00985D4F"/>
    <w:rsid w:val="00987586"/>
    <w:rsid w:val="009909EB"/>
    <w:rsid w:val="00990CE1"/>
    <w:rsid w:val="009910F4"/>
    <w:rsid w:val="00992224"/>
    <w:rsid w:val="009928E1"/>
    <w:rsid w:val="00994368"/>
    <w:rsid w:val="00994636"/>
    <w:rsid w:val="00994811"/>
    <w:rsid w:val="00994D57"/>
    <w:rsid w:val="00996460"/>
    <w:rsid w:val="0099677B"/>
    <w:rsid w:val="009A016C"/>
    <w:rsid w:val="009A018B"/>
    <w:rsid w:val="009A063B"/>
    <w:rsid w:val="009A127C"/>
    <w:rsid w:val="009A1E07"/>
    <w:rsid w:val="009A290D"/>
    <w:rsid w:val="009A2F81"/>
    <w:rsid w:val="009A399A"/>
    <w:rsid w:val="009A3BAC"/>
    <w:rsid w:val="009A4018"/>
    <w:rsid w:val="009A4D46"/>
    <w:rsid w:val="009A6868"/>
    <w:rsid w:val="009A74F8"/>
    <w:rsid w:val="009B1209"/>
    <w:rsid w:val="009B1748"/>
    <w:rsid w:val="009B2192"/>
    <w:rsid w:val="009B4A30"/>
    <w:rsid w:val="009B5190"/>
    <w:rsid w:val="009B5381"/>
    <w:rsid w:val="009B651A"/>
    <w:rsid w:val="009B654F"/>
    <w:rsid w:val="009B7714"/>
    <w:rsid w:val="009C0EB1"/>
    <w:rsid w:val="009C16DF"/>
    <w:rsid w:val="009C1FDC"/>
    <w:rsid w:val="009C2E08"/>
    <w:rsid w:val="009C349B"/>
    <w:rsid w:val="009C35AD"/>
    <w:rsid w:val="009C40FB"/>
    <w:rsid w:val="009C4804"/>
    <w:rsid w:val="009C63C0"/>
    <w:rsid w:val="009C68E3"/>
    <w:rsid w:val="009C707D"/>
    <w:rsid w:val="009D04CD"/>
    <w:rsid w:val="009D104E"/>
    <w:rsid w:val="009D1FDF"/>
    <w:rsid w:val="009D28B4"/>
    <w:rsid w:val="009D34B1"/>
    <w:rsid w:val="009D3524"/>
    <w:rsid w:val="009D3BA4"/>
    <w:rsid w:val="009D4257"/>
    <w:rsid w:val="009D4331"/>
    <w:rsid w:val="009D438B"/>
    <w:rsid w:val="009D4F65"/>
    <w:rsid w:val="009D5236"/>
    <w:rsid w:val="009D58DC"/>
    <w:rsid w:val="009D5D8B"/>
    <w:rsid w:val="009D65BA"/>
    <w:rsid w:val="009D75CE"/>
    <w:rsid w:val="009E0903"/>
    <w:rsid w:val="009E1667"/>
    <w:rsid w:val="009E1CA8"/>
    <w:rsid w:val="009E2297"/>
    <w:rsid w:val="009E28E1"/>
    <w:rsid w:val="009E30A9"/>
    <w:rsid w:val="009E38C1"/>
    <w:rsid w:val="009E49F2"/>
    <w:rsid w:val="009E5641"/>
    <w:rsid w:val="009E640B"/>
    <w:rsid w:val="009E6780"/>
    <w:rsid w:val="009E67F1"/>
    <w:rsid w:val="009E79EC"/>
    <w:rsid w:val="009F0E28"/>
    <w:rsid w:val="009F0F3C"/>
    <w:rsid w:val="009F1172"/>
    <w:rsid w:val="009F153B"/>
    <w:rsid w:val="009F21E1"/>
    <w:rsid w:val="009F3F9B"/>
    <w:rsid w:val="009F4D99"/>
    <w:rsid w:val="009F50F0"/>
    <w:rsid w:val="009F5CFF"/>
    <w:rsid w:val="009F76D9"/>
    <w:rsid w:val="00A00BCC"/>
    <w:rsid w:val="00A01327"/>
    <w:rsid w:val="00A013B5"/>
    <w:rsid w:val="00A0141D"/>
    <w:rsid w:val="00A018E7"/>
    <w:rsid w:val="00A03224"/>
    <w:rsid w:val="00A033FB"/>
    <w:rsid w:val="00A036C6"/>
    <w:rsid w:val="00A03911"/>
    <w:rsid w:val="00A03CDD"/>
    <w:rsid w:val="00A05140"/>
    <w:rsid w:val="00A05E92"/>
    <w:rsid w:val="00A0627D"/>
    <w:rsid w:val="00A06FC9"/>
    <w:rsid w:val="00A1033D"/>
    <w:rsid w:val="00A10DE1"/>
    <w:rsid w:val="00A11D59"/>
    <w:rsid w:val="00A123C7"/>
    <w:rsid w:val="00A13029"/>
    <w:rsid w:val="00A130E1"/>
    <w:rsid w:val="00A13853"/>
    <w:rsid w:val="00A13B34"/>
    <w:rsid w:val="00A14E44"/>
    <w:rsid w:val="00A14E66"/>
    <w:rsid w:val="00A15240"/>
    <w:rsid w:val="00A153ED"/>
    <w:rsid w:val="00A1739B"/>
    <w:rsid w:val="00A173E2"/>
    <w:rsid w:val="00A178FD"/>
    <w:rsid w:val="00A20730"/>
    <w:rsid w:val="00A21A69"/>
    <w:rsid w:val="00A22538"/>
    <w:rsid w:val="00A2403A"/>
    <w:rsid w:val="00A24B9D"/>
    <w:rsid w:val="00A25C35"/>
    <w:rsid w:val="00A25CC3"/>
    <w:rsid w:val="00A26516"/>
    <w:rsid w:val="00A26BF0"/>
    <w:rsid w:val="00A27E2B"/>
    <w:rsid w:val="00A33264"/>
    <w:rsid w:val="00A33619"/>
    <w:rsid w:val="00A33B7B"/>
    <w:rsid w:val="00A33DCC"/>
    <w:rsid w:val="00A34039"/>
    <w:rsid w:val="00A340CC"/>
    <w:rsid w:val="00A3443F"/>
    <w:rsid w:val="00A34AF9"/>
    <w:rsid w:val="00A3552E"/>
    <w:rsid w:val="00A37310"/>
    <w:rsid w:val="00A37EDA"/>
    <w:rsid w:val="00A37FAE"/>
    <w:rsid w:val="00A40243"/>
    <w:rsid w:val="00A404E8"/>
    <w:rsid w:val="00A417FA"/>
    <w:rsid w:val="00A42760"/>
    <w:rsid w:val="00A43F38"/>
    <w:rsid w:val="00A443C7"/>
    <w:rsid w:val="00A444DB"/>
    <w:rsid w:val="00A451B5"/>
    <w:rsid w:val="00A458B3"/>
    <w:rsid w:val="00A45B60"/>
    <w:rsid w:val="00A45E02"/>
    <w:rsid w:val="00A45E73"/>
    <w:rsid w:val="00A45FC6"/>
    <w:rsid w:val="00A46676"/>
    <w:rsid w:val="00A472AE"/>
    <w:rsid w:val="00A47FF9"/>
    <w:rsid w:val="00A50914"/>
    <w:rsid w:val="00A50B77"/>
    <w:rsid w:val="00A50EB6"/>
    <w:rsid w:val="00A52CCF"/>
    <w:rsid w:val="00A5390B"/>
    <w:rsid w:val="00A5393A"/>
    <w:rsid w:val="00A545C7"/>
    <w:rsid w:val="00A5551F"/>
    <w:rsid w:val="00A55AAB"/>
    <w:rsid w:val="00A56CA8"/>
    <w:rsid w:val="00A61F24"/>
    <w:rsid w:val="00A6283B"/>
    <w:rsid w:val="00A62E17"/>
    <w:rsid w:val="00A63059"/>
    <w:rsid w:val="00A640AF"/>
    <w:rsid w:val="00A65CAA"/>
    <w:rsid w:val="00A662CF"/>
    <w:rsid w:val="00A668F2"/>
    <w:rsid w:val="00A67A25"/>
    <w:rsid w:val="00A70F0C"/>
    <w:rsid w:val="00A721CF"/>
    <w:rsid w:val="00A7277A"/>
    <w:rsid w:val="00A72D0A"/>
    <w:rsid w:val="00A7320C"/>
    <w:rsid w:val="00A73753"/>
    <w:rsid w:val="00A766FD"/>
    <w:rsid w:val="00A7681E"/>
    <w:rsid w:val="00A80353"/>
    <w:rsid w:val="00A8193F"/>
    <w:rsid w:val="00A820E7"/>
    <w:rsid w:val="00A82DF8"/>
    <w:rsid w:val="00A84259"/>
    <w:rsid w:val="00A84E48"/>
    <w:rsid w:val="00A85668"/>
    <w:rsid w:val="00A86F38"/>
    <w:rsid w:val="00A87668"/>
    <w:rsid w:val="00A907DA"/>
    <w:rsid w:val="00A92140"/>
    <w:rsid w:val="00A925BC"/>
    <w:rsid w:val="00A92FE7"/>
    <w:rsid w:val="00A9333E"/>
    <w:rsid w:val="00A9445C"/>
    <w:rsid w:val="00A945A6"/>
    <w:rsid w:val="00A94EC5"/>
    <w:rsid w:val="00A9554E"/>
    <w:rsid w:val="00AA1A73"/>
    <w:rsid w:val="00AA24C0"/>
    <w:rsid w:val="00AA2C81"/>
    <w:rsid w:val="00AA31F2"/>
    <w:rsid w:val="00AA360B"/>
    <w:rsid w:val="00AA3E97"/>
    <w:rsid w:val="00AA406C"/>
    <w:rsid w:val="00AA4592"/>
    <w:rsid w:val="00AA4F9F"/>
    <w:rsid w:val="00AA5E1B"/>
    <w:rsid w:val="00AA7256"/>
    <w:rsid w:val="00AA756A"/>
    <w:rsid w:val="00AB0987"/>
    <w:rsid w:val="00AB1686"/>
    <w:rsid w:val="00AB1920"/>
    <w:rsid w:val="00AB2259"/>
    <w:rsid w:val="00AB2A48"/>
    <w:rsid w:val="00AB3900"/>
    <w:rsid w:val="00AB5B2A"/>
    <w:rsid w:val="00AB5D56"/>
    <w:rsid w:val="00AB63DF"/>
    <w:rsid w:val="00AB693C"/>
    <w:rsid w:val="00AB6C8F"/>
    <w:rsid w:val="00AB7215"/>
    <w:rsid w:val="00AB7453"/>
    <w:rsid w:val="00AB7ACD"/>
    <w:rsid w:val="00AC005D"/>
    <w:rsid w:val="00AC029A"/>
    <w:rsid w:val="00AC14DE"/>
    <w:rsid w:val="00AC2070"/>
    <w:rsid w:val="00AC4795"/>
    <w:rsid w:val="00AC5125"/>
    <w:rsid w:val="00AC56C2"/>
    <w:rsid w:val="00AC5DEA"/>
    <w:rsid w:val="00AC5E19"/>
    <w:rsid w:val="00AC66F2"/>
    <w:rsid w:val="00AD17BD"/>
    <w:rsid w:val="00AD17F1"/>
    <w:rsid w:val="00AD1F6D"/>
    <w:rsid w:val="00AD2723"/>
    <w:rsid w:val="00AD2FB3"/>
    <w:rsid w:val="00AD3CAF"/>
    <w:rsid w:val="00AD445D"/>
    <w:rsid w:val="00AD56D5"/>
    <w:rsid w:val="00AD69FF"/>
    <w:rsid w:val="00AD6EA4"/>
    <w:rsid w:val="00AD6F47"/>
    <w:rsid w:val="00AD7AAB"/>
    <w:rsid w:val="00AE0AD7"/>
    <w:rsid w:val="00AE0C51"/>
    <w:rsid w:val="00AE10D4"/>
    <w:rsid w:val="00AE2077"/>
    <w:rsid w:val="00AE2781"/>
    <w:rsid w:val="00AE2D52"/>
    <w:rsid w:val="00AE5C52"/>
    <w:rsid w:val="00AE6233"/>
    <w:rsid w:val="00AE6D76"/>
    <w:rsid w:val="00AE6E0A"/>
    <w:rsid w:val="00AE7D91"/>
    <w:rsid w:val="00AE7DC4"/>
    <w:rsid w:val="00AE7E33"/>
    <w:rsid w:val="00AF0036"/>
    <w:rsid w:val="00AF021A"/>
    <w:rsid w:val="00AF045F"/>
    <w:rsid w:val="00AF0F85"/>
    <w:rsid w:val="00AF0FA2"/>
    <w:rsid w:val="00AF0FDD"/>
    <w:rsid w:val="00AF1404"/>
    <w:rsid w:val="00AF1450"/>
    <w:rsid w:val="00AF1ECD"/>
    <w:rsid w:val="00AF4C4A"/>
    <w:rsid w:val="00AF5215"/>
    <w:rsid w:val="00AF54D5"/>
    <w:rsid w:val="00AF5A70"/>
    <w:rsid w:val="00AF5AF1"/>
    <w:rsid w:val="00AF5C5C"/>
    <w:rsid w:val="00AF7453"/>
    <w:rsid w:val="00B01DAC"/>
    <w:rsid w:val="00B022BE"/>
    <w:rsid w:val="00B027AC"/>
    <w:rsid w:val="00B03015"/>
    <w:rsid w:val="00B03062"/>
    <w:rsid w:val="00B03FB1"/>
    <w:rsid w:val="00B04D30"/>
    <w:rsid w:val="00B054F8"/>
    <w:rsid w:val="00B05799"/>
    <w:rsid w:val="00B0581C"/>
    <w:rsid w:val="00B05DE2"/>
    <w:rsid w:val="00B07A16"/>
    <w:rsid w:val="00B07B59"/>
    <w:rsid w:val="00B12552"/>
    <w:rsid w:val="00B150AA"/>
    <w:rsid w:val="00B15829"/>
    <w:rsid w:val="00B158D9"/>
    <w:rsid w:val="00B161B7"/>
    <w:rsid w:val="00B161C1"/>
    <w:rsid w:val="00B17805"/>
    <w:rsid w:val="00B17A9D"/>
    <w:rsid w:val="00B21C2F"/>
    <w:rsid w:val="00B22523"/>
    <w:rsid w:val="00B23E65"/>
    <w:rsid w:val="00B24114"/>
    <w:rsid w:val="00B24733"/>
    <w:rsid w:val="00B249B7"/>
    <w:rsid w:val="00B24E6A"/>
    <w:rsid w:val="00B2532D"/>
    <w:rsid w:val="00B26B8F"/>
    <w:rsid w:val="00B2764E"/>
    <w:rsid w:val="00B27A2E"/>
    <w:rsid w:val="00B27F22"/>
    <w:rsid w:val="00B305BD"/>
    <w:rsid w:val="00B30E77"/>
    <w:rsid w:val="00B30FDE"/>
    <w:rsid w:val="00B324C2"/>
    <w:rsid w:val="00B325B4"/>
    <w:rsid w:val="00B33F27"/>
    <w:rsid w:val="00B3414B"/>
    <w:rsid w:val="00B34B88"/>
    <w:rsid w:val="00B3662F"/>
    <w:rsid w:val="00B3692E"/>
    <w:rsid w:val="00B373F2"/>
    <w:rsid w:val="00B3776B"/>
    <w:rsid w:val="00B37A25"/>
    <w:rsid w:val="00B4186C"/>
    <w:rsid w:val="00B41E2F"/>
    <w:rsid w:val="00B43AA2"/>
    <w:rsid w:val="00B44032"/>
    <w:rsid w:val="00B44412"/>
    <w:rsid w:val="00B4528D"/>
    <w:rsid w:val="00B456CC"/>
    <w:rsid w:val="00B46001"/>
    <w:rsid w:val="00B460AB"/>
    <w:rsid w:val="00B478EF"/>
    <w:rsid w:val="00B50053"/>
    <w:rsid w:val="00B50A2B"/>
    <w:rsid w:val="00B50A46"/>
    <w:rsid w:val="00B51A1D"/>
    <w:rsid w:val="00B51BAD"/>
    <w:rsid w:val="00B51F5C"/>
    <w:rsid w:val="00B550E5"/>
    <w:rsid w:val="00B55BE4"/>
    <w:rsid w:val="00B564A3"/>
    <w:rsid w:val="00B56514"/>
    <w:rsid w:val="00B56551"/>
    <w:rsid w:val="00B56587"/>
    <w:rsid w:val="00B57399"/>
    <w:rsid w:val="00B575FC"/>
    <w:rsid w:val="00B57AE3"/>
    <w:rsid w:val="00B57AE9"/>
    <w:rsid w:val="00B57CA2"/>
    <w:rsid w:val="00B61880"/>
    <w:rsid w:val="00B61C7B"/>
    <w:rsid w:val="00B638BD"/>
    <w:rsid w:val="00B65EB5"/>
    <w:rsid w:val="00B65F47"/>
    <w:rsid w:val="00B66555"/>
    <w:rsid w:val="00B67438"/>
    <w:rsid w:val="00B70C93"/>
    <w:rsid w:val="00B71B6E"/>
    <w:rsid w:val="00B720A5"/>
    <w:rsid w:val="00B72CEC"/>
    <w:rsid w:val="00B73156"/>
    <w:rsid w:val="00B73802"/>
    <w:rsid w:val="00B74190"/>
    <w:rsid w:val="00B74929"/>
    <w:rsid w:val="00B74F0A"/>
    <w:rsid w:val="00B76767"/>
    <w:rsid w:val="00B7716B"/>
    <w:rsid w:val="00B777E6"/>
    <w:rsid w:val="00B80134"/>
    <w:rsid w:val="00B80707"/>
    <w:rsid w:val="00B81305"/>
    <w:rsid w:val="00B8160A"/>
    <w:rsid w:val="00B816FA"/>
    <w:rsid w:val="00B81C65"/>
    <w:rsid w:val="00B82727"/>
    <w:rsid w:val="00B8273A"/>
    <w:rsid w:val="00B83623"/>
    <w:rsid w:val="00B85E8C"/>
    <w:rsid w:val="00B861D4"/>
    <w:rsid w:val="00B870B9"/>
    <w:rsid w:val="00B8737A"/>
    <w:rsid w:val="00B87675"/>
    <w:rsid w:val="00B910DF"/>
    <w:rsid w:val="00B91CA1"/>
    <w:rsid w:val="00B922B9"/>
    <w:rsid w:val="00B92F1A"/>
    <w:rsid w:val="00B93DF7"/>
    <w:rsid w:val="00B940B1"/>
    <w:rsid w:val="00B94FA1"/>
    <w:rsid w:val="00B95043"/>
    <w:rsid w:val="00B96E00"/>
    <w:rsid w:val="00B9749F"/>
    <w:rsid w:val="00B97827"/>
    <w:rsid w:val="00B97DD5"/>
    <w:rsid w:val="00BA1CB7"/>
    <w:rsid w:val="00BA2412"/>
    <w:rsid w:val="00BA3026"/>
    <w:rsid w:val="00BA359B"/>
    <w:rsid w:val="00BA3EFF"/>
    <w:rsid w:val="00BA4972"/>
    <w:rsid w:val="00BA5573"/>
    <w:rsid w:val="00BA5FE7"/>
    <w:rsid w:val="00BB1C24"/>
    <w:rsid w:val="00BB1C3B"/>
    <w:rsid w:val="00BB238A"/>
    <w:rsid w:val="00BB2580"/>
    <w:rsid w:val="00BB27EC"/>
    <w:rsid w:val="00BB3774"/>
    <w:rsid w:val="00BB37EE"/>
    <w:rsid w:val="00BB4D7B"/>
    <w:rsid w:val="00BB4F71"/>
    <w:rsid w:val="00BB52F7"/>
    <w:rsid w:val="00BB530B"/>
    <w:rsid w:val="00BB58D3"/>
    <w:rsid w:val="00BB78B6"/>
    <w:rsid w:val="00BC0141"/>
    <w:rsid w:val="00BC179B"/>
    <w:rsid w:val="00BC198E"/>
    <w:rsid w:val="00BC432E"/>
    <w:rsid w:val="00BC45A1"/>
    <w:rsid w:val="00BC4C82"/>
    <w:rsid w:val="00BC5AD8"/>
    <w:rsid w:val="00BC5E8E"/>
    <w:rsid w:val="00BC6321"/>
    <w:rsid w:val="00BC66A9"/>
    <w:rsid w:val="00BC6774"/>
    <w:rsid w:val="00BC6895"/>
    <w:rsid w:val="00BC690A"/>
    <w:rsid w:val="00BC6C8B"/>
    <w:rsid w:val="00BC6EEF"/>
    <w:rsid w:val="00BC7980"/>
    <w:rsid w:val="00BD15FF"/>
    <w:rsid w:val="00BD1CF3"/>
    <w:rsid w:val="00BD28C5"/>
    <w:rsid w:val="00BD2D48"/>
    <w:rsid w:val="00BD2FEE"/>
    <w:rsid w:val="00BD410E"/>
    <w:rsid w:val="00BD4D43"/>
    <w:rsid w:val="00BD595C"/>
    <w:rsid w:val="00BD5FFE"/>
    <w:rsid w:val="00BD7695"/>
    <w:rsid w:val="00BE002F"/>
    <w:rsid w:val="00BE0A51"/>
    <w:rsid w:val="00BE0D5C"/>
    <w:rsid w:val="00BE0EE1"/>
    <w:rsid w:val="00BE1EE4"/>
    <w:rsid w:val="00BE2700"/>
    <w:rsid w:val="00BE4BDF"/>
    <w:rsid w:val="00BE55AD"/>
    <w:rsid w:val="00BE5BB9"/>
    <w:rsid w:val="00BE5F4A"/>
    <w:rsid w:val="00BE5FED"/>
    <w:rsid w:val="00BE65E4"/>
    <w:rsid w:val="00BE6852"/>
    <w:rsid w:val="00BE6CDB"/>
    <w:rsid w:val="00BE7D81"/>
    <w:rsid w:val="00BE7F37"/>
    <w:rsid w:val="00BF0AA7"/>
    <w:rsid w:val="00BF0B33"/>
    <w:rsid w:val="00BF2040"/>
    <w:rsid w:val="00BF2133"/>
    <w:rsid w:val="00BF2153"/>
    <w:rsid w:val="00BF2F97"/>
    <w:rsid w:val="00BF3E56"/>
    <w:rsid w:val="00BF4864"/>
    <w:rsid w:val="00BF4A56"/>
    <w:rsid w:val="00BF57B9"/>
    <w:rsid w:val="00BF5961"/>
    <w:rsid w:val="00BF70F9"/>
    <w:rsid w:val="00BF7943"/>
    <w:rsid w:val="00BF7A98"/>
    <w:rsid w:val="00C00462"/>
    <w:rsid w:val="00C00678"/>
    <w:rsid w:val="00C00765"/>
    <w:rsid w:val="00C00E26"/>
    <w:rsid w:val="00C01097"/>
    <w:rsid w:val="00C03926"/>
    <w:rsid w:val="00C03A2E"/>
    <w:rsid w:val="00C051F1"/>
    <w:rsid w:val="00C05AE8"/>
    <w:rsid w:val="00C06287"/>
    <w:rsid w:val="00C06761"/>
    <w:rsid w:val="00C1194B"/>
    <w:rsid w:val="00C11C29"/>
    <w:rsid w:val="00C12309"/>
    <w:rsid w:val="00C1517E"/>
    <w:rsid w:val="00C15E9C"/>
    <w:rsid w:val="00C17219"/>
    <w:rsid w:val="00C17BE1"/>
    <w:rsid w:val="00C20124"/>
    <w:rsid w:val="00C20631"/>
    <w:rsid w:val="00C20D5E"/>
    <w:rsid w:val="00C23583"/>
    <w:rsid w:val="00C240B7"/>
    <w:rsid w:val="00C24861"/>
    <w:rsid w:val="00C24EE9"/>
    <w:rsid w:val="00C25EFF"/>
    <w:rsid w:val="00C2651B"/>
    <w:rsid w:val="00C26578"/>
    <w:rsid w:val="00C26D19"/>
    <w:rsid w:val="00C276C9"/>
    <w:rsid w:val="00C30F1B"/>
    <w:rsid w:val="00C312CC"/>
    <w:rsid w:val="00C31D08"/>
    <w:rsid w:val="00C31D10"/>
    <w:rsid w:val="00C32F9D"/>
    <w:rsid w:val="00C33CC9"/>
    <w:rsid w:val="00C36C67"/>
    <w:rsid w:val="00C3742A"/>
    <w:rsid w:val="00C4066A"/>
    <w:rsid w:val="00C406A7"/>
    <w:rsid w:val="00C4096E"/>
    <w:rsid w:val="00C40D0E"/>
    <w:rsid w:val="00C44035"/>
    <w:rsid w:val="00C44A93"/>
    <w:rsid w:val="00C44F96"/>
    <w:rsid w:val="00C469FC"/>
    <w:rsid w:val="00C46E78"/>
    <w:rsid w:val="00C47045"/>
    <w:rsid w:val="00C50F62"/>
    <w:rsid w:val="00C51DF7"/>
    <w:rsid w:val="00C5255D"/>
    <w:rsid w:val="00C53607"/>
    <w:rsid w:val="00C569F9"/>
    <w:rsid w:val="00C56BAB"/>
    <w:rsid w:val="00C574F9"/>
    <w:rsid w:val="00C57950"/>
    <w:rsid w:val="00C57E14"/>
    <w:rsid w:val="00C6010A"/>
    <w:rsid w:val="00C6015C"/>
    <w:rsid w:val="00C602B7"/>
    <w:rsid w:val="00C60D92"/>
    <w:rsid w:val="00C612BF"/>
    <w:rsid w:val="00C62398"/>
    <w:rsid w:val="00C63C59"/>
    <w:rsid w:val="00C640E5"/>
    <w:rsid w:val="00C65930"/>
    <w:rsid w:val="00C66111"/>
    <w:rsid w:val="00C705A7"/>
    <w:rsid w:val="00C706D1"/>
    <w:rsid w:val="00C71C4B"/>
    <w:rsid w:val="00C72902"/>
    <w:rsid w:val="00C732D5"/>
    <w:rsid w:val="00C7461F"/>
    <w:rsid w:val="00C746AD"/>
    <w:rsid w:val="00C753CA"/>
    <w:rsid w:val="00C75AB0"/>
    <w:rsid w:val="00C75E53"/>
    <w:rsid w:val="00C761FA"/>
    <w:rsid w:val="00C7654E"/>
    <w:rsid w:val="00C76E93"/>
    <w:rsid w:val="00C771D3"/>
    <w:rsid w:val="00C77504"/>
    <w:rsid w:val="00C776C9"/>
    <w:rsid w:val="00C77779"/>
    <w:rsid w:val="00C82AA4"/>
    <w:rsid w:val="00C8305C"/>
    <w:rsid w:val="00C844D6"/>
    <w:rsid w:val="00C85FF6"/>
    <w:rsid w:val="00C87445"/>
    <w:rsid w:val="00C87BF4"/>
    <w:rsid w:val="00C905CE"/>
    <w:rsid w:val="00C91778"/>
    <w:rsid w:val="00C9326B"/>
    <w:rsid w:val="00C95691"/>
    <w:rsid w:val="00C95B98"/>
    <w:rsid w:val="00C95CC0"/>
    <w:rsid w:val="00C95EF8"/>
    <w:rsid w:val="00C96A47"/>
    <w:rsid w:val="00C970CE"/>
    <w:rsid w:val="00CA07B2"/>
    <w:rsid w:val="00CA1ECD"/>
    <w:rsid w:val="00CA2717"/>
    <w:rsid w:val="00CA3D73"/>
    <w:rsid w:val="00CA4C7F"/>
    <w:rsid w:val="00CA4E4E"/>
    <w:rsid w:val="00CA5235"/>
    <w:rsid w:val="00CA6124"/>
    <w:rsid w:val="00CA6D36"/>
    <w:rsid w:val="00CB0004"/>
    <w:rsid w:val="00CB02B9"/>
    <w:rsid w:val="00CB0B8C"/>
    <w:rsid w:val="00CB13B7"/>
    <w:rsid w:val="00CB15F8"/>
    <w:rsid w:val="00CB29DC"/>
    <w:rsid w:val="00CB400D"/>
    <w:rsid w:val="00CB4468"/>
    <w:rsid w:val="00CB4A96"/>
    <w:rsid w:val="00CB4AE8"/>
    <w:rsid w:val="00CB61E7"/>
    <w:rsid w:val="00CB7087"/>
    <w:rsid w:val="00CB723D"/>
    <w:rsid w:val="00CC1840"/>
    <w:rsid w:val="00CC2169"/>
    <w:rsid w:val="00CC23B7"/>
    <w:rsid w:val="00CC379C"/>
    <w:rsid w:val="00CC3921"/>
    <w:rsid w:val="00CC3BE3"/>
    <w:rsid w:val="00CC41EE"/>
    <w:rsid w:val="00CC5E22"/>
    <w:rsid w:val="00CC681E"/>
    <w:rsid w:val="00CD061B"/>
    <w:rsid w:val="00CD082D"/>
    <w:rsid w:val="00CD0BF5"/>
    <w:rsid w:val="00CD0FA4"/>
    <w:rsid w:val="00CD1089"/>
    <w:rsid w:val="00CD1254"/>
    <w:rsid w:val="00CD1BCD"/>
    <w:rsid w:val="00CD41F8"/>
    <w:rsid w:val="00CD4260"/>
    <w:rsid w:val="00CD6D52"/>
    <w:rsid w:val="00CD6D61"/>
    <w:rsid w:val="00CD6DF6"/>
    <w:rsid w:val="00CD71AE"/>
    <w:rsid w:val="00CD7D66"/>
    <w:rsid w:val="00CD7FFC"/>
    <w:rsid w:val="00CE0547"/>
    <w:rsid w:val="00CE0625"/>
    <w:rsid w:val="00CE0D8E"/>
    <w:rsid w:val="00CE1B45"/>
    <w:rsid w:val="00CE2C6E"/>
    <w:rsid w:val="00CE2D75"/>
    <w:rsid w:val="00CE30C1"/>
    <w:rsid w:val="00CE42E1"/>
    <w:rsid w:val="00CE5ABD"/>
    <w:rsid w:val="00CE6004"/>
    <w:rsid w:val="00CE6046"/>
    <w:rsid w:val="00CE6C66"/>
    <w:rsid w:val="00CE702B"/>
    <w:rsid w:val="00CE799B"/>
    <w:rsid w:val="00CE7CD2"/>
    <w:rsid w:val="00CF0DB7"/>
    <w:rsid w:val="00CF321C"/>
    <w:rsid w:val="00CF34D0"/>
    <w:rsid w:val="00CF3EBD"/>
    <w:rsid w:val="00CF42B7"/>
    <w:rsid w:val="00CF4707"/>
    <w:rsid w:val="00CF4AD5"/>
    <w:rsid w:val="00CF4FE6"/>
    <w:rsid w:val="00CF556F"/>
    <w:rsid w:val="00CF5768"/>
    <w:rsid w:val="00CF5974"/>
    <w:rsid w:val="00CF7F12"/>
    <w:rsid w:val="00D0030F"/>
    <w:rsid w:val="00D0445F"/>
    <w:rsid w:val="00D05265"/>
    <w:rsid w:val="00D059C4"/>
    <w:rsid w:val="00D0608D"/>
    <w:rsid w:val="00D061D5"/>
    <w:rsid w:val="00D06282"/>
    <w:rsid w:val="00D06E87"/>
    <w:rsid w:val="00D06EFC"/>
    <w:rsid w:val="00D074BF"/>
    <w:rsid w:val="00D109A6"/>
    <w:rsid w:val="00D10AA3"/>
    <w:rsid w:val="00D1197E"/>
    <w:rsid w:val="00D1219A"/>
    <w:rsid w:val="00D122E5"/>
    <w:rsid w:val="00D12B46"/>
    <w:rsid w:val="00D1330C"/>
    <w:rsid w:val="00D14164"/>
    <w:rsid w:val="00D15D3D"/>
    <w:rsid w:val="00D1619E"/>
    <w:rsid w:val="00D17BE7"/>
    <w:rsid w:val="00D219C1"/>
    <w:rsid w:val="00D2263F"/>
    <w:rsid w:val="00D22C33"/>
    <w:rsid w:val="00D23388"/>
    <w:rsid w:val="00D237AC"/>
    <w:rsid w:val="00D257EE"/>
    <w:rsid w:val="00D259ED"/>
    <w:rsid w:val="00D27373"/>
    <w:rsid w:val="00D27495"/>
    <w:rsid w:val="00D301D0"/>
    <w:rsid w:val="00D30462"/>
    <w:rsid w:val="00D31963"/>
    <w:rsid w:val="00D31A0A"/>
    <w:rsid w:val="00D31D5A"/>
    <w:rsid w:val="00D32126"/>
    <w:rsid w:val="00D32833"/>
    <w:rsid w:val="00D32F02"/>
    <w:rsid w:val="00D33DA7"/>
    <w:rsid w:val="00D34626"/>
    <w:rsid w:val="00D34861"/>
    <w:rsid w:val="00D34908"/>
    <w:rsid w:val="00D34F0E"/>
    <w:rsid w:val="00D3507E"/>
    <w:rsid w:val="00D354D0"/>
    <w:rsid w:val="00D37B86"/>
    <w:rsid w:val="00D40959"/>
    <w:rsid w:val="00D41D9A"/>
    <w:rsid w:val="00D433B0"/>
    <w:rsid w:val="00D43420"/>
    <w:rsid w:val="00D43A93"/>
    <w:rsid w:val="00D4711E"/>
    <w:rsid w:val="00D472D8"/>
    <w:rsid w:val="00D4756C"/>
    <w:rsid w:val="00D5051D"/>
    <w:rsid w:val="00D50EB6"/>
    <w:rsid w:val="00D519D7"/>
    <w:rsid w:val="00D5235E"/>
    <w:rsid w:val="00D5255B"/>
    <w:rsid w:val="00D526A5"/>
    <w:rsid w:val="00D53275"/>
    <w:rsid w:val="00D538F6"/>
    <w:rsid w:val="00D53ECD"/>
    <w:rsid w:val="00D5453B"/>
    <w:rsid w:val="00D5457D"/>
    <w:rsid w:val="00D54EF5"/>
    <w:rsid w:val="00D55199"/>
    <w:rsid w:val="00D56FF4"/>
    <w:rsid w:val="00D604B2"/>
    <w:rsid w:val="00D607E5"/>
    <w:rsid w:val="00D61D5B"/>
    <w:rsid w:val="00D62105"/>
    <w:rsid w:val="00D6213A"/>
    <w:rsid w:val="00D65A9F"/>
    <w:rsid w:val="00D66768"/>
    <w:rsid w:val="00D66947"/>
    <w:rsid w:val="00D66BA4"/>
    <w:rsid w:val="00D678A7"/>
    <w:rsid w:val="00D67F3D"/>
    <w:rsid w:val="00D70BEF"/>
    <w:rsid w:val="00D72253"/>
    <w:rsid w:val="00D733F9"/>
    <w:rsid w:val="00D73760"/>
    <w:rsid w:val="00D74036"/>
    <w:rsid w:val="00D743A0"/>
    <w:rsid w:val="00D74D20"/>
    <w:rsid w:val="00D74F3B"/>
    <w:rsid w:val="00D759C7"/>
    <w:rsid w:val="00D76301"/>
    <w:rsid w:val="00D76A03"/>
    <w:rsid w:val="00D802BD"/>
    <w:rsid w:val="00D808EE"/>
    <w:rsid w:val="00D82B72"/>
    <w:rsid w:val="00D867D8"/>
    <w:rsid w:val="00D87021"/>
    <w:rsid w:val="00D87B9F"/>
    <w:rsid w:val="00D87FE7"/>
    <w:rsid w:val="00D907F8"/>
    <w:rsid w:val="00D90FFB"/>
    <w:rsid w:val="00D91002"/>
    <w:rsid w:val="00D91885"/>
    <w:rsid w:val="00D92E37"/>
    <w:rsid w:val="00D93172"/>
    <w:rsid w:val="00D93663"/>
    <w:rsid w:val="00D93918"/>
    <w:rsid w:val="00D93CA8"/>
    <w:rsid w:val="00D94097"/>
    <w:rsid w:val="00D94D53"/>
    <w:rsid w:val="00D95DDC"/>
    <w:rsid w:val="00D961A6"/>
    <w:rsid w:val="00D9672E"/>
    <w:rsid w:val="00D96B60"/>
    <w:rsid w:val="00D976A3"/>
    <w:rsid w:val="00DA0634"/>
    <w:rsid w:val="00DA177E"/>
    <w:rsid w:val="00DA2AF7"/>
    <w:rsid w:val="00DA3E6F"/>
    <w:rsid w:val="00DA437B"/>
    <w:rsid w:val="00DA447F"/>
    <w:rsid w:val="00DA4708"/>
    <w:rsid w:val="00DA47A6"/>
    <w:rsid w:val="00DA5104"/>
    <w:rsid w:val="00DA62C5"/>
    <w:rsid w:val="00DA6D04"/>
    <w:rsid w:val="00DA72AA"/>
    <w:rsid w:val="00DA7CB8"/>
    <w:rsid w:val="00DA7DA7"/>
    <w:rsid w:val="00DB0C91"/>
    <w:rsid w:val="00DB0CB2"/>
    <w:rsid w:val="00DB13A0"/>
    <w:rsid w:val="00DB1A89"/>
    <w:rsid w:val="00DB3221"/>
    <w:rsid w:val="00DB48C4"/>
    <w:rsid w:val="00DB49BC"/>
    <w:rsid w:val="00DB651C"/>
    <w:rsid w:val="00DB6CC0"/>
    <w:rsid w:val="00DC08BC"/>
    <w:rsid w:val="00DC0E31"/>
    <w:rsid w:val="00DC1F63"/>
    <w:rsid w:val="00DC216D"/>
    <w:rsid w:val="00DC22FD"/>
    <w:rsid w:val="00DC2E78"/>
    <w:rsid w:val="00DC4F66"/>
    <w:rsid w:val="00DC5ED5"/>
    <w:rsid w:val="00DC72DE"/>
    <w:rsid w:val="00DC7A0F"/>
    <w:rsid w:val="00DD076E"/>
    <w:rsid w:val="00DD1011"/>
    <w:rsid w:val="00DD16BF"/>
    <w:rsid w:val="00DD1881"/>
    <w:rsid w:val="00DD2BF8"/>
    <w:rsid w:val="00DD3B83"/>
    <w:rsid w:val="00DD53F2"/>
    <w:rsid w:val="00DD66BF"/>
    <w:rsid w:val="00DD6B2B"/>
    <w:rsid w:val="00DD6E01"/>
    <w:rsid w:val="00DD7631"/>
    <w:rsid w:val="00DD78DE"/>
    <w:rsid w:val="00DE221F"/>
    <w:rsid w:val="00DE2359"/>
    <w:rsid w:val="00DE3A2A"/>
    <w:rsid w:val="00DE3EEB"/>
    <w:rsid w:val="00DE5036"/>
    <w:rsid w:val="00DE55E6"/>
    <w:rsid w:val="00DE570A"/>
    <w:rsid w:val="00DE5A28"/>
    <w:rsid w:val="00DE5DBB"/>
    <w:rsid w:val="00DE6689"/>
    <w:rsid w:val="00DF169D"/>
    <w:rsid w:val="00DF18A1"/>
    <w:rsid w:val="00DF2183"/>
    <w:rsid w:val="00DF2899"/>
    <w:rsid w:val="00DF45FA"/>
    <w:rsid w:val="00DF4A68"/>
    <w:rsid w:val="00DF53A0"/>
    <w:rsid w:val="00DF5E40"/>
    <w:rsid w:val="00DF6D99"/>
    <w:rsid w:val="00DF7720"/>
    <w:rsid w:val="00DF7AE1"/>
    <w:rsid w:val="00E00807"/>
    <w:rsid w:val="00E00EC9"/>
    <w:rsid w:val="00E0241F"/>
    <w:rsid w:val="00E04482"/>
    <w:rsid w:val="00E044B3"/>
    <w:rsid w:val="00E04D37"/>
    <w:rsid w:val="00E05618"/>
    <w:rsid w:val="00E05840"/>
    <w:rsid w:val="00E05C11"/>
    <w:rsid w:val="00E067E0"/>
    <w:rsid w:val="00E07968"/>
    <w:rsid w:val="00E07F88"/>
    <w:rsid w:val="00E10BA8"/>
    <w:rsid w:val="00E117C8"/>
    <w:rsid w:val="00E12448"/>
    <w:rsid w:val="00E13050"/>
    <w:rsid w:val="00E13D91"/>
    <w:rsid w:val="00E14683"/>
    <w:rsid w:val="00E153FC"/>
    <w:rsid w:val="00E207DB"/>
    <w:rsid w:val="00E20E03"/>
    <w:rsid w:val="00E210E9"/>
    <w:rsid w:val="00E21AEC"/>
    <w:rsid w:val="00E21EFB"/>
    <w:rsid w:val="00E2222C"/>
    <w:rsid w:val="00E2267F"/>
    <w:rsid w:val="00E235D4"/>
    <w:rsid w:val="00E24DB8"/>
    <w:rsid w:val="00E257E2"/>
    <w:rsid w:val="00E25FBA"/>
    <w:rsid w:val="00E265CD"/>
    <w:rsid w:val="00E270B7"/>
    <w:rsid w:val="00E273ED"/>
    <w:rsid w:val="00E275AC"/>
    <w:rsid w:val="00E27C9F"/>
    <w:rsid w:val="00E3012B"/>
    <w:rsid w:val="00E3052B"/>
    <w:rsid w:val="00E320AA"/>
    <w:rsid w:val="00E320BF"/>
    <w:rsid w:val="00E3364B"/>
    <w:rsid w:val="00E34829"/>
    <w:rsid w:val="00E36339"/>
    <w:rsid w:val="00E36A50"/>
    <w:rsid w:val="00E36E8B"/>
    <w:rsid w:val="00E37134"/>
    <w:rsid w:val="00E379C3"/>
    <w:rsid w:val="00E41481"/>
    <w:rsid w:val="00E41532"/>
    <w:rsid w:val="00E419B5"/>
    <w:rsid w:val="00E41B22"/>
    <w:rsid w:val="00E4234D"/>
    <w:rsid w:val="00E43471"/>
    <w:rsid w:val="00E43C87"/>
    <w:rsid w:val="00E44BDB"/>
    <w:rsid w:val="00E4539C"/>
    <w:rsid w:val="00E461AA"/>
    <w:rsid w:val="00E46D58"/>
    <w:rsid w:val="00E52430"/>
    <w:rsid w:val="00E528EB"/>
    <w:rsid w:val="00E5370B"/>
    <w:rsid w:val="00E53AC8"/>
    <w:rsid w:val="00E54791"/>
    <w:rsid w:val="00E54B55"/>
    <w:rsid w:val="00E55799"/>
    <w:rsid w:val="00E56811"/>
    <w:rsid w:val="00E56A3E"/>
    <w:rsid w:val="00E60858"/>
    <w:rsid w:val="00E6139F"/>
    <w:rsid w:val="00E61BED"/>
    <w:rsid w:val="00E61E1E"/>
    <w:rsid w:val="00E62215"/>
    <w:rsid w:val="00E62387"/>
    <w:rsid w:val="00E626B2"/>
    <w:rsid w:val="00E626EA"/>
    <w:rsid w:val="00E62FDB"/>
    <w:rsid w:val="00E641F5"/>
    <w:rsid w:val="00E64B3B"/>
    <w:rsid w:val="00E65571"/>
    <w:rsid w:val="00E6675C"/>
    <w:rsid w:val="00E67389"/>
    <w:rsid w:val="00E67D97"/>
    <w:rsid w:val="00E70F46"/>
    <w:rsid w:val="00E70FB2"/>
    <w:rsid w:val="00E714C9"/>
    <w:rsid w:val="00E71A05"/>
    <w:rsid w:val="00E723B3"/>
    <w:rsid w:val="00E742BC"/>
    <w:rsid w:val="00E74E1E"/>
    <w:rsid w:val="00E75287"/>
    <w:rsid w:val="00E76701"/>
    <w:rsid w:val="00E77F31"/>
    <w:rsid w:val="00E801B7"/>
    <w:rsid w:val="00E8092D"/>
    <w:rsid w:val="00E80AB0"/>
    <w:rsid w:val="00E82B59"/>
    <w:rsid w:val="00E82D93"/>
    <w:rsid w:val="00E82FE2"/>
    <w:rsid w:val="00E831BD"/>
    <w:rsid w:val="00E8435E"/>
    <w:rsid w:val="00E85ED0"/>
    <w:rsid w:val="00E85F75"/>
    <w:rsid w:val="00E86976"/>
    <w:rsid w:val="00E869ED"/>
    <w:rsid w:val="00E902E7"/>
    <w:rsid w:val="00E90886"/>
    <w:rsid w:val="00E90B9D"/>
    <w:rsid w:val="00E91093"/>
    <w:rsid w:val="00E91CFA"/>
    <w:rsid w:val="00E923F1"/>
    <w:rsid w:val="00E9290F"/>
    <w:rsid w:val="00E92C5D"/>
    <w:rsid w:val="00E93D8A"/>
    <w:rsid w:val="00E94564"/>
    <w:rsid w:val="00E9481B"/>
    <w:rsid w:val="00E95466"/>
    <w:rsid w:val="00E96A6F"/>
    <w:rsid w:val="00EA17FD"/>
    <w:rsid w:val="00EA1B79"/>
    <w:rsid w:val="00EA1E15"/>
    <w:rsid w:val="00EA385E"/>
    <w:rsid w:val="00EA42B1"/>
    <w:rsid w:val="00EA69DB"/>
    <w:rsid w:val="00EA6D03"/>
    <w:rsid w:val="00EB0566"/>
    <w:rsid w:val="00EB198C"/>
    <w:rsid w:val="00EB1D3D"/>
    <w:rsid w:val="00EB1E56"/>
    <w:rsid w:val="00EB2320"/>
    <w:rsid w:val="00EB2594"/>
    <w:rsid w:val="00EB2A91"/>
    <w:rsid w:val="00EB3D8A"/>
    <w:rsid w:val="00EB41AB"/>
    <w:rsid w:val="00EB4AF9"/>
    <w:rsid w:val="00EB711D"/>
    <w:rsid w:val="00EB7B16"/>
    <w:rsid w:val="00EC0476"/>
    <w:rsid w:val="00EC1C02"/>
    <w:rsid w:val="00EC1C10"/>
    <w:rsid w:val="00EC2370"/>
    <w:rsid w:val="00EC257E"/>
    <w:rsid w:val="00EC2FA4"/>
    <w:rsid w:val="00EC3342"/>
    <w:rsid w:val="00EC3F8C"/>
    <w:rsid w:val="00EC5A5D"/>
    <w:rsid w:val="00EC71ED"/>
    <w:rsid w:val="00EC7486"/>
    <w:rsid w:val="00ED0E69"/>
    <w:rsid w:val="00ED1C7B"/>
    <w:rsid w:val="00ED2536"/>
    <w:rsid w:val="00ED27A5"/>
    <w:rsid w:val="00ED332B"/>
    <w:rsid w:val="00ED3E96"/>
    <w:rsid w:val="00ED756D"/>
    <w:rsid w:val="00ED7B38"/>
    <w:rsid w:val="00EE0057"/>
    <w:rsid w:val="00EE0E84"/>
    <w:rsid w:val="00EE1500"/>
    <w:rsid w:val="00EE1C17"/>
    <w:rsid w:val="00EE208F"/>
    <w:rsid w:val="00EE308D"/>
    <w:rsid w:val="00EE4285"/>
    <w:rsid w:val="00EE44C9"/>
    <w:rsid w:val="00EE46D8"/>
    <w:rsid w:val="00EE4B55"/>
    <w:rsid w:val="00EE5342"/>
    <w:rsid w:val="00EE5E8D"/>
    <w:rsid w:val="00EE6BAB"/>
    <w:rsid w:val="00EE7028"/>
    <w:rsid w:val="00EF04F3"/>
    <w:rsid w:val="00EF087C"/>
    <w:rsid w:val="00EF1AB0"/>
    <w:rsid w:val="00EF252F"/>
    <w:rsid w:val="00EF2769"/>
    <w:rsid w:val="00EF366A"/>
    <w:rsid w:val="00EF3F6F"/>
    <w:rsid w:val="00EF412F"/>
    <w:rsid w:val="00EF44EF"/>
    <w:rsid w:val="00EF4DF3"/>
    <w:rsid w:val="00EF574E"/>
    <w:rsid w:val="00EF586A"/>
    <w:rsid w:val="00EF5C2B"/>
    <w:rsid w:val="00EF7BB0"/>
    <w:rsid w:val="00F00047"/>
    <w:rsid w:val="00F001C1"/>
    <w:rsid w:val="00F01B6F"/>
    <w:rsid w:val="00F02F28"/>
    <w:rsid w:val="00F045C1"/>
    <w:rsid w:val="00F04696"/>
    <w:rsid w:val="00F068D5"/>
    <w:rsid w:val="00F068E5"/>
    <w:rsid w:val="00F071E2"/>
    <w:rsid w:val="00F077C1"/>
    <w:rsid w:val="00F0799D"/>
    <w:rsid w:val="00F10215"/>
    <w:rsid w:val="00F1130B"/>
    <w:rsid w:val="00F12744"/>
    <w:rsid w:val="00F13EE0"/>
    <w:rsid w:val="00F13F24"/>
    <w:rsid w:val="00F1419E"/>
    <w:rsid w:val="00F14620"/>
    <w:rsid w:val="00F15599"/>
    <w:rsid w:val="00F15ACE"/>
    <w:rsid w:val="00F16D6E"/>
    <w:rsid w:val="00F204A8"/>
    <w:rsid w:val="00F20692"/>
    <w:rsid w:val="00F209D8"/>
    <w:rsid w:val="00F20BA7"/>
    <w:rsid w:val="00F22096"/>
    <w:rsid w:val="00F2232D"/>
    <w:rsid w:val="00F231EE"/>
    <w:rsid w:val="00F23204"/>
    <w:rsid w:val="00F234E1"/>
    <w:rsid w:val="00F24410"/>
    <w:rsid w:val="00F25644"/>
    <w:rsid w:val="00F25791"/>
    <w:rsid w:val="00F268B8"/>
    <w:rsid w:val="00F27531"/>
    <w:rsid w:val="00F2768A"/>
    <w:rsid w:val="00F2772B"/>
    <w:rsid w:val="00F27ED1"/>
    <w:rsid w:val="00F30CF8"/>
    <w:rsid w:val="00F31315"/>
    <w:rsid w:val="00F32D9A"/>
    <w:rsid w:val="00F33463"/>
    <w:rsid w:val="00F33DCD"/>
    <w:rsid w:val="00F340E8"/>
    <w:rsid w:val="00F36138"/>
    <w:rsid w:val="00F36CFF"/>
    <w:rsid w:val="00F40408"/>
    <w:rsid w:val="00F40FB5"/>
    <w:rsid w:val="00F417F7"/>
    <w:rsid w:val="00F42301"/>
    <w:rsid w:val="00F426B6"/>
    <w:rsid w:val="00F42F5E"/>
    <w:rsid w:val="00F4628C"/>
    <w:rsid w:val="00F46297"/>
    <w:rsid w:val="00F46ABC"/>
    <w:rsid w:val="00F50B5E"/>
    <w:rsid w:val="00F5172B"/>
    <w:rsid w:val="00F51E21"/>
    <w:rsid w:val="00F52025"/>
    <w:rsid w:val="00F52A3F"/>
    <w:rsid w:val="00F530F6"/>
    <w:rsid w:val="00F53655"/>
    <w:rsid w:val="00F5380D"/>
    <w:rsid w:val="00F53C1E"/>
    <w:rsid w:val="00F53C40"/>
    <w:rsid w:val="00F55249"/>
    <w:rsid w:val="00F55290"/>
    <w:rsid w:val="00F558C6"/>
    <w:rsid w:val="00F55956"/>
    <w:rsid w:val="00F559B8"/>
    <w:rsid w:val="00F56CA9"/>
    <w:rsid w:val="00F56D34"/>
    <w:rsid w:val="00F57EE2"/>
    <w:rsid w:val="00F6071E"/>
    <w:rsid w:val="00F61142"/>
    <w:rsid w:val="00F616C5"/>
    <w:rsid w:val="00F62BD3"/>
    <w:rsid w:val="00F62CFC"/>
    <w:rsid w:val="00F62D59"/>
    <w:rsid w:val="00F639E2"/>
    <w:rsid w:val="00F63AA7"/>
    <w:rsid w:val="00F63D98"/>
    <w:rsid w:val="00F65284"/>
    <w:rsid w:val="00F66CDE"/>
    <w:rsid w:val="00F67938"/>
    <w:rsid w:val="00F7092E"/>
    <w:rsid w:val="00F70B3B"/>
    <w:rsid w:val="00F711FF"/>
    <w:rsid w:val="00F71512"/>
    <w:rsid w:val="00F72041"/>
    <w:rsid w:val="00F7408B"/>
    <w:rsid w:val="00F74363"/>
    <w:rsid w:val="00F74B86"/>
    <w:rsid w:val="00F74E0D"/>
    <w:rsid w:val="00F74FA5"/>
    <w:rsid w:val="00F75096"/>
    <w:rsid w:val="00F75A7C"/>
    <w:rsid w:val="00F76503"/>
    <w:rsid w:val="00F7658C"/>
    <w:rsid w:val="00F769FF"/>
    <w:rsid w:val="00F776BA"/>
    <w:rsid w:val="00F77E6A"/>
    <w:rsid w:val="00F81D93"/>
    <w:rsid w:val="00F8312B"/>
    <w:rsid w:val="00F831FB"/>
    <w:rsid w:val="00F86C62"/>
    <w:rsid w:val="00F87232"/>
    <w:rsid w:val="00F874E3"/>
    <w:rsid w:val="00F87767"/>
    <w:rsid w:val="00F87E45"/>
    <w:rsid w:val="00F907B5"/>
    <w:rsid w:val="00F90C52"/>
    <w:rsid w:val="00F922B9"/>
    <w:rsid w:val="00F93164"/>
    <w:rsid w:val="00F93332"/>
    <w:rsid w:val="00F940A3"/>
    <w:rsid w:val="00F9413F"/>
    <w:rsid w:val="00F944E0"/>
    <w:rsid w:val="00F949A3"/>
    <w:rsid w:val="00F94A2D"/>
    <w:rsid w:val="00F94D21"/>
    <w:rsid w:val="00F9507B"/>
    <w:rsid w:val="00F96476"/>
    <w:rsid w:val="00FA06AA"/>
    <w:rsid w:val="00FA11D0"/>
    <w:rsid w:val="00FA14EB"/>
    <w:rsid w:val="00FA178F"/>
    <w:rsid w:val="00FA2E86"/>
    <w:rsid w:val="00FA344A"/>
    <w:rsid w:val="00FA39DE"/>
    <w:rsid w:val="00FA406D"/>
    <w:rsid w:val="00FA423E"/>
    <w:rsid w:val="00FA44DE"/>
    <w:rsid w:val="00FA4570"/>
    <w:rsid w:val="00FA4ACE"/>
    <w:rsid w:val="00FA62F4"/>
    <w:rsid w:val="00FA6D82"/>
    <w:rsid w:val="00FA7D0A"/>
    <w:rsid w:val="00FB071B"/>
    <w:rsid w:val="00FB1989"/>
    <w:rsid w:val="00FB219E"/>
    <w:rsid w:val="00FB3748"/>
    <w:rsid w:val="00FB3E3A"/>
    <w:rsid w:val="00FB3F38"/>
    <w:rsid w:val="00FB4AA0"/>
    <w:rsid w:val="00FB5056"/>
    <w:rsid w:val="00FB6307"/>
    <w:rsid w:val="00FB6BBD"/>
    <w:rsid w:val="00FB7955"/>
    <w:rsid w:val="00FC015B"/>
    <w:rsid w:val="00FC0A78"/>
    <w:rsid w:val="00FC197D"/>
    <w:rsid w:val="00FC19A6"/>
    <w:rsid w:val="00FC1E3B"/>
    <w:rsid w:val="00FC2989"/>
    <w:rsid w:val="00FC360A"/>
    <w:rsid w:val="00FC3627"/>
    <w:rsid w:val="00FC3C87"/>
    <w:rsid w:val="00FC45D7"/>
    <w:rsid w:val="00FC53E8"/>
    <w:rsid w:val="00FC6914"/>
    <w:rsid w:val="00FC7C78"/>
    <w:rsid w:val="00FD0CB0"/>
    <w:rsid w:val="00FD1315"/>
    <w:rsid w:val="00FD19F3"/>
    <w:rsid w:val="00FD1E1B"/>
    <w:rsid w:val="00FD2050"/>
    <w:rsid w:val="00FD45EB"/>
    <w:rsid w:val="00FD466F"/>
    <w:rsid w:val="00FD6364"/>
    <w:rsid w:val="00FD74C3"/>
    <w:rsid w:val="00FD7BD8"/>
    <w:rsid w:val="00FE0A7A"/>
    <w:rsid w:val="00FE0E89"/>
    <w:rsid w:val="00FE11CB"/>
    <w:rsid w:val="00FE1536"/>
    <w:rsid w:val="00FE19C4"/>
    <w:rsid w:val="00FE25EE"/>
    <w:rsid w:val="00FE3C6B"/>
    <w:rsid w:val="00FE4491"/>
    <w:rsid w:val="00FE52D1"/>
    <w:rsid w:val="00FE5718"/>
    <w:rsid w:val="00FE68CD"/>
    <w:rsid w:val="00FE68CF"/>
    <w:rsid w:val="00FE68F7"/>
    <w:rsid w:val="00FE75C6"/>
    <w:rsid w:val="00FF061A"/>
    <w:rsid w:val="00FF08D4"/>
    <w:rsid w:val="00FF1013"/>
    <w:rsid w:val="00FF11E0"/>
    <w:rsid w:val="00FF2137"/>
    <w:rsid w:val="00FF2213"/>
    <w:rsid w:val="00FF2D07"/>
    <w:rsid w:val="00FF3DA4"/>
    <w:rsid w:val="00FF3FCD"/>
    <w:rsid w:val="00FF5835"/>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footer"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902A80"/>
    <w:pPr>
      <w:keepNext w:val="0"/>
      <w:numPr>
        <w:ilvl w:val="2"/>
      </w:numPr>
      <w:spacing w:before="0" w:line="280" w:lineRule="exact"/>
      <w:outlineLvl w:val="2"/>
    </w:pPr>
    <w:rPr>
      <w:rFonts w:ascii="Franklin Gothic Book" w:hAnsi="Franklin Gothic Book" w:cs="Times New Roman"/>
      <w:bCs/>
      <w:i/>
      <w:iCs/>
      <w:color w:val="auto"/>
      <w:kern w:val="0"/>
      <w:sz w:val="21"/>
      <w:szCs w:val="24"/>
    </w:rPr>
  </w:style>
  <w:style w:type="paragraph" w:styleId="Heading4">
    <w:name w:val="heading 4"/>
    <w:basedOn w:val="Heading3"/>
    <w:next w:val="BodyText"/>
    <w:link w:val="Heading4Char"/>
    <w:qFormat/>
    <w:rsid w:val="009E79EC"/>
    <w:pPr>
      <w:numPr>
        <w:ilvl w:val="3"/>
        <w:numId w:val="1"/>
      </w:numPr>
      <w:spacing w:before="320" w:after="0"/>
      <w:outlineLvl w:val="3"/>
    </w:pPr>
    <w:rPr>
      <w:b/>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902A80"/>
    <w:rPr>
      <w:rFonts w:ascii="Franklin Gothic Book" w:eastAsia="Times New Roman" w:hAnsi="Franklin Gothic Book" w:cs="Times New Roman"/>
      <w:bCs/>
      <w:i/>
      <w:iCs/>
      <w:sz w:val="21"/>
      <w:szCs w:val="24"/>
    </w:rPr>
  </w:style>
  <w:style w:type="character" w:customStyle="1" w:styleId="Heading4Char">
    <w:name w:val="Heading 4 Char"/>
    <w:basedOn w:val="DefaultParagraphFont"/>
    <w:link w:val="Heading4"/>
    <w:rsid w:val="009E79EC"/>
    <w:rPr>
      <w:rFonts w:ascii="Franklin Gothic Book" w:eastAsia="Times New Roman" w:hAnsi="Franklin Gothic Book" w:cs="Times New Roman"/>
      <w:bCs/>
      <w:iCs/>
      <w:sz w:val="21"/>
      <w:szCs w:val="24"/>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654E76"/>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CF4707"/>
    <w:pPr>
      <w:framePr w:hSpace="180" w:wrap="around" w:vAnchor="text" w:hAnchor="text" w:y="1"/>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rsid w:val="009E79EC"/>
    <w:pPr>
      <w:spacing w:line="240" w:lineRule="atLeast"/>
    </w:pPr>
    <w:rPr>
      <w:sz w:val="18"/>
      <w:szCs w:val="18"/>
    </w:rPr>
  </w:style>
  <w:style w:type="character" w:customStyle="1" w:styleId="CommentTextChar">
    <w:name w:val="Comment Text Char"/>
    <w:basedOn w:val="DefaultParagraphFont"/>
    <w:link w:val="CommentText"/>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654E76"/>
    <w:rPr>
      <w:rFonts w:ascii="Franklin Gothic Book" w:eastAsia="Times New Roman" w:hAnsi="Franklin Gothic Book" w:cs="Arial"/>
      <w:sz w:val="20"/>
      <w:szCs w:val="19"/>
    </w:rPr>
  </w:style>
  <w:style w:type="paragraph" w:styleId="FootnoteText">
    <w:name w:val="footnote text"/>
    <w:aliases w:val="ADB,ft,Fußnotentextf,fn,single space,FOOTNOTES,Fußnotentext Char,Footnote text,Footnote Text Char2 Char,Footnote Text Char1 Char Char,Footnote Text Char2 Char Char Char,Footno,Char Char3,ALTS FOOTNOTE,ft Char Char Char,Footnote Text Char1"/>
    <w:basedOn w:val="BodyText"/>
    <w:link w:val="FootnoteTextChar"/>
    <w:unhideWhenUsed/>
    <w:qFormat/>
    <w:rsid w:val="00DA7CB8"/>
    <w:pPr>
      <w:spacing w:after="0"/>
      <w:contextualSpacing/>
    </w:pPr>
    <w:rPr>
      <w:sz w:val="16"/>
      <w:szCs w:val="20"/>
    </w:rPr>
  </w:style>
  <w:style w:type="character" w:customStyle="1" w:styleId="FootnoteTextChar">
    <w:name w:val="Footnote Text Char"/>
    <w:aliases w:val="ADB Char,ft Char,Fußnotentextf Char,fn Char,single space Char,FOOTNOTES Char,Fußnotentext Char Char,Footnote text Char,Footnote Text Char2 Char Char,Footnote Text Char1 Char Char Char,Footnote Text Char2 Char Char Char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aliases w:val="ftref,fr,16 Point,Superscript 6 Point,Normal + Font:9 Point,Superscript 3 Point Times,Ref,de nota al pie,(NECG) Footnote Reference,FnR-ANZDEC,Fußnotenzeichen DISS,Footnote Ref in FtNote,SUPERS,BVI fnr,Footnote Reference1"/>
    <w:rsid w:val="003B2756"/>
    <w:rPr>
      <w:rFonts w:ascii="Times New Roman" w:hAnsi="Times New Roman"/>
      <w:w w:val="100"/>
      <w:position w:val="6"/>
      <w:sz w:val="16"/>
      <w:szCs w:val="12"/>
      <w:vertAlign w:val="baseline"/>
    </w:rPr>
  </w:style>
  <w:style w:type="paragraph" w:styleId="NormalWeb">
    <w:name w:val="Normal (Web)"/>
    <w:basedOn w:val="Normal"/>
    <w:uiPriority w:val="99"/>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spacing w:after="120" w:line="240" w:lineRule="auto"/>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Webdings" w:hAnsi="Webdings"/>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BriefTalkingPoint">
    <w:name w:val="Brief Talking Point"/>
    <w:basedOn w:val="ListParagraph"/>
    <w:qFormat/>
    <w:rsid w:val="00524286"/>
    <w:pPr>
      <w:numPr>
        <w:numId w:val="19"/>
      </w:numPr>
    </w:pPr>
    <w:rPr>
      <w:rFonts w:ascii="Calibri" w:eastAsiaTheme="minorEastAsia" w:hAnsi="Calibri"/>
      <w:sz w:val="24"/>
      <w:lang w:eastAsia="zh-CN"/>
    </w:rPr>
  </w:style>
  <w:style w:type="paragraph" w:customStyle="1" w:styleId="BriefBackground">
    <w:name w:val="Brief Background"/>
    <w:basedOn w:val="ListBullet"/>
    <w:uiPriority w:val="99"/>
    <w:qFormat/>
    <w:rsid w:val="00C276C9"/>
    <w:pPr>
      <w:tabs>
        <w:tab w:val="clear" w:pos="284"/>
      </w:tabs>
      <w:spacing w:line="240" w:lineRule="auto"/>
    </w:pPr>
    <w:rPr>
      <w:rFonts w:asciiTheme="minorHAnsi" w:eastAsia="Calibri" w:hAnsiTheme="minorHAnsi" w:cstheme="minorHAnsi"/>
      <w:color w:val="000000" w:themeColor="text1"/>
      <w:sz w:val="24"/>
      <w:lang w:eastAsia="en-US"/>
    </w:rPr>
  </w:style>
  <w:style w:type="paragraph" w:customStyle="1" w:styleId="NoteNumber">
    <w:name w:val="Note Number"/>
    <w:basedOn w:val="TableTextEntries"/>
    <w:link w:val="NoteNumberCharChar"/>
    <w:rsid w:val="00963E01"/>
    <w:pPr>
      <w:numPr>
        <w:numId w:val="20"/>
      </w:numPr>
      <w:spacing w:after="0" w:line="180" w:lineRule="atLeast"/>
    </w:pPr>
    <w:rPr>
      <w:rFonts w:ascii="Times New Roman" w:hAnsi="Times New Roman"/>
      <w:iCs w:val="0"/>
      <w:sz w:val="14"/>
      <w:szCs w:val="14"/>
    </w:rPr>
  </w:style>
  <w:style w:type="character" w:customStyle="1" w:styleId="NoteNumberCharChar">
    <w:name w:val="Note Number Char Char"/>
    <w:link w:val="NoteNumber"/>
    <w:rsid w:val="00963E01"/>
    <w:rPr>
      <w:rFonts w:ascii="Times New Roman" w:eastAsia="Times New Roman" w:hAnsi="Times New Roman" w:cs="Times New Roman"/>
      <w:sz w:val="14"/>
      <w:szCs w:val="14"/>
      <w:lang w:eastAsia="en-US"/>
    </w:rPr>
  </w:style>
  <w:style w:type="character" w:styleId="Strong">
    <w:name w:val="Strong"/>
    <w:basedOn w:val="DefaultParagraphFont"/>
    <w:uiPriority w:val="22"/>
    <w:qFormat/>
    <w:rsid w:val="002C509D"/>
    <w:rPr>
      <w:rFonts w:ascii="Times New Roman" w:hAnsi="Times New Roman" w:cs="Times New Roman" w:hint="default"/>
      <w:b/>
      <w:bCs/>
    </w:rPr>
  </w:style>
  <w:style w:type="character" w:customStyle="1" w:styleId="CommentTextChar1">
    <w:name w:val="Comment Text Char1"/>
    <w:rsid w:val="00136ECC"/>
    <w:rPr>
      <w:rFonts w:eastAsia="SimSun"/>
    </w:rPr>
  </w:style>
  <w:style w:type="character" w:styleId="HTMLCite">
    <w:name w:val="HTML Cite"/>
    <w:basedOn w:val="DefaultParagraphFont"/>
    <w:uiPriority w:val="99"/>
    <w:unhideWhenUsed/>
    <w:rsid w:val="003F0160"/>
    <w:rPr>
      <w:i/>
      <w:iCs/>
    </w:rPr>
  </w:style>
  <w:style w:type="paragraph" w:styleId="PlainText">
    <w:name w:val="Plain Text"/>
    <w:basedOn w:val="Normal"/>
    <w:link w:val="PlainTextChar"/>
    <w:uiPriority w:val="99"/>
    <w:unhideWhenUsed/>
    <w:rsid w:val="000A1AFF"/>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0A1AFF"/>
    <w:rPr>
      <w:rFonts w:ascii="Calibri" w:hAnsi="Calibri"/>
      <w:szCs w:val="21"/>
      <w:lang w:eastAsia="en-US"/>
    </w:rPr>
  </w:style>
  <w:style w:type="table" w:customStyle="1" w:styleId="APPR1">
    <w:name w:val="APPR1"/>
    <w:basedOn w:val="TableNormal"/>
    <w:uiPriority w:val="99"/>
    <w:rsid w:val="006D57C4"/>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Webdings" w:hAnsi="Webdings"/>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footer"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902A80"/>
    <w:pPr>
      <w:keepNext w:val="0"/>
      <w:numPr>
        <w:ilvl w:val="2"/>
      </w:numPr>
      <w:spacing w:before="0" w:line="280" w:lineRule="exact"/>
      <w:outlineLvl w:val="2"/>
    </w:pPr>
    <w:rPr>
      <w:rFonts w:ascii="Franklin Gothic Book" w:hAnsi="Franklin Gothic Book" w:cs="Times New Roman"/>
      <w:bCs/>
      <w:i/>
      <w:iCs/>
      <w:color w:val="auto"/>
      <w:kern w:val="0"/>
      <w:sz w:val="21"/>
      <w:szCs w:val="24"/>
    </w:rPr>
  </w:style>
  <w:style w:type="paragraph" w:styleId="Heading4">
    <w:name w:val="heading 4"/>
    <w:basedOn w:val="Heading3"/>
    <w:next w:val="BodyText"/>
    <w:link w:val="Heading4Char"/>
    <w:qFormat/>
    <w:rsid w:val="009E79EC"/>
    <w:pPr>
      <w:numPr>
        <w:ilvl w:val="3"/>
        <w:numId w:val="1"/>
      </w:numPr>
      <w:spacing w:before="320" w:after="0"/>
      <w:outlineLvl w:val="3"/>
    </w:pPr>
    <w:rPr>
      <w:b/>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902A80"/>
    <w:rPr>
      <w:rFonts w:ascii="Franklin Gothic Book" w:eastAsia="Times New Roman" w:hAnsi="Franklin Gothic Book" w:cs="Times New Roman"/>
      <w:bCs/>
      <w:i/>
      <w:iCs/>
      <w:sz w:val="21"/>
      <w:szCs w:val="24"/>
    </w:rPr>
  </w:style>
  <w:style w:type="character" w:customStyle="1" w:styleId="Heading4Char">
    <w:name w:val="Heading 4 Char"/>
    <w:basedOn w:val="DefaultParagraphFont"/>
    <w:link w:val="Heading4"/>
    <w:rsid w:val="009E79EC"/>
    <w:rPr>
      <w:rFonts w:ascii="Franklin Gothic Book" w:eastAsia="Times New Roman" w:hAnsi="Franklin Gothic Book" w:cs="Times New Roman"/>
      <w:bCs/>
      <w:iCs/>
      <w:sz w:val="21"/>
      <w:szCs w:val="24"/>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654E76"/>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CF4707"/>
    <w:pPr>
      <w:framePr w:hSpace="180" w:wrap="around" w:vAnchor="text" w:hAnchor="text" w:y="1"/>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rsid w:val="009E79EC"/>
    <w:pPr>
      <w:spacing w:line="240" w:lineRule="atLeast"/>
    </w:pPr>
    <w:rPr>
      <w:sz w:val="18"/>
      <w:szCs w:val="18"/>
    </w:rPr>
  </w:style>
  <w:style w:type="character" w:customStyle="1" w:styleId="CommentTextChar">
    <w:name w:val="Comment Text Char"/>
    <w:basedOn w:val="DefaultParagraphFont"/>
    <w:link w:val="CommentText"/>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654E76"/>
    <w:rPr>
      <w:rFonts w:ascii="Franklin Gothic Book" w:eastAsia="Times New Roman" w:hAnsi="Franklin Gothic Book" w:cs="Arial"/>
      <w:sz w:val="20"/>
      <w:szCs w:val="19"/>
    </w:rPr>
  </w:style>
  <w:style w:type="paragraph" w:styleId="FootnoteText">
    <w:name w:val="footnote text"/>
    <w:aliases w:val="ADB,ft,Fußnotentextf,fn,single space,FOOTNOTES,Fußnotentext Char,Footnote text,Footnote Text Char2 Char,Footnote Text Char1 Char Char,Footnote Text Char2 Char Char Char,Footno,Char Char3,ALTS FOOTNOTE,ft Char Char Char,Footnote Text Char1"/>
    <w:basedOn w:val="BodyText"/>
    <w:link w:val="FootnoteTextChar"/>
    <w:unhideWhenUsed/>
    <w:qFormat/>
    <w:rsid w:val="00DA7CB8"/>
    <w:pPr>
      <w:spacing w:after="0"/>
      <w:contextualSpacing/>
    </w:pPr>
    <w:rPr>
      <w:sz w:val="16"/>
      <w:szCs w:val="20"/>
    </w:rPr>
  </w:style>
  <w:style w:type="character" w:customStyle="1" w:styleId="FootnoteTextChar">
    <w:name w:val="Footnote Text Char"/>
    <w:aliases w:val="ADB Char,ft Char,Fußnotentextf Char,fn Char,single space Char,FOOTNOTES Char,Fußnotentext Char Char,Footnote text Char,Footnote Text Char2 Char Char,Footnote Text Char1 Char Char Char,Footnote Text Char2 Char Char Char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aliases w:val="ftref,fr,16 Point,Superscript 6 Point,Normal + Font:9 Point,Superscript 3 Point Times,Ref,de nota al pie,(NECG) Footnote Reference,FnR-ANZDEC,Fußnotenzeichen DISS,Footnote Ref in FtNote,SUPERS,BVI fnr,Footnote Reference1"/>
    <w:rsid w:val="003B2756"/>
    <w:rPr>
      <w:rFonts w:ascii="Times New Roman" w:hAnsi="Times New Roman"/>
      <w:w w:val="100"/>
      <w:position w:val="6"/>
      <w:sz w:val="16"/>
      <w:szCs w:val="12"/>
      <w:vertAlign w:val="baseline"/>
    </w:rPr>
  </w:style>
  <w:style w:type="paragraph" w:styleId="NormalWeb">
    <w:name w:val="Normal (Web)"/>
    <w:basedOn w:val="Normal"/>
    <w:uiPriority w:val="99"/>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spacing w:after="120" w:line="240" w:lineRule="auto"/>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Webdings" w:hAnsi="Webdings"/>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BriefTalkingPoint">
    <w:name w:val="Brief Talking Point"/>
    <w:basedOn w:val="ListParagraph"/>
    <w:qFormat/>
    <w:rsid w:val="00524286"/>
    <w:pPr>
      <w:numPr>
        <w:numId w:val="19"/>
      </w:numPr>
    </w:pPr>
    <w:rPr>
      <w:rFonts w:ascii="Calibri" w:eastAsiaTheme="minorEastAsia" w:hAnsi="Calibri"/>
      <w:sz w:val="24"/>
      <w:lang w:eastAsia="zh-CN"/>
    </w:rPr>
  </w:style>
  <w:style w:type="paragraph" w:customStyle="1" w:styleId="BriefBackground">
    <w:name w:val="Brief Background"/>
    <w:basedOn w:val="ListBullet"/>
    <w:uiPriority w:val="99"/>
    <w:qFormat/>
    <w:rsid w:val="00C276C9"/>
    <w:pPr>
      <w:tabs>
        <w:tab w:val="clear" w:pos="284"/>
      </w:tabs>
      <w:spacing w:line="240" w:lineRule="auto"/>
    </w:pPr>
    <w:rPr>
      <w:rFonts w:asciiTheme="minorHAnsi" w:eastAsia="Calibri" w:hAnsiTheme="minorHAnsi" w:cstheme="minorHAnsi"/>
      <w:color w:val="000000" w:themeColor="text1"/>
      <w:sz w:val="24"/>
      <w:lang w:eastAsia="en-US"/>
    </w:rPr>
  </w:style>
  <w:style w:type="paragraph" w:customStyle="1" w:styleId="NoteNumber">
    <w:name w:val="Note Number"/>
    <w:basedOn w:val="TableTextEntries"/>
    <w:link w:val="NoteNumberCharChar"/>
    <w:rsid w:val="00963E01"/>
    <w:pPr>
      <w:numPr>
        <w:numId w:val="20"/>
      </w:numPr>
      <w:spacing w:after="0" w:line="180" w:lineRule="atLeast"/>
    </w:pPr>
    <w:rPr>
      <w:rFonts w:ascii="Times New Roman" w:hAnsi="Times New Roman"/>
      <w:iCs w:val="0"/>
      <w:sz w:val="14"/>
      <w:szCs w:val="14"/>
    </w:rPr>
  </w:style>
  <w:style w:type="character" w:customStyle="1" w:styleId="NoteNumberCharChar">
    <w:name w:val="Note Number Char Char"/>
    <w:link w:val="NoteNumber"/>
    <w:rsid w:val="00963E01"/>
    <w:rPr>
      <w:rFonts w:ascii="Times New Roman" w:eastAsia="Times New Roman" w:hAnsi="Times New Roman" w:cs="Times New Roman"/>
      <w:sz w:val="14"/>
      <w:szCs w:val="14"/>
      <w:lang w:eastAsia="en-US"/>
    </w:rPr>
  </w:style>
  <w:style w:type="character" w:styleId="Strong">
    <w:name w:val="Strong"/>
    <w:basedOn w:val="DefaultParagraphFont"/>
    <w:uiPriority w:val="22"/>
    <w:qFormat/>
    <w:rsid w:val="002C509D"/>
    <w:rPr>
      <w:rFonts w:ascii="Times New Roman" w:hAnsi="Times New Roman" w:cs="Times New Roman" w:hint="default"/>
      <w:b/>
      <w:bCs/>
    </w:rPr>
  </w:style>
  <w:style w:type="character" w:customStyle="1" w:styleId="CommentTextChar1">
    <w:name w:val="Comment Text Char1"/>
    <w:rsid w:val="00136ECC"/>
    <w:rPr>
      <w:rFonts w:eastAsia="SimSun"/>
    </w:rPr>
  </w:style>
  <w:style w:type="character" w:styleId="HTMLCite">
    <w:name w:val="HTML Cite"/>
    <w:basedOn w:val="DefaultParagraphFont"/>
    <w:uiPriority w:val="99"/>
    <w:unhideWhenUsed/>
    <w:rsid w:val="003F0160"/>
    <w:rPr>
      <w:i/>
      <w:iCs/>
    </w:rPr>
  </w:style>
  <w:style w:type="paragraph" w:styleId="PlainText">
    <w:name w:val="Plain Text"/>
    <w:basedOn w:val="Normal"/>
    <w:link w:val="PlainTextChar"/>
    <w:uiPriority w:val="99"/>
    <w:unhideWhenUsed/>
    <w:rsid w:val="000A1AFF"/>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0A1AFF"/>
    <w:rPr>
      <w:rFonts w:ascii="Calibri" w:hAnsi="Calibri"/>
      <w:szCs w:val="21"/>
      <w:lang w:eastAsia="en-US"/>
    </w:rPr>
  </w:style>
  <w:style w:type="table" w:customStyle="1" w:styleId="APPR1">
    <w:name w:val="APPR1"/>
    <w:basedOn w:val="TableNormal"/>
    <w:uiPriority w:val="99"/>
    <w:rsid w:val="006D57C4"/>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Webdings" w:hAnsi="Webdings"/>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2722">
      <w:bodyDiv w:val="1"/>
      <w:marLeft w:val="0"/>
      <w:marRight w:val="0"/>
      <w:marTop w:val="0"/>
      <w:marBottom w:val="0"/>
      <w:divBdr>
        <w:top w:val="none" w:sz="0" w:space="0" w:color="auto"/>
        <w:left w:val="none" w:sz="0" w:space="0" w:color="auto"/>
        <w:bottom w:val="none" w:sz="0" w:space="0" w:color="auto"/>
        <w:right w:val="none" w:sz="0" w:space="0" w:color="auto"/>
      </w:divBdr>
    </w:div>
    <w:div w:id="98763651">
      <w:bodyDiv w:val="1"/>
      <w:marLeft w:val="0"/>
      <w:marRight w:val="0"/>
      <w:marTop w:val="0"/>
      <w:marBottom w:val="0"/>
      <w:divBdr>
        <w:top w:val="none" w:sz="0" w:space="0" w:color="auto"/>
        <w:left w:val="none" w:sz="0" w:space="0" w:color="auto"/>
        <w:bottom w:val="none" w:sz="0" w:space="0" w:color="auto"/>
        <w:right w:val="none" w:sz="0" w:space="0" w:color="auto"/>
      </w:divBdr>
    </w:div>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221448561">
      <w:bodyDiv w:val="1"/>
      <w:marLeft w:val="0"/>
      <w:marRight w:val="0"/>
      <w:marTop w:val="0"/>
      <w:marBottom w:val="0"/>
      <w:divBdr>
        <w:top w:val="none" w:sz="0" w:space="0" w:color="auto"/>
        <w:left w:val="none" w:sz="0" w:space="0" w:color="auto"/>
        <w:bottom w:val="none" w:sz="0" w:space="0" w:color="auto"/>
        <w:right w:val="none" w:sz="0" w:space="0" w:color="auto"/>
      </w:divBdr>
    </w:div>
    <w:div w:id="280117599">
      <w:bodyDiv w:val="1"/>
      <w:marLeft w:val="0"/>
      <w:marRight w:val="0"/>
      <w:marTop w:val="0"/>
      <w:marBottom w:val="0"/>
      <w:divBdr>
        <w:top w:val="none" w:sz="0" w:space="0" w:color="auto"/>
        <w:left w:val="none" w:sz="0" w:space="0" w:color="auto"/>
        <w:bottom w:val="none" w:sz="0" w:space="0" w:color="auto"/>
        <w:right w:val="none" w:sz="0" w:space="0" w:color="auto"/>
      </w:divBdr>
    </w:div>
    <w:div w:id="282813221">
      <w:bodyDiv w:val="1"/>
      <w:marLeft w:val="0"/>
      <w:marRight w:val="0"/>
      <w:marTop w:val="0"/>
      <w:marBottom w:val="0"/>
      <w:divBdr>
        <w:top w:val="none" w:sz="0" w:space="0" w:color="auto"/>
        <w:left w:val="none" w:sz="0" w:space="0" w:color="auto"/>
        <w:bottom w:val="none" w:sz="0" w:space="0" w:color="auto"/>
        <w:right w:val="none" w:sz="0" w:space="0" w:color="auto"/>
      </w:divBdr>
    </w:div>
    <w:div w:id="307631352">
      <w:bodyDiv w:val="1"/>
      <w:marLeft w:val="0"/>
      <w:marRight w:val="0"/>
      <w:marTop w:val="0"/>
      <w:marBottom w:val="0"/>
      <w:divBdr>
        <w:top w:val="none" w:sz="0" w:space="0" w:color="auto"/>
        <w:left w:val="none" w:sz="0" w:space="0" w:color="auto"/>
        <w:bottom w:val="none" w:sz="0" w:space="0" w:color="auto"/>
        <w:right w:val="none" w:sz="0" w:space="0" w:color="auto"/>
      </w:divBdr>
    </w:div>
    <w:div w:id="338778143">
      <w:bodyDiv w:val="1"/>
      <w:marLeft w:val="0"/>
      <w:marRight w:val="0"/>
      <w:marTop w:val="0"/>
      <w:marBottom w:val="0"/>
      <w:divBdr>
        <w:top w:val="none" w:sz="0" w:space="0" w:color="auto"/>
        <w:left w:val="none" w:sz="0" w:space="0" w:color="auto"/>
        <w:bottom w:val="none" w:sz="0" w:space="0" w:color="auto"/>
        <w:right w:val="none" w:sz="0" w:space="0" w:color="auto"/>
      </w:divBdr>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491023594">
      <w:bodyDiv w:val="1"/>
      <w:marLeft w:val="0"/>
      <w:marRight w:val="0"/>
      <w:marTop w:val="0"/>
      <w:marBottom w:val="0"/>
      <w:divBdr>
        <w:top w:val="none" w:sz="0" w:space="0" w:color="auto"/>
        <w:left w:val="none" w:sz="0" w:space="0" w:color="auto"/>
        <w:bottom w:val="none" w:sz="0" w:space="0" w:color="auto"/>
        <w:right w:val="none" w:sz="0" w:space="0" w:color="auto"/>
      </w:divBdr>
    </w:div>
    <w:div w:id="719789502">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791896969">
      <w:bodyDiv w:val="1"/>
      <w:marLeft w:val="0"/>
      <w:marRight w:val="0"/>
      <w:marTop w:val="0"/>
      <w:marBottom w:val="0"/>
      <w:divBdr>
        <w:top w:val="none" w:sz="0" w:space="0" w:color="auto"/>
        <w:left w:val="none" w:sz="0" w:space="0" w:color="auto"/>
        <w:bottom w:val="none" w:sz="0" w:space="0" w:color="auto"/>
        <w:right w:val="none" w:sz="0" w:space="0" w:color="auto"/>
      </w:divBdr>
    </w:div>
    <w:div w:id="796605561">
      <w:bodyDiv w:val="1"/>
      <w:marLeft w:val="0"/>
      <w:marRight w:val="0"/>
      <w:marTop w:val="0"/>
      <w:marBottom w:val="0"/>
      <w:divBdr>
        <w:top w:val="none" w:sz="0" w:space="0" w:color="auto"/>
        <w:left w:val="none" w:sz="0" w:space="0" w:color="auto"/>
        <w:bottom w:val="none" w:sz="0" w:space="0" w:color="auto"/>
        <w:right w:val="none" w:sz="0" w:space="0" w:color="auto"/>
      </w:divBdr>
    </w:div>
    <w:div w:id="797525748">
      <w:bodyDiv w:val="1"/>
      <w:marLeft w:val="0"/>
      <w:marRight w:val="0"/>
      <w:marTop w:val="0"/>
      <w:marBottom w:val="0"/>
      <w:divBdr>
        <w:top w:val="none" w:sz="0" w:space="0" w:color="auto"/>
        <w:left w:val="none" w:sz="0" w:space="0" w:color="auto"/>
        <w:bottom w:val="none" w:sz="0" w:space="0" w:color="auto"/>
        <w:right w:val="none" w:sz="0" w:space="0" w:color="auto"/>
      </w:divBdr>
    </w:div>
    <w:div w:id="819805595">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55461713">
      <w:bodyDiv w:val="1"/>
      <w:marLeft w:val="0"/>
      <w:marRight w:val="0"/>
      <w:marTop w:val="0"/>
      <w:marBottom w:val="0"/>
      <w:divBdr>
        <w:top w:val="none" w:sz="0" w:space="0" w:color="auto"/>
        <w:left w:val="none" w:sz="0" w:space="0" w:color="auto"/>
        <w:bottom w:val="none" w:sz="0" w:space="0" w:color="auto"/>
        <w:right w:val="none" w:sz="0" w:space="0" w:color="auto"/>
      </w:divBdr>
    </w:div>
    <w:div w:id="859271254">
      <w:bodyDiv w:val="1"/>
      <w:marLeft w:val="0"/>
      <w:marRight w:val="0"/>
      <w:marTop w:val="0"/>
      <w:marBottom w:val="0"/>
      <w:divBdr>
        <w:top w:val="none" w:sz="0" w:space="0" w:color="auto"/>
        <w:left w:val="none" w:sz="0" w:space="0" w:color="auto"/>
        <w:bottom w:val="none" w:sz="0" w:space="0" w:color="auto"/>
        <w:right w:val="none" w:sz="0" w:space="0" w:color="auto"/>
      </w:divBdr>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255444">
      <w:bodyDiv w:val="1"/>
      <w:marLeft w:val="0"/>
      <w:marRight w:val="0"/>
      <w:marTop w:val="0"/>
      <w:marBottom w:val="0"/>
      <w:divBdr>
        <w:top w:val="none" w:sz="0" w:space="0" w:color="auto"/>
        <w:left w:val="none" w:sz="0" w:space="0" w:color="auto"/>
        <w:bottom w:val="none" w:sz="0" w:space="0" w:color="auto"/>
        <w:right w:val="none" w:sz="0" w:space="0" w:color="auto"/>
      </w:divBdr>
      <w:divsChild>
        <w:div w:id="119500239">
          <w:marLeft w:val="0"/>
          <w:marRight w:val="0"/>
          <w:marTop w:val="0"/>
          <w:marBottom w:val="0"/>
          <w:divBdr>
            <w:top w:val="none" w:sz="0" w:space="0" w:color="auto"/>
            <w:left w:val="none" w:sz="0" w:space="0" w:color="auto"/>
            <w:bottom w:val="none" w:sz="0" w:space="0" w:color="auto"/>
            <w:right w:val="none" w:sz="0" w:space="0" w:color="auto"/>
          </w:divBdr>
          <w:divsChild>
            <w:div w:id="12814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7725">
      <w:bodyDiv w:val="1"/>
      <w:marLeft w:val="0"/>
      <w:marRight w:val="0"/>
      <w:marTop w:val="0"/>
      <w:marBottom w:val="0"/>
      <w:divBdr>
        <w:top w:val="none" w:sz="0" w:space="0" w:color="auto"/>
        <w:left w:val="none" w:sz="0" w:space="0" w:color="auto"/>
        <w:bottom w:val="none" w:sz="0" w:space="0" w:color="auto"/>
        <w:right w:val="none" w:sz="0" w:space="0" w:color="auto"/>
      </w:divBdr>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111050187">
      <w:bodyDiv w:val="1"/>
      <w:marLeft w:val="0"/>
      <w:marRight w:val="0"/>
      <w:marTop w:val="0"/>
      <w:marBottom w:val="0"/>
      <w:divBdr>
        <w:top w:val="none" w:sz="0" w:space="0" w:color="auto"/>
        <w:left w:val="none" w:sz="0" w:space="0" w:color="auto"/>
        <w:bottom w:val="none" w:sz="0" w:space="0" w:color="auto"/>
        <w:right w:val="none" w:sz="0" w:space="0" w:color="auto"/>
      </w:divBdr>
    </w:div>
    <w:div w:id="1129276503">
      <w:bodyDiv w:val="1"/>
      <w:marLeft w:val="0"/>
      <w:marRight w:val="0"/>
      <w:marTop w:val="0"/>
      <w:marBottom w:val="0"/>
      <w:divBdr>
        <w:top w:val="none" w:sz="0" w:space="0" w:color="auto"/>
        <w:left w:val="none" w:sz="0" w:space="0" w:color="auto"/>
        <w:bottom w:val="none" w:sz="0" w:space="0" w:color="auto"/>
        <w:right w:val="none" w:sz="0" w:space="0" w:color="auto"/>
      </w:divBdr>
    </w:div>
    <w:div w:id="1172067724">
      <w:bodyDiv w:val="1"/>
      <w:marLeft w:val="0"/>
      <w:marRight w:val="0"/>
      <w:marTop w:val="0"/>
      <w:marBottom w:val="0"/>
      <w:divBdr>
        <w:top w:val="none" w:sz="0" w:space="0" w:color="auto"/>
        <w:left w:val="none" w:sz="0" w:space="0" w:color="auto"/>
        <w:bottom w:val="none" w:sz="0" w:space="0" w:color="auto"/>
        <w:right w:val="none" w:sz="0" w:space="0" w:color="auto"/>
      </w:divBdr>
    </w:div>
    <w:div w:id="1222905228">
      <w:bodyDiv w:val="1"/>
      <w:marLeft w:val="0"/>
      <w:marRight w:val="0"/>
      <w:marTop w:val="0"/>
      <w:marBottom w:val="0"/>
      <w:divBdr>
        <w:top w:val="none" w:sz="0" w:space="0" w:color="auto"/>
        <w:left w:val="none" w:sz="0" w:space="0" w:color="auto"/>
        <w:bottom w:val="none" w:sz="0" w:space="0" w:color="auto"/>
        <w:right w:val="none" w:sz="0" w:space="0" w:color="auto"/>
      </w:divBdr>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75863142">
      <w:bodyDiv w:val="1"/>
      <w:marLeft w:val="0"/>
      <w:marRight w:val="0"/>
      <w:marTop w:val="0"/>
      <w:marBottom w:val="0"/>
      <w:divBdr>
        <w:top w:val="none" w:sz="0" w:space="0" w:color="auto"/>
        <w:left w:val="none" w:sz="0" w:space="0" w:color="auto"/>
        <w:bottom w:val="none" w:sz="0" w:space="0" w:color="auto"/>
        <w:right w:val="none" w:sz="0" w:space="0" w:color="auto"/>
      </w:divBdr>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32100178">
      <w:bodyDiv w:val="1"/>
      <w:marLeft w:val="0"/>
      <w:marRight w:val="0"/>
      <w:marTop w:val="0"/>
      <w:marBottom w:val="0"/>
      <w:divBdr>
        <w:top w:val="none" w:sz="0" w:space="0" w:color="auto"/>
        <w:left w:val="none" w:sz="0" w:space="0" w:color="auto"/>
        <w:bottom w:val="none" w:sz="0" w:space="0" w:color="auto"/>
        <w:right w:val="none" w:sz="0" w:space="0" w:color="auto"/>
      </w:divBdr>
      <w:divsChild>
        <w:div w:id="892500215">
          <w:marLeft w:val="0"/>
          <w:marRight w:val="0"/>
          <w:marTop w:val="0"/>
          <w:marBottom w:val="0"/>
          <w:divBdr>
            <w:top w:val="none" w:sz="0" w:space="0" w:color="auto"/>
            <w:left w:val="none" w:sz="0" w:space="0" w:color="auto"/>
            <w:bottom w:val="none" w:sz="0" w:space="0" w:color="auto"/>
            <w:right w:val="none" w:sz="0" w:space="0" w:color="auto"/>
          </w:divBdr>
          <w:divsChild>
            <w:div w:id="51738654">
              <w:marLeft w:val="0"/>
              <w:marRight w:val="0"/>
              <w:marTop w:val="0"/>
              <w:marBottom w:val="0"/>
              <w:divBdr>
                <w:top w:val="none" w:sz="0" w:space="0" w:color="auto"/>
                <w:left w:val="none" w:sz="0" w:space="0" w:color="auto"/>
                <w:bottom w:val="none" w:sz="0" w:space="0" w:color="auto"/>
                <w:right w:val="none" w:sz="0" w:space="0" w:color="auto"/>
              </w:divBdr>
              <w:divsChild>
                <w:div w:id="1307515365">
                  <w:marLeft w:val="0"/>
                  <w:marRight w:val="0"/>
                  <w:marTop w:val="0"/>
                  <w:marBottom w:val="0"/>
                  <w:divBdr>
                    <w:top w:val="none" w:sz="0" w:space="0" w:color="auto"/>
                    <w:left w:val="none" w:sz="0" w:space="0" w:color="auto"/>
                    <w:bottom w:val="none" w:sz="0" w:space="0" w:color="auto"/>
                    <w:right w:val="none" w:sz="0" w:space="0" w:color="auto"/>
                  </w:divBdr>
                  <w:divsChild>
                    <w:div w:id="425077134">
                      <w:marLeft w:val="0"/>
                      <w:marRight w:val="0"/>
                      <w:marTop w:val="0"/>
                      <w:marBottom w:val="0"/>
                      <w:divBdr>
                        <w:top w:val="none" w:sz="0" w:space="0" w:color="auto"/>
                        <w:left w:val="none" w:sz="0" w:space="0" w:color="auto"/>
                        <w:bottom w:val="none" w:sz="0" w:space="0" w:color="auto"/>
                        <w:right w:val="none" w:sz="0" w:space="0" w:color="auto"/>
                      </w:divBdr>
                      <w:divsChild>
                        <w:div w:id="1504853380">
                          <w:marLeft w:val="0"/>
                          <w:marRight w:val="0"/>
                          <w:marTop w:val="0"/>
                          <w:marBottom w:val="0"/>
                          <w:divBdr>
                            <w:top w:val="none" w:sz="0" w:space="0" w:color="auto"/>
                            <w:left w:val="none" w:sz="0" w:space="0" w:color="auto"/>
                            <w:bottom w:val="none" w:sz="0" w:space="0" w:color="auto"/>
                            <w:right w:val="none" w:sz="0" w:space="0" w:color="auto"/>
                          </w:divBdr>
                          <w:divsChild>
                            <w:div w:id="851921177">
                              <w:marLeft w:val="0"/>
                              <w:marRight w:val="0"/>
                              <w:marTop w:val="0"/>
                              <w:marBottom w:val="0"/>
                              <w:divBdr>
                                <w:top w:val="none" w:sz="0" w:space="0" w:color="auto"/>
                                <w:left w:val="none" w:sz="0" w:space="0" w:color="auto"/>
                                <w:bottom w:val="none" w:sz="0" w:space="0" w:color="auto"/>
                                <w:right w:val="none" w:sz="0" w:space="0" w:color="auto"/>
                              </w:divBdr>
                              <w:divsChild>
                                <w:div w:id="40519002">
                                  <w:marLeft w:val="0"/>
                                  <w:marRight w:val="0"/>
                                  <w:marTop w:val="0"/>
                                  <w:marBottom w:val="0"/>
                                  <w:divBdr>
                                    <w:top w:val="none" w:sz="0" w:space="0" w:color="auto"/>
                                    <w:left w:val="none" w:sz="0" w:space="0" w:color="auto"/>
                                    <w:bottom w:val="none" w:sz="0" w:space="0" w:color="auto"/>
                                    <w:right w:val="none" w:sz="0" w:space="0" w:color="auto"/>
                                  </w:divBdr>
                                  <w:divsChild>
                                    <w:div w:id="900868606">
                                      <w:marLeft w:val="0"/>
                                      <w:marRight w:val="0"/>
                                      <w:marTop w:val="0"/>
                                      <w:marBottom w:val="0"/>
                                      <w:divBdr>
                                        <w:top w:val="none" w:sz="0" w:space="0" w:color="auto"/>
                                        <w:left w:val="none" w:sz="0" w:space="0" w:color="auto"/>
                                        <w:bottom w:val="none" w:sz="0" w:space="0" w:color="auto"/>
                                        <w:right w:val="none" w:sz="0" w:space="0" w:color="auto"/>
                                      </w:divBdr>
                                      <w:divsChild>
                                        <w:div w:id="1912153642">
                                          <w:marLeft w:val="0"/>
                                          <w:marRight w:val="0"/>
                                          <w:marTop w:val="0"/>
                                          <w:marBottom w:val="0"/>
                                          <w:divBdr>
                                            <w:top w:val="none" w:sz="0" w:space="0" w:color="auto"/>
                                            <w:left w:val="none" w:sz="0" w:space="0" w:color="auto"/>
                                            <w:bottom w:val="none" w:sz="0" w:space="0" w:color="auto"/>
                                            <w:right w:val="none" w:sz="0" w:space="0" w:color="auto"/>
                                          </w:divBdr>
                                          <w:divsChild>
                                            <w:div w:id="121308357">
                                              <w:marLeft w:val="0"/>
                                              <w:marRight w:val="0"/>
                                              <w:marTop w:val="0"/>
                                              <w:marBottom w:val="0"/>
                                              <w:divBdr>
                                                <w:top w:val="none" w:sz="0" w:space="0" w:color="auto"/>
                                                <w:left w:val="none" w:sz="0" w:space="0" w:color="auto"/>
                                                <w:bottom w:val="none" w:sz="0" w:space="0" w:color="auto"/>
                                                <w:right w:val="none" w:sz="0" w:space="0" w:color="auto"/>
                                              </w:divBdr>
                                              <w:divsChild>
                                                <w:div w:id="1306009028">
                                                  <w:marLeft w:val="0"/>
                                                  <w:marRight w:val="0"/>
                                                  <w:marTop w:val="0"/>
                                                  <w:marBottom w:val="0"/>
                                                  <w:divBdr>
                                                    <w:top w:val="none" w:sz="0" w:space="0" w:color="auto"/>
                                                    <w:left w:val="none" w:sz="0" w:space="0" w:color="auto"/>
                                                    <w:bottom w:val="none" w:sz="0" w:space="0" w:color="auto"/>
                                                    <w:right w:val="none" w:sz="0" w:space="0" w:color="auto"/>
                                                  </w:divBdr>
                                                  <w:divsChild>
                                                    <w:div w:id="1198200795">
                                                      <w:marLeft w:val="0"/>
                                                      <w:marRight w:val="0"/>
                                                      <w:marTop w:val="0"/>
                                                      <w:marBottom w:val="0"/>
                                                      <w:divBdr>
                                                        <w:top w:val="none" w:sz="0" w:space="0" w:color="auto"/>
                                                        <w:left w:val="none" w:sz="0" w:space="0" w:color="auto"/>
                                                        <w:bottom w:val="none" w:sz="0" w:space="0" w:color="auto"/>
                                                        <w:right w:val="none" w:sz="0" w:space="0" w:color="auto"/>
                                                      </w:divBdr>
                                                      <w:divsChild>
                                                        <w:div w:id="643661624">
                                                          <w:marLeft w:val="0"/>
                                                          <w:marRight w:val="0"/>
                                                          <w:marTop w:val="0"/>
                                                          <w:marBottom w:val="0"/>
                                                          <w:divBdr>
                                                            <w:top w:val="none" w:sz="0" w:space="0" w:color="auto"/>
                                                            <w:left w:val="none" w:sz="0" w:space="0" w:color="auto"/>
                                                            <w:bottom w:val="none" w:sz="0" w:space="0" w:color="auto"/>
                                                            <w:right w:val="none" w:sz="0" w:space="0" w:color="auto"/>
                                                          </w:divBdr>
                                                          <w:divsChild>
                                                            <w:div w:id="803305932">
                                                              <w:marLeft w:val="0"/>
                                                              <w:marRight w:val="0"/>
                                                              <w:marTop w:val="0"/>
                                                              <w:marBottom w:val="0"/>
                                                              <w:divBdr>
                                                                <w:top w:val="none" w:sz="0" w:space="0" w:color="auto"/>
                                                                <w:left w:val="none" w:sz="0" w:space="0" w:color="auto"/>
                                                                <w:bottom w:val="none" w:sz="0" w:space="0" w:color="auto"/>
                                                                <w:right w:val="none" w:sz="0" w:space="0" w:color="auto"/>
                                                              </w:divBdr>
                                                              <w:divsChild>
                                                                <w:div w:id="762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455321016">
      <w:bodyDiv w:val="1"/>
      <w:marLeft w:val="0"/>
      <w:marRight w:val="0"/>
      <w:marTop w:val="0"/>
      <w:marBottom w:val="0"/>
      <w:divBdr>
        <w:top w:val="none" w:sz="0" w:space="0" w:color="auto"/>
        <w:left w:val="none" w:sz="0" w:space="0" w:color="auto"/>
        <w:bottom w:val="none" w:sz="0" w:space="0" w:color="auto"/>
        <w:right w:val="none" w:sz="0" w:space="0" w:color="auto"/>
      </w:divBdr>
    </w:div>
    <w:div w:id="1455321158">
      <w:bodyDiv w:val="1"/>
      <w:marLeft w:val="0"/>
      <w:marRight w:val="0"/>
      <w:marTop w:val="0"/>
      <w:marBottom w:val="0"/>
      <w:divBdr>
        <w:top w:val="none" w:sz="0" w:space="0" w:color="auto"/>
        <w:left w:val="none" w:sz="0" w:space="0" w:color="auto"/>
        <w:bottom w:val="none" w:sz="0" w:space="0" w:color="auto"/>
        <w:right w:val="none" w:sz="0" w:space="0" w:color="auto"/>
      </w:divBdr>
    </w:div>
    <w:div w:id="1476874925">
      <w:bodyDiv w:val="1"/>
      <w:marLeft w:val="0"/>
      <w:marRight w:val="0"/>
      <w:marTop w:val="0"/>
      <w:marBottom w:val="0"/>
      <w:divBdr>
        <w:top w:val="none" w:sz="0" w:space="0" w:color="auto"/>
        <w:left w:val="none" w:sz="0" w:space="0" w:color="auto"/>
        <w:bottom w:val="none" w:sz="0" w:space="0" w:color="auto"/>
        <w:right w:val="none" w:sz="0" w:space="0" w:color="auto"/>
      </w:divBdr>
    </w:div>
    <w:div w:id="1484470444">
      <w:bodyDiv w:val="1"/>
      <w:marLeft w:val="0"/>
      <w:marRight w:val="0"/>
      <w:marTop w:val="0"/>
      <w:marBottom w:val="0"/>
      <w:divBdr>
        <w:top w:val="none" w:sz="0" w:space="0" w:color="auto"/>
        <w:left w:val="none" w:sz="0" w:space="0" w:color="auto"/>
        <w:bottom w:val="none" w:sz="0" w:space="0" w:color="auto"/>
        <w:right w:val="none" w:sz="0" w:space="0" w:color="auto"/>
      </w:divBdr>
    </w:div>
    <w:div w:id="1616860703">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812927">
      <w:bodyDiv w:val="1"/>
      <w:marLeft w:val="0"/>
      <w:marRight w:val="0"/>
      <w:marTop w:val="0"/>
      <w:marBottom w:val="0"/>
      <w:divBdr>
        <w:top w:val="none" w:sz="0" w:space="0" w:color="auto"/>
        <w:left w:val="none" w:sz="0" w:space="0" w:color="auto"/>
        <w:bottom w:val="none" w:sz="0" w:space="0" w:color="auto"/>
        <w:right w:val="none" w:sz="0" w:space="0" w:color="auto"/>
      </w:divBdr>
    </w:div>
    <w:div w:id="1704671408">
      <w:bodyDiv w:val="1"/>
      <w:marLeft w:val="0"/>
      <w:marRight w:val="0"/>
      <w:marTop w:val="0"/>
      <w:marBottom w:val="0"/>
      <w:divBdr>
        <w:top w:val="none" w:sz="0" w:space="0" w:color="auto"/>
        <w:left w:val="none" w:sz="0" w:space="0" w:color="auto"/>
        <w:bottom w:val="none" w:sz="0" w:space="0" w:color="auto"/>
        <w:right w:val="none" w:sz="0" w:space="0" w:color="auto"/>
      </w:divBdr>
    </w:div>
    <w:div w:id="1723167623">
      <w:bodyDiv w:val="1"/>
      <w:marLeft w:val="0"/>
      <w:marRight w:val="0"/>
      <w:marTop w:val="0"/>
      <w:marBottom w:val="0"/>
      <w:divBdr>
        <w:top w:val="none" w:sz="0" w:space="0" w:color="auto"/>
        <w:left w:val="none" w:sz="0" w:space="0" w:color="auto"/>
        <w:bottom w:val="none" w:sz="0" w:space="0" w:color="auto"/>
        <w:right w:val="none" w:sz="0" w:space="0" w:color="auto"/>
      </w:divBdr>
    </w:div>
    <w:div w:id="1866290161">
      <w:bodyDiv w:val="1"/>
      <w:marLeft w:val="0"/>
      <w:marRight w:val="0"/>
      <w:marTop w:val="0"/>
      <w:marBottom w:val="0"/>
      <w:divBdr>
        <w:top w:val="none" w:sz="0" w:space="0" w:color="auto"/>
        <w:left w:val="none" w:sz="0" w:space="0" w:color="auto"/>
        <w:bottom w:val="none" w:sz="0" w:space="0" w:color="auto"/>
        <w:right w:val="none" w:sz="0" w:space="0" w:color="auto"/>
      </w:divBdr>
    </w:div>
    <w:div w:id="1899003203">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1989630895">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customXml" Target="../customXml/item3.xml"/></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theiam.org/about-us/IAM-Awards/Asset-Management-Achievement-Award" TargetMode="External"/><Relationship Id="rId2" Type="http://schemas.openxmlformats.org/officeDocument/2006/relationships/hyperlink" Target="http://www.imf.org/external/pubs/ft/dsa/pdf/2013/dsacr13234.pdf" TargetMode="External"/><Relationship Id="rId1" Type="http://schemas.openxmlformats.org/officeDocument/2006/relationships/hyperlink" Target="http://www.adb.org/publications/asian-development-outlook-2014-fiscal-policy-inclusive-growth" TargetMode="External"/><Relationship Id="rId6" Type="http://schemas.openxmlformats.org/officeDocument/2006/relationships/hyperlink" Target="http://www.beyondsport.org/" TargetMode="External"/><Relationship Id="rId5" Type="http://schemas.openxmlformats.org/officeDocument/2006/relationships/hyperlink" Target="http://aid.dfat.gov.au/Publications/Pages/tonga-hssp-independent-progress-report.aspx" TargetMode="External"/><Relationship Id="rId4" Type="http://schemas.openxmlformats.org/officeDocument/2006/relationships/hyperlink" Target="http://www.tongadailynews.to/?p=7202"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379CD-113C-4553-B839-04F1EDF9D729}"/>
</file>

<file path=customXml/itemProps2.xml><?xml version="1.0" encoding="utf-8"?>
<ds:datastoreItem xmlns:ds="http://schemas.openxmlformats.org/officeDocument/2006/customXml" ds:itemID="{A1AE5E71-09A3-4130-831F-D769D6BE0773}"/>
</file>

<file path=customXml/itemProps3.xml><?xml version="1.0" encoding="utf-8"?>
<ds:datastoreItem xmlns:ds="http://schemas.openxmlformats.org/officeDocument/2006/customXml" ds:itemID="{37D28EDA-E3D6-48CA-9BB5-87EFDFCBAE8B}"/>
</file>

<file path=customXml/itemProps4.xml><?xml version="1.0" encoding="utf-8"?>
<ds:datastoreItem xmlns:ds="http://schemas.openxmlformats.org/officeDocument/2006/customXml" ds:itemID="{DE38BDA4-C489-4A1B-9BE0-1F9163EC725D}"/>
</file>

<file path=docProps/app.xml><?xml version="1.0" encoding="utf-8"?>
<Properties xmlns="http://schemas.openxmlformats.org/officeDocument/2006/extended-properties" xmlns:vt="http://schemas.openxmlformats.org/officeDocument/2006/docPropsVTypes">
  <Template>3D44C4B</Template>
  <TotalTime>0</TotalTime>
  <Pages>33</Pages>
  <Words>13629</Words>
  <Characters>77689</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2014-10-29T00:16:00Z</dcterms:created>
  <dcterms:modified xsi:type="dcterms:W3CDTF">2014-10-29T00:16:00Z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911900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