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29F" w:rsidRPr="00D17249" w:rsidRDefault="007E0473" w:rsidP="003B02CD">
      <w:pPr>
        <w:pStyle w:val="Title"/>
        <w:ind w:right="-171"/>
      </w:pPr>
      <w:r w:rsidRPr="00CA6DB6">
        <w:t>Aid Program Performance Report 2012</w:t>
      </w:r>
      <w:r w:rsidRPr="00052BF3">
        <w:t>−</w:t>
      </w:r>
      <w:r w:rsidRPr="00CA6DB6">
        <w:t xml:space="preserve">13 </w:t>
      </w:r>
      <w:r w:rsidR="00FD2717">
        <w:t>Tonga</w:t>
      </w:r>
    </w:p>
    <w:p w:rsidR="00180B19" w:rsidRPr="00180B19" w:rsidRDefault="00180B19" w:rsidP="00180B19">
      <w:pPr>
        <w:pStyle w:val="Heading1"/>
      </w:pPr>
      <w:r w:rsidRPr="00180B19">
        <w:t xml:space="preserve">Key </w:t>
      </w:r>
      <w:r w:rsidR="00B617F2">
        <w:t>m</w:t>
      </w:r>
      <w:r w:rsidRPr="00180B19">
        <w:t>essages</w:t>
      </w:r>
    </w:p>
    <w:p w:rsidR="00B617F2" w:rsidRPr="00EB076D" w:rsidRDefault="004C0EEF" w:rsidP="000721CB">
      <w:pPr>
        <w:pStyle w:val="BodyText"/>
      </w:pPr>
      <w:r>
        <w:t xml:space="preserve">This </w:t>
      </w:r>
      <w:r w:rsidR="00117FD8">
        <w:t xml:space="preserve">Aid </w:t>
      </w:r>
      <w:r w:rsidR="00B617F2" w:rsidRPr="00EB076D">
        <w:t>Program Performance Report</w:t>
      </w:r>
      <w:r w:rsidR="00B14A4C" w:rsidRPr="00EB076D">
        <w:t xml:space="preserve"> </w:t>
      </w:r>
      <w:r w:rsidR="00B617F2" w:rsidRPr="00EB076D">
        <w:t xml:space="preserve">summarises the Australian aid program’s progress in Tonga from January 2012 to June 2013. </w:t>
      </w:r>
    </w:p>
    <w:p w:rsidR="00B617F2" w:rsidRDefault="00B617F2" w:rsidP="000721CB">
      <w:pPr>
        <w:pStyle w:val="BodyText"/>
      </w:pPr>
      <w:r w:rsidRPr="00105972">
        <w:t>Key findings include</w:t>
      </w:r>
      <w:r w:rsidR="00EA225C">
        <w:t>:</w:t>
      </w:r>
    </w:p>
    <w:p w:rsidR="00180B19" w:rsidRPr="00B617F2" w:rsidRDefault="00507470" w:rsidP="000721CB">
      <w:pPr>
        <w:pStyle w:val="ListBullet"/>
      </w:pPr>
      <w:r w:rsidRPr="00EB076D">
        <w:t>T</w:t>
      </w:r>
      <w:r w:rsidR="0063448A" w:rsidRPr="00EB076D">
        <w:t xml:space="preserve">hroughout </w:t>
      </w:r>
      <w:r w:rsidRPr="00EB076D">
        <w:t xml:space="preserve">2012 and into 2013 </w:t>
      </w:r>
      <w:r w:rsidR="0063448A" w:rsidRPr="00EB076D">
        <w:t>Australia</w:t>
      </w:r>
      <w:r w:rsidRPr="00EB076D">
        <w:t>n assistance significantly contributed to the important reform efforts underway in Tonga</w:t>
      </w:r>
      <w:r w:rsidR="00B617F2" w:rsidRPr="00EB076D">
        <w:t xml:space="preserve">. </w:t>
      </w:r>
      <w:r w:rsidRPr="00EB076D">
        <w:t xml:space="preserve">Australian-led donor coordination around the Joint Policy Reform Matrix </w:t>
      </w:r>
      <w:r w:rsidR="00854C34">
        <w:rPr>
          <w:rStyle w:val="FootnoteReference"/>
        </w:rPr>
        <w:footnoteReference w:id="2"/>
      </w:r>
      <w:r w:rsidRPr="00EB076D">
        <w:t>has influenced good budgetary choices, alongside substantive assistance to enable the restructure of the public service</w:t>
      </w:r>
      <w:r w:rsidR="00B617F2" w:rsidRPr="00EB076D">
        <w:t xml:space="preserve">. </w:t>
      </w:r>
      <w:r w:rsidRPr="00EB076D">
        <w:t xml:space="preserve"> </w:t>
      </w:r>
    </w:p>
    <w:p w:rsidR="00406A9C" w:rsidRPr="00B617F2" w:rsidRDefault="00DD6A31" w:rsidP="000721CB">
      <w:pPr>
        <w:pStyle w:val="ListBullet"/>
      </w:pPr>
      <w:r>
        <w:t>M</w:t>
      </w:r>
      <w:r w:rsidR="00406A9C" w:rsidRPr="00EB076D">
        <w:t>omentum</w:t>
      </w:r>
      <w:r w:rsidR="00764369">
        <w:t xml:space="preserve"> increase</w:t>
      </w:r>
      <w:r>
        <w:t>d</w:t>
      </w:r>
      <w:r w:rsidR="00406A9C" w:rsidRPr="00EB076D">
        <w:t xml:space="preserve"> across the program </w:t>
      </w:r>
      <w:r>
        <w:t xml:space="preserve">in 2012 </w:t>
      </w:r>
      <w:r w:rsidR="00406A9C" w:rsidRPr="00EB076D">
        <w:t>(after some well</w:t>
      </w:r>
      <w:r w:rsidR="00B14A4C">
        <w:t>-</w:t>
      </w:r>
      <w:r w:rsidR="00406A9C" w:rsidRPr="00EB076D">
        <w:t>documented difficulties with parts of the program</w:t>
      </w:r>
      <w:r>
        <w:t xml:space="preserve"> in 2011</w:t>
      </w:r>
      <w:r w:rsidR="00406A9C" w:rsidRPr="00EB076D">
        <w:t xml:space="preserve">) </w:t>
      </w:r>
      <w:r w:rsidR="00B14A4C">
        <w:t>and</w:t>
      </w:r>
      <w:r w:rsidR="00B14A4C" w:rsidRPr="00EB076D">
        <w:t xml:space="preserve"> </w:t>
      </w:r>
      <w:r w:rsidR="00406A9C" w:rsidRPr="00EB076D">
        <w:t xml:space="preserve">a solid basis </w:t>
      </w:r>
      <w:r w:rsidR="00B14A4C">
        <w:t xml:space="preserve">is </w:t>
      </w:r>
      <w:r w:rsidR="00406A9C" w:rsidRPr="00EB076D">
        <w:t xml:space="preserve">now established </w:t>
      </w:r>
      <w:r w:rsidR="00764369">
        <w:t xml:space="preserve">upon which </w:t>
      </w:r>
      <w:r w:rsidR="00406A9C" w:rsidRPr="00EB076D">
        <w:t>to make significant achievements under the Partnership</w:t>
      </w:r>
      <w:r w:rsidR="00B14A4C">
        <w:t xml:space="preserve"> for Development</w:t>
      </w:r>
      <w:r w:rsidR="00970C56">
        <w:rPr>
          <w:rStyle w:val="FootnoteReference"/>
        </w:rPr>
        <w:footnoteReference w:id="3"/>
      </w:r>
      <w:r w:rsidR="00F51FEC">
        <w:t xml:space="preserve"> </w:t>
      </w:r>
      <w:r w:rsidR="00406A9C" w:rsidRPr="00EB076D">
        <w:t>objectives</w:t>
      </w:r>
      <w:r w:rsidR="00B617F2" w:rsidRPr="00EB076D">
        <w:t xml:space="preserve">. </w:t>
      </w:r>
      <w:r w:rsidR="00A076C2" w:rsidRPr="00EB076D">
        <w:t>The h</w:t>
      </w:r>
      <w:r w:rsidR="00406A9C" w:rsidRPr="00EB076D">
        <w:t xml:space="preserve">ealth program </w:t>
      </w:r>
      <w:r w:rsidR="00A076C2" w:rsidRPr="00EB076D">
        <w:t xml:space="preserve">is </w:t>
      </w:r>
      <w:r w:rsidR="00406A9C" w:rsidRPr="00EB076D">
        <w:t>gaining traction</w:t>
      </w:r>
      <w:r w:rsidR="00EA225C">
        <w:t>, for example</w:t>
      </w:r>
      <w:r w:rsidR="00B14A4C">
        <w:t>. I</w:t>
      </w:r>
      <w:r w:rsidR="00406A9C" w:rsidRPr="00EB076D">
        <w:t>mplementation on infrastructure</w:t>
      </w:r>
      <w:r w:rsidR="00B14A4C">
        <w:t xml:space="preserve"> is moving faster</w:t>
      </w:r>
      <w:r w:rsidR="00991549" w:rsidRPr="00EB076D">
        <w:t xml:space="preserve"> and the new interim facility for technical and vocational training </w:t>
      </w:r>
      <w:r w:rsidR="00764369">
        <w:t>is</w:t>
      </w:r>
      <w:r w:rsidR="00991549" w:rsidRPr="00EB076D">
        <w:t xml:space="preserve"> designed</w:t>
      </w:r>
      <w:r w:rsidR="00406A9C" w:rsidRPr="00EB076D">
        <w:t>.</w:t>
      </w:r>
      <w:r w:rsidR="00A00307" w:rsidRPr="00EB076D">
        <w:t xml:space="preserve"> </w:t>
      </w:r>
      <w:r w:rsidR="00B14A4C">
        <w:t>A</w:t>
      </w:r>
      <w:r w:rsidR="00A00307" w:rsidRPr="00EB076D">
        <w:t xml:space="preserve"> long</w:t>
      </w:r>
      <w:r w:rsidR="00B14A4C">
        <w:t>-</w:t>
      </w:r>
      <w:r w:rsidR="00A00307" w:rsidRPr="00EB076D">
        <w:t xml:space="preserve">term program of support in the education sector </w:t>
      </w:r>
      <w:r w:rsidR="00764369">
        <w:t>is</w:t>
      </w:r>
      <w:r w:rsidR="00764369" w:rsidRPr="00EB076D">
        <w:t xml:space="preserve"> </w:t>
      </w:r>
      <w:r w:rsidR="00A00307" w:rsidRPr="00EB076D">
        <w:t xml:space="preserve">also </w:t>
      </w:r>
      <w:r w:rsidR="00B14A4C">
        <w:t>designed and</w:t>
      </w:r>
      <w:r w:rsidR="00764369">
        <w:t xml:space="preserve"> was</w:t>
      </w:r>
      <w:r w:rsidR="00B14A4C">
        <w:t xml:space="preserve"> </w:t>
      </w:r>
      <w:r w:rsidR="00A00307" w:rsidRPr="00EB076D">
        <w:t xml:space="preserve">agreed between the </w:t>
      </w:r>
      <w:r w:rsidR="00B14A4C">
        <w:t>g</w:t>
      </w:r>
      <w:r w:rsidR="00A00307" w:rsidRPr="00EB076D">
        <w:t>overnments of Australia</w:t>
      </w:r>
      <w:r w:rsidR="00764369">
        <w:t>, Tonga</w:t>
      </w:r>
      <w:r w:rsidR="00A00307" w:rsidRPr="00EB076D">
        <w:t xml:space="preserve"> and New Zealand in early 2013, </w:t>
      </w:r>
      <w:r w:rsidR="00B14A4C">
        <w:t>helping to</w:t>
      </w:r>
      <w:r w:rsidR="00A00307" w:rsidRPr="00EB076D">
        <w:t xml:space="preserve"> achieve better quality education for primary school-aged children.</w:t>
      </w:r>
      <w:r w:rsidRPr="00DD6A31">
        <w:t xml:space="preserve"> </w:t>
      </w:r>
      <w:r w:rsidRPr="00EB076D">
        <w:t>A new four-year framework for Australia’s support to economic and public sector reform in Tonga was also developed</w:t>
      </w:r>
      <w:r>
        <w:t xml:space="preserve">. </w:t>
      </w:r>
      <w:r w:rsidRPr="00EB076D">
        <w:t>Risk management systems across the Tonga aid program were strengthened</w:t>
      </w:r>
    </w:p>
    <w:p w:rsidR="00BB6CF6" w:rsidRDefault="00BB6CF6" w:rsidP="00F51FEC">
      <w:pPr>
        <w:ind w:left="468"/>
      </w:pPr>
    </w:p>
    <w:p w:rsidR="00C20215" w:rsidRDefault="00180B19" w:rsidP="00C20215">
      <w:pPr>
        <w:pStyle w:val="Heading1"/>
        <w:spacing w:before="0" w:after="100" w:line="320" w:lineRule="atLeast"/>
      </w:pPr>
      <w:r w:rsidRPr="00180B19">
        <w:t xml:space="preserve">Context </w:t>
      </w:r>
    </w:p>
    <w:p w:rsidR="00C20215" w:rsidRPr="00C20215" w:rsidRDefault="00C20215" w:rsidP="002D1680">
      <w:pPr>
        <w:pStyle w:val="Heading2"/>
      </w:pPr>
      <w:r w:rsidRPr="002D1680">
        <w:t>Economy</w:t>
      </w:r>
    </w:p>
    <w:p w:rsidR="00D90F78" w:rsidRPr="00D90F78" w:rsidRDefault="00EC3F63" w:rsidP="000721CB">
      <w:pPr>
        <w:pStyle w:val="BodyText"/>
      </w:pPr>
      <w:r w:rsidRPr="00787C5B">
        <w:t>Although real economic growth in Tonga has been slow for the past decade, there has been some</w:t>
      </w:r>
      <w:r w:rsidR="00CE4FA0" w:rsidRPr="00787C5B">
        <w:t xml:space="preserve"> temporary</w:t>
      </w:r>
      <w:r w:rsidRPr="00787C5B">
        <w:t xml:space="preserve"> improvement in the past </w:t>
      </w:r>
      <w:r w:rsidR="002D3D2F">
        <w:t>four</w:t>
      </w:r>
      <w:r w:rsidRPr="00787C5B">
        <w:t xml:space="preserve"> years, with an average of 2</w:t>
      </w:r>
      <w:r w:rsidR="00AD0B95">
        <w:t>.6</w:t>
      </w:r>
      <w:r w:rsidRPr="00787C5B">
        <w:t xml:space="preserve"> per cent growth</w:t>
      </w:r>
      <w:r w:rsidR="00B617F2">
        <w:t>.</w:t>
      </w:r>
      <w:r w:rsidR="002D2717">
        <w:rPr>
          <w:rStyle w:val="FootnoteReference"/>
        </w:rPr>
        <w:footnoteReference w:id="4"/>
      </w:r>
      <w:r w:rsidR="00B617F2">
        <w:t xml:space="preserve"> </w:t>
      </w:r>
      <w:r w:rsidRPr="00787C5B">
        <w:t>The primary driver of growth has been donor-funded construction</w:t>
      </w:r>
      <w:r w:rsidR="00B617F2">
        <w:t xml:space="preserve">. </w:t>
      </w:r>
      <w:r w:rsidR="00331A9E" w:rsidRPr="00787C5B">
        <w:t>This</w:t>
      </w:r>
      <w:r w:rsidR="00CE4FA0" w:rsidRPr="00787C5B">
        <w:t xml:space="preserve"> driver</w:t>
      </w:r>
      <w:r w:rsidR="00764369">
        <w:t>,</w:t>
      </w:r>
      <w:r w:rsidR="00331A9E" w:rsidRPr="00787C5B">
        <w:t xml:space="preserve"> howe</w:t>
      </w:r>
      <w:r w:rsidR="00B2674F" w:rsidRPr="00787C5B">
        <w:t>ver</w:t>
      </w:r>
      <w:r w:rsidR="00764369">
        <w:t>,</w:t>
      </w:r>
      <w:r w:rsidR="00331A9E" w:rsidRPr="00787C5B">
        <w:t xml:space="preserve"> has been a short-term panacea for Tonga’s economy</w:t>
      </w:r>
      <w:r w:rsidR="00EA225C">
        <w:t>,</w:t>
      </w:r>
      <w:r w:rsidR="00F94CEE" w:rsidRPr="00787C5B">
        <w:t xml:space="preserve"> which </w:t>
      </w:r>
      <w:r w:rsidR="00331A9E" w:rsidRPr="00787C5B">
        <w:t>is expected to grow at a much slower rate</w:t>
      </w:r>
      <w:r w:rsidR="00B617F2">
        <w:t xml:space="preserve">. </w:t>
      </w:r>
      <w:r w:rsidR="00CE4FA0" w:rsidRPr="00787C5B">
        <w:t>C</w:t>
      </w:r>
      <w:r w:rsidR="00DB28FE" w:rsidRPr="00787C5B">
        <w:t>ontributing to</w:t>
      </w:r>
      <w:r w:rsidR="00814DB3" w:rsidRPr="00787C5B">
        <w:t xml:space="preserve"> this</w:t>
      </w:r>
      <w:r w:rsidR="00764369">
        <w:t xml:space="preserve"> </w:t>
      </w:r>
      <w:r w:rsidR="00DB28FE" w:rsidRPr="00787C5B">
        <w:t xml:space="preserve">is the ongoing decline in the remittance flows </w:t>
      </w:r>
      <w:r w:rsidR="00764369">
        <w:t>that</w:t>
      </w:r>
      <w:r w:rsidR="00764369" w:rsidRPr="00787C5B">
        <w:t xml:space="preserve"> </w:t>
      </w:r>
      <w:r w:rsidR="00DB28FE" w:rsidRPr="00787C5B">
        <w:t>have traditionally propped up the economy.</w:t>
      </w:r>
      <w:r w:rsidR="002D2717">
        <w:rPr>
          <w:rStyle w:val="FootnoteReference"/>
        </w:rPr>
        <w:footnoteReference w:id="5"/>
      </w:r>
      <w:r w:rsidR="00DB28FE" w:rsidRPr="00787C5B">
        <w:t xml:space="preserve"> Falling levels of remittances, coupled </w:t>
      </w:r>
      <w:r w:rsidR="00DB28FE" w:rsidRPr="00D90F78">
        <w:t>with unfavourable exchange rates caused by the Tongan currency appreciating against the U</w:t>
      </w:r>
      <w:r w:rsidR="00764369">
        <w:t xml:space="preserve">nited </w:t>
      </w:r>
      <w:r w:rsidR="00DB28FE" w:rsidRPr="00D90F78">
        <w:t>S</w:t>
      </w:r>
      <w:r w:rsidR="00764369">
        <w:t>tates</w:t>
      </w:r>
      <w:r w:rsidR="00DB28FE" w:rsidRPr="00D90F78">
        <w:t xml:space="preserve"> dollar, have seen remittances steadily decline</w:t>
      </w:r>
      <w:r w:rsidR="00B617F2">
        <w:t>.</w:t>
      </w:r>
      <w:r w:rsidR="002D2717">
        <w:rPr>
          <w:rStyle w:val="FootnoteReference"/>
        </w:rPr>
        <w:footnoteReference w:id="6"/>
      </w:r>
      <w:r w:rsidR="00B617F2">
        <w:t xml:space="preserve"> </w:t>
      </w:r>
      <w:r w:rsidR="00CE4FA0" w:rsidRPr="00D90F78">
        <w:t>G</w:t>
      </w:r>
      <w:r w:rsidR="00DB28FE" w:rsidRPr="00D90F78">
        <w:t xml:space="preserve">rowth prospects </w:t>
      </w:r>
      <w:r w:rsidR="00CE4FA0" w:rsidRPr="00D90F78">
        <w:t xml:space="preserve">are limited, </w:t>
      </w:r>
      <w:r w:rsidR="00DB28FE" w:rsidRPr="00D90F78">
        <w:t>with a small private sector unlikely to grow in the short to medium term</w:t>
      </w:r>
      <w:r w:rsidR="00B617F2">
        <w:t xml:space="preserve">. </w:t>
      </w:r>
      <w:r w:rsidR="0090322A" w:rsidRPr="00D90F78">
        <w:t xml:space="preserve">Labour mobility </w:t>
      </w:r>
      <w:r w:rsidR="00CE4FA0" w:rsidRPr="00D90F78">
        <w:t xml:space="preserve">is </w:t>
      </w:r>
      <w:r w:rsidR="007F1135" w:rsidRPr="00D90F78">
        <w:t>becoming an</w:t>
      </w:r>
      <w:r w:rsidR="00CE4FA0" w:rsidRPr="00D90F78">
        <w:t xml:space="preserve"> in</w:t>
      </w:r>
      <w:r w:rsidR="0090322A" w:rsidRPr="00D90F78">
        <w:t xml:space="preserve">creasingly </w:t>
      </w:r>
      <w:r w:rsidR="0090322A" w:rsidRPr="00D90F78">
        <w:lastRenderedPageBreak/>
        <w:t xml:space="preserve">important policy focus for the </w:t>
      </w:r>
      <w:r w:rsidR="007148B3">
        <w:t>Government of Tonga</w:t>
      </w:r>
      <w:r w:rsidR="0090322A" w:rsidRPr="00D90F78">
        <w:t xml:space="preserve"> given the</w:t>
      </w:r>
      <w:r w:rsidR="005C3EAA">
        <w:t xml:space="preserve"> </w:t>
      </w:r>
      <w:r w:rsidR="00970C56">
        <w:t>challenges in the domestic economy</w:t>
      </w:r>
      <w:r w:rsidR="005C3EAA">
        <w:t xml:space="preserve"> </w:t>
      </w:r>
      <w:r w:rsidR="0090322A" w:rsidRPr="00D90F78">
        <w:t>and the decline in remittances</w:t>
      </w:r>
      <w:r w:rsidR="00B617F2">
        <w:t xml:space="preserve">. </w:t>
      </w:r>
      <w:r w:rsidR="002E29CA">
        <w:t>Tourism remains a potential growth sector,</w:t>
      </w:r>
      <w:r w:rsidR="009B08A4">
        <w:t xml:space="preserve"> with the </w:t>
      </w:r>
      <w:r w:rsidR="007148B3">
        <w:t>Government of Tonga</w:t>
      </w:r>
      <w:r w:rsidR="009B08A4">
        <w:t xml:space="preserve"> identifying it as one of </w:t>
      </w:r>
      <w:r w:rsidR="005C3EAA">
        <w:t xml:space="preserve">its </w:t>
      </w:r>
      <w:r w:rsidR="009B08A4">
        <w:t>priority sectors for strengthen</w:t>
      </w:r>
      <w:r w:rsidR="005C3EAA">
        <w:t>ing</w:t>
      </w:r>
      <w:r w:rsidR="009B08A4">
        <w:t xml:space="preserve"> collaboration between government and the private sector.</w:t>
      </w:r>
      <w:r w:rsidR="002E29CA">
        <w:t xml:space="preserve"> </w:t>
      </w:r>
      <w:r w:rsidR="009B08A4">
        <w:t xml:space="preserve">The </w:t>
      </w:r>
      <w:r w:rsidR="005C3EAA">
        <w:t>g</w:t>
      </w:r>
      <w:r w:rsidR="009B08A4">
        <w:t>overnment remains realistic about the need to differentiate Tonga from other</w:t>
      </w:r>
      <w:r w:rsidR="005C3EAA">
        <w:t xml:space="preserve"> tourism</w:t>
      </w:r>
      <w:r w:rsidR="009B08A4">
        <w:t xml:space="preserve"> destinations in the Pacific region</w:t>
      </w:r>
      <w:r w:rsidR="005C3EAA">
        <w:t xml:space="preserve"> and</w:t>
      </w:r>
      <w:r w:rsidR="009B08A4">
        <w:t xml:space="preserve"> the infrastructure and service improvements required to support a vibrant tourism industry</w:t>
      </w:r>
      <w:r w:rsidR="00B617F2">
        <w:t>.</w:t>
      </w:r>
      <w:r w:rsidR="00034862">
        <w:rPr>
          <w:rStyle w:val="FootnoteReference"/>
        </w:rPr>
        <w:footnoteReference w:id="7"/>
      </w:r>
      <w:r w:rsidR="00B617F2">
        <w:t xml:space="preserve"> </w:t>
      </w:r>
      <w:r w:rsidR="009B08A4">
        <w:t xml:space="preserve"> The recently established Tonga Tourist Authority is expected to work closely with the private sector to undertake international marketing and promotional activities</w:t>
      </w:r>
      <w:r w:rsidR="00C83A69">
        <w:t xml:space="preserve">, and international donor funding is supporting the </w:t>
      </w:r>
      <w:r w:rsidR="005C3EAA">
        <w:t>g</w:t>
      </w:r>
      <w:r w:rsidR="00307814">
        <w:t>overnment</w:t>
      </w:r>
      <w:r w:rsidR="006132FA">
        <w:t xml:space="preserve"> in this endeavour</w:t>
      </w:r>
      <w:r w:rsidR="00C83A69">
        <w:t>.</w:t>
      </w:r>
      <w:r w:rsidR="00034862">
        <w:rPr>
          <w:rStyle w:val="FootnoteReference"/>
        </w:rPr>
        <w:footnoteReference w:id="8"/>
      </w:r>
      <w:r w:rsidR="009B08A4">
        <w:t xml:space="preserve">  </w:t>
      </w:r>
      <w:r w:rsidR="002E29CA">
        <w:t xml:space="preserve"> </w:t>
      </w:r>
    </w:p>
    <w:p w:rsidR="00D90F78" w:rsidRPr="00D90F78" w:rsidRDefault="009006BD" w:rsidP="000721CB">
      <w:pPr>
        <w:pStyle w:val="BodyText"/>
        <w:rPr>
          <w:lang w:val="en"/>
        </w:rPr>
      </w:pPr>
      <w:r w:rsidRPr="00970C56">
        <w:rPr>
          <w:rFonts w:eastAsia="SimSun"/>
        </w:rPr>
        <w:t>The project partners</w:t>
      </w:r>
      <w:r w:rsidR="00D90F78" w:rsidRPr="00970C56">
        <w:rPr>
          <w:rFonts w:eastAsia="SimSun"/>
        </w:rPr>
        <w:t xml:space="preserve"> </w:t>
      </w:r>
      <w:r w:rsidR="006132FA" w:rsidRPr="00970C56">
        <w:rPr>
          <w:rFonts w:eastAsia="SimSun"/>
        </w:rPr>
        <w:t>anticipate</w:t>
      </w:r>
      <w:r w:rsidR="00D90F78" w:rsidRPr="00970C56">
        <w:rPr>
          <w:rFonts w:eastAsia="SimSun"/>
        </w:rPr>
        <w:t xml:space="preserve"> </w:t>
      </w:r>
      <w:r w:rsidR="00E4405D" w:rsidRPr="00970C56">
        <w:rPr>
          <w:rFonts w:eastAsia="SimSun"/>
        </w:rPr>
        <w:t xml:space="preserve">that </w:t>
      </w:r>
      <w:r w:rsidR="00D90F78" w:rsidRPr="00970C56">
        <w:rPr>
          <w:rFonts w:eastAsia="SimSun"/>
        </w:rPr>
        <w:t>Tonga’</w:t>
      </w:r>
      <w:r w:rsidR="006132FA" w:rsidRPr="00970C56">
        <w:rPr>
          <w:rFonts w:eastAsia="SimSun"/>
        </w:rPr>
        <w:t>s</w:t>
      </w:r>
      <w:r w:rsidR="00D90F78" w:rsidRPr="00970C56">
        <w:rPr>
          <w:rFonts w:eastAsia="SimSun"/>
        </w:rPr>
        <w:t xml:space="preserve"> connection to the </w:t>
      </w:r>
      <w:r w:rsidR="00B9158E" w:rsidRPr="00970C56">
        <w:rPr>
          <w:rFonts w:eastAsia="SimSun"/>
        </w:rPr>
        <w:t>S</w:t>
      </w:r>
      <w:r w:rsidR="00D90F78" w:rsidRPr="00970C56">
        <w:rPr>
          <w:rFonts w:eastAsia="SimSun"/>
        </w:rPr>
        <w:t>outhern</w:t>
      </w:r>
      <w:r w:rsidR="00B9158E" w:rsidRPr="00970C56">
        <w:rPr>
          <w:rFonts w:eastAsia="SimSun"/>
        </w:rPr>
        <w:t xml:space="preserve"> C</w:t>
      </w:r>
      <w:r w:rsidR="00D90F78" w:rsidRPr="00970C56">
        <w:rPr>
          <w:rFonts w:eastAsia="SimSun"/>
        </w:rPr>
        <w:t>ross cable</w:t>
      </w:r>
      <w:r w:rsidR="00536938">
        <w:rPr>
          <w:rStyle w:val="FootnoteReference"/>
          <w:rFonts w:eastAsia="SimSun"/>
        </w:rPr>
        <w:footnoteReference w:id="9"/>
      </w:r>
      <w:r w:rsidR="00BF2132" w:rsidRPr="00970C56">
        <w:rPr>
          <w:rFonts w:eastAsia="SimSun"/>
        </w:rPr>
        <w:t xml:space="preserve">, expected </w:t>
      </w:r>
      <w:r w:rsidR="00F51FEC">
        <w:rPr>
          <w:rFonts w:eastAsia="SimSun"/>
        </w:rPr>
        <w:t>in August</w:t>
      </w:r>
      <w:r w:rsidR="00F51FEC" w:rsidRPr="00970C56">
        <w:rPr>
          <w:rFonts w:eastAsia="SimSun"/>
        </w:rPr>
        <w:t xml:space="preserve"> </w:t>
      </w:r>
      <w:r w:rsidR="00BF2132" w:rsidRPr="00970C56">
        <w:rPr>
          <w:rFonts w:eastAsia="SimSun"/>
        </w:rPr>
        <w:t>2013</w:t>
      </w:r>
      <w:r w:rsidR="005F53E3" w:rsidRPr="00F51FEC">
        <w:rPr>
          <w:rFonts w:eastAsia="SimSun"/>
          <w:sz w:val="16"/>
        </w:rPr>
        <w:t>,</w:t>
      </w:r>
      <w:r w:rsidR="00D90F78" w:rsidRPr="00970C56">
        <w:rPr>
          <w:rFonts w:eastAsia="SimSun"/>
        </w:rPr>
        <w:t xml:space="preserve"> will mitigate</w:t>
      </w:r>
      <w:r w:rsidR="00FF37AD" w:rsidRPr="00970C56">
        <w:rPr>
          <w:rFonts w:eastAsia="SimSun"/>
        </w:rPr>
        <w:t xml:space="preserve"> some of</w:t>
      </w:r>
      <w:r w:rsidR="00D90F78" w:rsidRPr="00970C56">
        <w:rPr>
          <w:rFonts w:eastAsia="SimSun"/>
        </w:rPr>
        <w:t xml:space="preserve"> the isolation and other constraints to economic development by improving access to and </w:t>
      </w:r>
      <w:r w:rsidR="00E4405D" w:rsidRPr="00970C56">
        <w:rPr>
          <w:rFonts w:eastAsia="SimSun"/>
        </w:rPr>
        <w:t xml:space="preserve">providing </w:t>
      </w:r>
      <w:r w:rsidR="00D90F78" w:rsidRPr="00970C56">
        <w:rPr>
          <w:rFonts w:eastAsia="SimSun"/>
        </w:rPr>
        <w:t xml:space="preserve">more affordable telecommunications, especially high-speed (broadband) </w:t>
      </w:r>
      <w:r w:rsidR="005F53E3" w:rsidRPr="00970C56">
        <w:rPr>
          <w:rFonts w:eastAsia="SimSun"/>
        </w:rPr>
        <w:t>I</w:t>
      </w:r>
      <w:r w:rsidR="00D90F78" w:rsidRPr="00970C56">
        <w:rPr>
          <w:rFonts w:eastAsia="SimSun"/>
        </w:rPr>
        <w:t>nternet</w:t>
      </w:r>
      <w:r w:rsidR="005F53E3" w:rsidRPr="00970C56">
        <w:rPr>
          <w:rFonts w:eastAsia="SimSun"/>
        </w:rPr>
        <w:t xml:space="preserve">. This will enable Tonga to pursue </w:t>
      </w:r>
      <w:r w:rsidR="00D90F78" w:rsidRPr="00970C56">
        <w:rPr>
          <w:rFonts w:eastAsia="SimSun"/>
        </w:rPr>
        <w:t>new economic opportunities</w:t>
      </w:r>
      <w:r w:rsidR="005F53E3" w:rsidRPr="00970C56">
        <w:rPr>
          <w:rFonts w:eastAsia="SimSun"/>
        </w:rPr>
        <w:t>,</w:t>
      </w:r>
      <w:r w:rsidR="00D90F78" w:rsidRPr="00970C56">
        <w:rPr>
          <w:rFonts w:eastAsia="SimSun"/>
        </w:rPr>
        <w:t xml:space="preserve"> domestically and internationally</w:t>
      </w:r>
      <w:r w:rsidR="005F53E3" w:rsidRPr="00970C56">
        <w:rPr>
          <w:rFonts w:eastAsia="SimSun"/>
        </w:rPr>
        <w:t>,</w:t>
      </w:r>
      <w:r w:rsidR="00D90F78" w:rsidRPr="00970C56">
        <w:rPr>
          <w:rFonts w:eastAsia="SimSun"/>
        </w:rPr>
        <w:t xml:space="preserve"> and new avenues for </w:t>
      </w:r>
      <w:r w:rsidR="005F53E3" w:rsidRPr="00970C56">
        <w:rPr>
          <w:rFonts w:eastAsia="SimSun"/>
        </w:rPr>
        <w:t xml:space="preserve">service </w:t>
      </w:r>
      <w:r w:rsidR="00D90F78" w:rsidRPr="00970C56">
        <w:rPr>
          <w:rFonts w:eastAsia="SimSun"/>
        </w:rPr>
        <w:t>delivery. Affordable high</w:t>
      </w:r>
      <w:r w:rsidR="00EA225C">
        <w:rPr>
          <w:rFonts w:eastAsia="SimSun"/>
        </w:rPr>
        <w:t>-</w:t>
      </w:r>
      <w:r w:rsidR="00D90F78" w:rsidRPr="00970C56">
        <w:rPr>
          <w:rFonts w:eastAsia="SimSun"/>
        </w:rPr>
        <w:t xml:space="preserve">speed </w:t>
      </w:r>
      <w:r w:rsidR="005F53E3" w:rsidRPr="00970C56">
        <w:rPr>
          <w:rFonts w:eastAsia="SimSun"/>
        </w:rPr>
        <w:t>I</w:t>
      </w:r>
      <w:r w:rsidR="00D90F78" w:rsidRPr="00970C56">
        <w:rPr>
          <w:rFonts w:eastAsia="SimSun"/>
        </w:rPr>
        <w:t xml:space="preserve">nternet services will also help Tongans maintain social </w:t>
      </w:r>
      <w:r w:rsidR="005F53E3" w:rsidRPr="00970C56">
        <w:rPr>
          <w:rFonts w:eastAsia="SimSun"/>
        </w:rPr>
        <w:t xml:space="preserve">connections </w:t>
      </w:r>
      <w:r w:rsidR="00D90F78" w:rsidRPr="00970C56">
        <w:rPr>
          <w:rFonts w:eastAsia="SimSun"/>
        </w:rPr>
        <w:t xml:space="preserve">with relatives </w:t>
      </w:r>
      <w:r w:rsidR="005F53E3" w:rsidRPr="00970C56">
        <w:rPr>
          <w:rFonts w:eastAsia="SimSun"/>
        </w:rPr>
        <w:t xml:space="preserve">living </w:t>
      </w:r>
      <w:r w:rsidR="00D90F78" w:rsidRPr="00970C56">
        <w:rPr>
          <w:rFonts w:eastAsia="SimSun"/>
        </w:rPr>
        <w:t xml:space="preserve">abroad, and facilitate cheaper, easier ways for </w:t>
      </w:r>
      <w:r w:rsidR="005F53E3" w:rsidRPr="00970C56">
        <w:rPr>
          <w:rFonts w:eastAsia="SimSun"/>
        </w:rPr>
        <w:t xml:space="preserve">those </w:t>
      </w:r>
      <w:r w:rsidR="00D90F78" w:rsidRPr="00970C56">
        <w:rPr>
          <w:rFonts w:eastAsia="SimSun"/>
        </w:rPr>
        <w:t xml:space="preserve">living abroad to remit money home. The high-speed </w:t>
      </w:r>
      <w:r w:rsidR="005F53E3" w:rsidRPr="00970C56">
        <w:rPr>
          <w:rFonts w:eastAsia="SimSun"/>
        </w:rPr>
        <w:t>I</w:t>
      </w:r>
      <w:r w:rsidR="00D90F78" w:rsidRPr="00970C56">
        <w:rPr>
          <w:rFonts w:eastAsia="SimSun"/>
        </w:rPr>
        <w:t>nternet connection to Tonga builds on the</w:t>
      </w:r>
      <w:r w:rsidR="005F53E3" w:rsidRPr="00970C56">
        <w:rPr>
          <w:rFonts w:eastAsia="SimSun"/>
        </w:rPr>
        <w:t xml:space="preserve"> country’s</w:t>
      </w:r>
      <w:r w:rsidR="00D90F78" w:rsidRPr="00970C56">
        <w:rPr>
          <w:rFonts w:eastAsia="SimSun"/>
        </w:rPr>
        <w:t xml:space="preserve"> successful telecommunications reform over the past decade, </w:t>
      </w:r>
      <w:r w:rsidR="00A076C2" w:rsidRPr="00970C56">
        <w:rPr>
          <w:rFonts w:eastAsia="SimSun"/>
        </w:rPr>
        <w:t>supported by Australia and World Bank assistance</w:t>
      </w:r>
      <w:r w:rsidR="005F53E3" w:rsidRPr="00970C56">
        <w:rPr>
          <w:rFonts w:eastAsia="SimSun"/>
        </w:rPr>
        <w:t>. This work</w:t>
      </w:r>
      <w:r w:rsidR="00D90F78" w:rsidRPr="00970C56">
        <w:rPr>
          <w:rFonts w:eastAsia="SimSun"/>
        </w:rPr>
        <w:t xml:space="preserve"> has resulted in a six-fold increase in mobile phone coverage in the same</w:t>
      </w:r>
      <w:r w:rsidR="00D90F78" w:rsidRPr="00D90F78">
        <w:rPr>
          <w:lang w:val="en"/>
        </w:rPr>
        <w:t xml:space="preserve"> period</w:t>
      </w:r>
      <w:r w:rsidR="00B617F2">
        <w:rPr>
          <w:lang w:val="en"/>
        </w:rPr>
        <w:t>.</w:t>
      </w:r>
      <w:r w:rsidR="007A264F">
        <w:rPr>
          <w:rStyle w:val="FootnoteReference"/>
          <w:lang w:val="en"/>
        </w:rPr>
        <w:footnoteReference w:id="10"/>
      </w:r>
    </w:p>
    <w:p w:rsidR="00331A9E" w:rsidRPr="00787C5B" w:rsidRDefault="00D51DAF" w:rsidP="000721CB">
      <w:pPr>
        <w:pStyle w:val="BodyText"/>
      </w:pPr>
      <w:r>
        <w:t xml:space="preserve">Notwithstanding these areas of future promise for the economy, the </w:t>
      </w:r>
      <w:r w:rsidR="007148B3">
        <w:t>Government of Tonga’s</w:t>
      </w:r>
      <w:r w:rsidR="005F53E3">
        <w:t xml:space="preserve"> </w:t>
      </w:r>
      <w:r w:rsidR="00951A64" w:rsidRPr="00D90F78">
        <w:t>fiscal difficulties limit</w:t>
      </w:r>
      <w:r>
        <w:t xml:space="preserve"> its </w:t>
      </w:r>
      <w:r w:rsidR="00951A64" w:rsidRPr="00D90F78">
        <w:t xml:space="preserve">ability to fund </w:t>
      </w:r>
      <w:r w:rsidR="005F53E3">
        <w:t>service</w:t>
      </w:r>
      <w:r w:rsidR="005F53E3" w:rsidRPr="00D90F78">
        <w:t xml:space="preserve"> </w:t>
      </w:r>
      <w:r w:rsidR="00951A64" w:rsidRPr="00D90F78">
        <w:t>delivery to its people</w:t>
      </w:r>
      <w:r w:rsidR="00B617F2">
        <w:t xml:space="preserve">. </w:t>
      </w:r>
      <w:r w:rsidR="000726BD" w:rsidRPr="00D90F78">
        <w:t xml:space="preserve">Tonga’s economy is highly centralised with a significant proportion of the national budget </w:t>
      </w:r>
      <w:r w:rsidR="000726BD" w:rsidRPr="00787C5B">
        <w:t>allocated to wages and salaries</w:t>
      </w:r>
      <w:r w:rsidR="00B617F2">
        <w:t xml:space="preserve">. </w:t>
      </w:r>
      <w:r w:rsidR="000726BD" w:rsidRPr="00787C5B">
        <w:t>This leaves little funding for maintenance and development</w:t>
      </w:r>
      <w:r w:rsidR="00B617F2">
        <w:t xml:space="preserve">. </w:t>
      </w:r>
      <w:r w:rsidR="00A076C2">
        <w:t xml:space="preserve">The </w:t>
      </w:r>
      <w:r w:rsidR="00E576E6">
        <w:t>g</w:t>
      </w:r>
      <w:r w:rsidR="00A076C2">
        <w:t xml:space="preserve">overnment’s </w:t>
      </w:r>
      <w:r w:rsidR="00951A64" w:rsidRPr="00787C5B">
        <w:t xml:space="preserve">tight fiscal position is exacerbated by </w:t>
      </w:r>
      <w:r w:rsidR="000726BD" w:rsidRPr="00787C5B">
        <w:t xml:space="preserve">pending payments to service its </w:t>
      </w:r>
      <w:r w:rsidR="00951A64" w:rsidRPr="00787C5B">
        <w:t>external debt</w:t>
      </w:r>
      <w:r w:rsidR="00B617F2">
        <w:t xml:space="preserve">. </w:t>
      </w:r>
      <w:r w:rsidR="00331A9E" w:rsidRPr="00787C5B">
        <w:t xml:space="preserve">Tonga’s </w:t>
      </w:r>
      <w:r w:rsidR="00840347" w:rsidRPr="00787C5B">
        <w:t xml:space="preserve">external </w:t>
      </w:r>
      <w:r w:rsidR="00331A9E" w:rsidRPr="00787C5B">
        <w:t>debt at 30 June 201</w:t>
      </w:r>
      <w:r w:rsidR="00310C11">
        <w:t>3</w:t>
      </w:r>
      <w:r w:rsidR="00331A9E" w:rsidRPr="00787C5B">
        <w:t xml:space="preserve"> was estimated at </w:t>
      </w:r>
      <w:r w:rsidR="00310C11">
        <w:t>39</w:t>
      </w:r>
      <w:r w:rsidR="00B617F2">
        <w:t xml:space="preserve"> per cent</w:t>
      </w:r>
      <w:r w:rsidR="00331A9E" w:rsidRPr="00787C5B">
        <w:t xml:space="preserve"> of </w:t>
      </w:r>
      <w:r w:rsidR="005F53E3">
        <w:t>gross domestic product</w:t>
      </w:r>
      <w:r w:rsidR="007A264F">
        <w:rPr>
          <w:rStyle w:val="FootnoteReference"/>
        </w:rPr>
        <w:footnoteReference w:id="11"/>
      </w:r>
      <w:r w:rsidR="00A93BBC">
        <w:t xml:space="preserve">, </w:t>
      </w:r>
      <w:r w:rsidR="00310C11">
        <w:t>down</w:t>
      </w:r>
      <w:r w:rsidR="00BA19CD">
        <w:t xml:space="preserve"> from </w:t>
      </w:r>
      <w:r w:rsidR="00310C11">
        <w:t>41</w:t>
      </w:r>
      <w:r w:rsidR="00B617F2">
        <w:t xml:space="preserve"> per cent</w:t>
      </w:r>
      <w:r w:rsidR="00BA19CD">
        <w:t xml:space="preserve"> </w:t>
      </w:r>
      <w:r w:rsidR="00417D87">
        <w:t xml:space="preserve">at </w:t>
      </w:r>
      <w:r w:rsidR="00931EBD">
        <w:t>30 June 2012</w:t>
      </w:r>
      <w:r w:rsidR="00E21F76">
        <w:t>.</w:t>
      </w:r>
      <w:r w:rsidR="007A264F">
        <w:rPr>
          <w:rStyle w:val="FootnoteReference"/>
        </w:rPr>
        <w:footnoteReference w:id="12"/>
      </w:r>
      <w:r w:rsidR="00B617F2">
        <w:t xml:space="preserve"> </w:t>
      </w:r>
      <w:r w:rsidR="00CA4CAD">
        <w:t xml:space="preserve">This debt was largely </w:t>
      </w:r>
      <w:r w:rsidR="00417D87">
        <w:t xml:space="preserve">used </w:t>
      </w:r>
      <w:r w:rsidR="00CA4CAD">
        <w:t>to fund the reconstruction of Nuku’alofa after the 2006 riots</w:t>
      </w:r>
      <w:r w:rsidR="00970C56">
        <w:rPr>
          <w:rStyle w:val="FootnoteReference"/>
        </w:rPr>
        <w:footnoteReference w:id="13"/>
      </w:r>
      <w:r w:rsidR="00CA4CAD">
        <w:t>, during which much of the city was burnt down</w:t>
      </w:r>
      <w:r w:rsidR="00B617F2">
        <w:t xml:space="preserve">. </w:t>
      </w:r>
      <w:r w:rsidR="00310C11">
        <w:t>In June 2013, the I</w:t>
      </w:r>
      <w:r w:rsidR="005F53E3">
        <w:t>nternational Monetary Fund</w:t>
      </w:r>
      <w:r w:rsidR="00CA4CAD">
        <w:t xml:space="preserve"> downgraded Tonga’s debt distress rating to moderate, reflecting improvements in the policy environment a</w:t>
      </w:r>
      <w:r w:rsidR="00417D87">
        <w:t>nd that</w:t>
      </w:r>
      <w:r w:rsidR="00CA4CAD">
        <w:t xml:space="preserve"> no further debt </w:t>
      </w:r>
      <w:r w:rsidR="00417D87">
        <w:t xml:space="preserve">had been </w:t>
      </w:r>
      <w:r w:rsidR="00CA4CAD">
        <w:t xml:space="preserve">taken on in recent years. </w:t>
      </w:r>
      <w:r w:rsidR="00B54560">
        <w:t xml:space="preserve">Tonga </w:t>
      </w:r>
      <w:r w:rsidR="005F0BEF">
        <w:t xml:space="preserve">continues to </w:t>
      </w:r>
      <w:r w:rsidR="00B54560">
        <w:t>maintain its</w:t>
      </w:r>
      <w:r w:rsidR="00CA4CAD">
        <w:t xml:space="preserve"> ‘no new debt’ policy, showing </w:t>
      </w:r>
      <w:r w:rsidR="00417D87">
        <w:t xml:space="preserve">its commitment to fiscal responsibility and the </w:t>
      </w:r>
      <w:r w:rsidR="00CA4CAD">
        <w:t>effectiveness of policy di</w:t>
      </w:r>
      <w:r w:rsidR="00417D87">
        <w:t xml:space="preserve">scussion </w:t>
      </w:r>
      <w:r w:rsidR="00CA4CAD">
        <w:t xml:space="preserve">between </w:t>
      </w:r>
      <w:r w:rsidR="00417D87">
        <w:t>the g</w:t>
      </w:r>
      <w:r w:rsidR="00E4405D">
        <w:t xml:space="preserve">overnment </w:t>
      </w:r>
      <w:r w:rsidR="00CA4CAD" w:rsidRPr="00417D87">
        <w:t>a</w:t>
      </w:r>
      <w:r w:rsidR="00CA4CAD">
        <w:t>nd donors</w:t>
      </w:r>
      <w:r w:rsidR="00B54560">
        <w:t>.</w:t>
      </w:r>
      <w:r w:rsidR="00B617F2">
        <w:t xml:space="preserve"> </w:t>
      </w:r>
      <w:r w:rsidR="000726BD" w:rsidRPr="00787C5B">
        <w:t xml:space="preserve"> </w:t>
      </w:r>
      <w:r w:rsidR="00C20215" w:rsidRPr="00787C5B">
        <w:t xml:space="preserve">  </w:t>
      </w:r>
    </w:p>
    <w:p w:rsidR="00B52E6A" w:rsidRDefault="00417D87" w:rsidP="000721CB">
      <w:pPr>
        <w:pStyle w:val="BodyText"/>
        <w:rPr>
          <w:rFonts w:eastAsiaTheme="minorHAnsi"/>
        </w:rPr>
      </w:pPr>
      <w:r>
        <w:lastRenderedPageBreak/>
        <w:t xml:space="preserve">The </w:t>
      </w:r>
      <w:r w:rsidR="007148B3">
        <w:t>Government of Tonga</w:t>
      </w:r>
      <w:r w:rsidR="007A1965" w:rsidRPr="00417D87">
        <w:t xml:space="preserve"> </w:t>
      </w:r>
      <w:r w:rsidR="00FC6375" w:rsidRPr="00417D87">
        <w:t xml:space="preserve">is </w:t>
      </w:r>
      <w:r w:rsidR="00FC6375" w:rsidRPr="00D80C5D">
        <w:t xml:space="preserve">responding to </w:t>
      </w:r>
      <w:r w:rsidRPr="00D80C5D">
        <w:t xml:space="preserve">its </w:t>
      </w:r>
      <w:r w:rsidR="00A076C2" w:rsidRPr="00D80C5D">
        <w:t xml:space="preserve">economic </w:t>
      </w:r>
      <w:r w:rsidR="00FC6375" w:rsidRPr="00D80C5D">
        <w:t>challenges</w:t>
      </w:r>
      <w:r w:rsidR="00A076C2" w:rsidRPr="00D80C5D">
        <w:t xml:space="preserve"> </w:t>
      </w:r>
      <w:r w:rsidR="00FC6375" w:rsidRPr="00D80C5D">
        <w:t>by</w:t>
      </w:r>
      <w:r w:rsidR="007A1965" w:rsidRPr="00D80C5D">
        <w:t xml:space="preserve"> pursuing a </w:t>
      </w:r>
      <w:r w:rsidR="00091E35" w:rsidRPr="00D80C5D">
        <w:t xml:space="preserve">policy of prudent fiscal management </w:t>
      </w:r>
      <w:r w:rsidR="00A076C2" w:rsidRPr="00D80C5D">
        <w:t xml:space="preserve">and </w:t>
      </w:r>
      <w:r w:rsidR="00091E35" w:rsidRPr="00941B0C">
        <w:t xml:space="preserve">sustainable financial and debt </w:t>
      </w:r>
      <w:r w:rsidR="009B0782" w:rsidRPr="00941B0C">
        <w:t>management</w:t>
      </w:r>
      <w:r w:rsidR="00315A04" w:rsidRPr="00941B0C">
        <w:t>,</w:t>
      </w:r>
      <w:r w:rsidR="00091E35" w:rsidRPr="00941B0C">
        <w:t xml:space="preserve"> despite the challenging conditions</w:t>
      </w:r>
      <w:r w:rsidRPr="00E87529">
        <w:t xml:space="preserve"> it faces</w:t>
      </w:r>
      <w:r w:rsidR="00091E35" w:rsidRPr="00D80C5D">
        <w:t xml:space="preserve"> domestically and globally</w:t>
      </w:r>
      <w:r w:rsidR="00315A04" w:rsidRPr="00D80C5D">
        <w:t xml:space="preserve">. A </w:t>
      </w:r>
      <w:r w:rsidR="00091E35" w:rsidRPr="00D80C5D">
        <w:t>commit</w:t>
      </w:r>
      <w:r w:rsidR="00315A04" w:rsidRPr="00D80C5D">
        <w:t>ment</w:t>
      </w:r>
      <w:r w:rsidR="00091E35" w:rsidRPr="00D80C5D">
        <w:t xml:space="preserve"> to improving the quality of expenditure </w:t>
      </w:r>
      <w:r w:rsidR="00B52E6A" w:rsidRPr="00D80C5D">
        <w:t xml:space="preserve">through </w:t>
      </w:r>
      <w:r w:rsidR="00091E35" w:rsidRPr="00D80C5D">
        <w:t>more</w:t>
      </w:r>
      <w:r w:rsidR="00A74415" w:rsidRPr="00D80C5D">
        <w:t xml:space="preserve"> </w:t>
      </w:r>
      <w:r w:rsidR="00091E35" w:rsidRPr="00D80C5D">
        <w:t>effective delivery</w:t>
      </w:r>
      <w:r w:rsidR="00091E35" w:rsidRPr="00787C5B">
        <w:t xml:space="preserve"> of core services, while redirecting resources from non-priority to priority</w:t>
      </w:r>
      <w:r w:rsidR="00A74415" w:rsidRPr="00787C5B">
        <w:t xml:space="preserve"> </w:t>
      </w:r>
      <w:r w:rsidR="00091E35" w:rsidRPr="00787C5B">
        <w:t>sectors to stimulate domestic economic activities and achieve more rapid sustainable inclusive</w:t>
      </w:r>
      <w:r w:rsidR="00A74415" w:rsidRPr="00787C5B">
        <w:t xml:space="preserve"> </w:t>
      </w:r>
      <w:r w:rsidR="009236DD">
        <w:t>growth</w:t>
      </w:r>
      <w:r w:rsidR="00E4405D">
        <w:t>,</w:t>
      </w:r>
      <w:r w:rsidR="009236DD">
        <w:t xml:space="preserve"> </w:t>
      </w:r>
      <w:r w:rsidR="00B52E6A">
        <w:t>is</w:t>
      </w:r>
      <w:r w:rsidR="00B52E6A" w:rsidRPr="00787C5B">
        <w:t xml:space="preserve"> </w:t>
      </w:r>
      <w:r w:rsidR="00315A04" w:rsidRPr="00787C5B">
        <w:t xml:space="preserve">at the heart of the </w:t>
      </w:r>
      <w:r w:rsidR="00B52E6A">
        <w:t>g</w:t>
      </w:r>
      <w:r w:rsidR="00315A04" w:rsidRPr="00787C5B">
        <w:t xml:space="preserve">overnment’s </w:t>
      </w:r>
      <w:r w:rsidR="009236DD">
        <w:t>2012</w:t>
      </w:r>
      <w:r w:rsidR="00E21F76">
        <w:softHyphen/>
      </w:r>
      <w:r w:rsidR="00E21F76">
        <w:softHyphen/>
        <w:t>–</w:t>
      </w:r>
      <w:r w:rsidR="009236DD">
        <w:t xml:space="preserve">13 </w:t>
      </w:r>
      <w:r w:rsidR="00315A04" w:rsidRPr="00787C5B">
        <w:t>Budget Statement</w:t>
      </w:r>
      <w:r w:rsidR="00B617F2">
        <w:t xml:space="preserve">. </w:t>
      </w:r>
      <w:r w:rsidR="00315A04" w:rsidRPr="00787C5B">
        <w:t>B</w:t>
      </w:r>
      <w:r w:rsidR="00091E35" w:rsidRPr="00787C5B">
        <w:t>udget support fro</w:t>
      </w:r>
      <w:r w:rsidR="00091E35" w:rsidRPr="00FB709A">
        <w:rPr>
          <w:rFonts w:eastAsiaTheme="minorHAnsi"/>
        </w:rPr>
        <w:t>m development partners has helped maintain the</w:t>
      </w:r>
      <w:r w:rsidR="00A74415" w:rsidRPr="00FB709A">
        <w:rPr>
          <w:rFonts w:eastAsiaTheme="minorHAnsi"/>
        </w:rPr>
        <w:t xml:space="preserve"> </w:t>
      </w:r>
      <w:r w:rsidR="00091E35" w:rsidRPr="00FB709A">
        <w:rPr>
          <w:rFonts w:eastAsiaTheme="minorHAnsi"/>
        </w:rPr>
        <w:t>desirable level of government expenditure</w:t>
      </w:r>
      <w:r w:rsidR="00787C5B">
        <w:rPr>
          <w:rFonts w:eastAsiaTheme="minorHAnsi"/>
        </w:rPr>
        <w:t xml:space="preserve"> and encourage productive reform</w:t>
      </w:r>
      <w:r w:rsidR="00B52E6A">
        <w:rPr>
          <w:rFonts w:eastAsiaTheme="minorHAnsi"/>
        </w:rPr>
        <w:t>. It is</w:t>
      </w:r>
      <w:r w:rsidR="00A076C2">
        <w:rPr>
          <w:rFonts w:eastAsiaTheme="minorHAnsi"/>
        </w:rPr>
        <w:t xml:space="preserve"> also helping </w:t>
      </w:r>
      <w:r w:rsidR="00091E35" w:rsidRPr="00FB709A">
        <w:rPr>
          <w:rFonts w:eastAsiaTheme="minorHAnsi"/>
        </w:rPr>
        <w:t>Tonga</w:t>
      </w:r>
      <w:r w:rsidR="00A076C2">
        <w:rPr>
          <w:rFonts w:eastAsiaTheme="minorHAnsi"/>
        </w:rPr>
        <w:t xml:space="preserve"> set a course towards fiscal consolidation and </w:t>
      </w:r>
      <w:r w:rsidR="00091E35" w:rsidRPr="00FB709A">
        <w:rPr>
          <w:rFonts w:eastAsiaTheme="minorHAnsi"/>
        </w:rPr>
        <w:t>ongoing macroeconomic stability</w:t>
      </w:r>
      <w:r w:rsidR="009236DD">
        <w:rPr>
          <w:rFonts w:eastAsiaTheme="minorHAnsi"/>
        </w:rPr>
        <w:t xml:space="preserve"> </w:t>
      </w:r>
      <w:r w:rsidR="007230B2">
        <w:rPr>
          <w:rFonts w:eastAsiaTheme="minorHAnsi"/>
        </w:rPr>
        <w:t xml:space="preserve">so </w:t>
      </w:r>
      <w:r w:rsidR="00461D2B">
        <w:rPr>
          <w:rFonts w:eastAsiaTheme="minorHAnsi"/>
        </w:rPr>
        <w:t>over the longer term the country can live within its fiscal means.</w:t>
      </w:r>
      <w:r w:rsidR="005F0BEF">
        <w:rPr>
          <w:rFonts w:eastAsiaTheme="minorHAnsi"/>
        </w:rPr>
        <w:t xml:space="preserve"> </w:t>
      </w:r>
    </w:p>
    <w:p w:rsidR="00951A64" w:rsidRDefault="000726BD" w:rsidP="000721CB">
      <w:pPr>
        <w:pStyle w:val="BodyText"/>
      </w:pPr>
      <w:r w:rsidRPr="00FB709A">
        <w:t>In this context</w:t>
      </w:r>
      <w:r w:rsidR="006A6BEF" w:rsidRPr="00FB709A">
        <w:t xml:space="preserve"> Australia continues to assist Tonga</w:t>
      </w:r>
      <w:r w:rsidR="00D80C5D">
        <w:t xml:space="preserve"> to</w:t>
      </w:r>
      <w:r w:rsidR="006A6BEF" w:rsidRPr="00FB709A">
        <w:t xml:space="preserve"> mitigate the fiscal gap in its national budget and ensure services are delivered</w:t>
      </w:r>
      <w:r w:rsidR="00B52E6A">
        <w:t>. Aid also</w:t>
      </w:r>
      <w:r w:rsidR="00E20405">
        <w:t xml:space="preserve"> </w:t>
      </w:r>
      <w:r w:rsidR="006A6BEF" w:rsidRPr="00FB709A">
        <w:t>support</w:t>
      </w:r>
      <w:r w:rsidR="00B52E6A">
        <w:t>s</w:t>
      </w:r>
      <w:r w:rsidR="006A6BEF" w:rsidRPr="00FB709A">
        <w:t xml:space="preserve"> government reform objectives of fiscal </w:t>
      </w:r>
      <w:r w:rsidR="006A6BEF" w:rsidRPr="00AE1C14">
        <w:rPr>
          <w:lang w:val="en"/>
        </w:rPr>
        <w:t>consolidation</w:t>
      </w:r>
      <w:r w:rsidR="00E20405">
        <w:t>,</w:t>
      </w:r>
      <w:r w:rsidR="006A6BEF" w:rsidRPr="00FB709A">
        <w:t xml:space="preserve"> state</w:t>
      </w:r>
      <w:r w:rsidR="006A6BEF" w:rsidRPr="00C20215">
        <w:t>-owned enterprise reform and private sector development</w:t>
      </w:r>
      <w:r w:rsidR="00B617F2">
        <w:t xml:space="preserve">. </w:t>
      </w:r>
      <w:r w:rsidR="00CA4CAD">
        <w:t xml:space="preserve">Australian funds are released only </w:t>
      </w:r>
      <w:r w:rsidR="00B52E6A">
        <w:t xml:space="preserve">when </w:t>
      </w:r>
      <w:r w:rsidR="00CA4CAD">
        <w:t>Tonga achieve</w:t>
      </w:r>
      <w:r w:rsidR="00B52E6A">
        <w:t>s</w:t>
      </w:r>
      <w:r w:rsidR="00CA4CAD">
        <w:t xml:space="preserve"> mutually agreed</w:t>
      </w:r>
      <w:r w:rsidR="0035422C">
        <w:t xml:space="preserve"> </w:t>
      </w:r>
      <w:r w:rsidR="00461D2B">
        <w:t>annual</w:t>
      </w:r>
      <w:r w:rsidR="00CA4CAD">
        <w:t xml:space="preserve"> reform</w:t>
      </w:r>
      <w:r w:rsidR="00461D2B">
        <w:t xml:space="preserve"> benchmarks</w:t>
      </w:r>
      <w:r w:rsidR="009236DD">
        <w:t>. Budget support is</w:t>
      </w:r>
      <w:r w:rsidR="00461D2B">
        <w:t xml:space="preserve"> earmarked</w:t>
      </w:r>
      <w:r w:rsidR="009236DD">
        <w:t xml:space="preserve"> to funding health and education worker salaries, expenditure that is appropriated in Tonga’s budget</w:t>
      </w:r>
      <w:r w:rsidR="00CA4CAD">
        <w:t xml:space="preserve">. </w:t>
      </w:r>
      <w:r w:rsidR="00057F0F">
        <w:t>At the same time,</w:t>
      </w:r>
      <w:r w:rsidR="00B52E6A">
        <w:t xml:space="preserve"> Australia supports</w:t>
      </w:r>
      <w:r w:rsidR="00057F0F">
        <w:t xml:space="preserve"> economic and public sector reforms to assist the </w:t>
      </w:r>
      <w:r w:rsidR="00B52E6A">
        <w:t>g</w:t>
      </w:r>
      <w:r w:rsidR="00057F0F">
        <w:t xml:space="preserve">overnment </w:t>
      </w:r>
      <w:r w:rsidR="00B52E6A">
        <w:t xml:space="preserve">to </w:t>
      </w:r>
      <w:r w:rsidR="00057F0F">
        <w:t>realise its macroeconomic objectives</w:t>
      </w:r>
      <w:r w:rsidR="00B617F2">
        <w:t xml:space="preserve">. </w:t>
      </w:r>
    </w:p>
    <w:p w:rsidR="00FC6375" w:rsidRPr="00FC6375" w:rsidRDefault="00FC6375" w:rsidP="002D1680">
      <w:pPr>
        <w:pStyle w:val="Heading2"/>
      </w:pPr>
      <w:r w:rsidRPr="00FC6375">
        <w:t>Politics and public service</w:t>
      </w:r>
    </w:p>
    <w:p w:rsidR="00AE0EE6" w:rsidRPr="004F52E5" w:rsidRDefault="00AE0EE6" w:rsidP="000721CB">
      <w:pPr>
        <w:pStyle w:val="BodyText"/>
      </w:pPr>
      <w:r w:rsidRPr="004F52E5">
        <w:t xml:space="preserve">The restructure of the Tonga public service in July 2012 was </w:t>
      </w:r>
      <w:r w:rsidR="001278DA">
        <w:t xml:space="preserve">a </w:t>
      </w:r>
      <w:r w:rsidRPr="004F52E5">
        <w:t>major</w:t>
      </w:r>
      <w:r w:rsidR="00461D2B">
        <w:t xml:space="preserve"> reform outcome</w:t>
      </w:r>
      <w:r w:rsidRPr="004F52E5">
        <w:t xml:space="preserve">, </w:t>
      </w:r>
      <w:r w:rsidR="00461D2B">
        <w:t>resulting in</w:t>
      </w:r>
      <w:r w:rsidRPr="004F52E5">
        <w:t xml:space="preserve"> a reduction from 26 to 13 ministries</w:t>
      </w:r>
      <w:r w:rsidR="00B617F2">
        <w:t xml:space="preserve">. </w:t>
      </w:r>
      <w:r w:rsidRPr="004F52E5">
        <w:t>Th</w:t>
      </w:r>
      <w:r w:rsidR="00461D2B">
        <w:t>e</w:t>
      </w:r>
      <w:r w:rsidRPr="004F52E5">
        <w:t xml:space="preserve"> restructure was undertaken </w:t>
      </w:r>
      <w:r w:rsidR="00B52E6A">
        <w:t>to</w:t>
      </w:r>
      <w:r w:rsidRPr="004F52E5">
        <w:t xml:space="preserve"> develop an efficient, effective and affordable government service</w:t>
      </w:r>
      <w:r w:rsidR="00B617F2">
        <w:t xml:space="preserve">. </w:t>
      </w:r>
      <w:r w:rsidRPr="004F52E5">
        <w:t>Australia’s aid program supported th</w:t>
      </w:r>
      <w:r w:rsidR="00461D2B">
        <w:t>e</w:t>
      </w:r>
      <w:r w:rsidRPr="004F52E5">
        <w:t xml:space="preserve"> restructure</w:t>
      </w:r>
      <w:r w:rsidR="00461D2B">
        <w:t xml:space="preserve"> process</w:t>
      </w:r>
      <w:r w:rsidRPr="004F52E5">
        <w:t xml:space="preserve"> and continue</w:t>
      </w:r>
      <w:r w:rsidR="00B52E6A">
        <w:t>s</w:t>
      </w:r>
      <w:r w:rsidRPr="004F52E5">
        <w:t xml:space="preserve"> to provide ongoing support at individual ministr</w:t>
      </w:r>
      <w:r w:rsidR="00B52E6A">
        <w:t>y level,</w:t>
      </w:r>
      <w:r w:rsidRPr="004F52E5">
        <w:t xml:space="preserve"> to effect positive changes in service delivery and </w:t>
      </w:r>
      <w:r w:rsidR="00614A63" w:rsidRPr="004F52E5">
        <w:t>improvements in people’s lives</w:t>
      </w:r>
      <w:r w:rsidR="00B617F2">
        <w:t xml:space="preserve">. </w:t>
      </w:r>
      <w:r w:rsidR="00461D2B">
        <w:t>H</w:t>
      </w:r>
      <w:r w:rsidR="00614A63" w:rsidRPr="004F52E5">
        <w:t xml:space="preserve">owever, expectations </w:t>
      </w:r>
      <w:r w:rsidR="00461D2B">
        <w:t>about</w:t>
      </w:r>
      <w:r w:rsidR="00614A63" w:rsidRPr="004F52E5">
        <w:t xml:space="preserve"> the performance of the newly restructured public service to deliver improved services </w:t>
      </w:r>
      <w:r w:rsidR="00461D2B">
        <w:t xml:space="preserve">need to </w:t>
      </w:r>
      <w:r w:rsidR="00614A63" w:rsidRPr="004F52E5">
        <w:t>remain realistic</w:t>
      </w:r>
      <w:r w:rsidR="00B617F2">
        <w:t xml:space="preserve">. </w:t>
      </w:r>
    </w:p>
    <w:p w:rsidR="00B52E6A" w:rsidRDefault="004F52E5" w:rsidP="000721CB">
      <w:pPr>
        <w:pStyle w:val="BodyText"/>
      </w:pPr>
      <w:r>
        <w:t>Tonga</w:t>
      </w:r>
      <w:r w:rsidR="00F6309C">
        <w:t>’s nascent democratic processes continue to evolve</w:t>
      </w:r>
      <w:r w:rsidR="00B617F2">
        <w:t xml:space="preserve">. </w:t>
      </w:r>
      <w:r w:rsidR="00F6309C">
        <w:t>On 8 October 2012</w:t>
      </w:r>
      <w:r w:rsidR="00B52E6A">
        <w:t>, its</w:t>
      </w:r>
      <w:r w:rsidR="00F6309C">
        <w:t xml:space="preserve"> Parliament voted on its first</w:t>
      </w:r>
      <w:r w:rsidR="00D80C5D">
        <w:t>-</w:t>
      </w:r>
      <w:r w:rsidR="00F6309C">
        <w:t xml:space="preserve">ever motion of no confidence in a </w:t>
      </w:r>
      <w:r w:rsidR="00F6309C" w:rsidRPr="006132FA">
        <w:t>Prime Minister</w:t>
      </w:r>
      <w:r w:rsidR="00E21F76">
        <w:t>.</w:t>
      </w:r>
      <w:r w:rsidR="007A264F">
        <w:rPr>
          <w:rStyle w:val="FootnoteReference"/>
        </w:rPr>
        <w:footnoteReference w:id="14"/>
      </w:r>
      <w:r w:rsidR="00B617F2">
        <w:t xml:space="preserve"> </w:t>
      </w:r>
      <w:r w:rsidR="00F6309C" w:rsidRPr="006132FA">
        <w:t xml:space="preserve">The parliamentary vote came after considerable </w:t>
      </w:r>
      <w:r w:rsidR="008B15AE">
        <w:t>consideration</w:t>
      </w:r>
      <w:r w:rsidR="00F6309C" w:rsidRPr="006132FA">
        <w:t xml:space="preserve"> by </w:t>
      </w:r>
      <w:r w:rsidR="00B52E6A">
        <w:t>the</w:t>
      </w:r>
      <w:r w:rsidR="00B52E6A" w:rsidRPr="006132FA">
        <w:t xml:space="preserve"> </w:t>
      </w:r>
      <w:r w:rsidR="00F6309C" w:rsidRPr="006132FA">
        <w:t xml:space="preserve">Legislative Assembly </w:t>
      </w:r>
      <w:r w:rsidR="00474CDF" w:rsidRPr="006132FA">
        <w:t>of the legal requirements for the vote of no confidence</w:t>
      </w:r>
      <w:r w:rsidR="00277D58" w:rsidRPr="006132FA">
        <w:t xml:space="preserve">, </w:t>
      </w:r>
      <w:r w:rsidR="00B52E6A">
        <w:t>since</w:t>
      </w:r>
      <w:r w:rsidR="00B52E6A" w:rsidRPr="006132FA">
        <w:t xml:space="preserve"> </w:t>
      </w:r>
      <w:r w:rsidR="00277D58" w:rsidRPr="006132FA">
        <w:t>no precedent had been set</w:t>
      </w:r>
      <w:r w:rsidR="00B617F2">
        <w:t xml:space="preserve">. </w:t>
      </w:r>
      <w:r w:rsidR="00277D58" w:rsidRPr="006132FA">
        <w:t>This is just one example</w:t>
      </w:r>
      <w:r w:rsidR="00277D58">
        <w:t xml:space="preserve"> of the </w:t>
      </w:r>
      <w:r w:rsidR="008B15AE">
        <w:t xml:space="preserve">telling problems Tonga will face as </w:t>
      </w:r>
      <w:r w:rsidR="002D7261">
        <w:t>a new democracy</w:t>
      </w:r>
      <w:r w:rsidR="00B617F2">
        <w:t>.</w:t>
      </w:r>
    </w:p>
    <w:p w:rsidR="000726BD" w:rsidRDefault="002D7261" w:rsidP="000721CB">
      <w:pPr>
        <w:pStyle w:val="BodyText"/>
      </w:pPr>
      <w:r>
        <w:t>In partnership with the United Nations Development Program</w:t>
      </w:r>
      <w:r w:rsidR="00B52E6A">
        <w:t>me</w:t>
      </w:r>
      <w:r>
        <w:t xml:space="preserve">, </w:t>
      </w:r>
      <w:r w:rsidR="00B52E6A">
        <w:t>the Australia</w:t>
      </w:r>
      <w:r w:rsidR="006F27DE">
        <w:t>n</w:t>
      </w:r>
      <w:r w:rsidR="00B52E6A">
        <w:t xml:space="preserve"> Agency for International Development (</w:t>
      </w:r>
      <w:r w:rsidR="008B15AE">
        <w:t>AusAID</w:t>
      </w:r>
      <w:r w:rsidR="00B52E6A">
        <w:t xml:space="preserve">), </w:t>
      </w:r>
      <w:r w:rsidR="00BE7082">
        <w:t xml:space="preserve">which was formerly </w:t>
      </w:r>
      <w:r w:rsidR="00B52E6A">
        <w:t>the Australian Government’s main agency for implementing its aid program,</w:t>
      </w:r>
      <w:r w:rsidR="008B15AE">
        <w:t xml:space="preserve"> worked on develop</w:t>
      </w:r>
      <w:r w:rsidR="00B52E6A">
        <w:t>ing</w:t>
      </w:r>
      <w:r w:rsidR="008B15AE">
        <w:t xml:space="preserve"> a new </w:t>
      </w:r>
      <w:r w:rsidR="000264CB" w:rsidRPr="000264CB">
        <w:t>program</w:t>
      </w:r>
      <w:r w:rsidR="00EF50E1">
        <w:t xml:space="preserve"> (the </w:t>
      </w:r>
      <w:r w:rsidR="009B0782">
        <w:t xml:space="preserve">Tonga </w:t>
      </w:r>
      <w:r w:rsidR="00EF50E1">
        <w:t>Governance Strengthening Program</w:t>
      </w:r>
      <w:r w:rsidR="009B0782">
        <w:t>)</w:t>
      </w:r>
      <w:r w:rsidR="000264CB" w:rsidRPr="000264CB">
        <w:t xml:space="preserve"> </w:t>
      </w:r>
      <w:r>
        <w:t xml:space="preserve">to strengthen </w:t>
      </w:r>
      <w:r w:rsidR="008B15AE">
        <w:t xml:space="preserve">Tonga’s </w:t>
      </w:r>
      <w:r w:rsidR="007230B2">
        <w:t>fledgling</w:t>
      </w:r>
      <w:r w:rsidR="008B15AE">
        <w:t xml:space="preserve"> democracy</w:t>
      </w:r>
      <w:r w:rsidR="00B617F2">
        <w:t xml:space="preserve">. </w:t>
      </w:r>
      <w:r w:rsidR="008B15AE">
        <w:t>Th</w:t>
      </w:r>
      <w:r w:rsidR="00B52E6A">
        <w:t>is</w:t>
      </w:r>
      <w:r w:rsidR="008B15AE">
        <w:t xml:space="preserve"> new program </w:t>
      </w:r>
      <w:r w:rsidR="00B52E6A">
        <w:t>is</w:t>
      </w:r>
      <w:r w:rsidR="00D80C5D">
        <w:t>:</w:t>
      </w:r>
      <w:r w:rsidR="008B15AE">
        <w:t xml:space="preserve"> strengthen</w:t>
      </w:r>
      <w:r w:rsidR="00B52E6A">
        <w:t>ing</w:t>
      </w:r>
      <w:r w:rsidR="008B15AE">
        <w:t xml:space="preserve"> </w:t>
      </w:r>
      <w:r>
        <w:t>the Legislative Assembly’s oversight, representative and legislative functions</w:t>
      </w:r>
      <w:r w:rsidR="00D80C5D">
        <w:t>;</w:t>
      </w:r>
      <w:r>
        <w:t xml:space="preserve"> increas</w:t>
      </w:r>
      <w:r w:rsidR="00816182">
        <w:t>ing</w:t>
      </w:r>
      <w:r>
        <w:t xml:space="preserve"> participation of civil society organisations, education providers and communities in</w:t>
      </w:r>
      <w:r w:rsidR="008B15AE">
        <w:t xml:space="preserve"> governance</w:t>
      </w:r>
      <w:r>
        <w:t xml:space="preserve"> and oversight processes</w:t>
      </w:r>
      <w:r w:rsidR="00D80C5D">
        <w:t>;</w:t>
      </w:r>
      <w:r>
        <w:t xml:space="preserve"> and enhanc</w:t>
      </w:r>
      <w:r w:rsidR="00816182">
        <w:t>ing</w:t>
      </w:r>
      <w:r>
        <w:t xml:space="preserve"> the Tongan Electoral Commission’s </w:t>
      </w:r>
      <w:r w:rsidR="008B15AE">
        <w:t xml:space="preserve">ability to </w:t>
      </w:r>
      <w:r>
        <w:t xml:space="preserve">conduct free and fair elections. </w:t>
      </w:r>
    </w:p>
    <w:p w:rsidR="007B71F1" w:rsidRDefault="00797022" w:rsidP="002D1680">
      <w:pPr>
        <w:pStyle w:val="Heading2"/>
      </w:pPr>
      <w:r>
        <w:t>Development situation</w:t>
      </w:r>
    </w:p>
    <w:p w:rsidR="007B71F1" w:rsidRPr="000721CB" w:rsidRDefault="007B71F1" w:rsidP="000721CB">
      <w:pPr>
        <w:pStyle w:val="BodyText"/>
      </w:pPr>
      <w:r w:rsidRPr="000721CB">
        <w:t>Absolute poverty, as defined by global measures, is very low in Tonga. However</w:t>
      </w:r>
      <w:r w:rsidR="007230B2" w:rsidRPr="000721CB">
        <w:t>,</w:t>
      </w:r>
      <w:r w:rsidRPr="000721CB">
        <w:t xml:space="preserve"> around </w:t>
      </w:r>
      <w:r w:rsidR="00816182" w:rsidRPr="000721CB">
        <w:t>one-</w:t>
      </w:r>
      <w:r w:rsidRPr="000721CB">
        <w:t>quarter</w:t>
      </w:r>
      <w:r w:rsidR="007A264F" w:rsidRPr="000721CB">
        <w:rPr>
          <w:rStyle w:val="FootnoteReference"/>
          <w:position w:val="0"/>
          <w:sz w:val="22"/>
          <w:szCs w:val="24"/>
          <w:vertAlign w:val="superscript"/>
        </w:rPr>
        <w:footnoteReference w:id="15"/>
      </w:r>
      <w:r w:rsidRPr="000721CB">
        <w:t xml:space="preserve"> of Tongan households experience a level of poverty </w:t>
      </w:r>
      <w:r w:rsidR="001D141C" w:rsidRPr="000721CB">
        <w:t>which makes it</w:t>
      </w:r>
      <w:r w:rsidRPr="000721CB">
        <w:t xml:space="preserve"> difficult to </w:t>
      </w:r>
      <w:r w:rsidR="00816182" w:rsidRPr="000721CB">
        <w:t xml:space="preserve">regularly </w:t>
      </w:r>
      <w:r w:rsidRPr="000721CB">
        <w:t>meet the full range of basic needs</w:t>
      </w:r>
      <w:r w:rsidR="00B617F2" w:rsidRPr="000721CB">
        <w:t xml:space="preserve">. </w:t>
      </w:r>
      <w:r w:rsidRPr="000721CB">
        <w:t xml:space="preserve">This hardship is most keenly felt among those </w:t>
      </w:r>
      <w:r w:rsidRPr="000721CB">
        <w:lastRenderedPageBreak/>
        <w:t xml:space="preserve">living in outer islands, in families with no or limited access to remittances, in families without a member </w:t>
      </w:r>
      <w:r w:rsidR="00816182" w:rsidRPr="000721CB">
        <w:t xml:space="preserve">who is </w:t>
      </w:r>
      <w:r w:rsidRPr="000721CB">
        <w:t>regular</w:t>
      </w:r>
      <w:r w:rsidR="00816182" w:rsidRPr="000721CB">
        <w:t>ly</w:t>
      </w:r>
      <w:r w:rsidRPr="000721CB">
        <w:t xml:space="preserve"> employ</w:t>
      </w:r>
      <w:r w:rsidR="00816182" w:rsidRPr="000721CB">
        <w:t>ed</w:t>
      </w:r>
      <w:r w:rsidRPr="000721CB">
        <w:t xml:space="preserve">, </w:t>
      </w:r>
      <w:r w:rsidR="00816182" w:rsidRPr="000721CB">
        <w:t xml:space="preserve">by </w:t>
      </w:r>
      <w:r w:rsidRPr="000721CB">
        <w:t xml:space="preserve">recent migrants to urban centres, and </w:t>
      </w:r>
      <w:r w:rsidR="00816182" w:rsidRPr="000721CB">
        <w:t xml:space="preserve">by </w:t>
      </w:r>
      <w:r w:rsidRPr="000721CB">
        <w:t>people with</w:t>
      </w:r>
      <w:r w:rsidR="00792D0C" w:rsidRPr="000721CB">
        <w:t xml:space="preserve"> </w:t>
      </w:r>
      <w:r w:rsidRPr="000721CB">
        <w:t xml:space="preserve">disability. Stagnant economic growth over a number of years means employment options are </w:t>
      </w:r>
      <w:r w:rsidR="001D141C" w:rsidRPr="000721CB">
        <w:t xml:space="preserve">very </w:t>
      </w:r>
      <w:r w:rsidRPr="000721CB">
        <w:t>limited. The public service</w:t>
      </w:r>
      <w:r w:rsidR="00816182" w:rsidRPr="000721CB">
        <w:t>,</w:t>
      </w:r>
      <w:r w:rsidRPr="000721CB">
        <w:t xml:space="preserve"> the</w:t>
      </w:r>
      <w:r w:rsidR="00816182" w:rsidRPr="000721CB">
        <w:t xml:space="preserve"> country’s</w:t>
      </w:r>
      <w:r w:rsidRPr="000721CB">
        <w:t xml:space="preserve"> main employer</w:t>
      </w:r>
      <w:r w:rsidR="00816182" w:rsidRPr="000721CB">
        <w:t>,</w:t>
      </w:r>
      <w:r w:rsidR="001D141C" w:rsidRPr="000721CB">
        <w:t xml:space="preserve"> </w:t>
      </w:r>
      <w:r w:rsidRPr="000721CB">
        <w:t>is subject to a recruitment freeze as part of</w:t>
      </w:r>
      <w:r w:rsidR="001D141C" w:rsidRPr="000721CB">
        <w:t xml:space="preserve"> efforts to</w:t>
      </w:r>
      <w:r w:rsidRPr="000721CB">
        <w:t xml:space="preserve"> control the public sector wage bill</w:t>
      </w:r>
      <w:r w:rsidR="00E21F76" w:rsidRPr="000721CB">
        <w:t>.</w:t>
      </w:r>
      <w:r w:rsidR="00D13CB0" w:rsidRPr="000721CB">
        <w:rPr>
          <w:rStyle w:val="FootnoteReference"/>
          <w:position w:val="0"/>
          <w:sz w:val="22"/>
          <w:szCs w:val="24"/>
          <w:vertAlign w:val="superscript"/>
        </w:rPr>
        <w:footnoteReference w:id="16"/>
      </w:r>
      <w:r w:rsidR="00B617F2" w:rsidRPr="000721CB">
        <w:t xml:space="preserve"> </w:t>
      </w:r>
      <w:r w:rsidR="001D141C" w:rsidRPr="000721CB">
        <w:t xml:space="preserve">The lack of </w:t>
      </w:r>
      <w:r w:rsidRPr="000721CB">
        <w:t>employment, combined with declining remittances and increasing living costs, threaten</w:t>
      </w:r>
      <w:r w:rsidR="00816182" w:rsidRPr="000721CB">
        <w:t>s</w:t>
      </w:r>
      <w:r w:rsidRPr="000721CB">
        <w:t xml:space="preserve"> to push even more families into poverty. </w:t>
      </w:r>
    </w:p>
    <w:p w:rsidR="00B4663A" w:rsidRDefault="00B4663A" w:rsidP="000721CB">
      <w:pPr>
        <w:pStyle w:val="BodyText"/>
      </w:pPr>
      <w:r w:rsidRPr="000721CB">
        <w:t xml:space="preserve">While Tonga has already achieved high standards against many Millennium Development Goals </w:t>
      </w:r>
      <w:r w:rsidR="00816182" w:rsidRPr="000721CB">
        <w:t xml:space="preserve">(MDGs) </w:t>
      </w:r>
      <w:r w:rsidRPr="000721CB">
        <w:t>(Table 1), the quality of education remains a concern as do</w:t>
      </w:r>
      <w:r w:rsidR="00816182" w:rsidRPr="000721CB">
        <w:t>es</w:t>
      </w:r>
      <w:r w:rsidRPr="000721CB">
        <w:t xml:space="preserve"> low employment prospects, particularly for young people</w:t>
      </w:r>
      <w:r w:rsidR="00B617F2" w:rsidRPr="000721CB">
        <w:t xml:space="preserve">. </w:t>
      </w:r>
      <w:r w:rsidR="00122AFB" w:rsidRPr="000721CB">
        <w:t xml:space="preserve">Tonga </w:t>
      </w:r>
      <w:r w:rsidR="001D141C" w:rsidRPr="000721CB">
        <w:t xml:space="preserve">also </w:t>
      </w:r>
      <w:r w:rsidR="00122AFB" w:rsidRPr="000721CB">
        <w:t>faces serious health challenges</w:t>
      </w:r>
      <w:r w:rsidR="00B617F2" w:rsidRPr="000721CB">
        <w:t xml:space="preserve">. </w:t>
      </w:r>
      <w:r w:rsidR="00C40FB0" w:rsidRPr="000721CB">
        <w:t>N</w:t>
      </w:r>
      <w:r w:rsidR="00122AFB" w:rsidRPr="000721CB">
        <w:t xml:space="preserve">on-communicable diseases </w:t>
      </w:r>
      <w:r w:rsidR="00C40FB0" w:rsidRPr="000721CB">
        <w:t xml:space="preserve">(NCDs) </w:t>
      </w:r>
      <w:r w:rsidR="00122AFB" w:rsidRPr="000721CB">
        <w:t xml:space="preserve">have </w:t>
      </w:r>
      <w:r w:rsidR="001D141C" w:rsidRPr="000721CB">
        <w:t>reached</w:t>
      </w:r>
      <w:r w:rsidR="0035422C" w:rsidRPr="000721CB">
        <w:t xml:space="preserve"> </w:t>
      </w:r>
      <w:r w:rsidR="00122AFB" w:rsidRPr="000721CB">
        <w:t xml:space="preserve">epidemic proportions over the last 20 years and are responsible for four of the five most common causes of mortality (diabetes, heart disease, stroke and lung disease). Hospitalisation related to </w:t>
      </w:r>
      <w:r w:rsidR="00816182" w:rsidRPr="000721CB">
        <w:t>NCDs</w:t>
      </w:r>
      <w:r w:rsidR="00122AFB" w:rsidRPr="000721CB">
        <w:t xml:space="preserve"> accounts for around 20 per cent of health expenditure</w:t>
      </w:r>
      <w:r w:rsidR="00E21F76" w:rsidRPr="000721CB">
        <w:t>.</w:t>
      </w:r>
      <w:r w:rsidR="00D13CB0" w:rsidRPr="000721CB">
        <w:rPr>
          <w:rStyle w:val="FootnoteReference"/>
          <w:position w:val="0"/>
          <w:sz w:val="22"/>
          <w:szCs w:val="24"/>
          <w:vertAlign w:val="superscript"/>
        </w:rPr>
        <w:footnoteReference w:id="17"/>
      </w:r>
      <w:r w:rsidR="00C40FB0" w:rsidRPr="000721CB">
        <w:t xml:space="preserve"> </w:t>
      </w:r>
      <w:r w:rsidR="00A048BD" w:rsidRPr="000721CB">
        <w:t xml:space="preserve">The importance of addressing NCDs is reflected in Tonga’s Strategic Development Framework and, in recognition of the seriousness of this development issue, </w:t>
      </w:r>
      <w:r w:rsidR="00C40FB0" w:rsidRPr="000721CB">
        <w:t>Tonga created its own country-specific MDG</w:t>
      </w:r>
      <w:r w:rsidR="00211739" w:rsidRPr="000721CB">
        <w:t xml:space="preserve"> sub-g</w:t>
      </w:r>
      <w:r w:rsidR="00C40FB0" w:rsidRPr="000721CB">
        <w:t>oal 6c: Have halted by 2015</w:t>
      </w:r>
      <w:r w:rsidR="00A048BD" w:rsidRPr="000721CB">
        <w:t>,</w:t>
      </w:r>
      <w:r w:rsidR="00C40FB0" w:rsidRPr="000721CB">
        <w:t xml:space="preserve"> and begun to reverse</w:t>
      </w:r>
      <w:r w:rsidR="00A048BD" w:rsidRPr="000721CB">
        <w:t>,</w:t>
      </w:r>
      <w:r w:rsidR="00C40FB0" w:rsidRPr="000721CB">
        <w:t xml:space="preserve"> the incidence of NCDs</w:t>
      </w:r>
      <w:r w:rsidR="00B617F2" w:rsidRPr="000721CB">
        <w:t xml:space="preserve">. </w:t>
      </w:r>
    </w:p>
    <w:p w:rsidR="00797022" w:rsidRDefault="00797022" w:rsidP="000721CB">
      <w:pPr>
        <w:pStyle w:val="Caption"/>
      </w:pPr>
      <w:r>
        <w:t>Table 1: Status of Millennium Development Goals progress in Tonga</w:t>
      </w:r>
      <w:r w:rsidR="00211739">
        <w:rPr>
          <w:rStyle w:val="FootnoteReference"/>
        </w:rPr>
        <w:footnoteReference w:id="18"/>
      </w:r>
    </w:p>
    <w:tbl>
      <w:tblPr>
        <w:tblStyle w:val="APPR"/>
        <w:tblW w:w="5000" w:type="pct"/>
        <w:tblLayout w:type="fixed"/>
        <w:tblLook w:val="0000" w:firstRow="0" w:lastRow="0" w:firstColumn="0" w:lastColumn="0" w:noHBand="0" w:noVBand="0"/>
      </w:tblPr>
      <w:tblGrid>
        <w:gridCol w:w="2085"/>
        <w:gridCol w:w="783"/>
        <w:gridCol w:w="2070"/>
        <w:gridCol w:w="783"/>
        <w:gridCol w:w="2088"/>
        <w:gridCol w:w="797"/>
      </w:tblGrid>
      <w:tr w:rsidR="00261A43" w:rsidTr="00261A43">
        <w:trPr>
          <w:cnfStyle w:val="000000010000" w:firstRow="0" w:lastRow="0" w:firstColumn="0" w:lastColumn="0" w:oddVBand="0" w:evenVBand="0" w:oddHBand="0" w:evenHBand="1" w:firstRowFirstColumn="0" w:firstRowLastColumn="0" w:lastRowFirstColumn="0" w:lastRowLastColumn="0"/>
          <w:cantSplit/>
        </w:trPr>
        <w:tc>
          <w:tcPr>
            <w:tcW w:w="812" w:type="pct"/>
          </w:tcPr>
          <w:p w:rsidR="00261A43" w:rsidRPr="00FE16F1" w:rsidRDefault="00261A43" w:rsidP="00261A43">
            <w:pPr>
              <w:pStyle w:val="TableTextColumnHeading"/>
            </w:pPr>
            <w:r w:rsidRPr="00FE16F1">
              <w:t>MDG</w:t>
            </w:r>
          </w:p>
        </w:tc>
        <w:tc>
          <w:tcPr>
            <w:tcW w:w="300" w:type="pct"/>
          </w:tcPr>
          <w:p w:rsidR="00261A43" w:rsidRPr="00FE16F1" w:rsidRDefault="00261A43" w:rsidP="00261A43">
            <w:pPr>
              <w:pStyle w:val="TableTextColumnHeading"/>
            </w:pPr>
            <w:r>
              <w:t>Status</w:t>
            </w:r>
          </w:p>
        </w:tc>
        <w:tc>
          <w:tcPr>
            <w:tcW w:w="812" w:type="pct"/>
          </w:tcPr>
          <w:p w:rsidR="00261A43" w:rsidRPr="00FE16F1" w:rsidRDefault="00261A43" w:rsidP="00261A43">
            <w:pPr>
              <w:pStyle w:val="TableTextColumnHeading"/>
            </w:pPr>
            <w:r w:rsidRPr="00FE16F1">
              <w:t>Indicator</w:t>
            </w:r>
          </w:p>
        </w:tc>
        <w:tc>
          <w:tcPr>
            <w:tcW w:w="300" w:type="pct"/>
          </w:tcPr>
          <w:p w:rsidR="00261A43" w:rsidRPr="00FE16F1" w:rsidRDefault="00261A43" w:rsidP="00261A43">
            <w:pPr>
              <w:pStyle w:val="TableTextColumnHeading"/>
            </w:pPr>
            <w:r>
              <w:t>Status</w:t>
            </w:r>
          </w:p>
        </w:tc>
        <w:tc>
          <w:tcPr>
            <w:tcW w:w="819" w:type="pct"/>
          </w:tcPr>
          <w:p w:rsidR="00261A43" w:rsidRPr="00FE16F1" w:rsidRDefault="00261A43" w:rsidP="00261A43">
            <w:pPr>
              <w:pStyle w:val="TableTextColumnHeading"/>
            </w:pPr>
            <w:r>
              <w:t>Indicator</w:t>
            </w:r>
          </w:p>
        </w:tc>
        <w:tc>
          <w:tcPr>
            <w:tcW w:w="300" w:type="pct"/>
          </w:tcPr>
          <w:p w:rsidR="00261A43" w:rsidRPr="00FE16F1" w:rsidRDefault="00261A43" w:rsidP="00261A43">
            <w:pPr>
              <w:pStyle w:val="TableTextColumnHeading"/>
            </w:pPr>
            <w:r>
              <w:t>Status</w:t>
            </w:r>
          </w:p>
        </w:tc>
      </w:tr>
      <w:tr w:rsidR="00261A43" w:rsidTr="00261A43">
        <w:trPr>
          <w:cantSplit/>
          <w:tblHeader w:val="0"/>
        </w:trPr>
        <w:tc>
          <w:tcPr>
            <w:tcW w:w="812" w:type="pct"/>
          </w:tcPr>
          <w:p w:rsidR="00261A43" w:rsidRPr="00FE16F1" w:rsidRDefault="00261A43" w:rsidP="00261A43">
            <w:pPr>
              <w:pStyle w:val="TableListNumber"/>
            </w:pPr>
            <w:r w:rsidRPr="00FE16F1">
              <w:t>Eradicate extreme poverty and hunger</w:t>
            </w:r>
          </w:p>
        </w:tc>
        <w:tc>
          <w:tcPr>
            <w:tcW w:w="300" w:type="pct"/>
            <w:tcBorders>
              <w:top w:val="nil"/>
              <w:bottom w:val="nil"/>
            </w:tcBorders>
            <w:shd w:val="clear" w:color="auto" w:fill="F79646" w:themeFill="accent6"/>
          </w:tcPr>
          <w:p w:rsidR="00261A43" w:rsidRPr="00FE16F1" w:rsidRDefault="00261A43" w:rsidP="00261A43">
            <w:pPr>
              <w:pStyle w:val="TableTextEntries"/>
            </w:pPr>
            <w:r>
              <w:t>Amber</w:t>
            </w:r>
          </w:p>
        </w:tc>
        <w:tc>
          <w:tcPr>
            <w:tcW w:w="812" w:type="pct"/>
          </w:tcPr>
          <w:p w:rsidR="00261A43" w:rsidRPr="00FE16F1" w:rsidRDefault="00261A43" w:rsidP="00261A43">
            <w:pPr>
              <w:pStyle w:val="TableTextEntries"/>
            </w:pPr>
            <w:r w:rsidRPr="00FE16F1">
              <w:t>Population below food poverty line: 2% (2009)</w:t>
            </w:r>
          </w:p>
        </w:tc>
        <w:tc>
          <w:tcPr>
            <w:tcW w:w="300" w:type="pct"/>
            <w:tcBorders>
              <w:top w:val="nil"/>
              <w:bottom w:val="nil"/>
            </w:tcBorders>
            <w:shd w:val="clear" w:color="auto" w:fill="92D050"/>
          </w:tcPr>
          <w:p w:rsidR="00261A43" w:rsidRPr="00FE16F1" w:rsidRDefault="00261A43" w:rsidP="00261A43">
            <w:pPr>
              <w:pStyle w:val="TableTextEntries"/>
            </w:pPr>
            <w:r>
              <w:t>Green</w:t>
            </w:r>
          </w:p>
        </w:tc>
        <w:tc>
          <w:tcPr>
            <w:tcW w:w="819" w:type="pct"/>
          </w:tcPr>
          <w:p w:rsidR="00261A43" w:rsidRPr="00FE16F1" w:rsidRDefault="00261A43" w:rsidP="00261A43">
            <w:pPr>
              <w:pStyle w:val="TableTextEntries"/>
            </w:pPr>
            <w:r w:rsidRPr="00FE16F1">
              <w:t>Population below Tonga’s basic needs poverty line: 22.5% (2009)</w:t>
            </w:r>
          </w:p>
        </w:tc>
        <w:tc>
          <w:tcPr>
            <w:tcW w:w="300" w:type="pct"/>
            <w:tcBorders>
              <w:top w:val="nil"/>
              <w:bottom w:val="nil"/>
            </w:tcBorders>
            <w:shd w:val="clear" w:color="auto" w:fill="FF0000"/>
          </w:tcPr>
          <w:p w:rsidR="00261A43" w:rsidRPr="00FE16F1" w:rsidRDefault="00261A43" w:rsidP="00261A43">
            <w:pPr>
              <w:pStyle w:val="TableTextEntries"/>
            </w:pPr>
            <w:r>
              <w:t>Red</w:t>
            </w:r>
          </w:p>
        </w:tc>
      </w:tr>
      <w:tr w:rsidR="00261A43" w:rsidTr="00261A43">
        <w:trPr>
          <w:cnfStyle w:val="000000010000" w:firstRow="0" w:lastRow="0" w:firstColumn="0" w:lastColumn="0" w:oddVBand="0" w:evenVBand="0" w:oddHBand="0" w:evenHBand="1" w:firstRowFirstColumn="0" w:firstRowLastColumn="0" w:lastRowFirstColumn="0" w:lastRowLastColumn="0"/>
          <w:cantSplit/>
          <w:tblHeader w:val="0"/>
        </w:trPr>
        <w:tc>
          <w:tcPr>
            <w:tcW w:w="812" w:type="pct"/>
          </w:tcPr>
          <w:p w:rsidR="00261A43" w:rsidRPr="00FE16F1" w:rsidRDefault="00261A43" w:rsidP="00261A43">
            <w:pPr>
              <w:pStyle w:val="TableListNumber"/>
            </w:pPr>
            <w:r w:rsidRPr="00FE16F1">
              <w:t>Achieve universal primary education</w:t>
            </w:r>
          </w:p>
        </w:tc>
        <w:tc>
          <w:tcPr>
            <w:tcW w:w="300" w:type="pct"/>
            <w:shd w:val="clear" w:color="auto" w:fill="92D050"/>
          </w:tcPr>
          <w:p w:rsidR="00261A43" w:rsidRPr="00FE16F1" w:rsidRDefault="00261A43" w:rsidP="00261A43">
            <w:pPr>
              <w:pStyle w:val="TableTextEntries"/>
            </w:pPr>
            <w:r>
              <w:t>Green</w:t>
            </w:r>
          </w:p>
        </w:tc>
        <w:tc>
          <w:tcPr>
            <w:tcW w:w="812" w:type="pct"/>
          </w:tcPr>
          <w:p w:rsidR="00261A43" w:rsidRPr="00FE16F1" w:rsidRDefault="00261A43" w:rsidP="00261A43">
            <w:pPr>
              <w:pStyle w:val="TableTextEntries"/>
            </w:pPr>
            <w:r w:rsidRPr="00FE16F1">
              <w:t>Net enrolment rate in primary education: 93% (2008)</w:t>
            </w:r>
          </w:p>
        </w:tc>
        <w:tc>
          <w:tcPr>
            <w:tcW w:w="300" w:type="pct"/>
            <w:shd w:val="clear" w:color="auto" w:fill="92D050"/>
          </w:tcPr>
          <w:p w:rsidR="00261A43" w:rsidRPr="00FE16F1" w:rsidRDefault="00261A43" w:rsidP="00261A43">
            <w:pPr>
              <w:pStyle w:val="TableTextEntries"/>
            </w:pPr>
            <w:r>
              <w:t>Green</w:t>
            </w:r>
          </w:p>
        </w:tc>
        <w:tc>
          <w:tcPr>
            <w:tcW w:w="819" w:type="pct"/>
          </w:tcPr>
          <w:p w:rsidR="00261A43" w:rsidRPr="00FE16F1" w:rsidRDefault="00261A43" w:rsidP="00261A43">
            <w:pPr>
              <w:pStyle w:val="TableTextEntries"/>
            </w:pPr>
            <w:r w:rsidRPr="00FE16F1">
              <w:t>Literacy rate of 15 to 24 year olds: 99.4% (2006)</w:t>
            </w:r>
          </w:p>
        </w:tc>
        <w:tc>
          <w:tcPr>
            <w:tcW w:w="300" w:type="pct"/>
            <w:shd w:val="clear" w:color="auto" w:fill="92D050"/>
          </w:tcPr>
          <w:p w:rsidR="00261A43" w:rsidRPr="00FE16F1" w:rsidRDefault="00261A43" w:rsidP="00261A43">
            <w:pPr>
              <w:pStyle w:val="TableTextEntries"/>
            </w:pPr>
            <w:r>
              <w:t>Green</w:t>
            </w:r>
          </w:p>
        </w:tc>
      </w:tr>
      <w:tr w:rsidR="00261A43" w:rsidTr="00261A43">
        <w:trPr>
          <w:cantSplit/>
          <w:trHeight w:val="694"/>
          <w:tblHeader w:val="0"/>
        </w:trPr>
        <w:tc>
          <w:tcPr>
            <w:tcW w:w="812" w:type="pct"/>
          </w:tcPr>
          <w:p w:rsidR="00261A43" w:rsidRPr="00FE16F1" w:rsidRDefault="00261A43" w:rsidP="00261A43">
            <w:pPr>
              <w:pStyle w:val="TableListNumber"/>
            </w:pPr>
            <w:r w:rsidRPr="00FE16F1">
              <w:t>Promote gender equality and empower women</w:t>
            </w:r>
          </w:p>
        </w:tc>
        <w:tc>
          <w:tcPr>
            <w:tcW w:w="300" w:type="pct"/>
            <w:tcBorders>
              <w:top w:val="nil"/>
              <w:bottom w:val="nil"/>
            </w:tcBorders>
            <w:shd w:val="clear" w:color="auto" w:fill="FF0000"/>
          </w:tcPr>
          <w:p w:rsidR="00261A43" w:rsidRPr="00FE16F1" w:rsidRDefault="00261A43" w:rsidP="00261A43">
            <w:pPr>
              <w:pStyle w:val="TableTextEntries"/>
            </w:pPr>
            <w:r>
              <w:t>Red</w:t>
            </w:r>
          </w:p>
        </w:tc>
        <w:tc>
          <w:tcPr>
            <w:tcW w:w="812" w:type="pct"/>
          </w:tcPr>
          <w:p w:rsidR="00261A43" w:rsidRPr="00FE16F1" w:rsidRDefault="00261A43" w:rsidP="00261A43">
            <w:pPr>
              <w:pStyle w:val="TableTextEntries"/>
            </w:pPr>
            <w:r w:rsidRPr="00FE16F1">
              <w:t xml:space="preserve">Ratio of girls-to-boys in primary education: 0.88 (2008); secondary education 0.97 (2009) </w:t>
            </w:r>
          </w:p>
        </w:tc>
        <w:tc>
          <w:tcPr>
            <w:tcW w:w="300" w:type="pct"/>
            <w:tcBorders>
              <w:top w:val="nil"/>
              <w:bottom w:val="nil"/>
            </w:tcBorders>
            <w:shd w:val="clear" w:color="auto" w:fill="92D050"/>
          </w:tcPr>
          <w:p w:rsidR="00261A43" w:rsidRPr="00FE16F1" w:rsidRDefault="00261A43" w:rsidP="00261A43">
            <w:pPr>
              <w:pStyle w:val="TableTextEntries"/>
            </w:pPr>
            <w:r>
              <w:t>Green</w:t>
            </w:r>
          </w:p>
        </w:tc>
        <w:tc>
          <w:tcPr>
            <w:tcW w:w="819" w:type="pct"/>
          </w:tcPr>
          <w:p w:rsidR="00261A43" w:rsidRPr="00FE16F1" w:rsidRDefault="00261A43" w:rsidP="00261A43">
            <w:pPr>
              <w:pStyle w:val="TableTextEntries"/>
            </w:pPr>
            <w:r w:rsidRPr="00FE16F1">
              <w:t>Proportion of seats held by women in Parliament: 3.6% (2011)</w:t>
            </w:r>
          </w:p>
        </w:tc>
        <w:tc>
          <w:tcPr>
            <w:tcW w:w="300" w:type="pct"/>
            <w:tcBorders>
              <w:top w:val="nil"/>
              <w:bottom w:val="nil"/>
            </w:tcBorders>
            <w:shd w:val="clear" w:color="auto" w:fill="FF0000"/>
          </w:tcPr>
          <w:p w:rsidR="00261A43" w:rsidRPr="00FE16F1" w:rsidRDefault="00261A43" w:rsidP="00261A43">
            <w:pPr>
              <w:pStyle w:val="TableTextEntries"/>
            </w:pPr>
            <w:r>
              <w:t>Red</w:t>
            </w:r>
          </w:p>
        </w:tc>
      </w:tr>
      <w:tr w:rsidR="00261A43" w:rsidTr="00261A43">
        <w:trPr>
          <w:cnfStyle w:val="000000010000" w:firstRow="0" w:lastRow="0" w:firstColumn="0" w:lastColumn="0" w:oddVBand="0" w:evenVBand="0" w:oddHBand="0" w:evenHBand="1" w:firstRowFirstColumn="0" w:firstRowLastColumn="0" w:lastRowFirstColumn="0" w:lastRowLastColumn="0"/>
          <w:cantSplit/>
          <w:tblHeader w:val="0"/>
        </w:trPr>
        <w:tc>
          <w:tcPr>
            <w:tcW w:w="812" w:type="pct"/>
          </w:tcPr>
          <w:p w:rsidR="00261A43" w:rsidRPr="00FE16F1" w:rsidRDefault="00261A43" w:rsidP="00261A43">
            <w:pPr>
              <w:pStyle w:val="TableListNumber"/>
            </w:pPr>
            <w:r w:rsidRPr="00FE16F1">
              <w:t>Reduce child mortality</w:t>
            </w:r>
          </w:p>
        </w:tc>
        <w:tc>
          <w:tcPr>
            <w:tcW w:w="300" w:type="pct"/>
            <w:shd w:val="clear" w:color="auto" w:fill="92D050"/>
          </w:tcPr>
          <w:p w:rsidR="00261A43" w:rsidRPr="00FE16F1" w:rsidRDefault="00261A43" w:rsidP="00261A43">
            <w:pPr>
              <w:pStyle w:val="TableTextEntries"/>
            </w:pPr>
            <w:r>
              <w:t>Green</w:t>
            </w:r>
          </w:p>
        </w:tc>
        <w:tc>
          <w:tcPr>
            <w:tcW w:w="812" w:type="pct"/>
          </w:tcPr>
          <w:p w:rsidR="00261A43" w:rsidRPr="00FE16F1" w:rsidRDefault="00261A43" w:rsidP="00261A43">
            <w:pPr>
              <w:pStyle w:val="TableTextEntries"/>
            </w:pPr>
            <w:r w:rsidRPr="00FE16F1">
              <w:t>Under-five mortality per 1000 live births: 22.4 (2009)</w:t>
            </w:r>
          </w:p>
        </w:tc>
        <w:tc>
          <w:tcPr>
            <w:tcW w:w="300" w:type="pct"/>
            <w:shd w:val="clear" w:color="auto" w:fill="92D050"/>
          </w:tcPr>
          <w:p w:rsidR="00261A43" w:rsidRPr="00FE16F1" w:rsidRDefault="00261A43" w:rsidP="00261A43">
            <w:pPr>
              <w:pStyle w:val="TableTextEntries"/>
            </w:pPr>
            <w:r>
              <w:t>Green</w:t>
            </w:r>
          </w:p>
        </w:tc>
        <w:tc>
          <w:tcPr>
            <w:tcW w:w="819" w:type="pct"/>
          </w:tcPr>
          <w:p w:rsidR="00261A43" w:rsidRPr="00FE16F1" w:rsidRDefault="00261A43" w:rsidP="00261A43">
            <w:pPr>
              <w:pStyle w:val="TableTextEntries"/>
            </w:pPr>
            <w:r w:rsidRPr="00FE16F1">
              <w:t>1-year-olds immunised against measles: 99.4% (2009)</w:t>
            </w:r>
          </w:p>
        </w:tc>
        <w:tc>
          <w:tcPr>
            <w:tcW w:w="300" w:type="pct"/>
            <w:shd w:val="clear" w:color="auto" w:fill="92D050"/>
          </w:tcPr>
          <w:p w:rsidR="00261A43" w:rsidRPr="00FE16F1" w:rsidRDefault="00261A43" w:rsidP="00261A43">
            <w:pPr>
              <w:pStyle w:val="TableTextEntries"/>
            </w:pPr>
            <w:r>
              <w:t>Green</w:t>
            </w:r>
          </w:p>
        </w:tc>
      </w:tr>
      <w:tr w:rsidR="00261A43" w:rsidTr="00261A43">
        <w:trPr>
          <w:cantSplit/>
          <w:tblHeader w:val="0"/>
        </w:trPr>
        <w:tc>
          <w:tcPr>
            <w:tcW w:w="812" w:type="pct"/>
          </w:tcPr>
          <w:p w:rsidR="00261A43" w:rsidRPr="00FE16F1" w:rsidRDefault="00261A43" w:rsidP="00261A43">
            <w:pPr>
              <w:pStyle w:val="TableListNumber"/>
            </w:pPr>
            <w:r w:rsidRPr="00FE16F1">
              <w:t>Improve maternal health</w:t>
            </w:r>
          </w:p>
        </w:tc>
        <w:tc>
          <w:tcPr>
            <w:tcW w:w="300" w:type="pct"/>
            <w:tcBorders>
              <w:top w:val="nil"/>
              <w:bottom w:val="nil"/>
            </w:tcBorders>
            <w:shd w:val="clear" w:color="auto" w:fill="92D050"/>
          </w:tcPr>
          <w:p w:rsidR="00261A43" w:rsidRPr="00FE16F1" w:rsidRDefault="00261A43" w:rsidP="00261A43">
            <w:pPr>
              <w:pStyle w:val="TableTextEntries"/>
            </w:pPr>
            <w:r>
              <w:t>Green</w:t>
            </w:r>
          </w:p>
        </w:tc>
        <w:tc>
          <w:tcPr>
            <w:tcW w:w="812" w:type="pct"/>
          </w:tcPr>
          <w:p w:rsidR="00261A43" w:rsidRPr="00FE16F1" w:rsidRDefault="00261A43" w:rsidP="00261A43">
            <w:pPr>
              <w:pStyle w:val="TableTextEntries"/>
            </w:pPr>
            <w:r w:rsidRPr="00FE16F1">
              <w:t>Maternal mortality per 100 000 births: 37.1 (2010)</w:t>
            </w:r>
          </w:p>
        </w:tc>
        <w:tc>
          <w:tcPr>
            <w:tcW w:w="300" w:type="pct"/>
            <w:tcBorders>
              <w:top w:val="nil"/>
              <w:bottom w:val="nil"/>
            </w:tcBorders>
            <w:shd w:val="clear" w:color="auto" w:fill="92D050"/>
          </w:tcPr>
          <w:p w:rsidR="00261A43" w:rsidRPr="00FE16F1" w:rsidRDefault="00261A43" w:rsidP="00261A43">
            <w:pPr>
              <w:pStyle w:val="TableTextEntries"/>
            </w:pPr>
            <w:r>
              <w:t>Green</w:t>
            </w:r>
          </w:p>
        </w:tc>
        <w:tc>
          <w:tcPr>
            <w:tcW w:w="819" w:type="pct"/>
          </w:tcPr>
          <w:p w:rsidR="00261A43" w:rsidRPr="00FE16F1" w:rsidRDefault="00261A43" w:rsidP="00261A43">
            <w:pPr>
              <w:pStyle w:val="TableTextEntries"/>
            </w:pPr>
            <w:r w:rsidRPr="00FE16F1">
              <w:t>Skilled birth attendance: 99.0% (2010)</w:t>
            </w:r>
          </w:p>
        </w:tc>
        <w:tc>
          <w:tcPr>
            <w:tcW w:w="300" w:type="pct"/>
            <w:tcBorders>
              <w:top w:val="nil"/>
              <w:bottom w:val="nil"/>
            </w:tcBorders>
            <w:shd w:val="clear" w:color="auto" w:fill="92D050"/>
          </w:tcPr>
          <w:p w:rsidR="00261A43" w:rsidRPr="00FE16F1" w:rsidRDefault="00261A43" w:rsidP="00261A43">
            <w:pPr>
              <w:pStyle w:val="TableTextEntries"/>
            </w:pPr>
            <w:r>
              <w:t>Green</w:t>
            </w:r>
          </w:p>
        </w:tc>
      </w:tr>
      <w:tr w:rsidR="00261A43" w:rsidTr="00261A43">
        <w:trPr>
          <w:cnfStyle w:val="000000010000" w:firstRow="0" w:lastRow="0" w:firstColumn="0" w:lastColumn="0" w:oddVBand="0" w:evenVBand="0" w:oddHBand="0" w:evenHBand="1" w:firstRowFirstColumn="0" w:firstRowLastColumn="0" w:lastRowFirstColumn="0" w:lastRowLastColumn="0"/>
          <w:cantSplit/>
          <w:tblHeader w:val="0"/>
        </w:trPr>
        <w:tc>
          <w:tcPr>
            <w:tcW w:w="812" w:type="pct"/>
          </w:tcPr>
          <w:p w:rsidR="00261A43" w:rsidRPr="00FE16F1" w:rsidRDefault="00261A43" w:rsidP="00261A43">
            <w:pPr>
              <w:pStyle w:val="TableListNumber"/>
            </w:pPr>
            <w:r w:rsidRPr="00FE16F1">
              <w:t>Combat HIV/AIDS, malaria and other diseases</w:t>
            </w:r>
          </w:p>
        </w:tc>
        <w:tc>
          <w:tcPr>
            <w:tcW w:w="300" w:type="pct"/>
            <w:shd w:val="clear" w:color="auto" w:fill="92D050"/>
          </w:tcPr>
          <w:p w:rsidR="00261A43" w:rsidRPr="00FE16F1" w:rsidRDefault="00261A43" w:rsidP="00261A43">
            <w:pPr>
              <w:pStyle w:val="TableTextEntries"/>
            </w:pPr>
            <w:r>
              <w:t>Green</w:t>
            </w:r>
          </w:p>
        </w:tc>
        <w:tc>
          <w:tcPr>
            <w:tcW w:w="812" w:type="pct"/>
          </w:tcPr>
          <w:p w:rsidR="00261A43" w:rsidRPr="00FE16F1" w:rsidRDefault="00261A43" w:rsidP="00261A43">
            <w:pPr>
              <w:pStyle w:val="TableTextEntries"/>
            </w:pPr>
            <w:r w:rsidRPr="00FE16F1">
              <w:t xml:space="preserve">Condom use at last high-risk sex: 21.1% (2008) </w:t>
            </w:r>
          </w:p>
        </w:tc>
        <w:tc>
          <w:tcPr>
            <w:tcW w:w="300" w:type="pct"/>
            <w:shd w:val="clear" w:color="auto" w:fill="F79646" w:themeFill="accent6"/>
          </w:tcPr>
          <w:p w:rsidR="00261A43" w:rsidRPr="00FE16F1" w:rsidRDefault="00261A43" w:rsidP="00261A43">
            <w:pPr>
              <w:pStyle w:val="TableTextEntries"/>
            </w:pPr>
            <w:r>
              <w:t>Amber</w:t>
            </w:r>
          </w:p>
        </w:tc>
        <w:tc>
          <w:tcPr>
            <w:tcW w:w="819" w:type="pct"/>
          </w:tcPr>
          <w:p w:rsidR="00261A43" w:rsidRPr="00FE16F1" w:rsidRDefault="00261A43" w:rsidP="00261A43">
            <w:pPr>
              <w:pStyle w:val="TableTextEntries"/>
            </w:pPr>
            <w:r w:rsidRPr="00FE16F1">
              <w:t>Tuberculosis cure rate under Directly Observed Therapy: 83% (2009)</w:t>
            </w:r>
          </w:p>
        </w:tc>
        <w:tc>
          <w:tcPr>
            <w:tcW w:w="300" w:type="pct"/>
            <w:shd w:val="clear" w:color="auto" w:fill="92D050"/>
          </w:tcPr>
          <w:p w:rsidR="00261A43" w:rsidRPr="00FE16F1" w:rsidRDefault="00261A43" w:rsidP="00261A43">
            <w:pPr>
              <w:pStyle w:val="TableTextEntries"/>
            </w:pPr>
            <w:r>
              <w:t>Green</w:t>
            </w:r>
          </w:p>
        </w:tc>
      </w:tr>
      <w:tr w:rsidR="00261A43" w:rsidTr="00261A43">
        <w:trPr>
          <w:cantSplit/>
          <w:tblHeader w:val="0"/>
        </w:trPr>
        <w:tc>
          <w:tcPr>
            <w:tcW w:w="812" w:type="pct"/>
          </w:tcPr>
          <w:p w:rsidR="00261A43" w:rsidRPr="00FE16F1" w:rsidRDefault="00261A43" w:rsidP="00261A43">
            <w:pPr>
              <w:pStyle w:val="TableListNumber"/>
            </w:pPr>
            <w:r w:rsidRPr="00FE16F1">
              <w:t>Ensure environmental sustainability</w:t>
            </w:r>
          </w:p>
        </w:tc>
        <w:tc>
          <w:tcPr>
            <w:tcW w:w="300" w:type="pct"/>
            <w:tcBorders>
              <w:top w:val="nil"/>
              <w:bottom w:val="nil"/>
            </w:tcBorders>
            <w:shd w:val="clear" w:color="auto" w:fill="92D050"/>
          </w:tcPr>
          <w:p w:rsidR="00261A43" w:rsidRPr="00FE16F1" w:rsidRDefault="00261A43" w:rsidP="00261A43">
            <w:pPr>
              <w:pStyle w:val="TableTextEntries"/>
            </w:pPr>
            <w:r>
              <w:t>Green</w:t>
            </w:r>
          </w:p>
        </w:tc>
        <w:tc>
          <w:tcPr>
            <w:tcW w:w="812" w:type="pct"/>
          </w:tcPr>
          <w:p w:rsidR="00261A43" w:rsidRPr="00FE16F1" w:rsidRDefault="00261A43" w:rsidP="00261A43">
            <w:pPr>
              <w:pStyle w:val="TableTextEntries"/>
            </w:pPr>
            <w:r w:rsidRPr="00FE16F1">
              <w:t>Percentage of population using an improved drinking water source: 98% (2006)</w:t>
            </w:r>
          </w:p>
        </w:tc>
        <w:tc>
          <w:tcPr>
            <w:tcW w:w="300" w:type="pct"/>
            <w:tcBorders>
              <w:top w:val="nil"/>
              <w:bottom w:val="nil"/>
            </w:tcBorders>
            <w:shd w:val="clear" w:color="auto" w:fill="92D050"/>
          </w:tcPr>
          <w:p w:rsidR="00261A43" w:rsidRPr="00FE16F1" w:rsidRDefault="00261A43" w:rsidP="00261A43">
            <w:pPr>
              <w:pStyle w:val="TableTextEntries"/>
            </w:pPr>
            <w:r>
              <w:t>Green</w:t>
            </w:r>
          </w:p>
        </w:tc>
        <w:tc>
          <w:tcPr>
            <w:tcW w:w="819" w:type="pct"/>
          </w:tcPr>
          <w:p w:rsidR="00261A43" w:rsidRPr="00FE16F1" w:rsidRDefault="00261A43" w:rsidP="00261A43">
            <w:pPr>
              <w:pStyle w:val="TableTextEntries"/>
            </w:pPr>
            <w:r w:rsidRPr="00FE16F1">
              <w:t>Percentage of population using an improved sanitation facility: 82% (2006)</w:t>
            </w:r>
          </w:p>
        </w:tc>
        <w:tc>
          <w:tcPr>
            <w:tcW w:w="300" w:type="pct"/>
            <w:tcBorders>
              <w:top w:val="nil"/>
              <w:bottom w:val="nil"/>
            </w:tcBorders>
            <w:shd w:val="clear" w:color="auto" w:fill="92D050"/>
          </w:tcPr>
          <w:p w:rsidR="00261A43" w:rsidRPr="00FE16F1" w:rsidRDefault="00261A43" w:rsidP="00261A43">
            <w:pPr>
              <w:pStyle w:val="TableTextEntries"/>
            </w:pPr>
            <w:r>
              <w:t>Green</w:t>
            </w:r>
          </w:p>
        </w:tc>
      </w:tr>
    </w:tbl>
    <w:p w:rsidR="009B0782" w:rsidRDefault="00797022" w:rsidP="000721CB">
      <w:pPr>
        <w:pStyle w:val="Note"/>
      </w:pPr>
      <w:r w:rsidRPr="00AF56BE">
        <w:lastRenderedPageBreak/>
        <w:t>Note</w:t>
      </w:r>
      <w:r w:rsidRPr="00D33DDE">
        <w:t>:</w:t>
      </w:r>
      <w:r>
        <w:tab/>
      </w:r>
    </w:p>
    <w:p w:rsidR="009B0782" w:rsidRDefault="00797022" w:rsidP="000721CB">
      <w:pPr>
        <w:pStyle w:val="Note"/>
      </w:pPr>
      <w:r w:rsidRPr="00DF1246">
        <w:rPr>
          <w:color w:val="99CC00"/>
          <w:sz w:val="18"/>
          <w:szCs w:val="18"/>
        </w:rPr>
        <w:sym w:font="Webdings" w:char="F067"/>
      </w:r>
      <w:r>
        <w:rPr>
          <w:rFonts w:ascii="Arial Unicode MS" w:eastAsia="Arial Unicode MS" w:hAnsi="Arial Unicode MS" w:cs="Arial Unicode MS"/>
        </w:rPr>
        <w:t> </w:t>
      </w:r>
      <w:r w:rsidRPr="006D2818">
        <w:t xml:space="preserve">The </w:t>
      </w:r>
      <w:r>
        <w:t>MDG is on track (likely to meet the target)</w:t>
      </w:r>
      <w:r w:rsidR="00B617F2">
        <w:t xml:space="preserve">. </w:t>
      </w:r>
      <w:r>
        <w:t xml:space="preserve"> </w:t>
      </w:r>
    </w:p>
    <w:p w:rsidR="009B0782" w:rsidRDefault="00797022" w:rsidP="000721CB">
      <w:pPr>
        <w:pStyle w:val="Note"/>
      </w:pPr>
      <w:r>
        <w:rPr>
          <w:color w:val="FF9900"/>
          <w:sz w:val="18"/>
          <w:szCs w:val="18"/>
        </w:rPr>
        <w:sym w:font="Webdings" w:char="F067"/>
      </w:r>
      <w:r>
        <w:rPr>
          <w:rFonts w:ascii="Arial Unicode MS" w:eastAsia="Arial Unicode MS" w:hAnsi="Arial Unicode MS" w:cs="Arial Unicode MS"/>
        </w:rPr>
        <w:t> </w:t>
      </w:r>
      <w:r w:rsidRPr="006D2818">
        <w:t xml:space="preserve">The </w:t>
      </w:r>
      <w:r>
        <w:t xml:space="preserve">MDG is of concern (limited data/ progressing too slowly but could reach target with extra effort and resources)  </w:t>
      </w:r>
    </w:p>
    <w:p w:rsidR="00797022" w:rsidRPr="005B7EB4" w:rsidRDefault="00797022" w:rsidP="000721CB">
      <w:pPr>
        <w:pStyle w:val="Note"/>
      </w:pPr>
      <w:r w:rsidRPr="00F662FA">
        <w:rPr>
          <w:color w:val="FF0000"/>
          <w:sz w:val="18"/>
          <w:szCs w:val="18"/>
        </w:rPr>
        <w:sym w:font="Webdings" w:char="F067"/>
      </w:r>
      <w:r>
        <w:rPr>
          <w:rFonts w:ascii="Arial Unicode MS" w:eastAsia="Arial Unicode MS" w:hAnsi="Arial Unicode MS" w:cs="Arial Unicode MS"/>
        </w:rPr>
        <w:t> </w:t>
      </w:r>
      <w:r w:rsidRPr="006D2818">
        <w:t xml:space="preserve">The </w:t>
      </w:r>
      <w:r>
        <w:t xml:space="preserve">MDG is off track (highly </w:t>
      </w:r>
      <w:r w:rsidRPr="005B7EB4">
        <w:t>unlikely to meet the target).</w:t>
      </w:r>
    </w:p>
    <w:p w:rsidR="00797022" w:rsidRPr="005B7EB4" w:rsidRDefault="00797022" w:rsidP="000721CB">
      <w:pPr>
        <w:pStyle w:val="Note"/>
        <w:rPr>
          <w:i/>
        </w:rPr>
      </w:pPr>
      <w:r w:rsidRPr="00EB076D">
        <w:t>Source</w:t>
      </w:r>
      <w:r w:rsidRPr="00277D66">
        <w:t>:</w:t>
      </w:r>
      <w:r w:rsidRPr="005B7EB4">
        <w:t xml:space="preserve"> Pacific Islands Forum Secretariat, </w:t>
      </w:r>
      <w:r w:rsidRPr="005B7EB4">
        <w:rPr>
          <w:i/>
        </w:rPr>
        <w:t>2012 Pacific Regional MDG Tracking Report, 2012.</w:t>
      </w:r>
    </w:p>
    <w:p w:rsidR="006300EE" w:rsidRDefault="006300EE" w:rsidP="00640CFC">
      <w:pPr>
        <w:ind w:left="68" w:hanging="68"/>
        <w:jc w:val="both"/>
        <w:rPr>
          <w:sz w:val="24"/>
        </w:rPr>
      </w:pPr>
    </w:p>
    <w:p w:rsidR="00277D66" w:rsidRDefault="006300EE" w:rsidP="000721CB">
      <w:pPr>
        <w:pStyle w:val="BodyText"/>
      </w:pPr>
      <w:r w:rsidRPr="00640CFC">
        <w:t>The</w:t>
      </w:r>
      <w:r w:rsidR="00277D66">
        <w:t xml:space="preserve"> World Health Organization’s</w:t>
      </w:r>
      <w:r w:rsidRPr="00640CFC">
        <w:t xml:space="preserve"> 2004</w:t>
      </w:r>
      <w:r w:rsidR="00D80C5D">
        <w:t xml:space="preserve"> </w:t>
      </w:r>
      <w:r w:rsidRPr="00640CFC">
        <w:t>STEP</w:t>
      </w:r>
      <w:r w:rsidR="00277D66">
        <w:t>wise approach to surveillance (STEPS)</w:t>
      </w:r>
      <w:r w:rsidRPr="00640CFC">
        <w:t xml:space="preserve"> survey</w:t>
      </w:r>
      <w:r w:rsidR="00277D66">
        <w:t xml:space="preserve"> </w:t>
      </w:r>
      <w:r w:rsidRPr="00640CFC">
        <w:t xml:space="preserve">found that women have higher rates of obesity than </w:t>
      </w:r>
      <w:r w:rsidR="00277D66">
        <w:t xml:space="preserve">do </w:t>
      </w:r>
      <w:r w:rsidRPr="00640CFC">
        <w:t>men</w:t>
      </w:r>
      <w:r w:rsidR="00277D66">
        <w:t xml:space="preserve"> in Tonga</w:t>
      </w:r>
      <w:r w:rsidRPr="00640CFC">
        <w:t>, and have lower levels of physical activity</w:t>
      </w:r>
      <w:r w:rsidR="00277D66">
        <w:t>. Tonga’s</w:t>
      </w:r>
      <w:r w:rsidRPr="00640CFC">
        <w:t>  2006 Census report found that men experience</w:t>
      </w:r>
      <w:r w:rsidR="00277D66">
        <w:t>d</w:t>
      </w:r>
      <w:r w:rsidRPr="00640CFC">
        <w:t xml:space="preserve"> higher rates of smoking than </w:t>
      </w:r>
      <w:r w:rsidR="00277D66">
        <w:t xml:space="preserve">did </w:t>
      </w:r>
      <w:r w:rsidRPr="00640CFC">
        <w:t>women. Youth unemployment (15</w:t>
      </w:r>
      <w:r w:rsidR="00941B0C">
        <w:t xml:space="preserve"> to </w:t>
      </w:r>
      <w:r w:rsidRPr="00640CFC">
        <w:t>24 years</w:t>
      </w:r>
      <w:r w:rsidR="00277D66">
        <w:t xml:space="preserve"> of age</w:t>
      </w:r>
      <w:r w:rsidRPr="00640CFC">
        <w:t>) accounts for 54</w:t>
      </w:r>
      <w:r w:rsidR="00B617F2">
        <w:t xml:space="preserve"> per cent</w:t>
      </w:r>
      <w:r w:rsidRPr="00640CFC">
        <w:t xml:space="preserve"> of male unemployment and 37.4</w:t>
      </w:r>
      <w:r w:rsidR="00B617F2">
        <w:t xml:space="preserve"> per cent</w:t>
      </w:r>
      <w:r w:rsidRPr="00640CFC">
        <w:t xml:space="preserve"> of female</w:t>
      </w:r>
      <w:r w:rsidR="00941B0C">
        <w:t xml:space="preserve"> underemployment</w:t>
      </w:r>
      <w:r w:rsidR="00277D66">
        <w:t>.</w:t>
      </w:r>
      <w:r w:rsidR="000D28D1">
        <w:rPr>
          <w:rStyle w:val="FootnoteReference"/>
        </w:rPr>
        <w:footnoteReference w:id="19"/>
      </w:r>
      <w:r w:rsidRPr="00640CFC">
        <w:t xml:space="preserve"> Given the youthful demographic of Tonga, this amounts to a large absolute number of unemployed young people in a context of high literacy and educational attainment by both sexes. However, the Ministry of Education and Training maintain that girls perform better than boys in early grades</w:t>
      </w:r>
      <w:r w:rsidR="00B617F2">
        <w:t xml:space="preserve">. </w:t>
      </w:r>
    </w:p>
    <w:p w:rsidR="006300EE" w:rsidRPr="00640CFC" w:rsidRDefault="006300EE" w:rsidP="000721CB">
      <w:pPr>
        <w:pStyle w:val="BodyText"/>
      </w:pPr>
      <w:r w:rsidRPr="00640CFC">
        <w:t>Women feature in moderate numbers in the formal sector, although they are clustered at lower and middle levels. Based on the 2003 Labour Force Survey</w:t>
      </w:r>
      <w:r w:rsidR="000D28D1">
        <w:rPr>
          <w:rStyle w:val="FootnoteReference"/>
        </w:rPr>
        <w:footnoteReference w:id="20"/>
      </w:r>
      <w:r w:rsidRPr="00640CFC">
        <w:t>, the employment participation rate of women increased from 36.1</w:t>
      </w:r>
      <w:r w:rsidR="00B617F2">
        <w:t xml:space="preserve"> per cent</w:t>
      </w:r>
      <w:r w:rsidRPr="00640CFC">
        <w:t xml:space="preserve"> in 1990 to 52.7</w:t>
      </w:r>
      <w:r w:rsidR="00B617F2">
        <w:t xml:space="preserve"> per cent</w:t>
      </w:r>
      <w:r w:rsidRPr="00640CFC">
        <w:t xml:space="preserve"> in 2003. However, this lags behind </w:t>
      </w:r>
      <w:r w:rsidR="00277D66">
        <w:t>the</w:t>
      </w:r>
      <w:r w:rsidRPr="00640CFC">
        <w:t xml:space="preserve"> men with participation rates of 74.6</w:t>
      </w:r>
      <w:r w:rsidR="00B617F2">
        <w:t xml:space="preserve"> per cent</w:t>
      </w:r>
      <w:r w:rsidRPr="00640CFC">
        <w:t xml:space="preserve"> in 2003. Official adult unemployment levels are high,</w:t>
      </w:r>
      <w:r w:rsidR="00536938">
        <w:t xml:space="preserve"> </w:t>
      </w:r>
      <w:r w:rsidRPr="00640CFC">
        <w:t>with 3.6</w:t>
      </w:r>
      <w:r w:rsidR="00B617F2">
        <w:t xml:space="preserve"> per cent</w:t>
      </w:r>
      <w:r w:rsidRPr="00640CFC">
        <w:t xml:space="preserve"> of men and 7.4</w:t>
      </w:r>
      <w:r w:rsidR="00B617F2">
        <w:t xml:space="preserve"> per cent</w:t>
      </w:r>
      <w:r w:rsidRPr="00640CFC">
        <w:t xml:space="preserve"> of women unemployed</w:t>
      </w:r>
      <w:r w:rsidR="00B617F2">
        <w:t xml:space="preserve">. </w:t>
      </w:r>
      <w:r w:rsidRPr="00640CFC">
        <w:t xml:space="preserve">Women are concentrated in handicraft production, trade and education. </w:t>
      </w:r>
    </w:p>
    <w:p w:rsidR="006300EE" w:rsidRPr="00640CFC" w:rsidRDefault="006300EE" w:rsidP="000721CB">
      <w:pPr>
        <w:pStyle w:val="BodyText"/>
      </w:pPr>
      <w:r w:rsidRPr="00640CFC">
        <w:t xml:space="preserve">Women predominate the public sector, although </w:t>
      </w:r>
      <w:r w:rsidR="00277D66">
        <w:t>with</w:t>
      </w:r>
      <w:r w:rsidRPr="00640CFC">
        <w:t xml:space="preserve"> a low ratio at Executive Level 1 positions</w:t>
      </w:r>
      <w:r w:rsidR="00277D66">
        <w:t>—</w:t>
      </w:r>
      <w:r w:rsidRPr="00640CFC">
        <w:t xml:space="preserve">the decision-making rank. Women are progressing much faster and to higher ranks in the private sector, including </w:t>
      </w:r>
      <w:r w:rsidR="00277D66">
        <w:t xml:space="preserve">in </w:t>
      </w:r>
      <w:r w:rsidRPr="00640CFC">
        <w:t>leadership of large corporations such as the Reserve Bank of Tonga, Westpac Bank of Tonga, OSB Trading and Royco</w:t>
      </w:r>
      <w:r w:rsidR="000D78B7">
        <w:t xml:space="preserve"> Amalgamated Company</w:t>
      </w:r>
      <w:r w:rsidR="001872AB">
        <w:t>.</w:t>
      </w:r>
      <w:r w:rsidR="000D28D1">
        <w:rPr>
          <w:rStyle w:val="FootnoteReference"/>
        </w:rPr>
        <w:footnoteReference w:id="21"/>
      </w:r>
      <w:r w:rsidR="00B617F2">
        <w:t xml:space="preserve"> </w:t>
      </w:r>
      <w:r w:rsidRPr="00640CFC">
        <w:t>Women with disabilit</w:t>
      </w:r>
      <w:r w:rsidR="00277D66">
        <w:t>y</w:t>
      </w:r>
      <w:r w:rsidRPr="00640CFC">
        <w:t xml:space="preserve"> in Tonga experience a broad spectrum of exclusions. A recent study</w:t>
      </w:r>
      <w:r w:rsidR="00036CF3">
        <w:t>, for example,</w:t>
      </w:r>
      <w:r w:rsidRPr="00640CFC">
        <w:t xml:space="preserve"> highlighted their exclusion from village and church activities (intensified according to impairment types, especially intellectual) and the discriminatory treatment</w:t>
      </w:r>
      <w:r w:rsidR="00036CF3">
        <w:t xml:space="preserve"> women receive</w:t>
      </w:r>
      <w:r w:rsidRPr="00640CFC">
        <w:t xml:space="preserve"> when accessing medical services</w:t>
      </w:r>
      <w:r w:rsidR="001872AB">
        <w:t>.</w:t>
      </w:r>
      <w:r w:rsidR="000D28D1">
        <w:rPr>
          <w:rStyle w:val="FootnoteReference"/>
        </w:rPr>
        <w:footnoteReference w:id="22"/>
      </w:r>
      <w:r w:rsidRPr="00640CFC">
        <w:t xml:space="preserve"> Tonga has among the lowest level of female elected-representatives globally. The pervasiveness of violence against women and girls was confirmed in the 2012 National Study on Domestic Violence against Women in Tonga</w:t>
      </w:r>
      <w:r w:rsidR="000D28D1">
        <w:rPr>
          <w:rStyle w:val="FootnoteReference"/>
        </w:rPr>
        <w:footnoteReference w:id="23"/>
      </w:r>
      <w:r w:rsidR="00036CF3">
        <w:t>, which</w:t>
      </w:r>
      <w:r w:rsidRPr="00640CFC">
        <w:t xml:space="preserve"> reported that </w:t>
      </w:r>
      <w:r w:rsidR="00036CF3">
        <w:t>one</w:t>
      </w:r>
      <w:r w:rsidRPr="00640CFC">
        <w:t xml:space="preserve"> in </w:t>
      </w:r>
      <w:r w:rsidR="00036CF3">
        <w:t>three</w:t>
      </w:r>
      <w:r w:rsidRPr="00640CFC">
        <w:t xml:space="preserve"> ever-partnered women experienced physical violence and 68</w:t>
      </w:r>
      <w:r w:rsidR="00B617F2">
        <w:t xml:space="preserve"> per cent</w:t>
      </w:r>
      <w:r w:rsidRPr="00640CFC">
        <w:t xml:space="preserve"> had experienced physical violence by a person other than</w:t>
      </w:r>
      <w:r w:rsidR="00007E1F">
        <w:br/>
      </w:r>
      <w:r w:rsidRPr="00640CFC">
        <w:t xml:space="preserve">their partner. </w:t>
      </w:r>
    </w:p>
    <w:p w:rsidR="004F52E5" w:rsidRDefault="004F52E5" w:rsidP="002D1680">
      <w:pPr>
        <w:pStyle w:val="Heading1"/>
      </w:pPr>
      <w:r w:rsidRPr="00DB297F">
        <w:t xml:space="preserve">Program </w:t>
      </w:r>
      <w:r w:rsidRPr="002D1680">
        <w:t>objectives</w:t>
      </w:r>
      <w:r>
        <w:t xml:space="preserve"> and strategy</w:t>
      </w:r>
      <w:r w:rsidRPr="00180B19">
        <w:t xml:space="preserve"> </w:t>
      </w:r>
    </w:p>
    <w:p w:rsidR="001D141C" w:rsidRDefault="001D141C" w:rsidP="000721CB">
      <w:pPr>
        <w:pStyle w:val="BodyText"/>
      </w:pPr>
      <w:r>
        <w:t>Australia’s estimated $32 million in total official development assistance</w:t>
      </w:r>
      <w:r>
        <w:rPr>
          <w:rStyle w:val="FootnoteReference"/>
        </w:rPr>
        <w:footnoteReference w:id="24"/>
      </w:r>
      <w:r>
        <w:t xml:space="preserve"> to Tonga in 2012</w:t>
      </w:r>
      <w:r w:rsidR="001872AB">
        <w:t>–</w:t>
      </w:r>
      <w:r>
        <w:t xml:space="preserve">2013 represents approximately 22 per cent of Tonga’s </w:t>
      </w:r>
      <w:r w:rsidR="00B54560">
        <w:t>national budget</w:t>
      </w:r>
      <w:r w:rsidR="001872AB">
        <w:t>.</w:t>
      </w:r>
      <w:r>
        <w:rPr>
          <w:rStyle w:val="FootnoteReference"/>
        </w:rPr>
        <w:footnoteReference w:id="25"/>
      </w:r>
      <w:r w:rsidR="00B54560">
        <w:t xml:space="preserve"> Australia remains Tonga’s largest grant aid donor</w:t>
      </w:r>
      <w:r w:rsidR="00B617F2">
        <w:t xml:space="preserve">. </w:t>
      </w:r>
    </w:p>
    <w:p w:rsidR="001872AB" w:rsidRDefault="001D139B" w:rsidP="000721CB">
      <w:pPr>
        <w:pStyle w:val="BodyText"/>
      </w:pPr>
      <w:r>
        <w:lastRenderedPageBreak/>
        <w:t xml:space="preserve">The focus of Australia’s aid program remains highly relevant. </w:t>
      </w:r>
      <w:r w:rsidR="00DB297F">
        <w:t>It</w:t>
      </w:r>
      <w:r w:rsidR="00310C11">
        <w:t xml:space="preserve"> is delivered under the Australia</w:t>
      </w:r>
      <w:r w:rsidR="001872AB">
        <w:t xml:space="preserve"> – </w:t>
      </w:r>
      <w:r w:rsidR="00310C11">
        <w:t xml:space="preserve">Tonga Partnership for Development which includes support for four priority outcomes: </w:t>
      </w:r>
    </w:p>
    <w:p w:rsidR="001872AB" w:rsidRPr="00EB076D" w:rsidRDefault="00310C11" w:rsidP="000721CB">
      <w:pPr>
        <w:pStyle w:val="ListNumber"/>
      </w:pPr>
      <w:r w:rsidRPr="00EB076D">
        <w:t>more efficient and effective public sector</w:t>
      </w:r>
    </w:p>
    <w:p w:rsidR="001872AB" w:rsidRDefault="00310C11" w:rsidP="000721CB">
      <w:pPr>
        <w:pStyle w:val="ListNumber"/>
      </w:pPr>
      <w:r w:rsidRPr="00EB076D">
        <w:t>improved health</w:t>
      </w:r>
    </w:p>
    <w:p w:rsidR="001872AB" w:rsidRDefault="00310C11" w:rsidP="000721CB">
      <w:pPr>
        <w:pStyle w:val="ListNumber"/>
      </w:pPr>
      <w:r w:rsidRPr="00EB076D">
        <w:t>improved technical and vocational skills</w:t>
      </w:r>
    </w:p>
    <w:p w:rsidR="001872AB" w:rsidRDefault="00310C11" w:rsidP="000721CB">
      <w:pPr>
        <w:pStyle w:val="ListNumber"/>
      </w:pPr>
      <w:r w:rsidRPr="00EB076D">
        <w:t>develop</w:t>
      </w:r>
      <w:r w:rsidR="000F70C6">
        <w:t>ment of</w:t>
      </w:r>
      <w:r w:rsidRPr="00EB076D">
        <w:t xml:space="preserve"> infrastructure to improve the everyday lives of the people</w:t>
      </w:r>
      <w:r w:rsidR="00B617F2" w:rsidRPr="00EB076D">
        <w:t xml:space="preserve">. </w:t>
      </w:r>
    </w:p>
    <w:p w:rsidR="001D139B" w:rsidRPr="00EB076D" w:rsidRDefault="001D139B" w:rsidP="000721CB">
      <w:pPr>
        <w:pStyle w:val="BodyText"/>
      </w:pPr>
      <w:r w:rsidRPr="00EB076D">
        <w:t xml:space="preserve">The </w:t>
      </w:r>
      <w:r w:rsidR="00DB297F">
        <w:t>P</w:t>
      </w:r>
      <w:r w:rsidRPr="00EB076D">
        <w:t>artnership</w:t>
      </w:r>
      <w:r w:rsidR="00DB297F">
        <w:t xml:space="preserve"> for Development</w:t>
      </w:r>
      <w:r w:rsidRPr="00EB076D">
        <w:t xml:space="preserve"> priorities are closely aligned to Tonga’s development priorities as articulated in the</w:t>
      </w:r>
      <w:r w:rsidR="00DB297F">
        <w:t xml:space="preserve"> </w:t>
      </w:r>
      <w:r w:rsidRPr="00EB076D">
        <w:t xml:space="preserve">Tonga Strategic Development Framework which focuses on </w:t>
      </w:r>
      <w:r w:rsidR="00DB297F">
        <w:t>the country’s</w:t>
      </w:r>
      <w:r w:rsidR="00DB297F" w:rsidRPr="00EB076D">
        <w:t xml:space="preserve"> </w:t>
      </w:r>
      <w:r w:rsidRPr="00EB076D">
        <w:t>key development challenges</w:t>
      </w:r>
      <w:r w:rsidR="00B617F2" w:rsidRPr="00EB076D">
        <w:t xml:space="preserve">. </w:t>
      </w:r>
    </w:p>
    <w:p w:rsidR="00671A2D" w:rsidRDefault="00465ADD" w:rsidP="000721CB">
      <w:pPr>
        <w:pStyle w:val="BodyText"/>
      </w:pPr>
      <w:r>
        <w:t>In supporting these priority outcomes, Australia</w:t>
      </w:r>
      <w:r w:rsidR="007457FB">
        <w:t>n assistance has been responsive to changes brought about by domestically driven reforms</w:t>
      </w:r>
      <w:r w:rsidR="00B617F2">
        <w:t xml:space="preserve">. </w:t>
      </w:r>
      <w:r w:rsidR="007457FB">
        <w:t>It has also been proactive in considering ways of providing support when results are not being achieved</w:t>
      </w:r>
      <w:r w:rsidR="00B617F2">
        <w:t xml:space="preserve">. </w:t>
      </w:r>
      <w:r w:rsidR="001D141C">
        <w:t>For example, a</w:t>
      </w:r>
      <w:r w:rsidR="007457FB">
        <w:t xml:space="preserve">t the October 2012 annual partnership talks, Australia and Tonga agreed to </w:t>
      </w:r>
      <w:r w:rsidR="00771143">
        <w:t xml:space="preserve">conclude the current phase of technical and vocational training support, </w:t>
      </w:r>
      <w:r w:rsidR="00941B0C">
        <w:t xml:space="preserve">which was </w:t>
      </w:r>
      <w:r w:rsidR="00771143">
        <w:t>not achieving intended results</w:t>
      </w:r>
      <w:r w:rsidR="00D13CB0">
        <w:rPr>
          <w:rStyle w:val="FootnoteReference"/>
        </w:rPr>
        <w:footnoteReference w:id="26"/>
      </w:r>
      <w:r w:rsidR="00771143">
        <w:t xml:space="preserve">, and develop new options </w:t>
      </w:r>
      <w:r w:rsidR="00DB297F">
        <w:t xml:space="preserve">for </w:t>
      </w:r>
      <w:r w:rsidR="00771143">
        <w:t>support</w:t>
      </w:r>
      <w:r w:rsidR="00DB297F">
        <w:t>ing</w:t>
      </w:r>
      <w:r w:rsidR="00771143">
        <w:t xml:space="preserve"> the achievement of this priority outcome</w:t>
      </w:r>
      <w:r w:rsidR="00B617F2">
        <w:t xml:space="preserve">. </w:t>
      </w:r>
    </w:p>
    <w:p w:rsidR="00771143" w:rsidRDefault="00671A2D" w:rsidP="000721CB">
      <w:pPr>
        <w:pStyle w:val="BodyText"/>
      </w:pPr>
      <w:r>
        <w:t>A</w:t>
      </w:r>
      <w:r w:rsidR="00DB297F">
        <w:t>lso a</w:t>
      </w:r>
      <w:r>
        <w:t>t the annual talks, the two governments agreed</w:t>
      </w:r>
      <w:r w:rsidR="00DB297F">
        <w:t xml:space="preserve"> on</w:t>
      </w:r>
      <w:r>
        <w:t xml:space="preserve"> new partnership implementation schedules for 2012</w:t>
      </w:r>
      <w:r w:rsidR="003101AE">
        <w:t>–</w:t>
      </w:r>
      <w:r>
        <w:t>13</w:t>
      </w:r>
      <w:r w:rsidR="00DB297F">
        <w:t>, setting</w:t>
      </w:r>
      <w:r>
        <w:t xml:space="preserve"> </w:t>
      </w:r>
      <w:r w:rsidR="0054237C">
        <w:t xml:space="preserve">annual </w:t>
      </w:r>
      <w:r>
        <w:t>targets for health and infrastructure outcomes</w:t>
      </w:r>
      <w:r w:rsidR="00B617F2">
        <w:t xml:space="preserve">. </w:t>
      </w:r>
      <w:r>
        <w:t xml:space="preserve">It was also agreed </w:t>
      </w:r>
      <w:r w:rsidR="00B33BF8">
        <w:t xml:space="preserve">that </w:t>
      </w:r>
      <w:r>
        <w:t xml:space="preserve">implementation schedules for education and skills development, and public sector and economic reform would be developed for signing at the 2013 </w:t>
      </w:r>
      <w:r w:rsidR="00FA3695">
        <w:t>P</w:t>
      </w:r>
      <w:r>
        <w:t xml:space="preserve">artnership </w:t>
      </w:r>
      <w:r w:rsidR="00FA3695">
        <w:t>T</w:t>
      </w:r>
      <w:r>
        <w:t>alks</w:t>
      </w:r>
      <w:r w:rsidR="00B617F2">
        <w:t xml:space="preserve">. </w:t>
      </w:r>
    </w:p>
    <w:p w:rsidR="008B4B10" w:rsidRDefault="008B4B10" w:rsidP="000721CB">
      <w:pPr>
        <w:pStyle w:val="BodyText"/>
      </w:pPr>
      <w:r>
        <w:t xml:space="preserve">Throughout 2012 and the first half of 2013, Australia worked closely with implementing agencies in Tonga to </w:t>
      </w:r>
      <w:r w:rsidR="001D141C">
        <w:t>develop a new four-year road map (</w:t>
      </w:r>
      <w:r w:rsidR="00527090">
        <w:t>delivery strategy</w:t>
      </w:r>
      <w:r w:rsidR="001D141C">
        <w:t>) t</w:t>
      </w:r>
      <w:r w:rsidR="00DB297F">
        <w:t>o</w:t>
      </w:r>
      <w:r w:rsidR="001D141C">
        <w:t xml:space="preserve"> improve</w:t>
      </w:r>
      <w:r>
        <w:t xml:space="preserve"> coherence and effectiveness of Australia</w:t>
      </w:r>
      <w:r w:rsidR="001D141C">
        <w:t>’s</w:t>
      </w:r>
      <w:r>
        <w:t xml:space="preserve"> aid for </w:t>
      </w:r>
      <w:r w:rsidR="00527090">
        <w:t xml:space="preserve">economic and public sector reforms and </w:t>
      </w:r>
      <w:r w:rsidR="001D141C">
        <w:t xml:space="preserve">improved </w:t>
      </w:r>
      <w:r w:rsidR="00527090">
        <w:t xml:space="preserve">governance. </w:t>
      </w:r>
    </w:p>
    <w:p w:rsidR="00797022" w:rsidRDefault="0080700A" w:rsidP="000721CB">
      <w:pPr>
        <w:pStyle w:val="BodyText"/>
      </w:pPr>
      <w:r>
        <w:t xml:space="preserve">A high proportion of the </w:t>
      </w:r>
      <w:r w:rsidR="00BE7082">
        <w:t>Australian</w:t>
      </w:r>
      <w:r>
        <w:t xml:space="preserve">-managed bilateral aid program to Tonga (approximately </w:t>
      </w:r>
      <w:r w:rsidR="00A04972">
        <w:t>62</w:t>
      </w:r>
      <w:r>
        <w:t xml:space="preserve"> per cent) is provided </w:t>
      </w:r>
      <w:r w:rsidR="00797022">
        <w:t xml:space="preserve">directly to </w:t>
      </w:r>
      <w:r w:rsidR="00DB297F">
        <w:t xml:space="preserve">the government </w:t>
      </w:r>
      <w:r w:rsidR="00797022">
        <w:t>to manage through its financial management and reporting systems</w:t>
      </w:r>
      <w:r w:rsidR="001D141C">
        <w:t>, with additional fiduciary safeguards where required</w:t>
      </w:r>
      <w:r w:rsidR="00B617F2">
        <w:t xml:space="preserve">. </w:t>
      </w:r>
    </w:p>
    <w:p w:rsidR="007D1A22" w:rsidRDefault="007D1A22">
      <w:pPr>
        <w:spacing w:after="200" w:line="276" w:lineRule="auto"/>
        <w:rPr>
          <w:rFonts w:ascii="Arial" w:eastAsia="Times New Roman" w:hAnsi="Arial" w:cs="Arial"/>
          <w:color w:val="7E6D5F"/>
          <w:szCs w:val="19"/>
        </w:rPr>
      </w:pPr>
      <w:r>
        <w:br w:type="page"/>
      </w:r>
    </w:p>
    <w:p w:rsidR="00261A43" w:rsidRPr="00681663" w:rsidRDefault="00261A43" w:rsidP="00261A43">
      <w:pPr>
        <w:pStyle w:val="Caption"/>
      </w:pPr>
      <w:r w:rsidRPr="00681663">
        <w:lastRenderedPageBreak/>
        <w:t xml:space="preserve">Table </w:t>
      </w:r>
      <w:r>
        <w:t>2</w:t>
      </w:r>
      <w:r w:rsidRPr="00681663">
        <w:t>: Development partner funding Tonga in 201</w:t>
      </w:r>
      <w:r>
        <w:t>2–</w:t>
      </w:r>
      <w:r w:rsidRPr="00681663">
        <w:t>1</w:t>
      </w:r>
      <w:r>
        <w:t>3</w:t>
      </w:r>
    </w:p>
    <w:tbl>
      <w:tblPr>
        <w:tblStyle w:val="APPR"/>
        <w:tblW w:w="5000" w:type="pct"/>
        <w:tblLayout w:type="fixed"/>
        <w:tblLook w:val="0000" w:firstRow="0" w:lastRow="0" w:firstColumn="0" w:lastColumn="0" w:noHBand="0" w:noVBand="0"/>
      </w:tblPr>
      <w:tblGrid>
        <w:gridCol w:w="2151"/>
        <w:gridCol w:w="2152"/>
        <w:gridCol w:w="2151"/>
        <w:gridCol w:w="2152"/>
      </w:tblGrid>
      <w:tr w:rsidR="00261A43" w:rsidRPr="00681663" w:rsidTr="00261A43">
        <w:trPr>
          <w:cnfStyle w:val="000000010000" w:firstRow="0" w:lastRow="0" w:firstColumn="0" w:lastColumn="0" w:oddVBand="0" w:evenVBand="0" w:oddHBand="0" w:evenHBand="1" w:firstRowFirstColumn="0" w:firstRowLastColumn="0" w:lastRowFirstColumn="0" w:lastRowLastColumn="0"/>
        </w:trPr>
        <w:tc>
          <w:tcPr>
            <w:tcW w:w="2095" w:type="dxa"/>
          </w:tcPr>
          <w:p w:rsidR="00261A43" w:rsidRPr="00681663" w:rsidRDefault="00261A43" w:rsidP="00261A43">
            <w:pPr>
              <w:pStyle w:val="TableTextColumnHeading"/>
            </w:pPr>
            <w:r w:rsidRPr="008E5139">
              <w:t>Bilateral</w:t>
            </w:r>
          </w:p>
        </w:tc>
        <w:tc>
          <w:tcPr>
            <w:tcW w:w="2110" w:type="dxa"/>
          </w:tcPr>
          <w:p w:rsidR="00261A43" w:rsidRPr="00681663" w:rsidRDefault="00261A43" w:rsidP="00261A43">
            <w:pPr>
              <w:pStyle w:val="TableTextColumnHeading"/>
            </w:pPr>
            <w:r w:rsidRPr="008E5139">
              <w:t>2012–13</w:t>
            </w:r>
            <w:r>
              <w:t xml:space="preserve"> A$ million</w:t>
            </w:r>
          </w:p>
        </w:tc>
        <w:tc>
          <w:tcPr>
            <w:tcW w:w="2109" w:type="dxa"/>
          </w:tcPr>
          <w:p w:rsidR="00261A43" w:rsidRPr="00681663" w:rsidRDefault="00261A43" w:rsidP="00261A43">
            <w:pPr>
              <w:pStyle w:val="TableTextColumnHeading"/>
            </w:pPr>
            <w:r w:rsidRPr="008E5139">
              <w:t>Multilateral</w:t>
            </w:r>
            <w:r>
              <w:t xml:space="preserve"> organisation</w:t>
            </w:r>
          </w:p>
        </w:tc>
        <w:tc>
          <w:tcPr>
            <w:tcW w:w="2096" w:type="dxa"/>
          </w:tcPr>
          <w:p w:rsidR="00261A43" w:rsidRPr="00681663" w:rsidRDefault="00261A43" w:rsidP="00261A43">
            <w:pPr>
              <w:pStyle w:val="TableTextColumnHeading"/>
            </w:pPr>
            <w:r w:rsidRPr="008E5139">
              <w:t>2012–13</w:t>
            </w:r>
            <w:r>
              <w:t xml:space="preserve"> A$ million</w:t>
            </w:r>
          </w:p>
        </w:tc>
      </w:tr>
      <w:tr w:rsidR="00261A43" w:rsidRPr="009F372B" w:rsidTr="00261A43">
        <w:trPr>
          <w:cnfStyle w:val="000000010000" w:firstRow="0" w:lastRow="0" w:firstColumn="0" w:lastColumn="0" w:oddVBand="0" w:evenVBand="0" w:oddHBand="0" w:evenHBand="1" w:firstRowFirstColumn="0" w:firstRowLastColumn="0" w:lastRowFirstColumn="0" w:lastRowLastColumn="0"/>
        </w:trPr>
        <w:tc>
          <w:tcPr>
            <w:tcW w:w="2095" w:type="dxa"/>
          </w:tcPr>
          <w:p w:rsidR="00261A43" w:rsidRPr="00681663" w:rsidRDefault="00261A43" w:rsidP="00261A43">
            <w:pPr>
              <w:pStyle w:val="TableTextEntries"/>
            </w:pPr>
            <w:r w:rsidRPr="008E5139">
              <w:t>Australia</w:t>
            </w:r>
          </w:p>
        </w:tc>
        <w:tc>
          <w:tcPr>
            <w:tcW w:w="2110" w:type="dxa"/>
          </w:tcPr>
          <w:p w:rsidR="00261A43" w:rsidRPr="00681663" w:rsidRDefault="00261A43" w:rsidP="00261A43">
            <w:pPr>
              <w:pStyle w:val="TableTextEntries"/>
            </w:pPr>
            <w:r>
              <w:t>32</w:t>
            </w:r>
          </w:p>
        </w:tc>
        <w:tc>
          <w:tcPr>
            <w:tcW w:w="2109" w:type="dxa"/>
          </w:tcPr>
          <w:p w:rsidR="00261A43" w:rsidRPr="00681663" w:rsidRDefault="00261A43" w:rsidP="00261A43">
            <w:pPr>
              <w:pStyle w:val="TableTextEntries"/>
            </w:pPr>
            <w:r w:rsidRPr="008E5139">
              <w:t>World Bank</w:t>
            </w:r>
          </w:p>
        </w:tc>
        <w:tc>
          <w:tcPr>
            <w:tcW w:w="2096" w:type="dxa"/>
          </w:tcPr>
          <w:p w:rsidR="00261A43" w:rsidRPr="00681663" w:rsidRDefault="00261A43" w:rsidP="00261A43">
            <w:pPr>
              <w:pStyle w:val="TableTextEntries"/>
            </w:pPr>
            <w:r w:rsidRPr="008E5139">
              <w:t>44.37</w:t>
            </w:r>
          </w:p>
        </w:tc>
      </w:tr>
      <w:tr w:rsidR="00261A43" w:rsidRPr="00681663" w:rsidTr="00261A43">
        <w:trPr>
          <w:cnfStyle w:val="000000010000" w:firstRow="0" w:lastRow="0" w:firstColumn="0" w:lastColumn="0" w:oddVBand="0" w:evenVBand="0" w:oddHBand="0" w:evenHBand="1" w:firstRowFirstColumn="0" w:firstRowLastColumn="0" w:lastRowFirstColumn="0" w:lastRowLastColumn="0"/>
        </w:trPr>
        <w:tc>
          <w:tcPr>
            <w:tcW w:w="2095" w:type="dxa"/>
          </w:tcPr>
          <w:p w:rsidR="00261A43" w:rsidRPr="00681663" w:rsidRDefault="00261A43" w:rsidP="00261A43">
            <w:pPr>
              <w:pStyle w:val="TableTextEntries"/>
            </w:pPr>
            <w:r w:rsidRPr="008E5139">
              <w:t>China</w:t>
            </w:r>
          </w:p>
        </w:tc>
        <w:tc>
          <w:tcPr>
            <w:tcW w:w="2110" w:type="dxa"/>
          </w:tcPr>
          <w:p w:rsidR="00261A43" w:rsidRPr="00681663" w:rsidRDefault="00261A43" w:rsidP="00261A43">
            <w:pPr>
              <w:pStyle w:val="TableTextEntries"/>
            </w:pPr>
            <w:r w:rsidRPr="008E5139">
              <w:t>14.23</w:t>
            </w:r>
          </w:p>
        </w:tc>
        <w:tc>
          <w:tcPr>
            <w:tcW w:w="2109" w:type="dxa"/>
          </w:tcPr>
          <w:p w:rsidR="00261A43" w:rsidRPr="00681663" w:rsidRDefault="00261A43" w:rsidP="00261A43">
            <w:pPr>
              <w:pStyle w:val="TableTextEntries"/>
            </w:pPr>
            <w:r w:rsidRPr="008E5139">
              <w:t>European Union</w:t>
            </w:r>
          </w:p>
        </w:tc>
        <w:tc>
          <w:tcPr>
            <w:tcW w:w="2096" w:type="dxa"/>
          </w:tcPr>
          <w:p w:rsidR="00261A43" w:rsidRPr="00681663" w:rsidRDefault="00261A43" w:rsidP="00261A43">
            <w:pPr>
              <w:pStyle w:val="TableTextEntries"/>
            </w:pPr>
            <w:r w:rsidRPr="008E5139">
              <w:t>2.52</w:t>
            </w:r>
          </w:p>
        </w:tc>
      </w:tr>
      <w:tr w:rsidR="00261A43" w:rsidRPr="00681663" w:rsidTr="00261A43">
        <w:trPr>
          <w:cnfStyle w:val="000000010000" w:firstRow="0" w:lastRow="0" w:firstColumn="0" w:lastColumn="0" w:oddVBand="0" w:evenVBand="0" w:oddHBand="0" w:evenHBand="1" w:firstRowFirstColumn="0" w:firstRowLastColumn="0" w:lastRowFirstColumn="0" w:lastRowLastColumn="0"/>
        </w:trPr>
        <w:tc>
          <w:tcPr>
            <w:tcW w:w="2095" w:type="dxa"/>
          </w:tcPr>
          <w:p w:rsidR="00261A43" w:rsidRPr="00681663" w:rsidRDefault="00261A43" w:rsidP="00261A43">
            <w:pPr>
              <w:pStyle w:val="TableTextEntries"/>
            </w:pPr>
            <w:r w:rsidRPr="008E5139">
              <w:t>New Zealand</w:t>
            </w:r>
          </w:p>
        </w:tc>
        <w:tc>
          <w:tcPr>
            <w:tcW w:w="2110" w:type="dxa"/>
          </w:tcPr>
          <w:p w:rsidR="00261A43" w:rsidRPr="00681663" w:rsidRDefault="00261A43" w:rsidP="00261A43">
            <w:pPr>
              <w:pStyle w:val="TableTextEntries"/>
            </w:pPr>
            <w:r w:rsidRPr="008E5139">
              <w:t>14.87</w:t>
            </w:r>
          </w:p>
        </w:tc>
        <w:tc>
          <w:tcPr>
            <w:tcW w:w="2109" w:type="dxa"/>
          </w:tcPr>
          <w:p w:rsidR="00261A43" w:rsidRPr="00681663" w:rsidRDefault="00261A43" w:rsidP="00261A43">
            <w:pPr>
              <w:pStyle w:val="TableTextEntries"/>
            </w:pPr>
            <w:r w:rsidRPr="008E5139">
              <w:t>A</w:t>
            </w:r>
            <w:r>
              <w:t>sian Development Bank</w:t>
            </w:r>
            <w:r w:rsidRPr="008E5139">
              <w:t xml:space="preserve"> </w:t>
            </w:r>
          </w:p>
        </w:tc>
        <w:tc>
          <w:tcPr>
            <w:tcW w:w="2096" w:type="dxa"/>
          </w:tcPr>
          <w:p w:rsidR="00261A43" w:rsidRPr="00681663" w:rsidRDefault="00261A43" w:rsidP="00261A43">
            <w:pPr>
              <w:pStyle w:val="TableTextEntries"/>
            </w:pPr>
            <w:r w:rsidRPr="008E5139">
              <w:t>23.25</w:t>
            </w:r>
          </w:p>
        </w:tc>
      </w:tr>
      <w:tr w:rsidR="00261A43" w:rsidRPr="009F372B" w:rsidTr="00261A43">
        <w:trPr>
          <w:cnfStyle w:val="000000010000" w:firstRow="0" w:lastRow="0" w:firstColumn="0" w:lastColumn="0" w:oddVBand="0" w:evenVBand="0" w:oddHBand="0" w:evenHBand="1" w:firstRowFirstColumn="0" w:firstRowLastColumn="0" w:lastRowFirstColumn="0" w:lastRowLastColumn="0"/>
        </w:trPr>
        <w:tc>
          <w:tcPr>
            <w:tcW w:w="2095" w:type="dxa"/>
          </w:tcPr>
          <w:p w:rsidR="00261A43" w:rsidRPr="00681663" w:rsidRDefault="00261A43" w:rsidP="00261A43">
            <w:pPr>
              <w:pStyle w:val="TableTextEntries"/>
            </w:pPr>
            <w:r w:rsidRPr="008E5139">
              <w:t>Japan</w:t>
            </w:r>
          </w:p>
        </w:tc>
        <w:tc>
          <w:tcPr>
            <w:tcW w:w="2110" w:type="dxa"/>
          </w:tcPr>
          <w:p w:rsidR="00261A43" w:rsidRPr="00681663" w:rsidRDefault="00261A43" w:rsidP="00261A43">
            <w:pPr>
              <w:pStyle w:val="TableTextEntries"/>
            </w:pPr>
            <w:r w:rsidRPr="008E5139">
              <w:t>11</w:t>
            </w:r>
          </w:p>
        </w:tc>
        <w:tc>
          <w:tcPr>
            <w:tcW w:w="2109" w:type="dxa"/>
          </w:tcPr>
          <w:p w:rsidR="00261A43" w:rsidRPr="009A0BB4" w:rsidRDefault="00261A43" w:rsidP="00261A43">
            <w:pPr>
              <w:pStyle w:val="TableTextEntries"/>
            </w:pPr>
            <w:r w:rsidRPr="008E5139">
              <w:t xml:space="preserve">United Nations agencies </w:t>
            </w:r>
          </w:p>
        </w:tc>
        <w:tc>
          <w:tcPr>
            <w:tcW w:w="2096" w:type="dxa"/>
          </w:tcPr>
          <w:p w:rsidR="00261A43" w:rsidRPr="009A0BB4" w:rsidRDefault="00261A43" w:rsidP="00261A43">
            <w:pPr>
              <w:pStyle w:val="TableTextEntries"/>
            </w:pPr>
            <w:r w:rsidRPr="008E5139">
              <w:t>1.09</w:t>
            </w:r>
          </w:p>
        </w:tc>
      </w:tr>
    </w:tbl>
    <w:p w:rsidR="00261A43" w:rsidRPr="00681663" w:rsidRDefault="00261A43" w:rsidP="00261A43">
      <w:pPr>
        <w:pStyle w:val="Note"/>
      </w:pPr>
      <w:r w:rsidRPr="00681663">
        <w:t>Note: These figures include in-kind funding, grants and loans. Figures for the World Bank and A</w:t>
      </w:r>
      <w:r>
        <w:t xml:space="preserve">sian Development Bank </w:t>
      </w:r>
      <w:r w:rsidRPr="00681663">
        <w:t>include Australian funding.</w:t>
      </w:r>
      <w:r>
        <w:t xml:space="preserve"> </w:t>
      </w:r>
    </w:p>
    <w:p w:rsidR="00261A43" w:rsidRPr="000D64D1" w:rsidRDefault="00261A43" w:rsidP="00261A43">
      <w:pPr>
        <w:pStyle w:val="Note"/>
      </w:pPr>
      <w:r w:rsidRPr="00681663">
        <w:t>Source:</w:t>
      </w:r>
      <w:r>
        <w:t xml:space="preserve"> Budget Statement 2012–2013: </w:t>
      </w:r>
      <w:r>
        <w:rPr>
          <w:lang w:val="en-NZ"/>
        </w:rPr>
        <w:t xml:space="preserve">Government of Tonga </w:t>
      </w:r>
      <w:r w:rsidRPr="002A0AEF">
        <w:rPr>
          <w:i/>
          <w:lang w:val="en-NZ"/>
        </w:rPr>
        <w:t>Creating Opportunity in Extraordinary Times</w:t>
      </w:r>
      <w:r>
        <w:rPr>
          <w:lang w:val="en-NZ"/>
        </w:rPr>
        <w:t xml:space="preserve">, June 2012. </w:t>
      </w:r>
      <w:r>
        <w:t xml:space="preserve"> </w:t>
      </w:r>
    </w:p>
    <w:p w:rsidR="001D141C" w:rsidRPr="0053348B" w:rsidRDefault="001D141C" w:rsidP="002D1680">
      <w:pPr>
        <w:pStyle w:val="Heading1"/>
      </w:pPr>
      <w:r>
        <w:t xml:space="preserve">Donor </w:t>
      </w:r>
      <w:r w:rsidR="003101AE">
        <w:t>c</w:t>
      </w:r>
      <w:r>
        <w:t>oordination</w:t>
      </w:r>
      <w:r w:rsidRPr="00180B19">
        <w:t xml:space="preserve"> </w:t>
      </w:r>
    </w:p>
    <w:p w:rsidR="001D141C" w:rsidRDefault="00AF39A0" w:rsidP="000721CB">
      <w:pPr>
        <w:pStyle w:val="BodyText"/>
      </w:pPr>
      <w:r w:rsidRPr="002A768F">
        <w:t>Australia foster</w:t>
      </w:r>
      <w:r w:rsidR="002A768F" w:rsidRPr="002A768F">
        <w:t xml:space="preserve">s </w:t>
      </w:r>
      <w:r w:rsidRPr="002A768F">
        <w:t xml:space="preserve">good donor coordination to maximise development benefits for Tonga. Australia’s promotion of </w:t>
      </w:r>
      <w:r w:rsidR="009A629D">
        <w:t>such</w:t>
      </w:r>
      <w:r w:rsidRPr="002A768F">
        <w:t xml:space="preserve"> efforts is particularly important in Tonga where there is a limited donor presence and the Tongan public service’s ability to coordinate donors is limited by capacity and human resource constraints</w:t>
      </w:r>
      <w:r w:rsidR="00B617F2">
        <w:t xml:space="preserve">. </w:t>
      </w:r>
      <w:r w:rsidRPr="002A768F">
        <w:t>Donor coordination and harmonisation ha</w:t>
      </w:r>
      <w:r w:rsidR="00941B0C">
        <w:t xml:space="preserve">ve </w:t>
      </w:r>
      <w:r w:rsidRPr="002A768F">
        <w:t>been particularly successful</w:t>
      </w:r>
      <w:r w:rsidR="00B3445D" w:rsidRPr="002A768F">
        <w:t xml:space="preserve"> in</w:t>
      </w:r>
      <w:r w:rsidR="00B3445D" w:rsidRPr="002121A4">
        <w:t xml:space="preserve"> economic and public sector reform sector</w:t>
      </w:r>
      <w:r w:rsidR="001F0D5C">
        <w:t>s</w:t>
      </w:r>
      <w:r w:rsidR="00B3445D" w:rsidRPr="002121A4">
        <w:t xml:space="preserve">. </w:t>
      </w:r>
    </w:p>
    <w:p w:rsidR="001D141C" w:rsidRDefault="00B3445D" w:rsidP="000721CB">
      <w:pPr>
        <w:pStyle w:val="BodyText"/>
      </w:pPr>
      <w:r w:rsidRPr="002121A4">
        <w:t xml:space="preserve">Since 2011, </w:t>
      </w:r>
      <w:r w:rsidR="0064627D">
        <w:t xml:space="preserve">Australia </w:t>
      </w:r>
      <w:r w:rsidRPr="002121A4">
        <w:t xml:space="preserve">has provided </w:t>
      </w:r>
      <w:r w:rsidR="00AB1127">
        <w:t xml:space="preserve">technical </w:t>
      </w:r>
      <w:r w:rsidRPr="002121A4">
        <w:t xml:space="preserve">support </w:t>
      </w:r>
      <w:r w:rsidR="000D78B7">
        <w:t xml:space="preserve">to, and actively engaged in economic reform policy dialogue around, </w:t>
      </w:r>
      <w:r w:rsidRPr="002121A4">
        <w:t xml:space="preserve">a </w:t>
      </w:r>
      <w:r w:rsidR="001D141C">
        <w:t>J</w:t>
      </w:r>
      <w:r w:rsidRPr="002121A4">
        <w:t>oint Policy Reform Matrix</w:t>
      </w:r>
      <w:r w:rsidR="009A629D">
        <w:t xml:space="preserve"> program</w:t>
      </w:r>
      <w:r w:rsidR="001D141C">
        <w:t xml:space="preserve"> </w:t>
      </w:r>
      <w:r w:rsidRPr="002121A4">
        <w:t>negotiated on behalf of donor partners by the World Bank with the Government of Tonga</w:t>
      </w:r>
      <w:r w:rsidR="00B617F2">
        <w:t>.</w:t>
      </w:r>
      <w:r w:rsidR="009A629D">
        <w:t xml:space="preserve"> With the matrix, </w:t>
      </w:r>
      <w:r w:rsidR="001D141C" w:rsidRPr="002A768F">
        <w:t>Australia is working alongside the</w:t>
      </w:r>
      <w:r w:rsidR="009A629D">
        <w:t xml:space="preserve"> A</w:t>
      </w:r>
      <w:r w:rsidR="00941B0C">
        <w:t>sian Development Bank</w:t>
      </w:r>
      <w:r w:rsidR="009A629D">
        <w:t>,</w:t>
      </w:r>
      <w:r w:rsidR="001D141C" w:rsidRPr="002A768F">
        <w:t xml:space="preserve"> World Bank and the International Monetary Fund’s Pacific Financial Technical Assistance Centre to support Tonga </w:t>
      </w:r>
      <w:r w:rsidR="009A629D">
        <w:t xml:space="preserve">to </w:t>
      </w:r>
      <w:r w:rsidR="001D141C" w:rsidRPr="002A768F">
        <w:t>strengthen its management of public finances and help it maximise the effectiveness of</w:t>
      </w:r>
      <w:r w:rsidR="001D141C">
        <w:t xml:space="preserve"> all</w:t>
      </w:r>
      <w:r w:rsidR="009A629D">
        <w:t xml:space="preserve"> of</w:t>
      </w:r>
      <w:r w:rsidR="001D141C">
        <w:t xml:space="preserve"> its development resources.</w:t>
      </w:r>
    </w:p>
    <w:p w:rsidR="00AF39A0" w:rsidRPr="002A768F" w:rsidRDefault="00B3445D" w:rsidP="000721CB">
      <w:pPr>
        <w:pStyle w:val="BodyText"/>
      </w:pPr>
      <w:r>
        <w:t>Throughout 2012 and</w:t>
      </w:r>
      <w:r w:rsidR="009A629D">
        <w:t xml:space="preserve"> continuing throughout</w:t>
      </w:r>
      <w:r>
        <w:t xml:space="preserve"> 2013</w:t>
      </w:r>
      <w:r w:rsidR="009A629D">
        <w:t>,</w:t>
      </w:r>
      <w:r>
        <w:t xml:space="preserve"> t</w:t>
      </w:r>
      <w:r w:rsidRPr="002121A4">
        <w:t xml:space="preserve">he </w:t>
      </w:r>
      <w:r w:rsidR="001F0D5C">
        <w:t xml:space="preserve">Joint </w:t>
      </w:r>
      <w:r w:rsidRPr="002121A4">
        <w:t xml:space="preserve">Policy Reform Matrix has provided strategic direction for Australian engagement in the </w:t>
      </w:r>
      <w:r w:rsidR="00AB1127">
        <w:t xml:space="preserve">economic and financial </w:t>
      </w:r>
      <w:r w:rsidRPr="002121A4">
        <w:t>sector and the opportunity to enga</w:t>
      </w:r>
      <w:r w:rsidR="0063448A">
        <w:t xml:space="preserve">ge in policy </w:t>
      </w:r>
      <w:r w:rsidR="009A629D">
        <w:t xml:space="preserve">discussion </w:t>
      </w:r>
      <w:r w:rsidR="0063448A">
        <w:t xml:space="preserve">with the </w:t>
      </w:r>
      <w:r w:rsidR="007148B3">
        <w:t>Government of Tonga</w:t>
      </w:r>
      <w:r w:rsidRPr="002121A4">
        <w:t xml:space="preserve">. Coordination of donor support around the matrix has helped ensure </w:t>
      </w:r>
      <w:r w:rsidR="0063448A">
        <w:t xml:space="preserve">momentum of the </w:t>
      </w:r>
      <w:r w:rsidR="009A629D">
        <w:t>g</w:t>
      </w:r>
      <w:r w:rsidR="0063448A">
        <w:t>overnment</w:t>
      </w:r>
      <w:r w:rsidR="001F0D5C">
        <w:t>’s</w:t>
      </w:r>
      <w:r w:rsidR="0063448A">
        <w:t xml:space="preserve"> </w:t>
      </w:r>
      <w:r w:rsidRPr="002121A4">
        <w:t>reform efforts</w:t>
      </w:r>
      <w:r w:rsidR="00B617F2">
        <w:t xml:space="preserve">. </w:t>
      </w:r>
    </w:p>
    <w:p w:rsidR="00AF39A0" w:rsidRPr="002A768F" w:rsidRDefault="00AF39A0" w:rsidP="000721CB">
      <w:pPr>
        <w:pStyle w:val="BodyText"/>
      </w:pPr>
      <w:r w:rsidRPr="002A768F">
        <w:t>In the infrastructure sector, Australia funds programs managed by the</w:t>
      </w:r>
      <w:r w:rsidR="009A629D">
        <w:t xml:space="preserve"> A</w:t>
      </w:r>
      <w:r w:rsidR="00F74C99">
        <w:t>sian Development Bank</w:t>
      </w:r>
      <w:r w:rsidR="009A629D">
        <w:t xml:space="preserve"> and </w:t>
      </w:r>
      <w:r w:rsidRPr="002A768F">
        <w:t xml:space="preserve">World Bank. This approach allows </w:t>
      </w:r>
      <w:r w:rsidR="001D141C">
        <w:t xml:space="preserve">Australia </w:t>
      </w:r>
      <w:r w:rsidRPr="002A768F">
        <w:t xml:space="preserve">to take advantage of the knowledge and expertise of these development partners in delivering infrastructure programs across the Pacific, and recognises their good global performance as a development partner. Donor coordination has been weaker in </w:t>
      </w:r>
      <w:r w:rsidR="009A629D">
        <w:t>this</w:t>
      </w:r>
      <w:r w:rsidRPr="002A768F">
        <w:t xml:space="preserve"> sector, where development partners have very different accountability and delivery methods and where Tonga has not pressed donors to coordinate effectively, particularly in the road sub-sector.</w:t>
      </w:r>
    </w:p>
    <w:p w:rsidR="00AF39A0" w:rsidRDefault="00AF39A0" w:rsidP="000721CB">
      <w:pPr>
        <w:pStyle w:val="BodyText"/>
      </w:pPr>
      <w:r w:rsidRPr="002A768F">
        <w:t xml:space="preserve">Australia is working closely with New Zealand on a joint program supporting its education system. </w:t>
      </w:r>
      <w:r w:rsidR="009A629D">
        <w:t>The two countries</w:t>
      </w:r>
      <w:r w:rsidRPr="002A768F">
        <w:t xml:space="preserve"> have harmonised </w:t>
      </w:r>
      <w:r w:rsidR="001D141C">
        <w:t xml:space="preserve">their </w:t>
      </w:r>
      <w:r w:rsidRPr="002A768F">
        <w:t xml:space="preserve">scholarship programs and work together to strengthen the performance of </w:t>
      </w:r>
      <w:r w:rsidRPr="00142596">
        <w:t xml:space="preserve">Tongan </w:t>
      </w:r>
      <w:r w:rsidR="00142596" w:rsidRPr="00F43E41">
        <w:t>P</w:t>
      </w:r>
      <w:r w:rsidRPr="00142596">
        <w:t>olice</w:t>
      </w:r>
      <w:r w:rsidR="00142596" w:rsidRPr="00142596">
        <w:t xml:space="preserve"> </w:t>
      </w:r>
      <w:r w:rsidRPr="002A768F">
        <w:t xml:space="preserve">through the Tonga Police Development Program. </w:t>
      </w:r>
    </w:p>
    <w:p w:rsidR="00AF39A0" w:rsidRPr="00AF39A0" w:rsidRDefault="00AF39A0" w:rsidP="000721CB">
      <w:pPr>
        <w:pStyle w:val="BodyText"/>
      </w:pPr>
      <w:r w:rsidRPr="002A768F">
        <w:t>Opportunities for coordination with China</w:t>
      </w:r>
      <w:r w:rsidR="00D22B34">
        <w:t xml:space="preserve"> are limited</w:t>
      </w:r>
      <w:r w:rsidRPr="002A768F">
        <w:t xml:space="preserve"> </w:t>
      </w:r>
      <w:r w:rsidR="009A629D">
        <w:t>for several reasons</w:t>
      </w:r>
      <w:r w:rsidR="00D22B34">
        <w:t xml:space="preserve">. </w:t>
      </w:r>
      <w:r w:rsidRPr="002A768F">
        <w:t xml:space="preserve">China has a markedly different approach to development cooperation. The Government of Tonga has not maximised opportunities to promote coordination and harmonisation between China and other development partners. China is not a party to the </w:t>
      </w:r>
      <w:r w:rsidR="00B54560">
        <w:t>Joint Policy Reform Matrix</w:t>
      </w:r>
      <w:r w:rsidRPr="002A768F">
        <w:t xml:space="preserve"> and appears open to further concessional loans to Tonga, which is at odds with other donor efforts to persuade Tonga to rein in its high levels of debt.</w:t>
      </w:r>
      <w:r w:rsidRPr="00AF39A0">
        <w:t xml:space="preserve"> </w:t>
      </w:r>
    </w:p>
    <w:p w:rsidR="00180B19" w:rsidRPr="00FC6375" w:rsidRDefault="00180B19" w:rsidP="002D1680">
      <w:pPr>
        <w:pStyle w:val="Heading1"/>
      </w:pPr>
      <w:r w:rsidRPr="002D1680">
        <w:lastRenderedPageBreak/>
        <w:t>Expenditure</w:t>
      </w:r>
    </w:p>
    <w:p w:rsidR="00180B19" w:rsidRPr="00EB076D" w:rsidRDefault="00180B19" w:rsidP="000721CB">
      <w:pPr>
        <w:pStyle w:val="BodyText"/>
      </w:pPr>
      <w:r w:rsidRPr="00EB076D">
        <w:t>Financial expenditure</w:t>
      </w:r>
      <w:r w:rsidR="001F461A" w:rsidRPr="00EB076D">
        <w:t xml:space="preserve"> from January 2012 through to June 2013 is reported in the tables below.</w:t>
      </w:r>
    </w:p>
    <w:p w:rsidR="001F461A" w:rsidRDefault="001F461A" w:rsidP="000721CB">
      <w:pPr>
        <w:pStyle w:val="Caption"/>
      </w:pPr>
      <w:r>
        <w:t xml:space="preserve">Table </w:t>
      </w:r>
      <w:r w:rsidR="00406A9C">
        <w:t>3</w:t>
      </w:r>
      <w:r>
        <w:rPr>
          <w:noProof/>
        </w:rPr>
        <w:t>A</w:t>
      </w:r>
      <w:r>
        <w:t xml:space="preserve"> Expenditure </w:t>
      </w:r>
    </w:p>
    <w:tbl>
      <w:tblPr>
        <w:tblStyle w:val="APPR"/>
        <w:tblW w:w="5000" w:type="pct"/>
        <w:tblLayout w:type="fixed"/>
        <w:tblLook w:val="0000" w:firstRow="0" w:lastRow="0" w:firstColumn="0" w:lastColumn="0" w:noHBand="0" w:noVBand="0"/>
      </w:tblPr>
      <w:tblGrid>
        <w:gridCol w:w="5898"/>
        <w:gridCol w:w="1181"/>
        <w:gridCol w:w="1527"/>
      </w:tblGrid>
      <w:tr w:rsidR="001F461A" w:rsidRPr="00180B19" w:rsidTr="007D1A22">
        <w:trPr>
          <w:cnfStyle w:val="000000010000" w:firstRow="0" w:lastRow="0" w:firstColumn="0" w:lastColumn="0" w:oddVBand="0" w:evenVBand="0" w:oddHBand="0" w:evenHBand="1" w:firstRowFirstColumn="0" w:firstRowLastColumn="0" w:lastRowFirstColumn="0" w:lastRowLastColumn="0"/>
        </w:trPr>
        <w:tc>
          <w:tcPr>
            <w:tcW w:w="5623" w:type="dxa"/>
          </w:tcPr>
          <w:p w:rsidR="001F461A" w:rsidRPr="00180B19" w:rsidRDefault="001F461A" w:rsidP="007D1A22">
            <w:pPr>
              <w:pStyle w:val="TableTextColumnHeading"/>
            </w:pPr>
            <w:r>
              <w:t xml:space="preserve">Official </w:t>
            </w:r>
            <w:r w:rsidR="00931EBD">
              <w:t>d</w:t>
            </w:r>
            <w:r>
              <w:t xml:space="preserve">evelopment </w:t>
            </w:r>
            <w:r w:rsidR="00931EBD">
              <w:t>a</w:t>
            </w:r>
            <w:r>
              <w:t xml:space="preserve">ssistance </w:t>
            </w:r>
          </w:p>
        </w:tc>
        <w:tc>
          <w:tcPr>
            <w:tcW w:w="1107" w:type="dxa"/>
          </w:tcPr>
          <w:p w:rsidR="001F461A" w:rsidRPr="00155A82" w:rsidRDefault="00E43BD2" w:rsidP="007D1A22">
            <w:pPr>
              <w:pStyle w:val="TableTextColumnHeading"/>
            </w:pPr>
            <w:r w:rsidRPr="00155A82">
              <w:t>Jan</w:t>
            </w:r>
            <w:r w:rsidR="00D22B34">
              <w:t>uary</w:t>
            </w:r>
            <w:r w:rsidR="003101AE">
              <w:t>–</w:t>
            </w:r>
            <w:r w:rsidRPr="00155A82">
              <w:t>Jun</w:t>
            </w:r>
            <w:r w:rsidR="00D22B34">
              <w:t>e</w:t>
            </w:r>
            <w:r w:rsidRPr="00155A82">
              <w:t xml:space="preserve"> 2012</w:t>
            </w:r>
            <w:r w:rsidRPr="00155A82">
              <w:br/>
            </w:r>
            <w:r w:rsidR="001F461A" w:rsidRPr="00155A82">
              <w:t>A$ million</w:t>
            </w:r>
          </w:p>
        </w:tc>
        <w:tc>
          <w:tcPr>
            <w:tcW w:w="1426" w:type="dxa"/>
          </w:tcPr>
          <w:p w:rsidR="001F461A" w:rsidRPr="00155A82" w:rsidRDefault="00E43BD2" w:rsidP="007D1A22">
            <w:pPr>
              <w:pStyle w:val="TableTextColumnHeading"/>
            </w:pPr>
            <w:r w:rsidRPr="00155A82">
              <w:t>Jun</w:t>
            </w:r>
            <w:r w:rsidR="00D22B34">
              <w:t>e</w:t>
            </w:r>
            <w:r w:rsidRPr="00155A82">
              <w:t xml:space="preserve"> 2012</w:t>
            </w:r>
            <w:r w:rsidR="003101AE">
              <w:t>–</w:t>
            </w:r>
            <w:r w:rsidRPr="00155A82">
              <w:t>Jun</w:t>
            </w:r>
            <w:r w:rsidR="00D22B34">
              <w:t>e</w:t>
            </w:r>
            <w:r w:rsidRPr="00155A82">
              <w:t xml:space="preserve"> 2013</w:t>
            </w:r>
            <w:r w:rsidRPr="00155A82">
              <w:br/>
              <w:t>A$ million</w:t>
            </w:r>
          </w:p>
        </w:tc>
      </w:tr>
      <w:tr w:rsidR="00155A82" w:rsidRPr="00180B19" w:rsidTr="007D1A22">
        <w:trPr>
          <w:cnfStyle w:val="000000010000" w:firstRow="0" w:lastRow="0" w:firstColumn="0" w:lastColumn="0" w:oddVBand="0" w:evenVBand="0" w:oddHBand="0" w:evenHBand="1" w:firstRowFirstColumn="0" w:firstRowLastColumn="0" w:lastRowFirstColumn="0" w:lastRowLastColumn="0"/>
        </w:trPr>
        <w:tc>
          <w:tcPr>
            <w:tcW w:w="5623" w:type="dxa"/>
          </w:tcPr>
          <w:p w:rsidR="00155A82" w:rsidRPr="00100AA2" w:rsidRDefault="006F27DE" w:rsidP="000F1F86">
            <w:pPr>
              <w:pStyle w:val="TableTextEntries"/>
            </w:pPr>
            <w:r>
              <w:t xml:space="preserve">Australian </w:t>
            </w:r>
            <w:r w:rsidR="00155A82">
              <w:t xml:space="preserve">bilateral </w:t>
            </w:r>
            <w:r w:rsidR="000F1F86">
              <w:t xml:space="preserve">aid </w:t>
            </w:r>
            <w:r w:rsidR="00155A82">
              <w:t>programs</w:t>
            </w:r>
          </w:p>
        </w:tc>
        <w:tc>
          <w:tcPr>
            <w:tcW w:w="1107" w:type="dxa"/>
          </w:tcPr>
          <w:p w:rsidR="00155A82" w:rsidRPr="00155A82" w:rsidRDefault="00155A82" w:rsidP="007D1A22">
            <w:pPr>
              <w:pStyle w:val="TableTextEntries"/>
            </w:pPr>
            <w:r w:rsidRPr="00155A82">
              <w:t>10.44</w:t>
            </w:r>
          </w:p>
        </w:tc>
        <w:tc>
          <w:tcPr>
            <w:tcW w:w="1426" w:type="dxa"/>
          </w:tcPr>
          <w:p w:rsidR="00155A82" w:rsidRPr="00155A82" w:rsidRDefault="00155A82" w:rsidP="007D1A22">
            <w:pPr>
              <w:pStyle w:val="TableTextEntries"/>
            </w:pPr>
            <w:r w:rsidRPr="00155A82">
              <w:t>17.17</w:t>
            </w:r>
          </w:p>
        </w:tc>
      </w:tr>
      <w:tr w:rsidR="00155A82" w:rsidRPr="00180B19" w:rsidTr="007D1A22">
        <w:trPr>
          <w:cnfStyle w:val="000000010000" w:firstRow="0" w:lastRow="0" w:firstColumn="0" w:lastColumn="0" w:oddVBand="0" w:evenVBand="0" w:oddHBand="0" w:evenHBand="1" w:firstRowFirstColumn="0" w:firstRowLastColumn="0" w:lastRowFirstColumn="0" w:lastRowLastColumn="0"/>
        </w:trPr>
        <w:tc>
          <w:tcPr>
            <w:tcW w:w="5623" w:type="dxa"/>
          </w:tcPr>
          <w:p w:rsidR="00155A82" w:rsidRPr="00100AA2" w:rsidRDefault="006F27DE" w:rsidP="000F1F86">
            <w:pPr>
              <w:pStyle w:val="TableTextEntries"/>
            </w:pPr>
            <w:r>
              <w:t xml:space="preserve">Australian </w:t>
            </w:r>
            <w:r w:rsidR="00155A82">
              <w:t xml:space="preserve">regional and global </w:t>
            </w:r>
            <w:r w:rsidR="000F1F86">
              <w:t xml:space="preserve">aid </w:t>
            </w:r>
            <w:r w:rsidR="00155A82">
              <w:t>programs</w:t>
            </w:r>
          </w:p>
        </w:tc>
        <w:tc>
          <w:tcPr>
            <w:tcW w:w="1107" w:type="dxa"/>
          </w:tcPr>
          <w:p w:rsidR="00155A82" w:rsidRPr="00B33BF8" w:rsidRDefault="00273D43" w:rsidP="007D1A22">
            <w:pPr>
              <w:pStyle w:val="TableTextEntries"/>
              <w:rPr>
                <w:color w:val="FF0000"/>
              </w:rPr>
            </w:pPr>
            <w:r w:rsidRPr="00F920DD">
              <w:t>12.56</w:t>
            </w:r>
          </w:p>
        </w:tc>
        <w:tc>
          <w:tcPr>
            <w:tcW w:w="1426" w:type="dxa"/>
          </w:tcPr>
          <w:p w:rsidR="00155A82" w:rsidRPr="00B30E77" w:rsidRDefault="00273D43" w:rsidP="007D1A22">
            <w:pPr>
              <w:pStyle w:val="TableTextEntries"/>
              <w:rPr>
                <w:color w:val="92D050"/>
              </w:rPr>
            </w:pPr>
            <w:r w:rsidRPr="00F920DD">
              <w:t>11.68</w:t>
            </w:r>
          </w:p>
        </w:tc>
      </w:tr>
      <w:tr w:rsidR="00155A82" w:rsidRPr="00180B19" w:rsidTr="007D1A22">
        <w:trPr>
          <w:cnfStyle w:val="000000010000" w:firstRow="0" w:lastRow="0" w:firstColumn="0" w:lastColumn="0" w:oddVBand="0" w:evenVBand="0" w:oddHBand="0" w:evenHBand="1" w:firstRowFirstColumn="0" w:firstRowLastColumn="0" w:lastRowFirstColumn="0" w:lastRowLastColumn="0"/>
        </w:trPr>
        <w:tc>
          <w:tcPr>
            <w:tcW w:w="5623" w:type="dxa"/>
          </w:tcPr>
          <w:p w:rsidR="00155A82" w:rsidRPr="00100AA2" w:rsidRDefault="00155A82" w:rsidP="007D1A22">
            <w:pPr>
              <w:pStyle w:val="TableTextEntries"/>
            </w:pPr>
            <w:r>
              <w:t xml:space="preserve">Other Australian </w:t>
            </w:r>
            <w:r w:rsidR="00D22B34">
              <w:t>g</w:t>
            </w:r>
            <w:r>
              <w:t xml:space="preserve">overnment </w:t>
            </w:r>
            <w:r w:rsidR="003101AE">
              <w:t>d</w:t>
            </w:r>
            <w:r>
              <w:t>epartments</w:t>
            </w:r>
          </w:p>
        </w:tc>
        <w:tc>
          <w:tcPr>
            <w:tcW w:w="1107" w:type="dxa"/>
          </w:tcPr>
          <w:p w:rsidR="00155A82" w:rsidRPr="00B30E77" w:rsidRDefault="001D7A35" w:rsidP="007D1A22">
            <w:pPr>
              <w:pStyle w:val="TableTextEntries"/>
              <w:rPr>
                <w:color w:val="F79646" w:themeColor="accent6"/>
              </w:rPr>
            </w:pPr>
            <w:r w:rsidRPr="001D7A35">
              <w:t>1.74</w:t>
            </w:r>
            <w:r w:rsidR="00D13CB0">
              <w:rPr>
                <w:rStyle w:val="FootnoteReference"/>
              </w:rPr>
              <w:footnoteReference w:id="27"/>
            </w:r>
          </w:p>
        </w:tc>
        <w:tc>
          <w:tcPr>
            <w:tcW w:w="1426" w:type="dxa"/>
          </w:tcPr>
          <w:p w:rsidR="00155A82" w:rsidRPr="00B30E77" w:rsidRDefault="00273D43" w:rsidP="007D1A22">
            <w:pPr>
              <w:pStyle w:val="TableTextEntries"/>
              <w:rPr>
                <w:color w:val="F79646" w:themeColor="accent6"/>
              </w:rPr>
            </w:pPr>
            <w:r w:rsidRPr="001D7A35">
              <w:t>3.10</w:t>
            </w:r>
          </w:p>
        </w:tc>
      </w:tr>
    </w:tbl>
    <w:p w:rsidR="00E43BD2" w:rsidRDefault="00E43BD2" w:rsidP="00E43BD2">
      <w:pPr>
        <w:pStyle w:val="Note"/>
      </w:pPr>
      <w:r w:rsidRPr="00180B19">
        <w:t xml:space="preserve">Source: </w:t>
      </w:r>
      <w:r w:rsidR="001D7A35">
        <w:t>Aid</w:t>
      </w:r>
      <w:r w:rsidR="00D22B34">
        <w:t>W</w:t>
      </w:r>
      <w:r w:rsidR="001D7A35">
        <w:t>orks and annual reporting</w:t>
      </w:r>
    </w:p>
    <w:p w:rsidR="00BE65E4" w:rsidRDefault="00BE65E4" w:rsidP="000721CB">
      <w:pPr>
        <w:pStyle w:val="Caption"/>
      </w:pPr>
      <w:r>
        <w:t xml:space="preserve">Table </w:t>
      </w:r>
      <w:r w:rsidR="00406A9C">
        <w:t>3</w:t>
      </w:r>
      <w:r w:rsidR="001F461A">
        <w:rPr>
          <w:noProof/>
        </w:rPr>
        <w:t>B</w:t>
      </w:r>
      <w:r>
        <w:t xml:space="preserve"> Expenditure 01 Jan</w:t>
      </w:r>
      <w:r w:rsidR="00E73161">
        <w:t>uary</w:t>
      </w:r>
      <w:r>
        <w:t xml:space="preserve"> 2012</w:t>
      </w:r>
      <w:r w:rsidR="00E73161">
        <w:t xml:space="preserve"> to</w:t>
      </w:r>
      <w:r>
        <w:t xml:space="preserve"> 30 Jun</w:t>
      </w:r>
      <w:r w:rsidR="00E73161">
        <w:t>e</w:t>
      </w:r>
      <w:r>
        <w:t xml:space="preserve"> </w:t>
      </w:r>
      <w:r w:rsidR="009A28D2">
        <w:t>2012</w:t>
      </w:r>
    </w:p>
    <w:tbl>
      <w:tblPr>
        <w:tblStyle w:val="APPR"/>
        <w:tblW w:w="5000" w:type="pct"/>
        <w:tblLayout w:type="fixed"/>
        <w:tblLook w:val="0000" w:firstRow="0" w:lastRow="0" w:firstColumn="0" w:lastColumn="0" w:noHBand="0" w:noVBand="0"/>
      </w:tblPr>
      <w:tblGrid>
        <w:gridCol w:w="6131"/>
        <w:gridCol w:w="998"/>
        <w:gridCol w:w="1477"/>
      </w:tblGrid>
      <w:tr w:rsidR="0081599A" w:rsidRPr="00180B19" w:rsidTr="007D1A22">
        <w:trPr>
          <w:cnfStyle w:val="000000010000" w:firstRow="0" w:lastRow="0" w:firstColumn="0" w:lastColumn="0" w:oddVBand="0" w:evenVBand="0" w:oddHBand="0" w:evenHBand="1" w:firstRowFirstColumn="0" w:firstRowLastColumn="0" w:lastRowFirstColumn="0" w:lastRowLastColumn="0"/>
        </w:trPr>
        <w:tc>
          <w:tcPr>
            <w:tcW w:w="6048" w:type="dxa"/>
          </w:tcPr>
          <w:p w:rsidR="0081599A" w:rsidRPr="00180B19" w:rsidRDefault="0081599A" w:rsidP="007D1A22">
            <w:pPr>
              <w:pStyle w:val="TableTextColumnHeading"/>
            </w:pPr>
            <w:r w:rsidRPr="00B641ED">
              <w:t xml:space="preserve">Partnership </w:t>
            </w:r>
            <w:r w:rsidR="003101AE">
              <w:t>o</w:t>
            </w:r>
            <w:r w:rsidRPr="00B641ED">
              <w:t>bjective</w:t>
            </w:r>
          </w:p>
        </w:tc>
        <w:tc>
          <w:tcPr>
            <w:tcW w:w="964" w:type="dxa"/>
          </w:tcPr>
          <w:p w:rsidR="0081599A" w:rsidRPr="00180B19" w:rsidRDefault="0081599A" w:rsidP="007D1A22">
            <w:pPr>
              <w:pStyle w:val="TableTextColumnHeading"/>
            </w:pPr>
            <w:r w:rsidRPr="00B641ED">
              <w:t>A$ million</w:t>
            </w:r>
          </w:p>
        </w:tc>
        <w:tc>
          <w:tcPr>
            <w:tcW w:w="1426" w:type="dxa"/>
          </w:tcPr>
          <w:p w:rsidR="0081599A" w:rsidRPr="00180B19" w:rsidRDefault="0081599A" w:rsidP="007D1A22">
            <w:pPr>
              <w:pStyle w:val="TableTextColumnHeading"/>
            </w:pPr>
            <w:r w:rsidRPr="00B641ED">
              <w:t>% of bilateral program</w:t>
            </w:r>
          </w:p>
        </w:tc>
      </w:tr>
      <w:tr w:rsidR="0081599A" w:rsidRPr="00180B19" w:rsidTr="007D1A22">
        <w:trPr>
          <w:cnfStyle w:val="000000010000" w:firstRow="0" w:lastRow="0" w:firstColumn="0" w:lastColumn="0" w:oddVBand="0" w:evenVBand="0" w:oddHBand="0" w:evenHBand="1" w:firstRowFirstColumn="0" w:firstRowLastColumn="0" w:lastRowFirstColumn="0" w:lastRowLastColumn="0"/>
        </w:trPr>
        <w:tc>
          <w:tcPr>
            <w:tcW w:w="6048" w:type="dxa"/>
          </w:tcPr>
          <w:p w:rsidR="0081599A" w:rsidRPr="00100AA2" w:rsidRDefault="00D22B34" w:rsidP="007D1A22">
            <w:pPr>
              <w:pStyle w:val="TableTextEntries"/>
            </w:pPr>
            <w:r>
              <w:t>M</w:t>
            </w:r>
            <w:r w:rsidR="0081599A" w:rsidRPr="00B641ED">
              <w:t>ore efficient and effective public sector</w:t>
            </w:r>
          </w:p>
        </w:tc>
        <w:tc>
          <w:tcPr>
            <w:tcW w:w="964" w:type="dxa"/>
          </w:tcPr>
          <w:p w:rsidR="0081599A" w:rsidRPr="00B30E77" w:rsidRDefault="0081599A" w:rsidP="007D1A22">
            <w:pPr>
              <w:pStyle w:val="TableTextEntries"/>
              <w:rPr>
                <w:color w:val="92D050"/>
              </w:rPr>
            </w:pPr>
            <w:r w:rsidRPr="00B641ED">
              <w:t>1.03</w:t>
            </w:r>
          </w:p>
        </w:tc>
        <w:tc>
          <w:tcPr>
            <w:tcW w:w="1426" w:type="dxa"/>
          </w:tcPr>
          <w:p w:rsidR="0081599A" w:rsidRPr="00B30E77" w:rsidRDefault="0081599A" w:rsidP="007D1A22">
            <w:pPr>
              <w:pStyle w:val="TableTextEntries"/>
              <w:rPr>
                <w:color w:val="92D050"/>
              </w:rPr>
            </w:pPr>
            <w:r w:rsidRPr="00B641ED">
              <w:t>6.34</w:t>
            </w:r>
          </w:p>
        </w:tc>
      </w:tr>
      <w:tr w:rsidR="0081599A" w:rsidRPr="00180B19" w:rsidTr="007D1A22">
        <w:trPr>
          <w:cnfStyle w:val="000000010000" w:firstRow="0" w:lastRow="0" w:firstColumn="0" w:lastColumn="0" w:oddVBand="0" w:evenVBand="0" w:oddHBand="0" w:evenHBand="1" w:firstRowFirstColumn="0" w:firstRowLastColumn="0" w:lastRowFirstColumn="0" w:lastRowLastColumn="0"/>
        </w:trPr>
        <w:tc>
          <w:tcPr>
            <w:tcW w:w="6048" w:type="dxa"/>
          </w:tcPr>
          <w:p w:rsidR="0081599A" w:rsidRPr="00100AA2" w:rsidRDefault="0081599A" w:rsidP="007D1A22">
            <w:pPr>
              <w:pStyle w:val="TableTextEntries"/>
            </w:pPr>
            <w:r w:rsidRPr="00B641ED">
              <w:t>Improved health</w:t>
            </w:r>
          </w:p>
        </w:tc>
        <w:tc>
          <w:tcPr>
            <w:tcW w:w="964" w:type="dxa"/>
          </w:tcPr>
          <w:p w:rsidR="0081599A" w:rsidRPr="00B30E77" w:rsidRDefault="0081599A" w:rsidP="007D1A22">
            <w:pPr>
              <w:pStyle w:val="TableTextEntries"/>
              <w:rPr>
                <w:color w:val="92D050"/>
              </w:rPr>
            </w:pPr>
            <w:r w:rsidRPr="00B641ED">
              <w:t>1.91</w:t>
            </w:r>
          </w:p>
        </w:tc>
        <w:tc>
          <w:tcPr>
            <w:tcW w:w="1426" w:type="dxa"/>
          </w:tcPr>
          <w:p w:rsidR="0081599A" w:rsidRPr="00B30E77" w:rsidRDefault="0081599A" w:rsidP="007D1A22">
            <w:pPr>
              <w:pStyle w:val="TableTextEntries"/>
              <w:rPr>
                <w:color w:val="92D050"/>
              </w:rPr>
            </w:pPr>
            <w:r w:rsidRPr="00B641ED">
              <w:t>11.75</w:t>
            </w:r>
          </w:p>
        </w:tc>
      </w:tr>
      <w:tr w:rsidR="0081599A" w:rsidRPr="00180B19" w:rsidTr="007D1A22">
        <w:trPr>
          <w:cnfStyle w:val="000000010000" w:firstRow="0" w:lastRow="0" w:firstColumn="0" w:lastColumn="0" w:oddVBand="0" w:evenVBand="0" w:oddHBand="0" w:evenHBand="1" w:firstRowFirstColumn="0" w:firstRowLastColumn="0" w:lastRowFirstColumn="0" w:lastRowLastColumn="0"/>
        </w:trPr>
        <w:tc>
          <w:tcPr>
            <w:tcW w:w="6048" w:type="dxa"/>
          </w:tcPr>
          <w:p w:rsidR="0081599A" w:rsidRPr="00100AA2" w:rsidRDefault="0081599A" w:rsidP="007D1A22">
            <w:pPr>
              <w:pStyle w:val="TableTextEntries"/>
            </w:pPr>
            <w:r w:rsidRPr="00B641ED">
              <w:t>Improved technical and vocational skills</w:t>
            </w:r>
          </w:p>
        </w:tc>
        <w:tc>
          <w:tcPr>
            <w:tcW w:w="964" w:type="dxa"/>
          </w:tcPr>
          <w:p w:rsidR="0081599A" w:rsidRPr="00B30E77" w:rsidRDefault="0081599A" w:rsidP="007D1A22">
            <w:pPr>
              <w:pStyle w:val="TableTextEntries"/>
              <w:rPr>
                <w:color w:val="F79646" w:themeColor="accent6"/>
              </w:rPr>
            </w:pPr>
            <w:r w:rsidRPr="00B641ED">
              <w:t>0.05</w:t>
            </w:r>
          </w:p>
        </w:tc>
        <w:tc>
          <w:tcPr>
            <w:tcW w:w="1426" w:type="dxa"/>
          </w:tcPr>
          <w:p w:rsidR="0081599A" w:rsidRPr="00B30E77" w:rsidRDefault="0081599A" w:rsidP="007D1A22">
            <w:pPr>
              <w:pStyle w:val="TableTextEntries"/>
              <w:rPr>
                <w:color w:val="F79646" w:themeColor="accent6"/>
              </w:rPr>
            </w:pPr>
            <w:r w:rsidRPr="00B641ED">
              <w:t>0.28</w:t>
            </w:r>
          </w:p>
        </w:tc>
      </w:tr>
      <w:tr w:rsidR="0081599A" w:rsidRPr="00180B19" w:rsidTr="007D1A22">
        <w:trPr>
          <w:cnfStyle w:val="000000010000" w:firstRow="0" w:lastRow="0" w:firstColumn="0" w:lastColumn="0" w:oddVBand="0" w:evenVBand="0" w:oddHBand="0" w:evenHBand="1" w:firstRowFirstColumn="0" w:firstRowLastColumn="0" w:lastRowFirstColumn="0" w:lastRowLastColumn="0"/>
        </w:trPr>
        <w:tc>
          <w:tcPr>
            <w:tcW w:w="6048" w:type="dxa"/>
          </w:tcPr>
          <w:p w:rsidR="0081599A" w:rsidRPr="00100AA2" w:rsidRDefault="0081599A" w:rsidP="007D1A22">
            <w:pPr>
              <w:pStyle w:val="TableTextEntries"/>
            </w:pPr>
            <w:r w:rsidRPr="00B641ED">
              <w:t>Develop</w:t>
            </w:r>
            <w:r w:rsidR="000F70C6">
              <w:t xml:space="preserve">ment of </w:t>
            </w:r>
            <w:r w:rsidRPr="00B641ED">
              <w:t>infrastructure to improve the everyday lives of the people</w:t>
            </w:r>
          </w:p>
        </w:tc>
        <w:tc>
          <w:tcPr>
            <w:tcW w:w="964" w:type="dxa"/>
          </w:tcPr>
          <w:p w:rsidR="0081599A" w:rsidRPr="00B30E77" w:rsidRDefault="0081599A" w:rsidP="007D1A22">
            <w:pPr>
              <w:pStyle w:val="TableTextEntries"/>
              <w:rPr>
                <w:color w:val="F79646" w:themeColor="accent6"/>
              </w:rPr>
            </w:pPr>
            <w:r w:rsidRPr="00B641ED">
              <w:t>1.13</w:t>
            </w:r>
          </w:p>
        </w:tc>
        <w:tc>
          <w:tcPr>
            <w:tcW w:w="1426" w:type="dxa"/>
          </w:tcPr>
          <w:p w:rsidR="0081599A" w:rsidRPr="00B30E77" w:rsidRDefault="0081599A" w:rsidP="007D1A22">
            <w:pPr>
              <w:pStyle w:val="TableTextEntries"/>
              <w:rPr>
                <w:color w:val="F79646" w:themeColor="accent6"/>
              </w:rPr>
            </w:pPr>
            <w:r w:rsidRPr="00B641ED">
              <w:t>6.96</w:t>
            </w:r>
          </w:p>
        </w:tc>
      </w:tr>
      <w:tr w:rsidR="0081599A" w:rsidRPr="00180B19" w:rsidTr="007D1A22">
        <w:trPr>
          <w:cnfStyle w:val="000000010000" w:firstRow="0" w:lastRow="0" w:firstColumn="0" w:lastColumn="0" w:oddVBand="0" w:evenVBand="0" w:oddHBand="0" w:evenHBand="1" w:firstRowFirstColumn="0" w:firstRowLastColumn="0" w:lastRowFirstColumn="0" w:lastRowLastColumn="0"/>
        </w:trPr>
        <w:tc>
          <w:tcPr>
            <w:tcW w:w="6048" w:type="dxa"/>
          </w:tcPr>
          <w:p w:rsidR="0081599A" w:rsidRPr="001F461A" w:rsidRDefault="0081599A" w:rsidP="007D1A22">
            <w:pPr>
              <w:pStyle w:val="TableTextColumnHeading"/>
              <w:rPr>
                <w:b w:val="0"/>
              </w:rPr>
            </w:pPr>
            <w:r w:rsidRPr="00B641ED">
              <w:t>Major bilateral expenditure outside the partnership</w:t>
            </w:r>
          </w:p>
        </w:tc>
        <w:tc>
          <w:tcPr>
            <w:tcW w:w="964" w:type="dxa"/>
          </w:tcPr>
          <w:p w:rsidR="0081599A" w:rsidRPr="00B30E77" w:rsidRDefault="0081599A" w:rsidP="007D1A22">
            <w:pPr>
              <w:pStyle w:val="TableTextEntries"/>
              <w:rPr>
                <w:color w:val="F79646" w:themeColor="accent6"/>
              </w:rPr>
            </w:pPr>
          </w:p>
        </w:tc>
        <w:tc>
          <w:tcPr>
            <w:tcW w:w="1426" w:type="dxa"/>
          </w:tcPr>
          <w:p w:rsidR="0081599A" w:rsidRPr="00B30E77" w:rsidRDefault="0081599A" w:rsidP="007D1A22">
            <w:pPr>
              <w:pStyle w:val="TableTextEntries"/>
              <w:rPr>
                <w:color w:val="F79646" w:themeColor="accent6"/>
              </w:rPr>
            </w:pPr>
          </w:p>
        </w:tc>
      </w:tr>
      <w:tr w:rsidR="0081599A" w:rsidRPr="00180B19" w:rsidTr="007D1A22">
        <w:trPr>
          <w:cnfStyle w:val="000000010000" w:firstRow="0" w:lastRow="0" w:firstColumn="0" w:lastColumn="0" w:oddVBand="0" w:evenVBand="0" w:oddHBand="0" w:evenHBand="1" w:firstRowFirstColumn="0" w:firstRowLastColumn="0" w:lastRowFirstColumn="0" w:lastRowLastColumn="0"/>
        </w:trPr>
        <w:tc>
          <w:tcPr>
            <w:tcW w:w="6048" w:type="dxa"/>
          </w:tcPr>
          <w:p w:rsidR="0081599A" w:rsidRPr="0081599A" w:rsidRDefault="0081599A" w:rsidP="007D1A22">
            <w:pPr>
              <w:pStyle w:val="TableTextEntries"/>
            </w:pPr>
            <w:r w:rsidRPr="0081599A">
              <w:t>Scholarships programs</w:t>
            </w:r>
          </w:p>
        </w:tc>
        <w:tc>
          <w:tcPr>
            <w:tcW w:w="964" w:type="dxa"/>
          </w:tcPr>
          <w:p w:rsidR="0081599A" w:rsidRPr="0081599A" w:rsidRDefault="0081599A" w:rsidP="007D1A22">
            <w:pPr>
              <w:pStyle w:val="TableTextEntries"/>
            </w:pPr>
            <w:r w:rsidRPr="0081599A">
              <w:t>0.99</w:t>
            </w:r>
          </w:p>
        </w:tc>
        <w:tc>
          <w:tcPr>
            <w:tcW w:w="1426" w:type="dxa"/>
          </w:tcPr>
          <w:p w:rsidR="0081599A" w:rsidRPr="0081599A" w:rsidRDefault="0081599A" w:rsidP="007D1A22">
            <w:pPr>
              <w:pStyle w:val="TableTextEntries"/>
            </w:pPr>
            <w:r w:rsidRPr="0081599A">
              <w:t>6.08</w:t>
            </w:r>
          </w:p>
        </w:tc>
      </w:tr>
      <w:tr w:rsidR="0081599A" w:rsidRPr="00180B19" w:rsidTr="007D1A22">
        <w:trPr>
          <w:cnfStyle w:val="000000010000" w:firstRow="0" w:lastRow="0" w:firstColumn="0" w:lastColumn="0" w:oddVBand="0" w:evenVBand="0" w:oddHBand="0" w:evenHBand="1" w:firstRowFirstColumn="0" w:firstRowLastColumn="0" w:lastRowFirstColumn="0" w:lastRowLastColumn="0"/>
        </w:trPr>
        <w:tc>
          <w:tcPr>
            <w:tcW w:w="6048" w:type="dxa"/>
          </w:tcPr>
          <w:p w:rsidR="0081599A" w:rsidRPr="0081599A" w:rsidRDefault="0081599A" w:rsidP="007D1A22">
            <w:pPr>
              <w:pStyle w:val="TableTextEntries"/>
            </w:pPr>
            <w:r w:rsidRPr="0081599A">
              <w:t>Interim education program</w:t>
            </w:r>
          </w:p>
          <w:p w:rsidR="0081599A" w:rsidRPr="0081599A" w:rsidRDefault="0081599A" w:rsidP="007D1A22">
            <w:pPr>
              <w:pStyle w:val="TableTextEntries"/>
            </w:pPr>
            <w:r w:rsidRPr="0081599A">
              <w:t>Performance linked aid (budget support)</w:t>
            </w:r>
          </w:p>
        </w:tc>
        <w:tc>
          <w:tcPr>
            <w:tcW w:w="964" w:type="dxa"/>
          </w:tcPr>
          <w:p w:rsidR="0081599A" w:rsidRPr="0081599A" w:rsidRDefault="0081599A" w:rsidP="007D1A22">
            <w:pPr>
              <w:pStyle w:val="TableTextEntries"/>
            </w:pPr>
            <w:r w:rsidRPr="0081599A">
              <w:t>1.07</w:t>
            </w:r>
          </w:p>
          <w:p w:rsidR="0081599A" w:rsidRPr="0081599A" w:rsidRDefault="0081599A" w:rsidP="007D1A22">
            <w:pPr>
              <w:pStyle w:val="TableTextEntries"/>
            </w:pPr>
            <w:r w:rsidRPr="0081599A">
              <w:t>5.00</w:t>
            </w:r>
          </w:p>
        </w:tc>
        <w:tc>
          <w:tcPr>
            <w:tcW w:w="1426" w:type="dxa"/>
          </w:tcPr>
          <w:p w:rsidR="0081599A" w:rsidRPr="0081599A" w:rsidRDefault="0081599A" w:rsidP="007D1A22">
            <w:pPr>
              <w:pStyle w:val="TableTextEntries"/>
            </w:pPr>
            <w:r w:rsidRPr="0081599A">
              <w:t>6.59</w:t>
            </w:r>
          </w:p>
          <w:p w:rsidR="0081599A" w:rsidRPr="0081599A" w:rsidRDefault="0081599A" w:rsidP="007D1A22">
            <w:pPr>
              <w:pStyle w:val="TableTextEntries"/>
            </w:pPr>
            <w:r w:rsidRPr="0081599A">
              <w:t>30.72</w:t>
            </w:r>
          </w:p>
        </w:tc>
      </w:tr>
    </w:tbl>
    <w:p w:rsidR="00180B19" w:rsidRDefault="00180B19" w:rsidP="00180B19">
      <w:pPr>
        <w:pStyle w:val="Note"/>
      </w:pPr>
      <w:r w:rsidRPr="00180B19">
        <w:t>Source:</w:t>
      </w:r>
      <w:r w:rsidR="00155A82">
        <w:t xml:space="preserve"> AidWorks</w:t>
      </w:r>
      <w:r w:rsidRPr="00180B19">
        <w:t xml:space="preserve"> </w:t>
      </w:r>
    </w:p>
    <w:p w:rsidR="00180B19" w:rsidRPr="00180B19" w:rsidRDefault="00180B19" w:rsidP="000721CB">
      <w:pPr>
        <w:pStyle w:val="Caption"/>
      </w:pPr>
      <w:r w:rsidRPr="00180B19">
        <w:t xml:space="preserve">Table </w:t>
      </w:r>
      <w:r w:rsidR="00406A9C">
        <w:t>3</w:t>
      </w:r>
      <w:r w:rsidR="001F461A">
        <w:t>C</w:t>
      </w:r>
      <w:r w:rsidRPr="00180B19">
        <w:t xml:space="preserve"> Estimated expenditure in 2012</w:t>
      </w:r>
      <w:r w:rsidR="003101AE">
        <w:t>–</w:t>
      </w:r>
      <w:r w:rsidRPr="00180B19">
        <w:t>13</w:t>
      </w:r>
    </w:p>
    <w:tbl>
      <w:tblPr>
        <w:tblStyle w:val="APPR"/>
        <w:tblW w:w="5000" w:type="pct"/>
        <w:tblLayout w:type="fixed"/>
        <w:tblLook w:val="0000" w:firstRow="0" w:lastRow="0" w:firstColumn="0" w:lastColumn="0" w:noHBand="0" w:noVBand="0"/>
      </w:tblPr>
      <w:tblGrid>
        <w:gridCol w:w="6131"/>
        <w:gridCol w:w="998"/>
        <w:gridCol w:w="1477"/>
      </w:tblGrid>
      <w:tr w:rsidR="001F461A" w:rsidRPr="00180B19" w:rsidTr="007D1A22">
        <w:trPr>
          <w:cnfStyle w:val="000000010000" w:firstRow="0" w:lastRow="0" w:firstColumn="0" w:lastColumn="0" w:oddVBand="0" w:evenVBand="0" w:oddHBand="0" w:evenHBand="1" w:firstRowFirstColumn="0" w:firstRowLastColumn="0" w:lastRowFirstColumn="0" w:lastRowLastColumn="0"/>
        </w:trPr>
        <w:tc>
          <w:tcPr>
            <w:tcW w:w="6048" w:type="dxa"/>
          </w:tcPr>
          <w:p w:rsidR="001F461A" w:rsidRPr="00180B19" w:rsidRDefault="001F461A" w:rsidP="007D1A22">
            <w:pPr>
              <w:pStyle w:val="TableTextColumnHeading"/>
            </w:pPr>
            <w:r>
              <w:t xml:space="preserve">Partnership </w:t>
            </w:r>
            <w:r w:rsidR="003101AE">
              <w:t>o</w:t>
            </w:r>
            <w:r w:rsidRPr="00180B19">
              <w:t>bjective</w:t>
            </w:r>
          </w:p>
        </w:tc>
        <w:tc>
          <w:tcPr>
            <w:tcW w:w="964" w:type="dxa"/>
          </w:tcPr>
          <w:p w:rsidR="001F461A" w:rsidRPr="00180B19" w:rsidRDefault="001F461A" w:rsidP="007D1A22">
            <w:pPr>
              <w:pStyle w:val="TableTextColumnHeading"/>
            </w:pPr>
            <w:r w:rsidRPr="00180B19">
              <w:t>A$ million</w:t>
            </w:r>
          </w:p>
        </w:tc>
        <w:tc>
          <w:tcPr>
            <w:tcW w:w="1426" w:type="dxa"/>
          </w:tcPr>
          <w:p w:rsidR="001F461A" w:rsidRPr="00180B19" w:rsidRDefault="001F461A" w:rsidP="007D1A22">
            <w:pPr>
              <w:pStyle w:val="TableTextColumnHeading"/>
            </w:pPr>
            <w:r w:rsidRPr="00180B19">
              <w:t>% of bilateral program</w:t>
            </w:r>
          </w:p>
        </w:tc>
      </w:tr>
      <w:tr w:rsidR="005C7F23" w:rsidRPr="00180B19" w:rsidTr="007D1A22">
        <w:trPr>
          <w:cnfStyle w:val="000000010000" w:firstRow="0" w:lastRow="0" w:firstColumn="0" w:lastColumn="0" w:oddVBand="0" w:evenVBand="0" w:oddHBand="0" w:evenHBand="1" w:firstRowFirstColumn="0" w:firstRowLastColumn="0" w:lastRowFirstColumn="0" w:lastRowLastColumn="0"/>
        </w:trPr>
        <w:tc>
          <w:tcPr>
            <w:tcW w:w="6048" w:type="dxa"/>
          </w:tcPr>
          <w:p w:rsidR="005C7F23" w:rsidRPr="005C7F23" w:rsidRDefault="005C7F23" w:rsidP="007D1A22">
            <w:pPr>
              <w:pStyle w:val="TableTextEntries"/>
            </w:pPr>
            <w:r w:rsidRPr="005C7F23">
              <w:t>A more efficient and effective public sector</w:t>
            </w:r>
          </w:p>
        </w:tc>
        <w:tc>
          <w:tcPr>
            <w:tcW w:w="964" w:type="dxa"/>
          </w:tcPr>
          <w:p w:rsidR="005C7F23" w:rsidRPr="005C7F23" w:rsidRDefault="005C7F23" w:rsidP="007D1A22">
            <w:pPr>
              <w:pStyle w:val="TableTextEntries"/>
            </w:pPr>
            <w:r w:rsidRPr="005C7F23">
              <w:t>2.61</w:t>
            </w:r>
          </w:p>
        </w:tc>
        <w:tc>
          <w:tcPr>
            <w:tcW w:w="1426" w:type="dxa"/>
          </w:tcPr>
          <w:p w:rsidR="005C7F23" w:rsidRPr="005C7F23" w:rsidRDefault="005C7F23" w:rsidP="007D1A22">
            <w:pPr>
              <w:pStyle w:val="TableTextEntries"/>
            </w:pPr>
            <w:r w:rsidRPr="005C7F23">
              <w:t>15.69</w:t>
            </w:r>
          </w:p>
        </w:tc>
      </w:tr>
      <w:tr w:rsidR="005C7F23" w:rsidRPr="00180B19" w:rsidTr="007D1A22">
        <w:trPr>
          <w:cnfStyle w:val="000000010000" w:firstRow="0" w:lastRow="0" w:firstColumn="0" w:lastColumn="0" w:oddVBand="0" w:evenVBand="0" w:oddHBand="0" w:evenHBand="1" w:firstRowFirstColumn="0" w:firstRowLastColumn="0" w:lastRowFirstColumn="0" w:lastRowLastColumn="0"/>
        </w:trPr>
        <w:tc>
          <w:tcPr>
            <w:tcW w:w="6048" w:type="dxa"/>
          </w:tcPr>
          <w:p w:rsidR="005C7F23" w:rsidRPr="005C7F23" w:rsidRDefault="005C7F23" w:rsidP="007D1A22">
            <w:pPr>
              <w:pStyle w:val="TableTextEntries"/>
            </w:pPr>
            <w:r w:rsidRPr="005C7F23">
              <w:t>Improved health</w:t>
            </w:r>
          </w:p>
        </w:tc>
        <w:tc>
          <w:tcPr>
            <w:tcW w:w="964" w:type="dxa"/>
          </w:tcPr>
          <w:p w:rsidR="005C7F23" w:rsidRPr="005C7F23" w:rsidRDefault="005C7F23" w:rsidP="007D1A22">
            <w:pPr>
              <w:pStyle w:val="TableTextEntries"/>
            </w:pPr>
            <w:r w:rsidRPr="005C7F23">
              <w:t>2.26</w:t>
            </w:r>
          </w:p>
        </w:tc>
        <w:tc>
          <w:tcPr>
            <w:tcW w:w="1426" w:type="dxa"/>
          </w:tcPr>
          <w:p w:rsidR="005C7F23" w:rsidRPr="005C7F23" w:rsidRDefault="005C7F23" w:rsidP="007D1A22">
            <w:pPr>
              <w:pStyle w:val="TableTextEntries"/>
            </w:pPr>
            <w:r w:rsidRPr="005C7F23">
              <w:t>13.57</w:t>
            </w:r>
          </w:p>
        </w:tc>
      </w:tr>
      <w:tr w:rsidR="005C7F23" w:rsidRPr="00180B19" w:rsidTr="007D1A22">
        <w:trPr>
          <w:cnfStyle w:val="000000010000" w:firstRow="0" w:lastRow="0" w:firstColumn="0" w:lastColumn="0" w:oddVBand="0" w:evenVBand="0" w:oddHBand="0" w:evenHBand="1" w:firstRowFirstColumn="0" w:firstRowLastColumn="0" w:lastRowFirstColumn="0" w:lastRowLastColumn="0"/>
        </w:trPr>
        <w:tc>
          <w:tcPr>
            <w:tcW w:w="6048" w:type="dxa"/>
          </w:tcPr>
          <w:p w:rsidR="005C7F23" w:rsidRPr="005C7F23" w:rsidRDefault="005C7F23" w:rsidP="007D1A22">
            <w:pPr>
              <w:pStyle w:val="TableTextEntries"/>
            </w:pPr>
            <w:r w:rsidRPr="005C7F23">
              <w:t>Improved technical and vocational skills</w:t>
            </w:r>
          </w:p>
        </w:tc>
        <w:tc>
          <w:tcPr>
            <w:tcW w:w="964" w:type="dxa"/>
          </w:tcPr>
          <w:p w:rsidR="005C7F23" w:rsidRPr="005C7F23" w:rsidRDefault="005C7F23" w:rsidP="007D1A22">
            <w:pPr>
              <w:pStyle w:val="TableTextEntries"/>
            </w:pPr>
            <w:r w:rsidRPr="005C7F23">
              <w:t>0.16</w:t>
            </w:r>
          </w:p>
        </w:tc>
        <w:tc>
          <w:tcPr>
            <w:tcW w:w="1426" w:type="dxa"/>
          </w:tcPr>
          <w:p w:rsidR="005C7F23" w:rsidRPr="005C7F23" w:rsidRDefault="005C7F23" w:rsidP="007D1A22">
            <w:pPr>
              <w:pStyle w:val="TableTextEntries"/>
            </w:pPr>
            <w:r w:rsidRPr="005C7F23">
              <w:t>1.00</w:t>
            </w:r>
          </w:p>
        </w:tc>
      </w:tr>
      <w:tr w:rsidR="005C7F23" w:rsidRPr="00180B19" w:rsidTr="007D1A22">
        <w:trPr>
          <w:cnfStyle w:val="000000010000" w:firstRow="0" w:lastRow="0" w:firstColumn="0" w:lastColumn="0" w:oddVBand="0" w:evenVBand="0" w:oddHBand="0" w:evenHBand="1" w:firstRowFirstColumn="0" w:firstRowLastColumn="0" w:lastRowFirstColumn="0" w:lastRowLastColumn="0"/>
        </w:trPr>
        <w:tc>
          <w:tcPr>
            <w:tcW w:w="6048" w:type="dxa"/>
          </w:tcPr>
          <w:p w:rsidR="005C7F23" w:rsidRPr="00155A82" w:rsidRDefault="005C7F23" w:rsidP="007D1A22">
            <w:pPr>
              <w:pStyle w:val="TableTextColumnHeading"/>
              <w:rPr>
                <w:b w:val="0"/>
              </w:rPr>
            </w:pPr>
            <w:r w:rsidRPr="00155A82">
              <w:rPr>
                <w:b w:val="0"/>
              </w:rPr>
              <w:t>Develop</w:t>
            </w:r>
            <w:r w:rsidR="000F70C6">
              <w:rPr>
                <w:b w:val="0"/>
              </w:rPr>
              <w:t>ment of</w:t>
            </w:r>
            <w:r w:rsidRPr="00155A82">
              <w:rPr>
                <w:b w:val="0"/>
              </w:rPr>
              <w:t xml:space="preserve"> infrastructure to improve the everyday lives of the people</w:t>
            </w:r>
          </w:p>
        </w:tc>
        <w:tc>
          <w:tcPr>
            <w:tcW w:w="964" w:type="dxa"/>
          </w:tcPr>
          <w:p w:rsidR="005C7F23" w:rsidRPr="005C7F23" w:rsidRDefault="005C7F23" w:rsidP="007D1A22">
            <w:pPr>
              <w:pStyle w:val="TableTextEntries"/>
            </w:pPr>
            <w:r w:rsidRPr="005C7F23">
              <w:t>2.03</w:t>
            </w:r>
          </w:p>
        </w:tc>
        <w:tc>
          <w:tcPr>
            <w:tcW w:w="1426" w:type="dxa"/>
          </w:tcPr>
          <w:p w:rsidR="005C7F23" w:rsidRPr="005C7F23" w:rsidRDefault="005C7F23" w:rsidP="007D1A22">
            <w:pPr>
              <w:pStyle w:val="TableTextEntries"/>
            </w:pPr>
            <w:r w:rsidRPr="005C7F23">
              <w:t>12.21</w:t>
            </w:r>
          </w:p>
        </w:tc>
      </w:tr>
      <w:tr w:rsidR="005C7F23" w:rsidRPr="00180B19" w:rsidTr="007D1A22">
        <w:trPr>
          <w:cnfStyle w:val="000000010000" w:firstRow="0" w:lastRow="0" w:firstColumn="0" w:lastColumn="0" w:oddVBand="0" w:evenVBand="0" w:oddHBand="0" w:evenHBand="1" w:firstRowFirstColumn="0" w:firstRowLastColumn="0" w:lastRowFirstColumn="0" w:lastRowLastColumn="0"/>
        </w:trPr>
        <w:tc>
          <w:tcPr>
            <w:tcW w:w="6048" w:type="dxa"/>
          </w:tcPr>
          <w:p w:rsidR="005C7F23" w:rsidRPr="00155A82" w:rsidRDefault="005C7F23" w:rsidP="007D1A22">
            <w:pPr>
              <w:pStyle w:val="TableTextEntries"/>
              <w:rPr>
                <w:b/>
              </w:rPr>
            </w:pPr>
            <w:r w:rsidRPr="00155A82">
              <w:rPr>
                <w:b/>
              </w:rPr>
              <w:t>Major bilateral expenditure outside the partnership</w:t>
            </w:r>
          </w:p>
        </w:tc>
        <w:tc>
          <w:tcPr>
            <w:tcW w:w="964" w:type="dxa"/>
          </w:tcPr>
          <w:p w:rsidR="005C7F23" w:rsidRPr="005C7F23" w:rsidRDefault="005C7F23" w:rsidP="007D1A22">
            <w:pPr>
              <w:pStyle w:val="TableTextEntries"/>
            </w:pPr>
          </w:p>
        </w:tc>
        <w:tc>
          <w:tcPr>
            <w:tcW w:w="1426" w:type="dxa"/>
          </w:tcPr>
          <w:p w:rsidR="005C7F23" w:rsidRPr="005C7F23" w:rsidRDefault="005C7F23" w:rsidP="007D1A22">
            <w:pPr>
              <w:pStyle w:val="TableTextEntries"/>
            </w:pPr>
          </w:p>
        </w:tc>
      </w:tr>
      <w:tr w:rsidR="005C7F23" w:rsidRPr="00180B19" w:rsidTr="007D1A22">
        <w:trPr>
          <w:cnfStyle w:val="000000010000" w:firstRow="0" w:lastRow="0" w:firstColumn="0" w:lastColumn="0" w:oddVBand="0" w:evenVBand="0" w:oddHBand="0" w:evenHBand="1" w:firstRowFirstColumn="0" w:firstRowLastColumn="0" w:lastRowFirstColumn="0" w:lastRowLastColumn="0"/>
        </w:trPr>
        <w:tc>
          <w:tcPr>
            <w:tcW w:w="6048" w:type="dxa"/>
          </w:tcPr>
          <w:p w:rsidR="005C7F23" w:rsidRPr="005C7F23" w:rsidRDefault="005C7F23" w:rsidP="007D1A22">
            <w:pPr>
              <w:pStyle w:val="TableTextEntries"/>
            </w:pPr>
            <w:r w:rsidRPr="005C7F23">
              <w:t>Scholarships programs</w:t>
            </w:r>
          </w:p>
          <w:p w:rsidR="005C7F23" w:rsidRPr="005C7F23" w:rsidRDefault="005C7F23" w:rsidP="007D1A22">
            <w:pPr>
              <w:pStyle w:val="TableTextEntries"/>
            </w:pPr>
            <w:r w:rsidRPr="005C7F23">
              <w:t xml:space="preserve">Performance </w:t>
            </w:r>
            <w:r w:rsidR="000F70C6">
              <w:t>l</w:t>
            </w:r>
            <w:r w:rsidRPr="005C7F23">
              <w:t xml:space="preserve">inked </w:t>
            </w:r>
            <w:r w:rsidR="000F70C6">
              <w:t>a</w:t>
            </w:r>
            <w:r w:rsidRPr="005C7F23">
              <w:t>id (</w:t>
            </w:r>
            <w:r w:rsidR="000F70C6">
              <w:t>b</w:t>
            </w:r>
            <w:r w:rsidRPr="005C7F23">
              <w:t xml:space="preserve">udget </w:t>
            </w:r>
            <w:r w:rsidR="000F70C6">
              <w:t>s</w:t>
            </w:r>
            <w:r w:rsidRPr="005C7F23">
              <w:t>upport)</w:t>
            </w:r>
          </w:p>
        </w:tc>
        <w:tc>
          <w:tcPr>
            <w:tcW w:w="964" w:type="dxa"/>
          </w:tcPr>
          <w:p w:rsidR="005C7F23" w:rsidRPr="005C7F23" w:rsidRDefault="005C7F23" w:rsidP="007D1A22">
            <w:pPr>
              <w:pStyle w:val="TableTextEntries"/>
            </w:pPr>
            <w:r w:rsidRPr="005C7F23">
              <w:t>1.56</w:t>
            </w:r>
          </w:p>
          <w:p w:rsidR="005C7F23" w:rsidRPr="005C7F23" w:rsidRDefault="005C7F23" w:rsidP="007D1A22">
            <w:pPr>
              <w:pStyle w:val="TableTextEntries"/>
            </w:pPr>
            <w:r w:rsidRPr="005C7F23">
              <w:t>5.00</w:t>
            </w:r>
          </w:p>
        </w:tc>
        <w:tc>
          <w:tcPr>
            <w:tcW w:w="1426" w:type="dxa"/>
          </w:tcPr>
          <w:p w:rsidR="005C7F23" w:rsidRPr="005C7F23" w:rsidRDefault="005C7F23" w:rsidP="007D1A22">
            <w:pPr>
              <w:pStyle w:val="TableTextEntries"/>
            </w:pPr>
            <w:r w:rsidRPr="005C7F23">
              <w:t>9.37</w:t>
            </w:r>
          </w:p>
          <w:p w:rsidR="005C7F23" w:rsidRPr="005C7F23" w:rsidRDefault="005C7F23" w:rsidP="007D1A22">
            <w:pPr>
              <w:pStyle w:val="TableTextEntries"/>
            </w:pPr>
            <w:r w:rsidRPr="005C7F23">
              <w:t>30.00</w:t>
            </w:r>
          </w:p>
        </w:tc>
      </w:tr>
      <w:tr w:rsidR="005C7F23" w:rsidRPr="00180B19" w:rsidTr="007D1A22">
        <w:trPr>
          <w:cnfStyle w:val="000000010000" w:firstRow="0" w:lastRow="0" w:firstColumn="0" w:lastColumn="0" w:oddVBand="0" w:evenVBand="0" w:oddHBand="0" w:evenHBand="1" w:firstRowFirstColumn="0" w:firstRowLastColumn="0" w:lastRowFirstColumn="0" w:lastRowLastColumn="0"/>
        </w:trPr>
        <w:tc>
          <w:tcPr>
            <w:tcW w:w="6048" w:type="dxa"/>
          </w:tcPr>
          <w:p w:rsidR="005C7F23" w:rsidRPr="005C7F23" w:rsidRDefault="005C7F23" w:rsidP="007D1A22">
            <w:pPr>
              <w:pStyle w:val="TableTextEntries"/>
            </w:pPr>
            <w:r w:rsidRPr="005C7F23">
              <w:t>Interim education program</w:t>
            </w:r>
            <w:r w:rsidR="003101AE">
              <w:t>—</w:t>
            </w:r>
            <w:r w:rsidRPr="005C7F23">
              <w:t>T</w:t>
            </w:r>
            <w:r w:rsidR="00D22B34">
              <w:t>onga Education Support Package</w:t>
            </w:r>
          </w:p>
          <w:p w:rsidR="005C7F23" w:rsidRPr="005C7F23" w:rsidRDefault="005C7F23" w:rsidP="007D1A22">
            <w:pPr>
              <w:pStyle w:val="TableTextEntries"/>
            </w:pPr>
            <w:r w:rsidRPr="005C7F23">
              <w:t>Governance</w:t>
            </w:r>
          </w:p>
        </w:tc>
        <w:tc>
          <w:tcPr>
            <w:tcW w:w="964" w:type="dxa"/>
          </w:tcPr>
          <w:p w:rsidR="005C7F23" w:rsidRPr="005C7F23" w:rsidRDefault="005C7F23" w:rsidP="007D1A22">
            <w:pPr>
              <w:pStyle w:val="TableTextEntries"/>
            </w:pPr>
            <w:r w:rsidRPr="005C7F23">
              <w:t>1.57</w:t>
            </w:r>
          </w:p>
          <w:p w:rsidR="005C7F23" w:rsidRPr="005C7F23" w:rsidRDefault="005C7F23" w:rsidP="007D1A22">
            <w:pPr>
              <w:pStyle w:val="TableTextEntries"/>
            </w:pPr>
            <w:r w:rsidRPr="005C7F23">
              <w:t>1.12</w:t>
            </w:r>
          </w:p>
        </w:tc>
        <w:tc>
          <w:tcPr>
            <w:tcW w:w="1426" w:type="dxa"/>
          </w:tcPr>
          <w:p w:rsidR="005C7F23" w:rsidRPr="005C7F23" w:rsidRDefault="005C7F23" w:rsidP="007D1A22">
            <w:pPr>
              <w:pStyle w:val="TableTextEntries"/>
            </w:pPr>
            <w:r w:rsidRPr="005C7F23">
              <w:t>9.45</w:t>
            </w:r>
          </w:p>
          <w:p w:rsidR="005C7F23" w:rsidRPr="005C7F23" w:rsidRDefault="005C7F23" w:rsidP="007D1A22">
            <w:pPr>
              <w:pStyle w:val="TableTextEntries"/>
            </w:pPr>
            <w:r w:rsidRPr="005C7F23">
              <w:t>6.73</w:t>
            </w:r>
          </w:p>
        </w:tc>
      </w:tr>
    </w:tbl>
    <w:p w:rsidR="004C4A3E" w:rsidRDefault="00180B19" w:rsidP="004C4A3E">
      <w:pPr>
        <w:pStyle w:val="Note"/>
      </w:pPr>
      <w:r w:rsidRPr="00180B19">
        <w:t xml:space="preserve">Source: </w:t>
      </w:r>
      <w:r w:rsidR="005C7F23">
        <w:t>AidWorks</w:t>
      </w:r>
    </w:p>
    <w:p w:rsidR="007D1A22" w:rsidRPr="007D1A22" w:rsidRDefault="007D1A22" w:rsidP="007D1A22"/>
    <w:p w:rsidR="00180B19" w:rsidRPr="00180B19" w:rsidRDefault="00180B19" w:rsidP="002D1680">
      <w:pPr>
        <w:pStyle w:val="Heading1"/>
      </w:pPr>
      <w:r w:rsidRPr="00180B19">
        <w:lastRenderedPageBreak/>
        <w:t>Progress towards objectives</w:t>
      </w:r>
    </w:p>
    <w:p w:rsidR="00F80674" w:rsidRPr="000D78B7" w:rsidRDefault="00C74B06" w:rsidP="000721CB">
      <w:pPr>
        <w:pStyle w:val="BodyText"/>
      </w:pPr>
      <w:r w:rsidRPr="000D78B7">
        <w:t xml:space="preserve">Overall progress toward the mutually agreed objectives of the </w:t>
      </w:r>
      <w:r w:rsidR="007148B3" w:rsidRPr="000D78B7">
        <w:t>Partnership for Development</w:t>
      </w:r>
      <w:r w:rsidRPr="000D78B7">
        <w:t xml:space="preserve"> improved in 2012</w:t>
      </w:r>
      <w:r w:rsidR="00D22B34" w:rsidRPr="000D78B7">
        <w:t>–</w:t>
      </w:r>
      <w:r w:rsidRPr="000D78B7">
        <w:t>13</w:t>
      </w:r>
      <w:r w:rsidR="00D22B34" w:rsidRPr="000D78B7">
        <w:t>.</w:t>
      </w:r>
      <w:r w:rsidRPr="000D78B7">
        <w:t xml:space="preserve"> Australia worked with the World Bank and </w:t>
      </w:r>
      <w:r w:rsidR="007148B3" w:rsidRPr="000D78B7">
        <w:t>Government of Tonga</w:t>
      </w:r>
      <w:r w:rsidRPr="000D78B7">
        <w:t xml:space="preserve"> to reinvigorate progress on a major transport infrastructure program and restructured its support for technical and vocational education</w:t>
      </w:r>
      <w:r w:rsidR="00F43E41">
        <w:t xml:space="preserve"> and training</w:t>
      </w:r>
      <w:r w:rsidRPr="000D78B7">
        <w:t xml:space="preserve"> in Tonga.</w:t>
      </w:r>
    </w:p>
    <w:p w:rsidR="00261A43" w:rsidRDefault="00261A43" w:rsidP="00261A43">
      <w:pPr>
        <w:pStyle w:val="Caption"/>
      </w:pPr>
      <w:r>
        <w:t>Table 4 Rating of the program's progress towards the objectives</w:t>
      </w:r>
    </w:p>
    <w:tbl>
      <w:tblPr>
        <w:tblStyle w:val="APPR"/>
        <w:tblW w:w="5000" w:type="pct"/>
        <w:tblLook w:val="0000" w:firstRow="0" w:lastRow="0" w:firstColumn="0" w:lastColumn="0" w:noHBand="0" w:noVBand="0"/>
      </w:tblPr>
      <w:tblGrid>
        <w:gridCol w:w="6354"/>
        <w:gridCol w:w="1092"/>
        <w:gridCol w:w="1160"/>
      </w:tblGrid>
      <w:tr w:rsidR="00261A43" w:rsidRPr="0019341B" w:rsidTr="00261A43">
        <w:trPr>
          <w:cnfStyle w:val="000000010000" w:firstRow="0" w:lastRow="0" w:firstColumn="0" w:lastColumn="0" w:oddVBand="0" w:evenVBand="0" w:oddHBand="0" w:evenHBand="1" w:firstRowFirstColumn="0" w:firstRowLastColumn="0" w:lastRowFirstColumn="0" w:lastRowLastColumn="0"/>
          <w:trHeight w:val="651"/>
        </w:trPr>
        <w:tc>
          <w:tcPr>
            <w:tcW w:w="5765" w:type="dxa"/>
          </w:tcPr>
          <w:p w:rsidR="00261A43" w:rsidRPr="00111281" w:rsidRDefault="00261A43" w:rsidP="00261A43">
            <w:pPr>
              <w:pStyle w:val="TableTextColumnHeading"/>
            </w:pPr>
            <w:r w:rsidRPr="00111281">
              <w:rPr>
                <w:noProof/>
                <w:lang w:eastAsia="en-AU"/>
              </w:rPr>
              <w:drawing>
                <wp:anchor distT="0" distB="0" distL="114300" distR="114300" simplePos="0" relativeHeight="251659264" behindDoc="0" locked="0" layoutInCell="1" allowOverlap="1" wp14:anchorId="153831A8" wp14:editId="27D5C2A3">
                  <wp:simplePos x="0" y="0"/>
                  <wp:positionH relativeFrom="column">
                    <wp:posOffset>0</wp:posOffset>
                  </wp:positionH>
                  <wp:positionV relativeFrom="paragraph">
                    <wp:posOffset>0</wp:posOffset>
                  </wp:positionV>
                  <wp:extent cx="1857375" cy="228600"/>
                  <wp:effectExtent l="0" t="0" r="9525" b="0"/>
                  <wp:wrapNone/>
                  <wp:docPr id="11" name="Picture 1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1281">
              <w:t>Objective</w:t>
            </w:r>
          </w:p>
        </w:tc>
        <w:tc>
          <w:tcPr>
            <w:tcW w:w="972" w:type="dxa"/>
          </w:tcPr>
          <w:p w:rsidR="00261A43" w:rsidRPr="0019341B" w:rsidRDefault="00261A43" w:rsidP="00261A43">
            <w:pPr>
              <w:pStyle w:val="TableTextColumnHeading"/>
            </w:pPr>
            <w:r>
              <w:t>Current rating</w:t>
            </w:r>
          </w:p>
        </w:tc>
        <w:tc>
          <w:tcPr>
            <w:tcW w:w="1021" w:type="dxa"/>
          </w:tcPr>
          <w:p w:rsidR="00261A43" w:rsidRPr="0019341B" w:rsidRDefault="00261A43" w:rsidP="00261A43">
            <w:pPr>
              <w:pStyle w:val="TableTextColumnHeading"/>
            </w:pPr>
            <w:r>
              <w:t>Previous rating</w:t>
            </w:r>
          </w:p>
        </w:tc>
      </w:tr>
      <w:tr w:rsidR="00261A43" w:rsidRPr="00F02843" w:rsidTr="00261A43">
        <w:trPr>
          <w:cnfStyle w:val="000000010000" w:firstRow="0" w:lastRow="0" w:firstColumn="0" w:lastColumn="0" w:oddVBand="0" w:evenVBand="0" w:oddHBand="0" w:evenHBand="1" w:firstRowFirstColumn="0" w:firstRowLastColumn="0" w:lastRowFirstColumn="0" w:lastRowLastColumn="0"/>
        </w:trPr>
        <w:tc>
          <w:tcPr>
            <w:tcW w:w="5765" w:type="dxa"/>
            <w:vAlign w:val="center"/>
          </w:tcPr>
          <w:p w:rsidR="00261A43" w:rsidRPr="00060DB8" w:rsidRDefault="00261A43" w:rsidP="00261A43">
            <w:pPr>
              <w:pStyle w:val="TableTextEntries"/>
            </w:pPr>
            <w:r w:rsidRPr="00060DB8">
              <w:t>More efficient and effective public sector</w:t>
            </w:r>
          </w:p>
        </w:tc>
        <w:tc>
          <w:tcPr>
            <w:tcW w:w="972" w:type="dxa"/>
            <w:shd w:val="clear" w:color="auto" w:fill="92D050"/>
            <w:noWrap/>
          </w:tcPr>
          <w:p w:rsidR="00261A43" w:rsidRPr="00060DB8" w:rsidRDefault="00261A43" w:rsidP="00261A43">
            <w:pPr>
              <w:pStyle w:val="TableTextEntries"/>
            </w:pPr>
            <w:r w:rsidRPr="00060DB8">
              <w:t>Green</w:t>
            </w:r>
          </w:p>
        </w:tc>
        <w:tc>
          <w:tcPr>
            <w:tcW w:w="1021" w:type="dxa"/>
            <w:shd w:val="clear" w:color="auto" w:fill="92D050"/>
            <w:noWrap/>
          </w:tcPr>
          <w:p w:rsidR="00261A43" w:rsidRPr="00060DB8" w:rsidRDefault="00261A43" w:rsidP="00261A43">
            <w:pPr>
              <w:pStyle w:val="TableTextEntries"/>
            </w:pPr>
            <w:r w:rsidRPr="00060DB8">
              <w:t>Green</w:t>
            </w:r>
          </w:p>
        </w:tc>
      </w:tr>
      <w:tr w:rsidR="00261A43" w:rsidRPr="009D53C4" w:rsidTr="00261A43">
        <w:trPr>
          <w:cnfStyle w:val="000000010000" w:firstRow="0" w:lastRow="0" w:firstColumn="0" w:lastColumn="0" w:oddVBand="0" w:evenVBand="0" w:oddHBand="0" w:evenHBand="1" w:firstRowFirstColumn="0" w:firstRowLastColumn="0" w:lastRowFirstColumn="0" w:lastRowLastColumn="0"/>
        </w:trPr>
        <w:tc>
          <w:tcPr>
            <w:tcW w:w="5765" w:type="dxa"/>
            <w:vAlign w:val="center"/>
          </w:tcPr>
          <w:p w:rsidR="00261A43" w:rsidRPr="00060DB8" w:rsidRDefault="00261A43" w:rsidP="00261A43">
            <w:pPr>
              <w:pStyle w:val="TableTextEntries"/>
            </w:pPr>
            <w:r w:rsidRPr="00060DB8">
              <w:t>Improved health</w:t>
            </w:r>
          </w:p>
        </w:tc>
        <w:tc>
          <w:tcPr>
            <w:tcW w:w="972" w:type="dxa"/>
            <w:shd w:val="clear" w:color="auto" w:fill="92D050"/>
            <w:noWrap/>
          </w:tcPr>
          <w:p w:rsidR="00261A43" w:rsidRPr="00060DB8" w:rsidRDefault="00261A43" w:rsidP="00261A43">
            <w:pPr>
              <w:pStyle w:val="TableTextEntries"/>
            </w:pPr>
            <w:r w:rsidRPr="00060DB8">
              <w:t>Green</w:t>
            </w:r>
          </w:p>
        </w:tc>
        <w:tc>
          <w:tcPr>
            <w:tcW w:w="1021" w:type="dxa"/>
            <w:shd w:val="clear" w:color="auto" w:fill="92D050"/>
            <w:noWrap/>
          </w:tcPr>
          <w:p w:rsidR="00261A43" w:rsidRPr="00060DB8" w:rsidRDefault="00261A43" w:rsidP="00261A43">
            <w:pPr>
              <w:pStyle w:val="TableTextEntries"/>
            </w:pPr>
            <w:r w:rsidRPr="00060DB8">
              <w:t>Green</w:t>
            </w:r>
          </w:p>
        </w:tc>
      </w:tr>
      <w:tr w:rsidR="00261A43" w:rsidRPr="009D53C4" w:rsidTr="00261A43">
        <w:trPr>
          <w:cnfStyle w:val="000000010000" w:firstRow="0" w:lastRow="0" w:firstColumn="0" w:lastColumn="0" w:oddVBand="0" w:evenVBand="0" w:oddHBand="0" w:evenHBand="1" w:firstRowFirstColumn="0" w:firstRowLastColumn="0" w:lastRowFirstColumn="0" w:lastRowLastColumn="0"/>
        </w:trPr>
        <w:tc>
          <w:tcPr>
            <w:tcW w:w="5765" w:type="dxa"/>
            <w:vAlign w:val="center"/>
          </w:tcPr>
          <w:p w:rsidR="00261A43" w:rsidRPr="00060DB8" w:rsidRDefault="00261A43" w:rsidP="00261A43">
            <w:pPr>
              <w:pStyle w:val="TableTextEntries"/>
            </w:pPr>
            <w:r w:rsidRPr="00060DB8">
              <w:t xml:space="preserve">Improved technical and vocational skills </w:t>
            </w:r>
          </w:p>
        </w:tc>
        <w:tc>
          <w:tcPr>
            <w:tcW w:w="972" w:type="dxa"/>
            <w:shd w:val="clear" w:color="auto" w:fill="FFC000"/>
            <w:noWrap/>
          </w:tcPr>
          <w:p w:rsidR="00261A43" w:rsidRPr="00060DB8" w:rsidRDefault="00261A43" w:rsidP="00261A43">
            <w:pPr>
              <w:pStyle w:val="TableTextEntries"/>
            </w:pPr>
            <w:r w:rsidRPr="00060DB8">
              <w:t>Amber</w:t>
            </w:r>
          </w:p>
        </w:tc>
        <w:tc>
          <w:tcPr>
            <w:tcW w:w="1021" w:type="dxa"/>
            <w:shd w:val="clear" w:color="auto" w:fill="FF0000"/>
            <w:noWrap/>
          </w:tcPr>
          <w:p w:rsidR="00261A43" w:rsidRPr="00060DB8" w:rsidRDefault="00261A43" w:rsidP="00261A43">
            <w:pPr>
              <w:pStyle w:val="TableTextEntries"/>
            </w:pPr>
            <w:r w:rsidRPr="00060DB8">
              <w:t>Red</w:t>
            </w:r>
          </w:p>
        </w:tc>
      </w:tr>
      <w:tr w:rsidR="00261A43" w:rsidRPr="009D53C4" w:rsidTr="00261A43">
        <w:trPr>
          <w:cnfStyle w:val="000000010000" w:firstRow="0" w:lastRow="0" w:firstColumn="0" w:lastColumn="0" w:oddVBand="0" w:evenVBand="0" w:oddHBand="0" w:evenHBand="1" w:firstRowFirstColumn="0" w:firstRowLastColumn="0" w:lastRowFirstColumn="0" w:lastRowLastColumn="0"/>
        </w:trPr>
        <w:tc>
          <w:tcPr>
            <w:tcW w:w="5765" w:type="dxa"/>
            <w:vAlign w:val="center"/>
          </w:tcPr>
          <w:p w:rsidR="00261A43" w:rsidRPr="00060DB8" w:rsidRDefault="00261A43" w:rsidP="00261A43">
            <w:pPr>
              <w:pStyle w:val="TableTextEntries"/>
            </w:pPr>
            <w:r w:rsidRPr="00060DB8">
              <w:t>Development of infrastructure to improve the everyday lives of the people</w:t>
            </w:r>
          </w:p>
        </w:tc>
        <w:tc>
          <w:tcPr>
            <w:tcW w:w="972" w:type="dxa"/>
            <w:shd w:val="clear" w:color="auto" w:fill="FFC000"/>
            <w:noWrap/>
          </w:tcPr>
          <w:p w:rsidR="00261A43" w:rsidRPr="00060DB8" w:rsidRDefault="00261A43" w:rsidP="00261A43">
            <w:pPr>
              <w:pStyle w:val="TableTextEntries"/>
            </w:pPr>
            <w:r w:rsidRPr="00060DB8">
              <w:t>Amber</w:t>
            </w:r>
          </w:p>
        </w:tc>
        <w:tc>
          <w:tcPr>
            <w:tcW w:w="1021" w:type="dxa"/>
            <w:shd w:val="clear" w:color="auto" w:fill="FF0000"/>
            <w:noWrap/>
          </w:tcPr>
          <w:p w:rsidR="00261A43" w:rsidRPr="00060DB8" w:rsidRDefault="00261A43" w:rsidP="00261A43">
            <w:pPr>
              <w:pStyle w:val="TableTextEntries"/>
            </w:pPr>
            <w:r w:rsidRPr="00060DB8">
              <w:t>Red</w:t>
            </w:r>
          </w:p>
        </w:tc>
      </w:tr>
    </w:tbl>
    <w:p w:rsidR="00261A43" w:rsidRPr="00180B19" w:rsidRDefault="00261A43" w:rsidP="00261A43">
      <w:pPr>
        <w:pStyle w:val="Note"/>
      </w:pPr>
      <w:r w:rsidRPr="00180B19">
        <w:t xml:space="preserve">Note: </w:t>
      </w:r>
    </w:p>
    <w:p w:rsidR="00261A43" w:rsidRPr="00180B19" w:rsidRDefault="00261A43" w:rsidP="00261A43">
      <w:pPr>
        <w:pStyle w:val="Note"/>
      </w:pPr>
      <w:r w:rsidRPr="004C4A3E">
        <w:rPr>
          <w:color w:val="92D050"/>
        </w:rPr>
        <w:sym w:font="Webdings" w:char="F067"/>
      </w:r>
      <w:r w:rsidRPr="00180B19">
        <w:t> </w:t>
      </w:r>
      <w:r w:rsidRPr="00180B19">
        <w:t xml:space="preserve"> </w:t>
      </w:r>
      <w:r>
        <w:t xml:space="preserve">Green. </w:t>
      </w:r>
      <w:r w:rsidRPr="00180B19">
        <w:t>Progress is as expected for this point in time and it is likely that the objective will be achieved. Standard program management practices are sufficient.</w:t>
      </w:r>
    </w:p>
    <w:p w:rsidR="00261A43" w:rsidRPr="00180B19" w:rsidRDefault="00261A43" w:rsidP="00261A43">
      <w:pPr>
        <w:pStyle w:val="Note"/>
      </w:pPr>
      <w:r w:rsidRPr="004C4A3E">
        <w:rPr>
          <w:color w:val="F79646" w:themeColor="accent6"/>
        </w:rPr>
        <w:sym w:font="Webdings" w:char="F067"/>
      </w:r>
      <w:r w:rsidRPr="00180B19">
        <w:t> </w:t>
      </w:r>
      <w:r w:rsidRPr="00180B19">
        <w:t xml:space="preserve"> </w:t>
      </w:r>
      <w:r>
        <w:t xml:space="preserve">Amber. </w:t>
      </w:r>
      <w:r w:rsidRPr="00180B19">
        <w:t>Progress is somewhat less than expected for this point in time and restorative action will be necessary if the objective is to be achieved. Close performance monitoring is recommended.</w:t>
      </w:r>
    </w:p>
    <w:p w:rsidR="00261A43" w:rsidRPr="00060DB8" w:rsidRDefault="00261A43" w:rsidP="00261A43">
      <w:pPr>
        <w:pStyle w:val="Note"/>
      </w:pPr>
      <w:r w:rsidRPr="004C4A3E">
        <w:rPr>
          <w:color w:val="FF0000"/>
        </w:rPr>
        <w:sym w:font="Webdings" w:char="F067"/>
      </w:r>
      <w:r w:rsidRPr="00180B19">
        <w:t> </w:t>
      </w:r>
      <w:r w:rsidRPr="00180B19">
        <w:t xml:space="preserve"> </w:t>
      </w:r>
      <w:r>
        <w:t xml:space="preserve">Red. </w:t>
      </w:r>
      <w:r w:rsidRPr="00180B19">
        <w:t xml:space="preserve">Progress is significantly less than expected for this point in time and the objective is not likely to be met given available resources and priorities. Recasting the objective may be required. </w:t>
      </w:r>
    </w:p>
    <w:p w:rsidR="00C74B06" w:rsidRPr="00180B19" w:rsidRDefault="00C74B06" w:rsidP="002D1680">
      <w:pPr>
        <w:pStyle w:val="Heading1"/>
      </w:pPr>
      <w:r>
        <w:t xml:space="preserve">Gender </w:t>
      </w:r>
      <w:r w:rsidRPr="002D1680">
        <w:t>equality</w:t>
      </w:r>
    </w:p>
    <w:p w:rsidR="00D22B34" w:rsidRDefault="0035422C" w:rsidP="000721CB">
      <w:pPr>
        <w:pStyle w:val="BodyText"/>
      </w:pPr>
      <w:r w:rsidRPr="00261C9F">
        <w:t>At the 2012 Pacific Islands Forum</w:t>
      </w:r>
      <w:r w:rsidR="00D22B34">
        <w:t>,</w:t>
      </w:r>
      <w:r w:rsidRPr="00261C9F">
        <w:t xml:space="preserve"> Australia announced the Pacific Women Shaping Pacific Development</w:t>
      </w:r>
      <w:r w:rsidR="008E2780">
        <w:t xml:space="preserve"> I</w:t>
      </w:r>
      <w:r w:rsidRPr="00261C9F">
        <w:t xml:space="preserve">nitiative, a 10-year commitment to </w:t>
      </w:r>
      <w:r w:rsidRPr="004C66B0">
        <w:t xml:space="preserve">increase: </w:t>
      </w:r>
    </w:p>
    <w:p w:rsidR="00D22B34" w:rsidRPr="00EB076D" w:rsidRDefault="0035422C" w:rsidP="000721CB">
      <w:pPr>
        <w:pStyle w:val="ListBullet"/>
      </w:pPr>
      <w:r w:rsidRPr="00EB076D">
        <w:t>women’s participation in leadership and decision</w:t>
      </w:r>
      <w:r w:rsidR="00E73161">
        <w:t>-</w:t>
      </w:r>
      <w:r w:rsidRPr="00EB076D">
        <w:t>making roles</w:t>
      </w:r>
    </w:p>
    <w:p w:rsidR="00D22B34" w:rsidRPr="00EB076D" w:rsidRDefault="0035422C" w:rsidP="000721CB">
      <w:pPr>
        <w:pStyle w:val="ListBullet"/>
      </w:pPr>
      <w:r w:rsidRPr="00EB076D">
        <w:t>economic opportunities for women through improved access to financial services and market</w:t>
      </w:r>
      <w:r w:rsidR="00D22B34" w:rsidRPr="00EB076D">
        <w:t>s</w:t>
      </w:r>
    </w:p>
    <w:p w:rsidR="00D22B34" w:rsidRPr="00EB076D" w:rsidRDefault="0035422C" w:rsidP="000721CB">
      <w:pPr>
        <w:pStyle w:val="ListBullet"/>
      </w:pPr>
      <w:r w:rsidRPr="00EB076D">
        <w:t>safety for women through better services for survivors of violence, access to justice and preventing violence</w:t>
      </w:r>
      <w:r w:rsidR="00B617F2" w:rsidRPr="00EB076D">
        <w:t xml:space="preserve">. </w:t>
      </w:r>
    </w:p>
    <w:p w:rsidR="0035422C" w:rsidRPr="000721CB" w:rsidRDefault="0035422C" w:rsidP="000721CB">
      <w:pPr>
        <w:pStyle w:val="BodyText"/>
      </w:pPr>
      <w:r w:rsidRPr="000721CB">
        <w:t>Over the reporting period, the Tonga aid program posted some substantial achievements to advance gender equality</w:t>
      </w:r>
      <w:r w:rsidR="00B617F2" w:rsidRPr="000721CB">
        <w:t xml:space="preserve">. </w:t>
      </w:r>
      <w:r w:rsidRPr="000721CB">
        <w:t xml:space="preserve">One significant event was the national consultation on the review of the </w:t>
      </w:r>
      <w:r w:rsidR="00D22B34" w:rsidRPr="000721CB">
        <w:t>g</w:t>
      </w:r>
      <w:r w:rsidRPr="000721CB">
        <w:t xml:space="preserve">overnment’s </w:t>
      </w:r>
      <w:r w:rsidR="00D22B34" w:rsidRPr="000721CB">
        <w:t>g</w:t>
      </w:r>
      <w:r w:rsidRPr="000721CB">
        <w:t xml:space="preserve">ender and </w:t>
      </w:r>
      <w:r w:rsidR="00D22B34" w:rsidRPr="000721CB">
        <w:t>d</w:t>
      </w:r>
      <w:r w:rsidRPr="000721CB">
        <w:t>evelopment policy in August 2012</w:t>
      </w:r>
      <w:r w:rsidR="00B617F2" w:rsidRPr="000721CB">
        <w:t xml:space="preserve">. </w:t>
      </w:r>
      <w:r w:rsidRPr="000721CB">
        <w:t xml:space="preserve">Another was Australia’s assistance to the Regional Resource Right’s Team of the Secretariat of the Pacific Community, which enabled the drafting of the proposed Family Protection </w:t>
      </w:r>
      <w:r w:rsidR="00AB1127" w:rsidRPr="000721CB">
        <w:t>Bill</w:t>
      </w:r>
      <w:r w:rsidR="00B617F2" w:rsidRPr="000721CB">
        <w:t xml:space="preserve">. </w:t>
      </w:r>
      <w:r w:rsidRPr="000721CB">
        <w:t xml:space="preserve">The </w:t>
      </w:r>
      <w:r w:rsidR="00E73161" w:rsidRPr="000721CB">
        <w:t>B</w:t>
      </w:r>
      <w:r w:rsidRPr="000721CB">
        <w:t>ill, which sets out important legislative protections for women and children, is scheduled to be tabled in Tonga’s Parliament in June 2013</w:t>
      </w:r>
      <w:r w:rsidR="00B617F2" w:rsidRPr="000721CB">
        <w:t xml:space="preserve">. </w:t>
      </w:r>
    </w:p>
    <w:p w:rsidR="004C66B0" w:rsidRPr="000721CB" w:rsidRDefault="000D78B7" w:rsidP="000721CB">
      <w:pPr>
        <w:pStyle w:val="BodyText"/>
      </w:pPr>
      <w:r w:rsidRPr="000721CB">
        <w:t xml:space="preserve">The country work plan for Tonga to participate in the Pacific Women Shaping Pacific Development </w:t>
      </w:r>
      <w:r w:rsidR="008E2780" w:rsidRPr="000721CB">
        <w:t>I</w:t>
      </w:r>
      <w:r w:rsidRPr="000721CB">
        <w:t xml:space="preserve">nitiative has been developed and is awaiting endorsement by the Government of Tonga soon. </w:t>
      </w:r>
      <w:r w:rsidR="0035422C" w:rsidRPr="000721CB">
        <w:t xml:space="preserve">As part of developing </w:t>
      </w:r>
      <w:r w:rsidR="00DF3741" w:rsidRPr="000721CB">
        <w:t xml:space="preserve">the </w:t>
      </w:r>
      <w:r w:rsidR="0035422C" w:rsidRPr="000721CB">
        <w:t xml:space="preserve">country work plan, </w:t>
      </w:r>
      <w:r w:rsidR="006F27DE">
        <w:t xml:space="preserve">the Australian aid program </w:t>
      </w:r>
      <w:r w:rsidR="0035422C" w:rsidRPr="000721CB">
        <w:t>undertook gender analysis across the</w:t>
      </w:r>
      <w:r w:rsidR="00D22B34" w:rsidRPr="000721CB">
        <w:t xml:space="preserve"> Tonga</w:t>
      </w:r>
      <w:r w:rsidR="0035422C" w:rsidRPr="000721CB">
        <w:t xml:space="preserve"> program</w:t>
      </w:r>
      <w:r w:rsidR="00B617F2" w:rsidRPr="000721CB">
        <w:t xml:space="preserve">. </w:t>
      </w:r>
      <w:r w:rsidR="0035422C" w:rsidRPr="000721CB">
        <w:t xml:space="preserve">This identified </w:t>
      </w:r>
      <w:r w:rsidR="00D22B34" w:rsidRPr="000721CB">
        <w:t>the</w:t>
      </w:r>
      <w:r w:rsidR="0035422C" w:rsidRPr="000721CB">
        <w:t xml:space="preserve"> need for a more</w:t>
      </w:r>
      <w:r w:rsidR="0035422C" w:rsidRPr="000721CB" w:rsidDel="00C74B06">
        <w:t xml:space="preserve"> </w:t>
      </w:r>
      <w:r w:rsidR="004C66B0" w:rsidRPr="000721CB">
        <w:t>consistent</w:t>
      </w:r>
      <w:r w:rsidR="00C74B06" w:rsidRPr="000721CB">
        <w:t xml:space="preserve"> and </w:t>
      </w:r>
      <w:r w:rsidR="004C66B0" w:rsidRPr="000721CB">
        <w:t>articulated approach to ensur</w:t>
      </w:r>
      <w:r w:rsidR="00D22B34" w:rsidRPr="000721CB">
        <w:t>e</w:t>
      </w:r>
      <w:r w:rsidR="004C66B0" w:rsidRPr="000721CB">
        <w:t xml:space="preserve"> gender equality and women’s empowerment opportunities are consistently pursued across Australia’s aid program</w:t>
      </w:r>
      <w:r w:rsidR="0035422C" w:rsidRPr="000721CB">
        <w:t xml:space="preserve">. The </w:t>
      </w:r>
      <w:r w:rsidR="00FA3695" w:rsidRPr="000721CB">
        <w:t xml:space="preserve">analysis </w:t>
      </w:r>
      <w:r w:rsidR="0035422C" w:rsidRPr="000721CB">
        <w:t>also</w:t>
      </w:r>
      <w:r w:rsidR="004C66B0" w:rsidRPr="000721CB">
        <w:t xml:space="preserve"> identified opportunities for people living with disability to </w:t>
      </w:r>
      <w:r w:rsidR="0035422C" w:rsidRPr="000721CB">
        <w:t xml:space="preserve">more effectively </w:t>
      </w:r>
      <w:r w:rsidR="004C66B0" w:rsidRPr="000721CB">
        <w:t>participate in and benefit from Australia’s aid program in Tonga</w:t>
      </w:r>
      <w:r w:rsidR="00B617F2" w:rsidRPr="000721CB">
        <w:t xml:space="preserve">. </w:t>
      </w:r>
      <w:r w:rsidR="0035422C" w:rsidRPr="000721CB">
        <w:t xml:space="preserve">The Gender </w:t>
      </w:r>
      <w:r w:rsidR="001964B1" w:rsidRPr="000721CB">
        <w:t xml:space="preserve">Country Plan will set targets for activities in each </w:t>
      </w:r>
      <w:r w:rsidR="00FA3695" w:rsidRPr="000721CB">
        <w:t xml:space="preserve">of the aid program’s </w:t>
      </w:r>
      <w:r w:rsidR="001964B1" w:rsidRPr="000721CB">
        <w:t>sector</w:t>
      </w:r>
      <w:r w:rsidR="00FA3695" w:rsidRPr="000721CB">
        <w:t>s</w:t>
      </w:r>
      <w:r w:rsidR="00B617F2" w:rsidRPr="000721CB">
        <w:t xml:space="preserve">. </w:t>
      </w:r>
      <w:r w:rsidR="00FA3695" w:rsidRPr="000721CB">
        <w:t>It</w:t>
      </w:r>
      <w:r w:rsidR="0035422C" w:rsidRPr="000721CB">
        <w:t xml:space="preserve"> will </w:t>
      </w:r>
      <w:r w:rsidR="00FA3695" w:rsidRPr="000721CB">
        <w:t xml:space="preserve">also </w:t>
      </w:r>
      <w:r w:rsidR="0035422C" w:rsidRPr="000721CB">
        <w:t xml:space="preserve">provide specialist </w:t>
      </w:r>
      <w:r w:rsidR="00FA3695" w:rsidRPr="000721CB">
        <w:t>t</w:t>
      </w:r>
      <w:r w:rsidR="003F407A" w:rsidRPr="000721CB">
        <w:t xml:space="preserve">echnical </w:t>
      </w:r>
      <w:r w:rsidR="00FA3695" w:rsidRPr="000721CB">
        <w:t>a</w:t>
      </w:r>
      <w:r w:rsidR="003F407A" w:rsidRPr="000721CB">
        <w:t>ssistance</w:t>
      </w:r>
      <w:r w:rsidR="0035422C" w:rsidRPr="000721CB">
        <w:t xml:space="preserve"> to improve gender and disability outcomes across the program</w:t>
      </w:r>
      <w:r w:rsidR="00B617F2" w:rsidRPr="000721CB">
        <w:t xml:space="preserve">. </w:t>
      </w:r>
    </w:p>
    <w:p w:rsidR="00AF39A0" w:rsidRDefault="00AF39A0" w:rsidP="002D1680">
      <w:pPr>
        <w:pStyle w:val="Heading2"/>
      </w:pPr>
      <w:r>
        <w:lastRenderedPageBreak/>
        <w:t xml:space="preserve">Priority </w:t>
      </w:r>
      <w:r w:rsidR="00FA3695">
        <w:t>o</w:t>
      </w:r>
      <w:r>
        <w:t xml:space="preserve">utcome 1: </w:t>
      </w:r>
      <w:r w:rsidR="00FA3695">
        <w:t>M</w:t>
      </w:r>
      <w:r>
        <w:t>ore efficient and effective public se</w:t>
      </w:r>
      <w:r w:rsidR="00AC4F8D">
        <w:t>ctor</w:t>
      </w:r>
    </w:p>
    <w:p w:rsidR="00AF39A0" w:rsidRPr="002D1680" w:rsidRDefault="00AF39A0" w:rsidP="002D1680">
      <w:pPr>
        <w:pStyle w:val="Heading3"/>
      </w:pPr>
      <w:r w:rsidRPr="002D1680">
        <w:t>Rating and assessment</w:t>
      </w:r>
    </w:p>
    <w:p w:rsidR="00261A43" w:rsidRDefault="00261A43" w:rsidP="00261A43">
      <w:pPr>
        <w:pStyle w:val="BodyText"/>
        <w:rPr>
          <w:color w:val="99CC00"/>
          <w:sz w:val="28"/>
          <w:szCs w:val="28"/>
        </w:rPr>
      </w:pPr>
    </w:p>
    <w:p w:rsidR="00261A43" w:rsidRPr="00932BA6" w:rsidRDefault="00261A43" w:rsidP="00261A43">
      <w:pPr>
        <w:pStyle w:val="BodyText"/>
      </w:pPr>
      <w:r w:rsidRPr="00F15F46">
        <w:rPr>
          <w:color w:val="99CC00"/>
          <w:sz w:val="28"/>
          <w:szCs w:val="28"/>
        </w:rPr>
        <w:sym w:font="Webdings" w:char="F067"/>
      </w:r>
      <w:r>
        <w:rPr>
          <w:rFonts w:eastAsia="Arial Unicode MS"/>
        </w:rPr>
        <w:t> </w:t>
      </w:r>
      <w:r>
        <w:rPr>
          <w:rFonts w:eastAsia="Arial Unicode MS"/>
        </w:rPr>
        <w:t xml:space="preserve">Green: </w:t>
      </w:r>
      <w:r w:rsidRPr="00932BA6">
        <w:t>The objective will be fully achieved within the timeframe of the partnership.</w:t>
      </w:r>
    </w:p>
    <w:p w:rsidR="00261A43" w:rsidRPr="00932BA6" w:rsidRDefault="00261A43" w:rsidP="00261A43">
      <w:pPr>
        <w:pStyle w:val="Caption"/>
      </w:pPr>
      <w:r w:rsidRPr="00932BA6">
        <w:t>Table 5: Partnership for Development</w:t>
      </w:r>
      <w:r w:rsidRPr="00EB076D">
        <w:t>—</w:t>
      </w:r>
      <w:r w:rsidRPr="00932BA6">
        <w:t>a more efficient and effective public sector</w:t>
      </w:r>
    </w:p>
    <w:tbl>
      <w:tblPr>
        <w:tblW w:w="0" w:type="auto"/>
        <w:tblInd w:w="57" w:type="dxa"/>
        <w:tblLayout w:type="fixed"/>
        <w:tblLook w:val="0000" w:firstRow="0" w:lastRow="0" w:firstColumn="0" w:lastColumn="0" w:noHBand="0" w:noVBand="0"/>
      </w:tblPr>
      <w:tblGrid>
        <w:gridCol w:w="7088"/>
        <w:gridCol w:w="850"/>
      </w:tblGrid>
      <w:tr w:rsidR="00261A43" w:rsidRPr="00932BA6" w:rsidTr="00261A43">
        <w:tc>
          <w:tcPr>
            <w:tcW w:w="7938" w:type="dxa"/>
            <w:gridSpan w:val="2"/>
            <w:tcBorders>
              <w:top w:val="single" w:sz="12" w:space="0" w:color="auto"/>
              <w:bottom w:val="single" w:sz="2" w:space="0" w:color="auto"/>
            </w:tcBorders>
            <w:shd w:val="clear" w:color="auto" w:fill="auto"/>
            <w:tcMar>
              <w:left w:w="57" w:type="dxa"/>
              <w:right w:w="57" w:type="dxa"/>
            </w:tcMar>
          </w:tcPr>
          <w:p w:rsidR="00261A43" w:rsidRPr="00932BA6" w:rsidRDefault="00261A43" w:rsidP="00261A43">
            <w:pPr>
              <w:pStyle w:val="TableTextEntries"/>
            </w:pPr>
            <w:r w:rsidRPr="00932BA6">
              <w:t xml:space="preserve">Aim: To support the Government of Tonga to ensure that policies and programs are fiscally sustainable, strategically targeted on core development priorities, and implemented in the most cost-effective manner. This is pursued through the strengthening of the public sector in policy formulation and implementation, and public financial and economic management. </w:t>
            </w:r>
          </w:p>
        </w:tc>
      </w:tr>
      <w:tr w:rsidR="00261A43" w:rsidRPr="00932BA6" w:rsidTr="00261A43">
        <w:tc>
          <w:tcPr>
            <w:tcW w:w="7088" w:type="dxa"/>
            <w:tcBorders>
              <w:top w:val="single" w:sz="2" w:space="0" w:color="auto"/>
            </w:tcBorders>
            <w:shd w:val="clear" w:color="auto" w:fill="auto"/>
            <w:tcMar>
              <w:left w:w="57" w:type="dxa"/>
              <w:right w:w="57" w:type="dxa"/>
            </w:tcMar>
          </w:tcPr>
          <w:p w:rsidR="00261A43" w:rsidRPr="00217DE1" w:rsidRDefault="00261A43" w:rsidP="00261A43">
            <w:pPr>
              <w:pStyle w:val="TableTextColumnHeading"/>
            </w:pPr>
            <w:r w:rsidRPr="00217DE1">
              <w:t>Partnership targets for 2015</w:t>
            </w:r>
          </w:p>
        </w:tc>
        <w:tc>
          <w:tcPr>
            <w:tcW w:w="850" w:type="dxa"/>
            <w:tcBorders>
              <w:top w:val="single" w:sz="2" w:space="0" w:color="auto"/>
            </w:tcBorders>
            <w:shd w:val="clear" w:color="auto" w:fill="auto"/>
            <w:tcMar>
              <w:left w:w="57" w:type="dxa"/>
              <w:right w:w="57" w:type="dxa"/>
            </w:tcMar>
          </w:tcPr>
          <w:p w:rsidR="00261A43" w:rsidRPr="00932BA6" w:rsidRDefault="00261A43" w:rsidP="00261A43">
            <w:pPr>
              <w:pStyle w:val="TableTextColumnHeading"/>
            </w:pPr>
            <w:r>
              <w:t>Progress</w:t>
            </w:r>
          </w:p>
        </w:tc>
      </w:tr>
      <w:tr w:rsidR="00261A43" w:rsidTr="00261A43">
        <w:tc>
          <w:tcPr>
            <w:tcW w:w="7088" w:type="dxa"/>
            <w:shd w:val="clear" w:color="auto" w:fill="auto"/>
            <w:tcMar>
              <w:left w:w="57" w:type="dxa"/>
              <w:right w:w="57" w:type="dxa"/>
            </w:tcMar>
          </w:tcPr>
          <w:p w:rsidR="00261A43" w:rsidRPr="00A31F03" w:rsidRDefault="00261A43" w:rsidP="00261A43">
            <w:pPr>
              <w:pStyle w:val="TableTextEntries"/>
            </w:pPr>
            <w:r w:rsidRPr="00217DE1">
              <w:t xml:space="preserve">Not specifically defined beyond the first year of the Partnership for Development. Targets to be updated at the 2013 Partnership for Development Talks. </w:t>
            </w:r>
          </w:p>
        </w:tc>
        <w:tc>
          <w:tcPr>
            <w:tcW w:w="850" w:type="dxa"/>
            <w:shd w:val="clear" w:color="auto" w:fill="auto"/>
            <w:tcMar>
              <w:left w:w="57" w:type="dxa"/>
              <w:right w:w="57" w:type="dxa"/>
            </w:tcMar>
          </w:tcPr>
          <w:p w:rsidR="00261A43" w:rsidRDefault="00261A43" w:rsidP="00261A43">
            <w:pPr>
              <w:pStyle w:val="TableTextEntries"/>
              <w:jc w:val="center"/>
            </w:pPr>
            <w:r>
              <w:t>N/A</w:t>
            </w:r>
          </w:p>
        </w:tc>
      </w:tr>
    </w:tbl>
    <w:p w:rsidR="00A01B3E" w:rsidRPr="000721CB" w:rsidRDefault="00FA3695" w:rsidP="007D1A22">
      <w:pPr>
        <w:pStyle w:val="Heading3"/>
      </w:pPr>
      <w:r w:rsidRPr="000721CB">
        <w:t>Strengthening the public sector</w:t>
      </w:r>
    </w:p>
    <w:p w:rsidR="0071645A" w:rsidRDefault="00887E39" w:rsidP="000721CB">
      <w:pPr>
        <w:pStyle w:val="BodyText"/>
      </w:pPr>
      <w:r>
        <w:t xml:space="preserve">Australian technical assistance for public and economic reform contributed to the successful </w:t>
      </w:r>
      <w:r w:rsidR="00107488">
        <w:t xml:space="preserve">restructure </w:t>
      </w:r>
      <w:r>
        <w:t xml:space="preserve">of the </w:t>
      </w:r>
      <w:r w:rsidR="007148B3">
        <w:t>Government of Tonga’s</w:t>
      </w:r>
      <w:r>
        <w:t xml:space="preserve"> public service </w:t>
      </w:r>
      <w:r w:rsidR="00107488">
        <w:t>(</w:t>
      </w:r>
      <w:r>
        <w:t>July 2012</w:t>
      </w:r>
      <w:r w:rsidR="00107488">
        <w:t>)</w:t>
      </w:r>
      <w:r w:rsidR="00B617F2">
        <w:t xml:space="preserve">. </w:t>
      </w:r>
      <w:r w:rsidR="00A01B3E">
        <w:t xml:space="preserve">Australia’s support provided stability </w:t>
      </w:r>
      <w:r w:rsidR="00612C32">
        <w:t xml:space="preserve">and guidance </w:t>
      </w:r>
      <w:r w:rsidR="00A01B3E">
        <w:t>through the transition and specific assistance to the Ministry of Finance and National Planning, and the Public Service Commission, to lead reform during this critical time</w:t>
      </w:r>
      <w:r w:rsidR="00B617F2">
        <w:t xml:space="preserve">. </w:t>
      </w:r>
      <w:r w:rsidR="00376128">
        <w:t>For example, s</w:t>
      </w:r>
      <w:r w:rsidR="00376128" w:rsidRPr="00376128">
        <w:t xml:space="preserve">upport for the </w:t>
      </w:r>
      <w:r w:rsidR="00376128">
        <w:t xml:space="preserve">Joint </w:t>
      </w:r>
      <w:r w:rsidR="00376128" w:rsidRPr="00376128">
        <w:t>Policy Reform Mat</w:t>
      </w:r>
      <w:r w:rsidR="00376128">
        <w:t>rix (</w:t>
      </w:r>
      <w:r w:rsidR="00107488">
        <w:t xml:space="preserve">by providing </w:t>
      </w:r>
      <w:r w:rsidR="005116C1">
        <w:t xml:space="preserve">incentivised </w:t>
      </w:r>
      <w:r w:rsidR="00376128" w:rsidRPr="00376128">
        <w:t>performance-linked aid</w:t>
      </w:r>
      <w:r w:rsidR="005116C1">
        <w:t xml:space="preserve"> in the form of sector-based budget support</w:t>
      </w:r>
      <w:r w:rsidR="00376128" w:rsidRPr="00376128">
        <w:t xml:space="preserve">) ensured </w:t>
      </w:r>
      <w:r w:rsidR="00376128">
        <w:t xml:space="preserve">the </w:t>
      </w:r>
      <w:r w:rsidR="007148B3">
        <w:t>Government of Tonga</w:t>
      </w:r>
      <w:r w:rsidR="00376128">
        <w:t xml:space="preserve"> i</w:t>
      </w:r>
      <w:r w:rsidR="00376128" w:rsidRPr="00376128">
        <w:t xml:space="preserve">mposed a hiring freeze </w:t>
      </w:r>
      <w:r w:rsidR="00107488">
        <w:t>before implementing</w:t>
      </w:r>
      <w:r w:rsidR="00376128" w:rsidRPr="00376128">
        <w:t xml:space="preserve"> the restructure and </w:t>
      </w:r>
      <w:r w:rsidR="00376128">
        <w:t>c</w:t>
      </w:r>
      <w:r w:rsidR="00376128" w:rsidRPr="00376128">
        <w:t>entrali</w:t>
      </w:r>
      <w:r w:rsidR="00107488">
        <w:t>s</w:t>
      </w:r>
      <w:r w:rsidR="00376128" w:rsidRPr="00376128">
        <w:t>ed control over hiring during the restructure</w:t>
      </w:r>
      <w:r w:rsidR="00B617F2">
        <w:t xml:space="preserve">. </w:t>
      </w:r>
      <w:r w:rsidR="00376128" w:rsidRPr="00376128">
        <w:t>This contributed to effective human resource reallocation, without unnecessary recourse to additional hiring</w:t>
      </w:r>
      <w:r w:rsidR="00B617F2">
        <w:t xml:space="preserve">. </w:t>
      </w:r>
      <w:r w:rsidR="00376128">
        <w:t xml:space="preserve">Australian assistance also </w:t>
      </w:r>
      <w:r w:rsidR="00107488">
        <w:t xml:space="preserve">supported </w:t>
      </w:r>
      <w:r w:rsidR="0071645A">
        <w:t xml:space="preserve">line </w:t>
      </w:r>
      <w:r w:rsidR="00107488">
        <w:t>m</w:t>
      </w:r>
      <w:r w:rsidR="0071645A">
        <w:t xml:space="preserve">inistries </w:t>
      </w:r>
      <w:r w:rsidR="00376128">
        <w:t>prepar</w:t>
      </w:r>
      <w:r w:rsidR="00107488">
        <w:t>e</w:t>
      </w:r>
      <w:r w:rsidR="00376128">
        <w:t xml:space="preserve"> </w:t>
      </w:r>
      <w:r w:rsidR="0071645A">
        <w:t xml:space="preserve">for organisational change through consistent training in </w:t>
      </w:r>
      <w:r w:rsidR="008044B7">
        <w:t>human resource management, leadership and good governance.</w:t>
      </w:r>
      <w:r w:rsidR="00BF2C60">
        <w:t xml:space="preserve"> </w:t>
      </w:r>
    </w:p>
    <w:p w:rsidR="00354B98" w:rsidRDefault="00107488" w:rsidP="000721CB">
      <w:pPr>
        <w:pStyle w:val="BodyText"/>
      </w:pPr>
      <w:r>
        <w:t>T</w:t>
      </w:r>
      <w:r w:rsidR="0071645A">
        <w:t>he systems and processes underpin</w:t>
      </w:r>
      <w:r>
        <w:t>ning</w:t>
      </w:r>
      <w:r w:rsidR="0071645A">
        <w:t xml:space="preserve"> central agencies</w:t>
      </w:r>
      <w:r>
        <w:t xml:space="preserve"> have improved</w:t>
      </w:r>
      <w:r w:rsidR="00B617F2">
        <w:t xml:space="preserve">. </w:t>
      </w:r>
      <w:r w:rsidR="00354B98">
        <w:t xml:space="preserve">For example </w:t>
      </w:r>
      <w:r w:rsidR="004709A0">
        <w:t xml:space="preserve">a </w:t>
      </w:r>
      <w:r w:rsidR="006E7507">
        <w:t>new</w:t>
      </w:r>
      <w:r>
        <w:t xml:space="preserve"> c</w:t>
      </w:r>
      <w:r w:rsidR="006E7507">
        <w:t xml:space="preserve">orporate </w:t>
      </w:r>
      <w:r>
        <w:t>p</w:t>
      </w:r>
      <w:r w:rsidR="006E7507">
        <w:t>lanning template</w:t>
      </w:r>
      <w:r w:rsidR="001D7A35">
        <w:t xml:space="preserve"> </w:t>
      </w:r>
      <w:r>
        <w:t>was</w:t>
      </w:r>
      <w:r w:rsidR="001D7A35">
        <w:t xml:space="preserve"> </w:t>
      </w:r>
      <w:r w:rsidR="00354B98">
        <w:t xml:space="preserve">rolled out across all agencies, and </w:t>
      </w:r>
      <w:r>
        <w:t>m</w:t>
      </w:r>
      <w:r w:rsidR="00354B98">
        <w:t>inistries are supported to improve human resource service</w:t>
      </w:r>
      <w:r>
        <w:t xml:space="preserve"> efficiency</w:t>
      </w:r>
      <w:r w:rsidR="00B617F2">
        <w:t xml:space="preserve">. </w:t>
      </w:r>
      <w:r w:rsidR="00354B98">
        <w:t xml:space="preserve">Public access to </w:t>
      </w:r>
      <w:r w:rsidR="00E576E6">
        <w:t>g</w:t>
      </w:r>
      <w:r w:rsidR="00354B98">
        <w:t xml:space="preserve">overnment procurement regulations, guidelines, tender documents and procurement tools </w:t>
      </w:r>
      <w:r>
        <w:t>is available</w:t>
      </w:r>
      <w:r w:rsidR="00354B98">
        <w:t xml:space="preserve"> through the Ministry of Finance and National Planning’s website.</w:t>
      </w:r>
    </w:p>
    <w:p w:rsidR="00611A9D" w:rsidRDefault="00354B98" w:rsidP="000721CB">
      <w:pPr>
        <w:pStyle w:val="BodyText"/>
      </w:pPr>
      <w:r>
        <w:t>H</w:t>
      </w:r>
      <w:r w:rsidR="00611A9D" w:rsidRPr="00A10B76">
        <w:t xml:space="preserve">owever, the sustainability of these </w:t>
      </w:r>
      <w:r>
        <w:t>substantial</w:t>
      </w:r>
      <w:r w:rsidR="00107488">
        <w:t xml:space="preserve"> public service</w:t>
      </w:r>
      <w:r>
        <w:t xml:space="preserve"> </w:t>
      </w:r>
      <w:r w:rsidR="00611A9D" w:rsidRPr="00A10B76">
        <w:t>ch</w:t>
      </w:r>
      <w:r w:rsidR="007C59A2" w:rsidRPr="00A10B76">
        <w:t>a</w:t>
      </w:r>
      <w:r w:rsidR="00611A9D" w:rsidRPr="00A10B76">
        <w:t>nges</w:t>
      </w:r>
      <w:r>
        <w:t xml:space="preserve"> </w:t>
      </w:r>
      <w:r w:rsidR="00611A9D" w:rsidRPr="00A10B76">
        <w:t>will be</w:t>
      </w:r>
      <w:r w:rsidR="007C59A2" w:rsidRPr="00A10B76">
        <w:t xml:space="preserve"> </w:t>
      </w:r>
      <w:r w:rsidR="00611A9D" w:rsidRPr="00A10B76">
        <w:t xml:space="preserve">challenged </w:t>
      </w:r>
      <w:r>
        <w:t xml:space="preserve">in the coming years </w:t>
      </w:r>
      <w:r w:rsidR="00611A9D" w:rsidRPr="00A10B76">
        <w:t xml:space="preserve">by: </w:t>
      </w:r>
      <w:r w:rsidR="00DF3741">
        <w:t>revenue limitations resulting from Tonga’s ongoing economic difficulties</w:t>
      </w:r>
      <w:r w:rsidR="007C59A2" w:rsidRPr="00A10B76">
        <w:t xml:space="preserve">; Tonga’s very high emigration rates; the relatively small number of public servants </w:t>
      </w:r>
      <w:r w:rsidR="00107488">
        <w:t>available</w:t>
      </w:r>
      <w:r w:rsidR="007C59A2" w:rsidRPr="00A10B76">
        <w:t xml:space="preserve"> to </w:t>
      </w:r>
      <w:r w:rsidR="00107488">
        <w:t>provide</w:t>
      </w:r>
      <w:r w:rsidR="007C59A2" w:rsidRPr="004E6A51">
        <w:t xml:space="preserve"> a vast range of services; and the lack of long-term, human resources planning in the public service</w:t>
      </w:r>
      <w:r w:rsidR="00B617F2">
        <w:t xml:space="preserve">. </w:t>
      </w:r>
      <w:r w:rsidR="00107488">
        <w:t xml:space="preserve">More </w:t>
      </w:r>
      <w:r w:rsidR="0080792E">
        <w:t xml:space="preserve">support </w:t>
      </w:r>
      <w:r w:rsidR="00107488">
        <w:t>is</w:t>
      </w:r>
      <w:r w:rsidR="0080792E">
        <w:t xml:space="preserve"> needed in these areas to consolidate gains.</w:t>
      </w:r>
    </w:p>
    <w:p w:rsidR="00AF39A0" w:rsidRPr="000721CB" w:rsidRDefault="00A01B3E" w:rsidP="007D1A22">
      <w:pPr>
        <w:pStyle w:val="Heading3"/>
      </w:pPr>
      <w:r w:rsidRPr="000721CB">
        <w:t>Economic and fiscal reform</w:t>
      </w:r>
    </w:p>
    <w:p w:rsidR="00DF3741" w:rsidRDefault="0080792E" w:rsidP="000721CB">
      <w:pPr>
        <w:pStyle w:val="BodyText"/>
      </w:pPr>
      <w:r>
        <w:t>Australia’s assistance in this area focused on support for t</w:t>
      </w:r>
      <w:r w:rsidR="0071645A">
        <w:t xml:space="preserve">he </w:t>
      </w:r>
      <w:r w:rsidR="009D79D8">
        <w:t xml:space="preserve">Joint Policy Reform Matrix </w:t>
      </w:r>
      <w:r w:rsidR="0071645A">
        <w:t xml:space="preserve">of economic and fiscal reform initiatives, agreed between the </w:t>
      </w:r>
      <w:r w:rsidR="007148B3">
        <w:t>Government of Tonga</w:t>
      </w:r>
      <w:r w:rsidR="0071645A">
        <w:t xml:space="preserve"> and donor partners in 2011</w:t>
      </w:r>
      <w:r w:rsidR="00B617F2">
        <w:t xml:space="preserve">. </w:t>
      </w:r>
      <w:r w:rsidR="0071645A">
        <w:t>In 2012</w:t>
      </w:r>
      <w:r w:rsidR="000F70C6">
        <w:t>–</w:t>
      </w:r>
      <w:r w:rsidR="0071645A">
        <w:t>2013</w:t>
      </w:r>
      <w:r w:rsidR="005661B7">
        <w:t>,</w:t>
      </w:r>
      <w:r w:rsidR="0071645A">
        <w:t xml:space="preserve"> long-term</w:t>
      </w:r>
      <w:r w:rsidR="005661B7">
        <w:t>,</w:t>
      </w:r>
      <w:r w:rsidR="0071645A">
        <w:t xml:space="preserve"> Australian-funded technical assistance and funding directly supported Tonga to achieve a number of the priority reforms identified in the matrix</w:t>
      </w:r>
      <w:r w:rsidR="00B617F2">
        <w:t xml:space="preserve">. </w:t>
      </w:r>
      <w:r w:rsidR="0071645A">
        <w:t>Notable achievements include</w:t>
      </w:r>
      <w:r w:rsidR="0071645A" w:rsidRPr="005C4A9B">
        <w:t>:</w:t>
      </w:r>
      <w:r w:rsidR="005C4A9B">
        <w:t xml:space="preserve"> </w:t>
      </w:r>
    </w:p>
    <w:p w:rsidR="00DF3741" w:rsidRPr="00DF3741" w:rsidRDefault="00B67C88" w:rsidP="000721CB">
      <w:pPr>
        <w:pStyle w:val="ListBullet"/>
        <w:rPr>
          <w:i/>
        </w:rPr>
      </w:pPr>
      <w:r w:rsidRPr="005C4A9B">
        <w:t>improve</w:t>
      </w:r>
      <w:r w:rsidR="005661B7">
        <w:t>d</w:t>
      </w:r>
      <w:r w:rsidRPr="005C4A9B">
        <w:t xml:space="preserve"> budget reporting and transparency</w:t>
      </w:r>
      <w:r w:rsidR="005661B7">
        <w:t xml:space="preserve"> </w:t>
      </w:r>
    </w:p>
    <w:p w:rsidR="00DF3741" w:rsidRPr="00DF3741" w:rsidRDefault="00B67C88" w:rsidP="000721CB">
      <w:pPr>
        <w:pStyle w:val="ListBullet"/>
        <w:rPr>
          <w:i/>
        </w:rPr>
      </w:pPr>
      <w:r w:rsidRPr="005C4A9B">
        <w:t>introduc</w:t>
      </w:r>
      <w:r w:rsidR="005661B7">
        <w:t>ed</w:t>
      </w:r>
      <w:r w:rsidRPr="005C4A9B">
        <w:t xml:space="preserve"> Treasury Single Account </w:t>
      </w:r>
    </w:p>
    <w:p w:rsidR="00DF3741" w:rsidRPr="00DF3741" w:rsidRDefault="00B67C88" w:rsidP="000721CB">
      <w:pPr>
        <w:pStyle w:val="ListBullet"/>
        <w:rPr>
          <w:i/>
        </w:rPr>
      </w:pPr>
      <w:r w:rsidRPr="005C4A9B">
        <w:t xml:space="preserve">strengthened management of the wage bill </w:t>
      </w:r>
    </w:p>
    <w:p w:rsidR="00DF3741" w:rsidRPr="00DF3741" w:rsidRDefault="00B67C88" w:rsidP="000721CB">
      <w:pPr>
        <w:pStyle w:val="ListBullet"/>
        <w:rPr>
          <w:i/>
        </w:rPr>
      </w:pPr>
      <w:r w:rsidRPr="005C4A9B">
        <w:t xml:space="preserve">improved transparency </w:t>
      </w:r>
      <w:r w:rsidR="005661B7">
        <w:t>of</w:t>
      </w:r>
      <w:r w:rsidR="005661B7" w:rsidRPr="005C4A9B">
        <w:t xml:space="preserve"> </w:t>
      </w:r>
      <w:r w:rsidRPr="005C4A9B">
        <w:t xml:space="preserve">the costs of tax exemptions </w:t>
      </w:r>
    </w:p>
    <w:p w:rsidR="00DF3741" w:rsidRPr="00DF3741" w:rsidRDefault="00B67C88" w:rsidP="000721CB">
      <w:pPr>
        <w:pStyle w:val="ListBullet"/>
        <w:rPr>
          <w:i/>
        </w:rPr>
      </w:pPr>
      <w:r w:rsidRPr="005C4A9B">
        <w:lastRenderedPageBreak/>
        <w:t>policy decisions implement</w:t>
      </w:r>
      <w:r w:rsidR="005661B7">
        <w:t>ed for</w:t>
      </w:r>
      <w:r w:rsidRPr="005C4A9B">
        <w:t xml:space="preserve"> a new natural resource tax regime and presumptive tax for small business </w:t>
      </w:r>
    </w:p>
    <w:p w:rsidR="00DF3741" w:rsidRPr="00DF3741" w:rsidRDefault="00B67C88" w:rsidP="000721CB">
      <w:pPr>
        <w:pStyle w:val="ListBullet"/>
        <w:rPr>
          <w:i/>
        </w:rPr>
      </w:pPr>
      <w:r w:rsidRPr="005C4A9B">
        <w:t>strengthen</w:t>
      </w:r>
      <w:r w:rsidR="005661B7">
        <w:t xml:space="preserve">ed </w:t>
      </w:r>
      <w:r w:rsidRPr="005C4A9B">
        <w:t>petroleum sector regulations</w:t>
      </w:r>
    </w:p>
    <w:p w:rsidR="00DF3741" w:rsidRPr="00DF3741" w:rsidRDefault="005661B7" w:rsidP="000721CB">
      <w:pPr>
        <w:pStyle w:val="ListBullet"/>
        <w:rPr>
          <w:i/>
        </w:rPr>
      </w:pPr>
      <w:r>
        <w:t xml:space="preserve">implemented </w:t>
      </w:r>
      <w:r w:rsidR="00B67C88" w:rsidRPr="005C4A9B">
        <w:t>policy decisions to undertake an electricity tariff review</w:t>
      </w:r>
      <w:r>
        <w:t xml:space="preserve"> </w:t>
      </w:r>
    </w:p>
    <w:p w:rsidR="00DF3741" w:rsidRPr="00DF3741" w:rsidRDefault="005661B7" w:rsidP="000721CB">
      <w:pPr>
        <w:pStyle w:val="ListBullet"/>
        <w:rPr>
          <w:i/>
        </w:rPr>
      </w:pPr>
      <w:r>
        <w:t>conducted</w:t>
      </w:r>
      <w:r w:rsidR="00B67C88" w:rsidRPr="005C4A9B">
        <w:t xml:space="preserve"> legislative reforms to streamline the business licensing process</w:t>
      </w:r>
      <w:r w:rsidR="00B617F2">
        <w:t xml:space="preserve">. </w:t>
      </w:r>
    </w:p>
    <w:p w:rsidR="00CA4CAD" w:rsidRDefault="00CA4CAD" w:rsidP="000721CB">
      <w:pPr>
        <w:pStyle w:val="BodyText"/>
        <w:rPr>
          <w:i/>
        </w:rPr>
      </w:pPr>
      <w:r>
        <w:t>Tonga also maintained its ‘no new debt’ policy leading to the downgrading of its debt distress rating</w:t>
      </w:r>
      <w:r w:rsidR="00B617F2">
        <w:t xml:space="preserve">. </w:t>
      </w:r>
      <w:r>
        <w:t xml:space="preserve">Australia supported all of the reforms under the matrix through conditional budget support and provided technical assistance to the Ministry of Revenue, Ministry of Finance, </w:t>
      </w:r>
      <w:r w:rsidR="005661B7">
        <w:t xml:space="preserve">Department of </w:t>
      </w:r>
      <w:r>
        <w:t>Statistics, Public Service Commission and Audit Office to progress</w:t>
      </w:r>
      <w:r w:rsidR="005661B7">
        <w:t xml:space="preserve"> relevant</w:t>
      </w:r>
      <w:r>
        <w:t xml:space="preserve"> reforms. </w:t>
      </w:r>
    </w:p>
    <w:p w:rsidR="00CA4CAD" w:rsidRDefault="009D5847" w:rsidP="000721CB">
      <w:pPr>
        <w:pStyle w:val="BodyText"/>
      </w:pPr>
      <w:r>
        <w:t xml:space="preserve">Australia links the disbursement of </w:t>
      </w:r>
      <w:r w:rsidR="00CA4CAD">
        <w:t>budget support to</w:t>
      </w:r>
      <w:r w:rsidR="0080792E">
        <w:t xml:space="preserve"> the J</w:t>
      </w:r>
      <w:r w:rsidR="009A629D">
        <w:t>oint Policy Reform Matrix</w:t>
      </w:r>
      <w:r w:rsidR="00CA4CAD">
        <w:t xml:space="preserve"> reforms</w:t>
      </w:r>
      <w:r w:rsidR="005661B7">
        <w:t>. U</w:t>
      </w:r>
      <w:r w:rsidR="0080792E">
        <w:t>nder</w:t>
      </w:r>
      <w:r w:rsidR="003F407A">
        <w:t xml:space="preserve"> </w:t>
      </w:r>
      <w:r w:rsidR="00CA4CAD">
        <w:t>th</w:t>
      </w:r>
      <w:r w:rsidR="00B720DB">
        <w:t>e more efficient and effective public sector</w:t>
      </w:r>
      <w:r w:rsidR="00CA4CAD">
        <w:t xml:space="preserve"> priority outcome</w:t>
      </w:r>
      <w:r w:rsidR="005661B7">
        <w:t>, this involves reforms that</w:t>
      </w:r>
      <w:r>
        <w:t xml:space="preserve"> contribute to longer-term </w:t>
      </w:r>
      <w:r w:rsidR="00CA4CAD">
        <w:t>macroeconomic stability</w:t>
      </w:r>
      <w:r w:rsidR="005661B7">
        <w:t>, which enables</w:t>
      </w:r>
      <w:r>
        <w:t xml:space="preserve"> the </w:t>
      </w:r>
      <w:r w:rsidR="005661B7">
        <w:t>g</w:t>
      </w:r>
      <w:r>
        <w:t xml:space="preserve">overnment to increase and improve the quality of expenditure on </w:t>
      </w:r>
      <w:r w:rsidR="00CA4CAD">
        <w:t>essential service delivery</w:t>
      </w:r>
      <w:r>
        <w:t xml:space="preserve">, including in other </w:t>
      </w:r>
      <w:r w:rsidR="005661B7">
        <w:t xml:space="preserve">partnership for development </w:t>
      </w:r>
      <w:r w:rsidR="00CA4CAD">
        <w:t>priority sectors</w:t>
      </w:r>
      <w:r w:rsidR="005661B7">
        <w:t>—education,</w:t>
      </w:r>
      <w:r w:rsidR="00BC7887">
        <w:t xml:space="preserve"> health</w:t>
      </w:r>
      <w:r w:rsidR="00CA4CAD">
        <w:t xml:space="preserve"> and infrastructure maintenance. </w:t>
      </w:r>
      <w:r w:rsidR="00B720DB">
        <w:t xml:space="preserve">  </w:t>
      </w:r>
    </w:p>
    <w:p w:rsidR="0071645A" w:rsidRDefault="001F34B9" w:rsidP="000721CB">
      <w:pPr>
        <w:pStyle w:val="BodyText"/>
      </w:pPr>
      <w:r>
        <w:t>I</w:t>
      </w:r>
      <w:r w:rsidR="00F83427">
        <w:t xml:space="preserve">n early 2012, </w:t>
      </w:r>
      <w:r w:rsidR="0071645A">
        <w:t>based on Tonga achieving its reform benchmarks, Australia disbursed $5 million of performance</w:t>
      </w:r>
      <w:r>
        <w:t>-</w:t>
      </w:r>
      <w:r w:rsidR="0071645A">
        <w:t>linked aid as sector budget support for health and education worker salaries</w:t>
      </w:r>
      <w:r w:rsidR="00B617F2">
        <w:t>.</w:t>
      </w:r>
      <w:r>
        <w:rPr>
          <w:rStyle w:val="FootnoteReference"/>
        </w:rPr>
        <w:footnoteReference w:id="28"/>
      </w:r>
      <w:r w:rsidR="00B617F2">
        <w:t xml:space="preserve"> </w:t>
      </w:r>
      <w:r w:rsidR="006F27DE">
        <w:t xml:space="preserve">The Australian Government </w:t>
      </w:r>
      <w:r w:rsidR="0071645A">
        <w:t>linked th</w:t>
      </w:r>
      <w:r>
        <w:t>is</w:t>
      </w:r>
      <w:r w:rsidR="0071645A">
        <w:t xml:space="preserve"> disbursement to a World Bank economic recovery operation</w:t>
      </w:r>
      <w:r>
        <w:t xml:space="preserve"> (US$9 million)</w:t>
      </w:r>
      <w:r w:rsidR="0071645A">
        <w:t>, drawing on the World Bank’s expertise and analysis of Tonga’s macro-economic circumstances and assessment of reform achievement</w:t>
      </w:r>
      <w:r w:rsidR="00B617F2">
        <w:t xml:space="preserve">. </w:t>
      </w:r>
      <w:r w:rsidR="0071645A">
        <w:t>The combined budget support</w:t>
      </w:r>
      <w:r>
        <w:t>—much-needed to close Tonga’s fiscal gap—</w:t>
      </w:r>
      <w:r w:rsidR="0071645A">
        <w:t>provided</w:t>
      </w:r>
      <w:r>
        <w:t xml:space="preserve"> Tonga with the</w:t>
      </w:r>
      <w:r w:rsidR="0071645A">
        <w:t xml:space="preserve"> impetus and incentive for undertak</w:t>
      </w:r>
      <w:r>
        <w:t>ing</w:t>
      </w:r>
      <w:r w:rsidR="0071645A">
        <w:t xml:space="preserve"> reforms</w:t>
      </w:r>
      <w:r>
        <w:t>.</w:t>
      </w:r>
      <w:r w:rsidR="00B617F2">
        <w:t xml:space="preserve"> </w:t>
      </w:r>
      <w:r w:rsidR="00BF2132">
        <w:t>A</w:t>
      </w:r>
      <w:r>
        <w:t>nother</w:t>
      </w:r>
      <w:r w:rsidR="00BF2132">
        <w:t xml:space="preserve"> $5 million in performance-linked aid was disbursed </w:t>
      </w:r>
      <w:r w:rsidR="009D5847">
        <w:t>in</w:t>
      </w:r>
      <w:r w:rsidR="00BF2132">
        <w:t xml:space="preserve"> April 2013 for reform actions completed by the </w:t>
      </w:r>
      <w:r>
        <w:t>g</w:t>
      </w:r>
      <w:r w:rsidR="00BF2132">
        <w:t>overnment in 2012</w:t>
      </w:r>
      <w:r w:rsidR="00B617F2">
        <w:t xml:space="preserve">. </w:t>
      </w:r>
      <w:r w:rsidR="009D5847">
        <w:t xml:space="preserve">Australia’s budget support </w:t>
      </w:r>
      <w:r w:rsidR="003548C8">
        <w:t xml:space="preserve">continues to be </w:t>
      </w:r>
      <w:r w:rsidR="009D5847">
        <w:t xml:space="preserve">used </w:t>
      </w:r>
      <w:r w:rsidR="003548C8">
        <w:t xml:space="preserve">to </w:t>
      </w:r>
      <w:r w:rsidR="009D5847">
        <w:t>pay budgeted salaries of teachers and health workers</w:t>
      </w:r>
      <w:r>
        <w:t>, helping</w:t>
      </w:r>
      <w:r w:rsidR="009D5847">
        <w:t xml:space="preserve"> to ensure</w:t>
      </w:r>
      <w:r>
        <w:t xml:space="preserve"> that</w:t>
      </w:r>
      <w:r w:rsidR="009D5847">
        <w:t xml:space="preserve"> basic services are maintained. </w:t>
      </w:r>
    </w:p>
    <w:p w:rsidR="0071645A" w:rsidRDefault="0071645A" w:rsidP="000721CB">
      <w:pPr>
        <w:pStyle w:val="BodyText"/>
      </w:pPr>
      <w:r>
        <w:t xml:space="preserve">Through its engagement with the </w:t>
      </w:r>
      <w:r w:rsidR="00B720DB">
        <w:t>J</w:t>
      </w:r>
      <w:r>
        <w:t xml:space="preserve">oint </w:t>
      </w:r>
      <w:r w:rsidR="00B720DB">
        <w:t>P</w:t>
      </w:r>
      <w:r>
        <w:t>olicy</w:t>
      </w:r>
      <w:r w:rsidR="001F34B9">
        <w:t xml:space="preserve"> </w:t>
      </w:r>
      <w:r w:rsidR="00B720DB">
        <w:t>R</w:t>
      </w:r>
      <w:r w:rsidR="001F34B9">
        <w:t>eform</w:t>
      </w:r>
      <w:r>
        <w:t xml:space="preserve"> </w:t>
      </w:r>
      <w:r w:rsidR="00B720DB">
        <w:t>M</w:t>
      </w:r>
      <w:r>
        <w:t>atrix process and performance</w:t>
      </w:r>
      <w:r w:rsidR="001F34B9">
        <w:t>-</w:t>
      </w:r>
      <w:r>
        <w:t xml:space="preserve">linked budget support, </w:t>
      </w:r>
      <w:r w:rsidR="006F27DE">
        <w:t>the Australian Government</w:t>
      </w:r>
      <w:r>
        <w:t xml:space="preserve"> gained a seat at the</w:t>
      </w:r>
      <w:r w:rsidR="001F34B9">
        <w:t xml:space="preserve"> policy discussion</w:t>
      </w:r>
      <w:r>
        <w:t xml:space="preserve"> table</w:t>
      </w:r>
      <w:r w:rsidR="001F34B9">
        <w:t xml:space="preserve"> </w:t>
      </w:r>
      <w:r>
        <w:t xml:space="preserve">with the </w:t>
      </w:r>
      <w:r w:rsidR="007148B3">
        <w:t>Government of Tonga</w:t>
      </w:r>
      <w:r>
        <w:t xml:space="preserve"> to help </w:t>
      </w:r>
      <w:r w:rsidR="001F34B9">
        <w:t xml:space="preserve">maintain </w:t>
      </w:r>
      <w:r>
        <w:t>policy reform momentum and</w:t>
      </w:r>
      <w:r w:rsidR="001F34B9">
        <w:t xml:space="preserve"> ensure</w:t>
      </w:r>
      <w:r>
        <w:t xml:space="preserve"> policies and expenditure are moving in a pro-poor direction</w:t>
      </w:r>
      <w:r w:rsidR="00B617F2">
        <w:t xml:space="preserve">. </w:t>
      </w:r>
      <w:r>
        <w:t>Macro policy reforms of this kind also help ensure the effectiveness of Australia’s broader aid program to Tonga</w:t>
      </w:r>
      <w:r w:rsidR="00B617F2">
        <w:t xml:space="preserve">. </w:t>
      </w:r>
      <w:r w:rsidR="001F34B9">
        <w:t>P</w:t>
      </w:r>
      <w:r>
        <w:t xml:space="preserve">olicy </w:t>
      </w:r>
      <w:r w:rsidR="001F34B9">
        <w:t xml:space="preserve">discussion </w:t>
      </w:r>
      <w:r>
        <w:t xml:space="preserve">is all the more important at this critical juncture to encourage consistent adherence across all levels of the </w:t>
      </w:r>
      <w:r w:rsidR="007148B3">
        <w:t>Government of Tonga</w:t>
      </w:r>
      <w:r>
        <w:t xml:space="preserve"> to its reform objectives</w:t>
      </w:r>
      <w:r w:rsidR="00B617F2">
        <w:t xml:space="preserve">. </w:t>
      </w:r>
    </w:p>
    <w:p w:rsidR="00B67C88" w:rsidRPr="00B67C88" w:rsidRDefault="00B67C88" w:rsidP="007D1A22">
      <w:pPr>
        <w:pStyle w:val="Heading3"/>
      </w:pPr>
      <w:r w:rsidRPr="00B67C88">
        <w:t>Improved statistics and revenue collection</w:t>
      </w:r>
    </w:p>
    <w:p w:rsidR="00B67C88" w:rsidRDefault="00B67C88" w:rsidP="000721CB">
      <w:pPr>
        <w:pStyle w:val="BodyText"/>
      </w:pPr>
      <w:r>
        <w:t>Australian technical assistance</w:t>
      </w:r>
      <w:r>
        <w:rPr>
          <w:color w:val="FF0000"/>
        </w:rPr>
        <w:t xml:space="preserve"> </w:t>
      </w:r>
      <w:r>
        <w:t xml:space="preserve">improved </w:t>
      </w:r>
      <w:r w:rsidR="001F34B9">
        <w:t xml:space="preserve">the </w:t>
      </w:r>
      <w:r>
        <w:t>accuracy of economic reporting</w:t>
      </w:r>
      <w:r w:rsidR="001F34B9">
        <w:t xml:space="preserve"> by the Government of Tonga through improved</w:t>
      </w:r>
      <w:r>
        <w:t xml:space="preserve"> methodology and accessibility of national accounts statistics and </w:t>
      </w:r>
      <w:r w:rsidR="001F34B9">
        <w:t>re</w:t>
      </w:r>
      <w:r>
        <w:t>instate</w:t>
      </w:r>
      <w:r w:rsidR="001F34B9">
        <w:t>ment of</w:t>
      </w:r>
      <w:r>
        <w:t xml:space="preserve"> the migration statistics</w:t>
      </w:r>
      <w:r w:rsidR="001F34B9">
        <w:t xml:space="preserve"> publication</w:t>
      </w:r>
      <w:r w:rsidR="00B617F2">
        <w:t xml:space="preserve">. </w:t>
      </w:r>
      <w:r>
        <w:t>Australian</w:t>
      </w:r>
      <w:r w:rsidR="00B720DB">
        <w:t xml:space="preserve"> funding for the</w:t>
      </w:r>
      <w:r>
        <w:t xml:space="preserve"> Head of</w:t>
      </w:r>
      <w:r w:rsidR="0036495D">
        <w:t xml:space="preserve"> Tonga’s</w:t>
      </w:r>
      <w:r>
        <w:t xml:space="preserve"> Customs</w:t>
      </w:r>
      <w:r w:rsidR="0036495D">
        <w:t xml:space="preserve"> agency</w:t>
      </w:r>
      <w:r>
        <w:t xml:space="preserve"> strengthened operational relationships between Customs, industry stakeholders and law enforcement bodies</w:t>
      </w:r>
      <w:r w:rsidR="00B720DB">
        <w:t xml:space="preserve"> as well as</w:t>
      </w:r>
      <w:r>
        <w:t xml:space="preserve"> increased </w:t>
      </w:r>
      <w:r w:rsidR="00B720DB">
        <w:t xml:space="preserve">the </w:t>
      </w:r>
      <w:r>
        <w:t>revenue capacity of Customs</w:t>
      </w:r>
      <w:r w:rsidR="001F34B9">
        <w:t>.</w:t>
      </w:r>
      <w:r w:rsidR="00D13CB0">
        <w:rPr>
          <w:rStyle w:val="FootnoteReference"/>
        </w:rPr>
        <w:footnoteReference w:id="29"/>
      </w:r>
    </w:p>
    <w:p w:rsidR="00221370" w:rsidRDefault="00221370">
      <w:pPr>
        <w:spacing w:after="200" w:line="276" w:lineRule="auto"/>
        <w:rPr>
          <w:rFonts w:ascii="Franklin Gothic Demi" w:eastAsia="Times New Roman" w:hAnsi="Franklin Gothic Demi" w:cs="Arial"/>
          <w:color w:val="54534A"/>
          <w:kern w:val="28"/>
          <w:sz w:val="22"/>
          <w:szCs w:val="22"/>
          <w:lang w:eastAsia="zh-CN"/>
        </w:rPr>
      </w:pPr>
      <w:r>
        <w:br w:type="page"/>
      </w:r>
    </w:p>
    <w:p w:rsidR="00697A69" w:rsidRPr="00697A69" w:rsidRDefault="00DB5C33" w:rsidP="007D1A22">
      <w:pPr>
        <w:pStyle w:val="Heading3"/>
      </w:pPr>
      <w:r>
        <w:lastRenderedPageBreak/>
        <w:t xml:space="preserve">Training and </w:t>
      </w:r>
      <w:r w:rsidR="001F34B9">
        <w:t>h</w:t>
      </w:r>
      <w:r w:rsidR="00697A69">
        <w:t xml:space="preserve">uman </w:t>
      </w:r>
      <w:r w:rsidR="001F34B9">
        <w:t>r</w:t>
      </w:r>
      <w:r w:rsidR="00697A69">
        <w:t xml:space="preserve">esource </w:t>
      </w:r>
      <w:r w:rsidR="001F34B9">
        <w:t>d</w:t>
      </w:r>
      <w:r w:rsidR="00697A69">
        <w:t>evelopment</w:t>
      </w:r>
    </w:p>
    <w:p w:rsidR="005439B9" w:rsidRDefault="002E2989" w:rsidP="000721CB">
      <w:pPr>
        <w:pStyle w:val="BodyText"/>
      </w:pPr>
      <w:r w:rsidRPr="004709A0">
        <w:t xml:space="preserve">Between January 2012 and </w:t>
      </w:r>
      <w:r w:rsidR="00CE4EFE" w:rsidRPr="004709A0">
        <w:t xml:space="preserve">June </w:t>
      </w:r>
      <w:r w:rsidRPr="004709A0">
        <w:t xml:space="preserve">2013, </w:t>
      </w:r>
      <w:r w:rsidR="0094632E">
        <w:t xml:space="preserve">868 </w:t>
      </w:r>
      <w:r>
        <w:t xml:space="preserve">public servants </w:t>
      </w:r>
      <w:r w:rsidR="00A55BEA">
        <w:t>(28.5</w:t>
      </w:r>
      <w:r w:rsidR="00B617F2">
        <w:t xml:space="preserve"> per cent</w:t>
      </w:r>
      <w:r w:rsidR="00A55BEA">
        <w:rPr>
          <w:rStyle w:val="FootnoteReference"/>
        </w:rPr>
        <w:footnoteReference w:id="30"/>
      </w:r>
      <w:r w:rsidR="00A55BEA">
        <w:t xml:space="preserve"> of all public servants) </w:t>
      </w:r>
      <w:r>
        <w:t>were trained through</w:t>
      </w:r>
      <w:r w:rsidR="0064627D">
        <w:t xml:space="preserve"> the Australian Government</w:t>
      </w:r>
      <w:r w:rsidR="0036495D">
        <w:t>’s regional and bilateral</w:t>
      </w:r>
      <w:r>
        <w:t xml:space="preserve"> programs</w:t>
      </w:r>
      <w:r w:rsidR="003F407A">
        <w:t>,</w:t>
      </w:r>
      <w:r w:rsidR="0036495D">
        <w:t xml:space="preserve"> a substantial increase to </w:t>
      </w:r>
      <w:r w:rsidR="00C10E52">
        <w:t>the 255</w:t>
      </w:r>
      <w:r w:rsidR="00B720DB">
        <w:t> </w:t>
      </w:r>
      <w:r w:rsidR="00C10E52">
        <w:t>public servants trained in 2011</w:t>
      </w:r>
      <w:r w:rsidR="00B617F2">
        <w:t xml:space="preserve">. </w:t>
      </w:r>
      <w:r w:rsidR="00C10E52">
        <w:t>This training was key to the success of the public service restructure and a</w:t>
      </w:r>
      <w:r w:rsidR="00931EBD">
        <w:t xml:space="preserve"> major</w:t>
      </w:r>
      <w:r w:rsidR="00C10E52">
        <w:t xml:space="preserve"> focus of</w:t>
      </w:r>
      <w:r w:rsidR="00BE7082">
        <w:t xml:space="preserve"> </w:t>
      </w:r>
      <w:r w:rsidR="0064627D">
        <w:t>the Australian aid program</w:t>
      </w:r>
      <w:r w:rsidR="00931EBD">
        <w:t>’s</w:t>
      </w:r>
      <w:r w:rsidR="00C10E52">
        <w:t xml:space="preserve"> work</w:t>
      </w:r>
      <w:r w:rsidR="00BC7887">
        <w:t xml:space="preserve">. </w:t>
      </w:r>
      <w:r w:rsidR="00931EBD">
        <w:t>T</w:t>
      </w:r>
      <w:r w:rsidR="005439B9" w:rsidRPr="005439B9">
        <w:t>raining</w:t>
      </w:r>
      <w:r w:rsidR="00931EBD">
        <w:t xml:space="preserve"> courses covered topics such as</w:t>
      </w:r>
      <w:r w:rsidR="005439B9" w:rsidRPr="005439B9">
        <w:t xml:space="preserve">: </w:t>
      </w:r>
      <w:r w:rsidR="00931EBD">
        <w:t>p</w:t>
      </w:r>
      <w:r w:rsidR="005439B9" w:rsidRPr="005439B9">
        <w:t>ublic</w:t>
      </w:r>
      <w:r w:rsidR="00931EBD">
        <w:t xml:space="preserve"> s</w:t>
      </w:r>
      <w:r w:rsidR="005439B9" w:rsidRPr="005439B9">
        <w:t xml:space="preserve">ervice </w:t>
      </w:r>
      <w:r w:rsidR="00931EBD">
        <w:t>i</w:t>
      </w:r>
      <w:r w:rsidR="005439B9" w:rsidRPr="005439B9">
        <w:t xml:space="preserve">nduction; </w:t>
      </w:r>
      <w:r w:rsidR="00931EBD">
        <w:t>p</w:t>
      </w:r>
      <w:r w:rsidR="005439B9" w:rsidRPr="005439B9">
        <w:t xml:space="preserve">ublic </w:t>
      </w:r>
      <w:r w:rsidR="00931EBD">
        <w:t>s</w:t>
      </w:r>
      <w:r w:rsidR="005439B9" w:rsidRPr="005439B9">
        <w:t xml:space="preserve">ervice </w:t>
      </w:r>
      <w:r w:rsidR="00931EBD">
        <w:t>p</w:t>
      </w:r>
      <w:r w:rsidR="005439B9" w:rsidRPr="005439B9">
        <w:t xml:space="preserve">olicy; </w:t>
      </w:r>
      <w:r w:rsidR="00931EBD">
        <w:t>t</w:t>
      </w:r>
      <w:r w:rsidR="005439B9" w:rsidRPr="005439B9">
        <w:t xml:space="preserve">ime </w:t>
      </w:r>
      <w:r w:rsidR="00931EBD">
        <w:t>m</w:t>
      </w:r>
      <w:r w:rsidR="005439B9" w:rsidRPr="005439B9">
        <w:t xml:space="preserve">anagement, </w:t>
      </w:r>
      <w:r w:rsidR="00931EBD">
        <w:t>c</w:t>
      </w:r>
      <w:r w:rsidR="005439B9" w:rsidRPr="005439B9">
        <w:t xml:space="preserve">hange </w:t>
      </w:r>
      <w:r w:rsidR="00931EBD">
        <w:t>m</w:t>
      </w:r>
      <w:r w:rsidR="005439B9" w:rsidRPr="005439B9">
        <w:t>anagement</w:t>
      </w:r>
      <w:r w:rsidR="00931EBD">
        <w:t>; c</w:t>
      </w:r>
      <w:r w:rsidR="005439B9" w:rsidRPr="005439B9">
        <w:t xml:space="preserve">ustomer </w:t>
      </w:r>
      <w:r w:rsidR="00931EBD">
        <w:t>s</w:t>
      </w:r>
      <w:r w:rsidR="005439B9" w:rsidRPr="005439B9">
        <w:t xml:space="preserve">ervice; </w:t>
      </w:r>
      <w:r w:rsidR="00931EBD">
        <w:t>and l</w:t>
      </w:r>
      <w:r w:rsidR="005439B9" w:rsidRPr="005439B9">
        <w:t xml:space="preserve">eadership </w:t>
      </w:r>
      <w:r w:rsidR="00931EBD">
        <w:t>e</w:t>
      </w:r>
      <w:r w:rsidR="005439B9" w:rsidRPr="005439B9">
        <w:t>xcellence through</w:t>
      </w:r>
      <w:r w:rsidR="00931EBD">
        <w:t xml:space="preserve"> a</w:t>
      </w:r>
      <w:r w:rsidR="005439B9" w:rsidRPr="005439B9">
        <w:t xml:space="preserve">wareness and </w:t>
      </w:r>
      <w:r w:rsidR="00931EBD">
        <w:t>p</w:t>
      </w:r>
      <w:r w:rsidR="005439B9" w:rsidRPr="005439B9">
        <w:t xml:space="preserve">ractice for </w:t>
      </w:r>
      <w:r w:rsidR="00931EBD">
        <w:t>chief executive officers</w:t>
      </w:r>
      <w:r w:rsidR="005439B9" w:rsidRPr="005439B9">
        <w:t xml:space="preserve"> and staff from three </w:t>
      </w:r>
      <w:r w:rsidR="005661B7">
        <w:t>m</w:t>
      </w:r>
      <w:r w:rsidR="005439B9" w:rsidRPr="005439B9">
        <w:t xml:space="preserve">inistries and </w:t>
      </w:r>
      <w:r w:rsidR="00931EBD">
        <w:t xml:space="preserve">the </w:t>
      </w:r>
      <w:r w:rsidR="005439B9" w:rsidRPr="005439B9">
        <w:t>Public Service Commission</w:t>
      </w:r>
      <w:r w:rsidR="00B617F2">
        <w:t xml:space="preserve">. </w:t>
      </w:r>
      <w:r w:rsidR="005439B9" w:rsidRPr="005439B9">
        <w:t xml:space="preserve">These courses </w:t>
      </w:r>
      <w:r w:rsidR="00931EBD">
        <w:t>formed</w:t>
      </w:r>
      <w:r w:rsidR="00931EBD" w:rsidRPr="005439B9">
        <w:t xml:space="preserve"> </w:t>
      </w:r>
      <w:r w:rsidR="005439B9" w:rsidRPr="005439B9">
        <w:t>part of the human resource capacity building, development and training project</w:t>
      </w:r>
      <w:r w:rsidR="00B720DB">
        <w:t xml:space="preserve"> implemented</w:t>
      </w:r>
      <w:r w:rsidR="005439B9" w:rsidRPr="005439B9">
        <w:t xml:space="preserve"> under the reform of Tonga’s Public Service Commission</w:t>
      </w:r>
      <w:r w:rsidR="00B617F2">
        <w:t xml:space="preserve">. </w:t>
      </w:r>
      <w:r w:rsidR="005439B9" w:rsidRPr="005439B9">
        <w:t xml:space="preserve">A suite of </w:t>
      </w:r>
      <w:r w:rsidR="0036495D">
        <w:t xml:space="preserve">specialised </w:t>
      </w:r>
      <w:r w:rsidR="005439B9" w:rsidRPr="005439B9">
        <w:t xml:space="preserve">training courses </w:t>
      </w:r>
      <w:r w:rsidR="00931EBD">
        <w:t>were</w:t>
      </w:r>
      <w:r w:rsidR="0036495D">
        <w:t xml:space="preserve"> </w:t>
      </w:r>
      <w:r w:rsidR="005439B9" w:rsidRPr="005439B9">
        <w:t>delivered</w:t>
      </w:r>
      <w:r w:rsidR="0036495D">
        <w:t xml:space="preserve"> </w:t>
      </w:r>
      <w:r w:rsidR="00931EBD">
        <w:t xml:space="preserve">to </w:t>
      </w:r>
      <w:r w:rsidR="0036495D">
        <w:t>health personnel</w:t>
      </w:r>
      <w:r w:rsidR="003F407A">
        <w:t>.</w:t>
      </w:r>
    </w:p>
    <w:p w:rsidR="005F213B" w:rsidRPr="00BC7887" w:rsidRDefault="005F213B" w:rsidP="007D1A22">
      <w:pPr>
        <w:pStyle w:val="Heading3"/>
      </w:pPr>
      <w:r w:rsidRPr="00BC7887">
        <w:t xml:space="preserve">Political </w:t>
      </w:r>
      <w:r w:rsidR="00931EBD">
        <w:t>r</w:t>
      </w:r>
      <w:r w:rsidRPr="00BC7887">
        <w:t>eform</w:t>
      </w:r>
      <w:r w:rsidR="00932BA6">
        <w:t xml:space="preserve"> </w:t>
      </w:r>
      <w:r w:rsidR="00931EBD">
        <w:t xml:space="preserve">and </w:t>
      </w:r>
      <w:r w:rsidR="000F70C6">
        <w:t>g</w:t>
      </w:r>
      <w:r w:rsidRPr="00BC7887">
        <w:t xml:space="preserve">overnance </w:t>
      </w:r>
    </w:p>
    <w:p w:rsidR="005F213B" w:rsidRDefault="0036495D" w:rsidP="000721CB">
      <w:pPr>
        <w:pStyle w:val="BodyText"/>
      </w:pPr>
      <w:r>
        <w:t>Over 2012</w:t>
      </w:r>
      <w:r w:rsidR="000F70C6">
        <w:t>–</w:t>
      </w:r>
      <w:r>
        <w:t>13, Australia</w:t>
      </w:r>
      <w:r w:rsidR="005F213B">
        <w:t xml:space="preserve"> continue</w:t>
      </w:r>
      <w:r>
        <w:t>d</w:t>
      </w:r>
      <w:r w:rsidR="005F213B">
        <w:t xml:space="preserve"> to provide funding to the </w:t>
      </w:r>
      <w:r w:rsidR="007148B3">
        <w:t>Government of Tonga</w:t>
      </w:r>
      <w:r w:rsidR="005F213B">
        <w:t xml:space="preserve"> to </w:t>
      </w:r>
      <w:r w:rsidR="00B82569">
        <w:t xml:space="preserve">support its program of political reform and </w:t>
      </w:r>
      <w:r w:rsidR="005F213B">
        <w:t>bring about greater democracy</w:t>
      </w:r>
      <w:r w:rsidR="00B617F2">
        <w:t xml:space="preserve">. </w:t>
      </w:r>
      <w:r w:rsidR="006F27DE">
        <w:t>The Australian Government</w:t>
      </w:r>
      <w:r>
        <w:t xml:space="preserve"> </w:t>
      </w:r>
      <w:r w:rsidR="00B82569">
        <w:t>worked with the U</w:t>
      </w:r>
      <w:r w:rsidR="00B52E6A">
        <w:t xml:space="preserve">nited Nations Development Programme </w:t>
      </w:r>
      <w:r w:rsidR="00B82569">
        <w:t xml:space="preserve">and Government of Tonga to design </w:t>
      </w:r>
      <w:r w:rsidR="00931EBD">
        <w:t>the</w:t>
      </w:r>
      <w:r w:rsidR="00B82569">
        <w:t xml:space="preserve"> Tonga</w:t>
      </w:r>
      <w:r w:rsidR="00764369">
        <w:t>n</w:t>
      </w:r>
      <w:r w:rsidR="00B82569">
        <w:t xml:space="preserve"> Governance Strengthening Program</w:t>
      </w:r>
      <w:r w:rsidR="00B720DB">
        <w:t>,</w:t>
      </w:r>
      <w:r w:rsidR="00DF3741">
        <w:t xml:space="preserve"> formally agreed </w:t>
      </w:r>
      <w:r w:rsidR="00B82569">
        <w:t>in April 2013</w:t>
      </w:r>
      <w:r w:rsidR="00B617F2">
        <w:t xml:space="preserve">. </w:t>
      </w:r>
      <w:r w:rsidR="00B82569">
        <w:t>The program will work with the Tongan Parliament, Electoral Commission and civil society to increase their effectiveness and build community understanding of their roles and responsibilities</w:t>
      </w:r>
      <w:r w:rsidR="00B617F2">
        <w:t xml:space="preserve">. </w:t>
      </w:r>
      <w:r w:rsidR="00EA13F6">
        <w:t xml:space="preserve">The Australian Electoral Commission </w:t>
      </w:r>
      <w:r>
        <w:t>was also</w:t>
      </w:r>
      <w:r w:rsidR="00EA13F6">
        <w:t xml:space="preserve"> selected to provide </w:t>
      </w:r>
      <w:r>
        <w:t xml:space="preserve">ongoing </w:t>
      </w:r>
      <w:r w:rsidR="00EA13F6">
        <w:t xml:space="preserve">support to the Tongan Electoral Commission </w:t>
      </w:r>
      <w:r w:rsidR="00931EBD">
        <w:t xml:space="preserve">for </w:t>
      </w:r>
      <w:r>
        <w:t>the administration of</w:t>
      </w:r>
      <w:r w:rsidR="00931EBD">
        <w:t xml:space="preserve"> national and</w:t>
      </w:r>
      <w:r>
        <w:t xml:space="preserve"> local</w:t>
      </w:r>
      <w:r w:rsidR="00931EBD">
        <w:t>-level</w:t>
      </w:r>
      <w:r>
        <w:t xml:space="preserve"> elections. </w:t>
      </w:r>
    </w:p>
    <w:p w:rsidR="00697A69" w:rsidRPr="00DB5C33" w:rsidRDefault="00DB5C33" w:rsidP="007D1A22">
      <w:pPr>
        <w:pStyle w:val="Heading3"/>
      </w:pPr>
      <w:r>
        <w:t>Forward priorities</w:t>
      </w:r>
    </w:p>
    <w:p w:rsidR="00CD4AAD" w:rsidRDefault="00844E02" w:rsidP="000721CB">
      <w:pPr>
        <w:pStyle w:val="BodyText"/>
      </w:pPr>
      <w:r>
        <w:t xml:space="preserve">Linking aid to </w:t>
      </w:r>
      <w:r w:rsidR="00931EBD">
        <w:t xml:space="preserve">achieving </w:t>
      </w:r>
      <w:r>
        <w:t xml:space="preserve">policy reforms is now a cornerstone of </w:t>
      </w:r>
      <w:r w:rsidR="00F20BE1">
        <w:t xml:space="preserve">Australia’s </w:t>
      </w:r>
      <w:r>
        <w:t xml:space="preserve">support </w:t>
      </w:r>
      <w:r w:rsidR="00931EBD">
        <w:t xml:space="preserve">for </w:t>
      </w:r>
      <w:r>
        <w:t>Tonga’s economic and public sector governance reforms</w:t>
      </w:r>
      <w:r w:rsidR="00B617F2">
        <w:t xml:space="preserve">. </w:t>
      </w:r>
      <w:r>
        <w:t>Australia</w:t>
      </w:r>
      <w:r w:rsidR="00931EBD">
        <w:t xml:space="preserve"> provides</w:t>
      </w:r>
      <w:r>
        <w:t xml:space="preserve"> technical assistance for economic and public sector governance</w:t>
      </w:r>
      <w:r w:rsidR="00931EBD">
        <w:t xml:space="preserve"> </w:t>
      </w:r>
      <w:r>
        <w:t xml:space="preserve">to four core public sector line agencies: Ministry of Finance and National Planning, Ministry of Revenue, Public Service Commission and </w:t>
      </w:r>
      <w:r w:rsidR="005661B7">
        <w:t>Department of</w:t>
      </w:r>
      <w:r>
        <w:t xml:space="preserve"> Statistics</w:t>
      </w:r>
      <w:r w:rsidR="00B617F2">
        <w:t>.</w:t>
      </w:r>
    </w:p>
    <w:p w:rsidR="009D4FEF" w:rsidRDefault="00DB5C33" w:rsidP="000721CB">
      <w:pPr>
        <w:pStyle w:val="BodyText"/>
      </w:pPr>
      <w:r>
        <w:t>In 2013</w:t>
      </w:r>
      <w:r w:rsidR="00931EBD">
        <w:t>,</w:t>
      </w:r>
      <w:r>
        <w:t xml:space="preserve"> </w:t>
      </w:r>
      <w:r w:rsidR="0036495D">
        <w:t xml:space="preserve">a </w:t>
      </w:r>
      <w:r w:rsidR="00844E02">
        <w:t>delivery strategy</w:t>
      </w:r>
      <w:r w:rsidR="0036495D">
        <w:t xml:space="preserve"> was developed to</w:t>
      </w:r>
      <w:r w:rsidR="00B54560">
        <w:t xml:space="preserve"> define where and how Australia will provide assistance in this sector</w:t>
      </w:r>
      <w:r w:rsidR="00A23E1A">
        <w:t xml:space="preserve">. </w:t>
      </w:r>
      <w:r w:rsidR="00E16B87">
        <w:t>In 2013</w:t>
      </w:r>
      <w:r w:rsidR="000D4520">
        <w:t>–</w:t>
      </w:r>
      <w:r w:rsidR="00E16B87">
        <w:t>14</w:t>
      </w:r>
      <w:r w:rsidR="00931EBD">
        <w:t>,</w:t>
      </w:r>
      <w:r w:rsidR="00E16B87">
        <w:t xml:space="preserve"> </w:t>
      </w:r>
      <w:r w:rsidR="00BE7082">
        <w:t>the Department of Foreign Affairs and Trade (</w:t>
      </w:r>
      <w:r w:rsidR="0064627D">
        <w:t>DFAT</w:t>
      </w:r>
      <w:r w:rsidR="00BE7082">
        <w:t xml:space="preserve">) </w:t>
      </w:r>
      <w:r w:rsidR="00E16B87">
        <w:t>will focus efforts on implementing agreed areas of the delivery strategy</w:t>
      </w:r>
      <w:r w:rsidR="009D4FEF">
        <w:t>. This includes:</w:t>
      </w:r>
    </w:p>
    <w:p w:rsidR="009D4FEF" w:rsidRPr="00DF3741" w:rsidRDefault="00A01B3E" w:rsidP="000721CB">
      <w:pPr>
        <w:pStyle w:val="ListBullet"/>
      </w:pPr>
      <w:r w:rsidRPr="00DF3741">
        <w:t>support</w:t>
      </w:r>
      <w:r w:rsidR="00A23E1A" w:rsidRPr="00DF3741">
        <w:t>ing</w:t>
      </w:r>
      <w:r w:rsidRPr="00DF3741">
        <w:t xml:space="preserve"> the </w:t>
      </w:r>
      <w:r w:rsidR="00CF6A77" w:rsidRPr="00DF3741">
        <w:t>Government of Tonga’s</w:t>
      </w:r>
      <w:r w:rsidRPr="00DF3741">
        <w:t xml:space="preserve"> own reform plans</w:t>
      </w:r>
      <w:r w:rsidR="00A23E1A" w:rsidRPr="00DF3741">
        <w:t xml:space="preserve"> through the Joint Policy Reform Matrix</w:t>
      </w:r>
    </w:p>
    <w:p w:rsidR="009D4FEF" w:rsidRPr="00DF3741" w:rsidRDefault="00A23E1A" w:rsidP="000721CB">
      <w:pPr>
        <w:pStyle w:val="ListBullet"/>
      </w:pPr>
      <w:r w:rsidRPr="00DF3741">
        <w:t>offer</w:t>
      </w:r>
      <w:r w:rsidR="009D4FEF" w:rsidRPr="00DF3741">
        <w:t>ing</w:t>
      </w:r>
      <w:r w:rsidR="00A01B3E" w:rsidRPr="00DF3741">
        <w:t xml:space="preserve"> capacity building</w:t>
      </w:r>
      <w:r w:rsidR="00117439" w:rsidRPr="00DF3741">
        <w:t xml:space="preserve"> and advisory support</w:t>
      </w:r>
    </w:p>
    <w:p w:rsidR="009D4FEF" w:rsidRPr="00DF3741" w:rsidRDefault="00A01B3E" w:rsidP="000721CB">
      <w:pPr>
        <w:pStyle w:val="ListBullet"/>
      </w:pPr>
      <w:r w:rsidRPr="00DF3741">
        <w:t>seek</w:t>
      </w:r>
      <w:r w:rsidR="009D4FEF" w:rsidRPr="00DF3741">
        <w:t>ing</w:t>
      </w:r>
      <w:r w:rsidRPr="00DF3741">
        <w:t xml:space="preserve"> to better integrate the </w:t>
      </w:r>
      <w:r w:rsidR="00CF6A77" w:rsidRPr="00DF3741">
        <w:t>Government of Tonga’s</w:t>
      </w:r>
      <w:r w:rsidRPr="00DF3741">
        <w:t xml:space="preserve"> own planning and monitoring and evaluation processes into </w:t>
      </w:r>
      <w:r w:rsidR="009D4FEF" w:rsidRPr="00DF3741">
        <w:t xml:space="preserve">program </w:t>
      </w:r>
      <w:r w:rsidRPr="00DF3741">
        <w:t>management.</w:t>
      </w:r>
      <w:r w:rsidR="00A23E1A" w:rsidRPr="00DF3741">
        <w:t xml:space="preserve"> </w:t>
      </w:r>
    </w:p>
    <w:p w:rsidR="00A01B3E" w:rsidRPr="000721CB" w:rsidRDefault="00A23E1A" w:rsidP="000721CB">
      <w:pPr>
        <w:pStyle w:val="BodyText"/>
      </w:pPr>
      <w:r w:rsidRPr="000721CB">
        <w:t>A key forward priority will be to support further reforms to Tonga’s public procurement system through the Joint Policy</w:t>
      </w:r>
      <w:r w:rsidR="009D4FEF" w:rsidRPr="000721CB">
        <w:t xml:space="preserve"> Reform</w:t>
      </w:r>
      <w:r w:rsidRPr="000721CB">
        <w:t xml:space="preserve"> Matrix and technical assistance. In the coming </w:t>
      </w:r>
      <w:r w:rsidR="009D4FEF" w:rsidRPr="000721CB">
        <w:t xml:space="preserve">financial </w:t>
      </w:r>
      <w:r w:rsidRPr="000721CB">
        <w:t xml:space="preserve">year </w:t>
      </w:r>
      <w:r w:rsidR="0064627D" w:rsidRPr="000721CB">
        <w:t xml:space="preserve">DFAT </w:t>
      </w:r>
      <w:r w:rsidRPr="000721CB">
        <w:t xml:space="preserve">will work closely with </w:t>
      </w:r>
      <w:r w:rsidR="009D4FEF" w:rsidRPr="000721CB">
        <w:t xml:space="preserve">its </w:t>
      </w:r>
      <w:r w:rsidRPr="000721CB">
        <w:t>multilateral development bank</w:t>
      </w:r>
      <w:r w:rsidR="009D4FEF" w:rsidRPr="000721CB">
        <w:t xml:space="preserve"> partners</w:t>
      </w:r>
      <w:r w:rsidRPr="000721CB">
        <w:t xml:space="preserve"> to negotiate</w:t>
      </w:r>
      <w:r w:rsidR="00E16B87" w:rsidRPr="000721CB">
        <w:t xml:space="preserve"> new</w:t>
      </w:r>
      <w:r w:rsidRPr="000721CB">
        <w:t xml:space="preserve"> reforms</w:t>
      </w:r>
      <w:r w:rsidR="009D4FEF" w:rsidRPr="000721CB">
        <w:t xml:space="preserve">. These will </w:t>
      </w:r>
      <w:r w:rsidRPr="000721CB">
        <w:t xml:space="preserve">be included in the </w:t>
      </w:r>
      <w:r w:rsidR="00E16B87" w:rsidRPr="000721CB">
        <w:t xml:space="preserve">next iteration of the </w:t>
      </w:r>
      <w:r w:rsidR="009D4FEF" w:rsidRPr="000721CB">
        <w:t>m</w:t>
      </w:r>
      <w:r w:rsidRPr="000721CB">
        <w:t xml:space="preserve">atrix. </w:t>
      </w:r>
      <w:r w:rsidR="0064627D" w:rsidRPr="000721CB">
        <w:t xml:space="preserve">DFAT </w:t>
      </w:r>
      <w:r w:rsidRPr="000721CB">
        <w:t>will</w:t>
      </w:r>
      <w:r w:rsidR="009D4FEF" w:rsidRPr="000721CB">
        <w:t xml:space="preserve"> also</w:t>
      </w:r>
      <w:r w:rsidRPr="000721CB">
        <w:t xml:space="preserve"> agree with the Government of Tonga</w:t>
      </w:r>
      <w:r w:rsidR="00CD4AAD" w:rsidRPr="000721CB">
        <w:t xml:space="preserve"> on</w:t>
      </w:r>
      <w:r w:rsidRPr="000721CB">
        <w:t xml:space="preserve"> new targets for the Partnership for Development based on what </w:t>
      </w:r>
      <w:r w:rsidR="009D4FEF" w:rsidRPr="000721CB">
        <w:t>w</w:t>
      </w:r>
      <w:r w:rsidRPr="000721CB">
        <w:t>as agreed in the</w:t>
      </w:r>
      <w:r w:rsidR="009D4FEF" w:rsidRPr="000721CB">
        <w:t xml:space="preserve"> new</w:t>
      </w:r>
      <w:r w:rsidRPr="000721CB">
        <w:t xml:space="preserve"> delivery strategy</w:t>
      </w:r>
      <w:r w:rsidR="00B617F2" w:rsidRPr="000721CB">
        <w:t xml:space="preserve">. </w:t>
      </w:r>
    </w:p>
    <w:p w:rsidR="000F429F" w:rsidRPr="000D64D1" w:rsidRDefault="00707E5E" w:rsidP="002D1680">
      <w:pPr>
        <w:pStyle w:val="Heading2"/>
      </w:pPr>
      <w:r>
        <w:lastRenderedPageBreak/>
        <w:t xml:space="preserve">Priority </w:t>
      </w:r>
      <w:r w:rsidRPr="002D1680">
        <w:t>Outcome</w:t>
      </w:r>
      <w:r>
        <w:t xml:space="preserve"> 2: </w:t>
      </w:r>
      <w:r w:rsidR="000F429F">
        <w:t>Improved health</w:t>
      </w:r>
    </w:p>
    <w:p w:rsidR="000F429F" w:rsidRPr="000721CB" w:rsidRDefault="000F429F" w:rsidP="000721CB">
      <w:pPr>
        <w:pStyle w:val="Heading3"/>
      </w:pPr>
      <w:r w:rsidRPr="000721CB">
        <w:t xml:space="preserve">Rating and </w:t>
      </w:r>
      <w:r w:rsidRPr="002D1680">
        <w:t>assessment</w:t>
      </w:r>
    </w:p>
    <w:p w:rsidR="00261A43" w:rsidRDefault="00261A43" w:rsidP="00261A43">
      <w:pPr>
        <w:pStyle w:val="BodyText"/>
        <w:rPr>
          <w:rFonts w:ascii="Georgia" w:hAnsi="Georgia"/>
          <w:color w:val="99CC00"/>
          <w:sz w:val="19"/>
          <w:szCs w:val="19"/>
        </w:rPr>
      </w:pPr>
    </w:p>
    <w:p w:rsidR="00261A43" w:rsidRDefault="00261A43" w:rsidP="00261A43">
      <w:pPr>
        <w:pStyle w:val="BodyText"/>
      </w:pPr>
      <w:r w:rsidRPr="00707E5E">
        <w:rPr>
          <w:rFonts w:ascii="Georgia" w:hAnsi="Georgia"/>
          <w:color w:val="99CC00"/>
          <w:sz w:val="19"/>
          <w:szCs w:val="19"/>
        </w:rPr>
        <w:sym w:font="Webdings" w:char="F067"/>
      </w:r>
      <w:r w:rsidRPr="00707E5E">
        <w:rPr>
          <w:rFonts w:ascii="Georgia" w:eastAsia="Arial Unicode MS" w:hAnsi="Georgia"/>
          <w:sz w:val="19"/>
          <w:szCs w:val="19"/>
        </w:rPr>
        <w:t> </w:t>
      </w:r>
      <w:r w:rsidRPr="0023155C">
        <w:rPr>
          <w:rFonts w:eastAsia="Arial Unicode MS"/>
        </w:rPr>
        <w:t xml:space="preserve">Green: </w:t>
      </w:r>
      <w:r w:rsidRPr="0023155C">
        <w:t>The objective will be fully achieved within the timeframe of the partnership.</w:t>
      </w:r>
    </w:p>
    <w:p w:rsidR="00261A43" w:rsidRPr="00932BA6" w:rsidRDefault="00261A43" w:rsidP="00261A43">
      <w:pPr>
        <w:pStyle w:val="Caption"/>
      </w:pPr>
      <w:r>
        <w:t>Table 6</w:t>
      </w:r>
    </w:p>
    <w:tbl>
      <w:tblPr>
        <w:tblStyle w:val="APPR"/>
        <w:tblW w:w="0" w:type="auto"/>
        <w:tblLayout w:type="fixed"/>
        <w:tblLook w:val="0000" w:firstRow="0" w:lastRow="0" w:firstColumn="0" w:lastColumn="0" w:noHBand="0" w:noVBand="0"/>
      </w:tblPr>
      <w:tblGrid>
        <w:gridCol w:w="7082"/>
        <w:gridCol w:w="940"/>
      </w:tblGrid>
      <w:tr w:rsidR="00261A43" w:rsidTr="00261A43">
        <w:trPr>
          <w:cnfStyle w:val="000000010000" w:firstRow="0" w:lastRow="0" w:firstColumn="0" w:lastColumn="0" w:oddVBand="0" w:evenVBand="0" w:oddHBand="0" w:evenHBand="1" w:firstRowFirstColumn="0" w:firstRowLastColumn="0" w:lastRowFirstColumn="0" w:lastRowLastColumn="0"/>
        </w:trPr>
        <w:tc>
          <w:tcPr>
            <w:tcW w:w="7966" w:type="dxa"/>
            <w:gridSpan w:val="2"/>
          </w:tcPr>
          <w:p w:rsidR="00261A43" w:rsidRPr="0023155C" w:rsidRDefault="00261A43" w:rsidP="00261A43">
            <w:pPr>
              <w:pStyle w:val="TableTextColumnHeading"/>
            </w:pPr>
            <w:r w:rsidRPr="0023155C">
              <w:t xml:space="preserve">Aim: The partnership will support progress towards poverty reduction and improvement in living standards for Tongans through improved health outcomes, with a particular focus on reducing the impact of NCDs. </w:t>
            </w:r>
          </w:p>
        </w:tc>
      </w:tr>
      <w:tr w:rsidR="00261A43" w:rsidTr="00261A43">
        <w:trPr>
          <w:cnfStyle w:val="000000010000" w:firstRow="0" w:lastRow="0" w:firstColumn="0" w:lastColumn="0" w:oddVBand="0" w:evenVBand="0" w:oddHBand="0" w:evenHBand="1" w:firstRowFirstColumn="0" w:firstRowLastColumn="0" w:lastRowFirstColumn="0" w:lastRowLastColumn="0"/>
        </w:trPr>
        <w:tc>
          <w:tcPr>
            <w:tcW w:w="7040" w:type="dxa"/>
          </w:tcPr>
          <w:p w:rsidR="00261A43" w:rsidRDefault="00261A43" w:rsidP="00261A43">
            <w:pPr>
              <w:pStyle w:val="TableTextColumnHeading"/>
            </w:pPr>
            <w:r w:rsidRPr="00A31F03">
              <w:t>Partnership targets for 2015</w:t>
            </w:r>
          </w:p>
        </w:tc>
        <w:tc>
          <w:tcPr>
            <w:tcW w:w="898" w:type="dxa"/>
          </w:tcPr>
          <w:p w:rsidR="00261A43" w:rsidRDefault="00261A43" w:rsidP="00261A43">
            <w:pPr>
              <w:pStyle w:val="TableTextColumnHeading"/>
            </w:pPr>
            <w:r w:rsidRPr="00A31F03">
              <w:t>Progress</w:t>
            </w:r>
          </w:p>
        </w:tc>
      </w:tr>
      <w:tr w:rsidR="00261A43" w:rsidTr="00261A43">
        <w:trPr>
          <w:cnfStyle w:val="000000010000" w:firstRow="0" w:lastRow="0" w:firstColumn="0" w:lastColumn="0" w:oddVBand="0" w:evenVBand="0" w:oddHBand="0" w:evenHBand="1" w:firstRowFirstColumn="0" w:firstRowLastColumn="0" w:lastRowFirstColumn="0" w:lastRowLastColumn="0"/>
        </w:trPr>
        <w:tc>
          <w:tcPr>
            <w:tcW w:w="7040" w:type="dxa"/>
          </w:tcPr>
          <w:p w:rsidR="00261A43" w:rsidRPr="0023155C" w:rsidRDefault="00261A43" w:rsidP="00261A43">
            <w:pPr>
              <w:pStyle w:val="TableTextEntries"/>
            </w:pPr>
            <w:r w:rsidRPr="0023155C">
              <w:t>Reduced prevalence of NCDs risk factors including:</w:t>
            </w:r>
          </w:p>
        </w:tc>
        <w:tc>
          <w:tcPr>
            <w:tcW w:w="898" w:type="dxa"/>
            <w:vMerge w:val="restart"/>
            <w:shd w:val="clear" w:color="auto" w:fill="F79646" w:themeFill="accent6"/>
          </w:tcPr>
          <w:p w:rsidR="00261A43" w:rsidRPr="0023155C" w:rsidRDefault="00261A43" w:rsidP="00261A43">
            <w:pPr>
              <w:pStyle w:val="TableTextEntries"/>
            </w:pPr>
            <w:r w:rsidRPr="0023155C">
              <w:t>Amber</w:t>
            </w:r>
          </w:p>
        </w:tc>
      </w:tr>
      <w:tr w:rsidR="00261A43" w:rsidTr="00261A43">
        <w:trPr>
          <w:cnfStyle w:val="000000010000" w:firstRow="0" w:lastRow="0" w:firstColumn="0" w:lastColumn="0" w:oddVBand="0" w:evenVBand="0" w:oddHBand="0" w:evenHBand="1" w:firstRowFirstColumn="0" w:firstRowLastColumn="0" w:lastRowFirstColumn="0" w:lastRowLastColumn="0"/>
        </w:trPr>
        <w:tc>
          <w:tcPr>
            <w:tcW w:w="7040" w:type="dxa"/>
          </w:tcPr>
          <w:p w:rsidR="00261A43" w:rsidRPr="0023155C" w:rsidRDefault="00261A43" w:rsidP="00261A43">
            <w:pPr>
              <w:pStyle w:val="TableTextEntries"/>
            </w:pPr>
            <w:r w:rsidRPr="0023155C">
              <w:t xml:space="preserve">     Tobacco use: 2 per cent decrease in prevalence of smokers by 2015</w:t>
            </w:r>
          </w:p>
          <w:p w:rsidR="00261A43" w:rsidRPr="0023155C" w:rsidRDefault="00261A43" w:rsidP="00261A43">
            <w:pPr>
              <w:pStyle w:val="TableTextEntries"/>
            </w:pPr>
            <w:r w:rsidRPr="0023155C">
              <w:t xml:space="preserve">     Obesity: halt the increase in overall prevalence of obesity by 2015. </w:t>
            </w:r>
          </w:p>
        </w:tc>
        <w:tc>
          <w:tcPr>
            <w:tcW w:w="898" w:type="dxa"/>
            <w:vMerge/>
            <w:shd w:val="clear" w:color="auto" w:fill="F79646" w:themeFill="accent6"/>
          </w:tcPr>
          <w:p w:rsidR="00261A43" w:rsidRPr="0023155C" w:rsidRDefault="00261A43" w:rsidP="00261A43">
            <w:pPr>
              <w:pStyle w:val="TableTextEntries"/>
            </w:pPr>
          </w:p>
        </w:tc>
      </w:tr>
      <w:tr w:rsidR="00261A43" w:rsidRPr="00A31F03" w:rsidTr="00261A43">
        <w:trPr>
          <w:cnfStyle w:val="000000010000" w:firstRow="0" w:lastRow="0" w:firstColumn="0" w:lastColumn="0" w:oddVBand="0" w:evenVBand="0" w:oddHBand="0" w:evenHBand="1" w:firstRowFirstColumn="0" w:firstRowLastColumn="0" w:lastRowFirstColumn="0" w:lastRowLastColumn="0"/>
        </w:trPr>
        <w:tc>
          <w:tcPr>
            <w:tcW w:w="7040" w:type="dxa"/>
          </w:tcPr>
          <w:p w:rsidR="00261A43" w:rsidRPr="0023155C" w:rsidRDefault="00261A43" w:rsidP="00261A43">
            <w:pPr>
              <w:pStyle w:val="TableTextEntries"/>
            </w:pPr>
            <w:r w:rsidRPr="0023155C">
              <w:t>Budget for preventive health care to reach 10 per cent of total public health operational budget by 2015.</w:t>
            </w:r>
          </w:p>
        </w:tc>
        <w:tc>
          <w:tcPr>
            <w:tcW w:w="898" w:type="dxa"/>
            <w:shd w:val="clear" w:color="auto" w:fill="92D050"/>
          </w:tcPr>
          <w:p w:rsidR="00261A43" w:rsidRPr="0023155C" w:rsidRDefault="00261A43" w:rsidP="00261A43">
            <w:pPr>
              <w:pStyle w:val="TableTextEntries"/>
            </w:pPr>
            <w:r w:rsidRPr="0023155C">
              <w:t>Green</w:t>
            </w:r>
          </w:p>
        </w:tc>
      </w:tr>
      <w:tr w:rsidR="00261A43" w:rsidRPr="00A31F03" w:rsidTr="00261A43">
        <w:trPr>
          <w:cnfStyle w:val="000000010000" w:firstRow="0" w:lastRow="0" w:firstColumn="0" w:lastColumn="0" w:oddVBand="0" w:evenVBand="0" w:oddHBand="0" w:evenHBand="1" w:firstRowFirstColumn="0" w:firstRowLastColumn="0" w:lastRowFirstColumn="0" w:lastRowLastColumn="0"/>
        </w:trPr>
        <w:tc>
          <w:tcPr>
            <w:tcW w:w="7040" w:type="dxa"/>
          </w:tcPr>
          <w:p w:rsidR="00261A43" w:rsidRPr="0023155C" w:rsidRDefault="00261A43" w:rsidP="00261A43">
            <w:pPr>
              <w:pStyle w:val="TableTextEntries"/>
            </w:pPr>
            <w:r w:rsidRPr="0023155C">
              <w:t>Primary health care provided to all communities in Tonga to follow a common national standard.</w:t>
            </w:r>
          </w:p>
        </w:tc>
        <w:tc>
          <w:tcPr>
            <w:tcW w:w="898" w:type="dxa"/>
            <w:shd w:val="clear" w:color="auto" w:fill="92D050"/>
          </w:tcPr>
          <w:p w:rsidR="00261A43" w:rsidRPr="0023155C" w:rsidRDefault="00261A43" w:rsidP="00261A43">
            <w:pPr>
              <w:pStyle w:val="TableTextEntries"/>
            </w:pPr>
            <w:r w:rsidRPr="0023155C">
              <w:t>Green</w:t>
            </w:r>
          </w:p>
        </w:tc>
      </w:tr>
    </w:tbl>
    <w:p w:rsidR="00261A43" w:rsidRDefault="00261A43" w:rsidP="00261A43">
      <w:pPr>
        <w:pStyle w:val="BodyText"/>
        <w:rPr>
          <w:rFonts w:ascii="Georgia" w:hAnsi="Georgia"/>
          <w:sz w:val="19"/>
          <w:szCs w:val="19"/>
        </w:rPr>
      </w:pPr>
    </w:p>
    <w:p w:rsidR="009D4FEF" w:rsidRPr="000721CB" w:rsidRDefault="00E16B87" w:rsidP="000721CB">
      <w:pPr>
        <w:pStyle w:val="BodyText"/>
      </w:pPr>
      <w:r w:rsidRPr="000721CB">
        <w:t>At the 2012 Partnership Talks</w:t>
      </w:r>
      <w:r w:rsidR="00CD4AAD" w:rsidRPr="000721CB">
        <w:t>,</w:t>
      </w:r>
      <w:r w:rsidRPr="000721CB">
        <w:t xml:space="preserve"> a new schedule outlining annual targets </w:t>
      </w:r>
      <w:r w:rsidR="009D4FEF" w:rsidRPr="000721CB">
        <w:t xml:space="preserve">for improved health </w:t>
      </w:r>
      <w:r w:rsidRPr="000721CB">
        <w:t>was agreed</w:t>
      </w:r>
      <w:r w:rsidR="00B617F2" w:rsidRPr="000721CB">
        <w:t xml:space="preserve">. </w:t>
      </w:r>
      <w:r w:rsidRPr="000721CB">
        <w:t>This supports better tracking of progress towards the 2015 health outcomes expected under the Partnership</w:t>
      </w:r>
      <w:r w:rsidR="009D4FEF" w:rsidRPr="000721CB">
        <w:t xml:space="preserve"> for Development</w:t>
      </w:r>
      <w:r w:rsidR="00B617F2" w:rsidRPr="000721CB">
        <w:t xml:space="preserve">. </w:t>
      </w:r>
    </w:p>
    <w:p w:rsidR="00E16B87" w:rsidRPr="000721CB" w:rsidRDefault="00CD4AAD" w:rsidP="000721CB">
      <w:pPr>
        <w:pStyle w:val="BodyText"/>
      </w:pPr>
      <w:r w:rsidRPr="000721CB">
        <w:t>The k</w:t>
      </w:r>
      <w:r w:rsidR="00E16B87" w:rsidRPr="000721CB">
        <w:t xml:space="preserve">ey intermediate outputs </w:t>
      </w:r>
      <w:r w:rsidR="00F26228" w:rsidRPr="000721CB">
        <w:t xml:space="preserve">stipulated in the </w:t>
      </w:r>
      <w:r w:rsidR="00E16B87" w:rsidRPr="000721CB">
        <w:t>schedule for 2012</w:t>
      </w:r>
      <w:r w:rsidR="000D4520" w:rsidRPr="000721CB">
        <w:t>–</w:t>
      </w:r>
      <w:r w:rsidR="00E16B87" w:rsidRPr="000721CB">
        <w:t xml:space="preserve">13 </w:t>
      </w:r>
      <w:r w:rsidR="00F26228" w:rsidRPr="000721CB">
        <w:t>are</w:t>
      </w:r>
      <w:r w:rsidRPr="000721CB">
        <w:t>:</w:t>
      </w:r>
    </w:p>
    <w:p w:rsidR="00E16B87" w:rsidRDefault="000D4520" w:rsidP="000721CB">
      <w:pPr>
        <w:pStyle w:val="ListBullet"/>
      </w:pPr>
      <w:r>
        <w:t>f</w:t>
      </w:r>
      <w:r w:rsidR="00E16B87">
        <w:t xml:space="preserve">inalising STEP and </w:t>
      </w:r>
      <w:r w:rsidR="007F4331">
        <w:t>Knowledge Attitude Practices</w:t>
      </w:r>
      <w:r w:rsidR="00E16B87">
        <w:t xml:space="preserve"> </w:t>
      </w:r>
      <w:r w:rsidR="007F4331">
        <w:t>s</w:t>
      </w:r>
      <w:r w:rsidR="00E16B87">
        <w:t xml:space="preserve">urveys (a surveillance </w:t>
      </w:r>
      <w:r w:rsidR="0067297B">
        <w:t xml:space="preserve">survey </w:t>
      </w:r>
      <w:r w:rsidR="00E16B87">
        <w:t xml:space="preserve">for chronic disease risk factors, coupled with a survey on </w:t>
      </w:r>
      <w:r w:rsidR="00E16B87" w:rsidRPr="00970F8A">
        <w:t>behaviours and attitudes</w:t>
      </w:r>
      <w:r w:rsidR="00E16B87">
        <w:t xml:space="preserve"> on NCD risk factors)</w:t>
      </w:r>
    </w:p>
    <w:p w:rsidR="00E16B87" w:rsidRDefault="000D4520" w:rsidP="000721CB">
      <w:pPr>
        <w:pStyle w:val="ListBullet"/>
      </w:pPr>
      <w:r>
        <w:t>d</w:t>
      </w:r>
      <w:r w:rsidR="00E16B87">
        <w:t>raft</w:t>
      </w:r>
      <w:r>
        <w:t>ing</w:t>
      </w:r>
      <w:r w:rsidR="00E16B87">
        <w:t xml:space="preserve"> legislation to increase tax on tobacco and earmark funds for disease prevention and health promotion submitted to Parliament</w:t>
      </w:r>
    </w:p>
    <w:p w:rsidR="00E16B87" w:rsidRPr="00CF7FF0" w:rsidRDefault="000D4520" w:rsidP="000721CB">
      <w:pPr>
        <w:pStyle w:val="ListBullet"/>
      </w:pPr>
      <w:r>
        <w:t>e</w:t>
      </w:r>
      <w:r w:rsidR="00E16B87">
        <w:t>stablish</w:t>
      </w:r>
      <w:r>
        <w:t xml:space="preserve">ing </w:t>
      </w:r>
      <w:r w:rsidR="00E16B87">
        <w:t>a twinning arrangement between the Ministry of Health an</w:t>
      </w:r>
      <w:r w:rsidR="00E16B87" w:rsidRPr="00CF7FF0">
        <w:t xml:space="preserve">d the Australian Nossal Institute to help develop the capacity of the </w:t>
      </w:r>
      <w:r w:rsidR="00E87529">
        <w:t>Ministry’s</w:t>
      </w:r>
      <w:r w:rsidR="00E16B87" w:rsidRPr="00CF7FF0">
        <w:t xml:space="preserve"> Health Promotion Unit and implementation of key activities as outlined in the work plan</w:t>
      </w:r>
    </w:p>
    <w:p w:rsidR="00E16B87" w:rsidRPr="00CF7FF0" w:rsidRDefault="009D4FEF" w:rsidP="000721CB">
      <w:pPr>
        <w:pStyle w:val="ListBullet"/>
      </w:pPr>
      <w:r w:rsidRPr="00CF7FF0">
        <w:t>developing the f</w:t>
      </w:r>
      <w:r w:rsidR="00E16B87" w:rsidRPr="00CF7FF0">
        <w:t xml:space="preserve">irst draft of National Standards for Primary Health Care </w:t>
      </w:r>
      <w:r w:rsidR="00CD4AAD">
        <w:t xml:space="preserve">and </w:t>
      </w:r>
      <w:r w:rsidR="00CF7FF0" w:rsidRPr="00CF7FF0">
        <w:t xml:space="preserve">establishing and approving the </w:t>
      </w:r>
      <w:r w:rsidR="00E16B87" w:rsidRPr="00CF7FF0">
        <w:t>NCD nursing division by the Tonga National Qualification and Accreditation Board</w:t>
      </w:r>
    </w:p>
    <w:p w:rsidR="00E16B87" w:rsidRPr="00CF7FF0" w:rsidRDefault="00CF7FF0" w:rsidP="000721CB">
      <w:pPr>
        <w:pStyle w:val="ListBullet"/>
      </w:pPr>
      <w:r w:rsidRPr="00CF7FF0">
        <w:t>progressing the jointly agreed 10 per cent target for the M</w:t>
      </w:r>
      <w:r w:rsidR="00E87529">
        <w:t>inistry of Health</w:t>
      </w:r>
      <w:r w:rsidR="00E16B87" w:rsidRPr="00CF7FF0">
        <w:t xml:space="preserve"> budget for preventative health</w:t>
      </w:r>
      <w:r w:rsidRPr="00CF7FF0">
        <w:t xml:space="preserve"> (</w:t>
      </w:r>
      <w:r w:rsidR="00E16B87" w:rsidRPr="00CF7FF0">
        <w:t>8</w:t>
      </w:r>
      <w:r w:rsidR="00B617F2" w:rsidRPr="00CF7FF0">
        <w:t xml:space="preserve"> per cent</w:t>
      </w:r>
      <w:r w:rsidR="00E16B87" w:rsidRPr="00CF7FF0">
        <w:t xml:space="preserve"> of total public health operational budget</w:t>
      </w:r>
      <w:r w:rsidRPr="00CF7FF0">
        <w:t xml:space="preserve"> now reached)</w:t>
      </w:r>
    </w:p>
    <w:p w:rsidR="00E16B87" w:rsidRPr="00E87529" w:rsidRDefault="00CF7FF0" w:rsidP="000721CB">
      <w:pPr>
        <w:pStyle w:val="ListBullet"/>
      </w:pPr>
      <w:r w:rsidRPr="00E87529">
        <w:t>finalising the s</w:t>
      </w:r>
      <w:r w:rsidR="00E16B87" w:rsidRPr="00E87529">
        <w:t>trategic health communication campaign and community mobilisation strategy on the four NCD risk factors</w:t>
      </w:r>
      <w:r w:rsidR="00CD4AAD" w:rsidRPr="00E87529">
        <w:t>—</w:t>
      </w:r>
      <w:r w:rsidR="00DF3741" w:rsidRPr="00E87529">
        <w:t>smoking, lack of physical exercise, alcohol consumption and unhealthy eating</w:t>
      </w:r>
    </w:p>
    <w:p w:rsidR="00E16B87" w:rsidRPr="00CF7FF0" w:rsidRDefault="00CF7FF0" w:rsidP="000721CB">
      <w:pPr>
        <w:pStyle w:val="ListBullet"/>
      </w:pPr>
      <w:r w:rsidRPr="00CF7FF0">
        <w:t>implementing a</w:t>
      </w:r>
      <w:r w:rsidR="00E16B87" w:rsidRPr="00CF7FF0">
        <w:t xml:space="preserve"> targeted strategic health communication campaign to increase physical activity levels among women and girls</w:t>
      </w:r>
      <w:r w:rsidRPr="00CF7FF0">
        <w:t xml:space="preserve"> </w:t>
      </w:r>
      <w:r w:rsidR="00E16B87" w:rsidRPr="00CF7FF0">
        <w:t>through the Australian Sports Outreach Program</w:t>
      </w:r>
      <w:r w:rsidR="00E87529">
        <w:t>.</w:t>
      </w:r>
      <w:r w:rsidRPr="00CF7FF0">
        <w:t xml:space="preserve"> </w:t>
      </w:r>
    </w:p>
    <w:p w:rsidR="000F429F" w:rsidRPr="000721CB" w:rsidRDefault="00E16B87" w:rsidP="007D1A22">
      <w:pPr>
        <w:pStyle w:val="Heading3"/>
      </w:pPr>
      <w:r w:rsidRPr="000721CB">
        <w:t xml:space="preserve">Reduced prevalence of </w:t>
      </w:r>
      <w:r w:rsidRPr="007D1A22">
        <w:t>non</w:t>
      </w:r>
      <w:r w:rsidRPr="000721CB">
        <w:t>-communicable disease risk factors</w:t>
      </w:r>
    </w:p>
    <w:p w:rsidR="000F429F" w:rsidRPr="000721CB" w:rsidRDefault="00180F2C" w:rsidP="000721CB">
      <w:pPr>
        <w:pStyle w:val="BodyText"/>
      </w:pPr>
      <w:r w:rsidRPr="000721CB">
        <w:t xml:space="preserve">Through the Tonga Health Systems Support Program, </w:t>
      </w:r>
      <w:r w:rsidR="000F429F" w:rsidRPr="000721CB">
        <w:t>Australia directly funds</w:t>
      </w:r>
      <w:r w:rsidR="00CF7FF0" w:rsidRPr="000721CB">
        <w:t xml:space="preserve"> the</w:t>
      </w:r>
      <w:r w:rsidR="000F429F" w:rsidRPr="000721CB">
        <w:t xml:space="preserve"> Ministry of Health to improve community services and preventative health measures, with a particular focus on halting and reducing </w:t>
      </w:r>
      <w:r w:rsidR="00CF7FF0" w:rsidRPr="000721CB">
        <w:t xml:space="preserve">the </w:t>
      </w:r>
      <w:r w:rsidR="000F429F" w:rsidRPr="000721CB">
        <w:t xml:space="preserve">prevalence of </w:t>
      </w:r>
      <w:r w:rsidR="009D4FEF" w:rsidRPr="000721CB">
        <w:t>NCD</w:t>
      </w:r>
      <w:r w:rsidR="000F429F" w:rsidRPr="000721CB">
        <w:t xml:space="preserve"> risk factors</w:t>
      </w:r>
      <w:r w:rsidR="00DF3741" w:rsidRPr="000721CB">
        <w:t xml:space="preserve">. </w:t>
      </w:r>
      <w:r w:rsidR="00EA13F6" w:rsidRPr="000721CB">
        <w:t xml:space="preserve">The </w:t>
      </w:r>
      <w:r w:rsidR="00D16E5D" w:rsidRPr="000721CB">
        <w:t xml:space="preserve">program also supports </w:t>
      </w:r>
      <w:r w:rsidR="00343FD0" w:rsidRPr="000721CB">
        <w:t>hospital</w:t>
      </w:r>
      <w:r w:rsidR="00D16E5D" w:rsidRPr="000721CB">
        <w:t xml:space="preserve"> care through funding human resource development (clinical positions, mentoring</w:t>
      </w:r>
      <w:r w:rsidR="00CF7FF0" w:rsidRPr="000721CB">
        <w:t xml:space="preserve"> and</w:t>
      </w:r>
      <w:r w:rsidR="00D16E5D" w:rsidRPr="000721CB">
        <w:t xml:space="preserve"> </w:t>
      </w:r>
      <w:r w:rsidR="00D16E5D" w:rsidRPr="000721CB">
        <w:lastRenderedPageBreak/>
        <w:t>training), a twinning arrangement</w:t>
      </w:r>
      <w:r w:rsidR="00F26228" w:rsidRPr="000721CB">
        <w:t>,</w:t>
      </w:r>
      <w:r w:rsidR="00EA13F6" w:rsidRPr="000721CB">
        <w:t xml:space="preserve"> </w:t>
      </w:r>
      <w:r w:rsidR="00F26228" w:rsidRPr="000721CB">
        <w:t xml:space="preserve">and </w:t>
      </w:r>
      <w:r w:rsidR="00EA13F6" w:rsidRPr="000721CB">
        <w:t xml:space="preserve">clinical </w:t>
      </w:r>
      <w:r w:rsidR="000F429F" w:rsidRPr="000721CB">
        <w:t xml:space="preserve">staffing </w:t>
      </w:r>
      <w:r w:rsidR="00EA13F6" w:rsidRPr="000721CB">
        <w:t>positions to directly deliver health services</w:t>
      </w:r>
      <w:r w:rsidR="00B617F2" w:rsidRPr="000721CB">
        <w:t>.</w:t>
      </w:r>
    </w:p>
    <w:p w:rsidR="00592228" w:rsidRPr="000721CB" w:rsidRDefault="001C0EF7" w:rsidP="000721CB">
      <w:pPr>
        <w:pStyle w:val="BodyText"/>
      </w:pPr>
      <w:r w:rsidRPr="000721CB">
        <w:t>Implementation over th</w:t>
      </w:r>
      <w:r w:rsidR="00E87529" w:rsidRPr="000721CB">
        <w:t>is</w:t>
      </w:r>
      <w:r w:rsidRPr="000721CB">
        <w:t xml:space="preserve"> report</w:t>
      </w:r>
      <w:r w:rsidR="00E87529" w:rsidRPr="000721CB">
        <w:t>ing</w:t>
      </w:r>
      <w:r w:rsidRPr="000721CB">
        <w:t xml:space="preserve"> period</w:t>
      </w:r>
      <w:r w:rsidR="000F429F" w:rsidRPr="000721CB">
        <w:t xml:space="preserve"> built on the marked improvement</w:t>
      </w:r>
      <w:r w:rsidRPr="000721CB">
        <w:t>s made</w:t>
      </w:r>
      <w:r w:rsidR="000F429F" w:rsidRPr="000721CB">
        <w:t xml:space="preserve"> in 2011 </w:t>
      </w:r>
      <w:r w:rsidRPr="000721CB">
        <w:t xml:space="preserve">in supporting </w:t>
      </w:r>
      <w:r w:rsidR="000F429F" w:rsidRPr="000721CB">
        <w:t>delivery of Tonga’s health programs</w:t>
      </w:r>
      <w:r w:rsidR="00E87529" w:rsidRPr="000721CB">
        <w:t>,</w:t>
      </w:r>
      <w:r w:rsidR="000F429F" w:rsidRPr="000721CB">
        <w:t xml:space="preserve"> </w:t>
      </w:r>
      <w:r w:rsidR="00592228" w:rsidRPr="000721CB">
        <w:t>with many intermediat</w:t>
      </w:r>
      <w:r w:rsidR="00E16B87" w:rsidRPr="000721CB">
        <w:t>e targets for 2012</w:t>
      </w:r>
      <w:r w:rsidR="00007E1F" w:rsidRPr="000721CB">
        <w:t>–</w:t>
      </w:r>
      <w:r w:rsidR="00E16B87" w:rsidRPr="000721CB">
        <w:t xml:space="preserve">13 </w:t>
      </w:r>
      <w:r w:rsidR="00592228" w:rsidRPr="000721CB">
        <w:t>being met, or well underway</w:t>
      </w:r>
      <w:r w:rsidR="000F429F" w:rsidRPr="000721CB">
        <w:t xml:space="preserve">. </w:t>
      </w:r>
    </w:p>
    <w:p w:rsidR="00343FD0" w:rsidRPr="000721CB" w:rsidRDefault="000F429F" w:rsidP="000721CB">
      <w:pPr>
        <w:pStyle w:val="BodyText"/>
      </w:pPr>
      <w:r w:rsidRPr="000721CB">
        <w:t>An independent</w:t>
      </w:r>
      <w:r w:rsidR="001C0EF7" w:rsidRPr="000721CB">
        <w:t xml:space="preserve"> progress</w:t>
      </w:r>
      <w:r w:rsidRPr="000721CB">
        <w:t xml:space="preserve"> </w:t>
      </w:r>
      <w:r w:rsidR="004B0418" w:rsidRPr="000721CB">
        <w:t>review</w:t>
      </w:r>
      <w:r w:rsidRPr="000721CB">
        <w:t xml:space="preserve"> </w:t>
      </w:r>
      <w:r w:rsidR="00F26228" w:rsidRPr="000721CB">
        <w:t xml:space="preserve">instigated by </w:t>
      </w:r>
      <w:r w:rsidR="006F27DE">
        <w:t>Australia</w:t>
      </w:r>
      <w:r w:rsidR="00F26228" w:rsidRPr="000721CB">
        <w:t xml:space="preserve"> and </w:t>
      </w:r>
      <w:r w:rsidRPr="000721CB">
        <w:t xml:space="preserve">undertaken in early 2013 noted it is too early to see tangible outcome-level results in reducing </w:t>
      </w:r>
      <w:r w:rsidR="009D4FEF" w:rsidRPr="000721CB">
        <w:t>NCD</w:t>
      </w:r>
      <w:r w:rsidRPr="000721CB">
        <w:t xml:space="preserve"> risk factors</w:t>
      </w:r>
      <w:r w:rsidR="000D4520" w:rsidRPr="000721CB">
        <w:t>.</w:t>
      </w:r>
      <w:r w:rsidR="00D13CB0" w:rsidRPr="000721CB">
        <w:rPr>
          <w:rStyle w:val="FootnoteReference"/>
          <w:position w:val="0"/>
          <w:sz w:val="22"/>
          <w:szCs w:val="24"/>
          <w:vertAlign w:val="superscript"/>
        </w:rPr>
        <w:footnoteReference w:id="31"/>
      </w:r>
      <w:r w:rsidR="00B617F2" w:rsidRPr="000721CB">
        <w:t xml:space="preserve"> </w:t>
      </w:r>
      <w:r w:rsidRPr="000721CB">
        <w:t>However</w:t>
      </w:r>
      <w:r w:rsidR="00975EFE" w:rsidRPr="000721CB">
        <w:t>,</w:t>
      </w:r>
      <w:r w:rsidR="00A60F78" w:rsidRPr="000721CB">
        <w:t xml:space="preserve"> </w:t>
      </w:r>
      <w:r w:rsidRPr="000721CB">
        <w:t xml:space="preserve">other partnership targets </w:t>
      </w:r>
      <w:r w:rsidR="001C0EF7" w:rsidRPr="000721CB">
        <w:t>on</w:t>
      </w:r>
      <w:r w:rsidR="00975EFE" w:rsidRPr="000721CB">
        <w:t xml:space="preserve"> </w:t>
      </w:r>
      <w:r w:rsidRPr="000721CB">
        <w:t>preventative health care budgeting and a national standard for primary health care are likely to be achieved</w:t>
      </w:r>
      <w:r w:rsidR="001C0EF7" w:rsidRPr="000721CB">
        <w:t>.</w:t>
      </w:r>
    </w:p>
    <w:p w:rsidR="004A76B4" w:rsidRPr="000721CB" w:rsidRDefault="00343FD0" w:rsidP="000721CB">
      <w:pPr>
        <w:pStyle w:val="BodyText"/>
      </w:pPr>
      <w:r w:rsidRPr="000721CB">
        <w:t xml:space="preserve">The </w:t>
      </w:r>
      <w:r w:rsidR="004B0418" w:rsidRPr="000721CB">
        <w:t>i</w:t>
      </w:r>
      <w:r w:rsidRPr="000721CB">
        <w:t xml:space="preserve">ndependent </w:t>
      </w:r>
      <w:r w:rsidR="004B0418" w:rsidRPr="000721CB">
        <w:t>r</w:t>
      </w:r>
      <w:r w:rsidRPr="000721CB">
        <w:t>eview found that the</w:t>
      </w:r>
      <w:r w:rsidR="00447167" w:rsidRPr="000721CB">
        <w:t xml:space="preserve"> program’s</w:t>
      </w:r>
      <w:r w:rsidRPr="000721CB">
        <w:t xml:space="preserve"> NCD component</w:t>
      </w:r>
      <w:r w:rsidR="00447167" w:rsidRPr="000721CB">
        <w:t xml:space="preserve"> </w:t>
      </w:r>
      <w:r w:rsidRPr="000721CB">
        <w:t>is highly relevant to Tonga’s needs and has made a broadly promising start. An NCD nursing division</w:t>
      </w:r>
      <w:r w:rsidR="00447167" w:rsidRPr="000721CB">
        <w:t>—</w:t>
      </w:r>
      <w:r w:rsidR="00007F12" w:rsidRPr="000721CB">
        <w:t>a key output under the health schedule for 2012</w:t>
      </w:r>
      <w:r w:rsidR="00E576E6" w:rsidRPr="000721CB">
        <w:t>–</w:t>
      </w:r>
      <w:r w:rsidR="00007F12" w:rsidRPr="000721CB">
        <w:t>13</w:t>
      </w:r>
      <w:r w:rsidR="00447167" w:rsidRPr="000721CB">
        <w:t>—</w:t>
      </w:r>
      <w:r w:rsidRPr="000721CB">
        <w:t>was established</w:t>
      </w:r>
      <w:r w:rsidR="00447167" w:rsidRPr="000721CB">
        <w:t>,</w:t>
      </w:r>
      <w:r w:rsidRPr="000721CB">
        <w:t xml:space="preserve"> represent</w:t>
      </w:r>
      <w:r w:rsidR="00447167" w:rsidRPr="000721CB">
        <w:t>ing</w:t>
      </w:r>
      <w:r w:rsidRPr="000721CB">
        <w:t xml:space="preserve"> a s</w:t>
      </w:r>
      <w:r w:rsidR="00007F12" w:rsidRPr="000721CB">
        <w:t xml:space="preserve">ignificant </w:t>
      </w:r>
      <w:r w:rsidR="00447167" w:rsidRPr="000721CB">
        <w:t xml:space="preserve">sector </w:t>
      </w:r>
      <w:r w:rsidR="00007F12" w:rsidRPr="000721CB">
        <w:t>reform</w:t>
      </w:r>
      <w:r w:rsidR="00B617F2" w:rsidRPr="000721CB">
        <w:t xml:space="preserve">. </w:t>
      </w:r>
      <w:r w:rsidR="00007F12" w:rsidRPr="000721CB">
        <w:t xml:space="preserve">The </w:t>
      </w:r>
      <w:r w:rsidRPr="000721CB">
        <w:t xml:space="preserve">nursing </w:t>
      </w:r>
      <w:r w:rsidR="00007F12" w:rsidRPr="000721CB">
        <w:t>division comprises</w:t>
      </w:r>
      <w:r w:rsidRPr="000721CB">
        <w:t xml:space="preserve"> a supervising sister, tutor and up to 20 nurses placed in community health centres across Tonga</w:t>
      </w:r>
      <w:r w:rsidR="00B617F2" w:rsidRPr="000721CB">
        <w:t xml:space="preserve">. </w:t>
      </w:r>
      <w:r w:rsidR="00007F12" w:rsidRPr="000721CB">
        <w:t xml:space="preserve">The Ministry of Health has also developed an Advanced Diploma in Nursing (Prevention and Management of Non-Communicable Diseases) with the assistance of </w:t>
      </w:r>
      <w:r w:rsidR="004A76B4" w:rsidRPr="000721CB">
        <w:t>the</w:t>
      </w:r>
      <w:r w:rsidR="00007F12" w:rsidRPr="000721CB">
        <w:t xml:space="preserve"> Dean of the Nursing School, University of Sydney</w:t>
      </w:r>
      <w:r w:rsidR="00B617F2" w:rsidRPr="000721CB">
        <w:t xml:space="preserve">. </w:t>
      </w:r>
      <w:r w:rsidR="00007F12" w:rsidRPr="000721CB">
        <w:t xml:space="preserve">This professional qualification will provide </w:t>
      </w:r>
      <w:r w:rsidR="00BC7887" w:rsidRPr="000721CB">
        <w:t xml:space="preserve">NCD nurses </w:t>
      </w:r>
      <w:r w:rsidR="00007F12" w:rsidRPr="000721CB">
        <w:t xml:space="preserve">with the skill and expertise to undertake their nursing position and provide </w:t>
      </w:r>
      <w:r w:rsidR="00447167" w:rsidRPr="000721CB">
        <w:t>community</w:t>
      </w:r>
      <w:r w:rsidR="00007F12" w:rsidRPr="000721CB">
        <w:t xml:space="preserve"> confidence</w:t>
      </w:r>
      <w:r w:rsidR="00B617F2" w:rsidRPr="000721CB">
        <w:t xml:space="preserve">. </w:t>
      </w:r>
      <w:r w:rsidR="00007F12" w:rsidRPr="000721CB">
        <w:t xml:space="preserve">The qualification </w:t>
      </w:r>
      <w:r w:rsidR="00447167" w:rsidRPr="000721CB">
        <w:t xml:space="preserve">is </w:t>
      </w:r>
      <w:r w:rsidR="00007F12" w:rsidRPr="000721CB">
        <w:t xml:space="preserve">currently with the Tonga National Qualifications and Accreditation Board for approval, </w:t>
      </w:r>
      <w:r w:rsidR="00BC7887" w:rsidRPr="000721CB">
        <w:t>with a decision expected in July 2013</w:t>
      </w:r>
      <w:r w:rsidR="00B617F2" w:rsidRPr="000721CB">
        <w:t xml:space="preserve">. </w:t>
      </w:r>
      <w:r w:rsidR="006C21BC" w:rsidRPr="000721CB">
        <w:t xml:space="preserve">The first </w:t>
      </w:r>
      <w:r w:rsidR="00007F12" w:rsidRPr="000721CB">
        <w:t xml:space="preserve">20 </w:t>
      </w:r>
      <w:r w:rsidR="004A76B4" w:rsidRPr="000721CB">
        <w:t>n</w:t>
      </w:r>
      <w:r w:rsidR="00007F12" w:rsidRPr="000721CB">
        <w:t xml:space="preserve">urses will undertake </w:t>
      </w:r>
      <w:r w:rsidR="0031462A" w:rsidRPr="000721CB">
        <w:t>the</w:t>
      </w:r>
      <w:r w:rsidR="00007F12" w:rsidRPr="000721CB">
        <w:t xml:space="preserve"> </w:t>
      </w:r>
      <w:r w:rsidR="00447167" w:rsidRPr="000721CB">
        <w:t>d</w:t>
      </w:r>
      <w:r w:rsidR="00007F12" w:rsidRPr="000721CB">
        <w:t xml:space="preserve">iploma </w:t>
      </w:r>
      <w:r w:rsidR="0031462A" w:rsidRPr="000721CB">
        <w:t>course in 2013 and will then be able to identify, monitor and treat NCDs in a community setting</w:t>
      </w:r>
      <w:r w:rsidR="00007F12" w:rsidRPr="000721CB">
        <w:t xml:space="preserve">. </w:t>
      </w:r>
    </w:p>
    <w:p w:rsidR="0014027B" w:rsidRPr="000721CB" w:rsidRDefault="004A76B4" w:rsidP="000721CB">
      <w:pPr>
        <w:pStyle w:val="BodyText"/>
      </w:pPr>
      <w:r w:rsidRPr="000721CB">
        <w:t xml:space="preserve">The </w:t>
      </w:r>
      <w:r w:rsidR="001C0EF7" w:rsidRPr="000721CB">
        <w:t xml:space="preserve">health </w:t>
      </w:r>
      <w:r w:rsidRPr="000721CB">
        <w:t xml:space="preserve">program </w:t>
      </w:r>
      <w:r w:rsidR="001C0EF7" w:rsidRPr="000721CB">
        <w:t xml:space="preserve">also </w:t>
      </w:r>
      <w:r w:rsidRPr="000721CB">
        <w:t xml:space="preserve">facilitated a </w:t>
      </w:r>
      <w:r w:rsidR="009E6709" w:rsidRPr="000721CB">
        <w:t>review of Tongan laws and policies relating to tobacco, alcohol, physical activity and food</w:t>
      </w:r>
      <w:r w:rsidR="00447167" w:rsidRPr="000721CB">
        <w:t xml:space="preserve"> intake</w:t>
      </w:r>
      <w:r w:rsidR="009E6709" w:rsidRPr="000721CB">
        <w:t xml:space="preserve"> </w:t>
      </w:r>
      <w:r w:rsidRPr="000721CB">
        <w:t>in</w:t>
      </w:r>
      <w:r w:rsidR="009E6709" w:rsidRPr="000721CB">
        <w:t xml:space="preserve"> 2012</w:t>
      </w:r>
      <w:r w:rsidR="00E576E6" w:rsidRPr="000721CB">
        <w:t>–</w:t>
      </w:r>
      <w:r w:rsidR="009E6709" w:rsidRPr="000721CB">
        <w:t xml:space="preserve">13. Proposed </w:t>
      </w:r>
      <w:r w:rsidRPr="000721CB">
        <w:t xml:space="preserve">legislative </w:t>
      </w:r>
      <w:r w:rsidR="009E6709" w:rsidRPr="000721CB">
        <w:t>amendments will be presented to Parliament in October</w:t>
      </w:r>
      <w:r w:rsidR="00E87529" w:rsidRPr="000721CB">
        <w:t xml:space="preserve"> to </w:t>
      </w:r>
      <w:r w:rsidR="009E6709" w:rsidRPr="000721CB">
        <w:t>November 2013</w:t>
      </w:r>
      <w:r w:rsidR="00592228" w:rsidRPr="000721CB">
        <w:t>. The</w:t>
      </w:r>
      <w:r w:rsidR="00447167" w:rsidRPr="000721CB">
        <w:t>y</w:t>
      </w:r>
      <w:r w:rsidR="00592228" w:rsidRPr="000721CB">
        <w:t xml:space="preserve"> include increases in tax on tobacco and a ban </w:t>
      </w:r>
      <w:r w:rsidR="009E6709" w:rsidRPr="000721CB">
        <w:t xml:space="preserve">on locally grown tobacco. </w:t>
      </w:r>
      <w:r w:rsidR="00592228" w:rsidRPr="000721CB">
        <w:t xml:space="preserve">While </w:t>
      </w:r>
      <w:r w:rsidR="001C0EF7" w:rsidRPr="000721CB">
        <w:t>the proposed legislation</w:t>
      </w:r>
      <w:r w:rsidR="00592228" w:rsidRPr="000721CB">
        <w:t xml:space="preserve"> does not </w:t>
      </w:r>
      <w:r w:rsidR="001C0EF7" w:rsidRPr="000721CB">
        <w:t xml:space="preserve">aim </w:t>
      </w:r>
      <w:r w:rsidR="00592228" w:rsidRPr="000721CB">
        <w:t>to earmark funds raised from taxes to preventative health measures, it does propose that funds collected through enforcement (fines) be directed to the health sector</w:t>
      </w:r>
      <w:r w:rsidR="00B617F2" w:rsidRPr="000721CB">
        <w:t xml:space="preserve">. </w:t>
      </w:r>
      <w:r w:rsidR="009E6709" w:rsidRPr="000721CB">
        <w:t xml:space="preserve">The proposed changes are being translated so they </w:t>
      </w:r>
      <w:r w:rsidR="00447167" w:rsidRPr="000721CB">
        <w:t xml:space="preserve">will be </w:t>
      </w:r>
      <w:r w:rsidR="009E6709" w:rsidRPr="000721CB">
        <w:t xml:space="preserve">available in English and Tongan. </w:t>
      </w:r>
    </w:p>
    <w:p w:rsidR="007E7724" w:rsidRPr="000721CB" w:rsidRDefault="007E7724" w:rsidP="000721CB">
      <w:pPr>
        <w:pStyle w:val="BodyText"/>
      </w:pPr>
      <w:r w:rsidRPr="000721CB">
        <w:t>Health promotion activities around healthy eating, physical exercise, alcohol consumption and smoking are largely at the planning stage</w:t>
      </w:r>
      <w:r w:rsidR="00447167" w:rsidRPr="000721CB">
        <w:t>. M</w:t>
      </w:r>
      <w:r w:rsidRPr="000721CB">
        <w:t>ore work is required to affect behaviour change</w:t>
      </w:r>
      <w:r w:rsidR="004D675E" w:rsidRPr="000721CB">
        <w:t xml:space="preserve"> (further discussed under ‘factors affecting progress’)</w:t>
      </w:r>
      <w:r w:rsidR="00B617F2" w:rsidRPr="000721CB">
        <w:t xml:space="preserve">. </w:t>
      </w:r>
      <w:r w:rsidR="00592228" w:rsidRPr="000721CB">
        <w:t xml:space="preserve">A strategic health communication strategy </w:t>
      </w:r>
      <w:r w:rsidR="00F26228" w:rsidRPr="000721CB">
        <w:t>w</w:t>
      </w:r>
      <w:r w:rsidR="00592228" w:rsidRPr="000721CB">
        <w:t>as developed</w:t>
      </w:r>
      <w:r w:rsidR="00F26228" w:rsidRPr="000721CB">
        <w:t xml:space="preserve"> in 2013</w:t>
      </w:r>
      <w:r w:rsidR="00592228" w:rsidRPr="000721CB">
        <w:t>, although</w:t>
      </w:r>
      <w:r w:rsidR="004A76B4" w:rsidRPr="000721CB">
        <w:t xml:space="preserve"> it is</w:t>
      </w:r>
      <w:r w:rsidR="00592228" w:rsidRPr="000721CB">
        <w:t xml:space="preserve"> yet to be implemented (this will be a key output for next financial year). The twinning arrangement between the M</w:t>
      </w:r>
      <w:r w:rsidR="007C40BA" w:rsidRPr="000721CB">
        <w:t>inistry of Health</w:t>
      </w:r>
      <w:r w:rsidR="00592228" w:rsidRPr="000721CB">
        <w:t xml:space="preserve"> and the Nossal Institute</w:t>
      </w:r>
      <w:r w:rsidR="007C40BA" w:rsidRPr="000721CB">
        <w:t xml:space="preserve"> for Global Health at the University of Melbourne</w:t>
      </w:r>
      <w:r w:rsidR="00592228" w:rsidRPr="000721CB">
        <w:t xml:space="preserve"> was signed and </w:t>
      </w:r>
      <w:r w:rsidR="007C40BA" w:rsidRPr="000721CB">
        <w:t xml:space="preserve">is </w:t>
      </w:r>
      <w:r w:rsidR="00592228" w:rsidRPr="000721CB">
        <w:t>provid</w:t>
      </w:r>
      <w:r w:rsidR="007C40BA" w:rsidRPr="000721CB">
        <w:t>ing</w:t>
      </w:r>
      <w:r w:rsidR="00592228" w:rsidRPr="000721CB">
        <w:t xml:space="preserve"> </w:t>
      </w:r>
      <w:r w:rsidR="007C40BA" w:rsidRPr="000721CB">
        <w:t xml:space="preserve">one-year </w:t>
      </w:r>
      <w:r w:rsidR="00592228" w:rsidRPr="000721CB">
        <w:t>capacity development opportunities for the Health Promotion Unit. Implementation of the</w:t>
      </w:r>
      <w:r w:rsidR="007C40BA" w:rsidRPr="000721CB">
        <w:t xml:space="preserve">se opportunities </w:t>
      </w:r>
      <w:r w:rsidR="00592228" w:rsidRPr="000721CB">
        <w:t xml:space="preserve">will be reviewed </w:t>
      </w:r>
      <w:r w:rsidR="00F26228" w:rsidRPr="000721CB">
        <w:t>late</w:t>
      </w:r>
      <w:r w:rsidR="00592228" w:rsidRPr="000721CB">
        <w:t xml:space="preserve"> 2013. </w:t>
      </w:r>
    </w:p>
    <w:p w:rsidR="007C40BA" w:rsidRPr="000721CB" w:rsidRDefault="007E7724" w:rsidP="000721CB">
      <w:pPr>
        <w:pStyle w:val="BodyText"/>
      </w:pPr>
      <w:r w:rsidRPr="000721CB">
        <w:t>The Australian Sports Outreach Program</w:t>
      </w:r>
      <w:r w:rsidR="00E87529" w:rsidRPr="000721CB">
        <w:t>,</w:t>
      </w:r>
      <w:r w:rsidRPr="000721CB">
        <w:t xml:space="preserve"> </w:t>
      </w:r>
      <w:r w:rsidR="004A76B4" w:rsidRPr="000721CB">
        <w:t>implemented by the Australian Sports Commission</w:t>
      </w:r>
      <w:r w:rsidR="00E87529" w:rsidRPr="000721CB">
        <w:t>,</w:t>
      </w:r>
      <w:r w:rsidR="004A76B4" w:rsidRPr="000721CB">
        <w:t xml:space="preserve"> </w:t>
      </w:r>
      <w:r w:rsidRPr="000721CB">
        <w:t xml:space="preserve">also supports </w:t>
      </w:r>
      <w:r w:rsidR="007C40BA" w:rsidRPr="000721CB">
        <w:t>the p</w:t>
      </w:r>
      <w:r w:rsidRPr="000721CB">
        <w:t>artnership objective of halting the increase in overall prevalence of obesity by 2015</w:t>
      </w:r>
      <w:r w:rsidR="00F024E7" w:rsidRPr="000721CB">
        <w:t>, by recognising sport as a tool for health</w:t>
      </w:r>
      <w:r w:rsidR="00B617F2" w:rsidRPr="000721CB">
        <w:t xml:space="preserve">. </w:t>
      </w:r>
      <w:r w:rsidRPr="000721CB">
        <w:t>Between 2011 and 2014,</w:t>
      </w:r>
      <w:r w:rsidR="00066DB8" w:rsidRPr="000721CB">
        <w:t xml:space="preserve"> </w:t>
      </w:r>
      <w:r w:rsidR="0064627D" w:rsidRPr="000721CB">
        <w:t xml:space="preserve">the Australian Government </w:t>
      </w:r>
      <w:r w:rsidRPr="000721CB">
        <w:t>committed $1.26 million for development through sport activities in Tonga</w:t>
      </w:r>
      <w:r w:rsidR="00B617F2" w:rsidRPr="000721CB">
        <w:t xml:space="preserve">. </w:t>
      </w:r>
    </w:p>
    <w:p w:rsidR="00FF33C4" w:rsidRPr="000721CB" w:rsidRDefault="007C40BA" w:rsidP="000721CB">
      <w:pPr>
        <w:pStyle w:val="BodyText"/>
      </w:pPr>
      <w:r w:rsidRPr="000721CB">
        <w:t>F</w:t>
      </w:r>
      <w:r w:rsidR="007E7724" w:rsidRPr="000721CB">
        <w:t>ocus</w:t>
      </w:r>
      <w:r w:rsidRPr="000721CB">
        <w:t>ing</w:t>
      </w:r>
      <w:r w:rsidR="007E7724" w:rsidRPr="000721CB">
        <w:t xml:space="preserve"> on behaviour change, the program uses targeted mass media and community outreach activities to encourage women and girls aged 15</w:t>
      </w:r>
      <w:r w:rsidRPr="000721CB">
        <w:t xml:space="preserve"> to </w:t>
      </w:r>
      <w:r w:rsidR="007E7724" w:rsidRPr="000721CB">
        <w:t>45</w:t>
      </w:r>
      <w:r w:rsidRPr="000721CB">
        <w:t xml:space="preserve"> years</w:t>
      </w:r>
      <w:r w:rsidR="007E7724" w:rsidRPr="000721CB">
        <w:t xml:space="preserve"> (given obesity is </w:t>
      </w:r>
      <w:r w:rsidRPr="000721CB">
        <w:t>a bigger</w:t>
      </w:r>
      <w:r w:rsidR="007E7724" w:rsidRPr="000721CB">
        <w:t xml:space="preserve"> problem among women) to improve their health through physical activity</w:t>
      </w:r>
      <w:r w:rsidRPr="000721CB">
        <w:t xml:space="preserve">, </w:t>
      </w:r>
      <w:r w:rsidR="007E7724" w:rsidRPr="000721CB">
        <w:t>in particular through participation in netball</w:t>
      </w:r>
      <w:r w:rsidR="00B617F2" w:rsidRPr="000721CB">
        <w:t xml:space="preserve">. </w:t>
      </w:r>
      <w:r w:rsidRPr="000721CB">
        <w:t xml:space="preserve">The program does this through a partnership between the Tongan ministries responsible for health and sport, in collaboration with the Tonga Netball Association. It </w:t>
      </w:r>
      <w:r w:rsidR="007E7724" w:rsidRPr="000721CB">
        <w:t xml:space="preserve">also </w:t>
      </w:r>
      <w:r w:rsidRPr="000721CB">
        <w:t>encourage</w:t>
      </w:r>
      <w:r w:rsidR="00CA4EF1" w:rsidRPr="000721CB">
        <w:t>s</w:t>
      </w:r>
      <w:r w:rsidRPr="000721CB">
        <w:t xml:space="preserve"> </w:t>
      </w:r>
      <w:r w:rsidR="007E7724" w:rsidRPr="000721CB">
        <w:t xml:space="preserve">families and communities </w:t>
      </w:r>
      <w:r w:rsidR="00274B96" w:rsidRPr="000721CB">
        <w:t>to</w:t>
      </w:r>
      <w:r w:rsidRPr="000721CB">
        <w:t xml:space="preserve"> support</w:t>
      </w:r>
      <w:r w:rsidR="007E7724" w:rsidRPr="000721CB">
        <w:t xml:space="preserve"> women to be active</w:t>
      </w:r>
      <w:r w:rsidR="00B617F2" w:rsidRPr="000721CB">
        <w:t xml:space="preserve">. </w:t>
      </w:r>
      <w:r w:rsidR="004D675E" w:rsidRPr="000721CB">
        <w:t xml:space="preserve">In </w:t>
      </w:r>
      <w:r w:rsidR="004D675E" w:rsidRPr="000721CB">
        <w:lastRenderedPageBreak/>
        <w:t>2012</w:t>
      </w:r>
      <w:r w:rsidR="00E576E6" w:rsidRPr="000721CB">
        <w:t>–</w:t>
      </w:r>
      <w:r w:rsidR="004D675E" w:rsidRPr="000721CB">
        <w:t xml:space="preserve">13, there was a </w:t>
      </w:r>
      <w:r w:rsidR="002C4737" w:rsidRPr="000721CB">
        <w:t xml:space="preserve">massive </w:t>
      </w:r>
      <w:r w:rsidR="004D675E" w:rsidRPr="000721CB">
        <w:t xml:space="preserve">increase in team registrations with 378 teams registering for </w:t>
      </w:r>
      <w:r w:rsidR="00F024E7" w:rsidRPr="000721CB">
        <w:t xml:space="preserve">the </w:t>
      </w:r>
      <w:r w:rsidRPr="000721CB">
        <w:t xml:space="preserve">annual </w:t>
      </w:r>
      <w:r w:rsidR="00F024E7" w:rsidRPr="000721CB">
        <w:t xml:space="preserve">national </w:t>
      </w:r>
      <w:r w:rsidR="004D675E" w:rsidRPr="000721CB">
        <w:t xml:space="preserve">tournament, compared with </w:t>
      </w:r>
      <w:r w:rsidR="002C4737" w:rsidRPr="000721CB">
        <w:t xml:space="preserve">only </w:t>
      </w:r>
      <w:r w:rsidR="004D675E" w:rsidRPr="000721CB">
        <w:t>27 teams the previous year</w:t>
      </w:r>
      <w:r w:rsidR="00B617F2" w:rsidRPr="000721CB">
        <w:t xml:space="preserve">. </w:t>
      </w:r>
      <w:r w:rsidR="004D675E" w:rsidRPr="000721CB">
        <w:t>A national quantitative survey to assess the impact of the first mass media campaign</w:t>
      </w:r>
      <w:r w:rsidR="002C4737" w:rsidRPr="000721CB">
        <w:t xml:space="preserve"> found that</w:t>
      </w:r>
      <w:r w:rsidR="004D675E" w:rsidRPr="000721CB">
        <w:t xml:space="preserve"> 90 per cent of respondents were aware of the campaign, and 94.6 per cent of women who were aware thought about being more active as a result</w:t>
      </w:r>
      <w:r w:rsidR="00B617F2" w:rsidRPr="000721CB">
        <w:t xml:space="preserve">. </w:t>
      </w:r>
      <w:r w:rsidR="009B75C0" w:rsidRPr="000721CB">
        <w:t>This program won a World Health Organi</w:t>
      </w:r>
      <w:r w:rsidR="00277D66" w:rsidRPr="000721CB">
        <w:t>z</w:t>
      </w:r>
      <w:r w:rsidR="009B75C0" w:rsidRPr="000721CB">
        <w:t xml:space="preserve">ation best practice award for its contribution to improving the physical activity of women. </w:t>
      </w:r>
    </w:p>
    <w:p w:rsidR="007E7724" w:rsidRPr="000721CB" w:rsidRDefault="002C4737" w:rsidP="000721CB">
      <w:pPr>
        <w:pStyle w:val="BodyText"/>
      </w:pPr>
      <w:r w:rsidRPr="000721CB">
        <w:t>The health program also progress</w:t>
      </w:r>
      <w:r w:rsidR="007C40BA" w:rsidRPr="000721CB">
        <w:t>ed the</w:t>
      </w:r>
      <w:r w:rsidRPr="000721CB">
        <w:t xml:space="preserve"> development of key health statistics</w:t>
      </w:r>
      <w:r w:rsidR="00B617F2" w:rsidRPr="000721CB">
        <w:t xml:space="preserve">. </w:t>
      </w:r>
      <w:r w:rsidRPr="000721CB">
        <w:t>F</w:t>
      </w:r>
      <w:r w:rsidR="00A36C98" w:rsidRPr="000721CB">
        <w:t xml:space="preserve">ieldwork for the </w:t>
      </w:r>
      <w:r w:rsidR="00277D66" w:rsidRPr="000721CB">
        <w:t xml:space="preserve">World Health Organization’s </w:t>
      </w:r>
      <w:r w:rsidR="00A36C98" w:rsidRPr="000721CB">
        <w:t>STEP survey</w:t>
      </w:r>
      <w:r w:rsidR="007618D7" w:rsidRPr="000721CB">
        <w:t>—</w:t>
      </w:r>
      <w:r w:rsidR="00A36C98" w:rsidRPr="000721CB">
        <w:t>a surveillance tool for chronic disease risk factors</w:t>
      </w:r>
      <w:r w:rsidR="00CA4EF1" w:rsidRPr="000721CB">
        <w:t>—</w:t>
      </w:r>
      <w:r w:rsidRPr="000721CB">
        <w:t xml:space="preserve">and </w:t>
      </w:r>
      <w:r w:rsidR="00A36C98" w:rsidRPr="000721CB">
        <w:t>a survey on behaviours and attitudes on NCD risk factors</w:t>
      </w:r>
      <w:r w:rsidR="00592228" w:rsidRPr="000721CB">
        <w:t xml:space="preserve"> w</w:t>
      </w:r>
      <w:r w:rsidRPr="000721CB">
        <w:t>ere</w:t>
      </w:r>
      <w:r w:rsidR="00592228" w:rsidRPr="000721CB">
        <w:t xml:space="preserve"> completed in 2012, and analysis of data is underway</w:t>
      </w:r>
      <w:r w:rsidR="00B617F2" w:rsidRPr="000721CB">
        <w:t xml:space="preserve">. </w:t>
      </w:r>
      <w:r w:rsidR="00A36C98" w:rsidRPr="000721CB">
        <w:t xml:space="preserve">This </w:t>
      </w:r>
      <w:r w:rsidR="0067297B" w:rsidRPr="000721CB">
        <w:t xml:space="preserve">is </w:t>
      </w:r>
      <w:r w:rsidR="00A36C98" w:rsidRPr="000721CB">
        <w:t>provid</w:t>
      </w:r>
      <w:r w:rsidR="0067297B" w:rsidRPr="000721CB">
        <w:t>ing much-</w:t>
      </w:r>
      <w:r w:rsidR="00A36C98" w:rsidRPr="000721CB">
        <w:t>needed baseline data from which progress</w:t>
      </w:r>
      <w:r w:rsidRPr="000721CB">
        <w:t xml:space="preserve"> in improving health outcomes</w:t>
      </w:r>
      <w:r w:rsidR="00A36C98" w:rsidRPr="000721CB">
        <w:t xml:space="preserve"> can be measured</w:t>
      </w:r>
      <w:r w:rsidR="0067297B" w:rsidRPr="000721CB">
        <w:t xml:space="preserve">. Data </w:t>
      </w:r>
      <w:r w:rsidR="00A36C98" w:rsidRPr="000721CB">
        <w:t>will</w:t>
      </w:r>
      <w:r w:rsidR="0067297B" w:rsidRPr="000721CB">
        <w:t xml:space="preserve"> also</w:t>
      </w:r>
      <w:r w:rsidR="00A36C98" w:rsidRPr="000721CB">
        <w:t xml:space="preserve"> inform implementation of targeted health promotion activities</w:t>
      </w:r>
      <w:r w:rsidR="00C67D0A" w:rsidRPr="000721CB">
        <w:t>.</w:t>
      </w:r>
    </w:p>
    <w:p w:rsidR="0031462A" w:rsidRPr="000721CB" w:rsidRDefault="0031462A" w:rsidP="007D1A22">
      <w:pPr>
        <w:pStyle w:val="Heading3"/>
      </w:pPr>
      <w:r w:rsidRPr="000721CB">
        <w:t>Budget for preventative health care</w:t>
      </w:r>
    </w:p>
    <w:p w:rsidR="00F024E7" w:rsidRPr="000721CB" w:rsidRDefault="00A60F78" w:rsidP="000721CB">
      <w:pPr>
        <w:pStyle w:val="BodyText"/>
      </w:pPr>
      <w:r w:rsidRPr="000721CB">
        <w:t>At the 2012 Partnership Talks</w:t>
      </w:r>
      <w:r w:rsidR="0067297B" w:rsidRPr="000721CB">
        <w:t>,</w:t>
      </w:r>
      <w:r w:rsidRPr="000721CB">
        <w:t xml:space="preserve"> Australia and Tonga agreed on a definition for expenditure on preventative health to assess progress towards the goal of 10 per cent of the health budget being used for preventative health in 2015</w:t>
      </w:r>
      <w:r w:rsidR="00B617F2" w:rsidRPr="000721CB">
        <w:t xml:space="preserve">. </w:t>
      </w:r>
      <w:r w:rsidRPr="000721CB">
        <w:t>The budgeted percentage for 2012</w:t>
      </w:r>
      <w:r w:rsidR="00CA4EF1" w:rsidRPr="000721CB">
        <w:t>–</w:t>
      </w:r>
      <w:r w:rsidRPr="000721CB">
        <w:t>13, according to the agreed definition, was 8 per cent</w:t>
      </w:r>
      <w:r w:rsidR="00B617F2" w:rsidRPr="000721CB">
        <w:t xml:space="preserve">. </w:t>
      </w:r>
      <w:r w:rsidR="008039AB">
        <w:t>The</w:t>
      </w:r>
      <w:r w:rsidR="00AD74B3">
        <w:t xml:space="preserve"> </w:t>
      </w:r>
      <w:r w:rsidRPr="000721CB">
        <w:t>recent independent review of Australia’s assistance in the health sector</w:t>
      </w:r>
      <w:r w:rsidR="00066DB8" w:rsidRPr="004B6E66">
        <w:rPr>
          <w:rStyle w:val="FootnoteReference"/>
          <w:position w:val="0"/>
          <w:sz w:val="22"/>
          <w:szCs w:val="24"/>
          <w:vertAlign w:val="superscript"/>
        </w:rPr>
        <w:footnoteReference w:id="32"/>
      </w:r>
      <w:r w:rsidRPr="000721CB">
        <w:t xml:space="preserve"> suggested some modifications to the definition for expenditure on preventative health</w:t>
      </w:r>
      <w:r w:rsidR="00B617F2" w:rsidRPr="000721CB">
        <w:t xml:space="preserve">. </w:t>
      </w:r>
      <w:r w:rsidR="00F024E7" w:rsidRPr="000721CB">
        <w:t>These are being discussed with the Government of Tonga</w:t>
      </w:r>
      <w:r w:rsidR="00B617F2" w:rsidRPr="000721CB">
        <w:t xml:space="preserve">. </w:t>
      </w:r>
    </w:p>
    <w:p w:rsidR="0031462A" w:rsidRPr="000721CB" w:rsidRDefault="0031462A" w:rsidP="007D1A22">
      <w:pPr>
        <w:pStyle w:val="Heading3"/>
      </w:pPr>
      <w:r w:rsidRPr="000721CB">
        <w:t>Primary health care to all communities in Tonga to follow common national standard</w:t>
      </w:r>
      <w:r w:rsidR="0067297B" w:rsidRPr="000721CB">
        <w:t>s</w:t>
      </w:r>
    </w:p>
    <w:p w:rsidR="00F024E7" w:rsidRPr="000721CB" w:rsidRDefault="008604C8" w:rsidP="000721CB">
      <w:pPr>
        <w:pStyle w:val="BodyText"/>
      </w:pPr>
      <w:r w:rsidRPr="000721CB">
        <w:t>The development of common national standards for health care is being pursued through the preparation of a standard health centre operations manual</w:t>
      </w:r>
      <w:r w:rsidR="00B617F2" w:rsidRPr="000721CB">
        <w:t xml:space="preserve">. </w:t>
      </w:r>
      <w:r w:rsidRPr="000721CB">
        <w:t xml:space="preserve">Work </w:t>
      </w:r>
      <w:r w:rsidR="0067297B" w:rsidRPr="000721CB">
        <w:t>began</w:t>
      </w:r>
      <w:r w:rsidRPr="000721CB">
        <w:t xml:space="preserve"> in 2011 and continued into 2013</w:t>
      </w:r>
      <w:r w:rsidR="00B617F2" w:rsidRPr="000721CB">
        <w:t xml:space="preserve">. </w:t>
      </w:r>
      <w:r w:rsidR="0067297B" w:rsidRPr="000721CB">
        <w:t xml:space="preserve">The manual </w:t>
      </w:r>
      <w:r w:rsidRPr="000721CB">
        <w:t>will include information on staffing, building standards and equipment, drugs and medical supplies, infection control, patient care, clinical guidelines, and operational guidelines</w:t>
      </w:r>
      <w:r w:rsidR="00B617F2" w:rsidRPr="000721CB">
        <w:t xml:space="preserve">. </w:t>
      </w:r>
      <w:r w:rsidRPr="000721CB">
        <w:t xml:space="preserve">The </w:t>
      </w:r>
      <w:r w:rsidR="0067297B" w:rsidRPr="000721CB">
        <w:t>n</w:t>
      </w:r>
      <w:r w:rsidRPr="000721CB">
        <w:t xml:space="preserve">ational </w:t>
      </w:r>
      <w:r w:rsidR="0067297B" w:rsidRPr="000721CB">
        <w:t>s</w:t>
      </w:r>
      <w:r w:rsidRPr="000721CB">
        <w:t>tandards will be approved</w:t>
      </w:r>
      <w:r w:rsidR="0067297B" w:rsidRPr="000721CB">
        <w:t xml:space="preserve"> </w:t>
      </w:r>
      <w:r w:rsidRPr="000721CB">
        <w:t xml:space="preserve">and implemented in at least 10 of </w:t>
      </w:r>
      <w:r w:rsidR="0067297B" w:rsidRPr="000721CB">
        <w:t xml:space="preserve">Tonga’s </w:t>
      </w:r>
      <w:r w:rsidRPr="000721CB">
        <w:t>14</w:t>
      </w:r>
      <w:r w:rsidR="00002C6F" w:rsidRPr="000721CB">
        <w:t> </w:t>
      </w:r>
      <w:r w:rsidR="0067297B" w:rsidRPr="000721CB">
        <w:t>h</w:t>
      </w:r>
      <w:r w:rsidRPr="000721CB">
        <w:t xml:space="preserve">ealth </w:t>
      </w:r>
      <w:r w:rsidR="0067297B" w:rsidRPr="000721CB">
        <w:t>c</w:t>
      </w:r>
      <w:r w:rsidRPr="000721CB">
        <w:t>entres by 2015</w:t>
      </w:r>
      <w:r w:rsidR="00B617F2" w:rsidRPr="000721CB">
        <w:t xml:space="preserve">. </w:t>
      </w:r>
      <w:r w:rsidR="0067297B" w:rsidRPr="000721CB">
        <w:t>A</w:t>
      </w:r>
      <w:r w:rsidR="009A5468" w:rsidRPr="000721CB">
        <w:t xml:space="preserve"> draft </w:t>
      </w:r>
      <w:r w:rsidR="0067297B" w:rsidRPr="000721CB">
        <w:t>is expected</w:t>
      </w:r>
      <w:r w:rsidR="009A5468" w:rsidRPr="000721CB">
        <w:t xml:space="preserve"> by</w:t>
      </w:r>
      <w:r w:rsidR="0067297B" w:rsidRPr="000721CB">
        <w:t xml:space="preserve"> the</w:t>
      </w:r>
      <w:r w:rsidR="009A5468" w:rsidRPr="000721CB">
        <w:t xml:space="preserve"> end 2013, to coincide with the graduation of NCD nurses. </w:t>
      </w:r>
    </w:p>
    <w:p w:rsidR="008604C8" w:rsidRPr="000721CB" w:rsidRDefault="008604C8" w:rsidP="000721CB">
      <w:pPr>
        <w:pStyle w:val="BodyText"/>
      </w:pPr>
      <w:r w:rsidRPr="000721CB">
        <w:t xml:space="preserve">Some work </w:t>
      </w:r>
      <w:r w:rsidR="0067297B" w:rsidRPr="000721CB">
        <w:t xml:space="preserve">has </w:t>
      </w:r>
      <w:r w:rsidRPr="000721CB">
        <w:t xml:space="preserve">already </w:t>
      </w:r>
      <w:r w:rsidR="0067297B" w:rsidRPr="000721CB">
        <w:t xml:space="preserve">started </w:t>
      </w:r>
      <w:r w:rsidRPr="000721CB">
        <w:t>to improve health to all communities and bring health centres up to standard</w:t>
      </w:r>
      <w:r w:rsidR="00B617F2" w:rsidRPr="000721CB">
        <w:t xml:space="preserve">. </w:t>
      </w:r>
      <w:r w:rsidR="0067297B" w:rsidRPr="000721CB">
        <w:t>T</w:t>
      </w:r>
      <w:r w:rsidR="008B4332" w:rsidRPr="000721CB">
        <w:t>wo</w:t>
      </w:r>
      <w:r w:rsidR="005C1686" w:rsidRPr="000721CB">
        <w:t xml:space="preserve"> community health </w:t>
      </w:r>
      <w:r w:rsidR="008B4332" w:rsidRPr="000721CB">
        <w:t xml:space="preserve">outreach </w:t>
      </w:r>
      <w:r w:rsidR="005C1686" w:rsidRPr="000721CB">
        <w:t>centres</w:t>
      </w:r>
      <w:r w:rsidR="0067297B" w:rsidRPr="000721CB">
        <w:t xml:space="preserve"> are being renovated and attaching</w:t>
      </w:r>
      <w:r w:rsidR="00797D19" w:rsidRPr="000721CB">
        <w:t xml:space="preserve"> nursing quarters</w:t>
      </w:r>
      <w:r w:rsidR="0067297B" w:rsidRPr="000721CB">
        <w:t xml:space="preserve"> to them is underway</w:t>
      </w:r>
      <w:r w:rsidR="00B617F2" w:rsidRPr="000721CB">
        <w:t xml:space="preserve">. </w:t>
      </w:r>
      <w:r w:rsidR="00797D19" w:rsidRPr="000721CB">
        <w:t>This is in addition</w:t>
      </w:r>
      <w:r w:rsidR="00002C6F" w:rsidRPr="000721CB">
        <w:t xml:space="preserve"> to</w:t>
      </w:r>
      <w:r w:rsidR="00797D19" w:rsidRPr="000721CB">
        <w:t xml:space="preserve"> the </w:t>
      </w:r>
      <w:r w:rsidR="008B4332" w:rsidRPr="000721CB">
        <w:t>three</w:t>
      </w:r>
      <w:r w:rsidR="00797D19" w:rsidRPr="000721CB">
        <w:t xml:space="preserve"> </w:t>
      </w:r>
      <w:r w:rsidR="008B4332" w:rsidRPr="000721CB">
        <w:t>h</w:t>
      </w:r>
      <w:r w:rsidR="00797D19" w:rsidRPr="000721CB">
        <w:t>ealth centres renovated in 2011</w:t>
      </w:r>
      <w:r w:rsidR="005D624A" w:rsidRPr="000721CB">
        <w:t xml:space="preserve"> which, along with</w:t>
      </w:r>
      <w:r w:rsidR="001C6DF1" w:rsidRPr="000721CB">
        <w:t xml:space="preserve"> the provision of equipment, furniture and drugs, have improved health facilities for </w:t>
      </w:r>
      <w:r w:rsidR="005D624A" w:rsidRPr="000721CB">
        <w:t xml:space="preserve">more </w:t>
      </w:r>
      <w:r w:rsidR="001C6DF1" w:rsidRPr="000721CB">
        <w:t xml:space="preserve">2200 households. </w:t>
      </w:r>
    </w:p>
    <w:p w:rsidR="000F429F" w:rsidRPr="000721CB" w:rsidRDefault="005D624A" w:rsidP="000721CB">
      <w:pPr>
        <w:pStyle w:val="BodyText"/>
      </w:pPr>
      <w:r w:rsidRPr="000721CB">
        <w:t>The Ministry of Health approved r</w:t>
      </w:r>
      <w:r w:rsidR="00FB2149" w:rsidRPr="000721CB">
        <w:t>ecommendations from a scoping study for a custom</w:t>
      </w:r>
      <w:r w:rsidR="007C23B3" w:rsidRPr="000721CB">
        <w:t>-</w:t>
      </w:r>
      <w:r w:rsidR="00FB2149" w:rsidRPr="000721CB">
        <w:t xml:space="preserve">made medical boat for </w:t>
      </w:r>
      <w:r w:rsidR="000F429F" w:rsidRPr="000721CB">
        <w:t>the outer island</w:t>
      </w:r>
      <w:r w:rsidR="005C1686" w:rsidRPr="000721CB">
        <w:t>s</w:t>
      </w:r>
      <w:r w:rsidR="000F429F" w:rsidRPr="000721CB">
        <w:t xml:space="preserve"> of Ha’apai</w:t>
      </w:r>
      <w:r w:rsidR="00FB2149" w:rsidRPr="000721CB">
        <w:t xml:space="preserve"> and</w:t>
      </w:r>
      <w:r w:rsidR="00932BA6" w:rsidRPr="000721CB">
        <w:t xml:space="preserve"> </w:t>
      </w:r>
      <w:r w:rsidR="00FB2149" w:rsidRPr="000721CB">
        <w:t xml:space="preserve">procurement has </w:t>
      </w:r>
      <w:r w:rsidRPr="000721CB">
        <w:t>started</w:t>
      </w:r>
      <w:r w:rsidR="00B617F2" w:rsidRPr="000721CB">
        <w:t xml:space="preserve">. </w:t>
      </w:r>
      <w:r w:rsidR="002E4009" w:rsidRPr="000721CB">
        <w:t>As the single largest expense of the health program, this represents a significant investment</w:t>
      </w:r>
      <w:r w:rsidR="00CC2CDE" w:rsidRPr="000721CB">
        <w:t xml:space="preserve"> in improving access to</w:t>
      </w:r>
      <w:r w:rsidR="005517AA" w:rsidRPr="000721CB">
        <w:t xml:space="preserve"> </w:t>
      </w:r>
      <w:r w:rsidR="008604C8" w:rsidRPr="000721CB">
        <w:t>primary health care services</w:t>
      </w:r>
      <w:r w:rsidR="001C6DF1" w:rsidRPr="000721CB">
        <w:t xml:space="preserve"> for people living in </w:t>
      </w:r>
      <w:r w:rsidR="00CC2CDE" w:rsidRPr="000721CB">
        <w:t>some of the remotest islands</w:t>
      </w:r>
      <w:r w:rsidR="00B617F2" w:rsidRPr="000721CB">
        <w:t xml:space="preserve">. </w:t>
      </w:r>
      <w:r w:rsidR="000F429F" w:rsidRPr="000721CB">
        <w:t xml:space="preserve"> </w:t>
      </w:r>
    </w:p>
    <w:p w:rsidR="008B4332" w:rsidRPr="000721CB" w:rsidRDefault="00A36C98" w:rsidP="000721CB">
      <w:pPr>
        <w:pStyle w:val="BodyText"/>
      </w:pPr>
      <w:r w:rsidRPr="000721CB">
        <w:t xml:space="preserve">In addition to these </w:t>
      </w:r>
      <w:r w:rsidR="005D624A" w:rsidRPr="000721CB">
        <w:t>results</w:t>
      </w:r>
      <w:r w:rsidRPr="000721CB">
        <w:t xml:space="preserve">, other </w:t>
      </w:r>
      <w:r w:rsidR="008B4332" w:rsidRPr="000721CB">
        <w:t>important progress</w:t>
      </w:r>
      <w:r w:rsidR="00002C6F" w:rsidRPr="000721CB">
        <w:t xml:space="preserve"> was made</w:t>
      </w:r>
      <w:r w:rsidR="008B4332" w:rsidRPr="000721CB">
        <w:t xml:space="preserve"> </w:t>
      </w:r>
      <w:r w:rsidRPr="000721CB">
        <w:t>under the program in 2012</w:t>
      </w:r>
      <w:r w:rsidR="00E576E6" w:rsidRPr="000721CB">
        <w:t>–</w:t>
      </w:r>
      <w:r w:rsidRPr="000721CB">
        <w:t>13</w:t>
      </w:r>
      <w:r w:rsidR="005D624A" w:rsidRPr="000721CB">
        <w:t>, including</w:t>
      </w:r>
      <w:r w:rsidRPr="000721CB">
        <w:t>:</w:t>
      </w:r>
    </w:p>
    <w:p w:rsidR="00066D9E" w:rsidRDefault="00EF1D45" w:rsidP="000721CB">
      <w:pPr>
        <w:pStyle w:val="ListBullet"/>
      </w:pPr>
      <w:r w:rsidRPr="00066D9E">
        <w:t>Routine</w:t>
      </w:r>
      <w:r w:rsidR="005D624A">
        <w:t xml:space="preserve"> annual</w:t>
      </w:r>
      <w:r w:rsidRPr="00066D9E">
        <w:t xml:space="preserve"> screening of primary-school </w:t>
      </w:r>
      <w:r w:rsidR="00066D9E" w:rsidRPr="00066D9E">
        <w:t xml:space="preserve">aged </w:t>
      </w:r>
      <w:r w:rsidRPr="00066D9E">
        <w:t>children for rheumatic heart disease</w:t>
      </w:r>
      <w:r w:rsidR="007D1224" w:rsidRPr="00066D9E">
        <w:t xml:space="preserve"> undertaken in September 2012 (</w:t>
      </w:r>
      <w:r w:rsidR="00066D9E" w:rsidRPr="00066D9E">
        <w:t>90</w:t>
      </w:r>
      <w:r w:rsidR="00B617F2">
        <w:t xml:space="preserve"> per cent</w:t>
      </w:r>
      <w:r w:rsidR="007D1224" w:rsidRPr="00066D9E">
        <w:t xml:space="preserve"> of targeted children screene</w:t>
      </w:r>
      <w:r w:rsidR="007D1224" w:rsidRPr="00F813A7">
        <w:t>d) and again in March 2013 (</w:t>
      </w:r>
      <w:r w:rsidR="00066D9E" w:rsidRPr="00F813A7">
        <w:t>92</w:t>
      </w:r>
      <w:r w:rsidR="00B617F2">
        <w:t xml:space="preserve"> per cent</w:t>
      </w:r>
      <w:r w:rsidR="007D1224" w:rsidRPr="00F813A7">
        <w:t xml:space="preserve"> of targeted children screened)</w:t>
      </w:r>
      <w:r w:rsidR="00B617F2">
        <w:t xml:space="preserve">. </w:t>
      </w:r>
      <w:r w:rsidR="002B4D5D" w:rsidRPr="002B4D5D">
        <w:t xml:space="preserve">The numbers of congenital heart </w:t>
      </w:r>
      <w:r w:rsidR="002B4D5D" w:rsidRPr="002B4D5D">
        <w:lastRenderedPageBreak/>
        <w:t>disease continue to decline</w:t>
      </w:r>
      <w:r w:rsidR="00002C6F">
        <w:t>—</w:t>
      </w:r>
      <w:r w:rsidR="002B4D5D" w:rsidRPr="002B4D5D">
        <w:t>from 1.2</w:t>
      </w:r>
      <w:r w:rsidR="00002C6F">
        <w:t xml:space="preserve"> per cent</w:t>
      </w:r>
      <w:r w:rsidR="002B4D5D" w:rsidRPr="002B4D5D">
        <w:t xml:space="preserve"> in 2008 to 0.5</w:t>
      </w:r>
      <w:r w:rsidR="00002C6F">
        <w:t xml:space="preserve"> per cent</w:t>
      </w:r>
      <w:r w:rsidR="002B4D5D" w:rsidRPr="002B4D5D">
        <w:t xml:space="preserve"> in 2012 and 0.2</w:t>
      </w:r>
      <w:r w:rsidR="00002C6F">
        <w:t> per cent</w:t>
      </w:r>
      <w:r w:rsidR="002B4D5D" w:rsidRPr="002B4D5D">
        <w:t xml:space="preserve"> in March 2013. Regular screening is the most likely explanation.</w:t>
      </w:r>
      <w:r w:rsidR="00D13CB0">
        <w:rPr>
          <w:rStyle w:val="FootnoteReference"/>
          <w:color w:val="000000" w:themeColor="text1"/>
        </w:rPr>
        <w:footnoteReference w:id="33"/>
      </w:r>
      <w:r w:rsidR="007D1224" w:rsidRPr="00066D9E">
        <w:t xml:space="preserve">    </w:t>
      </w:r>
    </w:p>
    <w:p w:rsidR="00A36C98" w:rsidRDefault="00991734" w:rsidP="000721CB">
      <w:pPr>
        <w:pStyle w:val="ListBullet"/>
      </w:pPr>
      <w:r w:rsidRPr="00066D9E">
        <w:t>2</w:t>
      </w:r>
      <w:r w:rsidR="00E16B87">
        <w:t>52</w:t>
      </w:r>
      <w:r w:rsidRPr="00066D9E">
        <w:t xml:space="preserve"> </w:t>
      </w:r>
      <w:r w:rsidR="00EF1D45" w:rsidRPr="00066D9E">
        <w:t xml:space="preserve">specialist </w:t>
      </w:r>
      <w:r w:rsidRPr="00066D9E">
        <w:t>consultations and 1</w:t>
      </w:r>
      <w:r w:rsidR="00E16B87">
        <w:t>35</w:t>
      </w:r>
      <w:r w:rsidRPr="00066D9E">
        <w:t xml:space="preserve"> operations</w:t>
      </w:r>
      <w:r w:rsidR="00002C6F">
        <w:t xml:space="preserve"> were</w:t>
      </w:r>
      <w:r w:rsidRPr="00066D9E">
        <w:t xml:space="preserve"> </w:t>
      </w:r>
      <w:r w:rsidR="00EF1D45" w:rsidRPr="00066D9E">
        <w:t>conducted for Tongan patients by the Royal Australasian College of Surgeons volunteer medical teams</w:t>
      </w:r>
      <w:r w:rsidR="007618D7">
        <w:t>.</w:t>
      </w:r>
    </w:p>
    <w:p w:rsidR="000F429F" w:rsidRPr="000721CB" w:rsidRDefault="000F429F" w:rsidP="007D1A22">
      <w:pPr>
        <w:pStyle w:val="Heading3"/>
      </w:pPr>
      <w:r w:rsidRPr="000721CB">
        <w:t>Factors affecting progress</w:t>
      </w:r>
    </w:p>
    <w:p w:rsidR="0031462A" w:rsidRDefault="008E3D96" w:rsidP="000721CB">
      <w:pPr>
        <w:pStyle w:val="BodyText"/>
      </w:pPr>
      <w:r>
        <w:t xml:space="preserve">The biggest factor affecting progress towards </w:t>
      </w:r>
      <w:r w:rsidR="000A0AC6">
        <w:t>p</w:t>
      </w:r>
      <w:r w:rsidR="003D11B9">
        <w:t xml:space="preserve">artnership </w:t>
      </w:r>
      <w:r>
        <w:t xml:space="preserve">targets is around effective health promotion activities which change behaviour. </w:t>
      </w:r>
      <w:r w:rsidR="00C03C71">
        <w:t>Tonga needs successful health promotion activities to tackle t</w:t>
      </w:r>
      <w:r w:rsidR="009A5468">
        <w:t>he</w:t>
      </w:r>
      <w:r w:rsidR="00C03C71">
        <w:t xml:space="preserve"> rise in NCDs</w:t>
      </w:r>
      <w:r w:rsidR="005520EC">
        <w:t xml:space="preserve">, and it is unlikely that targets around reducing smoking and obesity will be achieved without </w:t>
      </w:r>
      <w:r w:rsidR="007E0D9F">
        <w:t>such</w:t>
      </w:r>
      <w:r w:rsidR="005520EC">
        <w:t xml:space="preserve"> </w:t>
      </w:r>
      <w:r w:rsidR="005520EC" w:rsidRPr="00A355B4">
        <w:t xml:space="preserve">activities. </w:t>
      </w:r>
    </w:p>
    <w:p w:rsidR="00FF6218" w:rsidRDefault="00FE7F7F" w:rsidP="000721CB">
      <w:pPr>
        <w:pStyle w:val="BodyText"/>
      </w:pPr>
      <w:r w:rsidRPr="00A355B4">
        <w:t xml:space="preserve">In </w:t>
      </w:r>
      <w:r w:rsidR="00FF6218" w:rsidRPr="00A355B4">
        <w:t>recognition that a response to the NCD challenge requires a multi</w:t>
      </w:r>
      <w:r w:rsidR="007E0D9F">
        <w:t>-</w:t>
      </w:r>
      <w:r w:rsidR="00FF6218" w:rsidRPr="00A355B4">
        <w:t xml:space="preserve">sectoral approach, in </w:t>
      </w:r>
      <w:r w:rsidRPr="00A355B4">
        <w:t>May 20</w:t>
      </w:r>
      <w:r w:rsidR="00727AAE" w:rsidRPr="00A355B4">
        <w:t>13 the Ministry of Heal</w:t>
      </w:r>
      <w:r w:rsidR="008E3D96">
        <w:t>th, supported by</w:t>
      </w:r>
      <w:r w:rsidR="003D11B9">
        <w:t xml:space="preserve"> an </w:t>
      </w:r>
      <w:r w:rsidR="00F26228">
        <w:t xml:space="preserve">independent </w:t>
      </w:r>
      <w:r w:rsidR="008E3D96">
        <w:t>health adviser</w:t>
      </w:r>
      <w:r w:rsidR="003D11B9">
        <w:t xml:space="preserve"> engaged by </w:t>
      </w:r>
      <w:r w:rsidR="008039AB">
        <w:t xml:space="preserve">the Australian Government </w:t>
      </w:r>
      <w:r w:rsidR="003D11B9">
        <w:t>in Tonga</w:t>
      </w:r>
      <w:r w:rsidR="008E3D96">
        <w:t>, brought together the</w:t>
      </w:r>
      <w:r w:rsidR="007E0D9F">
        <w:t xml:space="preserve"> </w:t>
      </w:r>
      <w:r w:rsidR="008E3D96">
        <w:t>stakeholders involved in addressing NCDs</w:t>
      </w:r>
      <w:r w:rsidR="00002C6F">
        <w:t>. These stakeholders</w:t>
      </w:r>
      <w:r w:rsidR="008E3D96">
        <w:t xml:space="preserve"> identified alternative arrangements for health promotion efforts </w:t>
      </w:r>
      <w:r w:rsidR="00002C6F">
        <w:t xml:space="preserve">and </w:t>
      </w:r>
      <w:r w:rsidR="0064627D">
        <w:t xml:space="preserve">DFAT </w:t>
      </w:r>
      <w:r w:rsidR="008E3D96">
        <w:t xml:space="preserve">will discuss </w:t>
      </w:r>
      <w:r w:rsidR="00002C6F">
        <w:t xml:space="preserve">these </w:t>
      </w:r>
      <w:r w:rsidR="008E3D96">
        <w:t>with the Ministry of Health</w:t>
      </w:r>
      <w:r w:rsidR="00B617F2">
        <w:t xml:space="preserve">. </w:t>
      </w:r>
      <w:r w:rsidR="009A5468">
        <w:t xml:space="preserve"> </w:t>
      </w:r>
    </w:p>
    <w:p w:rsidR="00E14BE9" w:rsidRDefault="007E0D9F" w:rsidP="000721CB">
      <w:pPr>
        <w:pStyle w:val="BodyText"/>
      </w:pPr>
      <w:r>
        <w:t xml:space="preserve">While </w:t>
      </w:r>
      <w:r w:rsidR="00EA2FF3">
        <w:t xml:space="preserve">Australian assistance </w:t>
      </w:r>
      <w:r w:rsidR="007C23B3">
        <w:t xml:space="preserve">is </w:t>
      </w:r>
      <w:r w:rsidR="00EA2FF3">
        <w:t>inten</w:t>
      </w:r>
      <w:r>
        <w:t>ded</w:t>
      </w:r>
      <w:r w:rsidR="00EA2FF3">
        <w:t xml:space="preserve"> to use </w:t>
      </w:r>
      <w:r w:rsidR="00CF6A77">
        <w:t>Government of Tonga</w:t>
      </w:r>
      <w:r w:rsidR="00EA2FF3">
        <w:t xml:space="preserve"> systems where possible</w:t>
      </w:r>
      <w:r>
        <w:t>,</w:t>
      </w:r>
      <w:r w:rsidR="00EA2FF3">
        <w:t xml:space="preserve"> in practice the</w:t>
      </w:r>
      <w:r w:rsidR="00002C6F">
        <w:t xml:space="preserve"> use</w:t>
      </w:r>
      <w:r w:rsidR="00EA2FF3">
        <w:t xml:space="preserve"> is patchy. </w:t>
      </w:r>
      <w:r w:rsidR="008E3D96">
        <w:t>In particular</w:t>
      </w:r>
      <w:r>
        <w:t>,</w:t>
      </w:r>
      <w:r w:rsidR="008E3D96">
        <w:t xml:space="preserve"> planning processes are not fully aligned, nor are financial management </w:t>
      </w:r>
      <w:r w:rsidR="007A72B7">
        <w:t>systems</w:t>
      </w:r>
      <w:r>
        <w:t>. This</w:t>
      </w:r>
      <w:r w:rsidR="007A72B7">
        <w:t xml:space="preserve"> reduces efficiency and risks program efforts not being fully aligned with the broader work of the health sector</w:t>
      </w:r>
      <w:r w:rsidR="008E3D96">
        <w:t xml:space="preserve">. </w:t>
      </w:r>
      <w:r>
        <w:t xml:space="preserve">Australia’s aid </w:t>
      </w:r>
      <w:r w:rsidR="008E3D96">
        <w:t xml:space="preserve">program uses </w:t>
      </w:r>
      <w:r w:rsidR="00404B08">
        <w:t>the M</w:t>
      </w:r>
      <w:r>
        <w:t>inistry of Health</w:t>
      </w:r>
      <w:r w:rsidR="00404B08">
        <w:t xml:space="preserve">’s health information system </w:t>
      </w:r>
      <w:r w:rsidR="008E3D96">
        <w:t xml:space="preserve">together with </w:t>
      </w:r>
      <w:r w:rsidR="00404B08">
        <w:t>existing survey instruments</w:t>
      </w:r>
      <w:r>
        <w:t xml:space="preserve"> to monitor progress. </w:t>
      </w:r>
      <w:r w:rsidR="00404B08">
        <w:t>A system has been established to collect and process data from NCD nurses and integrate this into the existing hospital information system</w:t>
      </w:r>
      <w:r w:rsidR="00B617F2">
        <w:t xml:space="preserve">. </w:t>
      </w:r>
      <w:r w:rsidR="00404B08">
        <w:t>This is the first, and</w:t>
      </w:r>
      <w:r w:rsidR="00002C6F">
        <w:t xml:space="preserve"> a</w:t>
      </w:r>
      <w:r w:rsidR="00404B08">
        <w:t xml:space="preserve"> significant, step in computerising and integrating data from health centres</w:t>
      </w:r>
      <w:r w:rsidR="00B617F2">
        <w:t xml:space="preserve">. </w:t>
      </w:r>
      <w:r w:rsidR="00404B08">
        <w:t>Combined with other monitoring information, this will give Tonga a sense of the combined impact of all health promotion activities.</w:t>
      </w:r>
      <w:r w:rsidR="006C21BC">
        <w:rPr>
          <w:rStyle w:val="FootnoteReference"/>
        </w:rPr>
        <w:footnoteReference w:id="34"/>
      </w:r>
      <w:r w:rsidR="00EA2FF3">
        <w:t xml:space="preserve">       </w:t>
      </w:r>
    </w:p>
    <w:p w:rsidR="000F429F" w:rsidRPr="000721CB" w:rsidRDefault="000F429F" w:rsidP="007D1A22">
      <w:pPr>
        <w:pStyle w:val="Heading3"/>
      </w:pPr>
      <w:r w:rsidRPr="000721CB">
        <w:t>Forward priorities</w:t>
      </w:r>
    </w:p>
    <w:p w:rsidR="000F429F" w:rsidRPr="009E4050" w:rsidRDefault="00E14BE9" w:rsidP="000721CB">
      <w:pPr>
        <w:pStyle w:val="BodyText"/>
      </w:pPr>
      <w:r w:rsidRPr="009E4050">
        <w:t>Australia and Tonga have agreed to extend the current program to 2015 to allow for critical activities to be completed in the timeframe of the Partnership</w:t>
      </w:r>
      <w:r w:rsidR="007E0D9F">
        <w:t xml:space="preserve"> for Development</w:t>
      </w:r>
      <w:r w:rsidR="00B617F2">
        <w:t xml:space="preserve">. </w:t>
      </w:r>
      <w:r>
        <w:t xml:space="preserve">Key </w:t>
      </w:r>
      <w:r w:rsidR="007A72B7">
        <w:t xml:space="preserve">recommendations </w:t>
      </w:r>
      <w:r w:rsidR="007E0D9F">
        <w:t xml:space="preserve">from the </w:t>
      </w:r>
      <w:r w:rsidR="007E0D9F" w:rsidRPr="00E3545D">
        <w:t xml:space="preserve">recent </w:t>
      </w:r>
      <w:r w:rsidR="007E0D9F">
        <w:t xml:space="preserve">independent </w:t>
      </w:r>
      <w:r w:rsidR="007E0D9F" w:rsidRPr="00E3545D">
        <w:t>review of</w:t>
      </w:r>
      <w:r w:rsidR="007E0D9F">
        <w:t xml:space="preserve"> Australia’s assistance in the health sector</w:t>
      </w:r>
      <w:r>
        <w:t xml:space="preserve"> will </w:t>
      </w:r>
      <w:r w:rsidR="007A72B7">
        <w:t>be actioned</w:t>
      </w:r>
      <w:r w:rsidR="00857CB5">
        <w:t xml:space="preserve"> to 2015</w:t>
      </w:r>
      <w:r w:rsidR="00002C6F">
        <w:t>,</w:t>
      </w:r>
      <w:r w:rsidR="00857CB5">
        <w:t xml:space="preserve"> including</w:t>
      </w:r>
      <w:r w:rsidR="007A72B7">
        <w:t xml:space="preserve"> prepar</w:t>
      </w:r>
      <w:r w:rsidR="00857CB5">
        <w:t>ations</w:t>
      </w:r>
      <w:r w:rsidR="007A72B7">
        <w:t xml:space="preserve"> for a</w:t>
      </w:r>
      <w:r w:rsidR="003D11B9">
        <w:t xml:space="preserve"> further phase</w:t>
      </w:r>
      <w:r w:rsidR="007A72B7">
        <w:t xml:space="preserve"> of support beyond 2015.</w:t>
      </w:r>
      <w:r w:rsidR="00B617F2">
        <w:t xml:space="preserve"> </w:t>
      </w:r>
    </w:p>
    <w:p w:rsidR="007D1A22" w:rsidRDefault="007D1A22">
      <w:pPr>
        <w:spacing w:after="200" w:line="276" w:lineRule="auto"/>
        <w:rPr>
          <w:rFonts w:ascii="Franklin Gothic Demi" w:eastAsia="Times New Roman" w:hAnsi="Franklin Gothic Demi" w:cs="Arial"/>
          <w:color w:val="AD495D"/>
          <w:kern w:val="28"/>
          <w:sz w:val="24"/>
          <w:szCs w:val="28"/>
        </w:rPr>
      </w:pPr>
      <w:r>
        <w:br w:type="page"/>
      </w:r>
    </w:p>
    <w:p w:rsidR="00E35CA0" w:rsidRDefault="00E35CA0" w:rsidP="002D1680">
      <w:pPr>
        <w:pStyle w:val="Heading2"/>
      </w:pPr>
      <w:r>
        <w:lastRenderedPageBreak/>
        <w:t xml:space="preserve">Priority </w:t>
      </w:r>
      <w:r w:rsidRPr="002D1680">
        <w:t>Outcome</w:t>
      </w:r>
      <w:r>
        <w:t xml:space="preserve"> 3: Improved technical and vocational skills</w:t>
      </w:r>
    </w:p>
    <w:p w:rsidR="00261A43" w:rsidRDefault="00261A43" w:rsidP="00261A43">
      <w:pPr>
        <w:pStyle w:val="Heading3"/>
      </w:pPr>
      <w:r w:rsidRPr="00217DE1">
        <w:t>Rating and assessment</w:t>
      </w:r>
    </w:p>
    <w:p w:rsidR="00261A43" w:rsidRPr="009F0EF3" w:rsidRDefault="00261A43" w:rsidP="00261A43">
      <w:pPr>
        <w:pStyle w:val="Heading3"/>
      </w:pPr>
      <w:r w:rsidRPr="00AF0FAC">
        <w:rPr>
          <w:color w:val="FFC000"/>
          <w:sz w:val="28"/>
          <w:szCs w:val="28"/>
        </w:rPr>
        <w:sym w:font="Webdings" w:char="F067"/>
      </w:r>
      <w:r>
        <w:rPr>
          <w:rFonts w:eastAsia="Arial Unicode MS"/>
        </w:rPr>
        <w:t> </w:t>
      </w:r>
      <w:r w:rsidRPr="00E032E5">
        <w:rPr>
          <w:rStyle w:val="BodyTextChar"/>
          <w:rFonts w:eastAsia="Arial Unicode MS"/>
        </w:rPr>
        <w:t xml:space="preserve">Amber: </w:t>
      </w:r>
      <w:r w:rsidRPr="00E032E5">
        <w:rPr>
          <w:rStyle w:val="BodyTextChar"/>
        </w:rPr>
        <w:t>The objective will be partially achieved within the timeframe of the partnership.</w:t>
      </w:r>
    </w:p>
    <w:p w:rsidR="00261A43" w:rsidRDefault="00261A43" w:rsidP="00261A43">
      <w:pPr>
        <w:pStyle w:val="Caption"/>
      </w:pPr>
      <w:r>
        <w:t>Table 7: Partnership for Development—Improved technical and vocational skills</w:t>
      </w:r>
    </w:p>
    <w:tbl>
      <w:tblPr>
        <w:tblStyle w:val="APPR"/>
        <w:tblW w:w="0" w:type="auto"/>
        <w:tblLayout w:type="fixed"/>
        <w:tblLook w:val="0000" w:firstRow="0" w:lastRow="0" w:firstColumn="0" w:lastColumn="0" w:noHBand="0" w:noVBand="0"/>
      </w:tblPr>
      <w:tblGrid>
        <w:gridCol w:w="7082"/>
        <w:gridCol w:w="940"/>
      </w:tblGrid>
      <w:tr w:rsidR="00261A43" w:rsidTr="00261A43">
        <w:trPr>
          <w:cnfStyle w:val="000000010000" w:firstRow="0" w:lastRow="0" w:firstColumn="0" w:lastColumn="0" w:oddVBand="0" w:evenVBand="0" w:oddHBand="0" w:evenHBand="1" w:firstRowFirstColumn="0" w:firstRowLastColumn="0" w:lastRowFirstColumn="0" w:lastRowLastColumn="0"/>
        </w:trPr>
        <w:tc>
          <w:tcPr>
            <w:tcW w:w="7966" w:type="dxa"/>
            <w:gridSpan w:val="2"/>
          </w:tcPr>
          <w:p w:rsidR="00261A43" w:rsidRDefault="00261A43" w:rsidP="00261A43">
            <w:pPr>
              <w:pStyle w:val="TableTextColumnHeading"/>
            </w:pPr>
            <w:r>
              <w:t xml:space="preserve">Aim: </w:t>
            </w:r>
            <w:r w:rsidRPr="006A6F0F">
              <w:rPr>
                <w:rFonts w:ascii="Franklin Gothic Book" w:hAnsi="Franklin Gothic Book"/>
              </w:rPr>
              <w:t xml:space="preserve">The </w:t>
            </w:r>
            <w:r>
              <w:rPr>
                <w:rFonts w:ascii="Franklin Gothic Book" w:hAnsi="Franklin Gothic Book"/>
              </w:rPr>
              <w:t>p</w:t>
            </w:r>
            <w:r w:rsidRPr="006A6F0F">
              <w:rPr>
                <w:rFonts w:ascii="Franklin Gothic Book" w:hAnsi="Franklin Gothic Book"/>
              </w:rPr>
              <w:t xml:space="preserve">artnership will develop and support opportunities to increase the number of Tongans </w:t>
            </w:r>
            <w:r>
              <w:rPr>
                <w:rFonts w:ascii="Franklin Gothic Book" w:hAnsi="Franklin Gothic Book"/>
              </w:rPr>
              <w:t>with</w:t>
            </w:r>
            <w:r w:rsidRPr="006A6F0F">
              <w:rPr>
                <w:rFonts w:ascii="Franklin Gothic Book" w:hAnsi="Franklin Gothic Book"/>
              </w:rPr>
              <w:t xml:space="preserve"> technical and vocational skills in areas of industry deman</w:t>
            </w:r>
            <w:r>
              <w:rPr>
                <w:rFonts w:ascii="Franklin Gothic Book" w:hAnsi="Franklin Gothic Book"/>
              </w:rPr>
              <w:t>d, both domestically and overseas.</w:t>
            </w:r>
          </w:p>
        </w:tc>
      </w:tr>
      <w:tr w:rsidR="00261A43" w:rsidTr="00261A43">
        <w:trPr>
          <w:cnfStyle w:val="000000010000" w:firstRow="0" w:lastRow="0" w:firstColumn="0" w:lastColumn="0" w:oddVBand="0" w:evenVBand="0" w:oddHBand="0" w:evenHBand="1" w:firstRowFirstColumn="0" w:firstRowLastColumn="0" w:lastRowFirstColumn="0" w:lastRowLastColumn="0"/>
        </w:trPr>
        <w:tc>
          <w:tcPr>
            <w:tcW w:w="7040" w:type="dxa"/>
          </w:tcPr>
          <w:p w:rsidR="00261A43" w:rsidRDefault="00261A43" w:rsidP="00261A43">
            <w:pPr>
              <w:pStyle w:val="TableTextColumnHeading"/>
            </w:pPr>
            <w:r w:rsidRPr="00A31F03">
              <w:t>Partnership targets for 2015</w:t>
            </w:r>
          </w:p>
        </w:tc>
        <w:tc>
          <w:tcPr>
            <w:tcW w:w="898" w:type="dxa"/>
          </w:tcPr>
          <w:p w:rsidR="00261A43" w:rsidRDefault="00261A43" w:rsidP="00261A43">
            <w:pPr>
              <w:pStyle w:val="TableTextColumnHeading"/>
            </w:pPr>
            <w:r w:rsidRPr="00A31F03">
              <w:t>Progress</w:t>
            </w:r>
          </w:p>
        </w:tc>
      </w:tr>
      <w:tr w:rsidR="00261A43" w:rsidRPr="00917A34" w:rsidTr="00261A43">
        <w:trPr>
          <w:cnfStyle w:val="000000010000" w:firstRow="0" w:lastRow="0" w:firstColumn="0" w:lastColumn="0" w:oddVBand="0" w:evenVBand="0" w:oddHBand="0" w:evenHBand="1" w:firstRowFirstColumn="0" w:firstRowLastColumn="0" w:lastRowFirstColumn="0" w:lastRowLastColumn="0"/>
        </w:trPr>
        <w:tc>
          <w:tcPr>
            <w:tcW w:w="7040" w:type="dxa"/>
          </w:tcPr>
          <w:p w:rsidR="00261A43" w:rsidRPr="00917A34" w:rsidRDefault="00261A43" w:rsidP="00261A43">
            <w:pPr>
              <w:pStyle w:val="TableTextEntries"/>
            </w:pPr>
            <w:r>
              <w:t>Increased number of Tongans completing locally or internationally accredited</w:t>
            </w:r>
            <w:r>
              <w:br/>
              <w:t>technical and vocational education and training (TVET) courses, including a focus on</w:t>
            </w:r>
            <w:r>
              <w:br/>
              <w:t>equal opportunities for all.</w:t>
            </w:r>
          </w:p>
        </w:tc>
        <w:tc>
          <w:tcPr>
            <w:tcW w:w="898" w:type="dxa"/>
            <w:shd w:val="clear" w:color="auto" w:fill="F79646" w:themeFill="accent6"/>
          </w:tcPr>
          <w:p w:rsidR="00261A43" w:rsidRPr="00E032E5" w:rsidRDefault="00261A43" w:rsidP="00261A43">
            <w:pPr>
              <w:pStyle w:val="TableTextEntries"/>
            </w:pPr>
            <w:r w:rsidRPr="00E032E5">
              <w:t>Amber</w:t>
            </w:r>
          </w:p>
        </w:tc>
      </w:tr>
      <w:tr w:rsidR="00261A43" w:rsidRPr="00917A34" w:rsidTr="00261A43">
        <w:trPr>
          <w:cnfStyle w:val="000000010000" w:firstRow="0" w:lastRow="0" w:firstColumn="0" w:lastColumn="0" w:oddVBand="0" w:evenVBand="0" w:oddHBand="0" w:evenHBand="1" w:firstRowFirstColumn="0" w:firstRowLastColumn="0" w:lastRowFirstColumn="0" w:lastRowLastColumn="0"/>
        </w:trPr>
        <w:tc>
          <w:tcPr>
            <w:tcW w:w="7040" w:type="dxa"/>
          </w:tcPr>
          <w:p w:rsidR="00261A43" w:rsidRPr="00917A34" w:rsidRDefault="00261A43" w:rsidP="00261A43">
            <w:pPr>
              <w:pStyle w:val="TableTextEntries"/>
            </w:pPr>
            <w:r>
              <w:t>Increased number of accredited technical and vocational qualifications available</w:t>
            </w:r>
            <w:r>
              <w:br/>
              <w:t>in Tonga.</w:t>
            </w:r>
          </w:p>
        </w:tc>
        <w:tc>
          <w:tcPr>
            <w:tcW w:w="898" w:type="dxa"/>
            <w:shd w:val="clear" w:color="auto" w:fill="F79646" w:themeFill="accent6"/>
          </w:tcPr>
          <w:p w:rsidR="00261A43" w:rsidRPr="00E032E5" w:rsidRDefault="00261A43" w:rsidP="00261A43">
            <w:pPr>
              <w:pStyle w:val="TableTextEntries"/>
            </w:pPr>
            <w:r w:rsidRPr="00E032E5">
              <w:t>Amber</w:t>
            </w:r>
          </w:p>
        </w:tc>
      </w:tr>
    </w:tbl>
    <w:p w:rsidR="00261A43" w:rsidRPr="00217DE1" w:rsidRDefault="00261A43" w:rsidP="00261A43">
      <w:pPr>
        <w:pStyle w:val="BodyText"/>
      </w:pPr>
    </w:p>
    <w:p w:rsidR="00E35CA0" w:rsidRPr="000721CB" w:rsidRDefault="000843E3" w:rsidP="000721CB">
      <w:pPr>
        <w:pStyle w:val="BodyText"/>
      </w:pPr>
      <w:r w:rsidRPr="000721CB">
        <w:t>An indep</w:t>
      </w:r>
      <w:r w:rsidR="007C23B3" w:rsidRPr="000721CB">
        <w:t>en</w:t>
      </w:r>
      <w:r w:rsidRPr="000721CB">
        <w:t xml:space="preserve">dent review of </w:t>
      </w:r>
      <w:r w:rsidR="00065CF1" w:rsidRPr="000721CB">
        <w:t>the Australia</w:t>
      </w:r>
      <w:r w:rsidR="007C7D46" w:rsidRPr="000721CB">
        <w:t xml:space="preserve"> – </w:t>
      </w:r>
      <w:r w:rsidR="00065CF1" w:rsidRPr="000721CB">
        <w:t>New Zealand</w:t>
      </w:r>
      <w:r w:rsidR="007C7D46" w:rsidRPr="000721CB">
        <w:t xml:space="preserve"> – </w:t>
      </w:r>
      <w:r w:rsidR="00065CF1" w:rsidRPr="000721CB">
        <w:t xml:space="preserve">Tonga Technical Vocational Education and Training Support Program (TSP1) </w:t>
      </w:r>
      <w:r w:rsidRPr="000721CB">
        <w:t xml:space="preserve">in </w:t>
      </w:r>
      <w:r w:rsidR="00377205" w:rsidRPr="000721CB">
        <w:t>2012</w:t>
      </w:r>
      <w:r w:rsidRPr="000721CB">
        <w:t xml:space="preserve"> confirmed concerns noted in</w:t>
      </w:r>
      <w:r w:rsidR="008039AB">
        <w:t xml:space="preserve"> </w:t>
      </w:r>
      <w:r w:rsidR="00327E79" w:rsidRPr="000721CB">
        <w:t xml:space="preserve">AusAID’s </w:t>
      </w:r>
      <w:r w:rsidRPr="000721CB">
        <w:t>2011</w:t>
      </w:r>
      <w:r w:rsidR="00327E79" w:rsidRPr="000721CB">
        <w:t>–</w:t>
      </w:r>
      <w:r w:rsidRPr="000721CB">
        <w:t>12 A</w:t>
      </w:r>
      <w:r w:rsidR="00D5316E">
        <w:t>nnual</w:t>
      </w:r>
      <w:r w:rsidR="00EA225C" w:rsidRPr="000721CB">
        <w:t xml:space="preserve"> Program Performance Report</w:t>
      </w:r>
      <w:r w:rsidR="00707109">
        <w:rPr>
          <w:rStyle w:val="FootnoteReference"/>
        </w:rPr>
        <w:footnoteReference w:id="35"/>
      </w:r>
      <w:r w:rsidRPr="000721CB">
        <w:t xml:space="preserve"> that th</w:t>
      </w:r>
      <w:r w:rsidR="00327E79" w:rsidRPr="000721CB">
        <w:t>e</w:t>
      </w:r>
      <w:r w:rsidRPr="000721CB">
        <w:t xml:space="preserve"> program was progressing unsatisfactorily </w:t>
      </w:r>
      <w:r w:rsidR="00AF5740" w:rsidRPr="000721CB">
        <w:t xml:space="preserve">and </w:t>
      </w:r>
      <w:r w:rsidR="00360815" w:rsidRPr="000721CB">
        <w:t>not deliver</w:t>
      </w:r>
      <w:r w:rsidR="00BD2D38" w:rsidRPr="000721CB">
        <w:t>ing</w:t>
      </w:r>
      <w:r w:rsidR="00360815" w:rsidRPr="000721CB">
        <w:t xml:space="preserve"> </w:t>
      </w:r>
      <w:r w:rsidR="00327E79" w:rsidRPr="000721CB">
        <w:t xml:space="preserve">expected </w:t>
      </w:r>
      <w:r w:rsidR="00360815" w:rsidRPr="000721CB">
        <w:t>results</w:t>
      </w:r>
      <w:r w:rsidR="00FA743F" w:rsidRPr="000721CB">
        <w:t>.</w:t>
      </w:r>
      <w:r w:rsidR="003D11B9" w:rsidRPr="000721CB">
        <w:rPr>
          <w:rStyle w:val="FootnoteReference"/>
          <w:position w:val="0"/>
          <w:sz w:val="22"/>
          <w:szCs w:val="24"/>
          <w:vertAlign w:val="superscript"/>
        </w:rPr>
        <w:footnoteReference w:id="36"/>
      </w:r>
      <w:r w:rsidR="00B617F2" w:rsidRPr="000721CB">
        <w:t xml:space="preserve"> </w:t>
      </w:r>
      <w:r w:rsidR="00327E79" w:rsidRPr="000721CB">
        <w:t>F</w:t>
      </w:r>
      <w:r w:rsidR="00625964" w:rsidRPr="000721CB">
        <w:t>undamental reason</w:t>
      </w:r>
      <w:r w:rsidR="00063506" w:rsidRPr="000721CB">
        <w:t>s</w:t>
      </w:r>
      <w:r w:rsidR="00625964" w:rsidRPr="000721CB">
        <w:t xml:space="preserve"> </w:t>
      </w:r>
      <w:r w:rsidR="00377205" w:rsidRPr="000721CB">
        <w:t>for unsatisfactory progress w</w:t>
      </w:r>
      <w:r w:rsidR="00327E79" w:rsidRPr="000721CB">
        <w:t>ere</w:t>
      </w:r>
      <w:r w:rsidR="00360815" w:rsidRPr="000721CB">
        <w:t xml:space="preserve"> lack of common vision</w:t>
      </w:r>
      <w:r w:rsidR="00377205" w:rsidRPr="000721CB">
        <w:t xml:space="preserve"> and policy for TVET in Tonga and lack of</w:t>
      </w:r>
      <w:r w:rsidR="00360815" w:rsidRPr="000721CB">
        <w:t xml:space="preserve"> </w:t>
      </w:r>
      <w:r w:rsidR="00377205" w:rsidRPr="000721CB">
        <w:t>labour market needs</w:t>
      </w:r>
      <w:r w:rsidR="004B76DA" w:rsidRPr="000721CB">
        <w:t>’</w:t>
      </w:r>
      <w:r w:rsidR="00377205" w:rsidRPr="000721CB">
        <w:t xml:space="preserve"> data to ensure courses responded to industry demand</w:t>
      </w:r>
      <w:r w:rsidR="00B617F2" w:rsidRPr="000721CB">
        <w:t xml:space="preserve">. </w:t>
      </w:r>
      <w:r w:rsidR="00063506" w:rsidRPr="000721CB">
        <w:t>Following the review</w:t>
      </w:r>
      <w:r w:rsidR="00327E79" w:rsidRPr="000721CB">
        <w:t>,</w:t>
      </w:r>
      <w:r w:rsidR="00063506" w:rsidRPr="000721CB">
        <w:t xml:space="preserve"> AusAID agreed with</w:t>
      </w:r>
      <w:r w:rsidR="00327E79" w:rsidRPr="000721CB">
        <w:t xml:space="preserve"> the</w:t>
      </w:r>
      <w:r w:rsidR="00063506" w:rsidRPr="000721CB">
        <w:t xml:space="preserve"> Go</w:t>
      </w:r>
      <w:r w:rsidR="007C7D46" w:rsidRPr="000721CB">
        <w:t>vernment of Tonga</w:t>
      </w:r>
      <w:r w:rsidR="00063506" w:rsidRPr="000721CB">
        <w:t xml:space="preserve"> and New Zealand that the </w:t>
      </w:r>
      <w:r w:rsidR="00993431" w:rsidRPr="000721CB">
        <w:t xml:space="preserve">TSP1 </w:t>
      </w:r>
      <w:r w:rsidR="00063506" w:rsidRPr="000721CB">
        <w:t xml:space="preserve">would not continue beyond </w:t>
      </w:r>
      <w:r w:rsidR="00993431" w:rsidRPr="000721CB">
        <w:t>30 April 2013</w:t>
      </w:r>
      <w:r w:rsidR="00327E79" w:rsidRPr="000721CB">
        <w:t>. Instead, efforts would be devoted to</w:t>
      </w:r>
      <w:r w:rsidR="00932BA6" w:rsidRPr="000721CB">
        <w:t xml:space="preserve"> </w:t>
      </w:r>
      <w:r w:rsidR="00063506" w:rsidRPr="000721CB">
        <w:t>completing a labour market analysis and supporting the development of a national policy and vision for TVET in Tonga</w:t>
      </w:r>
      <w:r w:rsidR="00B617F2" w:rsidRPr="000721CB">
        <w:t xml:space="preserve">. </w:t>
      </w:r>
      <w:r w:rsidR="00063506" w:rsidRPr="000721CB">
        <w:t xml:space="preserve"> </w:t>
      </w:r>
      <w:r w:rsidR="00993431" w:rsidRPr="000721CB">
        <w:t xml:space="preserve"> </w:t>
      </w:r>
    </w:p>
    <w:p w:rsidR="009C33CE" w:rsidRPr="000721CB" w:rsidRDefault="002C119B" w:rsidP="000721CB">
      <w:pPr>
        <w:pStyle w:val="BodyText"/>
      </w:pPr>
      <w:r w:rsidRPr="000721CB">
        <w:t>In March 2013, the Government of Tong</w:t>
      </w:r>
      <w:r w:rsidR="004D6D98" w:rsidRPr="000721CB">
        <w:t>a</w:t>
      </w:r>
      <w:r w:rsidR="00B87625" w:rsidRPr="000721CB">
        <w:t xml:space="preserve">, through </w:t>
      </w:r>
      <w:r w:rsidR="00327E79" w:rsidRPr="000721CB">
        <w:t xml:space="preserve">its </w:t>
      </w:r>
      <w:r w:rsidRPr="000721CB">
        <w:t xml:space="preserve">Ministry of Education and Training, released </w:t>
      </w:r>
      <w:r w:rsidR="00B87625" w:rsidRPr="000721CB">
        <w:t>its</w:t>
      </w:r>
      <w:r w:rsidRPr="000721CB">
        <w:t xml:space="preserve"> Draft National TVET Policy Framework 2013–2017</w:t>
      </w:r>
      <w:r w:rsidR="00B617F2" w:rsidRPr="000721CB">
        <w:t xml:space="preserve">. </w:t>
      </w:r>
      <w:r w:rsidR="000843E3" w:rsidRPr="000721CB">
        <w:t>T</w:t>
      </w:r>
      <w:r w:rsidRPr="000721CB">
        <w:t>he policy</w:t>
      </w:r>
      <w:r w:rsidR="000843E3" w:rsidRPr="000721CB">
        <w:t xml:space="preserve">, developed with </w:t>
      </w:r>
      <w:r w:rsidR="00AD74B3">
        <w:t xml:space="preserve">support from </w:t>
      </w:r>
      <w:r w:rsidR="008039AB">
        <w:t>Australia</w:t>
      </w:r>
      <w:r w:rsidR="000843E3" w:rsidRPr="000721CB">
        <w:t>,</w:t>
      </w:r>
      <w:r w:rsidRPr="000721CB">
        <w:t xml:space="preserve"> </w:t>
      </w:r>
      <w:r w:rsidR="000843E3" w:rsidRPr="000721CB">
        <w:t xml:space="preserve">will </w:t>
      </w:r>
      <w:r w:rsidRPr="000721CB">
        <w:t xml:space="preserve">change direction from </w:t>
      </w:r>
      <w:r w:rsidR="00327E79" w:rsidRPr="000721CB">
        <w:t xml:space="preserve">a training system driven by supply to one driven </w:t>
      </w:r>
      <w:r w:rsidRPr="000721CB">
        <w:t>by industry demand</w:t>
      </w:r>
      <w:r w:rsidR="00B617F2" w:rsidRPr="000721CB">
        <w:t xml:space="preserve">. </w:t>
      </w:r>
      <w:r w:rsidRPr="000721CB">
        <w:t>This important re-focus</w:t>
      </w:r>
      <w:r w:rsidR="00327E79" w:rsidRPr="000721CB">
        <w:t xml:space="preserve"> </w:t>
      </w:r>
      <w:r w:rsidR="00BB7163" w:rsidRPr="000721CB">
        <w:t xml:space="preserve">will </w:t>
      </w:r>
      <w:r w:rsidR="000843E3" w:rsidRPr="000721CB">
        <w:t>seek to ensure Tonga’s TVET system provide</w:t>
      </w:r>
      <w:r w:rsidR="00327E79" w:rsidRPr="000721CB">
        <w:t>s</w:t>
      </w:r>
      <w:r w:rsidR="000843E3" w:rsidRPr="000721CB">
        <w:t xml:space="preserve"> </w:t>
      </w:r>
      <w:r w:rsidRPr="000721CB">
        <w:t>qualifications and training outcomes</w:t>
      </w:r>
      <w:r w:rsidR="000843E3" w:rsidRPr="000721CB">
        <w:t xml:space="preserve"> to internationally accredited standards</w:t>
      </w:r>
      <w:r w:rsidR="00063506" w:rsidRPr="000721CB">
        <w:t>. This</w:t>
      </w:r>
      <w:r w:rsidR="00327E79" w:rsidRPr="000721CB">
        <w:t>,</w:t>
      </w:r>
      <w:r w:rsidR="00063506" w:rsidRPr="000721CB">
        <w:t xml:space="preserve"> in turn</w:t>
      </w:r>
      <w:r w:rsidR="00327E79" w:rsidRPr="000721CB">
        <w:t>,</w:t>
      </w:r>
      <w:r w:rsidR="00063506" w:rsidRPr="000721CB">
        <w:t xml:space="preserve"> will </w:t>
      </w:r>
      <w:r w:rsidR="000843E3" w:rsidRPr="000721CB">
        <w:t xml:space="preserve">lead to </w:t>
      </w:r>
      <w:r w:rsidRPr="000721CB">
        <w:t xml:space="preserve">increased employment and migration opportunities for </w:t>
      </w:r>
      <w:r w:rsidR="00AF5740" w:rsidRPr="000721CB">
        <w:t>Tongan</w:t>
      </w:r>
      <w:r w:rsidRPr="000721CB">
        <w:t xml:space="preserve"> citizens</w:t>
      </w:r>
      <w:r w:rsidR="00B617F2" w:rsidRPr="000721CB">
        <w:t xml:space="preserve">. </w:t>
      </w:r>
    </w:p>
    <w:p w:rsidR="009C33CE" w:rsidRPr="000721CB" w:rsidRDefault="00130B86" w:rsidP="000721CB">
      <w:pPr>
        <w:pStyle w:val="BodyText"/>
        <w:rPr>
          <w:rFonts w:eastAsia="SimSun"/>
        </w:rPr>
      </w:pPr>
      <w:r w:rsidRPr="000721CB">
        <w:t>T</w:t>
      </w:r>
      <w:r w:rsidR="009C33CE" w:rsidRPr="000721CB">
        <w:t xml:space="preserve">o </w:t>
      </w:r>
      <w:r w:rsidR="00063506" w:rsidRPr="000721CB">
        <w:t>ensure Tongans have access to quality TVET training while the new policy is finalised</w:t>
      </w:r>
      <w:r w:rsidR="00327E79" w:rsidRPr="000721CB">
        <w:t>,</w:t>
      </w:r>
      <w:r w:rsidR="00063506" w:rsidRPr="000721CB">
        <w:t xml:space="preserve"> </w:t>
      </w:r>
      <w:r w:rsidR="0064627D" w:rsidRPr="000721CB">
        <w:t xml:space="preserve">DFAT </w:t>
      </w:r>
      <w:r w:rsidR="00063506" w:rsidRPr="000721CB">
        <w:t>will fund</w:t>
      </w:r>
      <w:r w:rsidR="009C33CE" w:rsidRPr="000721CB">
        <w:t xml:space="preserve"> </w:t>
      </w:r>
      <w:r w:rsidR="00625964" w:rsidRPr="000721CB">
        <w:t xml:space="preserve">1100 students </w:t>
      </w:r>
      <w:r w:rsidR="00063506" w:rsidRPr="000721CB">
        <w:t xml:space="preserve">to undertake </w:t>
      </w:r>
      <w:r w:rsidR="009C33CE" w:rsidRPr="000721CB">
        <w:t>training courses through an interim facility arrangement</w:t>
      </w:r>
      <w:r w:rsidRPr="000721CB">
        <w:t>, with the explicit objective of getting youth into jobs</w:t>
      </w:r>
      <w:r w:rsidR="00327E79" w:rsidRPr="000721CB">
        <w:t xml:space="preserve"> nationally</w:t>
      </w:r>
      <w:r w:rsidRPr="000721CB">
        <w:t>, regionally and internationally</w:t>
      </w:r>
      <w:r w:rsidR="00B617F2" w:rsidRPr="000721CB">
        <w:t xml:space="preserve">. </w:t>
      </w:r>
      <w:r w:rsidR="00063506" w:rsidRPr="000721CB">
        <w:t>The facility will</w:t>
      </w:r>
      <w:r w:rsidR="000E6C54" w:rsidRPr="000721CB">
        <w:t xml:space="preserve"> be operational </w:t>
      </w:r>
      <w:r w:rsidR="00617349" w:rsidRPr="000721CB">
        <w:t>before the end of 2013</w:t>
      </w:r>
      <w:r w:rsidR="000E6C54" w:rsidRPr="000721CB">
        <w:t xml:space="preserve"> and will</w:t>
      </w:r>
      <w:r w:rsidR="00063506" w:rsidRPr="000721CB">
        <w:t xml:space="preserve"> </w:t>
      </w:r>
      <w:r w:rsidR="00327E79" w:rsidRPr="000721CB">
        <w:t xml:space="preserve">buy </w:t>
      </w:r>
      <w:r w:rsidR="00063506" w:rsidRPr="000721CB">
        <w:t>courses from accredited providers based on demand. The</w:t>
      </w:r>
      <w:r w:rsidR="009C33CE" w:rsidRPr="000721CB">
        <w:t xml:space="preserve"> labour market analysis undertaken as the final output of the TSP1 will be used </w:t>
      </w:r>
      <w:r w:rsidR="00327E79" w:rsidRPr="000721CB">
        <w:t>to</w:t>
      </w:r>
      <w:r w:rsidR="009C33CE" w:rsidRPr="000721CB">
        <w:t xml:space="preserve"> select courses</w:t>
      </w:r>
      <w:r w:rsidRPr="000721CB">
        <w:t xml:space="preserve"> to ensure training is </w:t>
      </w:r>
      <w:r w:rsidR="008B4368" w:rsidRPr="000721CB">
        <w:t xml:space="preserve">relevant to </w:t>
      </w:r>
      <w:r w:rsidR="00D85005" w:rsidRPr="000721CB">
        <w:t>labour market needs</w:t>
      </w:r>
      <w:r w:rsidR="00D85005" w:rsidRPr="000721CB" w:rsidDel="00D85005">
        <w:t xml:space="preserve"> </w:t>
      </w:r>
      <w:r w:rsidRPr="000721CB">
        <w:t>and maximises job opportunities</w:t>
      </w:r>
      <w:r w:rsidR="00B617F2" w:rsidRPr="000721CB">
        <w:t xml:space="preserve">. </w:t>
      </w:r>
      <w:r w:rsidR="0094550E" w:rsidRPr="000721CB">
        <w:t xml:space="preserve">The </w:t>
      </w:r>
      <w:r w:rsidR="009C33CE" w:rsidRPr="000721CB">
        <w:t>interim facility</w:t>
      </w:r>
      <w:r w:rsidR="0094550E" w:rsidRPr="000721CB">
        <w:t xml:space="preserve"> will operate for two years and during that time </w:t>
      </w:r>
      <w:r w:rsidR="0064627D" w:rsidRPr="000721CB">
        <w:t xml:space="preserve">DFAT </w:t>
      </w:r>
      <w:r w:rsidR="00063506" w:rsidRPr="000721CB">
        <w:t xml:space="preserve">will develop a </w:t>
      </w:r>
      <w:r w:rsidR="0094550E" w:rsidRPr="000721CB">
        <w:t xml:space="preserve">long-term program of support for TVET </w:t>
      </w:r>
      <w:r w:rsidR="005517AA" w:rsidRPr="000721CB">
        <w:t xml:space="preserve">to </w:t>
      </w:r>
      <w:r w:rsidR="00327E79" w:rsidRPr="000721CB">
        <w:t xml:space="preserve">start </w:t>
      </w:r>
      <w:r w:rsidR="005517AA" w:rsidRPr="000721CB">
        <w:t xml:space="preserve">in 2015. The </w:t>
      </w:r>
      <w:r w:rsidR="0094550E" w:rsidRPr="000721CB">
        <w:t>lessons learned during the life of the</w:t>
      </w:r>
      <w:r w:rsidR="00327E79" w:rsidRPr="000721CB">
        <w:t xml:space="preserve"> interim</w:t>
      </w:r>
      <w:r w:rsidR="0094550E" w:rsidRPr="000721CB">
        <w:t xml:space="preserve"> </w:t>
      </w:r>
      <w:r w:rsidR="009C33CE" w:rsidRPr="000721CB">
        <w:t>f</w:t>
      </w:r>
      <w:r w:rsidR="0094550E" w:rsidRPr="000721CB">
        <w:t>acility will help inform design.</w:t>
      </w:r>
    </w:p>
    <w:p w:rsidR="000E6C54" w:rsidRPr="000721CB" w:rsidRDefault="00B21D2F" w:rsidP="000721CB">
      <w:pPr>
        <w:pStyle w:val="BodyText"/>
      </w:pPr>
      <w:r w:rsidRPr="000721CB">
        <w:t>In 2011</w:t>
      </w:r>
      <w:r w:rsidR="00327E79" w:rsidRPr="000721CB">
        <w:t>,</w:t>
      </w:r>
      <w:r w:rsidRPr="000721CB">
        <w:t xml:space="preserve"> </w:t>
      </w:r>
      <w:r w:rsidR="009652C1" w:rsidRPr="000721CB">
        <w:t>Australia and Tonga agreed to include education as a priority area under the</w:t>
      </w:r>
      <w:r w:rsidR="00327E79" w:rsidRPr="000721CB">
        <w:t xml:space="preserve"> P</w:t>
      </w:r>
      <w:r w:rsidR="009652C1" w:rsidRPr="000721CB">
        <w:t xml:space="preserve">artnership </w:t>
      </w:r>
      <w:r w:rsidR="00327E79" w:rsidRPr="000721CB">
        <w:t xml:space="preserve">for Development </w:t>
      </w:r>
      <w:r w:rsidR="009652C1" w:rsidRPr="000721CB">
        <w:t>once a program of support is developed</w:t>
      </w:r>
      <w:r w:rsidR="00B617F2" w:rsidRPr="000721CB">
        <w:t xml:space="preserve">. </w:t>
      </w:r>
      <w:r w:rsidR="009652C1" w:rsidRPr="000721CB">
        <w:t xml:space="preserve">Education and </w:t>
      </w:r>
      <w:r w:rsidR="001418D4" w:rsidRPr="000721CB">
        <w:t>TVET</w:t>
      </w:r>
      <w:r w:rsidR="009652C1" w:rsidRPr="000721CB">
        <w:t xml:space="preserve"> </w:t>
      </w:r>
      <w:r w:rsidR="009652C1" w:rsidRPr="000721CB">
        <w:lastRenderedPageBreak/>
        <w:t xml:space="preserve">would </w:t>
      </w:r>
      <w:r w:rsidR="001418D4" w:rsidRPr="000721CB">
        <w:t>form</w:t>
      </w:r>
      <w:r w:rsidR="009652C1" w:rsidRPr="000721CB">
        <w:t xml:space="preserve"> a single pillar of the partnership</w:t>
      </w:r>
      <w:r w:rsidR="00B617F2" w:rsidRPr="000721CB">
        <w:t xml:space="preserve">. </w:t>
      </w:r>
      <w:r w:rsidR="00130B86" w:rsidRPr="000721CB">
        <w:t>In 2012</w:t>
      </w:r>
      <w:r w:rsidR="00FE02DD" w:rsidRPr="000721CB">
        <w:t>–</w:t>
      </w:r>
      <w:r w:rsidR="00130B86" w:rsidRPr="000721CB">
        <w:t>13</w:t>
      </w:r>
      <w:r w:rsidR="001418D4" w:rsidRPr="000721CB">
        <w:t>,</w:t>
      </w:r>
      <w:r w:rsidR="00130B86" w:rsidRPr="000721CB">
        <w:t xml:space="preserve"> </w:t>
      </w:r>
      <w:r w:rsidR="009652C1" w:rsidRPr="000721CB">
        <w:t>Australia work</w:t>
      </w:r>
      <w:r w:rsidR="00130B86" w:rsidRPr="000721CB">
        <w:t>ed</w:t>
      </w:r>
      <w:r w:rsidR="009652C1" w:rsidRPr="000721CB">
        <w:t xml:space="preserve"> with Tonga and New Zealand to define areas of future support </w:t>
      </w:r>
      <w:r w:rsidR="00130B86" w:rsidRPr="000721CB">
        <w:t>in the</w:t>
      </w:r>
      <w:r w:rsidR="009652C1" w:rsidRPr="000721CB">
        <w:t xml:space="preserve"> </w:t>
      </w:r>
      <w:r w:rsidR="00130B86" w:rsidRPr="000721CB">
        <w:t>sector</w:t>
      </w:r>
      <w:r w:rsidR="000E6C54" w:rsidRPr="000721CB">
        <w:t>.</w:t>
      </w:r>
      <w:r w:rsidR="00130B86" w:rsidRPr="000721CB">
        <w:t xml:space="preserve"> </w:t>
      </w:r>
      <w:r w:rsidR="000E6C54" w:rsidRPr="000721CB">
        <w:t>A new program was agreed and implementation</w:t>
      </w:r>
      <w:r w:rsidR="007C7D46" w:rsidRPr="000721CB">
        <w:t xml:space="preserve"> started</w:t>
      </w:r>
      <w:r w:rsidR="000E6C54" w:rsidRPr="000721CB">
        <w:t xml:space="preserve"> in 2012</w:t>
      </w:r>
      <w:r w:rsidR="00FE02DD" w:rsidRPr="000721CB">
        <w:t>–</w:t>
      </w:r>
      <w:r w:rsidR="000E6C54" w:rsidRPr="000721CB">
        <w:t xml:space="preserve">13. </w:t>
      </w:r>
      <w:r w:rsidR="00063506" w:rsidRPr="000721CB">
        <w:t xml:space="preserve">The </w:t>
      </w:r>
      <w:r w:rsidR="000E6C54" w:rsidRPr="000721CB">
        <w:t>new</w:t>
      </w:r>
      <w:r w:rsidR="00063506" w:rsidRPr="000721CB">
        <w:t xml:space="preserve"> program focus</w:t>
      </w:r>
      <w:r w:rsidR="000E6C54" w:rsidRPr="000721CB">
        <w:t>es</w:t>
      </w:r>
      <w:r w:rsidR="00063506" w:rsidRPr="000721CB">
        <w:t xml:space="preserve"> on improving access to basic education, student learning outcomes, teacher quality, learning environment, delivery of resources and services, plus improving the Ministry of Education and Training’s performance. </w:t>
      </w:r>
      <w:r w:rsidR="000E6C54" w:rsidRPr="000721CB">
        <w:t xml:space="preserve">A key early priority is </w:t>
      </w:r>
      <w:r w:rsidR="001418D4" w:rsidRPr="000721CB">
        <w:t xml:space="preserve">to </w:t>
      </w:r>
      <w:r w:rsidR="000E6C54" w:rsidRPr="000721CB">
        <w:t xml:space="preserve">develop a performance assessment framework </w:t>
      </w:r>
      <w:r w:rsidR="001418D4" w:rsidRPr="000721CB">
        <w:t>so</w:t>
      </w:r>
      <w:r w:rsidR="000E6C54" w:rsidRPr="000721CB">
        <w:t xml:space="preserve"> the new program </w:t>
      </w:r>
      <w:r w:rsidR="001418D4" w:rsidRPr="000721CB">
        <w:t>can</w:t>
      </w:r>
      <w:r w:rsidR="000E6C54" w:rsidRPr="000721CB">
        <w:t xml:space="preserve"> be monitored and evaluated effectively. The framework is expected to be complete</w:t>
      </w:r>
      <w:r w:rsidR="001418D4" w:rsidRPr="000721CB">
        <w:t>d</w:t>
      </w:r>
      <w:r w:rsidR="000E6C54" w:rsidRPr="000721CB">
        <w:t xml:space="preserve"> by August 2013. </w:t>
      </w:r>
    </w:p>
    <w:p w:rsidR="00A940AF" w:rsidRPr="000721CB" w:rsidRDefault="000E6C54" w:rsidP="000721CB">
      <w:pPr>
        <w:pStyle w:val="BodyText"/>
      </w:pPr>
      <w:r w:rsidRPr="000721CB">
        <w:t>Throughout 2012</w:t>
      </w:r>
      <w:r w:rsidR="00FE02DD" w:rsidRPr="000721CB">
        <w:t>–</w:t>
      </w:r>
      <w:r w:rsidRPr="000721CB">
        <w:t>13</w:t>
      </w:r>
      <w:r w:rsidR="001418D4" w:rsidRPr="000721CB">
        <w:t>,</w:t>
      </w:r>
      <w:r w:rsidRPr="000721CB">
        <w:t xml:space="preserve"> while detailed design work for the longer</w:t>
      </w:r>
      <w:r w:rsidR="00327E79" w:rsidRPr="000721CB">
        <w:t>-</w:t>
      </w:r>
      <w:r w:rsidRPr="000721CB">
        <w:t>term program was underway</w:t>
      </w:r>
      <w:r w:rsidR="001418D4" w:rsidRPr="000721CB">
        <w:t>,</w:t>
      </w:r>
      <w:r w:rsidRPr="000721CB">
        <w:t xml:space="preserve"> Australia </w:t>
      </w:r>
      <w:r w:rsidR="009652C1" w:rsidRPr="000721CB">
        <w:t>support</w:t>
      </w:r>
      <w:r w:rsidRPr="000721CB">
        <w:t>ed</w:t>
      </w:r>
      <w:r w:rsidR="009652C1" w:rsidRPr="000721CB">
        <w:t xml:space="preserve"> an interim program </w:t>
      </w:r>
      <w:r w:rsidRPr="000721CB">
        <w:t>delivered through</w:t>
      </w:r>
      <w:r w:rsidR="009652C1" w:rsidRPr="000721CB">
        <w:t xml:space="preserve"> Tonga’s Ministry of Education</w:t>
      </w:r>
      <w:r w:rsidR="00142596" w:rsidRPr="000721CB">
        <w:t xml:space="preserve"> and Training</w:t>
      </w:r>
      <w:r w:rsidR="00B9313A" w:rsidRPr="000721CB">
        <w:t xml:space="preserve"> </w:t>
      </w:r>
      <w:r w:rsidR="001418D4" w:rsidRPr="000721CB">
        <w:t>focusing</w:t>
      </w:r>
      <w:r w:rsidR="00B9313A" w:rsidRPr="000721CB">
        <w:t xml:space="preserve"> on</w:t>
      </w:r>
      <w:r w:rsidR="009652C1" w:rsidRPr="000721CB">
        <w:t xml:space="preserve"> improv</w:t>
      </w:r>
      <w:r w:rsidR="00130B86" w:rsidRPr="000721CB">
        <w:t>ing</w:t>
      </w:r>
      <w:r w:rsidR="00986DB9" w:rsidRPr="000721CB">
        <w:t xml:space="preserve"> education</w:t>
      </w:r>
      <w:r w:rsidR="001418D4" w:rsidRPr="000721CB">
        <w:t xml:space="preserve"> quality by </w:t>
      </w:r>
      <w:r w:rsidR="00625964" w:rsidRPr="000721CB">
        <w:t>improving</w:t>
      </w:r>
      <w:r w:rsidR="00130B86" w:rsidRPr="000721CB">
        <w:t xml:space="preserve"> </w:t>
      </w:r>
      <w:r w:rsidR="009652C1" w:rsidRPr="000721CB">
        <w:t xml:space="preserve">minimum service standards, school-based management and the financing of </w:t>
      </w:r>
      <w:r w:rsidR="001418D4" w:rsidRPr="000721CB">
        <w:t xml:space="preserve">a </w:t>
      </w:r>
      <w:r w:rsidR="009652C1" w:rsidRPr="000721CB">
        <w:t>school improvement plan</w:t>
      </w:r>
      <w:r w:rsidR="00130B86" w:rsidRPr="000721CB">
        <w:t>. The interim program also supported</w:t>
      </w:r>
      <w:r w:rsidR="009652C1" w:rsidRPr="000721CB">
        <w:t xml:space="preserve"> curriculum reform, improved literacy and strengthened assessment systems and teacher quality</w:t>
      </w:r>
      <w:r w:rsidR="00B617F2" w:rsidRPr="000721CB">
        <w:t xml:space="preserve">. </w:t>
      </w:r>
      <w:r w:rsidR="004E37A2" w:rsidRPr="000721CB">
        <w:t xml:space="preserve"> </w:t>
      </w:r>
    </w:p>
    <w:p w:rsidR="004C319B" w:rsidRPr="000721CB" w:rsidRDefault="004C319B" w:rsidP="000721CB">
      <w:pPr>
        <w:pStyle w:val="BodyText"/>
      </w:pPr>
      <w:r w:rsidRPr="000721CB">
        <w:t>Key achievements from the interim support in 2012</w:t>
      </w:r>
      <w:r w:rsidR="00FE02DD" w:rsidRPr="000721CB">
        <w:t>–</w:t>
      </w:r>
      <w:r w:rsidR="000E6C54" w:rsidRPr="000721CB">
        <w:t>-13</w:t>
      </w:r>
      <w:r w:rsidRPr="000721CB">
        <w:t xml:space="preserve"> include</w:t>
      </w:r>
      <w:r w:rsidR="000E6C54" w:rsidRPr="000721CB">
        <w:t>d</w:t>
      </w:r>
      <w:r w:rsidRPr="000721CB">
        <w:t xml:space="preserve">: </w:t>
      </w:r>
    </w:p>
    <w:p w:rsidR="004C319B" w:rsidRDefault="00FE02DD" w:rsidP="002D1680">
      <w:pPr>
        <w:pStyle w:val="ListBullet"/>
      </w:pPr>
      <w:r>
        <w:t>p</w:t>
      </w:r>
      <w:r w:rsidR="004C319B">
        <w:t>rovi</w:t>
      </w:r>
      <w:r w:rsidR="001418D4">
        <w:t>ding</w:t>
      </w:r>
      <w:r w:rsidR="004C319B">
        <w:t xml:space="preserve"> revised primary school curriculum and school readers</w:t>
      </w:r>
      <w:r w:rsidR="008365BE">
        <w:t xml:space="preserve"> to all primary schools</w:t>
      </w:r>
    </w:p>
    <w:p w:rsidR="004C319B" w:rsidRDefault="001418D4" w:rsidP="002D1680">
      <w:pPr>
        <w:pStyle w:val="ListBullet"/>
      </w:pPr>
      <w:r>
        <w:t xml:space="preserve">providing grants to </w:t>
      </w:r>
      <w:r w:rsidR="00BB7163">
        <w:t>1</w:t>
      </w:r>
      <w:r w:rsidR="004C319B">
        <w:t xml:space="preserve">50 schools </w:t>
      </w:r>
      <w:r w:rsidR="008365BE">
        <w:t xml:space="preserve">(all primary and middle schools) </w:t>
      </w:r>
      <w:r w:rsidR="004C319B">
        <w:t>to improve classroom resources and facilities</w:t>
      </w:r>
    </w:p>
    <w:p w:rsidR="004C319B" w:rsidRDefault="001418D4" w:rsidP="002D1680">
      <w:pPr>
        <w:pStyle w:val="ListBullet"/>
      </w:pPr>
      <w:r>
        <w:t xml:space="preserve">providing grants to </w:t>
      </w:r>
      <w:r w:rsidR="004C319B">
        <w:t xml:space="preserve">86 </w:t>
      </w:r>
      <w:r>
        <w:t>e</w:t>
      </w:r>
      <w:r w:rsidR="004C319B">
        <w:t xml:space="preserve">arly </w:t>
      </w:r>
      <w:r>
        <w:t>c</w:t>
      </w:r>
      <w:r w:rsidR="004C319B">
        <w:t xml:space="preserve">hildhood </w:t>
      </w:r>
      <w:r>
        <w:t>e</w:t>
      </w:r>
      <w:r w:rsidR="004C319B">
        <w:t>ducation providers for</w:t>
      </w:r>
      <w:r w:rsidR="0011108D">
        <w:t xml:space="preserve"> operational costs</w:t>
      </w:r>
    </w:p>
    <w:p w:rsidR="004C319B" w:rsidRPr="00EB6700" w:rsidRDefault="00370C43" w:rsidP="002D1680">
      <w:pPr>
        <w:pStyle w:val="ListBullet"/>
      </w:pPr>
      <w:r w:rsidRPr="00EB6700">
        <w:t xml:space="preserve">implementing </w:t>
      </w:r>
      <w:r w:rsidR="00FE02DD" w:rsidRPr="00EB6700">
        <w:t>a</w:t>
      </w:r>
      <w:r w:rsidR="004C319B" w:rsidRPr="00EB6700">
        <w:t xml:space="preserve"> comprehensive professional development program for untrained teachers in the non-government school system</w:t>
      </w:r>
      <w:r w:rsidR="004B76DA" w:rsidRPr="00EB6700">
        <w:t>, which</w:t>
      </w:r>
      <w:r w:rsidR="004C319B" w:rsidRPr="00EB6700">
        <w:t xml:space="preserve"> has seen 48 receive formal teaching qualifications</w:t>
      </w:r>
      <w:r w:rsidR="004B76DA" w:rsidRPr="00EB6700">
        <w:t>, out of 50 teachers planned to be trained in 2012</w:t>
      </w:r>
    </w:p>
    <w:p w:rsidR="004C319B" w:rsidRPr="00EB6700" w:rsidRDefault="00FE02DD" w:rsidP="002D1680">
      <w:pPr>
        <w:pStyle w:val="ListBullet"/>
      </w:pPr>
      <w:r w:rsidRPr="00EB6700">
        <w:t>m</w:t>
      </w:r>
      <w:r w:rsidR="004C319B" w:rsidRPr="00EB6700">
        <w:t>aint</w:t>
      </w:r>
      <w:r w:rsidR="005A3D99" w:rsidRPr="00EB6700">
        <w:t>aining</w:t>
      </w:r>
      <w:r w:rsidR="004C319B" w:rsidRPr="00EB6700">
        <w:t xml:space="preserve"> and rehabilitati</w:t>
      </w:r>
      <w:r w:rsidR="005A3D99" w:rsidRPr="00EB6700">
        <w:t>ng</w:t>
      </w:r>
      <w:r w:rsidR="004C319B" w:rsidRPr="00EB6700">
        <w:t xml:space="preserve"> 55 schools to improve classroom facilities throughout the Tonga Island groups</w:t>
      </w:r>
      <w:r w:rsidR="005A3D99" w:rsidRPr="00EB6700">
        <w:t xml:space="preserve">, </w:t>
      </w:r>
      <w:r w:rsidR="009C33CE" w:rsidRPr="00EB6700">
        <w:t>represent</w:t>
      </w:r>
      <w:r w:rsidR="005A3D99" w:rsidRPr="00EB6700">
        <w:t>ing</w:t>
      </w:r>
      <w:r w:rsidR="009C33CE" w:rsidRPr="00EB6700">
        <w:t xml:space="preserve"> 4</w:t>
      </w:r>
      <w:r w:rsidR="008365BE" w:rsidRPr="00EB6700">
        <w:t>8</w:t>
      </w:r>
      <w:r w:rsidR="00B617F2" w:rsidRPr="00EB6700">
        <w:t xml:space="preserve"> per cent</w:t>
      </w:r>
      <w:r w:rsidR="008365BE" w:rsidRPr="00EB6700">
        <w:t xml:space="preserve"> of </w:t>
      </w:r>
      <w:r w:rsidR="009C33CE" w:rsidRPr="00EB6700">
        <w:t xml:space="preserve">total planned </w:t>
      </w:r>
      <w:r w:rsidR="008365BE" w:rsidRPr="00EB6700">
        <w:t xml:space="preserve">renovation and maintenance </w:t>
      </w:r>
      <w:r w:rsidR="009C33CE" w:rsidRPr="00EB6700">
        <w:t>activities for</w:t>
      </w:r>
      <w:r w:rsidR="008365BE" w:rsidRPr="00EB6700">
        <w:t xml:space="preserve"> schools</w:t>
      </w:r>
      <w:r w:rsidRPr="00EB6700">
        <w:t>.</w:t>
      </w:r>
    </w:p>
    <w:p w:rsidR="009455CE" w:rsidRDefault="009455CE" w:rsidP="002D1680">
      <w:pPr>
        <w:pStyle w:val="BodyText"/>
      </w:pPr>
      <w:r w:rsidRPr="005A3C4A">
        <w:t>Australia’s scholarship</w:t>
      </w:r>
      <w:r w:rsidR="00D468A5" w:rsidRPr="005A3C4A">
        <w:t>s</w:t>
      </w:r>
      <w:r w:rsidRPr="005A3C4A">
        <w:t xml:space="preserve"> programs </w:t>
      </w:r>
      <w:r w:rsidR="00B9313A" w:rsidRPr="005A3C4A">
        <w:t xml:space="preserve">help develop Tonga’s leadership and management capacity </w:t>
      </w:r>
      <w:r w:rsidRPr="005A3C4A">
        <w:t>across all priority areas under the partnership</w:t>
      </w:r>
      <w:r w:rsidR="00B617F2">
        <w:t xml:space="preserve">. </w:t>
      </w:r>
      <w:r w:rsidRPr="005A3C4A">
        <w:t>In 2012, Australia awarded 12 (58 per cent female) Australia Awards Scholarships</w:t>
      </w:r>
      <w:r w:rsidR="005A3D99">
        <w:t>. N</w:t>
      </w:r>
      <w:r w:rsidR="00FE02DD">
        <w:t>ine</w:t>
      </w:r>
      <w:r w:rsidRPr="005A3C4A">
        <w:t xml:space="preserve"> (56 per cent female) out of </w:t>
      </w:r>
      <w:r w:rsidRPr="005A3C4A">
        <w:rPr>
          <w:iCs/>
        </w:rPr>
        <w:t xml:space="preserve">26 </w:t>
      </w:r>
      <w:r w:rsidR="008365BE" w:rsidRPr="005A3C4A">
        <w:rPr>
          <w:iCs/>
        </w:rPr>
        <w:t>ongoing students in 2012</w:t>
      </w:r>
      <w:r w:rsidR="008365BE" w:rsidRPr="005A3C4A">
        <w:rPr>
          <w:i/>
          <w:iCs/>
        </w:rPr>
        <w:t xml:space="preserve"> </w:t>
      </w:r>
      <w:r w:rsidRPr="005A3C4A">
        <w:t>successfully completed their studies and returned to Tonga</w:t>
      </w:r>
      <w:r w:rsidR="00B617F2">
        <w:t>.</w:t>
      </w:r>
      <w:r w:rsidR="005A3D99">
        <w:t xml:space="preserve"> Also i</w:t>
      </w:r>
      <w:r w:rsidRPr="005A3C4A">
        <w:t>n 2012, Australia awarded 18</w:t>
      </w:r>
      <w:r w:rsidR="004B76DA">
        <w:t> </w:t>
      </w:r>
      <w:r w:rsidRPr="005A3C4A">
        <w:t>(56</w:t>
      </w:r>
      <w:r w:rsidR="004B76DA">
        <w:t> </w:t>
      </w:r>
      <w:r w:rsidRPr="005A3C4A">
        <w:t xml:space="preserve">per cent female) Australia Awards Pacific Scholarships and </w:t>
      </w:r>
      <w:r w:rsidR="00FE02DD">
        <w:t>nine</w:t>
      </w:r>
      <w:r w:rsidRPr="005A3C4A">
        <w:t xml:space="preserve"> (78 per cent female) out of</w:t>
      </w:r>
      <w:r w:rsidRPr="005A3D99">
        <w:t xml:space="preserve"> </w:t>
      </w:r>
      <w:r w:rsidRPr="00EB076D">
        <w:rPr>
          <w:iCs/>
        </w:rPr>
        <w:t>82</w:t>
      </w:r>
      <w:r w:rsidRPr="005A3C4A">
        <w:rPr>
          <w:i/>
          <w:iCs/>
        </w:rPr>
        <w:t xml:space="preserve"> </w:t>
      </w:r>
      <w:r w:rsidR="008365BE" w:rsidRPr="005A3C4A">
        <w:rPr>
          <w:iCs/>
        </w:rPr>
        <w:t xml:space="preserve">ongoing students </w:t>
      </w:r>
      <w:r w:rsidRPr="005A3C4A">
        <w:t>successfully completed their studies and returned to Tonga.</w:t>
      </w:r>
    </w:p>
    <w:p w:rsidR="001A57E2" w:rsidRPr="00906691" w:rsidRDefault="001A57E2" w:rsidP="002D1680">
      <w:pPr>
        <w:pStyle w:val="BodyText"/>
      </w:pPr>
      <w:r w:rsidRPr="00906691">
        <w:t xml:space="preserve">Since the establishment </w:t>
      </w:r>
      <w:r w:rsidR="00D468A5" w:rsidRPr="00906691">
        <w:t>in June 2007</w:t>
      </w:r>
      <w:r w:rsidR="00D468A5">
        <w:t xml:space="preserve"> </w:t>
      </w:r>
      <w:r w:rsidRPr="00906691">
        <w:t>of the Australia</w:t>
      </w:r>
      <w:r w:rsidR="004B76DA">
        <w:t>-</w:t>
      </w:r>
      <w:r w:rsidRPr="00906691">
        <w:t>Pacific Technical College</w:t>
      </w:r>
      <w:r w:rsidR="000E6C54">
        <w:t xml:space="preserve"> (APTC)</w:t>
      </w:r>
      <w:r w:rsidR="008365BE">
        <w:t xml:space="preserve">, a regionally funded </w:t>
      </w:r>
      <w:r w:rsidR="00DE6F03">
        <w:t>college</w:t>
      </w:r>
      <w:r w:rsidR="008365BE">
        <w:t xml:space="preserve"> </w:t>
      </w:r>
      <w:r w:rsidR="00DE6F03">
        <w:t>with</w:t>
      </w:r>
      <w:r w:rsidR="008365BE">
        <w:t xml:space="preserve"> campuses in all Pacific </w:t>
      </w:r>
      <w:r w:rsidR="005A3D99">
        <w:t>i</w:t>
      </w:r>
      <w:r w:rsidR="008365BE">
        <w:t>sland countries except Tonga and Kiribati</w:t>
      </w:r>
      <w:r w:rsidRPr="00906691">
        <w:t xml:space="preserve">, </w:t>
      </w:r>
      <w:r>
        <w:t>222</w:t>
      </w:r>
      <w:r w:rsidRPr="00906691">
        <w:t xml:space="preserve"> Tongans have graduated—</w:t>
      </w:r>
      <w:r>
        <w:t xml:space="preserve">191 (65 per cent female) </w:t>
      </w:r>
      <w:r w:rsidRPr="00906691">
        <w:t xml:space="preserve">from </w:t>
      </w:r>
      <w:r>
        <w:t xml:space="preserve">the </w:t>
      </w:r>
      <w:r w:rsidRPr="00906691">
        <w:t xml:space="preserve">School of Hospitality and Community Services and </w:t>
      </w:r>
      <w:r>
        <w:t>31 (19 per cent female)</w:t>
      </w:r>
      <w:r w:rsidRPr="00906691">
        <w:t xml:space="preserve"> from </w:t>
      </w:r>
      <w:r>
        <w:t xml:space="preserve">the </w:t>
      </w:r>
      <w:r w:rsidRPr="00906691">
        <w:t>School of Trades and Technology.</w:t>
      </w:r>
      <w:r w:rsidRPr="00906691">
        <w:rPr>
          <w:vertAlign w:val="superscript"/>
        </w:rPr>
        <w:footnoteReference w:id="37"/>
      </w:r>
      <w:r w:rsidRPr="00906691">
        <w:t xml:space="preserve"> </w:t>
      </w:r>
      <w:r w:rsidR="00952AD2">
        <w:t>Placements are linked to an A</w:t>
      </w:r>
      <w:r w:rsidR="000E6C54">
        <w:t>PTC</w:t>
      </w:r>
      <w:r w:rsidR="00952AD2">
        <w:t xml:space="preserve"> labour market study; however, training</w:t>
      </w:r>
      <w:r w:rsidR="00DE6F03">
        <w:t xml:space="preserve"> opportunities for Tongans</w:t>
      </w:r>
      <w:r w:rsidR="00952AD2">
        <w:t xml:space="preserve"> will be provided in priority areas identified in</w:t>
      </w:r>
      <w:r w:rsidR="00DE6F03">
        <w:t xml:space="preserve"> the more recent labour market analysis undertaken as part of the </w:t>
      </w:r>
      <w:r w:rsidR="00DE6F03" w:rsidRPr="00A655AE">
        <w:t>TSP1</w:t>
      </w:r>
      <w:r w:rsidR="00D94AC0">
        <w:t xml:space="preserve">. </w:t>
      </w:r>
    </w:p>
    <w:p w:rsidR="00E35CA0" w:rsidRPr="000D64D1" w:rsidRDefault="00E35CA0" w:rsidP="002D1680">
      <w:pPr>
        <w:pStyle w:val="Heading2"/>
      </w:pPr>
      <w:r>
        <w:lastRenderedPageBreak/>
        <w:t>Priority Outcome 4: Develop infrastructure to improve the everyday lives of the people</w:t>
      </w:r>
    </w:p>
    <w:p w:rsidR="00261A43" w:rsidRDefault="00261A43" w:rsidP="00261A43">
      <w:pPr>
        <w:pStyle w:val="Heading3"/>
      </w:pPr>
      <w:r>
        <w:t>Rating and assessment</w:t>
      </w:r>
    </w:p>
    <w:p w:rsidR="00261A43" w:rsidRDefault="00261A43" w:rsidP="00261A43">
      <w:pPr>
        <w:pStyle w:val="BodyText"/>
        <w:rPr>
          <w:color w:val="FF9900"/>
          <w:sz w:val="28"/>
          <w:szCs w:val="28"/>
        </w:rPr>
      </w:pPr>
    </w:p>
    <w:p w:rsidR="00261A43" w:rsidRPr="002C5E0C" w:rsidRDefault="00261A43" w:rsidP="00261A43">
      <w:pPr>
        <w:pStyle w:val="BodyText"/>
      </w:pPr>
      <w:r w:rsidRPr="004343C4">
        <w:rPr>
          <w:color w:val="FF9900"/>
          <w:sz w:val="28"/>
          <w:szCs w:val="28"/>
        </w:rPr>
        <w:sym w:font="Webdings" w:char="F067"/>
      </w:r>
      <w:r>
        <w:rPr>
          <w:rFonts w:eastAsia="Arial Unicode MS"/>
        </w:rPr>
        <w:t> </w:t>
      </w:r>
      <w:r w:rsidRPr="00217DE1">
        <w:t>The objective will be partially achieved within the timeframe of the partnership.</w:t>
      </w:r>
    </w:p>
    <w:p w:rsidR="00261A43" w:rsidRDefault="00261A43" w:rsidP="00261A43">
      <w:pPr>
        <w:pStyle w:val="Caption"/>
      </w:pPr>
      <w:r>
        <w:t>Table 8: Partnership for Development—development of infrastructure to improve the everyday lives of the people</w:t>
      </w:r>
    </w:p>
    <w:tbl>
      <w:tblPr>
        <w:tblStyle w:val="APPR"/>
        <w:tblW w:w="0" w:type="auto"/>
        <w:tblLayout w:type="fixed"/>
        <w:tblLook w:val="0000" w:firstRow="0" w:lastRow="0" w:firstColumn="0" w:lastColumn="0" w:noHBand="0" w:noVBand="0"/>
      </w:tblPr>
      <w:tblGrid>
        <w:gridCol w:w="6940"/>
        <w:gridCol w:w="1082"/>
      </w:tblGrid>
      <w:tr w:rsidR="00261A43" w:rsidTr="00261A43">
        <w:trPr>
          <w:cnfStyle w:val="000000010000" w:firstRow="0" w:lastRow="0" w:firstColumn="0" w:lastColumn="0" w:oddVBand="0" w:evenVBand="0" w:oddHBand="0" w:evenHBand="1" w:firstRowFirstColumn="0" w:firstRowLastColumn="0" w:lastRowFirstColumn="0" w:lastRowLastColumn="0"/>
        </w:trPr>
        <w:tc>
          <w:tcPr>
            <w:tcW w:w="7966" w:type="dxa"/>
            <w:gridSpan w:val="2"/>
          </w:tcPr>
          <w:p w:rsidR="00261A43" w:rsidRDefault="00261A43" w:rsidP="00261A43">
            <w:pPr>
              <w:pStyle w:val="TableTextColumnHeading"/>
            </w:pPr>
            <w:r>
              <w:t xml:space="preserve">Aim: </w:t>
            </w:r>
            <w:r w:rsidRPr="001D45C8">
              <w:rPr>
                <w:rFonts w:ascii="Franklin Gothic Book" w:hAnsi="Franklin Gothic Book"/>
                <w:lang w:val="en-GB"/>
              </w:rPr>
              <w:t xml:space="preserve">The </w:t>
            </w:r>
            <w:r>
              <w:rPr>
                <w:rFonts w:ascii="Franklin Gothic Book" w:hAnsi="Franklin Gothic Book"/>
                <w:lang w:val="en-GB"/>
              </w:rPr>
              <w:t>p</w:t>
            </w:r>
            <w:r w:rsidRPr="001D45C8">
              <w:rPr>
                <w:rFonts w:ascii="Franklin Gothic Book" w:hAnsi="Franklin Gothic Book"/>
                <w:lang w:val="en-GB"/>
              </w:rPr>
              <w:t xml:space="preserve">artnership will </w:t>
            </w:r>
            <w:r>
              <w:rPr>
                <w:rFonts w:ascii="Franklin Gothic Book" w:hAnsi="Franklin Gothic Book"/>
                <w:lang w:val="en-GB"/>
              </w:rPr>
              <w:t xml:space="preserve">plan and put in place transport and other infrastructure to reduce business costs and facilitate access to market and services. </w:t>
            </w:r>
          </w:p>
        </w:tc>
      </w:tr>
      <w:tr w:rsidR="00261A43" w:rsidTr="00261A43">
        <w:trPr>
          <w:cnfStyle w:val="000000010000" w:firstRow="0" w:lastRow="0" w:firstColumn="0" w:lastColumn="0" w:oddVBand="0" w:evenVBand="0" w:oddHBand="0" w:evenHBand="1" w:firstRowFirstColumn="0" w:firstRowLastColumn="0" w:lastRowFirstColumn="0" w:lastRowLastColumn="0"/>
        </w:trPr>
        <w:tc>
          <w:tcPr>
            <w:tcW w:w="6898" w:type="dxa"/>
          </w:tcPr>
          <w:p w:rsidR="00261A43" w:rsidRDefault="00261A43" w:rsidP="00261A43">
            <w:pPr>
              <w:pStyle w:val="TableTextColumnHeading"/>
            </w:pPr>
            <w:r w:rsidRPr="00A31F03">
              <w:t>Partnership targets for 2015</w:t>
            </w:r>
          </w:p>
        </w:tc>
        <w:tc>
          <w:tcPr>
            <w:tcW w:w="1040" w:type="dxa"/>
          </w:tcPr>
          <w:p w:rsidR="00261A43" w:rsidRDefault="00261A43" w:rsidP="00261A43">
            <w:pPr>
              <w:pStyle w:val="TableTextColumnHeading"/>
            </w:pPr>
            <w:r w:rsidRPr="00A31F03">
              <w:t>Progress</w:t>
            </w:r>
          </w:p>
        </w:tc>
      </w:tr>
      <w:tr w:rsidR="00261A43" w:rsidTr="00261A43">
        <w:trPr>
          <w:cnfStyle w:val="000000010000" w:firstRow="0" w:lastRow="0" w:firstColumn="0" w:lastColumn="0" w:oddVBand="0" w:evenVBand="0" w:oddHBand="0" w:evenHBand="1" w:firstRowFirstColumn="0" w:firstRowLastColumn="0" w:lastRowFirstColumn="0" w:lastRowLastColumn="0"/>
        </w:trPr>
        <w:tc>
          <w:tcPr>
            <w:tcW w:w="6898" w:type="dxa"/>
          </w:tcPr>
          <w:p w:rsidR="00261A43" w:rsidRDefault="00261A43" w:rsidP="00261A43">
            <w:pPr>
              <w:pStyle w:val="TableTextEntries"/>
            </w:pPr>
            <w:r>
              <w:t>Nuku’alofa residents have improved access to water and waste management services.</w:t>
            </w:r>
          </w:p>
          <w:p w:rsidR="00261A43" w:rsidRPr="003663EC" w:rsidRDefault="00261A43" w:rsidP="00261A43">
            <w:pPr>
              <w:pStyle w:val="TableTextEntries"/>
              <w:ind w:left="720"/>
              <w:rPr>
                <w:i/>
              </w:rPr>
            </w:pPr>
            <w:r w:rsidRPr="003663EC">
              <w:rPr>
                <w:i/>
              </w:rPr>
              <w:t>Continuous water supply to the entire network to increase from less than 50 per cent in 2011 to 99.9 per cent by 2017; and access to solid waste management services to increase from 50 per cent in 2011 to 80 per cent in 2017</w:t>
            </w:r>
          </w:p>
        </w:tc>
        <w:tc>
          <w:tcPr>
            <w:tcW w:w="1040" w:type="dxa"/>
            <w:shd w:val="clear" w:color="auto" w:fill="F79646" w:themeFill="accent6"/>
          </w:tcPr>
          <w:p w:rsidR="00261A43" w:rsidRPr="00E032E5" w:rsidRDefault="00261A43" w:rsidP="00261A43">
            <w:pPr>
              <w:pStyle w:val="TableTextEntries"/>
            </w:pPr>
            <w:r w:rsidRPr="00E032E5">
              <w:t>Amber</w:t>
            </w:r>
          </w:p>
        </w:tc>
      </w:tr>
      <w:tr w:rsidR="00261A43" w:rsidTr="00261A43">
        <w:trPr>
          <w:cnfStyle w:val="000000010000" w:firstRow="0" w:lastRow="0" w:firstColumn="0" w:lastColumn="0" w:oddVBand="0" w:evenVBand="0" w:oddHBand="0" w:evenHBand="1" w:firstRowFirstColumn="0" w:firstRowLastColumn="0" w:lastRowFirstColumn="0" w:lastRowLastColumn="0"/>
        </w:trPr>
        <w:tc>
          <w:tcPr>
            <w:tcW w:w="6898" w:type="dxa"/>
          </w:tcPr>
          <w:p w:rsidR="00261A43" w:rsidRDefault="00261A43" w:rsidP="00261A43">
            <w:pPr>
              <w:pStyle w:val="TableTextEntries"/>
            </w:pPr>
            <w:r>
              <w:t xml:space="preserve">Management and condition of Tonga’s road network improved with increased private sector participation </w:t>
            </w:r>
            <w:r w:rsidRPr="00BA0608">
              <w:t xml:space="preserve"> </w:t>
            </w:r>
          </w:p>
          <w:p w:rsidR="00261A43" w:rsidRDefault="00261A43" w:rsidP="00261A43">
            <w:pPr>
              <w:pStyle w:val="TableTextEntries"/>
              <w:ind w:left="720"/>
            </w:pPr>
            <w:r w:rsidRPr="003663EC">
              <w:rPr>
                <w:i/>
              </w:rPr>
              <w:t>130 km of roads maintenance under regularised term contracts and 48 000 person days of employment generated by 2013</w:t>
            </w:r>
          </w:p>
        </w:tc>
        <w:tc>
          <w:tcPr>
            <w:tcW w:w="1040" w:type="dxa"/>
            <w:shd w:val="clear" w:color="auto" w:fill="92D050"/>
          </w:tcPr>
          <w:p w:rsidR="00261A43" w:rsidRPr="00E032E5" w:rsidRDefault="00261A43" w:rsidP="00261A43">
            <w:pPr>
              <w:pStyle w:val="TableTextEntries"/>
            </w:pPr>
            <w:r w:rsidRPr="00E032E5">
              <w:t>Green</w:t>
            </w:r>
          </w:p>
        </w:tc>
      </w:tr>
      <w:tr w:rsidR="00261A43" w:rsidTr="00261A43">
        <w:trPr>
          <w:cnfStyle w:val="000000010000" w:firstRow="0" w:lastRow="0" w:firstColumn="0" w:lastColumn="0" w:oddVBand="0" w:evenVBand="0" w:oddHBand="0" w:evenHBand="1" w:firstRowFirstColumn="0" w:firstRowLastColumn="0" w:lastRowFirstColumn="0" w:lastRowLastColumn="0"/>
        </w:trPr>
        <w:tc>
          <w:tcPr>
            <w:tcW w:w="6898" w:type="dxa"/>
          </w:tcPr>
          <w:p w:rsidR="00261A43" w:rsidRDefault="00261A43" w:rsidP="00261A43">
            <w:pPr>
              <w:pStyle w:val="TableTextEntries"/>
            </w:pPr>
            <w:r>
              <w:t>Strengthened institutional and regulatory environment for the Tonga Energy Roadmap</w:t>
            </w:r>
          </w:p>
          <w:p w:rsidR="00261A43" w:rsidRDefault="00261A43" w:rsidP="00261A43">
            <w:pPr>
              <w:pStyle w:val="TableTextEntries"/>
              <w:ind w:left="720"/>
            </w:pPr>
            <w:r w:rsidRPr="003663EC">
              <w:rPr>
                <w:i/>
              </w:rPr>
              <w:t>Tonga Energy Road Map (TERM): institutional arrangements established and providing strong leadership, coordination and oversight of energy sector activities; and the policy and regulatory framework under TERM is in place</w:t>
            </w:r>
          </w:p>
        </w:tc>
        <w:tc>
          <w:tcPr>
            <w:tcW w:w="1040" w:type="dxa"/>
            <w:shd w:val="clear" w:color="auto" w:fill="F79646" w:themeFill="accent6"/>
          </w:tcPr>
          <w:p w:rsidR="00261A43" w:rsidRPr="00E032E5" w:rsidRDefault="00261A43" w:rsidP="00261A43">
            <w:pPr>
              <w:pStyle w:val="TableTextEntries"/>
            </w:pPr>
            <w:r w:rsidRPr="00E032E5">
              <w:t>Amber</w:t>
            </w:r>
          </w:p>
        </w:tc>
      </w:tr>
      <w:tr w:rsidR="00261A43" w:rsidTr="00261A43">
        <w:trPr>
          <w:cnfStyle w:val="000000010000" w:firstRow="0" w:lastRow="0" w:firstColumn="0" w:lastColumn="0" w:oddVBand="0" w:evenVBand="0" w:oddHBand="0" w:evenHBand="1" w:firstRowFirstColumn="0" w:firstRowLastColumn="0" w:lastRowFirstColumn="0" w:lastRowLastColumn="0"/>
        </w:trPr>
        <w:tc>
          <w:tcPr>
            <w:tcW w:w="6898" w:type="dxa"/>
          </w:tcPr>
          <w:p w:rsidR="00261A43" w:rsidRDefault="00261A43" w:rsidP="00261A43">
            <w:pPr>
              <w:pStyle w:val="TableTextEntries"/>
              <w:ind w:left="720"/>
            </w:pPr>
            <w:r w:rsidRPr="003663EC">
              <w:rPr>
                <w:i/>
              </w:rPr>
              <w:t>Tonga Power Limited better able to accept energy supply from intermittent sources</w:t>
            </w:r>
          </w:p>
        </w:tc>
        <w:tc>
          <w:tcPr>
            <w:tcW w:w="1040" w:type="dxa"/>
            <w:shd w:val="clear" w:color="auto" w:fill="F79646" w:themeFill="accent6"/>
          </w:tcPr>
          <w:p w:rsidR="00261A43" w:rsidRPr="00E032E5" w:rsidRDefault="00261A43" w:rsidP="00261A43">
            <w:pPr>
              <w:pStyle w:val="TableTextEntries"/>
            </w:pPr>
            <w:r w:rsidRPr="00E032E5">
              <w:t>Amber</w:t>
            </w:r>
          </w:p>
        </w:tc>
      </w:tr>
    </w:tbl>
    <w:p w:rsidR="00261A43" w:rsidRPr="00217DE1" w:rsidRDefault="00261A43" w:rsidP="00261A43">
      <w:pPr>
        <w:pStyle w:val="BodyText"/>
      </w:pPr>
    </w:p>
    <w:p w:rsidR="00A655AE" w:rsidRPr="002D1680" w:rsidRDefault="00DF3D80" w:rsidP="002D1680">
      <w:pPr>
        <w:pStyle w:val="BodyText"/>
      </w:pPr>
      <w:r w:rsidRPr="002D1680">
        <w:t>All Australian assistance in the infrastructure sector is implemented through co-financing agreements with multilateral development banks, given their comparative advantage in this area</w:t>
      </w:r>
      <w:r w:rsidR="00317382" w:rsidRPr="002D1680">
        <w:t>, and</w:t>
      </w:r>
      <w:r w:rsidR="00C0071D" w:rsidRPr="002D1680">
        <w:t xml:space="preserve"> are</w:t>
      </w:r>
      <w:r w:rsidR="00317382" w:rsidRPr="002D1680">
        <w:t xml:space="preserve"> implemented through the Pacific Region Infrastructure Facility. </w:t>
      </w:r>
      <w:r w:rsidR="009721D8" w:rsidRPr="002D1680">
        <w:t>At the 2012 Partnership Talks a new schedule outlining annual targets was agreed</w:t>
      </w:r>
      <w:r w:rsidR="00C0071D" w:rsidRPr="002D1680">
        <w:t xml:space="preserve"> to</w:t>
      </w:r>
      <w:r w:rsidR="009721D8" w:rsidRPr="002D1680">
        <w:t xml:space="preserve"> better </w:t>
      </w:r>
      <w:r w:rsidR="00C0071D" w:rsidRPr="002D1680">
        <w:t xml:space="preserve">support </w:t>
      </w:r>
      <w:r w:rsidR="009721D8" w:rsidRPr="002D1680">
        <w:t xml:space="preserve">tracking of progress towards the 2015 infrastructure outcomes expected under the </w:t>
      </w:r>
      <w:r w:rsidR="000A0AC6" w:rsidRPr="002D1680">
        <w:t>p</w:t>
      </w:r>
      <w:r w:rsidR="009721D8" w:rsidRPr="002D1680">
        <w:t>artnership</w:t>
      </w:r>
      <w:r w:rsidR="00B617F2" w:rsidRPr="002D1680">
        <w:t xml:space="preserve">. </w:t>
      </w:r>
    </w:p>
    <w:p w:rsidR="00DF3D80" w:rsidRPr="002D1680" w:rsidRDefault="00DF3D80" w:rsidP="002D1680">
      <w:pPr>
        <w:pStyle w:val="BodyText"/>
      </w:pPr>
      <w:r w:rsidRPr="002D1680">
        <w:t xml:space="preserve">The initiatives </w:t>
      </w:r>
      <w:r w:rsidR="00C0071D" w:rsidRPr="002D1680">
        <w:t xml:space="preserve">progressed in 2012–13 </w:t>
      </w:r>
      <w:r w:rsidRPr="002D1680">
        <w:t>are</w:t>
      </w:r>
      <w:r w:rsidR="004B76DA" w:rsidRPr="002D1680">
        <w:t xml:space="preserve"> listed here.</w:t>
      </w:r>
    </w:p>
    <w:p w:rsidR="005176FC" w:rsidRPr="002D1680" w:rsidRDefault="00DF3D80" w:rsidP="007D1A22">
      <w:pPr>
        <w:pStyle w:val="Heading3"/>
      </w:pPr>
      <w:r w:rsidRPr="002D1680">
        <w:t>World Bank</w:t>
      </w:r>
      <w:r w:rsidR="00A655AE" w:rsidRPr="002D1680">
        <w:t>-</w:t>
      </w:r>
      <w:r w:rsidRPr="002D1680">
        <w:t>led Transport Sector Consolidation Project</w:t>
      </w:r>
    </w:p>
    <w:p w:rsidR="005176FC" w:rsidRPr="002D1680" w:rsidRDefault="00A655AE" w:rsidP="002D1680">
      <w:pPr>
        <w:pStyle w:val="BodyText"/>
      </w:pPr>
      <w:r w:rsidRPr="002D1680">
        <w:t>The Transport Sector Consolidation Project</w:t>
      </w:r>
      <w:r w:rsidR="005176FC" w:rsidRPr="002D1680">
        <w:t xml:space="preserve"> </w:t>
      </w:r>
      <w:r w:rsidR="00DF3D80" w:rsidRPr="002D1680">
        <w:t>strengthen</w:t>
      </w:r>
      <w:r w:rsidR="00C0071D" w:rsidRPr="002D1680">
        <w:t>s</w:t>
      </w:r>
      <w:r w:rsidR="00DF3D80" w:rsidRPr="002D1680">
        <w:t xml:space="preserve"> policy, planning and institutional arrang</w:t>
      </w:r>
      <w:r w:rsidR="00EB7CA1" w:rsidRPr="002D1680">
        <w:t>ements for the transport sector, improve</w:t>
      </w:r>
      <w:r w:rsidR="00C0071D" w:rsidRPr="002D1680">
        <w:t>s</w:t>
      </w:r>
      <w:r w:rsidR="00EB7CA1" w:rsidRPr="002D1680">
        <w:t xml:space="preserve"> safety and security for air and sea transport, and build</w:t>
      </w:r>
      <w:r w:rsidR="00C0071D" w:rsidRPr="002D1680">
        <w:t>s</w:t>
      </w:r>
      <w:r w:rsidR="00EB7CA1" w:rsidRPr="002D1680">
        <w:t xml:space="preserve"> domestic capacity to undertake road maintenance activities</w:t>
      </w:r>
      <w:r w:rsidR="00B617F2" w:rsidRPr="002D1680">
        <w:t xml:space="preserve">. </w:t>
      </w:r>
    </w:p>
    <w:p w:rsidR="008C04CF" w:rsidRPr="002D1680" w:rsidRDefault="00C0071D" w:rsidP="002D1680">
      <w:pPr>
        <w:pStyle w:val="BodyText"/>
      </w:pPr>
      <w:r w:rsidRPr="002D1680">
        <w:t>I</w:t>
      </w:r>
      <w:r w:rsidR="008C04CF" w:rsidRPr="002D1680">
        <w:t>ntermediate outputs for 2012</w:t>
      </w:r>
      <w:r w:rsidR="00FE02DD" w:rsidRPr="002D1680">
        <w:t>–</w:t>
      </w:r>
      <w:r w:rsidR="008C04CF" w:rsidRPr="002D1680">
        <w:t xml:space="preserve">13 identified under </w:t>
      </w:r>
      <w:r w:rsidRPr="002D1680">
        <w:t>the i</w:t>
      </w:r>
      <w:r w:rsidR="008C04CF" w:rsidRPr="002D1680">
        <w:t xml:space="preserve">nfrastructure schedule include: </w:t>
      </w:r>
    </w:p>
    <w:p w:rsidR="008C04CF" w:rsidRDefault="009721D8" w:rsidP="002D1680">
      <w:pPr>
        <w:pStyle w:val="ListBullet"/>
      </w:pPr>
      <w:r>
        <w:t>65</w:t>
      </w:r>
      <w:r w:rsidR="00C0071D">
        <w:t xml:space="preserve"> </w:t>
      </w:r>
      <w:r>
        <w:t>km of roads maintained under term maintenance contracts</w:t>
      </w:r>
    </w:p>
    <w:p w:rsidR="009721D8" w:rsidRDefault="009721D8" w:rsidP="002D1680">
      <w:pPr>
        <w:pStyle w:val="ListBullet"/>
      </w:pPr>
      <w:r>
        <w:t>24</w:t>
      </w:r>
      <w:r w:rsidR="00FE02DD">
        <w:t xml:space="preserve"> </w:t>
      </w:r>
      <w:r>
        <w:t>000 person days of employment generated through outsourced road maintenance</w:t>
      </w:r>
    </w:p>
    <w:p w:rsidR="009721D8" w:rsidRDefault="009721D8" w:rsidP="002D1680">
      <w:pPr>
        <w:pStyle w:val="ListBullet"/>
      </w:pPr>
      <w:r>
        <w:t>M</w:t>
      </w:r>
      <w:r w:rsidR="00DE6F03">
        <w:t>inistry of Infrastructure</w:t>
      </w:r>
      <w:r>
        <w:t xml:space="preserve"> functional restructure assessed and change management plan reviewed and considered by </w:t>
      </w:r>
      <w:r w:rsidR="00E576E6">
        <w:t>g</w:t>
      </w:r>
      <w:r>
        <w:t>overnment</w:t>
      </w:r>
      <w:r w:rsidR="006A0A4C">
        <w:t>.</w:t>
      </w:r>
    </w:p>
    <w:p w:rsidR="00317382" w:rsidRPr="002D1680" w:rsidRDefault="005176FC" w:rsidP="002D1680">
      <w:pPr>
        <w:pStyle w:val="BodyText"/>
        <w:rPr>
          <w:rFonts w:eastAsiaTheme="minorHAnsi"/>
        </w:rPr>
      </w:pPr>
      <w:r w:rsidRPr="002D1680">
        <w:lastRenderedPageBreak/>
        <w:t>Progress in the road sector has improved dramaticall</w:t>
      </w:r>
      <w:r w:rsidR="00317382" w:rsidRPr="002D1680">
        <w:t xml:space="preserve">y. </w:t>
      </w:r>
      <w:r w:rsidR="00B9313A" w:rsidRPr="002D1680">
        <w:t xml:space="preserve">A total of </w:t>
      </w:r>
      <w:r w:rsidR="00A355B4" w:rsidRPr="002D1680">
        <w:t>171</w:t>
      </w:r>
      <w:r w:rsidR="00A655AE" w:rsidRPr="002D1680">
        <w:t xml:space="preserve"> </w:t>
      </w:r>
      <w:r w:rsidR="00A355B4" w:rsidRPr="002D1680">
        <w:t>k</w:t>
      </w:r>
      <w:r w:rsidR="006A0A4C" w:rsidRPr="002D1680">
        <w:t>ilometres</w:t>
      </w:r>
      <w:r w:rsidR="00A355B4" w:rsidRPr="002D1680">
        <w:t xml:space="preserve"> </w:t>
      </w:r>
      <w:r w:rsidR="00317382" w:rsidRPr="002D1680">
        <w:t xml:space="preserve">of road </w:t>
      </w:r>
      <w:r w:rsidR="005556FC" w:rsidRPr="002D1680">
        <w:t xml:space="preserve">was </w:t>
      </w:r>
      <w:r w:rsidR="00317382" w:rsidRPr="002D1680">
        <w:t>rehabilitated or maintained by eight domestic contractors</w:t>
      </w:r>
      <w:r w:rsidR="005556FC" w:rsidRPr="002D1680">
        <w:t xml:space="preserve"> between January 2012 and June 2013</w:t>
      </w:r>
      <w:r w:rsidR="0015137D" w:rsidRPr="002D1680">
        <w:t>, generating</w:t>
      </w:r>
      <w:r w:rsidR="000D7E2C" w:rsidRPr="002D1680">
        <w:t xml:space="preserve"> approximately 19</w:t>
      </w:r>
      <w:r w:rsidR="00FE02DD" w:rsidRPr="002D1680">
        <w:t xml:space="preserve"> </w:t>
      </w:r>
      <w:r w:rsidR="000D7E2C" w:rsidRPr="002D1680">
        <w:t>360 person days</w:t>
      </w:r>
      <w:r w:rsidR="00B9313A" w:rsidRPr="002D1680">
        <w:t xml:space="preserve"> of employment</w:t>
      </w:r>
      <w:r w:rsidR="00B617F2" w:rsidRPr="002D1680">
        <w:t xml:space="preserve">. </w:t>
      </w:r>
      <w:r w:rsidR="005D5302" w:rsidRPr="002D1680">
        <w:t>This is significantly more road maintenance activit</w:t>
      </w:r>
      <w:r w:rsidR="006A0A4C" w:rsidRPr="002D1680">
        <w:t>y than specified in</w:t>
      </w:r>
      <w:r w:rsidR="005D5302" w:rsidRPr="002D1680">
        <w:t xml:space="preserve"> partnership targets, and a</w:t>
      </w:r>
      <w:r w:rsidR="006A0A4C" w:rsidRPr="002D1680">
        <w:t xml:space="preserve"> great deal of this work</w:t>
      </w:r>
      <w:r w:rsidR="005D5302" w:rsidRPr="002D1680">
        <w:t xml:space="preserve"> was completed </w:t>
      </w:r>
      <w:r w:rsidR="006A0A4C" w:rsidRPr="002D1680">
        <w:t xml:space="preserve">from </w:t>
      </w:r>
      <w:r w:rsidR="005D5302" w:rsidRPr="002D1680">
        <w:t>1 January</w:t>
      </w:r>
      <w:r w:rsidR="003663EC" w:rsidRPr="002D1680">
        <w:t xml:space="preserve"> 2013</w:t>
      </w:r>
      <w:r w:rsidR="00DE6F03" w:rsidRPr="002D1680">
        <w:t xml:space="preserve"> to </w:t>
      </w:r>
      <w:r w:rsidR="005D5302" w:rsidRPr="002D1680">
        <w:t xml:space="preserve">30 June </w:t>
      </w:r>
      <w:r w:rsidR="0029728A" w:rsidRPr="002D1680">
        <w:t>2013</w:t>
      </w:r>
      <w:r w:rsidR="00FE02DD" w:rsidRPr="002D1680">
        <w:t>.</w:t>
      </w:r>
      <w:r w:rsidR="00ED4A10" w:rsidRPr="002D1680">
        <w:rPr>
          <w:rStyle w:val="FootnoteReference"/>
          <w:position w:val="0"/>
          <w:sz w:val="22"/>
          <w:szCs w:val="24"/>
          <w:vertAlign w:val="superscript"/>
        </w:rPr>
        <w:footnoteReference w:id="38"/>
      </w:r>
      <w:r w:rsidR="00B617F2" w:rsidRPr="002D1680">
        <w:rPr>
          <w:vertAlign w:val="superscript"/>
        </w:rPr>
        <w:t xml:space="preserve"> </w:t>
      </w:r>
      <w:r w:rsidR="005556FC" w:rsidRPr="002D1680">
        <w:t>S</w:t>
      </w:r>
      <w:r w:rsidR="00317382" w:rsidRPr="002D1680">
        <w:t>trong interest</w:t>
      </w:r>
      <w:r w:rsidR="00050CC9" w:rsidRPr="002D1680">
        <w:rPr>
          <w:rFonts w:eastAsiaTheme="minorHAnsi"/>
        </w:rPr>
        <w:t xml:space="preserve"> from domestic contractors to build the</w:t>
      </w:r>
      <w:r w:rsidR="002B2A89" w:rsidRPr="002D1680">
        <w:rPr>
          <w:rFonts w:eastAsiaTheme="minorHAnsi"/>
        </w:rPr>
        <w:t>ir</w:t>
      </w:r>
      <w:r w:rsidR="00050CC9" w:rsidRPr="002D1680">
        <w:rPr>
          <w:rFonts w:eastAsiaTheme="minorHAnsi"/>
        </w:rPr>
        <w:t xml:space="preserve"> capability</w:t>
      </w:r>
      <w:r w:rsidR="005556FC" w:rsidRPr="002D1680">
        <w:rPr>
          <w:rFonts w:eastAsiaTheme="minorHAnsi"/>
        </w:rPr>
        <w:t xml:space="preserve"> </w:t>
      </w:r>
      <w:r w:rsidR="00050CC9" w:rsidRPr="002D1680">
        <w:rPr>
          <w:rFonts w:eastAsiaTheme="minorHAnsi"/>
        </w:rPr>
        <w:t>to</w:t>
      </w:r>
      <w:r w:rsidR="005556FC" w:rsidRPr="002D1680">
        <w:rPr>
          <w:rFonts w:eastAsiaTheme="minorHAnsi"/>
        </w:rPr>
        <w:t xml:space="preserve"> bid for road maintenance contracts</w:t>
      </w:r>
      <w:r w:rsidR="002B2A89" w:rsidRPr="002D1680">
        <w:rPr>
          <w:rFonts w:eastAsiaTheme="minorHAnsi"/>
        </w:rPr>
        <w:t>, backed by their previous work experience,</w:t>
      </w:r>
      <w:r w:rsidR="005556FC" w:rsidRPr="002D1680">
        <w:rPr>
          <w:rFonts w:eastAsiaTheme="minorHAnsi"/>
        </w:rPr>
        <w:t xml:space="preserve"> will lead to further improvements in the amount of maintenance undertaken</w:t>
      </w:r>
      <w:r w:rsidR="00B617F2" w:rsidRPr="002D1680">
        <w:rPr>
          <w:rFonts w:eastAsiaTheme="minorHAnsi"/>
        </w:rPr>
        <w:t xml:space="preserve">. </w:t>
      </w:r>
      <w:r w:rsidR="008A460F" w:rsidRPr="002D1680">
        <w:rPr>
          <w:rFonts w:eastAsiaTheme="minorHAnsi"/>
        </w:rPr>
        <w:t>Th</w:t>
      </w:r>
      <w:r w:rsidR="00B9313A" w:rsidRPr="002D1680">
        <w:rPr>
          <w:rFonts w:eastAsiaTheme="minorHAnsi"/>
        </w:rPr>
        <w:t>e</w:t>
      </w:r>
      <w:r w:rsidR="008A460F" w:rsidRPr="002D1680">
        <w:rPr>
          <w:rFonts w:eastAsiaTheme="minorHAnsi"/>
        </w:rPr>
        <w:t xml:space="preserve"> program</w:t>
      </w:r>
      <w:r w:rsidR="00B9313A" w:rsidRPr="002D1680">
        <w:rPr>
          <w:rFonts w:eastAsiaTheme="minorHAnsi"/>
        </w:rPr>
        <w:t>’s</w:t>
      </w:r>
      <w:r w:rsidR="008A460F" w:rsidRPr="002D1680">
        <w:rPr>
          <w:rFonts w:eastAsiaTheme="minorHAnsi"/>
        </w:rPr>
        <w:t xml:space="preserve"> approach of building domestic capacity </w:t>
      </w:r>
      <w:r w:rsidR="006A0A4C" w:rsidRPr="002D1680">
        <w:rPr>
          <w:rFonts w:eastAsiaTheme="minorHAnsi"/>
        </w:rPr>
        <w:t>for</w:t>
      </w:r>
      <w:r w:rsidR="008A460F" w:rsidRPr="002D1680">
        <w:rPr>
          <w:rFonts w:eastAsiaTheme="minorHAnsi"/>
        </w:rPr>
        <w:t xml:space="preserve"> road maintenance activities</w:t>
      </w:r>
      <w:r w:rsidR="006A0A4C" w:rsidRPr="002D1680">
        <w:rPr>
          <w:rFonts w:eastAsiaTheme="minorHAnsi"/>
        </w:rPr>
        <w:t xml:space="preserve">, </w:t>
      </w:r>
      <w:r w:rsidR="005D5302" w:rsidRPr="002D1680">
        <w:rPr>
          <w:rFonts w:eastAsiaTheme="minorHAnsi"/>
        </w:rPr>
        <w:t xml:space="preserve">which </w:t>
      </w:r>
      <w:r w:rsidR="00B9313A" w:rsidRPr="002D1680">
        <w:rPr>
          <w:rFonts w:eastAsiaTheme="minorHAnsi"/>
        </w:rPr>
        <w:t>increase</w:t>
      </w:r>
      <w:r w:rsidR="006A0A4C" w:rsidRPr="002D1680">
        <w:rPr>
          <w:rFonts w:eastAsiaTheme="minorHAnsi"/>
        </w:rPr>
        <w:t xml:space="preserve">d the number of </w:t>
      </w:r>
      <w:r w:rsidR="005D5302" w:rsidRPr="002D1680">
        <w:rPr>
          <w:rFonts w:eastAsiaTheme="minorHAnsi"/>
        </w:rPr>
        <w:t xml:space="preserve">domestic contractors </w:t>
      </w:r>
      <w:r w:rsidR="00B9313A" w:rsidRPr="002D1680">
        <w:rPr>
          <w:rFonts w:eastAsiaTheme="minorHAnsi"/>
        </w:rPr>
        <w:t>undertaking maintenance</w:t>
      </w:r>
      <w:r w:rsidR="006A0A4C" w:rsidRPr="002D1680">
        <w:rPr>
          <w:rFonts w:eastAsiaTheme="minorHAnsi"/>
        </w:rPr>
        <w:t xml:space="preserve"> from zero to eight,</w:t>
      </w:r>
      <w:r w:rsidR="0029728A" w:rsidRPr="002D1680">
        <w:rPr>
          <w:rFonts w:eastAsiaTheme="minorHAnsi"/>
        </w:rPr>
        <w:t xml:space="preserve"> is</w:t>
      </w:r>
      <w:r w:rsidR="008A460F" w:rsidRPr="002D1680">
        <w:rPr>
          <w:rFonts w:eastAsiaTheme="minorHAnsi"/>
        </w:rPr>
        <w:t xml:space="preserve"> a unique</w:t>
      </w:r>
      <w:r w:rsidR="006A0A4C" w:rsidRPr="002D1680">
        <w:rPr>
          <w:rFonts w:eastAsiaTheme="minorHAnsi"/>
        </w:rPr>
        <w:t>,</w:t>
      </w:r>
      <w:r w:rsidR="008A460F" w:rsidRPr="002D1680">
        <w:rPr>
          <w:rFonts w:eastAsiaTheme="minorHAnsi"/>
        </w:rPr>
        <w:t xml:space="preserve"> sustainable </w:t>
      </w:r>
      <w:r w:rsidR="005D5302" w:rsidRPr="002D1680">
        <w:rPr>
          <w:rFonts w:eastAsiaTheme="minorHAnsi"/>
        </w:rPr>
        <w:t>approach compared</w:t>
      </w:r>
      <w:r w:rsidR="008A460F" w:rsidRPr="002D1680">
        <w:rPr>
          <w:rFonts w:eastAsiaTheme="minorHAnsi"/>
        </w:rPr>
        <w:t xml:space="preserve"> with other donor</w:t>
      </w:r>
      <w:r w:rsidR="006A0A4C" w:rsidRPr="002D1680">
        <w:rPr>
          <w:rFonts w:eastAsiaTheme="minorHAnsi"/>
        </w:rPr>
        <w:t>-</w:t>
      </w:r>
      <w:r w:rsidR="008A460F" w:rsidRPr="002D1680">
        <w:rPr>
          <w:rFonts w:eastAsiaTheme="minorHAnsi"/>
        </w:rPr>
        <w:t xml:space="preserve">funded roads programs in </w:t>
      </w:r>
      <w:r w:rsidR="005D5302" w:rsidRPr="002D1680">
        <w:rPr>
          <w:rFonts w:eastAsiaTheme="minorHAnsi"/>
        </w:rPr>
        <w:t>Tonga</w:t>
      </w:r>
      <w:r w:rsidR="00D468A5" w:rsidRPr="002D1680">
        <w:rPr>
          <w:rFonts w:eastAsiaTheme="minorHAnsi"/>
        </w:rPr>
        <w:t xml:space="preserve">. </w:t>
      </w:r>
    </w:p>
    <w:p w:rsidR="009721D8" w:rsidRPr="002D1680" w:rsidRDefault="005F0BEF" w:rsidP="002D1680">
      <w:pPr>
        <w:pStyle w:val="BodyText"/>
      </w:pPr>
      <w:r w:rsidRPr="002D1680">
        <w:t xml:space="preserve">Improvements in </w:t>
      </w:r>
      <w:r w:rsidR="00F3374F" w:rsidRPr="002D1680">
        <w:t>works supervision have resulted from the merger of t</w:t>
      </w:r>
      <w:r w:rsidR="009721D8" w:rsidRPr="002D1680">
        <w:t xml:space="preserve">he </w:t>
      </w:r>
      <w:r w:rsidR="005661B7" w:rsidRPr="002D1680">
        <w:t>m</w:t>
      </w:r>
      <w:r w:rsidR="009721D8" w:rsidRPr="002D1680">
        <w:t xml:space="preserve">inistries of </w:t>
      </w:r>
      <w:r w:rsidR="005661B7" w:rsidRPr="002D1680">
        <w:t>t</w:t>
      </w:r>
      <w:r w:rsidR="009721D8" w:rsidRPr="002D1680">
        <w:t xml:space="preserve">ransport and </w:t>
      </w:r>
      <w:r w:rsidR="005661B7" w:rsidRPr="002D1680">
        <w:t>w</w:t>
      </w:r>
      <w:r w:rsidR="009721D8" w:rsidRPr="002D1680">
        <w:t xml:space="preserve">orks on 1 July 2012 </w:t>
      </w:r>
      <w:r w:rsidR="00F20B5A" w:rsidRPr="002D1680">
        <w:t xml:space="preserve">to </w:t>
      </w:r>
      <w:r w:rsidR="002B2A89" w:rsidRPr="002D1680">
        <w:t xml:space="preserve">form </w:t>
      </w:r>
      <w:r w:rsidR="00F20B5A" w:rsidRPr="002D1680">
        <w:t>the</w:t>
      </w:r>
      <w:r w:rsidR="009721D8" w:rsidRPr="002D1680">
        <w:t xml:space="preserve"> Ministry of Infrastructure</w:t>
      </w:r>
      <w:r w:rsidR="00B617F2" w:rsidRPr="002D1680">
        <w:t xml:space="preserve">. </w:t>
      </w:r>
      <w:r w:rsidR="009721D8" w:rsidRPr="002D1680">
        <w:t>A</w:t>
      </w:r>
      <w:r w:rsidR="00F20B5A" w:rsidRPr="002D1680">
        <w:t xml:space="preserve">n </w:t>
      </w:r>
      <w:r w:rsidR="008039AB">
        <w:t xml:space="preserve">Australian </w:t>
      </w:r>
      <w:r w:rsidR="000F1F86">
        <w:t>Government</w:t>
      </w:r>
      <w:r w:rsidR="00F20B5A" w:rsidRPr="002D1680">
        <w:t>-funded</w:t>
      </w:r>
      <w:r w:rsidR="009721D8" w:rsidRPr="002D1680">
        <w:t xml:space="preserve"> change management specialist has been working with the</w:t>
      </w:r>
      <w:r w:rsidR="006A0A4C" w:rsidRPr="002D1680">
        <w:t xml:space="preserve"> integrated</w:t>
      </w:r>
      <w:r w:rsidR="00A655AE" w:rsidRPr="002D1680">
        <w:t xml:space="preserve"> </w:t>
      </w:r>
      <w:r w:rsidR="000A0AC6" w:rsidRPr="002D1680">
        <w:t>m</w:t>
      </w:r>
      <w:r w:rsidR="00A655AE" w:rsidRPr="002D1680">
        <w:t>inistry</w:t>
      </w:r>
      <w:r w:rsidR="009721D8" w:rsidRPr="002D1680">
        <w:t xml:space="preserve"> since early July </w:t>
      </w:r>
      <w:r w:rsidR="00ED4A10" w:rsidRPr="002D1680">
        <w:t xml:space="preserve">2012 </w:t>
      </w:r>
      <w:r w:rsidR="009721D8" w:rsidRPr="002D1680">
        <w:t>to determine the most effective organisational structure for</w:t>
      </w:r>
      <w:r w:rsidR="006A0A4C" w:rsidRPr="002D1680">
        <w:t xml:space="preserve"> it</w:t>
      </w:r>
      <w:r w:rsidR="00B617F2" w:rsidRPr="002D1680">
        <w:t xml:space="preserve">. </w:t>
      </w:r>
      <w:r w:rsidR="009721D8" w:rsidRPr="002D1680">
        <w:t xml:space="preserve">In December 2012, </w:t>
      </w:r>
      <w:r w:rsidR="00F20B5A" w:rsidRPr="002D1680">
        <w:t xml:space="preserve">the Tongan </w:t>
      </w:r>
      <w:r w:rsidR="009721D8" w:rsidRPr="002D1680">
        <w:t>Cabinet approved</w:t>
      </w:r>
      <w:r w:rsidR="00F20B5A" w:rsidRPr="002D1680">
        <w:t xml:space="preserve"> </w:t>
      </w:r>
      <w:r w:rsidR="006A0A4C" w:rsidRPr="002D1680">
        <w:t xml:space="preserve">more </w:t>
      </w:r>
      <w:r w:rsidR="009721D8" w:rsidRPr="002D1680">
        <w:t>changes to the M</w:t>
      </w:r>
      <w:r w:rsidR="00A655AE" w:rsidRPr="002D1680">
        <w:t>inistry of Infrastructure</w:t>
      </w:r>
      <w:r w:rsidR="009721D8" w:rsidRPr="002D1680">
        <w:t xml:space="preserve"> to </w:t>
      </w:r>
      <w:r w:rsidR="006A0A4C" w:rsidRPr="002D1680">
        <w:t xml:space="preserve">help </w:t>
      </w:r>
      <w:r w:rsidR="009721D8" w:rsidRPr="002D1680">
        <w:t xml:space="preserve">it focus on its core business activities. </w:t>
      </w:r>
    </w:p>
    <w:p w:rsidR="002A0447" w:rsidRPr="002D1680" w:rsidRDefault="002A0447" w:rsidP="002D1680">
      <w:pPr>
        <w:pStyle w:val="BodyText"/>
      </w:pPr>
      <w:r w:rsidRPr="002D1680">
        <w:t>The M</w:t>
      </w:r>
      <w:r w:rsidR="006A0A4C" w:rsidRPr="002D1680">
        <w:t>inistry of Infrastructure</w:t>
      </w:r>
      <w:r w:rsidRPr="002D1680">
        <w:t xml:space="preserve"> is considering alternative treatments for road re-surfacing and </w:t>
      </w:r>
      <w:r w:rsidR="008039AB">
        <w:t>the Australian Government</w:t>
      </w:r>
      <w:r w:rsidR="00C601A3" w:rsidRPr="002D1680">
        <w:t xml:space="preserve"> has </w:t>
      </w:r>
      <w:r w:rsidRPr="002D1680">
        <w:t>had discussions with the World Bank on re-solving contracting issues around greater community involvement in the program.</w:t>
      </w:r>
    </w:p>
    <w:p w:rsidR="005176FC" w:rsidRPr="002D1680" w:rsidRDefault="00134886" w:rsidP="002D1680">
      <w:pPr>
        <w:pStyle w:val="BodyText"/>
      </w:pPr>
      <w:r w:rsidRPr="002D1680">
        <w:t xml:space="preserve">Good progress </w:t>
      </w:r>
      <w:r w:rsidR="00137D4E" w:rsidRPr="002D1680">
        <w:t>was also</w:t>
      </w:r>
      <w:r w:rsidRPr="002D1680">
        <w:t xml:space="preserve"> made in the maritime sector</w:t>
      </w:r>
      <w:r w:rsidR="00137D4E" w:rsidRPr="002D1680">
        <w:t xml:space="preserve"> under the </w:t>
      </w:r>
      <w:r w:rsidR="00C0071D" w:rsidRPr="002D1680">
        <w:t>Transport Sector Consolidation Project</w:t>
      </w:r>
      <w:r w:rsidR="00B617F2" w:rsidRPr="002D1680">
        <w:t xml:space="preserve">. </w:t>
      </w:r>
      <w:r w:rsidRPr="002D1680">
        <w:t xml:space="preserve">A new acting Director for the Maritime and Ports </w:t>
      </w:r>
      <w:r w:rsidR="00C601A3" w:rsidRPr="002D1680">
        <w:t>D</w:t>
      </w:r>
      <w:r w:rsidRPr="002D1680">
        <w:t>ivision has been recruited and a maritime adviser position is in place. The division has been promoting safe operations, and has issued notices to five domestic passenger vessels to stop operating due to concerns of seaworthiness. Navigational aids have been delivered and a tender for installation opened in April 2013</w:t>
      </w:r>
      <w:r w:rsidR="00B617F2" w:rsidRPr="002D1680">
        <w:t xml:space="preserve">. </w:t>
      </w:r>
      <w:r w:rsidR="005176FC" w:rsidRPr="002D1680">
        <w:t>A barge for Niuas was delivered in early 2013</w:t>
      </w:r>
      <w:r w:rsidR="00B617F2" w:rsidRPr="002D1680">
        <w:t xml:space="preserve">. </w:t>
      </w:r>
      <w:r w:rsidR="005176FC" w:rsidRPr="002D1680">
        <w:t>Fire fighting equipment and a life boat davit were procured</w:t>
      </w:r>
      <w:r w:rsidR="00100931" w:rsidRPr="002D1680">
        <w:t xml:space="preserve">, with delivery expected in </w:t>
      </w:r>
      <w:r w:rsidR="002B2A89" w:rsidRPr="002D1680">
        <w:t>by the end of 2013</w:t>
      </w:r>
      <w:r w:rsidR="005176FC" w:rsidRPr="002D1680">
        <w:t>.</w:t>
      </w:r>
      <w:r w:rsidRPr="002D1680">
        <w:t xml:space="preserve"> The procurement of </w:t>
      </w:r>
      <w:r w:rsidR="005556FC" w:rsidRPr="002D1680">
        <w:t>a</w:t>
      </w:r>
      <w:r w:rsidRPr="002D1680">
        <w:t xml:space="preserve"> coastal watch radio system has been slower than planned</w:t>
      </w:r>
      <w:r w:rsidR="00137D4E" w:rsidRPr="002D1680">
        <w:t xml:space="preserve"> </w:t>
      </w:r>
      <w:r w:rsidR="007B576E" w:rsidRPr="002D1680">
        <w:t>and</w:t>
      </w:r>
      <w:r w:rsidR="00C601A3" w:rsidRPr="002D1680">
        <w:t>,</w:t>
      </w:r>
      <w:r w:rsidR="007B576E" w:rsidRPr="002D1680">
        <w:t xml:space="preserve"> </w:t>
      </w:r>
      <w:r w:rsidR="00F20B5A" w:rsidRPr="002D1680">
        <w:t>as a result</w:t>
      </w:r>
      <w:r w:rsidR="00C601A3" w:rsidRPr="002D1680">
        <w:t>,</w:t>
      </w:r>
      <w:r w:rsidR="00F20B5A" w:rsidRPr="002D1680">
        <w:t xml:space="preserve"> </w:t>
      </w:r>
      <w:r w:rsidRPr="002D1680">
        <w:t xml:space="preserve">the system </w:t>
      </w:r>
      <w:r w:rsidR="00F20B5A" w:rsidRPr="002D1680">
        <w:t xml:space="preserve">will </w:t>
      </w:r>
      <w:r w:rsidRPr="002D1680">
        <w:t xml:space="preserve">be re-scoped </w:t>
      </w:r>
      <w:r w:rsidR="00C601A3" w:rsidRPr="002D1680">
        <w:t xml:space="preserve">to deal with its </w:t>
      </w:r>
      <w:r w:rsidRPr="002D1680">
        <w:t xml:space="preserve">overly complex specifications. The procurement for the </w:t>
      </w:r>
      <w:r w:rsidR="00137D4E" w:rsidRPr="002D1680">
        <w:t>re-</w:t>
      </w:r>
      <w:r w:rsidRPr="002D1680">
        <w:t xml:space="preserve">design </w:t>
      </w:r>
      <w:r w:rsidR="00137D4E" w:rsidRPr="002D1680">
        <w:t xml:space="preserve">of the system </w:t>
      </w:r>
      <w:r w:rsidRPr="002D1680">
        <w:t>has been awarded.</w:t>
      </w:r>
    </w:p>
    <w:p w:rsidR="005176FC" w:rsidRPr="002D1680" w:rsidRDefault="00EB7CA1" w:rsidP="002D1680">
      <w:pPr>
        <w:pStyle w:val="BodyText"/>
        <w:rPr>
          <w:i/>
        </w:rPr>
      </w:pPr>
      <w:r w:rsidRPr="002D1680">
        <w:rPr>
          <w:i/>
        </w:rPr>
        <w:t>A</w:t>
      </w:r>
      <w:r w:rsidR="00941B0C" w:rsidRPr="002D1680">
        <w:rPr>
          <w:i/>
        </w:rPr>
        <w:t xml:space="preserve">sian </w:t>
      </w:r>
      <w:r w:rsidR="00C601A3" w:rsidRPr="002D1680">
        <w:rPr>
          <w:i/>
        </w:rPr>
        <w:t>D</w:t>
      </w:r>
      <w:r w:rsidR="00941B0C" w:rsidRPr="002D1680">
        <w:rPr>
          <w:i/>
        </w:rPr>
        <w:t xml:space="preserve">evelopment </w:t>
      </w:r>
      <w:r w:rsidR="00C601A3" w:rsidRPr="002D1680">
        <w:rPr>
          <w:i/>
        </w:rPr>
        <w:t>B</w:t>
      </w:r>
      <w:r w:rsidR="00941B0C" w:rsidRPr="002D1680">
        <w:rPr>
          <w:i/>
        </w:rPr>
        <w:t>ank</w:t>
      </w:r>
      <w:r w:rsidR="00C601A3" w:rsidRPr="002D1680">
        <w:rPr>
          <w:i/>
        </w:rPr>
        <w:t>-</w:t>
      </w:r>
      <w:r w:rsidRPr="002D1680">
        <w:rPr>
          <w:i/>
        </w:rPr>
        <w:t xml:space="preserve">led </w:t>
      </w:r>
      <w:r w:rsidR="005176FC" w:rsidRPr="002D1680">
        <w:rPr>
          <w:i/>
        </w:rPr>
        <w:t xml:space="preserve">Nuku’alofa </w:t>
      </w:r>
      <w:r w:rsidRPr="002D1680">
        <w:rPr>
          <w:i/>
        </w:rPr>
        <w:t xml:space="preserve">Urban Development Project </w:t>
      </w:r>
    </w:p>
    <w:p w:rsidR="009721D8" w:rsidRPr="002D1680" w:rsidRDefault="00F74C99" w:rsidP="002D1680">
      <w:pPr>
        <w:pStyle w:val="BodyText"/>
      </w:pPr>
      <w:r w:rsidRPr="002D1680">
        <w:t>The Nuku’alofa Urban Development Project (</w:t>
      </w:r>
      <w:r w:rsidR="009721D8" w:rsidRPr="002D1680">
        <w:t>NUDP</w:t>
      </w:r>
      <w:r w:rsidRPr="002D1680">
        <w:t>) improves</w:t>
      </w:r>
      <w:r w:rsidR="009721D8" w:rsidRPr="002D1680">
        <w:t xml:space="preserve"> the policy environment for urban planning, improve</w:t>
      </w:r>
      <w:r w:rsidRPr="002D1680">
        <w:t>s</w:t>
      </w:r>
      <w:r w:rsidR="009721D8" w:rsidRPr="002D1680">
        <w:t xml:space="preserve"> availability of water supply and increase</w:t>
      </w:r>
      <w:r w:rsidRPr="002D1680">
        <w:t>s</w:t>
      </w:r>
      <w:r w:rsidR="009721D8" w:rsidRPr="002D1680">
        <w:t xml:space="preserve"> consumer access to waste management services in Nuku’alofa</w:t>
      </w:r>
      <w:r w:rsidR="00F20B5A" w:rsidRPr="002D1680">
        <w:t xml:space="preserve">. </w:t>
      </w:r>
      <w:r w:rsidR="002B2A89" w:rsidRPr="002D1680">
        <w:t xml:space="preserve">The </w:t>
      </w:r>
      <w:r w:rsidR="00F20B5A" w:rsidRPr="002D1680">
        <w:t>NUDP</w:t>
      </w:r>
      <w:r w:rsidR="009721D8" w:rsidRPr="002D1680">
        <w:t xml:space="preserve"> work</w:t>
      </w:r>
      <w:r w:rsidR="00F20B5A" w:rsidRPr="002D1680">
        <w:t>s</w:t>
      </w:r>
      <w:r w:rsidR="009721D8" w:rsidRPr="002D1680">
        <w:t xml:space="preserve"> with the state</w:t>
      </w:r>
      <w:r w:rsidR="007B576E" w:rsidRPr="002D1680">
        <w:t>-</w:t>
      </w:r>
      <w:r w:rsidR="009721D8" w:rsidRPr="002D1680">
        <w:t>owned enterprises that oversee these services to ensure full cost recovery.</w:t>
      </w:r>
    </w:p>
    <w:p w:rsidR="009721D8" w:rsidRPr="002D1680" w:rsidRDefault="00F74C99" w:rsidP="002D1680">
      <w:pPr>
        <w:pStyle w:val="BodyText"/>
      </w:pPr>
      <w:r w:rsidRPr="002D1680">
        <w:t>I</w:t>
      </w:r>
      <w:r w:rsidR="009721D8" w:rsidRPr="002D1680">
        <w:t>ntermediate outputs for 2012</w:t>
      </w:r>
      <w:r w:rsidR="00FE02DD" w:rsidRPr="002D1680">
        <w:t>–</w:t>
      </w:r>
      <w:r w:rsidR="009721D8" w:rsidRPr="002D1680">
        <w:t>13 identified</w:t>
      </w:r>
      <w:r w:rsidR="00EB6C25" w:rsidRPr="002D1680">
        <w:t xml:space="preserve"> for </w:t>
      </w:r>
      <w:r w:rsidR="002B2A89" w:rsidRPr="002D1680">
        <w:t xml:space="preserve">the </w:t>
      </w:r>
      <w:r w:rsidR="00EB6C25" w:rsidRPr="002D1680">
        <w:t>NUDP</w:t>
      </w:r>
      <w:r w:rsidR="009721D8" w:rsidRPr="002D1680">
        <w:t xml:space="preserve"> under the </w:t>
      </w:r>
      <w:r w:rsidRPr="002D1680">
        <w:t>i</w:t>
      </w:r>
      <w:r w:rsidR="009721D8" w:rsidRPr="002D1680">
        <w:t xml:space="preserve">nfrastructure schedule include: </w:t>
      </w:r>
    </w:p>
    <w:p w:rsidR="009721D8" w:rsidRDefault="00FE02DD" w:rsidP="002D1680">
      <w:pPr>
        <w:pStyle w:val="ListBullet"/>
      </w:pPr>
      <w:r>
        <w:t>t</w:t>
      </w:r>
      <w:r w:rsidR="009721D8" w:rsidRPr="007E4E36">
        <w:t>he National Spatial Planning Authority Act promulgated by October 2012</w:t>
      </w:r>
    </w:p>
    <w:p w:rsidR="009721D8" w:rsidRPr="00F74C99" w:rsidRDefault="00FE02DD" w:rsidP="002D1680">
      <w:pPr>
        <w:pStyle w:val="ListBullet"/>
      </w:pPr>
      <w:r>
        <w:t>t</w:t>
      </w:r>
      <w:r w:rsidR="009721D8">
        <w:t xml:space="preserve">he National Spatial Planning Authority </w:t>
      </w:r>
      <w:r w:rsidR="002B2A89">
        <w:t>A</w:t>
      </w:r>
      <w:r w:rsidR="009721D8">
        <w:t xml:space="preserve">dvisory </w:t>
      </w:r>
      <w:r w:rsidR="002B2A89">
        <w:t>C</w:t>
      </w:r>
      <w:r w:rsidR="009721D8" w:rsidRPr="00F74C99">
        <w:t xml:space="preserve">ommittee established </w:t>
      </w:r>
      <w:r w:rsidR="00F74C99" w:rsidRPr="00EB076D">
        <w:t>(</w:t>
      </w:r>
      <w:r w:rsidR="009721D8" w:rsidRPr="00F74C99">
        <w:t>comprising  40</w:t>
      </w:r>
      <w:r w:rsidR="00007E1F">
        <w:t> </w:t>
      </w:r>
      <w:r w:rsidR="00B617F2" w:rsidRPr="00F74C99">
        <w:t>per cent</w:t>
      </w:r>
      <w:r w:rsidR="009721D8" w:rsidRPr="00F74C99">
        <w:t xml:space="preserve"> women</w:t>
      </w:r>
      <w:r w:rsidR="00F74C99" w:rsidRPr="00F74C99">
        <w:t>)</w:t>
      </w:r>
    </w:p>
    <w:p w:rsidR="009721D8" w:rsidRDefault="00F93493" w:rsidP="002D1680">
      <w:pPr>
        <w:pStyle w:val="ListBullet"/>
      </w:pPr>
      <w:r>
        <w:t xml:space="preserve">that </w:t>
      </w:r>
      <w:r w:rsidR="009721D8">
        <w:t>20</w:t>
      </w:r>
      <w:r w:rsidR="00B617F2">
        <w:t xml:space="preserve"> per cent</w:t>
      </w:r>
      <w:r w:rsidR="009721D8">
        <w:t xml:space="preserve"> of senior urban planning and managing positions in the Planning and Urban Management Agency are held by women</w:t>
      </w:r>
    </w:p>
    <w:p w:rsidR="009721D8" w:rsidRDefault="00F93493" w:rsidP="002D1680">
      <w:pPr>
        <w:pStyle w:val="ListBullet"/>
      </w:pPr>
      <w:r>
        <w:lastRenderedPageBreak/>
        <w:t xml:space="preserve">that the </w:t>
      </w:r>
      <w:r w:rsidR="009721D8">
        <w:t>Tonga Water Board finances 100</w:t>
      </w:r>
      <w:r w:rsidR="00B617F2">
        <w:t xml:space="preserve"> per cent</w:t>
      </w:r>
      <w:r w:rsidR="009721D8">
        <w:t xml:space="preserve"> of its operation and maintenance costs from water sales</w:t>
      </w:r>
    </w:p>
    <w:p w:rsidR="009721D8" w:rsidRPr="007E4E36" w:rsidRDefault="00F93493" w:rsidP="002D1680">
      <w:pPr>
        <w:pStyle w:val="ListBullet"/>
      </w:pPr>
      <w:r>
        <w:t xml:space="preserve">that the </w:t>
      </w:r>
      <w:r w:rsidR="009721D8">
        <w:t>W</w:t>
      </w:r>
      <w:r w:rsidR="007E4E36">
        <w:t>aste Authority Limited</w:t>
      </w:r>
      <w:r w:rsidR="009721D8">
        <w:t xml:space="preserve"> finances 40</w:t>
      </w:r>
      <w:r w:rsidR="00B617F2">
        <w:t xml:space="preserve"> per cent</w:t>
      </w:r>
      <w:r w:rsidR="009721D8">
        <w:t xml:space="preserve"> of its operation and maintenance costs from waste collection fees and levies</w:t>
      </w:r>
      <w:r w:rsidR="00F74C99">
        <w:t>.</w:t>
      </w:r>
    </w:p>
    <w:p w:rsidR="001205B2" w:rsidRPr="002D1680" w:rsidRDefault="001B65C9" w:rsidP="002D1680">
      <w:pPr>
        <w:pStyle w:val="BodyText"/>
      </w:pPr>
      <w:r w:rsidRPr="002D1680">
        <w:t>The project mobilised</w:t>
      </w:r>
      <w:r w:rsidR="00EB6C25" w:rsidRPr="002D1680">
        <w:t xml:space="preserve"> in</w:t>
      </w:r>
      <w:r w:rsidR="007B576E" w:rsidRPr="002D1680">
        <w:t xml:space="preserve"> </w:t>
      </w:r>
      <w:r w:rsidR="004C3610" w:rsidRPr="002D1680">
        <w:t>late</w:t>
      </w:r>
      <w:r w:rsidR="00F93493" w:rsidRPr="002D1680">
        <w:t xml:space="preserve"> </w:t>
      </w:r>
      <w:r w:rsidR="004C3610" w:rsidRPr="002D1680">
        <w:t>2012</w:t>
      </w:r>
      <w:r w:rsidRPr="002D1680">
        <w:t xml:space="preserve"> and</w:t>
      </w:r>
      <w:r w:rsidR="00F74C99" w:rsidRPr="002D1680">
        <w:t>,</w:t>
      </w:r>
      <w:r w:rsidRPr="002D1680">
        <w:t xml:space="preserve"> following a slow start</w:t>
      </w:r>
      <w:r w:rsidR="00EB6C25" w:rsidRPr="002D1680">
        <w:t>,</w:t>
      </w:r>
      <w:r w:rsidRPr="002D1680">
        <w:t xml:space="preserve"> is making good progress on key start-up activities</w:t>
      </w:r>
      <w:r w:rsidR="00B617F2" w:rsidRPr="002D1680">
        <w:t xml:space="preserve">. </w:t>
      </w:r>
      <w:r w:rsidR="009721D8" w:rsidRPr="002D1680">
        <w:t xml:space="preserve">The program management unit is in place, and implementation of key activities </w:t>
      </w:r>
      <w:r w:rsidR="00F74C99" w:rsidRPr="002D1680">
        <w:t>is underway</w:t>
      </w:r>
      <w:r w:rsidR="00B617F2" w:rsidRPr="002D1680">
        <w:t xml:space="preserve">. </w:t>
      </w:r>
      <w:r w:rsidR="00EB6C25" w:rsidRPr="002D1680">
        <w:t>A</w:t>
      </w:r>
      <w:r w:rsidR="007B576E" w:rsidRPr="002D1680">
        <w:t xml:space="preserve"> </w:t>
      </w:r>
      <w:r w:rsidR="009721D8" w:rsidRPr="002D1680">
        <w:t>National Spatial Planning Authority Act</w:t>
      </w:r>
      <w:r w:rsidR="002A0447" w:rsidRPr="002D1680">
        <w:t>, required by the A</w:t>
      </w:r>
      <w:r w:rsidR="005F53E3" w:rsidRPr="002D1680">
        <w:t xml:space="preserve">sian </w:t>
      </w:r>
      <w:r w:rsidR="002A0447" w:rsidRPr="002D1680">
        <w:t>D</w:t>
      </w:r>
      <w:r w:rsidR="005F53E3" w:rsidRPr="002D1680">
        <w:t xml:space="preserve">evelopment </w:t>
      </w:r>
      <w:r w:rsidR="002A0447" w:rsidRPr="002D1680">
        <w:t>B</w:t>
      </w:r>
      <w:r w:rsidR="005F53E3" w:rsidRPr="002D1680">
        <w:t>ank</w:t>
      </w:r>
      <w:r w:rsidR="002A0447" w:rsidRPr="002D1680">
        <w:t xml:space="preserve"> </w:t>
      </w:r>
      <w:r w:rsidR="00F74C99" w:rsidRPr="002D1680">
        <w:t>so</w:t>
      </w:r>
      <w:r w:rsidR="002A0447" w:rsidRPr="002D1680">
        <w:t xml:space="preserve"> the program could be implemented across a number of </w:t>
      </w:r>
      <w:r w:rsidR="00F74C99" w:rsidRPr="002D1680">
        <w:t>g</w:t>
      </w:r>
      <w:r w:rsidR="002A0447" w:rsidRPr="002D1680">
        <w:t>overnment agency jurisdictions,</w:t>
      </w:r>
      <w:r w:rsidR="009721D8" w:rsidRPr="002D1680">
        <w:t xml:space="preserve"> was promulgated, and recruitment </w:t>
      </w:r>
      <w:r w:rsidR="00EB6C25" w:rsidRPr="002D1680">
        <w:t xml:space="preserve">of the </w:t>
      </w:r>
      <w:r w:rsidR="009721D8" w:rsidRPr="002D1680">
        <w:t xml:space="preserve">Planning Authority and senior urban planning and management positions </w:t>
      </w:r>
      <w:r w:rsidR="00F74C99" w:rsidRPr="002D1680">
        <w:t xml:space="preserve">is </w:t>
      </w:r>
      <w:r w:rsidR="009721D8" w:rsidRPr="002D1680">
        <w:t>underway</w:t>
      </w:r>
      <w:r w:rsidR="00B617F2" w:rsidRPr="002D1680">
        <w:t xml:space="preserve">. </w:t>
      </w:r>
      <w:r w:rsidR="00EB4338" w:rsidRPr="002D1680">
        <w:t>The program management unit is in place</w:t>
      </w:r>
      <w:r w:rsidR="00134886" w:rsidRPr="002D1680">
        <w:t>, and c</w:t>
      </w:r>
      <w:r w:rsidRPr="002D1680">
        <w:t xml:space="preserve">ommunity awareness of municipal services has </w:t>
      </w:r>
      <w:r w:rsidR="00F74C99" w:rsidRPr="002D1680">
        <w:t>started</w:t>
      </w:r>
      <w:r w:rsidR="00B617F2" w:rsidRPr="002D1680">
        <w:t xml:space="preserve">. </w:t>
      </w:r>
      <w:r w:rsidR="00642BD6" w:rsidRPr="002D1680">
        <w:t>A</w:t>
      </w:r>
      <w:r w:rsidRPr="002D1680">
        <w:t xml:space="preserve">n accounting package to assist Waste Authority Limited </w:t>
      </w:r>
      <w:r w:rsidR="002B2A89" w:rsidRPr="002D1680">
        <w:t xml:space="preserve">to </w:t>
      </w:r>
      <w:r w:rsidRPr="002D1680">
        <w:t xml:space="preserve">finance its operational and management costs </w:t>
      </w:r>
      <w:r w:rsidR="00642BD6" w:rsidRPr="002D1680">
        <w:t>has been procured</w:t>
      </w:r>
      <w:r w:rsidR="00A24348" w:rsidRPr="002D1680">
        <w:t>, and</w:t>
      </w:r>
      <w:r w:rsidR="00F74C99" w:rsidRPr="002D1680">
        <w:t xml:space="preserve"> positions for</w:t>
      </w:r>
      <w:r w:rsidR="00A24348" w:rsidRPr="002D1680">
        <w:t xml:space="preserve"> a revenue generation specialist</w:t>
      </w:r>
      <w:r w:rsidR="00134886" w:rsidRPr="002D1680">
        <w:t xml:space="preserve"> and accounting</w:t>
      </w:r>
      <w:r w:rsidR="00F74C99" w:rsidRPr="002D1680">
        <w:t xml:space="preserve"> and </w:t>
      </w:r>
      <w:r w:rsidR="00134886" w:rsidRPr="002D1680">
        <w:t xml:space="preserve">financial </w:t>
      </w:r>
      <w:r w:rsidR="00F74C99" w:rsidRPr="002D1680">
        <w:t>m</w:t>
      </w:r>
      <w:r w:rsidR="00134886" w:rsidRPr="002D1680">
        <w:t>anagement specialist</w:t>
      </w:r>
      <w:r w:rsidR="00A24348" w:rsidRPr="002D1680">
        <w:t xml:space="preserve"> to assist the Wast</w:t>
      </w:r>
      <w:r w:rsidR="00EB6C25" w:rsidRPr="002D1680">
        <w:t>e</w:t>
      </w:r>
      <w:r w:rsidR="00A24348" w:rsidRPr="002D1680">
        <w:t xml:space="preserve"> Authority Limited and Tonga Water Board </w:t>
      </w:r>
      <w:r w:rsidR="00642BD6" w:rsidRPr="002D1680">
        <w:t>advertised</w:t>
      </w:r>
      <w:r w:rsidR="00B617F2" w:rsidRPr="002D1680">
        <w:t xml:space="preserve">. </w:t>
      </w:r>
    </w:p>
    <w:p w:rsidR="002B2A89" w:rsidRPr="002D1680" w:rsidRDefault="00EB7CA1" w:rsidP="007D1A22">
      <w:pPr>
        <w:pStyle w:val="Heading3"/>
      </w:pPr>
      <w:r w:rsidRPr="002D1680">
        <w:t>World Bank</w:t>
      </w:r>
      <w:r w:rsidR="00F74C99" w:rsidRPr="002D1680">
        <w:t>-</w:t>
      </w:r>
      <w:r w:rsidRPr="002D1680">
        <w:t xml:space="preserve">led Tonga Energy Road Map </w:t>
      </w:r>
      <w:r w:rsidR="00F01614" w:rsidRPr="002D1680">
        <w:t xml:space="preserve">(TERM) </w:t>
      </w:r>
      <w:r w:rsidRPr="002D1680">
        <w:t>Institutional and Regulatory Framework Strengthening Project</w:t>
      </w:r>
      <w:r w:rsidR="001B65C9" w:rsidRPr="002D1680">
        <w:t xml:space="preserve"> </w:t>
      </w:r>
    </w:p>
    <w:p w:rsidR="00EB7CA1" w:rsidRPr="002D1680" w:rsidRDefault="00A765BA" w:rsidP="002D1680">
      <w:pPr>
        <w:pStyle w:val="BodyText"/>
      </w:pPr>
      <w:r w:rsidRPr="002D1680">
        <w:t>Th</w:t>
      </w:r>
      <w:r w:rsidR="00F74C99" w:rsidRPr="002D1680">
        <w:t>e</w:t>
      </w:r>
      <w:r w:rsidRPr="002D1680">
        <w:t xml:space="preserve"> </w:t>
      </w:r>
      <w:r w:rsidR="001B65C9" w:rsidRPr="002D1680">
        <w:t>TERM</w:t>
      </w:r>
      <w:r w:rsidR="00EB7CA1" w:rsidRPr="002D1680">
        <w:t xml:space="preserve"> </w:t>
      </w:r>
      <w:r w:rsidRPr="002D1680">
        <w:t xml:space="preserve">project </w:t>
      </w:r>
      <w:r w:rsidR="00EB7CA1" w:rsidRPr="002D1680">
        <w:t>strengthen</w:t>
      </w:r>
      <w:r w:rsidR="00F74C99" w:rsidRPr="002D1680">
        <w:t>s</w:t>
      </w:r>
      <w:r w:rsidR="00EB7CA1" w:rsidRPr="002D1680">
        <w:t xml:space="preserve"> institutions and regulatory frameworks related to </w:t>
      </w:r>
      <w:r w:rsidR="001B65C9" w:rsidRPr="002D1680">
        <w:t xml:space="preserve">the </w:t>
      </w:r>
      <w:r w:rsidR="00142596" w:rsidRPr="002D1680">
        <w:t>e</w:t>
      </w:r>
      <w:r w:rsidR="001B65C9" w:rsidRPr="002D1680">
        <w:t xml:space="preserve">nergy </w:t>
      </w:r>
      <w:r w:rsidR="00142596" w:rsidRPr="002D1680">
        <w:t>r</w:t>
      </w:r>
      <w:r w:rsidR="001B65C9" w:rsidRPr="002D1680">
        <w:t xml:space="preserve">oad </w:t>
      </w:r>
      <w:r w:rsidR="00142596" w:rsidRPr="002D1680">
        <w:t>m</w:t>
      </w:r>
      <w:r w:rsidR="001B65C9" w:rsidRPr="002D1680">
        <w:t>ap</w:t>
      </w:r>
      <w:r w:rsidR="002B2A89" w:rsidRPr="002D1680">
        <w:t>,</w:t>
      </w:r>
      <w:r w:rsidR="001B65C9" w:rsidRPr="002D1680">
        <w:t xml:space="preserve"> </w:t>
      </w:r>
      <w:r w:rsidR="00EB7CA1" w:rsidRPr="002D1680">
        <w:t xml:space="preserve">as a precursor for ongoing and planned operations and investments under </w:t>
      </w:r>
      <w:r w:rsidR="001B65C9" w:rsidRPr="002D1680">
        <w:t>the road map</w:t>
      </w:r>
      <w:r w:rsidR="00EB7CA1" w:rsidRPr="002D1680">
        <w:t>.</w:t>
      </w:r>
    </w:p>
    <w:p w:rsidR="00AA3C48" w:rsidRPr="002D1680" w:rsidRDefault="00F74C99" w:rsidP="002D1680">
      <w:pPr>
        <w:pStyle w:val="BodyText"/>
      </w:pPr>
      <w:r w:rsidRPr="002D1680">
        <w:t>I</w:t>
      </w:r>
      <w:r w:rsidR="00AA3C48" w:rsidRPr="002D1680">
        <w:t>ntermediate outputs for 2012</w:t>
      </w:r>
      <w:r w:rsidR="00F93493" w:rsidRPr="002D1680">
        <w:t>–</w:t>
      </w:r>
      <w:r w:rsidR="00AA3C48" w:rsidRPr="002D1680">
        <w:t xml:space="preserve">13 identified under the </w:t>
      </w:r>
      <w:r w:rsidRPr="002D1680">
        <w:t>i</w:t>
      </w:r>
      <w:r w:rsidR="00AA3C48" w:rsidRPr="002D1680">
        <w:t xml:space="preserve">nfrastructure schedule include: </w:t>
      </w:r>
    </w:p>
    <w:p w:rsidR="00AA3C48" w:rsidRDefault="00AA3C48" w:rsidP="002D1680">
      <w:pPr>
        <w:pStyle w:val="ListBullet"/>
      </w:pPr>
      <w:r>
        <w:t xml:space="preserve">TERM </w:t>
      </w:r>
      <w:r w:rsidR="007E4E36">
        <w:t>Implementation Unit</w:t>
      </w:r>
      <w:r>
        <w:t xml:space="preserve"> and scheduled staff in place</w:t>
      </w:r>
    </w:p>
    <w:p w:rsidR="00AA3C48" w:rsidRDefault="00F93493" w:rsidP="002D1680">
      <w:pPr>
        <w:pStyle w:val="ListBullet"/>
      </w:pPr>
      <w:r>
        <w:t>d</w:t>
      </w:r>
      <w:r w:rsidR="00AA3C48">
        <w:t>raft petroleum risk management framework completed</w:t>
      </w:r>
    </w:p>
    <w:p w:rsidR="00AA3C48" w:rsidRDefault="00F93493" w:rsidP="002D1680">
      <w:pPr>
        <w:pStyle w:val="ListBullet"/>
      </w:pPr>
      <w:r>
        <w:t>t</w:t>
      </w:r>
      <w:r w:rsidR="00AA3C48">
        <w:t>ariff review completed</w:t>
      </w:r>
    </w:p>
    <w:p w:rsidR="00AA3C48" w:rsidRDefault="00F93493" w:rsidP="002D1680">
      <w:pPr>
        <w:pStyle w:val="ListBullet"/>
      </w:pPr>
      <w:r>
        <w:t>n</w:t>
      </w:r>
      <w:r w:rsidR="00AA3C48">
        <w:t>etwork control and management hardware procurement documentation completed</w:t>
      </w:r>
      <w:r>
        <w:t>.</w:t>
      </w:r>
      <w:r w:rsidR="00AA3C48">
        <w:t xml:space="preserve"> </w:t>
      </w:r>
    </w:p>
    <w:p w:rsidR="00AA3C48" w:rsidRPr="002D1680" w:rsidRDefault="00755D59" w:rsidP="002D1680">
      <w:pPr>
        <w:pStyle w:val="BodyText"/>
      </w:pPr>
      <w:r w:rsidRPr="002D1680">
        <w:t xml:space="preserve">The project </w:t>
      </w:r>
      <w:r w:rsidR="00F74C99" w:rsidRPr="002D1680">
        <w:t xml:space="preserve">started </w:t>
      </w:r>
      <w:r w:rsidRPr="002D1680">
        <w:t xml:space="preserve">in August 2012 and </w:t>
      </w:r>
      <w:r w:rsidR="00ED4A10" w:rsidRPr="002D1680">
        <w:t>progress is in line with expectations to this point</w:t>
      </w:r>
      <w:r w:rsidR="00B617F2" w:rsidRPr="002D1680">
        <w:t xml:space="preserve">. </w:t>
      </w:r>
      <w:r w:rsidRPr="002D1680">
        <w:t xml:space="preserve">Key positions </w:t>
      </w:r>
      <w:r w:rsidR="00AA3C48" w:rsidRPr="002D1680">
        <w:t xml:space="preserve">within the TERM </w:t>
      </w:r>
      <w:r w:rsidR="005F5846" w:rsidRPr="002D1680">
        <w:t>Implementation Unit</w:t>
      </w:r>
      <w:r w:rsidR="00AA3C48" w:rsidRPr="002D1680">
        <w:t xml:space="preserve"> </w:t>
      </w:r>
      <w:r w:rsidRPr="002D1680">
        <w:t>have been filled, with recruitment ongoing</w:t>
      </w:r>
      <w:r w:rsidR="00B617F2" w:rsidRPr="002D1680">
        <w:t xml:space="preserve">. </w:t>
      </w:r>
      <w:r w:rsidRPr="002D1680">
        <w:t xml:space="preserve">Procurement processes for key studies related to renewable energy supply have </w:t>
      </w:r>
      <w:r w:rsidR="004B5C07" w:rsidRPr="002D1680">
        <w:t>started</w:t>
      </w:r>
      <w:r w:rsidRPr="002D1680">
        <w:t xml:space="preserve">, and a review </w:t>
      </w:r>
      <w:r w:rsidR="00EB6C25" w:rsidRPr="002D1680">
        <w:t xml:space="preserve">of electricity tariffs across Tonga </w:t>
      </w:r>
      <w:r w:rsidRPr="002D1680">
        <w:t>undertaken.</w:t>
      </w:r>
      <w:r w:rsidR="005F5846" w:rsidRPr="002D1680">
        <w:t xml:space="preserve"> </w:t>
      </w:r>
      <w:r w:rsidR="00AA3C48" w:rsidRPr="002D1680">
        <w:t>The</w:t>
      </w:r>
      <w:r w:rsidR="004B5C07" w:rsidRPr="002D1680">
        <w:t xml:space="preserve"> drafts for the</w:t>
      </w:r>
      <w:r w:rsidR="00AA3C48" w:rsidRPr="002D1680">
        <w:t xml:space="preserve"> petroleum risk management framework and tarif</w:t>
      </w:r>
      <w:r w:rsidR="005F5846" w:rsidRPr="002D1680">
        <w:t>f</w:t>
      </w:r>
      <w:r w:rsidR="00AA3C48" w:rsidRPr="002D1680">
        <w:t xml:space="preserve"> review are</w:t>
      </w:r>
      <w:r w:rsidR="00ED4A10" w:rsidRPr="002D1680">
        <w:t xml:space="preserve"> being considered by the Government of Tonga</w:t>
      </w:r>
      <w:r w:rsidR="00F93493" w:rsidRPr="002D1680">
        <w:t>.</w:t>
      </w:r>
    </w:p>
    <w:p w:rsidR="00E021E6" w:rsidRPr="002D1680" w:rsidRDefault="00EB6C25" w:rsidP="002D1680">
      <w:pPr>
        <w:pStyle w:val="BodyText"/>
      </w:pPr>
      <w:r w:rsidRPr="002D1680">
        <w:t>The Forum Compact Peer Review Report for Tonga 2012</w:t>
      </w:r>
      <w:r w:rsidR="00370C43" w:rsidRPr="002D1680">
        <w:rPr>
          <w:rStyle w:val="FootnoteReference"/>
          <w:position w:val="0"/>
          <w:sz w:val="22"/>
          <w:szCs w:val="24"/>
          <w:vertAlign w:val="superscript"/>
        </w:rPr>
        <w:footnoteReference w:id="39"/>
      </w:r>
      <w:r w:rsidRPr="002D1680">
        <w:t xml:space="preserve"> heralded TERM as a good model for how a government can manage a sector with a large number of stakeholders</w:t>
      </w:r>
      <w:r w:rsidR="004B5C07" w:rsidRPr="002D1680">
        <w:t>,</w:t>
      </w:r>
      <w:r w:rsidRPr="002D1680">
        <w:t xml:space="preserve"> including public sector agencies, private sector</w:t>
      </w:r>
      <w:r w:rsidR="004B5C07" w:rsidRPr="002D1680">
        <w:t xml:space="preserve"> organisations</w:t>
      </w:r>
      <w:r w:rsidRPr="002D1680">
        <w:t>, communities and development partners</w:t>
      </w:r>
      <w:r w:rsidR="00B617F2" w:rsidRPr="002D1680">
        <w:t xml:space="preserve">. </w:t>
      </w:r>
    </w:p>
    <w:p w:rsidR="00CE436D" w:rsidRPr="002D1680" w:rsidRDefault="00EB6C25" w:rsidP="002D1680">
      <w:pPr>
        <w:pStyle w:val="BodyText"/>
      </w:pPr>
      <w:r w:rsidRPr="002D1680">
        <w:t>In 2012</w:t>
      </w:r>
      <w:r w:rsidR="00F93493" w:rsidRPr="002D1680">
        <w:t>–</w:t>
      </w:r>
      <w:r w:rsidRPr="002D1680">
        <w:t>13</w:t>
      </w:r>
      <w:r w:rsidR="00F74C99" w:rsidRPr="002D1680">
        <w:t>,</w:t>
      </w:r>
      <w:r w:rsidRPr="002D1680">
        <w:t xml:space="preserve"> </w:t>
      </w:r>
      <w:r w:rsidR="00CE436D" w:rsidRPr="002D1680">
        <w:t>Australia work</w:t>
      </w:r>
      <w:r w:rsidRPr="002D1680">
        <w:t>ed</w:t>
      </w:r>
      <w:r w:rsidR="00CE436D" w:rsidRPr="002D1680">
        <w:t xml:space="preserve"> with the Asian Development Bank on</w:t>
      </w:r>
      <w:r w:rsidRPr="002D1680">
        <w:t xml:space="preserve"> arrangement</w:t>
      </w:r>
      <w:r w:rsidR="00CD446C" w:rsidRPr="002D1680">
        <w:t>s</w:t>
      </w:r>
      <w:r w:rsidRPr="002D1680">
        <w:t xml:space="preserve"> for </w:t>
      </w:r>
      <w:r w:rsidR="00CE436D" w:rsidRPr="002D1680">
        <w:t xml:space="preserve">a </w:t>
      </w:r>
      <w:r w:rsidRPr="002D1680">
        <w:t>$</w:t>
      </w:r>
      <w:r w:rsidR="00CD446C" w:rsidRPr="002D1680">
        <w:t>4.5</w:t>
      </w:r>
      <w:r w:rsidR="00F74C99" w:rsidRPr="002D1680">
        <w:t> </w:t>
      </w:r>
      <w:r w:rsidRPr="002D1680">
        <w:t>million</w:t>
      </w:r>
      <w:r w:rsidR="00D85005" w:rsidRPr="002D1680">
        <w:t xml:space="preserve"> project</w:t>
      </w:r>
      <w:r w:rsidR="00CD446C" w:rsidRPr="002D1680">
        <w:t xml:space="preserve"> over three years</w:t>
      </w:r>
      <w:r w:rsidR="004B5C07" w:rsidRPr="002D1680">
        <w:t>,</w:t>
      </w:r>
      <w:r w:rsidR="00CD446C" w:rsidRPr="002D1680">
        <w:t xml:space="preserve"> </w:t>
      </w:r>
      <w:r w:rsidR="00F74C99" w:rsidRPr="002D1680">
        <w:t xml:space="preserve">starting </w:t>
      </w:r>
      <w:r w:rsidR="00CD446C" w:rsidRPr="002D1680">
        <w:t>2013</w:t>
      </w:r>
      <w:r w:rsidR="00F93493" w:rsidRPr="002D1680">
        <w:t>–</w:t>
      </w:r>
      <w:r w:rsidR="00CD446C" w:rsidRPr="002D1680">
        <w:t>14</w:t>
      </w:r>
      <w:r w:rsidR="004B5C07" w:rsidRPr="002D1680">
        <w:t>,</w:t>
      </w:r>
      <w:r w:rsidR="00CE436D" w:rsidRPr="002D1680">
        <w:t xml:space="preserve"> that will install solar power on-grid and off-grid in nine outer islands</w:t>
      </w:r>
      <w:r w:rsidRPr="002D1680">
        <w:t>,</w:t>
      </w:r>
      <w:r w:rsidR="00CE436D" w:rsidRPr="002D1680">
        <w:t xml:space="preserve"> to help reduce Tonga’s dependency on imported fuel</w:t>
      </w:r>
      <w:r w:rsidR="00B617F2" w:rsidRPr="002D1680">
        <w:t xml:space="preserve">. </w:t>
      </w:r>
      <w:r w:rsidR="00A765BA" w:rsidRPr="002D1680">
        <w:t>The project</w:t>
      </w:r>
      <w:r w:rsidR="00CE436D" w:rsidRPr="002D1680">
        <w:t xml:space="preserve"> </w:t>
      </w:r>
      <w:r w:rsidR="005F5846" w:rsidRPr="002D1680">
        <w:t>w</w:t>
      </w:r>
      <w:r w:rsidR="00AA3C48" w:rsidRPr="002D1680">
        <w:t>as approved by the A</w:t>
      </w:r>
      <w:r w:rsidR="005F53E3" w:rsidRPr="002D1680">
        <w:t xml:space="preserve">sian </w:t>
      </w:r>
      <w:r w:rsidR="00AA3C48" w:rsidRPr="002D1680">
        <w:t>D</w:t>
      </w:r>
      <w:r w:rsidR="005F53E3" w:rsidRPr="002D1680">
        <w:t xml:space="preserve">evelopment </w:t>
      </w:r>
      <w:r w:rsidR="00AA3C48" w:rsidRPr="002D1680">
        <w:t>B</w:t>
      </w:r>
      <w:r w:rsidR="005F53E3" w:rsidRPr="002D1680">
        <w:t>ank</w:t>
      </w:r>
      <w:r w:rsidR="002B2A89" w:rsidRPr="002D1680">
        <w:t>’s</w:t>
      </w:r>
      <w:r w:rsidR="00AA3C48" w:rsidRPr="002D1680">
        <w:t xml:space="preserve"> Board on 27 June 2013</w:t>
      </w:r>
      <w:r w:rsidR="00B617F2" w:rsidRPr="002D1680">
        <w:t xml:space="preserve">. </w:t>
      </w:r>
      <w:r w:rsidR="00AA3C48" w:rsidRPr="002D1680">
        <w:t xml:space="preserve">Intermediate targets will be included in the next iteration of the </w:t>
      </w:r>
      <w:r w:rsidR="00F74C99" w:rsidRPr="002D1680">
        <w:t>i</w:t>
      </w:r>
      <w:r w:rsidR="00AA3C48" w:rsidRPr="002D1680">
        <w:t xml:space="preserve">nfrastructure </w:t>
      </w:r>
      <w:r w:rsidR="00F74C99" w:rsidRPr="002D1680">
        <w:t>s</w:t>
      </w:r>
      <w:r w:rsidR="00AA3C48" w:rsidRPr="002D1680">
        <w:t xml:space="preserve">chedule. </w:t>
      </w:r>
    </w:p>
    <w:p w:rsidR="005F5846" w:rsidRPr="002D1680" w:rsidRDefault="004B5C07" w:rsidP="002D1680">
      <w:pPr>
        <w:pStyle w:val="Heading2"/>
      </w:pPr>
      <w:r w:rsidRPr="002D1680">
        <w:lastRenderedPageBreak/>
        <w:t>P</w:t>
      </w:r>
      <w:r w:rsidR="005F5846" w:rsidRPr="002D1680">
        <w:t>rograms outside the Partnership</w:t>
      </w:r>
      <w:r w:rsidRPr="002D1680">
        <w:t xml:space="preserve"> for Development </w:t>
      </w:r>
      <w:r w:rsidR="005F5846" w:rsidRPr="002D1680">
        <w:t>framework</w:t>
      </w:r>
    </w:p>
    <w:p w:rsidR="005F5846" w:rsidRDefault="00EB6C25" w:rsidP="002D1680">
      <w:pPr>
        <w:pStyle w:val="BodyText"/>
      </w:pPr>
      <w:r>
        <w:t>In additional to bilateral aid</w:t>
      </w:r>
      <w:r w:rsidR="00E021E6">
        <w:t xml:space="preserve"> programs directly covered by the Partnership for Development</w:t>
      </w:r>
      <w:r>
        <w:t xml:space="preserve">, </w:t>
      </w:r>
      <w:r w:rsidR="005F5846">
        <w:t>Tonga benefits from a large number of regional and global programs funded by</w:t>
      </w:r>
      <w:r w:rsidR="0064627D">
        <w:t xml:space="preserve"> the Government of Australia</w:t>
      </w:r>
      <w:r w:rsidR="00F3374F">
        <w:t>.</w:t>
      </w:r>
      <w:r w:rsidR="005F5846">
        <w:t xml:space="preserve"> </w:t>
      </w:r>
      <w:r w:rsidR="00E021E6">
        <w:t>T</w:t>
      </w:r>
      <w:r w:rsidR="005F5846">
        <w:t xml:space="preserve">he </w:t>
      </w:r>
      <w:r w:rsidR="00E021E6">
        <w:t>most visible and important of these in Tonga</w:t>
      </w:r>
      <w:r w:rsidR="005F5846">
        <w:t xml:space="preserve"> </w:t>
      </w:r>
      <w:r w:rsidR="002B2A89">
        <w:t>are listed here.</w:t>
      </w:r>
      <w:r w:rsidR="005F5846" w:rsidRPr="009C05FE">
        <w:t xml:space="preserve"> </w:t>
      </w:r>
    </w:p>
    <w:p w:rsidR="005F5846" w:rsidRDefault="005F5846" w:rsidP="007D1A22">
      <w:pPr>
        <w:pStyle w:val="Heading3"/>
      </w:pPr>
      <w:r w:rsidRPr="009C05FE">
        <w:t>Pacific Seasonal Workers Pilot Scheme</w:t>
      </w:r>
    </w:p>
    <w:p w:rsidR="005F5846" w:rsidRDefault="005F5846" w:rsidP="002D1680">
      <w:pPr>
        <w:pStyle w:val="BodyText"/>
      </w:pPr>
      <w:r w:rsidRPr="000B7E04">
        <w:t xml:space="preserve">The </w:t>
      </w:r>
      <w:r>
        <w:t>Pacific Seasonal Workers Pilot Scheme</w:t>
      </w:r>
      <w:r w:rsidRPr="000B7E04">
        <w:t>, first announced in August 2008, allocated up to 2500</w:t>
      </w:r>
      <w:r w:rsidR="002B2A89">
        <w:t> </w:t>
      </w:r>
      <w:r w:rsidRPr="000B7E04">
        <w:t>visas for employment in Australia in the horticulture sector</w:t>
      </w:r>
      <w:r w:rsidR="00B617F2">
        <w:t xml:space="preserve">. </w:t>
      </w:r>
      <w:r w:rsidRPr="000B7E04">
        <w:t xml:space="preserve">Kiribati, Papua New Guinea, Tonga and Vanuatu were invited to participate in the </w:t>
      </w:r>
      <w:r w:rsidR="004B5C07">
        <w:t>p</w:t>
      </w:r>
      <w:r w:rsidRPr="000B7E04">
        <w:t>ilot</w:t>
      </w:r>
      <w:r w:rsidR="00EB6C25">
        <w:t xml:space="preserve"> scheme</w:t>
      </w:r>
      <w:r w:rsidR="00B617F2">
        <w:t xml:space="preserve">. </w:t>
      </w:r>
      <w:r w:rsidRPr="000B7E04">
        <w:t>Tonga has had the largest representation, with 1331 of the 1633 visas issued between 2009 and 2012 going to participants from Tonga</w:t>
      </w:r>
      <w:r w:rsidR="00F93493">
        <w:t>.</w:t>
      </w:r>
      <w:r w:rsidRPr="00641B7A">
        <w:rPr>
          <w:rStyle w:val="FootnoteReference"/>
          <w:rFonts w:ascii="Georgia" w:hAnsi="Georgia"/>
          <w:sz w:val="19"/>
          <w:szCs w:val="19"/>
          <w:vertAlign w:val="superscript"/>
        </w:rPr>
        <w:footnoteReference w:id="40"/>
      </w:r>
      <w:r w:rsidR="00B617F2">
        <w:t xml:space="preserve"> </w:t>
      </w:r>
    </w:p>
    <w:p w:rsidR="005F5846" w:rsidRPr="000B7E04" w:rsidRDefault="005F5846" w:rsidP="002D1680">
      <w:pPr>
        <w:pStyle w:val="BodyText"/>
      </w:pPr>
      <w:r>
        <w:t xml:space="preserve">Through the </w:t>
      </w:r>
      <w:r w:rsidR="004B5C07">
        <w:t xml:space="preserve">pilot scheme, </w:t>
      </w:r>
      <w:r w:rsidRPr="005C6ED6">
        <w:t>Australia</w:t>
      </w:r>
      <w:r w:rsidR="004B5C07">
        <w:t>n</w:t>
      </w:r>
      <w:r w:rsidRPr="005C6ED6">
        <w:t xml:space="preserve"> assistance </w:t>
      </w:r>
      <w:r w:rsidR="004B5C07">
        <w:t xml:space="preserve">is </w:t>
      </w:r>
      <w:r w:rsidR="00370C43">
        <w:t>countering</w:t>
      </w:r>
      <w:r w:rsidR="00370C43" w:rsidRPr="005C6ED6">
        <w:t xml:space="preserve"> </w:t>
      </w:r>
      <w:r w:rsidR="00370C43">
        <w:t>Tonga’s</w:t>
      </w:r>
      <w:r w:rsidR="004B5C07">
        <w:t xml:space="preserve"> </w:t>
      </w:r>
      <w:r w:rsidRPr="005C6ED6">
        <w:t xml:space="preserve">limited domestic employment options and increasing </w:t>
      </w:r>
      <w:r w:rsidR="004B5C07">
        <w:t>its</w:t>
      </w:r>
      <w:r w:rsidR="004B5C07" w:rsidRPr="005C6ED6">
        <w:t xml:space="preserve"> </w:t>
      </w:r>
      <w:r w:rsidRPr="005C6ED6">
        <w:t>remittance base</w:t>
      </w:r>
      <w:r w:rsidR="00B617F2">
        <w:t>.</w:t>
      </w:r>
      <w:r w:rsidR="004B5C07">
        <w:t xml:space="preserve"> D</w:t>
      </w:r>
      <w:r>
        <w:t xml:space="preserve">uring a recent review of the </w:t>
      </w:r>
      <w:r w:rsidR="004B5C07">
        <w:t>pilot scheme, Tongan officials acknowledged</w:t>
      </w:r>
      <w:r w:rsidR="004B5C07" w:rsidRPr="005C6ED6">
        <w:t xml:space="preserve"> </w:t>
      </w:r>
      <w:r>
        <w:t xml:space="preserve">that the scheme strongly </w:t>
      </w:r>
      <w:r w:rsidRPr="005C6ED6">
        <w:t xml:space="preserve">aligns with national priorities by directly contributing to the goal of poverty alleviation through employment </w:t>
      </w:r>
      <w:r w:rsidRPr="000B7E04">
        <w:t>opportunities and remittances</w:t>
      </w:r>
      <w:r w:rsidR="004B5C07">
        <w:t>. As</w:t>
      </w:r>
      <w:r w:rsidRPr="000B7E04">
        <w:t xml:space="preserve"> such</w:t>
      </w:r>
      <w:r w:rsidR="004B5C07">
        <w:t xml:space="preserve"> it</w:t>
      </w:r>
      <w:r w:rsidRPr="000B7E04">
        <w:t xml:space="preserve"> is highly valued</w:t>
      </w:r>
      <w:r w:rsidR="00F93493">
        <w:t>.</w:t>
      </w:r>
      <w:r w:rsidRPr="00641B7A">
        <w:rPr>
          <w:rStyle w:val="FootnoteReference"/>
          <w:rFonts w:ascii="Georgia" w:hAnsi="Georgia"/>
          <w:sz w:val="19"/>
          <w:szCs w:val="19"/>
          <w:vertAlign w:val="superscript"/>
        </w:rPr>
        <w:footnoteReference w:id="41"/>
      </w:r>
      <w:r w:rsidR="00B617F2">
        <w:t xml:space="preserve"> </w:t>
      </w:r>
    </w:p>
    <w:p w:rsidR="005F5846" w:rsidRDefault="005F5846" w:rsidP="007D1A22">
      <w:pPr>
        <w:pStyle w:val="Heading3"/>
      </w:pPr>
      <w:r w:rsidRPr="009C05FE">
        <w:t>P</w:t>
      </w:r>
      <w:r>
        <w:t xml:space="preserve">acific </w:t>
      </w:r>
      <w:r w:rsidRPr="009C05FE">
        <w:t>H</w:t>
      </w:r>
      <w:r>
        <w:t xml:space="preserve">orticultural and </w:t>
      </w:r>
      <w:r w:rsidRPr="009C05FE">
        <w:t>A</w:t>
      </w:r>
      <w:r>
        <w:t xml:space="preserve">gricultural </w:t>
      </w:r>
      <w:r w:rsidRPr="009C05FE">
        <w:t>M</w:t>
      </w:r>
      <w:r>
        <w:t xml:space="preserve">arket </w:t>
      </w:r>
      <w:r w:rsidRPr="009C05FE">
        <w:t>A</w:t>
      </w:r>
      <w:r>
        <w:t xml:space="preserve">ccess </w:t>
      </w:r>
      <w:r w:rsidR="004B5C07">
        <w:t>p</w:t>
      </w:r>
      <w:r>
        <w:t>rogram</w:t>
      </w:r>
    </w:p>
    <w:p w:rsidR="005F5846" w:rsidRDefault="005F5846" w:rsidP="002D1680">
      <w:pPr>
        <w:pStyle w:val="BodyText"/>
        <w:rPr>
          <w:lang w:eastAsia="en-GB"/>
        </w:rPr>
      </w:pPr>
      <w:r w:rsidRPr="00540403">
        <w:rPr>
          <w:lang w:eastAsia="en-GB"/>
        </w:rPr>
        <w:t>An Australian</w:t>
      </w:r>
      <w:r w:rsidR="002B2A89">
        <w:rPr>
          <w:lang w:eastAsia="en-GB"/>
        </w:rPr>
        <w:t>-</w:t>
      </w:r>
      <w:r w:rsidRPr="00540403">
        <w:rPr>
          <w:lang w:eastAsia="en-GB"/>
        </w:rPr>
        <w:t xml:space="preserve">supported regional program, the </w:t>
      </w:r>
      <w:r w:rsidR="004B5C07">
        <w:rPr>
          <w:lang w:eastAsia="en-GB"/>
        </w:rPr>
        <w:t>Pacific Horticultural and Agricultural Market Access program</w:t>
      </w:r>
      <w:r w:rsidRPr="00540403">
        <w:rPr>
          <w:lang w:eastAsia="en-GB"/>
        </w:rPr>
        <w:t xml:space="preserve"> focuses on addressing challenges </w:t>
      </w:r>
      <w:r w:rsidR="004B5C07">
        <w:rPr>
          <w:lang w:eastAsia="en-GB"/>
        </w:rPr>
        <w:t>with the</w:t>
      </w:r>
      <w:r w:rsidRPr="00540403">
        <w:rPr>
          <w:lang w:eastAsia="en-GB"/>
        </w:rPr>
        <w:t xml:space="preserve"> regulatory processes associated with market access for high-quality primary products from Pacific </w:t>
      </w:r>
      <w:r w:rsidR="004B5C07">
        <w:rPr>
          <w:lang w:eastAsia="en-GB"/>
        </w:rPr>
        <w:t>i</w:t>
      </w:r>
      <w:r w:rsidRPr="00540403">
        <w:rPr>
          <w:lang w:eastAsia="en-GB"/>
        </w:rPr>
        <w:t xml:space="preserve">sland </w:t>
      </w:r>
      <w:r w:rsidR="004B5C07">
        <w:rPr>
          <w:lang w:eastAsia="en-GB"/>
        </w:rPr>
        <w:t>c</w:t>
      </w:r>
      <w:r w:rsidRPr="00540403">
        <w:rPr>
          <w:lang w:eastAsia="en-GB"/>
        </w:rPr>
        <w:t xml:space="preserve">ountries and </w:t>
      </w:r>
      <w:r w:rsidR="004B5C07">
        <w:rPr>
          <w:lang w:eastAsia="en-GB"/>
        </w:rPr>
        <w:t>t</w:t>
      </w:r>
      <w:r w:rsidRPr="00540403">
        <w:rPr>
          <w:lang w:eastAsia="en-GB"/>
        </w:rPr>
        <w:t>erritories</w:t>
      </w:r>
      <w:r w:rsidR="00B617F2">
        <w:rPr>
          <w:lang w:eastAsia="en-GB"/>
        </w:rPr>
        <w:t xml:space="preserve">. </w:t>
      </w:r>
      <w:r w:rsidRPr="00540403">
        <w:rPr>
          <w:lang w:eastAsia="en-GB"/>
        </w:rPr>
        <w:t>The</w:t>
      </w:r>
      <w:r w:rsidR="004B5C07">
        <w:rPr>
          <w:lang w:eastAsia="en-GB"/>
        </w:rPr>
        <w:t xml:space="preserve"> program’s</w:t>
      </w:r>
      <w:r w:rsidRPr="00540403">
        <w:rPr>
          <w:lang w:eastAsia="en-GB"/>
        </w:rPr>
        <w:t xml:space="preserve"> rationale lies in </w:t>
      </w:r>
      <w:r w:rsidRPr="00ED126D">
        <w:rPr>
          <w:lang w:eastAsia="en-GB"/>
        </w:rPr>
        <w:t xml:space="preserve">realising the export potential of high-value, non-commodity products from </w:t>
      </w:r>
      <w:r w:rsidR="004B5C07">
        <w:rPr>
          <w:lang w:eastAsia="en-GB"/>
        </w:rPr>
        <w:t>these countries and territories</w:t>
      </w:r>
      <w:r w:rsidRPr="00ED126D">
        <w:rPr>
          <w:lang w:eastAsia="en-GB"/>
        </w:rPr>
        <w:t>, thereby generating national revenue and stimulating</w:t>
      </w:r>
      <w:r w:rsidR="004B5C07">
        <w:rPr>
          <w:lang w:eastAsia="en-GB"/>
        </w:rPr>
        <w:t xml:space="preserve"> their</w:t>
      </w:r>
      <w:r w:rsidRPr="00ED126D">
        <w:rPr>
          <w:lang w:eastAsia="en-GB"/>
        </w:rPr>
        <w:t xml:space="preserve"> economic growth</w:t>
      </w:r>
      <w:r w:rsidR="00B617F2">
        <w:rPr>
          <w:lang w:eastAsia="en-GB"/>
        </w:rPr>
        <w:t xml:space="preserve">. </w:t>
      </w:r>
      <w:r w:rsidRPr="00ED126D">
        <w:rPr>
          <w:lang w:eastAsia="en-GB"/>
        </w:rPr>
        <w:t>With agriculture representing one of the three key sectors supporting its economy, Tonga has a vested interest in diversifying its agricultural base</w:t>
      </w:r>
      <w:r w:rsidR="00B617F2">
        <w:rPr>
          <w:lang w:eastAsia="en-GB"/>
        </w:rPr>
        <w:t xml:space="preserve">. </w:t>
      </w:r>
      <w:r w:rsidRPr="00ED126D">
        <w:rPr>
          <w:lang w:eastAsia="en-GB"/>
        </w:rPr>
        <w:t>As such, Tonga has been an active participant in and beneficiary of the program</w:t>
      </w:r>
      <w:r w:rsidR="00B617F2">
        <w:rPr>
          <w:lang w:eastAsia="en-GB"/>
        </w:rPr>
        <w:t xml:space="preserve">. </w:t>
      </w:r>
    </w:p>
    <w:p w:rsidR="005F5846" w:rsidRPr="001D7A35" w:rsidRDefault="005F5846" w:rsidP="002D1680">
      <w:pPr>
        <w:pStyle w:val="BodyText"/>
        <w:rPr>
          <w:lang w:val="en-NZ"/>
        </w:rPr>
      </w:pPr>
      <w:r w:rsidRPr="00ED126D">
        <w:rPr>
          <w:lang w:eastAsia="en-GB"/>
        </w:rPr>
        <w:t>Several key market access challenges were resolved in 2012</w:t>
      </w:r>
      <w:r w:rsidR="00F93493">
        <w:rPr>
          <w:lang w:eastAsia="en-GB"/>
        </w:rPr>
        <w:t>–</w:t>
      </w:r>
      <w:r w:rsidRPr="00ED126D">
        <w:rPr>
          <w:lang w:eastAsia="en-GB"/>
        </w:rPr>
        <w:t>2013</w:t>
      </w:r>
      <w:r>
        <w:rPr>
          <w:lang w:eastAsia="en-GB"/>
        </w:rPr>
        <w:t>. These included opening new market access pathways, notably</w:t>
      </w:r>
      <w:r w:rsidR="00AF3F94">
        <w:rPr>
          <w:lang w:eastAsia="en-GB"/>
        </w:rPr>
        <w:t xml:space="preserve"> through</w:t>
      </w:r>
      <w:r w:rsidRPr="00ED126D">
        <w:rPr>
          <w:lang w:eastAsia="en-GB"/>
        </w:rPr>
        <w:t xml:space="preserve"> </w:t>
      </w:r>
      <w:r>
        <w:rPr>
          <w:lang w:eastAsia="en-GB"/>
        </w:rPr>
        <w:t xml:space="preserve">a </w:t>
      </w:r>
      <w:r w:rsidRPr="00ED126D">
        <w:rPr>
          <w:rFonts w:cs="Calibri"/>
          <w:bCs/>
          <w:lang w:eastAsia="en-GB"/>
        </w:rPr>
        <w:t>trial shipment of sweet yams sent to New Zealand in late 2012</w:t>
      </w:r>
      <w:r>
        <w:rPr>
          <w:rFonts w:cs="Calibri"/>
          <w:bCs/>
          <w:lang w:eastAsia="en-GB"/>
        </w:rPr>
        <w:t>, reopening previous market access pathways (taro to Australia, frozen root vegetables to New Zealand and watermelons to Samoa)</w:t>
      </w:r>
      <w:r w:rsidR="00B617F2">
        <w:rPr>
          <w:rFonts w:cs="Calibri"/>
          <w:bCs/>
          <w:lang w:eastAsia="en-GB"/>
        </w:rPr>
        <w:t xml:space="preserve">. </w:t>
      </w:r>
      <w:r>
        <w:rPr>
          <w:rFonts w:cs="Calibri"/>
          <w:bCs/>
          <w:lang w:eastAsia="en-GB"/>
        </w:rPr>
        <w:t>The program has also ensured</w:t>
      </w:r>
      <w:r w:rsidR="00AF3F94">
        <w:rPr>
          <w:rFonts w:cs="Calibri"/>
          <w:bCs/>
          <w:lang w:eastAsia="en-GB"/>
        </w:rPr>
        <w:t xml:space="preserve"> that</w:t>
      </w:r>
      <w:r>
        <w:rPr>
          <w:rFonts w:cs="Calibri"/>
          <w:bCs/>
          <w:lang w:eastAsia="en-GB"/>
        </w:rPr>
        <w:t xml:space="preserve"> the export of watermelon to New Zealand remained viable by dealing with</w:t>
      </w:r>
      <w:r w:rsidR="00AF3F94">
        <w:rPr>
          <w:rFonts w:cs="Calibri"/>
          <w:bCs/>
          <w:lang w:eastAsia="en-GB"/>
        </w:rPr>
        <w:t xml:space="preserve"> the</w:t>
      </w:r>
      <w:r>
        <w:rPr>
          <w:rFonts w:cs="Calibri"/>
          <w:bCs/>
          <w:lang w:eastAsia="en-GB"/>
        </w:rPr>
        <w:t xml:space="preserve"> quarantine issues that arose in 2011.</w:t>
      </w:r>
      <w:r w:rsidR="00243C0B">
        <w:rPr>
          <w:rStyle w:val="FootnoteReference"/>
          <w:rFonts w:cs="Calibri"/>
          <w:bCs/>
          <w:lang w:eastAsia="en-GB"/>
        </w:rPr>
        <w:footnoteReference w:id="42"/>
      </w:r>
      <w:r>
        <w:rPr>
          <w:rFonts w:cs="Calibri"/>
          <w:bCs/>
          <w:lang w:eastAsia="en-GB"/>
        </w:rPr>
        <w:t xml:space="preserve"> </w:t>
      </w:r>
      <w:r w:rsidR="00AF3F94">
        <w:rPr>
          <w:lang w:eastAsia="en-GB"/>
        </w:rPr>
        <w:t>T</w:t>
      </w:r>
      <w:r w:rsidRPr="001D7A35">
        <w:rPr>
          <w:lang w:eastAsia="en-GB"/>
        </w:rPr>
        <w:t>he value of additional agricultural production in 2012</w:t>
      </w:r>
      <w:r w:rsidR="00F93493">
        <w:rPr>
          <w:lang w:eastAsia="en-GB"/>
        </w:rPr>
        <w:t>–</w:t>
      </w:r>
      <w:r w:rsidRPr="001D7A35">
        <w:rPr>
          <w:lang w:eastAsia="en-GB"/>
        </w:rPr>
        <w:t xml:space="preserve">13 enabled by Australian assistance </w:t>
      </w:r>
      <w:r w:rsidR="00AF3F94">
        <w:rPr>
          <w:lang w:eastAsia="en-GB"/>
        </w:rPr>
        <w:t>is estimated at</w:t>
      </w:r>
      <w:r w:rsidRPr="001D7A35">
        <w:rPr>
          <w:lang w:eastAsia="en-GB"/>
        </w:rPr>
        <w:t xml:space="preserve"> US$230</w:t>
      </w:r>
      <w:r w:rsidR="00F93493">
        <w:rPr>
          <w:lang w:eastAsia="en-GB"/>
        </w:rPr>
        <w:t xml:space="preserve"> </w:t>
      </w:r>
      <w:r w:rsidRPr="001D7A35">
        <w:rPr>
          <w:lang w:eastAsia="en-GB"/>
        </w:rPr>
        <w:t>000; with likely benefits in 2013</w:t>
      </w:r>
      <w:r w:rsidR="00F93493">
        <w:rPr>
          <w:lang w:eastAsia="en-GB"/>
        </w:rPr>
        <w:t>–</w:t>
      </w:r>
      <w:r w:rsidRPr="001D7A35">
        <w:rPr>
          <w:lang w:eastAsia="en-GB"/>
        </w:rPr>
        <w:t xml:space="preserve">14 from work already in hand </w:t>
      </w:r>
      <w:r w:rsidR="00AF3F94">
        <w:rPr>
          <w:lang w:eastAsia="en-GB"/>
        </w:rPr>
        <w:t xml:space="preserve">estimated at </w:t>
      </w:r>
      <w:r w:rsidRPr="001D7A35">
        <w:rPr>
          <w:lang w:eastAsia="en-GB"/>
        </w:rPr>
        <w:t>up to US$1</w:t>
      </w:r>
      <w:r w:rsidR="00F93493">
        <w:rPr>
          <w:lang w:eastAsia="en-GB"/>
        </w:rPr>
        <w:t xml:space="preserve"> </w:t>
      </w:r>
      <w:r w:rsidRPr="001D7A35">
        <w:rPr>
          <w:lang w:eastAsia="en-GB"/>
        </w:rPr>
        <w:t>000</w:t>
      </w:r>
      <w:r w:rsidR="00F93493">
        <w:rPr>
          <w:lang w:eastAsia="en-GB"/>
        </w:rPr>
        <w:t xml:space="preserve"> </w:t>
      </w:r>
      <w:r w:rsidRPr="001D7A35">
        <w:rPr>
          <w:lang w:eastAsia="en-GB"/>
        </w:rPr>
        <w:t>000</w:t>
      </w:r>
      <w:r w:rsidR="00F93493">
        <w:rPr>
          <w:lang w:eastAsia="en-GB"/>
        </w:rPr>
        <w:t>.</w:t>
      </w:r>
      <w:r w:rsidR="00243C0B">
        <w:rPr>
          <w:rStyle w:val="FootnoteReference"/>
          <w:lang w:eastAsia="en-GB"/>
        </w:rPr>
        <w:footnoteReference w:id="43"/>
      </w:r>
      <w:r w:rsidRPr="001D7A35">
        <w:rPr>
          <w:lang w:eastAsia="en-GB"/>
        </w:rPr>
        <w:t xml:space="preserve"> </w:t>
      </w:r>
    </w:p>
    <w:p w:rsidR="005F5846" w:rsidRPr="002D1680" w:rsidRDefault="005F5846" w:rsidP="007D1A22">
      <w:pPr>
        <w:pStyle w:val="Heading3"/>
      </w:pPr>
      <w:r w:rsidRPr="002D1680">
        <w:t xml:space="preserve">Disaster preparedness </w:t>
      </w:r>
    </w:p>
    <w:p w:rsidR="005F5846" w:rsidRPr="002D1680" w:rsidRDefault="005F5846" w:rsidP="002D1680">
      <w:pPr>
        <w:pStyle w:val="BodyText"/>
      </w:pPr>
      <w:r w:rsidRPr="002D1680">
        <w:t>Although not a partnership priority, Tonga’s vulnerability to disasters makes this an area of increasing importance in the Australia</w:t>
      </w:r>
      <w:r w:rsidR="00F93493" w:rsidRPr="002D1680">
        <w:t xml:space="preserve"> </w:t>
      </w:r>
      <w:r w:rsidR="00AF3F94" w:rsidRPr="002D1680">
        <w:t xml:space="preserve">– </w:t>
      </w:r>
      <w:r w:rsidRPr="002D1680">
        <w:t>Tonga relationship</w:t>
      </w:r>
      <w:r w:rsidR="00B617F2" w:rsidRPr="002D1680">
        <w:t xml:space="preserve">. </w:t>
      </w:r>
      <w:r w:rsidRPr="002D1680">
        <w:t>In October 2012</w:t>
      </w:r>
      <w:r w:rsidR="00AF3F94" w:rsidRPr="002D1680">
        <w:t>,</w:t>
      </w:r>
      <w:r w:rsidRPr="002D1680">
        <w:t xml:space="preserve"> Australia launched its Pacific Regional Disaster Risk Management program</w:t>
      </w:r>
      <w:r w:rsidR="00B617F2" w:rsidRPr="002D1680">
        <w:t xml:space="preserve">. </w:t>
      </w:r>
      <w:r w:rsidRPr="002D1680">
        <w:t>The Pacific Risk Resilience component, implemented by the United Nations Development Program</w:t>
      </w:r>
      <w:r w:rsidR="00DB297F" w:rsidRPr="002D1680">
        <w:t>me</w:t>
      </w:r>
      <w:r w:rsidRPr="002D1680">
        <w:t xml:space="preserve">’s </w:t>
      </w:r>
      <w:r w:rsidRPr="002D1680">
        <w:lastRenderedPageBreak/>
        <w:t xml:space="preserve">Pacific Centre, undertook a situational analysis in Tonga and </w:t>
      </w:r>
      <w:r w:rsidR="00AF3F94" w:rsidRPr="002D1680">
        <w:t xml:space="preserve">developed </w:t>
      </w:r>
      <w:r w:rsidRPr="002D1680">
        <w:t>a work</w:t>
      </w:r>
      <w:r w:rsidR="008E2780" w:rsidRPr="002D1680">
        <w:t xml:space="preserve"> </w:t>
      </w:r>
      <w:r w:rsidRPr="002D1680">
        <w:t xml:space="preserve">plan in early 2013 to support mainstreaming </w:t>
      </w:r>
      <w:r w:rsidR="00AF3F94" w:rsidRPr="002D1680">
        <w:t>d</w:t>
      </w:r>
      <w:r w:rsidRPr="002D1680">
        <w:t xml:space="preserve">isaster </w:t>
      </w:r>
      <w:r w:rsidR="00AF3F94" w:rsidRPr="002D1680">
        <w:t>r</w:t>
      </w:r>
      <w:r w:rsidRPr="002D1680">
        <w:t xml:space="preserve">isk </w:t>
      </w:r>
      <w:r w:rsidR="00AF3F94" w:rsidRPr="002D1680">
        <w:t>m</w:t>
      </w:r>
      <w:r w:rsidRPr="002D1680">
        <w:t xml:space="preserve">anagement and </w:t>
      </w:r>
      <w:r w:rsidR="00AF3F94" w:rsidRPr="002D1680">
        <w:t>c</w:t>
      </w:r>
      <w:r w:rsidRPr="002D1680">
        <w:t xml:space="preserve">limate </w:t>
      </w:r>
      <w:r w:rsidR="00AF3F94" w:rsidRPr="002D1680">
        <w:t>c</w:t>
      </w:r>
      <w:r w:rsidRPr="002D1680">
        <w:t xml:space="preserve">hange </w:t>
      </w:r>
      <w:r w:rsidR="00AF3F94" w:rsidRPr="002D1680">
        <w:t>a</w:t>
      </w:r>
      <w:r w:rsidRPr="002D1680">
        <w:t xml:space="preserve">ctivities into development planning and budgeting at all levels of government, and to strengthen community resilience through targeted and inclusive community based </w:t>
      </w:r>
      <w:r w:rsidR="00AF3F94" w:rsidRPr="002D1680">
        <w:t>disaster risk and climate change activities</w:t>
      </w:r>
      <w:r w:rsidR="00B617F2" w:rsidRPr="002D1680">
        <w:t xml:space="preserve">. </w:t>
      </w:r>
      <w:r w:rsidRPr="002D1680">
        <w:t>The work</w:t>
      </w:r>
      <w:r w:rsidR="00142596" w:rsidRPr="002D1680">
        <w:t xml:space="preserve"> </w:t>
      </w:r>
      <w:r w:rsidRPr="002D1680">
        <w:t xml:space="preserve">plan will be submitted for the </w:t>
      </w:r>
      <w:r w:rsidR="00CF6A77" w:rsidRPr="002D1680">
        <w:t>Government of Tonga</w:t>
      </w:r>
      <w:r w:rsidR="00AF3F94" w:rsidRPr="002D1680">
        <w:t xml:space="preserve"> to</w:t>
      </w:r>
      <w:r w:rsidRPr="002D1680">
        <w:t xml:space="preserve"> approv</w:t>
      </w:r>
      <w:r w:rsidR="00AF3F94" w:rsidRPr="002D1680">
        <w:t>e</w:t>
      </w:r>
      <w:r w:rsidRPr="002D1680">
        <w:t xml:space="preserve"> in August 2013</w:t>
      </w:r>
      <w:r w:rsidR="00AF3F94" w:rsidRPr="002D1680">
        <w:t xml:space="preserve"> and the</w:t>
      </w:r>
      <w:r w:rsidR="00932BA6" w:rsidRPr="002D1680">
        <w:t xml:space="preserve">n </w:t>
      </w:r>
      <w:r w:rsidRPr="002D1680">
        <w:t>implementation will begin</w:t>
      </w:r>
      <w:r w:rsidR="00B617F2" w:rsidRPr="002D1680">
        <w:t xml:space="preserve">. </w:t>
      </w:r>
      <w:r w:rsidRPr="002D1680">
        <w:t xml:space="preserve">Further assistance to Tonga is anticipated, </w:t>
      </w:r>
      <w:r w:rsidR="008E2780" w:rsidRPr="002D1680">
        <w:t>such as</w:t>
      </w:r>
      <w:r w:rsidRPr="002D1680">
        <w:t xml:space="preserve"> </w:t>
      </w:r>
      <w:r w:rsidR="00A30415" w:rsidRPr="002D1680">
        <w:t>support for the</w:t>
      </w:r>
      <w:r w:rsidRPr="002D1680">
        <w:t xml:space="preserve"> twinning arrangement between the South Australian Fire Service and Tonga Fire Service being set up as part of a regional program focusing on twinning arrangements between Australian, New Zealand and Pacific countr</w:t>
      </w:r>
      <w:r w:rsidR="00A30415" w:rsidRPr="002D1680">
        <w:t>y</w:t>
      </w:r>
      <w:r w:rsidRPr="002D1680">
        <w:t xml:space="preserve"> fire services. </w:t>
      </w:r>
    </w:p>
    <w:p w:rsidR="005F5846" w:rsidRPr="002D1680" w:rsidRDefault="005F5846" w:rsidP="007D1A22">
      <w:pPr>
        <w:pStyle w:val="Heading3"/>
      </w:pPr>
      <w:r w:rsidRPr="002D1680">
        <w:t xml:space="preserve">Law and </w:t>
      </w:r>
      <w:r w:rsidR="00F93493" w:rsidRPr="002D1680">
        <w:t>o</w:t>
      </w:r>
      <w:r w:rsidRPr="002D1680">
        <w:t>rder</w:t>
      </w:r>
    </w:p>
    <w:p w:rsidR="00167975" w:rsidRPr="002D1680" w:rsidRDefault="00167975" w:rsidP="002D1680">
      <w:pPr>
        <w:pStyle w:val="BodyText"/>
      </w:pPr>
      <w:r w:rsidRPr="002D1680">
        <w:t>The Australian Federal Police</w:t>
      </w:r>
      <w:r w:rsidR="00560D57" w:rsidRPr="002D1680">
        <w:t xml:space="preserve"> (AFP)</w:t>
      </w:r>
      <w:r w:rsidRPr="002D1680">
        <w:t xml:space="preserve"> </w:t>
      </w:r>
      <w:r w:rsidR="00142596" w:rsidRPr="002D1680">
        <w:t xml:space="preserve">is </w:t>
      </w:r>
      <w:r w:rsidR="00DE77B1" w:rsidRPr="002D1680">
        <w:t>part of a trilateral Tonga Police Development Program. The program</w:t>
      </w:r>
      <w:r w:rsidR="00A30415" w:rsidRPr="002D1680">
        <w:t>,</w:t>
      </w:r>
      <w:r w:rsidR="00DE77B1" w:rsidRPr="002D1680">
        <w:t xml:space="preserve"> conducted in partnership with Tonga and New Zealand</w:t>
      </w:r>
      <w:r w:rsidR="00A30415" w:rsidRPr="002D1680">
        <w:t>,</w:t>
      </w:r>
      <w:r w:rsidR="00DE77B1" w:rsidRPr="002D1680">
        <w:t xml:space="preserve"> help</w:t>
      </w:r>
      <w:r w:rsidR="00A30415" w:rsidRPr="002D1680">
        <w:t>s</w:t>
      </w:r>
      <w:r w:rsidR="00DE77B1" w:rsidRPr="002D1680">
        <w:t xml:space="preserve"> improve the </w:t>
      </w:r>
      <w:r w:rsidR="005F5846" w:rsidRPr="002D1680">
        <w:t xml:space="preserve">performance of </w:t>
      </w:r>
      <w:r w:rsidR="00DE77B1" w:rsidRPr="002D1680">
        <w:t>Tonga’s</w:t>
      </w:r>
      <w:r w:rsidR="005F5846" w:rsidRPr="002D1680">
        <w:t xml:space="preserve"> police force</w:t>
      </w:r>
      <w:r w:rsidR="00B617F2" w:rsidRPr="002D1680">
        <w:t xml:space="preserve">. </w:t>
      </w:r>
      <w:r w:rsidR="005F5846" w:rsidRPr="002D1680">
        <w:t xml:space="preserve">Annex A </w:t>
      </w:r>
      <w:r w:rsidR="00A30415" w:rsidRPr="002D1680">
        <w:t>has more</w:t>
      </w:r>
      <w:r w:rsidR="00DE77B1" w:rsidRPr="002D1680">
        <w:t xml:space="preserve"> </w:t>
      </w:r>
      <w:r w:rsidR="005F5846" w:rsidRPr="002D1680">
        <w:t>details of the Tonga</w:t>
      </w:r>
      <w:r w:rsidR="00F93493" w:rsidRPr="002D1680">
        <w:t xml:space="preserve"> – </w:t>
      </w:r>
      <w:r w:rsidR="005F5846" w:rsidRPr="002D1680">
        <w:t>Australia Police Partnership managed by the A</w:t>
      </w:r>
      <w:r w:rsidR="00560D57" w:rsidRPr="002D1680">
        <w:t>FP</w:t>
      </w:r>
      <w:r w:rsidR="005F5846" w:rsidRPr="002D1680">
        <w:t>.</w:t>
      </w:r>
    </w:p>
    <w:p w:rsidR="00180B19" w:rsidRPr="002D1680" w:rsidRDefault="00484EB9" w:rsidP="002D1680">
      <w:pPr>
        <w:pStyle w:val="Heading2"/>
      </w:pPr>
      <w:r w:rsidRPr="002D1680">
        <w:t>Q</w:t>
      </w:r>
      <w:r w:rsidR="00180B19" w:rsidRPr="002D1680">
        <w:t xml:space="preserve">uality at </w:t>
      </w:r>
      <w:r w:rsidR="00F93493" w:rsidRPr="002D1680">
        <w:t>i</w:t>
      </w:r>
      <w:r w:rsidR="00180B19" w:rsidRPr="002D1680">
        <w:t>mplementation ratings</w:t>
      </w:r>
    </w:p>
    <w:p w:rsidR="00DE6012" w:rsidRPr="000C4D3A" w:rsidRDefault="00393543" w:rsidP="002D1680">
      <w:pPr>
        <w:pStyle w:val="BodyText"/>
      </w:pPr>
      <w:r w:rsidRPr="000C4D3A">
        <w:t>Gender equality ratings continue to be of greatest concern in</w:t>
      </w:r>
      <w:r w:rsidR="00A678AC">
        <w:t xml:space="preserve"> Q</w:t>
      </w:r>
      <w:r w:rsidRPr="000C4D3A">
        <w:t xml:space="preserve">uality at </w:t>
      </w:r>
      <w:r w:rsidR="00A678AC">
        <w:t>I</w:t>
      </w:r>
      <w:r w:rsidRPr="000C4D3A">
        <w:t xml:space="preserve">mplementation </w:t>
      </w:r>
      <w:r w:rsidR="002B2A89">
        <w:t xml:space="preserve">(QAI) </w:t>
      </w:r>
      <w:r w:rsidRPr="000C4D3A">
        <w:t>reporting. Very limited or no consideration of gender in earlier designs or in partner government programs has made significant progress within the current portfolio of initiatives</w:t>
      </w:r>
      <w:r w:rsidR="00A30415">
        <w:t xml:space="preserve"> difficult</w:t>
      </w:r>
      <w:r w:rsidR="00B617F2">
        <w:t xml:space="preserve">. </w:t>
      </w:r>
      <w:r w:rsidR="00A30415">
        <w:t>G</w:t>
      </w:r>
      <w:r w:rsidRPr="000C4D3A">
        <w:t xml:space="preserve">reater focus on gender equality, including measuring impacts of programs on </w:t>
      </w:r>
      <w:r w:rsidR="00AE1C14" w:rsidRPr="000C4D3A">
        <w:t>women</w:t>
      </w:r>
      <w:r w:rsidR="00AE1C14">
        <w:t>, men</w:t>
      </w:r>
      <w:r w:rsidRPr="000C4D3A">
        <w:t>,</w:t>
      </w:r>
      <w:r w:rsidR="00360AB0">
        <w:t xml:space="preserve"> boys and girls</w:t>
      </w:r>
      <w:r w:rsidR="00A30415">
        <w:t>,</w:t>
      </w:r>
      <w:r w:rsidRPr="000C4D3A">
        <w:t xml:space="preserve"> has been </w:t>
      </w:r>
      <w:r w:rsidR="00A30415">
        <w:t>incorporated</w:t>
      </w:r>
      <w:r w:rsidR="00A30415" w:rsidRPr="000C4D3A">
        <w:t xml:space="preserve"> </w:t>
      </w:r>
      <w:r w:rsidR="00A30415">
        <w:t>into</w:t>
      </w:r>
      <w:r w:rsidR="00A30415" w:rsidRPr="000C4D3A">
        <w:t xml:space="preserve"> </w:t>
      </w:r>
      <w:r w:rsidRPr="000C4D3A">
        <w:t xml:space="preserve">new program designs </w:t>
      </w:r>
      <w:r w:rsidR="00FD582B">
        <w:t xml:space="preserve">for education and TVET </w:t>
      </w:r>
      <w:r w:rsidRPr="000C4D3A">
        <w:t>and a delivery strategy</w:t>
      </w:r>
      <w:r w:rsidR="00FD582B">
        <w:t xml:space="preserve"> for economic and public sector reform</w:t>
      </w:r>
      <w:r w:rsidR="00A30415">
        <w:t xml:space="preserve"> </w:t>
      </w:r>
      <w:r w:rsidR="0085409E">
        <w:t xml:space="preserve">was </w:t>
      </w:r>
      <w:r w:rsidR="00A30415">
        <w:t>developed</w:t>
      </w:r>
      <w:r w:rsidR="00B617F2">
        <w:t xml:space="preserve">. </w:t>
      </w:r>
      <w:r w:rsidRPr="000C4D3A">
        <w:t>A new work</w:t>
      </w:r>
      <w:r w:rsidR="00E73161">
        <w:t xml:space="preserve"> </w:t>
      </w:r>
      <w:r w:rsidRPr="000C4D3A">
        <w:t>plan</w:t>
      </w:r>
      <w:r w:rsidR="00A30415">
        <w:t>, to be developed</w:t>
      </w:r>
      <w:r w:rsidRPr="000C4D3A">
        <w:t xml:space="preserve"> under the Pacific Women Shaping Pacific Development </w:t>
      </w:r>
      <w:r w:rsidR="008E2780">
        <w:t>I</w:t>
      </w:r>
      <w:r w:rsidRPr="000C4D3A">
        <w:t>nitiative</w:t>
      </w:r>
      <w:r w:rsidR="00A30415">
        <w:t>,</w:t>
      </w:r>
      <w:r w:rsidRPr="000C4D3A">
        <w:t xml:space="preserve"> will identify opportunities to achieve greater gender equality outcomes in Tonga through new and existing initiatives. </w:t>
      </w:r>
    </w:p>
    <w:p w:rsidR="00151E35" w:rsidRPr="000C4D3A" w:rsidRDefault="00151E35" w:rsidP="002D1680">
      <w:pPr>
        <w:pStyle w:val="BodyText"/>
      </w:pPr>
      <w:r w:rsidRPr="000C4D3A">
        <w:t xml:space="preserve">All </w:t>
      </w:r>
      <w:r w:rsidR="00393543" w:rsidRPr="000C4D3A">
        <w:t xml:space="preserve">current </w:t>
      </w:r>
      <w:r w:rsidRPr="000C4D3A">
        <w:t xml:space="preserve">initiatives in the Tonga program remain highly relevant to </w:t>
      </w:r>
      <w:r w:rsidR="00A30415">
        <w:t>the country</w:t>
      </w:r>
      <w:r w:rsidRPr="000C4D3A">
        <w:t>’s development priorit</w:t>
      </w:r>
      <w:r w:rsidR="00393543" w:rsidRPr="000C4D3A">
        <w:t xml:space="preserve">ies. The effectiveness of </w:t>
      </w:r>
      <w:r w:rsidR="00A30415">
        <w:t>most</w:t>
      </w:r>
      <w:r w:rsidR="00393543" w:rsidRPr="000C4D3A">
        <w:t xml:space="preserve"> initiatives</w:t>
      </w:r>
      <w:r w:rsidR="00A30415">
        <w:t xml:space="preserve"> across the program</w:t>
      </w:r>
      <w:r w:rsidR="00393543" w:rsidRPr="000C4D3A">
        <w:t xml:space="preserve"> remains adequate and efficiency continues to be less than </w:t>
      </w:r>
      <w:r w:rsidR="00A30415">
        <w:t>adequate. This</w:t>
      </w:r>
      <w:r w:rsidR="00393543" w:rsidRPr="000C4D3A">
        <w:t xml:space="preserve"> mirror</w:t>
      </w:r>
      <w:r w:rsidR="00A30415">
        <w:t>s</w:t>
      </w:r>
      <w:r w:rsidR="00393543" w:rsidRPr="000C4D3A">
        <w:t xml:space="preserve"> </w:t>
      </w:r>
      <w:r w:rsidR="00FD582B">
        <w:t xml:space="preserve">assessments in </w:t>
      </w:r>
      <w:r w:rsidR="00393543" w:rsidRPr="000C4D3A">
        <w:t>previous year</w:t>
      </w:r>
      <w:r w:rsidR="00FD582B">
        <w:t>s</w:t>
      </w:r>
      <w:r w:rsidR="00393543" w:rsidRPr="000C4D3A">
        <w:t xml:space="preserve"> </w:t>
      </w:r>
      <w:r w:rsidR="00A30415">
        <w:t xml:space="preserve">relating </w:t>
      </w:r>
      <w:r w:rsidR="00393543" w:rsidRPr="000C4D3A">
        <w:t xml:space="preserve">to the challenges of working through partner systems. Improvements in the pace of program </w:t>
      </w:r>
      <w:r w:rsidR="00C163DF" w:rsidRPr="000C4D3A">
        <w:t>delivery should</w:t>
      </w:r>
      <w:r w:rsidR="00393543" w:rsidRPr="000C4D3A">
        <w:t xml:space="preserve"> gradually increase</w:t>
      </w:r>
      <w:r w:rsidR="00A30415">
        <w:t xml:space="preserve"> these scores</w:t>
      </w:r>
      <w:r w:rsidR="00393543" w:rsidRPr="000C4D3A">
        <w:t xml:space="preserve"> over time. </w:t>
      </w:r>
    </w:p>
    <w:p w:rsidR="006D4294" w:rsidRPr="000C4D3A" w:rsidRDefault="006D4294" w:rsidP="002D1680">
      <w:pPr>
        <w:pStyle w:val="BodyText"/>
      </w:pPr>
      <w:r w:rsidRPr="000C4D3A">
        <w:t>Measuring outcomes and impacts remains challenging</w:t>
      </w:r>
      <w:r w:rsidR="00151E35" w:rsidRPr="000C4D3A">
        <w:t xml:space="preserve"> despite slight improveme</w:t>
      </w:r>
      <w:r w:rsidR="00393543" w:rsidRPr="000C4D3A">
        <w:t>nt in monitoring and evaluation</w:t>
      </w:r>
      <w:r w:rsidR="00151E35" w:rsidRPr="000C4D3A">
        <w:t xml:space="preserve"> ratings across program initiatives in 2012</w:t>
      </w:r>
      <w:r w:rsidR="00B617F2">
        <w:t xml:space="preserve">. </w:t>
      </w:r>
      <w:r w:rsidRPr="000C4D3A">
        <w:t xml:space="preserve">The reliance on </w:t>
      </w:r>
      <w:r w:rsidR="00CF6A77">
        <w:t>Government of Tonga</w:t>
      </w:r>
      <w:r w:rsidRPr="000C4D3A">
        <w:t xml:space="preserve"> systems for measuring results for many of Australia’s programs continues to</w:t>
      </w:r>
      <w:r w:rsidR="00A30415">
        <w:t xml:space="preserve"> generate</w:t>
      </w:r>
      <w:r w:rsidRPr="000C4D3A">
        <w:t xml:space="preserve"> inadequate information</w:t>
      </w:r>
      <w:r w:rsidR="00151E35" w:rsidRPr="000C4D3A">
        <w:t xml:space="preserve">. New program designs in education and </w:t>
      </w:r>
      <w:r w:rsidR="00A30415">
        <w:t>TVET,</w:t>
      </w:r>
      <w:r w:rsidR="00151E35" w:rsidRPr="000C4D3A">
        <w:t xml:space="preserve"> and a delivery strategy in economic and public sector reform</w:t>
      </w:r>
      <w:r w:rsidR="00A30415">
        <w:t>, focus</w:t>
      </w:r>
      <w:r w:rsidR="00393543" w:rsidRPr="000C4D3A">
        <w:t xml:space="preserve"> on performance monitoring</w:t>
      </w:r>
      <w:r w:rsidR="00A30415">
        <w:t>. Q</w:t>
      </w:r>
      <w:r w:rsidR="002B2A89">
        <w:t>AI</w:t>
      </w:r>
      <w:r w:rsidR="00393543" w:rsidRPr="000C4D3A">
        <w:t xml:space="preserve"> ratings across the program are expected to improve.</w:t>
      </w:r>
      <w:r w:rsidR="00151E35" w:rsidRPr="000C4D3A">
        <w:t xml:space="preserve"> </w:t>
      </w:r>
    </w:p>
    <w:p w:rsidR="006D4294" w:rsidRPr="000C4D3A" w:rsidRDefault="006D4294" w:rsidP="002D1680">
      <w:pPr>
        <w:pStyle w:val="BodyText"/>
      </w:pPr>
      <w:r w:rsidRPr="000C4D3A">
        <w:t>Substantial work is needed on the country strategy architecture through to 2015</w:t>
      </w:r>
      <w:r w:rsidR="00B617F2">
        <w:t xml:space="preserve">. </w:t>
      </w:r>
      <w:r w:rsidR="008E6D55" w:rsidRPr="000C4D3A">
        <w:t xml:space="preserve">A </w:t>
      </w:r>
      <w:r w:rsidR="000C4D3A">
        <w:t>country situational analysis</w:t>
      </w:r>
      <w:r w:rsidR="008E6D55" w:rsidRPr="000C4D3A">
        <w:t xml:space="preserve"> and </w:t>
      </w:r>
      <w:r w:rsidR="000C4D3A">
        <w:t xml:space="preserve">three </w:t>
      </w:r>
      <w:r w:rsidR="003449E7">
        <w:t>more</w:t>
      </w:r>
      <w:r w:rsidR="003449E7" w:rsidRPr="000C4D3A">
        <w:t xml:space="preserve"> </w:t>
      </w:r>
      <w:r w:rsidR="008E6D55" w:rsidRPr="000C4D3A">
        <w:t xml:space="preserve">delivery strategies </w:t>
      </w:r>
      <w:r w:rsidR="000C4D3A">
        <w:t>will be completed in 2013</w:t>
      </w:r>
      <w:r w:rsidR="003449E7">
        <w:t>–</w:t>
      </w:r>
      <w:r w:rsidR="000C4D3A">
        <w:t xml:space="preserve">14 </w:t>
      </w:r>
      <w:r w:rsidR="008E6D55" w:rsidRPr="000C4D3A">
        <w:t xml:space="preserve">to lead program decisions and inform </w:t>
      </w:r>
      <w:r w:rsidR="000C4D3A">
        <w:t xml:space="preserve">negotiation of </w:t>
      </w:r>
      <w:r w:rsidR="008E6D55" w:rsidRPr="000C4D3A">
        <w:t>a new Partnership for Development</w:t>
      </w:r>
      <w:r w:rsidR="00932BA6">
        <w:t xml:space="preserve"> </w:t>
      </w:r>
      <w:r w:rsidR="00EE6730" w:rsidRPr="000C4D3A">
        <w:t>in 2015.</w:t>
      </w:r>
      <w:r w:rsidR="0094550E">
        <w:t xml:space="preserve"> </w:t>
      </w:r>
    </w:p>
    <w:p w:rsidR="00933581" w:rsidRPr="000C4D3A" w:rsidRDefault="003449E7" w:rsidP="002D1680">
      <w:pPr>
        <w:pStyle w:val="BodyText"/>
      </w:pPr>
      <w:r>
        <w:t xml:space="preserve">Australia will </w:t>
      </w:r>
      <w:r w:rsidR="00FD582B">
        <w:t xml:space="preserve">involve the </w:t>
      </w:r>
      <w:r w:rsidR="00CF6A77">
        <w:t>Government of Tonga</w:t>
      </w:r>
      <w:r w:rsidR="00FD582B">
        <w:t xml:space="preserve"> in develop</w:t>
      </w:r>
      <w:r>
        <w:t>ing</w:t>
      </w:r>
      <w:r w:rsidR="00FD582B">
        <w:t xml:space="preserve"> the</w:t>
      </w:r>
      <w:r>
        <w:t xml:space="preserve"> country situation analysis and</w:t>
      </w:r>
      <w:r w:rsidR="00FD582B">
        <w:t xml:space="preserve"> delivery strategies and country situational analysis</w:t>
      </w:r>
      <w:r>
        <w:t xml:space="preserve">. The two countries </w:t>
      </w:r>
      <w:r w:rsidR="00FD582B">
        <w:t>will work together to improve the ability to track performance and</w:t>
      </w:r>
      <w:r>
        <w:t xml:space="preserve"> </w:t>
      </w:r>
      <w:r w:rsidR="00FD582B">
        <w:t xml:space="preserve">put in place better monitoring and evaluation measures. </w:t>
      </w:r>
      <w:r>
        <w:t>For example,</w:t>
      </w:r>
      <w:r w:rsidR="0012015E" w:rsidRPr="000C4D3A">
        <w:t xml:space="preserve"> a formal program</w:t>
      </w:r>
      <w:r w:rsidR="00D85005">
        <w:t>-</w:t>
      </w:r>
      <w:r w:rsidR="0012015E" w:rsidRPr="000C4D3A">
        <w:t>wide performance assessment framework</w:t>
      </w:r>
      <w:r>
        <w:t xml:space="preserve"> will be </w:t>
      </w:r>
      <w:r w:rsidR="0012015E" w:rsidRPr="000C4D3A">
        <w:t>develop</w:t>
      </w:r>
      <w:r>
        <w:t xml:space="preserve">ed </w:t>
      </w:r>
      <w:r w:rsidR="0012015E" w:rsidRPr="000C4D3A">
        <w:t>in 2013</w:t>
      </w:r>
      <w:r w:rsidR="00924027">
        <w:t>–</w:t>
      </w:r>
      <w:r w:rsidR="0012015E" w:rsidRPr="000C4D3A">
        <w:t>14 building on</w:t>
      </w:r>
      <w:r w:rsidR="000C4D3A">
        <w:t xml:space="preserve"> </w:t>
      </w:r>
      <w:r>
        <w:t>the</w:t>
      </w:r>
      <w:r w:rsidR="000C4D3A">
        <w:t xml:space="preserve"> </w:t>
      </w:r>
      <w:r w:rsidR="0012015E" w:rsidRPr="000C4D3A">
        <w:t xml:space="preserve">delivery strategies </w:t>
      </w:r>
      <w:r w:rsidR="000C4D3A">
        <w:t xml:space="preserve">when they are developed. </w:t>
      </w:r>
    </w:p>
    <w:p w:rsidR="00180B19" w:rsidRPr="002D1680" w:rsidRDefault="00180B19" w:rsidP="002D1680">
      <w:pPr>
        <w:pStyle w:val="Heading1"/>
      </w:pPr>
      <w:r w:rsidRPr="002D1680">
        <w:t xml:space="preserve">Management </w:t>
      </w:r>
      <w:r w:rsidR="00924027" w:rsidRPr="002D1680">
        <w:t>c</w:t>
      </w:r>
      <w:r w:rsidRPr="002D1680">
        <w:t>onsequences</w:t>
      </w:r>
    </w:p>
    <w:p w:rsidR="004709A0" w:rsidRPr="002D1680" w:rsidRDefault="00E021E6" w:rsidP="002D1680">
      <w:pPr>
        <w:pStyle w:val="BodyText"/>
      </w:pPr>
      <w:r w:rsidRPr="002D1680">
        <w:t>T</w:t>
      </w:r>
      <w:r w:rsidR="004709A0" w:rsidRPr="002D1680">
        <w:t xml:space="preserve">he Tonga program will table the </w:t>
      </w:r>
      <w:r w:rsidRPr="002D1680">
        <w:t xml:space="preserve">new </w:t>
      </w:r>
      <w:r w:rsidR="004709A0" w:rsidRPr="002D1680">
        <w:t xml:space="preserve">delivery strategy </w:t>
      </w:r>
      <w:r w:rsidRPr="002D1680">
        <w:t xml:space="preserve">for economic and public sector reform </w:t>
      </w:r>
      <w:r w:rsidR="004709A0" w:rsidRPr="002D1680">
        <w:t xml:space="preserve">for formal approval by the Government of Tonga at </w:t>
      </w:r>
      <w:r w:rsidR="00D85005" w:rsidRPr="002D1680">
        <w:t xml:space="preserve">the </w:t>
      </w:r>
      <w:r w:rsidR="00A30415" w:rsidRPr="002D1680">
        <w:t xml:space="preserve">October 2013 </w:t>
      </w:r>
      <w:r w:rsidR="004709A0" w:rsidRPr="002D1680">
        <w:t xml:space="preserve">Partnership for </w:t>
      </w:r>
      <w:r w:rsidR="004709A0" w:rsidRPr="002D1680">
        <w:lastRenderedPageBreak/>
        <w:t xml:space="preserve">Development Talks. </w:t>
      </w:r>
      <w:r w:rsidRPr="002D1680">
        <w:t>Focus will then shift to</w:t>
      </w:r>
      <w:r w:rsidR="004709A0" w:rsidRPr="002D1680">
        <w:t xml:space="preserve"> implementing new programs highlighted in the delivery strategy</w:t>
      </w:r>
      <w:r w:rsidRPr="002D1680">
        <w:t>, particularly support for procurement reform and negotiating new reform targets under the Joint Policy Reform Matrix</w:t>
      </w:r>
      <w:r w:rsidR="006D795D" w:rsidRPr="002D1680">
        <w:t xml:space="preserve">. </w:t>
      </w:r>
    </w:p>
    <w:p w:rsidR="004709A0" w:rsidRPr="002D1680" w:rsidRDefault="004709A0" w:rsidP="002D1680">
      <w:pPr>
        <w:pStyle w:val="BodyText"/>
      </w:pPr>
      <w:r w:rsidRPr="002D1680">
        <w:t>In the education and skills area the priority will be on implementing new programs</w:t>
      </w:r>
      <w:r w:rsidR="00E021E6" w:rsidRPr="002D1680">
        <w:t xml:space="preserve"> designed </w:t>
      </w:r>
      <w:r w:rsidR="00C8189D" w:rsidRPr="002D1680">
        <w:t xml:space="preserve">in </w:t>
      </w:r>
      <w:r w:rsidR="00E021E6" w:rsidRPr="002D1680">
        <w:t>2012</w:t>
      </w:r>
      <w:r w:rsidR="00924027" w:rsidRPr="002D1680">
        <w:t>–</w:t>
      </w:r>
      <w:r w:rsidR="00E021E6" w:rsidRPr="002D1680">
        <w:t xml:space="preserve">13. </w:t>
      </w:r>
      <w:r w:rsidR="00C8189D" w:rsidRPr="002D1680">
        <w:t xml:space="preserve">With </w:t>
      </w:r>
      <w:r w:rsidRPr="002D1680">
        <w:t xml:space="preserve">basic education the priority will be </w:t>
      </w:r>
      <w:r w:rsidR="00C8189D" w:rsidRPr="002D1680">
        <w:t xml:space="preserve">developing </w:t>
      </w:r>
      <w:r w:rsidRPr="002D1680">
        <w:t>a performance assessment framework</w:t>
      </w:r>
      <w:r w:rsidR="008E2780" w:rsidRPr="002D1680">
        <w:t>,</w:t>
      </w:r>
      <w:r w:rsidR="00C8189D" w:rsidRPr="002D1680">
        <w:t xml:space="preserve"> completing</w:t>
      </w:r>
      <w:r w:rsidRPr="002D1680">
        <w:t xml:space="preserve"> baseline studies and monitoring to ensure </w:t>
      </w:r>
      <w:r w:rsidR="008E2780" w:rsidRPr="002D1680">
        <w:t xml:space="preserve">program </w:t>
      </w:r>
      <w:r w:rsidRPr="002D1680">
        <w:t xml:space="preserve">impact can be measured. The program will </w:t>
      </w:r>
      <w:r w:rsidR="00092238" w:rsidRPr="002D1680">
        <w:t xml:space="preserve">mobilise </w:t>
      </w:r>
      <w:r w:rsidR="004B0418" w:rsidRPr="002D1680">
        <w:t>the new interim</w:t>
      </w:r>
      <w:r w:rsidR="00092238" w:rsidRPr="002D1680">
        <w:t xml:space="preserve"> TVET facility </w:t>
      </w:r>
      <w:r w:rsidR="00C8189D" w:rsidRPr="002D1680">
        <w:t>so</w:t>
      </w:r>
      <w:r w:rsidR="002E724A" w:rsidRPr="002D1680">
        <w:t xml:space="preserve"> Tongans have access to courses relevant to </w:t>
      </w:r>
      <w:r w:rsidR="008E2780" w:rsidRPr="002D1680">
        <w:t xml:space="preserve">the country’s </w:t>
      </w:r>
      <w:r w:rsidR="002E724A" w:rsidRPr="002D1680">
        <w:t xml:space="preserve">labour market needs. The program will </w:t>
      </w:r>
      <w:r w:rsidR="00C8189D" w:rsidRPr="002D1680">
        <w:t xml:space="preserve">begin </w:t>
      </w:r>
      <w:r w:rsidR="002E724A" w:rsidRPr="002D1680">
        <w:t xml:space="preserve">the detailed design </w:t>
      </w:r>
      <w:r w:rsidR="00092238" w:rsidRPr="002D1680">
        <w:t xml:space="preserve">of a new TVET program to </w:t>
      </w:r>
      <w:r w:rsidR="00C8189D" w:rsidRPr="002D1680">
        <w:t xml:space="preserve">start </w:t>
      </w:r>
      <w:r w:rsidR="00092238" w:rsidRPr="002D1680">
        <w:t xml:space="preserve">in 2015. </w:t>
      </w:r>
    </w:p>
    <w:p w:rsidR="00DB2AEF" w:rsidRPr="002D1680" w:rsidRDefault="00092238" w:rsidP="002D1680">
      <w:pPr>
        <w:pStyle w:val="BodyText"/>
      </w:pPr>
      <w:r w:rsidRPr="002D1680">
        <w:t>In the health sector the focus</w:t>
      </w:r>
      <w:r w:rsidR="00FB2941" w:rsidRPr="002D1680">
        <w:t xml:space="preserve"> will be</w:t>
      </w:r>
      <w:r w:rsidRPr="002D1680">
        <w:t xml:space="preserve"> on implementing the recommendations of the mid</w:t>
      </w:r>
      <w:r w:rsidR="001406DA" w:rsidRPr="002D1680">
        <w:t>-</w:t>
      </w:r>
      <w:r w:rsidRPr="002D1680">
        <w:t xml:space="preserve">term review of the </w:t>
      </w:r>
      <w:r w:rsidR="00AA410B" w:rsidRPr="002D1680">
        <w:t>current health program</w:t>
      </w:r>
      <w:r w:rsidR="004B0418" w:rsidRPr="002D1680">
        <w:t>, particularly improving the pace of delivery of health</w:t>
      </w:r>
      <w:r w:rsidR="00C8189D" w:rsidRPr="002D1680">
        <w:t>-</w:t>
      </w:r>
      <w:r w:rsidR="004B0418" w:rsidRPr="002D1680">
        <w:t xml:space="preserve">promotion activities and supporting Tonga to take a whole-of-government policy response to the challenge posed by </w:t>
      </w:r>
      <w:r w:rsidR="009D4FEF" w:rsidRPr="002D1680">
        <w:t>NCDs</w:t>
      </w:r>
      <w:r w:rsidR="00B617F2" w:rsidRPr="002D1680">
        <w:t xml:space="preserve">. </w:t>
      </w:r>
      <w:r w:rsidRPr="002D1680">
        <w:t xml:space="preserve">The current </w:t>
      </w:r>
      <w:r w:rsidR="00C8189D" w:rsidRPr="002D1680">
        <w:t xml:space="preserve">health </w:t>
      </w:r>
      <w:r w:rsidRPr="002D1680">
        <w:t xml:space="preserve">program will be extended by two years </w:t>
      </w:r>
      <w:r w:rsidR="00C8189D" w:rsidRPr="002D1680">
        <w:t>so</w:t>
      </w:r>
      <w:r w:rsidRPr="002D1680">
        <w:t xml:space="preserve"> momentum continues to the end of the </w:t>
      </w:r>
      <w:r w:rsidR="00C8189D" w:rsidRPr="002D1680">
        <w:t>p</w:t>
      </w:r>
      <w:r w:rsidRPr="002D1680">
        <w:t>artnership</w:t>
      </w:r>
      <w:r w:rsidR="00B617F2" w:rsidRPr="002D1680">
        <w:t xml:space="preserve">. </w:t>
      </w:r>
      <w:r w:rsidRPr="002D1680">
        <w:t xml:space="preserve">Key analytical work will </w:t>
      </w:r>
      <w:r w:rsidR="00C8189D" w:rsidRPr="002D1680">
        <w:t>begin to</w:t>
      </w:r>
      <w:r w:rsidRPr="002D1680">
        <w:t xml:space="preserve"> inform Australia’s future support to the sector</w:t>
      </w:r>
      <w:r w:rsidR="00B617F2" w:rsidRPr="002D1680">
        <w:t xml:space="preserve">. </w:t>
      </w:r>
      <w:r w:rsidRPr="002D1680">
        <w:t>In particular</w:t>
      </w:r>
      <w:r w:rsidR="00C8189D" w:rsidRPr="002D1680">
        <w:t>,</w:t>
      </w:r>
      <w:r w:rsidR="00AD5C68" w:rsidRPr="002D1680">
        <w:t xml:space="preserve"> a study of broad health challenges</w:t>
      </w:r>
      <w:r w:rsidRPr="002D1680">
        <w:t xml:space="preserve"> </w:t>
      </w:r>
      <w:r w:rsidR="00AD5C68" w:rsidRPr="002D1680">
        <w:t xml:space="preserve">and Tonga’s own plans will allow </w:t>
      </w:r>
      <w:r w:rsidR="00DD6BC4" w:rsidRPr="002D1680">
        <w:t xml:space="preserve">DFAT </w:t>
      </w:r>
      <w:r w:rsidR="00AD5C68" w:rsidRPr="002D1680">
        <w:t xml:space="preserve">to decide where Australia </w:t>
      </w:r>
      <w:r w:rsidR="00C8189D" w:rsidRPr="002D1680">
        <w:t xml:space="preserve">can </w:t>
      </w:r>
      <w:r w:rsidR="00AD5C68" w:rsidRPr="002D1680">
        <w:t>make the greatest</w:t>
      </w:r>
      <w:r w:rsidRPr="002D1680">
        <w:t xml:space="preserve"> difference</w:t>
      </w:r>
      <w:r w:rsidR="00AD5C68" w:rsidRPr="002D1680">
        <w:t>. D</w:t>
      </w:r>
      <w:r w:rsidRPr="002D1680">
        <w:t xml:space="preserve">etailed public financial management system analysis </w:t>
      </w:r>
      <w:r w:rsidR="00AD5C68" w:rsidRPr="002D1680">
        <w:t xml:space="preserve">will help </w:t>
      </w:r>
      <w:r w:rsidRPr="002D1680">
        <w:t xml:space="preserve">identify risks and </w:t>
      </w:r>
      <w:r w:rsidR="00AD5C68" w:rsidRPr="002D1680">
        <w:t xml:space="preserve">inform </w:t>
      </w:r>
      <w:r w:rsidR="004B0418" w:rsidRPr="002D1680">
        <w:t xml:space="preserve">consideration of </w:t>
      </w:r>
      <w:r w:rsidR="00AD5C68" w:rsidRPr="002D1680">
        <w:t xml:space="preserve">a </w:t>
      </w:r>
      <w:r w:rsidRPr="002D1680">
        <w:t>sector budget support approach</w:t>
      </w:r>
      <w:r w:rsidR="00DB2AEF" w:rsidRPr="002D1680">
        <w:t xml:space="preserve">. </w:t>
      </w:r>
    </w:p>
    <w:p w:rsidR="00DB2AEF" w:rsidRPr="002D1680" w:rsidRDefault="00DB2AEF" w:rsidP="002D1680">
      <w:pPr>
        <w:pStyle w:val="BodyText"/>
      </w:pPr>
      <w:r w:rsidRPr="002D1680">
        <w:t xml:space="preserve">Delivery strategies will be completed in health and infrastructure to provide direction to program areas </w:t>
      </w:r>
      <w:r w:rsidR="00FB2941" w:rsidRPr="002D1680">
        <w:t xml:space="preserve">moving </w:t>
      </w:r>
      <w:r w:rsidRPr="002D1680">
        <w:t>forward.</w:t>
      </w:r>
      <w:r w:rsidR="002E724A" w:rsidRPr="002D1680">
        <w:t xml:space="preserve"> Implementation schedules for </w:t>
      </w:r>
      <w:r w:rsidR="00807B68" w:rsidRPr="002D1680">
        <w:t xml:space="preserve">economic and public sector management </w:t>
      </w:r>
      <w:r w:rsidR="002E724A" w:rsidRPr="002D1680">
        <w:t xml:space="preserve">(drawing on the work </w:t>
      </w:r>
      <w:r w:rsidR="00FB2941" w:rsidRPr="002D1680">
        <w:t xml:space="preserve">completed </w:t>
      </w:r>
      <w:r w:rsidR="002E724A" w:rsidRPr="002D1680">
        <w:t>as part of the delivery strategy)</w:t>
      </w:r>
      <w:r w:rsidR="00FB2941" w:rsidRPr="002D1680">
        <w:t>,</w:t>
      </w:r>
      <w:r w:rsidR="002E724A" w:rsidRPr="002D1680">
        <w:t xml:space="preserve"> education and TVET will be agreed at </w:t>
      </w:r>
      <w:r w:rsidR="00FB2941" w:rsidRPr="002D1680">
        <w:t>p</w:t>
      </w:r>
      <w:r w:rsidR="002E724A" w:rsidRPr="002D1680">
        <w:t xml:space="preserve">artnership for </w:t>
      </w:r>
      <w:r w:rsidR="00FB2941" w:rsidRPr="002D1680">
        <w:t>d</w:t>
      </w:r>
      <w:r w:rsidR="002E724A" w:rsidRPr="002D1680">
        <w:t>evelopment talks</w:t>
      </w:r>
      <w:r w:rsidR="00B617F2" w:rsidRPr="002D1680">
        <w:t xml:space="preserve">. </w:t>
      </w:r>
    </w:p>
    <w:p w:rsidR="00092238" w:rsidRPr="002D1680" w:rsidRDefault="00FB2941" w:rsidP="002D1680">
      <w:pPr>
        <w:pStyle w:val="BodyText"/>
      </w:pPr>
      <w:r w:rsidRPr="002D1680">
        <w:t xml:space="preserve">The </w:t>
      </w:r>
      <w:r w:rsidR="00DB2AEF" w:rsidRPr="002D1680">
        <w:t xml:space="preserve">Tonga program will </w:t>
      </w:r>
      <w:r w:rsidRPr="002D1680">
        <w:t xml:space="preserve">begin </w:t>
      </w:r>
      <w:r w:rsidR="00DB2AEF" w:rsidRPr="002D1680">
        <w:t>program</w:t>
      </w:r>
      <w:r w:rsidR="00102D4C" w:rsidRPr="002D1680">
        <w:t>-</w:t>
      </w:r>
      <w:r w:rsidR="00DB2AEF" w:rsidRPr="002D1680">
        <w:t>wide analysis to inform a new country situational analysis which will inform Australian priorities</w:t>
      </w:r>
      <w:r w:rsidRPr="002D1680">
        <w:t xml:space="preserve"> to be discussed as part of</w:t>
      </w:r>
      <w:r w:rsidR="00DB2AEF" w:rsidRPr="002D1680">
        <w:t xml:space="preserve"> the next generation of </w:t>
      </w:r>
      <w:r w:rsidRPr="002D1680">
        <w:t xml:space="preserve">the </w:t>
      </w:r>
      <w:r w:rsidR="00DB2AEF" w:rsidRPr="002D1680">
        <w:t xml:space="preserve">Partnership for Development after 2015. </w:t>
      </w:r>
      <w:r w:rsidRPr="002D1680">
        <w:t xml:space="preserve">Also, </w:t>
      </w:r>
      <w:r w:rsidR="00DD6BC4" w:rsidRPr="002D1680">
        <w:t xml:space="preserve">DFAT </w:t>
      </w:r>
      <w:r w:rsidRPr="002D1680">
        <w:t>will</w:t>
      </w:r>
      <w:r w:rsidR="00CC135D" w:rsidRPr="002D1680">
        <w:t xml:space="preserve"> develop a program-</w:t>
      </w:r>
      <w:r w:rsidR="00DB2AEF" w:rsidRPr="002D1680">
        <w:t>wide performance assessment framework</w:t>
      </w:r>
      <w:r w:rsidRPr="002D1680">
        <w:t>, including specific</w:t>
      </w:r>
      <w:r w:rsidR="00CC135D" w:rsidRPr="002D1680">
        <w:t xml:space="preserve"> ways to supplement </w:t>
      </w:r>
      <w:r w:rsidRPr="002D1680">
        <w:t xml:space="preserve">the </w:t>
      </w:r>
      <w:r w:rsidR="00CC135D" w:rsidRPr="002D1680">
        <w:t>Government of Tonga</w:t>
      </w:r>
      <w:r w:rsidRPr="002D1680">
        <w:t>’s</w:t>
      </w:r>
      <w:r w:rsidR="00CC135D" w:rsidRPr="002D1680">
        <w:t xml:space="preserve"> monitoring and evaluation systems where these are </w:t>
      </w:r>
      <w:r w:rsidRPr="002D1680">
        <w:t xml:space="preserve">not </w:t>
      </w:r>
      <w:r w:rsidR="00CC135D" w:rsidRPr="002D1680">
        <w:t xml:space="preserve">able to provide </w:t>
      </w:r>
      <w:r w:rsidRPr="002D1680">
        <w:t xml:space="preserve">the </w:t>
      </w:r>
      <w:r w:rsidR="00CC135D" w:rsidRPr="002D1680">
        <w:t xml:space="preserve">performance information </w:t>
      </w:r>
      <w:r w:rsidR="00DD6BC4" w:rsidRPr="002D1680">
        <w:t xml:space="preserve">DFAT </w:t>
      </w:r>
      <w:r w:rsidR="00CC135D" w:rsidRPr="002D1680">
        <w:t>requires</w:t>
      </w:r>
      <w:r w:rsidR="00DB2AEF" w:rsidRPr="002D1680">
        <w:t>.</w:t>
      </w:r>
      <w:r w:rsidR="00092238" w:rsidRPr="002D1680">
        <w:t xml:space="preserve"> </w:t>
      </w:r>
    </w:p>
    <w:p w:rsidR="002E724A" w:rsidRPr="002D1680" w:rsidRDefault="002E724A" w:rsidP="002D1680">
      <w:pPr>
        <w:pStyle w:val="BodyText"/>
      </w:pPr>
      <w:r w:rsidRPr="002D1680">
        <w:t xml:space="preserve">The Tonga </w:t>
      </w:r>
      <w:r w:rsidR="00FB2941" w:rsidRPr="002D1680">
        <w:t>p</w:t>
      </w:r>
      <w:r w:rsidRPr="002D1680">
        <w:t xml:space="preserve">rogram will </w:t>
      </w:r>
      <w:r w:rsidR="00A30415" w:rsidRPr="002D1680">
        <w:t xml:space="preserve">begin </w:t>
      </w:r>
      <w:r w:rsidRPr="002D1680">
        <w:t>implement</w:t>
      </w:r>
      <w:r w:rsidR="00FB2941" w:rsidRPr="002D1680">
        <w:t>ing</w:t>
      </w:r>
      <w:r w:rsidRPr="002D1680">
        <w:t xml:space="preserve"> a country gender work</w:t>
      </w:r>
      <w:r w:rsidR="008E2780" w:rsidRPr="002D1680">
        <w:t xml:space="preserve"> </w:t>
      </w:r>
      <w:r w:rsidRPr="002D1680">
        <w:t xml:space="preserve">plan under the Pacific Women Shaping Pacific Development </w:t>
      </w:r>
      <w:r w:rsidR="008E2780" w:rsidRPr="002D1680">
        <w:t>I</w:t>
      </w:r>
      <w:r w:rsidRPr="002D1680">
        <w:t>nitiative. Given already stretched resources</w:t>
      </w:r>
      <w:r w:rsidR="00807B68" w:rsidRPr="002D1680">
        <w:t xml:space="preserve"> for </w:t>
      </w:r>
      <w:r w:rsidR="00DD6BC4" w:rsidRPr="002D1680">
        <w:t xml:space="preserve">DFAT </w:t>
      </w:r>
      <w:r w:rsidR="00807B68" w:rsidRPr="002D1680">
        <w:t>in Nuku’alofa and</w:t>
      </w:r>
      <w:r w:rsidRPr="002D1680">
        <w:t xml:space="preserve"> the complexity of starting this new work, th</w:t>
      </w:r>
      <w:r w:rsidR="00102D4C" w:rsidRPr="002D1680">
        <w:t>e</w:t>
      </w:r>
      <w:r w:rsidRPr="002D1680">
        <w:t xml:space="preserve"> success of th</w:t>
      </w:r>
      <w:r w:rsidR="00FB2941" w:rsidRPr="002D1680">
        <w:t>e</w:t>
      </w:r>
      <w:r w:rsidRPr="002D1680">
        <w:t xml:space="preserve"> work</w:t>
      </w:r>
      <w:r w:rsidR="008E2780" w:rsidRPr="002D1680">
        <w:t xml:space="preserve"> </w:t>
      </w:r>
      <w:r w:rsidRPr="002D1680">
        <w:t>plan will require direct and ongoing support from</w:t>
      </w:r>
      <w:r w:rsidR="00DD6BC4" w:rsidRPr="002D1680">
        <w:t xml:space="preserve"> DFAT</w:t>
      </w:r>
      <w:r w:rsidR="008E2780" w:rsidRPr="002D1680">
        <w:t>’s</w:t>
      </w:r>
      <w:r w:rsidR="00FB2941" w:rsidRPr="002D1680">
        <w:t xml:space="preserve"> </w:t>
      </w:r>
      <w:r w:rsidRPr="002D1680">
        <w:t xml:space="preserve">Pacific Division gender specialists and dedicated resources </w:t>
      </w:r>
      <w:r w:rsidR="00807B68" w:rsidRPr="002D1680">
        <w:t xml:space="preserve">at </w:t>
      </w:r>
      <w:r w:rsidR="008E2780" w:rsidRPr="002D1680">
        <w:t xml:space="preserve">the  </w:t>
      </w:r>
      <w:r w:rsidR="00807B68" w:rsidRPr="002D1680">
        <w:t xml:space="preserve">regional support hub in </w:t>
      </w:r>
      <w:r w:rsidRPr="002D1680">
        <w:t xml:space="preserve">Suva to ensure </w:t>
      </w:r>
      <w:r w:rsidR="00FB2941" w:rsidRPr="002D1680">
        <w:t>effective</w:t>
      </w:r>
      <w:r w:rsidRPr="002D1680">
        <w:t xml:space="preserve"> implement</w:t>
      </w:r>
      <w:r w:rsidR="00FB2941" w:rsidRPr="002D1680">
        <w:t>ation</w:t>
      </w:r>
      <w:r w:rsidRPr="002D1680">
        <w:t xml:space="preserve">. </w:t>
      </w:r>
    </w:p>
    <w:p w:rsidR="0006614E" w:rsidRPr="002D1680" w:rsidRDefault="00807B68" w:rsidP="002D1680">
      <w:pPr>
        <w:pStyle w:val="BodyText"/>
      </w:pPr>
      <w:r w:rsidRPr="002D1680">
        <w:t>The Tonga program will work with</w:t>
      </w:r>
      <w:r w:rsidR="00DD6BC4" w:rsidRPr="002D1680">
        <w:t xml:space="preserve"> DFAT</w:t>
      </w:r>
      <w:r w:rsidRPr="002D1680">
        <w:t xml:space="preserve">’s Pacific Division’s regional team to take forward </w:t>
      </w:r>
      <w:r w:rsidR="0006614E" w:rsidRPr="002D1680">
        <w:t>the</w:t>
      </w:r>
      <w:r w:rsidR="00FB2941" w:rsidRPr="002D1680">
        <w:t xml:space="preserve"> </w:t>
      </w:r>
      <w:r w:rsidR="0006614E" w:rsidRPr="002D1680">
        <w:t xml:space="preserve">findings of the </w:t>
      </w:r>
      <w:r w:rsidRPr="002D1680">
        <w:t xml:space="preserve">review of the </w:t>
      </w:r>
      <w:r w:rsidR="0006614E" w:rsidRPr="002D1680">
        <w:t>Pacific Seasonal Workers Scheme</w:t>
      </w:r>
      <w:r w:rsidR="008E2780" w:rsidRPr="002D1680">
        <w:t>,</w:t>
      </w:r>
      <w:r w:rsidRPr="002D1680">
        <w:t xml:space="preserve"> given the importance of labour mobility to Tonga’s economic outlook. A priority will be strengthening the program to </w:t>
      </w:r>
      <w:r w:rsidR="0006614E" w:rsidRPr="002D1680">
        <w:t>develop</w:t>
      </w:r>
      <w:r w:rsidRPr="002D1680">
        <w:t xml:space="preserve"> the G</w:t>
      </w:r>
      <w:r w:rsidR="0006614E" w:rsidRPr="002D1680">
        <w:t>overnment</w:t>
      </w:r>
      <w:r w:rsidR="00FB2941" w:rsidRPr="002D1680">
        <w:t xml:space="preserve"> </w:t>
      </w:r>
      <w:r w:rsidRPr="002D1680">
        <w:t xml:space="preserve">of Tonga’s </w:t>
      </w:r>
      <w:r w:rsidR="00FB2941" w:rsidRPr="002D1680">
        <w:t>capacity</w:t>
      </w:r>
      <w:r w:rsidR="0006614E" w:rsidRPr="002D1680">
        <w:t xml:space="preserve"> to </w:t>
      </w:r>
      <w:r w:rsidR="00AE1C14" w:rsidRPr="002D1680">
        <w:t xml:space="preserve">manage </w:t>
      </w:r>
      <w:r w:rsidR="00FB2941" w:rsidRPr="002D1680">
        <w:t xml:space="preserve">program </w:t>
      </w:r>
      <w:r w:rsidR="00AE1C14" w:rsidRPr="002D1680">
        <w:t>responsibilities</w:t>
      </w:r>
      <w:r w:rsidRPr="002D1680">
        <w:t xml:space="preserve"> and maximise the benefits of the program. </w:t>
      </w:r>
    </w:p>
    <w:p w:rsidR="001B40E6" w:rsidRPr="002D1680" w:rsidRDefault="00CF24DF" w:rsidP="007D1A22">
      <w:pPr>
        <w:pStyle w:val="Heading3"/>
      </w:pPr>
      <w:r w:rsidRPr="002D1680">
        <w:t>Major risks and approach to managing risks</w:t>
      </w:r>
    </w:p>
    <w:p w:rsidR="00373007" w:rsidRPr="002D1680" w:rsidRDefault="00CF24DF" w:rsidP="002D1680">
      <w:pPr>
        <w:pStyle w:val="BodyText"/>
      </w:pPr>
      <w:r w:rsidRPr="002D1680">
        <w:t>Working in partner government systems remain</w:t>
      </w:r>
      <w:r w:rsidR="00E44837" w:rsidRPr="002D1680">
        <w:t>s</w:t>
      </w:r>
      <w:r w:rsidRPr="002D1680">
        <w:t xml:space="preserve"> </w:t>
      </w:r>
      <w:r w:rsidR="008F1DD6" w:rsidRPr="002D1680">
        <w:t>the</w:t>
      </w:r>
      <w:r w:rsidRPr="002D1680">
        <w:t xml:space="preserve"> key risk the program</w:t>
      </w:r>
      <w:r w:rsidR="00E44837" w:rsidRPr="002D1680">
        <w:t xml:space="preserve"> needs</w:t>
      </w:r>
      <w:r w:rsidRPr="002D1680">
        <w:t xml:space="preserve"> to </w:t>
      </w:r>
      <w:r w:rsidR="008F1DD6" w:rsidRPr="002D1680">
        <w:t>manage in the immediate future</w:t>
      </w:r>
      <w:r w:rsidR="00B617F2" w:rsidRPr="002D1680">
        <w:t xml:space="preserve">. </w:t>
      </w:r>
      <w:r w:rsidR="00E44837" w:rsidRPr="002D1680">
        <w:t>A</w:t>
      </w:r>
      <w:r w:rsidR="009A7F2F" w:rsidRPr="002D1680">
        <w:t xml:space="preserve"> number of </w:t>
      </w:r>
      <w:r w:rsidR="00E44837" w:rsidRPr="002D1680">
        <w:t>risks</w:t>
      </w:r>
      <w:r w:rsidR="009A7F2F" w:rsidRPr="002D1680">
        <w:t xml:space="preserve"> </w:t>
      </w:r>
      <w:r w:rsidR="004D6D39" w:rsidRPr="002D1680">
        <w:t>have the potential to significantly impact on program performance</w:t>
      </w:r>
      <w:r w:rsidR="00B617F2" w:rsidRPr="002D1680">
        <w:t xml:space="preserve">. </w:t>
      </w:r>
      <w:r w:rsidR="004D6D39" w:rsidRPr="002D1680">
        <w:t xml:space="preserve">These include </w:t>
      </w:r>
      <w:r w:rsidR="009A7F2F" w:rsidRPr="002D1680">
        <w:t xml:space="preserve">program delays due to lack of planning and capacity in the </w:t>
      </w:r>
      <w:r w:rsidR="00E44837" w:rsidRPr="002D1680">
        <w:t>Government of Tonga</w:t>
      </w:r>
      <w:r w:rsidR="009A7F2F" w:rsidRPr="002D1680">
        <w:t xml:space="preserve"> through to poor public financial management practice within the </w:t>
      </w:r>
      <w:r w:rsidR="00373007" w:rsidRPr="002D1680">
        <w:t>g</w:t>
      </w:r>
      <w:r w:rsidR="009A7F2F" w:rsidRPr="002D1680">
        <w:t>over</w:t>
      </w:r>
      <w:r w:rsidR="004D6D39" w:rsidRPr="002D1680">
        <w:t>nment</w:t>
      </w:r>
      <w:r w:rsidR="008E2780" w:rsidRPr="002D1680">
        <w:t xml:space="preserve">. These delays have meant that </w:t>
      </w:r>
      <w:r w:rsidR="004D6D39" w:rsidRPr="002D1680">
        <w:t xml:space="preserve">programs </w:t>
      </w:r>
      <w:r w:rsidR="008E2780" w:rsidRPr="002D1680">
        <w:t>are not achieving</w:t>
      </w:r>
      <w:r w:rsidR="004D6D39" w:rsidRPr="002D1680">
        <w:t xml:space="preserve"> value for money</w:t>
      </w:r>
      <w:r w:rsidR="00B617F2" w:rsidRPr="002D1680">
        <w:t xml:space="preserve">. </w:t>
      </w:r>
    </w:p>
    <w:p w:rsidR="00CF24DF" w:rsidRPr="002D1680" w:rsidRDefault="00CF24DF" w:rsidP="002D1680">
      <w:pPr>
        <w:pStyle w:val="BodyText"/>
      </w:pPr>
      <w:r w:rsidRPr="002D1680">
        <w:t xml:space="preserve">Efforts are underway to improve acquittal and auditing of Australian </w:t>
      </w:r>
      <w:r w:rsidR="000F1F86">
        <w:t xml:space="preserve">Government </w:t>
      </w:r>
      <w:r w:rsidRPr="002D1680">
        <w:t>aid funds</w:t>
      </w:r>
      <w:r w:rsidR="00B617F2" w:rsidRPr="002D1680">
        <w:t xml:space="preserve">. </w:t>
      </w:r>
      <w:r w:rsidRPr="002D1680">
        <w:t xml:space="preserve">A </w:t>
      </w:r>
      <w:r w:rsidR="00373007" w:rsidRPr="002D1680">
        <w:t xml:space="preserve">schedule </w:t>
      </w:r>
      <w:r w:rsidRPr="002D1680">
        <w:t>of independent audits of major programs began in 2012 and is continuing</w:t>
      </w:r>
      <w:r w:rsidR="00B617F2" w:rsidRPr="002D1680">
        <w:t xml:space="preserve">. </w:t>
      </w:r>
      <w:r w:rsidRPr="002D1680">
        <w:t xml:space="preserve">A joint statement of fraud and corruption will be negotiated in 2013. </w:t>
      </w:r>
      <w:r w:rsidR="00373007" w:rsidRPr="002D1680">
        <w:t xml:space="preserve">Efforts are also underway to strengthen and streamline </w:t>
      </w:r>
      <w:r w:rsidR="00932BA6" w:rsidRPr="002D1680">
        <w:t>how the</w:t>
      </w:r>
      <w:r w:rsidR="00373007" w:rsidRPr="002D1680">
        <w:t xml:space="preserve"> program</w:t>
      </w:r>
      <w:r w:rsidRPr="002D1680">
        <w:t xml:space="preserve"> manage</w:t>
      </w:r>
      <w:r w:rsidR="00932BA6" w:rsidRPr="002D1680">
        <w:t>s</w:t>
      </w:r>
      <w:r w:rsidRPr="002D1680">
        <w:t xml:space="preserve"> risk</w:t>
      </w:r>
      <w:r w:rsidR="00B617F2" w:rsidRPr="002D1680">
        <w:t xml:space="preserve">. </w:t>
      </w:r>
      <w:r w:rsidRPr="002D1680">
        <w:t xml:space="preserve">A procurement review in March 2013 and a program-wide ‘risk stocktake’ exercise in early May 2013 identified </w:t>
      </w:r>
      <w:r w:rsidR="008E2780" w:rsidRPr="002D1680">
        <w:t>the</w:t>
      </w:r>
      <w:r w:rsidRPr="002D1680">
        <w:t xml:space="preserve"> risk </w:t>
      </w:r>
      <w:r w:rsidRPr="002D1680">
        <w:lastRenderedPageBreak/>
        <w:t>treatment strategies</w:t>
      </w:r>
      <w:r w:rsidR="00373007" w:rsidRPr="002D1680">
        <w:t xml:space="preserve"> needed</w:t>
      </w:r>
      <w:r w:rsidRPr="002D1680">
        <w:t xml:space="preserve"> and </w:t>
      </w:r>
      <w:r w:rsidR="008B7D25" w:rsidRPr="002D1680">
        <w:t>inform</w:t>
      </w:r>
      <w:r w:rsidR="00373007" w:rsidRPr="002D1680">
        <w:t>ed</w:t>
      </w:r>
      <w:r w:rsidRPr="002D1680">
        <w:t xml:space="preserve"> the program</w:t>
      </w:r>
      <w:r w:rsidR="008B7D25" w:rsidRPr="002D1680">
        <w:t>’s</w:t>
      </w:r>
      <w:r w:rsidRPr="002D1680">
        <w:t xml:space="preserve"> risk and fraud management plan</w:t>
      </w:r>
      <w:r w:rsidR="00373007" w:rsidRPr="002D1680">
        <w:t xml:space="preserve"> update</w:t>
      </w:r>
      <w:r w:rsidR="00B617F2" w:rsidRPr="002D1680">
        <w:t xml:space="preserve">. </w:t>
      </w:r>
    </w:p>
    <w:p w:rsidR="00A671EE" w:rsidRPr="002D1680" w:rsidRDefault="00CF24DF" w:rsidP="002D1680">
      <w:pPr>
        <w:pStyle w:val="BodyText"/>
      </w:pPr>
      <w:r w:rsidRPr="002D1680">
        <w:t>The Head of Post will drive a positive risk management culture at Post, including regularly updating risk documentation</w:t>
      </w:r>
      <w:r w:rsidR="00932BA6" w:rsidRPr="002D1680">
        <w:t xml:space="preserve"> </w:t>
      </w:r>
      <w:r w:rsidRPr="002D1680">
        <w:t>with partners and program managers. Formal and regular discussions on risk will be held with the</w:t>
      </w:r>
      <w:r w:rsidR="00373007" w:rsidRPr="002D1680">
        <w:t xml:space="preserve"> </w:t>
      </w:r>
      <w:r w:rsidR="007148B3" w:rsidRPr="002D1680">
        <w:t>Government of Tonga</w:t>
      </w:r>
      <w:r w:rsidRPr="002D1680">
        <w:t xml:space="preserve"> </w:t>
      </w:r>
      <w:r w:rsidR="00373007" w:rsidRPr="002D1680">
        <w:t xml:space="preserve">around </w:t>
      </w:r>
      <w:r w:rsidRPr="002D1680">
        <w:t>incorporating outcomes from recent reviews and audits into</w:t>
      </w:r>
      <w:r w:rsidR="00373007" w:rsidRPr="002D1680">
        <w:t xml:space="preserve"> its</w:t>
      </w:r>
      <w:r w:rsidR="00932BA6" w:rsidRPr="002D1680">
        <w:t xml:space="preserve"> </w:t>
      </w:r>
      <w:r w:rsidRPr="002D1680">
        <w:t>risk management approach</w:t>
      </w:r>
      <w:r w:rsidR="00102D4C" w:rsidRPr="002D1680">
        <w:t>.</w:t>
      </w:r>
    </w:p>
    <w:p w:rsidR="002F7561" w:rsidRPr="002D1680" w:rsidRDefault="002F7561" w:rsidP="002D1680">
      <w:pPr>
        <w:pStyle w:val="Heading2"/>
      </w:pPr>
      <w:r w:rsidRPr="002D1680">
        <w:t>Visibility of Australia’s aid program in Tonga</w:t>
      </w:r>
    </w:p>
    <w:p w:rsidR="002F7561" w:rsidRPr="00EA4E4D" w:rsidRDefault="00373007" w:rsidP="002D1680">
      <w:pPr>
        <w:pStyle w:val="BodyText"/>
      </w:pPr>
      <w:r>
        <w:t xml:space="preserve">The </w:t>
      </w:r>
      <w:r w:rsidR="002F7561">
        <w:t xml:space="preserve">Tonga </w:t>
      </w:r>
      <w:r>
        <w:t>p</w:t>
      </w:r>
      <w:r w:rsidR="002F7561">
        <w:t xml:space="preserve">rogram </w:t>
      </w:r>
      <w:r w:rsidR="002F7561" w:rsidRPr="00EA4E4D">
        <w:t>developed a</w:t>
      </w:r>
      <w:r w:rsidR="002F7561">
        <w:t>n in-country</w:t>
      </w:r>
      <w:r w:rsidR="002F7561" w:rsidRPr="00EA4E4D">
        <w:t xml:space="preserve"> communications strategy for 2012</w:t>
      </w:r>
      <w:r w:rsidR="00E576E6">
        <w:t>–</w:t>
      </w:r>
      <w:r w:rsidR="002F7561" w:rsidRPr="00EA4E4D">
        <w:t>13 which will be updated annual</w:t>
      </w:r>
      <w:r>
        <w:t>ly</w:t>
      </w:r>
      <w:r w:rsidR="00B617F2">
        <w:t xml:space="preserve">. </w:t>
      </w:r>
      <w:r w:rsidR="002F7561" w:rsidRPr="00EA4E4D">
        <w:t>The strategy provide</w:t>
      </w:r>
      <w:r>
        <w:t xml:space="preserve">s </w:t>
      </w:r>
      <w:r w:rsidR="002F7561" w:rsidRPr="00EA4E4D">
        <w:t xml:space="preserve">the blueprint for </w:t>
      </w:r>
      <w:r w:rsidR="00DD6BC4">
        <w:t xml:space="preserve">DFAT </w:t>
      </w:r>
      <w:r w:rsidR="002F7561" w:rsidRPr="00EA4E4D">
        <w:t>in Tonga to undertake public diplomacy and communications of Australia</w:t>
      </w:r>
      <w:r>
        <w:t>’s a</w:t>
      </w:r>
      <w:r w:rsidR="002F7561" w:rsidRPr="00EA4E4D">
        <w:t xml:space="preserve">id </w:t>
      </w:r>
      <w:r>
        <w:t>p</w:t>
      </w:r>
      <w:r w:rsidR="002F7561" w:rsidRPr="00EA4E4D">
        <w:t xml:space="preserve">rogram and </w:t>
      </w:r>
      <w:r>
        <w:t>build</w:t>
      </w:r>
      <w:r w:rsidR="002F7561" w:rsidRPr="00EA4E4D">
        <w:t xml:space="preserve"> greater awareness </w:t>
      </w:r>
      <w:r w:rsidR="002F7561">
        <w:t xml:space="preserve">within </w:t>
      </w:r>
      <w:r>
        <w:t>both countries</w:t>
      </w:r>
      <w:r w:rsidR="002F7561">
        <w:t xml:space="preserve"> </w:t>
      </w:r>
      <w:r w:rsidR="002F7561" w:rsidRPr="00EA4E4D">
        <w:t xml:space="preserve">of the </w:t>
      </w:r>
      <w:r>
        <w:t xml:space="preserve">program </w:t>
      </w:r>
      <w:r w:rsidR="002F7561" w:rsidRPr="00EA4E4D">
        <w:t>and its effectiveness.</w:t>
      </w:r>
    </w:p>
    <w:p w:rsidR="002F7561" w:rsidRDefault="002F7561" w:rsidP="002D1680">
      <w:pPr>
        <w:pStyle w:val="BodyText"/>
      </w:pPr>
      <w:r w:rsidRPr="00EA4E4D">
        <w:t>Branding has become a core part of program management</w:t>
      </w:r>
      <w:r w:rsidR="00373007">
        <w:t xml:space="preserve"> and</w:t>
      </w:r>
      <w:r w:rsidRPr="00EA4E4D">
        <w:t xml:space="preserve"> a branding clause</w:t>
      </w:r>
      <w:r w:rsidR="00373007">
        <w:t xml:space="preserve"> is</w:t>
      </w:r>
      <w:r w:rsidRPr="00EA4E4D">
        <w:t xml:space="preserve"> now incorporated into all </w:t>
      </w:r>
      <w:r w:rsidR="00373007">
        <w:t xml:space="preserve">partner </w:t>
      </w:r>
      <w:r w:rsidRPr="00EA4E4D">
        <w:t>agreements</w:t>
      </w:r>
      <w:r w:rsidR="00B617F2">
        <w:t xml:space="preserve">. </w:t>
      </w:r>
      <w:r w:rsidRPr="00EA4E4D">
        <w:t xml:space="preserve">New health centres, renovated classrooms, vocational studies equipment and rehabilitated and maintained roads are all branded with the </w:t>
      </w:r>
      <w:r w:rsidR="00F01614">
        <w:t xml:space="preserve">Australian Aid </w:t>
      </w:r>
      <w:r w:rsidRPr="00EA4E4D">
        <w:t>identifier</w:t>
      </w:r>
      <w:r w:rsidR="00373007">
        <w:t>. Fourteen</w:t>
      </w:r>
      <w:r>
        <w:t xml:space="preserve"> press</w:t>
      </w:r>
      <w:r w:rsidRPr="00EA4E4D">
        <w:t xml:space="preserve"> releases on </w:t>
      </w:r>
      <w:r w:rsidR="008039AB">
        <w:t>Australian Government</w:t>
      </w:r>
      <w:r w:rsidR="00373007">
        <w:t>-</w:t>
      </w:r>
      <w:r w:rsidRPr="00EA4E4D">
        <w:t>funded activities</w:t>
      </w:r>
      <w:r w:rsidR="00373007">
        <w:t xml:space="preserve"> in Tonga were</w:t>
      </w:r>
      <w:r w:rsidRPr="00EA4E4D">
        <w:t xml:space="preserve"> distributed</w:t>
      </w:r>
      <w:r w:rsidR="00373007">
        <w:t xml:space="preserve"> in the reporting year</w:t>
      </w:r>
      <w:r w:rsidR="00ED79E3">
        <w:t>,</w:t>
      </w:r>
      <w:r w:rsidRPr="00EA4E4D">
        <w:t xml:space="preserve"> locally and regionally</w:t>
      </w:r>
      <w:r w:rsidR="00B617F2">
        <w:t xml:space="preserve">. </w:t>
      </w:r>
      <w:r w:rsidR="00ED79E3">
        <w:t>T</w:t>
      </w:r>
      <w:r w:rsidRPr="00EA4E4D">
        <w:t xml:space="preserve">he new </w:t>
      </w:r>
      <w:r w:rsidR="008039AB">
        <w:t>Australian aid</w:t>
      </w:r>
      <w:r w:rsidRPr="00EA4E4D">
        <w:t xml:space="preserve"> Tonga website </w:t>
      </w:r>
      <w:r w:rsidR="00ED79E3">
        <w:t xml:space="preserve">was launched </w:t>
      </w:r>
      <w:r w:rsidRPr="00EA4E4D">
        <w:t>in June 2012</w:t>
      </w:r>
      <w:r w:rsidR="00ED79E3">
        <w:t>.</w:t>
      </w:r>
      <w:r w:rsidR="00560D57">
        <w:t xml:space="preserve"> </w:t>
      </w:r>
      <w:r w:rsidR="00ED79E3">
        <w:t>All releva</w:t>
      </w:r>
      <w:r w:rsidRPr="00EA4E4D">
        <w:t xml:space="preserve">nt information </w:t>
      </w:r>
      <w:r w:rsidR="00ED79E3">
        <w:t>on</w:t>
      </w:r>
      <w:r w:rsidR="008039AB">
        <w:t xml:space="preserve"> DFAT’s</w:t>
      </w:r>
      <w:r w:rsidRPr="00EA4E4D">
        <w:t xml:space="preserve"> work in Tonga </w:t>
      </w:r>
      <w:r w:rsidR="00ED79E3">
        <w:t>has been posted and</w:t>
      </w:r>
      <w:r w:rsidR="00ED79E3" w:rsidRPr="00EA4E4D">
        <w:t xml:space="preserve"> </w:t>
      </w:r>
      <w:r w:rsidRPr="00EA4E4D">
        <w:t>is updated</w:t>
      </w:r>
      <w:r w:rsidR="00ED79E3">
        <w:t xml:space="preserve"> regularly, with staff at Post and in the Canberra office working together</w:t>
      </w:r>
      <w:r w:rsidR="00B617F2">
        <w:t xml:space="preserve">. </w:t>
      </w:r>
    </w:p>
    <w:p w:rsidR="00307814" w:rsidRDefault="00ED79E3" w:rsidP="002D1680">
      <w:pPr>
        <w:pStyle w:val="BodyText"/>
        <w:rPr>
          <w:rFonts w:ascii="Franklin Gothic Demi" w:hAnsi="Franklin Gothic Demi" w:cs="Arial"/>
          <w:color w:val="AD495D"/>
          <w:kern w:val="28"/>
          <w:sz w:val="28"/>
          <w:szCs w:val="28"/>
        </w:rPr>
      </w:pPr>
      <w:r>
        <w:t xml:space="preserve">Staff at </w:t>
      </w:r>
      <w:r w:rsidR="002F7561" w:rsidRPr="00EA4E4D">
        <w:t xml:space="preserve">Post will continue to work with partners on branding opportunities and public diplomacy, in collaboration with </w:t>
      </w:r>
      <w:r>
        <w:t xml:space="preserve">staff in </w:t>
      </w:r>
      <w:r w:rsidR="002F7561" w:rsidRPr="00EA4E4D">
        <w:t>Canberra</w:t>
      </w:r>
      <w:r>
        <w:t xml:space="preserve">. </w:t>
      </w:r>
      <w:r w:rsidR="00DD6BC4">
        <w:t xml:space="preserve">DFAT </w:t>
      </w:r>
      <w:r w:rsidR="002F7561" w:rsidRPr="00EA4E4D">
        <w:t>expects to achieve</w:t>
      </w:r>
      <w:r>
        <w:t xml:space="preserve"> even</w:t>
      </w:r>
      <w:r w:rsidR="002F7561" w:rsidRPr="00EA4E4D">
        <w:t xml:space="preserve"> greater visibility of Australia</w:t>
      </w:r>
      <w:r>
        <w:t>’s</w:t>
      </w:r>
      <w:r w:rsidR="002F7561" w:rsidRPr="00EA4E4D">
        <w:t xml:space="preserve"> aid program </w:t>
      </w:r>
      <w:r>
        <w:t>in</w:t>
      </w:r>
      <w:r w:rsidRPr="00EA4E4D">
        <w:t xml:space="preserve"> </w:t>
      </w:r>
      <w:r>
        <w:t>2013–14</w:t>
      </w:r>
      <w:r w:rsidR="002F7561" w:rsidRPr="00EA4E4D">
        <w:t>.</w:t>
      </w:r>
      <w:r w:rsidR="00307814">
        <w:br w:type="page"/>
      </w:r>
    </w:p>
    <w:p w:rsidR="00A671EE" w:rsidRPr="002D1680" w:rsidRDefault="00A671EE" w:rsidP="002D1680">
      <w:pPr>
        <w:pStyle w:val="Heading1"/>
      </w:pPr>
      <w:r w:rsidRPr="002D1680">
        <w:lastRenderedPageBreak/>
        <w:t xml:space="preserve">Annex A </w:t>
      </w:r>
    </w:p>
    <w:p w:rsidR="00A671EE" w:rsidRPr="002D1680" w:rsidRDefault="00A671EE" w:rsidP="002D1680">
      <w:pPr>
        <w:pStyle w:val="Heading2"/>
      </w:pPr>
      <w:r w:rsidRPr="002D1680">
        <w:t>Tonga</w:t>
      </w:r>
      <w:r w:rsidR="00924027" w:rsidRPr="002D1680">
        <w:t xml:space="preserve"> </w:t>
      </w:r>
      <w:r w:rsidR="00D4461B" w:rsidRPr="002D1680">
        <w:t>Police Development Program</w:t>
      </w:r>
    </w:p>
    <w:p w:rsidR="00A671EE" w:rsidRPr="007D1A22" w:rsidRDefault="00A671EE" w:rsidP="007D1A22">
      <w:pPr>
        <w:pStyle w:val="BodyText"/>
      </w:pPr>
      <w:r w:rsidRPr="007D1A22">
        <w:t>In September 2006, the Government of Tonga</w:t>
      </w:r>
      <w:r w:rsidR="00807B68" w:rsidRPr="007D1A22">
        <w:t xml:space="preserve"> </w:t>
      </w:r>
      <w:r w:rsidR="00ED79E3" w:rsidRPr="007D1A22">
        <w:t>asked</w:t>
      </w:r>
      <w:r w:rsidRPr="007D1A22">
        <w:t xml:space="preserve"> the </w:t>
      </w:r>
      <w:r w:rsidR="00ED79E3" w:rsidRPr="007D1A22">
        <w:t>g</w:t>
      </w:r>
      <w:r w:rsidRPr="007D1A22">
        <w:t>overnment</w:t>
      </w:r>
      <w:r w:rsidR="00ED79E3" w:rsidRPr="007D1A22">
        <w:t>s</w:t>
      </w:r>
      <w:r w:rsidRPr="007D1A22">
        <w:t xml:space="preserve"> of Australia and New Zealand to </w:t>
      </w:r>
      <w:r w:rsidR="00900A84" w:rsidRPr="007D1A22">
        <w:t>develop</w:t>
      </w:r>
      <w:r w:rsidR="00560D57" w:rsidRPr="007D1A22">
        <w:t xml:space="preserve"> </w:t>
      </w:r>
      <w:r w:rsidRPr="007D1A22">
        <w:t xml:space="preserve">Tonga </w:t>
      </w:r>
      <w:r w:rsidR="00854C34" w:rsidRPr="007D1A22">
        <w:t>P</w:t>
      </w:r>
      <w:r w:rsidRPr="007D1A22">
        <w:t>olice</w:t>
      </w:r>
      <w:r w:rsidR="00B617F2" w:rsidRPr="007D1A22">
        <w:t xml:space="preserve">. </w:t>
      </w:r>
    </w:p>
    <w:p w:rsidR="00A671EE" w:rsidRPr="007D1A22" w:rsidRDefault="00A671EE" w:rsidP="007D1A22">
      <w:pPr>
        <w:pStyle w:val="BodyText"/>
      </w:pPr>
      <w:r w:rsidRPr="007D1A22">
        <w:t>The AFP deployed to Tonga in 2008 as part of a trilateral Tonga Police Development Program being conducted in partnership with Tonga and New Zealand</w:t>
      </w:r>
      <w:r w:rsidR="00B617F2" w:rsidRPr="007D1A22">
        <w:t xml:space="preserve">. </w:t>
      </w:r>
      <w:r w:rsidRPr="007D1A22">
        <w:t xml:space="preserve">Three AFP members, together with two New Zealand </w:t>
      </w:r>
      <w:r w:rsidR="00E576E6" w:rsidRPr="007D1A22">
        <w:t>p</w:t>
      </w:r>
      <w:r w:rsidRPr="007D1A22">
        <w:t xml:space="preserve">olice members, have supported the Police Commander and contributed to </w:t>
      </w:r>
      <w:r w:rsidR="004E6600" w:rsidRPr="007D1A22">
        <w:t xml:space="preserve">making </w:t>
      </w:r>
      <w:r w:rsidRPr="007D1A22">
        <w:t xml:space="preserve">Tonga </w:t>
      </w:r>
      <w:r w:rsidR="00854C34" w:rsidRPr="007D1A22">
        <w:t>P</w:t>
      </w:r>
      <w:r w:rsidRPr="007D1A22">
        <w:t>olice</w:t>
      </w:r>
      <w:r w:rsidR="004E6600" w:rsidRPr="007D1A22">
        <w:t xml:space="preserve"> more professional</w:t>
      </w:r>
      <w:r w:rsidRPr="007D1A22">
        <w:t>.</w:t>
      </w:r>
    </w:p>
    <w:p w:rsidR="00A671EE" w:rsidRPr="007D1A22" w:rsidRDefault="00A671EE" w:rsidP="007D1A22">
      <w:pPr>
        <w:pStyle w:val="BodyText"/>
      </w:pPr>
      <w:r w:rsidRPr="007D1A22">
        <w:t xml:space="preserve">The </w:t>
      </w:r>
      <w:r w:rsidR="004E6600" w:rsidRPr="007D1A22">
        <w:t>trilateral p</w:t>
      </w:r>
      <w:r w:rsidRPr="007D1A22">
        <w:t>rogram has also been supported by short-term AFP and N</w:t>
      </w:r>
      <w:r w:rsidR="004E6600" w:rsidRPr="007D1A22">
        <w:t xml:space="preserve">ew </w:t>
      </w:r>
      <w:r w:rsidRPr="007D1A22">
        <w:t>Z</w:t>
      </w:r>
      <w:r w:rsidR="004E6600" w:rsidRPr="007D1A22">
        <w:t>ealand</w:t>
      </w:r>
      <w:r w:rsidRPr="007D1A22">
        <w:t xml:space="preserve"> staff</w:t>
      </w:r>
      <w:r w:rsidR="004E6600" w:rsidRPr="007D1A22">
        <w:t xml:space="preserve"> working</w:t>
      </w:r>
      <w:r w:rsidRPr="007D1A22">
        <w:t xml:space="preserve"> on specific projects such as the Police Regulations Project, Major Incident Response Project, Road Safety Project</w:t>
      </w:r>
      <w:r w:rsidR="00560D57" w:rsidRPr="007D1A22">
        <w:t>,</w:t>
      </w:r>
      <w:r w:rsidRPr="007D1A22">
        <w:t xml:space="preserve"> and Sexual Offences and Child Abuse Workshop</w:t>
      </w:r>
      <w:r w:rsidR="00B617F2" w:rsidRPr="007D1A22">
        <w:t xml:space="preserve">. </w:t>
      </w:r>
      <w:r w:rsidR="004E6600" w:rsidRPr="007D1A22">
        <w:t>F</w:t>
      </w:r>
      <w:r w:rsidRPr="007D1A22">
        <w:t>urther reform within the I</w:t>
      </w:r>
      <w:r w:rsidR="004E6600" w:rsidRPr="007D1A22">
        <w:t>nformation and Communications Technology</w:t>
      </w:r>
      <w:r w:rsidRPr="007D1A22">
        <w:t xml:space="preserve"> Project and Human Resources Reform Project </w:t>
      </w:r>
      <w:r w:rsidR="004E6600" w:rsidRPr="007D1A22">
        <w:t>was also supported</w:t>
      </w:r>
      <w:r w:rsidRPr="007D1A22">
        <w:t>.</w:t>
      </w:r>
    </w:p>
    <w:p w:rsidR="00A671EE" w:rsidRPr="007D1A22" w:rsidRDefault="00A671EE" w:rsidP="007D1A22">
      <w:pPr>
        <w:pStyle w:val="BodyText"/>
      </w:pPr>
      <w:r w:rsidRPr="007D1A22">
        <w:rPr>
          <w:rStyle w:val="Strong"/>
          <w:bCs w:val="0"/>
        </w:rPr>
        <w:t xml:space="preserve">Australia and New Zealand are working with Tonga to support the </w:t>
      </w:r>
      <w:r w:rsidR="00854C34" w:rsidRPr="007D1A22">
        <w:rPr>
          <w:rStyle w:val="Strong"/>
          <w:bCs w:val="0"/>
        </w:rPr>
        <w:t xml:space="preserve">Police </w:t>
      </w:r>
      <w:r w:rsidRPr="007D1A22">
        <w:rPr>
          <w:rStyle w:val="Strong"/>
          <w:bCs w:val="0"/>
        </w:rPr>
        <w:t>Act</w:t>
      </w:r>
      <w:r w:rsidR="004E6600" w:rsidRPr="007D1A22">
        <w:rPr>
          <w:rStyle w:val="Strong"/>
          <w:bCs w:val="0"/>
        </w:rPr>
        <w:t>. Australia and New Zealand are providing funding a</w:t>
      </w:r>
      <w:r w:rsidR="00854C34" w:rsidRPr="007D1A22">
        <w:rPr>
          <w:rStyle w:val="Strong"/>
          <w:bCs w:val="0"/>
        </w:rPr>
        <w:t>long with the</w:t>
      </w:r>
      <w:r w:rsidR="004E6600" w:rsidRPr="007D1A22">
        <w:rPr>
          <w:rStyle w:val="Strong"/>
          <w:bCs w:val="0"/>
        </w:rPr>
        <w:t xml:space="preserve"> </w:t>
      </w:r>
      <w:r w:rsidR="007148B3" w:rsidRPr="007D1A22">
        <w:rPr>
          <w:rStyle w:val="Strong"/>
          <w:bCs w:val="0"/>
        </w:rPr>
        <w:t>Government of Tonga</w:t>
      </w:r>
      <w:r w:rsidRPr="007D1A22">
        <w:rPr>
          <w:rStyle w:val="Strong"/>
          <w:bCs w:val="0"/>
        </w:rPr>
        <w:t>.</w:t>
      </w:r>
    </w:p>
    <w:p w:rsidR="00A671EE" w:rsidRPr="00E2115E" w:rsidRDefault="004E6600" w:rsidP="002D1680">
      <w:pPr>
        <w:pStyle w:val="BodyText"/>
      </w:pPr>
      <w:r>
        <w:t>A</w:t>
      </w:r>
      <w:r w:rsidR="00A671EE" w:rsidRPr="00E2115E">
        <w:t>chievements</w:t>
      </w:r>
      <w:r>
        <w:t xml:space="preserve"> under the trilateral program in</w:t>
      </w:r>
      <w:r w:rsidR="00A671EE" w:rsidRPr="00E2115E">
        <w:t xml:space="preserve"> 2012</w:t>
      </w:r>
      <w:r w:rsidR="00924027">
        <w:t>–</w:t>
      </w:r>
      <w:r w:rsidR="00A671EE" w:rsidRPr="00E2115E">
        <w:t>13 include:</w:t>
      </w:r>
    </w:p>
    <w:p w:rsidR="00A671EE" w:rsidRPr="00E2115E" w:rsidRDefault="00924027" w:rsidP="002D1680">
      <w:pPr>
        <w:pStyle w:val="ListBullet"/>
      </w:pPr>
      <w:r>
        <w:t>i</w:t>
      </w:r>
      <w:r w:rsidR="00A671EE" w:rsidRPr="00E2115E">
        <w:t>mplement</w:t>
      </w:r>
      <w:r w:rsidR="004E6600">
        <w:t>ing a</w:t>
      </w:r>
      <w:r w:rsidR="00A671EE" w:rsidRPr="00E2115E">
        <w:t xml:space="preserve"> new </w:t>
      </w:r>
      <w:r>
        <w:t>o</w:t>
      </w:r>
      <w:r w:rsidR="00A671EE" w:rsidRPr="00E2115E">
        <w:t xml:space="preserve">rganisational </w:t>
      </w:r>
      <w:r>
        <w:t>s</w:t>
      </w:r>
      <w:r w:rsidR="00A671EE" w:rsidRPr="00E2115E">
        <w:t>tructure for the</w:t>
      </w:r>
      <w:r w:rsidR="00560D57">
        <w:t xml:space="preserve"> Tonga</w:t>
      </w:r>
      <w:r w:rsidR="00A671EE" w:rsidRPr="00E2115E">
        <w:t xml:space="preserve"> </w:t>
      </w:r>
      <w:r w:rsidR="00854C34">
        <w:t>P</w:t>
      </w:r>
      <w:r w:rsidR="00A671EE" w:rsidRPr="00E2115E">
        <w:t>olice</w:t>
      </w:r>
    </w:p>
    <w:p w:rsidR="00A671EE" w:rsidRPr="00E2115E" w:rsidRDefault="00924027" w:rsidP="002D1680">
      <w:pPr>
        <w:pStyle w:val="ListBullet"/>
      </w:pPr>
      <w:r>
        <w:t>a</w:t>
      </w:r>
      <w:r w:rsidR="00A671EE" w:rsidRPr="00E2115E">
        <w:t>dopti</w:t>
      </w:r>
      <w:r w:rsidR="004E6600">
        <w:t>ng</w:t>
      </w:r>
      <w:r w:rsidR="00A671EE" w:rsidRPr="00E2115E">
        <w:t xml:space="preserve"> a standardised performance appraisal process and subsequent rollout </w:t>
      </w:r>
    </w:p>
    <w:p w:rsidR="00A671EE" w:rsidRPr="00E2115E" w:rsidRDefault="00924027" w:rsidP="002D1680">
      <w:pPr>
        <w:pStyle w:val="ListBullet"/>
      </w:pPr>
      <w:r>
        <w:t>i</w:t>
      </w:r>
      <w:r w:rsidR="00A671EE" w:rsidRPr="00E2115E">
        <w:t>nstall</w:t>
      </w:r>
      <w:r w:rsidR="004E6600">
        <w:t>ing</w:t>
      </w:r>
      <w:r w:rsidR="00A671EE" w:rsidRPr="00E2115E">
        <w:t xml:space="preserve"> a </w:t>
      </w:r>
      <w:r w:rsidR="004E6600">
        <w:t>closed-circuit television</w:t>
      </w:r>
      <w:r w:rsidR="00A671EE" w:rsidRPr="00E2115E">
        <w:t xml:space="preserve"> system in Central Police Station, Nuku’alofa</w:t>
      </w:r>
      <w:r w:rsidR="004E6600">
        <w:t>,</w:t>
      </w:r>
      <w:r w:rsidR="00A671EE" w:rsidRPr="00E2115E">
        <w:t xml:space="preserve"> and develop</w:t>
      </w:r>
      <w:r w:rsidR="00560D57">
        <w:t>ing</w:t>
      </w:r>
      <w:r w:rsidR="00A671EE" w:rsidRPr="00E2115E">
        <w:t xml:space="preserve"> policies surrounding new and improved custodial practices</w:t>
      </w:r>
    </w:p>
    <w:p w:rsidR="00A671EE" w:rsidRPr="00E2115E" w:rsidRDefault="00924027" w:rsidP="002D1680">
      <w:pPr>
        <w:pStyle w:val="ListBullet"/>
      </w:pPr>
      <w:r>
        <w:t>i</w:t>
      </w:r>
      <w:r w:rsidR="00A671EE" w:rsidRPr="00E2115E">
        <w:t>ssu</w:t>
      </w:r>
      <w:r w:rsidR="004E6600">
        <w:t>ing</w:t>
      </w:r>
      <w:r w:rsidR="00A671EE" w:rsidRPr="00E2115E">
        <w:t xml:space="preserve"> new  uniforms for all </w:t>
      </w:r>
      <w:r w:rsidR="00560D57">
        <w:t>p</w:t>
      </w:r>
      <w:r w:rsidR="00A671EE" w:rsidRPr="00E2115E">
        <w:t>olice</w:t>
      </w:r>
      <w:r w:rsidR="00560D57">
        <w:t xml:space="preserve"> </w:t>
      </w:r>
      <w:r w:rsidR="00A671EE" w:rsidRPr="00E2115E">
        <w:t>members</w:t>
      </w:r>
      <w:r w:rsidR="004E6600">
        <w:t xml:space="preserve"> and</w:t>
      </w:r>
      <w:r w:rsidR="00A671EE" w:rsidRPr="00E2115E">
        <w:t xml:space="preserve"> specialist team</w:t>
      </w:r>
      <w:r w:rsidR="004E6600">
        <w:t xml:space="preserve"> members</w:t>
      </w:r>
    </w:p>
    <w:p w:rsidR="00A671EE" w:rsidRDefault="00924027" w:rsidP="002D1680">
      <w:pPr>
        <w:pStyle w:val="ListBullet"/>
      </w:pPr>
      <w:r>
        <w:t>d</w:t>
      </w:r>
      <w:r w:rsidR="00A671EE" w:rsidRPr="00E2115E">
        <w:t>evelop</w:t>
      </w:r>
      <w:r w:rsidR="004E6600">
        <w:t>ing</w:t>
      </w:r>
      <w:r w:rsidR="00A671EE" w:rsidRPr="00E2115E">
        <w:t xml:space="preserve"> and exten</w:t>
      </w:r>
      <w:r w:rsidR="004E6600">
        <w:t>ding</w:t>
      </w:r>
      <w:r w:rsidR="00A671EE" w:rsidRPr="00E2115E">
        <w:t xml:space="preserve"> traffic infringement notices to include a wider range of common offences</w:t>
      </w:r>
    </w:p>
    <w:p w:rsidR="00807B68" w:rsidRPr="00E2115E" w:rsidRDefault="00807B68" w:rsidP="002D1680">
      <w:pPr>
        <w:pStyle w:val="ListBullet"/>
      </w:pPr>
      <w:r>
        <w:t>e</w:t>
      </w:r>
      <w:r w:rsidRPr="00E2115E">
        <w:t>quip</w:t>
      </w:r>
      <w:r>
        <w:t>ping</w:t>
      </w:r>
      <w:r w:rsidRPr="00E2115E">
        <w:t xml:space="preserve"> nine </w:t>
      </w:r>
      <w:r>
        <w:t>Police C</w:t>
      </w:r>
      <w:r w:rsidRPr="00E2115E">
        <w:t xml:space="preserve">ommunity </w:t>
      </w:r>
      <w:r>
        <w:t>P</w:t>
      </w:r>
      <w:r w:rsidRPr="00E2115E">
        <w:t>osts with bicycles, vests and torches</w:t>
      </w:r>
    </w:p>
    <w:p w:rsidR="00A671EE" w:rsidRPr="00E2115E" w:rsidRDefault="004E6600" w:rsidP="002D1680">
      <w:pPr>
        <w:pStyle w:val="ListBullet"/>
      </w:pPr>
      <w:r>
        <w:t>d</w:t>
      </w:r>
      <w:r w:rsidR="00A671EE" w:rsidRPr="00E2115E">
        <w:t>evelop</w:t>
      </w:r>
      <w:r>
        <w:t>ing</w:t>
      </w:r>
      <w:r w:rsidR="00A671EE" w:rsidRPr="00E2115E">
        <w:t xml:space="preserve"> a Tonga </w:t>
      </w:r>
      <w:r w:rsidR="00854C34">
        <w:t>P</w:t>
      </w:r>
      <w:r w:rsidR="00A671EE" w:rsidRPr="00E2115E">
        <w:t xml:space="preserve">olice </w:t>
      </w:r>
      <w:r w:rsidR="00854C34">
        <w:t>S</w:t>
      </w:r>
      <w:r w:rsidR="00A671EE" w:rsidRPr="00E2115E">
        <w:t xml:space="preserve">trategic </w:t>
      </w:r>
      <w:r w:rsidR="00854C34">
        <w:t>P</w:t>
      </w:r>
      <w:r w:rsidR="00A671EE" w:rsidRPr="00E2115E">
        <w:t>lan for 2013</w:t>
      </w:r>
      <w:r w:rsidR="00924027">
        <w:t>–</w:t>
      </w:r>
      <w:r w:rsidR="00A671EE" w:rsidRPr="00E2115E">
        <w:t xml:space="preserve">16 with accompanying </w:t>
      </w:r>
      <w:r w:rsidR="00924027">
        <w:t>c</w:t>
      </w:r>
      <w:r w:rsidR="00A671EE" w:rsidRPr="00E2115E">
        <w:t xml:space="preserve">orporate and </w:t>
      </w:r>
      <w:r w:rsidR="00924027">
        <w:t>b</w:t>
      </w:r>
      <w:r w:rsidR="00A671EE" w:rsidRPr="00E2115E">
        <w:t xml:space="preserve">usiness </w:t>
      </w:r>
      <w:r w:rsidR="00924027">
        <w:t>p</w:t>
      </w:r>
      <w:r w:rsidR="00A671EE" w:rsidRPr="00E2115E">
        <w:t xml:space="preserve">lans that link directly to the </w:t>
      </w:r>
      <w:r w:rsidR="00924027">
        <w:t>g</w:t>
      </w:r>
      <w:r w:rsidR="00A671EE" w:rsidRPr="00E2115E">
        <w:t>overnment</w:t>
      </w:r>
      <w:r>
        <w:t>’s</w:t>
      </w:r>
      <w:r w:rsidR="00A671EE" w:rsidRPr="00E2115E">
        <w:t xml:space="preserve"> </w:t>
      </w:r>
      <w:r w:rsidR="00924027">
        <w:t>s</w:t>
      </w:r>
      <w:r w:rsidR="00A671EE" w:rsidRPr="00E2115E">
        <w:t xml:space="preserve">trategic </w:t>
      </w:r>
      <w:r w:rsidR="00924027">
        <w:t>p</w:t>
      </w:r>
      <w:r w:rsidR="00A671EE" w:rsidRPr="00E2115E">
        <w:t>lan</w:t>
      </w:r>
    </w:p>
    <w:p w:rsidR="00A671EE" w:rsidRPr="00E2115E" w:rsidRDefault="004E6600" w:rsidP="002D1680">
      <w:pPr>
        <w:pStyle w:val="ListBullet"/>
      </w:pPr>
      <w:r>
        <w:t>s</w:t>
      </w:r>
      <w:r w:rsidR="00A671EE" w:rsidRPr="00E2115E">
        <w:t>ubmi</w:t>
      </w:r>
      <w:r>
        <w:t>tting</w:t>
      </w:r>
      <w:r w:rsidR="00F95E3A">
        <w:t xml:space="preserve"> </w:t>
      </w:r>
      <w:r w:rsidR="00A671EE" w:rsidRPr="00E2115E">
        <w:t xml:space="preserve">the 2011 and 2012 </w:t>
      </w:r>
      <w:r w:rsidR="00F95E3A">
        <w:t>a</w:t>
      </w:r>
      <w:r w:rsidR="00A671EE" w:rsidRPr="00E2115E">
        <w:t xml:space="preserve">nnual </w:t>
      </w:r>
      <w:r w:rsidR="00F95E3A">
        <w:t>r</w:t>
      </w:r>
      <w:r w:rsidR="00A671EE" w:rsidRPr="00E2115E">
        <w:t>eport</w:t>
      </w:r>
      <w:r>
        <w:t>s to government</w:t>
      </w:r>
    </w:p>
    <w:p w:rsidR="00A671EE" w:rsidRPr="00E2115E" w:rsidRDefault="00F95E3A" w:rsidP="002D1680">
      <w:pPr>
        <w:pStyle w:val="ListBullet"/>
      </w:pPr>
      <w:r>
        <w:t>i</w:t>
      </w:r>
      <w:r w:rsidR="00A671EE" w:rsidRPr="00E2115E">
        <w:t>mplement</w:t>
      </w:r>
      <w:r w:rsidR="004E6600">
        <w:t>ing</w:t>
      </w:r>
      <w:r w:rsidR="00A671EE" w:rsidRPr="00E2115E">
        <w:t xml:space="preserve"> a self-development fund for Tonga </w:t>
      </w:r>
      <w:r w:rsidR="00900A84">
        <w:t>P</w:t>
      </w:r>
      <w:r w:rsidR="00A671EE" w:rsidRPr="00E2115E">
        <w:t>olice members to apply for sponsored education opportunities</w:t>
      </w:r>
    </w:p>
    <w:p w:rsidR="00A671EE" w:rsidRPr="00E2115E" w:rsidRDefault="00F95E3A" w:rsidP="002D1680">
      <w:pPr>
        <w:pStyle w:val="ListBullet"/>
      </w:pPr>
      <w:r>
        <w:t>i</w:t>
      </w:r>
      <w:r w:rsidR="00A671EE" w:rsidRPr="00E2115E">
        <w:t>mplement</w:t>
      </w:r>
      <w:r w:rsidR="004E6600">
        <w:t xml:space="preserve">ing </w:t>
      </w:r>
      <w:r w:rsidR="00A671EE" w:rsidRPr="00E2115E">
        <w:t xml:space="preserve">recommendations from the Tonga </w:t>
      </w:r>
      <w:r w:rsidR="00854C34">
        <w:t>P</w:t>
      </w:r>
      <w:r w:rsidR="00A671EE" w:rsidRPr="00E2115E">
        <w:t xml:space="preserve">olice </w:t>
      </w:r>
      <w:r w:rsidR="00854C34">
        <w:t>R</w:t>
      </w:r>
      <w:r w:rsidR="00A671EE" w:rsidRPr="00E2115E">
        <w:t xml:space="preserve">eview of </w:t>
      </w:r>
      <w:r w:rsidR="00854C34">
        <w:t>C</w:t>
      </w:r>
      <w:r w:rsidR="00A671EE" w:rsidRPr="00E2115E">
        <w:t xml:space="preserve">ommunication </w:t>
      </w:r>
      <w:r w:rsidR="00854C34">
        <w:t>C</w:t>
      </w:r>
      <w:r w:rsidR="00A671EE" w:rsidRPr="00E2115E">
        <w:t xml:space="preserve">entres, </w:t>
      </w:r>
      <w:r w:rsidR="004E6600">
        <w:t>including</w:t>
      </w:r>
      <w:r w:rsidR="00A671EE" w:rsidRPr="00E2115E">
        <w:t xml:space="preserve"> expan</w:t>
      </w:r>
      <w:r w:rsidR="004E6600">
        <w:t>ding</w:t>
      </w:r>
      <w:r w:rsidR="00A671EE" w:rsidRPr="00E2115E">
        <w:t xml:space="preserve"> communications </w:t>
      </w:r>
      <w:r w:rsidR="00560D57">
        <w:t>across</w:t>
      </w:r>
      <w:r w:rsidR="00560D57" w:rsidRPr="00E2115E">
        <w:t xml:space="preserve"> </w:t>
      </w:r>
      <w:r w:rsidR="00A671EE" w:rsidRPr="00E2115E">
        <w:t xml:space="preserve">the </w:t>
      </w:r>
      <w:r>
        <w:t>k</w:t>
      </w:r>
      <w:r w:rsidR="00A671EE" w:rsidRPr="00E2115E">
        <w:t xml:space="preserve">ingdom </w:t>
      </w:r>
      <w:r w:rsidR="004E6600">
        <w:t>through a high frequency</w:t>
      </w:r>
      <w:r w:rsidR="00A671EE" w:rsidRPr="00E2115E">
        <w:t xml:space="preserve"> </w:t>
      </w:r>
      <w:r>
        <w:t>r</w:t>
      </w:r>
      <w:r w:rsidR="00A671EE" w:rsidRPr="00E2115E">
        <w:t xml:space="preserve">adio </w:t>
      </w:r>
      <w:r>
        <w:t>n</w:t>
      </w:r>
      <w:r w:rsidR="00A671EE" w:rsidRPr="00E2115E">
        <w:t>etwork</w:t>
      </w:r>
    </w:p>
    <w:p w:rsidR="00A671EE" w:rsidRPr="00E2115E" w:rsidRDefault="00F95E3A" w:rsidP="002D1680">
      <w:pPr>
        <w:pStyle w:val="ListBullet"/>
      </w:pPr>
      <w:r>
        <w:t>d</w:t>
      </w:r>
      <w:r w:rsidR="00A671EE" w:rsidRPr="00E2115E">
        <w:t>evelop</w:t>
      </w:r>
      <w:r w:rsidR="004E6600">
        <w:t>ing</w:t>
      </w:r>
      <w:r w:rsidR="00A671EE" w:rsidRPr="00E2115E">
        <w:t xml:space="preserve"> and </w:t>
      </w:r>
      <w:r w:rsidR="004E6600">
        <w:t>uploading</w:t>
      </w:r>
      <w:r w:rsidR="00A671EE" w:rsidRPr="00E2115E">
        <w:t xml:space="preserve"> a Tonga </w:t>
      </w:r>
      <w:r w:rsidR="00854C34">
        <w:t>P</w:t>
      </w:r>
      <w:r w:rsidR="00A671EE" w:rsidRPr="00E2115E">
        <w:t>olice</w:t>
      </w:r>
      <w:r w:rsidR="00142596">
        <w:t xml:space="preserve"> </w:t>
      </w:r>
      <w:r>
        <w:t>w</w:t>
      </w:r>
      <w:r w:rsidR="00A671EE" w:rsidRPr="00E2115E">
        <w:t xml:space="preserve">ebsite </w:t>
      </w:r>
    </w:p>
    <w:p w:rsidR="00A671EE" w:rsidRPr="00E2115E" w:rsidRDefault="00F95E3A" w:rsidP="002D1680">
      <w:pPr>
        <w:pStyle w:val="ListBullet"/>
      </w:pPr>
      <w:r>
        <w:t>d</w:t>
      </w:r>
      <w:r w:rsidR="00A671EE" w:rsidRPr="00E2115E">
        <w:t>evelop</w:t>
      </w:r>
      <w:r w:rsidR="004E6600">
        <w:t>ing</w:t>
      </w:r>
      <w:r w:rsidR="00A671EE" w:rsidRPr="00E2115E">
        <w:t xml:space="preserve"> and deliver</w:t>
      </w:r>
      <w:r w:rsidR="004E6600">
        <w:t>ing</w:t>
      </w:r>
      <w:r w:rsidR="00A671EE" w:rsidRPr="00E2115E">
        <w:t xml:space="preserve"> a </w:t>
      </w:r>
      <w:r>
        <w:t>p</w:t>
      </w:r>
      <w:r w:rsidR="00A671EE" w:rsidRPr="00E2115E">
        <w:t xml:space="preserve">rosecution </w:t>
      </w:r>
      <w:r>
        <w:t>c</w:t>
      </w:r>
      <w:r w:rsidR="00A671EE" w:rsidRPr="00E2115E">
        <w:t>ourse</w:t>
      </w:r>
      <w:r>
        <w:t>—</w:t>
      </w:r>
      <w:r w:rsidR="00A671EE" w:rsidRPr="00E2115E">
        <w:t xml:space="preserve">the first in </w:t>
      </w:r>
      <w:r w:rsidR="004E6600">
        <w:t>10</w:t>
      </w:r>
      <w:r w:rsidR="004E6600" w:rsidRPr="00E2115E">
        <w:t xml:space="preserve"> </w:t>
      </w:r>
      <w:r w:rsidR="00A671EE" w:rsidRPr="00E2115E">
        <w:t>years</w:t>
      </w:r>
    </w:p>
    <w:p w:rsidR="00A671EE" w:rsidRPr="00E2115E" w:rsidRDefault="00F95E3A" w:rsidP="002D1680">
      <w:pPr>
        <w:pStyle w:val="ListBullet"/>
      </w:pPr>
      <w:r>
        <w:t>d</w:t>
      </w:r>
      <w:r w:rsidR="00A671EE" w:rsidRPr="00E2115E">
        <w:t>evelop</w:t>
      </w:r>
      <w:r w:rsidR="004E6600">
        <w:t>ing</w:t>
      </w:r>
      <w:r w:rsidR="00A671EE" w:rsidRPr="00E2115E">
        <w:t xml:space="preserve"> and </w:t>
      </w:r>
      <w:r w:rsidR="004E6600" w:rsidRPr="00E2115E">
        <w:t>deliver</w:t>
      </w:r>
      <w:r w:rsidR="004E6600">
        <w:t>ing</w:t>
      </w:r>
      <w:r w:rsidR="00A671EE" w:rsidRPr="00E2115E">
        <w:t xml:space="preserve"> </w:t>
      </w:r>
      <w:r>
        <w:t>a b</w:t>
      </w:r>
      <w:r w:rsidR="00A671EE" w:rsidRPr="00E2115E">
        <w:t xml:space="preserve">asic </w:t>
      </w:r>
      <w:r>
        <w:t>i</w:t>
      </w:r>
      <w:r w:rsidR="00A671EE" w:rsidRPr="00E2115E">
        <w:t xml:space="preserve">nvestigations </w:t>
      </w:r>
      <w:r>
        <w:t>c</w:t>
      </w:r>
      <w:r w:rsidR="00A671EE" w:rsidRPr="00E2115E">
        <w:t>ourse</w:t>
      </w:r>
    </w:p>
    <w:p w:rsidR="00A671EE" w:rsidRPr="00E2115E" w:rsidRDefault="00F95E3A" w:rsidP="002D1680">
      <w:pPr>
        <w:pStyle w:val="ListBullet"/>
      </w:pPr>
      <w:r>
        <w:t>d</w:t>
      </w:r>
      <w:r w:rsidR="00A671EE" w:rsidRPr="00E2115E">
        <w:t>eliver</w:t>
      </w:r>
      <w:r w:rsidR="004E6600">
        <w:t>ing</w:t>
      </w:r>
      <w:r w:rsidR="00A671EE" w:rsidRPr="00E2115E">
        <w:t xml:space="preserve"> a </w:t>
      </w:r>
      <w:r>
        <w:t>s</w:t>
      </w:r>
      <w:r w:rsidR="00A671EE" w:rsidRPr="00E2115E">
        <w:t xml:space="preserve">exual </w:t>
      </w:r>
      <w:r>
        <w:t>o</w:t>
      </w:r>
      <w:r w:rsidR="00A671EE" w:rsidRPr="00E2115E">
        <w:t xml:space="preserve">ffences and </w:t>
      </w:r>
      <w:r>
        <w:t>c</w:t>
      </w:r>
      <w:r w:rsidR="00A671EE" w:rsidRPr="00E2115E">
        <w:t xml:space="preserve">hild </w:t>
      </w:r>
      <w:r>
        <w:t>a</w:t>
      </w:r>
      <w:r w:rsidR="00A671EE" w:rsidRPr="00E2115E">
        <w:t xml:space="preserve">buse </w:t>
      </w:r>
      <w:r>
        <w:t>w</w:t>
      </w:r>
      <w:r w:rsidR="00A671EE" w:rsidRPr="00E2115E">
        <w:t>orkshop for investigators and first responders</w:t>
      </w:r>
    </w:p>
    <w:p w:rsidR="00A671EE" w:rsidRPr="00E2115E" w:rsidRDefault="00561A0B" w:rsidP="002D1680">
      <w:pPr>
        <w:pStyle w:val="ListBullet"/>
      </w:pPr>
      <w:r>
        <w:t xml:space="preserve">conducting a </w:t>
      </w:r>
      <w:r w:rsidR="000F477B">
        <w:t>j</w:t>
      </w:r>
      <w:r w:rsidR="00A671EE" w:rsidRPr="00E2115E">
        <w:t xml:space="preserve">oint major discussion exercise </w:t>
      </w:r>
      <w:r>
        <w:t>with</w:t>
      </w:r>
      <w:r w:rsidRPr="00E2115E">
        <w:t xml:space="preserve"> </w:t>
      </w:r>
      <w:r w:rsidR="00A671EE" w:rsidRPr="00E2115E">
        <w:t xml:space="preserve">Tonga Defence, Tonga </w:t>
      </w:r>
      <w:r w:rsidR="00854C34">
        <w:t>P</w:t>
      </w:r>
      <w:r w:rsidR="00A671EE" w:rsidRPr="00E2115E">
        <w:t xml:space="preserve">olice, </w:t>
      </w:r>
      <w:r w:rsidR="000F477B">
        <w:t>g</w:t>
      </w:r>
      <w:r w:rsidR="00A671EE" w:rsidRPr="00E2115E">
        <w:t>overnment and non-</w:t>
      </w:r>
      <w:r w:rsidR="00D25347">
        <w:t>g</w:t>
      </w:r>
      <w:r w:rsidR="00A671EE" w:rsidRPr="00E2115E">
        <w:t xml:space="preserve">overnment </w:t>
      </w:r>
      <w:r w:rsidR="00D25347">
        <w:t>o</w:t>
      </w:r>
      <w:r w:rsidR="00A671EE" w:rsidRPr="00E2115E">
        <w:t xml:space="preserve">rganisations </w:t>
      </w:r>
      <w:r w:rsidR="00560D57">
        <w:t>on</w:t>
      </w:r>
      <w:r w:rsidR="00A671EE" w:rsidRPr="00E2115E">
        <w:t xml:space="preserve"> major natural disaster</w:t>
      </w:r>
      <w:r w:rsidR="00560D57">
        <w:t>s</w:t>
      </w:r>
      <w:r w:rsidR="00A671EE" w:rsidRPr="00E2115E">
        <w:t xml:space="preserve"> </w:t>
      </w:r>
    </w:p>
    <w:p w:rsidR="00A671EE" w:rsidRPr="00E2115E" w:rsidRDefault="00561A0B" w:rsidP="002D1680">
      <w:pPr>
        <w:pStyle w:val="ListBullet"/>
      </w:pPr>
      <w:r>
        <w:t xml:space="preserve">conducting </w:t>
      </w:r>
      <w:r w:rsidR="00D25347">
        <w:t>s</w:t>
      </w:r>
      <w:r w:rsidR="00A671EE" w:rsidRPr="00E2115E">
        <w:t xml:space="preserve">enior </w:t>
      </w:r>
      <w:r w:rsidR="00D25347">
        <w:t>f</w:t>
      </w:r>
      <w:r w:rsidR="00A671EE" w:rsidRPr="00E2115E">
        <w:t xml:space="preserve">irst </w:t>
      </w:r>
      <w:r w:rsidR="00D25347">
        <w:t>a</w:t>
      </w:r>
      <w:r w:rsidR="00A671EE" w:rsidRPr="00E2115E">
        <w:t xml:space="preserve">id training to all first responders </w:t>
      </w:r>
    </w:p>
    <w:p w:rsidR="00A671EE" w:rsidRPr="00D25347" w:rsidRDefault="00D25347" w:rsidP="002D1680">
      <w:pPr>
        <w:pStyle w:val="ListBullet"/>
      </w:pPr>
      <w:r w:rsidRPr="00D25347">
        <w:lastRenderedPageBreak/>
        <w:t>c</w:t>
      </w:r>
      <w:r w:rsidR="00A671EE" w:rsidRPr="00D25347">
        <w:t>ontinu</w:t>
      </w:r>
      <w:r w:rsidR="00561A0B">
        <w:t>ing</w:t>
      </w:r>
      <w:r w:rsidR="00A671EE" w:rsidRPr="00D25347">
        <w:t xml:space="preserve"> </w:t>
      </w:r>
      <w:r w:rsidR="00560D57">
        <w:t xml:space="preserve">with </w:t>
      </w:r>
      <w:r w:rsidR="00A671EE" w:rsidRPr="00D25347">
        <w:t>advanced English and computer classes</w:t>
      </w:r>
      <w:r w:rsidR="00560D57">
        <w:t xml:space="preserve"> to</w:t>
      </w:r>
      <w:r>
        <w:t xml:space="preserve"> f</w:t>
      </w:r>
      <w:r w:rsidR="00A671EE" w:rsidRPr="00D25347">
        <w:t xml:space="preserve">urther develop policies and procedures </w:t>
      </w:r>
      <w:r w:rsidR="00561A0B">
        <w:t>for</w:t>
      </w:r>
      <w:r w:rsidR="00A671EE" w:rsidRPr="00D25347">
        <w:t xml:space="preserve"> domestic violence, victim support, use of force and early case closure</w:t>
      </w:r>
    </w:p>
    <w:p w:rsidR="00A671EE" w:rsidRPr="00E2115E" w:rsidRDefault="00561A0B" w:rsidP="002D1680">
      <w:pPr>
        <w:pStyle w:val="ListBullet"/>
      </w:pPr>
      <w:r>
        <w:t>starting a</w:t>
      </w:r>
      <w:r w:rsidR="00932BA6">
        <w:t xml:space="preserve"> </w:t>
      </w:r>
      <w:r w:rsidR="00D25347">
        <w:t>c</w:t>
      </w:r>
      <w:r w:rsidR="00A671EE" w:rsidRPr="00E2115E">
        <w:t xml:space="preserve">ommunity </w:t>
      </w:r>
      <w:r w:rsidR="00D25347">
        <w:t>p</w:t>
      </w:r>
      <w:r w:rsidR="00A671EE" w:rsidRPr="00E2115E">
        <w:t xml:space="preserve">erception </w:t>
      </w:r>
      <w:r w:rsidR="00D25347">
        <w:t>s</w:t>
      </w:r>
      <w:r w:rsidR="00A671EE" w:rsidRPr="00E2115E">
        <w:t xml:space="preserve">urvey </w:t>
      </w:r>
      <w:r>
        <w:t>through</w:t>
      </w:r>
      <w:r w:rsidRPr="00E2115E">
        <w:t xml:space="preserve"> </w:t>
      </w:r>
      <w:r w:rsidR="00A671EE" w:rsidRPr="00E2115E">
        <w:t>contractors from the Australian National University</w:t>
      </w:r>
      <w:r>
        <w:t xml:space="preserve"> (beginning in May 2013 </w:t>
      </w:r>
      <w:r w:rsidR="00CA417F">
        <w:t xml:space="preserve">and due to be completed by </w:t>
      </w:r>
      <w:r>
        <w:t>June 2013).</w:t>
      </w:r>
    </w:p>
    <w:p w:rsidR="00A671EE" w:rsidRPr="00E2115E" w:rsidRDefault="00A671EE" w:rsidP="002D1680">
      <w:pPr>
        <w:pStyle w:val="BodyText"/>
      </w:pPr>
      <w:r w:rsidRPr="00E2115E">
        <w:t xml:space="preserve">The Tonga </w:t>
      </w:r>
      <w:r w:rsidR="00854C34">
        <w:t>P</w:t>
      </w:r>
      <w:r w:rsidRPr="00E2115E">
        <w:t xml:space="preserve">olice still face a number of challenges. Of particular importance </w:t>
      </w:r>
      <w:r w:rsidR="00932BA6">
        <w:t xml:space="preserve">is </w:t>
      </w:r>
      <w:r w:rsidR="00561A0B">
        <w:t>the need to</w:t>
      </w:r>
      <w:r w:rsidRPr="00E2115E">
        <w:t>:</w:t>
      </w:r>
    </w:p>
    <w:p w:rsidR="00A671EE" w:rsidRPr="00E2115E" w:rsidRDefault="00D25347" w:rsidP="002D1680">
      <w:pPr>
        <w:pStyle w:val="ListBullet"/>
      </w:pPr>
      <w:r>
        <w:t>establish a</w:t>
      </w:r>
      <w:r w:rsidR="00A671EE" w:rsidRPr="00E2115E">
        <w:t xml:space="preserve"> tight organisational budget </w:t>
      </w:r>
    </w:p>
    <w:p w:rsidR="00A671EE" w:rsidRPr="00E2115E" w:rsidRDefault="00D25347" w:rsidP="002D1680">
      <w:pPr>
        <w:pStyle w:val="ListBullet"/>
      </w:pPr>
      <w:r>
        <w:t>a</w:t>
      </w:r>
      <w:r w:rsidR="00A671EE" w:rsidRPr="00E2115E">
        <w:t>ccept the new Organisational Structure and Performance Appraisal system</w:t>
      </w:r>
      <w:r>
        <w:t>.</w:t>
      </w:r>
    </w:p>
    <w:p w:rsidR="00A671EE" w:rsidRPr="00E2115E" w:rsidRDefault="00A671EE" w:rsidP="002A1935">
      <w:pPr>
        <w:pStyle w:val="BodyText"/>
        <w:rPr>
          <w:rFonts w:ascii="Georgia" w:hAnsi="Georgia"/>
          <w:sz w:val="19"/>
          <w:szCs w:val="19"/>
        </w:rPr>
      </w:pPr>
    </w:p>
    <w:p w:rsidR="00A671EE" w:rsidRPr="00E2115E" w:rsidRDefault="00A671EE" w:rsidP="002A1935">
      <w:pPr>
        <w:pStyle w:val="BodyText"/>
        <w:rPr>
          <w:rFonts w:ascii="Georgia" w:hAnsi="Georgia"/>
          <w:sz w:val="19"/>
          <w:szCs w:val="19"/>
        </w:rPr>
        <w:sectPr w:rsidR="00A671EE" w:rsidRPr="00E2115E" w:rsidSect="00221370">
          <w:headerReference w:type="even" r:id="rId11"/>
          <w:headerReference w:type="default" r:id="rId12"/>
          <w:footerReference w:type="even" r:id="rId13"/>
          <w:footerReference w:type="default" r:id="rId14"/>
          <w:headerReference w:type="first" r:id="rId15"/>
          <w:footerReference w:type="first" r:id="rId16"/>
          <w:pgSz w:w="11906" w:h="16838" w:code="9"/>
          <w:pgMar w:top="2268" w:right="1701" w:bottom="907" w:left="1871" w:header="709" w:footer="454" w:gutter="0"/>
          <w:cols w:space="708"/>
          <w:titlePg/>
          <w:docGrid w:linePitch="360"/>
        </w:sectPr>
      </w:pPr>
    </w:p>
    <w:p w:rsidR="00FE4491" w:rsidRPr="00FE4491" w:rsidRDefault="00C65930" w:rsidP="00FE4491">
      <w:pPr>
        <w:pStyle w:val="Heading1"/>
      </w:pPr>
      <w:r>
        <w:lastRenderedPageBreak/>
        <w:t xml:space="preserve">Annex </w:t>
      </w:r>
      <w:r w:rsidR="00307814">
        <w:t>B</w:t>
      </w:r>
      <w:r w:rsidR="00FE4491" w:rsidRPr="00FE4491">
        <w:t xml:space="preserve"> </w:t>
      </w:r>
    </w:p>
    <w:p w:rsidR="00261A43" w:rsidRPr="009A4444" w:rsidRDefault="00261A43" w:rsidP="00261A43">
      <w:pPr>
        <w:pStyle w:val="Heading2"/>
      </w:pPr>
      <w:r w:rsidRPr="009A4444">
        <w:t>Progress in addressing 2011 management consequences</w:t>
      </w:r>
    </w:p>
    <w:tbl>
      <w:tblPr>
        <w:tblStyle w:val="APPR"/>
        <w:tblW w:w="5000" w:type="pct"/>
        <w:tblLayout w:type="fixed"/>
        <w:tblLook w:val="0000" w:firstRow="0" w:lastRow="0" w:firstColumn="0" w:lastColumn="0" w:noHBand="0" w:noVBand="0"/>
      </w:tblPr>
      <w:tblGrid>
        <w:gridCol w:w="4833"/>
        <w:gridCol w:w="1139"/>
        <w:gridCol w:w="7963"/>
      </w:tblGrid>
      <w:tr w:rsidR="00261A43" w:rsidRPr="00180B19" w:rsidTr="00261A43">
        <w:trPr>
          <w:cnfStyle w:val="000000010000" w:firstRow="0" w:lastRow="0" w:firstColumn="0" w:lastColumn="0" w:oddVBand="0" w:evenVBand="0" w:oddHBand="0" w:evenHBand="1" w:firstRowFirstColumn="0" w:firstRowLastColumn="0" w:lastRowFirstColumn="0" w:lastRowLastColumn="0"/>
        </w:trPr>
        <w:tc>
          <w:tcPr>
            <w:tcW w:w="4772" w:type="dxa"/>
          </w:tcPr>
          <w:p w:rsidR="00261A43" w:rsidRPr="00180B19" w:rsidRDefault="00261A43" w:rsidP="00FF6D57">
            <w:pPr>
              <w:pStyle w:val="TableTextColumnHeading"/>
              <w:tabs>
                <w:tab w:val="left" w:pos="1185"/>
              </w:tabs>
            </w:pPr>
            <w:r w:rsidRPr="00FE4491">
              <w:t>Management consequences identified in 2011 APPR</w:t>
            </w:r>
            <w:r>
              <w:tab/>
            </w:r>
          </w:p>
        </w:tc>
        <w:tc>
          <w:tcPr>
            <w:tcW w:w="1106" w:type="dxa"/>
          </w:tcPr>
          <w:p w:rsidR="00261A43" w:rsidRPr="00180B19" w:rsidRDefault="00261A43" w:rsidP="00261A43">
            <w:pPr>
              <w:pStyle w:val="TableTextColumnHeading"/>
            </w:pPr>
            <w:r w:rsidRPr="00FE4491">
              <w:t>Rating</w:t>
            </w:r>
          </w:p>
        </w:tc>
        <w:tc>
          <w:tcPr>
            <w:tcW w:w="7888" w:type="dxa"/>
          </w:tcPr>
          <w:p w:rsidR="00261A43" w:rsidRPr="00180B19" w:rsidRDefault="00261A43" w:rsidP="00261A43">
            <w:pPr>
              <w:pStyle w:val="TableTextColumnHeading"/>
            </w:pPr>
            <w:r w:rsidRPr="00FE4491">
              <w:t>Progress made in 2012</w:t>
            </w:r>
            <w:r>
              <w:t>–</w:t>
            </w:r>
            <w:r w:rsidRPr="00FE4491">
              <w:t>13</w:t>
            </w:r>
          </w:p>
        </w:tc>
      </w:tr>
      <w:tr w:rsidR="00261A43" w:rsidRPr="00180B19" w:rsidTr="00261A43">
        <w:trPr>
          <w:cnfStyle w:val="000000010000" w:firstRow="0" w:lastRow="0" w:firstColumn="0" w:lastColumn="0" w:oddVBand="0" w:evenVBand="0" w:oddHBand="0" w:evenHBand="1" w:firstRowFirstColumn="0" w:firstRowLastColumn="0" w:lastRowFirstColumn="0" w:lastRowLastColumn="0"/>
        </w:trPr>
        <w:tc>
          <w:tcPr>
            <w:tcW w:w="4772" w:type="dxa"/>
          </w:tcPr>
          <w:p w:rsidR="00261A43" w:rsidRPr="009A4444" w:rsidRDefault="00261A43" w:rsidP="00261A43">
            <w:pPr>
              <w:pStyle w:val="TableTextEntries"/>
            </w:pPr>
            <w:r w:rsidRPr="009A4444">
              <w:t xml:space="preserve">Analysis of effectiveness and efficiency of continuing to use Tonga’s public financial management systems. </w:t>
            </w:r>
          </w:p>
        </w:tc>
        <w:tc>
          <w:tcPr>
            <w:tcW w:w="1106" w:type="dxa"/>
            <w:shd w:val="clear" w:color="auto" w:fill="92D050"/>
          </w:tcPr>
          <w:p w:rsidR="00261A43" w:rsidRPr="009A4444" w:rsidRDefault="00261A43" w:rsidP="00261A43">
            <w:pPr>
              <w:pStyle w:val="TableTextEntries"/>
            </w:pPr>
            <w:r w:rsidRPr="009A4444">
              <w:t>Green</w:t>
            </w:r>
          </w:p>
        </w:tc>
        <w:tc>
          <w:tcPr>
            <w:tcW w:w="7888" w:type="dxa"/>
          </w:tcPr>
          <w:p w:rsidR="00261A43" w:rsidRPr="009A4444" w:rsidRDefault="00261A43" w:rsidP="00261A43">
            <w:pPr>
              <w:pStyle w:val="TableTextEntries"/>
            </w:pPr>
            <w:r w:rsidRPr="009A4444">
              <w:t xml:space="preserve">Analysis progressed by improving risk management and will be considered further through delivery strategies. A review of Tonga’s public procurement system and a broader risk stocktake mission recommended risk mitigation treatments which the program will implement to improve the effectiveness and efficiency of continuing to use Tonga’s systems. Program reviews informed the broader question of effectiveness and efficiency. New designs explicitly considered the technical assistance required to ensure partner systems will deliver results. </w:t>
            </w:r>
          </w:p>
        </w:tc>
      </w:tr>
      <w:tr w:rsidR="00261A43" w:rsidRPr="00180B19" w:rsidTr="00261A43">
        <w:trPr>
          <w:cnfStyle w:val="000000010000" w:firstRow="0" w:lastRow="0" w:firstColumn="0" w:lastColumn="0" w:oddVBand="0" w:evenVBand="0" w:oddHBand="0" w:evenHBand="1" w:firstRowFirstColumn="0" w:firstRowLastColumn="0" w:lastRowFirstColumn="0" w:lastRowLastColumn="0"/>
        </w:trPr>
        <w:tc>
          <w:tcPr>
            <w:tcW w:w="4772" w:type="dxa"/>
          </w:tcPr>
          <w:p w:rsidR="00261A43" w:rsidRPr="009A4444" w:rsidRDefault="00261A43" w:rsidP="00261A43">
            <w:pPr>
              <w:pStyle w:val="TableTextEntries"/>
            </w:pPr>
            <w:r w:rsidRPr="009A4444">
              <w:t xml:space="preserve">Develop delivery strategy for economic and public sector reform underpinned by analytical work to better prioritise areas of support. </w:t>
            </w:r>
          </w:p>
        </w:tc>
        <w:tc>
          <w:tcPr>
            <w:tcW w:w="1106" w:type="dxa"/>
            <w:shd w:val="clear" w:color="auto" w:fill="92D050"/>
          </w:tcPr>
          <w:p w:rsidR="00261A43" w:rsidRPr="009A4444" w:rsidRDefault="00261A43" w:rsidP="00261A43">
            <w:pPr>
              <w:pStyle w:val="TableTextEntries"/>
            </w:pPr>
            <w:r w:rsidRPr="009A4444">
              <w:t>Green</w:t>
            </w:r>
            <w:r w:rsidRPr="009A4444">
              <w:fldChar w:fldCharType="begin"/>
            </w:r>
            <w:r w:rsidRPr="009A4444">
              <w:instrText xml:space="preserve"> AUTOTEXTLIST  \s "Rating bullet"\t "Right click to choose a rating" \* MERGEFORMAT </w:instrText>
            </w:r>
            <w:r w:rsidRPr="009A4444">
              <w:fldChar w:fldCharType="end"/>
            </w:r>
          </w:p>
        </w:tc>
        <w:tc>
          <w:tcPr>
            <w:tcW w:w="7888" w:type="dxa"/>
          </w:tcPr>
          <w:p w:rsidR="00261A43" w:rsidRPr="009A4444" w:rsidRDefault="00261A43" w:rsidP="00261A43">
            <w:pPr>
              <w:pStyle w:val="TableTextEntries"/>
            </w:pPr>
            <w:r w:rsidRPr="009A4444">
              <w:t xml:space="preserve">Delivery strategy completed based on a review of previous assistance and incorporated a theory of change developed in consultation with key Government of Tonga counterparts. </w:t>
            </w:r>
          </w:p>
        </w:tc>
      </w:tr>
      <w:tr w:rsidR="00261A43" w:rsidRPr="00180B19" w:rsidTr="00261A43">
        <w:trPr>
          <w:cnfStyle w:val="000000010000" w:firstRow="0" w:lastRow="0" w:firstColumn="0" w:lastColumn="0" w:oddVBand="0" w:evenVBand="0" w:oddHBand="0" w:evenHBand="1" w:firstRowFirstColumn="0" w:firstRowLastColumn="0" w:lastRowFirstColumn="0" w:lastRowLastColumn="0"/>
        </w:trPr>
        <w:tc>
          <w:tcPr>
            <w:tcW w:w="4772" w:type="dxa"/>
          </w:tcPr>
          <w:p w:rsidR="00261A43" w:rsidRPr="009A4444" w:rsidRDefault="00261A43" w:rsidP="00261A43">
            <w:pPr>
              <w:pStyle w:val="TableTextEntries"/>
            </w:pPr>
            <w:r w:rsidRPr="009A4444">
              <w:t xml:space="preserve">Develop implementation plan for economic and public sector reform and explore the design of an economic and public sector facility. </w:t>
            </w:r>
          </w:p>
        </w:tc>
        <w:tc>
          <w:tcPr>
            <w:tcW w:w="1106" w:type="dxa"/>
            <w:shd w:val="clear" w:color="auto" w:fill="FFC000"/>
          </w:tcPr>
          <w:p w:rsidR="00261A43" w:rsidRPr="009A4444" w:rsidRDefault="00261A43" w:rsidP="00261A43">
            <w:pPr>
              <w:pStyle w:val="TableTextEntries"/>
            </w:pPr>
            <w:r w:rsidRPr="009A4444">
              <w:t>Amber</w:t>
            </w:r>
          </w:p>
        </w:tc>
        <w:tc>
          <w:tcPr>
            <w:tcW w:w="7888" w:type="dxa"/>
          </w:tcPr>
          <w:p w:rsidR="00261A43" w:rsidRPr="009A4444" w:rsidRDefault="00261A43" w:rsidP="00261A43">
            <w:pPr>
              <w:pStyle w:val="TableTextEntries"/>
            </w:pPr>
            <w:r w:rsidRPr="009A4444">
              <w:t>Implementation plan to be agreed at the next Partnership for Development talks and draw on targets in the delivery strategy. Facility will be considered in the design of a forward program coming out of the delivery strategy.</w:t>
            </w:r>
          </w:p>
        </w:tc>
      </w:tr>
      <w:tr w:rsidR="00261A43" w:rsidRPr="00180B19" w:rsidTr="00261A43">
        <w:trPr>
          <w:cnfStyle w:val="000000010000" w:firstRow="0" w:lastRow="0" w:firstColumn="0" w:lastColumn="0" w:oddVBand="0" w:evenVBand="0" w:oddHBand="0" w:evenHBand="1" w:firstRowFirstColumn="0" w:firstRowLastColumn="0" w:lastRowFirstColumn="0" w:lastRowLastColumn="0"/>
        </w:trPr>
        <w:tc>
          <w:tcPr>
            <w:tcW w:w="4772" w:type="dxa"/>
          </w:tcPr>
          <w:p w:rsidR="00261A43" w:rsidRPr="009A4444" w:rsidRDefault="00261A43" w:rsidP="00261A43">
            <w:pPr>
              <w:pStyle w:val="TableTextEntries"/>
            </w:pPr>
            <w:r w:rsidRPr="009A4444">
              <w:t xml:space="preserve">Rethink approach to vocational and technical skills development. </w:t>
            </w:r>
          </w:p>
        </w:tc>
        <w:tc>
          <w:tcPr>
            <w:tcW w:w="1106" w:type="dxa"/>
            <w:shd w:val="clear" w:color="auto" w:fill="92D050"/>
          </w:tcPr>
          <w:p w:rsidR="00261A43" w:rsidRPr="009A4444" w:rsidRDefault="00261A43" w:rsidP="00261A43">
            <w:pPr>
              <w:pStyle w:val="TableTextEntries"/>
            </w:pPr>
            <w:r w:rsidRPr="009A4444">
              <w:t>Green</w:t>
            </w:r>
          </w:p>
        </w:tc>
        <w:tc>
          <w:tcPr>
            <w:tcW w:w="7888" w:type="dxa"/>
          </w:tcPr>
          <w:p w:rsidR="00261A43" w:rsidRPr="009A4444" w:rsidRDefault="00261A43" w:rsidP="00261A43">
            <w:pPr>
              <w:pStyle w:val="TableTextEntries"/>
            </w:pPr>
            <w:r w:rsidRPr="009A4444">
              <w:t xml:space="preserve">Rethink underway. A two-year interim facility has been designed and will be procured and mobilised in 2013–14. The facility will provide training courses in areas of industry demand while a longer-term approach is being developed (to be operational in 2015). </w:t>
            </w:r>
          </w:p>
        </w:tc>
      </w:tr>
      <w:tr w:rsidR="00261A43" w:rsidRPr="00180B19" w:rsidTr="00261A43">
        <w:trPr>
          <w:cnfStyle w:val="000000010000" w:firstRow="0" w:lastRow="0" w:firstColumn="0" w:lastColumn="0" w:oddVBand="0" w:evenVBand="0" w:oddHBand="0" w:evenHBand="1" w:firstRowFirstColumn="0" w:firstRowLastColumn="0" w:lastRowFirstColumn="0" w:lastRowLastColumn="0"/>
        </w:trPr>
        <w:tc>
          <w:tcPr>
            <w:tcW w:w="4772" w:type="dxa"/>
          </w:tcPr>
          <w:p w:rsidR="00261A43" w:rsidRPr="009A4444" w:rsidRDefault="00261A43" w:rsidP="00261A43">
            <w:pPr>
              <w:pStyle w:val="TableTextEntries"/>
            </w:pPr>
            <w:r w:rsidRPr="009A4444">
              <w:t xml:space="preserve">Review of partnership priorities in infrastructure and education. </w:t>
            </w:r>
          </w:p>
        </w:tc>
        <w:tc>
          <w:tcPr>
            <w:tcW w:w="1106" w:type="dxa"/>
            <w:shd w:val="clear" w:color="auto" w:fill="FFC000"/>
          </w:tcPr>
          <w:p w:rsidR="00261A43" w:rsidRPr="009A4444" w:rsidRDefault="00261A43" w:rsidP="00261A43">
            <w:pPr>
              <w:pStyle w:val="TableTextEntries"/>
            </w:pPr>
            <w:r w:rsidRPr="009A4444">
              <w:t>Amber</w:t>
            </w:r>
          </w:p>
        </w:tc>
        <w:tc>
          <w:tcPr>
            <w:tcW w:w="7888" w:type="dxa"/>
          </w:tcPr>
          <w:p w:rsidR="00261A43" w:rsidRPr="009A4444" w:rsidRDefault="00261A43" w:rsidP="00261A43">
            <w:pPr>
              <w:pStyle w:val="TableTextEntries"/>
            </w:pPr>
            <w:r w:rsidRPr="009A4444">
              <w:t xml:space="preserve">Review underway. To be completed before tabling at partnership talks in August 2013. This will include development of implementation schedules. </w:t>
            </w:r>
          </w:p>
        </w:tc>
      </w:tr>
      <w:tr w:rsidR="00261A43" w:rsidRPr="00180B19" w:rsidTr="00261A43">
        <w:trPr>
          <w:cnfStyle w:val="000000010000" w:firstRow="0" w:lastRow="0" w:firstColumn="0" w:lastColumn="0" w:oddVBand="0" w:evenVBand="0" w:oddHBand="0" w:evenHBand="1" w:firstRowFirstColumn="0" w:firstRowLastColumn="0" w:lastRowFirstColumn="0" w:lastRowLastColumn="0"/>
        </w:trPr>
        <w:tc>
          <w:tcPr>
            <w:tcW w:w="4772" w:type="dxa"/>
          </w:tcPr>
          <w:p w:rsidR="00261A43" w:rsidRPr="009A4444" w:rsidRDefault="00261A43" w:rsidP="00261A43">
            <w:pPr>
              <w:pStyle w:val="TableTextEntries"/>
            </w:pPr>
            <w:r w:rsidRPr="009A4444">
              <w:t>Work with Tonga and New Zealand to develop integrated support for education and training.</w:t>
            </w:r>
          </w:p>
        </w:tc>
        <w:tc>
          <w:tcPr>
            <w:tcW w:w="1106" w:type="dxa"/>
            <w:shd w:val="clear" w:color="auto" w:fill="92D050"/>
          </w:tcPr>
          <w:p w:rsidR="00261A43" w:rsidRPr="009A4444" w:rsidRDefault="00261A43" w:rsidP="00261A43">
            <w:pPr>
              <w:pStyle w:val="TableTextEntries"/>
            </w:pPr>
            <w:r w:rsidRPr="009A4444">
              <w:t>Green</w:t>
            </w:r>
          </w:p>
        </w:tc>
        <w:tc>
          <w:tcPr>
            <w:tcW w:w="7888" w:type="dxa"/>
          </w:tcPr>
          <w:p w:rsidR="00261A43" w:rsidRPr="009A4444" w:rsidRDefault="00261A43" w:rsidP="00261A43">
            <w:pPr>
              <w:pStyle w:val="TableTextEntries"/>
            </w:pPr>
            <w:r w:rsidRPr="009A4444">
              <w:t xml:space="preserve">Integrated support completed. New program began. </w:t>
            </w:r>
          </w:p>
        </w:tc>
      </w:tr>
      <w:tr w:rsidR="00261A43" w:rsidRPr="00180B19" w:rsidTr="00261A43">
        <w:trPr>
          <w:cnfStyle w:val="000000010000" w:firstRow="0" w:lastRow="0" w:firstColumn="0" w:lastColumn="0" w:oddVBand="0" w:evenVBand="0" w:oddHBand="0" w:evenHBand="1" w:firstRowFirstColumn="0" w:firstRowLastColumn="0" w:lastRowFirstColumn="0" w:lastRowLastColumn="0"/>
        </w:trPr>
        <w:tc>
          <w:tcPr>
            <w:tcW w:w="4772" w:type="dxa"/>
          </w:tcPr>
          <w:p w:rsidR="00261A43" w:rsidRPr="009A4444" w:rsidRDefault="00261A43" w:rsidP="00261A43">
            <w:pPr>
              <w:pStyle w:val="TableTextEntries"/>
            </w:pPr>
            <w:r w:rsidRPr="009A4444">
              <w:t>Strengthen reporting of activities in Tonga funded by regional programs, particularly for priority sectors under the partnership.</w:t>
            </w:r>
          </w:p>
        </w:tc>
        <w:tc>
          <w:tcPr>
            <w:tcW w:w="1106" w:type="dxa"/>
            <w:shd w:val="clear" w:color="auto" w:fill="FFC000"/>
          </w:tcPr>
          <w:p w:rsidR="00261A43" w:rsidRPr="009A4444" w:rsidRDefault="00261A43" w:rsidP="00261A43">
            <w:pPr>
              <w:pStyle w:val="TableTextEntries"/>
            </w:pPr>
            <w:r w:rsidRPr="009A4444">
              <w:t>Amber</w:t>
            </w:r>
          </w:p>
        </w:tc>
        <w:tc>
          <w:tcPr>
            <w:tcW w:w="7888" w:type="dxa"/>
          </w:tcPr>
          <w:p w:rsidR="00261A43" w:rsidRPr="009A4444" w:rsidRDefault="00261A43" w:rsidP="00D5316E">
            <w:pPr>
              <w:pStyle w:val="TableTextEntries"/>
            </w:pPr>
            <w:r w:rsidRPr="009A4444">
              <w:t>Strengthened reporting underway. Focus across the Pacific has been to report on the 10 largest regional programs. Where relevant, these have been reported on in this A</w:t>
            </w:r>
            <w:r w:rsidR="00D5316E">
              <w:t xml:space="preserve">nnual </w:t>
            </w:r>
            <w:r w:rsidRPr="009A4444">
              <w:t xml:space="preserve">Program Performance Report along with regional programs of high importance to Tonga—particularly the Pacific Horticultural and Agricultural Market Access Program and the Pacific Seasonal Workers Pilot Scheme. </w:t>
            </w:r>
          </w:p>
        </w:tc>
      </w:tr>
      <w:tr w:rsidR="00261A43" w:rsidRPr="00180B19" w:rsidTr="00261A43">
        <w:trPr>
          <w:cnfStyle w:val="000000010000" w:firstRow="0" w:lastRow="0" w:firstColumn="0" w:lastColumn="0" w:oddVBand="0" w:evenVBand="0" w:oddHBand="0" w:evenHBand="1" w:firstRowFirstColumn="0" w:firstRowLastColumn="0" w:lastRowFirstColumn="0" w:lastRowLastColumn="0"/>
        </w:trPr>
        <w:tc>
          <w:tcPr>
            <w:tcW w:w="4772" w:type="dxa"/>
          </w:tcPr>
          <w:p w:rsidR="00261A43" w:rsidRPr="009A4444" w:rsidRDefault="00261A43" w:rsidP="00261A43">
            <w:pPr>
              <w:pStyle w:val="TableTextEntries"/>
            </w:pPr>
            <w:r w:rsidRPr="009A4444">
              <w:t>Provide ongoing technical and advisory support to further enhance program strategy, management and policy discussion with Tonga.</w:t>
            </w:r>
          </w:p>
        </w:tc>
        <w:tc>
          <w:tcPr>
            <w:tcW w:w="1106" w:type="dxa"/>
            <w:shd w:val="clear" w:color="auto" w:fill="92D050"/>
          </w:tcPr>
          <w:p w:rsidR="00261A43" w:rsidRPr="009A4444" w:rsidRDefault="00261A43" w:rsidP="00261A43">
            <w:pPr>
              <w:pStyle w:val="TableTextEntries"/>
            </w:pPr>
            <w:r w:rsidRPr="009A4444">
              <w:t>Green</w:t>
            </w:r>
          </w:p>
        </w:tc>
        <w:tc>
          <w:tcPr>
            <w:tcW w:w="7888" w:type="dxa"/>
          </w:tcPr>
          <w:p w:rsidR="00261A43" w:rsidRPr="009A4444" w:rsidRDefault="00261A43" w:rsidP="00261A43">
            <w:pPr>
              <w:pStyle w:val="TableTextEntries"/>
            </w:pPr>
            <w:r w:rsidRPr="009A4444">
              <w:t xml:space="preserve">Support provided by a number of specialist advisers, particularly around designs, reviews and evaluations. The program actively engaged specialists through direct contracts or through facilities such as the Education Resource Facility and Health Resource Facility when AusAID advisers were unavailable. </w:t>
            </w:r>
          </w:p>
        </w:tc>
      </w:tr>
    </w:tbl>
    <w:p w:rsidR="00261A43" w:rsidRPr="00FE4491" w:rsidRDefault="00261A43" w:rsidP="00261A43">
      <w:pPr>
        <w:pStyle w:val="Note"/>
        <w:tabs>
          <w:tab w:val="left" w:pos="5160"/>
        </w:tabs>
      </w:pPr>
      <w:r w:rsidRPr="00FE4491">
        <w:t xml:space="preserve">Note: </w:t>
      </w:r>
      <w:r>
        <w:tab/>
      </w:r>
    </w:p>
    <w:p w:rsidR="00261A43" w:rsidRPr="00FE4491" w:rsidRDefault="00261A43" w:rsidP="00261A43">
      <w:pPr>
        <w:pStyle w:val="Note"/>
      </w:pPr>
      <w:r w:rsidRPr="00FE4491">
        <w:rPr>
          <w:color w:val="92D050"/>
        </w:rPr>
        <w:sym w:font="Webdings" w:char="F067"/>
      </w:r>
      <w:r w:rsidRPr="00FE4491">
        <w:t> </w:t>
      </w:r>
      <w:r w:rsidRPr="00FE4491">
        <w:t xml:space="preserve"> </w:t>
      </w:r>
      <w:r>
        <w:t>Green.</w:t>
      </w:r>
      <w:r>
        <w:rPr>
          <w:rFonts w:ascii="Times New Roman" w:hAnsi="Times New Roman"/>
        </w:rPr>
        <w:t xml:space="preserve"> </w:t>
      </w:r>
      <w:r w:rsidRPr="00EC3C88">
        <w:t>Progress is as expected for this point in time and it is likely that the objective will be achieved. Standard program management practices are sufficient.</w:t>
      </w:r>
    </w:p>
    <w:p w:rsidR="00261A43" w:rsidRDefault="00261A43" w:rsidP="00261A43">
      <w:pPr>
        <w:pStyle w:val="Note"/>
      </w:pPr>
      <w:r w:rsidRPr="00FE4491">
        <w:rPr>
          <w:color w:val="F79646" w:themeColor="accent6"/>
        </w:rPr>
        <w:sym w:font="Webdings" w:char="F067"/>
      </w:r>
      <w:r w:rsidRPr="00FE4491">
        <w:t> </w:t>
      </w:r>
      <w:r w:rsidRPr="00FE4491">
        <w:t xml:space="preserve"> </w:t>
      </w:r>
      <w:r w:rsidRPr="00C93493">
        <w:t xml:space="preserve">Amber. </w:t>
      </w:r>
      <w:r w:rsidRPr="00EC3C88">
        <w:t>Progress is somewhat less than expected for this point in time and restorative action will be necessary if the objective is to be achieved. Close performance monitoring is recommended.</w:t>
      </w:r>
    </w:p>
    <w:p w:rsidR="00261A43" w:rsidRDefault="00261A43" w:rsidP="00261A43">
      <w:pPr>
        <w:pStyle w:val="Note"/>
      </w:pPr>
      <w:r w:rsidRPr="00FE4491">
        <w:rPr>
          <w:color w:val="FF0000"/>
        </w:rPr>
        <w:sym w:font="Webdings" w:char="F067"/>
      </w:r>
      <w:r w:rsidRPr="00FE4491">
        <w:t> </w:t>
      </w:r>
      <w:r w:rsidRPr="00FE4491">
        <w:t xml:space="preserve"> </w:t>
      </w:r>
      <w:r>
        <w:t>Red.</w:t>
      </w:r>
      <w:r w:rsidRPr="009B77CB">
        <w:rPr>
          <w:rFonts w:ascii="Times New Roman" w:hAnsi="Times New Roman"/>
        </w:rPr>
        <w:t xml:space="preserve"> </w:t>
      </w:r>
      <w:r w:rsidRPr="00714039">
        <w:t xml:space="preserve">Progress is significantly less than expected for this point in time and the objective is not likely to be met given available resources and </w:t>
      </w:r>
      <w:r w:rsidRPr="00502435">
        <w:t>priorities. Recasting the objective may be required.</w:t>
      </w:r>
    </w:p>
    <w:p w:rsidR="00FE4491" w:rsidRDefault="00FE4491" w:rsidP="00FE4491">
      <w:pPr>
        <w:sectPr w:rsidR="00FE4491" w:rsidSect="00221370">
          <w:headerReference w:type="even" r:id="rId17"/>
          <w:headerReference w:type="default" r:id="rId18"/>
          <w:headerReference w:type="first" r:id="rId19"/>
          <w:pgSz w:w="16838" w:h="11906" w:orient="landscape" w:code="9"/>
          <w:pgMar w:top="1871" w:right="2268" w:bottom="1134" w:left="907" w:header="709" w:footer="425" w:gutter="0"/>
          <w:cols w:space="708"/>
          <w:titlePg/>
          <w:docGrid w:linePitch="360"/>
        </w:sectPr>
      </w:pPr>
    </w:p>
    <w:p w:rsidR="00261A43" w:rsidRPr="009A4444" w:rsidRDefault="00261A43" w:rsidP="00261A43">
      <w:pPr>
        <w:pStyle w:val="Heading1"/>
      </w:pPr>
      <w:r w:rsidRPr="009A4444">
        <w:lastRenderedPageBreak/>
        <w:t xml:space="preserve">Annex C </w:t>
      </w:r>
    </w:p>
    <w:p w:rsidR="00261A43" w:rsidRPr="00FE4491" w:rsidRDefault="00261A43" w:rsidP="00261A43">
      <w:pPr>
        <w:pStyle w:val="Heading2"/>
      </w:pPr>
      <w:r w:rsidRPr="00FE4491">
        <w:t xml:space="preserve">Quality at </w:t>
      </w:r>
      <w:r>
        <w:t>i</w:t>
      </w:r>
      <w:r w:rsidRPr="00FE4491">
        <w:t>mplementation ratings</w:t>
      </w:r>
    </w:p>
    <w:tbl>
      <w:tblPr>
        <w:tblStyle w:val="APPR"/>
        <w:tblW w:w="5000" w:type="pct"/>
        <w:tblLayout w:type="fixed"/>
        <w:tblLook w:val="04A0" w:firstRow="1" w:lastRow="0" w:firstColumn="1" w:lastColumn="0" w:noHBand="0" w:noVBand="1"/>
      </w:tblPr>
      <w:tblGrid>
        <w:gridCol w:w="1779"/>
        <w:gridCol w:w="669"/>
        <w:gridCol w:w="1308"/>
        <w:gridCol w:w="883"/>
        <w:gridCol w:w="561"/>
        <w:gridCol w:w="561"/>
        <w:gridCol w:w="561"/>
        <w:gridCol w:w="561"/>
        <w:gridCol w:w="561"/>
        <w:gridCol w:w="561"/>
        <w:gridCol w:w="28"/>
        <w:gridCol w:w="574"/>
      </w:tblGrid>
      <w:tr w:rsidR="00261A43" w:rsidRPr="00F27592" w:rsidTr="00261A43">
        <w:trPr>
          <w:cnfStyle w:val="100000000000" w:firstRow="1" w:lastRow="0" w:firstColumn="0" w:lastColumn="0" w:oddVBand="0" w:evenVBand="0" w:oddHBand="0" w:evenHBand="0" w:firstRowFirstColumn="0" w:firstRowLastColumn="0" w:lastRowFirstColumn="0" w:lastRowLastColumn="0"/>
          <w:trHeight w:val="2381"/>
        </w:trPr>
        <w:tc>
          <w:tcPr>
            <w:tcW w:w="814" w:type="pct"/>
            <w:noWrap/>
            <w:textDirection w:val="btLr"/>
            <w:hideMark/>
          </w:tcPr>
          <w:p w:rsidR="00261A43" w:rsidRPr="00F27592" w:rsidRDefault="00261A43" w:rsidP="00261A43">
            <w:pPr>
              <w:pStyle w:val="TableTextColumnHeading"/>
              <w:rPr>
                <w:b/>
              </w:rPr>
            </w:pPr>
            <w:bookmarkStart w:id="1" w:name="RANGE!A3:K25"/>
            <w:r w:rsidRPr="00F27592">
              <w:rPr>
                <w:b/>
              </w:rPr>
              <w:t>Initiative</w:t>
            </w:r>
            <w:bookmarkEnd w:id="1"/>
          </w:p>
        </w:tc>
        <w:tc>
          <w:tcPr>
            <w:tcW w:w="300" w:type="pct"/>
            <w:noWrap/>
            <w:textDirection w:val="btLr"/>
            <w:hideMark/>
          </w:tcPr>
          <w:p w:rsidR="00261A43" w:rsidRPr="00F27592" w:rsidRDefault="00261A43" w:rsidP="00261A43">
            <w:pPr>
              <w:pStyle w:val="TableTextColumnHeading"/>
              <w:rPr>
                <w:b/>
              </w:rPr>
            </w:pPr>
            <w:r w:rsidRPr="00F27592">
              <w:rPr>
                <w:b/>
              </w:rPr>
              <w:t>Calendar year</w:t>
            </w:r>
          </w:p>
        </w:tc>
        <w:tc>
          <w:tcPr>
            <w:tcW w:w="600" w:type="pct"/>
            <w:noWrap/>
            <w:textDirection w:val="btLr"/>
            <w:hideMark/>
          </w:tcPr>
          <w:p w:rsidR="00261A43" w:rsidRPr="00F27592" w:rsidRDefault="00261A43" w:rsidP="00261A43">
            <w:pPr>
              <w:pStyle w:val="TableTextColumnHeading"/>
              <w:rPr>
                <w:b/>
              </w:rPr>
            </w:pPr>
            <w:r w:rsidRPr="00F27592">
              <w:rPr>
                <w:b/>
              </w:rPr>
              <w:t>Approved budget</w:t>
            </w:r>
          </w:p>
        </w:tc>
        <w:tc>
          <w:tcPr>
            <w:tcW w:w="400" w:type="pct"/>
            <w:noWrap/>
            <w:textDirection w:val="btLr"/>
            <w:hideMark/>
          </w:tcPr>
          <w:p w:rsidR="00261A43" w:rsidRPr="00F27592" w:rsidRDefault="00261A43" w:rsidP="00261A43">
            <w:pPr>
              <w:pStyle w:val="TableTextColumnHeading"/>
              <w:rPr>
                <w:b/>
              </w:rPr>
            </w:pPr>
            <w:r w:rsidRPr="00F27592">
              <w:rPr>
                <w:b/>
              </w:rPr>
              <w:t>Duration</w:t>
            </w:r>
          </w:p>
        </w:tc>
        <w:tc>
          <w:tcPr>
            <w:tcW w:w="250" w:type="pct"/>
            <w:noWrap/>
            <w:textDirection w:val="btLr"/>
            <w:hideMark/>
          </w:tcPr>
          <w:p w:rsidR="00261A43" w:rsidRPr="00F27592" w:rsidRDefault="00261A43" w:rsidP="00261A43">
            <w:pPr>
              <w:pStyle w:val="TableTextColumnHeading"/>
              <w:rPr>
                <w:b/>
              </w:rPr>
            </w:pPr>
            <w:r w:rsidRPr="00F27592">
              <w:rPr>
                <w:b/>
              </w:rPr>
              <w:t>QAI relevance</w:t>
            </w:r>
          </w:p>
        </w:tc>
        <w:tc>
          <w:tcPr>
            <w:tcW w:w="250" w:type="pct"/>
            <w:noWrap/>
            <w:textDirection w:val="btLr"/>
            <w:hideMark/>
          </w:tcPr>
          <w:p w:rsidR="00261A43" w:rsidRPr="00F27592" w:rsidRDefault="00261A43" w:rsidP="00261A43">
            <w:pPr>
              <w:pStyle w:val="TableTextColumnHeading"/>
              <w:rPr>
                <w:b/>
              </w:rPr>
            </w:pPr>
            <w:r w:rsidRPr="00F27592">
              <w:rPr>
                <w:b/>
              </w:rPr>
              <w:t>QAI effectiveness</w:t>
            </w:r>
          </w:p>
        </w:tc>
        <w:tc>
          <w:tcPr>
            <w:tcW w:w="250" w:type="pct"/>
            <w:noWrap/>
            <w:textDirection w:val="btLr"/>
            <w:hideMark/>
          </w:tcPr>
          <w:p w:rsidR="00261A43" w:rsidRPr="00F27592" w:rsidRDefault="00261A43" w:rsidP="00261A43">
            <w:pPr>
              <w:pStyle w:val="TableTextColumnHeading"/>
              <w:rPr>
                <w:b/>
              </w:rPr>
            </w:pPr>
            <w:r w:rsidRPr="00F27592">
              <w:rPr>
                <w:b/>
              </w:rPr>
              <w:t>QAI efficiency</w:t>
            </w:r>
          </w:p>
        </w:tc>
        <w:tc>
          <w:tcPr>
            <w:tcW w:w="250" w:type="pct"/>
            <w:noWrap/>
            <w:textDirection w:val="btLr"/>
            <w:hideMark/>
          </w:tcPr>
          <w:p w:rsidR="00261A43" w:rsidRPr="00F27592" w:rsidRDefault="00261A43" w:rsidP="00261A43">
            <w:pPr>
              <w:pStyle w:val="TableTextColumnHeading"/>
              <w:rPr>
                <w:b/>
              </w:rPr>
            </w:pPr>
            <w:r w:rsidRPr="00F27592">
              <w:rPr>
                <w:b/>
              </w:rPr>
              <w:t>QAI monitoring and evaluation</w:t>
            </w:r>
          </w:p>
        </w:tc>
        <w:tc>
          <w:tcPr>
            <w:tcW w:w="250" w:type="pct"/>
            <w:noWrap/>
            <w:textDirection w:val="btLr"/>
            <w:hideMark/>
          </w:tcPr>
          <w:p w:rsidR="00261A43" w:rsidRPr="00F27592" w:rsidRDefault="00261A43" w:rsidP="00261A43">
            <w:pPr>
              <w:pStyle w:val="TableTextColumnHeading"/>
              <w:rPr>
                <w:b/>
              </w:rPr>
            </w:pPr>
            <w:r w:rsidRPr="00F27592">
              <w:rPr>
                <w:b/>
              </w:rPr>
              <w:t>QAI Sustainability</w:t>
            </w:r>
          </w:p>
        </w:tc>
        <w:tc>
          <w:tcPr>
            <w:tcW w:w="250" w:type="pct"/>
            <w:noWrap/>
            <w:textDirection w:val="btLr"/>
            <w:hideMark/>
          </w:tcPr>
          <w:p w:rsidR="00261A43" w:rsidRPr="00F27592" w:rsidRDefault="00261A43" w:rsidP="00261A43">
            <w:pPr>
              <w:pStyle w:val="TableTextColumnHeading"/>
              <w:rPr>
                <w:b/>
              </w:rPr>
            </w:pPr>
            <w:r w:rsidRPr="00F27592">
              <w:rPr>
                <w:b/>
              </w:rPr>
              <w:t>QAI gender equality</w:t>
            </w:r>
          </w:p>
        </w:tc>
        <w:tc>
          <w:tcPr>
            <w:tcW w:w="250" w:type="pct"/>
            <w:gridSpan w:val="2"/>
            <w:noWrap/>
            <w:textDirection w:val="btLr"/>
            <w:hideMark/>
          </w:tcPr>
          <w:p w:rsidR="00261A43" w:rsidRPr="00F27592" w:rsidRDefault="00261A43" w:rsidP="00261A43">
            <w:pPr>
              <w:pStyle w:val="TableTextColumnHeading"/>
              <w:rPr>
                <w:b/>
              </w:rPr>
            </w:pPr>
            <w:r w:rsidRPr="00F27592">
              <w:rPr>
                <w:b/>
              </w:rPr>
              <w:t>Risk management</w:t>
            </w:r>
          </w:p>
        </w:tc>
      </w:tr>
      <w:tr w:rsidR="00261A43" w:rsidRPr="00F27592" w:rsidTr="00261A43">
        <w:trPr>
          <w:trHeight w:val="300"/>
          <w:tblHeader w:val="0"/>
        </w:trPr>
        <w:tc>
          <w:tcPr>
            <w:tcW w:w="814" w:type="pct"/>
            <w:vMerge w:val="restart"/>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Financial and Economic Management Program</w:t>
            </w:r>
          </w:p>
        </w:tc>
        <w:tc>
          <w:tcPr>
            <w:tcW w:w="3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2011</w:t>
            </w:r>
          </w:p>
        </w:tc>
        <w:tc>
          <w:tcPr>
            <w:tcW w:w="6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$4 829 717.00</w:t>
            </w:r>
          </w:p>
        </w:tc>
        <w:tc>
          <w:tcPr>
            <w:tcW w:w="400" w:type="pct"/>
            <w:vMerge w:val="restar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9 years</w:t>
            </w:r>
          </w:p>
        </w:tc>
        <w:tc>
          <w:tcPr>
            <w:tcW w:w="250" w:type="pct"/>
            <w:tcBorders>
              <w:top w:val="nil"/>
              <w:bottom w:val="nil"/>
            </w:tcBorders>
            <w:shd w:val="clear" w:color="auto" w:fill="92D05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6</w:t>
            </w:r>
          </w:p>
        </w:tc>
        <w:tc>
          <w:tcPr>
            <w:tcW w:w="250" w:type="pct"/>
            <w:tcBorders>
              <w:top w:val="nil"/>
              <w:bottom w:val="nil"/>
            </w:tcBorders>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tcBorders>
              <w:top w:val="nil"/>
              <w:bottom w:val="nil"/>
            </w:tcBorders>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tcBorders>
              <w:top w:val="nil"/>
              <w:bottom w:val="nil"/>
            </w:tcBorders>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tcBorders>
              <w:top w:val="nil"/>
              <w:bottom w:val="nil"/>
            </w:tcBorders>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tcBorders>
              <w:top w:val="nil"/>
              <w:bottom w:val="nil"/>
            </w:tcBorders>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gridSpan w:val="2"/>
            <w:tcBorders>
              <w:top w:val="nil"/>
              <w:bottom w:val="nil"/>
            </w:tcBorders>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I</w:t>
            </w:r>
          </w:p>
        </w:tc>
      </w:tr>
      <w:tr w:rsidR="00261A43" w:rsidRPr="00F27592" w:rsidTr="00261A43">
        <w:trPr>
          <w:cnfStyle w:val="000000010000" w:firstRow="0" w:lastRow="0" w:firstColumn="0" w:lastColumn="0" w:oddVBand="0" w:evenVBand="0" w:oddHBand="0" w:evenHBand="1" w:firstRowFirstColumn="0" w:firstRowLastColumn="0" w:lastRowFirstColumn="0" w:lastRowLastColumn="0"/>
          <w:trHeight w:val="300"/>
          <w:tblHeader w:val="0"/>
        </w:trPr>
        <w:tc>
          <w:tcPr>
            <w:tcW w:w="814" w:type="pct"/>
            <w:vMerge/>
            <w:hideMark/>
          </w:tcPr>
          <w:p w:rsidR="00261A43" w:rsidRPr="00F27592" w:rsidRDefault="00261A43" w:rsidP="00261A43">
            <w:pPr>
              <w:pStyle w:val="TableTextEntries"/>
              <w:rPr>
                <w:rFonts w:ascii="Calibri" w:hAnsi="Calibri" w:cs="Calibri"/>
                <w:szCs w:val="16"/>
              </w:rPr>
            </w:pPr>
          </w:p>
        </w:tc>
        <w:tc>
          <w:tcPr>
            <w:tcW w:w="3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2012</w:t>
            </w:r>
          </w:p>
        </w:tc>
        <w:tc>
          <w:tcPr>
            <w:tcW w:w="6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$4 829 717.00</w:t>
            </w:r>
          </w:p>
        </w:tc>
        <w:tc>
          <w:tcPr>
            <w:tcW w:w="400" w:type="pct"/>
            <w:vMerge/>
            <w:hideMark/>
          </w:tcPr>
          <w:p w:rsidR="00261A43" w:rsidRPr="00F27592" w:rsidRDefault="00261A43" w:rsidP="00261A43">
            <w:pPr>
              <w:pStyle w:val="TableTextEntries"/>
              <w:rPr>
                <w:rFonts w:ascii="Calibri" w:hAnsi="Calibri" w:cs="Calibri"/>
                <w:szCs w:val="16"/>
              </w:rPr>
            </w:pPr>
          </w:p>
        </w:tc>
        <w:tc>
          <w:tcPr>
            <w:tcW w:w="250" w:type="pct"/>
            <w:shd w:val="clear" w:color="auto" w:fill="92D05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5</w:t>
            </w:r>
          </w:p>
        </w:tc>
        <w:tc>
          <w:tcPr>
            <w:tcW w:w="250" w:type="pct"/>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gridSpan w:val="2"/>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I</w:t>
            </w:r>
          </w:p>
        </w:tc>
      </w:tr>
      <w:tr w:rsidR="00261A43" w:rsidRPr="00F27592" w:rsidTr="00261A43">
        <w:trPr>
          <w:trHeight w:val="300"/>
          <w:tblHeader w:val="0"/>
        </w:trPr>
        <w:tc>
          <w:tcPr>
            <w:tcW w:w="814" w:type="pct"/>
            <w:vMerge w:val="restart"/>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Tonga Pacific Technical Assistance Mechanism</w:t>
            </w:r>
          </w:p>
        </w:tc>
        <w:tc>
          <w:tcPr>
            <w:tcW w:w="3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2011</w:t>
            </w:r>
          </w:p>
        </w:tc>
        <w:tc>
          <w:tcPr>
            <w:tcW w:w="6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$4 007 948.93</w:t>
            </w:r>
          </w:p>
        </w:tc>
        <w:tc>
          <w:tcPr>
            <w:tcW w:w="400" w:type="pct"/>
            <w:vMerge w:val="restar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9 years</w:t>
            </w:r>
          </w:p>
        </w:tc>
        <w:tc>
          <w:tcPr>
            <w:tcW w:w="250" w:type="pct"/>
            <w:tcBorders>
              <w:top w:val="nil"/>
              <w:bottom w:val="nil"/>
            </w:tcBorders>
            <w:shd w:val="clear" w:color="auto" w:fill="92D05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6</w:t>
            </w:r>
          </w:p>
        </w:tc>
        <w:tc>
          <w:tcPr>
            <w:tcW w:w="250" w:type="pct"/>
            <w:tcBorders>
              <w:top w:val="nil"/>
              <w:bottom w:val="nil"/>
            </w:tcBorders>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tcBorders>
              <w:top w:val="nil"/>
              <w:bottom w:val="nil"/>
            </w:tcBorders>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tcBorders>
              <w:top w:val="nil"/>
              <w:bottom w:val="nil"/>
            </w:tcBorders>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tcBorders>
              <w:top w:val="nil"/>
              <w:bottom w:val="nil"/>
            </w:tcBorders>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tcBorders>
              <w:top w:val="nil"/>
              <w:bottom w:val="nil"/>
            </w:tcBorders>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gridSpan w:val="2"/>
            <w:tcBorders>
              <w:top w:val="nil"/>
              <w:bottom w:val="nil"/>
            </w:tcBorders>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I</w:t>
            </w:r>
          </w:p>
        </w:tc>
      </w:tr>
      <w:tr w:rsidR="00261A43" w:rsidRPr="00F27592" w:rsidTr="00261A43">
        <w:trPr>
          <w:cnfStyle w:val="000000010000" w:firstRow="0" w:lastRow="0" w:firstColumn="0" w:lastColumn="0" w:oddVBand="0" w:evenVBand="0" w:oddHBand="0" w:evenHBand="1" w:firstRowFirstColumn="0" w:firstRowLastColumn="0" w:lastRowFirstColumn="0" w:lastRowLastColumn="0"/>
          <w:trHeight w:val="300"/>
          <w:tblHeader w:val="0"/>
        </w:trPr>
        <w:tc>
          <w:tcPr>
            <w:tcW w:w="814" w:type="pct"/>
            <w:vMerge/>
            <w:hideMark/>
          </w:tcPr>
          <w:p w:rsidR="00261A43" w:rsidRPr="00F27592" w:rsidRDefault="00261A43" w:rsidP="00261A43">
            <w:pPr>
              <w:pStyle w:val="TableTextEntries"/>
              <w:rPr>
                <w:rFonts w:ascii="Calibri" w:hAnsi="Calibri" w:cs="Calibri"/>
                <w:szCs w:val="16"/>
              </w:rPr>
            </w:pPr>
          </w:p>
        </w:tc>
        <w:tc>
          <w:tcPr>
            <w:tcW w:w="3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2012</w:t>
            </w:r>
          </w:p>
        </w:tc>
        <w:tc>
          <w:tcPr>
            <w:tcW w:w="6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$4 007 948.93</w:t>
            </w:r>
          </w:p>
        </w:tc>
        <w:tc>
          <w:tcPr>
            <w:tcW w:w="400" w:type="pct"/>
            <w:vMerge/>
            <w:hideMark/>
          </w:tcPr>
          <w:p w:rsidR="00261A43" w:rsidRPr="00F27592" w:rsidRDefault="00261A43" w:rsidP="00261A43">
            <w:pPr>
              <w:pStyle w:val="TableTextEntries"/>
              <w:rPr>
                <w:rFonts w:ascii="Calibri" w:hAnsi="Calibri" w:cs="Calibri"/>
                <w:szCs w:val="16"/>
              </w:rPr>
            </w:pPr>
          </w:p>
        </w:tc>
        <w:tc>
          <w:tcPr>
            <w:tcW w:w="250" w:type="pct"/>
            <w:shd w:val="clear" w:color="auto" w:fill="92D05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5</w:t>
            </w:r>
          </w:p>
        </w:tc>
        <w:tc>
          <w:tcPr>
            <w:tcW w:w="250" w:type="pct"/>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gridSpan w:val="2"/>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I</w:t>
            </w:r>
          </w:p>
        </w:tc>
      </w:tr>
      <w:tr w:rsidR="00261A43" w:rsidRPr="00F27592" w:rsidTr="00261A43">
        <w:trPr>
          <w:trHeight w:val="300"/>
          <w:tblHeader w:val="0"/>
        </w:trPr>
        <w:tc>
          <w:tcPr>
            <w:tcW w:w="814" w:type="pct"/>
            <w:hideMark/>
          </w:tcPr>
          <w:p w:rsidR="00261A43" w:rsidRPr="00F27592" w:rsidRDefault="00261A43" w:rsidP="00261A43">
            <w:pPr>
              <w:pStyle w:val="TableTextEntries"/>
            </w:pPr>
            <w:r w:rsidRPr="00F27592">
              <w:t>Tonga Business Recovery Facility</w:t>
            </w:r>
            <w:r w:rsidRPr="00F27592">
              <w:rPr>
                <w:rStyle w:val="FootnoteReference"/>
                <w:rFonts w:ascii="Franklin Gothic Book" w:hAnsi="Franklin Gothic Book"/>
                <w:position w:val="0"/>
                <w:sz w:val="17"/>
                <w:szCs w:val="17"/>
                <w:vertAlign w:val="superscript"/>
              </w:rPr>
              <w:footnoteReference w:id="44"/>
            </w:r>
          </w:p>
        </w:tc>
        <w:tc>
          <w:tcPr>
            <w:tcW w:w="3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2012</w:t>
            </w:r>
          </w:p>
        </w:tc>
        <w:tc>
          <w:tcPr>
            <w:tcW w:w="6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$5 979 012.52</w:t>
            </w:r>
          </w:p>
        </w:tc>
        <w:tc>
          <w:tcPr>
            <w:tcW w:w="4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15 years</w:t>
            </w:r>
          </w:p>
        </w:tc>
        <w:tc>
          <w:tcPr>
            <w:tcW w:w="250" w:type="pct"/>
            <w:tcBorders>
              <w:top w:val="nil"/>
              <w:bottom w:val="nil"/>
            </w:tcBorders>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tcBorders>
              <w:top w:val="nil"/>
              <w:bottom w:val="nil"/>
            </w:tcBorders>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tcBorders>
              <w:top w:val="nil"/>
              <w:bottom w:val="nil"/>
            </w:tcBorders>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tcBorders>
              <w:top w:val="nil"/>
              <w:bottom w:val="nil"/>
            </w:tcBorders>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tcBorders>
              <w:top w:val="nil"/>
              <w:bottom w:val="nil"/>
            </w:tcBorders>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tcBorders>
              <w:top w:val="nil"/>
              <w:bottom w:val="nil"/>
            </w:tcBorders>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gridSpan w:val="2"/>
            <w:tcBorders>
              <w:top w:val="nil"/>
              <w:bottom w:val="nil"/>
            </w:tcBorders>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I</w:t>
            </w:r>
          </w:p>
        </w:tc>
      </w:tr>
      <w:tr w:rsidR="00261A43" w:rsidRPr="00F27592" w:rsidTr="00261A43">
        <w:trPr>
          <w:cnfStyle w:val="000000010000" w:firstRow="0" w:lastRow="0" w:firstColumn="0" w:lastColumn="0" w:oddVBand="0" w:evenVBand="0" w:oddHBand="0" w:evenHBand="1" w:firstRowFirstColumn="0" w:firstRowLastColumn="0" w:lastRowFirstColumn="0" w:lastRowLastColumn="0"/>
          <w:trHeight w:val="300"/>
          <w:tblHeader w:val="0"/>
        </w:trPr>
        <w:tc>
          <w:tcPr>
            <w:tcW w:w="814" w:type="pct"/>
            <w:vMerge w:val="restart"/>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Economic and Public Sector Management</w:t>
            </w:r>
          </w:p>
        </w:tc>
        <w:tc>
          <w:tcPr>
            <w:tcW w:w="3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2011</w:t>
            </w:r>
          </w:p>
        </w:tc>
        <w:tc>
          <w:tcPr>
            <w:tcW w:w="6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$4 245 590.01</w:t>
            </w:r>
          </w:p>
        </w:tc>
        <w:tc>
          <w:tcPr>
            <w:tcW w:w="400" w:type="pct"/>
            <w:vMerge w:val="restar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5 years</w:t>
            </w:r>
          </w:p>
        </w:tc>
        <w:tc>
          <w:tcPr>
            <w:tcW w:w="250" w:type="pct"/>
            <w:shd w:val="clear" w:color="auto" w:fill="92D05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6</w:t>
            </w:r>
          </w:p>
        </w:tc>
        <w:tc>
          <w:tcPr>
            <w:tcW w:w="250" w:type="pct"/>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gridSpan w:val="2"/>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I</w:t>
            </w:r>
          </w:p>
        </w:tc>
      </w:tr>
      <w:tr w:rsidR="00261A43" w:rsidRPr="00F27592" w:rsidTr="00261A43">
        <w:trPr>
          <w:trHeight w:val="300"/>
          <w:tblHeader w:val="0"/>
        </w:trPr>
        <w:tc>
          <w:tcPr>
            <w:tcW w:w="814" w:type="pct"/>
            <w:vMerge/>
            <w:hideMark/>
          </w:tcPr>
          <w:p w:rsidR="00261A43" w:rsidRPr="00F27592" w:rsidRDefault="00261A43" w:rsidP="00261A43">
            <w:pPr>
              <w:pStyle w:val="TableTextEntries"/>
              <w:rPr>
                <w:rFonts w:ascii="Calibri" w:hAnsi="Calibri" w:cs="Calibri"/>
                <w:szCs w:val="16"/>
              </w:rPr>
            </w:pPr>
          </w:p>
        </w:tc>
        <w:tc>
          <w:tcPr>
            <w:tcW w:w="3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2012</w:t>
            </w:r>
          </w:p>
        </w:tc>
        <w:tc>
          <w:tcPr>
            <w:tcW w:w="6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$4 245 590.01</w:t>
            </w:r>
          </w:p>
        </w:tc>
        <w:tc>
          <w:tcPr>
            <w:tcW w:w="400" w:type="pct"/>
            <w:vMerge/>
            <w:hideMark/>
          </w:tcPr>
          <w:p w:rsidR="00261A43" w:rsidRPr="00F27592" w:rsidRDefault="00261A43" w:rsidP="00261A43">
            <w:pPr>
              <w:pStyle w:val="TableTextEntries"/>
              <w:rPr>
                <w:rFonts w:ascii="Calibri" w:hAnsi="Calibri" w:cs="Calibri"/>
                <w:szCs w:val="16"/>
              </w:rPr>
            </w:pPr>
          </w:p>
        </w:tc>
        <w:tc>
          <w:tcPr>
            <w:tcW w:w="250" w:type="pct"/>
            <w:tcBorders>
              <w:top w:val="nil"/>
              <w:bottom w:val="nil"/>
            </w:tcBorders>
            <w:shd w:val="clear" w:color="auto" w:fill="92D05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5</w:t>
            </w:r>
          </w:p>
        </w:tc>
        <w:tc>
          <w:tcPr>
            <w:tcW w:w="250" w:type="pct"/>
            <w:tcBorders>
              <w:top w:val="nil"/>
              <w:bottom w:val="nil"/>
            </w:tcBorders>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tcBorders>
              <w:top w:val="nil"/>
              <w:bottom w:val="nil"/>
            </w:tcBorders>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tcBorders>
              <w:top w:val="nil"/>
              <w:bottom w:val="nil"/>
            </w:tcBorders>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tcBorders>
              <w:top w:val="nil"/>
              <w:bottom w:val="nil"/>
            </w:tcBorders>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tcBorders>
              <w:top w:val="nil"/>
              <w:bottom w:val="nil"/>
            </w:tcBorders>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gridSpan w:val="2"/>
            <w:tcBorders>
              <w:top w:val="nil"/>
              <w:bottom w:val="nil"/>
            </w:tcBorders>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I</w:t>
            </w:r>
          </w:p>
        </w:tc>
      </w:tr>
      <w:tr w:rsidR="00261A43" w:rsidRPr="00F27592" w:rsidTr="00261A43">
        <w:trPr>
          <w:cnfStyle w:val="000000010000" w:firstRow="0" w:lastRow="0" w:firstColumn="0" w:lastColumn="0" w:oddVBand="0" w:evenVBand="0" w:oddHBand="0" w:evenHBand="1" w:firstRowFirstColumn="0" w:firstRowLastColumn="0" w:lastRowFirstColumn="0" w:lastRowLastColumn="0"/>
          <w:trHeight w:val="300"/>
          <w:tblHeader w:val="0"/>
        </w:trPr>
        <w:tc>
          <w:tcPr>
            <w:tcW w:w="814" w:type="pct"/>
            <w:vMerge w:val="restart"/>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Australia – New Zealand – Tonga Technical Vocational Education and Training Support Program 1</w:t>
            </w:r>
          </w:p>
        </w:tc>
        <w:tc>
          <w:tcPr>
            <w:tcW w:w="3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2011</w:t>
            </w:r>
          </w:p>
        </w:tc>
        <w:tc>
          <w:tcPr>
            <w:tcW w:w="6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$7 420 000.00</w:t>
            </w:r>
          </w:p>
        </w:tc>
        <w:tc>
          <w:tcPr>
            <w:tcW w:w="400" w:type="pct"/>
            <w:vMerge w:val="restar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4 years</w:t>
            </w:r>
          </w:p>
        </w:tc>
        <w:tc>
          <w:tcPr>
            <w:tcW w:w="250" w:type="pct"/>
            <w:shd w:val="clear" w:color="auto" w:fill="92D05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5</w:t>
            </w:r>
          </w:p>
        </w:tc>
        <w:tc>
          <w:tcPr>
            <w:tcW w:w="250" w:type="pct"/>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shd w:val="clear" w:color="auto" w:fill="FF00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2</w:t>
            </w:r>
          </w:p>
        </w:tc>
        <w:tc>
          <w:tcPr>
            <w:tcW w:w="250" w:type="pct"/>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gridSpan w:val="2"/>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I</w:t>
            </w:r>
          </w:p>
        </w:tc>
      </w:tr>
      <w:tr w:rsidR="00261A43" w:rsidRPr="00F27592" w:rsidTr="00261A43">
        <w:trPr>
          <w:gridAfter w:val="1"/>
          <w:wAfter w:w="515" w:type="dxa"/>
          <w:trHeight w:val="300"/>
          <w:tblHeader w:val="0"/>
        </w:trPr>
        <w:tc>
          <w:tcPr>
            <w:tcW w:w="814" w:type="pct"/>
            <w:vMerge/>
            <w:hideMark/>
          </w:tcPr>
          <w:p w:rsidR="00261A43" w:rsidRPr="00F27592" w:rsidRDefault="00261A43" w:rsidP="00261A43">
            <w:pPr>
              <w:pStyle w:val="TableTextEntries"/>
              <w:rPr>
                <w:rFonts w:ascii="Calibri" w:hAnsi="Calibri" w:cs="Calibri"/>
                <w:szCs w:val="16"/>
              </w:rPr>
            </w:pPr>
          </w:p>
        </w:tc>
        <w:tc>
          <w:tcPr>
            <w:tcW w:w="3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2012</w:t>
            </w:r>
          </w:p>
        </w:tc>
        <w:tc>
          <w:tcPr>
            <w:tcW w:w="6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$7 420 000.00</w:t>
            </w:r>
          </w:p>
        </w:tc>
        <w:tc>
          <w:tcPr>
            <w:tcW w:w="400" w:type="pct"/>
            <w:vMerge/>
            <w:hideMark/>
          </w:tcPr>
          <w:p w:rsidR="00261A43" w:rsidRPr="00F27592" w:rsidRDefault="00261A43" w:rsidP="00261A43">
            <w:pPr>
              <w:pStyle w:val="TableTextEntries"/>
              <w:rPr>
                <w:rFonts w:ascii="Calibri" w:hAnsi="Calibri" w:cs="Calibri"/>
                <w:szCs w:val="16"/>
              </w:rPr>
            </w:pPr>
          </w:p>
        </w:tc>
        <w:tc>
          <w:tcPr>
            <w:tcW w:w="250" w:type="pct"/>
            <w:gridSpan w:val="7"/>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Program closed so not monitored in 2012</w:t>
            </w:r>
          </w:p>
        </w:tc>
      </w:tr>
      <w:tr w:rsidR="00261A43" w:rsidRPr="00F27592" w:rsidTr="00261A43">
        <w:trPr>
          <w:cnfStyle w:val="000000010000" w:firstRow="0" w:lastRow="0" w:firstColumn="0" w:lastColumn="0" w:oddVBand="0" w:evenVBand="0" w:oddHBand="0" w:evenHBand="1" w:firstRowFirstColumn="0" w:firstRowLastColumn="0" w:lastRowFirstColumn="0" w:lastRowLastColumn="0"/>
          <w:trHeight w:val="300"/>
          <w:tblHeader w:val="0"/>
        </w:trPr>
        <w:tc>
          <w:tcPr>
            <w:tcW w:w="814" w:type="pct"/>
            <w:vMerge w:val="restart"/>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Tonga Health Systems Support Program</w:t>
            </w:r>
          </w:p>
        </w:tc>
        <w:tc>
          <w:tcPr>
            <w:tcW w:w="3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2011</w:t>
            </w:r>
          </w:p>
        </w:tc>
        <w:tc>
          <w:tcPr>
            <w:tcW w:w="6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$7 500 000.00</w:t>
            </w:r>
          </w:p>
        </w:tc>
        <w:tc>
          <w:tcPr>
            <w:tcW w:w="400" w:type="pct"/>
            <w:vMerge w:val="restar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4 years</w:t>
            </w:r>
          </w:p>
        </w:tc>
        <w:tc>
          <w:tcPr>
            <w:tcW w:w="250" w:type="pct"/>
            <w:shd w:val="clear" w:color="auto" w:fill="92D05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6</w:t>
            </w:r>
          </w:p>
        </w:tc>
        <w:tc>
          <w:tcPr>
            <w:tcW w:w="250" w:type="pct"/>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gridSpan w:val="2"/>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I</w:t>
            </w:r>
          </w:p>
        </w:tc>
      </w:tr>
      <w:tr w:rsidR="00261A43" w:rsidRPr="00F27592" w:rsidTr="00261A43">
        <w:trPr>
          <w:trHeight w:val="300"/>
          <w:tblHeader w:val="0"/>
        </w:trPr>
        <w:tc>
          <w:tcPr>
            <w:tcW w:w="814" w:type="pct"/>
            <w:vMerge/>
            <w:hideMark/>
          </w:tcPr>
          <w:p w:rsidR="00261A43" w:rsidRPr="00F27592" w:rsidRDefault="00261A43" w:rsidP="00261A43">
            <w:pPr>
              <w:pStyle w:val="TableTextEntries"/>
              <w:rPr>
                <w:rFonts w:ascii="Calibri" w:hAnsi="Calibri" w:cs="Calibri"/>
                <w:szCs w:val="16"/>
              </w:rPr>
            </w:pPr>
          </w:p>
        </w:tc>
        <w:tc>
          <w:tcPr>
            <w:tcW w:w="3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2012</w:t>
            </w:r>
          </w:p>
        </w:tc>
        <w:tc>
          <w:tcPr>
            <w:tcW w:w="6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$7 500 000.00</w:t>
            </w:r>
          </w:p>
        </w:tc>
        <w:tc>
          <w:tcPr>
            <w:tcW w:w="400" w:type="pct"/>
            <w:vMerge/>
            <w:hideMark/>
          </w:tcPr>
          <w:p w:rsidR="00261A43" w:rsidRPr="00F27592" w:rsidRDefault="00261A43" w:rsidP="00261A43">
            <w:pPr>
              <w:pStyle w:val="TableTextEntries"/>
              <w:rPr>
                <w:rFonts w:ascii="Calibri" w:hAnsi="Calibri" w:cs="Calibri"/>
                <w:szCs w:val="16"/>
              </w:rPr>
            </w:pPr>
          </w:p>
        </w:tc>
        <w:tc>
          <w:tcPr>
            <w:tcW w:w="250" w:type="pct"/>
            <w:tcBorders>
              <w:top w:val="nil"/>
              <w:bottom w:val="nil"/>
            </w:tcBorders>
            <w:shd w:val="clear" w:color="auto" w:fill="92D05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6</w:t>
            </w:r>
          </w:p>
        </w:tc>
        <w:tc>
          <w:tcPr>
            <w:tcW w:w="250" w:type="pct"/>
            <w:tcBorders>
              <w:top w:val="nil"/>
              <w:bottom w:val="nil"/>
            </w:tcBorders>
            <w:shd w:val="clear" w:color="auto" w:fill="92D05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5</w:t>
            </w:r>
          </w:p>
        </w:tc>
        <w:tc>
          <w:tcPr>
            <w:tcW w:w="250" w:type="pct"/>
            <w:tcBorders>
              <w:top w:val="nil"/>
              <w:bottom w:val="nil"/>
            </w:tcBorders>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tcBorders>
              <w:top w:val="nil"/>
              <w:bottom w:val="nil"/>
            </w:tcBorders>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tcBorders>
              <w:top w:val="nil"/>
              <w:bottom w:val="nil"/>
            </w:tcBorders>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tcBorders>
              <w:top w:val="nil"/>
              <w:bottom w:val="nil"/>
            </w:tcBorders>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gridSpan w:val="2"/>
            <w:tcBorders>
              <w:top w:val="nil"/>
              <w:bottom w:val="nil"/>
            </w:tcBorders>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I</w:t>
            </w:r>
          </w:p>
        </w:tc>
      </w:tr>
      <w:tr w:rsidR="00261A43" w:rsidRPr="00F27592" w:rsidTr="00261A43">
        <w:trPr>
          <w:cnfStyle w:val="000000010000" w:firstRow="0" w:lastRow="0" w:firstColumn="0" w:lastColumn="0" w:oddVBand="0" w:evenVBand="0" w:oddHBand="0" w:evenHBand="1" w:firstRowFirstColumn="0" w:firstRowLastColumn="0" w:lastRowFirstColumn="0" w:lastRowLastColumn="0"/>
          <w:trHeight w:val="300"/>
          <w:tblHeader w:val="0"/>
        </w:trPr>
        <w:tc>
          <w:tcPr>
            <w:tcW w:w="814" w:type="pct"/>
            <w:vMerge w:val="restart"/>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Transport Sector Consolidation Project</w:t>
            </w:r>
          </w:p>
        </w:tc>
        <w:tc>
          <w:tcPr>
            <w:tcW w:w="3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2011</w:t>
            </w:r>
          </w:p>
        </w:tc>
        <w:tc>
          <w:tcPr>
            <w:tcW w:w="6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$6 000 000.00</w:t>
            </w:r>
          </w:p>
        </w:tc>
        <w:tc>
          <w:tcPr>
            <w:tcW w:w="400" w:type="pct"/>
            <w:vMerge w:val="restar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5 years</w:t>
            </w:r>
          </w:p>
        </w:tc>
        <w:tc>
          <w:tcPr>
            <w:tcW w:w="250" w:type="pct"/>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shd w:val="clear" w:color="auto" w:fill="FF00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2</w:t>
            </w:r>
          </w:p>
        </w:tc>
        <w:tc>
          <w:tcPr>
            <w:tcW w:w="250" w:type="pct"/>
            <w:gridSpan w:val="2"/>
            <w:shd w:val="clear" w:color="auto" w:fill="FF00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B</w:t>
            </w:r>
          </w:p>
        </w:tc>
      </w:tr>
      <w:tr w:rsidR="00261A43" w:rsidRPr="00F27592" w:rsidTr="00261A43">
        <w:trPr>
          <w:trHeight w:val="300"/>
          <w:tblHeader w:val="0"/>
        </w:trPr>
        <w:tc>
          <w:tcPr>
            <w:tcW w:w="814" w:type="pct"/>
            <w:vMerge/>
            <w:hideMark/>
          </w:tcPr>
          <w:p w:rsidR="00261A43" w:rsidRPr="00F27592" w:rsidRDefault="00261A43" w:rsidP="00261A43">
            <w:pPr>
              <w:pStyle w:val="TableTextEntries"/>
              <w:rPr>
                <w:rFonts w:ascii="Calibri" w:hAnsi="Calibri" w:cs="Calibri"/>
                <w:szCs w:val="16"/>
              </w:rPr>
            </w:pPr>
          </w:p>
        </w:tc>
        <w:tc>
          <w:tcPr>
            <w:tcW w:w="3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2012</w:t>
            </w:r>
          </w:p>
        </w:tc>
        <w:tc>
          <w:tcPr>
            <w:tcW w:w="6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$6 000 000.00</w:t>
            </w:r>
          </w:p>
        </w:tc>
        <w:tc>
          <w:tcPr>
            <w:tcW w:w="400" w:type="pct"/>
            <w:vMerge/>
            <w:hideMark/>
          </w:tcPr>
          <w:p w:rsidR="00261A43" w:rsidRPr="00F27592" w:rsidRDefault="00261A43" w:rsidP="00261A43">
            <w:pPr>
              <w:pStyle w:val="TableTextEntries"/>
              <w:rPr>
                <w:rFonts w:ascii="Calibri" w:hAnsi="Calibri" w:cs="Calibri"/>
                <w:szCs w:val="16"/>
              </w:rPr>
            </w:pPr>
          </w:p>
        </w:tc>
        <w:tc>
          <w:tcPr>
            <w:tcW w:w="250" w:type="pct"/>
            <w:tcBorders>
              <w:top w:val="nil"/>
              <w:bottom w:val="nil"/>
            </w:tcBorders>
            <w:shd w:val="clear" w:color="auto" w:fill="92D05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5</w:t>
            </w:r>
          </w:p>
        </w:tc>
        <w:tc>
          <w:tcPr>
            <w:tcW w:w="250" w:type="pct"/>
            <w:tcBorders>
              <w:top w:val="nil"/>
              <w:bottom w:val="nil"/>
            </w:tcBorders>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tcBorders>
              <w:top w:val="nil"/>
              <w:bottom w:val="nil"/>
            </w:tcBorders>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tcBorders>
              <w:top w:val="nil"/>
              <w:bottom w:val="nil"/>
            </w:tcBorders>
            <w:shd w:val="clear" w:color="auto" w:fill="92D05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5</w:t>
            </w:r>
          </w:p>
        </w:tc>
        <w:tc>
          <w:tcPr>
            <w:tcW w:w="250" w:type="pct"/>
            <w:tcBorders>
              <w:top w:val="nil"/>
              <w:bottom w:val="nil"/>
            </w:tcBorders>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tcBorders>
              <w:top w:val="nil"/>
              <w:bottom w:val="nil"/>
            </w:tcBorders>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gridSpan w:val="2"/>
            <w:tcBorders>
              <w:top w:val="nil"/>
              <w:bottom w:val="nil"/>
            </w:tcBorders>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I</w:t>
            </w:r>
          </w:p>
        </w:tc>
      </w:tr>
      <w:tr w:rsidR="00261A43" w:rsidRPr="00F27592" w:rsidTr="00261A43">
        <w:trPr>
          <w:cnfStyle w:val="000000010000" w:firstRow="0" w:lastRow="0" w:firstColumn="0" w:lastColumn="0" w:oddVBand="0" w:evenVBand="0" w:oddHBand="0" w:evenHBand="1" w:firstRowFirstColumn="0" w:firstRowLastColumn="0" w:lastRowFirstColumn="0" w:lastRowLastColumn="0"/>
          <w:trHeight w:val="300"/>
          <w:tblHeader w:val="0"/>
        </w:trPr>
        <w:tc>
          <w:tcPr>
            <w:tcW w:w="814" w:type="pct"/>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Scholarships Tonga ADS—Initial</w:t>
            </w:r>
          </w:p>
        </w:tc>
        <w:tc>
          <w:tcPr>
            <w:tcW w:w="3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2012</w:t>
            </w:r>
          </w:p>
        </w:tc>
        <w:tc>
          <w:tcPr>
            <w:tcW w:w="6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$224 500.34</w:t>
            </w:r>
          </w:p>
        </w:tc>
        <w:tc>
          <w:tcPr>
            <w:tcW w:w="4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3 years</w:t>
            </w:r>
          </w:p>
        </w:tc>
        <w:tc>
          <w:tcPr>
            <w:tcW w:w="250" w:type="pct"/>
            <w:shd w:val="clear" w:color="auto" w:fill="92D05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5</w:t>
            </w:r>
          </w:p>
        </w:tc>
        <w:tc>
          <w:tcPr>
            <w:tcW w:w="250" w:type="pct"/>
            <w:shd w:val="clear" w:color="auto" w:fill="92D05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5</w:t>
            </w:r>
          </w:p>
        </w:tc>
        <w:tc>
          <w:tcPr>
            <w:tcW w:w="250" w:type="pct"/>
            <w:shd w:val="clear" w:color="auto" w:fill="92D05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5</w:t>
            </w:r>
          </w:p>
        </w:tc>
        <w:tc>
          <w:tcPr>
            <w:tcW w:w="250" w:type="pct"/>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gridSpan w:val="2"/>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I</w:t>
            </w:r>
          </w:p>
        </w:tc>
      </w:tr>
      <w:tr w:rsidR="00261A43" w:rsidRPr="00F27592" w:rsidTr="00261A43">
        <w:trPr>
          <w:trHeight w:val="300"/>
          <w:tblHeader w:val="0"/>
        </w:trPr>
        <w:tc>
          <w:tcPr>
            <w:tcW w:w="814" w:type="pct"/>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Tonga—Australian Development Scholarships II</w:t>
            </w:r>
          </w:p>
        </w:tc>
        <w:tc>
          <w:tcPr>
            <w:tcW w:w="3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2012</w:t>
            </w:r>
          </w:p>
        </w:tc>
        <w:tc>
          <w:tcPr>
            <w:tcW w:w="6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$333 999.00</w:t>
            </w:r>
          </w:p>
        </w:tc>
        <w:tc>
          <w:tcPr>
            <w:tcW w:w="4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5 years</w:t>
            </w:r>
          </w:p>
        </w:tc>
        <w:tc>
          <w:tcPr>
            <w:tcW w:w="250" w:type="pct"/>
            <w:tcBorders>
              <w:top w:val="nil"/>
              <w:bottom w:val="nil"/>
            </w:tcBorders>
            <w:shd w:val="clear" w:color="auto" w:fill="92D05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5</w:t>
            </w:r>
          </w:p>
        </w:tc>
        <w:tc>
          <w:tcPr>
            <w:tcW w:w="250" w:type="pct"/>
            <w:tcBorders>
              <w:top w:val="nil"/>
              <w:bottom w:val="nil"/>
            </w:tcBorders>
            <w:shd w:val="clear" w:color="auto" w:fill="92D05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5</w:t>
            </w:r>
          </w:p>
        </w:tc>
        <w:tc>
          <w:tcPr>
            <w:tcW w:w="250" w:type="pct"/>
            <w:tcBorders>
              <w:top w:val="nil"/>
              <w:bottom w:val="nil"/>
            </w:tcBorders>
            <w:shd w:val="clear" w:color="auto" w:fill="92D05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5</w:t>
            </w:r>
          </w:p>
        </w:tc>
        <w:tc>
          <w:tcPr>
            <w:tcW w:w="250" w:type="pct"/>
            <w:tcBorders>
              <w:top w:val="nil"/>
              <w:bottom w:val="nil"/>
            </w:tcBorders>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tcBorders>
              <w:top w:val="nil"/>
              <w:bottom w:val="nil"/>
            </w:tcBorders>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tcBorders>
              <w:top w:val="nil"/>
              <w:bottom w:val="nil"/>
            </w:tcBorders>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gridSpan w:val="2"/>
            <w:tcBorders>
              <w:top w:val="nil"/>
              <w:bottom w:val="nil"/>
            </w:tcBorders>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I</w:t>
            </w:r>
          </w:p>
        </w:tc>
      </w:tr>
      <w:tr w:rsidR="00261A43" w:rsidRPr="00F27592" w:rsidTr="00261A43">
        <w:trPr>
          <w:cnfStyle w:val="000000010000" w:firstRow="0" w:lastRow="0" w:firstColumn="0" w:lastColumn="0" w:oddVBand="0" w:evenVBand="0" w:oddHBand="0" w:evenHBand="1" w:firstRowFirstColumn="0" w:firstRowLastColumn="0" w:lastRowFirstColumn="0" w:lastRowLastColumn="0"/>
          <w:trHeight w:val="300"/>
          <w:tblHeader w:val="0"/>
        </w:trPr>
        <w:tc>
          <w:tcPr>
            <w:tcW w:w="814" w:type="pct"/>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Tonga—Australian Regional Development Scholarships II</w:t>
            </w:r>
          </w:p>
        </w:tc>
        <w:tc>
          <w:tcPr>
            <w:tcW w:w="3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2012</w:t>
            </w:r>
          </w:p>
        </w:tc>
        <w:tc>
          <w:tcPr>
            <w:tcW w:w="6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$168 174.68</w:t>
            </w:r>
          </w:p>
        </w:tc>
        <w:tc>
          <w:tcPr>
            <w:tcW w:w="4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6 years</w:t>
            </w:r>
          </w:p>
        </w:tc>
        <w:tc>
          <w:tcPr>
            <w:tcW w:w="250" w:type="pct"/>
            <w:shd w:val="clear" w:color="auto" w:fill="92D05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5</w:t>
            </w:r>
          </w:p>
        </w:tc>
        <w:tc>
          <w:tcPr>
            <w:tcW w:w="250" w:type="pct"/>
            <w:shd w:val="clear" w:color="auto" w:fill="92D05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5</w:t>
            </w:r>
          </w:p>
        </w:tc>
        <w:tc>
          <w:tcPr>
            <w:tcW w:w="250" w:type="pct"/>
            <w:shd w:val="clear" w:color="auto" w:fill="FF00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2</w:t>
            </w:r>
          </w:p>
        </w:tc>
        <w:tc>
          <w:tcPr>
            <w:tcW w:w="250" w:type="pct"/>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gridSpan w:val="2"/>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I</w:t>
            </w:r>
          </w:p>
        </w:tc>
      </w:tr>
      <w:tr w:rsidR="00261A43" w:rsidRPr="00F27592" w:rsidTr="00261A43">
        <w:trPr>
          <w:trHeight w:val="300"/>
          <w:tblHeader w:val="0"/>
        </w:trPr>
        <w:tc>
          <w:tcPr>
            <w:tcW w:w="814" w:type="pct"/>
            <w:vMerge w:val="restart"/>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lastRenderedPageBreak/>
              <w:t>Tonga Education Support Program</w:t>
            </w:r>
          </w:p>
        </w:tc>
        <w:tc>
          <w:tcPr>
            <w:tcW w:w="3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2011</w:t>
            </w:r>
          </w:p>
        </w:tc>
        <w:tc>
          <w:tcPr>
            <w:tcW w:w="6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$4 900 000.00</w:t>
            </w:r>
          </w:p>
        </w:tc>
        <w:tc>
          <w:tcPr>
            <w:tcW w:w="400" w:type="pct"/>
            <w:vMerge w:val="restar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3 years</w:t>
            </w:r>
          </w:p>
        </w:tc>
        <w:tc>
          <w:tcPr>
            <w:tcW w:w="250" w:type="pct"/>
            <w:tcBorders>
              <w:top w:val="nil"/>
              <w:bottom w:val="nil"/>
            </w:tcBorders>
            <w:shd w:val="clear" w:color="auto" w:fill="92D05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6</w:t>
            </w:r>
          </w:p>
        </w:tc>
        <w:tc>
          <w:tcPr>
            <w:tcW w:w="250" w:type="pct"/>
            <w:tcBorders>
              <w:top w:val="nil"/>
              <w:bottom w:val="nil"/>
            </w:tcBorders>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tcBorders>
              <w:top w:val="nil"/>
              <w:bottom w:val="nil"/>
            </w:tcBorders>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tcBorders>
              <w:top w:val="nil"/>
              <w:bottom w:val="nil"/>
            </w:tcBorders>
            <w:shd w:val="clear" w:color="auto" w:fill="FF00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2</w:t>
            </w:r>
          </w:p>
        </w:tc>
        <w:tc>
          <w:tcPr>
            <w:tcW w:w="250" w:type="pct"/>
            <w:tcBorders>
              <w:top w:val="nil"/>
              <w:bottom w:val="nil"/>
            </w:tcBorders>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tcBorders>
              <w:top w:val="nil"/>
              <w:bottom w:val="nil"/>
            </w:tcBorders>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gridSpan w:val="2"/>
            <w:tcBorders>
              <w:top w:val="nil"/>
              <w:bottom w:val="nil"/>
            </w:tcBorders>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I</w:t>
            </w:r>
          </w:p>
        </w:tc>
      </w:tr>
      <w:tr w:rsidR="00261A43" w:rsidRPr="00F27592" w:rsidTr="00261A43">
        <w:trPr>
          <w:cnfStyle w:val="000000010000" w:firstRow="0" w:lastRow="0" w:firstColumn="0" w:lastColumn="0" w:oddVBand="0" w:evenVBand="0" w:oddHBand="0" w:evenHBand="1" w:firstRowFirstColumn="0" w:firstRowLastColumn="0" w:lastRowFirstColumn="0" w:lastRowLastColumn="0"/>
          <w:trHeight w:val="300"/>
          <w:tblHeader w:val="0"/>
        </w:trPr>
        <w:tc>
          <w:tcPr>
            <w:tcW w:w="814" w:type="pct"/>
            <w:vMerge/>
            <w:hideMark/>
          </w:tcPr>
          <w:p w:rsidR="00261A43" w:rsidRPr="00F27592" w:rsidRDefault="00261A43" w:rsidP="00261A43">
            <w:pPr>
              <w:pStyle w:val="TableTextEntries"/>
              <w:rPr>
                <w:rFonts w:ascii="Calibri" w:hAnsi="Calibri" w:cs="Calibri"/>
                <w:szCs w:val="16"/>
              </w:rPr>
            </w:pPr>
          </w:p>
        </w:tc>
        <w:tc>
          <w:tcPr>
            <w:tcW w:w="3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2012</w:t>
            </w:r>
          </w:p>
        </w:tc>
        <w:tc>
          <w:tcPr>
            <w:tcW w:w="6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$4 900 000.00</w:t>
            </w:r>
          </w:p>
        </w:tc>
        <w:tc>
          <w:tcPr>
            <w:tcW w:w="400" w:type="pct"/>
            <w:vMerge/>
            <w:hideMark/>
          </w:tcPr>
          <w:p w:rsidR="00261A43" w:rsidRPr="00F27592" w:rsidRDefault="00261A43" w:rsidP="00261A43">
            <w:pPr>
              <w:pStyle w:val="TableTextEntries"/>
              <w:rPr>
                <w:rFonts w:ascii="Calibri" w:hAnsi="Calibri" w:cs="Calibri"/>
                <w:szCs w:val="16"/>
              </w:rPr>
            </w:pPr>
          </w:p>
        </w:tc>
        <w:tc>
          <w:tcPr>
            <w:tcW w:w="250" w:type="pct"/>
            <w:shd w:val="clear" w:color="auto" w:fill="92D05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5</w:t>
            </w:r>
          </w:p>
        </w:tc>
        <w:tc>
          <w:tcPr>
            <w:tcW w:w="250" w:type="pct"/>
            <w:shd w:val="clear" w:color="auto" w:fill="92D05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5</w:t>
            </w:r>
          </w:p>
        </w:tc>
        <w:tc>
          <w:tcPr>
            <w:tcW w:w="250" w:type="pct"/>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gridSpan w:val="2"/>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I</w:t>
            </w:r>
          </w:p>
        </w:tc>
      </w:tr>
      <w:tr w:rsidR="00261A43" w:rsidRPr="00F27592" w:rsidTr="00261A43">
        <w:trPr>
          <w:trHeight w:val="300"/>
          <w:tblHeader w:val="0"/>
        </w:trPr>
        <w:tc>
          <w:tcPr>
            <w:tcW w:w="814" w:type="pct"/>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Nuku'alofa Urban Development Project</w:t>
            </w:r>
          </w:p>
        </w:tc>
        <w:tc>
          <w:tcPr>
            <w:tcW w:w="3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2012</w:t>
            </w:r>
          </w:p>
        </w:tc>
        <w:tc>
          <w:tcPr>
            <w:tcW w:w="6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$6 100 000.00</w:t>
            </w:r>
          </w:p>
        </w:tc>
        <w:tc>
          <w:tcPr>
            <w:tcW w:w="4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4 years</w:t>
            </w:r>
          </w:p>
        </w:tc>
        <w:tc>
          <w:tcPr>
            <w:tcW w:w="250" w:type="pct"/>
            <w:tcBorders>
              <w:top w:val="nil"/>
              <w:bottom w:val="nil"/>
            </w:tcBorders>
            <w:shd w:val="clear" w:color="auto" w:fill="92D05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5</w:t>
            </w:r>
          </w:p>
        </w:tc>
        <w:tc>
          <w:tcPr>
            <w:tcW w:w="250" w:type="pct"/>
            <w:tcBorders>
              <w:top w:val="nil"/>
              <w:bottom w:val="nil"/>
            </w:tcBorders>
            <w:shd w:val="clear" w:color="auto" w:fill="92D05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5</w:t>
            </w:r>
          </w:p>
        </w:tc>
        <w:tc>
          <w:tcPr>
            <w:tcW w:w="250" w:type="pct"/>
            <w:tcBorders>
              <w:top w:val="nil"/>
              <w:bottom w:val="nil"/>
            </w:tcBorders>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tcBorders>
              <w:top w:val="nil"/>
              <w:bottom w:val="nil"/>
            </w:tcBorders>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tcBorders>
              <w:top w:val="nil"/>
              <w:bottom w:val="nil"/>
            </w:tcBorders>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tcBorders>
              <w:top w:val="nil"/>
              <w:bottom w:val="nil"/>
            </w:tcBorders>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gridSpan w:val="2"/>
            <w:tcBorders>
              <w:top w:val="nil"/>
              <w:bottom w:val="nil"/>
            </w:tcBorders>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I</w:t>
            </w:r>
          </w:p>
        </w:tc>
      </w:tr>
      <w:tr w:rsidR="00261A43" w:rsidRPr="00F27592" w:rsidTr="00261A43">
        <w:trPr>
          <w:cnfStyle w:val="000000010000" w:firstRow="0" w:lastRow="0" w:firstColumn="0" w:lastColumn="0" w:oddVBand="0" w:evenVBand="0" w:oddHBand="0" w:evenHBand="1" w:firstRowFirstColumn="0" w:firstRowLastColumn="0" w:lastRowFirstColumn="0" w:lastRowLastColumn="0"/>
          <w:trHeight w:val="465"/>
          <w:tblHeader w:val="0"/>
        </w:trPr>
        <w:tc>
          <w:tcPr>
            <w:tcW w:w="814" w:type="pct"/>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Tonga performance-linked aid 2011–12 to 2012–13</w:t>
            </w:r>
          </w:p>
        </w:tc>
        <w:tc>
          <w:tcPr>
            <w:tcW w:w="3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2012</w:t>
            </w:r>
          </w:p>
        </w:tc>
        <w:tc>
          <w:tcPr>
            <w:tcW w:w="6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$10 000 000.00</w:t>
            </w:r>
          </w:p>
        </w:tc>
        <w:tc>
          <w:tcPr>
            <w:tcW w:w="4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2 years</w:t>
            </w:r>
          </w:p>
        </w:tc>
        <w:tc>
          <w:tcPr>
            <w:tcW w:w="250" w:type="pct"/>
            <w:shd w:val="clear" w:color="auto" w:fill="92D05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6</w:t>
            </w:r>
          </w:p>
        </w:tc>
        <w:tc>
          <w:tcPr>
            <w:tcW w:w="250" w:type="pct"/>
            <w:shd w:val="clear" w:color="auto" w:fill="92D05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5</w:t>
            </w:r>
          </w:p>
        </w:tc>
        <w:tc>
          <w:tcPr>
            <w:tcW w:w="250" w:type="pct"/>
            <w:shd w:val="clear" w:color="auto" w:fill="92D05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5</w:t>
            </w:r>
          </w:p>
        </w:tc>
        <w:tc>
          <w:tcPr>
            <w:tcW w:w="250" w:type="pct"/>
            <w:shd w:val="clear" w:color="auto" w:fill="92D05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5</w:t>
            </w:r>
          </w:p>
        </w:tc>
        <w:tc>
          <w:tcPr>
            <w:tcW w:w="250" w:type="pct"/>
            <w:shd w:val="clear" w:color="auto" w:fill="92D05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5</w:t>
            </w:r>
          </w:p>
        </w:tc>
        <w:tc>
          <w:tcPr>
            <w:tcW w:w="250" w:type="pct"/>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gridSpan w:val="2"/>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I</w:t>
            </w:r>
          </w:p>
        </w:tc>
      </w:tr>
      <w:tr w:rsidR="00261A43" w:rsidRPr="00F27592" w:rsidTr="00261A43">
        <w:trPr>
          <w:trHeight w:val="300"/>
          <w:tblHeader w:val="0"/>
        </w:trPr>
        <w:tc>
          <w:tcPr>
            <w:tcW w:w="814" w:type="pct"/>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Economic and Public Sector Reform II</w:t>
            </w:r>
          </w:p>
        </w:tc>
        <w:tc>
          <w:tcPr>
            <w:tcW w:w="3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2012</w:t>
            </w:r>
          </w:p>
        </w:tc>
        <w:tc>
          <w:tcPr>
            <w:tcW w:w="6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$2 100 000.00</w:t>
            </w:r>
          </w:p>
        </w:tc>
        <w:tc>
          <w:tcPr>
            <w:tcW w:w="4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2 years</w:t>
            </w:r>
          </w:p>
        </w:tc>
        <w:tc>
          <w:tcPr>
            <w:tcW w:w="250" w:type="pct"/>
            <w:tcBorders>
              <w:top w:val="nil"/>
              <w:bottom w:val="nil"/>
            </w:tcBorders>
            <w:shd w:val="clear" w:color="auto" w:fill="92D05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5</w:t>
            </w:r>
          </w:p>
        </w:tc>
        <w:tc>
          <w:tcPr>
            <w:tcW w:w="250" w:type="pct"/>
            <w:tcBorders>
              <w:top w:val="nil"/>
              <w:bottom w:val="nil"/>
            </w:tcBorders>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tcBorders>
              <w:top w:val="nil"/>
              <w:bottom w:val="nil"/>
            </w:tcBorders>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tcBorders>
              <w:top w:val="nil"/>
              <w:bottom w:val="nil"/>
            </w:tcBorders>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tcBorders>
              <w:top w:val="nil"/>
              <w:bottom w:val="nil"/>
            </w:tcBorders>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tcBorders>
              <w:top w:val="nil"/>
              <w:bottom w:val="nil"/>
            </w:tcBorders>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gridSpan w:val="2"/>
            <w:tcBorders>
              <w:top w:val="nil"/>
              <w:bottom w:val="nil"/>
            </w:tcBorders>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I</w:t>
            </w:r>
          </w:p>
        </w:tc>
      </w:tr>
      <w:tr w:rsidR="00261A43" w:rsidRPr="00F27592" w:rsidTr="00261A43">
        <w:trPr>
          <w:cnfStyle w:val="000000010000" w:firstRow="0" w:lastRow="0" w:firstColumn="0" w:lastColumn="0" w:oddVBand="0" w:evenVBand="0" w:oddHBand="0" w:evenHBand="1" w:firstRowFirstColumn="0" w:firstRowLastColumn="0" w:lastRowFirstColumn="0" w:lastRowLastColumn="0"/>
          <w:trHeight w:val="300"/>
          <w:tblHeader w:val="0"/>
        </w:trPr>
        <w:tc>
          <w:tcPr>
            <w:tcW w:w="814" w:type="pct"/>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 xml:space="preserve">Tonga Energy Roadmap </w:t>
            </w:r>
          </w:p>
        </w:tc>
        <w:tc>
          <w:tcPr>
            <w:tcW w:w="3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2012</w:t>
            </w:r>
          </w:p>
        </w:tc>
        <w:tc>
          <w:tcPr>
            <w:tcW w:w="6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$5 899 258.00</w:t>
            </w:r>
          </w:p>
        </w:tc>
        <w:tc>
          <w:tcPr>
            <w:tcW w:w="400" w:type="pct"/>
            <w:noWrap/>
            <w:hideMark/>
          </w:tcPr>
          <w:p w:rsidR="00261A43" w:rsidRPr="00F27592" w:rsidRDefault="00261A43" w:rsidP="00261A43">
            <w:pPr>
              <w:pStyle w:val="TableTextEntries"/>
              <w:rPr>
                <w:rFonts w:ascii="Calibri" w:hAnsi="Calibri" w:cs="Calibri"/>
                <w:szCs w:val="16"/>
              </w:rPr>
            </w:pPr>
            <w:r w:rsidRPr="00F27592">
              <w:rPr>
                <w:rFonts w:ascii="Calibri" w:hAnsi="Calibri" w:cs="Calibri"/>
                <w:szCs w:val="16"/>
              </w:rPr>
              <w:t>4 years</w:t>
            </w:r>
          </w:p>
        </w:tc>
        <w:tc>
          <w:tcPr>
            <w:tcW w:w="250" w:type="pct"/>
            <w:shd w:val="clear" w:color="auto" w:fill="92D05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5</w:t>
            </w:r>
          </w:p>
        </w:tc>
        <w:tc>
          <w:tcPr>
            <w:tcW w:w="250" w:type="pct"/>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3</w:t>
            </w:r>
          </w:p>
        </w:tc>
        <w:tc>
          <w:tcPr>
            <w:tcW w:w="250" w:type="pct"/>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shd w:val="clear" w:color="auto" w:fill="FFFF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4</w:t>
            </w:r>
          </w:p>
        </w:tc>
        <w:tc>
          <w:tcPr>
            <w:tcW w:w="250" w:type="pct"/>
            <w:shd w:val="clear" w:color="auto" w:fill="FF0000"/>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2</w:t>
            </w:r>
          </w:p>
        </w:tc>
        <w:tc>
          <w:tcPr>
            <w:tcW w:w="250" w:type="pct"/>
            <w:gridSpan w:val="2"/>
            <w:shd w:val="clear" w:color="auto" w:fill="F79646" w:themeFill="accent6"/>
            <w:noWrap/>
            <w:hideMark/>
          </w:tcPr>
          <w:p w:rsidR="00261A43" w:rsidRPr="00F27592" w:rsidRDefault="00261A43" w:rsidP="00261A43">
            <w:pPr>
              <w:pStyle w:val="TableTextEntries"/>
              <w:jc w:val="center"/>
              <w:rPr>
                <w:rFonts w:ascii="Calibri" w:hAnsi="Calibri" w:cs="Calibri"/>
                <w:szCs w:val="16"/>
              </w:rPr>
            </w:pPr>
            <w:r w:rsidRPr="00F27592">
              <w:rPr>
                <w:rFonts w:ascii="Calibri" w:hAnsi="Calibri" w:cs="Calibri"/>
                <w:szCs w:val="16"/>
              </w:rPr>
              <w:t>I</w:t>
            </w:r>
          </w:p>
        </w:tc>
      </w:tr>
    </w:tbl>
    <w:p w:rsidR="00261A43" w:rsidRDefault="00261A43" w:rsidP="00261A43">
      <w:pPr>
        <w:pStyle w:val="Note"/>
      </w:pPr>
      <w:r>
        <w:t>Definitions of rating scale:</w:t>
      </w:r>
      <w:r>
        <w:tab/>
      </w:r>
    </w:p>
    <w:p w:rsidR="00261A43" w:rsidRDefault="00261A43" w:rsidP="00261A43">
      <w:pPr>
        <w:pStyle w:val="Note"/>
      </w:pPr>
      <w:r>
        <w:t>Satisfactory (4, 5 and 6)</w:t>
      </w:r>
    </w:p>
    <w:p w:rsidR="00261A43" w:rsidRDefault="00261A43" w:rsidP="00261A43">
      <w:pPr>
        <w:pStyle w:val="Note"/>
      </w:pPr>
      <w:r w:rsidRPr="00FE4491">
        <w:rPr>
          <w:color w:val="92D050"/>
        </w:rPr>
        <w:sym w:font="Webdings" w:char="F067"/>
      </w:r>
      <w:r>
        <w:t xml:space="preserve"> = 6 = Very high quality</w:t>
      </w:r>
    </w:p>
    <w:p w:rsidR="00261A43" w:rsidRDefault="00261A43" w:rsidP="00261A43">
      <w:pPr>
        <w:pStyle w:val="Note"/>
      </w:pPr>
      <w:r w:rsidRPr="00FE4491">
        <w:rPr>
          <w:color w:val="92D050"/>
        </w:rPr>
        <w:sym w:font="Webdings" w:char="F067"/>
      </w:r>
      <w:r>
        <w:t xml:space="preserve"> = 5 = Good quality</w:t>
      </w:r>
    </w:p>
    <w:p w:rsidR="00261A43" w:rsidRDefault="00261A43" w:rsidP="00261A43">
      <w:pPr>
        <w:pStyle w:val="Note"/>
      </w:pPr>
      <w:r w:rsidRPr="000774FD">
        <w:rPr>
          <w:color w:val="FFFF00"/>
        </w:rPr>
        <w:sym w:font="Webdings" w:char="F067"/>
      </w:r>
      <w:r>
        <w:t xml:space="preserve"> = 4 = Adequate quality, needs some work</w:t>
      </w:r>
    </w:p>
    <w:p w:rsidR="00261A43" w:rsidRDefault="00261A43" w:rsidP="00261A43">
      <w:pPr>
        <w:pStyle w:val="Note"/>
      </w:pPr>
      <w:r>
        <w:t>Less than satisfactory (1, 2 and 3)</w:t>
      </w:r>
    </w:p>
    <w:p w:rsidR="00261A43" w:rsidRDefault="00261A43" w:rsidP="00261A43">
      <w:pPr>
        <w:pStyle w:val="Note"/>
      </w:pPr>
      <w:r w:rsidRPr="00FD710F">
        <w:rPr>
          <w:color w:val="F79646"/>
        </w:rPr>
        <w:sym w:font="Webdings" w:char="F067"/>
      </w:r>
      <w:r>
        <w:t xml:space="preserve"> = 3 = Less than adequate quality; needs significant work</w:t>
      </w:r>
    </w:p>
    <w:p w:rsidR="00261A43" w:rsidRDefault="00261A43" w:rsidP="00261A43">
      <w:pPr>
        <w:pStyle w:val="Note"/>
      </w:pPr>
      <w:r w:rsidRPr="000774FD">
        <w:rPr>
          <w:color w:val="FF0000"/>
        </w:rPr>
        <w:sym w:font="Webdings" w:char="F067"/>
      </w:r>
      <w:r>
        <w:t xml:space="preserve"> = 2 = Poor quality; needs major work to improve</w:t>
      </w:r>
    </w:p>
    <w:p w:rsidR="00261A43" w:rsidRDefault="00261A43" w:rsidP="00261A43">
      <w:pPr>
        <w:pStyle w:val="Note"/>
      </w:pPr>
      <w:r w:rsidRPr="000774FD">
        <w:rPr>
          <w:color w:val="FF0000"/>
        </w:rPr>
        <w:sym w:font="Webdings" w:char="F067"/>
      </w:r>
      <w:r>
        <w:t xml:space="preserve"> = 1 = Very poor quality; needs major overhaul</w:t>
      </w:r>
    </w:p>
    <w:p w:rsidR="00261A43" w:rsidRDefault="00261A43" w:rsidP="00261A43">
      <w:pPr>
        <w:pStyle w:val="Note"/>
      </w:pPr>
    </w:p>
    <w:p w:rsidR="00261A43" w:rsidRDefault="00261A43" w:rsidP="00261A43">
      <w:pPr>
        <w:pStyle w:val="Note"/>
      </w:pPr>
      <w:r>
        <w:t>Risk Management scale:</w:t>
      </w:r>
    </w:p>
    <w:p w:rsidR="00261A43" w:rsidRDefault="00261A43" w:rsidP="00261A43">
      <w:pPr>
        <w:pStyle w:val="Note"/>
      </w:pPr>
      <w:r w:rsidRPr="00FE4491">
        <w:rPr>
          <w:color w:val="92D050"/>
        </w:rPr>
        <w:sym w:font="Webdings" w:char="F067"/>
      </w:r>
      <w:r>
        <w:t xml:space="preserve">   Mature (M). Indicates the initiative manager conducts risk discussions on at least a monthly basis with all stakeholders and updates the risk registry quarterly. </w:t>
      </w:r>
    </w:p>
    <w:p w:rsidR="00261A43" w:rsidRDefault="00261A43" w:rsidP="00261A43">
      <w:pPr>
        <w:pStyle w:val="Note"/>
      </w:pPr>
      <w:r w:rsidRPr="00FD710F">
        <w:rPr>
          <w:color w:val="F79646"/>
        </w:rPr>
        <w:sym w:font="Webdings" w:char="F067"/>
      </w:r>
      <w:r>
        <w:t xml:space="preserve">  Intermediate (I). Indicates the initiative manager conducts ad-hoc risk discussion and updates the risk register occasionally. </w:t>
      </w:r>
    </w:p>
    <w:p w:rsidR="00261A43" w:rsidRDefault="00261A43" w:rsidP="00261A43">
      <w:pPr>
        <w:pStyle w:val="Note"/>
      </w:pPr>
      <w:r w:rsidRPr="000774FD">
        <w:rPr>
          <w:color w:val="FF0000"/>
        </w:rPr>
        <w:sym w:font="Webdings" w:char="F067"/>
      </w:r>
      <w:r>
        <w:t xml:space="preserve">  Basic (B). Indicates there are limited or few risk discussions and the risk register has not been updated in the past 12 months.</w:t>
      </w:r>
    </w:p>
    <w:p w:rsidR="00261A43" w:rsidRDefault="00261A43" w:rsidP="00261A43"/>
    <w:p w:rsidR="00261A43" w:rsidRDefault="00261A43" w:rsidP="00261A43">
      <w:pPr>
        <w:spacing w:after="200" w:line="276" w:lineRule="auto"/>
        <w:sectPr w:rsidR="00261A43" w:rsidSect="00221370">
          <w:headerReference w:type="even" r:id="rId20"/>
          <w:headerReference w:type="default" r:id="rId21"/>
          <w:headerReference w:type="first" r:id="rId22"/>
          <w:footerReference w:type="first" r:id="rId23"/>
          <w:pgSz w:w="11907" w:h="16840" w:code="9"/>
          <w:pgMar w:top="2268" w:right="1701" w:bottom="907" w:left="1871" w:header="851" w:footer="454" w:gutter="0"/>
          <w:cols w:space="720"/>
          <w:docGrid w:linePitch="272"/>
        </w:sectPr>
      </w:pPr>
    </w:p>
    <w:p w:rsidR="00261A43" w:rsidRPr="00071B95" w:rsidRDefault="00261A43" w:rsidP="00261A43">
      <w:pPr>
        <w:pStyle w:val="Heading1"/>
      </w:pPr>
      <w:r w:rsidRPr="00071B95">
        <w:lastRenderedPageBreak/>
        <w:t xml:space="preserve">Annex </w:t>
      </w:r>
      <w:r>
        <w:t>D</w:t>
      </w:r>
    </w:p>
    <w:p w:rsidR="00261A43" w:rsidRPr="00071B95" w:rsidRDefault="00261A43" w:rsidP="00261A43">
      <w:pPr>
        <w:pStyle w:val="Heading2"/>
      </w:pPr>
      <w:r w:rsidRPr="00071B95">
        <w:t xml:space="preserve">Evaluation and </w:t>
      </w:r>
      <w:r>
        <w:t>r</w:t>
      </w:r>
      <w:r w:rsidRPr="00071B95">
        <w:t xml:space="preserve">eview </w:t>
      </w:r>
      <w:r>
        <w:t>p</w:t>
      </w:r>
      <w:r w:rsidRPr="00071B95">
        <w:t xml:space="preserve">ipeline </w:t>
      </w:r>
      <w:r>
        <w:t>p</w:t>
      </w:r>
      <w:r w:rsidRPr="00071B95">
        <w:t>lanning</w:t>
      </w:r>
    </w:p>
    <w:p w:rsidR="00261A43" w:rsidRPr="00071B95" w:rsidRDefault="00261A43" w:rsidP="00261A43">
      <w:pPr>
        <w:pStyle w:val="Caption"/>
      </w:pPr>
      <w:r w:rsidRPr="00071B95">
        <w:t xml:space="preserve">List of </w:t>
      </w:r>
      <w:r>
        <w:t>e</w:t>
      </w:r>
      <w:r w:rsidRPr="00071B95">
        <w:t>valuations completed</w:t>
      </w:r>
      <w:r w:rsidRPr="00071B95">
        <w:rPr>
          <w:vertAlign w:val="superscript"/>
        </w:rPr>
        <w:footnoteReference w:id="45"/>
      </w:r>
      <w:r w:rsidRPr="00071B95">
        <w:t xml:space="preserve"> in the reporting period </w:t>
      </w:r>
    </w:p>
    <w:tbl>
      <w:tblPr>
        <w:tblStyle w:val="APPR"/>
        <w:tblW w:w="5000" w:type="pct"/>
        <w:tblLook w:val="04A0" w:firstRow="1" w:lastRow="0" w:firstColumn="1" w:lastColumn="0" w:noHBand="0" w:noVBand="1"/>
      </w:tblPr>
      <w:tblGrid>
        <w:gridCol w:w="2842"/>
        <w:gridCol w:w="1263"/>
        <w:gridCol w:w="2180"/>
        <w:gridCol w:w="2070"/>
        <w:gridCol w:w="2052"/>
        <w:gridCol w:w="1890"/>
        <w:gridCol w:w="1640"/>
      </w:tblGrid>
      <w:tr w:rsidR="00261A43" w:rsidRPr="00071B95" w:rsidTr="00261A43">
        <w:trPr>
          <w:cnfStyle w:val="100000000000" w:firstRow="1" w:lastRow="0" w:firstColumn="0" w:lastColumn="0" w:oddVBand="0" w:evenVBand="0" w:oddHBand="0" w:evenHBand="0" w:firstRowFirstColumn="0" w:firstRowLastColumn="0" w:lastRowFirstColumn="0" w:lastRowLastColumn="0"/>
        </w:trPr>
        <w:tc>
          <w:tcPr>
            <w:tcW w:w="2788" w:type="dxa"/>
          </w:tcPr>
          <w:p w:rsidR="00261A43" w:rsidRPr="009A4444" w:rsidRDefault="00261A43" w:rsidP="00261A43">
            <w:pPr>
              <w:pStyle w:val="TableTextColumnHeading"/>
              <w:rPr>
                <w:b/>
              </w:rPr>
            </w:pPr>
            <w:r w:rsidRPr="009A4444">
              <w:rPr>
                <w:b/>
              </w:rPr>
              <w:t>Name of initiative</w:t>
            </w:r>
          </w:p>
        </w:tc>
        <w:tc>
          <w:tcPr>
            <w:tcW w:w="1230" w:type="dxa"/>
          </w:tcPr>
          <w:p w:rsidR="00261A43" w:rsidRPr="009A4444" w:rsidRDefault="00261A43" w:rsidP="00261A43">
            <w:pPr>
              <w:pStyle w:val="TableTextColumnHeading"/>
              <w:rPr>
                <w:b/>
              </w:rPr>
            </w:pPr>
            <w:r w:rsidRPr="009A4444">
              <w:rPr>
                <w:b/>
              </w:rPr>
              <w:t>AidWorks number</w:t>
            </w:r>
          </w:p>
        </w:tc>
        <w:tc>
          <w:tcPr>
            <w:tcW w:w="2143" w:type="dxa"/>
          </w:tcPr>
          <w:p w:rsidR="00261A43" w:rsidRPr="009A4444" w:rsidRDefault="00261A43" w:rsidP="00261A43">
            <w:pPr>
              <w:pStyle w:val="TableTextColumnHeading"/>
              <w:rPr>
                <w:b/>
              </w:rPr>
            </w:pPr>
            <w:r w:rsidRPr="009A4444">
              <w:rPr>
                <w:b/>
              </w:rPr>
              <w:t>Type of evaluation</w:t>
            </w:r>
            <w:r w:rsidRPr="009A4444">
              <w:rPr>
                <w:b/>
              </w:rPr>
              <w:footnoteReference w:id="46"/>
            </w:r>
          </w:p>
        </w:tc>
        <w:tc>
          <w:tcPr>
            <w:tcW w:w="2034" w:type="dxa"/>
          </w:tcPr>
          <w:p w:rsidR="00261A43" w:rsidRPr="009A4444" w:rsidRDefault="00261A43" w:rsidP="00261A43">
            <w:pPr>
              <w:pStyle w:val="TableTextColumnHeading"/>
              <w:rPr>
                <w:b/>
              </w:rPr>
            </w:pPr>
            <w:r w:rsidRPr="009A4444">
              <w:rPr>
                <w:b/>
              </w:rPr>
              <w:t>Date evaluation report received</w:t>
            </w:r>
          </w:p>
        </w:tc>
        <w:tc>
          <w:tcPr>
            <w:tcW w:w="2016" w:type="dxa"/>
          </w:tcPr>
          <w:p w:rsidR="00261A43" w:rsidRPr="009A4444" w:rsidRDefault="00261A43" w:rsidP="00261A43">
            <w:pPr>
              <w:pStyle w:val="TableTextColumnHeading"/>
              <w:rPr>
                <w:b/>
              </w:rPr>
            </w:pPr>
            <w:r w:rsidRPr="009A4444">
              <w:rPr>
                <w:b/>
              </w:rPr>
              <w:t>Date evaluation report uploaded into AidWorks</w:t>
            </w:r>
          </w:p>
        </w:tc>
        <w:tc>
          <w:tcPr>
            <w:tcW w:w="1854" w:type="dxa"/>
          </w:tcPr>
          <w:p w:rsidR="00261A43" w:rsidRPr="009A4444" w:rsidRDefault="00261A43" w:rsidP="00261A43">
            <w:pPr>
              <w:pStyle w:val="TableTextColumnHeading"/>
              <w:rPr>
                <w:b/>
              </w:rPr>
            </w:pPr>
            <w:r w:rsidRPr="009A4444">
              <w:rPr>
                <w:b/>
              </w:rPr>
              <w:t>Date management response uploaded into AidWorks</w:t>
            </w:r>
          </w:p>
        </w:tc>
        <w:tc>
          <w:tcPr>
            <w:tcW w:w="1591" w:type="dxa"/>
          </w:tcPr>
          <w:p w:rsidR="00261A43" w:rsidRPr="009A4444" w:rsidRDefault="00261A43" w:rsidP="00261A43">
            <w:pPr>
              <w:pStyle w:val="TableTextColumnHeading"/>
              <w:rPr>
                <w:b/>
              </w:rPr>
            </w:pPr>
            <w:r w:rsidRPr="009A4444">
              <w:rPr>
                <w:b/>
              </w:rPr>
              <w:t>Published on website</w:t>
            </w:r>
          </w:p>
        </w:tc>
      </w:tr>
      <w:tr w:rsidR="00261A43" w:rsidRPr="00071B95" w:rsidTr="00261A43">
        <w:trPr>
          <w:cnfStyle w:val="100000000000" w:firstRow="1" w:lastRow="0" w:firstColumn="0" w:lastColumn="0" w:oddVBand="0" w:evenVBand="0" w:oddHBand="0" w:evenHBand="0" w:firstRowFirstColumn="0" w:firstRowLastColumn="0" w:lastRowFirstColumn="0" w:lastRowLastColumn="0"/>
        </w:trPr>
        <w:tc>
          <w:tcPr>
            <w:tcW w:w="2788" w:type="dxa"/>
          </w:tcPr>
          <w:p w:rsidR="00261A43" w:rsidRPr="009A4444" w:rsidRDefault="00261A43" w:rsidP="00261A43">
            <w:pPr>
              <w:pStyle w:val="TableTextEntries"/>
              <w:rPr>
                <w:b w:val="0"/>
              </w:rPr>
            </w:pPr>
            <w:r w:rsidRPr="009A4444">
              <w:rPr>
                <w:b w:val="0"/>
              </w:rPr>
              <w:t>Australia – New Zealand – Tonga Technical Vocational Education and Training Support Program</w:t>
            </w:r>
          </w:p>
        </w:tc>
        <w:tc>
          <w:tcPr>
            <w:tcW w:w="1230" w:type="dxa"/>
          </w:tcPr>
          <w:p w:rsidR="00261A43" w:rsidRPr="009A4444" w:rsidRDefault="00261A43" w:rsidP="00261A43">
            <w:pPr>
              <w:pStyle w:val="TableTextEntries"/>
              <w:rPr>
                <w:b w:val="0"/>
              </w:rPr>
            </w:pPr>
            <w:r w:rsidRPr="009A4444">
              <w:rPr>
                <w:b w:val="0"/>
              </w:rPr>
              <w:t>INI954</w:t>
            </w:r>
          </w:p>
        </w:tc>
        <w:tc>
          <w:tcPr>
            <w:tcW w:w="2143" w:type="dxa"/>
          </w:tcPr>
          <w:p w:rsidR="00261A43" w:rsidRPr="009A4444" w:rsidRDefault="00261A43" w:rsidP="00261A43">
            <w:pPr>
              <w:pStyle w:val="TableTextEntries"/>
              <w:rPr>
                <w:b w:val="0"/>
              </w:rPr>
            </w:pPr>
            <w:r w:rsidRPr="009A4444">
              <w:rPr>
                <w:b w:val="0"/>
              </w:rPr>
              <w:t>Independent progress review</w:t>
            </w:r>
          </w:p>
        </w:tc>
        <w:tc>
          <w:tcPr>
            <w:tcW w:w="2034" w:type="dxa"/>
          </w:tcPr>
          <w:p w:rsidR="00261A43" w:rsidRPr="009A4444" w:rsidRDefault="00261A43" w:rsidP="00261A43">
            <w:pPr>
              <w:pStyle w:val="TableTextEntries"/>
              <w:rPr>
                <w:b w:val="0"/>
              </w:rPr>
            </w:pPr>
            <w:r w:rsidRPr="009A4444">
              <w:rPr>
                <w:b w:val="0"/>
              </w:rPr>
              <w:t>July 2012</w:t>
            </w:r>
          </w:p>
        </w:tc>
        <w:tc>
          <w:tcPr>
            <w:tcW w:w="2016" w:type="dxa"/>
          </w:tcPr>
          <w:p w:rsidR="00261A43" w:rsidRPr="009A4444" w:rsidRDefault="00261A43" w:rsidP="00261A43">
            <w:pPr>
              <w:pStyle w:val="TableTextEntries"/>
              <w:rPr>
                <w:b w:val="0"/>
              </w:rPr>
            </w:pPr>
            <w:r w:rsidRPr="009A4444">
              <w:rPr>
                <w:b w:val="0"/>
              </w:rPr>
              <w:t>August 2012</w:t>
            </w:r>
          </w:p>
        </w:tc>
        <w:tc>
          <w:tcPr>
            <w:tcW w:w="1854" w:type="dxa"/>
          </w:tcPr>
          <w:p w:rsidR="00261A43" w:rsidRPr="009A4444" w:rsidRDefault="00261A43" w:rsidP="00261A43">
            <w:pPr>
              <w:pStyle w:val="TableTextEntries"/>
              <w:rPr>
                <w:b w:val="0"/>
              </w:rPr>
            </w:pPr>
            <w:r w:rsidRPr="009A4444">
              <w:rPr>
                <w:b w:val="0"/>
              </w:rPr>
              <w:t>January 2013</w:t>
            </w:r>
          </w:p>
        </w:tc>
        <w:tc>
          <w:tcPr>
            <w:tcW w:w="1591" w:type="dxa"/>
          </w:tcPr>
          <w:p w:rsidR="00261A43" w:rsidRPr="009A4444" w:rsidRDefault="00261A43" w:rsidP="00261A43">
            <w:pPr>
              <w:pStyle w:val="TableTextEntries"/>
              <w:rPr>
                <w:b w:val="0"/>
              </w:rPr>
            </w:pPr>
            <w:r w:rsidRPr="009A4444">
              <w:rPr>
                <w:b w:val="0"/>
              </w:rPr>
              <w:t>Yes</w:t>
            </w:r>
          </w:p>
        </w:tc>
      </w:tr>
      <w:tr w:rsidR="00261A43" w:rsidRPr="00071B95" w:rsidTr="00261A43">
        <w:trPr>
          <w:cnfStyle w:val="100000000000" w:firstRow="1" w:lastRow="0" w:firstColumn="0" w:lastColumn="0" w:oddVBand="0" w:evenVBand="0" w:oddHBand="0" w:evenHBand="0" w:firstRowFirstColumn="0" w:firstRowLastColumn="0" w:lastRowFirstColumn="0" w:lastRowLastColumn="0"/>
        </w:trPr>
        <w:tc>
          <w:tcPr>
            <w:tcW w:w="2788" w:type="dxa"/>
          </w:tcPr>
          <w:p w:rsidR="00261A43" w:rsidRPr="009A4444" w:rsidRDefault="00261A43" w:rsidP="00261A43">
            <w:pPr>
              <w:pStyle w:val="TableTextEntries"/>
              <w:rPr>
                <w:b w:val="0"/>
              </w:rPr>
            </w:pPr>
            <w:r w:rsidRPr="009A4444">
              <w:rPr>
                <w:b w:val="0"/>
              </w:rPr>
              <w:t>Tonga Health Systems Support Program</w:t>
            </w:r>
          </w:p>
        </w:tc>
        <w:tc>
          <w:tcPr>
            <w:tcW w:w="1230" w:type="dxa"/>
          </w:tcPr>
          <w:p w:rsidR="00261A43" w:rsidRPr="009A4444" w:rsidRDefault="00261A43" w:rsidP="00261A43">
            <w:pPr>
              <w:pStyle w:val="TableTextEntries"/>
              <w:rPr>
                <w:b w:val="0"/>
              </w:rPr>
            </w:pPr>
            <w:r w:rsidRPr="009A4444">
              <w:rPr>
                <w:b w:val="0"/>
              </w:rPr>
              <w:t>INI960</w:t>
            </w:r>
          </w:p>
        </w:tc>
        <w:tc>
          <w:tcPr>
            <w:tcW w:w="2143" w:type="dxa"/>
          </w:tcPr>
          <w:p w:rsidR="00261A43" w:rsidRPr="009A4444" w:rsidRDefault="00261A43" w:rsidP="00261A43">
            <w:pPr>
              <w:pStyle w:val="TableTextEntries"/>
              <w:rPr>
                <w:b w:val="0"/>
              </w:rPr>
            </w:pPr>
            <w:r w:rsidRPr="009A4444">
              <w:rPr>
                <w:b w:val="0"/>
              </w:rPr>
              <w:t>Independent progress review</w:t>
            </w:r>
          </w:p>
        </w:tc>
        <w:tc>
          <w:tcPr>
            <w:tcW w:w="2034" w:type="dxa"/>
          </w:tcPr>
          <w:p w:rsidR="00261A43" w:rsidRPr="009A4444" w:rsidRDefault="00261A43" w:rsidP="00261A43">
            <w:pPr>
              <w:pStyle w:val="TableTextEntries"/>
              <w:rPr>
                <w:b w:val="0"/>
              </w:rPr>
            </w:pPr>
            <w:r w:rsidRPr="009A4444">
              <w:rPr>
                <w:b w:val="0"/>
              </w:rPr>
              <w:t>April 2013</w:t>
            </w:r>
          </w:p>
        </w:tc>
        <w:tc>
          <w:tcPr>
            <w:tcW w:w="2016" w:type="dxa"/>
          </w:tcPr>
          <w:p w:rsidR="00261A43" w:rsidRPr="009A4444" w:rsidRDefault="00261A43" w:rsidP="00261A43">
            <w:pPr>
              <w:pStyle w:val="TableTextEntries"/>
              <w:rPr>
                <w:b w:val="0"/>
              </w:rPr>
            </w:pPr>
            <w:r w:rsidRPr="009A4444">
              <w:rPr>
                <w:b w:val="0"/>
              </w:rPr>
              <w:t>April 2013</w:t>
            </w:r>
          </w:p>
        </w:tc>
        <w:tc>
          <w:tcPr>
            <w:tcW w:w="1854" w:type="dxa"/>
          </w:tcPr>
          <w:p w:rsidR="00261A43" w:rsidRPr="009A4444" w:rsidRDefault="00261A43" w:rsidP="00261A43">
            <w:pPr>
              <w:pStyle w:val="TableTextEntries"/>
              <w:rPr>
                <w:b w:val="0"/>
              </w:rPr>
            </w:pPr>
            <w:r w:rsidRPr="009A4444">
              <w:rPr>
                <w:b w:val="0"/>
              </w:rPr>
              <w:t>Not uploaded</w:t>
            </w:r>
          </w:p>
        </w:tc>
        <w:tc>
          <w:tcPr>
            <w:tcW w:w="1591" w:type="dxa"/>
          </w:tcPr>
          <w:p w:rsidR="00261A43" w:rsidRPr="009A4444" w:rsidRDefault="00261A43" w:rsidP="00261A43">
            <w:pPr>
              <w:pStyle w:val="TableTextEntries"/>
              <w:rPr>
                <w:b w:val="0"/>
              </w:rPr>
            </w:pPr>
            <w:r w:rsidRPr="009A4444">
              <w:rPr>
                <w:b w:val="0"/>
              </w:rPr>
              <w:t>No</w:t>
            </w:r>
          </w:p>
        </w:tc>
      </w:tr>
    </w:tbl>
    <w:p w:rsidR="00261A43" w:rsidRPr="00071B95" w:rsidRDefault="00261A43" w:rsidP="00261A43">
      <w:pPr>
        <w:rPr>
          <w:b/>
        </w:rPr>
      </w:pPr>
    </w:p>
    <w:p w:rsidR="00261A43" w:rsidRPr="00071B95" w:rsidRDefault="00261A43" w:rsidP="00261A43">
      <w:pPr>
        <w:pStyle w:val="Caption"/>
      </w:pPr>
      <w:r w:rsidRPr="00071B95">
        <w:t xml:space="preserve">List of evaluations planned in the next 12 months </w:t>
      </w:r>
    </w:p>
    <w:tbl>
      <w:tblPr>
        <w:tblStyle w:val="APPR"/>
        <w:tblW w:w="5000" w:type="pct"/>
        <w:tblLook w:val="0600" w:firstRow="0" w:lastRow="0" w:firstColumn="0" w:lastColumn="0" w:noHBand="1" w:noVBand="1"/>
      </w:tblPr>
      <w:tblGrid>
        <w:gridCol w:w="2804"/>
        <w:gridCol w:w="2713"/>
        <w:gridCol w:w="2800"/>
        <w:gridCol w:w="2800"/>
        <w:gridCol w:w="2820"/>
      </w:tblGrid>
      <w:tr w:rsidR="00261A43" w:rsidRPr="00071B95" w:rsidTr="00261A43">
        <w:tc>
          <w:tcPr>
            <w:tcW w:w="2601" w:type="dxa"/>
          </w:tcPr>
          <w:p w:rsidR="00261A43" w:rsidRPr="009A4444" w:rsidRDefault="00261A43" w:rsidP="00261A43">
            <w:pPr>
              <w:pStyle w:val="TableTextColumnHeading"/>
            </w:pPr>
            <w:r w:rsidRPr="009A4444">
              <w:t>Name of initiative</w:t>
            </w:r>
          </w:p>
        </w:tc>
        <w:tc>
          <w:tcPr>
            <w:tcW w:w="2530" w:type="dxa"/>
          </w:tcPr>
          <w:p w:rsidR="00261A43" w:rsidRPr="009A4444" w:rsidRDefault="00261A43" w:rsidP="00261A43">
            <w:pPr>
              <w:pStyle w:val="TableTextColumnHeading"/>
            </w:pPr>
            <w:r w:rsidRPr="009A4444">
              <w:t>AidWorks number</w:t>
            </w:r>
          </w:p>
        </w:tc>
        <w:tc>
          <w:tcPr>
            <w:tcW w:w="2612" w:type="dxa"/>
          </w:tcPr>
          <w:p w:rsidR="00261A43" w:rsidRPr="009A4444" w:rsidRDefault="00261A43" w:rsidP="00261A43">
            <w:pPr>
              <w:pStyle w:val="TableTextColumnHeading"/>
            </w:pPr>
            <w:r w:rsidRPr="009A4444">
              <w:t>Type of evaluation</w:t>
            </w:r>
          </w:p>
        </w:tc>
        <w:tc>
          <w:tcPr>
            <w:tcW w:w="2612" w:type="dxa"/>
          </w:tcPr>
          <w:p w:rsidR="00261A43" w:rsidRPr="009A4444" w:rsidRDefault="00261A43" w:rsidP="00261A43">
            <w:pPr>
              <w:pStyle w:val="TableTextColumnHeading"/>
            </w:pPr>
            <w:r w:rsidRPr="009A4444">
              <w:t>Purpose of evaluation</w:t>
            </w:r>
            <w:r w:rsidRPr="009A4444">
              <w:rPr>
                <w:vertAlign w:val="superscript"/>
              </w:rPr>
              <w:footnoteReference w:id="47"/>
            </w:r>
          </w:p>
        </w:tc>
        <w:tc>
          <w:tcPr>
            <w:tcW w:w="2617" w:type="dxa"/>
          </w:tcPr>
          <w:p w:rsidR="00261A43" w:rsidRPr="009A4444" w:rsidRDefault="00261A43" w:rsidP="00261A43">
            <w:pPr>
              <w:pStyle w:val="TableTextColumnHeading"/>
            </w:pPr>
            <w:r w:rsidRPr="009A4444">
              <w:t>Expected completion date</w:t>
            </w:r>
          </w:p>
        </w:tc>
      </w:tr>
      <w:tr w:rsidR="00261A43" w:rsidRPr="00071B95" w:rsidTr="00261A43">
        <w:tc>
          <w:tcPr>
            <w:tcW w:w="2601" w:type="dxa"/>
          </w:tcPr>
          <w:p w:rsidR="00261A43" w:rsidRPr="009A4444" w:rsidRDefault="00261A43" w:rsidP="00261A43">
            <w:pPr>
              <w:pStyle w:val="TableTextEntries"/>
            </w:pPr>
            <w:r w:rsidRPr="009A4444">
              <w:t>Economic and Public Sector Management Program</w:t>
            </w:r>
          </w:p>
        </w:tc>
        <w:tc>
          <w:tcPr>
            <w:tcW w:w="2530" w:type="dxa"/>
          </w:tcPr>
          <w:p w:rsidR="00261A43" w:rsidRPr="009A4444" w:rsidRDefault="00261A43" w:rsidP="00261A43">
            <w:pPr>
              <w:pStyle w:val="TableTextEntries"/>
            </w:pPr>
            <w:r w:rsidRPr="009A4444">
              <w:t>INI190</w:t>
            </w:r>
          </w:p>
        </w:tc>
        <w:tc>
          <w:tcPr>
            <w:tcW w:w="2612" w:type="dxa"/>
          </w:tcPr>
          <w:p w:rsidR="00261A43" w:rsidRPr="009A4444" w:rsidRDefault="00261A43" w:rsidP="00261A43">
            <w:pPr>
              <w:pStyle w:val="TableTextEntries"/>
            </w:pPr>
            <w:r w:rsidRPr="009A4444">
              <w:t>Completion report</w:t>
            </w:r>
          </w:p>
        </w:tc>
        <w:tc>
          <w:tcPr>
            <w:tcW w:w="2612" w:type="dxa"/>
          </w:tcPr>
          <w:p w:rsidR="00261A43" w:rsidRPr="009A4444" w:rsidRDefault="00261A43" w:rsidP="00261A43">
            <w:pPr>
              <w:pStyle w:val="TableTextEntries"/>
            </w:pPr>
            <w:r w:rsidRPr="009A4444">
              <w:t>Inform a future phase and verify program outcomes</w:t>
            </w:r>
          </w:p>
        </w:tc>
        <w:tc>
          <w:tcPr>
            <w:tcW w:w="2617" w:type="dxa"/>
          </w:tcPr>
          <w:p w:rsidR="00261A43" w:rsidRPr="009A4444" w:rsidRDefault="00261A43" w:rsidP="00261A43">
            <w:pPr>
              <w:pStyle w:val="TableTextEntries"/>
            </w:pPr>
            <w:r w:rsidRPr="009A4444">
              <w:t>July 2013</w:t>
            </w:r>
          </w:p>
        </w:tc>
      </w:tr>
      <w:tr w:rsidR="00261A43" w:rsidRPr="00071B95" w:rsidTr="00261A43">
        <w:tc>
          <w:tcPr>
            <w:tcW w:w="2601" w:type="dxa"/>
          </w:tcPr>
          <w:p w:rsidR="00261A43" w:rsidRPr="009A4444" w:rsidRDefault="00261A43" w:rsidP="00261A43">
            <w:pPr>
              <w:pStyle w:val="TableTextEntries"/>
            </w:pPr>
            <w:r w:rsidRPr="009A4444">
              <w:t>Financial and Economic Management Program</w:t>
            </w:r>
          </w:p>
        </w:tc>
        <w:tc>
          <w:tcPr>
            <w:tcW w:w="2530" w:type="dxa"/>
          </w:tcPr>
          <w:p w:rsidR="00261A43" w:rsidRPr="009A4444" w:rsidRDefault="00261A43" w:rsidP="00261A43">
            <w:pPr>
              <w:pStyle w:val="TableTextEntries"/>
            </w:pPr>
            <w:r w:rsidRPr="009A4444">
              <w:t>ING000</w:t>
            </w:r>
          </w:p>
        </w:tc>
        <w:tc>
          <w:tcPr>
            <w:tcW w:w="2612" w:type="dxa"/>
          </w:tcPr>
          <w:p w:rsidR="00261A43" w:rsidRPr="009A4444" w:rsidRDefault="00261A43" w:rsidP="00261A43">
            <w:pPr>
              <w:pStyle w:val="TableTextEntries"/>
            </w:pPr>
            <w:r w:rsidRPr="009A4444">
              <w:t>Completion report</w:t>
            </w:r>
          </w:p>
        </w:tc>
        <w:tc>
          <w:tcPr>
            <w:tcW w:w="2612" w:type="dxa"/>
          </w:tcPr>
          <w:p w:rsidR="00261A43" w:rsidRPr="009A4444" w:rsidRDefault="00261A43" w:rsidP="00261A43">
            <w:pPr>
              <w:pStyle w:val="TableTextEntries"/>
            </w:pPr>
            <w:r w:rsidRPr="009A4444">
              <w:t>Inform a future phase and verify program outcomes</w:t>
            </w:r>
          </w:p>
        </w:tc>
        <w:tc>
          <w:tcPr>
            <w:tcW w:w="2617" w:type="dxa"/>
          </w:tcPr>
          <w:p w:rsidR="00261A43" w:rsidRPr="009A4444" w:rsidRDefault="00261A43" w:rsidP="00261A43">
            <w:pPr>
              <w:pStyle w:val="TableTextEntries"/>
            </w:pPr>
            <w:r w:rsidRPr="009A4444">
              <w:t>July 2013</w:t>
            </w:r>
          </w:p>
        </w:tc>
      </w:tr>
      <w:tr w:rsidR="00261A43" w:rsidRPr="00071B95" w:rsidTr="00261A43">
        <w:tc>
          <w:tcPr>
            <w:tcW w:w="2601" w:type="dxa"/>
          </w:tcPr>
          <w:p w:rsidR="00261A43" w:rsidRPr="009A4444" w:rsidRDefault="00261A43" w:rsidP="00261A43">
            <w:pPr>
              <w:pStyle w:val="TableTextEntries"/>
            </w:pPr>
            <w:r w:rsidRPr="009A4444">
              <w:t>Tonga Pacific technical assistance mechanism</w:t>
            </w:r>
          </w:p>
        </w:tc>
        <w:tc>
          <w:tcPr>
            <w:tcW w:w="2530" w:type="dxa"/>
          </w:tcPr>
          <w:p w:rsidR="00261A43" w:rsidRPr="009A4444" w:rsidRDefault="00261A43" w:rsidP="00261A43">
            <w:pPr>
              <w:pStyle w:val="TableTextEntries"/>
            </w:pPr>
            <w:r w:rsidRPr="009A4444">
              <w:t>ING994</w:t>
            </w:r>
          </w:p>
        </w:tc>
        <w:tc>
          <w:tcPr>
            <w:tcW w:w="2612" w:type="dxa"/>
          </w:tcPr>
          <w:p w:rsidR="00261A43" w:rsidRPr="009A4444" w:rsidRDefault="00261A43" w:rsidP="00261A43">
            <w:pPr>
              <w:pStyle w:val="TableTextEntries"/>
            </w:pPr>
            <w:r w:rsidRPr="009A4444">
              <w:t>Independent progress review</w:t>
            </w:r>
          </w:p>
        </w:tc>
        <w:tc>
          <w:tcPr>
            <w:tcW w:w="2612" w:type="dxa"/>
          </w:tcPr>
          <w:p w:rsidR="00261A43" w:rsidRPr="009A4444" w:rsidRDefault="00261A43" w:rsidP="00261A43">
            <w:pPr>
              <w:pStyle w:val="TableTextEntries"/>
            </w:pPr>
            <w:r w:rsidRPr="009A4444">
              <w:t>Inform a future phase and verify program outcomes</w:t>
            </w:r>
          </w:p>
        </w:tc>
        <w:tc>
          <w:tcPr>
            <w:tcW w:w="2617" w:type="dxa"/>
          </w:tcPr>
          <w:p w:rsidR="00261A43" w:rsidRPr="009A4444" w:rsidRDefault="00261A43" w:rsidP="00261A43">
            <w:pPr>
              <w:pStyle w:val="TableTextEntries"/>
            </w:pPr>
            <w:r w:rsidRPr="009A4444">
              <w:t>July 2013</w:t>
            </w:r>
          </w:p>
        </w:tc>
      </w:tr>
    </w:tbl>
    <w:p w:rsidR="00F77E6A" w:rsidRPr="00071B95" w:rsidRDefault="00F77E6A" w:rsidP="007D1A22">
      <w:pPr>
        <w:pStyle w:val="BodyText"/>
      </w:pPr>
    </w:p>
    <w:sectPr w:rsidR="00F77E6A" w:rsidRPr="00071B95" w:rsidSect="00221370">
      <w:headerReference w:type="default" r:id="rId24"/>
      <w:pgSz w:w="16840" w:h="11907" w:orient="landscape" w:code="9"/>
      <w:pgMar w:top="1871" w:right="2268" w:bottom="1134" w:left="907"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7DE" w:rsidRDefault="006F27DE" w:rsidP="0050529F">
      <w:r>
        <w:separator/>
      </w:r>
    </w:p>
    <w:p w:rsidR="006F27DE" w:rsidRDefault="006F27DE"/>
    <w:p w:rsidR="006F27DE" w:rsidRDefault="006F27DE"/>
  </w:endnote>
  <w:endnote w:type="continuationSeparator" w:id="0">
    <w:p w:rsidR="006F27DE" w:rsidRDefault="006F27DE" w:rsidP="0050529F">
      <w:r>
        <w:continuationSeparator/>
      </w:r>
    </w:p>
    <w:p w:rsidR="006F27DE" w:rsidRDefault="006F27DE"/>
    <w:p w:rsidR="006F27DE" w:rsidRDefault="006F27DE"/>
  </w:endnote>
  <w:endnote w:type="continuationNotice" w:id="1">
    <w:p w:rsidR="006F27DE" w:rsidRDefault="006F2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D4" w:rsidRDefault="002015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DE" w:rsidRPr="000721CB" w:rsidRDefault="006F27DE" w:rsidP="000721CB">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2015D4">
      <w:rPr>
        <w:rFonts w:ascii="Franklin Gothic Medium" w:eastAsia="Times New Roman" w:hAnsi="Franklin Gothic Medium"/>
        <w:noProof/>
        <w:sz w:val="14"/>
        <w:szCs w:val="14"/>
      </w:rPr>
      <w:t>Aid Program Performance Report 2012−13 Tonga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2015D4">
      <w:rPr>
        <w:rFonts w:ascii="Franklin Gothic Medium" w:eastAsia="Times New Roman" w:hAnsi="Franklin Gothic Medium"/>
        <w:noProof/>
        <w:sz w:val="14"/>
        <w:szCs w:val="14"/>
      </w:rPr>
      <w:t>23</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670528" behindDoc="1" locked="0" layoutInCell="1" allowOverlap="1" wp14:anchorId="60101D0B" wp14:editId="65372070">
              <wp:simplePos x="0" y="0"/>
              <wp:positionH relativeFrom="column">
                <wp:posOffset>0</wp:posOffset>
              </wp:positionH>
              <wp:positionV relativeFrom="paragraph">
                <wp:posOffset>8498840</wp:posOffset>
              </wp:positionV>
              <wp:extent cx="7379970" cy="2181860"/>
              <wp:effectExtent l="0" t="2540" r="1905" b="0"/>
              <wp:wrapNone/>
              <wp:docPr id="4"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2vhx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r9r4c&#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69504" behindDoc="1" locked="0" layoutInCell="1" allowOverlap="1" wp14:anchorId="0EE442AE" wp14:editId="65DEC674">
              <wp:simplePos x="0" y="0"/>
              <wp:positionH relativeFrom="column">
                <wp:posOffset>0</wp:posOffset>
              </wp:positionH>
              <wp:positionV relativeFrom="paragraph">
                <wp:posOffset>8498840</wp:posOffset>
              </wp:positionV>
              <wp:extent cx="7379970" cy="2181860"/>
              <wp:effectExtent l="0" t="2540" r="1905" b="0"/>
              <wp:wrapNone/>
              <wp:docPr id="5"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pYIp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0KWCK&#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DE" w:rsidRPr="000721CB" w:rsidRDefault="006F27DE" w:rsidP="000721CB">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2015D4">
      <w:rPr>
        <w:rFonts w:ascii="Franklin Gothic Medium" w:eastAsia="Times New Roman" w:hAnsi="Franklin Gothic Medium"/>
        <w:noProof/>
        <w:sz w:val="14"/>
        <w:szCs w:val="14"/>
      </w:rPr>
      <w:t>Aid Program Performance Report 2012−13 Tonga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2015D4">
      <w:rPr>
        <w:rFonts w:ascii="Franklin Gothic Medium" w:eastAsia="Times New Roman" w:hAnsi="Franklin Gothic Medium"/>
        <w:noProof/>
        <w:sz w:val="14"/>
        <w:szCs w:val="14"/>
      </w:rPr>
      <w:t>28</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667456" behindDoc="1" locked="0" layoutInCell="1" allowOverlap="1" wp14:anchorId="2479A0A5" wp14:editId="69149EA6">
              <wp:simplePos x="0" y="0"/>
              <wp:positionH relativeFrom="column">
                <wp:posOffset>0</wp:posOffset>
              </wp:positionH>
              <wp:positionV relativeFrom="paragraph">
                <wp:posOffset>8498840</wp:posOffset>
              </wp:positionV>
              <wp:extent cx="7379970" cy="2181860"/>
              <wp:effectExtent l="0" t="2540" r="1905" b="0"/>
              <wp:wrapNone/>
              <wp:docPr id="1"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O9B9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BizvQf&#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66432" behindDoc="1" locked="0" layoutInCell="1" allowOverlap="1" wp14:anchorId="571735CC" wp14:editId="3077B7BD">
              <wp:simplePos x="0" y="0"/>
              <wp:positionH relativeFrom="column">
                <wp:posOffset>0</wp:posOffset>
              </wp:positionH>
              <wp:positionV relativeFrom="paragraph">
                <wp:posOffset>8498840</wp:posOffset>
              </wp:positionV>
              <wp:extent cx="7379970" cy="2181860"/>
              <wp:effectExtent l="0" t="2540" r="1905" b="0"/>
              <wp:wrapNone/>
              <wp:docPr id="24"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xktd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XbGS&#10;1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DE" w:rsidRPr="004C4A3E" w:rsidRDefault="006F27DE" w:rsidP="00586350">
    <w:pPr>
      <w:tabs>
        <w:tab w:val="left" w:pos="0"/>
        <w:tab w:val="left" w:pos="13325"/>
      </w:tabs>
      <w:spacing w:line="180" w:lineRule="exact"/>
      <w:ind w:right="-1136"/>
      <w:rPr>
        <w:rFonts w:ascii="Franklin Gothic Medium" w:eastAsia="Times New Roman" w:hAnsi="Franklin Gothic Medium"/>
        <w:color w:val="5A9A98"/>
        <w:sz w:val="14"/>
        <w:szCs w:val="14"/>
      </w:rPr>
    </w:pPr>
    <w:r>
      <w:rPr>
        <w:noProof/>
      </w:rPr>
      <mc:AlternateContent>
        <mc:Choice Requires="wps">
          <w:drawing>
            <wp:anchor distT="0" distB="0" distL="114300" distR="114300" simplePos="0" relativeHeight="251679744" behindDoc="1" locked="1" layoutInCell="1" allowOverlap="1" wp14:anchorId="0E634EED" wp14:editId="12D7919F">
              <wp:simplePos x="0" y="0"/>
              <wp:positionH relativeFrom="page">
                <wp:posOffset>0</wp:posOffset>
              </wp:positionH>
              <wp:positionV relativeFrom="page">
                <wp:posOffset>8533130</wp:posOffset>
              </wp:positionV>
              <wp:extent cx="7380000" cy="2181600"/>
              <wp:effectExtent l="0" t="0" r="0" b="9525"/>
              <wp:wrapNone/>
              <wp:docPr id="18" name="Rectangle 1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alt="AusAID web address graphic" style="position:absolute;margin-left:0;margin-top:671.9pt;width:581.1pt;height:171.8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TKnKl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AZkypypQMAAN0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sidR="003F4F52">
      <w:rPr>
        <w:rFonts w:ascii="Franklin Gothic Medium" w:eastAsia="Times New Roman" w:hAnsi="Franklin Gothic Medium"/>
        <w:noProof/>
        <w:color w:val="5A9A98"/>
        <w:sz w:val="14"/>
        <w:szCs w:val="14"/>
      </w:rPr>
      <w:t>Annual Aid Program Performance Report 2012−13 Tonga</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sidR="003F4F52">
      <w:rPr>
        <w:rFonts w:ascii="Franklin Gothic Medium" w:eastAsia="Times New Roman" w:hAnsi="Franklin Gothic Medium"/>
        <w:noProof/>
        <w:color w:val="54534A"/>
        <w:sz w:val="14"/>
        <w:szCs w:val="14"/>
      </w:rPr>
      <w:t>32</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78720" behindDoc="1" locked="0" layoutInCell="1" allowOverlap="1" wp14:anchorId="071F9264" wp14:editId="613FC27E">
              <wp:simplePos x="0" y="0"/>
              <wp:positionH relativeFrom="column">
                <wp:posOffset>0</wp:posOffset>
              </wp:positionH>
              <wp:positionV relativeFrom="paragraph">
                <wp:posOffset>8498840</wp:posOffset>
              </wp:positionV>
              <wp:extent cx="7379970" cy="2181860"/>
              <wp:effectExtent l="0" t="2540" r="1905" b="0"/>
              <wp:wrapNone/>
              <wp:docPr id="19" name="Rectangle 19"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alt="AusAID web address graphic" style="position:absolute;margin-left:0;margin-top:669.2pt;width:581.1pt;height:17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FSvVHqwMAAN0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77696" behindDoc="1" locked="0" layoutInCell="1" allowOverlap="1" wp14:anchorId="66155681" wp14:editId="5BA480EE">
              <wp:simplePos x="0" y="0"/>
              <wp:positionH relativeFrom="column">
                <wp:posOffset>0</wp:posOffset>
              </wp:positionH>
              <wp:positionV relativeFrom="paragraph">
                <wp:posOffset>8498840</wp:posOffset>
              </wp:positionV>
              <wp:extent cx="7379970" cy="2181860"/>
              <wp:effectExtent l="0" t="2540" r="1905" b="0"/>
              <wp:wrapNone/>
              <wp:docPr id="23" name="Rectangle 23"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alt="AusAID web address graphic" style="position:absolute;margin-left:0;margin-top:669.2pt;width:581.1pt;height:17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g2sa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0SDax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7DE" w:rsidRDefault="006F27DE" w:rsidP="0050529F">
      <w:r>
        <w:separator/>
      </w:r>
    </w:p>
    <w:p w:rsidR="006F27DE" w:rsidRDefault="006F27DE"/>
    <w:p w:rsidR="006F27DE" w:rsidRDefault="006F27DE"/>
  </w:footnote>
  <w:footnote w:type="continuationSeparator" w:id="0">
    <w:p w:rsidR="006F27DE" w:rsidRDefault="006F27DE" w:rsidP="0050529F">
      <w:r>
        <w:continuationSeparator/>
      </w:r>
    </w:p>
    <w:p w:rsidR="006F27DE" w:rsidRDefault="006F27DE"/>
    <w:p w:rsidR="006F27DE" w:rsidRDefault="006F27DE"/>
  </w:footnote>
  <w:footnote w:type="continuationNotice" w:id="1">
    <w:p w:rsidR="006F27DE" w:rsidRDefault="006F27DE"/>
  </w:footnote>
  <w:footnote w:id="2">
    <w:p w:rsidR="006F27DE" w:rsidRDefault="006F27DE">
      <w:pPr>
        <w:pStyle w:val="FootnoteText"/>
      </w:pPr>
      <w:r>
        <w:rPr>
          <w:rStyle w:val="FootnoteReference"/>
        </w:rPr>
        <w:footnoteRef/>
      </w:r>
      <w:r>
        <w:t xml:space="preserve"> The donors who work with the Government of Tonga to progress the Joint Policy Reform Matrix through the Budget Support Committee are Australia, Asian Development Bank, European Union and World Bank.</w:t>
      </w:r>
    </w:p>
  </w:footnote>
  <w:footnote w:id="3">
    <w:p w:rsidR="006F27DE" w:rsidRDefault="006F27DE">
      <w:pPr>
        <w:pStyle w:val="FootnoteText"/>
      </w:pPr>
      <w:r>
        <w:rPr>
          <w:rStyle w:val="FootnoteReference"/>
        </w:rPr>
        <w:footnoteRef/>
      </w:r>
      <w:r>
        <w:t xml:space="preserve"> </w:t>
      </w:r>
      <w:r w:rsidRPr="00970C56">
        <w:t xml:space="preserve">The </w:t>
      </w:r>
      <w:r w:rsidRPr="00F51FEC">
        <w:rPr>
          <w:i/>
        </w:rPr>
        <w:t>Australia–Tonga Partnership for Development</w:t>
      </w:r>
      <w:r w:rsidRPr="00970C56">
        <w:t xml:space="preserve"> guides Australian aid to Tonga, establishing shared goals that aim to raise the standard of living and quality of life for the people of Tonga.</w:t>
      </w:r>
      <w:r>
        <w:t xml:space="preserve"> The partnership was signed by the prime ministers of both countries in August 2009. </w:t>
      </w:r>
      <w:r w:rsidRPr="002D1680">
        <w:t xml:space="preserve"> </w:t>
      </w:r>
      <w:hyperlink r:id="rId1" w:history="1">
        <w:r w:rsidR="000F1F86" w:rsidRPr="00BF3969">
          <w:rPr>
            <w:rStyle w:val="Hyperlink"/>
            <w:sz w:val="16"/>
          </w:rPr>
          <w:t>http://aid.dfat.gov.au/countries/pacific/partnership/Pages/tonga.aspx</w:t>
        </w:r>
      </w:hyperlink>
      <w:r w:rsidR="000F1F86" w:rsidRPr="000F1F86">
        <w:t>.</w:t>
      </w:r>
      <w:r w:rsidR="000F1F86">
        <w:t xml:space="preserve"> </w:t>
      </w:r>
      <w:r>
        <w:t xml:space="preserve">. </w:t>
      </w:r>
    </w:p>
  </w:footnote>
  <w:footnote w:id="4">
    <w:p w:rsidR="006F27DE" w:rsidRDefault="006F27DE">
      <w:pPr>
        <w:pStyle w:val="FootnoteText"/>
      </w:pPr>
      <w:r w:rsidRPr="0094632E">
        <w:rPr>
          <w:rStyle w:val="FootnoteReference"/>
        </w:rPr>
        <w:footnoteRef/>
      </w:r>
      <w:r>
        <w:t xml:space="preserve"> Government of Tonga,</w:t>
      </w:r>
      <w:r w:rsidRPr="0094632E">
        <w:t xml:space="preserve"> Draft </w:t>
      </w:r>
      <w:r w:rsidRPr="0094632E">
        <w:rPr>
          <w:szCs w:val="14"/>
        </w:rPr>
        <w:t>Budget Statement 2013</w:t>
      </w:r>
      <w:r>
        <w:rPr>
          <w:szCs w:val="14"/>
        </w:rPr>
        <w:t>–</w:t>
      </w:r>
      <w:r w:rsidRPr="0094632E">
        <w:rPr>
          <w:szCs w:val="14"/>
        </w:rPr>
        <w:t>2014</w:t>
      </w:r>
      <w:r>
        <w:rPr>
          <w:lang w:val="en-NZ"/>
        </w:rPr>
        <w:t>,</w:t>
      </w:r>
      <w:r w:rsidRPr="0094632E">
        <w:rPr>
          <w:lang w:val="en-NZ"/>
        </w:rPr>
        <w:t xml:space="preserve"> </w:t>
      </w:r>
      <w:r w:rsidRPr="002A0AEF">
        <w:rPr>
          <w:i/>
          <w:lang w:val="en-NZ"/>
        </w:rPr>
        <w:t>Continuing to create opportunities by building on inclusive sustainable growth</w:t>
      </w:r>
      <w:r w:rsidRPr="002A0AEF">
        <w:rPr>
          <w:lang w:val="en-NZ"/>
        </w:rPr>
        <w:t>,</w:t>
      </w:r>
      <w:r>
        <w:rPr>
          <w:lang w:val="en-NZ"/>
        </w:rPr>
        <w:t xml:space="preserve"> </w:t>
      </w:r>
      <w:r w:rsidRPr="0094632E">
        <w:rPr>
          <w:lang w:val="en-NZ"/>
        </w:rPr>
        <w:t>June 2013, p. 42.</w:t>
      </w:r>
    </w:p>
  </w:footnote>
  <w:footnote w:id="5">
    <w:p w:rsidR="006F27DE" w:rsidRDefault="006F27DE">
      <w:pPr>
        <w:pStyle w:val="FootnoteText"/>
      </w:pPr>
      <w:r>
        <w:rPr>
          <w:rStyle w:val="FootnoteReference"/>
        </w:rPr>
        <w:footnoteRef/>
      </w:r>
      <w:r>
        <w:t xml:space="preserve"> </w:t>
      </w:r>
      <w:r>
        <w:rPr>
          <w:lang w:val="en-NZ"/>
        </w:rPr>
        <w:t>In 2008—the peak of remittance flows— remittances accounted for around 30 per cent of gross domestic product.</w:t>
      </w:r>
    </w:p>
  </w:footnote>
  <w:footnote w:id="6">
    <w:p w:rsidR="006F27DE" w:rsidRDefault="006F27DE">
      <w:pPr>
        <w:pStyle w:val="FootnoteText"/>
      </w:pPr>
      <w:r w:rsidRPr="0094632E">
        <w:rPr>
          <w:rStyle w:val="FootnoteReference"/>
        </w:rPr>
        <w:footnoteRef/>
      </w:r>
      <w:r w:rsidRPr="0094632E">
        <w:t xml:space="preserve"> </w:t>
      </w:r>
      <w:r>
        <w:t xml:space="preserve">Government </w:t>
      </w:r>
      <w:r w:rsidRPr="000A0AC6">
        <w:t xml:space="preserve">of Tonga, </w:t>
      </w:r>
      <w:r w:rsidRPr="000A0AC6">
        <w:rPr>
          <w:szCs w:val="14"/>
        </w:rPr>
        <w:t>Budget Statement</w:t>
      </w:r>
      <w:r w:rsidRPr="0094632E">
        <w:rPr>
          <w:szCs w:val="14"/>
        </w:rPr>
        <w:t xml:space="preserve"> 2012</w:t>
      </w:r>
      <w:r>
        <w:rPr>
          <w:szCs w:val="14"/>
        </w:rPr>
        <w:t>–</w:t>
      </w:r>
      <w:r w:rsidRPr="0094632E">
        <w:rPr>
          <w:szCs w:val="14"/>
        </w:rPr>
        <w:t>2013</w:t>
      </w:r>
      <w:r>
        <w:rPr>
          <w:szCs w:val="14"/>
        </w:rPr>
        <w:t>,</w:t>
      </w:r>
      <w:r w:rsidRPr="0094632E">
        <w:rPr>
          <w:lang w:val="en-NZ"/>
        </w:rPr>
        <w:t xml:space="preserve"> </w:t>
      </w:r>
      <w:r w:rsidRPr="00970C56">
        <w:rPr>
          <w:i/>
          <w:lang w:val="en-NZ"/>
        </w:rPr>
        <w:t>Creating Opportunity in Extraordinary Times</w:t>
      </w:r>
      <w:r w:rsidRPr="0094632E">
        <w:rPr>
          <w:lang w:val="en-NZ"/>
        </w:rPr>
        <w:t>, June 2012</w:t>
      </w:r>
      <w:r w:rsidRPr="00536938">
        <w:rPr>
          <w:lang w:val="en-NZ"/>
        </w:rPr>
        <w:t>, p. 47</w:t>
      </w:r>
    </w:p>
  </w:footnote>
  <w:footnote w:id="7">
    <w:p w:rsidR="006F27DE" w:rsidRDefault="006F27DE">
      <w:pPr>
        <w:pStyle w:val="FootnoteText"/>
      </w:pPr>
      <w:r w:rsidRPr="001520BF">
        <w:rPr>
          <w:rStyle w:val="FootnoteReference"/>
        </w:rPr>
        <w:footnoteRef/>
      </w:r>
      <w:r w:rsidRPr="001520BF">
        <w:t xml:space="preserve"> </w:t>
      </w:r>
      <w:r w:rsidRPr="001520BF">
        <w:rPr>
          <w:szCs w:val="14"/>
        </w:rPr>
        <w:t>Ibid, p.</w:t>
      </w:r>
      <w:r>
        <w:rPr>
          <w:szCs w:val="14"/>
        </w:rPr>
        <w:t xml:space="preserve"> </w:t>
      </w:r>
      <w:r w:rsidRPr="001520BF">
        <w:rPr>
          <w:szCs w:val="14"/>
        </w:rPr>
        <w:t>58.</w:t>
      </w:r>
    </w:p>
  </w:footnote>
  <w:footnote w:id="8">
    <w:p w:rsidR="006F27DE" w:rsidRDefault="006F27DE">
      <w:pPr>
        <w:pStyle w:val="FootnoteText"/>
      </w:pPr>
      <w:r>
        <w:rPr>
          <w:rStyle w:val="FootnoteReference"/>
        </w:rPr>
        <w:footnoteRef/>
      </w:r>
      <w:r>
        <w:t xml:space="preserve"> </w:t>
      </w:r>
      <w:r w:rsidRPr="00C83A69">
        <w:rPr>
          <w:szCs w:val="14"/>
          <w:lang w:val="en-NZ" w:eastAsia="en-NZ"/>
        </w:rPr>
        <w:t xml:space="preserve">New Zealand’s aid program, through the Tonga Tourism Support Programme, is seeking to boost economic growth </w:t>
      </w:r>
      <w:r>
        <w:rPr>
          <w:szCs w:val="14"/>
          <w:lang w:val="en-NZ" w:eastAsia="en-NZ"/>
        </w:rPr>
        <w:t>by</w:t>
      </w:r>
      <w:r w:rsidRPr="00C83A69">
        <w:rPr>
          <w:szCs w:val="14"/>
          <w:lang w:val="en-NZ" w:eastAsia="en-NZ"/>
        </w:rPr>
        <w:t xml:space="preserve"> increasing income and generating jobs</w:t>
      </w:r>
      <w:r>
        <w:rPr>
          <w:szCs w:val="14"/>
          <w:lang w:val="en-NZ" w:eastAsia="en-NZ"/>
        </w:rPr>
        <w:t xml:space="preserve">. </w:t>
      </w:r>
      <w:r w:rsidRPr="00C83A69">
        <w:rPr>
          <w:szCs w:val="14"/>
          <w:lang w:val="en-NZ" w:eastAsia="en-NZ"/>
        </w:rPr>
        <w:t>Jointly delivered by the public and private sector</w:t>
      </w:r>
      <w:r>
        <w:rPr>
          <w:szCs w:val="14"/>
          <w:lang w:val="en-NZ" w:eastAsia="en-NZ"/>
        </w:rPr>
        <w:t>,</w:t>
      </w:r>
      <w:r w:rsidRPr="00C83A69">
        <w:rPr>
          <w:szCs w:val="14"/>
          <w:lang w:val="en-NZ" w:eastAsia="en-NZ"/>
        </w:rPr>
        <w:t xml:space="preserve"> the program includes: implementing a national destination marketing </w:t>
      </w:r>
      <w:r w:rsidRPr="00C83A69">
        <w:rPr>
          <w:color w:val="333333"/>
          <w:szCs w:val="14"/>
          <w:lang w:val="en-NZ" w:eastAsia="en-NZ"/>
        </w:rPr>
        <w:t xml:space="preserve">plan; raising accommodation standards; developing and managing key heritage and cultural sites; building research capacity; supporting local tourism initiatives; </w:t>
      </w:r>
      <w:r>
        <w:rPr>
          <w:color w:val="333333"/>
          <w:szCs w:val="14"/>
          <w:lang w:val="en-NZ" w:eastAsia="en-NZ"/>
        </w:rPr>
        <w:t xml:space="preserve">and </w:t>
      </w:r>
      <w:r w:rsidRPr="00C83A69">
        <w:rPr>
          <w:color w:val="333333"/>
          <w:szCs w:val="14"/>
          <w:lang w:val="en-NZ" w:eastAsia="en-NZ"/>
        </w:rPr>
        <w:t>supporting private sector coordination.</w:t>
      </w:r>
      <w:r>
        <w:rPr>
          <w:color w:val="333333"/>
          <w:szCs w:val="14"/>
          <w:lang w:val="en-NZ" w:eastAsia="en-NZ"/>
        </w:rPr>
        <w:t xml:space="preserve"> </w:t>
      </w:r>
      <w:hyperlink r:id="rId2" w:history="1">
        <w:r w:rsidRPr="002D1680">
          <w:rPr>
            <w:color w:val="1F497D" w:themeColor="text2"/>
          </w:rPr>
          <w:t>http://www.aid.govt.nz/where-we-work/pacific/tonga</w:t>
        </w:r>
      </w:hyperlink>
      <w:r w:rsidRPr="002D1680">
        <w:rPr>
          <w:color w:val="1F497D" w:themeColor="text2"/>
        </w:rPr>
        <w:t>.</w:t>
      </w:r>
      <w:r w:rsidRPr="002D1680">
        <w:rPr>
          <w:color w:val="1F497D" w:themeColor="text2"/>
          <w:szCs w:val="14"/>
          <w:lang w:val="en-NZ" w:eastAsia="en-NZ"/>
        </w:rPr>
        <w:t xml:space="preserve"> </w:t>
      </w:r>
      <w:r>
        <w:rPr>
          <w:color w:val="333333"/>
          <w:szCs w:val="14"/>
          <w:lang w:val="en-NZ" w:eastAsia="en-NZ"/>
        </w:rPr>
        <w:t>Accessed 15 May 2013.</w:t>
      </w:r>
    </w:p>
  </w:footnote>
  <w:footnote w:id="9">
    <w:p w:rsidR="006F27DE" w:rsidRDefault="006F27DE">
      <w:pPr>
        <w:pStyle w:val="FootnoteText"/>
      </w:pPr>
      <w:r>
        <w:rPr>
          <w:rStyle w:val="FootnoteReference"/>
        </w:rPr>
        <w:footnoteRef/>
      </w:r>
      <w:r>
        <w:t xml:space="preserve"> </w:t>
      </w:r>
      <w:r w:rsidRPr="00BA19CD">
        <w:rPr>
          <w:szCs w:val="14"/>
        </w:rPr>
        <w:t>The connection</w:t>
      </w:r>
      <w:r w:rsidRPr="00BA19CD">
        <w:rPr>
          <w:szCs w:val="14"/>
          <w:lang w:val="en-US"/>
        </w:rPr>
        <w:t xml:space="preserve"> to the Southern Cross Cable</w:t>
      </w:r>
      <w:r>
        <w:rPr>
          <w:szCs w:val="14"/>
          <w:lang w:val="en-US"/>
        </w:rPr>
        <w:t>, through an undersea fiber optic cable,</w:t>
      </w:r>
      <w:r w:rsidRPr="00BA19CD">
        <w:rPr>
          <w:szCs w:val="14"/>
          <w:lang w:val="en-US"/>
        </w:rPr>
        <w:t xml:space="preserve"> is jointly funded </w:t>
      </w:r>
      <w:r>
        <w:rPr>
          <w:szCs w:val="14"/>
          <w:lang w:val="en-US"/>
        </w:rPr>
        <w:t>by</w:t>
      </w:r>
      <w:r w:rsidRPr="00BA19CD">
        <w:rPr>
          <w:szCs w:val="14"/>
          <w:lang w:val="en-US"/>
        </w:rPr>
        <w:t xml:space="preserve"> the </w:t>
      </w:r>
      <w:r>
        <w:rPr>
          <w:szCs w:val="14"/>
          <w:lang w:val="en-US"/>
        </w:rPr>
        <w:t>Government of Tonga</w:t>
      </w:r>
      <w:r w:rsidRPr="00BA19CD">
        <w:rPr>
          <w:szCs w:val="14"/>
          <w:lang w:val="en-US"/>
        </w:rPr>
        <w:t>, the Asian Development Bank and</w:t>
      </w:r>
      <w:r>
        <w:rPr>
          <w:szCs w:val="14"/>
          <w:lang w:val="en-US"/>
        </w:rPr>
        <w:t xml:space="preserve"> </w:t>
      </w:r>
      <w:r w:rsidRPr="00BA19CD">
        <w:rPr>
          <w:szCs w:val="14"/>
          <w:lang w:val="en-US"/>
        </w:rPr>
        <w:t xml:space="preserve"> the World Bank.</w:t>
      </w:r>
      <w:r w:rsidRPr="002D1680">
        <w:t xml:space="preserve"> </w:t>
      </w:r>
      <w:hyperlink r:id="rId3" w:history="1">
        <w:r w:rsidRPr="002D1680">
          <w:rPr>
            <w:color w:val="1F497D" w:themeColor="text2"/>
          </w:rPr>
          <w:t>http://www.adb.org/projects/44172-022/details.</w:t>
        </w:r>
        <w:r w:rsidRPr="002D1680">
          <w:t xml:space="preserve"> Accessed 15 May 2013</w:t>
        </w:r>
      </w:hyperlink>
      <w:r w:rsidRPr="005B7EB4">
        <w:rPr>
          <w:szCs w:val="14"/>
          <w:lang w:val="en-US"/>
        </w:rPr>
        <w:t>.</w:t>
      </w:r>
    </w:p>
  </w:footnote>
  <w:footnote w:id="10">
    <w:p w:rsidR="006F27DE" w:rsidRDefault="006F27DE">
      <w:pPr>
        <w:pStyle w:val="FootnoteText"/>
      </w:pPr>
      <w:r>
        <w:rPr>
          <w:rStyle w:val="FootnoteReference"/>
        </w:rPr>
        <w:footnoteRef/>
      </w:r>
      <w:r>
        <w:t xml:space="preserve"> </w:t>
      </w:r>
      <w:r w:rsidRPr="005B7EB4">
        <w:rPr>
          <w:szCs w:val="14"/>
          <w:lang w:val="en"/>
        </w:rPr>
        <w:t>Tonga was the first country in the Pacific to liberali</w:t>
      </w:r>
      <w:r>
        <w:rPr>
          <w:szCs w:val="14"/>
          <w:lang w:val="en"/>
        </w:rPr>
        <w:t>s</w:t>
      </w:r>
      <w:r w:rsidRPr="005B7EB4">
        <w:rPr>
          <w:szCs w:val="14"/>
          <w:lang w:val="en"/>
        </w:rPr>
        <w:t>e its telecommunications sector. Since 2002, access to basic telecommunications has increased significantly. Mobile teledensity, at about 60</w:t>
      </w:r>
      <w:r>
        <w:rPr>
          <w:szCs w:val="14"/>
          <w:lang w:val="en"/>
        </w:rPr>
        <w:t xml:space="preserve"> per cent</w:t>
      </w:r>
      <w:r w:rsidRPr="005B7EB4">
        <w:rPr>
          <w:szCs w:val="14"/>
          <w:lang w:val="en"/>
        </w:rPr>
        <w:t xml:space="preserve">, is among the highest in the region; and local and international call tariffs are among the lowest in the Pacific. </w:t>
      </w:r>
      <w:hyperlink r:id="rId4" w:history="1">
        <w:r w:rsidRPr="002D1680">
          <w:rPr>
            <w:color w:val="1F497D" w:themeColor="text2"/>
          </w:rPr>
          <w:t>http://www.adb.org/projects/44172-022/details</w:t>
        </w:r>
      </w:hyperlink>
      <w:r w:rsidRPr="002D1680">
        <w:rPr>
          <w:color w:val="1F497D" w:themeColor="text2"/>
        </w:rPr>
        <w:t>.</w:t>
      </w:r>
      <w:r w:rsidRPr="002D1680">
        <w:rPr>
          <w:color w:val="1F497D" w:themeColor="text2"/>
          <w:szCs w:val="14"/>
          <w:lang w:val="en-US"/>
        </w:rPr>
        <w:t xml:space="preserve"> </w:t>
      </w:r>
      <w:r w:rsidRPr="005B7EB4">
        <w:rPr>
          <w:szCs w:val="14"/>
          <w:lang w:val="en-US"/>
        </w:rPr>
        <w:t>Accessed 15 May 2013.</w:t>
      </w:r>
    </w:p>
  </w:footnote>
  <w:footnote w:id="11">
    <w:p w:rsidR="006F27DE" w:rsidRPr="0053348B" w:rsidRDefault="006F27DE">
      <w:pPr>
        <w:pStyle w:val="FootnoteText"/>
        <w:rPr>
          <w:highlight w:val="yellow"/>
        </w:rPr>
      </w:pPr>
      <w:r w:rsidRPr="001520BF">
        <w:rPr>
          <w:rStyle w:val="FootnoteReference"/>
        </w:rPr>
        <w:footnoteRef/>
      </w:r>
      <w:r>
        <w:t xml:space="preserve"> Government of Tonga,</w:t>
      </w:r>
      <w:r w:rsidRPr="001520BF">
        <w:t xml:space="preserve"> </w:t>
      </w:r>
      <w:r w:rsidRPr="0053348B">
        <w:t xml:space="preserve">Draft </w:t>
      </w:r>
      <w:r w:rsidRPr="0053348B">
        <w:rPr>
          <w:szCs w:val="14"/>
        </w:rPr>
        <w:t>Budget Statemen</w:t>
      </w:r>
      <w:r w:rsidRPr="001520BF">
        <w:rPr>
          <w:szCs w:val="14"/>
        </w:rPr>
        <w:t>t 201</w:t>
      </w:r>
      <w:r w:rsidRPr="0053348B">
        <w:rPr>
          <w:szCs w:val="14"/>
        </w:rPr>
        <w:t>3</w:t>
      </w:r>
      <w:r>
        <w:rPr>
          <w:szCs w:val="14"/>
        </w:rPr>
        <w:t>–</w:t>
      </w:r>
      <w:r w:rsidRPr="0053348B">
        <w:rPr>
          <w:szCs w:val="14"/>
        </w:rPr>
        <w:t>2014</w:t>
      </w:r>
      <w:r>
        <w:rPr>
          <w:lang w:val="en-NZ"/>
        </w:rPr>
        <w:t>,</w:t>
      </w:r>
      <w:r w:rsidRPr="001520BF">
        <w:rPr>
          <w:lang w:val="en-NZ"/>
        </w:rPr>
        <w:t xml:space="preserve"> </w:t>
      </w:r>
      <w:r w:rsidRPr="00970C56">
        <w:rPr>
          <w:i/>
          <w:lang w:val="en-NZ"/>
        </w:rPr>
        <w:t>Continuing to create opportunities by building on inclusive sustainable growth,</w:t>
      </w:r>
      <w:r w:rsidRPr="0053348B">
        <w:rPr>
          <w:lang w:val="en-NZ"/>
        </w:rPr>
        <w:t xml:space="preserve"> June 2013, p. 46</w:t>
      </w:r>
      <w:r w:rsidRPr="001520BF">
        <w:rPr>
          <w:lang w:val="en-NZ"/>
        </w:rPr>
        <w:t>.</w:t>
      </w:r>
    </w:p>
  </w:footnote>
  <w:footnote w:id="12">
    <w:p w:rsidR="006F27DE" w:rsidRPr="0053348B" w:rsidRDefault="006F27DE">
      <w:pPr>
        <w:pStyle w:val="FootnoteText"/>
        <w:rPr>
          <w:highlight w:val="yellow"/>
        </w:rPr>
      </w:pPr>
      <w:r w:rsidRPr="001520BF">
        <w:rPr>
          <w:rStyle w:val="FootnoteReference"/>
        </w:rPr>
        <w:footnoteRef/>
      </w:r>
      <w:r w:rsidRPr="001520BF">
        <w:t xml:space="preserve"> </w:t>
      </w:r>
      <w:r>
        <w:t xml:space="preserve">Government of Tonga, </w:t>
      </w:r>
      <w:r w:rsidRPr="001520BF">
        <w:rPr>
          <w:szCs w:val="14"/>
        </w:rPr>
        <w:t>Budget Statement 2012</w:t>
      </w:r>
      <w:r>
        <w:rPr>
          <w:szCs w:val="14"/>
        </w:rPr>
        <w:t>–</w:t>
      </w:r>
      <w:r w:rsidRPr="001520BF">
        <w:rPr>
          <w:szCs w:val="14"/>
        </w:rPr>
        <w:t>2013</w:t>
      </w:r>
      <w:r>
        <w:rPr>
          <w:szCs w:val="14"/>
        </w:rPr>
        <w:t>,</w:t>
      </w:r>
      <w:r w:rsidRPr="001520BF">
        <w:rPr>
          <w:lang w:val="en-NZ"/>
        </w:rPr>
        <w:t xml:space="preserve"> </w:t>
      </w:r>
      <w:r w:rsidRPr="00970C56">
        <w:rPr>
          <w:i/>
          <w:lang w:val="en-NZ"/>
        </w:rPr>
        <w:t>Creating Opportunity in Extraordinary Times, June 2012</w:t>
      </w:r>
      <w:r w:rsidRPr="001520BF">
        <w:rPr>
          <w:lang w:val="en-NZ"/>
        </w:rPr>
        <w:t>,</w:t>
      </w:r>
      <w:r>
        <w:rPr>
          <w:lang w:val="en-NZ"/>
        </w:rPr>
        <w:t xml:space="preserve"> </w:t>
      </w:r>
      <w:r w:rsidRPr="001520BF">
        <w:rPr>
          <w:lang w:val="en-NZ"/>
        </w:rPr>
        <w:t>p. 123.</w:t>
      </w:r>
    </w:p>
  </w:footnote>
  <w:footnote w:id="13">
    <w:p w:rsidR="006F27DE" w:rsidRDefault="006F27DE" w:rsidP="009B0782">
      <w:pPr>
        <w:pStyle w:val="FootnoteText"/>
      </w:pPr>
      <w:r>
        <w:rPr>
          <w:rStyle w:val="FootnoteReference"/>
        </w:rPr>
        <w:footnoteRef/>
      </w:r>
      <w:r>
        <w:t xml:space="preserve"> International Monetary Fund 2012, </w:t>
      </w:r>
      <w:r>
        <w:rPr>
          <w:i/>
        </w:rPr>
        <w:t xml:space="preserve">Staff Report for the 2012 Article IV consultation – debt sustainability analysis. </w:t>
      </w:r>
      <w:r w:rsidRPr="009B0782">
        <w:rPr>
          <w:bCs/>
        </w:rPr>
        <w:t>1 May 2012</w:t>
      </w:r>
      <w:r>
        <w:rPr>
          <w:bCs/>
        </w:rPr>
        <w:t>.</w:t>
      </w:r>
      <w:r w:rsidRPr="002D1680">
        <w:rPr>
          <w:color w:val="1F497D" w:themeColor="text2"/>
        </w:rPr>
        <w:t xml:space="preserve">  </w:t>
      </w:r>
      <w:hyperlink r:id="rId5" w:history="1">
        <w:r w:rsidRPr="002D1680">
          <w:rPr>
            <w:color w:val="1F497D" w:themeColor="text2"/>
          </w:rPr>
          <w:t>http://www.imf.org/external/pubs/ft/dsa/pdf/2012/dsacr12166.pdf</w:t>
        </w:r>
      </w:hyperlink>
      <w:r>
        <w:rPr>
          <w:bCs/>
        </w:rPr>
        <w:t xml:space="preserve">,  p.  2. </w:t>
      </w:r>
      <w:r w:rsidRPr="009B0782">
        <w:t xml:space="preserve"> </w:t>
      </w:r>
      <w:r w:rsidRPr="00E0551A">
        <w:t xml:space="preserve">Accessed </w:t>
      </w:r>
      <w:r>
        <w:t xml:space="preserve">2 </w:t>
      </w:r>
      <w:r w:rsidRPr="00E0551A">
        <w:t>August 2013</w:t>
      </w:r>
    </w:p>
  </w:footnote>
  <w:footnote w:id="14">
    <w:p w:rsidR="006F27DE" w:rsidRDefault="006F27DE">
      <w:pPr>
        <w:pStyle w:val="FootnoteText"/>
      </w:pPr>
      <w:r>
        <w:rPr>
          <w:rStyle w:val="FootnoteReference"/>
        </w:rPr>
        <w:footnoteRef/>
      </w:r>
      <w:r>
        <w:t xml:space="preserve"> </w:t>
      </w:r>
      <w:r w:rsidRPr="005B7EB4">
        <w:rPr>
          <w:szCs w:val="14"/>
        </w:rPr>
        <w:t>The motion against the Prime Minister, Lord Tu’ivakano</w:t>
      </w:r>
      <w:r w:rsidRPr="00277D58">
        <w:rPr>
          <w:szCs w:val="14"/>
        </w:rPr>
        <w:t>, was defeated by a narrow margin of 13</w:t>
      </w:r>
      <w:r>
        <w:rPr>
          <w:szCs w:val="14"/>
        </w:rPr>
        <w:t xml:space="preserve"> to </w:t>
      </w:r>
      <w:r w:rsidRPr="00277D58">
        <w:rPr>
          <w:szCs w:val="14"/>
        </w:rPr>
        <w:t>11</w:t>
      </w:r>
      <w:r>
        <w:rPr>
          <w:szCs w:val="14"/>
        </w:rPr>
        <w:t xml:space="preserve">. </w:t>
      </w:r>
    </w:p>
  </w:footnote>
  <w:footnote w:id="15">
    <w:p w:rsidR="006F27DE" w:rsidRDefault="006F27DE">
      <w:pPr>
        <w:pStyle w:val="FootnoteText"/>
      </w:pPr>
      <w:r>
        <w:rPr>
          <w:rStyle w:val="FootnoteReference"/>
        </w:rPr>
        <w:footnoteRef/>
      </w:r>
      <w:r>
        <w:t xml:space="preserve"> </w:t>
      </w:r>
      <w:r>
        <w:rPr>
          <w:szCs w:val="14"/>
        </w:rPr>
        <w:t>Government of Tonga,</w:t>
      </w:r>
      <w:r w:rsidRPr="005B7EB4">
        <w:rPr>
          <w:szCs w:val="14"/>
        </w:rPr>
        <w:t xml:space="preserve"> Department of Statistics</w:t>
      </w:r>
      <w:r>
        <w:rPr>
          <w:szCs w:val="14"/>
        </w:rPr>
        <w:t xml:space="preserve"> (2009). D</w:t>
      </w:r>
      <w:r w:rsidRPr="005B7EB4">
        <w:rPr>
          <w:szCs w:val="14"/>
        </w:rPr>
        <w:t xml:space="preserve">ata </w:t>
      </w:r>
      <w:r>
        <w:rPr>
          <w:szCs w:val="14"/>
        </w:rPr>
        <w:t xml:space="preserve">presented in a </w:t>
      </w:r>
      <w:r w:rsidRPr="005B7EB4">
        <w:rPr>
          <w:szCs w:val="14"/>
        </w:rPr>
        <w:t>2009</w:t>
      </w:r>
      <w:r>
        <w:rPr>
          <w:szCs w:val="14"/>
        </w:rPr>
        <w:t xml:space="preserve"> s</w:t>
      </w:r>
      <w:r w:rsidRPr="005B7EB4">
        <w:rPr>
          <w:szCs w:val="14"/>
        </w:rPr>
        <w:t xml:space="preserve">ocial </w:t>
      </w:r>
      <w:r>
        <w:rPr>
          <w:szCs w:val="14"/>
        </w:rPr>
        <w:t>p</w:t>
      </w:r>
      <w:r w:rsidRPr="005B7EB4">
        <w:rPr>
          <w:szCs w:val="14"/>
        </w:rPr>
        <w:t xml:space="preserve">rotection </w:t>
      </w:r>
      <w:r>
        <w:rPr>
          <w:szCs w:val="14"/>
        </w:rPr>
        <w:t>i</w:t>
      </w:r>
      <w:r w:rsidRPr="005B7EB4">
        <w:rPr>
          <w:szCs w:val="14"/>
        </w:rPr>
        <w:t xml:space="preserve">ssues </w:t>
      </w:r>
      <w:r>
        <w:rPr>
          <w:szCs w:val="14"/>
        </w:rPr>
        <w:t>p</w:t>
      </w:r>
      <w:r w:rsidRPr="005B7EB4">
        <w:rPr>
          <w:szCs w:val="14"/>
        </w:rPr>
        <w:t xml:space="preserve">aper prepared for the </w:t>
      </w:r>
      <w:r>
        <w:rPr>
          <w:szCs w:val="14"/>
        </w:rPr>
        <w:t>g</w:t>
      </w:r>
      <w:r w:rsidRPr="005B7EB4">
        <w:rPr>
          <w:szCs w:val="14"/>
        </w:rPr>
        <w:t>overnment</w:t>
      </w:r>
      <w:r>
        <w:rPr>
          <w:szCs w:val="14"/>
        </w:rPr>
        <w:t>’s</w:t>
      </w:r>
      <w:r w:rsidRPr="005B7EB4">
        <w:rPr>
          <w:szCs w:val="14"/>
        </w:rPr>
        <w:t xml:space="preserve"> Ministry of Finance and National Planning.</w:t>
      </w:r>
    </w:p>
  </w:footnote>
  <w:footnote w:id="16">
    <w:p w:rsidR="006F27DE" w:rsidRDefault="006F27DE">
      <w:pPr>
        <w:pStyle w:val="FootnoteText"/>
      </w:pPr>
      <w:r>
        <w:rPr>
          <w:rStyle w:val="FootnoteReference"/>
        </w:rPr>
        <w:footnoteRef/>
      </w:r>
      <w:r>
        <w:t xml:space="preserve"> </w:t>
      </w:r>
      <w:r w:rsidRPr="005B7EB4">
        <w:rPr>
          <w:szCs w:val="14"/>
        </w:rPr>
        <w:t>However, high priority technical posts were able to be recruited subject to approval from central agencies.</w:t>
      </w:r>
    </w:p>
  </w:footnote>
  <w:footnote w:id="17">
    <w:p w:rsidR="006F27DE" w:rsidRDefault="006F27DE">
      <w:pPr>
        <w:pStyle w:val="FootnoteText"/>
      </w:pPr>
      <w:r>
        <w:rPr>
          <w:rStyle w:val="FootnoteReference"/>
        </w:rPr>
        <w:footnoteRef/>
      </w:r>
      <w:r>
        <w:t xml:space="preserve"> AusAID, </w:t>
      </w:r>
      <w:r w:rsidRPr="002B4D5D">
        <w:rPr>
          <w:i/>
        </w:rPr>
        <w:t>Independent Progress Report of the Tonga Health Systems Support Program</w:t>
      </w:r>
      <w:r>
        <w:rPr>
          <w:i/>
        </w:rPr>
        <w:t xml:space="preserve">, </w:t>
      </w:r>
      <w:r>
        <w:t>April 2013.</w:t>
      </w:r>
    </w:p>
  </w:footnote>
  <w:footnote w:id="18">
    <w:p w:rsidR="006F27DE" w:rsidRDefault="006F27DE">
      <w:pPr>
        <w:pStyle w:val="FootnoteText"/>
      </w:pPr>
      <w:r>
        <w:rPr>
          <w:rStyle w:val="FootnoteReference"/>
        </w:rPr>
        <w:footnoteRef/>
      </w:r>
      <w:r>
        <w:t xml:space="preserve"> This table does not include information on MDG 8 which focuses on commitments at the global level to assist developing countries.  </w:t>
      </w:r>
    </w:p>
  </w:footnote>
  <w:footnote w:id="19">
    <w:p w:rsidR="006F27DE" w:rsidRDefault="006F27DE">
      <w:pPr>
        <w:pStyle w:val="FootnoteText"/>
      </w:pPr>
      <w:r>
        <w:rPr>
          <w:rStyle w:val="FootnoteReference"/>
        </w:rPr>
        <w:footnoteRef/>
      </w:r>
      <w:r>
        <w:t xml:space="preserve"> Government of Tonga,  Department of Statistics, d</w:t>
      </w:r>
      <w:r w:rsidRPr="000D28D1">
        <w:t>ata from the 2003 Labour Force Survey and 2009 Household Income and Expenditure Survey</w:t>
      </w:r>
      <w:r>
        <w:t>. P</w:t>
      </w:r>
      <w:r w:rsidRPr="000D28D1">
        <w:t xml:space="preserve">ublished by the Statistics for Development Division, Secretariat of the Pacific Community.  </w:t>
      </w:r>
      <w:hyperlink r:id="rId6" w:history="1">
        <w:r w:rsidRPr="00261A43">
          <w:rPr>
            <w:color w:val="1F497D" w:themeColor="text2"/>
          </w:rPr>
          <w:t>www.spc.int/prism/tonga/index.php/population-censuses/population-census-2011</w:t>
        </w:r>
      </w:hyperlink>
      <w:r w:rsidRPr="00261A43">
        <w:rPr>
          <w:color w:val="1F497D" w:themeColor="text2"/>
        </w:rPr>
        <w:t>,</w:t>
      </w:r>
      <w:r w:rsidRPr="00261A43">
        <w:rPr>
          <w:rStyle w:val="Hyperlink"/>
          <w:color w:val="1F497D" w:themeColor="text2"/>
          <w:sz w:val="14"/>
        </w:rPr>
        <w:t xml:space="preserve"> </w:t>
      </w:r>
      <w:r w:rsidRPr="00E0551A">
        <w:t>accessed 30 Jun e 2013</w:t>
      </w:r>
    </w:p>
  </w:footnote>
  <w:footnote w:id="20">
    <w:p w:rsidR="006F27DE" w:rsidRDefault="006F27DE">
      <w:pPr>
        <w:pStyle w:val="FootnoteText"/>
      </w:pPr>
      <w:r>
        <w:rPr>
          <w:rStyle w:val="FootnoteReference"/>
        </w:rPr>
        <w:footnoteRef/>
      </w:r>
      <w:r>
        <w:t xml:space="preserve"> Government of Tonga, </w:t>
      </w:r>
      <w:r w:rsidRPr="000D28D1">
        <w:t>Department of Statistics</w:t>
      </w:r>
      <w:r>
        <w:t>. P</w:t>
      </w:r>
      <w:r w:rsidRPr="000D28D1">
        <w:t xml:space="preserve">ublished by the Statistics for Development Division, Secretariat of the Pacific Community. </w:t>
      </w:r>
      <w:hyperlink r:id="rId7" w:history="1">
        <w:r w:rsidRPr="00261A43">
          <w:rPr>
            <w:color w:val="1F497D" w:themeColor="text2"/>
          </w:rPr>
          <w:t>http://www.spc.int/prism/tonga/index.php/surveys/labour-force-survey</w:t>
        </w:r>
      </w:hyperlink>
      <w:r w:rsidRPr="00261A43">
        <w:rPr>
          <w:color w:val="1F497D" w:themeColor="text2"/>
        </w:rPr>
        <w:t>,</w:t>
      </w:r>
      <w:r w:rsidRPr="00261A43">
        <w:rPr>
          <w:rStyle w:val="Hyperlink"/>
          <w:color w:val="1F497D" w:themeColor="text2"/>
          <w:sz w:val="14"/>
        </w:rPr>
        <w:t xml:space="preserve"> </w:t>
      </w:r>
      <w:r w:rsidRPr="00E0551A">
        <w:t>accessed 30 Jun e 2013</w:t>
      </w:r>
    </w:p>
  </w:footnote>
  <w:footnote w:id="21">
    <w:p w:rsidR="006F27DE" w:rsidRDefault="006F27DE">
      <w:pPr>
        <w:pStyle w:val="FootnoteText"/>
      </w:pPr>
      <w:r>
        <w:rPr>
          <w:rStyle w:val="FootnoteReference"/>
        </w:rPr>
        <w:footnoteRef/>
      </w:r>
      <w:r>
        <w:t xml:space="preserve"> O.</w:t>
      </w:r>
      <w:r w:rsidRPr="000D28D1">
        <w:t xml:space="preserve"> Guttenbeil-Likiliki</w:t>
      </w:r>
      <w:r>
        <w:t xml:space="preserve"> </w:t>
      </w:r>
      <w:r w:rsidRPr="000D28D1">
        <w:t>(2006)</w:t>
      </w:r>
      <w:r>
        <w:t>,</w:t>
      </w:r>
      <w:r w:rsidRPr="000D28D1">
        <w:t xml:space="preserve"> </w:t>
      </w:r>
      <w:r w:rsidRPr="000D28D1">
        <w:rPr>
          <w:i/>
          <w:iCs/>
        </w:rPr>
        <w:t>Advancing Women’s Representation in Tonga</w:t>
      </w:r>
      <w:r w:rsidRPr="000D28D1">
        <w:t xml:space="preserve">, </w:t>
      </w:r>
      <w:r>
        <w:t xml:space="preserve">pp. </w:t>
      </w:r>
      <w:r w:rsidRPr="000D28D1">
        <w:t>146</w:t>
      </w:r>
      <w:r>
        <w:t>–</w:t>
      </w:r>
      <w:r w:rsidRPr="000D28D1">
        <w:t>7.</w:t>
      </w:r>
    </w:p>
  </w:footnote>
  <w:footnote w:id="22">
    <w:p w:rsidR="006F27DE" w:rsidRDefault="006F27DE">
      <w:pPr>
        <w:pStyle w:val="FootnoteText"/>
      </w:pPr>
      <w:r>
        <w:rPr>
          <w:rStyle w:val="FootnoteReference"/>
        </w:rPr>
        <w:footnoteRef/>
      </w:r>
      <w:r>
        <w:t xml:space="preserve"> D. </w:t>
      </w:r>
      <w:r w:rsidRPr="000D28D1">
        <w:t>Taylor (Ed.) (2006)</w:t>
      </w:r>
      <w:r>
        <w:t>,</w:t>
      </w:r>
      <w:r w:rsidRPr="000D28D1">
        <w:t xml:space="preserve"> </w:t>
      </w:r>
      <w:r w:rsidRPr="000D28D1">
        <w:rPr>
          <w:i/>
          <w:iCs/>
        </w:rPr>
        <w:t xml:space="preserve">Tonga National Disability Identification Survey. </w:t>
      </w:r>
      <w:r w:rsidRPr="000D28D1">
        <w:t xml:space="preserve">Nuku’alofa, Red Cross Society and Tonga Disability Action Committee. Cited in </w:t>
      </w:r>
      <w:r>
        <w:t xml:space="preserve">J. </w:t>
      </w:r>
      <w:r w:rsidRPr="000D28D1">
        <w:t>Spratt. (2013)</w:t>
      </w:r>
      <w:r>
        <w:t>,</w:t>
      </w:r>
      <w:r w:rsidRPr="000D28D1">
        <w:t xml:space="preserve"> </w:t>
      </w:r>
      <w:r w:rsidRPr="000D28D1">
        <w:rPr>
          <w:i/>
          <w:iCs/>
        </w:rPr>
        <w:t>A Deeper Silence</w:t>
      </w:r>
      <w:r w:rsidRPr="000D28D1">
        <w:t>. Suva, U</w:t>
      </w:r>
      <w:r>
        <w:t xml:space="preserve">nited </w:t>
      </w:r>
      <w:r w:rsidRPr="000D28D1">
        <w:t>N</w:t>
      </w:r>
      <w:r>
        <w:t xml:space="preserve">ations Populations Fund, pp. </w:t>
      </w:r>
      <w:r w:rsidRPr="000D28D1">
        <w:t>175</w:t>
      </w:r>
      <w:r>
        <w:t>–</w:t>
      </w:r>
      <w:r w:rsidRPr="000D28D1">
        <w:t>83</w:t>
      </w:r>
      <w:r>
        <w:t>.</w:t>
      </w:r>
    </w:p>
  </w:footnote>
  <w:footnote w:id="23">
    <w:p w:rsidR="006F27DE" w:rsidRDefault="006F27DE">
      <w:pPr>
        <w:pStyle w:val="FootnoteText"/>
      </w:pPr>
      <w:r>
        <w:rPr>
          <w:rStyle w:val="FootnoteReference"/>
        </w:rPr>
        <w:footnoteRef/>
      </w:r>
      <w:r>
        <w:t xml:space="preserve"> </w:t>
      </w:r>
      <w:r w:rsidRPr="000D28D1">
        <w:t>Ma’a Fafine moe Famili Inc, 2012</w:t>
      </w:r>
      <w:r>
        <w:t xml:space="preserve">. </w:t>
      </w:r>
    </w:p>
  </w:footnote>
  <w:footnote w:id="24">
    <w:p w:rsidR="006F27DE" w:rsidRDefault="006F27DE" w:rsidP="001D141C">
      <w:pPr>
        <w:pStyle w:val="FootnoteText"/>
      </w:pPr>
      <w:r>
        <w:rPr>
          <w:rStyle w:val="FootnoteReference"/>
        </w:rPr>
        <w:footnoteRef/>
      </w:r>
      <w:r>
        <w:t xml:space="preserve"> </w:t>
      </w:r>
      <w:r w:rsidRPr="00B721F4">
        <w:rPr>
          <w:szCs w:val="14"/>
        </w:rPr>
        <w:t xml:space="preserve">Australia’s contribution was </w:t>
      </w:r>
      <w:r w:rsidRPr="00C9075C">
        <w:rPr>
          <w:szCs w:val="14"/>
        </w:rPr>
        <w:t>made up of $16.914 million in bilateral</w:t>
      </w:r>
      <w:r w:rsidRPr="00B721F4">
        <w:rPr>
          <w:szCs w:val="14"/>
        </w:rPr>
        <w:t xml:space="preserve"> programs and </w:t>
      </w:r>
      <w:r w:rsidRPr="00C9075C">
        <w:rPr>
          <w:szCs w:val="14"/>
        </w:rPr>
        <w:t>$16.035</w:t>
      </w:r>
      <w:r w:rsidRPr="00B721F4">
        <w:rPr>
          <w:szCs w:val="14"/>
        </w:rPr>
        <w:t xml:space="preserve"> million in regional/other government departments projects</w:t>
      </w:r>
      <w:r>
        <w:rPr>
          <w:szCs w:val="14"/>
        </w:rPr>
        <w:t>.</w:t>
      </w:r>
    </w:p>
  </w:footnote>
  <w:footnote w:id="25">
    <w:p w:rsidR="006F27DE" w:rsidRDefault="006F27DE" w:rsidP="001D141C">
      <w:pPr>
        <w:pStyle w:val="FootnoteText"/>
      </w:pPr>
      <w:r>
        <w:rPr>
          <w:rStyle w:val="FootnoteReference"/>
        </w:rPr>
        <w:footnoteRef/>
      </w:r>
      <w:r>
        <w:t xml:space="preserve"> </w:t>
      </w:r>
      <w:r>
        <w:rPr>
          <w:lang w:val="en-NZ"/>
        </w:rPr>
        <w:t xml:space="preserve">Government of Tonga, </w:t>
      </w:r>
      <w:r>
        <w:rPr>
          <w:szCs w:val="14"/>
        </w:rPr>
        <w:t>Budget Statement 2012–2013,</w:t>
      </w:r>
      <w:r>
        <w:rPr>
          <w:lang w:val="en-NZ"/>
        </w:rPr>
        <w:t xml:space="preserve"> </w:t>
      </w:r>
      <w:r w:rsidRPr="002A0AEF">
        <w:rPr>
          <w:i/>
          <w:lang w:val="en-NZ"/>
        </w:rPr>
        <w:t>Creating Opportunity in Extraordinary Times</w:t>
      </w:r>
      <w:r>
        <w:rPr>
          <w:lang w:val="en-NZ"/>
        </w:rPr>
        <w:t>, June 2012.</w:t>
      </w:r>
    </w:p>
  </w:footnote>
  <w:footnote w:id="26">
    <w:p w:rsidR="006F27DE" w:rsidRDefault="006F27DE">
      <w:pPr>
        <w:pStyle w:val="FootnoteText"/>
      </w:pPr>
      <w:r>
        <w:rPr>
          <w:rStyle w:val="FootnoteReference"/>
        </w:rPr>
        <w:footnoteRef/>
      </w:r>
      <w:r>
        <w:t xml:space="preserve"> </w:t>
      </w:r>
      <w:r w:rsidRPr="00E2415B">
        <w:rPr>
          <w:szCs w:val="14"/>
        </w:rPr>
        <w:t>AusAID, Tonga A</w:t>
      </w:r>
      <w:r w:rsidR="00D5316E">
        <w:rPr>
          <w:szCs w:val="14"/>
        </w:rPr>
        <w:t>nnual</w:t>
      </w:r>
      <w:r>
        <w:rPr>
          <w:szCs w:val="14"/>
        </w:rPr>
        <w:t xml:space="preserve"> Program Performance Report</w:t>
      </w:r>
      <w:r w:rsidRPr="00E2415B">
        <w:rPr>
          <w:szCs w:val="14"/>
        </w:rPr>
        <w:t xml:space="preserve"> 2011 for </w:t>
      </w:r>
      <w:r>
        <w:rPr>
          <w:szCs w:val="14"/>
        </w:rPr>
        <w:t>more</w:t>
      </w:r>
      <w:r w:rsidRPr="00E2415B">
        <w:rPr>
          <w:szCs w:val="14"/>
        </w:rPr>
        <w:t xml:space="preserve"> detail.</w:t>
      </w:r>
    </w:p>
  </w:footnote>
  <w:footnote w:id="27">
    <w:p w:rsidR="006F27DE" w:rsidRDefault="006F27DE">
      <w:pPr>
        <w:pStyle w:val="FootnoteText"/>
      </w:pPr>
      <w:r>
        <w:rPr>
          <w:rStyle w:val="FootnoteReference"/>
        </w:rPr>
        <w:footnoteRef/>
      </w:r>
      <w:r>
        <w:t xml:space="preserve"> This figure represents 50 per cent of the actual 2011–12 funding figure for other government departments.</w:t>
      </w:r>
    </w:p>
  </w:footnote>
  <w:footnote w:id="28">
    <w:p w:rsidR="006F27DE" w:rsidRDefault="006F27DE">
      <w:pPr>
        <w:pStyle w:val="FootnoteText"/>
      </w:pPr>
      <w:r>
        <w:rPr>
          <w:rStyle w:val="FootnoteReference"/>
        </w:rPr>
        <w:footnoteRef/>
      </w:r>
      <w:r>
        <w:t xml:space="preserve"> AusAID, Tonga APPR 2011–12.</w:t>
      </w:r>
      <w:r w:rsidR="004C0EEF">
        <w:t xml:space="preserve"> </w:t>
      </w:r>
    </w:p>
  </w:footnote>
  <w:footnote w:id="29">
    <w:p w:rsidR="006F27DE" w:rsidRPr="00CC2CDE" w:rsidRDefault="006F27DE" w:rsidP="00D13CB0">
      <w:pPr>
        <w:pStyle w:val="FootnoteText"/>
        <w:rPr>
          <w:lang w:val="en-NZ"/>
        </w:rPr>
      </w:pPr>
      <w:r>
        <w:rPr>
          <w:rStyle w:val="FootnoteReference"/>
        </w:rPr>
        <w:footnoteRef/>
      </w:r>
      <w:r>
        <w:t xml:space="preserve"> </w:t>
      </w:r>
      <w:r>
        <w:rPr>
          <w:szCs w:val="14"/>
        </w:rPr>
        <w:t>With Australian</w:t>
      </w:r>
      <w:r w:rsidRPr="00CC2CDE">
        <w:rPr>
          <w:szCs w:val="14"/>
        </w:rPr>
        <w:t xml:space="preserve"> support, </w:t>
      </w:r>
      <w:r>
        <w:rPr>
          <w:szCs w:val="14"/>
        </w:rPr>
        <w:t xml:space="preserve">the Government of Tonga </w:t>
      </w:r>
      <w:r w:rsidRPr="00CC2CDE">
        <w:rPr>
          <w:szCs w:val="14"/>
        </w:rPr>
        <w:t>strengthen</w:t>
      </w:r>
      <w:r>
        <w:rPr>
          <w:szCs w:val="14"/>
        </w:rPr>
        <w:t>ed</w:t>
      </w:r>
      <w:r w:rsidRPr="00CC2CDE">
        <w:rPr>
          <w:szCs w:val="14"/>
        </w:rPr>
        <w:t xml:space="preserve"> its relatively weak revenue collection and contribute</w:t>
      </w:r>
      <w:r>
        <w:rPr>
          <w:szCs w:val="14"/>
        </w:rPr>
        <w:t>d</w:t>
      </w:r>
      <w:r w:rsidRPr="00CC2CDE">
        <w:rPr>
          <w:szCs w:val="14"/>
        </w:rPr>
        <w:t xml:space="preserve"> to a return to surplus (excluding debt repayments</w:t>
      </w:r>
      <w:r w:rsidRPr="00CC2CDE">
        <w:t>). In 2011</w:t>
      </w:r>
      <w:r>
        <w:t>–</w:t>
      </w:r>
      <w:r w:rsidRPr="00CC2CDE">
        <w:t>12, Customs realised a surplus of TOP$6</w:t>
      </w:r>
      <w:r>
        <w:t xml:space="preserve"> </w:t>
      </w:r>
      <w:r w:rsidRPr="00CC2CDE">
        <w:t>785</w:t>
      </w:r>
      <w:r>
        <w:t xml:space="preserve"> </w:t>
      </w:r>
      <w:r w:rsidRPr="00CC2CDE">
        <w:t>084</w:t>
      </w:r>
      <w:r>
        <w:t>.</w:t>
      </w:r>
    </w:p>
    <w:p w:rsidR="006F27DE" w:rsidRDefault="006F27DE">
      <w:pPr>
        <w:pStyle w:val="FootnoteText"/>
      </w:pPr>
    </w:p>
  </w:footnote>
  <w:footnote w:id="30">
    <w:p w:rsidR="006F27DE" w:rsidRDefault="006F27DE" w:rsidP="00A55BEA">
      <w:pPr>
        <w:pStyle w:val="FootnoteText"/>
      </w:pPr>
      <w:r>
        <w:rPr>
          <w:rStyle w:val="FootnoteReference"/>
        </w:rPr>
        <w:footnoteRef/>
      </w:r>
      <w:r>
        <w:t xml:space="preserve"> The Government of Tonga’s Public Service Commission indicates there were 3029 public servants in April 2013 (1671 female and 1358 male). </w:t>
      </w:r>
    </w:p>
  </w:footnote>
  <w:footnote w:id="31">
    <w:p w:rsidR="006F27DE" w:rsidRDefault="006F27DE">
      <w:pPr>
        <w:pStyle w:val="FootnoteText"/>
      </w:pPr>
      <w:r>
        <w:rPr>
          <w:rStyle w:val="FootnoteReference"/>
        </w:rPr>
        <w:footnoteRef/>
      </w:r>
      <w:r>
        <w:t xml:space="preserve"> </w:t>
      </w:r>
      <w:r w:rsidRPr="00EB076D">
        <w:t>Independent Progress Report of the Tonga Health Systems Support Program</w:t>
      </w:r>
      <w:r>
        <w:rPr>
          <w:i/>
        </w:rPr>
        <w:t xml:space="preserve">, </w:t>
      </w:r>
      <w:r>
        <w:t>draft report, March 2013.</w:t>
      </w:r>
    </w:p>
  </w:footnote>
  <w:footnote w:id="32">
    <w:p w:rsidR="006F27DE" w:rsidRDefault="006F27DE">
      <w:pPr>
        <w:pStyle w:val="FootnoteText"/>
      </w:pPr>
      <w:r>
        <w:rPr>
          <w:rStyle w:val="FootnoteReference"/>
        </w:rPr>
        <w:footnoteRef/>
      </w:r>
      <w:r>
        <w:t xml:space="preserve"> AusAID, </w:t>
      </w:r>
      <w:r w:rsidRPr="002B4D5D">
        <w:rPr>
          <w:i/>
        </w:rPr>
        <w:t>Independent Progress Report of the Tonga Health Systems Support Program</w:t>
      </w:r>
      <w:r>
        <w:rPr>
          <w:i/>
        </w:rPr>
        <w:t xml:space="preserve">, </w:t>
      </w:r>
      <w:r>
        <w:t>April 2013.</w:t>
      </w:r>
    </w:p>
  </w:footnote>
  <w:footnote w:id="33">
    <w:p w:rsidR="006F27DE" w:rsidRPr="000A0AC6" w:rsidRDefault="006F27DE">
      <w:pPr>
        <w:pStyle w:val="FootnoteText"/>
      </w:pPr>
      <w:r>
        <w:rPr>
          <w:rStyle w:val="FootnoteReference"/>
        </w:rPr>
        <w:footnoteRef/>
      </w:r>
      <w:r>
        <w:t xml:space="preserve"> Government of Tonga, </w:t>
      </w:r>
      <w:r>
        <w:rPr>
          <w:lang w:val="en-NZ"/>
        </w:rPr>
        <w:t xml:space="preserve">Ministry of Health (2013), unpublished </w:t>
      </w:r>
      <w:r>
        <w:rPr>
          <w:szCs w:val="14"/>
          <w:lang w:val="en-NZ"/>
        </w:rPr>
        <w:t xml:space="preserve">internal report, </w:t>
      </w:r>
      <w:r w:rsidRPr="002B4D5D">
        <w:rPr>
          <w:i/>
          <w:szCs w:val="14"/>
          <w:lang w:val="en-NZ"/>
        </w:rPr>
        <w:t>Report of Phase 1 Primary School RHD Screening Project</w:t>
      </w:r>
      <w:r>
        <w:rPr>
          <w:i/>
          <w:szCs w:val="14"/>
          <w:lang w:val="en-NZ"/>
        </w:rPr>
        <w:t xml:space="preserve"> </w:t>
      </w:r>
      <w:r w:rsidRPr="002B4D5D">
        <w:rPr>
          <w:i/>
          <w:szCs w:val="14"/>
          <w:lang w:val="en-NZ"/>
        </w:rPr>
        <w:t>2013</w:t>
      </w:r>
      <w:r>
        <w:rPr>
          <w:szCs w:val="14"/>
          <w:lang w:val="en-NZ"/>
        </w:rPr>
        <w:t>.</w:t>
      </w:r>
    </w:p>
  </w:footnote>
  <w:footnote w:id="34">
    <w:p w:rsidR="006F27DE" w:rsidRDefault="006F27DE">
      <w:pPr>
        <w:pStyle w:val="FootnoteText"/>
      </w:pPr>
      <w:r>
        <w:rPr>
          <w:rStyle w:val="FootnoteReference"/>
        </w:rPr>
        <w:footnoteRef/>
      </w:r>
      <w:r>
        <w:t xml:space="preserve"> </w:t>
      </w:r>
      <w:r w:rsidRPr="002B4D5D">
        <w:rPr>
          <w:lang w:val="en-NZ"/>
        </w:rPr>
        <w:t xml:space="preserve">All information in this paragraph is taken from the </w:t>
      </w:r>
      <w:r w:rsidRPr="002B4D5D">
        <w:rPr>
          <w:i/>
          <w:lang w:val="en-NZ"/>
        </w:rPr>
        <w:t>Independent Progress Report of the Tonga Heath Systems Support Program</w:t>
      </w:r>
      <w:r w:rsidRPr="002B4D5D">
        <w:rPr>
          <w:lang w:val="en-NZ"/>
        </w:rPr>
        <w:t>, April 2013.</w:t>
      </w:r>
    </w:p>
  </w:footnote>
  <w:footnote w:id="35">
    <w:p w:rsidR="00707109" w:rsidRDefault="00707109">
      <w:pPr>
        <w:pStyle w:val="FootnoteText"/>
      </w:pPr>
      <w:r>
        <w:rPr>
          <w:rStyle w:val="FootnoteReference"/>
        </w:rPr>
        <w:footnoteRef/>
      </w:r>
      <w:r>
        <w:t xml:space="preserve"> Prior to 2012-13 Aid Program Performance Reports were called Annual Program Performance Reports</w:t>
      </w:r>
    </w:p>
  </w:footnote>
  <w:footnote w:id="36">
    <w:p w:rsidR="006F27DE" w:rsidRDefault="006F27DE" w:rsidP="003D11B9">
      <w:pPr>
        <w:pStyle w:val="FootnoteText"/>
      </w:pPr>
      <w:r>
        <w:rPr>
          <w:rStyle w:val="FootnoteReference"/>
        </w:rPr>
        <w:footnoteRef/>
      </w:r>
      <w:r>
        <w:t xml:space="preserve"> Independent Progress Review Tonga TVET Support Program, 1 July 2012. </w:t>
      </w:r>
      <w:hyperlink r:id="rId8" w:history="1">
        <w:r w:rsidRPr="0007409E">
          <w:rPr>
            <w:rStyle w:val="Hyperlink"/>
            <w:sz w:val="14"/>
          </w:rPr>
          <w:t>http://www.ausaid.gov.au/Publications/Pages/tonga-tsp1.aspx</w:t>
        </w:r>
      </w:hyperlink>
      <w:r>
        <w:t xml:space="preserve"> , Accessed 30 June 2013</w:t>
      </w:r>
    </w:p>
  </w:footnote>
  <w:footnote w:id="37">
    <w:p w:rsidR="006F27DE" w:rsidRPr="007D1775" w:rsidRDefault="006F27DE" w:rsidP="001A57E2">
      <w:pPr>
        <w:pStyle w:val="FootnoteText"/>
        <w:rPr>
          <w:i/>
        </w:rPr>
      </w:pPr>
      <w:r w:rsidRPr="009B5190">
        <w:rPr>
          <w:rStyle w:val="FootnoteReference"/>
        </w:rPr>
        <w:footnoteRef/>
      </w:r>
      <w:r w:rsidRPr="009B5190">
        <w:rPr>
          <w:rStyle w:val="FootnoteReference"/>
        </w:rPr>
        <w:t xml:space="preserve"> </w:t>
      </w:r>
      <w:r w:rsidRPr="009B5190">
        <w:t xml:space="preserve">Figures as at </w:t>
      </w:r>
      <w:r>
        <w:t>April 2013</w:t>
      </w:r>
      <w:r w:rsidRPr="009B5190">
        <w:t>.</w:t>
      </w:r>
      <w:r>
        <w:t xml:space="preserve"> APTC (2013), </w:t>
      </w:r>
      <w:r w:rsidRPr="00D94AC0">
        <w:rPr>
          <w:i/>
        </w:rPr>
        <w:t>Quarterly Activity Report Quarter 1 (January – March) 2013</w:t>
      </w:r>
      <w:r>
        <w:rPr>
          <w:i/>
        </w:rPr>
        <w:t xml:space="preserve">, </w:t>
      </w:r>
      <w:r>
        <w:t xml:space="preserve">p. 48. </w:t>
      </w:r>
      <w:hyperlink r:id="rId9" w:history="1">
        <w:r w:rsidRPr="005C309E">
          <w:rPr>
            <w:rStyle w:val="Hyperlink"/>
            <w:sz w:val="14"/>
          </w:rPr>
          <w:t>http://aptc.edu.au/images/Publications/APTC_Quarterly_Report__January-March_2013.pdf</w:t>
        </w:r>
      </w:hyperlink>
      <w:r>
        <w:t xml:space="preserve">  accessed 30 June 2013</w:t>
      </w:r>
    </w:p>
  </w:footnote>
  <w:footnote w:id="38">
    <w:p w:rsidR="006F27DE" w:rsidRDefault="006F27DE">
      <w:pPr>
        <w:pStyle w:val="FootnoteText"/>
      </w:pPr>
      <w:r>
        <w:rPr>
          <w:rStyle w:val="FootnoteReference"/>
        </w:rPr>
        <w:footnoteRef/>
      </w:r>
      <w:r>
        <w:t xml:space="preserve"> The key reason that this target is rated ‘on track’, despite its low effectiveness rating in the last QAI report described in annex C (the QAI report covered the period 1 January 2012 to 31 December 2012). </w:t>
      </w:r>
    </w:p>
  </w:footnote>
  <w:footnote w:id="39">
    <w:p w:rsidR="006F27DE" w:rsidRDefault="006F27DE">
      <w:pPr>
        <w:pStyle w:val="FootnoteText"/>
      </w:pPr>
      <w:r>
        <w:rPr>
          <w:rStyle w:val="FootnoteReference"/>
        </w:rPr>
        <w:footnoteRef/>
      </w:r>
      <w:r>
        <w:t xml:space="preserve">Tonga Peer Review Team and Pacific Islands Forum Secretariat 2012, </w:t>
      </w:r>
      <w:r>
        <w:rPr>
          <w:i/>
        </w:rPr>
        <w:t>Forum Compact Peer Review  Report Kingdom of Tonga, 24 October 2012</w:t>
      </w:r>
      <w:r>
        <w:t>.</w:t>
      </w:r>
      <w:r>
        <w:rPr>
          <w:i/>
        </w:rPr>
        <w:t xml:space="preserve"> </w:t>
      </w:r>
      <w:hyperlink r:id="rId10" w:history="1">
        <w:r w:rsidRPr="007D5D71">
          <w:rPr>
            <w:rStyle w:val="Hyperlink"/>
            <w:sz w:val="14"/>
          </w:rPr>
          <w:t>http://www.forumsec.org/resources/uploads/attachments/documents/Tonga%20_Peer_Review_Report.pdf</w:t>
        </w:r>
      </w:hyperlink>
      <w:r>
        <w:t>,  accessed 30 June 2013</w:t>
      </w:r>
    </w:p>
  </w:footnote>
  <w:footnote w:id="40">
    <w:p w:rsidR="006F27DE" w:rsidRDefault="006F27DE" w:rsidP="005F5846">
      <w:pPr>
        <w:pStyle w:val="FootnoteText"/>
      </w:pPr>
      <w:r>
        <w:rPr>
          <w:rStyle w:val="FootnoteReference"/>
        </w:rPr>
        <w:footnoteRef/>
      </w:r>
      <w:r>
        <w:t xml:space="preserve"> </w:t>
      </w:r>
      <w:r>
        <w:rPr>
          <w:szCs w:val="14"/>
        </w:rPr>
        <w:t>T</w:t>
      </w:r>
      <w:r w:rsidRPr="003D67D8">
        <w:rPr>
          <w:szCs w:val="14"/>
        </w:rPr>
        <w:t>hese figures represent the number of visas issued to workers from 2009 to 30 June 2012</w:t>
      </w:r>
      <w:r>
        <w:rPr>
          <w:szCs w:val="14"/>
        </w:rPr>
        <w:t xml:space="preserve">. </w:t>
      </w:r>
      <w:r w:rsidRPr="003D67D8">
        <w:rPr>
          <w:szCs w:val="14"/>
        </w:rPr>
        <w:t>Some seasonal workers have participated in the scheme more than once.</w:t>
      </w:r>
      <w:r>
        <w:rPr>
          <w:szCs w:val="14"/>
        </w:rPr>
        <w:t xml:space="preserve"> </w:t>
      </w:r>
    </w:p>
  </w:footnote>
  <w:footnote w:id="41">
    <w:p w:rsidR="006F27DE" w:rsidRPr="00243C0B" w:rsidRDefault="006F27DE" w:rsidP="005F5846">
      <w:pPr>
        <w:pStyle w:val="FootnoteText"/>
        <w:rPr>
          <w:i/>
          <w:szCs w:val="14"/>
        </w:rPr>
      </w:pPr>
      <w:r>
        <w:rPr>
          <w:rStyle w:val="FootnoteReference"/>
        </w:rPr>
        <w:footnoteRef/>
      </w:r>
      <w:r>
        <w:t xml:space="preserve"> AusAID (2013),  </w:t>
      </w:r>
      <w:r w:rsidRPr="00243C0B">
        <w:rPr>
          <w:i/>
          <w:szCs w:val="14"/>
        </w:rPr>
        <w:t>Labour Mobility Initiative</w:t>
      </w:r>
      <w:r>
        <w:rPr>
          <w:i/>
          <w:szCs w:val="14"/>
        </w:rPr>
        <w:t xml:space="preserve"> in the Pacific</w:t>
      </w:r>
      <w:r w:rsidRPr="00243C0B">
        <w:rPr>
          <w:i/>
          <w:szCs w:val="14"/>
        </w:rPr>
        <w:t xml:space="preserve"> Independent Progress Report,</w:t>
      </w:r>
      <w:r>
        <w:rPr>
          <w:i/>
          <w:szCs w:val="14"/>
        </w:rPr>
        <w:t xml:space="preserve"> </w:t>
      </w:r>
      <w:r w:rsidRPr="00243C0B">
        <w:rPr>
          <w:szCs w:val="14"/>
        </w:rPr>
        <w:t>March 2013</w:t>
      </w:r>
      <w:r>
        <w:rPr>
          <w:szCs w:val="14"/>
        </w:rPr>
        <w:t xml:space="preserve">. </w:t>
      </w:r>
      <w:hyperlink r:id="rId11" w:history="1">
        <w:r w:rsidRPr="005C309E">
          <w:rPr>
            <w:rStyle w:val="Hyperlink"/>
            <w:sz w:val="14"/>
            <w:szCs w:val="14"/>
          </w:rPr>
          <w:t>http://www.ausaid.gov.au/publications/Pages/labour-mobility-pacific-independent-progress-report.aspx</w:t>
        </w:r>
      </w:hyperlink>
      <w:r>
        <w:rPr>
          <w:szCs w:val="14"/>
        </w:rPr>
        <w:t xml:space="preserve"> accessed 30 June 2013</w:t>
      </w:r>
    </w:p>
  </w:footnote>
  <w:footnote w:id="42">
    <w:p w:rsidR="006F27DE" w:rsidRDefault="006F27DE">
      <w:pPr>
        <w:pStyle w:val="FootnoteText"/>
      </w:pPr>
      <w:r>
        <w:rPr>
          <w:rStyle w:val="FootnoteReference"/>
        </w:rPr>
        <w:footnoteRef/>
      </w:r>
      <w:r>
        <w:t xml:space="preserve"> </w:t>
      </w:r>
      <w:r w:rsidRPr="00EB076D">
        <w:t>Independent Review of the Pacific Horticultural and Agricultura</w:t>
      </w:r>
      <w:bookmarkStart w:id="0" w:name="_GoBack"/>
      <w:bookmarkEnd w:id="0"/>
      <w:r w:rsidRPr="00EB076D">
        <w:t>l Market Access Program</w:t>
      </w:r>
      <w:r>
        <w:t>, draft report, March 2013.</w:t>
      </w:r>
    </w:p>
  </w:footnote>
  <w:footnote w:id="43">
    <w:p w:rsidR="006F27DE" w:rsidRDefault="006F27DE">
      <w:pPr>
        <w:pStyle w:val="FootnoteText"/>
      </w:pPr>
      <w:r>
        <w:rPr>
          <w:rStyle w:val="FootnoteReference"/>
        </w:rPr>
        <w:footnoteRef/>
      </w:r>
      <w:r>
        <w:t xml:space="preserve"> </w:t>
      </w:r>
      <w:r w:rsidRPr="00243C0B">
        <w:t>Information derived by</w:t>
      </w:r>
      <w:r>
        <w:t xml:space="preserve"> the</w:t>
      </w:r>
      <w:r w:rsidRPr="00243C0B">
        <w:t xml:space="preserve"> </w:t>
      </w:r>
      <w:r w:rsidRPr="00EB076D">
        <w:t>Pacific Horticultural and Agricultural Market Access</w:t>
      </w:r>
      <w:r w:rsidRPr="00243C0B">
        <w:t xml:space="preserve"> project team from Government of Tonga agricultural export volume information and export pricing from exporters directly</w:t>
      </w:r>
      <w:r>
        <w:t>.</w:t>
      </w:r>
    </w:p>
  </w:footnote>
  <w:footnote w:id="44">
    <w:p w:rsidR="006F27DE" w:rsidRPr="00243C0B" w:rsidRDefault="006F27DE" w:rsidP="00261A43">
      <w:pPr>
        <w:rPr>
          <w:rFonts w:eastAsia="Times New Roman"/>
          <w:sz w:val="14"/>
          <w:szCs w:val="14"/>
        </w:rPr>
      </w:pPr>
      <w:r w:rsidRPr="0053348B">
        <w:rPr>
          <w:rStyle w:val="FootnoteReference"/>
          <w:sz w:val="14"/>
          <w:szCs w:val="14"/>
        </w:rPr>
        <w:footnoteRef/>
      </w:r>
      <w:r w:rsidRPr="0053348B">
        <w:rPr>
          <w:sz w:val="14"/>
          <w:szCs w:val="14"/>
        </w:rPr>
        <w:t xml:space="preserve"> </w:t>
      </w:r>
      <w:r w:rsidRPr="00243C0B">
        <w:rPr>
          <w:sz w:val="14"/>
          <w:szCs w:val="14"/>
        </w:rPr>
        <w:t xml:space="preserve">Information derived by </w:t>
      </w:r>
      <w:r w:rsidRPr="00EB076D">
        <w:rPr>
          <w:sz w:val="14"/>
          <w:szCs w:val="14"/>
        </w:rPr>
        <w:t>Pacific Horticultural and Agricultural Market Access</w:t>
      </w:r>
      <w:r w:rsidRPr="00243C0B">
        <w:rPr>
          <w:sz w:val="14"/>
          <w:szCs w:val="14"/>
        </w:rPr>
        <w:t xml:space="preserve"> project team from Government of Tonga agricultural export volume information and export pricing from exporters directly.</w:t>
      </w:r>
    </w:p>
    <w:p w:rsidR="006F27DE" w:rsidRPr="00243C0B" w:rsidRDefault="006F27DE" w:rsidP="00261A43">
      <w:pPr>
        <w:pStyle w:val="FootnoteText"/>
        <w:rPr>
          <w:szCs w:val="14"/>
        </w:rPr>
      </w:pPr>
      <w:r w:rsidRPr="00243C0B">
        <w:rPr>
          <w:rStyle w:val="FootnoteReference"/>
          <w:sz w:val="14"/>
          <w:szCs w:val="14"/>
        </w:rPr>
        <w:footnoteRef/>
      </w:r>
      <w:r w:rsidRPr="00243C0B">
        <w:rPr>
          <w:szCs w:val="14"/>
        </w:rPr>
        <w:t xml:space="preserve"> </w:t>
      </w:r>
      <w:r>
        <w:rPr>
          <w:szCs w:val="14"/>
        </w:rPr>
        <w:t>Ibid.</w:t>
      </w:r>
      <w:r w:rsidRPr="00243C0B">
        <w:rPr>
          <w:szCs w:val="14"/>
        </w:rPr>
        <w:t xml:space="preserve"> </w:t>
      </w:r>
    </w:p>
    <w:p w:rsidR="006F27DE" w:rsidRPr="00243C0B" w:rsidRDefault="006F27DE" w:rsidP="00261A43">
      <w:pPr>
        <w:pStyle w:val="FootnoteText"/>
        <w:rPr>
          <w:szCs w:val="14"/>
        </w:rPr>
      </w:pPr>
    </w:p>
  </w:footnote>
  <w:footnote w:id="45">
    <w:p w:rsidR="006F27DE" w:rsidRPr="00071B95" w:rsidRDefault="006F27DE" w:rsidP="00261A43">
      <w:pPr>
        <w:pStyle w:val="FootnoteText"/>
      </w:pPr>
      <w:r w:rsidRPr="00F77E6A">
        <w:rPr>
          <w:rStyle w:val="FootnoteReference"/>
        </w:rPr>
        <w:footnoteRef/>
      </w:r>
      <w:r w:rsidRPr="00071B95">
        <w:t xml:space="preserve"> ‘</w:t>
      </w:r>
      <w:r>
        <w:t>C</w:t>
      </w:r>
      <w:r w:rsidRPr="00071B95">
        <w:t>ompleted’ means the final version of the report has been received</w:t>
      </w:r>
      <w:r>
        <w:t>.</w:t>
      </w:r>
    </w:p>
  </w:footnote>
  <w:footnote w:id="46">
    <w:p w:rsidR="006F27DE" w:rsidRPr="00071B95" w:rsidRDefault="006F27DE" w:rsidP="00261A43">
      <w:pPr>
        <w:pStyle w:val="FootnoteText"/>
      </w:pPr>
      <w:r w:rsidRPr="00F77E6A">
        <w:rPr>
          <w:rStyle w:val="FootnoteReference"/>
        </w:rPr>
        <w:footnoteRef/>
      </w:r>
      <w:r w:rsidRPr="00071B95">
        <w:t xml:space="preserve"> Mid-term review, </w:t>
      </w:r>
      <w:r>
        <w:t>c</w:t>
      </w:r>
      <w:r w:rsidRPr="00071B95">
        <w:t>ompletion report, partner-led evaluation, joint evaluation</w:t>
      </w:r>
      <w:r>
        <w:t>.</w:t>
      </w:r>
    </w:p>
  </w:footnote>
  <w:footnote w:id="47">
    <w:p w:rsidR="006F27DE" w:rsidRPr="00551C11" w:rsidRDefault="006F27DE" w:rsidP="00261A43">
      <w:pPr>
        <w:pStyle w:val="FootnoteText"/>
      </w:pPr>
      <w:r w:rsidRPr="00F77E6A">
        <w:rPr>
          <w:rStyle w:val="FootnoteReference"/>
        </w:rPr>
        <w:footnoteRef/>
      </w:r>
      <w:r w:rsidRPr="00071B95">
        <w:t xml:space="preserve"> To inform a future phase of program, to improve existing program; to verify program outcomes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D4" w:rsidRDefault="002015D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DE" w:rsidRDefault="006F27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DE" w:rsidRDefault="006F27DE">
    <w:pPr>
      <w:pStyle w:val="Header"/>
    </w:pPr>
  </w:p>
  <w:p w:rsidR="006F27DE" w:rsidRDefault="006F27DE">
    <w:r>
      <w:rPr>
        <w:noProof/>
      </w:rPr>
      <w:drawing>
        <wp:anchor distT="0" distB="0" distL="114300" distR="114300" simplePos="0" relativeHeight="251664384" behindDoc="0" locked="0" layoutInCell="1" allowOverlap="1" wp14:anchorId="39BAF209" wp14:editId="53E418D6">
          <wp:simplePos x="0" y="0"/>
          <wp:positionH relativeFrom="page">
            <wp:align>left</wp:align>
          </wp:positionH>
          <wp:positionV relativeFrom="page">
            <wp:align>top</wp:align>
          </wp:positionV>
          <wp:extent cx="7560000" cy="1440000"/>
          <wp:effectExtent l="0" t="0" r="3175" b="8255"/>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DE" w:rsidRDefault="006F27DE">
    <w:pPr>
      <w:pStyle w:val="Header"/>
    </w:pPr>
    <w:r>
      <w:rPr>
        <w:noProof/>
      </w:rPr>
      <w:drawing>
        <wp:anchor distT="0" distB="0" distL="114300" distR="114300" simplePos="0" relativeHeight="251672576" behindDoc="0" locked="0" layoutInCell="1" allowOverlap="1" wp14:anchorId="532E9242" wp14:editId="3CADD72D">
          <wp:simplePos x="0" y="0"/>
          <wp:positionH relativeFrom="page">
            <wp:align>left</wp:align>
          </wp:positionH>
          <wp:positionV relativeFrom="page">
            <wp:align>top</wp:align>
          </wp:positionV>
          <wp:extent cx="7560000" cy="1890000"/>
          <wp:effectExtent l="0" t="0" r="3175"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9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DE" w:rsidRDefault="006F27D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DE" w:rsidRDefault="006F27D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DE" w:rsidRDefault="006F27D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DE" w:rsidRDefault="006F27D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DE" w:rsidRDefault="006F27DE">
    <w:pPr>
      <w:pStyle w:val="Header"/>
    </w:pPr>
    <w:r>
      <w:rPr>
        <w:noProof/>
      </w:rPr>
      <w:drawing>
        <wp:anchor distT="0" distB="0" distL="114300" distR="114300" simplePos="0" relativeHeight="251681792" behindDoc="0" locked="0" layoutInCell="1" allowOverlap="1" wp14:anchorId="6711E307" wp14:editId="343F7CB4">
          <wp:simplePos x="0" y="0"/>
          <wp:positionH relativeFrom="page">
            <wp:align>left</wp:align>
          </wp:positionH>
          <wp:positionV relativeFrom="page">
            <wp:align>top</wp:align>
          </wp:positionV>
          <wp:extent cx="7560000" cy="1440000"/>
          <wp:effectExtent l="0" t="0" r="3175" b="8255"/>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DE" w:rsidRDefault="006F27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0DC20B0"/>
    <w:lvl w:ilvl="0">
      <w:start w:val="1"/>
      <w:numFmt w:val="decimal"/>
      <w:pStyle w:val="ListNumber3"/>
      <w:lvlText w:val="%1."/>
      <w:lvlJc w:val="left"/>
      <w:pPr>
        <w:tabs>
          <w:tab w:val="num" w:pos="926"/>
        </w:tabs>
        <w:ind w:left="926" w:hanging="360"/>
      </w:pPr>
    </w:lvl>
  </w:abstractNum>
  <w:abstractNum w:abstractNumId="1">
    <w:nsid w:val="03C55B14"/>
    <w:multiLevelType w:val="hybridMultilevel"/>
    <w:tmpl w:val="A0B48A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B6C651C"/>
    <w:multiLevelType w:val="hybridMultilevel"/>
    <w:tmpl w:val="4F90A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8022A0"/>
    <w:multiLevelType w:val="hybridMultilevel"/>
    <w:tmpl w:val="C6AEB24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EF0140"/>
    <w:multiLevelType w:val="hybridMultilevel"/>
    <w:tmpl w:val="007A9C3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A696290"/>
    <w:multiLevelType w:val="hybridMultilevel"/>
    <w:tmpl w:val="D72A0C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1C870CB3"/>
    <w:multiLevelType w:val="hybridMultilevel"/>
    <w:tmpl w:val="E228A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1">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2">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nsid w:val="29171B9E"/>
    <w:multiLevelType w:val="hybridMultilevel"/>
    <w:tmpl w:val="48400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A90155C"/>
    <w:multiLevelType w:val="hybridMultilevel"/>
    <w:tmpl w:val="4A24D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ACA4DAB"/>
    <w:multiLevelType w:val="hybridMultilevel"/>
    <w:tmpl w:val="D6703E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nsid w:val="2DF37F77"/>
    <w:multiLevelType w:val="hybridMultilevel"/>
    <w:tmpl w:val="7BF4E4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4FE222C"/>
    <w:multiLevelType w:val="hybridMultilevel"/>
    <w:tmpl w:val="5CF0F3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3800057F"/>
    <w:multiLevelType w:val="hybridMultilevel"/>
    <w:tmpl w:val="F83CD0B2"/>
    <w:lvl w:ilvl="0" w:tplc="879A9104">
      <w:start w:val="2010"/>
      <w:numFmt w:val="bullet"/>
      <w:lvlText w:val="-"/>
      <w:lvlJc w:val="left"/>
      <w:pPr>
        <w:tabs>
          <w:tab w:val="num" w:pos="360"/>
        </w:tabs>
        <w:ind w:left="360" w:hanging="360"/>
      </w:pPr>
      <w:rPr>
        <w:rFonts w:ascii="Franklin Gothic Book" w:eastAsia="Times New Roman" w:hAnsi="Franklin Gothic Book" w:cs="Times New Roman" w:hint="default"/>
      </w:rPr>
    </w:lvl>
    <w:lvl w:ilvl="1" w:tplc="0C090003">
      <w:start w:val="1"/>
      <w:numFmt w:val="decimal"/>
      <w:lvlText w:val="%2."/>
      <w:lvlJc w:val="left"/>
      <w:pPr>
        <w:tabs>
          <w:tab w:val="num" w:pos="1440"/>
        </w:tabs>
        <w:ind w:left="1440" w:hanging="360"/>
      </w:p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0CC1C32"/>
    <w:multiLevelType w:val="hybridMultilevel"/>
    <w:tmpl w:val="59EAC482"/>
    <w:lvl w:ilvl="0" w:tplc="9692E09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15357BE"/>
    <w:multiLevelType w:val="hybridMultilevel"/>
    <w:tmpl w:val="EFB22C6C"/>
    <w:lvl w:ilvl="0" w:tplc="80E43580">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30738B8"/>
    <w:multiLevelType w:val="hybridMultilevel"/>
    <w:tmpl w:val="71DC8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C9F3DFB"/>
    <w:multiLevelType w:val="hybridMultilevel"/>
    <w:tmpl w:val="22043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E7C26FB"/>
    <w:multiLevelType w:val="hybridMultilevel"/>
    <w:tmpl w:val="5DB67D5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3A223FD"/>
    <w:multiLevelType w:val="hybridMultilevel"/>
    <w:tmpl w:val="0FD60B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8737B17"/>
    <w:multiLevelType w:val="hybridMultilevel"/>
    <w:tmpl w:val="C8422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ACE514C"/>
    <w:multiLevelType w:val="hybridMultilevel"/>
    <w:tmpl w:val="A5C4DE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5BF51D3D"/>
    <w:multiLevelType w:val="hybridMultilevel"/>
    <w:tmpl w:val="6F7099C8"/>
    <w:lvl w:ilvl="0" w:tplc="21A61D90">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nsid w:val="5E9F408E"/>
    <w:multiLevelType w:val="hybridMultilevel"/>
    <w:tmpl w:val="C3761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36">
    <w:nsid w:val="660921B2"/>
    <w:multiLevelType w:val="hybridMultilevel"/>
    <w:tmpl w:val="BBECC5C2"/>
    <w:lvl w:ilvl="0" w:tplc="5F280486">
      <w:start w:val="1"/>
      <w:numFmt w:val="decimal"/>
      <w:pStyle w:val="List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AAE6E60"/>
    <w:multiLevelType w:val="hybridMultilevel"/>
    <w:tmpl w:val="6E0ADE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40">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E753E02"/>
    <w:multiLevelType w:val="multilevel"/>
    <w:tmpl w:val="38AE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AB6791"/>
    <w:multiLevelType w:val="hybridMultilevel"/>
    <w:tmpl w:val="C9600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7B182796"/>
    <w:multiLevelType w:val="multilevel"/>
    <w:tmpl w:val="F36ADD3A"/>
    <w:lvl w:ilvl="0">
      <w:start w:val="1"/>
      <w:numFmt w:val="decimal"/>
      <w:pStyle w:val="CONLevel1"/>
      <w:lvlText w:val="%1."/>
      <w:lvlJc w:val="left"/>
      <w:pPr>
        <w:tabs>
          <w:tab w:val="num" w:pos="720"/>
        </w:tabs>
        <w:ind w:left="720" w:hanging="720"/>
      </w:pPr>
      <w:rPr>
        <w:rFonts w:ascii="Times New Roman" w:hAnsi="Times New Roman" w:cs="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cs="Times New Roman" w:hint="default"/>
        <w:b w:val="0"/>
        <w:i w:val="0"/>
        <w:sz w:val="24"/>
      </w:rPr>
    </w:lvl>
    <w:lvl w:ilvl="2">
      <w:start w:val="1"/>
      <w:numFmt w:val="lowerRoman"/>
      <w:pStyle w:val="CONLevela"/>
      <w:lvlText w:val="(%3)"/>
      <w:lvlJc w:val="left"/>
      <w:pPr>
        <w:tabs>
          <w:tab w:val="num" w:pos="1288"/>
        </w:tabs>
        <w:ind w:left="1288" w:hanging="720"/>
      </w:pPr>
      <w:rPr>
        <w:rFonts w:ascii="Times New Roman" w:hAnsi="Times New Roman" w:cs="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nsid w:val="7CE65C4D"/>
    <w:multiLevelType w:val="hybridMultilevel"/>
    <w:tmpl w:val="638A2680"/>
    <w:lvl w:ilvl="0" w:tplc="14090001">
      <w:start w:val="1"/>
      <w:numFmt w:val="bullet"/>
      <w:lvlText w:val=""/>
      <w:lvlJc w:val="left"/>
      <w:pPr>
        <w:ind w:left="828" w:hanging="360"/>
      </w:pPr>
      <w:rPr>
        <w:rFonts w:ascii="Symbol" w:hAnsi="Symbol" w:hint="default"/>
      </w:rPr>
    </w:lvl>
    <w:lvl w:ilvl="1" w:tplc="14090003" w:tentative="1">
      <w:start w:val="1"/>
      <w:numFmt w:val="bullet"/>
      <w:lvlText w:val="o"/>
      <w:lvlJc w:val="left"/>
      <w:pPr>
        <w:ind w:left="1548" w:hanging="360"/>
      </w:pPr>
      <w:rPr>
        <w:rFonts w:ascii="Courier New" w:hAnsi="Courier New" w:cs="Courier New" w:hint="default"/>
      </w:rPr>
    </w:lvl>
    <w:lvl w:ilvl="2" w:tplc="14090005" w:tentative="1">
      <w:start w:val="1"/>
      <w:numFmt w:val="bullet"/>
      <w:lvlText w:val=""/>
      <w:lvlJc w:val="left"/>
      <w:pPr>
        <w:ind w:left="2268" w:hanging="360"/>
      </w:pPr>
      <w:rPr>
        <w:rFonts w:ascii="Wingdings" w:hAnsi="Wingdings" w:hint="default"/>
      </w:rPr>
    </w:lvl>
    <w:lvl w:ilvl="3" w:tplc="14090001" w:tentative="1">
      <w:start w:val="1"/>
      <w:numFmt w:val="bullet"/>
      <w:lvlText w:val=""/>
      <w:lvlJc w:val="left"/>
      <w:pPr>
        <w:ind w:left="2988" w:hanging="360"/>
      </w:pPr>
      <w:rPr>
        <w:rFonts w:ascii="Symbol" w:hAnsi="Symbol" w:hint="default"/>
      </w:rPr>
    </w:lvl>
    <w:lvl w:ilvl="4" w:tplc="14090003" w:tentative="1">
      <w:start w:val="1"/>
      <w:numFmt w:val="bullet"/>
      <w:lvlText w:val="o"/>
      <w:lvlJc w:val="left"/>
      <w:pPr>
        <w:ind w:left="3708" w:hanging="360"/>
      </w:pPr>
      <w:rPr>
        <w:rFonts w:ascii="Courier New" w:hAnsi="Courier New" w:cs="Courier New" w:hint="default"/>
      </w:rPr>
    </w:lvl>
    <w:lvl w:ilvl="5" w:tplc="14090005" w:tentative="1">
      <w:start w:val="1"/>
      <w:numFmt w:val="bullet"/>
      <w:lvlText w:val=""/>
      <w:lvlJc w:val="left"/>
      <w:pPr>
        <w:ind w:left="4428" w:hanging="360"/>
      </w:pPr>
      <w:rPr>
        <w:rFonts w:ascii="Wingdings" w:hAnsi="Wingdings" w:hint="default"/>
      </w:rPr>
    </w:lvl>
    <w:lvl w:ilvl="6" w:tplc="14090001" w:tentative="1">
      <w:start w:val="1"/>
      <w:numFmt w:val="bullet"/>
      <w:lvlText w:val=""/>
      <w:lvlJc w:val="left"/>
      <w:pPr>
        <w:ind w:left="5148" w:hanging="360"/>
      </w:pPr>
      <w:rPr>
        <w:rFonts w:ascii="Symbol" w:hAnsi="Symbol" w:hint="default"/>
      </w:rPr>
    </w:lvl>
    <w:lvl w:ilvl="7" w:tplc="14090003" w:tentative="1">
      <w:start w:val="1"/>
      <w:numFmt w:val="bullet"/>
      <w:lvlText w:val="o"/>
      <w:lvlJc w:val="left"/>
      <w:pPr>
        <w:ind w:left="5868" w:hanging="360"/>
      </w:pPr>
      <w:rPr>
        <w:rFonts w:ascii="Courier New" w:hAnsi="Courier New" w:cs="Courier New" w:hint="default"/>
      </w:rPr>
    </w:lvl>
    <w:lvl w:ilvl="8" w:tplc="14090005" w:tentative="1">
      <w:start w:val="1"/>
      <w:numFmt w:val="bullet"/>
      <w:lvlText w:val=""/>
      <w:lvlJc w:val="left"/>
      <w:pPr>
        <w:ind w:left="6588" w:hanging="360"/>
      </w:pPr>
      <w:rPr>
        <w:rFonts w:ascii="Wingdings" w:hAnsi="Wingdings" w:hint="default"/>
      </w:rPr>
    </w:lvl>
  </w:abstractNum>
  <w:abstractNum w:abstractNumId="46">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9"/>
  </w:num>
  <w:num w:numId="3">
    <w:abstractNumId w:val="10"/>
  </w:num>
  <w:num w:numId="4">
    <w:abstractNumId w:val="31"/>
  </w:num>
  <w:num w:numId="5">
    <w:abstractNumId w:val="7"/>
  </w:num>
  <w:num w:numId="6">
    <w:abstractNumId w:val="28"/>
  </w:num>
  <w:num w:numId="7">
    <w:abstractNumId w:val="24"/>
  </w:num>
  <w:num w:numId="8">
    <w:abstractNumId w:val="20"/>
  </w:num>
  <w:num w:numId="9">
    <w:abstractNumId w:val="37"/>
  </w:num>
  <w:num w:numId="10">
    <w:abstractNumId w:val="6"/>
  </w:num>
  <w:num w:numId="11">
    <w:abstractNumId w:val="27"/>
  </w:num>
  <w:num w:numId="12">
    <w:abstractNumId w:val="40"/>
  </w:num>
  <w:num w:numId="13">
    <w:abstractNumId w:val="11"/>
  </w:num>
  <w:num w:numId="14">
    <w:abstractNumId w:val="43"/>
  </w:num>
  <w:num w:numId="15">
    <w:abstractNumId w:val="46"/>
  </w:num>
  <w:num w:numId="16">
    <w:abstractNumId w:val="17"/>
  </w:num>
  <w:num w:numId="17">
    <w:abstractNumId w:val="0"/>
  </w:num>
  <w:num w:numId="18">
    <w:abstractNumId w:val="2"/>
  </w:num>
  <w:num w:numId="19">
    <w:abstractNumId w:val="45"/>
  </w:num>
  <w:num w:numId="20">
    <w:abstractNumId w:val="5"/>
  </w:num>
  <w:num w:numId="21">
    <w:abstractNumId w:val="4"/>
  </w:num>
  <w:num w:numId="22">
    <w:abstractNumId w:val="18"/>
  </w:num>
  <w:num w:numId="23">
    <w:abstractNumId w:val="8"/>
  </w:num>
  <w:num w:numId="24">
    <w:abstractNumId w:val="38"/>
  </w:num>
  <w:num w:numId="25">
    <w:abstractNumId w:val="1"/>
  </w:num>
  <w:num w:numId="26">
    <w:abstractNumId w:val="1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0"/>
  </w:num>
  <w:num w:numId="29">
    <w:abstractNumId w:val="33"/>
  </w:num>
  <w:num w:numId="30">
    <w:abstractNumId w:val="41"/>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2"/>
  </w:num>
  <w:num w:numId="35">
    <w:abstractNumId w:val="13"/>
  </w:num>
  <w:num w:numId="36">
    <w:abstractNumId w:val="30"/>
  </w:num>
  <w:num w:numId="37">
    <w:abstractNumId w:val="23"/>
  </w:num>
  <w:num w:numId="38">
    <w:abstractNumId w:val="25"/>
  </w:num>
  <w:num w:numId="39">
    <w:abstractNumId w:val="34"/>
  </w:num>
  <w:num w:numId="40">
    <w:abstractNumId w:val="22"/>
  </w:num>
  <w:num w:numId="41">
    <w:abstractNumId w:val="14"/>
  </w:num>
  <w:num w:numId="42">
    <w:abstractNumId w:val="29"/>
  </w:num>
  <w:num w:numId="43">
    <w:abstractNumId w:val="42"/>
  </w:num>
  <w:num w:numId="44">
    <w:abstractNumId w:val="16"/>
  </w:num>
  <w:num w:numId="45">
    <w:abstractNumId w:val="21"/>
  </w:num>
  <w:num w:numId="46">
    <w:abstractNumId w:val="24"/>
  </w:num>
  <w:num w:numId="47">
    <w:abstractNumId w:val="3"/>
  </w:num>
  <w:num w:numId="48">
    <w:abstractNumId w:val="26"/>
  </w:num>
  <w:num w:numId="49">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71"/>
    <w:rsid w:val="000004FF"/>
    <w:rsid w:val="00002C6F"/>
    <w:rsid w:val="000039CF"/>
    <w:rsid w:val="00007E1F"/>
    <w:rsid w:val="00007F12"/>
    <w:rsid w:val="000143D9"/>
    <w:rsid w:val="00017F14"/>
    <w:rsid w:val="00020121"/>
    <w:rsid w:val="00020E91"/>
    <w:rsid w:val="00021A9E"/>
    <w:rsid w:val="000264CB"/>
    <w:rsid w:val="00026CDF"/>
    <w:rsid w:val="00030111"/>
    <w:rsid w:val="00031100"/>
    <w:rsid w:val="00034862"/>
    <w:rsid w:val="0003551B"/>
    <w:rsid w:val="00036CF3"/>
    <w:rsid w:val="00045BB2"/>
    <w:rsid w:val="00050CC9"/>
    <w:rsid w:val="000543CF"/>
    <w:rsid w:val="00057F0F"/>
    <w:rsid w:val="00060187"/>
    <w:rsid w:val="00063506"/>
    <w:rsid w:val="00065CF1"/>
    <w:rsid w:val="0006614E"/>
    <w:rsid w:val="00066D9E"/>
    <w:rsid w:val="00066DB8"/>
    <w:rsid w:val="00071B95"/>
    <w:rsid w:val="000721CB"/>
    <w:rsid w:val="000726BD"/>
    <w:rsid w:val="000745E2"/>
    <w:rsid w:val="000774FD"/>
    <w:rsid w:val="00083A7C"/>
    <w:rsid w:val="000843E3"/>
    <w:rsid w:val="00091E35"/>
    <w:rsid w:val="00092238"/>
    <w:rsid w:val="000979A0"/>
    <w:rsid w:val="000A0AC6"/>
    <w:rsid w:val="000A1618"/>
    <w:rsid w:val="000A4E89"/>
    <w:rsid w:val="000A60D3"/>
    <w:rsid w:val="000A6232"/>
    <w:rsid w:val="000A6C9A"/>
    <w:rsid w:val="000A7884"/>
    <w:rsid w:val="000B1F3F"/>
    <w:rsid w:val="000B213A"/>
    <w:rsid w:val="000B3121"/>
    <w:rsid w:val="000B4C05"/>
    <w:rsid w:val="000C29BF"/>
    <w:rsid w:val="000C4D3A"/>
    <w:rsid w:val="000C6080"/>
    <w:rsid w:val="000C60A8"/>
    <w:rsid w:val="000D0552"/>
    <w:rsid w:val="000D28D1"/>
    <w:rsid w:val="000D4520"/>
    <w:rsid w:val="000D78B7"/>
    <w:rsid w:val="000D7E2C"/>
    <w:rsid w:val="000E1400"/>
    <w:rsid w:val="000E6C54"/>
    <w:rsid w:val="000E7297"/>
    <w:rsid w:val="000F1F86"/>
    <w:rsid w:val="000F3750"/>
    <w:rsid w:val="000F429F"/>
    <w:rsid w:val="000F477B"/>
    <w:rsid w:val="000F70C6"/>
    <w:rsid w:val="00100931"/>
    <w:rsid w:val="00100AA2"/>
    <w:rsid w:val="00102D4C"/>
    <w:rsid w:val="00107488"/>
    <w:rsid w:val="0011108D"/>
    <w:rsid w:val="00111281"/>
    <w:rsid w:val="00112E97"/>
    <w:rsid w:val="00117439"/>
    <w:rsid w:val="00117FD8"/>
    <w:rsid w:val="0012015E"/>
    <w:rsid w:val="00120239"/>
    <w:rsid w:val="001205B2"/>
    <w:rsid w:val="00120FC7"/>
    <w:rsid w:val="00122AFB"/>
    <w:rsid w:val="00122C90"/>
    <w:rsid w:val="00124C2F"/>
    <w:rsid w:val="001278DA"/>
    <w:rsid w:val="00127C47"/>
    <w:rsid w:val="00130B86"/>
    <w:rsid w:val="001345F7"/>
    <w:rsid w:val="00134886"/>
    <w:rsid w:val="001366B4"/>
    <w:rsid w:val="00137D4E"/>
    <w:rsid w:val="0014027B"/>
    <w:rsid w:val="001406DA"/>
    <w:rsid w:val="001418D4"/>
    <w:rsid w:val="00141A30"/>
    <w:rsid w:val="00142596"/>
    <w:rsid w:val="00143307"/>
    <w:rsid w:val="0014411B"/>
    <w:rsid w:val="0015137D"/>
    <w:rsid w:val="00151E35"/>
    <w:rsid w:val="001520BF"/>
    <w:rsid w:val="00155A82"/>
    <w:rsid w:val="001612CE"/>
    <w:rsid w:val="00162C20"/>
    <w:rsid w:val="0016544D"/>
    <w:rsid w:val="0016743C"/>
    <w:rsid w:val="00167975"/>
    <w:rsid w:val="00172F62"/>
    <w:rsid w:val="0017382E"/>
    <w:rsid w:val="00173C6E"/>
    <w:rsid w:val="00180B19"/>
    <w:rsid w:val="00180F2C"/>
    <w:rsid w:val="0018196F"/>
    <w:rsid w:val="001824B6"/>
    <w:rsid w:val="001829BB"/>
    <w:rsid w:val="001872AB"/>
    <w:rsid w:val="00191FAF"/>
    <w:rsid w:val="00192498"/>
    <w:rsid w:val="00193B11"/>
    <w:rsid w:val="00194806"/>
    <w:rsid w:val="001964B1"/>
    <w:rsid w:val="001A13CB"/>
    <w:rsid w:val="001A2061"/>
    <w:rsid w:val="001A218F"/>
    <w:rsid w:val="001A21AC"/>
    <w:rsid w:val="001A2B77"/>
    <w:rsid w:val="001A57E2"/>
    <w:rsid w:val="001B0ECD"/>
    <w:rsid w:val="001B1A0C"/>
    <w:rsid w:val="001B40E6"/>
    <w:rsid w:val="001B65C9"/>
    <w:rsid w:val="001B75FC"/>
    <w:rsid w:val="001B7F4B"/>
    <w:rsid w:val="001C0EF7"/>
    <w:rsid w:val="001C16A4"/>
    <w:rsid w:val="001C1EA0"/>
    <w:rsid w:val="001C507E"/>
    <w:rsid w:val="001C5337"/>
    <w:rsid w:val="001C613F"/>
    <w:rsid w:val="001C6DF1"/>
    <w:rsid w:val="001C700E"/>
    <w:rsid w:val="001C7117"/>
    <w:rsid w:val="001D021E"/>
    <w:rsid w:val="001D139B"/>
    <w:rsid w:val="001D141C"/>
    <w:rsid w:val="001D20FC"/>
    <w:rsid w:val="001D210A"/>
    <w:rsid w:val="001D7A35"/>
    <w:rsid w:val="001E0010"/>
    <w:rsid w:val="001E27A4"/>
    <w:rsid w:val="001E6114"/>
    <w:rsid w:val="001E7C0E"/>
    <w:rsid w:val="001F0D5C"/>
    <w:rsid w:val="001F34B9"/>
    <w:rsid w:val="001F461A"/>
    <w:rsid w:val="001F5741"/>
    <w:rsid w:val="001F6728"/>
    <w:rsid w:val="001F7480"/>
    <w:rsid w:val="002015D4"/>
    <w:rsid w:val="00204634"/>
    <w:rsid w:val="002115BD"/>
    <w:rsid w:val="00211739"/>
    <w:rsid w:val="00216D70"/>
    <w:rsid w:val="002170EE"/>
    <w:rsid w:val="00217C23"/>
    <w:rsid w:val="00221370"/>
    <w:rsid w:val="00221C00"/>
    <w:rsid w:val="00222A51"/>
    <w:rsid w:val="0022784D"/>
    <w:rsid w:val="002316B7"/>
    <w:rsid w:val="00231D45"/>
    <w:rsid w:val="00232B21"/>
    <w:rsid w:val="00237C4B"/>
    <w:rsid w:val="00240ADE"/>
    <w:rsid w:val="00243341"/>
    <w:rsid w:val="00243C0B"/>
    <w:rsid w:val="00246E5F"/>
    <w:rsid w:val="00247727"/>
    <w:rsid w:val="002548DC"/>
    <w:rsid w:val="00261A43"/>
    <w:rsid w:val="00273D43"/>
    <w:rsid w:val="00274B96"/>
    <w:rsid w:val="002751A5"/>
    <w:rsid w:val="00277D58"/>
    <w:rsid w:val="00277D66"/>
    <w:rsid w:val="002849B4"/>
    <w:rsid w:val="00292E58"/>
    <w:rsid w:val="00293BD4"/>
    <w:rsid w:val="00294A9F"/>
    <w:rsid w:val="002969EC"/>
    <w:rsid w:val="0029728A"/>
    <w:rsid w:val="002A0447"/>
    <w:rsid w:val="002A0AEF"/>
    <w:rsid w:val="002A1935"/>
    <w:rsid w:val="002A22F7"/>
    <w:rsid w:val="002A5A24"/>
    <w:rsid w:val="002A756B"/>
    <w:rsid w:val="002A768F"/>
    <w:rsid w:val="002B01E1"/>
    <w:rsid w:val="002B1CCB"/>
    <w:rsid w:val="002B2A89"/>
    <w:rsid w:val="002B433A"/>
    <w:rsid w:val="002B4D5D"/>
    <w:rsid w:val="002B79D4"/>
    <w:rsid w:val="002C119B"/>
    <w:rsid w:val="002C4737"/>
    <w:rsid w:val="002D03E6"/>
    <w:rsid w:val="002D1680"/>
    <w:rsid w:val="002D2717"/>
    <w:rsid w:val="002D3D2F"/>
    <w:rsid w:val="002D6914"/>
    <w:rsid w:val="002D7261"/>
    <w:rsid w:val="002E2989"/>
    <w:rsid w:val="002E29CA"/>
    <w:rsid w:val="002E38AE"/>
    <w:rsid w:val="002E4009"/>
    <w:rsid w:val="002E6231"/>
    <w:rsid w:val="002E724A"/>
    <w:rsid w:val="002F0616"/>
    <w:rsid w:val="002F479A"/>
    <w:rsid w:val="002F5A14"/>
    <w:rsid w:val="002F7561"/>
    <w:rsid w:val="002F779D"/>
    <w:rsid w:val="00303038"/>
    <w:rsid w:val="00305379"/>
    <w:rsid w:val="00307814"/>
    <w:rsid w:val="003100E6"/>
    <w:rsid w:val="003101AE"/>
    <w:rsid w:val="00310426"/>
    <w:rsid w:val="00310C11"/>
    <w:rsid w:val="003126D5"/>
    <w:rsid w:val="0031462A"/>
    <w:rsid w:val="00315A04"/>
    <w:rsid w:val="00315D13"/>
    <w:rsid w:val="00317382"/>
    <w:rsid w:val="00320E7C"/>
    <w:rsid w:val="003223F8"/>
    <w:rsid w:val="0032486D"/>
    <w:rsid w:val="003260C0"/>
    <w:rsid w:val="00326B5A"/>
    <w:rsid w:val="00327E79"/>
    <w:rsid w:val="00331A9E"/>
    <w:rsid w:val="003327F8"/>
    <w:rsid w:val="003341C1"/>
    <w:rsid w:val="00335A78"/>
    <w:rsid w:val="003403E8"/>
    <w:rsid w:val="00341177"/>
    <w:rsid w:val="00341335"/>
    <w:rsid w:val="00341941"/>
    <w:rsid w:val="00342DCE"/>
    <w:rsid w:val="003438FC"/>
    <w:rsid w:val="00343B68"/>
    <w:rsid w:val="00343FD0"/>
    <w:rsid w:val="003449E7"/>
    <w:rsid w:val="00345495"/>
    <w:rsid w:val="00345B8E"/>
    <w:rsid w:val="00346C58"/>
    <w:rsid w:val="00351ACA"/>
    <w:rsid w:val="00352AE5"/>
    <w:rsid w:val="0035422C"/>
    <w:rsid w:val="003548C8"/>
    <w:rsid w:val="00354B98"/>
    <w:rsid w:val="00357AF7"/>
    <w:rsid w:val="0036025A"/>
    <w:rsid w:val="00360662"/>
    <w:rsid w:val="00360815"/>
    <w:rsid w:val="00360AB0"/>
    <w:rsid w:val="0036495D"/>
    <w:rsid w:val="00364BA6"/>
    <w:rsid w:val="003663EC"/>
    <w:rsid w:val="00370C43"/>
    <w:rsid w:val="00370F97"/>
    <w:rsid w:val="00372E1B"/>
    <w:rsid w:val="00373007"/>
    <w:rsid w:val="00374DAA"/>
    <w:rsid w:val="00376128"/>
    <w:rsid w:val="00377205"/>
    <w:rsid w:val="00377CE5"/>
    <w:rsid w:val="00383294"/>
    <w:rsid w:val="003857A0"/>
    <w:rsid w:val="0038601A"/>
    <w:rsid w:val="00390C86"/>
    <w:rsid w:val="00393543"/>
    <w:rsid w:val="00395CFA"/>
    <w:rsid w:val="003A2D7B"/>
    <w:rsid w:val="003A74BF"/>
    <w:rsid w:val="003B02CD"/>
    <w:rsid w:val="003B3ED9"/>
    <w:rsid w:val="003B41D0"/>
    <w:rsid w:val="003C022D"/>
    <w:rsid w:val="003C509E"/>
    <w:rsid w:val="003C7721"/>
    <w:rsid w:val="003D081D"/>
    <w:rsid w:val="003D11B9"/>
    <w:rsid w:val="003D67D8"/>
    <w:rsid w:val="003E10D0"/>
    <w:rsid w:val="003E27A2"/>
    <w:rsid w:val="003E2A46"/>
    <w:rsid w:val="003E4982"/>
    <w:rsid w:val="003E730A"/>
    <w:rsid w:val="003F407A"/>
    <w:rsid w:val="003F4F52"/>
    <w:rsid w:val="003F58DC"/>
    <w:rsid w:val="00404B08"/>
    <w:rsid w:val="00406A9C"/>
    <w:rsid w:val="00406EB3"/>
    <w:rsid w:val="00413395"/>
    <w:rsid w:val="00413539"/>
    <w:rsid w:val="00415A92"/>
    <w:rsid w:val="00416ED7"/>
    <w:rsid w:val="00417D87"/>
    <w:rsid w:val="004228CD"/>
    <w:rsid w:val="004257FE"/>
    <w:rsid w:val="00426354"/>
    <w:rsid w:val="00427175"/>
    <w:rsid w:val="004277C5"/>
    <w:rsid w:val="00430B47"/>
    <w:rsid w:val="00432051"/>
    <w:rsid w:val="004343C4"/>
    <w:rsid w:val="00443639"/>
    <w:rsid w:val="004456E8"/>
    <w:rsid w:val="00445A3B"/>
    <w:rsid w:val="00447167"/>
    <w:rsid w:val="004506D9"/>
    <w:rsid w:val="00455D40"/>
    <w:rsid w:val="00461D2B"/>
    <w:rsid w:val="00465ADD"/>
    <w:rsid w:val="00466003"/>
    <w:rsid w:val="00466CA7"/>
    <w:rsid w:val="004709A0"/>
    <w:rsid w:val="00474CDF"/>
    <w:rsid w:val="004754F8"/>
    <w:rsid w:val="0047606D"/>
    <w:rsid w:val="00484EB9"/>
    <w:rsid w:val="0048592F"/>
    <w:rsid w:val="00487C59"/>
    <w:rsid w:val="004928BB"/>
    <w:rsid w:val="00497536"/>
    <w:rsid w:val="004A2569"/>
    <w:rsid w:val="004A7400"/>
    <w:rsid w:val="004A76B4"/>
    <w:rsid w:val="004B0418"/>
    <w:rsid w:val="004B140D"/>
    <w:rsid w:val="004B3316"/>
    <w:rsid w:val="004B3EF9"/>
    <w:rsid w:val="004B423D"/>
    <w:rsid w:val="004B5C07"/>
    <w:rsid w:val="004B6E66"/>
    <w:rsid w:val="004B76DA"/>
    <w:rsid w:val="004C0EEF"/>
    <w:rsid w:val="004C319B"/>
    <w:rsid w:val="004C3610"/>
    <w:rsid w:val="004C3A97"/>
    <w:rsid w:val="004C42A6"/>
    <w:rsid w:val="004C4A3E"/>
    <w:rsid w:val="004C660D"/>
    <w:rsid w:val="004C66B0"/>
    <w:rsid w:val="004C78C6"/>
    <w:rsid w:val="004D1529"/>
    <w:rsid w:val="004D19CE"/>
    <w:rsid w:val="004D4522"/>
    <w:rsid w:val="004D675E"/>
    <w:rsid w:val="004D6D39"/>
    <w:rsid w:val="004D6D98"/>
    <w:rsid w:val="004D7980"/>
    <w:rsid w:val="004E37A2"/>
    <w:rsid w:val="004E53F1"/>
    <w:rsid w:val="004E6284"/>
    <w:rsid w:val="004E6400"/>
    <w:rsid w:val="004E6600"/>
    <w:rsid w:val="004E6A51"/>
    <w:rsid w:val="004E6E33"/>
    <w:rsid w:val="004F35CB"/>
    <w:rsid w:val="004F521E"/>
    <w:rsid w:val="004F52E5"/>
    <w:rsid w:val="005012C3"/>
    <w:rsid w:val="00503974"/>
    <w:rsid w:val="0050529F"/>
    <w:rsid w:val="00507470"/>
    <w:rsid w:val="005103A9"/>
    <w:rsid w:val="005116C1"/>
    <w:rsid w:val="00514B5E"/>
    <w:rsid w:val="005176FC"/>
    <w:rsid w:val="00517801"/>
    <w:rsid w:val="0052286C"/>
    <w:rsid w:val="00522AB9"/>
    <w:rsid w:val="00523A34"/>
    <w:rsid w:val="005265B9"/>
    <w:rsid w:val="00527090"/>
    <w:rsid w:val="00532187"/>
    <w:rsid w:val="00532916"/>
    <w:rsid w:val="0053348B"/>
    <w:rsid w:val="00533533"/>
    <w:rsid w:val="00535E24"/>
    <w:rsid w:val="00536938"/>
    <w:rsid w:val="005406DA"/>
    <w:rsid w:val="005408CA"/>
    <w:rsid w:val="0054237C"/>
    <w:rsid w:val="005439B9"/>
    <w:rsid w:val="005440F6"/>
    <w:rsid w:val="00544E59"/>
    <w:rsid w:val="0054557A"/>
    <w:rsid w:val="00546968"/>
    <w:rsid w:val="00546DD6"/>
    <w:rsid w:val="005517AA"/>
    <w:rsid w:val="005520EC"/>
    <w:rsid w:val="005556FC"/>
    <w:rsid w:val="0055771D"/>
    <w:rsid w:val="00560D57"/>
    <w:rsid w:val="00561A0B"/>
    <w:rsid w:val="005661B7"/>
    <w:rsid w:val="005662BB"/>
    <w:rsid w:val="00567FCF"/>
    <w:rsid w:val="00572DAF"/>
    <w:rsid w:val="00574568"/>
    <w:rsid w:val="00575295"/>
    <w:rsid w:val="00580B78"/>
    <w:rsid w:val="005845CB"/>
    <w:rsid w:val="0058498A"/>
    <w:rsid w:val="00586350"/>
    <w:rsid w:val="00592228"/>
    <w:rsid w:val="005930BE"/>
    <w:rsid w:val="00596346"/>
    <w:rsid w:val="005A18C5"/>
    <w:rsid w:val="005A2621"/>
    <w:rsid w:val="005A2D35"/>
    <w:rsid w:val="005A32BA"/>
    <w:rsid w:val="005A3C4A"/>
    <w:rsid w:val="005A3D99"/>
    <w:rsid w:val="005A4132"/>
    <w:rsid w:val="005A56EC"/>
    <w:rsid w:val="005A63CB"/>
    <w:rsid w:val="005B7C71"/>
    <w:rsid w:val="005B7EB4"/>
    <w:rsid w:val="005C1686"/>
    <w:rsid w:val="005C370A"/>
    <w:rsid w:val="005C38CB"/>
    <w:rsid w:val="005C3EAA"/>
    <w:rsid w:val="005C4A6B"/>
    <w:rsid w:val="005C4A9B"/>
    <w:rsid w:val="005C7F23"/>
    <w:rsid w:val="005D2A59"/>
    <w:rsid w:val="005D5302"/>
    <w:rsid w:val="005D624A"/>
    <w:rsid w:val="005D6DBB"/>
    <w:rsid w:val="005E405E"/>
    <w:rsid w:val="005E478F"/>
    <w:rsid w:val="005E53FF"/>
    <w:rsid w:val="005E607A"/>
    <w:rsid w:val="005F04D7"/>
    <w:rsid w:val="005F0BEF"/>
    <w:rsid w:val="005F0C00"/>
    <w:rsid w:val="005F213B"/>
    <w:rsid w:val="005F33F2"/>
    <w:rsid w:val="005F53E3"/>
    <w:rsid w:val="005F5846"/>
    <w:rsid w:val="005F6E1B"/>
    <w:rsid w:val="0060204B"/>
    <w:rsid w:val="0060465C"/>
    <w:rsid w:val="0060578C"/>
    <w:rsid w:val="00611A9D"/>
    <w:rsid w:val="00612C32"/>
    <w:rsid w:val="006132FA"/>
    <w:rsid w:val="00614A63"/>
    <w:rsid w:val="00617349"/>
    <w:rsid w:val="00617F30"/>
    <w:rsid w:val="00622F99"/>
    <w:rsid w:val="00625964"/>
    <w:rsid w:val="00625A69"/>
    <w:rsid w:val="00625A75"/>
    <w:rsid w:val="006300EE"/>
    <w:rsid w:val="00633BE2"/>
    <w:rsid w:val="0063448A"/>
    <w:rsid w:val="00640CFC"/>
    <w:rsid w:val="00641B7A"/>
    <w:rsid w:val="00642BD6"/>
    <w:rsid w:val="00642E50"/>
    <w:rsid w:val="00644083"/>
    <w:rsid w:val="006444B3"/>
    <w:rsid w:val="00646049"/>
    <w:rsid w:val="0064627D"/>
    <w:rsid w:val="00647D44"/>
    <w:rsid w:val="00657108"/>
    <w:rsid w:val="00660B3B"/>
    <w:rsid w:val="00663909"/>
    <w:rsid w:val="00666F4E"/>
    <w:rsid w:val="006671BC"/>
    <w:rsid w:val="00671A2D"/>
    <w:rsid w:val="0067297B"/>
    <w:rsid w:val="00680679"/>
    <w:rsid w:val="00683FFB"/>
    <w:rsid w:val="00685B99"/>
    <w:rsid w:val="006935F8"/>
    <w:rsid w:val="00694780"/>
    <w:rsid w:val="00694C74"/>
    <w:rsid w:val="00695279"/>
    <w:rsid w:val="00697117"/>
    <w:rsid w:val="00697A69"/>
    <w:rsid w:val="006A0A4C"/>
    <w:rsid w:val="006A6BEF"/>
    <w:rsid w:val="006C21BC"/>
    <w:rsid w:val="006C5E3A"/>
    <w:rsid w:val="006C6800"/>
    <w:rsid w:val="006C7AA3"/>
    <w:rsid w:val="006D2E37"/>
    <w:rsid w:val="006D4294"/>
    <w:rsid w:val="006D795D"/>
    <w:rsid w:val="006E7507"/>
    <w:rsid w:val="006E7E9F"/>
    <w:rsid w:val="006E7FA8"/>
    <w:rsid w:val="006F2108"/>
    <w:rsid w:val="006F2639"/>
    <w:rsid w:val="006F27DE"/>
    <w:rsid w:val="006F4623"/>
    <w:rsid w:val="006F4B40"/>
    <w:rsid w:val="00701FEA"/>
    <w:rsid w:val="00702E5C"/>
    <w:rsid w:val="007039C8"/>
    <w:rsid w:val="0070607B"/>
    <w:rsid w:val="007062FE"/>
    <w:rsid w:val="00706497"/>
    <w:rsid w:val="00706DE1"/>
    <w:rsid w:val="00707109"/>
    <w:rsid w:val="00707E5E"/>
    <w:rsid w:val="007110C9"/>
    <w:rsid w:val="00713A01"/>
    <w:rsid w:val="007148B3"/>
    <w:rsid w:val="00714BA3"/>
    <w:rsid w:val="0071645A"/>
    <w:rsid w:val="00721098"/>
    <w:rsid w:val="007230B2"/>
    <w:rsid w:val="00727528"/>
    <w:rsid w:val="00727AAE"/>
    <w:rsid w:val="00732CFB"/>
    <w:rsid w:val="007366CC"/>
    <w:rsid w:val="00742F8B"/>
    <w:rsid w:val="007457FB"/>
    <w:rsid w:val="007466E6"/>
    <w:rsid w:val="00750E77"/>
    <w:rsid w:val="00751390"/>
    <w:rsid w:val="00755D59"/>
    <w:rsid w:val="00760E7F"/>
    <w:rsid w:val="007618D7"/>
    <w:rsid w:val="00764369"/>
    <w:rsid w:val="00766BCF"/>
    <w:rsid w:val="00767F39"/>
    <w:rsid w:val="00771143"/>
    <w:rsid w:val="007726E1"/>
    <w:rsid w:val="007729FB"/>
    <w:rsid w:val="00774F4B"/>
    <w:rsid w:val="00775B2B"/>
    <w:rsid w:val="00781B5A"/>
    <w:rsid w:val="007867C9"/>
    <w:rsid w:val="00787C5B"/>
    <w:rsid w:val="0079256F"/>
    <w:rsid w:val="00792A87"/>
    <w:rsid w:val="00792D0C"/>
    <w:rsid w:val="00794C91"/>
    <w:rsid w:val="0079672B"/>
    <w:rsid w:val="00797022"/>
    <w:rsid w:val="00797600"/>
    <w:rsid w:val="00797D19"/>
    <w:rsid w:val="007A1965"/>
    <w:rsid w:val="007A264F"/>
    <w:rsid w:val="007A3C6A"/>
    <w:rsid w:val="007A5821"/>
    <w:rsid w:val="007A5D06"/>
    <w:rsid w:val="007A72B7"/>
    <w:rsid w:val="007A7C13"/>
    <w:rsid w:val="007B51E2"/>
    <w:rsid w:val="007B576E"/>
    <w:rsid w:val="007B6E12"/>
    <w:rsid w:val="007B71F1"/>
    <w:rsid w:val="007C23B3"/>
    <w:rsid w:val="007C40BA"/>
    <w:rsid w:val="007C59A2"/>
    <w:rsid w:val="007C6BBF"/>
    <w:rsid w:val="007C7D46"/>
    <w:rsid w:val="007D1224"/>
    <w:rsid w:val="007D1A22"/>
    <w:rsid w:val="007E0473"/>
    <w:rsid w:val="007E0D9F"/>
    <w:rsid w:val="007E0E24"/>
    <w:rsid w:val="007E2A95"/>
    <w:rsid w:val="007E3DBA"/>
    <w:rsid w:val="007E4E36"/>
    <w:rsid w:val="007E7724"/>
    <w:rsid w:val="007E7C01"/>
    <w:rsid w:val="007F1135"/>
    <w:rsid w:val="007F2841"/>
    <w:rsid w:val="007F4331"/>
    <w:rsid w:val="007F627C"/>
    <w:rsid w:val="007F652F"/>
    <w:rsid w:val="00802A66"/>
    <w:rsid w:val="008039AB"/>
    <w:rsid w:val="008044B7"/>
    <w:rsid w:val="008060CF"/>
    <w:rsid w:val="0080700A"/>
    <w:rsid w:val="0080792E"/>
    <w:rsid w:val="00807B68"/>
    <w:rsid w:val="0081147B"/>
    <w:rsid w:val="0081342E"/>
    <w:rsid w:val="00814DB3"/>
    <w:rsid w:val="0081599A"/>
    <w:rsid w:val="00816182"/>
    <w:rsid w:val="00821541"/>
    <w:rsid w:val="00830647"/>
    <w:rsid w:val="00830E80"/>
    <w:rsid w:val="00834515"/>
    <w:rsid w:val="008365BE"/>
    <w:rsid w:val="00840347"/>
    <w:rsid w:val="0084382B"/>
    <w:rsid w:val="00844E02"/>
    <w:rsid w:val="00852106"/>
    <w:rsid w:val="00852662"/>
    <w:rsid w:val="00853108"/>
    <w:rsid w:val="0085409E"/>
    <w:rsid w:val="00854C34"/>
    <w:rsid w:val="00857CB5"/>
    <w:rsid w:val="008604C8"/>
    <w:rsid w:val="008810FA"/>
    <w:rsid w:val="00884878"/>
    <w:rsid w:val="00885B9C"/>
    <w:rsid w:val="00887E39"/>
    <w:rsid w:val="00890C84"/>
    <w:rsid w:val="00890EB7"/>
    <w:rsid w:val="00894618"/>
    <w:rsid w:val="00896150"/>
    <w:rsid w:val="00896927"/>
    <w:rsid w:val="00897E16"/>
    <w:rsid w:val="008A144E"/>
    <w:rsid w:val="008A1488"/>
    <w:rsid w:val="008A460F"/>
    <w:rsid w:val="008A6AC2"/>
    <w:rsid w:val="008B15AE"/>
    <w:rsid w:val="008B4332"/>
    <w:rsid w:val="008B4368"/>
    <w:rsid w:val="008B4B10"/>
    <w:rsid w:val="008B5F65"/>
    <w:rsid w:val="008B7D25"/>
    <w:rsid w:val="008C04CF"/>
    <w:rsid w:val="008C170D"/>
    <w:rsid w:val="008C24BE"/>
    <w:rsid w:val="008C2692"/>
    <w:rsid w:val="008C78D4"/>
    <w:rsid w:val="008D24C3"/>
    <w:rsid w:val="008D27EF"/>
    <w:rsid w:val="008D2DC8"/>
    <w:rsid w:val="008D34F9"/>
    <w:rsid w:val="008D745E"/>
    <w:rsid w:val="008E1FE7"/>
    <w:rsid w:val="008E2780"/>
    <w:rsid w:val="008E3D96"/>
    <w:rsid w:val="008E3DFD"/>
    <w:rsid w:val="008E6D55"/>
    <w:rsid w:val="008E6E14"/>
    <w:rsid w:val="008F06F2"/>
    <w:rsid w:val="008F1DD6"/>
    <w:rsid w:val="008F2689"/>
    <w:rsid w:val="008F2C88"/>
    <w:rsid w:val="008F4C4B"/>
    <w:rsid w:val="008F5D80"/>
    <w:rsid w:val="009006BD"/>
    <w:rsid w:val="00900A84"/>
    <w:rsid w:val="0090322A"/>
    <w:rsid w:val="00911E4F"/>
    <w:rsid w:val="009236DD"/>
    <w:rsid w:val="00923D3D"/>
    <w:rsid w:val="00924027"/>
    <w:rsid w:val="00924CCB"/>
    <w:rsid w:val="0092520A"/>
    <w:rsid w:val="00931EBD"/>
    <w:rsid w:val="00932BA6"/>
    <w:rsid w:val="00932FAD"/>
    <w:rsid w:val="00933581"/>
    <w:rsid w:val="00941B0C"/>
    <w:rsid w:val="00944F83"/>
    <w:rsid w:val="0094550E"/>
    <w:rsid w:val="009455CE"/>
    <w:rsid w:val="0094632E"/>
    <w:rsid w:val="00951562"/>
    <w:rsid w:val="00951A64"/>
    <w:rsid w:val="00952AD2"/>
    <w:rsid w:val="00954EF3"/>
    <w:rsid w:val="0095781A"/>
    <w:rsid w:val="009642B3"/>
    <w:rsid w:val="009652C1"/>
    <w:rsid w:val="009668EF"/>
    <w:rsid w:val="00970C56"/>
    <w:rsid w:val="00970F8A"/>
    <w:rsid w:val="0097106D"/>
    <w:rsid w:val="009721D8"/>
    <w:rsid w:val="009729A9"/>
    <w:rsid w:val="00973B67"/>
    <w:rsid w:val="009759B2"/>
    <w:rsid w:val="00975EFE"/>
    <w:rsid w:val="00977D13"/>
    <w:rsid w:val="0098030D"/>
    <w:rsid w:val="00981E62"/>
    <w:rsid w:val="00986DB9"/>
    <w:rsid w:val="00990384"/>
    <w:rsid w:val="00991549"/>
    <w:rsid w:val="00991734"/>
    <w:rsid w:val="00993431"/>
    <w:rsid w:val="009A1E07"/>
    <w:rsid w:val="009A28D2"/>
    <w:rsid w:val="009A2BA2"/>
    <w:rsid w:val="009A4D39"/>
    <w:rsid w:val="009A5468"/>
    <w:rsid w:val="009A629D"/>
    <w:rsid w:val="009A7F2F"/>
    <w:rsid w:val="009B0782"/>
    <w:rsid w:val="009B08A4"/>
    <w:rsid w:val="009B5190"/>
    <w:rsid w:val="009B654F"/>
    <w:rsid w:val="009B75C0"/>
    <w:rsid w:val="009C05FE"/>
    <w:rsid w:val="009C16DF"/>
    <w:rsid w:val="009C33CE"/>
    <w:rsid w:val="009C3FF1"/>
    <w:rsid w:val="009C4804"/>
    <w:rsid w:val="009D3524"/>
    <w:rsid w:val="009D4FEF"/>
    <w:rsid w:val="009D5847"/>
    <w:rsid w:val="009D79D8"/>
    <w:rsid w:val="009E4050"/>
    <w:rsid w:val="009E6709"/>
    <w:rsid w:val="009E6780"/>
    <w:rsid w:val="009F0FD9"/>
    <w:rsid w:val="009F28AA"/>
    <w:rsid w:val="009F328D"/>
    <w:rsid w:val="009F4D99"/>
    <w:rsid w:val="009F50F0"/>
    <w:rsid w:val="009F5D0C"/>
    <w:rsid w:val="00A00307"/>
    <w:rsid w:val="00A01B3E"/>
    <w:rsid w:val="00A03911"/>
    <w:rsid w:val="00A048BD"/>
    <w:rsid w:val="00A04972"/>
    <w:rsid w:val="00A05140"/>
    <w:rsid w:val="00A05609"/>
    <w:rsid w:val="00A060E4"/>
    <w:rsid w:val="00A076C2"/>
    <w:rsid w:val="00A10B76"/>
    <w:rsid w:val="00A10DE1"/>
    <w:rsid w:val="00A214E0"/>
    <w:rsid w:val="00A22538"/>
    <w:rsid w:val="00A23E1A"/>
    <w:rsid w:val="00A24348"/>
    <w:rsid w:val="00A30415"/>
    <w:rsid w:val="00A321DC"/>
    <w:rsid w:val="00A34039"/>
    <w:rsid w:val="00A3552E"/>
    <w:rsid w:val="00A355B4"/>
    <w:rsid w:val="00A36C98"/>
    <w:rsid w:val="00A410F5"/>
    <w:rsid w:val="00A417FA"/>
    <w:rsid w:val="00A42760"/>
    <w:rsid w:val="00A443C7"/>
    <w:rsid w:val="00A52477"/>
    <w:rsid w:val="00A5551F"/>
    <w:rsid w:val="00A55BEA"/>
    <w:rsid w:val="00A60F78"/>
    <w:rsid w:val="00A655AE"/>
    <w:rsid w:val="00A65CAA"/>
    <w:rsid w:val="00A670F3"/>
    <w:rsid w:val="00A67115"/>
    <w:rsid w:val="00A671EE"/>
    <w:rsid w:val="00A678AC"/>
    <w:rsid w:val="00A678FC"/>
    <w:rsid w:val="00A71134"/>
    <w:rsid w:val="00A711A0"/>
    <w:rsid w:val="00A72ED6"/>
    <w:rsid w:val="00A74415"/>
    <w:rsid w:val="00A765BA"/>
    <w:rsid w:val="00A766FD"/>
    <w:rsid w:val="00A76B97"/>
    <w:rsid w:val="00A80D06"/>
    <w:rsid w:val="00A8196D"/>
    <w:rsid w:val="00A82020"/>
    <w:rsid w:val="00A820E7"/>
    <w:rsid w:val="00A82805"/>
    <w:rsid w:val="00A8516F"/>
    <w:rsid w:val="00A91AA7"/>
    <w:rsid w:val="00A91FBB"/>
    <w:rsid w:val="00A93BBC"/>
    <w:rsid w:val="00A940AF"/>
    <w:rsid w:val="00A94EC5"/>
    <w:rsid w:val="00A95DB5"/>
    <w:rsid w:val="00AA08ED"/>
    <w:rsid w:val="00AA2324"/>
    <w:rsid w:val="00AA3278"/>
    <w:rsid w:val="00AA3C48"/>
    <w:rsid w:val="00AA3F89"/>
    <w:rsid w:val="00AA410B"/>
    <w:rsid w:val="00AA4F9F"/>
    <w:rsid w:val="00AB1127"/>
    <w:rsid w:val="00AB1990"/>
    <w:rsid w:val="00AB3900"/>
    <w:rsid w:val="00AB7215"/>
    <w:rsid w:val="00AC1301"/>
    <w:rsid w:val="00AC49B5"/>
    <w:rsid w:val="00AC4F8D"/>
    <w:rsid w:val="00AC56C2"/>
    <w:rsid w:val="00AC5E19"/>
    <w:rsid w:val="00AD0B95"/>
    <w:rsid w:val="00AD0ED9"/>
    <w:rsid w:val="00AD5C68"/>
    <w:rsid w:val="00AD66ED"/>
    <w:rsid w:val="00AD74B3"/>
    <w:rsid w:val="00AE0EE6"/>
    <w:rsid w:val="00AE1C14"/>
    <w:rsid w:val="00AE5A43"/>
    <w:rsid w:val="00AE5C52"/>
    <w:rsid w:val="00AF045F"/>
    <w:rsid w:val="00AF0FA2"/>
    <w:rsid w:val="00AF0FAC"/>
    <w:rsid w:val="00AF0FDD"/>
    <w:rsid w:val="00AF39A0"/>
    <w:rsid w:val="00AF3F94"/>
    <w:rsid w:val="00AF48BA"/>
    <w:rsid w:val="00AF4C96"/>
    <w:rsid w:val="00AF5740"/>
    <w:rsid w:val="00B0005C"/>
    <w:rsid w:val="00B04A39"/>
    <w:rsid w:val="00B04CC0"/>
    <w:rsid w:val="00B0672A"/>
    <w:rsid w:val="00B113AC"/>
    <w:rsid w:val="00B14190"/>
    <w:rsid w:val="00B14A4C"/>
    <w:rsid w:val="00B1622A"/>
    <w:rsid w:val="00B17A9D"/>
    <w:rsid w:val="00B17AC6"/>
    <w:rsid w:val="00B21C2F"/>
    <w:rsid w:val="00B21D2F"/>
    <w:rsid w:val="00B23465"/>
    <w:rsid w:val="00B2674F"/>
    <w:rsid w:val="00B2764E"/>
    <w:rsid w:val="00B30E77"/>
    <w:rsid w:val="00B33BF8"/>
    <w:rsid w:val="00B33F27"/>
    <w:rsid w:val="00B34397"/>
    <w:rsid w:val="00B3445D"/>
    <w:rsid w:val="00B373A4"/>
    <w:rsid w:val="00B40FE8"/>
    <w:rsid w:val="00B456CC"/>
    <w:rsid w:val="00B4663A"/>
    <w:rsid w:val="00B478EF"/>
    <w:rsid w:val="00B508E1"/>
    <w:rsid w:val="00B51BAD"/>
    <w:rsid w:val="00B52E6A"/>
    <w:rsid w:val="00B54560"/>
    <w:rsid w:val="00B56551"/>
    <w:rsid w:val="00B57AE9"/>
    <w:rsid w:val="00B617F2"/>
    <w:rsid w:val="00B638BD"/>
    <w:rsid w:val="00B65EB5"/>
    <w:rsid w:val="00B674EF"/>
    <w:rsid w:val="00B67C88"/>
    <w:rsid w:val="00B710EF"/>
    <w:rsid w:val="00B720DB"/>
    <w:rsid w:val="00B721F4"/>
    <w:rsid w:val="00B72CEC"/>
    <w:rsid w:val="00B7400B"/>
    <w:rsid w:val="00B80707"/>
    <w:rsid w:val="00B82569"/>
    <w:rsid w:val="00B8330F"/>
    <w:rsid w:val="00B83D2C"/>
    <w:rsid w:val="00B8651F"/>
    <w:rsid w:val="00B87625"/>
    <w:rsid w:val="00B87675"/>
    <w:rsid w:val="00B9158E"/>
    <w:rsid w:val="00B9313A"/>
    <w:rsid w:val="00B94CA4"/>
    <w:rsid w:val="00B95043"/>
    <w:rsid w:val="00B96300"/>
    <w:rsid w:val="00B96E0A"/>
    <w:rsid w:val="00B97989"/>
    <w:rsid w:val="00BA19CD"/>
    <w:rsid w:val="00BA3026"/>
    <w:rsid w:val="00BA3E62"/>
    <w:rsid w:val="00BA3EFF"/>
    <w:rsid w:val="00BA4972"/>
    <w:rsid w:val="00BA5FE7"/>
    <w:rsid w:val="00BA7FAB"/>
    <w:rsid w:val="00BB1C24"/>
    <w:rsid w:val="00BB4CCA"/>
    <w:rsid w:val="00BB6CF6"/>
    <w:rsid w:val="00BB712C"/>
    <w:rsid w:val="00BB7163"/>
    <w:rsid w:val="00BB7AA7"/>
    <w:rsid w:val="00BC6774"/>
    <w:rsid w:val="00BC6EEF"/>
    <w:rsid w:val="00BC7490"/>
    <w:rsid w:val="00BC7887"/>
    <w:rsid w:val="00BC7980"/>
    <w:rsid w:val="00BD2D38"/>
    <w:rsid w:val="00BD4D43"/>
    <w:rsid w:val="00BE0D5C"/>
    <w:rsid w:val="00BE5C0E"/>
    <w:rsid w:val="00BE65E4"/>
    <w:rsid w:val="00BE7082"/>
    <w:rsid w:val="00BF0AA7"/>
    <w:rsid w:val="00BF2132"/>
    <w:rsid w:val="00BF2C60"/>
    <w:rsid w:val="00BF2F97"/>
    <w:rsid w:val="00C0071D"/>
    <w:rsid w:val="00C00739"/>
    <w:rsid w:val="00C00765"/>
    <w:rsid w:val="00C03C71"/>
    <w:rsid w:val="00C06287"/>
    <w:rsid w:val="00C07D7C"/>
    <w:rsid w:val="00C10E52"/>
    <w:rsid w:val="00C112EE"/>
    <w:rsid w:val="00C163DF"/>
    <w:rsid w:val="00C165BF"/>
    <w:rsid w:val="00C20215"/>
    <w:rsid w:val="00C20D5E"/>
    <w:rsid w:val="00C23231"/>
    <w:rsid w:val="00C23583"/>
    <w:rsid w:val="00C26A27"/>
    <w:rsid w:val="00C32BD1"/>
    <w:rsid w:val="00C3306D"/>
    <w:rsid w:val="00C36C67"/>
    <w:rsid w:val="00C37CA5"/>
    <w:rsid w:val="00C4066A"/>
    <w:rsid w:val="00C40D0E"/>
    <w:rsid w:val="00C40FB0"/>
    <w:rsid w:val="00C41899"/>
    <w:rsid w:val="00C41F9C"/>
    <w:rsid w:val="00C469FC"/>
    <w:rsid w:val="00C56BAB"/>
    <w:rsid w:val="00C601A3"/>
    <w:rsid w:val="00C60D92"/>
    <w:rsid w:val="00C65930"/>
    <w:rsid w:val="00C67D0A"/>
    <w:rsid w:val="00C67E1E"/>
    <w:rsid w:val="00C730C7"/>
    <w:rsid w:val="00C7366B"/>
    <w:rsid w:val="00C74B06"/>
    <w:rsid w:val="00C75AB0"/>
    <w:rsid w:val="00C75C41"/>
    <w:rsid w:val="00C76458"/>
    <w:rsid w:val="00C80ED2"/>
    <w:rsid w:val="00C8189D"/>
    <w:rsid w:val="00C82AA4"/>
    <w:rsid w:val="00C8305C"/>
    <w:rsid w:val="00C83A69"/>
    <w:rsid w:val="00C87378"/>
    <w:rsid w:val="00C9075C"/>
    <w:rsid w:val="00C95691"/>
    <w:rsid w:val="00CA1ECD"/>
    <w:rsid w:val="00CA417F"/>
    <w:rsid w:val="00CA4BA2"/>
    <w:rsid w:val="00CA4C7F"/>
    <w:rsid w:val="00CA4CAD"/>
    <w:rsid w:val="00CA4EF1"/>
    <w:rsid w:val="00CA5572"/>
    <w:rsid w:val="00CA7ABE"/>
    <w:rsid w:val="00CB3427"/>
    <w:rsid w:val="00CC135D"/>
    <w:rsid w:val="00CC2B1C"/>
    <w:rsid w:val="00CC2CDE"/>
    <w:rsid w:val="00CD0FA4"/>
    <w:rsid w:val="00CD1394"/>
    <w:rsid w:val="00CD29C7"/>
    <w:rsid w:val="00CD446C"/>
    <w:rsid w:val="00CD4AAD"/>
    <w:rsid w:val="00CE392B"/>
    <w:rsid w:val="00CE436D"/>
    <w:rsid w:val="00CE4EFE"/>
    <w:rsid w:val="00CE4FA0"/>
    <w:rsid w:val="00CE6690"/>
    <w:rsid w:val="00CF0F4D"/>
    <w:rsid w:val="00CF24D9"/>
    <w:rsid w:val="00CF24DF"/>
    <w:rsid w:val="00CF2730"/>
    <w:rsid w:val="00CF2ABE"/>
    <w:rsid w:val="00CF3CF4"/>
    <w:rsid w:val="00CF5974"/>
    <w:rsid w:val="00CF6A77"/>
    <w:rsid w:val="00CF7FF0"/>
    <w:rsid w:val="00D0608D"/>
    <w:rsid w:val="00D06E87"/>
    <w:rsid w:val="00D06EFC"/>
    <w:rsid w:val="00D07B2D"/>
    <w:rsid w:val="00D1197E"/>
    <w:rsid w:val="00D13CB0"/>
    <w:rsid w:val="00D1566D"/>
    <w:rsid w:val="00D1619E"/>
    <w:rsid w:val="00D16E5D"/>
    <w:rsid w:val="00D16F61"/>
    <w:rsid w:val="00D22B34"/>
    <w:rsid w:val="00D240EF"/>
    <w:rsid w:val="00D25347"/>
    <w:rsid w:val="00D27950"/>
    <w:rsid w:val="00D33DA7"/>
    <w:rsid w:val="00D4461B"/>
    <w:rsid w:val="00D468A5"/>
    <w:rsid w:val="00D472D8"/>
    <w:rsid w:val="00D5078B"/>
    <w:rsid w:val="00D51DAF"/>
    <w:rsid w:val="00D5316E"/>
    <w:rsid w:val="00D55CB8"/>
    <w:rsid w:val="00D56FF4"/>
    <w:rsid w:val="00D66183"/>
    <w:rsid w:val="00D71402"/>
    <w:rsid w:val="00D73B8D"/>
    <w:rsid w:val="00D74036"/>
    <w:rsid w:val="00D750E9"/>
    <w:rsid w:val="00D808EE"/>
    <w:rsid w:val="00D80C35"/>
    <w:rsid w:val="00D80C5D"/>
    <w:rsid w:val="00D82850"/>
    <w:rsid w:val="00D85005"/>
    <w:rsid w:val="00D903B1"/>
    <w:rsid w:val="00D90F78"/>
    <w:rsid w:val="00D93663"/>
    <w:rsid w:val="00D94097"/>
    <w:rsid w:val="00D94AC0"/>
    <w:rsid w:val="00DA13B4"/>
    <w:rsid w:val="00DA7DA7"/>
    <w:rsid w:val="00DB0CB2"/>
    <w:rsid w:val="00DB28FE"/>
    <w:rsid w:val="00DB297F"/>
    <w:rsid w:val="00DB2AEF"/>
    <w:rsid w:val="00DB5C33"/>
    <w:rsid w:val="00DB6768"/>
    <w:rsid w:val="00DC148C"/>
    <w:rsid w:val="00DC4C4A"/>
    <w:rsid w:val="00DC4D14"/>
    <w:rsid w:val="00DC5BA7"/>
    <w:rsid w:val="00DD19A6"/>
    <w:rsid w:val="00DD22BE"/>
    <w:rsid w:val="00DD2903"/>
    <w:rsid w:val="00DD41F8"/>
    <w:rsid w:val="00DD6A31"/>
    <w:rsid w:val="00DD6BC4"/>
    <w:rsid w:val="00DD743C"/>
    <w:rsid w:val="00DE0F0F"/>
    <w:rsid w:val="00DE55E6"/>
    <w:rsid w:val="00DE6012"/>
    <w:rsid w:val="00DE6F03"/>
    <w:rsid w:val="00DE77B1"/>
    <w:rsid w:val="00DF0E5B"/>
    <w:rsid w:val="00DF280F"/>
    <w:rsid w:val="00DF3741"/>
    <w:rsid w:val="00DF3D80"/>
    <w:rsid w:val="00DF50DA"/>
    <w:rsid w:val="00E021E6"/>
    <w:rsid w:val="00E04482"/>
    <w:rsid w:val="00E0551A"/>
    <w:rsid w:val="00E07968"/>
    <w:rsid w:val="00E14BE9"/>
    <w:rsid w:val="00E165F7"/>
    <w:rsid w:val="00E16B87"/>
    <w:rsid w:val="00E20405"/>
    <w:rsid w:val="00E20ADD"/>
    <w:rsid w:val="00E2115E"/>
    <w:rsid w:val="00E21BC9"/>
    <w:rsid w:val="00E21F76"/>
    <w:rsid w:val="00E2267F"/>
    <w:rsid w:val="00E2415B"/>
    <w:rsid w:val="00E2704C"/>
    <w:rsid w:val="00E27C9F"/>
    <w:rsid w:val="00E3545D"/>
    <w:rsid w:val="00E35CA0"/>
    <w:rsid w:val="00E43BD2"/>
    <w:rsid w:val="00E4405D"/>
    <w:rsid w:val="00E44837"/>
    <w:rsid w:val="00E47C0B"/>
    <w:rsid w:val="00E53D23"/>
    <w:rsid w:val="00E56811"/>
    <w:rsid w:val="00E576E6"/>
    <w:rsid w:val="00E5781C"/>
    <w:rsid w:val="00E6139F"/>
    <w:rsid w:val="00E61E1E"/>
    <w:rsid w:val="00E62387"/>
    <w:rsid w:val="00E64B3B"/>
    <w:rsid w:val="00E66939"/>
    <w:rsid w:val="00E6693B"/>
    <w:rsid w:val="00E71A05"/>
    <w:rsid w:val="00E720A0"/>
    <w:rsid w:val="00E73161"/>
    <w:rsid w:val="00E81ED4"/>
    <w:rsid w:val="00E823C5"/>
    <w:rsid w:val="00E87529"/>
    <w:rsid w:val="00E90B9D"/>
    <w:rsid w:val="00E923F1"/>
    <w:rsid w:val="00E97EB7"/>
    <w:rsid w:val="00EA13F6"/>
    <w:rsid w:val="00EA225C"/>
    <w:rsid w:val="00EA2FF3"/>
    <w:rsid w:val="00EA4E4D"/>
    <w:rsid w:val="00EB076D"/>
    <w:rsid w:val="00EB3D8A"/>
    <w:rsid w:val="00EB4338"/>
    <w:rsid w:val="00EB4AF9"/>
    <w:rsid w:val="00EB6700"/>
    <w:rsid w:val="00EB6C25"/>
    <w:rsid w:val="00EB711D"/>
    <w:rsid w:val="00EB762A"/>
    <w:rsid w:val="00EB7CA1"/>
    <w:rsid w:val="00EC2C51"/>
    <w:rsid w:val="00EC3F63"/>
    <w:rsid w:val="00EC6843"/>
    <w:rsid w:val="00ED030C"/>
    <w:rsid w:val="00ED126D"/>
    <w:rsid w:val="00ED1639"/>
    <w:rsid w:val="00ED2536"/>
    <w:rsid w:val="00ED3DF2"/>
    <w:rsid w:val="00ED4A10"/>
    <w:rsid w:val="00ED79E3"/>
    <w:rsid w:val="00ED7BC8"/>
    <w:rsid w:val="00ED7D23"/>
    <w:rsid w:val="00EE05E4"/>
    <w:rsid w:val="00EE0E84"/>
    <w:rsid w:val="00EE308D"/>
    <w:rsid w:val="00EE3EC0"/>
    <w:rsid w:val="00EE40B0"/>
    <w:rsid w:val="00EE44C9"/>
    <w:rsid w:val="00EE6730"/>
    <w:rsid w:val="00EE7C9B"/>
    <w:rsid w:val="00EF1D45"/>
    <w:rsid w:val="00EF2769"/>
    <w:rsid w:val="00EF3048"/>
    <w:rsid w:val="00EF4DF3"/>
    <w:rsid w:val="00EF50AC"/>
    <w:rsid w:val="00EF50E1"/>
    <w:rsid w:val="00F01614"/>
    <w:rsid w:val="00F01DD0"/>
    <w:rsid w:val="00F024E7"/>
    <w:rsid w:val="00F02843"/>
    <w:rsid w:val="00F0319F"/>
    <w:rsid w:val="00F06CDF"/>
    <w:rsid w:val="00F072DB"/>
    <w:rsid w:val="00F0799D"/>
    <w:rsid w:val="00F10103"/>
    <w:rsid w:val="00F11FA0"/>
    <w:rsid w:val="00F17A5A"/>
    <w:rsid w:val="00F209D8"/>
    <w:rsid w:val="00F20B5A"/>
    <w:rsid w:val="00F20BE1"/>
    <w:rsid w:val="00F23AEB"/>
    <w:rsid w:val="00F26228"/>
    <w:rsid w:val="00F26F5E"/>
    <w:rsid w:val="00F27991"/>
    <w:rsid w:val="00F27B9E"/>
    <w:rsid w:val="00F27ED1"/>
    <w:rsid w:val="00F30E29"/>
    <w:rsid w:val="00F3374F"/>
    <w:rsid w:val="00F357CB"/>
    <w:rsid w:val="00F43E41"/>
    <w:rsid w:val="00F46297"/>
    <w:rsid w:val="00F4679C"/>
    <w:rsid w:val="00F5171A"/>
    <w:rsid w:val="00F5172B"/>
    <w:rsid w:val="00F51FEC"/>
    <w:rsid w:val="00F53655"/>
    <w:rsid w:val="00F571D8"/>
    <w:rsid w:val="00F57990"/>
    <w:rsid w:val="00F6071E"/>
    <w:rsid w:val="00F62067"/>
    <w:rsid w:val="00F6309C"/>
    <w:rsid w:val="00F65284"/>
    <w:rsid w:val="00F66AE9"/>
    <w:rsid w:val="00F711FF"/>
    <w:rsid w:val="00F71512"/>
    <w:rsid w:val="00F7399E"/>
    <w:rsid w:val="00F74322"/>
    <w:rsid w:val="00F74C99"/>
    <w:rsid w:val="00F74FA5"/>
    <w:rsid w:val="00F77E6A"/>
    <w:rsid w:val="00F80674"/>
    <w:rsid w:val="00F80B30"/>
    <w:rsid w:val="00F81160"/>
    <w:rsid w:val="00F813A7"/>
    <w:rsid w:val="00F81D93"/>
    <w:rsid w:val="00F83427"/>
    <w:rsid w:val="00F86C55"/>
    <w:rsid w:val="00F86C62"/>
    <w:rsid w:val="00F87F12"/>
    <w:rsid w:val="00F920DD"/>
    <w:rsid w:val="00F93164"/>
    <w:rsid w:val="00F93493"/>
    <w:rsid w:val="00F93E22"/>
    <w:rsid w:val="00F940A3"/>
    <w:rsid w:val="00F9413F"/>
    <w:rsid w:val="00F94CEE"/>
    <w:rsid w:val="00F94D21"/>
    <w:rsid w:val="00F9572F"/>
    <w:rsid w:val="00F95E3A"/>
    <w:rsid w:val="00FA081E"/>
    <w:rsid w:val="00FA11D0"/>
    <w:rsid w:val="00FA3695"/>
    <w:rsid w:val="00FA406D"/>
    <w:rsid w:val="00FA4570"/>
    <w:rsid w:val="00FA743F"/>
    <w:rsid w:val="00FB1642"/>
    <w:rsid w:val="00FB2149"/>
    <w:rsid w:val="00FB2941"/>
    <w:rsid w:val="00FB3903"/>
    <w:rsid w:val="00FB709A"/>
    <w:rsid w:val="00FC19A6"/>
    <w:rsid w:val="00FC3C87"/>
    <w:rsid w:val="00FC6375"/>
    <w:rsid w:val="00FC6A77"/>
    <w:rsid w:val="00FD1654"/>
    <w:rsid w:val="00FD2326"/>
    <w:rsid w:val="00FD2717"/>
    <w:rsid w:val="00FD36E9"/>
    <w:rsid w:val="00FD4BF4"/>
    <w:rsid w:val="00FD582B"/>
    <w:rsid w:val="00FE02DD"/>
    <w:rsid w:val="00FE1536"/>
    <w:rsid w:val="00FE25EE"/>
    <w:rsid w:val="00FE4491"/>
    <w:rsid w:val="00FE656B"/>
    <w:rsid w:val="00FE7F7F"/>
    <w:rsid w:val="00FF0EF7"/>
    <w:rsid w:val="00FF11F5"/>
    <w:rsid w:val="00FF2D07"/>
    <w:rsid w:val="00FF33C4"/>
    <w:rsid w:val="00FF37AD"/>
    <w:rsid w:val="00FF6218"/>
    <w:rsid w:val="00FF6D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footer" w:uiPriority="0"/>
    <w:lsdException w:name="caption" w:qFormat="1"/>
    <w:lsdException w:name="table of figures"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6A"/>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2D1680"/>
    <w:pPr>
      <w:keepNext w:val="0"/>
      <w:numPr>
        <w:ilvl w:val="2"/>
      </w:numPr>
      <w:spacing w:before="300" w:after="0" w:line="260" w:lineRule="atLeast"/>
      <w:ind w:right="0"/>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2D1680"/>
    <w:rPr>
      <w:rFonts w:ascii="Franklin Gothic Demi" w:eastAsia="Times New Roman" w:hAnsi="Franklin Gothic Demi" w:cs="Arial"/>
      <w:color w:val="54534A"/>
      <w:kern w:val="28"/>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0721CB"/>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7E0473"/>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7E0473"/>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0721CB"/>
    <w:pPr>
      <w:keepLines/>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246E5F"/>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246E5F"/>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4C4A3E"/>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aliases w:val="List Paragraph1,List Paragraph11"/>
    <w:basedOn w:val="BodyText"/>
    <w:link w:val="ListParagraphChar"/>
    <w:uiPriority w:val="34"/>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0721CB"/>
    <w:pPr>
      <w:numPr>
        <w:numId w:val="49"/>
      </w:numPr>
      <w:ind w:left="357" w:hanging="357"/>
    </w:pPr>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spacing w:before="0"/>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uiPriority w:val="99"/>
    <w:rsid w:val="0050529F"/>
    <w:rPr>
      <w:rFonts w:ascii="Franklin Gothic Medium" w:hAnsi="Franklin Gothic Medium"/>
      <w:vanish/>
      <w:color w:val="FF00FF"/>
      <w:sz w:val="16"/>
      <w:szCs w:val="16"/>
    </w:rPr>
  </w:style>
  <w:style w:type="paragraph" w:styleId="CommentText">
    <w:name w:val="annotation text"/>
    <w:basedOn w:val="BodyText"/>
    <w:link w:val="CommentTextChar"/>
    <w:uiPriority w:val="99"/>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0721CB"/>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aliases w:val="ADB,ft,Fußnotentextf,fn,single space,FOOTNOTES,Fußnotentext Char,Footnote text,Footnote Text Char2 Char,Footnote Text Char1 Char Char,Footnote Text Char2 Char Char Char,Footno,Char Char3,ALTS FOOTNOTE,ft Char Char Char,Footnote Text Char1"/>
    <w:basedOn w:val="BodyText"/>
    <w:link w:val="FootnoteTextChar"/>
    <w:uiPriority w:val="99"/>
    <w:unhideWhenUsed/>
    <w:qFormat/>
    <w:rsid w:val="002D1680"/>
    <w:pPr>
      <w:spacing w:after="0"/>
      <w:contextualSpacing/>
    </w:pPr>
    <w:rPr>
      <w:sz w:val="16"/>
      <w:szCs w:val="20"/>
    </w:rPr>
  </w:style>
  <w:style w:type="character" w:customStyle="1" w:styleId="FootnoteTextChar">
    <w:name w:val="Footnote Text Char"/>
    <w:aliases w:val="ADB Char,ft Char,Fußnotentextf Char,fn Char,single space Char,FOOTNOTES Char,Fußnotentext Char Char,Footnote text Char,Footnote Text Char2 Char Char,Footnote Text Char1 Char Char Char,Footnote Text Char2 Char Char Char Char"/>
    <w:basedOn w:val="DefaultParagraphFont"/>
    <w:link w:val="FootnoteText"/>
    <w:uiPriority w:val="99"/>
    <w:rsid w:val="002D1680"/>
    <w:rPr>
      <w:rFonts w:ascii="Times New Roman" w:eastAsia="Times New Roman" w:hAnsi="Times New Roman" w:cs="Times New Roman"/>
      <w:sz w:val="16"/>
      <w:szCs w:val="20"/>
    </w:rPr>
  </w:style>
  <w:style w:type="character" w:styleId="FootnoteReference">
    <w:name w:val="footnote reference"/>
    <w:aliases w:val="ftref,fr,16 Point,Superscript 6 Point,Normal + Font:9 Point,Superscript 3 Point Times,Ref,de nota al pie,(NECG) Footnote Reference"/>
    <w:uiPriority w:val="99"/>
    <w:rsid w:val="00F77E6A"/>
    <w:rPr>
      <w:rFonts w:ascii="Times New Roman" w:hAnsi="Times New Roman"/>
      <w:w w:val="100"/>
      <w:position w:val="6"/>
      <w:sz w:val="16"/>
      <w:szCs w:val="12"/>
      <w:vertAlign w:val="baseline"/>
    </w:rPr>
  </w:style>
  <w:style w:type="paragraph" w:customStyle="1" w:styleId="Default">
    <w:name w:val="Default"/>
    <w:rsid w:val="00FB1642"/>
    <w:pPr>
      <w:autoSpaceDE w:val="0"/>
      <w:autoSpaceDN w:val="0"/>
      <w:adjustRightInd w:val="0"/>
      <w:spacing w:after="0" w:line="240" w:lineRule="auto"/>
    </w:pPr>
    <w:rPr>
      <w:rFonts w:ascii="Calibri" w:hAnsi="Calibri" w:cs="Calibri"/>
      <w:color w:val="000000"/>
      <w:sz w:val="24"/>
      <w:szCs w:val="24"/>
      <w:lang w:val="en-NZ" w:eastAsia="en-US"/>
    </w:rPr>
  </w:style>
  <w:style w:type="character" w:styleId="Strong">
    <w:name w:val="Strong"/>
    <w:basedOn w:val="DefaultParagraphFont"/>
    <w:qFormat/>
    <w:rsid w:val="00A671EE"/>
    <w:rPr>
      <w:b/>
      <w:bCs/>
    </w:rPr>
  </w:style>
  <w:style w:type="paragraph" w:styleId="NormalWeb">
    <w:name w:val="Normal (Web)"/>
    <w:basedOn w:val="Normal"/>
    <w:uiPriority w:val="99"/>
    <w:unhideWhenUsed/>
    <w:rsid w:val="00D90F78"/>
    <w:pPr>
      <w:spacing w:before="100" w:beforeAutospacing="1" w:after="100" w:afterAutospacing="1"/>
    </w:pPr>
    <w:rPr>
      <w:rFonts w:eastAsia="Times New Roman"/>
      <w:sz w:val="24"/>
      <w:lang w:val="en-NZ" w:eastAsia="en-NZ"/>
    </w:rPr>
  </w:style>
  <w:style w:type="paragraph" w:customStyle="1" w:styleId="CONLevel1">
    <w:name w:val=".CON  Level   1."/>
    <w:basedOn w:val="Normal"/>
    <w:uiPriority w:val="99"/>
    <w:rsid w:val="00FF6218"/>
    <w:pPr>
      <w:keepNext/>
      <w:numPr>
        <w:numId w:val="31"/>
      </w:numPr>
      <w:spacing w:before="240"/>
    </w:pPr>
    <w:rPr>
      <w:rFonts w:eastAsiaTheme="minorHAnsi"/>
      <w:b/>
      <w:bCs/>
      <w:sz w:val="24"/>
      <w:lang w:eastAsia="en-US"/>
    </w:rPr>
  </w:style>
  <w:style w:type="paragraph" w:customStyle="1" w:styleId="CONLevel11">
    <w:name w:val=".CON  Level   1.1"/>
    <w:basedOn w:val="Normal"/>
    <w:uiPriority w:val="99"/>
    <w:rsid w:val="00FF6218"/>
    <w:pPr>
      <w:numPr>
        <w:ilvl w:val="1"/>
        <w:numId w:val="31"/>
      </w:numPr>
      <w:spacing w:before="240"/>
    </w:pPr>
    <w:rPr>
      <w:rFonts w:ascii="Calibri" w:eastAsiaTheme="minorHAnsi" w:hAnsi="Calibri" w:cs="Calibri"/>
      <w:sz w:val="22"/>
      <w:szCs w:val="22"/>
      <w:lang w:eastAsia="en-US"/>
    </w:rPr>
  </w:style>
  <w:style w:type="character" w:customStyle="1" w:styleId="CONLevelaChar">
    <w:name w:val=".CON  Level  (a) Char"/>
    <w:basedOn w:val="DefaultParagraphFont"/>
    <w:link w:val="CONLevela"/>
    <w:locked/>
    <w:rsid w:val="00FF6218"/>
  </w:style>
  <w:style w:type="paragraph" w:customStyle="1" w:styleId="CONLevela">
    <w:name w:val=".CON  Level  (a)"/>
    <w:basedOn w:val="Normal"/>
    <w:link w:val="CONLevelaChar"/>
    <w:rsid w:val="00FF6218"/>
    <w:pPr>
      <w:numPr>
        <w:ilvl w:val="2"/>
        <w:numId w:val="31"/>
      </w:numPr>
      <w:spacing w:before="240"/>
    </w:pPr>
    <w:rPr>
      <w:rFonts w:asciiTheme="minorHAnsi" w:eastAsiaTheme="minorHAnsi" w:hAnsiTheme="minorHAnsi" w:cstheme="minorBidi"/>
      <w:sz w:val="22"/>
      <w:szCs w:val="22"/>
    </w:rPr>
  </w:style>
  <w:style w:type="paragraph" w:customStyle="1" w:styleId="CONLeveli">
    <w:name w:val=".CON  Level  (i)"/>
    <w:basedOn w:val="Normal"/>
    <w:uiPriority w:val="99"/>
    <w:rsid w:val="00FF6218"/>
    <w:pPr>
      <w:numPr>
        <w:ilvl w:val="3"/>
        <w:numId w:val="31"/>
      </w:numPr>
      <w:spacing w:before="240"/>
    </w:pPr>
    <w:rPr>
      <w:rFonts w:eastAsiaTheme="minorHAnsi"/>
      <w:sz w:val="24"/>
      <w:lang w:eastAsia="en-US"/>
    </w:rPr>
  </w:style>
  <w:style w:type="paragraph" w:customStyle="1" w:styleId="CONLevelA0">
    <w:name w:val=".CON  Level (A)"/>
    <w:basedOn w:val="Normal"/>
    <w:uiPriority w:val="99"/>
    <w:rsid w:val="00FF6218"/>
    <w:pPr>
      <w:numPr>
        <w:ilvl w:val="4"/>
        <w:numId w:val="31"/>
      </w:numPr>
      <w:spacing w:before="240"/>
    </w:pPr>
    <w:rPr>
      <w:rFonts w:eastAsiaTheme="minorHAnsi"/>
      <w:sz w:val="24"/>
      <w:lang w:eastAsia="en-US"/>
    </w:rPr>
  </w:style>
  <w:style w:type="paragraph" w:customStyle="1" w:styleId="CONLevelI0">
    <w:name w:val=".CON  Level (I)"/>
    <w:basedOn w:val="Normal"/>
    <w:uiPriority w:val="99"/>
    <w:rsid w:val="00FF6218"/>
    <w:pPr>
      <w:numPr>
        <w:ilvl w:val="5"/>
        <w:numId w:val="31"/>
      </w:numPr>
      <w:spacing w:before="240"/>
    </w:pPr>
    <w:rPr>
      <w:rFonts w:eastAsiaTheme="minorHAnsi"/>
      <w:sz w:val="24"/>
      <w:lang w:eastAsia="en-US"/>
    </w:rPr>
  </w:style>
  <w:style w:type="character" w:customStyle="1" w:styleId="ListParagraphChar">
    <w:name w:val="List Paragraph Char"/>
    <w:aliases w:val="List Paragraph1 Char,List Paragraph11 Char"/>
    <w:basedOn w:val="DefaultParagraphFont"/>
    <w:link w:val="ListParagraph"/>
    <w:uiPriority w:val="34"/>
    <w:locked/>
    <w:rsid w:val="00DE6012"/>
    <w:rPr>
      <w:rFonts w:ascii="Times New Roman" w:eastAsia="Times New Roman" w:hAnsi="Times New Roman" w:cs="Times New Roman"/>
      <w:szCs w:val="24"/>
    </w:rPr>
  </w:style>
  <w:style w:type="character" w:customStyle="1" w:styleId="st">
    <w:name w:val="st"/>
    <w:basedOn w:val="DefaultParagraphFont"/>
    <w:rsid w:val="003B3E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footer" w:uiPriority="0"/>
    <w:lsdException w:name="caption" w:qFormat="1"/>
    <w:lsdException w:name="table of figures"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6A"/>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2D1680"/>
    <w:pPr>
      <w:keepNext w:val="0"/>
      <w:numPr>
        <w:ilvl w:val="2"/>
      </w:numPr>
      <w:spacing w:before="300" w:after="0" w:line="260" w:lineRule="atLeast"/>
      <w:ind w:right="0"/>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2D1680"/>
    <w:rPr>
      <w:rFonts w:ascii="Franklin Gothic Demi" w:eastAsia="Times New Roman" w:hAnsi="Franklin Gothic Demi" w:cs="Arial"/>
      <w:color w:val="54534A"/>
      <w:kern w:val="28"/>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0721CB"/>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7E0473"/>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7E0473"/>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0721CB"/>
    <w:pPr>
      <w:keepLines/>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246E5F"/>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246E5F"/>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4C4A3E"/>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aliases w:val="List Paragraph1,List Paragraph11"/>
    <w:basedOn w:val="BodyText"/>
    <w:link w:val="ListParagraphChar"/>
    <w:uiPriority w:val="34"/>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0721CB"/>
    <w:pPr>
      <w:numPr>
        <w:numId w:val="49"/>
      </w:numPr>
      <w:ind w:left="357" w:hanging="357"/>
    </w:pPr>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spacing w:before="0"/>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uiPriority w:val="99"/>
    <w:rsid w:val="0050529F"/>
    <w:rPr>
      <w:rFonts w:ascii="Franklin Gothic Medium" w:hAnsi="Franklin Gothic Medium"/>
      <w:vanish/>
      <w:color w:val="FF00FF"/>
      <w:sz w:val="16"/>
      <w:szCs w:val="16"/>
    </w:rPr>
  </w:style>
  <w:style w:type="paragraph" w:styleId="CommentText">
    <w:name w:val="annotation text"/>
    <w:basedOn w:val="BodyText"/>
    <w:link w:val="CommentTextChar"/>
    <w:uiPriority w:val="99"/>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0721CB"/>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aliases w:val="ADB,ft,Fußnotentextf,fn,single space,FOOTNOTES,Fußnotentext Char,Footnote text,Footnote Text Char2 Char,Footnote Text Char1 Char Char,Footnote Text Char2 Char Char Char,Footno,Char Char3,ALTS FOOTNOTE,ft Char Char Char,Footnote Text Char1"/>
    <w:basedOn w:val="BodyText"/>
    <w:link w:val="FootnoteTextChar"/>
    <w:uiPriority w:val="99"/>
    <w:unhideWhenUsed/>
    <w:qFormat/>
    <w:rsid w:val="002D1680"/>
    <w:pPr>
      <w:spacing w:after="0"/>
      <w:contextualSpacing/>
    </w:pPr>
    <w:rPr>
      <w:sz w:val="16"/>
      <w:szCs w:val="20"/>
    </w:rPr>
  </w:style>
  <w:style w:type="character" w:customStyle="1" w:styleId="FootnoteTextChar">
    <w:name w:val="Footnote Text Char"/>
    <w:aliases w:val="ADB Char,ft Char,Fußnotentextf Char,fn Char,single space Char,FOOTNOTES Char,Fußnotentext Char Char,Footnote text Char,Footnote Text Char2 Char Char,Footnote Text Char1 Char Char Char,Footnote Text Char2 Char Char Char Char"/>
    <w:basedOn w:val="DefaultParagraphFont"/>
    <w:link w:val="FootnoteText"/>
    <w:uiPriority w:val="99"/>
    <w:rsid w:val="002D1680"/>
    <w:rPr>
      <w:rFonts w:ascii="Times New Roman" w:eastAsia="Times New Roman" w:hAnsi="Times New Roman" w:cs="Times New Roman"/>
      <w:sz w:val="16"/>
      <w:szCs w:val="20"/>
    </w:rPr>
  </w:style>
  <w:style w:type="character" w:styleId="FootnoteReference">
    <w:name w:val="footnote reference"/>
    <w:aliases w:val="ftref,fr,16 Point,Superscript 6 Point,Normal + Font:9 Point,Superscript 3 Point Times,Ref,de nota al pie,(NECG) Footnote Reference"/>
    <w:uiPriority w:val="99"/>
    <w:rsid w:val="00F77E6A"/>
    <w:rPr>
      <w:rFonts w:ascii="Times New Roman" w:hAnsi="Times New Roman"/>
      <w:w w:val="100"/>
      <w:position w:val="6"/>
      <w:sz w:val="16"/>
      <w:szCs w:val="12"/>
      <w:vertAlign w:val="baseline"/>
    </w:rPr>
  </w:style>
  <w:style w:type="paragraph" w:customStyle="1" w:styleId="Default">
    <w:name w:val="Default"/>
    <w:rsid w:val="00FB1642"/>
    <w:pPr>
      <w:autoSpaceDE w:val="0"/>
      <w:autoSpaceDN w:val="0"/>
      <w:adjustRightInd w:val="0"/>
      <w:spacing w:after="0" w:line="240" w:lineRule="auto"/>
    </w:pPr>
    <w:rPr>
      <w:rFonts w:ascii="Calibri" w:hAnsi="Calibri" w:cs="Calibri"/>
      <w:color w:val="000000"/>
      <w:sz w:val="24"/>
      <w:szCs w:val="24"/>
      <w:lang w:val="en-NZ" w:eastAsia="en-US"/>
    </w:rPr>
  </w:style>
  <w:style w:type="character" w:styleId="Strong">
    <w:name w:val="Strong"/>
    <w:basedOn w:val="DefaultParagraphFont"/>
    <w:qFormat/>
    <w:rsid w:val="00A671EE"/>
    <w:rPr>
      <w:b/>
      <w:bCs/>
    </w:rPr>
  </w:style>
  <w:style w:type="paragraph" w:styleId="NormalWeb">
    <w:name w:val="Normal (Web)"/>
    <w:basedOn w:val="Normal"/>
    <w:uiPriority w:val="99"/>
    <w:unhideWhenUsed/>
    <w:rsid w:val="00D90F78"/>
    <w:pPr>
      <w:spacing w:before="100" w:beforeAutospacing="1" w:after="100" w:afterAutospacing="1"/>
    </w:pPr>
    <w:rPr>
      <w:rFonts w:eastAsia="Times New Roman"/>
      <w:sz w:val="24"/>
      <w:lang w:val="en-NZ" w:eastAsia="en-NZ"/>
    </w:rPr>
  </w:style>
  <w:style w:type="paragraph" w:customStyle="1" w:styleId="CONLevel1">
    <w:name w:val=".CON  Level   1."/>
    <w:basedOn w:val="Normal"/>
    <w:uiPriority w:val="99"/>
    <w:rsid w:val="00FF6218"/>
    <w:pPr>
      <w:keepNext/>
      <w:numPr>
        <w:numId w:val="31"/>
      </w:numPr>
      <w:spacing w:before="240"/>
    </w:pPr>
    <w:rPr>
      <w:rFonts w:eastAsiaTheme="minorHAnsi"/>
      <w:b/>
      <w:bCs/>
      <w:sz w:val="24"/>
      <w:lang w:eastAsia="en-US"/>
    </w:rPr>
  </w:style>
  <w:style w:type="paragraph" w:customStyle="1" w:styleId="CONLevel11">
    <w:name w:val=".CON  Level   1.1"/>
    <w:basedOn w:val="Normal"/>
    <w:uiPriority w:val="99"/>
    <w:rsid w:val="00FF6218"/>
    <w:pPr>
      <w:numPr>
        <w:ilvl w:val="1"/>
        <w:numId w:val="31"/>
      </w:numPr>
      <w:spacing w:before="240"/>
    </w:pPr>
    <w:rPr>
      <w:rFonts w:ascii="Calibri" w:eastAsiaTheme="minorHAnsi" w:hAnsi="Calibri" w:cs="Calibri"/>
      <w:sz w:val="22"/>
      <w:szCs w:val="22"/>
      <w:lang w:eastAsia="en-US"/>
    </w:rPr>
  </w:style>
  <w:style w:type="character" w:customStyle="1" w:styleId="CONLevelaChar">
    <w:name w:val=".CON  Level  (a) Char"/>
    <w:basedOn w:val="DefaultParagraphFont"/>
    <w:link w:val="CONLevela"/>
    <w:locked/>
    <w:rsid w:val="00FF6218"/>
  </w:style>
  <w:style w:type="paragraph" w:customStyle="1" w:styleId="CONLevela">
    <w:name w:val=".CON  Level  (a)"/>
    <w:basedOn w:val="Normal"/>
    <w:link w:val="CONLevelaChar"/>
    <w:rsid w:val="00FF6218"/>
    <w:pPr>
      <w:numPr>
        <w:ilvl w:val="2"/>
        <w:numId w:val="31"/>
      </w:numPr>
      <w:spacing w:before="240"/>
    </w:pPr>
    <w:rPr>
      <w:rFonts w:asciiTheme="minorHAnsi" w:eastAsiaTheme="minorHAnsi" w:hAnsiTheme="minorHAnsi" w:cstheme="minorBidi"/>
      <w:sz w:val="22"/>
      <w:szCs w:val="22"/>
    </w:rPr>
  </w:style>
  <w:style w:type="paragraph" w:customStyle="1" w:styleId="CONLeveli">
    <w:name w:val=".CON  Level  (i)"/>
    <w:basedOn w:val="Normal"/>
    <w:uiPriority w:val="99"/>
    <w:rsid w:val="00FF6218"/>
    <w:pPr>
      <w:numPr>
        <w:ilvl w:val="3"/>
        <w:numId w:val="31"/>
      </w:numPr>
      <w:spacing w:before="240"/>
    </w:pPr>
    <w:rPr>
      <w:rFonts w:eastAsiaTheme="minorHAnsi"/>
      <w:sz w:val="24"/>
      <w:lang w:eastAsia="en-US"/>
    </w:rPr>
  </w:style>
  <w:style w:type="paragraph" w:customStyle="1" w:styleId="CONLevelA0">
    <w:name w:val=".CON  Level (A)"/>
    <w:basedOn w:val="Normal"/>
    <w:uiPriority w:val="99"/>
    <w:rsid w:val="00FF6218"/>
    <w:pPr>
      <w:numPr>
        <w:ilvl w:val="4"/>
        <w:numId w:val="31"/>
      </w:numPr>
      <w:spacing w:before="240"/>
    </w:pPr>
    <w:rPr>
      <w:rFonts w:eastAsiaTheme="minorHAnsi"/>
      <w:sz w:val="24"/>
      <w:lang w:eastAsia="en-US"/>
    </w:rPr>
  </w:style>
  <w:style w:type="paragraph" w:customStyle="1" w:styleId="CONLevelI0">
    <w:name w:val=".CON  Level (I)"/>
    <w:basedOn w:val="Normal"/>
    <w:uiPriority w:val="99"/>
    <w:rsid w:val="00FF6218"/>
    <w:pPr>
      <w:numPr>
        <w:ilvl w:val="5"/>
        <w:numId w:val="31"/>
      </w:numPr>
      <w:spacing w:before="240"/>
    </w:pPr>
    <w:rPr>
      <w:rFonts w:eastAsiaTheme="minorHAnsi"/>
      <w:sz w:val="24"/>
      <w:lang w:eastAsia="en-US"/>
    </w:rPr>
  </w:style>
  <w:style w:type="character" w:customStyle="1" w:styleId="ListParagraphChar">
    <w:name w:val="List Paragraph Char"/>
    <w:aliases w:val="List Paragraph1 Char,List Paragraph11 Char"/>
    <w:basedOn w:val="DefaultParagraphFont"/>
    <w:link w:val="ListParagraph"/>
    <w:uiPriority w:val="34"/>
    <w:locked/>
    <w:rsid w:val="00DE6012"/>
    <w:rPr>
      <w:rFonts w:ascii="Times New Roman" w:eastAsia="Times New Roman" w:hAnsi="Times New Roman" w:cs="Times New Roman"/>
      <w:szCs w:val="24"/>
    </w:rPr>
  </w:style>
  <w:style w:type="character" w:customStyle="1" w:styleId="st">
    <w:name w:val="st"/>
    <w:basedOn w:val="DefaultParagraphFont"/>
    <w:rsid w:val="003B3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5895">
      <w:bodyDiv w:val="1"/>
      <w:marLeft w:val="0"/>
      <w:marRight w:val="0"/>
      <w:marTop w:val="0"/>
      <w:marBottom w:val="0"/>
      <w:divBdr>
        <w:top w:val="none" w:sz="0" w:space="0" w:color="auto"/>
        <w:left w:val="none" w:sz="0" w:space="0" w:color="auto"/>
        <w:bottom w:val="none" w:sz="0" w:space="0" w:color="auto"/>
        <w:right w:val="none" w:sz="0" w:space="0" w:color="auto"/>
      </w:divBdr>
    </w:div>
    <w:div w:id="53966959">
      <w:bodyDiv w:val="1"/>
      <w:marLeft w:val="0"/>
      <w:marRight w:val="0"/>
      <w:marTop w:val="0"/>
      <w:marBottom w:val="0"/>
      <w:divBdr>
        <w:top w:val="none" w:sz="0" w:space="0" w:color="auto"/>
        <w:left w:val="none" w:sz="0" w:space="0" w:color="auto"/>
        <w:bottom w:val="none" w:sz="0" w:space="0" w:color="auto"/>
        <w:right w:val="none" w:sz="0" w:space="0" w:color="auto"/>
      </w:divBdr>
    </w:div>
    <w:div w:id="233274799">
      <w:bodyDiv w:val="1"/>
      <w:marLeft w:val="0"/>
      <w:marRight w:val="0"/>
      <w:marTop w:val="0"/>
      <w:marBottom w:val="0"/>
      <w:divBdr>
        <w:top w:val="none" w:sz="0" w:space="0" w:color="auto"/>
        <w:left w:val="none" w:sz="0" w:space="0" w:color="auto"/>
        <w:bottom w:val="none" w:sz="0" w:space="0" w:color="auto"/>
        <w:right w:val="none" w:sz="0" w:space="0" w:color="auto"/>
      </w:divBdr>
    </w:div>
    <w:div w:id="408311686">
      <w:bodyDiv w:val="1"/>
      <w:marLeft w:val="0"/>
      <w:marRight w:val="0"/>
      <w:marTop w:val="0"/>
      <w:marBottom w:val="0"/>
      <w:divBdr>
        <w:top w:val="none" w:sz="0" w:space="0" w:color="auto"/>
        <w:left w:val="none" w:sz="0" w:space="0" w:color="auto"/>
        <w:bottom w:val="none" w:sz="0" w:space="0" w:color="auto"/>
        <w:right w:val="none" w:sz="0" w:space="0" w:color="auto"/>
      </w:divBdr>
    </w:div>
    <w:div w:id="573198389">
      <w:bodyDiv w:val="1"/>
      <w:marLeft w:val="0"/>
      <w:marRight w:val="0"/>
      <w:marTop w:val="0"/>
      <w:marBottom w:val="0"/>
      <w:divBdr>
        <w:top w:val="none" w:sz="0" w:space="0" w:color="auto"/>
        <w:left w:val="none" w:sz="0" w:space="0" w:color="auto"/>
        <w:bottom w:val="none" w:sz="0" w:space="0" w:color="auto"/>
        <w:right w:val="none" w:sz="0" w:space="0" w:color="auto"/>
      </w:divBdr>
    </w:div>
    <w:div w:id="592976369">
      <w:bodyDiv w:val="1"/>
      <w:marLeft w:val="0"/>
      <w:marRight w:val="0"/>
      <w:marTop w:val="0"/>
      <w:marBottom w:val="0"/>
      <w:divBdr>
        <w:top w:val="none" w:sz="0" w:space="0" w:color="auto"/>
        <w:left w:val="none" w:sz="0" w:space="0" w:color="auto"/>
        <w:bottom w:val="none" w:sz="0" w:space="0" w:color="auto"/>
        <w:right w:val="none" w:sz="0" w:space="0" w:color="auto"/>
      </w:divBdr>
    </w:div>
    <w:div w:id="604122288">
      <w:bodyDiv w:val="1"/>
      <w:marLeft w:val="0"/>
      <w:marRight w:val="0"/>
      <w:marTop w:val="0"/>
      <w:marBottom w:val="0"/>
      <w:divBdr>
        <w:top w:val="none" w:sz="0" w:space="0" w:color="auto"/>
        <w:left w:val="none" w:sz="0" w:space="0" w:color="auto"/>
        <w:bottom w:val="none" w:sz="0" w:space="0" w:color="auto"/>
        <w:right w:val="none" w:sz="0" w:space="0" w:color="auto"/>
      </w:divBdr>
    </w:div>
    <w:div w:id="679161776">
      <w:bodyDiv w:val="1"/>
      <w:marLeft w:val="0"/>
      <w:marRight w:val="0"/>
      <w:marTop w:val="0"/>
      <w:marBottom w:val="0"/>
      <w:divBdr>
        <w:top w:val="none" w:sz="0" w:space="0" w:color="auto"/>
        <w:left w:val="none" w:sz="0" w:space="0" w:color="auto"/>
        <w:bottom w:val="none" w:sz="0" w:space="0" w:color="auto"/>
        <w:right w:val="none" w:sz="0" w:space="0" w:color="auto"/>
      </w:divBdr>
    </w:div>
    <w:div w:id="975524972">
      <w:bodyDiv w:val="1"/>
      <w:marLeft w:val="0"/>
      <w:marRight w:val="0"/>
      <w:marTop w:val="0"/>
      <w:marBottom w:val="0"/>
      <w:divBdr>
        <w:top w:val="none" w:sz="0" w:space="0" w:color="auto"/>
        <w:left w:val="none" w:sz="0" w:space="0" w:color="auto"/>
        <w:bottom w:val="none" w:sz="0" w:space="0" w:color="auto"/>
        <w:right w:val="none" w:sz="0" w:space="0" w:color="auto"/>
      </w:divBdr>
      <w:divsChild>
        <w:div w:id="792552383">
          <w:marLeft w:val="0"/>
          <w:marRight w:val="0"/>
          <w:marTop w:val="0"/>
          <w:marBottom w:val="0"/>
          <w:divBdr>
            <w:top w:val="none" w:sz="0" w:space="0" w:color="auto"/>
            <w:left w:val="none" w:sz="0" w:space="0" w:color="auto"/>
            <w:bottom w:val="none" w:sz="0" w:space="0" w:color="auto"/>
            <w:right w:val="none" w:sz="0" w:space="0" w:color="auto"/>
          </w:divBdr>
          <w:divsChild>
            <w:div w:id="385105812">
              <w:marLeft w:val="0"/>
              <w:marRight w:val="0"/>
              <w:marTop w:val="0"/>
              <w:marBottom w:val="0"/>
              <w:divBdr>
                <w:top w:val="none" w:sz="0" w:space="0" w:color="auto"/>
                <w:left w:val="none" w:sz="0" w:space="0" w:color="auto"/>
                <w:bottom w:val="none" w:sz="0" w:space="0" w:color="auto"/>
                <w:right w:val="none" w:sz="0" w:space="0" w:color="auto"/>
              </w:divBdr>
              <w:divsChild>
                <w:div w:id="1349016493">
                  <w:marLeft w:val="0"/>
                  <w:marRight w:val="0"/>
                  <w:marTop w:val="0"/>
                  <w:marBottom w:val="0"/>
                  <w:divBdr>
                    <w:top w:val="none" w:sz="0" w:space="0" w:color="auto"/>
                    <w:left w:val="none" w:sz="0" w:space="0" w:color="auto"/>
                    <w:bottom w:val="none" w:sz="0" w:space="0" w:color="auto"/>
                    <w:right w:val="none" w:sz="0" w:space="0" w:color="auto"/>
                  </w:divBdr>
                  <w:divsChild>
                    <w:div w:id="496652286">
                      <w:marLeft w:val="0"/>
                      <w:marRight w:val="0"/>
                      <w:marTop w:val="0"/>
                      <w:marBottom w:val="0"/>
                      <w:divBdr>
                        <w:top w:val="none" w:sz="0" w:space="0" w:color="auto"/>
                        <w:left w:val="none" w:sz="0" w:space="0" w:color="auto"/>
                        <w:bottom w:val="none" w:sz="0" w:space="0" w:color="auto"/>
                        <w:right w:val="none" w:sz="0" w:space="0" w:color="auto"/>
                      </w:divBdr>
                      <w:divsChild>
                        <w:div w:id="1560827607">
                          <w:marLeft w:val="0"/>
                          <w:marRight w:val="0"/>
                          <w:marTop w:val="0"/>
                          <w:marBottom w:val="0"/>
                          <w:divBdr>
                            <w:top w:val="none" w:sz="0" w:space="0" w:color="auto"/>
                            <w:left w:val="none" w:sz="0" w:space="0" w:color="auto"/>
                            <w:bottom w:val="none" w:sz="0" w:space="0" w:color="auto"/>
                            <w:right w:val="none" w:sz="0" w:space="0" w:color="auto"/>
                          </w:divBdr>
                          <w:divsChild>
                            <w:div w:id="1718964335">
                              <w:marLeft w:val="0"/>
                              <w:marRight w:val="0"/>
                              <w:marTop w:val="0"/>
                              <w:marBottom w:val="0"/>
                              <w:divBdr>
                                <w:top w:val="none" w:sz="0" w:space="0" w:color="auto"/>
                                <w:left w:val="none" w:sz="0" w:space="0" w:color="auto"/>
                                <w:bottom w:val="none" w:sz="0" w:space="0" w:color="auto"/>
                                <w:right w:val="none" w:sz="0" w:space="0" w:color="auto"/>
                              </w:divBdr>
                              <w:divsChild>
                                <w:div w:id="361712494">
                                  <w:marLeft w:val="0"/>
                                  <w:marRight w:val="0"/>
                                  <w:marTop w:val="0"/>
                                  <w:marBottom w:val="360"/>
                                  <w:divBdr>
                                    <w:top w:val="none" w:sz="0" w:space="0" w:color="auto"/>
                                    <w:left w:val="none" w:sz="0" w:space="0" w:color="auto"/>
                                    <w:bottom w:val="none" w:sz="0" w:space="0" w:color="auto"/>
                                    <w:right w:val="none" w:sz="0" w:space="0" w:color="auto"/>
                                  </w:divBdr>
                                  <w:divsChild>
                                    <w:div w:id="1544713612">
                                      <w:marLeft w:val="0"/>
                                      <w:marRight w:val="0"/>
                                      <w:marTop w:val="0"/>
                                      <w:marBottom w:val="0"/>
                                      <w:divBdr>
                                        <w:top w:val="none" w:sz="0" w:space="0" w:color="auto"/>
                                        <w:left w:val="none" w:sz="0" w:space="0" w:color="auto"/>
                                        <w:bottom w:val="none" w:sz="0" w:space="0" w:color="auto"/>
                                        <w:right w:val="none" w:sz="0" w:space="0" w:color="auto"/>
                                      </w:divBdr>
                                      <w:divsChild>
                                        <w:div w:id="15254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2117262">
      <w:bodyDiv w:val="1"/>
      <w:marLeft w:val="0"/>
      <w:marRight w:val="0"/>
      <w:marTop w:val="0"/>
      <w:marBottom w:val="0"/>
      <w:divBdr>
        <w:top w:val="none" w:sz="0" w:space="0" w:color="auto"/>
        <w:left w:val="none" w:sz="0" w:space="0" w:color="auto"/>
        <w:bottom w:val="none" w:sz="0" w:space="0" w:color="auto"/>
        <w:right w:val="none" w:sz="0" w:space="0" w:color="auto"/>
      </w:divBdr>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372532455">
      <w:bodyDiv w:val="1"/>
      <w:marLeft w:val="0"/>
      <w:marRight w:val="0"/>
      <w:marTop w:val="0"/>
      <w:marBottom w:val="0"/>
      <w:divBdr>
        <w:top w:val="none" w:sz="0" w:space="0" w:color="auto"/>
        <w:left w:val="none" w:sz="0" w:space="0" w:color="auto"/>
        <w:bottom w:val="none" w:sz="0" w:space="0" w:color="auto"/>
        <w:right w:val="none" w:sz="0" w:space="0" w:color="auto"/>
      </w:divBdr>
    </w:div>
    <w:div w:id="1419866549">
      <w:bodyDiv w:val="1"/>
      <w:marLeft w:val="0"/>
      <w:marRight w:val="0"/>
      <w:marTop w:val="0"/>
      <w:marBottom w:val="0"/>
      <w:divBdr>
        <w:top w:val="none" w:sz="0" w:space="0" w:color="auto"/>
        <w:left w:val="none" w:sz="0" w:space="0" w:color="auto"/>
        <w:bottom w:val="none" w:sz="0" w:space="0" w:color="auto"/>
        <w:right w:val="none" w:sz="0" w:space="0" w:color="auto"/>
      </w:divBdr>
    </w:div>
    <w:div w:id="1442608395">
      <w:bodyDiv w:val="1"/>
      <w:marLeft w:val="0"/>
      <w:marRight w:val="0"/>
      <w:marTop w:val="0"/>
      <w:marBottom w:val="0"/>
      <w:divBdr>
        <w:top w:val="none" w:sz="0" w:space="0" w:color="auto"/>
        <w:left w:val="none" w:sz="0" w:space="0" w:color="auto"/>
        <w:bottom w:val="none" w:sz="0" w:space="0" w:color="auto"/>
        <w:right w:val="none" w:sz="0" w:space="0" w:color="auto"/>
      </w:divBdr>
      <w:divsChild>
        <w:div w:id="689263247">
          <w:marLeft w:val="0"/>
          <w:marRight w:val="0"/>
          <w:marTop w:val="0"/>
          <w:marBottom w:val="0"/>
          <w:divBdr>
            <w:top w:val="none" w:sz="0" w:space="0" w:color="auto"/>
            <w:left w:val="none" w:sz="0" w:space="0" w:color="auto"/>
            <w:bottom w:val="none" w:sz="0" w:space="0" w:color="auto"/>
            <w:right w:val="none" w:sz="0" w:space="0" w:color="auto"/>
          </w:divBdr>
          <w:divsChild>
            <w:div w:id="869880972">
              <w:marLeft w:val="0"/>
              <w:marRight w:val="0"/>
              <w:marTop w:val="0"/>
              <w:marBottom w:val="0"/>
              <w:divBdr>
                <w:top w:val="none" w:sz="0" w:space="0" w:color="auto"/>
                <w:left w:val="none" w:sz="0" w:space="0" w:color="auto"/>
                <w:bottom w:val="none" w:sz="0" w:space="0" w:color="auto"/>
                <w:right w:val="none" w:sz="0" w:space="0" w:color="auto"/>
              </w:divBdr>
              <w:divsChild>
                <w:div w:id="2108501964">
                  <w:marLeft w:val="0"/>
                  <w:marRight w:val="0"/>
                  <w:marTop w:val="0"/>
                  <w:marBottom w:val="0"/>
                  <w:divBdr>
                    <w:top w:val="none" w:sz="0" w:space="0" w:color="auto"/>
                    <w:left w:val="none" w:sz="0" w:space="0" w:color="auto"/>
                    <w:bottom w:val="none" w:sz="0" w:space="0" w:color="auto"/>
                    <w:right w:val="none" w:sz="0" w:space="0" w:color="auto"/>
                  </w:divBdr>
                  <w:divsChild>
                    <w:div w:id="1037661656">
                      <w:marLeft w:val="150"/>
                      <w:marRight w:val="150"/>
                      <w:marTop w:val="0"/>
                      <w:marBottom w:val="0"/>
                      <w:divBdr>
                        <w:top w:val="none" w:sz="0" w:space="0" w:color="auto"/>
                        <w:left w:val="none" w:sz="0" w:space="0" w:color="auto"/>
                        <w:bottom w:val="none" w:sz="0" w:space="0" w:color="auto"/>
                        <w:right w:val="none" w:sz="0" w:space="0" w:color="auto"/>
                      </w:divBdr>
                      <w:divsChild>
                        <w:div w:id="1958170985">
                          <w:marLeft w:val="0"/>
                          <w:marRight w:val="0"/>
                          <w:marTop w:val="0"/>
                          <w:marBottom w:val="0"/>
                          <w:divBdr>
                            <w:top w:val="none" w:sz="0" w:space="0" w:color="auto"/>
                            <w:left w:val="none" w:sz="0" w:space="0" w:color="auto"/>
                            <w:bottom w:val="none" w:sz="0" w:space="0" w:color="auto"/>
                            <w:right w:val="none" w:sz="0" w:space="0" w:color="auto"/>
                          </w:divBdr>
                          <w:divsChild>
                            <w:div w:id="805661516">
                              <w:marLeft w:val="0"/>
                              <w:marRight w:val="0"/>
                              <w:marTop w:val="0"/>
                              <w:marBottom w:val="0"/>
                              <w:divBdr>
                                <w:top w:val="none" w:sz="0" w:space="0" w:color="auto"/>
                                <w:left w:val="none" w:sz="0" w:space="0" w:color="auto"/>
                                <w:bottom w:val="none" w:sz="0" w:space="0" w:color="auto"/>
                                <w:right w:val="none" w:sz="0" w:space="0" w:color="auto"/>
                              </w:divBdr>
                              <w:divsChild>
                                <w:div w:id="1613170206">
                                  <w:marLeft w:val="0"/>
                                  <w:marRight w:val="0"/>
                                  <w:marTop w:val="0"/>
                                  <w:marBottom w:val="0"/>
                                  <w:divBdr>
                                    <w:top w:val="none" w:sz="0" w:space="0" w:color="auto"/>
                                    <w:left w:val="none" w:sz="0" w:space="0" w:color="auto"/>
                                    <w:bottom w:val="none" w:sz="0" w:space="0" w:color="auto"/>
                                    <w:right w:val="none" w:sz="0" w:space="0" w:color="auto"/>
                                  </w:divBdr>
                                  <w:divsChild>
                                    <w:div w:id="918446493">
                                      <w:marLeft w:val="0"/>
                                      <w:marRight w:val="0"/>
                                      <w:marTop w:val="0"/>
                                      <w:marBottom w:val="0"/>
                                      <w:divBdr>
                                        <w:top w:val="none" w:sz="0" w:space="0" w:color="auto"/>
                                        <w:left w:val="none" w:sz="0" w:space="0" w:color="auto"/>
                                        <w:bottom w:val="none" w:sz="0" w:space="0" w:color="auto"/>
                                        <w:right w:val="none" w:sz="0" w:space="0" w:color="auto"/>
                                      </w:divBdr>
                                      <w:divsChild>
                                        <w:div w:id="620038249">
                                          <w:marLeft w:val="0"/>
                                          <w:marRight w:val="0"/>
                                          <w:marTop w:val="0"/>
                                          <w:marBottom w:val="0"/>
                                          <w:divBdr>
                                            <w:top w:val="none" w:sz="0" w:space="0" w:color="auto"/>
                                            <w:left w:val="none" w:sz="0" w:space="0" w:color="auto"/>
                                            <w:bottom w:val="none" w:sz="0" w:space="0" w:color="auto"/>
                                            <w:right w:val="none" w:sz="0" w:space="0" w:color="auto"/>
                                          </w:divBdr>
                                          <w:divsChild>
                                            <w:div w:id="1024788251">
                                              <w:marLeft w:val="0"/>
                                              <w:marRight w:val="0"/>
                                              <w:marTop w:val="0"/>
                                              <w:marBottom w:val="0"/>
                                              <w:divBdr>
                                                <w:top w:val="none" w:sz="0" w:space="0" w:color="auto"/>
                                                <w:left w:val="none" w:sz="0" w:space="0" w:color="auto"/>
                                                <w:bottom w:val="none" w:sz="0" w:space="0" w:color="auto"/>
                                                <w:right w:val="none" w:sz="0" w:space="0" w:color="auto"/>
                                              </w:divBdr>
                                              <w:divsChild>
                                                <w:div w:id="1766220191">
                                                  <w:marLeft w:val="0"/>
                                                  <w:marRight w:val="0"/>
                                                  <w:marTop w:val="0"/>
                                                  <w:marBottom w:val="0"/>
                                                  <w:divBdr>
                                                    <w:top w:val="none" w:sz="0" w:space="0" w:color="auto"/>
                                                    <w:left w:val="none" w:sz="0" w:space="0" w:color="auto"/>
                                                    <w:bottom w:val="none" w:sz="0" w:space="0" w:color="auto"/>
                                                    <w:right w:val="none" w:sz="0" w:space="0" w:color="auto"/>
                                                  </w:divBdr>
                                                  <w:divsChild>
                                                    <w:div w:id="97032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006278">
      <w:bodyDiv w:val="1"/>
      <w:marLeft w:val="0"/>
      <w:marRight w:val="0"/>
      <w:marTop w:val="0"/>
      <w:marBottom w:val="0"/>
      <w:divBdr>
        <w:top w:val="none" w:sz="0" w:space="0" w:color="auto"/>
        <w:left w:val="none" w:sz="0" w:space="0" w:color="auto"/>
        <w:bottom w:val="none" w:sz="0" w:space="0" w:color="auto"/>
        <w:right w:val="none" w:sz="0" w:space="0" w:color="auto"/>
      </w:divBdr>
    </w:div>
    <w:div w:id="1654985066">
      <w:bodyDiv w:val="1"/>
      <w:marLeft w:val="0"/>
      <w:marRight w:val="0"/>
      <w:marTop w:val="0"/>
      <w:marBottom w:val="0"/>
      <w:divBdr>
        <w:top w:val="none" w:sz="0" w:space="0" w:color="auto"/>
        <w:left w:val="none" w:sz="0" w:space="0" w:color="auto"/>
        <w:bottom w:val="none" w:sz="0" w:space="0" w:color="auto"/>
        <w:right w:val="none" w:sz="0" w:space="0" w:color="auto"/>
      </w:divBdr>
    </w:div>
    <w:div w:id="1691486118">
      <w:bodyDiv w:val="1"/>
      <w:marLeft w:val="0"/>
      <w:marRight w:val="0"/>
      <w:marTop w:val="0"/>
      <w:marBottom w:val="0"/>
      <w:divBdr>
        <w:top w:val="none" w:sz="0" w:space="0" w:color="auto"/>
        <w:left w:val="none" w:sz="0" w:space="0" w:color="auto"/>
        <w:bottom w:val="none" w:sz="0" w:space="0" w:color="auto"/>
        <w:right w:val="none" w:sz="0" w:space="0" w:color="auto"/>
      </w:divBdr>
    </w:div>
    <w:div w:id="1751582186">
      <w:bodyDiv w:val="1"/>
      <w:marLeft w:val="0"/>
      <w:marRight w:val="0"/>
      <w:marTop w:val="0"/>
      <w:marBottom w:val="0"/>
      <w:divBdr>
        <w:top w:val="none" w:sz="0" w:space="0" w:color="auto"/>
        <w:left w:val="none" w:sz="0" w:space="0" w:color="auto"/>
        <w:bottom w:val="none" w:sz="0" w:space="0" w:color="auto"/>
        <w:right w:val="none" w:sz="0" w:space="0" w:color="auto"/>
      </w:divBdr>
    </w:div>
    <w:div w:id="1862740913">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198642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10.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customXml" Target="../customXml/item4.xml"/><Relationship Id="rId10" Type="http://schemas.openxmlformats.org/officeDocument/2006/relationships/image" Target="media/image1.wmf"/><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www.ausaid.gov.au/Publications/Pages/tonga-tsp1.aspx" TargetMode="External"/><Relationship Id="rId3" Type="http://schemas.openxmlformats.org/officeDocument/2006/relationships/hyperlink" Target="http://www.adb.org/projects/44172-022/details.%20Accessed%2015%20May%202013" TargetMode="External"/><Relationship Id="rId7" Type="http://schemas.openxmlformats.org/officeDocument/2006/relationships/hyperlink" Target="http://www.spc.int/prism/tonga/index.php/surveys/labour-force-survey" TargetMode="External"/><Relationship Id="rId2" Type="http://schemas.openxmlformats.org/officeDocument/2006/relationships/hyperlink" Target="http://www.aid.govt.nz/where-we-work/pacific/tonga" TargetMode="External"/><Relationship Id="rId1" Type="http://schemas.openxmlformats.org/officeDocument/2006/relationships/hyperlink" Target="http://aid.dfat.gov.au/countries/pacific/partnership/Pages/tonga.aspx" TargetMode="External"/><Relationship Id="rId6" Type="http://schemas.openxmlformats.org/officeDocument/2006/relationships/hyperlink" Target="http://www.spc.int/prism/tonga/index.php/population-censuses/population-census-2011" TargetMode="External"/><Relationship Id="rId11" Type="http://schemas.openxmlformats.org/officeDocument/2006/relationships/hyperlink" Target="http://www.ausaid.gov.au/publications/Pages/labour-mobility-pacific-independent-progress-report.aspx" TargetMode="External"/><Relationship Id="rId5" Type="http://schemas.openxmlformats.org/officeDocument/2006/relationships/hyperlink" Target="http://www.imf.org/external/pubs/ft/dsa/pdf/2012/dsacr12166.pdf" TargetMode="External"/><Relationship Id="rId10" Type="http://schemas.openxmlformats.org/officeDocument/2006/relationships/hyperlink" Target="http://www.forumsec.org/resources/uploads/attachments/documents/Tonga%20_Peer_Review_Report.pdf" TargetMode="External"/><Relationship Id="rId4" Type="http://schemas.openxmlformats.org/officeDocument/2006/relationships/hyperlink" Target="http://www.adb.org/projects/44172-022/details" TargetMode="External"/><Relationship Id="rId9" Type="http://schemas.openxmlformats.org/officeDocument/2006/relationships/hyperlink" Target="http://aptc.edu.au/images/Publications/APTC_Quarterly_Report__January-March_201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3B6A82-515A-434B-91D4-8B18225787A0}"/>
</file>

<file path=customXml/itemProps2.xml><?xml version="1.0" encoding="utf-8"?>
<ds:datastoreItem xmlns:ds="http://schemas.openxmlformats.org/officeDocument/2006/customXml" ds:itemID="{C07A48E8-2B8C-4326-A3A9-720FAC28FC55}"/>
</file>

<file path=customXml/itemProps3.xml><?xml version="1.0" encoding="utf-8"?>
<ds:datastoreItem xmlns:ds="http://schemas.openxmlformats.org/officeDocument/2006/customXml" ds:itemID="{050B33B2-22A4-4803-ABA5-C10E3A1485CE}"/>
</file>

<file path=customXml/itemProps4.xml><?xml version="1.0" encoding="utf-8"?>
<ds:datastoreItem xmlns:ds="http://schemas.openxmlformats.org/officeDocument/2006/customXml" ds:itemID="{C203EFA6-22E0-44BB-B295-F2B1A10E84BB}"/>
</file>

<file path=customXml/itemProps5.xml><?xml version="1.0" encoding="utf-8"?>
<ds:datastoreItem xmlns:ds="http://schemas.openxmlformats.org/officeDocument/2006/customXml" ds:itemID="{DC4A408F-B765-4AB8-8FCF-28659E2FE0D5}"/>
</file>

<file path=docProps/app.xml><?xml version="1.0" encoding="utf-8"?>
<Properties xmlns="http://schemas.openxmlformats.org/officeDocument/2006/extended-properties" xmlns:vt="http://schemas.openxmlformats.org/officeDocument/2006/docPropsVTypes">
  <Template>Normal.dotm</Template>
  <TotalTime>0</TotalTime>
  <Pages>31</Pages>
  <Words>12400</Words>
  <Characters>71925</Characters>
  <Application>Microsoft Office Word</Application>
  <DocSecurity>0</DocSecurity>
  <Lines>1563</Lines>
  <Paragraphs>759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2014-01-30T23:59:00Z</dcterms:created>
  <dcterms:modified xsi:type="dcterms:W3CDTF">2014-01-31T00:00:00Z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316900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