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05" w:rsidRPr="005135F0" w:rsidRDefault="005A4432" w:rsidP="00D12E05">
      <w:pPr>
        <w:shd w:val="clear" w:color="auto" w:fill="FFFFFF"/>
        <w:spacing w:after="150" w:line="480" w:lineRule="atLeast"/>
        <w:outlineLvl w:val="1"/>
        <w:rPr>
          <w:rFonts w:eastAsia="Times New Roman" w:cs="Arial"/>
          <w:color w:val="000000"/>
          <w:spacing w:val="2"/>
          <w:sz w:val="28"/>
          <w:szCs w:val="28"/>
          <w:lang w:eastAsia="en-AU"/>
        </w:rPr>
      </w:pPr>
      <w:r w:rsidRPr="005135F0">
        <w:rPr>
          <w:rFonts w:eastAsia="Times New Roman" w:cs="Arial"/>
          <w:color w:val="000000"/>
          <w:spacing w:val="2"/>
          <w:sz w:val="28"/>
          <w:szCs w:val="28"/>
          <w:lang w:eastAsia="en-AU"/>
        </w:rPr>
        <w:t xml:space="preserve">Trade in Services Agreement </w:t>
      </w:r>
      <w:r>
        <w:rPr>
          <w:rFonts w:eastAsia="Times New Roman" w:cs="Arial"/>
          <w:color w:val="000000"/>
          <w:spacing w:val="2"/>
          <w:sz w:val="28"/>
          <w:szCs w:val="28"/>
          <w:lang w:eastAsia="en-AU"/>
        </w:rPr>
        <w:t>(</w:t>
      </w:r>
      <w:proofErr w:type="spellStart"/>
      <w:r w:rsidR="00D12E05" w:rsidRPr="005135F0">
        <w:rPr>
          <w:rFonts w:eastAsia="Times New Roman" w:cs="Arial"/>
          <w:color w:val="000000"/>
          <w:spacing w:val="2"/>
          <w:sz w:val="28"/>
          <w:szCs w:val="28"/>
          <w:lang w:eastAsia="en-AU"/>
        </w:rPr>
        <w:t>TiSA</w:t>
      </w:r>
      <w:proofErr w:type="spellEnd"/>
      <w:r>
        <w:rPr>
          <w:rFonts w:eastAsia="Times New Roman" w:cs="Arial"/>
          <w:color w:val="000000"/>
          <w:spacing w:val="2"/>
          <w:sz w:val="28"/>
          <w:szCs w:val="28"/>
          <w:lang w:eastAsia="en-AU"/>
        </w:rPr>
        <w:t>)</w:t>
      </w:r>
      <w:r w:rsidR="00D12E05" w:rsidRPr="005135F0">
        <w:rPr>
          <w:rFonts w:eastAsia="Times New Roman" w:cs="Arial"/>
          <w:color w:val="000000"/>
          <w:spacing w:val="2"/>
          <w:sz w:val="28"/>
          <w:szCs w:val="28"/>
          <w:lang w:eastAsia="en-AU"/>
        </w:rPr>
        <w:t xml:space="preserve"> Scheduling Approach</w:t>
      </w:r>
    </w:p>
    <w:p w:rsidR="00617F58" w:rsidRPr="005135F0" w:rsidRDefault="00617F58" w:rsidP="00BA0FBD">
      <w:pPr>
        <w:shd w:val="clear" w:color="auto" w:fill="FFFFFF"/>
        <w:spacing w:after="200"/>
        <w:outlineLvl w:val="1"/>
        <w:rPr>
          <w:rFonts w:eastAsia="Times New Roman" w:cs="Arial"/>
          <w:color w:val="000000"/>
          <w:spacing w:val="2"/>
          <w:lang w:eastAsia="en-AU"/>
        </w:rPr>
      </w:pPr>
      <w:r w:rsidRPr="005135F0">
        <w:rPr>
          <w:rFonts w:eastAsia="Times New Roman" w:cs="Arial"/>
          <w:color w:val="000000"/>
          <w:spacing w:val="2"/>
          <w:lang w:eastAsia="en-AU"/>
        </w:rPr>
        <w:t xml:space="preserve">The </w:t>
      </w:r>
      <w:r w:rsidR="005A4432">
        <w:rPr>
          <w:rFonts w:eastAsia="Times New Roman" w:cs="Arial"/>
          <w:color w:val="000000"/>
          <w:spacing w:val="2"/>
          <w:lang w:eastAsia="en-AU"/>
        </w:rPr>
        <w:t>Trade in Services Agreement (</w:t>
      </w:r>
      <w:proofErr w:type="spellStart"/>
      <w:r w:rsidRPr="005135F0">
        <w:rPr>
          <w:rFonts w:eastAsia="Times New Roman" w:cs="Arial"/>
          <w:color w:val="000000"/>
          <w:spacing w:val="2"/>
          <w:lang w:eastAsia="en-AU"/>
        </w:rPr>
        <w:t>TiSA</w:t>
      </w:r>
      <w:proofErr w:type="spellEnd"/>
      <w:r w:rsidR="005A4432">
        <w:rPr>
          <w:rFonts w:eastAsia="Times New Roman" w:cs="Arial"/>
          <w:color w:val="000000"/>
          <w:spacing w:val="2"/>
          <w:lang w:eastAsia="en-AU"/>
        </w:rPr>
        <w:t>)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features a ‘hybrid’ scheduling approach that builds on the</w:t>
      </w:r>
      <w:r w:rsidR="005A4432">
        <w:rPr>
          <w:rFonts w:eastAsia="Times New Roman" w:cs="Arial"/>
          <w:color w:val="000000"/>
          <w:spacing w:val="2"/>
          <w:lang w:eastAsia="en-AU"/>
        </w:rPr>
        <w:t xml:space="preserve"> WTO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</w:t>
      </w:r>
      <w:r w:rsidR="005A4432">
        <w:rPr>
          <w:rFonts w:eastAsia="Times New Roman" w:cs="Arial"/>
          <w:color w:val="000000"/>
          <w:spacing w:val="2"/>
          <w:lang w:eastAsia="en-AU"/>
        </w:rPr>
        <w:t>General Agreement on Trade in Services (</w:t>
      </w:r>
      <w:r w:rsidRPr="005135F0">
        <w:rPr>
          <w:rFonts w:eastAsia="Times New Roman" w:cs="Arial"/>
          <w:color w:val="000000"/>
          <w:spacing w:val="2"/>
          <w:lang w:eastAsia="en-AU"/>
        </w:rPr>
        <w:t>GATS</w:t>
      </w:r>
      <w:r w:rsidR="005A4432">
        <w:rPr>
          <w:rFonts w:eastAsia="Times New Roman" w:cs="Arial"/>
          <w:color w:val="000000"/>
          <w:spacing w:val="2"/>
          <w:lang w:eastAsia="en-AU"/>
        </w:rPr>
        <w:t>)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while also drawing from </w:t>
      </w:r>
      <w:proofErr w:type="spellStart"/>
      <w:r w:rsidRPr="005135F0">
        <w:rPr>
          <w:rFonts w:eastAsia="Times New Roman" w:cs="Arial"/>
          <w:color w:val="000000"/>
          <w:spacing w:val="2"/>
          <w:lang w:eastAsia="en-AU"/>
        </w:rPr>
        <w:t>TiSA</w:t>
      </w:r>
      <w:proofErr w:type="spellEnd"/>
      <w:r w:rsidRPr="005135F0">
        <w:rPr>
          <w:rFonts w:eastAsia="Times New Roman" w:cs="Arial"/>
          <w:color w:val="000000"/>
          <w:spacing w:val="2"/>
          <w:lang w:eastAsia="en-AU"/>
        </w:rPr>
        <w:t xml:space="preserve"> parties’ FTA practice</w:t>
      </w:r>
      <w:r w:rsidR="00785B9F">
        <w:rPr>
          <w:rFonts w:eastAsia="Times New Roman" w:cs="Arial"/>
          <w:color w:val="000000"/>
          <w:spacing w:val="2"/>
          <w:lang w:eastAsia="en-AU"/>
        </w:rPr>
        <w:t xml:space="preserve">. This </w:t>
      </w:r>
      <w:r w:rsidRPr="005135F0">
        <w:rPr>
          <w:rFonts w:eastAsia="Times New Roman" w:cs="Arial"/>
          <w:color w:val="000000"/>
          <w:spacing w:val="2"/>
          <w:lang w:eastAsia="en-AU"/>
        </w:rPr>
        <w:t>ensure</w:t>
      </w:r>
      <w:r w:rsidR="00785B9F">
        <w:rPr>
          <w:rFonts w:eastAsia="Times New Roman" w:cs="Arial"/>
          <w:color w:val="000000"/>
          <w:spacing w:val="2"/>
          <w:lang w:eastAsia="en-AU"/>
        </w:rPr>
        <w:t>s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the </w:t>
      </w:r>
      <w:proofErr w:type="spellStart"/>
      <w:r w:rsidRPr="005135F0">
        <w:rPr>
          <w:rFonts w:eastAsia="Times New Roman" w:cs="Arial"/>
          <w:color w:val="000000"/>
          <w:spacing w:val="2"/>
          <w:lang w:eastAsia="en-AU"/>
        </w:rPr>
        <w:t>TiSA</w:t>
      </w:r>
      <w:proofErr w:type="spellEnd"/>
      <w:r w:rsidR="005A4432">
        <w:rPr>
          <w:rFonts w:eastAsia="Times New Roman" w:cs="Arial"/>
          <w:color w:val="000000"/>
          <w:spacing w:val="2"/>
          <w:lang w:eastAsia="en-AU"/>
        </w:rPr>
        <w:t xml:space="preserve"> can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reflect</w:t>
      </w:r>
      <w:r w:rsidR="005A4432">
        <w:rPr>
          <w:rFonts w:eastAsia="Times New Roman" w:cs="Arial"/>
          <w:color w:val="000000"/>
          <w:spacing w:val="2"/>
          <w:lang w:eastAsia="en-AU"/>
        </w:rPr>
        <w:t xml:space="preserve"> </w:t>
      </w:r>
      <w:bookmarkStart w:id="0" w:name="_GoBack"/>
      <w:bookmarkEnd w:id="0"/>
      <w:r w:rsidR="005A4432">
        <w:rPr>
          <w:rFonts w:eastAsia="Times New Roman" w:cs="Arial"/>
          <w:color w:val="000000"/>
          <w:spacing w:val="2"/>
          <w:lang w:eastAsia="en-AU"/>
        </w:rPr>
        <w:t xml:space="preserve">a </w:t>
      </w:r>
      <w:r w:rsidRPr="005135F0">
        <w:rPr>
          <w:rFonts w:eastAsia="Times New Roman" w:cs="Arial"/>
          <w:color w:val="000000"/>
          <w:spacing w:val="2"/>
          <w:lang w:eastAsia="en-AU"/>
        </w:rPr>
        <w:t>highe</w:t>
      </w:r>
      <w:r w:rsidR="005A4432">
        <w:rPr>
          <w:rFonts w:eastAsia="Times New Roman" w:cs="Arial"/>
          <w:color w:val="000000"/>
          <w:spacing w:val="2"/>
          <w:lang w:eastAsia="en-AU"/>
        </w:rPr>
        <w:t>r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level of ambition</w:t>
      </w:r>
      <w:r w:rsidR="005A4432">
        <w:rPr>
          <w:rFonts w:eastAsia="Times New Roman" w:cs="Arial"/>
          <w:color w:val="000000"/>
          <w:spacing w:val="2"/>
          <w:lang w:eastAsia="en-AU"/>
        </w:rPr>
        <w:t xml:space="preserve"> and </w:t>
      </w:r>
      <w:r w:rsidR="00785B9F">
        <w:rPr>
          <w:rFonts w:eastAsia="Times New Roman" w:cs="Arial"/>
          <w:color w:val="000000"/>
          <w:spacing w:val="2"/>
          <w:lang w:eastAsia="en-AU"/>
        </w:rPr>
        <w:t>existing</w:t>
      </w:r>
      <w:r w:rsidR="005A4432">
        <w:rPr>
          <w:rFonts w:eastAsia="Times New Roman" w:cs="Arial"/>
          <w:color w:val="000000"/>
          <w:spacing w:val="2"/>
          <w:lang w:eastAsia="en-AU"/>
        </w:rPr>
        <w:t xml:space="preserve"> trade practices</w:t>
      </w:r>
      <w:r w:rsidRPr="005135F0">
        <w:rPr>
          <w:rFonts w:eastAsia="Times New Roman" w:cs="Arial"/>
          <w:color w:val="000000"/>
          <w:spacing w:val="2"/>
          <w:lang w:eastAsia="en-AU"/>
        </w:rPr>
        <w:t>.</w:t>
      </w:r>
      <w:r w:rsidR="005A4432">
        <w:rPr>
          <w:rFonts w:eastAsia="Times New Roman" w:cs="Arial"/>
          <w:color w:val="000000"/>
          <w:spacing w:val="2"/>
          <w:lang w:eastAsia="en-AU"/>
        </w:rPr>
        <w:t xml:space="preserve"> </w:t>
      </w:r>
    </w:p>
    <w:p w:rsidR="00617F58" w:rsidRPr="005135F0" w:rsidRDefault="00617F58" w:rsidP="00BA0FBD">
      <w:pPr>
        <w:shd w:val="clear" w:color="auto" w:fill="FFFFFF"/>
        <w:spacing w:after="200"/>
        <w:outlineLvl w:val="1"/>
        <w:rPr>
          <w:rFonts w:eastAsia="Times New Roman" w:cs="Arial"/>
          <w:color w:val="000000"/>
          <w:spacing w:val="2"/>
          <w:lang w:eastAsia="en-AU"/>
        </w:rPr>
      </w:pPr>
      <w:r w:rsidRPr="005135F0">
        <w:rPr>
          <w:rFonts w:eastAsia="Times New Roman" w:cs="Arial"/>
          <w:color w:val="000000"/>
          <w:spacing w:val="2"/>
          <w:lang w:eastAsia="en-AU"/>
        </w:rPr>
        <w:t>Market access commitments</w:t>
      </w:r>
      <w:r w:rsidR="00CE1689" w:rsidRPr="005135F0">
        <w:rPr>
          <w:rFonts w:eastAsia="Times New Roman" w:cs="Arial"/>
          <w:color w:val="000000"/>
          <w:spacing w:val="2"/>
          <w:lang w:eastAsia="en-AU"/>
        </w:rPr>
        <w:t xml:space="preserve">, or commitments to allow the entry of </w:t>
      </w:r>
      <w:proofErr w:type="gramStart"/>
      <w:r w:rsidR="00CE1689" w:rsidRPr="005135F0">
        <w:rPr>
          <w:rFonts w:eastAsia="Times New Roman" w:cs="Arial"/>
          <w:color w:val="000000"/>
          <w:spacing w:val="2"/>
          <w:lang w:eastAsia="en-AU"/>
        </w:rPr>
        <w:t>foreign service</w:t>
      </w:r>
      <w:proofErr w:type="gramEnd"/>
      <w:r w:rsidR="00CE1689" w:rsidRPr="005135F0">
        <w:rPr>
          <w:rFonts w:eastAsia="Times New Roman" w:cs="Arial"/>
          <w:color w:val="000000"/>
          <w:spacing w:val="2"/>
          <w:lang w:eastAsia="en-AU"/>
        </w:rPr>
        <w:t xml:space="preserve"> suppliers into the market,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will be made on a ‘positive list’</w:t>
      </w:r>
      <w:r w:rsidR="00CE1689" w:rsidRPr="005135F0">
        <w:rPr>
          <w:rFonts w:eastAsia="Times New Roman" w:cs="Arial"/>
          <w:color w:val="000000"/>
          <w:spacing w:val="2"/>
          <w:lang w:eastAsia="en-AU"/>
        </w:rPr>
        <w:t xml:space="preserve"> basis, similar to the GATS</w:t>
      </w:r>
      <w:r w:rsidRPr="005135F0">
        <w:rPr>
          <w:rFonts w:eastAsia="Times New Roman" w:cs="Arial"/>
          <w:color w:val="000000"/>
          <w:spacing w:val="2"/>
          <w:lang w:eastAsia="en-AU"/>
        </w:rPr>
        <w:t>.  Under a positive list approach</w:t>
      </w:r>
      <w:r w:rsidR="00CE1689" w:rsidRPr="005135F0">
        <w:rPr>
          <w:rFonts w:eastAsia="Times New Roman" w:cs="Arial"/>
          <w:color w:val="000000"/>
          <w:spacing w:val="2"/>
          <w:lang w:eastAsia="en-AU"/>
        </w:rPr>
        <w:t xml:space="preserve">, 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the list of scheduled commitments reflects the </w:t>
      </w:r>
      <w:r w:rsidR="00C92A23">
        <w:rPr>
          <w:rFonts w:eastAsia="Times New Roman" w:cs="Arial"/>
          <w:color w:val="000000"/>
          <w:spacing w:val="2"/>
          <w:lang w:eastAsia="en-AU"/>
        </w:rPr>
        <w:t>terms, limitations, conditions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and</w:t>
      </w:r>
      <w:r w:rsidR="00C92A23">
        <w:rPr>
          <w:rFonts w:eastAsia="Times New Roman" w:cs="Arial"/>
          <w:color w:val="000000"/>
          <w:spacing w:val="2"/>
          <w:lang w:eastAsia="en-AU"/>
        </w:rPr>
        <w:t xml:space="preserve"> the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mode of supply that a </w:t>
      </w:r>
      <w:proofErr w:type="spellStart"/>
      <w:r w:rsidR="005A4432">
        <w:rPr>
          <w:rFonts w:eastAsia="Times New Roman" w:cs="Arial"/>
          <w:color w:val="000000"/>
          <w:spacing w:val="2"/>
          <w:lang w:eastAsia="en-AU"/>
        </w:rPr>
        <w:t>TiSA</w:t>
      </w:r>
      <w:proofErr w:type="spellEnd"/>
      <w:r w:rsidR="005A4432">
        <w:rPr>
          <w:rFonts w:eastAsia="Times New Roman" w:cs="Arial"/>
          <w:color w:val="000000"/>
          <w:spacing w:val="2"/>
          <w:lang w:eastAsia="en-AU"/>
        </w:rPr>
        <w:t xml:space="preserve"> </w:t>
      </w:r>
      <w:r w:rsidRPr="005135F0">
        <w:rPr>
          <w:rFonts w:eastAsia="Times New Roman" w:cs="Arial"/>
          <w:color w:val="000000"/>
          <w:spacing w:val="2"/>
          <w:lang w:eastAsia="en-AU"/>
        </w:rPr>
        <w:t>party is willing to offer.  Ea</w:t>
      </w:r>
      <w:r w:rsidR="00CE1689" w:rsidRPr="005135F0">
        <w:rPr>
          <w:rFonts w:eastAsia="Times New Roman" w:cs="Arial"/>
          <w:color w:val="000000"/>
          <w:spacing w:val="2"/>
          <w:lang w:eastAsia="en-AU"/>
        </w:rPr>
        <w:t xml:space="preserve">ch </w:t>
      </w:r>
      <w:proofErr w:type="spellStart"/>
      <w:r w:rsidR="00CE1689" w:rsidRPr="005135F0">
        <w:rPr>
          <w:rFonts w:eastAsia="Times New Roman" w:cs="Arial"/>
          <w:color w:val="000000"/>
          <w:spacing w:val="2"/>
          <w:lang w:eastAsia="en-AU"/>
        </w:rPr>
        <w:t>TiSA</w:t>
      </w:r>
      <w:proofErr w:type="spellEnd"/>
      <w:r w:rsidR="00CE1689" w:rsidRPr="005135F0">
        <w:rPr>
          <w:rFonts w:eastAsia="Times New Roman" w:cs="Arial"/>
          <w:color w:val="000000"/>
          <w:spacing w:val="2"/>
          <w:lang w:eastAsia="en-AU"/>
        </w:rPr>
        <w:t xml:space="preserve"> party will choose the specific sectors where they will make commitments</w:t>
      </w:r>
      <w:r w:rsidR="005A4432">
        <w:rPr>
          <w:rFonts w:eastAsia="Times New Roman" w:cs="Arial"/>
          <w:color w:val="000000"/>
          <w:spacing w:val="2"/>
          <w:lang w:eastAsia="en-AU"/>
        </w:rPr>
        <w:t>, which are subject to negotiation</w:t>
      </w:r>
      <w:r w:rsidR="00CE1689" w:rsidRPr="005135F0">
        <w:rPr>
          <w:rFonts w:eastAsia="Times New Roman" w:cs="Arial"/>
          <w:color w:val="000000"/>
          <w:spacing w:val="2"/>
          <w:lang w:eastAsia="en-AU"/>
        </w:rPr>
        <w:t>.</w:t>
      </w:r>
    </w:p>
    <w:p w:rsidR="004D7057" w:rsidRPr="005135F0" w:rsidRDefault="00617F58" w:rsidP="00BA0FBD">
      <w:pPr>
        <w:shd w:val="clear" w:color="auto" w:fill="FFFFFF"/>
        <w:spacing w:after="200"/>
        <w:outlineLvl w:val="1"/>
        <w:rPr>
          <w:rFonts w:eastAsia="Times New Roman" w:cs="Arial"/>
          <w:color w:val="000000"/>
          <w:spacing w:val="2"/>
          <w:lang w:eastAsia="en-AU"/>
        </w:rPr>
      </w:pPr>
      <w:r w:rsidRPr="005135F0">
        <w:rPr>
          <w:rFonts w:eastAsia="Times New Roman" w:cs="Arial"/>
          <w:color w:val="000000"/>
          <w:spacing w:val="2"/>
          <w:lang w:eastAsia="en-AU"/>
        </w:rPr>
        <w:t xml:space="preserve">Commitments on </w:t>
      </w:r>
      <w:r w:rsidR="005B2F8B">
        <w:rPr>
          <w:rFonts w:eastAsia="Times New Roman" w:cs="Arial"/>
          <w:color w:val="000000"/>
          <w:spacing w:val="2"/>
          <w:lang w:eastAsia="en-AU"/>
        </w:rPr>
        <w:t>N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ational </w:t>
      </w:r>
      <w:r w:rsidR="005B2F8B">
        <w:rPr>
          <w:rFonts w:eastAsia="Times New Roman" w:cs="Arial"/>
          <w:color w:val="000000"/>
          <w:spacing w:val="2"/>
          <w:lang w:eastAsia="en-AU"/>
        </w:rPr>
        <w:t>T</w:t>
      </w:r>
      <w:r w:rsidRPr="005135F0">
        <w:rPr>
          <w:rFonts w:eastAsia="Times New Roman" w:cs="Arial"/>
          <w:color w:val="000000"/>
          <w:spacing w:val="2"/>
          <w:lang w:eastAsia="en-AU"/>
        </w:rPr>
        <w:t>reatment</w:t>
      </w:r>
      <w:r w:rsidR="0076676F" w:rsidRPr="005135F0">
        <w:rPr>
          <w:rFonts w:eastAsia="Times New Roman" w:cs="Arial"/>
          <w:color w:val="000000"/>
          <w:spacing w:val="2"/>
          <w:lang w:eastAsia="en-AU"/>
        </w:rPr>
        <w:t>, or commitments to treat foreign service suppliers the same as local suppliers once they enter a market, and</w:t>
      </w:r>
      <w:r w:rsidR="0085147F" w:rsidRPr="005135F0">
        <w:rPr>
          <w:rFonts w:eastAsia="Times New Roman" w:cs="Arial"/>
          <w:color w:val="000000"/>
          <w:spacing w:val="2"/>
          <w:lang w:eastAsia="en-AU"/>
        </w:rPr>
        <w:t xml:space="preserve"> the</w:t>
      </w:r>
      <w:r w:rsidR="0076676F" w:rsidRPr="005135F0">
        <w:rPr>
          <w:rFonts w:eastAsia="Times New Roman" w:cs="Arial"/>
          <w:color w:val="000000"/>
          <w:spacing w:val="2"/>
          <w:lang w:eastAsia="en-AU"/>
        </w:rPr>
        <w:t xml:space="preserve"> </w:t>
      </w:r>
      <w:r w:rsidR="00CE1689" w:rsidRPr="005135F0">
        <w:rPr>
          <w:rFonts w:eastAsia="Times New Roman" w:cs="Arial"/>
          <w:color w:val="000000"/>
          <w:spacing w:val="2"/>
          <w:lang w:eastAsia="en-AU"/>
        </w:rPr>
        <w:t>‘</w:t>
      </w:r>
      <w:r w:rsidR="005B2F8B">
        <w:rPr>
          <w:rFonts w:eastAsia="Times New Roman" w:cs="Arial"/>
          <w:color w:val="000000"/>
          <w:spacing w:val="2"/>
          <w:lang w:eastAsia="en-AU"/>
        </w:rPr>
        <w:t>L</w:t>
      </w:r>
      <w:r w:rsidR="00CE1689" w:rsidRPr="005135F0">
        <w:rPr>
          <w:rFonts w:eastAsia="Times New Roman" w:cs="Arial"/>
          <w:color w:val="000000"/>
          <w:spacing w:val="2"/>
          <w:lang w:eastAsia="en-AU"/>
        </w:rPr>
        <w:t>ocalisation’ obligations</w:t>
      </w:r>
      <w:r w:rsidR="0076676F" w:rsidRPr="005135F0">
        <w:rPr>
          <w:rFonts w:eastAsia="Times New Roman" w:cs="Arial"/>
          <w:color w:val="000000"/>
          <w:spacing w:val="2"/>
          <w:lang w:eastAsia="en-AU"/>
        </w:rPr>
        <w:t xml:space="preserve">, which address requirements related to </w:t>
      </w:r>
      <w:r w:rsidRPr="005135F0">
        <w:rPr>
          <w:rFonts w:eastAsia="Times New Roman" w:cs="Arial"/>
          <w:color w:val="000000"/>
          <w:spacing w:val="2"/>
          <w:lang w:eastAsia="en-AU"/>
        </w:rPr>
        <w:t>local presen</w:t>
      </w:r>
      <w:r w:rsidR="00CE1689" w:rsidRPr="005135F0">
        <w:rPr>
          <w:rFonts w:eastAsia="Times New Roman" w:cs="Arial"/>
          <w:color w:val="000000"/>
          <w:spacing w:val="2"/>
          <w:lang w:eastAsia="en-AU"/>
        </w:rPr>
        <w:t>ce, local cont</w:t>
      </w:r>
      <w:r w:rsidR="0076676F" w:rsidRPr="005135F0">
        <w:rPr>
          <w:rFonts w:eastAsia="Times New Roman" w:cs="Arial"/>
          <w:color w:val="000000"/>
          <w:spacing w:val="2"/>
          <w:lang w:eastAsia="en-AU"/>
        </w:rPr>
        <w:t>ent and local management,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will be made on a ‘negative list’ basis.  Each </w:t>
      </w:r>
      <w:proofErr w:type="spellStart"/>
      <w:r w:rsidRPr="005135F0">
        <w:rPr>
          <w:rFonts w:eastAsia="Times New Roman" w:cs="Arial"/>
          <w:color w:val="000000"/>
          <w:spacing w:val="2"/>
          <w:lang w:eastAsia="en-AU"/>
        </w:rPr>
        <w:t>TiSA</w:t>
      </w:r>
      <w:proofErr w:type="spellEnd"/>
      <w:r w:rsidRPr="005135F0">
        <w:rPr>
          <w:rFonts w:eastAsia="Times New Roman" w:cs="Arial"/>
          <w:color w:val="000000"/>
          <w:spacing w:val="2"/>
          <w:lang w:eastAsia="en-AU"/>
        </w:rPr>
        <w:t xml:space="preserve"> party will s</w:t>
      </w:r>
      <w:r w:rsidR="0076676F" w:rsidRPr="005135F0">
        <w:rPr>
          <w:rFonts w:eastAsia="Times New Roman" w:cs="Arial"/>
          <w:color w:val="000000"/>
          <w:spacing w:val="2"/>
          <w:lang w:eastAsia="en-AU"/>
        </w:rPr>
        <w:t>et out in its schedule where the</w:t>
      </w:r>
      <w:r w:rsidRPr="005135F0">
        <w:rPr>
          <w:rFonts w:eastAsia="Times New Roman" w:cs="Arial"/>
          <w:color w:val="000000"/>
          <w:spacing w:val="2"/>
          <w:lang w:eastAsia="en-AU"/>
        </w:rPr>
        <w:t>se specific obligations do not apply.  U</w:t>
      </w:r>
      <w:r w:rsidR="0076676F" w:rsidRPr="005135F0">
        <w:rPr>
          <w:rFonts w:eastAsia="Times New Roman" w:cs="Arial"/>
          <w:color w:val="000000"/>
          <w:spacing w:val="2"/>
          <w:lang w:eastAsia="en-AU"/>
        </w:rPr>
        <w:t xml:space="preserve">nless a reservation </w:t>
      </w:r>
      <w:proofErr w:type="gramStart"/>
      <w:r w:rsidR="0076676F" w:rsidRPr="005135F0">
        <w:rPr>
          <w:rFonts w:eastAsia="Times New Roman" w:cs="Arial"/>
          <w:color w:val="000000"/>
          <w:spacing w:val="2"/>
          <w:lang w:eastAsia="en-AU"/>
        </w:rPr>
        <w:t>is listed</w:t>
      </w:r>
      <w:proofErr w:type="gramEnd"/>
      <w:r w:rsidR="0076676F" w:rsidRPr="005135F0">
        <w:rPr>
          <w:rFonts w:eastAsia="Times New Roman" w:cs="Arial"/>
          <w:color w:val="000000"/>
          <w:spacing w:val="2"/>
          <w:lang w:eastAsia="en-AU"/>
        </w:rPr>
        <w:t>, parties will commit to provide equal treatment</w:t>
      </w:r>
      <w:r w:rsidR="005B2F8B">
        <w:rPr>
          <w:rFonts w:eastAsia="Times New Roman" w:cs="Arial"/>
          <w:color w:val="000000"/>
          <w:spacing w:val="2"/>
          <w:lang w:eastAsia="en-AU"/>
        </w:rPr>
        <w:t xml:space="preserve"> to both foreign and </w:t>
      </w:r>
      <w:r w:rsidR="00C92A23">
        <w:rPr>
          <w:rFonts w:eastAsia="Times New Roman" w:cs="Arial"/>
          <w:color w:val="000000"/>
          <w:spacing w:val="2"/>
          <w:lang w:eastAsia="en-AU"/>
        </w:rPr>
        <w:t>local</w:t>
      </w:r>
      <w:r w:rsidR="0076676F" w:rsidRPr="005135F0">
        <w:rPr>
          <w:rFonts w:eastAsia="Times New Roman" w:cs="Arial"/>
          <w:color w:val="000000"/>
          <w:spacing w:val="2"/>
          <w:lang w:eastAsia="en-AU"/>
        </w:rPr>
        <w:t xml:space="preserve"> s</w:t>
      </w:r>
      <w:r w:rsidR="005B2F8B">
        <w:rPr>
          <w:rFonts w:eastAsia="Times New Roman" w:cs="Arial"/>
          <w:color w:val="000000"/>
          <w:spacing w:val="2"/>
          <w:lang w:eastAsia="en-AU"/>
        </w:rPr>
        <w:t>uppliers</w:t>
      </w:r>
      <w:r w:rsidR="0076676F" w:rsidRPr="005135F0">
        <w:rPr>
          <w:rFonts w:eastAsia="Times New Roman" w:cs="Arial"/>
          <w:color w:val="000000"/>
          <w:spacing w:val="2"/>
          <w:lang w:eastAsia="en-AU"/>
        </w:rPr>
        <w:t>.</w:t>
      </w:r>
    </w:p>
    <w:p w:rsidR="004D7057" w:rsidRPr="005135F0" w:rsidRDefault="00D12E05" w:rsidP="004D7057">
      <w:pPr>
        <w:shd w:val="clear" w:color="auto" w:fill="FFFFFF"/>
        <w:spacing w:after="150" w:line="480" w:lineRule="atLeast"/>
        <w:outlineLvl w:val="1"/>
        <w:rPr>
          <w:rFonts w:eastAsia="Times New Roman" w:cs="Arial"/>
          <w:color w:val="000000"/>
          <w:spacing w:val="2"/>
          <w:sz w:val="28"/>
          <w:szCs w:val="28"/>
          <w:lang w:eastAsia="en-AU"/>
        </w:rPr>
      </w:pPr>
      <w:r w:rsidRPr="005135F0">
        <w:rPr>
          <w:rFonts w:eastAsia="Times New Roman" w:cs="Arial"/>
          <w:color w:val="000000"/>
          <w:spacing w:val="2"/>
          <w:sz w:val="28"/>
          <w:szCs w:val="28"/>
          <w:lang w:eastAsia="en-AU"/>
        </w:rPr>
        <w:t xml:space="preserve">How to read a </w:t>
      </w:r>
      <w:proofErr w:type="spellStart"/>
      <w:r w:rsidR="005A4432">
        <w:rPr>
          <w:rFonts w:eastAsia="Times New Roman" w:cs="Arial"/>
          <w:color w:val="000000"/>
          <w:spacing w:val="2"/>
          <w:sz w:val="28"/>
          <w:szCs w:val="28"/>
          <w:lang w:eastAsia="en-AU"/>
        </w:rPr>
        <w:t>TiSA</w:t>
      </w:r>
      <w:proofErr w:type="spellEnd"/>
      <w:r w:rsidRPr="005135F0">
        <w:rPr>
          <w:rFonts w:eastAsia="Times New Roman" w:cs="Arial"/>
          <w:color w:val="000000"/>
          <w:spacing w:val="2"/>
          <w:sz w:val="28"/>
          <w:szCs w:val="28"/>
          <w:lang w:eastAsia="en-AU"/>
        </w:rPr>
        <w:t xml:space="preserve"> Schedule</w:t>
      </w:r>
    </w:p>
    <w:p w:rsidR="00D12E05" w:rsidRPr="00BA0FBD" w:rsidRDefault="005A4432" w:rsidP="00BA0FBD">
      <w:pPr>
        <w:shd w:val="clear" w:color="auto" w:fill="FFFFFF"/>
        <w:spacing w:before="120" w:after="200"/>
        <w:rPr>
          <w:rFonts w:eastAsia="Times New Roman" w:cs="Arial"/>
          <w:bCs/>
          <w:color w:val="000000"/>
          <w:spacing w:val="2"/>
          <w:lang w:eastAsia="en-AU"/>
        </w:rPr>
      </w:pPr>
      <w:proofErr w:type="spellStart"/>
      <w:r>
        <w:rPr>
          <w:rFonts w:eastAsia="Times New Roman" w:cs="Arial"/>
          <w:bCs/>
          <w:color w:val="000000"/>
          <w:spacing w:val="2"/>
          <w:lang w:eastAsia="en-AU"/>
        </w:rPr>
        <w:t>TiSA</w:t>
      </w:r>
      <w:proofErr w:type="spellEnd"/>
      <w:r>
        <w:rPr>
          <w:rFonts w:eastAsia="Times New Roman" w:cs="Arial"/>
          <w:bCs/>
          <w:color w:val="000000"/>
          <w:spacing w:val="2"/>
          <w:lang w:eastAsia="en-AU"/>
        </w:rPr>
        <w:t xml:space="preserve"> schedules are broken into two parts – Part I – Horizontal Commitments and Part II – Sector-Specific Commitments. </w:t>
      </w:r>
      <w:r w:rsidR="00785B9F">
        <w:rPr>
          <w:rFonts w:eastAsia="Times New Roman" w:cs="Arial"/>
          <w:bCs/>
          <w:color w:val="000000"/>
          <w:spacing w:val="2"/>
          <w:lang w:eastAsia="en-AU"/>
        </w:rPr>
        <w:t>For the purposes of National T</w:t>
      </w:r>
      <w:r w:rsidR="00274D9B">
        <w:rPr>
          <w:rFonts w:eastAsia="Times New Roman" w:cs="Arial"/>
          <w:bCs/>
          <w:color w:val="000000"/>
          <w:spacing w:val="2"/>
          <w:lang w:eastAsia="en-AU"/>
        </w:rPr>
        <w:t xml:space="preserve">reatment and </w:t>
      </w:r>
      <w:r w:rsidR="00785B9F">
        <w:rPr>
          <w:rFonts w:eastAsia="Times New Roman" w:cs="Arial"/>
          <w:bCs/>
          <w:color w:val="000000"/>
          <w:spacing w:val="2"/>
          <w:lang w:eastAsia="en-AU"/>
        </w:rPr>
        <w:t>L</w:t>
      </w:r>
      <w:r w:rsidR="00274D9B">
        <w:rPr>
          <w:rFonts w:eastAsia="Times New Roman" w:cs="Arial"/>
          <w:bCs/>
          <w:color w:val="000000"/>
          <w:spacing w:val="2"/>
          <w:lang w:eastAsia="en-AU"/>
        </w:rPr>
        <w:t xml:space="preserve">ocalisation obligations, the schedule </w:t>
      </w:r>
      <w:proofErr w:type="gramStart"/>
      <w:r w:rsidR="00274D9B">
        <w:rPr>
          <w:rFonts w:eastAsia="Times New Roman" w:cs="Arial"/>
          <w:bCs/>
          <w:color w:val="000000"/>
          <w:spacing w:val="2"/>
          <w:lang w:eastAsia="en-AU"/>
        </w:rPr>
        <w:t>is also separated</w:t>
      </w:r>
      <w:proofErr w:type="gramEnd"/>
      <w:r w:rsidR="00274D9B">
        <w:rPr>
          <w:rFonts w:eastAsia="Times New Roman" w:cs="Arial"/>
          <w:bCs/>
          <w:color w:val="000000"/>
          <w:spacing w:val="2"/>
          <w:lang w:eastAsia="en-AU"/>
        </w:rPr>
        <w:t xml:space="preserve"> into Section A and Section B</w:t>
      </w:r>
      <w:r w:rsidR="006C2A9A">
        <w:rPr>
          <w:rFonts w:eastAsia="Times New Roman" w:cs="Arial"/>
          <w:bCs/>
          <w:color w:val="000000"/>
          <w:spacing w:val="2"/>
          <w:lang w:eastAsia="en-AU"/>
        </w:rPr>
        <w:t xml:space="preserve">, which determines whether </w:t>
      </w:r>
      <w:r w:rsidR="00C92A23">
        <w:rPr>
          <w:rFonts w:eastAsia="Times New Roman" w:cs="Arial"/>
          <w:bCs/>
          <w:color w:val="000000"/>
          <w:spacing w:val="2"/>
          <w:lang w:eastAsia="en-AU"/>
        </w:rPr>
        <w:t xml:space="preserve">a </w:t>
      </w:r>
      <w:r w:rsidR="006C2A9A">
        <w:rPr>
          <w:rFonts w:eastAsia="Times New Roman" w:cs="Arial"/>
          <w:bCs/>
          <w:color w:val="000000"/>
          <w:spacing w:val="2"/>
          <w:lang w:eastAsia="en-AU"/>
        </w:rPr>
        <w:t>standstill and ratchet apply</w:t>
      </w:r>
      <w:r w:rsidR="00785B9F">
        <w:rPr>
          <w:rFonts w:eastAsia="Times New Roman" w:cs="Arial"/>
          <w:bCs/>
          <w:color w:val="000000"/>
          <w:spacing w:val="2"/>
          <w:lang w:eastAsia="en-AU"/>
        </w:rPr>
        <w:t xml:space="preserve"> (see below)</w:t>
      </w:r>
      <w:r w:rsidR="00274D9B">
        <w:rPr>
          <w:rFonts w:eastAsia="Times New Roman" w:cs="Arial"/>
          <w:bCs/>
          <w:color w:val="000000"/>
          <w:spacing w:val="2"/>
          <w:lang w:eastAsia="en-AU"/>
        </w:rPr>
        <w:t xml:space="preserve">. </w:t>
      </w:r>
      <w:r w:rsidR="00BA0FBD">
        <w:rPr>
          <w:rFonts w:eastAsia="Times New Roman" w:cs="Arial"/>
          <w:bCs/>
          <w:color w:val="000000"/>
          <w:spacing w:val="2"/>
          <w:lang w:eastAsia="en-AU"/>
        </w:rPr>
        <w:br/>
      </w:r>
      <w:r w:rsidR="004D7057" w:rsidRPr="005135F0">
        <w:rPr>
          <w:rFonts w:eastAsia="Times New Roman" w:cs="Arial"/>
          <w:b/>
          <w:bCs/>
          <w:color w:val="000000"/>
          <w:spacing w:val="2"/>
          <w:lang w:eastAsia="en-AU"/>
        </w:rPr>
        <w:br/>
      </w:r>
      <w:r w:rsidR="00D12E05" w:rsidRPr="005135F0">
        <w:rPr>
          <w:rFonts w:eastAsia="Times New Roman" w:cs="Arial"/>
          <w:b/>
          <w:bCs/>
          <w:color w:val="000000"/>
          <w:spacing w:val="2"/>
          <w:lang w:eastAsia="en-AU"/>
        </w:rPr>
        <w:t>Market Access co</w:t>
      </w:r>
      <w:r w:rsidR="0085147F" w:rsidRPr="005135F0">
        <w:rPr>
          <w:rFonts w:eastAsia="Times New Roman" w:cs="Arial"/>
          <w:b/>
          <w:bCs/>
          <w:color w:val="000000"/>
          <w:spacing w:val="2"/>
          <w:lang w:eastAsia="en-AU"/>
        </w:rPr>
        <w:t>lumn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>:</w:t>
      </w:r>
    </w:p>
    <w:p w:rsidR="00D12E05" w:rsidRPr="005135F0" w:rsidRDefault="00876737" w:rsidP="009F14B2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0000"/>
          <w:spacing w:val="2"/>
          <w:lang w:eastAsia="en-AU"/>
        </w:rPr>
      </w:pPr>
      <w:r>
        <w:rPr>
          <w:rFonts w:eastAsia="Times New Roman" w:cs="Arial"/>
          <w:color w:val="000000"/>
          <w:spacing w:val="2"/>
          <w:lang w:eastAsia="en-AU"/>
        </w:rPr>
        <w:t>t</w:t>
      </w:r>
      <w:r w:rsidR="009F14B2" w:rsidRPr="009F14B2">
        <w:rPr>
          <w:rFonts w:eastAsia="Times New Roman" w:cs="Arial"/>
          <w:color w:val="000000"/>
          <w:spacing w:val="2"/>
          <w:lang w:eastAsia="en-AU"/>
        </w:rPr>
        <w:t xml:space="preserve">erms, limitations and conditions on </w:t>
      </w:r>
      <w:r w:rsidR="009F14B2">
        <w:rPr>
          <w:rFonts w:eastAsia="Times New Roman" w:cs="Arial"/>
          <w:color w:val="000000"/>
          <w:spacing w:val="2"/>
          <w:lang w:eastAsia="en-AU"/>
        </w:rPr>
        <w:t>m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arket </w:t>
      </w:r>
      <w:r w:rsidR="009F14B2">
        <w:rPr>
          <w:rFonts w:eastAsia="Times New Roman" w:cs="Arial"/>
          <w:color w:val="000000"/>
          <w:spacing w:val="2"/>
          <w:lang w:eastAsia="en-AU"/>
        </w:rPr>
        <w:t>a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>ccess that apply to all sectors</w:t>
      </w:r>
      <w:r w:rsidR="009F14B2">
        <w:rPr>
          <w:rFonts w:eastAsia="Times New Roman" w:cs="Arial"/>
          <w:color w:val="000000"/>
          <w:spacing w:val="2"/>
          <w:lang w:eastAsia="en-AU"/>
        </w:rPr>
        <w:t xml:space="preserve"> in Part II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 </w:t>
      </w:r>
      <w:r w:rsidR="00201829" w:rsidRPr="005135F0">
        <w:rPr>
          <w:rFonts w:eastAsia="Times New Roman" w:cs="Arial"/>
          <w:color w:val="000000"/>
          <w:spacing w:val="2"/>
          <w:lang w:eastAsia="en-AU"/>
        </w:rPr>
        <w:t>are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 listed in the top part of the schedule</w:t>
      </w:r>
      <w:r w:rsidR="00201829" w:rsidRPr="005135F0">
        <w:rPr>
          <w:rFonts w:eastAsia="Times New Roman" w:cs="Arial"/>
          <w:color w:val="000000"/>
          <w:spacing w:val="2"/>
          <w:lang w:eastAsia="en-AU"/>
        </w:rPr>
        <w:t>,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 under</w:t>
      </w:r>
      <w:r w:rsidR="001B50EC">
        <w:rPr>
          <w:rFonts w:eastAsia="Times New Roman" w:cs="Arial"/>
          <w:color w:val="000000"/>
          <w:spacing w:val="2"/>
          <w:lang w:eastAsia="en-AU"/>
        </w:rPr>
        <w:t xml:space="preserve"> ‘Part I -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 </w:t>
      </w:r>
      <w:r w:rsidR="001B50EC">
        <w:rPr>
          <w:rFonts w:eastAsia="Times New Roman" w:cs="Arial"/>
          <w:color w:val="000000"/>
          <w:spacing w:val="2"/>
          <w:lang w:eastAsia="en-AU"/>
        </w:rPr>
        <w:t>H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orizontal </w:t>
      </w:r>
      <w:r w:rsidR="001B50EC">
        <w:rPr>
          <w:rFonts w:eastAsia="Times New Roman" w:cs="Arial"/>
          <w:color w:val="000000"/>
          <w:spacing w:val="2"/>
          <w:lang w:eastAsia="en-AU"/>
        </w:rPr>
        <w:t>C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>ommitments’;</w:t>
      </w:r>
    </w:p>
    <w:p w:rsidR="00D12E05" w:rsidRPr="005135F0" w:rsidRDefault="00876737" w:rsidP="00D12E05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0000"/>
          <w:spacing w:val="2"/>
          <w:lang w:eastAsia="en-AU"/>
        </w:rPr>
      </w:pPr>
      <w:r>
        <w:rPr>
          <w:rFonts w:eastAsia="Times New Roman" w:cs="Arial"/>
          <w:color w:val="000000"/>
          <w:spacing w:val="2"/>
          <w:lang w:eastAsia="en-AU"/>
        </w:rPr>
        <w:t>sector-specific terms, limitations and conditions on m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arket </w:t>
      </w:r>
      <w:r>
        <w:rPr>
          <w:rFonts w:eastAsia="Times New Roman" w:cs="Arial"/>
          <w:color w:val="000000"/>
          <w:spacing w:val="2"/>
          <w:lang w:eastAsia="en-AU"/>
        </w:rPr>
        <w:t>a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ccess </w:t>
      </w:r>
      <w:r w:rsidR="00201829" w:rsidRPr="005135F0">
        <w:rPr>
          <w:rFonts w:eastAsia="Times New Roman" w:cs="Arial"/>
          <w:color w:val="000000"/>
          <w:spacing w:val="2"/>
          <w:lang w:eastAsia="en-AU"/>
        </w:rPr>
        <w:t xml:space="preserve">are 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>listed by sector in the bottom part of the schedule</w:t>
      </w:r>
      <w:r w:rsidR="00201829" w:rsidRPr="005135F0">
        <w:rPr>
          <w:rFonts w:eastAsia="Times New Roman" w:cs="Arial"/>
          <w:color w:val="000000"/>
          <w:spacing w:val="2"/>
          <w:lang w:eastAsia="en-AU"/>
        </w:rPr>
        <w:t>,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 under</w:t>
      </w:r>
      <w:r w:rsidR="001B50EC">
        <w:rPr>
          <w:rFonts w:eastAsia="Times New Roman" w:cs="Arial"/>
          <w:color w:val="000000"/>
          <w:spacing w:val="2"/>
          <w:lang w:eastAsia="en-AU"/>
        </w:rPr>
        <w:t xml:space="preserve"> ‘Part II -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 </w:t>
      </w:r>
      <w:r w:rsidR="001B50EC">
        <w:rPr>
          <w:rFonts w:eastAsia="Times New Roman" w:cs="Arial"/>
          <w:color w:val="000000"/>
          <w:spacing w:val="2"/>
          <w:lang w:eastAsia="en-AU"/>
        </w:rPr>
        <w:t>S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>ector-</w:t>
      </w:r>
      <w:r w:rsidR="001B50EC">
        <w:rPr>
          <w:rFonts w:eastAsia="Times New Roman" w:cs="Arial"/>
          <w:color w:val="000000"/>
          <w:spacing w:val="2"/>
          <w:lang w:eastAsia="en-AU"/>
        </w:rPr>
        <w:t>S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pecific </w:t>
      </w:r>
      <w:r w:rsidR="001B50EC">
        <w:rPr>
          <w:rFonts w:eastAsia="Times New Roman" w:cs="Arial"/>
          <w:color w:val="000000"/>
          <w:spacing w:val="2"/>
          <w:lang w:eastAsia="en-AU"/>
        </w:rPr>
        <w:t>C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>ommitments’;</w:t>
      </w:r>
    </w:p>
    <w:p w:rsidR="00D12E05" w:rsidRPr="005135F0" w:rsidRDefault="00D12E05" w:rsidP="00D12E05">
      <w:pPr>
        <w:numPr>
          <w:ilvl w:val="0"/>
          <w:numId w:val="1"/>
        </w:numPr>
        <w:shd w:val="clear" w:color="auto" w:fill="FFFFFF"/>
        <w:spacing w:before="120" w:after="120"/>
        <w:rPr>
          <w:rFonts w:eastAsia="Times New Roman" w:cs="Arial"/>
          <w:color w:val="000000"/>
          <w:spacing w:val="2"/>
          <w:lang w:eastAsia="en-AU"/>
        </w:rPr>
      </w:pPr>
      <w:r w:rsidRPr="005135F0">
        <w:rPr>
          <w:rFonts w:eastAsia="Times New Roman" w:cs="Arial"/>
          <w:color w:val="000000"/>
          <w:spacing w:val="2"/>
          <w:lang w:eastAsia="en-AU"/>
        </w:rPr>
        <w:t>where a party undertakes a commitment in a sector, all limitations on Market Access in that sector must be listed;</w:t>
      </w:r>
    </w:p>
    <w:p w:rsidR="00D12E05" w:rsidRPr="00BA0FBD" w:rsidRDefault="009F14B2" w:rsidP="00BA0FBD">
      <w:pPr>
        <w:numPr>
          <w:ilvl w:val="0"/>
          <w:numId w:val="1"/>
        </w:numPr>
        <w:shd w:val="clear" w:color="auto" w:fill="FFFFFF"/>
        <w:spacing w:before="120" w:after="200"/>
        <w:ind w:left="714" w:hanging="357"/>
        <w:rPr>
          <w:rFonts w:eastAsia="Times New Roman" w:cs="Arial"/>
          <w:color w:val="000000"/>
          <w:spacing w:val="2"/>
          <w:lang w:eastAsia="en-AU"/>
        </w:rPr>
      </w:pPr>
      <w:proofErr w:type="gramStart"/>
      <w:r>
        <w:rPr>
          <w:rFonts w:eastAsia="Times New Roman" w:cs="Arial"/>
          <w:color w:val="000000"/>
          <w:spacing w:val="2"/>
          <w:lang w:eastAsia="en-AU"/>
        </w:rPr>
        <w:t>a</w:t>
      </w:r>
      <w:proofErr w:type="gramEnd"/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 variation from the GATS approach to scheduling Market Access </w:t>
      </w:r>
      <w:r w:rsidR="00201829" w:rsidRPr="005135F0">
        <w:rPr>
          <w:rFonts w:eastAsia="Times New Roman" w:cs="Arial"/>
          <w:color w:val="000000"/>
          <w:spacing w:val="2"/>
          <w:lang w:eastAsia="en-AU"/>
        </w:rPr>
        <w:t xml:space="preserve">in </w:t>
      </w:r>
      <w:proofErr w:type="spellStart"/>
      <w:r w:rsidR="00201829" w:rsidRPr="005135F0">
        <w:rPr>
          <w:rFonts w:eastAsia="Times New Roman" w:cs="Arial"/>
          <w:color w:val="000000"/>
          <w:spacing w:val="2"/>
          <w:lang w:eastAsia="en-AU"/>
        </w:rPr>
        <w:t>TiSA</w:t>
      </w:r>
      <w:proofErr w:type="spellEnd"/>
      <w:r w:rsidR="00201829" w:rsidRPr="005135F0">
        <w:rPr>
          <w:rFonts w:eastAsia="Times New Roman" w:cs="Arial"/>
          <w:color w:val="000000"/>
          <w:spacing w:val="2"/>
          <w:lang w:eastAsia="en-AU"/>
        </w:rPr>
        <w:t xml:space="preserve"> 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>is that limitations that apply to both Market Access and National Treatment (</w:t>
      </w:r>
      <w:r w:rsidR="00201829" w:rsidRPr="005135F0">
        <w:rPr>
          <w:rFonts w:eastAsia="Times New Roman" w:cs="Arial"/>
          <w:color w:val="000000"/>
          <w:spacing w:val="2"/>
          <w:lang w:eastAsia="en-AU"/>
        </w:rPr>
        <w:t xml:space="preserve">for example, 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foreign equity limitations) </w:t>
      </w:r>
      <w:r w:rsidR="00201829" w:rsidRPr="005135F0">
        <w:rPr>
          <w:rFonts w:eastAsia="Times New Roman" w:cs="Arial"/>
          <w:color w:val="000000"/>
          <w:spacing w:val="2"/>
          <w:lang w:eastAsia="en-AU"/>
        </w:rPr>
        <w:t xml:space="preserve">are 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>listed in</w:t>
      </w:r>
      <w:r w:rsidR="00885E4C" w:rsidRPr="005135F0">
        <w:rPr>
          <w:rFonts w:eastAsia="Times New Roman" w:cs="Arial"/>
          <w:color w:val="000000"/>
          <w:spacing w:val="2"/>
          <w:lang w:eastAsia="en-AU"/>
        </w:rPr>
        <w:t xml:space="preserve"> </w:t>
      </w:r>
      <w:r w:rsidR="00D12E05" w:rsidRPr="005135F0">
        <w:rPr>
          <w:rFonts w:eastAsia="Times New Roman" w:cs="Arial"/>
          <w:b/>
          <w:bCs/>
          <w:color w:val="000000"/>
          <w:spacing w:val="2"/>
          <w:lang w:eastAsia="en-AU"/>
        </w:rPr>
        <w:t>both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 xml:space="preserve"> Market Access and National Treatment columns.</w:t>
      </w:r>
    </w:p>
    <w:p w:rsidR="00D12E05" w:rsidRPr="005135F0" w:rsidRDefault="00274D9B" w:rsidP="00D12E05">
      <w:pPr>
        <w:shd w:val="clear" w:color="auto" w:fill="FFFFFF"/>
        <w:spacing w:after="150"/>
        <w:rPr>
          <w:rFonts w:eastAsia="Times New Roman" w:cs="Arial"/>
          <w:color w:val="000000"/>
          <w:spacing w:val="2"/>
          <w:lang w:eastAsia="en-AU"/>
        </w:rPr>
      </w:pPr>
      <w:r>
        <w:rPr>
          <w:rFonts w:eastAsia="Times New Roman" w:cs="Arial"/>
          <w:b/>
          <w:bCs/>
          <w:color w:val="000000"/>
          <w:spacing w:val="2"/>
          <w:lang w:eastAsia="en-AU"/>
        </w:rPr>
        <w:t>National Treatment/</w:t>
      </w:r>
      <w:r w:rsidR="0085147F" w:rsidRPr="005135F0">
        <w:rPr>
          <w:rFonts w:eastAsia="Times New Roman" w:cs="Arial"/>
          <w:b/>
          <w:bCs/>
          <w:color w:val="000000"/>
          <w:spacing w:val="2"/>
          <w:lang w:eastAsia="en-AU"/>
        </w:rPr>
        <w:t>Other limitations column</w:t>
      </w:r>
      <w:r w:rsidR="00D12E05" w:rsidRPr="005135F0">
        <w:rPr>
          <w:rFonts w:eastAsia="Times New Roman" w:cs="Arial"/>
          <w:color w:val="000000"/>
          <w:spacing w:val="2"/>
          <w:lang w:eastAsia="en-AU"/>
        </w:rPr>
        <w:t>:</w:t>
      </w:r>
    </w:p>
    <w:p w:rsidR="00D12E05" w:rsidRPr="005135F0" w:rsidRDefault="00D12E05" w:rsidP="00D12E05">
      <w:pPr>
        <w:numPr>
          <w:ilvl w:val="0"/>
          <w:numId w:val="2"/>
        </w:numPr>
        <w:shd w:val="clear" w:color="auto" w:fill="FFFFFF"/>
        <w:spacing w:before="120" w:after="120"/>
        <w:rPr>
          <w:rFonts w:eastAsia="Times New Roman" w:cs="Arial"/>
          <w:color w:val="000000"/>
          <w:spacing w:val="2"/>
          <w:lang w:eastAsia="en-AU"/>
        </w:rPr>
      </w:pPr>
      <w:r w:rsidRPr="005135F0">
        <w:rPr>
          <w:rFonts w:eastAsia="Times New Roman" w:cs="Arial"/>
          <w:color w:val="000000"/>
          <w:spacing w:val="2"/>
          <w:lang w:eastAsia="en-AU"/>
        </w:rPr>
        <w:t xml:space="preserve">for any </w:t>
      </w:r>
      <w:r w:rsidR="00785B9F">
        <w:rPr>
          <w:rFonts w:eastAsia="Times New Roman" w:cs="Arial"/>
          <w:color w:val="000000"/>
          <w:spacing w:val="2"/>
          <w:lang w:eastAsia="en-AU"/>
        </w:rPr>
        <w:t>sector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where a party does not commit to apply </w:t>
      </w:r>
      <w:r w:rsidR="0085147F" w:rsidRPr="005135F0">
        <w:rPr>
          <w:rFonts w:eastAsia="Times New Roman" w:cs="Arial"/>
          <w:color w:val="000000"/>
          <w:spacing w:val="2"/>
          <w:lang w:eastAsia="en-AU"/>
        </w:rPr>
        <w:t>the National Treatment and Localisation obligations in full</w:t>
      </w:r>
      <w:r w:rsidRPr="005135F0">
        <w:rPr>
          <w:rFonts w:eastAsia="Times New Roman" w:cs="Arial"/>
          <w:color w:val="000000"/>
          <w:spacing w:val="2"/>
          <w:lang w:eastAsia="en-AU"/>
        </w:rPr>
        <w:t>, a reservation must be listed in the</w:t>
      </w:r>
      <w:r w:rsidR="00274D9B">
        <w:rPr>
          <w:rFonts w:eastAsia="Times New Roman" w:cs="Arial"/>
          <w:color w:val="000000"/>
          <w:spacing w:val="2"/>
          <w:lang w:eastAsia="en-AU"/>
        </w:rPr>
        <w:t xml:space="preserve"> National Treatment/</w:t>
      </w:r>
      <w:r w:rsidR="0085147F" w:rsidRPr="005135F0">
        <w:rPr>
          <w:rFonts w:eastAsia="Times New Roman" w:cs="Arial"/>
          <w:color w:val="000000"/>
          <w:spacing w:val="2"/>
          <w:lang w:eastAsia="en-AU"/>
        </w:rPr>
        <w:t>Other Limitations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column;</w:t>
      </w:r>
    </w:p>
    <w:p w:rsidR="00D12E05" w:rsidRPr="005135F0" w:rsidRDefault="00D12E05" w:rsidP="00D12E05">
      <w:pPr>
        <w:numPr>
          <w:ilvl w:val="0"/>
          <w:numId w:val="2"/>
        </w:numPr>
        <w:shd w:val="clear" w:color="auto" w:fill="FFFFFF"/>
        <w:spacing w:before="120" w:after="120"/>
        <w:rPr>
          <w:rFonts w:eastAsia="Times New Roman" w:cs="Arial"/>
          <w:color w:val="000000"/>
          <w:spacing w:val="2"/>
          <w:lang w:eastAsia="en-AU"/>
        </w:rPr>
      </w:pPr>
      <w:r w:rsidRPr="005135F0">
        <w:rPr>
          <w:rFonts w:eastAsia="Times New Roman" w:cs="Arial"/>
          <w:color w:val="000000"/>
          <w:spacing w:val="2"/>
          <w:lang w:eastAsia="en-AU"/>
        </w:rPr>
        <w:t xml:space="preserve">any limitation on </w:t>
      </w:r>
      <w:r w:rsidR="0085147F" w:rsidRPr="005135F0">
        <w:rPr>
          <w:rFonts w:eastAsia="Times New Roman" w:cs="Arial"/>
          <w:color w:val="000000"/>
          <w:spacing w:val="2"/>
          <w:lang w:eastAsia="en-AU"/>
        </w:rPr>
        <w:t xml:space="preserve">the 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National Treatment </w:t>
      </w:r>
      <w:r w:rsidR="0085147F" w:rsidRPr="005135F0">
        <w:rPr>
          <w:rFonts w:eastAsia="Times New Roman" w:cs="Arial"/>
          <w:color w:val="000000"/>
          <w:spacing w:val="2"/>
          <w:lang w:eastAsia="en-AU"/>
        </w:rPr>
        <w:t xml:space="preserve">and Localisation obligations </w:t>
      </w:r>
      <w:r w:rsidRPr="005135F0">
        <w:rPr>
          <w:rFonts w:eastAsia="Times New Roman" w:cs="Arial"/>
          <w:color w:val="000000"/>
          <w:spacing w:val="2"/>
          <w:lang w:eastAsia="en-AU"/>
        </w:rPr>
        <w:t>that is not listed cannot be maintained;</w:t>
      </w:r>
    </w:p>
    <w:p w:rsidR="00201829" w:rsidRPr="005135F0" w:rsidRDefault="00D12E05" w:rsidP="00D12E05">
      <w:pPr>
        <w:numPr>
          <w:ilvl w:val="0"/>
          <w:numId w:val="2"/>
        </w:numPr>
        <w:shd w:val="clear" w:color="auto" w:fill="FFFFFF"/>
        <w:spacing w:before="120" w:after="120"/>
        <w:rPr>
          <w:rFonts w:eastAsia="Times New Roman" w:cs="Arial"/>
          <w:color w:val="000000"/>
          <w:spacing w:val="2"/>
          <w:lang w:eastAsia="en-AU"/>
        </w:rPr>
      </w:pPr>
      <w:r w:rsidRPr="005135F0">
        <w:rPr>
          <w:rFonts w:eastAsia="Times New Roman" w:cs="Arial"/>
          <w:color w:val="000000"/>
          <w:spacing w:val="2"/>
          <w:lang w:eastAsia="en-AU"/>
        </w:rPr>
        <w:t xml:space="preserve">a standstill (binding current levels of market openness) and ratchet (binding future liberalisation of </w:t>
      </w:r>
      <w:r w:rsidR="0085147F" w:rsidRPr="005135F0">
        <w:rPr>
          <w:rFonts w:eastAsia="Times New Roman" w:cs="Arial"/>
          <w:color w:val="000000"/>
          <w:spacing w:val="2"/>
          <w:lang w:eastAsia="en-AU"/>
        </w:rPr>
        <w:t>existing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limitations) will apply to all National Treatment</w:t>
      </w:r>
      <w:r w:rsidR="0085147F" w:rsidRPr="005135F0">
        <w:rPr>
          <w:rFonts w:eastAsia="Times New Roman" w:cs="Arial"/>
          <w:color w:val="000000"/>
          <w:spacing w:val="2"/>
          <w:lang w:eastAsia="en-AU"/>
        </w:rPr>
        <w:t xml:space="preserve"> and Localisation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commitments</w:t>
      </w:r>
      <w:r w:rsidR="0085147F" w:rsidRPr="005135F0">
        <w:rPr>
          <w:rFonts w:eastAsia="Times New Roman" w:cs="Arial"/>
          <w:color w:val="000000"/>
          <w:spacing w:val="2"/>
          <w:lang w:eastAsia="en-AU"/>
        </w:rPr>
        <w:t xml:space="preserve"> in Section B</w:t>
      </w:r>
      <w:r w:rsidR="00201829" w:rsidRPr="005135F0">
        <w:rPr>
          <w:rFonts w:eastAsia="Times New Roman" w:cs="Arial"/>
          <w:color w:val="000000"/>
          <w:spacing w:val="2"/>
          <w:lang w:eastAsia="en-AU"/>
        </w:rPr>
        <w:t>;</w:t>
      </w:r>
    </w:p>
    <w:p w:rsidR="00B05589" w:rsidRPr="00BA0FBD" w:rsidRDefault="00201829" w:rsidP="00BA0FBD">
      <w:pPr>
        <w:numPr>
          <w:ilvl w:val="0"/>
          <w:numId w:val="2"/>
        </w:numPr>
        <w:shd w:val="clear" w:color="auto" w:fill="FFFFFF"/>
        <w:spacing w:before="120" w:after="240"/>
        <w:ind w:left="714" w:hanging="357"/>
        <w:rPr>
          <w:rFonts w:eastAsia="Times New Roman" w:cs="Arial"/>
          <w:color w:val="000000"/>
          <w:spacing w:val="2"/>
          <w:lang w:eastAsia="en-AU"/>
        </w:rPr>
      </w:pPr>
      <w:proofErr w:type="gramStart"/>
      <w:r w:rsidRPr="005135F0">
        <w:rPr>
          <w:rFonts w:eastAsia="Times New Roman" w:cs="Arial"/>
          <w:color w:val="000000"/>
          <w:spacing w:val="2"/>
          <w:lang w:eastAsia="en-AU"/>
        </w:rPr>
        <w:t>where</w:t>
      </w:r>
      <w:proofErr w:type="gramEnd"/>
      <w:r w:rsidRPr="005135F0">
        <w:rPr>
          <w:rFonts w:eastAsia="Times New Roman" w:cs="Arial"/>
          <w:color w:val="000000"/>
          <w:spacing w:val="2"/>
          <w:lang w:eastAsia="en-AU"/>
        </w:rPr>
        <w:t xml:space="preserve"> a party </w:t>
      </w:r>
      <w:r w:rsidR="00587AA0">
        <w:rPr>
          <w:rFonts w:eastAsia="Times New Roman" w:cs="Arial"/>
          <w:color w:val="000000"/>
          <w:spacing w:val="2"/>
          <w:lang w:eastAsia="en-AU"/>
        </w:rPr>
        <w:t>includes a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reservation </w:t>
      </w:r>
      <w:r w:rsidR="0085147F" w:rsidRPr="005135F0">
        <w:rPr>
          <w:rFonts w:eastAsia="Times New Roman" w:cs="Arial"/>
          <w:color w:val="000000"/>
          <w:spacing w:val="2"/>
          <w:lang w:eastAsia="en-AU"/>
        </w:rPr>
        <w:t>in Section A</w:t>
      </w:r>
      <w:r w:rsidRPr="005135F0">
        <w:rPr>
          <w:rFonts w:eastAsia="Times New Roman" w:cs="Arial"/>
          <w:color w:val="000000"/>
          <w:spacing w:val="2"/>
          <w:lang w:eastAsia="en-AU"/>
        </w:rPr>
        <w:t>,</w:t>
      </w:r>
      <w:r w:rsidR="00587AA0">
        <w:rPr>
          <w:rFonts w:eastAsia="Times New Roman" w:cs="Arial"/>
          <w:color w:val="000000"/>
          <w:spacing w:val="2"/>
          <w:lang w:eastAsia="en-AU"/>
        </w:rPr>
        <w:t xml:space="preserve"> it has created policy space and</w:t>
      </w:r>
      <w:r w:rsidRPr="005135F0">
        <w:rPr>
          <w:rFonts w:eastAsia="Times New Roman" w:cs="Arial"/>
          <w:color w:val="000000"/>
          <w:spacing w:val="2"/>
          <w:lang w:eastAsia="en-AU"/>
        </w:rPr>
        <w:t xml:space="preserve"> </w:t>
      </w:r>
      <w:r w:rsidR="005135F0">
        <w:rPr>
          <w:rFonts w:eastAsia="Times New Roman" w:cs="Arial"/>
          <w:color w:val="000000"/>
          <w:spacing w:val="2"/>
          <w:lang w:eastAsia="en-AU"/>
        </w:rPr>
        <w:t xml:space="preserve">standstill and ratchet </w:t>
      </w:r>
      <w:r w:rsidR="00587AA0">
        <w:rPr>
          <w:rFonts w:eastAsia="Times New Roman" w:cs="Arial"/>
          <w:color w:val="000000"/>
          <w:spacing w:val="2"/>
          <w:lang w:eastAsia="en-AU"/>
        </w:rPr>
        <w:t xml:space="preserve">does not </w:t>
      </w:r>
      <w:r w:rsidR="005135F0">
        <w:rPr>
          <w:rFonts w:eastAsia="Times New Roman" w:cs="Arial"/>
          <w:color w:val="000000"/>
          <w:spacing w:val="2"/>
          <w:lang w:eastAsia="en-AU"/>
        </w:rPr>
        <w:t>appl</w:t>
      </w:r>
      <w:r w:rsidR="00587AA0">
        <w:rPr>
          <w:rFonts w:eastAsia="Times New Roman" w:cs="Arial"/>
          <w:color w:val="000000"/>
          <w:spacing w:val="2"/>
          <w:lang w:eastAsia="en-AU"/>
        </w:rPr>
        <w:t>y</w:t>
      </w:r>
      <w:r w:rsidR="005135F0">
        <w:rPr>
          <w:rFonts w:eastAsia="Times New Roman" w:cs="Arial"/>
          <w:color w:val="000000"/>
          <w:spacing w:val="2"/>
          <w:lang w:eastAsia="en-AU"/>
        </w:rPr>
        <w:t>.</w:t>
      </w:r>
    </w:p>
    <w:p w:rsidR="005135F0" w:rsidRPr="005135F0" w:rsidRDefault="005135F0" w:rsidP="005135F0">
      <w:pPr>
        <w:shd w:val="clear" w:color="auto" w:fill="FFFFFF"/>
        <w:spacing w:before="120" w:after="120"/>
        <w:rPr>
          <w:rFonts w:eastAsia="Times New Roman" w:cs="Arial"/>
          <w:color w:val="000000"/>
          <w:spacing w:val="2"/>
          <w:lang w:eastAsia="en-AU"/>
        </w:rPr>
      </w:pPr>
      <w:r>
        <w:rPr>
          <w:rFonts w:eastAsia="Times New Roman" w:cs="Arial"/>
          <w:color w:val="000000"/>
          <w:spacing w:val="2"/>
          <w:lang w:eastAsia="en-AU"/>
        </w:rPr>
        <w:t xml:space="preserve">An example of the </w:t>
      </w:r>
      <w:proofErr w:type="spellStart"/>
      <w:r>
        <w:rPr>
          <w:rFonts w:eastAsia="Times New Roman" w:cs="Arial"/>
          <w:color w:val="000000"/>
          <w:spacing w:val="2"/>
          <w:lang w:eastAsia="en-AU"/>
        </w:rPr>
        <w:t>TiSA</w:t>
      </w:r>
      <w:proofErr w:type="spellEnd"/>
      <w:r>
        <w:rPr>
          <w:rFonts w:eastAsia="Times New Roman" w:cs="Arial"/>
          <w:color w:val="000000"/>
          <w:spacing w:val="2"/>
          <w:lang w:eastAsia="en-AU"/>
        </w:rPr>
        <w:t xml:space="preserve"> Schedule </w:t>
      </w:r>
      <w:proofErr w:type="gramStart"/>
      <w:r>
        <w:rPr>
          <w:rFonts w:eastAsia="Times New Roman" w:cs="Arial"/>
          <w:color w:val="000000"/>
          <w:spacing w:val="2"/>
          <w:lang w:eastAsia="en-AU"/>
        </w:rPr>
        <w:t>is provided</w:t>
      </w:r>
      <w:proofErr w:type="gramEnd"/>
      <w:r>
        <w:rPr>
          <w:rFonts w:eastAsia="Times New Roman" w:cs="Arial"/>
          <w:color w:val="000000"/>
          <w:spacing w:val="2"/>
          <w:lang w:eastAsia="en-AU"/>
        </w:rPr>
        <w:t xml:space="preserve"> below.</w:t>
      </w:r>
    </w:p>
    <w:p w:rsidR="005135F0" w:rsidRDefault="005135F0" w:rsidP="00D12E05">
      <w:pPr>
        <w:shd w:val="clear" w:color="auto" w:fill="FFFFFF"/>
        <w:spacing w:before="120" w:after="120"/>
        <w:rPr>
          <w:rFonts w:ascii="Arial" w:eastAsia="Times New Roman" w:hAnsi="Arial" w:cs="Arial"/>
          <w:color w:val="000000"/>
          <w:spacing w:val="2"/>
          <w:lang w:eastAsia="en-AU"/>
        </w:rPr>
        <w:sectPr w:rsidR="005135F0" w:rsidSect="00BA0F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:rsidR="005135F0" w:rsidRPr="00E164E7" w:rsidRDefault="00D74A76" w:rsidP="00E164E7">
      <w:pPr>
        <w:shd w:val="clear" w:color="auto" w:fill="FFFFFF"/>
        <w:spacing w:before="120" w:after="120"/>
        <w:jc w:val="center"/>
        <w:rPr>
          <w:rFonts w:eastAsia="Times New Roman" w:cs="Arial"/>
          <w:b/>
          <w:color w:val="000000"/>
          <w:spacing w:val="2"/>
          <w:sz w:val="24"/>
          <w:szCs w:val="24"/>
          <w:lang w:eastAsia="en-AU"/>
        </w:rPr>
      </w:pPr>
      <w:r w:rsidRPr="00E164E7">
        <w:rPr>
          <w:rFonts w:eastAsia="Times New Roman" w:cs="Arial"/>
          <w:b/>
          <w:color w:val="000000"/>
          <w:spacing w:val="2"/>
          <w:sz w:val="28"/>
          <w:szCs w:val="24"/>
          <w:lang w:eastAsia="en-AU"/>
        </w:rPr>
        <w:lastRenderedPageBreak/>
        <w:t xml:space="preserve">The Hybrid Scheduling Model, as used in </w:t>
      </w:r>
      <w:proofErr w:type="spellStart"/>
      <w:r w:rsidRPr="00E164E7">
        <w:rPr>
          <w:rFonts w:eastAsia="Times New Roman" w:cs="Arial"/>
          <w:b/>
          <w:color w:val="000000"/>
          <w:spacing w:val="2"/>
          <w:sz w:val="28"/>
          <w:szCs w:val="24"/>
          <w:lang w:eastAsia="en-AU"/>
        </w:rPr>
        <w:t>TiSA</w:t>
      </w:r>
      <w:proofErr w:type="spellEnd"/>
    </w:p>
    <w:p w:rsidR="005135F0" w:rsidRPr="00E164E7" w:rsidRDefault="005135F0" w:rsidP="00ED1B5C">
      <w:pPr>
        <w:spacing w:after="120"/>
        <w:jc w:val="center"/>
        <w:rPr>
          <w:b/>
        </w:rPr>
      </w:pPr>
      <w:r w:rsidRPr="00377805">
        <w:rPr>
          <w:b/>
          <w:i/>
          <w:sz w:val="24"/>
        </w:rPr>
        <w:t xml:space="preserve">[NAME OF </w:t>
      </w:r>
      <w:proofErr w:type="spellStart"/>
      <w:r w:rsidRPr="00377805">
        <w:rPr>
          <w:b/>
          <w:i/>
          <w:sz w:val="24"/>
        </w:rPr>
        <w:t>TiSA</w:t>
      </w:r>
      <w:proofErr w:type="spellEnd"/>
      <w:r w:rsidRPr="00377805">
        <w:rPr>
          <w:b/>
          <w:i/>
          <w:sz w:val="24"/>
        </w:rPr>
        <w:t xml:space="preserve"> PARTY]</w:t>
      </w:r>
      <w:r w:rsidRPr="00377805">
        <w:rPr>
          <w:b/>
          <w:sz w:val="24"/>
        </w:rPr>
        <w:t xml:space="preserve"> – SCHEDULE OF SPECIFIC COMMITMENTS</w:t>
      </w:r>
    </w:p>
    <w:p w:rsidR="005135F0" w:rsidRPr="00377805" w:rsidRDefault="005135F0" w:rsidP="00ED1B5C">
      <w:pPr>
        <w:spacing w:after="80"/>
        <w:jc w:val="center"/>
        <w:rPr>
          <w:sz w:val="21"/>
          <w:szCs w:val="21"/>
        </w:rPr>
      </w:pPr>
      <w:r w:rsidRPr="00377805">
        <w:rPr>
          <w:sz w:val="21"/>
          <w:szCs w:val="21"/>
        </w:rPr>
        <w:t>Modes of supply:</w:t>
      </w:r>
      <w:r w:rsidRPr="00377805">
        <w:rPr>
          <w:sz w:val="21"/>
          <w:szCs w:val="21"/>
        </w:rPr>
        <w:tab/>
        <w:t>1) Cross-border</w:t>
      </w:r>
      <w:r w:rsidR="00377805">
        <w:rPr>
          <w:sz w:val="21"/>
          <w:szCs w:val="21"/>
        </w:rPr>
        <w:t xml:space="preserve"> supply</w:t>
      </w:r>
      <w:r w:rsidR="00377805">
        <w:rPr>
          <w:sz w:val="21"/>
          <w:szCs w:val="21"/>
        </w:rPr>
        <w:tab/>
      </w:r>
      <w:r w:rsidR="00377805">
        <w:rPr>
          <w:sz w:val="21"/>
          <w:szCs w:val="21"/>
        </w:rPr>
        <w:tab/>
        <w:t>2) Consumption abroad</w:t>
      </w:r>
      <w:r w:rsidR="00377805">
        <w:rPr>
          <w:sz w:val="21"/>
          <w:szCs w:val="21"/>
        </w:rPr>
        <w:tab/>
        <w:t xml:space="preserve"> </w:t>
      </w:r>
      <w:r w:rsidR="00377805">
        <w:rPr>
          <w:sz w:val="21"/>
          <w:szCs w:val="21"/>
        </w:rPr>
        <w:tab/>
      </w:r>
      <w:r w:rsidRPr="00377805">
        <w:rPr>
          <w:sz w:val="21"/>
          <w:szCs w:val="21"/>
        </w:rPr>
        <w:t>3) Commercial presence</w:t>
      </w:r>
      <w:r w:rsidRPr="00377805">
        <w:rPr>
          <w:sz w:val="21"/>
          <w:szCs w:val="21"/>
        </w:rPr>
        <w:tab/>
      </w:r>
      <w:r w:rsidR="00377805">
        <w:rPr>
          <w:sz w:val="21"/>
          <w:szCs w:val="21"/>
        </w:rPr>
        <w:tab/>
      </w:r>
      <w:r w:rsidRPr="00377805">
        <w:rPr>
          <w:sz w:val="21"/>
          <w:szCs w:val="21"/>
        </w:rPr>
        <w:t>4) Presence of natural persons</w:t>
      </w:r>
    </w:p>
    <w:tbl>
      <w:tblPr>
        <w:tblW w:w="51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4254"/>
        <w:gridCol w:w="4818"/>
        <w:gridCol w:w="1620"/>
      </w:tblGrid>
      <w:tr w:rsidR="00422F67" w:rsidRPr="00377805" w:rsidTr="00B05589">
        <w:trPr>
          <w:trHeight w:val="415"/>
        </w:trPr>
        <w:tc>
          <w:tcPr>
            <w:tcW w:w="124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422F67">
            <w:pPr>
              <w:jc w:val="center"/>
              <w:rPr>
                <w:rFonts w:eastAsia="Times New Roman" w:cs="Arial"/>
                <w:b/>
                <w:spacing w:val="2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b/>
                <w:spacing w:val="2"/>
                <w:szCs w:val="20"/>
                <w:lang w:eastAsia="en-AU"/>
              </w:rPr>
              <w:t>Sector or subsector</w:t>
            </w:r>
          </w:p>
        </w:tc>
        <w:tc>
          <w:tcPr>
            <w:tcW w:w="149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422F67">
            <w:pPr>
              <w:jc w:val="center"/>
              <w:rPr>
                <w:rFonts w:eastAsia="Times New Roman" w:cs="Arial"/>
                <w:b/>
                <w:spacing w:val="2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b/>
                <w:spacing w:val="2"/>
                <w:szCs w:val="20"/>
                <w:lang w:eastAsia="en-AU"/>
              </w:rPr>
              <w:t>Limitations on market access</w:t>
            </w:r>
          </w:p>
        </w:tc>
        <w:tc>
          <w:tcPr>
            <w:tcW w:w="169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274D9B" w:rsidP="00422F67">
            <w:pPr>
              <w:jc w:val="center"/>
              <w:rPr>
                <w:rFonts w:eastAsia="Times New Roman" w:cs="Arial"/>
                <w:b/>
                <w:spacing w:val="2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spacing w:val="2"/>
                <w:szCs w:val="20"/>
                <w:lang w:eastAsia="en-AU"/>
              </w:rPr>
              <w:t>National Treatment</w:t>
            </w:r>
            <w:r w:rsidR="00B05589">
              <w:rPr>
                <w:rFonts w:eastAsia="Times New Roman" w:cs="Arial"/>
                <w:b/>
                <w:spacing w:val="2"/>
                <w:szCs w:val="20"/>
                <w:lang w:eastAsia="en-AU"/>
              </w:rPr>
              <w:t xml:space="preserve"> (NT)</w:t>
            </w:r>
            <w:r>
              <w:rPr>
                <w:rFonts w:eastAsia="Times New Roman" w:cs="Arial"/>
                <w:b/>
                <w:spacing w:val="2"/>
                <w:szCs w:val="20"/>
                <w:lang w:eastAsia="en-AU"/>
              </w:rPr>
              <w:t>/</w:t>
            </w:r>
            <w:r w:rsidR="002F3120" w:rsidRPr="00377805">
              <w:rPr>
                <w:rFonts w:eastAsia="Times New Roman" w:cs="Arial"/>
                <w:b/>
                <w:spacing w:val="2"/>
                <w:szCs w:val="20"/>
                <w:lang w:eastAsia="en-AU"/>
              </w:rPr>
              <w:t>Other limitations</w:t>
            </w:r>
          </w:p>
        </w:tc>
        <w:tc>
          <w:tcPr>
            <w:tcW w:w="56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422F67">
            <w:pPr>
              <w:jc w:val="center"/>
              <w:rPr>
                <w:rFonts w:eastAsia="Times New Roman" w:cs="Arial"/>
                <w:b/>
                <w:spacing w:val="2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b/>
                <w:spacing w:val="2"/>
                <w:szCs w:val="20"/>
                <w:lang w:eastAsia="en-AU"/>
              </w:rPr>
              <w:t>Additional commitments</w:t>
            </w:r>
          </w:p>
        </w:tc>
      </w:tr>
      <w:tr w:rsidR="00D12E05" w:rsidRPr="00377805" w:rsidTr="00B05589">
        <w:trPr>
          <w:trHeight w:val="425"/>
        </w:trPr>
        <w:tc>
          <w:tcPr>
            <w:tcW w:w="5000" w:type="pct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E164E7">
            <w:pPr>
              <w:spacing w:after="4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b/>
                <w:color w:val="000000"/>
                <w:spacing w:val="2"/>
                <w:szCs w:val="20"/>
                <w:lang w:eastAsia="en-AU"/>
              </w:rPr>
              <w:t>I. HORIZONTAL COMMITMENTS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br/>
            </w:r>
            <w:r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>Party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 undertakes its specific commitments in accordance with Part II – Scheduling Commitments.</w:t>
            </w:r>
          </w:p>
        </w:tc>
      </w:tr>
      <w:tr w:rsidR="00422F67" w:rsidRPr="00377805" w:rsidTr="00B05589">
        <w:trPr>
          <w:trHeight w:val="1698"/>
        </w:trPr>
        <w:tc>
          <w:tcPr>
            <w:tcW w:w="12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3120" w:rsidRPr="00377805" w:rsidRDefault="002F3120" w:rsidP="00E164E7">
            <w:pPr>
              <w:spacing w:after="40"/>
              <w:rPr>
                <w:rFonts w:eastAsia="Times New Roman" w:cs="Arial"/>
                <w:color w:val="000000"/>
                <w:spacing w:val="2"/>
                <w:szCs w:val="20"/>
                <w:u w:val="single"/>
                <w:lang w:eastAsia="en-AU"/>
              </w:rPr>
            </w:pPr>
            <w:r w:rsidRPr="00377805">
              <w:rPr>
                <w:rFonts w:eastAsia="Times New Roman" w:cs="Arial"/>
                <w:color w:val="000000"/>
                <w:spacing w:val="2"/>
                <w:szCs w:val="20"/>
                <w:u w:val="single"/>
                <w:lang w:eastAsia="en-AU"/>
              </w:rPr>
              <w:t>SECTION A</w:t>
            </w:r>
          </w:p>
          <w:p w:rsidR="00D12E05" w:rsidRPr="00377805" w:rsidRDefault="00D12E05" w:rsidP="00B05589">
            <w:pPr>
              <w:spacing w:after="4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RESERVATIONS pursuant to </w:t>
            </w:r>
            <w:r w:rsidR="00377805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[list Part and Articles]</w:t>
            </w:r>
            <w:r w:rsidR="00D74A76"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 xml:space="preserve"> </w:t>
            </w:r>
            <w:r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 xml:space="preserve">(horizontal </w:t>
            </w:r>
            <w:r w:rsidR="00B05589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>NT</w:t>
            </w:r>
            <w:r w:rsidR="00014D5C"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 xml:space="preserve"> and Localisation</w:t>
            </w:r>
            <w:r w:rsidR="001C30CC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>;</w:t>
            </w:r>
            <w:r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 xml:space="preserve"> standstill and ratchet</w:t>
            </w:r>
            <w:r w:rsidR="002F3120"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 xml:space="preserve"> </w:t>
            </w:r>
            <w:r w:rsidR="002F3120" w:rsidRPr="00B05589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u w:val="single"/>
                <w:lang w:eastAsia="en-AU"/>
              </w:rPr>
              <w:t>does not</w:t>
            </w:r>
            <w:r w:rsidR="002F3120"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 xml:space="preserve"> apply</w:t>
            </w:r>
            <w:r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49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E164E7">
            <w:pPr>
              <w:spacing w:after="4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</w:p>
        </w:tc>
        <w:tc>
          <w:tcPr>
            <w:tcW w:w="169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E164E7">
            <w:pPr>
              <w:spacing w:after="4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>Party</w:t>
            </w:r>
            <w:r w:rsidR="00D74A76"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 xml:space="preserve"> 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reserves the right to adopt or maintain any measure in the specific sectors, sub-sectors or activities listed below:</w:t>
            </w:r>
          </w:p>
          <w:p w:rsidR="00D12E05" w:rsidRPr="00377805" w:rsidRDefault="00D74A76" w:rsidP="00B05589">
            <w:pPr>
              <w:numPr>
                <w:ilvl w:val="0"/>
                <w:numId w:val="3"/>
              </w:numPr>
              <w:tabs>
                <w:tab w:val="clear" w:pos="720"/>
                <w:tab w:val="num" w:pos="399"/>
              </w:tabs>
              <w:spacing w:before="120" w:after="40"/>
              <w:ind w:left="399" w:hanging="399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Party lists </w:t>
            </w:r>
            <w:r w:rsidR="00014D5C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reservations to </w:t>
            </w:r>
            <w:r w:rsidR="00B05589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NT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</w:t>
            </w:r>
            <w:r w:rsidR="00014D5C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and Localisation obligations</w:t>
            </w:r>
            <w:r w:rsidR="00422F67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for existing and future measures</w:t>
            </w:r>
            <w:r w:rsidR="0011269A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.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</w:t>
            </w:r>
            <w:r w:rsidR="00614BEE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L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egal citations</w:t>
            </w:r>
            <w:r w:rsidR="00614BEE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provided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where applicable</w:t>
            </w:r>
          </w:p>
        </w:tc>
        <w:tc>
          <w:tcPr>
            <w:tcW w:w="5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E164E7">
            <w:pPr>
              <w:spacing w:after="4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</w:p>
        </w:tc>
      </w:tr>
      <w:tr w:rsidR="00422F67" w:rsidRPr="00377805" w:rsidTr="00B05589">
        <w:trPr>
          <w:trHeight w:val="1540"/>
        </w:trPr>
        <w:tc>
          <w:tcPr>
            <w:tcW w:w="12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14D5C" w:rsidRPr="00377805" w:rsidRDefault="00014D5C" w:rsidP="00E164E7">
            <w:pPr>
              <w:spacing w:after="40"/>
              <w:rPr>
                <w:rFonts w:eastAsia="Times New Roman" w:cs="Arial"/>
                <w:color w:val="000000"/>
                <w:spacing w:val="2"/>
                <w:szCs w:val="20"/>
                <w:u w:val="single"/>
                <w:lang w:eastAsia="en-AU"/>
              </w:rPr>
            </w:pPr>
            <w:r w:rsidRPr="00377805">
              <w:rPr>
                <w:rFonts w:eastAsia="Times New Roman" w:cs="Arial"/>
                <w:color w:val="000000"/>
                <w:spacing w:val="2"/>
                <w:szCs w:val="20"/>
                <w:u w:val="single"/>
                <w:lang w:eastAsia="en-AU"/>
              </w:rPr>
              <w:t>SECTION B</w:t>
            </w:r>
          </w:p>
          <w:p w:rsidR="00D12E05" w:rsidRPr="00377805" w:rsidRDefault="00D12E05" w:rsidP="00B05589">
            <w:pPr>
              <w:spacing w:after="4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RESERVATIONS pursuant to </w:t>
            </w:r>
            <w:r w:rsidR="00E164E7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[list Part and Articles] </w:t>
            </w:r>
            <w:r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 xml:space="preserve">(horizontal </w:t>
            </w:r>
            <w:r w:rsidR="00B05589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>NY</w:t>
            </w:r>
            <w:r w:rsidR="00014D5C"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 xml:space="preserve"> and Localisation</w:t>
            </w:r>
            <w:r w:rsidR="00556476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>;</w:t>
            </w:r>
            <w:r w:rsidR="00014D5C"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 xml:space="preserve"> standstill and ratchet applies</w:t>
            </w:r>
            <w:r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49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E164E7">
            <w:pPr>
              <w:spacing w:after="4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</w:p>
        </w:tc>
        <w:tc>
          <w:tcPr>
            <w:tcW w:w="169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E164E7">
            <w:pPr>
              <w:spacing w:after="4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i/>
                <w:iCs/>
                <w:color w:val="000000"/>
                <w:spacing w:val="2"/>
                <w:sz w:val="20"/>
                <w:szCs w:val="20"/>
                <w:lang w:eastAsia="en-AU"/>
              </w:rPr>
              <w:t>Party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 maintains </w:t>
            </w:r>
            <w:r w:rsidR="00014D5C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the following conditions and qualifications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in all sectors </w:t>
            </w:r>
            <w:r w:rsidR="00014D5C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in the following areas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:</w:t>
            </w:r>
          </w:p>
          <w:p w:rsidR="00D12E05" w:rsidRPr="00377805" w:rsidRDefault="00D74A76" w:rsidP="00B05589">
            <w:pPr>
              <w:numPr>
                <w:ilvl w:val="0"/>
                <w:numId w:val="4"/>
              </w:numPr>
              <w:spacing w:before="120" w:after="40"/>
              <w:ind w:left="360" w:hanging="357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Party lists existing</w:t>
            </w:r>
            <w:r w:rsidR="00377805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</w:t>
            </w:r>
            <w:r w:rsidR="00B05589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NT</w:t>
            </w:r>
            <w:r w:rsidR="00014D5C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and Localisation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</w:t>
            </w:r>
            <w:r w:rsidR="00014D5C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l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imitations</w:t>
            </w:r>
            <w:r w:rsidR="00556476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it wants to maintain</w:t>
            </w:r>
            <w:r w:rsidR="001C30CC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which are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</w:t>
            </w:r>
            <w:r w:rsidR="00377805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applicable </w:t>
            </w:r>
            <w:r w:rsidR="0066149E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to all sectors. Standstill and </w:t>
            </w:r>
            <w:r w:rsidR="00014D5C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r</w:t>
            </w:r>
            <w:r w:rsidR="00377805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atchet apply</w:t>
            </w:r>
            <w:r w:rsidR="00E164E7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. Legal citations</w:t>
            </w:r>
            <w:r w:rsidR="0066149E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provided where applicable.</w:t>
            </w:r>
          </w:p>
        </w:tc>
        <w:tc>
          <w:tcPr>
            <w:tcW w:w="5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E164E7">
            <w:pPr>
              <w:spacing w:after="8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</w:p>
        </w:tc>
      </w:tr>
      <w:tr w:rsidR="00422F67" w:rsidRPr="00377805" w:rsidTr="00B05589">
        <w:tc>
          <w:tcPr>
            <w:tcW w:w="12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422F67">
            <w:pPr>
              <w:spacing w:after="4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color w:val="000000"/>
                <w:spacing w:val="2"/>
                <w:szCs w:val="20"/>
                <w:lang w:eastAsia="en-AU"/>
              </w:rPr>
              <w:t>ALL SECTORS INCLUDED IN PART II OF THIS SCHEDULE</w:t>
            </w:r>
          </w:p>
        </w:tc>
        <w:tc>
          <w:tcPr>
            <w:tcW w:w="149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Default="00614BEE" w:rsidP="00E164E7">
            <w:pPr>
              <w:spacing w:after="4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/>
                <w:color w:val="000000"/>
                <w:spacing w:val="2"/>
                <w:sz w:val="20"/>
                <w:szCs w:val="20"/>
                <w:lang w:eastAsia="en-AU"/>
              </w:rPr>
              <w:t>Party</w:t>
            </w:r>
            <w:r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maintains the following terms, limitations and conditions on market access in all sectors included in Part II of this Schedule:</w:t>
            </w:r>
          </w:p>
          <w:p w:rsidR="00614BEE" w:rsidRPr="00614BEE" w:rsidRDefault="00614BEE" w:rsidP="00614BEE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Party lists the terms, limitations and conditions on market access that apply to all the sectors below</w:t>
            </w:r>
          </w:p>
        </w:tc>
        <w:tc>
          <w:tcPr>
            <w:tcW w:w="169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E164E7">
            <w:pPr>
              <w:spacing w:after="40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E164E7">
            <w:pPr>
              <w:spacing w:after="40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D12E05" w:rsidRPr="00377805" w:rsidTr="00422F67">
        <w:trPr>
          <w:trHeight w:val="183"/>
        </w:trPr>
        <w:tc>
          <w:tcPr>
            <w:tcW w:w="5000" w:type="pct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E164E7">
            <w:pPr>
              <w:spacing w:after="8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b/>
                <w:bCs/>
                <w:color w:val="000000"/>
                <w:spacing w:val="2"/>
                <w:szCs w:val="20"/>
                <w:lang w:eastAsia="en-AU"/>
              </w:rPr>
              <w:t>II. SECTOR-SPECIFIC COMMITMENTS</w:t>
            </w:r>
          </w:p>
        </w:tc>
      </w:tr>
      <w:tr w:rsidR="00422F67" w:rsidRPr="00377805" w:rsidTr="00B05589">
        <w:tc>
          <w:tcPr>
            <w:tcW w:w="12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E164E7">
            <w:pPr>
              <w:spacing w:after="80"/>
              <w:rPr>
                <w:rFonts w:eastAsia="Times New Roman" w:cs="Arial"/>
                <w:color w:val="000000"/>
                <w:spacing w:val="2"/>
                <w:szCs w:val="20"/>
                <w:vertAlign w:val="superscript"/>
                <w:lang w:eastAsia="en-AU"/>
              </w:rPr>
            </w:pPr>
            <w:r w:rsidRPr="00377805">
              <w:rPr>
                <w:rFonts w:eastAsia="Times New Roman" w:cs="Arial"/>
                <w:color w:val="000000"/>
                <w:spacing w:val="2"/>
                <w:szCs w:val="20"/>
                <w:lang w:eastAsia="en-AU"/>
              </w:rPr>
              <w:t>1. SECTOR</w:t>
            </w:r>
          </w:p>
          <w:p w:rsidR="0066149E" w:rsidRPr="00377805" w:rsidRDefault="0011269A" w:rsidP="00422F67">
            <w:pPr>
              <w:spacing w:after="8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/>
                <w:color w:val="000000"/>
                <w:spacing w:val="2"/>
                <w:sz w:val="20"/>
                <w:szCs w:val="20"/>
                <w:lang w:eastAsia="en-AU"/>
              </w:rPr>
              <w:t xml:space="preserve">Each Party lists the sectors/sub-sectors which it is either offering market </w:t>
            </w:r>
            <w:r>
              <w:rPr>
                <w:rFonts w:eastAsia="Times New Roman" w:cs="Arial"/>
                <w:i/>
                <w:color w:val="000000"/>
                <w:spacing w:val="2"/>
                <w:sz w:val="20"/>
                <w:szCs w:val="20"/>
                <w:lang w:eastAsia="en-AU"/>
              </w:rPr>
              <w:lastRenderedPageBreak/>
              <w:t xml:space="preserve">access commitments or </w:t>
            </w:r>
            <w:r w:rsidR="00B05589">
              <w:rPr>
                <w:rFonts w:eastAsia="Times New Roman" w:cs="Arial"/>
                <w:i/>
                <w:color w:val="000000"/>
                <w:spacing w:val="2"/>
                <w:sz w:val="20"/>
                <w:szCs w:val="20"/>
                <w:lang w:eastAsia="en-AU"/>
              </w:rPr>
              <w:t>maintaining a NT</w:t>
            </w:r>
            <w:r>
              <w:rPr>
                <w:rFonts w:eastAsia="Times New Roman" w:cs="Arial"/>
                <w:i/>
                <w:color w:val="000000"/>
                <w:spacing w:val="2"/>
                <w:sz w:val="20"/>
                <w:szCs w:val="20"/>
                <w:lang w:eastAsia="en-AU"/>
              </w:rPr>
              <w:t xml:space="preserve"> or Localisation limitation.</w:t>
            </w:r>
          </w:p>
        </w:tc>
        <w:tc>
          <w:tcPr>
            <w:tcW w:w="149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014D5C" w:rsidP="00B05589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lastRenderedPageBreak/>
              <w:t xml:space="preserve">Party lists </w:t>
            </w:r>
            <w:r w:rsidR="0011269A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the terms, limitations and conditions on market access for 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each sector or</w:t>
            </w:r>
            <w:r w:rsidR="00266128"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sub-sector</w:t>
            </w:r>
            <w:r w:rsidR="00B05589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for Modes 1 – 4.</w:t>
            </w:r>
          </w:p>
        </w:tc>
        <w:tc>
          <w:tcPr>
            <w:tcW w:w="169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66149E" w:rsidP="00422F67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Party lists </w:t>
            </w:r>
            <w:r w:rsidR="00FE387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existing </w:t>
            </w:r>
            <w:r w:rsidR="00B05589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>NT</w:t>
            </w:r>
            <w:r w:rsidR="00FE387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and Localisation limitations</w:t>
            </w:r>
            <w:r w:rsidR="00556476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it wants to maintain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 in specific sectors or sub-sectors. Standstill and ratchet apply</w:t>
            </w:r>
            <w:r w:rsid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. Legal citations </w:t>
            </w:r>
            <w:r w:rsidRPr="00377805"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  <w:t xml:space="preserve">provided where applicable. </w:t>
            </w:r>
          </w:p>
        </w:tc>
        <w:tc>
          <w:tcPr>
            <w:tcW w:w="56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2E05" w:rsidRPr="00377805" w:rsidRDefault="00D12E05" w:rsidP="00E164E7">
            <w:pPr>
              <w:spacing w:after="80"/>
              <w:rPr>
                <w:rFonts w:eastAsia="Times New Roman" w:cs="Arial"/>
                <w:color w:val="000000"/>
                <w:spacing w:val="2"/>
                <w:sz w:val="20"/>
                <w:szCs w:val="20"/>
                <w:lang w:eastAsia="en-AU"/>
              </w:rPr>
            </w:pPr>
          </w:p>
        </w:tc>
      </w:tr>
    </w:tbl>
    <w:p w:rsidR="000A01F8" w:rsidRPr="00D12E05" w:rsidRDefault="006201D1" w:rsidP="00B05589"/>
    <w:sectPr w:rsidR="000A01F8" w:rsidRPr="00D12E05" w:rsidSect="00377805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57" w:rsidRDefault="004D7057" w:rsidP="004D7057">
      <w:r>
        <w:separator/>
      </w:r>
    </w:p>
  </w:endnote>
  <w:endnote w:type="continuationSeparator" w:id="0">
    <w:p w:rsidR="004D7057" w:rsidRDefault="004D7057" w:rsidP="004D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4C" w:rsidRDefault="00BE6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4C" w:rsidRDefault="00BE6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4C" w:rsidRDefault="00BE6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57" w:rsidRDefault="004D7057" w:rsidP="004D7057">
      <w:r>
        <w:separator/>
      </w:r>
    </w:p>
  </w:footnote>
  <w:footnote w:type="continuationSeparator" w:id="0">
    <w:p w:rsidR="004D7057" w:rsidRDefault="004D7057" w:rsidP="004D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4C" w:rsidRDefault="00BE6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4C" w:rsidRDefault="00BE6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4C" w:rsidRDefault="00BE6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74E"/>
    <w:multiLevelType w:val="multilevel"/>
    <w:tmpl w:val="B526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75AA3"/>
    <w:multiLevelType w:val="multilevel"/>
    <w:tmpl w:val="E6B0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B13F8"/>
    <w:multiLevelType w:val="multilevel"/>
    <w:tmpl w:val="7AC4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416B2"/>
    <w:multiLevelType w:val="multilevel"/>
    <w:tmpl w:val="B356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B7BBB"/>
    <w:multiLevelType w:val="multilevel"/>
    <w:tmpl w:val="26CA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70FD4"/>
    <w:multiLevelType w:val="hybridMultilevel"/>
    <w:tmpl w:val="EB0E2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D60FF"/>
    <w:multiLevelType w:val="multilevel"/>
    <w:tmpl w:val="E2A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E6045"/>
    <w:multiLevelType w:val="hybridMultilevel"/>
    <w:tmpl w:val="037851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5"/>
    <w:rsid w:val="000124F7"/>
    <w:rsid w:val="00014D5C"/>
    <w:rsid w:val="00087994"/>
    <w:rsid w:val="0011269A"/>
    <w:rsid w:val="00173BC9"/>
    <w:rsid w:val="00180C34"/>
    <w:rsid w:val="001B50EC"/>
    <w:rsid w:val="001C30CC"/>
    <w:rsid w:val="00201829"/>
    <w:rsid w:val="00266128"/>
    <w:rsid w:val="00274D9B"/>
    <w:rsid w:val="002C3DE7"/>
    <w:rsid w:val="002F3120"/>
    <w:rsid w:val="00377805"/>
    <w:rsid w:val="00422F67"/>
    <w:rsid w:val="0043475F"/>
    <w:rsid w:val="004D7057"/>
    <w:rsid w:val="005135F0"/>
    <w:rsid w:val="00556476"/>
    <w:rsid w:val="00587AA0"/>
    <w:rsid w:val="005A2643"/>
    <w:rsid w:val="005A4432"/>
    <w:rsid w:val="005B2F8B"/>
    <w:rsid w:val="005F538D"/>
    <w:rsid w:val="00614BEE"/>
    <w:rsid w:val="00617F58"/>
    <w:rsid w:val="006201D1"/>
    <w:rsid w:val="0066149E"/>
    <w:rsid w:val="00662DFA"/>
    <w:rsid w:val="006C2A9A"/>
    <w:rsid w:val="0076676F"/>
    <w:rsid w:val="00785B9F"/>
    <w:rsid w:val="007F221E"/>
    <w:rsid w:val="0085147F"/>
    <w:rsid w:val="00876737"/>
    <w:rsid w:val="00885E4C"/>
    <w:rsid w:val="00887669"/>
    <w:rsid w:val="0095507B"/>
    <w:rsid w:val="009F14B2"/>
    <w:rsid w:val="00A13E88"/>
    <w:rsid w:val="00A234B3"/>
    <w:rsid w:val="00A452A8"/>
    <w:rsid w:val="00AD2BB0"/>
    <w:rsid w:val="00B05589"/>
    <w:rsid w:val="00B431A2"/>
    <w:rsid w:val="00BA0FBD"/>
    <w:rsid w:val="00BE604C"/>
    <w:rsid w:val="00C92A23"/>
    <w:rsid w:val="00CE1689"/>
    <w:rsid w:val="00D12E05"/>
    <w:rsid w:val="00D74A76"/>
    <w:rsid w:val="00E164E7"/>
    <w:rsid w:val="00E430FF"/>
    <w:rsid w:val="00ED1B5C"/>
    <w:rsid w:val="00EE4884"/>
    <w:rsid w:val="00EF7717"/>
    <w:rsid w:val="00F2143E"/>
    <w:rsid w:val="00F379E9"/>
    <w:rsid w:val="00FE3875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2E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2E0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12E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12E05"/>
    <w:rPr>
      <w:b/>
      <w:bCs/>
    </w:rPr>
  </w:style>
  <w:style w:type="character" w:customStyle="1" w:styleId="apple-converted-space">
    <w:name w:val="apple-converted-space"/>
    <w:basedOn w:val="DefaultParagraphFont"/>
    <w:rsid w:val="00D12E05"/>
  </w:style>
  <w:style w:type="character" w:styleId="Hyperlink">
    <w:name w:val="Hyperlink"/>
    <w:basedOn w:val="DefaultParagraphFont"/>
    <w:uiPriority w:val="99"/>
    <w:semiHidden/>
    <w:unhideWhenUsed/>
    <w:rsid w:val="00D12E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2E0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05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70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70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1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9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87994"/>
  </w:style>
  <w:style w:type="paragraph" w:styleId="Header">
    <w:name w:val="header"/>
    <w:basedOn w:val="Normal"/>
    <w:link w:val="HeaderChar"/>
    <w:uiPriority w:val="99"/>
    <w:unhideWhenUsed/>
    <w:rsid w:val="00BE60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04C"/>
  </w:style>
  <w:style w:type="paragraph" w:styleId="Footer">
    <w:name w:val="footer"/>
    <w:basedOn w:val="Normal"/>
    <w:link w:val="FooterChar"/>
    <w:uiPriority w:val="99"/>
    <w:unhideWhenUsed/>
    <w:rsid w:val="00BE60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38368C4621446A08D2EECEC7FC5A3" ma:contentTypeVersion="1" ma:contentTypeDescription="Create a new document." ma:contentTypeScope="" ma:versionID="94b9a07ea3a97a931976022c3132dd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C5BC20-CCBF-438D-9EE8-AB70FBD47552}"/>
</file>

<file path=customXml/itemProps2.xml><?xml version="1.0" encoding="utf-8"?>
<ds:datastoreItem xmlns:ds="http://schemas.openxmlformats.org/officeDocument/2006/customXml" ds:itemID="{1DB9F3D0-2ABE-4E4D-B0D4-CB784377484F}"/>
</file>

<file path=customXml/itemProps3.xml><?xml version="1.0" encoding="utf-8"?>
<ds:datastoreItem xmlns:ds="http://schemas.openxmlformats.org/officeDocument/2006/customXml" ds:itemID="{FBCCF75F-B132-4F8E-8ECD-BC86A8CA6A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in Services Agreement (TiSA) Scheduling Approach</vt:lpstr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in Services Agreement (TiSA) Scheduling Approach</dc:title>
  <dc:subject/>
  <dc:creator/>
  <cp:keywords/>
  <dc:description/>
  <cp:lastModifiedBy/>
  <cp:revision>1</cp:revision>
  <dcterms:created xsi:type="dcterms:W3CDTF">2017-02-08T03:10:00Z</dcterms:created>
  <dcterms:modified xsi:type="dcterms:W3CDTF">2017-02-08T03:11:00Z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2f96068c-d34a-4174-a0c2-b9b84d59fdc1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0x0101006A038368C4621446A08D2EECEC7FC5A3</vt:lpwstr>
  </property>
  <property fmtid="{D5CDD505-2E9C-101B-9397-08002B2CF9AE}" pid="6" name="Order">
    <vt:r8>200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