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96ADC" w14:textId="005CA243" w:rsidR="0050529F" w:rsidRPr="00D17249" w:rsidRDefault="003A06E3" w:rsidP="00B64D61">
      <w:pPr>
        <w:pStyle w:val="Title"/>
        <w:ind w:right="-170"/>
      </w:pPr>
      <w:r w:rsidRPr="00CA6DB6">
        <w:t>Aid Program Performance Report 2012</w:t>
      </w:r>
      <w:r w:rsidRPr="00052BF3">
        <w:t>−</w:t>
      </w:r>
      <w:r w:rsidRPr="00CA6DB6">
        <w:t xml:space="preserve">13 </w:t>
      </w:r>
      <w:proofErr w:type="spellStart"/>
      <w:r w:rsidR="008211F1" w:rsidRPr="000D22C3">
        <w:t>República</w:t>
      </w:r>
      <w:proofErr w:type="spellEnd"/>
      <w:r w:rsidR="008211F1" w:rsidRPr="000D22C3">
        <w:t xml:space="preserve"> </w:t>
      </w:r>
      <w:proofErr w:type="spellStart"/>
      <w:r w:rsidR="008211F1" w:rsidRPr="000D22C3">
        <w:t>Democrática</w:t>
      </w:r>
      <w:proofErr w:type="spellEnd"/>
      <w:r w:rsidR="008211F1">
        <w:t xml:space="preserve"> de Timor-Leste</w:t>
      </w:r>
    </w:p>
    <w:p w14:paraId="54958693" w14:textId="42A5AA29" w:rsidR="00180B19" w:rsidRPr="00ED0D08" w:rsidRDefault="00180B19" w:rsidP="00ED0D08">
      <w:pPr>
        <w:pStyle w:val="Heading1"/>
      </w:pPr>
      <w:r w:rsidRPr="00ED0D08">
        <w:t xml:space="preserve">Key </w:t>
      </w:r>
      <w:r w:rsidR="002D5776" w:rsidRPr="00ED0D08">
        <w:t>messages</w:t>
      </w:r>
    </w:p>
    <w:p w14:paraId="07589BAF" w14:textId="61BCE0E5" w:rsidR="00C675D8" w:rsidRPr="002161E5" w:rsidRDefault="00C675D8" w:rsidP="002161E5">
      <w:pPr>
        <w:pStyle w:val="BodyText"/>
      </w:pPr>
      <w:r w:rsidRPr="002161E5">
        <w:t xml:space="preserve">This report summarises the progress of the Australian Government’s aid program in Timor-Leste from January 2012 to June 2013. The aid program is implemented in accordance with the Australia-Timor-Leste Country Strategy 2009–2014 and Strategic Planning Agreement for Development 2011. </w:t>
      </w:r>
    </w:p>
    <w:p w14:paraId="6AE727C9" w14:textId="77777777" w:rsidR="009B685C" w:rsidRDefault="00C675D8" w:rsidP="002161E5">
      <w:pPr>
        <w:pStyle w:val="BodyText"/>
      </w:pPr>
      <w:r w:rsidRPr="002161E5">
        <w:t>Australia</w:t>
      </w:r>
      <w:r w:rsidR="00476505" w:rsidRPr="002161E5">
        <w:t>n</w:t>
      </w:r>
      <w:r w:rsidRPr="002161E5">
        <w:t xml:space="preserve"> </w:t>
      </w:r>
      <w:r w:rsidR="00846C0E" w:rsidRPr="002161E5">
        <w:t>assist</w:t>
      </w:r>
      <w:r w:rsidR="00476505" w:rsidRPr="002161E5">
        <w:t xml:space="preserve">ance to </w:t>
      </w:r>
      <w:r w:rsidR="00846C0E" w:rsidRPr="002161E5">
        <w:t>Timor-Leste</w:t>
      </w:r>
      <w:r w:rsidRPr="002161E5">
        <w:t xml:space="preserve"> </w:t>
      </w:r>
      <w:r w:rsidR="00476505" w:rsidRPr="002161E5">
        <w:t>has</w:t>
      </w:r>
      <w:r w:rsidR="0033500C" w:rsidRPr="002161E5">
        <w:t xml:space="preserve"> </w:t>
      </w:r>
      <w:r w:rsidRPr="002161E5">
        <w:t>increase</w:t>
      </w:r>
      <w:r w:rsidR="00476505" w:rsidRPr="002161E5">
        <w:t>d</w:t>
      </w:r>
      <w:r w:rsidRPr="002161E5">
        <w:t xml:space="preserve"> agricultural productivity</w:t>
      </w:r>
      <w:r w:rsidR="00846C0E" w:rsidRPr="002161E5">
        <w:t>,</w:t>
      </w:r>
      <w:r w:rsidRPr="002161E5">
        <w:t xml:space="preserve"> </w:t>
      </w:r>
      <w:r w:rsidR="00F50F73" w:rsidRPr="002161E5">
        <w:t xml:space="preserve">and </w:t>
      </w:r>
      <w:r w:rsidRPr="002161E5">
        <w:t>improve</w:t>
      </w:r>
      <w:r w:rsidR="00476505" w:rsidRPr="002161E5">
        <w:t>d</w:t>
      </w:r>
      <w:r w:rsidRPr="002161E5">
        <w:t xml:space="preserve"> rural roads</w:t>
      </w:r>
      <w:r w:rsidR="00846C0E" w:rsidRPr="002161E5">
        <w:t xml:space="preserve">, </w:t>
      </w:r>
      <w:r w:rsidR="00F50F73" w:rsidRPr="002161E5">
        <w:t xml:space="preserve">and </w:t>
      </w:r>
      <w:r w:rsidR="00846C0E" w:rsidRPr="002161E5">
        <w:t>access to clean water and sanitation.</w:t>
      </w:r>
      <w:r w:rsidRPr="002161E5">
        <w:t xml:space="preserve"> Our health and education programs are improving access to </w:t>
      </w:r>
      <w:r w:rsidR="00846C0E" w:rsidRPr="002161E5">
        <w:t xml:space="preserve">primary schools </w:t>
      </w:r>
      <w:r w:rsidR="0033500C" w:rsidRPr="002161E5">
        <w:t xml:space="preserve">and </w:t>
      </w:r>
      <w:r w:rsidR="00846C0E" w:rsidRPr="002161E5">
        <w:t xml:space="preserve">vocational training </w:t>
      </w:r>
      <w:r w:rsidRPr="002161E5">
        <w:t xml:space="preserve">and health services. </w:t>
      </w:r>
      <w:r w:rsidR="0033500C" w:rsidRPr="002161E5">
        <w:t xml:space="preserve">Our support </w:t>
      </w:r>
      <w:r w:rsidRPr="002161E5">
        <w:t xml:space="preserve">is </w:t>
      </w:r>
      <w:r w:rsidR="0033500C" w:rsidRPr="002161E5">
        <w:t xml:space="preserve">also helping </w:t>
      </w:r>
      <w:r w:rsidRPr="002161E5">
        <w:t>strengthen</w:t>
      </w:r>
      <w:r w:rsidR="0033500C" w:rsidRPr="002161E5">
        <w:t xml:space="preserve"> </w:t>
      </w:r>
      <w:r w:rsidR="00846C0E" w:rsidRPr="002161E5">
        <w:t xml:space="preserve">public financial management </w:t>
      </w:r>
      <w:r w:rsidR="009B685C">
        <w:t>systems.</w:t>
      </w:r>
    </w:p>
    <w:p w14:paraId="6451B970" w14:textId="1917997D" w:rsidR="00C675D8" w:rsidRPr="002161E5" w:rsidRDefault="0033500C" w:rsidP="002161E5">
      <w:pPr>
        <w:pStyle w:val="BodyText"/>
      </w:pPr>
      <w:r w:rsidRPr="002161E5">
        <w:t>Our program relevance and efficiency has improved through s</w:t>
      </w:r>
      <w:r w:rsidR="00846C0E" w:rsidRPr="002161E5">
        <w:t xml:space="preserve">tronger partnerships with </w:t>
      </w:r>
      <w:r w:rsidR="00B05D3B" w:rsidRPr="002161E5">
        <w:t xml:space="preserve">the </w:t>
      </w:r>
      <w:r w:rsidRPr="002161E5">
        <w:t xml:space="preserve">Timor-Leste </w:t>
      </w:r>
      <w:r w:rsidR="00B05D3B" w:rsidRPr="002161E5">
        <w:t xml:space="preserve">Government </w:t>
      </w:r>
      <w:r w:rsidR="00846C0E" w:rsidRPr="002161E5">
        <w:t>and changes to how we</w:t>
      </w:r>
      <w:r w:rsidR="00D07B2E" w:rsidRPr="002161E5">
        <w:t xml:space="preserve"> work with the World Bank</w:t>
      </w:r>
      <w:r w:rsidR="00881B5E" w:rsidRPr="002161E5">
        <w:t>.</w:t>
      </w:r>
      <w:r w:rsidR="009B685C">
        <w:t xml:space="preserve"> </w:t>
      </w:r>
      <w:r w:rsidR="00220C26" w:rsidRPr="002161E5">
        <w:t xml:space="preserve">Investing resources in </w:t>
      </w:r>
      <w:r w:rsidR="00846C0E" w:rsidRPr="002161E5">
        <w:t xml:space="preserve">sectoral and political economy </w:t>
      </w:r>
      <w:r w:rsidR="00220C26" w:rsidRPr="002161E5">
        <w:t>analysis has led to b</w:t>
      </w:r>
      <w:r w:rsidR="00C675D8" w:rsidRPr="002161E5">
        <w:t xml:space="preserve">etter </w:t>
      </w:r>
      <w:r w:rsidR="00220C26" w:rsidRPr="002161E5">
        <w:t xml:space="preserve">program designs and engagement with </w:t>
      </w:r>
      <w:r w:rsidR="005806CE" w:rsidRPr="002161E5">
        <w:t>the Timor-Leste Government</w:t>
      </w:r>
      <w:r w:rsidR="00220C26" w:rsidRPr="002161E5">
        <w:t>.</w:t>
      </w:r>
      <w:r w:rsidR="009B685C">
        <w:t xml:space="preserve"> </w:t>
      </w:r>
      <w:r w:rsidR="00C675D8" w:rsidRPr="002161E5">
        <w:t xml:space="preserve">Progress </w:t>
      </w:r>
      <w:r w:rsidR="005806CE" w:rsidRPr="002161E5">
        <w:t xml:space="preserve">has been </w:t>
      </w:r>
      <w:r w:rsidR="00C675D8" w:rsidRPr="002161E5">
        <w:t>made to</w:t>
      </w:r>
      <w:r w:rsidR="005806CE" w:rsidRPr="002161E5">
        <w:t xml:space="preserve"> </w:t>
      </w:r>
      <w:r w:rsidR="00C675D8" w:rsidRPr="002161E5">
        <w:t>consolidat</w:t>
      </w:r>
      <w:r w:rsidR="005806CE" w:rsidRPr="002161E5">
        <w:t>e</w:t>
      </w:r>
      <w:r w:rsidR="00522D9B" w:rsidRPr="002161E5">
        <w:t xml:space="preserve"> </w:t>
      </w:r>
      <w:r w:rsidR="00C675D8" w:rsidRPr="002161E5">
        <w:t>small aid projects to larger sector programs to improve efficiency and effectiveness.</w:t>
      </w:r>
    </w:p>
    <w:p w14:paraId="4C1A22AB" w14:textId="27720E1C" w:rsidR="0005017A" w:rsidRPr="002161E5" w:rsidRDefault="00C675D8" w:rsidP="002161E5">
      <w:pPr>
        <w:pStyle w:val="BodyText"/>
      </w:pPr>
      <w:r w:rsidRPr="002161E5">
        <w:t>Despite modest improvements in our program, poverty continues to have a disproportionate impact on people with disabilit</w:t>
      </w:r>
      <w:r w:rsidR="005806CE" w:rsidRPr="002161E5">
        <w:t>y</w:t>
      </w:r>
      <w:r w:rsidRPr="002161E5">
        <w:t xml:space="preserve">, women and girls. High rates of malnutrition constrain development gains in every sector. </w:t>
      </w:r>
    </w:p>
    <w:p w14:paraId="7DD24F24" w14:textId="77777777" w:rsidR="00C675D8" w:rsidRPr="00ED0D08" w:rsidRDefault="00C675D8" w:rsidP="00ED0D08">
      <w:pPr>
        <w:pStyle w:val="Heading1"/>
      </w:pPr>
      <w:r w:rsidRPr="00ED0D08">
        <w:t xml:space="preserve">Context </w:t>
      </w:r>
    </w:p>
    <w:p w14:paraId="0833081A" w14:textId="620C9817" w:rsidR="00522D9B" w:rsidRDefault="003E5E1E" w:rsidP="00ED0D08">
      <w:pPr>
        <w:pStyle w:val="BodyText"/>
      </w:pPr>
      <w:r>
        <w:t xml:space="preserve">Timor-Leste is a middle income country but </w:t>
      </w:r>
      <w:r w:rsidR="00522D9B">
        <w:t>its development indicators are some of the worst in the world</w:t>
      </w:r>
      <w:r>
        <w:t xml:space="preserve">. </w:t>
      </w:r>
      <w:r w:rsidR="00C675D8" w:rsidRPr="00D02BEE">
        <w:t>In 2012</w:t>
      </w:r>
      <w:r w:rsidR="009F02D9">
        <w:t>,</w:t>
      </w:r>
      <w:r w:rsidR="00C675D8" w:rsidRPr="00D02BEE">
        <w:t xml:space="preserve"> Timor-Leste</w:t>
      </w:r>
      <w:r w:rsidR="004B6586">
        <w:t xml:space="preserve"> </w:t>
      </w:r>
      <w:r w:rsidR="00C675D8" w:rsidRPr="00D02BEE">
        <w:t xml:space="preserve">commemorated </w:t>
      </w:r>
      <w:r w:rsidR="00F50F73">
        <w:t>10</w:t>
      </w:r>
      <w:r w:rsidR="00F50F73" w:rsidRPr="00D02BEE">
        <w:t xml:space="preserve"> </w:t>
      </w:r>
      <w:r w:rsidR="00C675D8" w:rsidRPr="00D02BEE">
        <w:t xml:space="preserve">years of independence and held fair and peaceful elections. The success of these milestones </w:t>
      </w:r>
      <w:r w:rsidR="00522D9B">
        <w:t xml:space="preserve">and ongoing stability </w:t>
      </w:r>
      <w:r w:rsidR="00C675D8" w:rsidRPr="00D02BEE">
        <w:t xml:space="preserve">saw the withdrawal of the United Nations </w:t>
      </w:r>
      <w:r w:rsidR="005806CE">
        <w:rPr>
          <w:rStyle w:val="st"/>
        </w:rPr>
        <w:t>Integrated Mission in East Timor</w:t>
      </w:r>
      <w:r w:rsidR="005806CE" w:rsidRPr="00D02BEE">
        <w:t xml:space="preserve"> </w:t>
      </w:r>
      <w:r w:rsidR="00C675D8" w:rsidRPr="00D02BEE">
        <w:t>peacekeeping operations</w:t>
      </w:r>
      <w:r w:rsidR="00D07B2E">
        <w:t xml:space="preserve"> </w:t>
      </w:r>
      <w:r w:rsidR="00C675D8" w:rsidRPr="00D02BEE">
        <w:t xml:space="preserve">and Australian-led International Stabilisation Force. </w:t>
      </w:r>
      <w:r w:rsidR="00522D9B">
        <w:t>This</w:t>
      </w:r>
      <w:r w:rsidR="00C675D8" w:rsidRPr="00D02BEE">
        <w:t xml:space="preserve"> new era of stability </w:t>
      </w:r>
      <w:r w:rsidR="00522D9B">
        <w:t xml:space="preserve">allowed </w:t>
      </w:r>
      <w:r w:rsidR="00C675D8" w:rsidRPr="00D02BEE">
        <w:t xml:space="preserve">the new government to </w:t>
      </w:r>
      <w:r w:rsidR="009C312D" w:rsidRPr="00D02BEE">
        <w:t>implement</w:t>
      </w:r>
      <w:r w:rsidR="00C675D8" w:rsidRPr="00D02BEE">
        <w:t xml:space="preserve"> Prime Minister </w:t>
      </w:r>
      <w:proofErr w:type="spellStart"/>
      <w:r w:rsidR="00D07B2E">
        <w:t>Gusmão</w:t>
      </w:r>
      <w:r w:rsidR="00C675D8" w:rsidRPr="00D02BEE">
        <w:t>’s</w:t>
      </w:r>
      <w:proofErr w:type="spellEnd"/>
      <w:r w:rsidR="00D553F6">
        <w:t xml:space="preserve"> </w:t>
      </w:r>
      <w:r w:rsidR="00C675D8" w:rsidRPr="00D02BEE">
        <w:t xml:space="preserve">Strategic Development </w:t>
      </w:r>
      <w:r w:rsidR="00522D9B">
        <w:t>Plan 2011</w:t>
      </w:r>
      <w:r w:rsidR="005806CE">
        <w:t>–</w:t>
      </w:r>
      <w:r w:rsidR="001D48CF" w:rsidRPr="00D02BEE">
        <w:t>2030</w:t>
      </w:r>
      <w:r w:rsidR="005806CE">
        <w:t xml:space="preserve">, which </w:t>
      </w:r>
      <w:r w:rsidR="00DF7F55" w:rsidRPr="00DF7F55">
        <w:t xml:space="preserve">articulates a vision for using petroleum wealth to develop the economy and alleviate poverty. </w:t>
      </w:r>
      <w:r w:rsidRPr="00D02BEE">
        <w:t>Timor-Leste has made progress in improving stability and increasing economic growth.</w:t>
      </w:r>
      <w:r w:rsidRPr="00DF7F55">
        <w:t xml:space="preserve"> It has established a vibrant democracy and a model structure fo</w:t>
      </w:r>
      <w:r w:rsidR="00522D9B">
        <w:t>r managing its resources wealth</w:t>
      </w:r>
      <w:r w:rsidR="005806CE">
        <w:t>,</w:t>
      </w:r>
      <w:r w:rsidR="00522D9B">
        <w:t xml:space="preserve"> however e</w:t>
      </w:r>
      <w:r w:rsidRPr="00933410">
        <w:t>conomic growth from oil is not reaching poor people and poverty remains prevalent.</w:t>
      </w:r>
      <w:r w:rsidR="004B6586" w:rsidRPr="00933410">
        <w:t xml:space="preserve"> </w:t>
      </w:r>
    </w:p>
    <w:p w14:paraId="28CA6FD7" w14:textId="4F8FD6EB" w:rsidR="00FD746D" w:rsidRDefault="009D5CC9" w:rsidP="00ED0D08">
      <w:pPr>
        <w:pStyle w:val="BodyText"/>
      </w:pPr>
      <w:r w:rsidRPr="00933410">
        <w:t xml:space="preserve">Timor-Leste </w:t>
      </w:r>
      <w:r w:rsidR="00C46AAF">
        <w:t xml:space="preserve">has </w:t>
      </w:r>
      <w:r w:rsidRPr="00933410">
        <w:t xml:space="preserve">some of the worst poverty and development indicators in the world. </w:t>
      </w:r>
      <w:r w:rsidR="009F02D9" w:rsidRPr="00933410">
        <w:t xml:space="preserve">Progress against the Millennium Development Goals (MDGs) in 2012 is mixed. The greatest improvement has been against </w:t>
      </w:r>
      <w:r w:rsidR="005806CE">
        <w:t>goal 4 (</w:t>
      </w:r>
      <w:r w:rsidR="005806CE">
        <w:rPr>
          <w:bCs/>
        </w:rPr>
        <w:t>r</w:t>
      </w:r>
      <w:r w:rsidR="005806CE" w:rsidRPr="00395C48">
        <w:rPr>
          <w:bCs/>
        </w:rPr>
        <w:t>educe by two thirds, between 1990 and 2015, the under-five mortality rate</w:t>
      </w:r>
      <w:r w:rsidR="005806CE">
        <w:rPr>
          <w:bCs/>
        </w:rPr>
        <w:t>)</w:t>
      </w:r>
      <w:r w:rsidR="009F02D9" w:rsidRPr="00933410">
        <w:t xml:space="preserve">, </w:t>
      </w:r>
      <w:r w:rsidR="005806CE">
        <w:t>where</w:t>
      </w:r>
      <w:r w:rsidR="009F02D9" w:rsidRPr="00933410">
        <w:t xml:space="preserve"> a reduction in under-five mortality rates (80 deaths out of 1000 births in 1990 to 64 deaths out of 1000 births in 2010)</w:t>
      </w:r>
      <w:r w:rsidR="005806CE">
        <w:t xml:space="preserve"> has been achieved</w:t>
      </w:r>
      <w:r w:rsidR="009F02D9" w:rsidRPr="00933410">
        <w:t xml:space="preserve">. Other results mask a more complex story. While </w:t>
      </w:r>
      <w:r w:rsidR="005E4783">
        <w:t xml:space="preserve">the </w:t>
      </w:r>
      <w:r w:rsidR="005E4783" w:rsidRPr="005E4783">
        <w:t xml:space="preserve">Ministry of Education National Education Strategic Plan </w:t>
      </w:r>
      <w:r w:rsidR="005E4783">
        <w:t>(</w:t>
      </w:r>
      <w:r w:rsidR="005E4783" w:rsidRPr="005E4783">
        <w:t>2011</w:t>
      </w:r>
      <w:r w:rsidR="005806CE">
        <w:t>–</w:t>
      </w:r>
      <w:r w:rsidR="005E4783" w:rsidRPr="005E4783">
        <w:t>2030</w:t>
      </w:r>
      <w:r w:rsidR="005E4783">
        <w:t xml:space="preserve">) estimates </w:t>
      </w:r>
      <w:r w:rsidR="009F02D9" w:rsidRPr="00933410">
        <w:t xml:space="preserve">school enrolment rates have increased to 93 per cent for </w:t>
      </w:r>
      <w:r w:rsidR="00EC59A3">
        <w:t>primary</w:t>
      </w:r>
      <w:r w:rsidR="009F02D9" w:rsidRPr="00933410">
        <w:t xml:space="preserve"> education, repetition rates remain</w:t>
      </w:r>
      <w:r w:rsidR="00EC59A3">
        <w:t xml:space="preserve"> </w:t>
      </w:r>
      <w:r w:rsidR="009F02D9" w:rsidRPr="00933410">
        <w:t>high</w:t>
      </w:r>
      <w:r w:rsidR="005E4783">
        <w:t>.</w:t>
      </w:r>
    </w:p>
    <w:p w14:paraId="79314CE4" w14:textId="02CED5B1" w:rsidR="004B6586" w:rsidRDefault="009F02D9" w:rsidP="00ED0D08">
      <w:pPr>
        <w:pStyle w:val="BodyText"/>
      </w:pPr>
      <w:r w:rsidRPr="00933410">
        <w:t>The proportion of births attended by a skilled birth attendant have increased, however maternal mortality remains one of the highest in the world</w:t>
      </w:r>
      <w:r w:rsidR="00F6368B">
        <w:t>––</w:t>
      </w:r>
      <w:r w:rsidRPr="00933410">
        <w:t>557 per 100</w:t>
      </w:r>
      <w:r w:rsidR="00D07B2E" w:rsidRPr="00933410">
        <w:t xml:space="preserve"> </w:t>
      </w:r>
      <w:r w:rsidRPr="00933410">
        <w:t xml:space="preserve">000 live births </w:t>
      </w:r>
      <w:r w:rsidRPr="00933410">
        <w:lastRenderedPageBreak/>
        <w:t>compared to a regional average of 88</w:t>
      </w:r>
      <w:r w:rsidR="00F6368B">
        <w:t>.</w:t>
      </w:r>
      <w:r w:rsidR="00D553F6" w:rsidRPr="00CA4F12">
        <w:rPr>
          <w:rStyle w:val="FootnoteReference"/>
        </w:rPr>
        <w:footnoteReference w:id="1"/>
      </w:r>
      <w:r w:rsidR="00F6368B">
        <w:rPr>
          <w:rStyle w:val="FootnoteReference"/>
        </w:rPr>
        <w:t xml:space="preserve"> </w:t>
      </w:r>
      <w:r w:rsidR="00E016E3" w:rsidRPr="00933410">
        <w:t xml:space="preserve">The </w:t>
      </w:r>
      <w:r w:rsidR="00375A16">
        <w:t xml:space="preserve">estimate </w:t>
      </w:r>
      <w:r w:rsidR="00E016E3" w:rsidRPr="00933410">
        <w:t xml:space="preserve">of people </w:t>
      </w:r>
      <w:r w:rsidR="004F7E70" w:rsidRPr="00933410">
        <w:t>in poverty is 41 per cent</w:t>
      </w:r>
      <w:r w:rsidR="004F7E70" w:rsidRPr="00CA4F12">
        <w:rPr>
          <w:rStyle w:val="FootnoteReference"/>
        </w:rPr>
        <w:footnoteReference w:id="2"/>
      </w:r>
      <w:r w:rsidR="00CA4F12">
        <w:t xml:space="preserve"> w</w:t>
      </w:r>
      <w:r w:rsidR="00375A16">
        <w:t>ith</w:t>
      </w:r>
      <w:r w:rsidR="00375A16" w:rsidRPr="00933410">
        <w:t xml:space="preserve"> </w:t>
      </w:r>
      <w:r w:rsidR="004F7E70" w:rsidRPr="00933410">
        <w:t xml:space="preserve">73 per </w:t>
      </w:r>
      <w:r w:rsidR="00B659CA">
        <w:t xml:space="preserve">cent </w:t>
      </w:r>
      <w:r w:rsidR="00E016E3" w:rsidRPr="00933410">
        <w:t>on less than US</w:t>
      </w:r>
      <w:r w:rsidR="00F6368B">
        <w:t>D</w:t>
      </w:r>
      <w:r w:rsidR="00E016E3" w:rsidRPr="00933410">
        <w:t xml:space="preserve">2 </w:t>
      </w:r>
      <w:r w:rsidR="00F6368B">
        <w:t>a</w:t>
      </w:r>
      <w:r w:rsidR="00F6368B" w:rsidRPr="00933410">
        <w:t xml:space="preserve"> </w:t>
      </w:r>
      <w:r w:rsidR="00E016E3" w:rsidRPr="00933410">
        <w:t>day</w:t>
      </w:r>
      <w:r w:rsidR="00F6368B">
        <w:t>.</w:t>
      </w:r>
      <w:r w:rsidR="00E016E3" w:rsidRPr="00CA4F12">
        <w:rPr>
          <w:rStyle w:val="FootnoteReference"/>
        </w:rPr>
        <w:footnoteReference w:id="3"/>
      </w:r>
      <w:r w:rsidR="00E016E3" w:rsidRPr="00933410">
        <w:t xml:space="preserve"> </w:t>
      </w:r>
      <w:r w:rsidR="00375A16">
        <w:t>E</w:t>
      </w:r>
      <w:r w:rsidR="00E016E3" w:rsidRPr="00933410">
        <w:t>conomic growth from Timor-Leste’s natural resources is not yet reaching the rural poor</w:t>
      </w:r>
      <w:r w:rsidR="005E4783">
        <w:t>,</w:t>
      </w:r>
      <w:r w:rsidR="00F6368B">
        <w:t xml:space="preserve"> which is</w:t>
      </w:r>
      <w:r w:rsidR="00B659CA">
        <w:t xml:space="preserve"> </w:t>
      </w:r>
      <w:r w:rsidR="00E016E3" w:rsidRPr="00933410">
        <w:t xml:space="preserve">most of </w:t>
      </w:r>
      <w:r w:rsidR="00F6368B">
        <w:t xml:space="preserve">the country’s </w:t>
      </w:r>
      <w:r w:rsidR="00E016E3" w:rsidRPr="00933410">
        <w:t xml:space="preserve">population. </w:t>
      </w:r>
    </w:p>
    <w:p w14:paraId="735FB319" w14:textId="7B67D838" w:rsidR="00D02BEE" w:rsidRPr="00933410" w:rsidRDefault="00B659CA" w:rsidP="00ED0D08">
      <w:pPr>
        <w:pStyle w:val="BodyText"/>
      </w:pPr>
      <w:r>
        <w:t>These communities</w:t>
      </w:r>
      <w:r w:rsidR="003E5E1E" w:rsidRPr="00933410">
        <w:t xml:space="preserve"> are poor for a range of </w:t>
      </w:r>
      <w:r w:rsidR="002D2C2F" w:rsidRPr="00933410">
        <w:t>reasons.</w:t>
      </w:r>
      <w:r w:rsidR="002D2C2F" w:rsidRPr="003E5E1E">
        <w:t xml:space="preserve"> A</w:t>
      </w:r>
      <w:r w:rsidR="00220C26" w:rsidRPr="003E5E1E">
        <w:t xml:space="preserve"> poorly educated</w:t>
      </w:r>
      <w:r w:rsidR="00220C26" w:rsidRPr="00933410">
        <w:t xml:space="preserve"> workforce is a constraint to productivity and </w:t>
      </w:r>
      <w:r w:rsidR="00F6368B" w:rsidRPr="00933410">
        <w:t>econom</w:t>
      </w:r>
      <w:r w:rsidR="00F6368B">
        <w:t>ic</w:t>
      </w:r>
      <w:r w:rsidR="00F6368B" w:rsidRPr="00933410">
        <w:t xml:space="preserve"> </w:t>
      </w:r>
      <w:r w:rsidR="00220C26" w:rsidRPr="00933410">
        <w:t xml:space="preserve">development. </w:t>
      </w:r>
      <w:r w:rsidR="000B4334" w:rsidRPr="00933410">
        <w:t>For</w:t>
      </w:r>
      <w:r w:rsidR="0004349E" w:rsidRPr="00933410">
        <w:t>mal private job creation is</w:t>
      </w:r>
      <w:r w:rsidR="000B4334" w:rsidRPr="00933410">
        <w:t xml:space="preserve"> low</w:t>
      </w:r>
      <w:r w:rsidR="004F36C6">
        <w:t xml:space="preserve"> with many more </w:t>
      </w:r>
      <w:r w:rsidR="006D5E5D">
        <w:t xml:space="preserve">new </w:t>
      </w:r>
      <w:r w:rsidR="004F36C6">
        <w:t xml:space="preserve">jobseekers </w:t>
      </w:r>
      <w:r w:rsidR="006D5E5D">
        <w:t xml:space="preserve">entering the workforce than </w:t>
      </w:r>
      <w:r w:rsidR="004F36C6">
        <w:t>there are jobs.</w:t>
      </w:r>
      <w:r w:rsidR="000B4334" w:rsidRPr="00933410">
        <w:t xml:space="preserve"> </w:t>
      </w:r>
      <w:r w:rsidR="00220C26" w:rsidRPr="00933410">
        <w:t xml:space="preserve">Subsistence farming is </w:t>
      </w:r>
      <w:r w:rsidR="00D553F6" w:rsidRPr="00933410">
        <w:t>the</w:t>
      </w:r>
      <w:r w:rsidR="00220C26" w:rsidRPr="00933410">
        <w:t xml:space="preserve"> main for</w:t>
      </w:r>
      <w:r w:rsidR="006B72B5" w:rsidRPr="00933410">
        <w:t xml:space="preserve">m of livelihood outside of </w:t>
      </w:r>
      <w:proofErr w:type="spellStart"/>
      <w:r w:rsidR="006B72B5" w:rsidRPr="00933410">
        <w:t>Dili</w:t>
      </w:r>
      <w:proofErr w:type="spellEnd"/>
      <w:r w:rsidR="00220C26" w:rsidRPr="00933410">
        <w:t xml:space="preserve"> </w:t>
      </w:r>
      <w:r w:rsidR="006B72B5" w:rsidRPr="00933410">
        <w:t xml:space="preserve">but </w:t>
      </w:r>
      <w:r w:rsidR="00220C26" w:rsidRPr="00933410">
        <w:t>agricultural productivity is low</w:t>
      </w:r>
      <w:r w:rsidR="0045547B" w:rsidRPr="00933410">
        <w:t xml:space="preserve"> with</w:t>
      </w:r>
      <w:r w:rsidR="000B4334" w:rsidRPr="00933410">
        <w:t xml:space="preserve"> challenges in storing and transporting produce to market. </w:t>
      </w:r>
      <w:r w:rsidR="00D553F6" w:rsidRPr="00933410">
        <w:t>I</w:t>
      </w:r>
      <w:r w:rsidR="000B4334" w:rsidRPr="00933410">
        <w:t xml:space="preserve">nfrastructure is either missing or in poor repair. </w:t>
      </w:r>
    </w:p>
    <w:p w14:paraId="3966B20E" w14:textId="5CBFC992" w:rsidR="00677447" w:rsidRDefault="000B4334" w:rsidP="00ED0D08">
      <w:pPr>
        <w:pStyle w:val="BodyText"/>
      </w:pPr>
      <w:r w:rsidRPr="00D02BEE">
        <w:t>P</w:t>
      </w:r>
      <w:r w:rsidR="00C675D8" w:rsidRPr="00D02BEE">
        <w:t>overty has a disproportionate impact on people with disabilit</w:t>
      </w:r>
      <w:r w:rsidR="00F6368B">
        <w:t>y</w:t>
      </w:r>
      <w:r w:rsidR="00C675D8" w:rsidRPr="00D02BEE">
        <w:t>, women and girls. People with disabilit</w:t>
      </w:r>
      <w:r w:rsidR="00F6368B">
        <w:t>y</w:t>
      </w:r>
      <w:r w:rsidR="00C675D8" w:rsidRPr="00D02BEE">
        <w:t xml:space="preserve"> are amongst the most disadvantaged of the poor in Timor-Leste with the 2010 </w:t>
      </w:r>
      <w:r w:rsidR="00F6368B">
        <w:t>c</w:t>
      </w:r>
      <w:r w:rsidR="00F6368B" w:rsidRPr="00D02BEE">
        <w:t xml:space="preserve">ensus </w:t>
      </w:r>
      <w:r w:rsidR="00C675D8" w:rsidRPr="00D02BEE">
        <w:t>reporting that 49 per cent were unemployed and 72</w:t>
      </w:r>
      <w:r w:rsidR="004E70DC" w:rsidRPr="00D02BEE">
        <w:t xml:space="preserve"> per cent</w:t>
      </w:r>
      <w:r w:rsidR="00C675D8" w:rsidRPr="00D02BEE">
        <w:t xml:space="preserve"> had never attended school. The </w:t>
      </w:r>
      <w:r w:rsidR="00F6368B">
        <w:t>c</w:t>
      </w:r>
      <w:r w:rsidR="00C675D8" w:rsidRPr="00D02BEE">
        <w:t xml:space="preserve">ensus </w:t>
      </w:r>
      <w:r w:rsidR="00F6368B">
        <w:t xml:space="preserve">also showed </w:t>
      </w:r>
      <w:r w:rsidR="00C675D8" w:rsidRPr="00D02BEE">
        <w:t>that 4.6 per cent of the population</w:t>
      </w:r>
      <w:r w:rsidR="00B659CA">
        <w:t xml:space="preserve"> </w:t>
      </w:r>
      <w:r w:rsidR="007F08FB">
        <w:t xml:space="preserve">have a </w:t>
      </w:r>
      <w:proofErr w:type="gramStart"/>
      <w:r w:rsidR="0033369C">
        <w:t>disability</w:t>
      </w:r>
      <w:r w:rsidR="00F6368B">
        <w:t>,</w:t>
      </w:r>
      <w:proofErr w:type="gramEnd"/>
      <w:r w:rsidR="00F6368B">
        <w:t xml:space="preserve"> h</w:t>
      </w:r>
      <w:r w:rsidR="00C675D8" w:rsidRPr="00D02BEE">
        <w:t xml:space="preserve">owever this figure varies considerably from international experience and is likely an under-representation of the true prevalence of disability in the country. </w:t>
      </w:r>
    </w:p>
    <w:p w14:paraId="33C9932F" w14:textId="2243572D" w:rsidR="00E76727" w:rsidRDefault="005D0744" w:rsidP="00ED0D08">
      <w:pPr>
        <w:pStyle w:val="BodyText"/>
        <w:rPr>
          <w:rFonts w:ascii="Franklin Gothic Medium" w:hAnsi="Franklin Gothic Medium"/>
          <w:sz w:val="17"/>
          <w:szCs w:val="17"/>
          <w:lang w:eastAsia="en-US"/>
        </w:rPr>
      </w:pPr>
      <w:r>
        <w:t xml:space="preserve">Poverty analysis carried out at the household level </w:t>
      </w:r>
      <w:r w:rsidR="00B659CA">
        <w:t xml:space="preserve">only </w:t>
      </w:r>
      <w:r>
        <w:t xml:space="preserve">masks the disproportionate burden experienced by women and girls. </w:t>
      </w:r>
      <w:r w:rsidR="00C675D8" w:rsidRPr="00D02BEE">
        <w:t>Women generally earn less than men</w:t>
      </w:r>
      <w:r w:rsidR="00F6368B">
        <w:t>.</w:t>
      </w:r>
      <w:r w:rsidR="003456BF" w:rsidRPr="00CA4F12">
        <w:rPr>
          <w:rStyle w:val="FootnoteReference"/>
        </w:rPr>
        <w:footnoteReference w:id="4"/>
      </w:r>
      <w:r w:rsidR="009C312D" w:rsidRPr="00D02BEE">
        <w:t xml:space="preserve"> </w:t>
      </w:r>
      <w:r w:rsidR="006B72B5">
        <w:t>In the 2010 census</w:t>
      </w:r>
      <w:r w:rsidR="006B23A1">
        <w:t>,</w:t>
      </w:r>
      <w:r w:rsidR="003456BF">
        <w:t xml:space="preserve"> </w:t>
      </w:r>
      <w:r w:rsidR="00F6368B">
        <w:t xml:space="preserve">the </w:t>
      </w:r>
      <w:r w:rsidR="003456BF">
        <w:t>f</w:t>
      </w:r>
      <w:r w:rsidR="009C312D" w:rsidRPr="00D02BEE">
        <w:t xml:space="preserve">emale adult labour force participation rate was </w:t>
      </w:r>
      <w:r w:rsidR="006B72B5">
        <w:t xml:space="preserve">36.3 per cent, compared to males at </w:t>
      </w:r>
      <w:r w:rsidR="009C312D" w:rsidRPr="00D02BEE">
        <w:t>72.8 per cent</w:t>
      </w:r>
      <w:r w:rsidR="006B23A1">
        <w:t>.</w:t>
      </w:r>
      <w:r w:rsidR="009C312D" w:rsidRPr="00D02BEE">
        <w:t xml:space="preserve"> Female adult literacy in </w:t>
      </w:r>
      <w:proofErr w:type="spellStart"/>
      <w:r w:rsidR="009C312D" w:rsidRPr="00D02BEE">
        <w:t>Tetun</w:t>
      </w:r>
      <w:proofErr w:type="spellEnd"/>
      <w:r w:rsidR="009C312D" w:rsidRPr="00D02BEE">
        <w:t xml:space="preserve"> was</w:t>
      </w:r>
      <w:r w:rsidR="006B72B5">
        <w:t xml:space="preserve"> 50.9 per cent compared to males at </w:t>
      </w:r>
      <w:r w:rsidR="009C312D" w:rsidRPr="00D02BEE">
        <w:t>61.3 per cent.</w:t>
      </w:r>
      <w:r w:rsidR="006C66AF">
        <w:t xml:space="preserve"> </w:t>
      </w:r>
      <w:r w:rsidR="00296FB3">
        <w:t xml:space="preserve">Most maternal and child deaths result from preventable and treatable conditions compounded by poor nutrition. </w:t>
      </w:r>
      <w:r w:rsidR="00C675D8" w:rsidRPr="00D02BEE">
        <w:t xml:space="preserve">Timorese children in rural areas are </w:t>
      </w:r>
      <w:r w:rsidR="00D4424E" w:rsidRPr="00D02BEE">
        <w:t xml:space="preserve">amongst </w:t>
      </w:r>
      <w:r w:rsidR="00C675D8" w:rsidRPr="00D02BEE">
        <w:t>the most m</w:t>
      </w:r>
      <w:r w:rsidR="001761FD">
        <w:t xml:space="preserve">alnourished in the region. Table 1 shows </w:t>
      </w:r>
      <w:r w:rsidR="00F50F73">
        <w:t xml:space="preserve">the </w:t>
      </w:r>
      <w:r w:rsidR="001761FD">
        <w:t>r</w:t>
      </w:r>
      <w:r w:rsidR="00AB0239">
        <w:t>ate of</w:t>
      </w:r>
      <w:r w:rsidR="00C675D8" w:rsidRPr="00D02BEE">
        <w:t xml:space="preserve"> child stunting </w:t>
      </w:r>
      <w:r w:rsidR="000F5EAD">
        <w:t>at</w:t>
      </w:r>
      <w:r w:rsidR="00C675D8" w:rsidRPr="00D02BEE">
        <w:t xml:space="preserve"> 58 per cent in 201</w:t>
      </w:r>
      <w:r w:rsidR="000F5EAD">
        <w:t>0</w:t>
      </w:r>
      <w:r w:rsidR="00F6368B">
        <w:t>.</w:t>
      </w:r>
      <w:r w:rsidR="00BE43BC" w:rsidRPr="00CA4F12">
        <w:rPr>
          <w:rStyle w:val="FootnoteReference"/>
        </w:rPr>
        <w:footnoteReference w:id="5"/>
      </w:r>
      <w:r w:rsidR="00EE1DA0">
        <w:t xml:space="preserve"> Austr</w:t>
      </w:r>
      <w:r w:rsidR="00C20103">
        <w:t>alia</w:t>
      </w:r>
      <w:r w:rsidR="00F6368B">
        <w:t xml:space="preserve"> is working </w:t>
      </w:r>
      <w:r w:rsidR="00C20103">
        <w:t>with Timor-</w:t>
      </w:r>
      <w:r w:rsidR="00EE1DA0">
        <w:t>Leste</w:t>
      </w:r>
      <w:r w:rsidR="00F6368B">
        <w:t xml:space="preserve"> to </w:t>
      </w:r>
      <w:r w:rsidR="00EE1DA0">
        <w:t>target the u</w:t>
      </w:r>
      <w:r w:rsidR="009C1914">
        <w:t xml:space="preserve">nderlying </w:t>
      </w:r>
      <w:r w:rsidR="00EE1DA0">
        <w:t>causes</w:t>
      </w:r>
      <w:r w:rsidR="009C1914">
        <w:t xml:space="preserve"> </w:t>
      </w:r>
      <w:r w:rsidR="00EE1DA0">
        <w:t>with sector programs addressing</w:t>
      </w:r>
      <w:r w:rsidR="009C1914">
        <w:t xml:space="preserve"> weaknesses in service delivery</w:t>
      </w:r>
      <w:r w:rsidR="00EE1DA0">
        <w:t xml:space="preserve">. </w:t>
      </w:r>
    </w:p>
    <w:p w14:paraId="57205295" w14:textId="77777777" w:rsidR="00980BC0" w:rsidRPr="00ED0D08" w:rsidRDefault="00980BC0" w:rsidP="00ED0D08">
      <w:pPr>
        <w:pStyle w:val="Caption"/>
      </w:pPr>
      <w:r w:rsidRPr="00ED0D08">
        <w:t xml:space="preserve">Table 1: Malnutrition in </w:t>
      </w:r>
      <w:r w:rsidR="00B20EC6" w:rsidRPr="00ED0D08">
        <w:t>Timor-Leste</w:t>
      </w:r>
    </w:p>
    <w:tbl>
      <w:tblPr>
        <w:tblStyle w:val="APPR"/>
        <w:tblW w:w="5000" w:type="pct"/>
        <w:tblLook w:val="04A0" w:firstRow="1" w:lastRow="0" w:firstColumn="1" w:lastColumn="0" w:noHBand="0" w:noVBand="1"/>
      </w:tblPr>
      <w:tblGrid>
        <w:gridCol w:w="2868"/>
        <w:gridCol w:w="2870"/>
        <w:gridCol w:w="2869"/>
      </w:tblGrid>
      <w:tr w:rsidR="00582647" w14:paraId="70684E93" w14:textId="77777777" w:rsidTr="0005017A">
        <w:trPr>
          <w:cnfStyle w:val="100000000000" w:firstRow="1" w:lastRow="0" w:firstColumn="0" w:lastColumn="0" w:oddVBand="0" w:evenVBand="0" w:oddHBand="0" w:evenHBand="0" w:firstRowFirstColumn="0" w:firstRowLastColumn="0" w:lastRowFirstColumn="0" w:lastRowLastColumn="0"/>
          <w:trHeight w:val="289"/>
        </w:trPr>
        <w:tc>
          <w:tcPr>
            <w:tcW w:w="2694" w:type="dxa"/>
            <w:hideMark/>
          </w:tcPr>
          <w:p w14:paraId="0E0CF62C" w14:textId="77777777" w:rsidR="00582647" w:rsidRPr="00ED0D08" w:rsidRDefault="00582647" w:rsidP="00ED0D08">
            <w:pPr>
              <w:pStyle w:val="TableHeading1"/>
              <w:rPr>
                <w:b/>
              </w:rPr>
            </w:pPr>
            <w:r w:rsidRPr="00ED0D08">
              <w:rPr>
                <w:b/>
              </w:rPr>
              <w:t>Indicator</w:t>
            </w:r>
            <w:r w:rsidR="004A0D7A" w:rsidRPr="00ED0D08">
              <w:rPr>
                <w:b/>
              </w:rPr>
              <w:tab/>
            </w:r>
          </w:p>
        </w:tc>
        <w:tc>
          <w:tcPr>
            <w:tcW w:w="2709" w:type="dxa"/>
            <w:hideMark/>
          </w:tcPr>
          <w:p w14:paraId="224CB9DF" w14:textId="73A97F7B" w:rsidR="00582647" w:rsidRPr="00ED0D08" w:rsidRDefault="00582647" w:rsidP="00ED0D08">
            <w:pPr>
              <w:pStyle w:val="TableHeading1"/>
              <w:rPr>
                <w:b/>
              </w:rPr>
            </w:pPr>
            <w:r w:rsidRPr="00ED0D08">
              <w:rPr>
                <w:b/>
              </w:rPr>
              <w:t>Timor-Leste</w:t>
            </w:r>
            <w:r w:rsidR="004A0D7A" w:rsidRPr="00ED0D08">
              <w:rPr>
                <w:b/>
              </w:rPr>
              <w:t xml:space="preserve"> </w:t>
            </w:r>
            <w:r w:rsidR="00EC0FD6" w:rsidRPr="00ED0D08">
              <w:rPr>
                <w:b/>
              </w:rPr>
              <w:t xml:space="preserve">Demographic Health Survey </w:t>
            </w:r>
            <w:r w:rsidR="004A0D7A" w:rsidRPr="00ED0D08">
              <w:rPr>
                <w:b/>
              </w:rPr>
              <w:t>2009</w:t>
            </w:r>
            <w:r w:rsidR="00F6368B" w:rsidRPr="00ED0D08">
              <w:rPr>
                <w:b/>
              </w:rPr>
              <w:t>–</w:t>
            </w:r>
            <w:r w:rsidR="004A0D7A" w:rsidRPr="00ED0D08">
              <w:rPr>
                <w:b/>
              </w:rPr>
              <w:t>10</w:t>
            </w:r>
          </w:p>
        </w:tc>
        <w:tc>
          <w:tcPr>
            <w:tcW w:w="2695" w:type="dxa"/>
            <w:hideMark/>
          </w:tcPr>
          <w:p w14:paraId="74836937" w14:textId="488C7783" w:rsidR="00582647" w:rsidRPr="00ED0D08" w:rsidRDefault="00F6368B" w:rsidP="00ED0D08">
            <w:pPr>
              <w:pStyle w:val="TableHeading1"/>
              <w:rPr>
                <w:b/>
              </w:rPr>
            </w:pPr>
            <w:r w:rsidRPr="00ED0D08">
              <w:rPr>
                <w:b/>
              </w:rPr>
              <w:t xml:space="preserve">Least Developed Countries </w:t>
            </w:r>
            <w:r w:rsidR="00582647" w:rsidRPr="00ED0D08">
              <w:rPr>
                <w:b/>
              </w:rPr>
              <w:t>average</w:t>
            </w:r>
          </w:p>
        </w:tc>
      </w:tr>
      <w:tr w:rsidR="00582647" w14:paraId="1A57205C" w14:textId="77777777" w:rsidTr="0005017A">
        <w:trPr>
          <w:cnfStyle w:val="100000000000" w:firstRow="1" w:lastRow="0" w:firstColumn="0" w:lastColumn="0" w:oddVBand="0" w:evenVBand="0" w:oddHBand="0" w:evenHBand="0" w:firstRowFirstColumn="0" w:firstRowLastColumn="0" w:lastRowFirstColumn="0" w:lastRowLastColumn="0"/>
        </w:trPr>
        <w:tc>
          <w:tcPr>
            <w:tcW w:w="2694" w:type="dxa"/>
            <w:hideMark/>
          </w:tcPr>
          <w:p w14:paraId="6C9B574F" w14:textId="4FD1B0BC" w:rsidR="00582647" w:rsidRPr="00ED0D08" w:rsidRDefault="00582647" w:rsidP="00ED0D08">
            <w:pPr>
              <w:pStyle w:val="TableTextEntries"/>
              <w:rPr>
                <w:b w:val="0"/>
              </w:rPr>
            </w:pPr>
            <w:r w:rsidRPr="00ED0D08">
              <w:rPr>
                <w:b w:val="0"/>
              </w:rPr>
              <w:t>Wasting (6</w:t>
            </w:r>
            <w:r w:rsidR="00F6368B" w:rsidRPr="00ED0D08">
              <w:rPr>
                <w:b w:val="0"/>
              </w:rPr>
              <w:t>–</w:t>
            </w:r>
            <w:r w:rsidRPr="00ED0D08">
              <w:rPr>
                <w:b w:val="0"/>
              </w:rPr>
              <w:t>59 months)</w:t>
            </w:r>
          </w:p>
        </w:tc>
        <w:tc>
          <w:tcPr>
            <w:tcW w:w="2709" w:type="dxa"/>
            <w:hideMark/>
          </w:tcPr>
          <w:p w14:paraId="1E715FEC" w14:textId="77777777" w:rsidR="00582647" w:rsidRPr="00ED0D08" w:rsidRDefault="00582647" w:rsidP="00ED0D08">
            <w:pPr>
              <w:pStyle w:val="TableTextEntries"/>
              <w:rPr>
                <w:b w:val="0"/>
              </w:rPr>
            </w:pPr>
            <w:r w:rsidRPr="00ED0D08">
              <w:rPr>
                <w:b w:val="0"/>
              </w:rPr>
              <w:t>19 per cent</w:t>
            </w:r>
          </w:p>
        </w:tc>
        <w:tc>
          <w:tcPr>
            <w:tcW w:w="2695" w:type="dxa"/>
            <w:hideMark/>
          </w:tcPr>
          <w:p w14:paraId="7E799BB3" w14:textId="77777777" w:rsidR="00582647" w:rsidRPr="00ED0D08" w:rsidRDefault="00582647" w:rsidP="00ED0D08">
            <w:pPr>
              <w:pStyle w:val="TableTextEntries"/>
              <w:rPr>
                <w:b w:val="0"/>
              </w:rPr>
            </w:pPr>
            <w:r w:rsidRPr="00ED0D08">
              <w:rPr>
                <w:b w:val="0"/>
              </w:rPr>
              <w:t>11 per cent</w:t>
            </w:r>
          </w:p>
        </w:tc>
      </w:tr>
      <w:tr w:rsidR="00582647" w14:paraId="7E00960B" w14:textId="77777777" w:rsidTr="0005017A">
        <w:trPr>
          <w:cnfStyle w:val="100000000000" w:firstRow="1" w:lastRow="0" w:firstColumn="0" w:lastColumn="0" w:oddVBand="0" w:evenVBand="0" w:oddHBand="0" w:evenHBand="0" w:firstRowFirstColumn="0" w:firstRowLastColumn="0" w:lastRowFirstColumn="0" w:lastRowLastColumn="0"/>
        </w:trPr>
        <w:tc>
          <w:tcPr>
            <w:tcW w:w="2694" w:type="dxa"/>
            <w:hideMark/>
          </w:tcPr>
          <w:p w14:paraId="1B81267E" w14:textId="3A75F576" w:rsidR="00582647" w:rsidRPr="00ED0D08" w:rsidRDefault="00582647" w:rsidP="00ED0D08">
            <w:pPr>
              <w:pStyle w:val="TableTextEntries"/>
              <w:rPr>
                <w:b w:val="0"/>
              </w:rPr>
            </w:pPr>
            <w:r w:rsidRPr="00ED0D08">
              <w:rPr>
                <w:b w:val="0"/>
              </w:rPr>
              <w:t>Stunting (6</w:t>
            </w:r>
            <w:r w:rsidR="00F6368B" w:rsidRPr="00ED0D08">
              <w:rPr>
                <w:b w:val="0"/>
              </w:rPr>
              <w:t>–</w:t>
            </w:r>
            <w:r w:rsidRPr="00ED0D08">
              <w:rPr>
                <w:b w:val="0"/>
              </w:rPr>
              <w:t>59 months)</w:t>
            </w:r>
          </w:p>
        </w:tc>
        <w:tc>
          <w:tcPr>
            <w:tcW w:w="2709" w:type="dxa"/>
            <w:hideMark/>
          </w:tcPr>
          <w:p w14:paraId="44AE64AC" w14:textId="77777777" w:rsidR="00582647" w:rsidRPr="00ED0D08" w:rsidRDefault="00582647" w:rsidP="00ED0D08">
            <w:pPr>
              <w:pStyle w:val="TableTextEntries"/>
              <w:rPr>
                <w:b w:val="0"/>
              </w:rPr>
            </w:pPr>
            <w:r w:rsidRPr="00ED0D08">
              <w:rPr>
                <w:b w:val="0"/>
              </w:rPr>
              <w:t>58 per cent</w:t>
            </w:r>
          </w:p>
        </w:tc>
        <w:tc>
          <w:tcPr>
            <w:tcW w:w="2695" w:type="dxa"/>
            <w:hideMark/>
          </w:tcPr>
          <w:p w14:paraId="7158FD76" w14:textId="77777777" w:rsidR="00582647" w:rsidRPr="00ED0D08" w:rsidRDefault="00582647" w:rsidP="00ED0D08">
            <w:pPr>
              <w:pStyle w:val="TableTextEntries"/>
              <w:rPr>
                <w:b w:val="0"/>
              </w:rPr>
            </w:pPr>
            <w:r w:rsidRPr="00ED0D08">
              <w:rPr>
                <w:b w:val="0"/>
              </w:rPr>
              <w:t>44 per cent</w:t>
            </w:r>
          </w:p>
        </w:tc>
      </w:tr>
      <w:tr w:rsidR="00582647" w14:paraId="32924631" w14:textId="77777777" w:rsidTr="0005017A">
        <w:trPr>
          <w:cnfStyle w:val="100000000000" w:firstRow="1" w:lastRow="0" w:firstColumn="0" w:lastColumn="0" w:oddVBand="0" w:evenVBand="0" w:oddHBand="0" w:evenHBand="0" w:firstRowFirstColumn="0" w:firstRowLastColumn="0" w:lastRowFirstColumn="0" w:lastRowLastColumn="0"/>
        </w:trPr>
        <w:tc>
          <w:tcPr>
            <w:tcW w:w="2694" w:type="dxa"/>
            <w:hideMark/>
          </w:tcPr>
          <w:p w14:paraId="77891FB3" w14:textId="5A568F8D" w:rsidR="00582647" w:rsidRPr="00ED0D08" w:rsidRDefault="00582647" w:rsidP="00ED0D08">
            <w:pPr>
              <w:pStyle w:val="TableTextEntries"/>
              <w:rPr>
                <w:b w:val="0"/>
              </w:rPr>
            </w:pPr>
            <w:r w:rsidRPr="00ED0D08">
              <w:rPr>
                <w:b w:val="0"/>
              </w:rPr>
              <w:t>Underweight (6</w:t>
            </w:r>
            <w:r w:rsidR="00F6368B" w:rsidRPr="00ED0D08">
              <w:rPr>
                <w:b w:val="0"/>
              </w:rPr>
              <w:t>–</w:t>
            </w:r>
            <w:r w:rsidRPr="00ED0D08">
              <w:rPr>
                <w:b w:val="0"/>
              </w:rPr>
              <w:t>59 months)</w:t>
            </w:r>
          </w:p>
        </w:tc>
        <w:tc>
          <w:tcPr>
            <w:tcW w:w="2709" w:type="dxa"/>
            <w:hideMark/>
          </w:tcPr>
          <w:p w14:paraId="62921208" w14:textId="77777777" w:rsidR="00582647" w:rsidRPr="00ED0D08" w:rsidRDefault="00582647" w:rsidP="00ED0D08">
            <w:pPr>
              <w:pStyle w:val="TableTextEntries"/>
              <w:rPr>
                <w:b w:val="0"/>
              </w:rPr>
            </w:pPr>
            <w:r w:rsidRPr="00ED0D08">
              <w:rPr>
                <w:b w:val="0"/>
              </w:rPr>
              <w:t>45 per cent</w:t>
            </w:r>
          </w:p>
        </w:tc>
        <w:tc>
          <w:tcPr>
            <w:tcW w:w="2695" w:type="dxa"/>
            <w:hideMark/>
          </w:tcPr>
          <w:p w14:paraId="18CAAE6D" w14:textId="77777777" w:rsidR="00582647" w:rsidRPr="00ED0D08" w:rsidRDefault="00582647" w:rsidP="00ED0D08">
            <w:pPr>
              <w:pStyle w:val="TableTextEntries"/>
              <w:rPr>
                <w:b w:val="0"/>
              </w:rPr>
            </w:pPr>
            <w:r w:rsidRPr="00ED0D08">
              <w:rPr>
                <w:b w:val="0"/>
              </w:rPr>
              <w:t>28 per cent</w:t>
            </w:r>
          </w:p>
        </w:tc>
      </w:tr>
    </w:tbl>
    <w:p w14:paraId="309BA14A" w14:textId="07F09076" w:rsidR="0050770E" w:rsidRPr="009B685C" w:rsidRDefault="0050770E" w:rsidP="009B685C">
      <w:pPr>
        <w:pStyle w:val="Note"/>
      </w:pPr>
      <w:r w:rsidRPr="009B685C">
        <w:t xml:space="preserve">Source: </w:t>
      </w:r>
      <w:r w:rsidR="00F6368B" w:rsidRPr="009B685C">
        <w:t xml:space="preserve">United Nation Children’s Fund </w:t>
      </w:r>
      <w:proofErr w:type="gramStart"/>
      <w:r w:rsidRPr="009B685C">
        <w:t>The</w:t>
      </w:r>
      <w:proofErr w:type="gramEnd"/>
      <w:r w:rsidRPr="009B685C">
        <w:t xml:space="preserve"> State of the World’s Children, 2011. Values should be considered indicative, since methods used to derive them are not strictly comparable to </w:t>
      </w:r>
      <w:r w:rsidR="00F50F73" w:rsidRPr="009B685C">
        <w:t xml:space="preserve">the </w:t>
      </w:r>
      <w:r w:rsidR="00F6368B" w:rsidRPr="009B685C">
        <w:t>2009–10 Timor-Leste Demographic and Health Survey</w:t>
      </w:r>
      <w:r w:rsidRPr="009B685C">
        <w:t>.</w:t>
      </w:r>
    </w:p>
    <w:p w14:paraId="447F3DF9" w14:textId="77777777" w:rsidR="009B685C" w:rsidRPr="009B685C" w:rsidRDefault="009B685C" w:rsidP="009B685C"/>
    <w:p w14:paraId="2E4A123C" w14:textId="64BAB276" w:rsidR="00E016E3" w:rsidRPr="00ED0D08" w:rsidRDefault="00C675D8" w:rsidP="00ED0D08">
      <w:pPr>
        <w:pStyle w:val="BodyText"/>
      </w:pPr>
      <w:r w:rsidRPr="00ED0D08">
        <w:t xml:space="preserve">Following the </w:t>
      </w:r>
      <w:r w:rsidR="00B659CA" w:rsidRPr="00ED0D08">
        <w:t xml:space="preserve">2012 </w:t>
      </w:r>
      <w:r w:rsidRPr="00ED0D08">
        <w:t xml:space="preserve">elections, the new government </w:t>
      </w:r>
      <w:r w:rsidR="00686526" w:rsidRPr="00ED0D08">
        <w:t>continue</w:t>
      </w:r>
      <w:r w:rsidR="00C9688E" w:rsidRPr="00ED0D08">
        <w:t>s</w:t>
      </w:r>
      <w:r w:rsidR="00686526" w:rsidRPr="00ED0D08">
        <w:t xml:space="preserve"> to implement</w:t>
      </w:r>
      <w:r w:rsidRPr="00ED0D08">
        <w:t xml:space="preserve"> Prime Minister </w:t>
      </w:r>
      <w:proofErr w:type="spellStart"/>
      <w:r w:rsidR="00D07B2E" w:rsidRPr="00ED0D08">
        <w:t>Gusmão</w:t>
      </w:r>
      <w:r w:rsidRPr="00ED0D08">
        <w:t>’s</w:t>
      </w:r>
      <w:proofErr w:type="spellEnd"/>
      <w:r w:rsidRPr="00ED0D08">
        <w:t xml:space="preserve"> </w:t>
      </w:r>
      <w:r w:rsidR="00686526" w:rsidRPr="00ED0D08">
        <w:t>5th Constitutional G</w:t>
      </w:r>
      <w:r w:rsidRPr="00ED0D08">
        <w:t xml:space="preserve">overnment </w:t>
      </w:r>
      <w:r w:rsidR="00686526" w:rsidRPr="00ED0D08">
        <w:t>P</w:t>
      </w:r>
      <w:r w:rsidRPr="00ED0D08">
        <w:t>rogram</w:t>
      </w:r>
      <w:r w:rsidR="00D53282" w:rsidRPr="00ED0D08">
        <w:t>,</w:t>
      </w:r>
      <w:r w:rsidRPr="00ED0D08">
        <w:t xml:space="preserve"> </w:t>
      </w:r>
      <w:r w:rsidR="005D539C" w:rsidRPr="00ED0D08">
        <w:t>which aligns with</w:t>
      </w:r>
      <w:r w:rsidRPr="00ED0D08">
        <w:t xml:space="preserve"> the </w:t>
      </w:r>
      <w:r w:rsidR="00D53282" w:rsidRPr="00ED0D08">
        <w:t>strategic development plan</w:t>
      </w:r>
      <w:r w:rsidRPr="00ED0D08">
        <w:t xml:space="preserve">. Australia </w:t>
      </w:r>
      <w:r w:rsidR="00D53282" w:rsidRPr="00ED0D08">
        <w:t xml:space="preserve">also </w:t>
      </w:r>
      <w:r w:rsidRPr="00ED0D08">
        <w:t xml:space="preserve">aligned </w:t>
      </w:r>
      <w:r w:rsidR="00D07B2E" w:rsidRPr="00ED0D08">
        <w:t xml:space="preserve">with </w:t>
      </w:r>
      <w:r w:rsidRPr="00ED0D08">
        <w:t xml:space="preserve">this plan </w:t>
      </w:r>
      <w:r w:rsidR="00D07B2E" w:rsidRPr="00ED0D08">
        <w:t xml:space="preserve">in 2011 through our </w:t>
      </w:r>
      <w:r w:rsidR="00F50F73" w:rsidRPr="00ED0D08">
        <w:t>partnership agreement</w:t>
      </w:r>
      <w:r w:rsidRPr="00ED0D08">
        <w:t xml:space="preserve">. </w:t>
      </w:r>
    </w:p>
    <w:p w14:paraId="6AAA5E43" w14:textId="77777777" w:rsidR="00E016E3" w:rsidRPr="00ED0D08" w:rsidRDefault="00D07B2E" w:rsidP="00ED0D08">
      <w:pPr>
        <w:pStyle w:val="Heading1"/>
      </w:pPr>
      <w:r w:rsidRPr="00ED0D08">
        <w:lastRenderedPageBreak/>
        <w:t xml:space="preserve">The </w:t>
      </w:r>
      <w:r w:rsidR="00E016E3" w:rsidRPr="00ED0D08">
        <w:t>Australia</w:t>
      </w:r>
      <w:r w:rsidRPr="00ED0D08">
        <w:t>n aid program</w:t>
      </w:r>
      <w:r w:rsidR="00E016E3" w:rsidRPr="00ED0D08">
        <w:t xml:space="preserve"> in </w:t>
      </w:r>
      <w:r w:rsidR="00B20EC6" w:rsidRPr="00ED0D08">
        <w:t>Timor-Leste</w:t>
      </w:r>
    </w:p>
    <w:p w14:paraId="24EF21B5" w14:textId="170BD22A" w:rsidR="00C675D8" w:rsidRPr="00ED0D08" w:rsidRDefault="00DE011C" w:rsidP="00ED0D08">
      <w:pPr>
        <w:pStyle w:val="BodyText"/>
      </w:pPr>
      <w:r w:rsidRPr="00ED0D08">
        <w:t xml:space="preserve">Overall, the performance </w:t>
      </w:r>
      <w:r w:rsidR="00EA5D67" w:rsidRPr="00ED0D08">
        <w:t>of our programs has</w:t>
      </w:r>
      <w:r w:rsidR="00F7703B" w:rsidRPr="00ED0D08">
        <w:t xml:space="preserve"> </w:t>
      </w:r>
      <w:r w:rsidR="00B659CA" w:rsidRPr="00ED0D08">
        <w:t>improved from last year</w:t>
      </w:r>
      <w:r w:rsidR="00E016E3" w:rsidRPr="00ED0D08">
        <w:t>.</w:t>
      </w:r>
      <w:r w:rsidR="0070756B" w:rsidRPr="00ED0D08">
        <w:t xml:space="preserve"> </w:t>
      </w:r>
      <w:proofErr w:type="gramStart"/>
      <w:r w:rsidR="00C9688E" w:rsidRPr="00ED0D08">
        <w:t xml:space="preserve">This </w:t>
      </w:r>
      <w:r w:rsidR="00185879">
        <w:t>aid</w:t>
      </w:r>
      <w:r w:rsidRPr="00ED0D08">
        <w:t xml:space="preserve"> program performance report</w:t>
      </w:r>
      <w:r w:rsidR="009A3AC3">
        <w:t xml:space="preserve"> (</w:t>
      </w:r>
      <w:r w:rsidR="00185879">
        <w:t>APPR)</w:t>
      </w:r>
      <w:r w:rsidRPr="00ED0D08">
        <w:t xml:space="preserve"> measures </w:t>
      </w:r>
      <w:r w:rsidR="00C9688E" w:rsidRPr="00ED0D08">
        <w:t xml:space="preserve">progress </w:t>
      </w:r>
      <w:r w:rsidR="00E4288D" w:rsidRPr="00ED0D08">
        <w:t xml:space="preserve">using </w:t>
      </w:r>
      <w:r w:rsidR="00980BC0" w:rsidRPr="00ED0D08">
        <w:t>our</w:t>
      </w:r>
      <w:r w:rsidR="00250585" w:rsidRPr="00ED0D08">
        <w:t xml:space="preserve"> </w:t>
      </w:r>
      <w:r w:rsidRPr="00ED0D08">
        <w:t>interim performance assessment framework––</w:t>
      </w:r>
      <w:r w:rsidR="00B43FEC" w:rsidRPr="00ED0D08">
        <w:t>our fir</w:t>
      </w:r>
      <w:r w:rsidR="00D07B2E" w:rsidRPr="00ED0D08">
        <w:t>st country level performance framework that</w:t>
      </w:r>
      <w:r w:rsidR="00B43FEC" w:rsidRPr="00ED0D08">
        <w:t xml:space="preserve"> aims to bring</w:t>
      </w:r>
      <w:r w:rsidR="00D07B2E" w:rsidRPr="00ED0D08">
        <w:t xml:space="preserve"> together </w:t>
      </w:r>
      <w:r w:rsidR="00927DCB" w:rsidRPr="00ED0D08">
        <w:t>the intent of objectives in</w:t>
      </w:r>
      <w:r w:rsidR="00D07B2E" w:rsidRPr="00ED0D08">
        <w:t xml:space="preserve"> our country strategy and </w:t>
      </w:r>
      <w:r w:rsidRPr="00ED0D08">
        <w:t>partnership agreement</w:t>
      </w:r>
      <w:r w:rsidR="00927DCB" w:rsidRPr="00ED0D08">
        <w:t>.</w:t>
      </w:r>
      <w:proofErr w:type="gramEnd"/>
      <w:r w:rsidR="00927DCB" w:rsidRPr="00ED0D08">
        <w:t xml:space="preserve"> It</w:t>
      </w:r>
      <w:r w:rsidR="00D07B2E" w:rsidRPr="00ED0D08">
        <w:t xml:space="preserve"> </w:t>
      </w:r>
      <w:r w:rsidR="00927DCB" w:rsidRPr="00ED0D08">
        <w:t xml:space="preserve">identifies </w:t>
      </w:r>
      <w:r w:rsidRPr="00ED0D08">
        <w:t xml:space="preserve">the </w:t>
      </w:r>
      <w:r w:rsidR="002F4DD0" w:rsidRPr="00ED0D08">
        <w:t xml:space="preserve">behaviour </w:t>
      </w:r>
      <w:r w:rsidR="00B659CA" w:rsidRPr="00ED0D08">
        <w:t>change</w:t>
      </w:r>
      <w:r w:rsidRPr="00ED0D08">
        <w:t>s</w:t>
      </w:r>
      <w:r w:rsidR="00B659CA" w:rsidRPr="00ED0D08">
        <w:t xml:space="preserve"> </w:t>
      </w:r>
      <w:r w:rsidRPr="00ED0D08">
        <w:t>we seek</w:t>
      </w:r>
      <w:r w:rsidR="00927DCB" w:rsidRPr="00ED0D08">
        <w:t>,</w:t>
      </w:r>
      <w:r w:rsidR="00C9688E" w:rsidRPr="00ED0D08">
        <w:t xml:space="preserve"> </w:t>
      </w:r>
      <w:r w:rsidRPr="00ED0D08">
        <w:t xml:space="preserve">and </w:t>
      </w:r>
      <w:r w:rsidR="00980BC0" w:rsidRPr="00ED0D08">
        <w:t>draw</w:t>
      </w:r>
      <w:r w:rsidRPr="00ED0D08">
        <w:t>s</w:t>
      </w:r>
      <w:r w:rsidR="00980BC0" w:rsidRPr="00ED0D08">
        <w:t xml:space="preserve"> evidence from across the portfolio including:</w:t>
      </w:r>
    </w:p>
    <w:p w14:paraId="04ECEFC7" w14:textId="4F7EE004" w:rsidR="00C675D8" w:rsidRPr="00EB0589" w:rsidRDefault="00DE011C" w:rsidP="0005017A">
      <w:pPr>
        <w:pStyle w:val="ListBullet"/>
      </w:pPr>
      <w:r>
        <w:t>r</w:t>
      </w:r>
      <w:r w:rsidRPr="00EB0589">
        <w:t xml:space="preserve">ural </w:t>
      </w:r>
      <w:r w:rsidR="00C675D8" w:rsidRPr="00EB0589">
        <w:t>development, including increased agricultural productivity and improved infrastructure such as rural roads and water and sanitation systems</w:t>
      </w:r>
    </w:p>
    <w:p w14:paraId="10B762AA" w14:textId="25EDA031" w:rsidR="00C675D8" w:rsidRPr="00EB0589" w:rsidRDefault="00DE011C" w:rsidP="0005017A">
      <w:pPr>
        <w:pStyle w:val="ListBullet"/>
      </w:pPr>
      <w:r>
        <w:t>b</w:t>
      </w:r>
      <w:r w:rsidRPr="00EB0589">
        <w:t xml:space="preserve">etter </w:t>
      </w:r>
      <w:r w:rsidR="00C675D8" w:rsidRPr="00EB0589">
        <w:t>access to, and quality of, education</w:t>
      </w:r>
    </w:p>
    <w:p w14:paraId="6650BE2A" w14:textId="071D9622" w:rsidR="00C675D8" w:rsidRPr="00EB0589" w:rsidRDefault="00DE011C" w:rsidP="0005017A">
      <w:pPr>
        <w:pStyle w:val="ListBullet"/>
      </w:pPr>
      <w:r>
        <w:t>b</w:t>
      </w:r>
      <w:r w:rsidRPr="00EB0589">
        <w:t xml:space="preserve">etter </w:t>
      </w:r>
      <w:r w:rsidR="00C675D8" w:rsidRPr="00EB0589">
        <w:t>access to quality health services, particularly for women and children</w:t>
      </w:r>
    </w:p>
    <w:p w14:paraId="429C4A1E" w14:textId="6DF48DB8" w:rsidR="00C675D8" w:rsidRDefault="00DE011C" w:rsidP="0005017A">
      <w:pPr>
        <w:pStyle w:val="ListBullet"/>
      </w:pPr>
      <w:r>
        <w:t>s</w:t>
      </w:r>
      <w:r w:rsidRPr="0035220C">
        <w:t xml:space="preserve">trengthened </w:t>
      </w:r>
      <w:r w:rsidR="00C675D8" w:rsidRPr="0035220C">
        <w:t>public sector administration and governance to ensure the public sector has the capability to provide quality services to the Timorese people</w:t>
      </w:r>
    </w:p>
    <w:p w14:paraId="00D43A38" w14:textId="59EDB484" w:rsidR="0004191D" w:rsidRPr="00EB0589" w:rsidRDefault="00DE011C" w:rsidP="0005017A">
      <w:pPr>
        <w:pStyle w:val="ListBullet"/>
      </w:pPr>
      <w:proofErr w:type="gramStart"/>
      <w:r>
        <w:t>security</w:t>
      </w:r>
      <w:proofErr w:type="gramEnd"/>
      <w:r w:rsidR="00881B5E">
        <w:t>.</w:t>
      </w:r>
    </w:p>
    <w:p w14:paraId="0F773D5E" w14:textId="2630F0BA" w:rsidR="00DE011C" w:rsidRDefault="00686526" w:rsidP="00B949CD">
      <w:pPr>
        <w:pStyle w:val="BodyText"/>
      </w:pPr>
      <w:r>
        <w:t>The</w:t>
      </w:r>
      <w:r w:rsidR="00C675D8" w:rsidRPr="001159CC">
        <w:t xml:space="preserve"> </w:t>
      </w:r>
      <w:r w:rsidR="00DE011C" w:rsidRPr="00395C48">
        <w:t>Australia-Timor-Leste Country Strategy 2009–2014</w:t>
      </w:r>
      <w:r w:rsidR="00DE011C" w:rsidRPr="00D02BEE">
        <w:t xml:space="preserve"> </w:t>
      </w:r>
      <w:r>
        <w:t xml:space="preserve">and </w:t>
      </w:r>
      <w:r w:rsidR="00DE011C">
        <w:t>partnership agreement</w:t>
      </w:r>
      <w:r w:rsidR="00DE011C" w:rsidRPr="001159CC">
        <w:t xml:space="preserve"> </w:t>
      </w:r>
      <w:r>
        <w:t>articulate</w:t>
      </w:r>
      <w:r w:rsidR="00C675D8" w:rsidRPr="001159CC">
        <w:t xml:space="preserve"> this focus</w:t>
      </w:r>
      <w:r w:rsidR="00E4288D">
        <w:t xml:space="preserve">. </w:t>
      </w:r>
      <w:r w:rsidR="005B5466">
        <w:t>In 2012, c</w:t>
      </w:r>
      <w:r w:rsidR="00C675D8">
        <w:t>onsultations and a</w:t>
      </w:r>
      <w:r w:rsidR="00C675D8" w:rsidRPr="001159CC">
        <w:t xml:space="preserve">nalysis </w:t>
      </w:r>
      <w:r w:rsidR="005B5466">
        <w:t xml:space="preserve">commenced </w:t>
      </w:r>
      <w:r w:rsidR="00C675D8" w:rsidRPr="001159CC">
        <w:t xml:space="preserve">to </w:t>
      </w:r>
      <w:r w:rsidR="005253DF">
        <w:t>develop</w:t>
      </w:r>
      <w:r w:rsidR="00C675D8" w:rsidRPr="001159CC">
        <w:t xml:space="preserve"> a new </w:t>
      </w:r>
      <w:r w:rsidR="00CB2F72">
        <w:t xml:space="preserve">2014 </w:t>
      </w:r>
      <w:r w:rsidR="00C675D8" w:rsidRPr="001159CC">
        <w:t>country strategy</w:t>
      </w:r>
      <w:r w:rsidR="00B43FEC">
        <w:t xml:space="preserve">. This will reflect progress in Timor-Leste and the Australian aid program and include strategic goals </w:t>
      </w:r>
      <w:r w:rsidR="00DE011C">
        <w:t xml:space="preserve">from our </w:t>
      </w:r>
      <w:r w:rsidR="00B43FEC">
        <w:t xml:space="preserve">aid policy framework </w:t>
      </w:r>
      <w:r w:rsidR="00DE011C">
        <w:t xml:space="preserve">as well as </w:t>
      </w:r>
      <w:r w:rsidR="00B43FEC">
        <w:t xml:space="preserve">the Timor-Leste </w:t>
      </w:r>
      <w:r w:rsidR="00DE011C">
        <w:t>strategic development plan</w:t>
      </w:r>
      <w:r w:rsidR="00DE011C" w:rsidRPr="00DE011C">
        <w:t xml:space="preserve"> </w:t>
      </w:r>
      <w:r w:rsidR="00DE011C">
        <w:t>targets</w:t>
      </w:r>
      <w:r w:rsidR="00B43FEC">
        <w:t>.</w:t>
      </w:r>
      <w:r w:rsidR="00B20EC6">
        <w:t xml:space="preserve"> </w:t>
      </w:r>
    </w:p>
    <w:p w14:paraId="68CA173C" w14:textId="3BD8AE7B" w:rsidR="00B949CD" w:rsidRDefault="00C675D8" w:rsidP="00B949CD">
      <w:pPr>
        <w:pStyle w:val="BodyText"/>
        <w:rPr>
          <w:rFonts w:ascii="Arial" w:hAnsi="Arial" w:cs="Arial"/>
          <w:color w:val="7E6D5F"/>
          <w:sz w:val="20"/>
          <w:szCs w:val="19"/>
        </w:rPr>
      </w:pPr>
      <w:r w:rsidRPr="001159CC">
        <w:t xml:space="preserve">Australia remains the largest donor </w:t>
      </w:r>
      <w:r w:rsidR="00DE011C">
        <w:t>to</w:t>
      </w:r>
      <w:r w:rsidR="00DE011C" w:rsidRPr="001159CC">
        <w:t xml:space="preserve"> </w:t>
      </w:r>
      <w:r w:rsidRPr="001159CC">
        <w:t xml:space="preserve">Timor-Leste </w:t>
      </w:r>
      <w:r w:rsidR="00F242F2">
        <w:t xml:space="preserve">and </w:t>
      </w:r>
      <w:r w:rsidRPr="001159CC">
        <w:t>provid</w:t>
      </w:r>
      <w:r w:rsidR="00F242F2">
        <w:t>ed</w:t>
      </w:r>
      <w:r w:rsidRPr="001159CC">
        <w:t xml:space="preserve"> 37.1 per cent of total </w:t>
      </w:r>
      <w:r w:rsidR="00DE011C">
        <w:t xml:space="preserve">official </w:t>
      </w:r>
      <w:r w:rsidR="00927DCB">
        <w:t>development assistance</w:t>
      </w:r>
      <w:r w:rsidR="00D24EB5">
        <w:t xml:space="preserve"> </w:t>
      </w:r>
      <w:r w:rsidRPr="001159CC">
        <w:t>in 2011</w:t>
      </w:r>
      <w:r w:rsidR="003A324E">
        <w:t xml:space="preserve"> (</w:t>
      </w:r>
      <w:r w:rsidR="00DE011C">
        <w:t xml:space="preserve">table </w:t>
      </w:r>
      <w:r w:rsidR="003A324E">
        <w:t>2)</w:t>
      </w:r>
      <w:r w:rsidR="00524F1D">
        <w:t xml:space="preserve">. </w:t>
      </w:r>
      <w:r w:rsidR="00F242F2">
        <w:t xml:space="preserve">A genuine </w:t>
      </w:r>
      <w:r w:rsidR="00A77FE9" w:rsidRPr="00F242F2">
        <w:t xml:space="preserve">partnership </w:t>
      </w:r>
      <w:r w:rsidR="00F242F2">
        <w:t xml:space="preserve">is being achieved between the two countries through </w:t>
      </w:r>
      <w:r w:rsidRPr="00F242F2">
        <w:t>strong engagement in Timor-Leste’s annual Development Partners Meeting</w:t>
      </w:r>
      <w:r w:rsidR="00F242F2">
        <w:t>,</w:t>
      </w:r>
      <w:r w:rsidRPr="00754C06">
        <w:t xml:space="preserve"> and </w:t>
      </w:r>
      <w:r w:rsidR="002F4DD0" w:rsidRPr="00F242F2">
        <w:t xml:space="preserve">in </w:t>
      </w:r>
      <w:r w:rsidR="00A77FE9" w:rsidRPr="00F242F2">
        <w:t>June 2013</w:t>
      </w:r>
      <w:r w:rsidR="00F242F2">
        <w:t xml:space="preserve"> through</w:t>
      </w:r>
      <w:r w:rsidR="00A77FE9" w:rsidRPr="00754C06">
        <w:t xml:space="preserve"> </w:t>
      </w:r>
      <w:r w:rsidR="002F4DD0" w:rsidRPr="00F242F2">
        <w:t xml:space="preserve">the </w:t>
      </w:r>
      <w:r w:rsidRPr="00F242F2">
        <w:t xml:space="preserve">first annual </w:t>
      </w:r>
      <w:r w:rsidR="00B43FEC" w:rsidRPr="00F242F2">
        <w:t xml:space="preserve">high-level </w:t>
      </w:r>
      <w:r w:rsidRPr="00F242F2">
        <w:t xml:space="preserve">partnership talks </w:t>
      </w:r>
      <w:r w:rsidR="00F242F2">
        <w:t xml:space="preserve">which </w:t>
      </w:r>
      <w:r w:rsidR="00C46AAF" w:rsidRPr="00754C06">
        <w:t>discussed</w:t>
      </w:r>
      <w:r w:rsidR="00B43FEC" w:rsidRPr="00F242F2">
        <w:t xml:space="preserve"> progress under the </w:t>
      </w:r>
      <w:r w:rsidR="00F242F2">
        <w:t>p</w:t>
      </w:r>
      <w:r w:rsidR="00F242F2" w:rsidRPr="00754C06">
        <w:t xml:space="preserve">artnership </w:t>
      </w:r>
      <w:r w:rsidR="00F242F2">
        <w:t>a</w:t>
      </w:r>
      <w:r w:rsidR="00F242F2" w:rsidRPr="00754C06">
        <w:t>greement</w:t>
      </w:r>
      <w:r w:rsidRPr="00F242F2">
        <w:t>.</w:t>
      </w:r>
      <w:r w:rsidR="004A0D7A" w:rsidRPr="00F242F2">
        <w:t xml:space="preserve"> </w:t>
      </w:r>
      <w:r w:rsidR="004A2A38" w:rsidRPr="00F242F2">
        <w:t xml:space="preserve">Timor-Leste and Australia </w:t>
      </w:r>
      <w:r w:rsidR="00F242F2">
        <w:t xml:space="preserve">also </w:t>
      </w:r>
      <w:r w:rsidR="00C46AAF" w:rsidRPr="00754C06">
        <w:t xml:space="preserve">play </w:t>
      </w:r>
      <w:r w:rsidR="004A2A38" w:rsidRPr="00F242F2">
        <w:t>a leadership role with</w:t>
      </w:r>
      <w:r w:rsidR="00B05885" w:rsidRPr="00F242F2">
        <w:t xml:space="preserve"> the New Deal </w:t>
      </w:r>
      <w:r w:rsidR="004A2A38" w:rsidRPr="00F242F2">
        <w:t xml:space="preserve">on </w:t>
      </w:r>
      <w:r w:rsidR="00B05885" w:rsidRPr="00F242F2">
        <w:t>p</w:t>
      </w:r>
      <w:r w:rsidR="00F974A3" w:rsidRPr="00F242F2">
        <w:t xml:space="preserve">eace </w:t>
      </w:r>
      <w:r w:rsidR="005E4783" w:rsidRPr="00F242F2">
        <w:t>and</w:t>
      </w:r>
      <w:r w:rsidR="004A2A38" w:rsidRPr="00F242F2">
        <w:t xml:space="preserve"> </w:t>
      </w:r>
      <w:r w:rsidR="00B05885" w:rsidRPr="00F242F2">
        <w:t>s</w:t>
      </w:r>
      <w:r w:rsidR="00F974A3" w:rsidRPr="00F242F2">
        <w:t>tate building</w:t>
      </w:r>
      <w:r w:rsidR="00F242F2" w:rsidRPr="00F242F2">
        <w:t>.</w:t>
      </w:r>
      <w:r w:rsidR="004A0D7A" w:rsidRPr="00CA4F12">
        <w:rPr>
          <w:rStyle w:val="FootnoteReference"/>
        </w:rPr>
        <w:footnoteReference w:id="6"/>
      </w:r>
    </w:p>
    <w:p w14:paraId="2BEA4F09" w14:textId="4C257DBB" w:rsidR="00C675D8" w:rsidRPr="000E1150" w:rsidRDefault="001D7881" w:rsidP="00ED0D08">
      <w:pPr>
        <w:pStyle w:val="Caption"/>
      </w:pPr>
      <w:r w:rsidRPr="000E1150">
        <w:t>Table 2</w:t>
      </w:r>
      <w:r w:rsidR="00C675D8" w:rsidRPr="000E1150">
        <w:t>: A</w:t>
      </w:r>
      <w:r w:rsidR="000275A9" w:rsidRPr="000E1150">
        <w:t>id</w:t>
      </w:r>
      <w:r w:rsidR="00C675D8" w:rsidRPr="000E1150">
        <w:t xml:space="preserve"> </w:t>
      </w:r>
      <w:r w:rsidR="000275A9" w:rsidRPr="000E1150">
        <w:t>to</w:t>
      </w:r>
      <w:r w:rsidR="00C675D8" w:rsidRPr="000E1150">
        <w:t xml:space="preserve"> </w:t>
      </w:r>
      <w:r w:rsidR="00B20EC6" w:rsidRPr="000E1150">
        <w:t>T</w:t>
      </w:r>
      <w:r w:rsidR="000275A9" w:rsidRPr="000E1150">
        <w:t>imor</w:t>
      </w:r>
      <w:r w:rsidR="00B20EC6" w:rsidRPr="000E1150">
        <w:t>-L</w:t>
      </w:r>
      <w:r w:rsidR="000275A9" w:rsidRPr="000E1150">
        <w:t>este</w:t>
      </w:r>
      <w:r w:rsidR="00C675D8" w:rsidRPr="000E1150">
        <w:t xml:space="preserve"> </w:t>
      </w:r>
      <w:r w:rsidR="000275A9" w:rsidRPr="000E1150">
        <w:t>by</w:t>
      </w:r>
      <w:r w:rsidR="00C675D8" w:rsidRPr="000E1150">
        <w:t xml:space="preserve"> </w:t>
      </w:r>
      <w:r w:rsidR="000275A9" w:rsidRPr="000E1150">
        <w:t xml:space="preserve">donor </w:t>
      </w:r>
      <w:r w:rsidR="00C675D8" w:rsidRPr="000E1150">
        <w:t>2011</w:t>
      </w:r>
    </w:p>
    <w:tbl>
      <w:tblPr>
        <w:tblStyle w:val="APPR"/>
        <w:tblW w:w="5000" w:type="pct"/>
        <w:tblLook w:val="04A0" w:firstRow="1" w:lastRow="0" w:firstColumn="1" w:lastColumn="0" w:noHBand="0" w:noVBand="1"/>
      </w:tblPr>
      <w:tblGrid>
        <w:gridCol w:w="1318"/>
        <w:gridCol w:w="3283"/>
        <w:gridCol w:w="4006"/>
      </w:tblGrid>
      <w:tr w:rsidR="00C675D8" w:rsidRPr="001159CC" w14:paraId="6B8202A4" w14:textId="77777777" w:rsidTr="009B685C">
        <w:trPr>
          <w:cnfStyle w:val="100000000000" w:firstRow="1" w:lastRow="0" w:firstColumn="0" w:lastColumn="0" w:oddVBand="0" w:evenVBand="0" w:oddHBand="0" w:evenHBand="0" w:firstRowFirstColumn="0" w:firstRowLastColumn="0" w:lastRowFirstColumn="0" w:lastRowLastColumn="0"/>
        </w:trPr>
        <w:tc>
          <w:tcPr>
            <w:tcW w:w="1216" w:type="dxa"/>
            <w:noWrap/>
            <w:hideMark/>
          </w:tcPr>
          <w:p w14:paraId="56E6E356" w14:textId="77777777" w:rsidR="00C675D8" w:rsidRPr="00ED0D08" w:rsidRDefault="00C675D8" w:rsidP="00ED0D08">
            <w:pPr>
              <w:pStyle w:val="TableHeading1"/>
              <w:rPr>
                <w:b/>
              </w:rPr>
            </w:pPr>
            <w:r w:rsidRPr="00ED0D08">
              <w:rPr>
                <w:b/>
              </w:rPr>
              <w:t>Rank</w:t>
            </w:r>
          </w:p>
        </w:tc>
        <w:tc>
          <w:tcPr>
            <w:tcW w:w="3103" w:type="dxa"/>
            <w:noWrap/>
            <w:hideMark/>
          </w:tcPr>
          <w:p w14:paraId="72AC36A0" w14:textId="77777777" w:rsidR="00C675D8" w:rsidRPr="00ED0D08" w:rsidRDefault="00C675D8" w:rsidP="00ED0D08">
            <w:pPr>
              <w:pStyle w:val="TableHeading1"/>
              <w:rPr>
                <w:b/>
              </w:rPr>
            </w:pPr>
            <w:r w:rsidRPr="00ED0D08">
              <w:rPr>
                <w:b/>
              </w:rPr>
              <w:t>Donor</w:t>
            </w:r>
          </w:p>
        </w:tc>
        <w:tc>
          <w:tcPr>
            <w:tcW w:w="3779" w:type="dxa"/>
            <w:noWrap/>
            <w:hideMark/>
          </w:tcPr>
          <w:p w14:paraId="53B896E7" w14:textId="617FAF74" w:rsidR="00C675D8" w:rsidRPr="00ED0D08" w:rsidRDefault="00AF24B2" w:rsidP="00ED0D08">
            <w:pPr>
              <w:pStyle w:val="TableHeading1"/>
              <w:rPr>
                <w:b/>
              </w:rPr>
            </w:pPr>
            <w:r w:rsidRPr="00ED0D08">
              <w:rPr>
                <w:b/>
              </w:rPr>
              <w:t>P</w:t>
            </w:r>
            <w:r w:rsidR="004E70DC" w:rsidRPr="00ED0D08">
              <w:rPr>
                <w:b/>
              </w:rPr>
              <w:t>er cent</w:t>
            </w:r>
            <w:r w:rsidR="00C675D8" w:rsidRPr="00ED0D08">
              <w:rPr>
                <w:b/>
              </w:rPr>
              <w:t xml:space="preserve"> of </w:t>
            </w:r>
            <w:r w:rsidR="00F242F2" w:rsidRPr="00ED0D08">
              <w:rPr>
                <w:b/>
              </w:rPr>
              <w:t>total official development assistance</w:t>
            </w:r>
          </w:p>
        </w:tc>
      </w:tr>
      <w:tr w:rsidR="00C675D8" w:rsidRPr="001159CC" w14:paraId="492F6746" w14:textId="77777777" w:rsidTr="009B685C">
        <w:trPr>
          <w:cnfStyle w:val="100000000000" w:firstRow="1" w:lastRow="0" w:firstColumn="0" w:lastColumn="0" w:oddVBand="0" w:evenVBand="0" w:oddHBand="0" w:evenHBand="0" w:firstRowFirstColumn="0" w:firstRowLastColumn="0" w:lastRowFirstColumn="0" w:lastRowLastColumn="0"/>
        </w:trPr>
        <w:tc>
          <w:tcPr>
            <w:tcW w:w="1216" w:type="dxa"/>
            <w:noWrap/>
            <w:hideMark/>
          </w:tcPr>
          <w:p w14:paraId="75AC4EE7" w14:textId="77777777" w:rsidR="00C675D8" w:rsidRPr="00ED0D08" w:rsidRDefault="00C675D8" w:rsidP="00ED0D08">
            <w:pPr>
              <w:pStyle w:val="TableTextEntries"/>
              <w:rPr>
                <w:b w:val="0"/>
              </w:rPr>
            </w:pPr>
            <w:r w:rsidRPr="00ED0D08">
              <w:rPr>
                <w:b w:val="0"/>
              </w:rPr>
              <w:t>1</w:t>
            </w:r>
          </w:p>
        </w:tc>
        <w:tc>
          <w:tcPr>
            <w:tcW w:w="3103" w:type="dxa"/>
            <w:noWrap/>
            <w:hideMark/>
          </w:tcPr>
          <w:p w14:paraId="6E5BE189" w14:textId="77777777" w:rsidR="00C675D8" w:rsidRPr="00ED0D08" w:rsidRDefault="00C675D8" w:rsidP="00ED0D08">
            <w:pPr>
              <w:pStyle w:val="TableTextEntries"/>
              <w:rPr>
                <w:b w:val="0"/>
              </w:rPr>
            </w:pPr>
            <w:r w:rsidRPr="00ED0D08">
              <w:rPr>
                <w:b w:val="0"/>
              </w:rPr>
              <w:t>Australia</w:t>
            </w:r>
          </w:p>
        </w:tc>
        <w:tc>
          <w:tcPr>
            <w:tcW w:w="3779" w:type="dxa"/>
            <w:noWrap/>
            <w:hideMark/>
          </w:tcPr>
          <w:p w14:paraId="55E83B15" w14:textId="77777777" w:rsidR="00C675D8" w:rsidRPr="00ED0D08" w:rsidRDefault="00C675D8" w:rsidP="00ED0D08">
            <w:pPr>
              <w:pStyle w:val="TableTextEntries"/>
              <w:rPr>
                <w:b w:val="0"/>
              </w:rPr>
            </w:pPr>
            <w:r w:rsidRPr="00ED0D08">
              <w:rPr>
                <w:b w:val="0"/>
              </w:rPr>
              <w:t>37.1</w:t>
            </w:r>
          </w:p>
        </w:tc>
      </w:tr>
      <w:tr w:rsidR="00C675D8" w:rsidRPr="001159CC" w14:paraId="442F033E" w14:textId="77777777" w:rsidTr="009B685C">
        <w:trPr>
          <w:cnfStyle w:val="100000000000" w:firstRow="1" w:lastRow="0" w:firstColumn="0" w:lastColumn="0" w:oddVBand="0" w:evenVBand="0" w:oddHBand="0" w:evenHBand="0" w:firstRowFirstColumn="0" w:firstRowLastColumn="0" w:lastRowFirstColumn="0" w:lastRowLastColumn="0"/>
        </w:trPr>
        <w:tc>
          <w:tcPr>
            <w:tcW w:w="1216" w:type="dxa"/>
            <w:noWrap/>
            <w:hideMark/>
          </w:tcPr>
          <w:p w14:paraId="3A99CFAE" w14:textId="77777777" w:rsidR="00C675D8" w:rsidRPr="00ED0D08" w:rsidRDefault="00C675D8" w:rsidP="00ED0D08">
            <w:pPr>
              <w:pStyle w:val="TableTextEntries"/>
              <w:rPr>
                <w:b w:val="0"/>
              </w:rPr>
            </w:pPr>
            <w:r w:rsidRPr="00ED0D08">
              <w:rPr>
                <w:b w:val="0"/>
              </w:rPr>
              <w:t>2</w:t>
            </w:r>
          </w:p>
        </w:tc>
        <w:tc>
          <w:tcPr>
            <w:tcW w:w="3103" w:type="dxa"/>
            <w:noWrap/>
            <w:hideMark/>
          </w:tcPr>
          <w:p w14:paraId="39C12B97" w14:textId="77777777" w:rsidR="00C675D8" w:rsidRPr="00ED0D08" w:rsidRDefault="00C675D8" w:rsidP="00ED0D08">
            <w:pPr>
              <w:pStyle w:val="TableTextEntries"/>
              <w:rPr>
                <w:b w:val="0"/>
              </w:rPr>
            </w:pPr>
            <w:r w:rsidRPr="00ED0D08">
              <w:rPr>
                <w:b w:val="0"/>
              </w:rPr>
              <w:t>United States</w:t>
            </w:r>
          </w:p>
        </w:tc>
        <w:tc>
          <w:tcPr>
            <w:tcW w:w="3779" w:type="dxa"/>
            <w:noWrap/>
            <w:hideMark/>
          </w:tcPr>
          <w:p w14:paraId="42B2107A" w14:textId="77777777" w:rsidR="00C675D8" w:rsidRPr="00ED0D08" w:rsidRDefault="00C675D8" w:rsidP="00ED0D08">
            <w:pPr>
              <w:pStyle w:val="TableTextEntries"/>
              <w:rPr>
                <w:b w:val="0"/>
              </w:rPr>
            </w:pPr>
            <w:r w:rsidRPr="00ED0D08">
              <w:rPr>
                <w:b w:val="0"/>
              </w:rPr>
              <w:t>13.2</w:t>
            </w:r>
          </w:p>
        </w:tc>
      </w:tr>
      <w:tr w:rsidR="00C675D8" w:rsidRPr="001159CC" w14:paraId="46F6514D" w14:textId="77777777" w:rsidTr="009B685C">
        <w:trPr>
          <w:cnfStyle w:val="100000000000" w:firstRow="1" w:lastRow="0" w:firstColumn="0" w:lastColumn="0" w:oddVBand="0" w:evenVBand="0" w:oddHBand="0" w:evenHBand="0" w:firstRowFirstColumn="0" w:firstRowLastColumn="0" w:lastRowFirstColumn="0" w:lastRowLastColumn="0"/>
        </w:trPr>
        <w:tc>
          <w:tcPr>
            <w:tcW w:w="1216" w:type="dxa"/>
            <w:noWrap/>
            <w:hideMark/>
          </w:tcPr>
          <w:p w14:paraId="5A9C4314" w14:textId="77777777" w:rsidR="00C675D8" w:rsidRPr="00ED0D08" w:rsidRDefault="00C675D8" w:rsidP="00ED0D08">
            <w:pPr>
              <w:pStyle w:val="TableTextEntries"/>
              <w:rPr>
                <w:b w:val="0"/>
              </w:rPr>
            </w:pPr>
            <w:r w:rsidRPr="00ED0D08">
              <w:rPr>
                <w:b w:val="0"/>
              </w:rPr>
              <w:t>3</w:t>
            </w:r>
          </w:p>
        </w:tc>
        <w:tc>
          <w:tcPr>
            <w:tcW w:w="3103" w:type="dxa"/>
            <w:noWrap/>
            <w:hideMark/>
          </w:tcPr>
          <w:p w14:paraId="37C64323" w14:textId="77777777" w:rsidR="00C675D8" w:rsidRPr="00ED0D08" w:rsidRDefault="00C675D8" w:rsidP="00ED0D08">
            <w:pPr>
              <w:pStyle w:val="TableTextEntries"/>
              <w:rPr>
                <w:b w:val="0"/>
              </w:rPr>
            </w:pPr>
            <w:r w:rsidRPr="00ED0D08">
              <w:rPr>
                <w:b w:val="0"/>
              </w:rPr>
              <w:t>Portugal</w:t>
            </w:r>
          </w:p>
        </w:tc>
        <w:tc>
          <w:tcPr>
            <w:tcW w:w="3779" w:type="dxa"/>
            <w:noWrap/>
            <w:hideMark/>
          </w:tcPr>
          <w:p w14:paraId="4C0A6CA2" w14:textId="77777777" w:rsidR="00C675D8" w:rsidRPr="00ED0D08" w:rsidRDefault="00C675D8" w:rsidP="00ED0D08">
            <w:pPr>
              <w:pStyle w:val="TableTextEntries"/>
              <w:rPr>
                <w:b w:val="0"/>
              </w:rPr>
            </w:pPr>
            <w:r w:rsidRPr="00ED0D08">
              <w:rPr>
                <w:b w:val="0"/>
              </w:rPr>
              <w:t>9.9</w:t>
            </w:r>
          </w:p>
        </w:tc>
      </w:tr>
      <w:tr w:rsidR="00C675D8" w:rsidRPr="001159CC" w14:paraId="45E431FC" w14:textId="77777777" w:rsidTr="009B685C">
        <w:trPr>
          <w:cnfStyle w:val="100000000000" w:firstRow="1" w:lastRow="0" w:firstColumn="0" w:lastColumn="0" w:oddVBand="0" w:evenVBand="0" w:oddHBand="0" w:evenHBand="0" w:firstRowFirstColumn="0" w:firstRowLastColumn="0" w:lastRowFirstColumn="0" w:lastRowLastColumn="0"/>
        </w:trPr>
        <w:tc>
          <w:tcPr>
            <w:tcW w:w="1216" w:type="dxa"/>
            <w:noWrap/>
            <w:hideMark/>
          </w:tcPr>
          <w:p w14:paraId="7299D7A1" w14:textId="77777777" w:rsidR="00C675D8" w:rsidRPr="00ED0D08" w:rsidRDefault="00C675D8" w:rsidP="00ED0D08">
            <w:pPr>
              <w:pStyle w:val="TableTextEntries"/>
              <w:rPr>
                <w:b w:val="0"/>
              </w:rPr>
            </w:pPr>
            <w:r w:rsidRPr="00ED0D08">
              <w:rPr>
                <w:b w:val="0"/>
              </w:rPr>
              <w:t>4</w:t>
            </w:r>
          </w:p>
        </w:tc>
        <w:tc>
          <w:tcPr>
            <w:tcW w:w="3103" w:type="dxa"/>
            <w:noWrap/>
            <w:hideMark/>
          </w:tcPr>
          <w:p w14:paraId="12F22178" w14:textId="77777777" w:rsidR="00C675D8" w:rsidRPr="00ED0D08" w:rsidRDefault="00C675D8" w:rsidP="00ED0D08">
            <w:pPr>
              <w:pStyle w:val="TableTextEntries"/>
              <w:rPr>
                <w:b w:val="0"/>
              </w:rPr>
            </w:pPr>
            <w:r w:rsidRPr="00ED0D08">
              <w:rPr>
                <w:b w:val="0"/>
              </w:rPr>
              <w:t>Japan</w:t>
            </w:r>
          </w:p>
        </w:tc>
        <w:tc>
          <w:tcPr>
            <w:tcW w:w="3779" w:type="dxa"/>
            <w:noWrap/>
            <w:hideMark/>
          </w:tcPr>
          <w:p w14:paraId="6DFAB44F" w14:textId="77777777" w:rsidR="00C675D8" w:rsidRPr="00ED0D08" w:rsidRDefault="00C675D8" w:rsidP="00ED0D08">
            <w:pPr>
              <w:pStyle w:val="TableTextEntries"/>
              <w:rPr>
                <w:b w:val="0"/>
              </w:rPr>
            </w:pPr>
            <w:r w:rsidRPr="00ED0D08">
              <w:rPr>
                <w:b w:val="0"/>
              </w:rPr>
              <w:t>9.6</w:t>
            </w:r>
          </w:p>
        </w:tc>
      </w:tr>
      <w:tr w:rsidR="00C675D8" w:rsidRPr="001159CC" w14:paraId="66F73960" w14:textId="77777777" w:rsidTr="009B685C">
        <w:trPr>
          <w:cnfStyle w:val="100000000000" w:firstRow="1" w:lastRow="0" w:firstColumn="0" w:lastColumn="0" w:oddVBand="0" w:evenVBand="0" w:oddHBand="0" w:evenHBand="0" w:firstRowFirstColumn="0" w:firstRowLastColumn="0" w:lastRowFirstColumn="0" w:lastRowLastColumn="0"/>
        </w:trPr>
        <w:tc>
          <w:tcPr>
            <w:tcW w:w="1216" w:type="dxa"/>
            <w:noWrap/>
            <w:hideMark/>
          </w:tcPr>
          <w:p w14:paraId="5E5E70FA" w14:textId="77777777" w:rsidR="00C675D8" w:rsidRPr="00ED0D08" w:rsidRDefault="00C675D8" w:rsidP="00ED0D08">
            <w:pPr>
              <w:pStyle w:val="TableTextEntries"/>
              <w:rPr>
                <w:b w:val="0"/>
              </w:rPr>
            </w:pPr>
            <w:r w:rsidRPr="00ED0D08">
              <w:rPr>
                <w:b w:val="0"/>
              </w:rPr>
              <w:t>5</w:t>
            </w:r>
          </w:p>
        </w:tc>
        <w:tc>
          <w:tcPr>
            <w:tcW w:w="3103" w:type="dxa"/>
            <w:noWrap/>
            <w:hideMark/>
          </w:tcPr>
          <w:p w14:paraId="68211E41" w14:textId="0A74341B" w:rsidR="00C675D8" w:rsidRPr="00ED0D08" w:rsidRDefault="00C675D8" w:rsidP="00ED0D08">
            <w:pPr>
              <w:pStyle w:val="TableTextEntries"/>
              <w:rPr>
                <w:b w:val="0"/>
              </w:rPr>
            </w:pPr>
            <w:r w:rsidRPr="00ED0D08">
              <w:rPr>
                <w:b w:val="0"/>
              </w:rPr>
              <w:t>E</w:t>
            </w:r>
            <w:r w:rsidR="004053E0" w:rsidRPr="00ED0D08">
              <w:rPr>
                <w:b w:val="0"/>
              </w:rPr>
              <w:t xml:space="preserve">uropean </w:t>
            </w:r>
            <w:r w:rsidRPr="00ED0D08">
              <w:rPr>
                <w:b w:val="0"/>
              </w:rPr>
              <w:t>U</w:t>
            </w:r>
            <w:r w:rsidR="004053E0" w:rsidRPr="00ED0D08">
              <w:rPr>
                <w:b w:val="0"/>
              </w:rPr>
              <w:t>nion</w:t>
            </w:r>
            <w:r w:rsidRPr="00ED0D08">
              <w:rPr>
                <w:b w:val="0"/>
              </w:rPr>
              <w:t xml:space="preserve"> </w:t>
            </w:r>
            <w:r w:rsidR="00F50F73" w:rsidRPr="00ED0D08">
              <w:rPr>
                <w:b w:val="0"/>
              </w:rPr>
              <w:t>institutions</w:t>
            </w:r>
          </w:p>
        </w:tc>
        <w:tc>
          <w:tcPr>
            <w:tcW w:w="3779" w:type="dxa"/>
            <w:noWrap/>
            <w:hideMark/>
          </w:tcPr>
          <w:p w14:paraId="599291FB" w14:textId="77777777" w:rsidR="00C675D8" w:rsidRPr="00ED0D08" w:rsidRDefault="00C675D8" w:rsidP="00ED0D08">
            <w:pPr>
              <w:pStyle w:val="TableTextEntries"/>
              <w:rPr>
                <w:b w:val="0"/>
              </w:rPr>
            </w:pPr>
            <w:r w:rsidRPr="00ED0D08">
              <w:rPr>
                <w:b w:val="0"/>
              </w:rPr>
              <w:t>6.6</w:t>
            </w:r>
          </w:p>
        </w:tc>
      </w:tr>
      <w:tr w:rsidR="00C675D8" w:rsidRPr="001159CC" w14:paraId="1466E5C3" w14:textId="77777777" w:rsidTr="009B685C">
        <w:trPr>
          <w:cnfStyle w:val="100000000000" w:firstRow="1" w:lastRow="0" w:firstColumn="0" w:lastColumn="0" w:oddVBand="0" w:evenVBand="0" w:oddHBand="0" w:evenHBand="0" w:firstRowFirstColumn="0" w:firstRowLastColumn="0" w:lastRowFirstColumn="0" w:lastRowLastColumn="0"/>
        </w:trPr>
        <w:tc>
          <w:tcPr>
            <w:tcW w:w="1216" w:type="dxa"/>
            <w:noWrap/>
            <w:hideMark/>
          </w:tcPr>
          <w:p w14:paraId="356106FF" w14:textId="77777777" w:rsidR="00C675D8" w:rsidRPr="00ED0D08" w:rsidRDefault="00C675D8" w:rsidP="00ED0D08">
            <w:pPr>
              <w:pStyle w:val="TableTextEntries"/>
              <w:rPr>
                <w:b w:val="0"/>
              </w:rPr>
            </w:pPr>
            <w:r w:rsidRPr="00ED0D08">
              <w:rPr>
                <w:b w:val="0"/>
              </w:rPr>
              <w:t>6</w:t>
            </w:r>
          </w:p>
        </w:tc>
        <w:tc>
          <w:tcPr>
            <w:tcW w:w="3103" w:type="dxa"/>
            <w:noWrap/>
            <w:hideMark/>
          </w:tcPr>
          <w:p w14:paraId="6656266C" w14:textId="77777777" w:rsidR="00C675D8" w:rsidRPr="00ED0D08" w:rsidRDefault="00C675D8" w:rsidP="00ED0D08">
            <w:pPr>
              <w:pStyle w:val="TableTextEntries"/>
              <w:rPr>
                <w:b w:val="0"/>
              </w:rPr>
            </w:pPr>
            <w:r w:rsidRPr="00ED0D08">
              <w:rPr>
                <w:b w:val="0"/>
              </w:rPr>
              <w:t>Norway</w:t>
            </w:r>
          </w:p>
        </w:tc>
        <w:tc>
          <w:tcPr>
            <w:tcW w:w="3779" w:type="dxa"/>
            <w:noWrap/>
            <w:hideMark/>
          </w:tcPr>
          <w:p w14:paraId="120CE982" w14:textId="77777777" w:rsidR="00C675D8" w:rsidRPr="00ED0D08" w:rsidRDefault="00C675D8" w:rsidP="00ED0D08">
            <w:pPr>
              <w:pStyle w:val="TableTextEntries"/>
              <w:rPr>
                <w:b w:val="0"/>
              </w:rPr>
            </w:pPr>
            <w:r w:rsidRPr="00ED0D08">
              <w:rPr>
                <w:b w:val="0"/>
              </w:rPr>
              <w:t>2.9</w:t>
            </w:r>
          </w:p>
        </w:tc>
      </w:tr>
    </w:tbl>
    <w:p w14:paraId="4A8932E5" w14:textId="4BF0BA34" w:rsidR="002F4DD0" w:rsidRPr="00F50F73" w:rsidRDefault="002F4DD0">
      <w:pPr>
        <w:pStyle w:val="Note"/>
      </w:pPr>
      <w:r w:rsidRPr="00F50F73">
        <w:t xml:space="preserve">Source: OECD Development Assistance Committee </w:t>
      </w:r>
      <w:r w:rsidR="004053E0">
        <w:t>w</w:t>
      </w:r>
      <w:r w:rsidR="004053E0" w:rsidRPr="00F50F73">
        <w:t>ebsite</w:t>
      </w:r>
      <w:r w:rsidR="00F50F73">
        <w:t>.</w:t>
      </w:r>
    </w:p>
    <w:p w14:paraId="0C7258DB" w14:textId="6E8BCB9C" w:rsidR="00C675D8" w:rsidRPr="00ED0D08" w:rsidRDefault="004C0F84" w:rsidP="00ED0D08">
      <w:pPr>
        <w:pStyle w:val="Heading1"/>
      </w:pPr>
      <w:r w:rsidRPr="00ED0D08">
        <w:t xml:space="preserve">Implementing </w:t>
      </w:r>
      <w:r w:rsidR="00F242F2" w:rsidRPr="00ED0D08">
        <w:t>partners</w:t>
      </w:r>
    </w:p>
    <w:p w14:paraId="19C77EFC" w14:textId="67F377F0" w:rsidR="00C675D8" w:rsidRDefault="00C675D8" w:rsidP="00ED0D08">
      <w:pPr>
        <w:pStyle w:val="BodyText"/>
      </w:pPr>
      <w:r w:rsidRPr="001159CC">
        <w:t>In 2012</w:t>
      </w:r>
      <w:r w:rsidR="00F242F2">
        <w:t>–</w:t>
      </w:r>
      <w:r w:rsidRPr="001159CC">
        <w:t>13</w:t>
      </w:r>
      <w:r w:rsidR="00677447">
        <w:t>,</w:t>
      </w:r>
      <w:r w:rsidR="009425BC">
        <w:t xml:space="preserve"> </w:t>
      </w:r>
      <w:r w:rsidR="00D24EB5">
        <w:t xml:space="preserve">the </w:t>
      </w:r>
      <w:r w:rsidR="00E44D8F">
        <w:t xml:space="preserve">Australia’s </w:t>
      </w:r>
      <w:r w:rsidR="00B20EC6">
        <w:t>Timor-Leste</w:t>
      </w:r>
      <w:r w:rsidR="009425BC">
        <w:t xml:space="preserve"> </w:t>
      </w:r>
      <w:r w:rsidR="00D24EB5">
        <w:t>country</w:t>
      </w:r>
      <w:r w:rsidR="00443546">
        <w:t xml:space="preserve"> </w:t>
      </w:r>
      <w:r w:rsidR="009425BC">
        <w:t>program</w:t>
      </w:r>
      <w:r w:rsidRPr="001159CC">
        <w:t xml:space="preserve"> </w:t>
      </w:r>
      <w:r w:rsidRPr="00AA3C9D">
        <w:t xml:space="preserve">administered </w:t>
      </w:r>
      <w:r w:rsidR="001654D7" w:rsidRPr="00AA3C9D">
        <w:t>$69.1</w:t>
      </w:r>
      <w:r w:rsidR="00D24EB5">
        <w:t xml:space="preserve"> </w:t>
      </w:r>
      <w:r w:rsidR="001654D7" w:rsidRPr="00AA3C9D">
        <w:t>m</w:t>
      </w:r>
      <w:r w:rsidR="00D24EB5">
        <w:t>illion</w:t>
      </w:r>
      <w:r w:rsidR="001654D7" w:rsidRPr="00AA3C9D">
        <w:t xml:space="preserve"> </w:t>
      </w:r>
      <w:r w:rsidR="004E68D6" w:rsidRPr="00AA3C9D">
        <w:t>of</w:t>
      </w:r>
      <w:r w:rsidR="004E68D6">
        <w:t xml:space="preserve"> </w:t>
      </w:r>
      <w:r w:rsidR="00D24EB5">
        <w:t>Australia’s</w:t>
      </w:r>
      <w:r w:rsidRPr="001159CC">
        <w:t xml:space="preserve"> </w:t>
      </w:r>
      <w:r w:rsidR="00F242F2">
        <w:t xml:space="preserve">official development assistance </w:t>
      </w:r>
      <w:r w:rsidR="00D24EB5">
        <w:t xml:space="preserve">allocation to Timor </w:t>
      </w:r>
      <w:proofErr w:type="spellStart"/>
      <w:r w:rsidR="00D24EB5">
        <w:t>Leste</w:t>
      </w:r>
      <w:proofErr w:type="spellEnd"/>
      <w:r w:rsidRPr="001159CC">
        <w:t xml:space="preserve">. </w:t>
      </w:r>
      <w:r w:rsidR="00E44D8F">
        <w:t xml:space="preserve">The </w:t>
      </w:r>
      <w:r w:rsidR="00985161">
        <w:t>relevance and effectiveness of p</w:t>
      </w:r>
      <w:r w:rsidR="00BB10D9">
        <w:t>rogram designs</w:t>
      </w:r>
      <w:r w:rsidR="003A324E">
        <w:t xml:space="preserve"> and implementing partners</w:t>
      </w:r>
      <w:r w:rsidR="00E44D8F">
        <w:t xml:space="preserve"> is assessed</w:t>
      </w:r>
      <w:r w:rsidR="003A324E">
        <w:t xml:space="preserve"> </w:t>
      </w:r>
      <w:r w:rsidR="00F242F2">
        <w:t>each year</w:t>
      </w:r>
      <w:r w:rsidR="001074F8">
        <w:t>.</w:t>
      </w:r>
      <w:r w:rsidRPr="001159CC">
        <w:t xml:space="preserve"> </w:t>
      </w:r>
      <w:r w:rsidR="001074F8">
        <w:t xml:space="preserve">We </w:t>
      </w:r>
      <w:r w:rsidR="001074F8">
        <w:lastRenderedPageBreak/>
        <w:t>consider multilaterals an</w:t>
      </w:r>
      <w:r w:rsidR="007B49E4">
        <w:t xml:space="preserve">d </w:t>
      </w:r>
      <w:r w:rsidR="00F242F2">
        <w:t>civil society organisations</w:t>
      </w:r>
      <w:r w:rsidR="007B49E4">
        <w:t xml:space="preserve"> as highly valued partners</w:t>
      </w:r>
      <w:r w:rsidR="00F242F2">
        <w:t xml:space="preserve">, and </w:t>
      </w:r>
      <w:r w:rsidR="000B105D">
        <w:t xml:space="preserve">recent </w:t>
      </w:r>
      <w:r w:rsidR="007B49E4">
        <w:t>analysis</w:t>
      </w:r>
      <w:r w:rsidR="00AF24B2">
        <w:t xml:space="preserve"> </w:t>
      </w:r>
      <w:r w:rsidR="007B49E4">
        <w:t>suggest</w:t>
      </w:r>
      <w:r w:rsidR="000B105D">
        <w:t>s</w:t>
      </w:r>
      <w:r w:rsidR="007B49E4">
        <w:t xml:space="preserve"> we could be making better use of these partner’s st</w:t>
      </w:r>
      <w:r w:rsidR="00BB10D9">
        <w:t>rengths</w:t>
      </w:r>
      <w:r w:rsidR="00F242F2">
        <w:t>.</w:t>
      </w:r>
      <w:r w:rsidR="00AF24B2">
        <w:rPr>
          <w:rStyle w:val="FootnoteReference"/>
        </w:rPr>
        <w:footnoteReference w:id="7"/>
      </w:r>
      <w:r w:rsidR="000B105D">
        <w:t xml:space="preserve"> W</w:t>
      </w:r>
      <w:r w:rsidR="007B49E4">
        <w:t>e</w:t>
      </w:r>
      <w:r w:rsidR="001074F8">
        <w:t xml:space="preserve"> are moving away from</w:t>
      </w:r>
      <w:r w:rsidRPr="001159CC">
        <w:t xml:space="preserve"> project grants </w:t>
      </w:r>
      <w:r w:rsidR="00D24EB5">
        <w:t xml:space="preserve">with </w:t>
      </w:r>
      <w:r w:rsidR="00F242F2" w:rsidRPr="00F242F2">
        <w:t>non-government organisations</w:t>
      </w:r>
      <w:r w:rsidR="00F242F2">
        <w:t xml:space="preserve"> </w:t>
      </w:r>
      <w:r w:rsidRPr="001159CC">
        <w:t>toward core funding and strategic partnerships (in some cases at the country level, operating across the program) for greater polic</w:t>
      </w:r>
      <w:r w:rsidR="001074F8">
        <w:t xml:space="preserve">y </w:t>
      </w:r>
      <w:r w:rsidR="00B43FEC">
        <w:t>engagement</w:t>
      </w:r>
      <w:r w:rsidR="00BB10D9">
        <w:t>, flexibility</w:t>
      </w:r>
      <w:r w:rsidR="001074F8">
        <w:t xml:space="preserve"> and responsiveness</w:t>
      </w:r>
      <w:r w:rsidR="00901226">
        <w:t>.</w:t>
      </w:r>
      <w:r w:rsidR="00D3277C">
        <w:t xml:space="preserve"> </w:t>
      </w:r>
      <w:r w:rsidR="00B43FEC">
        <w:t>O</w:t>
      </w:r>
      <w:r w:rsidR="00DF3E7F">
        <w:t xml:space="preserve">ur 2011 </w:t>
      </w:r>
      <w:r w:rsidR="00F242F2">
        <w:t>annual program performance report</w:t>
      </w:r>
      <w:r w:rsidR="009A3AC3">
        <w:rPr>
          <w:rStyle w:val="FootnoteReference"/>
        </w:rPr>
        <w:footnoteReference w:id="8"/>
      </w:r>
      <w:r w:rsidR="00F242F2">
        <w:t xml:space="preserve"> </w:t>
      </w:r>
      <w:r w:rsidR="009F391B">
        <w:t xml:space="preserve">(APPR) </w:t>
      </w:r>
      <w:r w:rsidR="00B43FEC">
        <w:t>showed that</w:t>
      </w:r>
      <w:r w:rsidR="00DF3E7F">
        <w:t xml:space="preserve"> s</w:t>
      </w:r>
      <w:r w:rsidR="00DF3E7F" w:rsidRPr="00DF3E7F">
        <w:t xml:space="preserve">low disbursement of funds, complex procedures for procurement, </w:t>
      </w:r>
      <w:r w:rsidR="00DF3E7F">
        <w:t>issues with</w:t>
      </w:r>
      <w:r w:rsidR="00DF3E7F" w:rsidRPr="00DF3E7F">
        <w:t xml:space="preserve"> adviser management</w:t>
      </w:r>
      <w:r w:rsidR="00DF3E7F">
        <w:t xml:space="preserve"> and </w:t>
      </w:r>
      <w:r w:rsidR="00601D61">
        <w:t>monitoring</w:t>
      </w:r>
      <w:r w:rsidR="00F242F2">
        <w:t>,</w:t>
      </w:r>
      <w:r w:rsidR="00601D61">
        <w:t xml:space="preserve"> and evaluation</w:t>
      </w:r>
      <w:r w:rsidR="00DF3E7F">
        <w:t xml:space="preserve"> were </w:t>
      </w:r>
      <w:r w:rsidR="00B43FEC">
        <w:t>challenges with</w:t>
      </w:r>
      <w:r w:rsidR="00DF3E7F">
        <w:t xml:space="preserve"> World Bank trust fund programs.</w:t>
      </w:r>
      <w:r w:rsidR="00B43FEC">
        <w:t xml:space="preserve"> </w:t>
      </w:r>
      <w:r w:rsidR="00976907">
        <w:t>A new country</w:t>
      </w:r>
      <w:r w:rsidR="00F242F2">
        <w:t>-</w:t>
      </w:r>
      <w:r w:rsidR="00976907">
        <w:t>level World Bank trust fund mechanism was introduced in June 2013 and will replace existing mechanisms as they come to an end.</w:t>
      </w:r>
    </w:p>
    <w:p w14:paraId="155F5095" w14:textId="6851E014" w:rsidR="00A75DAE" w:rsidRPr="00754C06" w:rsidRDefault="00A75DAE" w:rsidP="00ED0D08">
      <w:pPr>
        <w:pStyle w:val="BodyText"/>
      </w:pPr>
      <w:r>
        <w:t>Recognising the</w:t>
      </w:r>
      <w:r w:rsidRPr="001159CC">
        <w:t xml:space="preserve"> role </w:t>
      </w:r>
      <w:r w:rsidR="00F242F2" w:rsidRPr="00F242F2">
        <w:t>civil society organisations</w:t>
      </w:r>
      <w:r w:rsidR="00F242F2">
        <w:t xml:space="preserve"> </w:t>
      </w:r>
      <w:r w:rsidRPr="001159CC">
        <w:t xml:space="preserve">often play in restoring confidence and sustaining transformation </w:t>
      </w:r>
      <w:r w:rsidR="00BB10D9">
        <w:t>post-</w:t>
      </w:r>
      <w:r>
        <w:t>conflict,</w:t>
      </w:r>
      <w:r w:rsidRPr="001159CC">
        <w:t xml:space="preserve"> </w:t>
      </w:r>
      <w:r>
        <w:t xml:space="preserve">Australia </w:t>
      </w:r>
      <w:r w:rsidRPr="001159CC">
        <w:t>fund</w:t>
      </w:r>
      <w:r>
        <w:t>s</w:t>
      </w:r>
      <w:r w:rsidRPr="001159CC">
        <w:t xml:space="preserve"> </w:t>
      </w:r>
      <w:r w:rsidR="00B6128E">
        <w:t xml:space="preserve">these organisations </w:t>
      </w:r>
      <w:r w:rsidR="00273AA7">
        <w:t>to implement programs</w:t>
      </w:r>
      <w:r w:rsidR="000B105D">
        <w:t>.</w:t>
      </w:r>
      <w:r w:rsidR="00273AA7">
        <w:t xml:space="preserve"> </w:t>
      </w:r>
      <w:r w:rsidR="00B6128E">
        <w:t xml:space="preserve">Those </w:t>
      </w:r>
      <w:r>
        <w:t>operating in Timor-Leste receiv</w:t>
      </w:r>
      <w:r w:rsidR="00985161">
        <w:t>e</w:t>
      </w:r>
      <w:r w:rsidRPr="001159CC">
        <w:t xml:space="preserve"> funding from </w:t>
      </w:r>
      <w:r>
        <w:t>up to 22</w:t>
      </w:r>
      <w:r w:rsidRPr="001159CC">
        <w:t xml:space="preserve"> </w:t>
      </w:r>
      <w:r w:rsidR="00985161">
        <w:t xml:space="preserve">Australian Government </w:t>
      </w:r>
      <w:r w:rsidRPr="001159CC">
        <w:t>sources</w:t>
      </w:r>
      <w:r w:rsidR="00BB10D9">
        <w:t>.</w:t>
      </w:r>
      <w:r>
        <w:t xml:space="preserve"> </w:t>
      </w:r>
      <w:r w:rsidR="00976907">
        <w:t xml:space="preserve">It is </w:t>
      </w:r>
      <w:r w:rsidR="00976907" w:rsidRPr="00582AD7">
        <w:t xml:space="preserve">not efficient </w:t>
      </w:r>
      <w:r w:rsidR="00976907">
        <w:t xml:space="preserve">for </w:t>
      </w:r>
      <w:r w:rsidR="00AE2215">
        <w:t xml:space="preserve">the department </w:t>
      </w:r>
      <w:r w:rsidR="00976907" w:rsidRPr="00582AD7">
        <w:t xml:space="preserve">to </w:t>
      </w:r>
      <w:r w:rsidR="00976907">
        <w:t>directly manage multiple</w:t>
      </w:r>
      <w:r w:rsidR="00976907" w:rsidRPr="00582AD7">
        <w:t xml:space="preserve"> partnerships with </w:t>
      </w:r>
      <w:r w:rsidR="00B6128E" w:rsidRPr="00B6128E">
        <w:t>civil society organisations</w:t>
      </w:r>
      <w:r w:rsidR="00B6128E">
        <w:t>,</w:t>
      </w:r>
      <w:r w:rsidR="00B6128E" w:rsidRPr="00B6128E">
        <w:t xml:space="preserve"> </w:t>
      </w:r>
      <w:r w:rsidR="00976907">
        <w:t>so</w:t>
      </w:r>
      <w:r w:rsidR="00976907" w:rsidRPr="00582AD7">
        <w:t xml:space="preserve"> </w:t>
      </w:r>
      <w:r w:rsidR="00B6128E">
        <w:t xml:space="preserve">the process is being </w:t>
      </w:r>
      <w:r w:rsidR="00976907" w:rsidRPr="00582AD7">
        <w:t>rationalis</w:t>
      </w:r>
      <w:r w:rsidR="00B6128E">
        <w:t xml:space="preserve">ed by, for example, </w:t>
      </w:r>
      <w:r w:rsidR="00976907">
        <w:t>using indirect funding through managing contractors.</w:t>
      </w:r>
    </w:p>
    <w:p w14:paraId="04A31F1A" w14:textId="280E4758" w:rsidR="00AF24B2" w:rsidRDefault="001654D7" w:rsidP="00ED0D08">
      <w:pPr>
        <w:pStyle w:val="BodyText"/>
      </w:pPr>
      <w:r>
        <w:t>Currently 42 per cent</w:t>
      </w:r>
      <w:r w:rsidRPr="001159CC">
        <w:t xml:space="preserve"> of the program is delivered through commercial suppliers</w:t>
      </w:r>
      <w:r>
        <w:t>, which i</w:t>
      </w:r>
      <w:r w:rsidR="00273AA7">
        <w:t xml:space="preserve">ncludes </w:t>
      </w:r>
      <w:r>
        <w:t>funding</w:t>
      </w:r>
      <w:r w:rsidR="00006E30">
        <w:t xml:space="preserve"> they disperse</w:t>
      </w:r>
      <w:r>
        <w:t xml:space="preserve"> to </w:t>
      </w:r>
      <w:r w:rsidR="00B6128E">
        <w:t xml:space="preserve">non-government organisations </w:t>
      </w:r>
      <w:r>
        <w:t xml:space="preserve">and local contractors. This is </w:t>
      </w:r>
      <w:r w:rsidRPr="001159CC">
        <w:t>an increase from 36.7</w:t>
      </w:r>
      <w:r>
        <w:t xml:space="preserve"> per cent</w:t>
      </w:r>
      <w:r w:rsidRPr="001159CC">
        <w:t xml:space="preserve"> in 2011</w:t>
      </w:r>
      <w:r>
        <w:t xml:space="preserve">. </w:t>
      </w:r>
      <w:r w:rsidR="00B6128E">
        <w:t xml:space="preserve">A total of </w:t>
      </w:r>
      <w:r w:rsidR="00C675D8" w:rsidRPr="001159CC">
        <w:t>24.2</w:t>
      </w:r>
      <w:r w:rsidR="004E70DC">
        <w:t xml:space="preserve"> per cent</w:t>
      </w:r>
      <w:r w:rsidR="00C675D8" w:rsidRPr="001159CC">
        <w:t xml:space="preserve"> </w:t>
      </w:r>
      <w:r w:rsidR="00C675D8">
        <w:t xml:space="preserve">of the program is delivered </w:t>
      </w:r>
      <w:r w:rsidR="00C675D8" w:rsidRPr="001159CC">
        <w:t>through multilaterals (</w:t>
      </w:r>
      <w:r w:rsidR="007B49E4">
        <w:t xml:space="preserve">a </w:t>
      </w:r>
      <w:r w:rsidR="00C675D8" w:rsidRPr="001159CC">
        <w:t>decrease from 28.8</w:t>
      </w:r>
      <w:r w:rsidR="004E70DC">
        <w:t xml:space="preserve"> per cent</w:t>
      </w:r>
      <w:r w:rsidR="00C675D8" w:rsidRPr="001159CC">
        <w:t>), 4.5</w:t>
      </w:r>
      <w:r w:rsidR="004E70DC">
        <w:t xml:space="preserve"> per cent</w:t>
      </w:r>
      <w:r w:rsidR="00C675D8" w:rsidRPr="001159CC">
        <w:t xml:space="preserve"> </w:t>
      </w:r>
      <w:r w:rsidR="00C675D8">
        <w:t xml:space="preserve">directly </w:t>
      </w:r>
      <w:r w:rsidR="00C675D8" w:rsidRPr="001159CC">
        <w:t xml:space="preserve">through Australian and </w:t>
      </w:r>
      <w:r w:rsidR="00B6128E">
        <w:t>i</w:t>
      </w:r>
      <w:r w:rsidR="00B6128E" w:rsidRPr="004C0F84">
        <w:t xml:space="preserve">nternational </w:t>
      </w:r>
      <w:r w:rsidR="00B6128E">
        <w:t>non-government organisations</w:t>
      </w:r>
      <w:r w:rsidR="00C675D8" w:rsidRPr="004C0F84">
        <w:t>, and 7.5</w:t>
      </w:r>
      <w:r w:rsidR="004E70DC" w:rsidRPr="004C0F84">
        <w:t xml:space="preserve"> per cent</w:t>
      </w:r>
      <w:r w:rsidR="00C675D8" w:rsidRPr="004C0F84">
        <w:t xml:space="preserve"> through Australian Government partners. </w:t>
      </w:r>
      <w:r w:rsidR="00A77FE9">
        <w:t>A</w:t>
      </w:r>
      <w:r w:rsidR="00A77FE9" w:rsidRPr="004C0F84">
        <w:t xml:space="preserve">cademic and research institutions </w:t>
      </w:r>
      <w:r w:rsidR="00A77FE9">
        <w:t xml:space="preserve">deliver </w:t>
      </w:r>
      <w:r w:rsidR="00C675D8" w:rsidRPr="004C0F84">
        <w:t>3.2</w:t>
      </w:r>
      <w:r w:rsidR="004E70DC" w:rsidRPr="004C0F84">
        <w:t xml:space="preserve"> per cent</w:t>
      </w:r>
      <w:r w:rsidR="00C675D8" w:rsidRPr="004C0F84">
        <w:t xml:space="preserve"> of the program</w:t>
      </w:r>
      <w:r w:rsidR="00A77FE9">
        <w:t>.</w:t>
      </w:r>
      <w:r w:rsidR="00D24EB5">
        <w:t xml:space="preserve"> Australian </w:t>
      </w:r>
      <w:r w:rsidR="00B6128E">
        <w:t xml:space="preserve">non-government organisations </w:t>
      </w:r>
      <w:r w:rsidR="00D24EB5">
        <w:t xml:space="preserve">and </w:t>
      </w:r>
      <w:r w:rsidR="00B6128E">
        <w:t xml:space="preserve">civil society organisations </w:t>
      </w:r>
      <w:r w:rsidR="00D24EB5">
        <w:t xml:space="preserve">receive further Australian funds through managing contractors, regional climate change funds and </w:t>
      </w:r>
      <w:r w:rsidR="00B6128E">
        <w:t xml:space="preserve">the </w:t>
      </w:r>
      <w:r w:rsidR="00712036">
        <w:t xml:space="preserve">Australia </w:t>
      </w:r>
      <w:r w:rsidR="00D24EB5">
        <w:t>NGO Cooperation Program.</w:t>
      </w:r>
      <w:r w:rsidR="00DC439A">
        <w:t xml:space="preserve"> In 2012</w:t>
      </w:r>
      <w:r w:rsidR="00D24EB5">
        <w:t>,</w:t>
      </w:r>
      <w:r w:rsidR="00DC439A">
        <w:t xml:space="preserve"> </w:t>
      </w:r>
      <w:r w:rsidR="00B6128E">
        <w:t xml:space="preserve">this </w:t>
      </w:r>
      <w:r w:rsidR="00DC439A">
        <w:t>provided $</w:t>
      </w:r>
      <w:r w:rsidR="00DC439A" w:rsidRPr="00686B5A">
        <w:t xml:space="preserve">8.9 million </w:t>
      </w:r>
      <w:r w:rsidR="00DC439A">
        <w:t xml:space="preserve">for projects in Timor-Leste, representing the largest country allocation for Australian </w:t>
      </w:r>
      <w:r w:rsidR="00B6128E">
        <w:t xml:space="preserve">non-government organisations </w:t>
      </w:r>
      <w:r w:rsidR="00DC439A">
        <w:t xml:space="preserve">that year. </w:t>
      </w:r>
      <w:r w:rsidR="00B6128E">
        <w:t>The funding</w:t>
      </w:r>
      <w:r w:rsidR="00B6128E" w:rsidRPr="00686B5A">
        <w:t xml:space="preserve"> </w:t>
      </w:r>
      <w:r w:rsidR="00DC439A" w:rsidRPr="00686B5A">
        <w:t xml:space="preserve">is supporting 16 </w:t>
      </w:r>
      <w:r w:rsidR="00B6128E">
        <w:t>organisations</w:t>
      </w:r>
      <w:r w:rsidR="00B6128E" w:rsidRPr="00686B5A">
        <w:t xml:space="preserve"> </w:t>
      </w:r>
      <w:r w:rsidR="00DC439A" w:rsidRPr="00686B5A">
        <w:t xml:space="preserve">to carry out 40 programs in education, </w:t>
      </w:r>
      <w:r w:rsidR="00DC439A">
        <w:t>economic</w:t>
      </w:r>
      <w:r w:rsidR="00DC439A" w:rsidRPr="00686B5A">
        <w:t xml:space="preserve"> development, conflict prevention, health, and water and sanitation</w:t>
      </w:r>
      <w:r w:rsidR="00DC439A">
        <w:t xml:space="preserve">. </w:t>
      </w:r>
    </w:p>
    <w:p w14:paraId="00ECDA0D" w14:textId="02F5F7A8" w:rsidR="00E85645" w:rsidRPr="004C0F84" w:rsidRDefault="00B6128E" w:rsidP="00ED0D08">
      <w:pPr>
        <w:pStyle w:val="BodyText"/>
      </w:pPr>
      <w:r>
        <w:t xml:space="preserve">The </w:t>
      </w:r>
      <w:r w:rsidR="00A75DAE" w:rsidRPr="004C0F84">
        <w:t xml:space="preserve">Australian Federal Police and </w:t>
      </w:r>
      <w:r>
        <w:t xml:space="preserve">the </w:t>
      </w:r>
      <w:r w:rsidR="00A75DAE" w:rsidRPr="004C0F84">
        <w:t>Australian Centre for Agriculture Development</w:t>
      </w:r>
      <w:r w:rsidR="00B43FEC">
        <w:t xml:space="preserve"> </w:t>
      </w:r>
      <w:r>
        <w:t xml:space="preserve">partner with </w:t>
      </w:r>
      <w:r w:rsidR="00712036">
        <w:t xml:space="preserve">the Department of Foreign Affairs and Trade (DFAT) </w:t>
      </w:r>
      <w:r>
        <w:t xml:space="preserve">and the </w:t>
      </w:r>
      <w:r w:rsidRPr="00B6128E">
        <w:t>Timor-Leste Government</w:t>
      </w:r>
      <w:r>
        <w:t xml:space="preserve"> to</w:t>
      </w:r>
      <w:r w:rsidDel="00B6128E">
        <w:t xml:space="preserve"> </w:t>
      </w:r>
      <w:r w:rsidR="00006E30">
        <w:t xml:space="preserve">implement </w:t>
      </w:r>
      <w:r w:rsidR="000B105D">
        <w:t xml:space="preserve">large </w:t>
      </w:r>
      <w:r w:rsidR="00A75DAE" w:rsidRPr="004C0F84">
        <w:t xml:space="preserve">programs. Other government departments, such as </w:t>
      </w:r>
      <w:r>
        <w:t xml:space="preserve">the </w:t>
      </w:r>
      <w:r w:rsidR="00A75DAE" w:rsidRPr="004C0F84">
        <w:t>Australian Bureau of Statistics</w:t>
      </w:r>
      <w:r w:rsidR="00DC439A">
        <w:t xml:space="preserve"> and Australian Electoral Commission</w:t>
      </w:r>
      <w:r w:rsidR="00A75DAE" w:rsidRPr="004C0F84">
        <w:t>, implement smaller activities</w:t>
      </w:r>
      <w:r w:rsidR="000A0224" w:rsidRPr="004C0F84">
        <w:t xml:space="preserve"> administered by </w:t>
      </w:r>
      <w:r w:rsidR="00712036">
        <w:t xml:space="preserve">the </w:t>
      </w:r>
      <w:r w:rsidR="0090706E">
        <w:t>department</w:t>
      </w:r>
      <w:r w:rsidR="00712036" w:rsidRPr="004C0F84">
        <w:t xml:space="preserve"> </w:t>
      </w:r>
      <w:r w:rsidR="00542ECC" w:rsidRPr="004C0F84">
        <w:t>because</w:t>
      </w:r>
      <w:r w:rsidR="00A75DAE" w:rsidRPr="004C0F84">
        <w:t xml:space="preserve"> their specialist expertise and </w:t>
      </w:r>
      <w:r w:rsidR="00542ECC" w:rsidRPr="004C0F84">
        <w:t xml:space="preserve">relationship is valued by Timorese </w:t>
      </w:r>
      <w:r w:rsidR="00A75DAE" w:rsidRPr="004C0F84">
        <w:t>count</w:t>
      </w:r>
      <w:r w:rsidR="00542ECC" w:rsidRPr="004C0F84">
        <w:t>erparts</w:t>
      </w:r>
      <w:r w:rsidR="00A75DAE" w:rsidRPr="004C0F84">
        <w:t>.</w:t>
      </w:r>
      <w:r w:rsidR="00DA1481">
        <w:t xml:space="preserve"> </w:t>
      </w:r>
      <w:r>
        <w:t xml:space="preserve">The departments of </w:t>
      </w:r>
      <w:r w:rsidR="00DA1481">
        <w:t>Agriculture</w:t>
      </w:r>
      <w:r>
        <w:t>,</w:t>
      </w:r>
      <w:r w:rsidR="00DA1481">
        <w:t xml:space="preserve"> Fisheries and Forestry</w:t>
      </w:r>
      <w:r>
        <w:t xml:space="preserve">; </w:t>
      </w:r>
      <w:r w:rsidR="00DA1481">
        <w:t>Immigration and Citizenship</w:t>
      </w:r>
      <w:r>
        <w:t xml:space="preserve">; </w:t>
      </w:r>
      <w:r w:rsidR="00DA1481">
        <w:t xml:space="preserve">Industry, Innovation, Science, Resources </w:t>
      </w:r>
      <w:r>
        <w:t xml:space="preserve">and </w:t>
      </w:r>
      <w:r w:rsidR="00DA1481">
        <w:t>Tertiary Education</w:t>
      </w:r>
      <w:r>
        <w:t xml:space="preserve">; and </w:t>
      </w:r>
      <w:r w:rsidR="00DA1481">
        <w:t>Infrastructure and Transport also delivered Timor-Leste programs in 2012</w:t>
      </w:r>
      <w:r w:rsidR="00110E8E">
        <w:t>–</w:t>
      </w:r>
      <w:r w:rsidR="00DA1481">
        <w:t xml:space="preserve">13. </w:t>
      </w:r>
    </w:p>
    <w:p w14:paraId="1975E1A4" w14:textId="00A40E38" w:rsidR="00976907" w:rsidRDefault="00976907" w:rsidP="00ED0D08">
      <w:pPr>
        <w:pStyle w:val="BodyText"/>
      </w:pPr>
      <w:r w:rsidRPr="004C0F84">
        <w:t>In 2012</w:t>
      </w:r>
      <w:r w:rsidR="00725D04">
        <w:t>–</w:t>
      </w:r>
      <w:r w:rsidRPr="004C0F84">
        <w:t xml:space="preserve">13 Australia </w:t>
      </w:r>
      <w:r w:rsidR="00725D04">
        <w:t xml:space="preserve">helped </w:t>
      </w:r>
      <w:r w:rsidRPr="004C0F84">
        <w:t xml:space="preserve">Timor-Leste central agencies to </w:t>
      </w:r>
      <w:r>
        <w:t xml:space="preserve">better </w:t>
      </w:r>
      <w:r w:rsidRPr="004C0F84">
        <w:t>deliver</w:t>
      </w:r>
      <w:r w:rsidR="00725D04">
        <w:t xml:space="preserve"> their </w:t>
      </w:r>
      <w:r w:rsidRPr="004C0F84">
        <w:t>services</w:t>
      </w:r>
      <w:r>
        <w:t xml:space="preserve">, </w:t>
      </w:r>
      <w:r w:rsidR="00725D04">
        <w:t xml:space="preserve">to </w:t>
      </w:r>
      <w:r>
        <w:t>strengthen</w:t>
      </w:r>
      <w:r w:rsidRPr="004C0F84">
        <w:t xml:space="preserve"> the state-society compact so all Timorese benefit from prosperity.</w:t>
      </w:r>
    </w:p>
    <w:p w14:paraId="5A5E1DE7" w14:textId="312AA2DA" w:rsidR="00E970F7" w:rsidRPr="009B7608" w:rsidRDefault="004F2F42" w:rsidP="00ED0D08">
      <w:pPr>
        <w:pStyle w:val="BodyText"/>
      </w:pPr>
      <w:r>
        <w:t xml:space="preserve">Australia </w:t>
      </w:r>
      <w:r w:rsidR="00E970F7" w:rsidRPr="009B7608">
        <w:t xml:space="preserve">funds volunteers in roles </w:t>
      </w:r>
      <w:r w:rsidR="00D24EB5">
        <w:t>that support priorities</w:t>
      </w:r>
      <w:r w:rsidR="00DD5BD9" w:rsidRPr="009B7608">
        <w:t xml:space="preserve"> in the Timor-Leste Strategic Development Plan</w:t>
      </w:r>
      <w:r w:rsidR="00725D04">
        <w:t xml:space="preserve"> </w:t>
      </w:r>
      <w:r w:rsidR="00725D04" w:rsidRPr="00725D04">
        <w:t>2011–2030</w:t>
      </w:r>
      <w:r w:rsidR="00D925A1" w:rsidRPr="009B7608">
        <w:t>.</w:t>
      </w:r>
      <w:r w:rsidR="00E970F7" w:rsidRPr="009B7608">
        <w:t xml:space="preserve"> While 2012</w:t>
      </w:r>
      <w:r w:rsidR="00725D04">
        <w:t>–</w:t>
      </w:r>
      <w:r w:rsidR="00E970F7" w:rsidRPr="009B7608">
        <w:t>13 data is incomplete until end of year reporting</w:t>
      </w:r>
      <w:r w:rsidR="00725D04">
        <w:t xml:space="preserve"> is available</w:t>
      </w:r>
      <w:r w:rsidR="00E970F7" w:rsidRPr="009B7608">
        <w:t xml:space="preserve">, 66 new volunteers </w:t>
      </w:r>
      <w:r w:rsidR="00725D04" w:rsidRPr="009B7608">
        <w:t xml:space="preserve">were planned </w:t>
      </w:r>
      <w:r w:rsidR="00725D04">
        <w:t xml:space="preserve">to be </w:t>
      </w:r>
      <w:r w:rsidR="00BE4DD4">
        <w:t>mobilised to Timor-</w:t>
      </w:r>
      <w:r w:rsidR="00E970F7" w:rsidRPr="009B7608">
        <w:t>Leste for 2012</w:t>
      </w:r>
      <w:r w:rsidR="00725D04">
        <w:t>–</w:t>
      </w:r>
      <w:r w:rsidR="00E970F7" w:rsidRPr="009B7608">
        <w:t>13.</w:t>
      </w:r>
      <w:r w:rsidR="00F974A3" w:rsidRPr="009B7608">
        <w:t xml:space="preserve"> </w:t>
      </w:r>
      <w:r w:rsidR="00C20103">
        <w:t>The</w:t>
      </w:r>
      <w:r w:rsidR="00725D04">
        <w:t>ir</w:t>
      </w:r>
      <w:r w:rsidR="00C20103">
        <w:t xml:space="preserve"> role </w:t>
      </w:r>
      <w:r w:rsidR="00F974A3" w:rsidRPr="009B7608">
        <w:t xml:space="preserve">is to improve staff skills, </w:t>
      </w:r>
      <w:r w:rsidR="00094C42">
        <w:t xml:space="preserve">and help implement </w:t>
      </w:r>
      <w:r w:rsidR="00F974A3" w:rsidRPr="009B7608">
        <w:t>better organisational processes and systems.</w:t>
      </w:r>
    </w:p>
    <w:p w14:paraId="67AE1DA4" w14:textId="55E8F98B" w:rsidR="00985161" w:rsidRPr="0005017A" w:rsidRDefault="004C0F84" w:rsidP="0005017A">
      <w:pPr>
        <w:pStyle w:val="Heading1"/>
      </w:pPr>
      <w:r w:rsidRPr="0005017A">
        <w:t xml:space="preserve">New </w:t>
      </w:r>
      <w:r w:rsidR="007A71C5" w:rsidRPr="0005017A">
        <w:t>programs</w:t>
      </w:r>
    </w:p>
    <w:p w14:paraId="1DB40255" w14:textId="22273C94" w:rsidR="007E5CC7" w:rsidRPr="0005017A" w:rsidRDefault="00985161" w:rsidP="0005017A">
      <w:pPr>
        <w:pStyle w:val="BodyText"/>
      </w:pPr>
      <w:r w:rsidRPr="0005017A">
        <w:t>In 2012</w:t>
      </w:r>
      <w:r w:rsidR="00D10218" w:rsidRPr="0005017A">
        <w:t>–</w:t>
      </w:r>
      <w:r w:rsidRPr="0005017A">
        <w:t xml:space="preserve">13, Australia’s new programs increased relevance to Timor-Leste </w:t>
      </w:r>
      <w:r w:rsidR="00D10218" w:rsidRPr="0005017A">
        <w:t xml:space="preserve">by </w:t>
      </w:r>
      <w:r w:rsidR="004C0F84" w:rsidRPr="0005017A">
        <w:t>align</w:t>
      </w:r>
      <w:r w:rsidR="00D10218" w:rsidRPr="0005017A">
        <w:t>ing to its strategic develop</w:t>
      </w:r>
      <w:r w:rsidR="00BE4DD4">
        <w:t>ment</w:t>
      </w:r>
      <w:r w:rsidR="00D10218" w:rsidRPr="0005017A">
        <w:t xml:space="preserve"> plan </w:t>
      </w:r>
      <w:r w:rsidR="004C0F84" w:rsidRPr="0005017A">
        <w:t xml:space="preserve">priorities and </w:t>
      </w:r>
      <w:r w:rsidRPr="0005017A">
        <w:t>support</w:t>
      </w:r>
      <w:r w:rsidR="00D10218" w:rsidRPr="0005017A">
        <w:t>ing</w:t>
      </w:r>
      <w:r w:rsidRPr="0005017A">
        <w:t xml:space="preserve"> inclusive, nationally-driven and country-</w:t>
      </w:r>
      <w:r w:rsidRPr="0005017A">
        <w:lastRenderedPageBreak/>
        <w:t xml:space="preserve">owned programs. </w:t>
      </w:r>
      <w:r w:rsidR="007E5CC7" w:rsidRPr="0005017A">
        <w:t xml:space="preserve">Our stronger sectoral, gender and disability analysis have </w:t>
      </w:r>
      <w:r w:rsidR="00D10218" w:rsidRPr="0005017A">
        <w:t>helped</w:t>
      </w:r>
      <w:r w:rsidR="007E5CC7" w:rsidRPr="0005017A">
        <w:t xml:space="preserve"> increase program relevance. </w:t>
      </w:r>
      <w:r w:rsidR="00723659" w:rsidRPr="0005017A">
        <w:t>We commissioned</w:t>
      </w:r>
      <w:r w:rsidR="000148F4" w:rsidRPr="0005017A">
        <w:t xml:space="preserve"> a gender situation analysis </w:t>
      </w:r>
      <w:r w:rsidR="002D2C2F" w:rsidRPr="0005017A">
        <w:t>and analysis</w:t>
      </w:r>
      <w:r w:rsidR="000148F4" w:rsidRPr="0005017A">
        <w:t xml:space="preserve"> of</w:t>
      </w:r>
      <w:r w:rsidRPr="0005017A">
        <w:t xml:space="preserve"> barriers for people with disability in education and health, led by people with disability consulting </w:t>
      </w:r>
      <w:r w:rsidR="00CA2C99" w:rsidRPr="0005017A">
        <w:t xml:space="preserve">people with </w:t>
      </w:r>
      <w:r w:rsidRPr="0005017A">
        <w:t>disab</w:t>
      </w:r>
      <w:r w:rsidR="00CA2C99" w:rsidRPr="0005017A">
        <w:t>ility</w:t>
      </w:r>
      <w:r w:rsidRPr="0005017A">
        <w:t xml:space="preserve">. New designs have committed to </w:t>
      </w:r>
      <w:r w:rsidR="00CF0DE4" w:rsidRPr="0005017A">
        <w:t xml:space="preserve">more </w:t>
      </w:r>
      <w:r w:rsidRPr="0005017A">
        <w:t xml:space="preserve">predictable </w:t>
      </w:r>
      <w:r w:rsidR="007E5CC7" w:rsidRPr="0005017A">
        <w:t>funds</w:t>
      </w:r>
      <w:r w:rsidRPr="0005017A">
        <w:t xml:space="preserve"> with realistic timelines </w:t>
      </w:r>
      <w:r w:rsidR="00DC439A" w:rsidRPr="0005017A">
        <w:t>to improve</w:t>
      </w:r>
      <w:r w:rsidRPr="0005017A">
        <w:t xml:space="preserve"> effectiveness. </w:t>
      </w:r>
      <w:r w:rsidR="00A73CFE" w:rsidRPr="0005017A">
        <w:t xml:space="preserve">In recognition that community driven development can be an effective way to improve outcomes in rural areas, Australia is </w:t>
      </w:r>
      <w:r w:rsidR="00D10218" w:rsidRPr="0005017A">
        <w:t>helping</w:t>
      </w:r>
      <w:r w:rsidR="00A73CFE" w:rsidRPr="0005017A">
        <w:t xml:space="preserve"> design and prepar</w:t>
      </w:r>
      <w:r w:rsidR="00D10218" w:rsidRPr="0005017A">
        <w:t xml:space="preserve">e </w:t>
      </w:r>
      <w:r w:rsidR="00A73CFE" w:rsidRPr="0005017A">
        <w:t>the National Program for Village Development</w:t>
      </w:r>
      <w:r w:rsidR="00D10218" w:rsidRPr="0005017A">
        <w:t xml:space="preserve">––a Timor-Leste Government </w:t>
      </w:r>
      <w:r w:rsidR="007E5CC7" w:rsidRPr="0005017A">
        <w:t xml:space="preserve">program </w:t>
      </w:r>
      <w:r w:rsidR="00744DD2" w:rsidRPr="0005017A">
        <w:t xml:space="preserve">that </w:t>
      </w:r>
      <w:r w:rsidR="00AD17DB" w:rsidRPr="0005017A">
        <w:t>provide</w:t>
      </w:r>
      <w:r w:rsidR="00D10218" w:rsidRPr="0005017A">
        <w:t>s</w:t>
      </w:r>
      <w:r w:rsidR="00A73CFE" w:rsidRPr="0005017A">
        <w:t xml:space="preserve"> grants for infrastructure to every village.</w:t>
      </w:r>
    </w:p>
    <w:p w14:paraId="1DCA43FC" w14:textId="204F014F" w:rsidR="00E76727" w:rsidRPr="0005017A" w:rsidRDefault="00985161" w:rsidP="0005017A">
      <w:pPr>
        <w:pStyle w:val="BodyText"/>
      </w:pPr>
      <w:r w:rsidRPr="0005017A">
        <w:t>In 2013</w:t>
      </w:r>
      <w:r w:rsidR="00D10218" w:rsidRPr="0005017A">
        <w:t>–</w:t>
      </w:r>
      <w:r w:rsidRPr="0005017A">
        <w:t>14, the aid program in Timor-Leste will implement major new designs in education, health, governance and ending violence against women.</w:t>
      </w:r>
      <w:r w:rsidR="00AD17DB" w:rsidRPr="0005017A">
        <w:t xml:space="preserve"> </w:t>
      </w:r>
      <w:r w:rsidR="007E5CC7" w:rsidRPr="0005017A">
        <w:t xml:space="preserve">The </w:t>
      </w:r>
      <w:r w:rsidR="00AE0E7C">
        <w:rPr>
          <w:rFonts w:eastAsia="SimSun"/>
        </w:rPr>
        <w:t>department’s</w:t>
      </w:r>
      <w:r w:rsidR="00AE0E7C" w:rsidRPr="0005017A">
        <w:rPr>
          <w:rFonts w:eastAsia="SimSun"/>
        </w:rPr>
        <w:t xml:space="preserve"> </w:t>
      </w:r>
      <w:proofErr w:type="gramStart"/>
      <w:r w:rsidR="007E5CC7" w:rsidRPr="0005017A">
        <w:rPr>
          <w:rFonts w:eastAsia="SimSun"/>
        </w:rPr>
        <w:t>h</w:t>
      </w:r>
      <w:r w:rsidR="00C20103" w:rsidRPr="0005017A">
        <w:rPr>
          <w:rFonts w:eastAsia="SimSun"/>
        </w:rPr>
        <w:t xml:space="preserve">ealth </w:t>
      </w:r>
      <w:r w:rsidR="00B70075">
        <w:rPr>
          <w:rFonts w:eastAsia="SimSun"/>
        </w:rPr>
        <w:t xml:space="preserve"> </w:t>
      </w:r>
      <w:r w:rsidR="00C20103" w:rsidRPr="0005017A">
        <w:rPr>
          <w:rFonts w:eastAsia="SimSun"/>
        </w:rPr>
        <w:t>team</w:t>
      </w:r>
      <w:proofErr w:type="gramEnd"/>
      <w:r w:rsidR="00C20103" w:rsidRPr="0005017A">
        <w:rPr>
          <w:rFonts w:eastAsia="SimSun"/>
        </w:rPr>
        <w:t xml:space="preserve">, with </w:t>
      </w:r>
      <w:r w:rsidR="00D10218" w:rsidRPr="0005017A">
        <w:rPr>
          <w:rFonts w:eastAsia="SimSun"/>
        </w:rPr>
        <w:t xml:space="preserve">support in the </w:t>
      </w:r>
      <w:r w:rsidR="00C20103" w:rsidRPr="0005017A">
        <w:rPr>
          <w:rFonts w:eastAsia="SimSun"/>
        </w:rPr>
        <w:t xml:space="preserve">nutrition, disability and gender </w:t>
      </w:r>
      <w:r w:rsidR="00D10218" w:rsidRPr="0005017A">
        <w:rPr>
          <w:rFonts w:eastAsia="SimSun"/>
        </w:rPr>
        <w:t>areas</w:t>
      </w:r>
      <w:r w:rsidR="00C20103" w:rsidRPr="0005017A">
        <w:rPr>
          <w:rFonts w:eastAsia="SimSun"/>
        </w:rPr>
        <w:t xml:space="preserve">, will work with </w:t>
      </w:r>
      <w:r w:rsidR="00D10218" w:rsidRPr="0005017A">
        <w:rPr>
          <w:rFonts w:eastAsia="SimSun"/>
        </w:rPr>
        <w:t xml:space="preserve">the government </w:t>
      </w:r>
      <w:r w:rsidR="00C20103" w:rsidRPr="0005017A">
        <w:rPr>
          <w:rFonts w:eastAsia="SimSun"/>
        </w:rPr>
        <w:t>and development partners to raise the profile of these cross-cutting issues and advocate for evidence-based interventions.</w:t>
      </w:r>
    </w:p>
    <w:p w14:paraId="739ECA80" w14:textId="77777777" w:rsidR="00180B19" w:rsidRPr="0005017A" w:rsidRDefault="000F15A6" w:rsidP="0005017A">
      <w:pPr>
        <w:pStyle w:val="Heading1"/>
      </w:pPr>
      <w:r w:rsidRPr="0005017A">
        <w:t>E</w:t>
      </w:r>
      <w:r w:rsidR="00180B19" w:rsidRPr="0005017A">
        <w:t>xpenditure</w:t>
      </w:r>
    </w:p>
    <w:p w14:paraId="2DCB73EE" w14:textId="1EAEC27E" w:rsidR="00BE65E4" w:rsidRPr="0005017A" w:rsidRDefault="00BE65E4" w:rsidP="0005017A">
      <w:pPr>
        <w:pStyle w:val="Caption"/>
      </w:pPr>
      <w:r w:rsidRPr="0005017A">
        <w:t xml:space="preserve">Table </w:t>
      </w:r>
      <w:r w:rsidR="00EC1D18" w:rsidRPr="0005017A">
        <w:t>3A</w:t>
      </w:r>
      <w:r w:rsidR="00EE633F" w:rsidRPr="0005017A">
        <w:t>:</w:t>
      </w:r>
      <w:r w:rsidR="00EC1D18" w:rsidRPr="0005017A">
        <w:t xml:space="preserve"> </w:t>
      </w:r>
      <w:r w:rsidR="004645BF" w:rsidRPr="0005017A">
        <w:t>E</w:t>
      </w:r>
      <w:r w:rsidR="009D4671">
        <w:t>stimated e</w:t>
      </w:r>
      <w:r w:rsidR="004645BF" w:rsidRPr="0005017A">
        <w:t>xpenditure</w:t>
      </w:r>
      <w:r w:rsidRPr="0005017A">
        <w:t xml:space="preserve"> </w:t>
      </w:r>
      <w:r w:rsidR="00EE633F" w:rsidRPr="0005017A">
        <w:t xml:space="preserve">from </w:t>
      </w:r>
      <w:r w:rsidRPr="0005017A">
        <w:t>1 Jan</w:t>
      </w:r>
      <w:r w:rsidR="00EE633F" w:rsidRPr="0005017A">
        <w:t>uary to</w:t>
      </w:r>
      <w:r w:rsidRPr="0005017A">
        <w:t xml:space="preserve"> 30 Jun</w:t>
      </w:r>
      <w:r w:rsidR="00EE633F" w:rsidRPr="0005017A">
        <w:t>e</w:t>
      </w:r>
      <w:r w:rsidRPr="0005017A">
        <w:t xml:space="preserve"> </w:t>
      </w:r>
      <w:r w:rsidR="009A28D2" w:rsidRPr="0005017A">
        <w:t>2012</w:t>
      </w:r>
      <w:r w:rsidR="007E0948" w:rsidRPr="0005017A">
        <w:t xml:space="preserve"> </w:t>
      </w:r>
    </w:p>
    <w:tbl>
      <w:tblPr>
        <w:tblStyle w:val="APPR"/>
        <w:tblW w:w="5000" w:type="pct"/>
        <w:tblLayout w:type="fixed"/>
        <w:tblLook w:val="0000" w:firstRow="0" w:lastRow="0" w:firstColumn="0" w:lastColumn="0" w:noHBand="0" w:noVBand="0"/>
      </w:tblPr>
      <w:tblGrid>
        <w:gridCol w:w="6131"/>
        <w:gridCol w:w="1141"/>
        <w:gridCol w:w="1335"/>
      </w:tblGrid>
      <w:tr w:rsidR="00180B19" w:rsidRPr="001159CC" w14:paraId="4D4CDFE6"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712B4CCC" w14:textId="77777777" w:rsidR="00180B19" w:rsidRPr="00991FE6" w:rsidRDefault="00180B19" w:rsidP="00022320">
            <w:pPr>
              <w:pStyle w:val="TableHeading1"/>
              <w:rPr>
                <w:b w:val="0"/>
              </w:rPr>
            </w:pPr>
            <w:r w:rsidRPr="00991FE6">
              <w:t>Objective</w:t>
            </w:r>
          </w:p>
        </w:tc>
        <w:tc>
          <w:tcPr>
            <w:tcW w:w="1106" w:type="dxa"/>
          </w:tcPr>
          <w:p w14:paraId="252E180F" w14:textId="18B45EBE" w:rsidR="00180B19" w:rsidRPr="00991FE6" w:rsidRDefault="00180B19" w:rsidP="00022320">
            <w:pPr>
              <w:pStyle w:val="TableHeading1"/>
              <w:rPr>
                <w:b w:val="0"/>
              </w:rPr>
            </w:pPr>
            <w:r w:rsidRPr="00991FE6">
              <w:t>$ million</w:t>
            </w:r>
          </w:p>
        </w:tc>
        <w:tc>
          <w:tcPr>
            <w:tcW w:w="1284" w:type="dxa"/>
          </w:tcPr>
          <w:p w14:paraId="745DCB4B" w14:textId="77777777" w:rsidR="00180B19" w:rsidRPr="00991FE6" w:rsidRDefault="00917003" w:rsidP="00022320">
            <w:pPr>
              <w:pStyle w:val="TableHeading1"/>
              <w:rPr>
                <w:b w:val="0"/>
              </w:rPr>
            </w:pPr>
            <w:r w:rsidRPr="00991FE6">
              <w:t>% bilateral program</w:t>
            </w:r>
          </w:p>
        </w:tc>
      </w:tr>
      <w:tr w:rsidR="005F36AC" w:rsidRPr="001159CC" w14:paraId="6ED8C666"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19366AE0" w14:textId="4ACE1A10" w:rsidR="005F36AC" w:rsidRPr="005459DD" w:rsidRDefault="00EE633F" w:rsidP="00022320">
            <w:pPr>
              <w:pStyle w:val="TableTextEntries"/>
            </w:pPr>
            <w:r>
              <w:t>STRATEGIC DEVELOPMENT PLAN</w:t>
            </w:r>
            <w:r w:rsidRPr="005459DD">
              <w:t xml:space="preserve"> </w:t>
            </w:r>
            <w:r w:rsidR="005F36AC" w:rsidRPr="005459DD">
              <w:t>PILLAR: INFRASTRUCTURE DEVELOPMENT</w:t>
            </w:r>
          </w:p>
        </w:tc>
        <w:tc>
          <w:tcPr>
            <w:tcW w:w="1106" w:type="dxa"/>
          </w:tcPr>
          <w:p w14:paraId="57AED190" w14:textId="77777777" w:rsidR="005F36AC" w:rsidRPr="005459DD" w:rsidRDefault="005F36AC" w:rsidP="00022320">
            <w:pPr>
              <w:pStyle w:val="TableTextEntries"/>
            </w:pPr>
          </w:p>
        </w:tc>
        <w:tc>
          <w:tcPr>
            <w:tcW w:w="1284" w:type="dxa"/>
          </w:tcPr>
          <w:p w14:paraId="68AA785F" w14:textId="77777777" w:rsidR="005F36AC" w:rsidRPr="005459DD" w:rsidRDefault="005F36AC" w:rsidP="00022320">
            <w:pPr>
              <w:pStyle w:val="TableTextEntries"/>
            </w:pPr>
          </w:p>
        </w:tc>
      </w:tr>
      <w:tr w:rsidR="00C97343" w:rsidRPr="001159CC" w14:paraId="739553A9"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0D403ADB" w14:textId="7E366387" w:rsidR="00C97343" w:rsidRPr="005459DD" w:rsidRDefault="00BA5962" w:rsidP="00022320">
            <w:pPr>
              <w:pStyle w:val="TableListBullet"/>
            </w:pPr>
            <w:r w:rsidRPr="005459DD">
              <w:t xml:space="preserve">Objective 1: </w:t>
            </w:r>
            <w:r w:rsidR="00C97343" w:rsidRPr="005459DD">
              <w:t xml:space="preserve">Water, </w:t>
            </w:r>
            <w:r w:rsidR="00EE633F">
              <w:t>s</w:t>
            </w:r>
            <w:r w:rsidR="00C97343" w:rsidRPr="005459DD">
              <w:t xml:space="preserve">anitation and </w:t>
            </w:r>
            <w:r w:rsidR="00EE633F">
              <w:t>h</w:t>
            </w:r>
            <w:r w:rsidR="00EE633F" w:rsidRPr="005459DD">
              <w:t>ygiene</w:t>
            </w:r>
          </w:p>
        </w:tc>
        <w:tc>
          <w:tcPr>
            <w:tcW w:w="1106" w:type="dxa"/>
          </w:tcPr>
          <w:p w14:paraId="741EAA83" w14:textId="77777777" w:rsidR="00C97343" w:rsidRPr="0005017A" w:rsidRDefault="00C97343" w:rsidP="00022320">
            <w:pPr>
              <w:pStyle w:val="TableTextEntries"/>
            </w:pPr>
            <w:r w:rsidRPr="0005017A">
              <w:t>2.7</w:t>
            </w:r>
          </w:p>
        </w:tc>
        <w:tc>
          <w:tcPr>
            <w:tcW w:w="1284" w:type="dxa"/>
          </w:tcPr>
          <w:p w14:paraId="57806451" w14:textId="77777777" w:rsidR="00C97343" w:rsidRPr="0005017A" w:rsidRDefault="00C97343" w:rsidP="00022320">
            <w:pPr>
              <w:pStyle w:val="TableTextEntries"/>
            </w:pPr>
            <w:r w:rsidRPr="0005017A">
              <w:t>5</w:t>
            </w:r>
          </w:p>
        </w:tc>
      </w:tr>
      <w:tr w:rsidR="00C97343" w:rsidRPr="001159CC" w14:paraId="6C15C2CD"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42B76B3D" w14:textId="07951E78" w:rsidR="00C97343" w:rsidRPr="005459DD" w:rsidRDefault="00BA5962" w:rsidP="00022320">
            <w:pPr>
              <w:pStyle w:val="TableListBullet"/>
            </w:pPr>
            <w:r w:rsidRPr="005459DD">
              <w:t>Objective 2</w:t>
            </w:r>
            <w:r w:rsidR="00C97343" w:rsidRPr="005459DD">
              <w:t xml:space="preserve">: Rural </w:t>
            </w:r>
            <w:r w:rsidR="00EE633F">
              <w:t>r</w:t>
            </w:r>
            <w:r w:rsidR="00EE633F" w:rsidRPr="005459DD">
              <w:t>oads</w:t>
            </w:r>
          </w:p>
        </w:tc>
        <w:tc>
          <w:tcPr>
            <w:tcW w:w="1106" w:type="dxa"/>
          </w:tcPr>
          <w:p w14:paraId="1199CBEB" w14:textId="77777777" w:rsidR="00C97343" w:rsidRPr="0005017A" w:rsidRDefault="00C97343" w:rsidP="00022320">
            <w:pPr>
              <w:pStyle w:val="TableTextEntries"/>
            </w:pPr>
            <w:r w:rsidRPr="0005017A">
              <w:t>7.5</w:t>
            </w:r>
          </w:p>
        </w:tc>
        <w:tc>
          <w:tcPr>
            <w:tcW w:w="1284" w:type="dxa"/>
          </w:tcPr>
          <w:p w14:paraId="5430B828" w14:textId="77777777" w:rsidR="00C97343" w:rsidRPr="0005017A" w:rsidRDefault="00CA33C0" w:rsidP="00022320">
            <w:pPr>
              <w:pStyle w:val="TableTextEntries"/>
            </w:pPr>
            <w:r w:rsidRPr="0005017A">
              <w:t>14</w:t>
            </w:r>
          </w:p>
        </w:tc>
      </w:tr>
      <w:tr w:rsidR="005F36AC" w:rsidRPr="001159CC" w14:paraId="19EE7A08"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19DF1E5F" w14:textId="7EBE8EC6" w:rsidR="005F36AC" w:rsidRPr="005459DD" w:rsidRDefault="00EE633F" w:rsidP="00022320">
            <w:pPr>
              <w:pStyle w:val="TableTextEntries"/>
            </w:pPr>
            <w:r>
              <w:t>STRATEGIC DEVELOPMENT PLAN</w:t>
            </w:r>
            <w:r w:rsidRPr="005459DD">
              <w:t xml:space="preserve"> PILLAR</w:t>
            </w:r>
            <w:r w:rsidR="005F36AC" w:rsidRPr="005459DD">
              <w:t>: ECONOMIC DEVELOPMENT</w:t>
            </w:r>
          </w:p>
        </w:tc>
        <w:tc>
          <w:tcPr>
            <w:tcW w:w="1106" w:type="dxa"/>
          </w:tcPr>
          <w:p w14:paraId="1F9CEB92" w14:textId="77777777" w:rsidR="005F36AC" w:rsidRPr="005459DD" w:rsidRDefault="005F36AC" w:rsidP="00022320">
            <w:pPr>
              <w:pStyle w:val="TableListBullet"/>
              <w:numPr>
                <w:ilvl w:val="0"/>
                <w:numId w:val="0"/>
              </w:numPr>
              <w:ind w:left="227"/>
            </w:pPr>
          </w:p>
        </w:tc>
        <w:tc>
          <w:tcPr>
            <w:tcW w:w="1284" w:type="dxa"/>
          </w:tcPr>
          <w:p w14:paraId="6205F756" w14:textId="77777777" w:rsidR="005F36AC" w:rsidRPr="005459DD" w:rsidRDefault="005F36AC" w:rsidP="00022320">
            <w:pPr>
              <w:pStyle w:val="TableListBullet"/>
              <w:numPr>
                <w:ilvl w:val="0"/>
                <w:numId w:val="0"/>
              </w:numPr>
              <w:ind w:left="227"/>
            </w:pPr>
          </w:p>
        </w:tc>
      </w:tr>
      <w:tr w:rsidR="00C97343" w:rsidRPr="001159CC" w14:paraId="6FCD8A61"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6CCC4BF0" w14:textId="77777777" w:rsidR="00C97343" w:rsidRPr="005459DD" w:rsidRDefault="00BA5962" w:rsidP="00022320">
            <w:pPr>
              <w:pStyle w:val="TableListBullet"/>
            </w:pPr>
            <w:r w:rsidRPr="005459DD">
              <w:t>Objective 3</w:t>
            </w:r>
            <w:r w:rsidR="00C97343" w:rsidRPr="005459DD">
              <w:t>: Agriculture</w:t>
            </w:r>
          </w:p>
        </w:tc>
        <w:tc>
          <w:tcPr>
            <w:tcW w:w="1106" w:type="dxa"/>
          </w:tcPr>
          <w:p w14:paraId="748A1784" w14:textId="77777777" w:rsidR="00C97343" w:rsidRPr="005459DD" w:rsidRDefault="00C97343" w:rsidP="00022320">
            <w:pPr>
              <w:pStyle w:val="TableTextEntries"/>
            </w:pPr>
            <w:r w:rsidRPr="005459DD">
              <w:t>2.8</w:t>
            </w:r>
          </w:p>
        </w:tc>
        <w:tc>
          <w:tcPr>
            <w:tcW w:w="1284" w:type="dxa"/>
          </w:tcPr>
          <w:p w14:paraId="70B5215B" w14:textId="77777777" w:rsidR="00C97343" w:rsidRPr="005459DD" w:rsidRDefault="00CA33C0" w:rsidP="00022320">
            <w:pPr>
              <w:pStyle w:val="TableTextEntries"/>
            </w:pPr>
            <w:r>
              <w:t>5</w:t>
            </w:r>
          </w:p>
        </w:tc>
      </w:tr>
      <w:tr w:rsidR="005F36AC" w:rsidRPr="001159CC" w14:paraId="76AC2CBE"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3B42A1DA" w14:textId="6F783012" w:rsidR="005F36AC" w:rsidRPr="005459DD" w:rsidRDefault="00EE633F" w:rsidP="00022320">
            <w:pPr>
              <w:pStyle w:val="TableTextEntries"/>
            </w:pPr>
            <w:r>
              <w:t>STRATEGIC DEVELOPMENT PLAN</w:t>
            </w:r>
            <w:r w:rsidRPr="005459DD">
              <w:t xml:space="preserve"> PILLAR</w:t>
            </w:r>
            <w:r w:rsidR="005459DD" w:rsidRPr="005459DD">
              <w:t>: SOCIAL CAPITAL</w:t>
            </w:r>
          </w:p>
        </w:tc>
        <w:tc>
          <w:tcPr>
            <w:tcW w:w="1106" w:type="dxa"/>
          </w:tcPr>
          <w:p w14:paraId="0647F05B" w14:textId="77777777" w:rsidR="005F36AC" w:rsidRPr="00005BF9" w:rsidRDefault="005F36AC" w:rsidP="00022320">
            <w:pPr>
              <w:pStyle w:val="TableListBullet"/>
              <w:numPr>
                <w:ilvl w:val="0"/>
                <w:numId w:val="0"/>
              </w:numPr>
              <w:ind w:left="227"/>
            </w:pPr>
          </w:p>
        </w:tc>
        <w:tc>
          <w:tcPr>
            <w:tcW w:w="1284" w:type="dxa"/>
          </w:tcPr>
          <w:p w14:paraId="10DC8377" w14:textId="77777777" w:rsidR="005F36AC" w:rsidRPr="00005BF9" w:rsidRDefault="005F36AC" w:rsidP="00022320">
            <w:pPr>
              <w:pStyle w:val="TableListBullet"/>
              <w:numPr>
                <w:ilvl w:val="0"/>
                <w:numId w:val="0"/>
              </w:numPr>
              <w:ind w:left="227"/>
            </w:pPr>
          </w:p>
        </w:tc>
      </w:tr>
      <w:tr w:rsidR="00C97343" w:rsidRPr="001159CC" w14:paraId="0E0E66AD"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463D5DEC" w14:textId="77777777" w:rsidR="00C97343" w:rsidRPr="005459DD" w:rsidRDefault="00BA5962" w:rsidP="00022320">
            <w:pPr>
              <w:pStyle w:val="TableListBullet"/>
            </w:pPr>
            <w:r w:rsidRPr="005459DD">
              <w:t>Objective 4</w:t>
            </w:r>
            <w:r w:rsidR="00C97343" w:rsidRPr="005459DD">
              <w:t>: Education</w:t>
            </w:r>
          </w:p>
        </w:tc>
        <w:tc>
          <w:tcPr>
            <w:tcW w:w="1106" w:type="dxa"/>
          </w:tcPr>
          <w:p w14:paraId="3B490BF7" w14:textId="77777777" w:rsidR="00C97343" w:rsidRPr="00005BF9" w:rsidRDefault="00C97343" w:rsidP="00022320">
            <w:pPr>
              <w:pStyle w:val="TableTextEntries"/>
            </w:pPr>
            <w:r w:rsidRPr="00005BF9">
              <w:t>4.8</w:t>
            </w:r>
          </w:p>
        </w:tc>
        <w:tc>
          <w:tcPr>
            <w:tcW w:w="1284" w:type="dxa"/>
          </w:tcPr>
          <w:p w14:paraId="7C5CC56A" w14:textId="77777777" w:rsidR="00C97343" w:rsidRPr="00005BF9" w:rsidRDefault="00CA33C0" w:rsidP="00022320">
            <w:pPr>
              <w:pStyle w:val="TableTextEntries"/>
            </w:pPr>
            <w:r>
              <w:t>9</w:t>
            </w:r>
          </w:p>
        </w:tc>
      </w:tr>
      <w:tr w:rsidR="00C97343" w:rsidRPr="001159CC" w14:paraId="4E68EE5B"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5985B55E" w14:textId="77777777" w:rsidR="00C97343" w:rsidRPr="005459DD" w:rsidRDefault="00BA5962" w:rsidP="00022320">
            <w:pPr>
              <w:pStyle w:val="TableListBullet"/>
            </w:pPr>
            <w:r w:rsidRPr="005459DD">
              <w:t>Objective 5</w:t>
            </w:r>
            <w:r w:rsidR="00C97343" w:rsidRPr="005459DD">
              <w:t>: Health</w:t>
            </w:r>
          </w:p>
        </w:tc>
        <w:tc>
          <w:tcPr>
            <w:tcW w:w="1106" w:type="dxa"/>
          </w:tcPr>
          <w:p w14:paraId="798BABAA" w14:textId="77777777" w:rsidR="00C97343" w:rsidRPr="00005BF9" w:rsidRDefault="00C97343" w:rsidP="00022320">
            <w:pPr>
              <w:pStyle w:val="TableTextEntries"/>
            </w:pPr>
            <w:r w:rsidRPr="00005BF9">
              <w:t>2.6</w:t>
            </w:r>
          </w:p>
        </w:tc>
        <w:tc>
          <w:tcPr>
            <w:tcW w:w="1284" w:type="dxa"/>
          </w:tcPr>
          <w:p w14:paraId="7E4594C3" w14:textId="77777777" w:rsidR="00C97343" w:rsidRPr="00005BF9" w:rsidRDefault="00C97343" w:rsidP="00022320">
            <w:pPr>
              <w:pStyle w:val="TableTextEntries"/>
            </w:pPr>
            <w:r w:rsidRPr="00005BF9">
              <w:t>5</w:t>
            </w:r>
          </w:p>
        </w:tc>
      </w:tr>
      <w:tr w:rsidR="005459DD" w:rsidRPr="001159CC" w14:paraId="00E1BDA3"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2A8CFA18" w14:textId="70D92357" w:rsidR="005459DD" w:rsidRPr="005459DD" w:rsidRDefault="00EE633F" w:rsidP="00022320">
            <w:pPr>
              <w:pStyle w:val="TableTextEntries"/>
            </w:pPr>
            <w:r>
              <w:t>STRATEGIC DEVELOPMENT PLAN</w:t>
            </w:r>
            <w:r w:rsidRPr="005459DD">
              <w:t xml:space="preserve"> PILLAR</w:t>
            </w:r>
            <w:r w:rsidR="005459DD" w:rsidRPr="005459DD">
              <w:t>: INSTITUTIONAL FRAMEWORK</w:t>
            </w:r>
          </w:p>
        </w:tc>
        <w:tc>
          <w:tcPr>
            <w:tcW w:w="1106" w:type="dxa"/>
          </w:tcPr>
          <w:p w14:paraId="7D6326CF" w14:textId="77777777" w:rsidR="005459DD" w:rsidRPr="00005BF9" w:rsidRDefault="005459DD" w:rsidP="00022320">
            <w:pPr>
              <w:pStyle w:val="TableListBullet"/>
              <w:numPr>
                <w:ilvl w:val="0"/>
                <w:numId w:val="0"/>
              </w:numPr>
              <w:ind w:left="227"/>
            </w:pPr>
          </w:p>
        </w:tc>
        <w:tc>
          <w:tcPr>
            <w:tcW w:w="1284" w:type="dxa"/>
          </w:tcPr>
          <w:p w14:paraId="5FD4C6F6" w14:textId="77777777" w:rsidR="005459DD" w:rsidRPr="00005BF9" w:rsidRDefault="005459DD" w:rsidP="00022320">
            <w:pPr>
              <w:pStyle w:val="TableListBullet"/>
              <w:numPr>
                <w:ilvl w:val="0"/>
                <w:numId w:val="0"/>
              </w:numPr>
              <w:ind w:left="227"/>
            </w:pPr>
          </w:p>
        </w:tc>
      </w:tr>
      <w:tr w:rsidR="00C97343" w:rsidRPr="001159CC" w14:paraId="4DB45037"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6F34C9C3" w14:textId="40D524B2" w:rsidR="00C97343" w:rsidRPr="005459DD" w:rsidRDefault="00BA5962" w:rsidP="00022320">
            <w:pPr>
              <w:pStyle w:val="TableListBullet"/>
            </w:pPr>
            <w:r w:rsidRPr="005459DD">
              <w:t>Objective 6</w:t>
            </w:r>
            <w:r w:rsidR="00C97343" w:rsidRPr="005459DD">
              <w:t>: Security</w:t>
            </w:r>
            <w:r w:rsidR="000C2CE6">
              <w:t xml:space="preserve"> (incl</w:t>
            </w:r>
            <w:r w:rsidR="00EE633F">
              <w:t>uding</w:t>
            </w:r>
            <w:r w:rsidR="000C2CE6">
              <w:t xml:space="preserve"> $3</w:t>
            </w:r>
            <w:r w:rsidR="00EE633F">
              <w:t xml:space="preserve"> </w:t>
            </w:r>
            <w:r w:rsidR="000C2CE6">
              <w:t>million for</w:t>
            </w:r>
            <w:r w:rsidR="0055792B">
              <w:t xml:space="preserve"> </w:t>
            </w:r>
            <w:r w:rsidR="00EE633F">
              <w:t>justice</w:t>
            </w:r>
            <w:r w:rsidR="000C2CE6">
              <w:t>)</w:t>
            </w:r>
          </w:p>
        </w:tc>
        <w:tc>
          <w:tcPr>
            <w:tcW w:w="1106" w:type="dxa"/>
          </w:tcPr>
          <w:p w14:paraId="572D3CD8" w14:textId="77777777" w:rsidR="00C97343" w:rsidRPr="00005BF9" w:rsidRDefault="002411F1" w:rsidP="00022320">
            <w:pPr>
              <w:pStyle w:val="TableTextEntries"/>
            </w:pPr>
            <w:r>
              <w:t>14</w:t>
            </w:r>
            <w:r w:rsidR="00C97343" w:rsidRPr="00005BF9">
              <w:t>.7</w:t>
            </w:r>
          </w:p>
        </w:tc>
        <w:tc>
          <w:tcPr>
            <w:tcW w:w="1284" w:type="dxa"/>
          </w:tcPr>
          <w:p w14:paraId="7D840B59" w14:textId="77777777" w:rsidR="00C97343" w:rsidRPr="00005BF9" w:rsidRDefault="00C97343" w:rsidP="00022320">
            <w:pPr>
              <w:pStyle w:val="TableTextEntries"/>
            </w:pPr>
            <w:r w:rsidRPr="00005BF9">
              <w:t>27</w:t>
            </w:r>
          </w:p>
        </w:tc>
      </w:tr>
      <w:tr w:rsidR="00C97343" w:rsidRPr="001159CC" w14:paraId="15FC875A"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197623A0" w14:textId="06711384" w:rsidR="00C97343" w:rsidRPr="005459DD" w:rsidRDefault="00C97343" w:rsidP="00022320">
            <w:pPr>
              <w:pStyle w:val="TableListBullet"/>
            </w:pPr>
            <w:r w:rsidRPr="005459DD">
              <w:t>Objective 7: Pu</w:t>
            </w:r>
            <w:r w:rsidR="00FF66D1">
              <w:t xml:space="preserve">blic </w:t>
            </w:r>
            <w:r w:rsidR="00EE633F">
              <w:t xml:space="preserve">sector management </w:t>
            </w:r>
            <w:r w:rsidR="00FF66D1">
              <w:t xml:space="preserve">and </w:t>
            </w:r>
            <w:r w:rsidR="00EE633F">
              <w:t>good g</w:t>
            </w:r>
            <w:r w:rsidR="00EE633F" w:rsidRPr="005459DD">
              <w:t xml:space="preserve">overnance </w:t>
            </w:r>
          </w:p>
        </w:tc>
        <w:tc>
          <w:tcPr>
            <w:tcW w:w="1106" w:type="dxa"/>
          </w:tcPr>
          <w:p w14:paraId="64417C34" w14:textId="77777777" w:rsidR="00C97343" w:rsidRPr="005459DD" w:rsidRDefault="00C97343" w:rsidP="00022320">
            <w:pPr>
              <w:pStyle w:val="TableTextEntries"/>
            </w:pPr>
            <w:r w:rsidRPr="005459DD">
              <w:t>2.5</w:t>
            </w:r>
          </w:p>
        </w:tc>
        <w:tc>
          <w:tcPr>
            <w:tcW w:w="1284" w:type="dxa"/>
          </w:tcPr>
          <w:p w14:paraId="3F46B0E1" w14:textId="77777777" w:rsidR="00C97343" w:rsidRPr="005459DD" w:rsidRDefault="00C97343" w:rsidP="00022320">
            <w:pPr>
              <w:pStyle w:val="TableTextEntries"/>
            </w:pPr>
            <w:r w:rsidRPr="005459DD">
              <w:t>5</w:t>
            </w:r>
          </w:p>
        </w:tc>
      </w:tr>
      <w:tr w:rsidR="005F36AC" w:rsidRPr="001159CC" w14:paraId="067D6BF1"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13E1327B" w14:textId="77777777" w:rsidR="005F36AC" w:rsidRPr="005459DD" w:rsidRDefault="005459DD" w:rsidP="00022320">
            <w:pPr>
              <w:pStyle w:val="TableTextEntries"/>
            </w:pPr>
            <w:r w:rsidRPr="005459DD">
              <w:t>Other</w:t>
            </w:r>
          </w:p>
        </w:tc>
        <w:tc>
          <w:tcPr>
            <w:tcW w:w="1106" w:type="dxa"/>
          </w:tcPr>
          <w:p w14:paraId="415A67A9" w14:textId="77777777" w:rsidR="005F36AC" w:rsidRPr="005459DD" w:rsidRDefault="005F36AC" w:rsidP="00022320">
            <w:pPr>
              <w:pStyle w:val="TableListBullet"/>
              <w:numPr>
                <w:ilvl w:val="0"/>
                <w:numId w:val="0"/>
              </w:numPr>
              <w:ind w:left="227"/>
            </w:pPr>
          </w:p>
        </w:tc>
        <w:tc>
          <w:tcPr>
            <w:tcW w:w="1284" w:type="dxa"/>
          </w:tcPr>
          <w:p w14:paraId="4447831B" w14:textId="77777777" w:rsidR="005F36AC" w:rsidRPr="005459DD" w:rsidRDefault="005F36AC" w:rsidP="00022320">
            <w:pPr>
              <w:pStyle w:val="TableListBullet"/>
              <w:numPr>
                <w:ilvl w:val="0"/>
                <w:numId w:val="0"/>
              </w:numPr>
              <w:ind w:left="227"/>
            </w:pPr>
          </w:p>
        </w:tc>
      </w:tr>
      <w:tr w:rsidR="00EB0A7B" w:rsidRPr="001159CC" w14:paraId="1B9240F0"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14A2BAD2" w14:textId="6D942EAA" w:rsidR="00EB0A7B" w:rsidRPr="005459DD" w:rsidRDefault="005459DD" w:rsidP="00022320">
            <w:pPr>
              <w:pStyle w:val="TableListBullet"/>
            </w:pPr>
            <w:r w:rsidRPr="005459DD">
              <w:t xml:space="preserve">Multi-sector </w:t>
            </w:r>
            <w:r w:rsidR="00EE633F">
              <w:t>and</w:t>
            </w:r>
            <w:r w:rsidR="00EE633F" w:rsidRPr="005459DD">
              <w:t xml:space="preserve"> </w:t>
            </w:r>
            <w:r w:rsidRPr="005459DD">
              <w:t xml:space="preserve">regional/global (including contributions to the Global Fund </w:t>
            </w:r>
            <w:r w:rsidR="00EE633F">
              <w:t>to Fight</w:t>
            </w:r>
            <w:r w:rsidR="00EE633F" w:rsidRPr="005459DD">
              <w:t xml:space="preserve"> </w:t>
            </w:r>
            <w:r w:rsidRPr="005459DD">
              <w:t xml:space="preserve">Aids, Tuberculosis </w:t>
            </w:r>
            <w:r w:rsidR="00EE633F">
              <w:t>and</w:t>
            </w:r>
            <w:r w:rsidR="00EE633F" w:rsidRPr="005459DD">
              <w:t xml:space="preserve"> </w:t>
            </w:r>
            <w:r w:rsidR="003D2150" w:rsidRPr="005459DD">
              <w:t>Malaria</w:t>
            </w:r>
            <w:r w:rsidR="003D2150">
              <w:t xml:space="preserve">; </w:t>
            </w:r>
            <w:r w:rsidRPr="005459DD">
              <w:t>climate change mitigation</w:t>
            </w:r>
            <w:r w:rsidR="003D2150">
              <w:t xml:space="preserve">; </w:t>
            </w:r>
            <w:r w:rsidR="00EE633F">
              <w:t>and United Nations Police</w:t>
            </w:r>
            <w:r w:rsidRPr="005459DD">
              <w:t>)</w:t>
            </w:r>
          </w:p>
        </w:tc>
        <w:tc>
          <w:tcPr>
            <w:tcW w:w="1106" w:type="dxa"/>
          </w:tcPr>
          <w:p w14:paraId="41E5BB98" w14:textId="77777777" w:rsidR="00EB0A7B" w:rsidRPr="005459DD" w:rsidRDefault="002411F1" w:rsidP="00022320">
            <w:pPr>
              <w:pStyle w:val="TableTextEntries"/>
            </w:pPr>
            <w:r>
              <w:t>16</w:t>
            </w:r>
            <w:r w:rsidR="00FC6DB0" w:rsidRPr="005459DD">
              <w:t>.3</w:t>
            </w:r>
          </w:p>
        </w:tc>
        <w:tc>
          <w:tcPr>
            <w:tcW w:w="1284" w:type="dxa"/>
          </w:tcPr>
          <w:p w14:paraId="255A7DA1" w14:textId="77777777" w:rsidR="00EB0A7B" w:rsidRPr="005459DD" w:rsidRDefault="00CA33C0" w:rsidP="00022320">
            <w:pPr>
              <w:pStyle w:val="TableTextEntries"/>
            </w:pPr>
            <w:r>
              <w:t>30</w:t>
            </w:r>
          </w:p>
        </w:tc>
      </w:tr>
      <w:tr w:rsidR="004278B7" w:rsidRPr="001159CC" w14:paraId="1AEC0BE9" w14:textId="77777777" w:rsidTr="00022320">
        <w:trPr>
          <w:cnfStyle w:val="000000010000" w:firstRow="0" w:lastRow="0" w:firstColumn="0" w:lastColumn="0" w:oddVBand="0" w:evenVBand="0" w:oddHBand="0" w:evenHBand="1" w:firstRowFirstColumn="0" w:firstRowLastColumn="0" w:lastRowFirstColumn="0" w:lastRowLastColumn="0"/>
        </w:trPr>
        <w:tc>
          <w:tcPr>
            <w:tcW w:w="6048" w:type="dxa"/>
          </w:tcPr>
          <w:p w14:paraId="54D1FA8C" w14:textId="2BCE090B" w:rsidR="004278B7" w:rsidRPr="00EB0589" w:rsidRDefault="004278B7" w:rsidP="00022320">
            <w:pPr>
              <w:pStyle w:val="TableHeading2"/>
            </w:pPr>
            <w:r w:rsidRPr="00EB0589">
              <w:t xml:space="preserve">Estimated </w:t>
            </w:r>
            <w:r w:rsidR="00C34151" w:rsidRPr="00EB0589">
              <w:t>ODA 1</w:t>
            </w:r>
            <w:r w:rsidR="00EE633F">
              <w:t xml:space="preserve"> January to </w:t>
            </w:r>
            <w:r w:rsidR="00C34151" w:rsidRPr="00EB0589">
              <w:t>30</w:t>
            </w:r>
            <w:r w:rsidR="00EE633F">
              <w:t xml:space="preserve"> June 20</w:t>
            </w:r>
            <w:r w:rsidR="00C34151" w:rsidRPr="00EB0589">
              <w:t>12</w:t>
            </w:r>
          </w:p>
        </w:tc>
        <w:tc>
          <w:tcPr>
            <w:tcW w:w="1106" w:type="dxa"/>
          </w:tcPr>
          <w:p w14:paraId="1685B204" w14:textId="77777777" w:rsidR="004278B7" w:rsidRPr="00005BF9" w:rsidRDefault="004278B7" w:rsidP="00022320">
            <w:pPr>
              <w:pStyle w:val="TableHeading2"/>
            </w:pPr>
            <w:r w:rsidRPr="00005BF9">
              <w:t>53.9</w:t>
            </w:r>
          </w:p>
        </w:tc>
        <w:tc>
          <w:tcPr>
            <w:tcW w:w="1284" w:type="dxa"/>
          </w:tcPr>
          <w:p w14:paraId="220AFF2C" w14:textId="77777777" w:rsidR="004278B7" w:rsidRPr="00005BF9" w:rsidRDefault="004278B7" w:rsidP="00022320">
            <w:pPr>
              <w:pStyle w:val="TableHeading2"/>
            </w:pPr>
            <w:r w:rsidRPr="00005BF9">
              <w:t>100</w:t>
            </w:r>
          </w:p>
        </w:tc>
      </w:tr>
    </w:tbl>
    <w:p w14:paraId="6C91A3B6" w14:textId="77777777" w:rsidR="00721A06" w:rsidRDefault="00721A06">
      <w:pPr>
        <w:pStyle w:val="Note"/>
      </w:pPr>
    </w:p>
    <w:p w14:paraId="2A42748E" w14:textId="77777777" w:rsidR="00AC528A" w:rsidRPr="00AC528A" w:rsidRDefault="00AC528A" w:rsidP="00AC528A"/>
    <w:p w14:paraId="243575C0" w14:textId="77777777" w:rsidR="009B685C" w:rsidRDefault="009B685C">
      <w:pPr>
        <w:spacing w:after="200" w:line="276" w:lineRule="auto"/>
        <w:rPr>
          <w:rFonts w:ascii="Arial" w:eastAsia="Times New Roman" w:hAnsi="Arial" w:cs="Arial"/>
          <w:color w:val="7E6D5F"/>
          <w:szCs w:val="19"/>
        </w:rPr>
      </w:pPr>
      <w:r>
        <w:br w:type="page"/>
      </w:r>
    </w:p>
    <w:p w14:paraId="527E33BE" w14:textId="66F6C6CC" w:rsidR="00180B19" w:rsidRPr="0005017A" w:rsidRDefault="00EC1D18" w:rsidP="0005017A">
      <w:pPr>
        <w:pStyle w:val="Caption"/>
      </w:pPr>
      <w:r w:rsidRPr="0005017A">
        <w:lastRenderedPageBreak/>
        <w:t>Table 3</w:t>
      </w:r>
      <w:r w:rsidR="00180B19" w:rsidRPr="0005017A">
        <w:t>B</w:t>
      </w:r>
      <w:r w:rsidR="00EE633F" w:rsidRPr="0005017A">
        <w:t>:</w:t>
      </w:r>
      <w:r w:rsidR="00180B19" w:rsidRPr="0005017A">
        <w:t xml:space="preserve"> Estimated expenditure in 2012</w:t>
      </w:r>
      <w:r w:rsidR="00EE633F" w:rsidRPr="0005017A">
        <w:t>–</w:t>
      </w:r>
      <w:r w:rsidR="00180B19" w:rsidRPr="0005017A">
        <w:t>13</w:t>
      </w:r>
    </w:p>
    <w:tbl>
      <w:tblPr>
        <w:tblStyle w:val="APPR"/>
        <w:tblW w:w="5000" w:type="pct"/>
        <w:tblLook w:val="0000" w:firstRow="0" w:lastRow="0" w:firstColumn="0" w:lastColumn="0" w:noHBand="0" w:noVBand="0"/>
      </w:tblPr>
      <w:tblGrid>
        <w:gridCol w:w="6209"/>
        <w:gridCol w:w="1013"/>
        <w:gridCol w:w="1385"/>
      </w:tblGrid>
      <w:tr w:rsidR="00100AA2" w:rsidRPr="001159CC" w14:paraId="47334C9A"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4E93D6CA" w14:textId="77777777" w:rsidR="00100AA2" w:rsidRPr="00991FE6" w:rsidRDefault="00100AA2" w:rsidP="00022320">
            <w:pPr>
              <w:pStyle w:val="TableHeading1"/>
              <w:rPr>
                <w:b w:val="0"/>
              </w:rPr>
            </w:pPr>
            <w:r w:rsidRPr="00991FE6">
              <w:t>Objective</w:t>
            </w:r>
          </w:p>
        </w:tc>
        <w:tc>
          <w:tcPr>
            <w:tcW w:w="0" w:type="auto"/>
          </w:tcPr>
          <w:p w14:paraId="18A3EA43" w14:textId="2FE978A6" w:rsidR="00100AA2" w:rsidRPr="00991FE6" w:rsidRDefault="00100AA2" w:rsidP="00022320">
            <w:pPr>
              <w:pStyle w:val="TableHeading1"/>
              <w:rPr>
                <w:b w:val="0"/>
              </w:rPr>
            </w:pPr>
            <w:r w:rsidRPr="00991FE6">
              <w:t>$ million</w:t>
            </w:r>
          </w:p>
        </w:tc>
        <w:tc>
          <w:tcPr>
            <w:tcW w:w="0" w:type="auto"/>
          </w:tcPr>
          <w:p w14:paraId="635ECEE0" w14:textId="77777777" w:rsidR="00100AA2" w:rsidRPr="00991FE6" w:rsidRDefault="004E70DC" w:rsidP="00022320">
            <w:pPr>
              <w:pStyle w:val="TableHeading1"/>
              <w:rPr>
                <w:b w:val="0"/>
              </w:rPr>
            </w:pPr>
            <w:r w:rsidRPr="00991FE6">
              <w:t xml:space="preserve"> </w:t>
            </w:r>
            <w:r w:rsidR="005459DD" w:rsidRPr="00991FE6">
              <w:t>%</w:t>
            </w:r>
            <w:r w:rsidR="00100AA2" w:rsidRPr="00991FE6">
              <w:t xml:space="preserve"> bilateral program</w:t>
            </w:r>
          </w:p>
        </w:tc>
      </w:tr>
      <w:tr w:rsidR="005459DD" w:rsidRPr="001159CC" w14:paraId="3A498DB0"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160E98FF" w14:textId="12A6A582" w:rsidR="005459DD" w:rsidRPr="00EB0589" w:rsidRDefault="00754C06" w:rsidP="00022320">
            <w:pPr>
              <w:pStyle w:val="TableListBullet"/>
              <w:numPr>
                <w:ilvl w:val="0"/>
                <w:numId w:val="0"/>
              </w:numPr>
              <w:rPr>
                <w:color w:val="000000" w:themeColor="text1" w:themeShade="BF"/>
              </w:rPr>
            </w:pPr>
            <w:r>
              <w:t>STRATEGIC DEVELOPMENT PLAN</w:t>
            </w:r>
            <w:r w:rsidRPr="005459DD">
              <w:t xml:space="preserve"> </w:t>
            </w:r>
            <w:r w:rsidR="005459DD" w:rsidRPr="00EB0589">
              <w:t>PILLAR: INFRASTRUCTURE</w:t>
            </w:r>
            <w:r>
              <w:t xml:space="preserve"> </w:t>
            </w:r>
            <w:r w:rsidR="005459DD" w:rsidRPr="00EB0589">
              <w:t>DEVELOPMENT</w:t>
            </w:r>
          </w:p>
        </w:tc>
        <w:tc>
          <w:tcPr>
            <w:tcW w:w="0" w:type="auto"/>
          </w:tcPr>
          <w:p w14:paraId="49103B70" w14:textId="77777777" w:rsidR="005459DD" w:rsidRPr="00EB0589" w:rsidRDefault="005459DD" w:rsidP="00022320">
            <w:pPr>
              <w:pStyle w:val="TableListBullet"/>
              <w:numPr>
                <w:ilvl w:val="0"/>
                <w:numId w:val="0"/>
              </w:numPr>
              <w:ind w:left="227"/>
            </w:pPr>
          </w:p>
        </w:tc>
        <w:tc>
          <w:tcPr>
            <w:tcW w:w="0" w:type="auto"/>
          </w:tcPr>
          <w:p w14:paraId="0EC51880" w14:textId="77777777" w:rsidR="005459DD" w:rsidRPr="00EB0589" w:rsidRDefault="005459DD" w:rsidP="00022320">
            <w:pPr>
              <w:pStyle w:val="TableListBullet"/>
              <w:numPr>
                <w:ilvl w:val="0"/>
                <w:numId w:val="0"/>
              </w:numPr>
              <w:ind w:left="227"/>
            </w:pPr>
          </w:p>
        </w:tc>
      </w:tr>
      <w:tr w:rsidR="008636D4" w:rsidRPr="001159CC" w14:paraId="4094A149"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32CD72B4" w14:textId="05AB1EAD" w:rsidR="008636D4" w:rsidRPr="00EB0589" w:rsidRDefault="008636D4" w:rsidP="00022320">
            <w:pPr>
              <w:pStyle w:val="TableListBullet"/>
            </w:pPr>
            <w:r w:rsidRPr="00EB0589">
              <w:t xml:space="preserve">Objective 1: Water, </w:t>
            </w:r>
            <w:r w:rsidR="00754C06">
              <w:t>s</w:t>
            </w:r>
            <w:r w:rsidRPr="00EB0589">
              <w:t xml:space="preserve">anitation and </w:t>
            </w:r>
            <w:r w:rsidR="00754C06">
              <w:t>h</w:t>
            </w:r>
            <w:r w:rsidR="00754C06" w:rsidRPr="00EB0589">
              <w:t>ygiene</w:t>
            </w:r>
          </w:p>
        </w:tc>
        <w:tc>
          <w:tcPr>
            <w:tcW w:w="0" w:type="auto"/>
          </w:tcPr>
          <w:p w14:paraId="0EB62E19" w14:textId="77777777" w:rsidR="008636D4" w:rsidRPr="009E62E6" w:rsidRDefault="008636D4" w:rsidP="00022320">
            <w:pPr>
              <w:pStyle w:val="TableListBullet"/>
              <w:numPr>
                <w:ilvl w:val="0"/>
                <w:numId w:val="0"/>
              </w:numPr>
              <w:ind w:left="227"/>
            </w:pPr>
            <w:r w:rsidRPr="009E62E6">
              <w:t>4.75</w:t>
            </w:r>
          </w:p>
        </w:tc>
        <w:tc>
          <w:tcPr>
            <w:tcW w:w="0" w:type="auto"/>
          </w:tcPr>
          <w:p w14:paraId="7E132C3A" w14:textId="77777777" w:rsidR="008636D4" w:rsidRPr="009E62E6" w:rsidRDefault="00D80397" w:rsidP="00022320">
            <w:pPr>
              <w:pStyle w:val="TableListBullet"/>
              <w:numPr>
                <w:ilvl w:val="0"/>
                <w:numId w:val="0"/>
              </w:numPr>
              <w:ind w:left="227"/>
            </w:pPr>
            <w:r>
              <w:t>4</w:t>
            </w:r>
          </w:p>
        </w:tc>
      </w:tr>
      <w:tr w:rsidR="008636D4" w:rsidRPr="001159CC" w14:paraId="65F2A402"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20FC3CDF" w14:textId="10C48E32" w:rsidR="008636D4" w:rsidRPr="00EB0589" w:rsidRDefault="008636D4" w:rsidP="00022320">
            <w:pPr>
              <w:pStyle w:val="TableListBullet"/>
            </w:pPr>
            <w:r w:rsidRPr="00EB0589">
              <w:t xml:space="preserve">Objective 2: Rural </w:t>
            </w:r>
            <w:r w:rsidR="00754C06">
              <w:t>r</w:t>
            </w:r>
            <w:r w:rsidR="00754C06" w:rsidRPr="00EB0589">
              <w:t>oads</w:t>
            </w:r>
          </w:p>
        </w:tc>
        <w:tc>
          <w:tcPr>
            <w:tcW w:w="0" w:type="auto"/>
          </w:tcPr>
          <w:p w14:paraId="07B7F834" w14:textId="77777777" w:rsidR="008636D4" w:rsidRPr="009E62E6" w:rsidRDefault="008636D4" w:rsidP="00022320">
            <w:pPr>
              <w:pStyle w:val="TableListBullet"/>
              <w:numPr>
                <w:ilvl w:val="0"/>
                <w:numId w:val="0"/>
              </w:numPr>
              <w:ind w:left="227"/>
            </w:pPr>
            <w:r w:rsidRPr="009E62E6">
              <w:t>6.88</w:t>
            </w:r>
          </w:p>
        </w:tc>
        <w:tc>
          <w:tcPr>
            <w:tcW w:w="0" w:type="auto"/>
          </w:tcPr>
          <w:p w14:paraId="37B9976B" w14:textId="77777777" w:rsidR="008636D4" w:rsidRPr="009E62E6" w:rsidRDefault="00D80397" w:rsidP="00022320">
            <w:pPr>
              <w:pStyle w:val="TableListBullet"/>
              <w:numPr>
                <w:ilvl w:val="0"/>
                <w:numId w:val="0"/>
              </w:numPr>
              <w:ind w:left="227"/>
            </w:pPr>
            <w:r>
              <w:t>6</w:t>
            </w:r>
          </w:p>
        </w:tc>
      </w:tr>
      <w:tr w:rsidR="008636D4" w:rsidRPr="001159CC" w14:paraId="4614DACB"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288ACD26" w14:textId="5F8FC23E" w:rsidR="008636D4" w:rsidRPr="00EB0589" w:rsidRDefault="00754C06" w:rsidP="00022320">
            <w:pPr>
              <w:pStyle w:val="TableListBullet"/>
              <w:numPr>
                <w:ilvl w:val="0"/>
                <w:numId w:val="0"/>
              </w:numPr>
              <w:ind w:left="227" w:hanging="227"/>
            </w:pPr>
            <w:r>
              <w:t>STRATEGIC DEVELOPMENT PLAN</w:t>
            </w:r>
            <w:r w:rsidRPr="005459DD">
              <w:t xml:space="preserve"> </w:t>
            </w:r>
            <w:r w:rsidR="008636D4" w:rsidRPr="00EB0589">
              <w:t>PILLAR: ECONOMIC DEVELOPMENT</w:t>
            </w:r>
          </w:p>
        </w:tc>
        <w:tc>
          <w:tcPr>
            <w:tcW w:w="0" w:type="auto"/>
          </w:tcPr>
          <w:p w14:paraId="6FECFE46" w14:textId="77777777" w:rsidR="008636D4" w:rsidRPr="009E62E6" w:rsidRDefault="008636D4" w:rsidP="00022320">
            <w:pPr>
              <w:pStyle w:val="TableListBullet"/>
              <w:numPr>
                <w:ilvl w:val="0"/>
                <w:numId w:val="0"/>
              </w:numPr>
              <w:ind w:left="227"/>
            </w:pPr>
          </w:p>
        </w:tc>
        <w:tc>
          <w:tcPr>
            <w:tcW w:w="0" w:type="auto"/>
          </w:tcPr>
          <w:p w14:paraId="71E3AA9A" w14:textId="77777777" w:rsidR="008636D4" w:rsidRPr="009E62E6" w:rsidRDefault="008636D4" w:rsidP="00022320">
            <w:pPr>
              <w:pStyle w:val="TableListBullet"/>
              <w:numPr>
                <w:ilvl w:val="0"/>
                <w:numId w:val="0"/>
              </w:numPr>
              <w:ind w:left="227"/>
            </w:pPr>
          </w:p>
        </w:tc>
      </w:tr>
      <w:tr w:rsidR="008636D4" w:rsidRPr="001159CC" w14:paraId="3F80E6E1"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291A7989" w14:textId="77777777" w:rsidR="008636D4" w:rsidRPr="00EB0589" w:rsidRDefault="008636D4" w:rsidP="00022320">
            <w:pPr>
              <w:pStyle w:val="TableListBullet"/>
            </w:pPr>
            <w:r w:rsidRPr="00EB0589">
              <w:t>Objective 3: Agriculture</w:t>
            </w:r>
          </w:p>
        </w:tc>
        <w:tc>
          <w:tcPr>
            <w:tcW w:w="0" w:type="auto"/>
          </w:tcPr>
          <w:p w14:paraId="77B543CC" w14:textId="77777777" w:rsidR="008636D4" w:rsidRPr="009E62E6" w:rsidRDefault="008636D4" w:rsidP="00022320">
            <w:pPr>
              <w:pStyle w:val="TableListBullet"/>
              <w:numPr>
                <w:ilvl w:val="0"/>
                <w:numId w:val="0"/>
              </w:numPr>
              <w:ind w:left="227"/>
            </w:pPr>
            <w:r w:rsidRPr="009E62E6">
              <w:t>4.86</w:t>
            </w:r>
          </w:p>
        </w:tc>
        <w:tc>
          <w:tcPr>
            <w:tcW w:w="0" w:type="auto"/>
          </w:tcPr>
          <w:p w14:paraId="7FF6F0CD" w14:textId="77777777" w:rsidR="008636D4" w:rsidRPr="009E62E6" w:rsidRDefault="002B7B86" w:rsidP="00022320">
            <w:pPr>
              <w:pStyle w:val="TableListBullet"/>
              <w:numPr>
                <w:ilvl w:val="0"/>
                <w:numId w:val="0"/>
              </w:numPr>
              <w:ind w:left="227"/>
            </w:pPr>
            <w:r>
              <w:t>4</w:t>
            </w:r>
          </w:p>
        </w:tc>
      </w:tr>
      <w:tr w:rsidR="008636D4" w:rsidRPr="001159CC" w14:paraId="5E87FE48"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4F2609B3" w14:textId="291BB990" w:rsidR="008636D4" w:rsidRPr="00EB0589" w:rsidRDefault="00754C06" w:rsidP="00022320">
            <w:pPr>
              <w:pStyle w:val="TableListBullet"/>
              <w:numPr>
                <w:ilvl w:val="0"/>
                <w:numId w:val="0"/>
              </w:numPr>
              <w:ind w:left="227" w:hanging="227"/>
            </w:pPr>
            <w:r>
              <w:t>STRATEGIC DEVELOPMENT PLAN</w:t>
            </w:r>
            <w:r w:rsidRPr="005459DD">
              <w:t xml:space="preserve"> </w:t>
            </w:r>
            <w:r w:rsidR="008636D4" w:rsidRPr="00EB0589">
              <w:t>PILLAR: SOCIAL CAPITAL</w:t>
            </w:r>
          </w:p>
        </w:tc>
        <w:tc>
          <w:tcPr>
            <w:tcW w:w="0" w:type="auto"/>
          </w:tcPr>
          <w:p w14:paraId="014EE834" w14:textId="77777777" w:rsidR="008636D4" w:rsidRPr="009E62E6" w:rsidRDefault="008636D4" w:rsidP="00022320">
            <w:pPr>
              <w:pStyle w:val="TableListBullet"/>
              <w:numPr>
                <w:ilvl w:val="0"/>
                <w:numId w:val="0"/>
              </w:numPr>
              <w:ind w:left="227"/>
            </w:pPr>
          </w:p>
        </w:tc>
        <w:tc>
          <w:tcPr>
            <w:tcW w:w="0" w:type="auto"/>
          </w:tcPr>
          <w:p w14:paraId="4B2ED401" w14:textId="77777777" w:rsidR="008636D4" w:rsidRPr="009E62E6" w:rsidRDefault="008636D4" w:rsidP="00022320">
            <w:pPr>
              <w:pStyle w:val="TableListBullet"/>
              <w:numPr>
                <w:ilvl w:val="0"/>
                <w:numId w:val="0"/>
              </w:numPr>
              <w:ind w:left="227"/>
            </w:pPr>
          </w:p>
        </w:tc>
      </w:tr>
      <w:tr w:rsidR="008636D4" w:rsidRPr="001159CC" w14:paraId="748A2205"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2233063F" w14:textId="77777777" w:rsidR="008636D4" w:rsidRPr="00EB0589" w:rsidRDefault="008636D4" w:rsidP="00022320">
            <w:pPr>
              <w:pStyle w:val="TableListBullet"/>
            </w:pPr>
            <w:r w:rsidRPr="00EB0589">
              <w:t>Objective 4: Education</w:t>
            </w:r>
          </w:p>
        </w:tc>
        <w:tc>
          <w:tcPr>
            <w:tcW w:w="0" w:type="auto"/>
          </w:tcPr>
          <w:p w14:paraId="1A835C8E" w14:textId="77777777" w:rsidR="008636D4" w:rsidRPr="009E62E6" w:rsidRDefault="008636D4" w:rsidP="00022320">
            <w:pPr>
              <w:pStyle w:val="TableListBullet"/>
              <w:numPr>
                <w:ilvl w:val="0"/>
                <w:numId w:val="0"/>
              </w:numPr>
              <w:ind w:left="227"/>
            </w:pPr>
            <w:r w:rsidRPr="009E62E6">
              <w:t>12.08</w:t>
            </w:r>
          </w:p>
        </w:tc>
        <w:tc>
          <w:tcPr>
            <w:tcW w:w="0" w:type="auto"/>
          </w:tcPr>
          <w:p w14:paraId="3C8279DF" w14:textId="77777777" w:rsidR="008636D4" w:rsidRPr="009E62E6" w:rsidRDefault="002B7B86" w:rsidP="00022320">
            <w:pPr>
              <w:pStyle w:val="TableListBullet"/>
              <w:numPr>
                <w:ilvl w:val="0"/>
                <w:numId w:val="0"/>
              </w:numPr>
              <w:ind w:left="227"/>
            </w:pPr>
            <w:r>
              <w:t>10</w:t>
            </w:r>
          </w:p>
        </w:tc>
      </w:tr>
      <w:tr w:rsidR="008636D4" w:rsidRPr="001159CC" w14:paraId="3EEB9834"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72481AFD" w14:textId="77777777" w:rsidR="008636D4" w:rsidRPr="00EB0589" w:rsidRDefault="008636D4" w:rsidP="00022320">
            <w:pPr>
              <w:pStyle w:val="TableListBullet"/>
            </w:pPr>
            <w:r w:rsidRPr="00EB0589">
              <w:t>Objective 5: Health</w:t>
            </w:r>
          </w:p>
        </w:tc>
        <w:tc>
          <w:tcPr>
            <w:tcW w:w="0" w:type="auto"/>
          </w:tcPr>
          <w:p w14:paraId="534061CE" w14:textId="77777777" w:rsidR="008636D4" w:rsidRPr="009E62E6" w:rsidRDefault="008636D4" w:rsidP="00022320">
            <w:pPr>
              <w:pStyle w:val="TableListBullet"/>
              <w:numPr>
                <w:ilvl w:val="0"/>
                <w:numId w:val="0"/>
              </w:numPr>
              <w:ind w:left="227"/>
            </w:pPr>
            <w:r w:rsidRPr="009E62E6">
              <w:t>7.87</w:t>
            </w:r>
          </w:p>
        </w:tc>
        <w:tc>
          <w:tcPr>
            <w:tcW w:w="0" w:type="auto"/>
          </w:tcPr>
          <w:p w14:paraId="67F50C73" w14:textId="77777777" w:rsidR="008636D4" w:rsidRPr="009E62E6" w:rsidRDefault="00D80397" w:rsidP="00022320">
            <w:pPr>
              <w:pStyle w:val="TableListBullet"/>
              <w:numPr>
                <w:ilvl w:val="0"/>
                <w:numId w:val="0"/>
              </w:numPr>
              <w:ind w:left="227"/>
            </w:pPr>
            <w:r>
              <w:t>7</w:t>
            </w:r>
          </w:p>
        </w:tc>
      </w:tr>
      <w:tr w:rsidR="008636D4" w:rsidRPr="001159CC" w14:paraId="6193E5B9"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6F3AE977" w14:textId="27AA9883" w:rsidR="008636D4" w:rsidRPr="00EB0589" w:rsidRDefault="00754C06" w:rsidP="00022320">
            <w:pPr>
              <w:pStyle w:val="TableListBullet"/>
              <w:numPr>
                <w:ilvl w:val="0"/>
                <w:numId w:val="0"/>
              </w:numPr>
              <w:ind w:left="227" w:hanging="227"/>
            </w:pPr>
            <w:r>
              <w:t>STRATEGIC DEVELOPMENT PLAN</w:t>
            </w:r>
            <w:r w:rsidRPr="005459DD">
              <w:t xml:space="preserve"> </w:t>
            </w:r>
            <w:r w:rsidR="008636D4" w:rsidRPr="00EB0589">
              <w:t>PILLAR: INSTITUTIONAL FRAMEWORK</w:t>
            </w:r>
          </w:p>
        </w:tc>
        <w:tc>
          <w:tcPr>
            <w:tcW w:w="0" w:type="auto"/>
          </w:tcPr>
          <w:p w14:paraId="421B6D9F" w14:textId="77777777" w:rsidR="008636D4" w:rsidRPr="009E62E6" w:rsidRDefault="008636D4" w:rsidP="00022320">
            <w:pPr>
              <w:pStyle w:val="TableListBullet"/>
              <w:numPr>
                <w:ilvl w:val="0"/>
                <w:numId w:val="0"/>
              </w:numPr>
              <w:ind w:left="227"/>
            </w:pPr>
          </w:p>
        </w:tc>
        <w:tc>
          <w:tcPr>
            <w:tcW w:w="0" w:type="auto"/>
          </w:tcPr>
          <w:p w14:paraId="31493C1D" w14:textId="77777777" w:rsidR="008636D4" w:rsidRPr="009E62E6" w:rsidRDefault="008636D4" w:rsidP="00022320">
            <w:pPr>
              <w:pStyle w:val="TableListBullet"/>
              <w:numPr>
                <w:ilvl w:val="0"/>
                <w:numId w:val="0"/>
              </w:numPr>
              <w:ind w:left="227"/>
            </w:pPr>
          </w:p>
        </w:tc>
      </w:tr>
      <w:tr w:rsidR="008636D4" w:rsidRPr="001159CC" w14:paraId="4CCAE9AD"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01E0C519" w14:textId="77777777" w:rsidR="008636D4" w:rsidRPr="00EB0589" w:rsidRDefault="008636D4" w:rsidP="00022320">
            <w:pPr>
              <w:pStyle w:val="TableListBullet"/>
            </w:pPr>
            <w:r w:rsidRPr="00EB0589">
              <w:t>Objective 6: Security</w:t>
            </w:r>
            <w:r w:rsidR="007E5CC7">
              <w:t xml:space="preserve"> </w:t>
            </w:r>
          </w:p>
        </w:tc>
        <w:tc>
          <w:tcPr>
            <w:tcW w:w="0" w:type="auto"/>
          </w:tcPr>
          <w:p w14:paraId="26F61039" w14:textId="77777777" w:rsidR="008636D4" w:rsidRPr="009E62E6" w:rsidRDefault="00213662" w:rsidP="00022320">
            <w:pPr>
              <w:pStyle w:val="TableListBullet"/>
              <w:numPr>
                <w:ilvl w:val="0"/>
                <w:numId w:val="0"/>
              </w:numPr>
              <w:ind w:left="227"/>
            </w:pPr>
            <w:r>
              <w:t>22.00</w:t>
            </w:r>
          </w:p>
        </w:tc>
        <w:tc>
          <w:tcPr>
            <w:tcW w:w="0" w:type="auto"/>
          </w:tcPr>
          <w:p w14:paraId="48D920C4" w14:textId="77777777" w:rsidR="008636D4" w:rsidRPr="009E62E6" w:rsidRDefault="002411F1" w:rsidP="00022320">
            <w:pPr>
              <w:pStyle w:val="TableListBullet"/>
              <w:numPr>
                <w:ilvl w:val="0"/>
                <w:numId w:val="0"/>
              </w:numPr>
              <w:ind w:left="227"/>
            </w:pPr>
            <w:r w:rsidRPr="002411F1">
              <w:t>18</w:t>
            </w:r>
          </w:p>
        </w:tc>
      </w:tr>
      <w:tr w:rsidR="008636D4" w:rsidRPr="001159CC" w14:paraId="5D9DB198"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1F736FF6" w14:textId="08EE8766" w:rsidR="008636D4" w:rsidRPr="00EB0589" w:rsidRDefault="004273CD" w:rsidP="00022320">
            <w:pPr>
              <w:pStyle w:val="TableListBullet"/>
              <w:numPr>
                <w:ilvl w:val="0"/>
                <w:numId w:val="0"/>
              </w:numPr>
              <w:ind w:left="227"/>
              <w:rPr>
                <w:color w:val="000000" w:themeColor="text1" w:themeShade="BF"/>
                <w:sz w:val="20"/>
              </w:rPr>
            </w:pPr>
            <w:r w:rsidRPr="00395C48">
              <w:t>–</w:t>
            </w:r>
            <w:r>
              <w:rPr>
                <w:sz w:val="20"/>
              </w:rPr>
              <w:t xml:space="preserve"> </w:t>
            </w:r>
            <w:r w:rsidR="008636D4" w:rsidRPr="00EB0589">
              <w:t xml:space="preserve">Support to Ending </w:t>
            </w:r>
            <w:r w:rsidR="00754C06">
              <w:t>v</w:t>
            </w:r>
            <w:r w:rsidR="00754C06" w:rsidRPr="00EB0589">
              <w:t xml:space="preserve">iolence </w:t>
            </w:r>
            <w:r w:rsidR="00754C06">
              <w:t>a</w:t>
            </w:r>
            <w:r w:rsidR="00754C06" w:rsidRPr="00EB0589">
              <w:t xml:space="preserve">gainst </w:t>
            </w:r>
            <w:r w:rsidR="00754C06">
              <w:t>w</w:t>
            </w:r>
            <w:r w:rsidR="00754C06" w:rsidRPr="00EB0589">
              <w:t xml:space="preserve">omen </w:t>
            </w:r>
            <w:r w:rsidR="008636D4" w:rsidRPr="00EB0589">
              <w:t xml:space="preserve">and </w:t>
            </w:r>
            <w:r w:rsidR="00754C06">
              <w:t>j</w:t>
            </w:r>
            <w:r w:rsidR="00754C06" w:rsidRPr="00EB0589">
              <w:t>ustice</w:t>
            </w:r>
          </w:p>
        </w:tc>
        <w:tc>
          <w:tcPr>
            <w:tcW w:w="0" w:type="auto"/>
          </w:tcPr>
          <w:p w14:paraId="2A9AE93D" w14:textId="77777777" w:rsidR="008636D4" w:rsidRPr="009E62E6" w:rsidRDefault="008636D4" w:rsidP="00022320">
            <w:pPr>
              <w:pStyle w:val="TableListBullet"/>
              <w:numPr>
                <w:ilvl w:val="0"/>
                <w:numId w:val="0"/>
              </w:numPr>
              <w:ind w:left="227"/>
            </w:pPr>
            <w:r w:rsidRPr="009E62E6">
              <w:t>6.45</w:t>
            </w:r>
          </w:p>
        </w:tc>
        <w:tc>
          <w:tcPr>
            <w:tcW w:w="0" w:type="auto"/>
          </w:tcPr>
          <w:p w14:paraId="13F29DD5" w14:textId="77777777" w:rsidR="008636D4" w:rsidRPr="009E62E6" w:rsidRDefault="002B7B86" w:rsidP="00022320">
            <w:pPr>
              <w:pStyle w:val="TableListBullet"/>
              <w:numPr>
                <w:ilvl w:val="0"/>
                <w:numId w:val="0"/>
              </w:numPr>
              <w:ind w:left="227"/>
            </w:pPr>
            <w:r>
              <w:t>5</w:t>
            </w:r>
          </w:p>
        </w:tc>
      </w:tr>
      <w:tr w:rsidR="008636D4" w:rsidRPr="001159CC" w14:paraId="4B20D376"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05B2FD6C" w14:textId="0850BB4A" w:rsidR="008636D4" w:rsidRPr="00EB0589" w:rsidRDefault="008636D4" w:rsidP="00022320">
            <w:pPr>
              <w:pStyle w:val="TableListBullet"/>
            </w:pPr>
            <w:r w:rsidRPr="00EB0589">
              <w:t xml:space="preserve">Objective 7: Public </w:t>
            </w:r>
            <w:r w:rsidR="00754C06">
              <w:t>s</w:t>
            </w:r>
            <w:r w:rsidR="00754C06" w:rsidRPr="00EB0589">
              <w:t xml:space="preserve">ector </w:t>
            </w:r>
            <w:r w:rsidR="00754C06">
              <w:t>m</w:t>
            </w:r>
            <w:r w:rsidR="00754C06" w:rsidRPr="00EB0589">
              <w:t xml:space="preserve">anagement </w:t>
            </w:r>
            <w:r w:rsidRPr="00EB0589">
              <w:t xml:space="preserve">and </w:t>
            </w:r>
            <w:r w:rsidR="00754C06">
              <w:t>g</w:t>
            </w:r>
            <w:r w:rsidR="00754C06" w:rsidRPr="00EB0589">
              <w:t xml:space="preserve">ood </w:t>
            </w:r>
            <w:r w:rsidR="00754C06">
              <w:t>g</w:t>
            </w:r>
            <w:r w:rsidR="00754C06" w:rsidRPr="00EB0589">
              <w:t xml:space="preserve">overnance </w:t>
            </w:r>
          </w:p>
        </w:tc>
        <w:tc>
          <w:tcPr>
            <w:tcW w:w="0" w:type="auto"/>
          </w:tcPr>
          <w:p w14:paraId="3EB0CC9C" w14:textId="77777777" w:rsidR="008636D4" w:rsidRPr="009E62E6" w:rsidRDefault="008636D4" w:rsidP="00022320">
            <w:pPr>
              <w:pStyle w:val="TableListBullet"/>
              <w:numPr>
                <w:ilvl w:val="0"/>
                <w:numId w:val="0"/>
              </w:numPr>
              <w:ind w:left="227"/>
            </w:pPr>
            <w:r w:rsidRPr="009E62E6">
              <w:t>10.06</w:t>
            </w:r>
          </w:p>
        </w:tc>
        <w:tc>
          <w:tcPr>
            <w:tcW w:w="0" w:type="auto"/>
          </w:tcPr>
          <w:p w14:paraId="1FA6553D" w14:textId="77777777" w:rsidR="008636D4" w:rsidRPr="009E62E6" w:rsidRDefault="002B7B86" w:rsidP="00022320">
            <w:pPr>
              <w:pStyle w:val="TableListBullet"/>
              <w:numPr>
                <w:ilvl w:val="0"/>
                <w:numId w:val="0"/>
              </w:numPr>
              <w:ind w:left="227"/>
            </w:pPr>
            <w:r>
              <w:t>8</w:t>
            </w:r>
          </w:p>
        </w:tc>
      </w:tr>
      <w:tr w:rsidR="008636D4" w:rsidRPr="001159CC" w14:paraId="1321CEE0"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455D2897" w14:textId="218BABD4" w:rsidR="008636D4" w:rsidRPr="00EB0589" w:rsidRDefault="004273CD" w:rsidP="00022320">
            <w:pPr>
              <w:pStyle w:val="TableListBullet"/>
              <w:numPr>
                <w:ilvl w:val="0"/>
                <w:numId w:val="0"/>
              </w:numPr>
              <w:ind w:left="227"/>
            </w:pPr>
            <w:r>
              <w:t xml:space="preserve">– </w:t>
            </w:r>
            <w:r w:rsidR="008636D4">
              <w:t xml:space="preserve">Support to the National Program for </w:t>
            </w:r>
            <w:r w:rsidR="00CA33C0">
              <w:t>Village</w:t>
            </w:r>
            <w:r w:rsidR="008636D4">
              <w:t xml:space="preserve"> Development</w:t>
            </w:r>
          </w:p>
        </w:tc>
        <w:tc>
          <w:tcPr>
            <w:tcW w:w="0" w:type="auto"/>
          </w:tcPr>
          <w:p w14:paraId="21EAF0B7" w14:textId="77777777" w:rsidR="008636D4" w:rsidRPr="009E62E6" w:rsidRDefault="008636D4" w:rsidP="00022320">
            <w:pPr>
              <w:pStyle w:val="TableListBullet"/>
              <w:numPr>
                <w:ilvl w:val="0"/>
                <w:numId w:val="0"/>
              </w:numPr>
              <w:ind w:left="227"/>
            </w:pPr>
            <w:r w:rsidRPr="009E62E6">
              <w:t>4.45</w:t>
            </w:r>
          </w:p>
        </w:tc>
        <w:tc>
          <w:tcPr>
            <w:tcW w:w="0" w:type="auto"/>
          </w:tcPr>
          <w:p w14:paraId="4D215760" w14:textId="77777777" w:rsidR="008636D4" w:rsidRPr="009E62E6" w:rsidRDefault="00D80397" w:rsidP="00022320">
            <w:pPr>
              <w:pStyle w:val="TableListBullet"/>
              <w:numPr>
                <w:ilvl w:val="0"/>
                <w:numId w:val="0"/>
              </w:numPr>
              <w:ind w:left="227"/>
            </w:pPr>
            <w:r>
              <w:t>4</w:t>
            </w:r>
          </w:p>
        </w:tc>
      </w:tr>
      <w:tr w:rsidR="008636D4" w:rsidRPr="001159CC" w14:paraId="48FCC68F"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130A286A" w14:textId="77777777" w:rsidR="008636D4" w:rsidRPr="00EB0589" w:rsidRDefault="008636D4" w:rsidP="00022320">
            <w:pPr>
              <w:pStyle w:val="TableListBullet"/>
              <w:numPr>
                <w:ilvl w:val="0"/>
                <w:numId w:val="0"/>
              </w:numPr>
              <w:ind w:left="227" w:hanging="227"/>
            </w:pPr>
            <w:r w:rsidRPr="00EB0589">
              <w:t>Other</w:t>
            </w:r>
          </w:p>
        </w:tc>
        <w:tc>
          <w:tcPr>
            <w:tcW w:w="0" w:type="auto"/>
          </w:tcPr>
          <w:p w14:paraId="07BD3777" w14:textId="77777777" w:rsidR="008636D4" w:rsidRPr="009E62E6" w:rsidRDefault="008636D4" w:rsidP="00022320">
            <w:pPr>
              <w:pStyle w:val="TableListBullet"/>
              <w:numPr>
                <w:ilvl w:val="0"/>
                <w:numId w:val="0"/>
              </w:numPr>
              <w:ind w:left="227"/>
            </w:pPr>
          </w:p>
        </w:tc>
        <w:tc>
          <w:tcPr>
            <w:tcW w:w="0" w:type="auto"/>
          </w:tcPr>
          <w:p w14:paraId="01057241" w14:textId="77777777" w:rsidR="008636D4" w:rsidRPr="009E62E6" w:rsidRDefault="008636D4" w:rsidP="00022320">
            <w:pPr>
              <w:pStyle w:val="TableListBullet"/>
              <w:numPr>
                <w:ilvl w:val="0"/>
                <w:numId w:val="0"/>
              </w:numPr>
              <w:ind w:left="227"/>
            </w:pPr>
          </w:p>
        </w:tc>
      </w:tr>
      <w:tr w:rsidR="008636D4" w:rsidRPr="001159CC" w14:paraId="593833A4"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245A3677" w14:textId="3586BF17" w:rsidR="008636D4" w:rsidRPr="00EB0589" w:rsidRDefault="008636D4" w:rsidP="00022320">
            <w:pPr>
              <w:pStyle w:val="TableListBullet"/>
            </w:pPr>
            <w:r w:rsidRPr="00203A11">
              <w:t>Multi-sector</w:t>
            </w:r>
            <w:r w:rsidR="00D1253F">
              <w:t xml:space="preserve"> </w:t>
            </w:r>
            <w:r w:rsidR="005C3F10">
              <w:t>*</w:t>
            </w:r>
            <w:r w:rsidR="009413DA">
              <w:t xml:space="preserve"> includes $8 million for </w:t>
            </w:r>
            <w:r w:rsidR="00754C06">
              <w:t>United Nations Police</w:t>
            </w:r>
          </w:p>
        </w:tc>
        <w:tc>
          <w:tcPr>
            <w:tcW w:w="0" w:type="auto"/>
          </w:tcPr>
          <w:p w14:paraId="33E8425B" w14:textId="77777777" w:rsidR="008636D4" w:rsidRPr="009E62E6" w:rsidRDefault="00213662" w:rsidP="00022320">
            <w:pPr>
              <w:pStyle w:val="TableListBullet"/>
              <w:numPr>
                <w:ilvl w:val="0"/>
                <w:numId w:val="0"/>
              </w:numPr>
              <w:ind w:left="227"/>
            </w:pPr>
            <w:r>
              <w:t>23.8</w:t>
            </w:r>
            <w:r w:rsidR="008636D4" w:rsidRPr="00203A11">
              <w:t>0</w:t>
            </w:r>
          </w:p>
        </w:tc>
        <w:tc>
          <w:tcPr>
            <w:tcW w:w="0" w:type="auto"/>
          </w:tcPr>
          <w:p w14:paraId="70466FB4" w14:textId="77777777" w:rsidR="008636D4" w:rsidRPr="009E62E6" w:rsidRDefault="00D80397" w:rsidP="00022320">
            <w:pPr>
              <w:pStyle w:val="TableListBullet"/>
              <w:numPr>
                <w:ilvl w:val="0"/>
                <w:numId w:val="0"/>
              </w:numPr>
              <w:ind w:left="227"/>
            </w:pPr>
            <w:r>
              <w:t>20</w:t>
            </w:r>
          </w:p>
        </w:tc>
      </w:tr>
      <w:tr w:rsidR="008636D4" w:rsidRPr="001159CC" w14:paraId="247C7953"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5C22001B" w14:textId="680F5DCD" w:rsidR="008636D4" w:rsidRPr="00EB0589" w:rsidRDefault="008636D4" w:rsidP="00022320">
            <w:pPr>
              <w:pStyle w:val="TableListBullet"/>
            </w:pPr>
            <w:r w:rsidRPr="00203A11">
              <w:t xml:space="preserve">Regional/global (including contributions to the Global Fund </w:t>
            </w:r>
            <w:r w:rsidR="00754C06">
              <w:t>to Fight</w:t>
            </w:r>
            <w:r w:rsidR="00754C06" w:rsidRPr="00203A11">
              <w:t xml:space="preserve"> </w:t>
            </w:r>
            <w:r w:rsidRPr="00203A11">
              <w:t>Aids</w:t>
            </w:r>
            <w:r w:rsidR="00754C06">
              <w:t>,</w:t>
            </w:r>
            <w:r w:rsidR="00754C06" w:rsidRPr="00203A11">
              <w:t xml:space="preserve"> </w:t>
            </w:r>
            <w:r w:rsidRPr="00203A11">
              <w:t>Tuberculosis and Malaria</w:t>
            </w:r>
            <w:r w:rsidR="003D2150">
              <w:t>;</w:t>
            </w:r>
            <w:r w:rsidRPr="00203A11">
              <w:t xml:space="preserve"> climate change mitigation</w:t>
            </w:r>
          </w:p>
        </w:tc>
        <w:tc>
          <w:tcPr>
            <w:tcW w:w="0" w:type="auto"/>
          </w:tcPr>
          <w:p w14:paraId="1F6AEA5F" w14:textId="77777777" w:rsidR="008636D4" w:rsidRPr="009E62E6" w:rsidRDefault="008636D4" w:rsidP="00022320">
            <w:pPr>
              <w:pStyle w:val="TableListBullet"/>
              <w:numPr>
                <w:ilvl w:val="0"/>
                <w:numId w:val="0"/>
              </w:numPr>
              <w:ind w:left="227"/>
            </w:pPr>
            <w:r w:rsidRPr="00203A11">
              <w:t>16.30</w:t>
            </w:r>
          </w:p>
        </w:tc>
        <w:tc>
          <w:tcPr>
            <w:tcW w:w="0" w:type="auto"/>
          </w:tcPr>
          <w:p w14:paraId="63ADFAD4" w14:textId="77777777" w:rsidR="008636D4" w:rsidRPr="009E62E6" w:rsidRDefault="00D80397" w:rsidP="00022320">
            <w:pPr>
              <w:pStyle w:val="TableListBullet"/>
              <w:numPr>
                <w:ilvl w:val="0"/>
                <w:numId w:val="0"/>
              </w:numPr>
              <w:ind w:left="227"/>
            </w:pPr>
            <w:r>
              <w:t>14</w:t>
            </w:r>
          </w:p>
        </w:tc>
      </w:tr>
      <w:tr w:rsidR="008636D4" w:rsidRPr="001159CC" w14:paraId="79339F30" w14:textId="77777777" w:rsidTr="00022320">
        <w:trPr>
          <w:cnfStyle w:val="000000010000" w:firstRow="0" w:lastRow="0" w:firstColumn="0" w:lastColumn="0" w:oddVBand="0" w:evenVBand="0" w:oddHBand="0" w:evenHBand="1" w:firstRowFirstColumn="0" w:firstRowLastColumn="0" w:lastRowFirstColumn="0" w:lastRowLastColumn="0"/>
        </w:trPr>
        <w:tc>
          <w:tcPr>
            <w:tcW w:w="0" w:type="auto"/>
          </w:tcPr>
          <w:p w14:paraId="5647249E" w14:textId="60B0B977" w:rsidR="008636D4" w:rsidRPr="00EB0589" w:rsidRDefault="008636D4" w:rsidP="00022320">
            <w:pPr>
              <w:pStyle w:val="TableListBullet"/>
              <w:numPr>
                <w:ilvl w:val="0"/>
                <w:numId w:val="0"/>
              </w:numPr>
              <w:ind w:left="227" w:hanging="227"/>
              <w:rPr>
                <w:b/>
                <w:i/>
                <w:color w:val="000000" w:themeColor="text1" w:themeShade="BF"/>
              </w:rPr>
            </w:pPr>
            <w:r w:rsidRPr="00EB0589">
              <w:rPr>
                <w:b/>
                <w:i/>
              </w:rPr>
              <w:t xml:space="preserve">Estimated </w:t>
            </w:r>
            <w:r w:rsidR="004273CD">
              <w:rPr>
                <w:b/>
                <w:i/>
              </w:rPr>
              <w:t>t</w:t>
            </w:r>
            <w:r w:rsidR="004273CD" w:rsidRPr="00EB0589">
              <w:rPr>
                <w:b/>
                <w:i/>
              </w:rPr>
              <w:t xml:space="preserve">otal </w:t>
            </w:r>
            <w:r w:rsidRPr="00EB0589">
              <w:rPr>
                <w:b/>
                <w:i/>
              </w:rPr>
              <w:t>ODA for 2012</w:t>
            </w:r>
            <w:r w:rsidR="004273CD">
              <w:rPr>
                <w:b/>
                <w:i/>
              </w:rPr>
              <w:t>–</w:t>
            </w:r>
            <w:r w:rsidRPr="00EB0589">
              <w:rPr>
                <w:b/>
                <w:i/>
              </w:rPr>
              <w:t>13</w:t>
            </w:r>
          </w:p>
        </w:tc>
        <w:tc>
          <w:tcPr>
            <w:tcW w:w="0" w:type="auto"/>
          </w:tcPr>
          <w:p w14:paraId="02549579" w14:textId="77777777" w:rsidR="008636D4" w:rsidRPr="00005BF9" w:rsidRDefault="008636D4" w:rsidP="00022320">
            <w:pPr>
              <w:pStyle w:val="TableListBullet"/>
              <w:numPr>
                <w:ilvl w:val="0"/>
                <w:numId w:val="0"/>
              </w:numPr>
              <w:ind w:left="227"/>
              <w:rPr>
                <w:b/>
                <w:i/>
              </w:rPr>
            </w:pPr>
            <w:r w:rsidRPr="00005BF9">
              <w:rPr>
                <w:b/>
                <w:i/>
              </w:rPr>
              <w:t>119.50</w:t>
            </w:r>
          </w:p>
        </w:tc>
        <w:tc>
          <w:tcPr>
            <w:tcW w:w="0" w:type="auto"/>
          </w:tcPr>
          <w:p w14:paraId="01F6EECB" w14:textId="77777777" w:rsidR="008636D4" w:rsidRPr="00005BF9" w:rsidRDefault="008636D4" w:rsidP="00022320">
            <w:pPr>
              <w:pStyle w:val="TableListBullet"/>
              <w:numPr>
                <w:ilvl w:val="0"/>
                <w:numId w:val="0"/>
              </w:numPr>
              <w:ind w:left="227"/>
              <w:rPr>
                <w:b/>
                <w:i/>
              </w:rPr>
            </w:pPr>
            <w:r w:rsidRPr="00005BF9">
              <w:rPr>
                <w:b/>
                <w:i/>
              </w:rPr>
              <w:t>100</w:t>
            </w:r>
          </w:p>
        </w:tc>
      </w:tr>
    </w:tbl>
    <w:p w14:paraId="30784C88" w14:textId="76C7F513" w:rsidR="004273CD" w:rsidRPr="00C14AA8" w:rsidRDefault="00721A06" w:rsidP="00C14AA8">
      <w:pPr>
        <w:pStyle w:val="Note"/>
      </w:pPr>
      <w:r w:rsidRPr="00C14AA8">
        <w:t xml:space="preserve">Table 3A &amp; 3B </w:t>
      </w:r>
      <w:r w:rsidR="004273CD" w:rsidRPr="00C14AA8">
        <w:t>source</w:t>
      </w:r>
      <w:r w:rsidR="00180B19" w:rsidRPr="00C14AA8">
        <w:t xml:space="preserve">: </w:t>
      </w:r>
      <w:r w:rsidR="00EB0A7B" w:rsidRPr="00C14AA8">
        <w:t>AidWorks</w:t>
      </w:r>
      <w:r w:rsidR="004273CD" w:rsidRPr="00C14AA8">
        <w:t>.</w:t>
      </w:r>
      <w:r w:rsidR="00005BF9" w:rsidRPr="00C14AA8">
        <w:t xml:space="preserve"> </w:t>
      </w:r>
    </w:p>
    <w:p w14:paraId="75F945E3" w14:textId="40DCB25A" w:rsidR="004273CD" w:rsidRPr="00C14AA8" w:rsidRDefault="00EB0A7B" w:rsidP="00C14AA8">
      <w:pPr>
        <w:pStyle w:val="Note"/>
      </w:pPr>
      <w:r w:rsidRPr="00C14AA8">
        <w:t xml:space="preserve">*Due to </w:t>
      </w:r>
      <w:r w:rsidR="009C51B1">
        <w:t xml:space="preserve">a </w:t>
      </w:r>
      <w:r w:rsidRPr="00C14AA8">
        <w:t>change to financ</w:t>
      </w:r>
      <w:r w:rsidR="00C87A77" w:rsidRPr="00C14AA8">
        <w:t>ia</w:t>
      </w:r>
      <w:r w:rsidR="0098073B" w:rsidRPr="00C14AA8">
        <w:t xml:space="preserve">l year reporting in this </w:t>
      </w:r>
      <w:r w:rsidR="008B08E9">
        <w:t>report</w:t>
      </w:r>
      <w:r w:rsidR="0098073B" w:rsidRPr="00C14AA8">
        <w:t xml:space="preserve">, </w:t>
      </w:r>
      <w:r w:rsidR="00C87A77" w:rsidRPr="00C14AA8">
        <w:t xml:space="preserve">tables </w:t>
      </w:r>
      <w:r w:rsidR="0098073B" w:rsidRPr="00C14AA8">
        <w:t xml:space="preserve">3A and 3B </w:t>
      </w:r>
      <w:r w:rsidR="00C87A77" w:rsidRPr="00C14AA8">
        <w:t>cover</w:t>
      </w:r>
      <w:r w:rsidRPr="00C14AA8">
        <w:t xml:space="preserve"> an </w:t>
      </w:r>
      <w:r w:rsidR="002A668A" w:rsidRPr="00C14AA8">
        <w:t>18-month</w:t>
      </w:r>
      <w:r w:rsidRPr="00C14AA8">
        <w:t xml:space="preserve"> estimate of pro</w:t>
      </w:r>
      <w:r w:rsidR="004273CD" w:rsidRPr="00C14AA8">
        <w:t>-</w:t>
      </w:r>
      <w:r w:rsidRPr="00C14AA8">
        <w:t>rata actual expenditure for January to June 2012 and estimated end of financial year position for financial year 2012</w:t>
      </w:r>
      <w:r w:rsidR="004273CD" w:rsidRPr="00C14AA8">
        <w:t>–</w:t>
      </w:r>
      <w:r w:rsidRPr="00C14AA8">
        <w:t>13.</w:t>
      </w:r>
      <w:r w:rsidR="005C3F10" w:rsidRPr="00C14AA8">
        <w:t xml:space="preserve"> </w:t>
      </w:r>
    </w:p>
    <w:p w14:paraId="60FA0206" w14:textId="2F3AE486" w:rsidR="009B685C" w:rsidRPr="009B685C" w:rsidRDefault="00721A06" w:rsidP="009B685C">
      <w:pPr>
        <w:pStyle w:val="Note"/>
      </w:pPr>
      <w:r w:rsidRPr="00C14AA8">
        <w:t>*Objective 6 is mostly implemented by A</w:t>
      </w:r>
      <w:r w:rsidR="004273CD" w:rsidRPr="00C14AA8">
        <w:t xml:space="preserve">ustralian </w:t>
      </w:r>
      <w:r w:rsidRPr="00C14AA8">
        <w:t>F</w:t>
      </w:r>
      <w:r w:rsidR="004273CD" w:rsidRPr="00C14AA8">
        <w:t xml:space="preserve">ederal </w:t>
      </w:r>
      <w:r w:rsidRPr="00C14AA8">
        <w:t>P</w:t>
      </w:r>
      <w:r w:rsidR="004273CD" w:rsidRPr="00C14AA8">
        <w:t>olice.</w:t>
      </w:r>
    </w:p>
    <w:p w14:paraId="0421C3D2" w14:textId="77777777" w:rsidR="009B685C" w:rsidRDefault="009B685C">
      <w:pPr>
        <w:spacing w:after="200" w:line="276" w:lineRule="auto"/>
        <w:rPr>
          <w:rFonts w:ascii="Franklin Gothic Demi" w:eastAsia="Times New Roman" w:hAnsi="Franklin Gothic Demi" w:cs="Arial"/>
          <w:color w:val="AD495D"/>
          <w:kern w:val="28"/>
          <w:sz w:val="28"/>
          <w:szCs w:val="28"/>
        </w:rPr>
      </w:pPr>
      <w:r>
        <w:br w:type="page"/>
      </w:r>
    </w:p>
    <w:p w14:paraId="550E1987" w14:textId="015DBCD4" w:rsidR="00180B19" w:rsidRPr="00C14AA8" w:rsidRDefault="00180B19" w:rsidP="00C14AA8">
      <w:pPr>
        <w:pStyle w:val="Heading1"/>
      </w:pPr>
      <w:r w:rsidRPr="00C14AA8">
        <w:lastRenderedPageBreak/>
        <w:t>Progres</w:t>
      </w:r>
      <w:r w:rsidR="00635931" w:rsidRPr="00C14AA8">
        <w:t>s</w:t>
      </w:r>
      <w:r w:rsidRPr="00C14AA8">
        <w:t xml:space="preserve"> towards objectives</w:t>
      </w:r>
    </w:p>
    <w:p w14:paraId="18F62444" w14:textId="41E6EF6D" w:rsidR="00CD428E" w:rsidRPr="000E1150" w:rsidRDefault="00CD428E" w:rsidP="00C14AA8">
      <w:pPr>
        <w:pStyle w:val="Caption"/>
      </w:pPr>
      <w:r w:rsidRPr="000E1150">
        <w:t xml:space="preserve">Table </w:t>
      </w:r>
      <w:r w:rsidR="00EC1D18" w:rsidRPr="000E1150">
        <w:t>4</w:t>
      </w:r>
      <w:r w:rsidR="004273CD">
        <w:t>:</w:t>
      </w:r>
      <w:r w:rsidRPr="000E1150">
        <w:t xml:space="preserve"> Rating of the program's progress towards the objectives</w:t>
      </w:r>
    </w:p>
    <w:tbl>
      <w:tblPr>
        <w:tblStyle w:val="APPR"/>
        <w:tblW w:w="5000" w:type="pct"/>
        <w:tblLook w:val="0000" w:firstRow="0" w:lastRow="0" w:firstColumn="0" w:lastColumn="0" w:noHBand="0" w:noVBand="0"/>
      </w:tblPr>
      <w:tblGrid>
        <w:gridCol w:w="6337"/>
        <w:gridCol w:w="1101"/>
        <w:gridCol w:w="1169"/>
      </w:tblGrid>
      <w:tr w:rsidR="009B685C" w:rsidRPr="001159CC" w14:paraId="63A9193F" w14:textId="77777777" w:rsidTr="009B685C">
        <w:trPr>
          <w:cnfStyle w:val="000000010000" w:firstRow="0" w:lastRow="0" w:firstColumn="0" w:lastColumn="0" w:oddVBand="0" w:evenVBand="0" w:oddHBand="0" w:evenHBand="1" w:firstRowFirstColumn="0" w:firstRowLastColumn="0" w:lastRowFirstColumn="0" w:lastRowLastColumn="0"/>
        </w:trPr>
        <w:tc>
          <w:tcPr>
            <w:tcW w:w="5700" w:type="dxa"/>
          </w:tcPr>
          <w:p w14:paraId="35D9FE79" w14:textId="77777777" w:rsidR="009B685C" w:rsidRPr="009B685C" w:rsidRDefault="009B685C" w:rsidP="009B685C">
            <w:pPr>
              <w:pStyle w:val="TableHeading1"/>
            </w:pPr>
            <w:r w:rsidRPr="009B685C">
              <w:rPr>
                <w:noProof/>
                <w:lang w:eastAsia="en-AU"/>
              </w:rPr>
              <w:drawing>
                <wp:anchor distT="0" distB="0" distL="114300" distR="114300" simplePos="0" relativeHeight="251697152" behindDoc="0" locked="0" layoutInCell="1" allowOverlap="1" wp14:anchorId="6B7FF135" wp14:editId="26557398">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85C">
              <w:t>Objective</w:t>
            </w:r>
          </w:p>
        </w:tc>
        <w:tc>
          <w:tcPr>
            <w:tcW w:w="972" w:type="dxa"/>
          </w:tcPr>
          <w:p w14:paraId="07044386" w14:textId="5A663F65" w:rsidR="009B685C" w:rsidRPr="009B685C" w:rsidRDefault="009B685C" w:rsidP="009B685C">
            <w:pPr>
              <w:pStyle w:val="TableHeading1"/>
            </w:pPr>
            <w:r w:rsidRPr="009B685C">
              <w:t>Current rating</w:t>
            </w:r>
          </w:p>
        </w:tc>
        <w:tc>
          <w:tcPr>
            <w:tcW w:w="1021" w:type="dxa"/>
          </w:tcPr>
          <w:p w14:paraId="78475587" w14:textId="1F9AE288" w:rsidR="009B685C" w:rsidRPr="009B685C" w:rsidRDefault="009B685C" w:rsidP="009B685C">
            <w:pPr>
              <w:pStyle w:val="TableHeading1"/>
            </w:pPr>
            <w:r w:rsidRPr="009B685C">
              <w:t>Previous rating</w:t>
            </w:r>
          </w:p>
        </w:tc>
      </w:tr>
      <w:tr w:rsidR="009B685C" w:rsidRPr="001159CC" w14:paraId="3A21D96F" w14:textId="77777777" w:rsidTr="009B685C">
        <w:trPr>
          <w:cnfStyle w:val="000000010000" w:firstRow="0" w:lastRow="0" w:firstColumn="0" w:lastColumn="0" w:oddVBand="0" w:evenVBand="0" w:oddHBand="0" w:evenHBand="1" w:firstRowFirstColumn="0" w:firstRowLastColumn="0" w:lastRowFirstColumn="0" w:lastRowLastColumn="0"/>
        </w:trPr>
        <w:tc>
          <w:tcPr>
            <w:tcW w:w="5700" w:type="dxa"/>
          </w:tcPr>
          <w:p w14:paraId="693A73CE" w14:textId="77777777" w:rsidR="009B685C" w:rsidRPr="009B685C" w:rsidRDefault="009B685C" w:rsidP="009B685C">
            <w:pPr>
              <w:pStyle w:val="TableTextEntries"/>
              <w:rPr>
                <w:rFonts w:eastAsia="SimSun"/>
              </w:rPr>
            </w:pPr>
            <w:r w:rsidRPr="009B685C">
              <w:rPr>
                <w:rFonts w:eastAsia="SimSun"/>
              </w:rPr>
              <w:t>Objective 1: Increased access to and use of safe water and sanitation</w:t>
            </w:r>
          </w:p>
        </w:tc>
        <w:tc>
          <w:tcPr>
            <w:tcW w:w="972" w:type="dxa"/>
            <w:shd w:val="clear" w:color="auto" w:fill="92D050"/>
            <w:noWrap/>
          </w:tcPr>
          <w:p w14:paraId="02799196" w14:textId="77777777" w:rsidR="009B685C" w:rsidRPr="009B685C" w:rsidRDefault="009B685C" w:rsidP="009B685C">
            <w:pPr>
              <w:pStyle w:val="TableTextEntries"/>
              <w:rPr>
                <w:rFonts w:eastAsia="SimSun"/>
              </w:rPr>
            </w:pPr>
            <w:r w:rsidRPr="009B685C">
              <w:rPr>
                <w:rFonts w:eastAsia="SimSun"/>
              </w:rPr>
              <w:t>Green</w:t>
            </w:r>
          </w:p>
        </w:tc>
        <w:tc>
          <w:tcPr>
            <w:tcW w:w="1021" w:type="dxa"/>
            <w:shd w:val="clear" w:color="auto" w:fill="92D050"/>
            <w:noWrap/>
          </w:tcPr>
          <w:p w14:paraId="114C6094" w14:textId="77777777" w:rsidR="009B685C" w:rsidRPr="009B685C" w:rsidRDefault="009B685C" w:rsidP="009B685C">
            <w:pPr>
              <w:pStyle w:val="TableTextEntries"/>
              <w:rPr>
                <w:rFonts w:eastAsia="SimSun"/>
              </w:rPr>
            </w:pPr>
            <w:r w:rsidRPr="009B685C">
              <w:rPr>
                <w:rFonts w:eastAsia="SimSun"/>
              </w:rPr>
              <w:t>Green</w:t>
            </w:r>
          </w:p>
        </w:tc>
      </w:tr>
      <w:tr w:rsidR="009B685C" w:rsidRPr="001159CC" w14:paraId="5DD0F8A3" w14:textId="77777777" w:rsidTr="009B685C">
        <w:trPr>
          <w:cnfStyle w:val="000000010000" w:firstRow="0" w:lastRow="0" w:firstColumn="0" w:lastColumn="0" w:oddVBand="0" w:evenVBand="0" w:oddHBand="0" w:evenHBand="1" w:firstRowFirstColumn="0" w:firstRowLastColumn="0" w:lastRowFirstColumn="0" w:lastRowLastColumn="0"/>
        </w:trPr>
        <w:tc>
          <w:tcPr>
            <w:tcW w:w="5700" w:type="dxa"/>
          </w:tcPr>
          <w:p w14:paraId="3F9F5373" w14:textId="77777777" w:rsidR="009B685C" w:rsidRPr="009B685C" w:rsidRDefault="009B685C" w:rsidP="009B685C">
            <w:pPr>
              <w:pStyle w:val="TableTextEntries"/>
              <w:rPr>
                <w:rFonts w:eastAsia="SimSun"/>
              </w:rPr>
            </w:pPr>
            <w:r w:rsidRPr="009B685C">
              <w:rPr>
                <w:rFonts w:eastAsia="SimSun"/>
              </w:rPr>
              <w:t>Objective 2: Rural population has better roads</w:t>
            </w:r>
          </w:p>
        </w:tc>
        <w:tc>
          <w:tcPr>
            <w:tcW w:w="972" w:type="dxa"/>
            <w:shd w:val="clear" w:color="auto" w:fill="F79646" w:themeFill="accent6"/>
            <w:noWrap/>
          </w:tcPr>
          <w:p w14:paraId="5E5135F2" w14:textId="77777777" w:rsidR="009B685C" w:rsidRPr="009B685C" w:rsidRDefault="009B685C" w:rsidP="009B685C">
            <w:pPr>
              <w:pStyle w:val="TableTextEntries"/>
              <w:rPr>
                <w:rFonts w:eastAsia="SimSun"/>
              </w:rPr>
            </w:pPr>
            <w:r w:rsidRPr="009B685C">
              <w:rPr>
                <w:rFonts w:eastAsia="SimSun"/>
              </w:rPr>
              <w:t>Amber</w:t>
            </w:r>
          </w:p>
        </w:tc>
        <w:tc>
          <w:tcPr>
            <w:tcW w:w="1021" w:type="dxa"/>
            <w:shd w:val="clear" w:color="auto" w:fill="F79646" w:themeFill="accent6"/>
            <w:noWrap/>
          </w:tcPr>
          <w:p w14:paraId="56C4FAA9" w14:textId="77777777" w:rsidR="009B685C" w:rsidRPr="009B685C" w:rsidRDefault="009B685C" w:rsidP="009B685C">
            <w:pPr>
              <w:pStyle w:val="TableTextEntries"/>
              <w:rPr>
                <w:rFonts w:eastAsia="SimSun"/>
              </w:rPr>
            </w:pPr>
            <w:r w:rsidRPr="009B685C">
              <w:rPr>
                <w:rFonts w:eastAsia="SimSun"/>
              </w:rPr>
              <w:t>Amber</w:t>
            </w:r>
          </w:p>
        </w:tc>
      </w:tr>
      <w:tr w:rsidR="009B685C" w:rsidRPr="001159CC" w14:paraId="06E94FDD" w14:textId="77777777" w:rsidTr="009B685C">
        <w:trPr>
          <w:cnfStyle w:val="000000010000" w:firstRow="0" w:lastRow="0" w:firstColumn="0" w:lastColumn="0" w:oddVBand="0" w:evenVBand="0" w:oddHBand="0" w:evenHBand="1" w:firstRowFirstColumn="0" w:firstRowLastColumn="0" w:lastRowFirstColumn="0" w:lastRowLastColumn="0"/>
        </w:trPr>
        <w:tc>
          <w:tcPr>
            <w:tcW w:w="5700" w:type="dxa"/>
          </w:tcPr>
          <w:p w14:paraId="34DF7DDA" w14:textId="13F130E8" w:rsidR="009B685C" w:rsidRPr="009B685C" w:rsidRDefault="009B685C" w:rsidP="009B685C">
            <w:pPr>
              <w:pStyle w:val="TableTextEntries"/>
              <w:rPr>
                <w:rFonts w:eastAsia="SimSun"/>
              </w:rPr>
            </w:pPr>
            <w:r w:rsidRPr="009B685C">
              <w:rPr>
                <w:rFonts w:eastAsia="SimSun"/>
              </w:rPr>
              <w:t>Objective 3: Increased productivity of major staple food crops through farmers using improved seed</w:t>
            </w:r>
          </w:p>
        </w:tc>
        <w:tc>
          <w:tcPr>
            <w:tcW w:w="972" w:type="dxa"/>
            <w:shd w:val="clear" w:color="auto" w:fill="92D050"/>
            <w:noWrap/>
          </w:tcPr>
          <w:p w14:paraId="7CEBD89A" w14:textId="77777777" w:rsidR="009B685C" w:rsidRPr="009B685C" w:rsidRDefault="009B685C" w:rsidP="009B685C">
            <w:pPr>
              <w:pStyle w:val="TableTextEntries"/>
              <w:rPr>
                <w:rFonts w:eastAsia="SimSun"/>
              </w:rPr>
            </w:pPr>
            <w:r w:rsidRPr="009B685C">
              <w:rPr>
                <w:rFonts w:eastAsia="SimSun"/>
              </w:rPr>
              <w:t>Green</w:t>
            </w:r>
          </w:p>
        </w:tc>
        <w:tc>
          <w:tcPr>
            <w:tcW w:w="1021" w:type="dxa"/>
            <w:shd w:val="clear" w:color="auto" w:fill="92D050"/>
            <w:noWrap/>
          </w:tcPr>
          <w:p w14:paraId="2CDBCA36" w14:textId="77777777" w:rsidR="009B685C" w:rsidRPr="009B685C" w:rsidRDefault="009B685C" w:rsidP="009B685C">
            <w:pPr>
              <w:pStyle w:val="TableTextEntries"/>
              <w:rPr>
                <w:rFonts w:eastAsia="SimSun"/>
              </w:rPr>
            </w:pPr>
            <w:r w:rsidRPr="009B685C">
              <w:rPr>
                <w:rFonts w:eastAsia="SimSun"/>
              </w:rPr>
              <w:t>Green</w:t>
            </w:r>
          </w:p>
        </w:tc>
      </w:tr>
      <w:tr w:rsidR="009B685C" w:rsidRPr="001159CC" w14:paraId="780198CF" w14:textId="77777777" w:rsidTr="009B685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5700" w:type="dxa"/>
            <w:tcBorders>
              <w:left w:val="nil"/>
              <w:right w:val="nil"/>
            </w:tcBorders>
          </w:tcPr>
          <w:p w14:paraId="3FA98762" w14:textId="77777777" w:rsidR="009B685C" w:rsidRPr="009B685C" w:rsidRDefault="009B685C" w:rsidP="009B685C">
            <w:pPr>
              <w:pStyle w:val="TableTextEntries"/>
              <w:rPr>
                <w:rFonts w:eastAsia="SimSun"/>
                <w:b w:val="0"/>
              </w:rPr>
            </w:pPr>
            <w:r w:rsidRPr="009B685C">
              <w:rPr>
                <w:rFonts w:eastAsia="SimSun"/>
                <w:b w:val="0"/>
              </w:rPr>
              <w:t>Objective 4: More children and youth attain improved learning outcomes and employability</w:t>
            </w:r>
          </w:p>
        </w:tc>
        <w:tc>
          <w:tcPr>
            <w:tcW w:w="972" w:type="dxa"/>
            <w:tcBorders>
              <w:left w:val="nil"/>
              <w:right w:val="nil"/>
            </w:tcBorders>
            <w:shd w:val="clear" w:color="auto" w:fill="F79646" w:themeFill="accent6"/>
            <w:noWrap/>
          </w:tcPr>
          <w:p w14:paraId="65BB99FC" w14:textId="77777777" w:rsidR="009B685C" w:rsidRPr="009B685C" w:rsidRDefault="009B685C" w:rsidP="009B685C">
            <w:pPr>
              <w:pStyle w:val="TableTextEntries"/>
              <w:rPr>
                <w:rFonts w:eastAsia="SimSun"/>
                <w:b w:val="0"/>
              </w:rPr>
            </w:pPr>
            <w:r w:rsidRPr="009B685C">
              <w:rPr>
                <w:rFonts w:eastAsia="SimSun"/>
                <w:b w:val="0"/>
              </w:rPr>
              <w:t>Amber</w:t>
            </w:r>
          </w:p>
        </w:tc>
        <w:tc>
          <w:tcPr>
            <w:tcW w:w="1021" w:type="dxa"/>
            <w:tcBorders>
              <w:left w:val="nil"/>
              <w:right w:val="nil"/>
            </w:tcBorders>
            <w:shd w:val="clear" w:color="auto" w:fill="FF0000"/>
            <w:noWrap/>
          </w:tcPr>
          <w:p w14:paraId="085D2282" w14:textId="77777777" w:rsidR="009B685C" w:rsidRPr="009B685C" w:rsidRDefault="009B685C" w:rsidP="009B685C">
            <w:pPr>
              <w:pStyle w:val="TableTextEntries"/>
              <w:rPr>
                <w:rFonts w:eastAsia="SimSun"/>
                <w:b w:val="0"/>
              </w:rPr>
            </w:pPr>
            <w:r w:rsidRPr="009B685C">
              <w:rPr>
                <w:rFonts w:eastAsia="SimSun"/>
                <w:b w:val="0"/>
              </w:rPr>
              <w:t>Red</w:t>
            </w:r>
          </w:p>
        </w:tc>
      </w:tr>
      <w:tr w:rsidR="009B685C" w:rsidRPr="001159CC" w14:paraId="74F89E9F" w14:textId="77777777" w:rsidTr="009B685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5700" w:type="dxa"/>
            <w:tcBorders>
              <w:left w:val="nil"/>
              <w:right w:val="nil"/>
            </w:tcBorders>
          </w:tcPr>
          <w:p w14:paraId="70503741" w14:textId="77777777" w:rsidR="009B685C" w:rsidRPr="009B685C" w:rsidRDefault="009B685C" w:rsidP="009B685C">
            <w:pPr>
              <w:pStyle w:val="TableTextEntries"/>
              <w:rPr>
                <w:rFonts w:eastAsia="SimSun"/>
                <w:b w:val="0"/>
              </w:rPr>
            </w:pPr>
            <w:r w:rsidRPr="009B685C">
              <w:rPr>
                <w:rFonts w:eastAsia="SimSun"/>
                <w:b w:val="0"/>
              </w:rPr>
              <w:t>Objective 5: Households, especially the most vulnerable, increasingly practice behaviours that are conducive to better maternal and child health and nutrition and use reproductive, maternal, newborn and child health services</w:t>
            </w:r>
          </w:p>
        </w:tc>
        <w:tc>
          <w:tcPr>
            <w:tcW w:w="972" w:type="dxa"/>
            <w:tcBorders>
              <w:left w:val="nil"/>
              <w:right w:val="nil"/>
            </w:tcBorders>
            <w:shd w:val="clear" w:color="auto" w:fill="FF0000"/>
            <w:noWrap/>
          </w:tcPr>
          <w:p w14:paraId="5064B4C5" w14:textId="77777777" w:rsidR="009B685C" w:rsidRPr="009B685C" w:rsidRDefault="009B685C" w:rsidP="009B685C">
            <w:pPr>
              <w:pStyle w:val="TableTextEntries"/>
              <w:rPr>
                <w:rFonts w:eastAsia="SimSun"/>
                <w:b w:val="0"/>
              </w:rPr>
            </w:pPr>
            <w:r w:rsidRPr="009B685C">
              <w:rPr>
                <w:rFonts w:eastAsia="SimSun"/>
                <w:b w:val="0"/>
              </w:rPr>
              <w:t>Red</w:t>
            </w:r>
          </w:p>
        </w:tc>
        <w:tc>
          <w:tcPr>
            <w:tcW w:w="1021" w:type="dxa"/>
            <w:tcBorders>
              <w:left w:val="nil"/>
              <w:right w:val="nil"/>
            </w:tcBorders>
            <w:shd w:val="clear" w:color="auto" w:fill="FF0000"/>
            <w:noWrap/>
          </w:tcPr>
          <w:p w14:paraId="07737FC0" w14:textId="77777777" w:rsidR="009B685C" w:rsidRPr="009B685C" w:rsidRDefault="009B685C" w:rsidP="009B685C">
            <w:pPr>
              <w:pStyle w:val="TableTextEntries"/>
              <w:rPr>
                <w:rFonts w:eastAsia="SimSun"/>
                <w:b w:val="0"/>
              </w:rPr>
            </w:pPr>
            <w:r w:rsidRPr="009B685C">
              <w:rPr>
                <w:rFonts w:eastAsia="SimSun"/>
                <w:b w:val="0"/>
              </w:rPr>
              <w:t>Red</w:t>
            </w:r>
          </w:p>
        </w:tc>
      </w:tr>
      <w:tr w:rsidR="009B685C" w:rsidRPr="001159CC" w14:paraId="38C5684C" w14:textId="77777777" w:rsidTr="009B685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5700" w:type="dxa"/>
            <w:tcBorders>
              <w:left w:val="nil"/>
              <w:right w:val="nil"/>
            </w:tcBorders>
          </w:tcPr>
          <w:p w14:paraId="00EA2A9C" w14:textId="26EE0249" w:rsidR="009B685C" w:rsidRPr="009B685C" w:rsidRDefault="009B685C" w:rsidP="009B685C">
            <w:pPr>
              <w:pStyle w:val="TableTextEntries"/>
              <w:rPr>
                <w:rFonts w:eastAsia="SimSun"/>
                <w:b w:val="0"/>
              </w:rPr>
            </w:pPr>
            <w:r w:rsidRPr="009B685C">
              <w:rPr>
                <w:rFonts w:eastAsia="SimSun"/>
                <w:b w:val="0"/>
              </w:rPr>
              <w:t>Objective 6: Police service effective and accountable in supporting rule of law</w:t>
            </w:r>
          </w:p>
        </w:tc>
        <w:tc>
          <w:tcPr>
            <w:tcW w:w="972" w:type="dxa"/>
            <w:tcBorders>
              <w:left w:val="nil"/>
              <w:right w:val="nil"/>
            </w:tcBorders>
            <w:shd w:val="clear" w:color="auto" w:fill="92D050"/>
            <w:noWrap/>
          </w:tcPr>
          <w:p w14:paraId="32714511" w14:textId="77777777" w:rsidR="009B685C" w:rsidRPr="009B685C" w:rsidRDefault="009B685C" w:rsidP="009B685C">
            <w:pPr>
              <w:pStyle w:val="TableTextEntries"/>
              <w:rPr>
                <w:rFonts w:eastAsia="SimSun"/>
                <w:b w:val="0"/>
              </w:rPr>
            </w:pPr>
            <w:r w:rsidRPr="009B685C">
              <w:rPr>
                <w:rFonts w:eastAsia="SimSun"/>
                <w:b w:val="0"/>
              </w:rPr>
              <w:t>Green</w:t>
            </w:r>
          </w:p>
        </w:tc>
        <w:tc>
          <w:tcPr>
            <w:tcW w:w="1021" w:type="dxa"/>
            <w:tcBorders>
              <w:left w:val="nil"/>
              <w:right w:val="nil"/>
            </w:tcBorders>
            <w:shd w:val="clear" w:color="auto" w:fill="92D050"/>
            <w:noWrap/>
          </w:tcPr>
          <w:p w14:paraId="6B0EFB23" w14:textId="77777777" w:rsidR="009B685C" w:rsidRPr="009B685C" w:rsidRDefault="009B685C" w:rsidP="009B685C">
            <w:pPr>
              <w:pStyle w:val="TableTextEntries"/>
              <w:rPr>
                <w:rFonts w:eastAsia="SimSun"/>
                <w:b w:val="0"/>
              </w:rPr>
            </w:pPr>
            <w:r w:rsidRPr="009B685C">
              <w:rPr>
                <w:rFonts w:eastAsia="SimSun"/>
                <w:b w:val="0"/>
              </w:rPr>
              <w:t>Green</w:t>
            </w:r>
          </w:p>
        </w:tc>
      </w:tr>
      <w:tr w:rsidR="009B685C" w:rsidRPr="001159CC" w14:paraId="13A29174" w14:textId="77777777" w:rsidTr="009B685C">
        <w:trPr>
          <w:cnfStyle w:val="000000010000" w:firstRow="0" w:lastRow="0" w:firstColumn="0" w:lastColumn="0" w:oddVBand="0" w:evenVBand="0" w:oddHBand="0" w:evenHBand="1" w:firstRowFirstColumn="0" w:firstRowLastColumn="0" w:lastRowFirstColumn="0" w:lastRowLastColumn="0"/>
        </w:trPr>
        <w:tc>
          <w:tcPr>
            <w:tcW w:w="5700" w:type="dxa"/>
          </w:tcPr>
          <w:p w14:paraId="083F0BBF" w14:textId="77777777" w:rsidR="009B685C" w:rsidRPr="009B685C" w:rsidRDefault="009B685C" w:rsidP="009B685C">
            <w:pPr>
              <w:pStyle w:val="TableTextEntries"/>
              <w:rPr>
                <w:rFonts w:eastAsia="SimSun"/>
              </w:rPr>
            </w:pPr>
            <w:r w:rsidRPr="009B685C">
              <w:rPr>
                <w:rFonts w:eastAsia="SimSun"/>
              </w:rPr>
              <w:t xml:space="preserve">Objective 7: Poverty reduction in Timor-Leste through improved economic development and delivery of services </w:t>
            </w:r>
          </w:p>
        </w:tc>
        <w:tc>
          <w:tcPr>
            <w:tcW w:w="972" w:type="dxa"/>
            <w:shd w:val="clear" w:color="auto" w:fill="92D050"/>
            <w:noWrap/>
          </w:tcPr>
          <w:p w14:paraId="75B25395" w14:textId="77777777" w:rsidR="009B685C" w:rsidRPr="009B685C" w:rsidRDefault="009B685C" w:rsidP="009B685C">
            <w:pPr>
              <w:pStyle w:val="TableTextEntries"/>
              <w:rPr>
                <w:rFonts w:eastAsia="SimSun"/>
              </w:rPr>
            </w:pPr>
            <w:r w:rsidRPr="009B685C">
              <w:rPr>
                <w:rFonts w:eastAsia="SimSun"/>
              </w:rPr>
              <w:t>Green</w:t>
            </w:r>
          </w:p>
        </w:tc>
        <w:tc>
          <w:tcPr>
            <w:tcW w:w="1021" w:type="dxa"/>
            <w:shd w:val="clear" w:color="auto" w:fill="F79646" w:themeFill="accent6"/>
            <w:noWrap/>
          </w:tcPr>
          <w:p w14:paraId="327D7FF4" w14:textId="77777777" w:rsidR="009B685C" w:rsidRPr="009B685C" w:rsidRDefault="009B685C" w:rsidP="009B685C">
            <w:pPr>
              <w:pStyle w:val="TableTextEntries"/>
              <w:rPr>
                <w:rFonts w:eastAsia="SimSun"/>
              </w:rPr>
            </w:pPr>
            <w:r w:rsidRPr="009B685C">
              <w:rPr>
                <w:rFonts w:eastAsia="SimSun"/>
              </w:rPr>
              <w:t>Amber</w:t>
            </w:r>
          </w:p>
        </w:tc>
      </w:tr>
    </w:tbl>
    <w:p w14:paraId="0D425DA8" w14:textId="77777777" w:rsidR="00180B19" w:rsidRPr="00AA729B" w:rsidRDefault="00180B19">
      <w:pPr>
        <w:pStyle w:val="Note"/>
      </w:pPr>
      <w:r w:rsidRPr="00AA729B">
        <w:t xml:space="preserve">Note: </w:t>
      </w:r>
    </w:p>
    <w:p w14:paraId="460FB1C0" w14:textId="77777777" w:rsidR="00180B19" w:rsidRDefault="00180B19">
      <w:pPr>
        <w:pStyle w:val="Note"/>
      </w:pPr>
      <w:r w:rsidRPr="00AA729B">
        <w:rPr>
          <w:color w:val="92D050"/>
        </w:rPr>
        <w:sym w:font="Webdings" w:char="F067"/>
      </w:r>
      <w:r w:rsidRPr="00AA729B">
        <w:t> </w:t>
      </w:r>
      <w:r w:rsidRPr="00AA729B">
        <w:t xml:space="preserve"> </w:t>
      </w:r>
      <w:proofErr w:type="gramStart"/>
      <w:r w:rsidR="00443639" w:rsidRPr="002D2C2F">
        <w:t>Green.</w:t>
      </w:r>
      <w:proofErr w:type="gramEnd"/>
      <w:r w:rsidR="00443639" w:rsidRPr="002D2C2F">
        <w:t xml:space="preserve"> </w:t>
      </w:r>
      <w:r w:rsidRPr="002D2C2F">
        <w:t>Progress is as expected for this point in time and it is likely that the objective will be achieved. Standard program management practices are sufficient.</w:t>
      </w:r>
    </w:p>
    <w:p w14:paraId="4C851DEB" w14:textId="77777777" w:rsidR="00180B19" w:rsidRDefault="00180B19">
      <w:pPr>
        <w:pStyle w:val="Note"/>
      </w:pPr>
      <w:r w:rsidRPr="00AA729B">
        <w:rPr>
          <w:color w:val="F79646" w:themeColor="accent6"/>
        </w:rPr>
        <w:sym w:font="Webdings" w:char="F067"/>
      </w:r>
      <w:r w:rsidRPr="00AA729B">
        <w:t> </w:t>
      </w:r>
      <w:r w:rsidRPr="00AA729B">
        <w:t xml:space="preserve"> </w:t>
      </w:r>
      <w:r w:rsidR="00443639" w:rsidRPr="002D2C2F">
        <w:t xml:space="preserve">Amber. </w:t>
      </w:r>
      <w:r w:rsidRPr="002D2C2F">
        <w:t>Progress is somewhat less than expected for this point in time and restorative action will be necessary if the objective is to be achieved. Close performance monitoring is recommended.</w:t>
      </w:r>
    </w:p>
    <w:p w14:paraId="6E5D00AA" w14:textId="00EF79AA" w:rsidR="009B685C" w:rsidRPr="009B685C" w:rsidRDefault="00180B19" w:rsidP="009B685C">
      <w:pPr>
        <w:pStyle w:val="Note"/>
      </w:pPr>
      <w:r w:rsidRPr="00AA729B">
        <w:rPr>
          <w:color w:val="FF0000"/>
        </w:rPr>
        <w:sym w:font="Webdings" w:char="F067"/>
      </w:r>
      <w:r w:rsidRPr="00AA729B">
        <w:t> </w:t>
      </w:r>
      <w:r w:rsidRPr="00AA729B">
        <w:t xml:space="preserve"> </w:t>
      </w:r>
      <w:proofErr w:type="gramStart"/>
      <w:r w:rsidR="00443639" w:rsidRPr="002D2C2F">
        <w:t>Red.</w:t>
      </w:r>
      <w:proofErr w:type="gramEnd"/>
      <w:r w:rsidR="00443639" w:rsidRPr="002D2C2F">
        <w:t xml:space="preserve"> </w:t>
      </w:r>
      <w:r w:rsidRPr="002D2C2F">
        <w:t>Progress is significantly less than expected for this point in time and the objective is not likely to be met given available resources and priorities. Recasting the objective may be required.</w:t>
      </w:r>
      <w:r w:rsidRPr="00AA729B">
        <w:t xml:space="preserve"> </w:t>
      </w:r>
    </w:p>
    <w:p w14:paraId="7E1B24A1" w14:textId="77777777" w:rsidR="009B685C" w:rsidRDefault="009B685C" w:rsidP="00C14AA8">
      <w:pPr>
        <w:pStyle w:val="BodyText"/>
      </w:pPr>
    </w:p>
    <w:p w14:paraId="4888C6EE" w14:textId="3B8A52B3" w:rsidR="00A96FF1" w:rsidRPr="00732DAD" w:rsidRDefault="00A96FF1" w:rsidP="00C14AA8">
      <w:pPr>
        <w:pStyle w:val="BodyText"/>
      </w:pPr>
      <w:r w:rsidRPr="00732DAD">
        <w:t xml:space="preserve">The Timor-Leste program piloted a </w:t>
      </w:r>
      <w:r w:rsidR="00AE5B25" w:rsidRPr="00732DAD">
        <w:t xml:space="preserve">performance assessment framework </w:t>
      </w:r>
      <w:r w:rsidRPr="00732DAD">
        <w:t xml:space="preserve">for </w:t>
      </w:r>
      <w:r w:rsidR="00915570" w:rsidRPr="00732DAD">
        <w:t>th</w:t>
      </w:r>
      <w:r w:rsidR="00915570">
        <w:t>is</w:t>
      </w:r>
      <w:r w:rsidR="00915570" w:rsidRPr="00732DAD">
        <w:t xml:space="preserve"> </w:t>
      </w:r>
      <w:r w:rsidRPr="00732DAD">
        <w:t xml:space="preserve">reporting period. The </w:t>
      </w:r>
      <w:r w:rsidR="00915570">
        <w:t>framework’s</w:t>
      </w:r>
      <w:r w:rsidR="00915570" w:rsidRPr="00732DAD">
        <w:t xml:space="preserve"> </w:t>
      </w:r>
      <w:r w:rsidRPr="00732DAD">
        <w:t>purpose was to agree on country-level objectives for reporting, and identify appropriate indicators for assessing the adequacy of progress toward them.</w:t>
      </w:r>
      <w:r w:rsidR="00487DC8">
        <w:t xml:space="preserve"> This is because the program currently draws on both the </w:t>
      </w:r>
      <w:r w:rsidR="00AE5B25" w:rsidRPr="00395C48">
        <w:t>Australia–Timor-Leste Country Strategy 2009–2014</w:t>
      </w:r>
      <w:r w:rsidR="00487DC8" w:rsidRPr="004273CD">
        <w:t xml:space="preserve"> </w:t>
      </w:r>
      <w:r w:rsidR="00487DC8">
        <w:t xml:space="preserve">and the </w:t>
      </w:r>
      <w:r w:rsidR="00AE5B25">
        <w:t xml:space="preserve">partnership agreement </w:t>
      </w:r>
      <w:r w:rsidR="00487DC8">
        <w:t>for its objectives and targets.</w:t>
      </w:r>
      <w:r w:rsidRPr="00732DAD">
        <w:t xml:space="preserve"> This </w:t>
      </w:r>
      <w:r w:rsidR="00296FE3">
        <w:t>pilot and as</w:t>
      </w:r>
      <w:bookmarkStart w:id="0" w:name="_GoBack"/>
      <w:bookmarkEnd w:id="0"/>
      <w:r w:rsidR="00296FE3">
        <w:t>sociated performance information is providing</w:t>
      </w:r>
      <w:r w:rsidRPr="00732DAD">
        <w:t xml:space="preserve"> </w:t>
      </w:r>
      <w:r w:rsidR="00AE5B25">
        <w:t>the</w:t>
      </w:r>
      <w:r w:rsidR="00AE5B25" w:rsidRPr="00732DAD">
        <w:t xml:space="preserve"> </w:t>
      </w:r>
      <w:r w:rsidRPr="00732DAD">
        <w:t xml:space="preserve">foundation </w:t>
      </w:r>
      <w:r w:rsidR="00AE5B25">
        <w:t>for</w:t>
      </w:r>
      <w:r w:rsidRPr="00732DAD">
        <w:t xml:space="preserve"> </w:t>
      </w:r>
      <w:r w:rsidR="00AE5B25">
        <w:t xml:space="preserve">a </w:t>
      </w:r>
      <w:r w:rsidRPr="00732DAD">
        <w:t xml:space="preserve">fully elaborated </w:t>
      </w:r>
      <w:r w:rsidR="00AE5B25" w:rsidRPr="00732DAD">
        <w:t xml:space="preserve">performance assessment framework </w:t>
      </w:r>
      <w:r w:rsidRPr="00732DAD">
        <w:t xml:space="preserve">for the new </w:t>
      </w:r>
      <w:r w:rsidR="00AE5B25" w:rsidRPr="00395C48">
        <w:t>Australia</w:t>
      </w:r>
      <w:r w:rsidR="00AE5B25">
        <w:t>–</w:t>
      </w:r>
      <w:r w:rsidR="00AE5B25" w:rsidRPr="00395C48">
        <w:t xml:space="preserve">Timor-Leste </w:t>
      </w:r>
      <w:r w:rsidR="00915570">
        <w:t>c</w:t>
      </w:r>
      <w:r w:rsidR="00AE5B25" w:rsidRPr="00395C48">
        <w:t>ountry</w:t>
      </w:r>
      <w:r w:rsidR="00915570">
        <w:t xml:space="preserve"> strategy</w:t>
      </w:r>
      <w:r w:rsidR="00AE5B25" w:rsidRPr="00AF24B2">
        <w:rPr>
          <w:i/>
        </w:rPr>
        <w:t xml:space="preserve"> </w:t>
      </w:r>
      <w:r w:rsidR="00487DC8">
        <w:t>in 2014</w:t>
      </w:r>
      <w:r w:rsidRPr="00732DAD">
        <w:t>.</w:t>
      </w:r>
      <w:r w:rsidR="00296FE3">
        <w:t xml:space="preserve"> Sector, nutrition and social inclusion indicators have been used for reporting in this </w:t>
      </w:r>
      <w:r w:rsidR="009F391B">
        <w:t xml:space="preserve">aid </w:t>
      </w:r>
      <w:r w:rsidR="00AE5B25">
        <w:t>program performance report</w:t>
      </w:r>
      <w:r w:rsidR="00296FE3">
        <w:t>.</w:t>
      </w:r>
    </w:p>
    <w:p w14:paraId="4244809D" w14:textId="77777777" w:rsidR="005D1FAD" w:rsidRPr="00C14AA8" w:rsidRDefault="005D1FAD" w:rsidP="00C14AA8">
      <w:pPr>
        <w:pStyle w:val="Heading2"/>
      </w:pPr>
      <w:r w:rsidRPr="00C14AA8">
        <w:t>Objective 1</w:t>
      </w:r>
    </w:p>
    <w:tbl>
      <w:tblPr>
        <w:tblStyle w:val="APPR"/>
        <w:tblW w:w="5000" w:type="pct"/>
        <w:tblLook w:val="0000" w:firstRow="0" w:lastRow="0" w:firstColumn="0" w:lastColumn="0" w:noHBand="0" w:noVBand="0"/>
      </w:tblPr>
      <w:tblGrid>
        <w:gridCol w:w="6337"/>
        <w:gridCol w:w="1101"/>
        <w:gridCol w:w="1169"/>
      </w:tblGrid>
      <w:tr w:rsidR="00C14AA8" w:rsidRPr="001159CC" w14:paraId="3C4F1D4B" w14:textId="77777777" w:rsidTr="009B685C">
        <w:trPr>
          <w:cnfStyle w:val="000000010000" w:firstRow="0" w:lastRow="0" w:firstColumn="0" w:lastColumn="0" w:oddVBand="0" w:evenVBand="0" w:oddHBand="0" w:evenHBand="1" w:firstRowFirstColumn="0" w:firstRowLastColumn="0" w:lastRowFirstColumn="0" w:lastRowLastColumn="0"/>
        </w:trPr>
        <w:tc>
          <w:tcPr>
            <w:tcW w:w="5700" w:type="dxa"/>
          </w:tcPr>
          <w:p w14:paraId="5906CCF1" w14:textId="77777777" w:rsidR="00C14AA8" w:rsidRPr="00C14AA8" w:rsidRDefault="00C14AA8" w:rsidP="00C14AA8">
            <w:pPr>
              <w:pStyle w:val="TableHeading1"/>
            </w:pPr>
            <w:r w:rsidRPr="00C14AA8">
              <w:rPr>
                <w:noProof/>
                <w:lang w:eastAsia="en-AU"/>
              </w:rPr>
              <w:drawing>
                <wp:anchor distT="0" distB="0" distL="114300" distR="114300" simplePos="0" relativeHeight="251682816" behindDoc="0" locked="0" layoutInCell="1" allowOverlap="1" wp14:anchorId="37405314" wp14:editId="39BFFD55">
                  <wp:simplePos x="0" y="0"/>
                  <wp:positionH relativeFrom="column">
                    <wp:posOffset>0</wp:posOffset>
                  </wp:positionH>
                  <wp:positionV relativeFrom="paragraph">
                    <wp:posOffset>0</wp:posOffset>
                  </wp:positionV>
                  <wp:extent cx="1857375" cy="228600"/>
                  <wp:effectExtent l="0" t="0" r="9525" b="0"/>
                  <wp:wrapNone/>
                  <wp:docPr id="25" name="Picture 2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AA8">
              <w:t>Objective</w:t>
            </w:r>
          </w:p>
        </w:tc>
        <w:tc>
          <w:tcPr>
            <w:tcW w:w="972" w:type="dxa"/>
          </w:tcPr>
          <w:p w14:paraId="74F12572" w14:textId="6F206E63" w:rsidR="00C14AA8" w:rsidRPr="00C14AA8" w:rsidRDefault="00C14AA8" w:rsidP="00C14AA8">
            <w:pPr>
              <w:pStyle w:val="TableHeading1"/>
            </w:pPr>
            <w:r w:rsidRPr="00C14AA8">
              <w:t>Current rating</w:t>
            </w:r>
          </w:p>
        </w:tc>
        <w:tc>
          <w:tcPr>
            <w:tcW w:w="1021" w:type="dxa"/>
          </w:tcPr>
          <w:p w14:paraId="5E534A1D" w14:textId="4A37AF8B" w:rsidR="00C14AA8" w:rsidRPr="00C14AA8" w:rsidRDefault="00C14AA8" w:rsidP="00C14AA8">
            <w:pPr>
              <w:pStyle w:val="TableHeading1"/>
            </w:pPr>
            <w:r w:rsidRPr="00C14AA8">
              <w:t>Previous rating</w:t>
            </w:r>
          </w:p>
        </w:tc>
      </w:tr>
      <w:tr w:rsidR="00C14AA8" w:rsidRPr="001159CC" w14:paraId="26516BBF" w14:textId="77777777" w:rsidTr="009B685C">
        <w:trPr>
          <w:cnfStyle w:val="000000010000" w:firstRow="0" w:lastRow="0" w:firstColumn="0" w:lastColumn="0" w:oddVBand="0" w:evenVBand="0" w:oddHBand="0" w:evenHBand="1" w:firstRowFirstColumn="0" w:firstRowLastColumn="0" w:lastRowFirstColumn="0" w:lastRowLastColumn="0"/>
        </w:trPr>
        <w:tc>
          <w:tcPr>
            <w:tcW w:w="5700" w:type="dxa"/>
          </w:tcPr>
          <w:p w14:paraId="42238928" w14:textId="77777777" w:rsidR="00C14AA8" w:rsidRPr="001159CC" w:rsidRDefault="00C14AA8" w:rsidP="00C14AA8">
            <w:pPr>
              <w:pStyle w:val="TableTextEntries"/>
              <w:rPr>
                <w:rFonts w:asciiTheme="minorHAnsi" w:hAnsiTheme="minorHAnsi" w:cstheme="minorHAnsi"/>
                <w:sz w:val="22"/>
                <w:szCs w:val="22"/>
              </w:rPr>
            </w:pPr>
            <w:r w:rsidRPr="00917003">
              <w:rPr>
                <w:rFonts w:eastAsia="SimSun"/>
              </w:rPr>
              <w:t>Objective 1: Increased access to and use of safe water and sanitation</w:t>
            </w:r>
          </w:p>
        </w:tc>
        <w:tc>
          <w:tcPr>
            <w:tcW w:w="972" w:type="dxa"/>
            <w:shd w:val="clear" w:color="auto" w:fill="92D050"/>
            <w:noWrap/>
          </w:tcPr>
          <w:p w14:paraId="6851A53C" w14:textId="77777777" w:rsidR="00C14AA8" w:rsidRPr="00C14AA8" w:rsidRDefault="00C14AA8" w:rsidP="00C14AA8">
            <w:pPr>
              <w:pStyle w:val="TableTextEntries"/>
            </w:pPr>
            <w:r w:rsidRPr="00C14AA8">
              <w:t>Green</w:t>
            </w:r>
          </w:p>
        </w:tc>
        <w:tc>
          <w:tcPr>
            <w:tcW w:w="1021" w:type="dxa"/>
            <w:shd w:val="clear" w:color="auto" w:fill="92D050"/>
            <w:noWrap/>
          </w:tcPr>
          <w:p w14:paraId="7EDAADFB" w14:textId="77777777" w:rsidR="00C14AA8" w:rsidRPr="00C14AA8" w:rsidRDefault="00C14AA8" w:rsidP="00C14AA8">
            <w:pPr>
              <w:pStyle w:val="TableTextEntries"/>
            </w:pPr>
            <w:r w:rsidRPr="00C14AA8">
              <w:t>Green</w:t>
            </w:r>
          </w:p>
        </w:tc>
      </w:tr>
    </w:tbl>
    <w:p w14:paraId="1C9F5814" w14:textId="77777777" w:rsidR="00307935" w:rsidRPr="00732DAD" w:rsidRDefault="00307935" w:rsidP="00732DAD">
      <w:pPr>
        <w:pStyle w:val="BodyText"/>
      </w:pPr>
    </w:p>
    <w:p w14:paraId="2802BB01" w14:textId="03DA5C4A" w:rsidR="005D2586" w:rsidRPr="00C14AA8" w:rsidRDefault="005D2586" w:rsidP="00C14AA8">
      <w:pPr>
        <w:pStyle w:val="BodyText"/>
        <w:rPr>
          <w:i/>
        </w:rPr>
      </w:pPr>
      <w:r w:rsidRPr="00C14AA8">
        <w:rPr>
          <w:i/>
        </w:rPr>
        <w:t>The rating reflects solid progress on increasing access to sustainable and safe water for rural communities based on the outcomes of</w:t>
      </w:r>
      <w:r w:rsidR="00915570" w:rsidRPr="00C14AA8">
        <w:rPr>
          <w:i/>
        </w:rPr>
        <w:t xml:space="preserve"> the </w:t>
      </w:r>
      <w:r w:rsidR="00E8273D" w:rsidRPr="00C14AA8">
        <w:rPr>
          <w:i/>
        </w:rPr>
        <w:t xml:space="preserve">$40 million </w:t>
      </w:r>
      <w:r w:rsidR="00143C5D" w:rsidRPr="00C14AA8">
        <w:rPr>
          <w:i/>
        </w:rPr>
        <w:t xml:space="preserve">rural </w:t>
      </w:r>
      <w:r w:rsidR="00915570" w:rsidRPr="00C14AA8">
        <w:rPr>
          <w:i/>
        </w:rPr>
        <w:t xml:space="preserve">water </w:t>
      </w:r>
      <w:r w:rsidR="00143C5D" w:rsidRPr="00C14AA8">
        <w:rPr>
          <w:i/>
        </w:rPr>
        <w:t xml:space="preserve">supply </w:t>
      </w:r>
      <w:r w:rsidR="00915570" w:rsidRPr="00C14AA8">
        <w:rPr>
          <w:i/>
        </w:rPr>
        <w:t>and sanitation program,</w:t>
      </w:r>
      <w:r w:rsidRPr="00C14AA8">
        <w:rPr>
          <w:i/>
        </w:rPr>
        <w:t xml:space="preserve"> BESIK1</w:t>
      </w:r>
      <w:r w:rsidR="00E8273D" w:rsidRPr="00C14AA8">
        <w:rPr>
          <w:i/>
        </w:rPr>
        <w:t xml:space="preserve"> (which was implemented from 2007 to 2012)</w:t>
      </w:r>
      <w:r w:rsidR="004273CD" w:rsidRPr="00C14AA8">
        <w:rPr>
          <w:i/>
        </w:rPr>
        <w:t>,</w:t>
      </w:r>
      <w:r w:rsidR="00E8273D" w:rsidRPr="00C14AA8">
        <w:rPr>
          <w:i/>
        </w:rPr>
        <w:t xml:space="preserve"> </w:t>
      </w:r>
      <w:r w:rsidRPr="00C14AA8">
        <w:rPr>
          <w:i/>
        </w:rPr>
        <w:t xml:space="preserve">and </w:t>
      </w:r>
      <w:r w:rsidR="0006535F" w:rsidRPr="00C14AA8">
        <w:rPr>
          <w:i/>
        </w:rPr>
        <w:t>feedback</w:t>
      </w:r>
      <w:r w:rsidRPr="00C14AA8">
        <w:rPr>
          <w:i/>
        </w:rPr>
        <w:t xml:space="preserve"> </w:t>
      </w:r>
      <w:r w:rsidR="0006535F" w:rsidRPr="00C14AA8">
        <w:rPr>
          <w:i/>
        </w:rPr>
        <w:t xml:space="preserve">from </w:t>
      </w:r>
      <w:r w:rsidR="00143C5D" w:rsidRPr="00C14AA8">
        <w:rPr>
          <w:i/>
        </w:rPr>
        <w:t xml:space="preserve">the Timor-Leste Government </w:t>
      </w:r>
      <w:r w:rsidRPr="00C14AA8">
        <w:rPr>
          <w:i/>
        </w:rPr>
        <w:t xml:space="preserve">and stakeholders. Under </w:t>
      </w:r>
      <w:r w:rsidR="00E8273D" w:rsidRPr="00C14AA8">
        <w:rPr>
          <w:i/>
        </w:rPr>
        <w:t>stage 2 of the program––</w:t>
      </w:r>
      <w:r w:rsidRPr="00C14AA8">
        <w:rPr>
          <w:i/>
        </w:rPr>
        <w:t>BESIK2</w:t>
      </w:r>
      <w:r w:rsidR="00E8273D" w:rsidRPr="00C14AA8">
        <w:rPr>
          <w:i/>
        </w:rPr>
        <w:t>––</w:t>
      </w:r>
      <w:r w:rsidRPr="00C14AA8">
        <w:rPr>
          <w:i/>
        </w:rPr>
        <w:t xml:space="preserve">steps </w:t>
      </w:r>
      <w:r w:rsidR="00E8273D" w:rsidRPr="00C14AA8">
        <w:rPr>
          <w:i/>
        </w:rPr>
        <w:t xml:space="preserve">are being taken </w:t>
      </w:r>
      <w:r w:rsidRPr="00C14AA8">
        <w:rPr>
          <w:i/>
        </w:rPr>
        <w:t xml:space="preserve">to </w:t>
      </w:r>
      <w:r w:rsidR="00143C5D" w:rsidRPr="00C14AA8">
        <w:rPr>
          <w:i/>
        </w:rPr>
        <w:t xml:space="preserve">help </w:t>
      </w:r>
      <w:r w:rsidRPr="00C14AA8">
        <w:rPr>
          <w:i/>
        </w:rPr>
        <w:t xml:space="preserve">Timor-Leste </w:t>
      </w:r>
      <w:r w:rsidR="00F974A3" w:rsidRPr="00C14AA8">
        <w:rPr>
          <w:i/>
        </w:rPr>
        <w:t>expand</w:t>
      </w:r>
      <w:r w:rsidRPr="00C14AA8">
        <w:rPr>
          <w:i/>
        </w:rPr>
        <w:t xml:space="preserve"> access </w:t>
      </w:r>
      <w:r w:rsidR="0006535F" w:rsidRPr="00C14AA8">
        <w:rPr>
          <w:i/>
        </w:rPr>
        <w:t xml:space="preserve">to sanitation </w:t>
      </w:r>
      <w:r w:rsidR="00143C5D" w:rsidRPr="00C14AA8">
        <w:rPr>
          <w:i/>
        </w:rPr>
        <w:t xml:space="preserve">for </w:t>
      </w:r>
      <w:r w:rsidR="0006535F" w:rsidRPr="00C14AA8">
        <w:rPr>
          <w:i/>
        </w:rPr>
        <w:t>rural households</w:t>
      </w:r>
      <w:r w:rsidRPr="00C14AA8">
        <w:rPr>
          <w:i/>
        </w:rPr>
        <w:t xml:space="preserve"> </w:t>
      </w:r>
      <w:r w:rsidR="00143C5D" w:rsidRPr="00C14AA8">
        <w:rPr>
          <w:i/>
        </w:rPr>
        <w:t xml:space="preserve">through a </w:t>
      </w:r>
      <w:r w:rsidRPr="00C14AA8">
        <w:rPr>
          <w:i/>
        </w:rPr>
        <w:t xml:space="preserve">partnership </w:t>
      </w:r>
      <w:r w:rsidR="00E8273D" w:rsidRPr="00C14AA8">
        <w:rPr>
          <w:i/>
        </w:rPr>
        <w:t>with</w:t>
      </w:r>
      <w:r w:rsidR="00143C5D" w:rsidRPr="00C14AA8">
        <w:rPr>
          <w:i/>
        </w:rPr>
        <w:t xml:space="preserve"> the government</w:t>
      </w:r>
      <w:r w:rsidRPr="00C14AA8">
        <w:rPr>
          <w:i/>
        </w:rPr>
        <w:t>.</w:t>
      </w:r>
    </w:p>
    <w:p w14:paraId="0BCCD0A3" w14:textId="35E5449C" w:rsidR="002B1941" w:rsidRPr="00C14AA8" w:rsidRDefault="00635931" w:rsidP="00C14AA8">
      <w:pPr>
        <w:pStyle w:val="BodyText"/>
      </w:pPr>
      <w:r w:rsidRPr="00C14AA8">
        <w:t xml:space="preserve">The </w:t>
      </w:r>
      <w:r w:rsidR="00915570" w:rsidRPr="00C14AA8">
        <w:t xml:space="preserve">Timor-Leste Government </w:t>
      </w:r>
      <w:r w:rsidR="005D2586" w:rsidRPr="00C14AA8">
        <w:t>has made</w:t>
      </w:r>
      <w:r w:rsidR="00994848" w:rsidRPr="00C14AA8">
        <w:t xml:space="preserve"> rural w</w:t>
      </w:r>
      <w:r w:rsidR="005D2586" w:rsidRPr="00C14AA8">
        <w:t xml:space="preserve">ater and </w:t>
      </w:r>
      <w:r w:rsidR="00994848" w:rsidRPr="00C14AA8">
        <w:t>s</w:t>
      </w:r>
      <w:r w:rsidR="005D2586" w:rsidRPr="00C14AA8">
        <w:t xml:space="preserve">anitation a priority in </w:t>
      </w:r>
      <w:r w:rsidR="001D0F3E" w:rsidRPr="00C14AA8">
        <w:t>its strategic development plan</w:t>
      </w:r>
      <w:r w:rsidR="002114D9" w:rsidRPr="00C14AA8">
        <w:t xml:space="preserve">. </w:t>
      </w:r>
      <w:r w:rsidR="00E03BF9" w:rsidRPr="00C14AA8">
        <w:t xml:space="preserve">Under the government’s Decentralised Development Program, USD5.17 million has been allocated in 2013 for 44 rural water systems. </w:t>
      </w:r>
      <w:r w:rsidR="005D2586" w:rsidRPr="00C14AA8">
        <w:t xml:space="preserve">Investment and improved access to sustainable water and sanitation </w:t>
      </w:r>
      <w:r w:rsidR="002114D9" w:rsidRPr="00C14AA8">
        <w:t xml:space="preserve">is </w:t>
      </w:r>
      <w:r w:rsidR="005D2586" w:rsidRPr="00C14AA8">
        <w:t xml:space="preserve">critical due to high rates of malnutrition and </w:t>
      </w:r>
      <w:r w:rsidR="005D2586" w:rsidRPr="00C14AA8">
        <w:lastRenderedPageBreak/>
        <w:t xml:space="preserve">waterborne illness. In 2012, many rural communities prioritised </w:t>
      </w:r>
      <w:r w:rsidR="00994848" w:rsidRPr="00C14AA8">
        <w:t xml:space="preserve">water and sanitation </w:t>
      </w:r>
      <w:r w:rsidR="005D2586" w:rsidRPr="00C14AA8">
        <w:t xml:space="preserve">and a significant proportion of the </w:t>
      </w:r>
      <w:r w:rsidR="00F47E24">
        <w:t>Local Development P</w:t>
      </w:r>
      <w:r w:rsidR="001D0F3E" w:rsidRPr="00C14AA8">
        <w:t>rogra</w:t>
      </w:r>
      <w:r w:rsidR="005D2586" w:rsidRPr="00C14AA8">
        <w:t xml:space="preserve">m community infrastructure budget was </w:t>
      </w:r>
      <w:r w:rsidR="00E8273D" w:rsidRPr="00C14AA8">
        <w:t xml:space="preserve">also </w:t>
      </w:r>
      <w:r w:rsidR="005D2586" w:rsidRPr="00C14AA8">
        <w:t>earmarked for water supply and public sanitation</w:t>
      </w:r>
      <w:r w:rsidR="001D0F3E" w:rsidRPr="00C14AA8">
        <w:t>.</w:t>
      </w:r>
      <w:r w:rsidR="005D2586" w:rsidRPr="009B685C">
        <w:rPr>
          <w:rStyle w:val="FootnoteReference"/>
        </w:rPr>
        <w:footnoteReference w:id="9"/>
      </w:r>
      <w:r w:rsidR="005D2586" w:rsidRPr="00C14AA8">
        <w:t xml:space="preserve"> Timor-Leste is on track to meet its </w:t>
      </w:r>
      <w:r w:rsidR="001D0F3E" w:rsidRPr="00C14AA8">
        <w:t xml:space="preserve">Millennium Development Goal </w:t>
      </w:r>
      <w:r w:rsidR="005D2586" w:rsidRPr="00C14AA8">
        <w:t xml:space="preserve">target of 75 per cent access to water in rural areas due to </w:t>
      </w:r>
      <w:r w:rsidR="00E8273D" w:rsidRPr="00C14AA8">
        <w:t xml:space="preserve">this </w:t>
      </w:r>
      <w:r w:rsidR="005D2586" w:rsidRPr="00C14AA8">
        <w:t xml:space="preserve">increased capital investment, with the important proviso that </w:t>
      </w:r>
      <w:r w:rsidR="0006535F" w:rsidRPr="00C14AA8">
        <w:t xml:space="preserve">these </w:t>
      </w:r>
      <w:r w:rsidR="005D2586" w:rsidRPr="00C14AA8">
        <w:t>water systems continue to function</w:t>
      </w:r>
      <w:r w:rsidR="00994848" w:rsidRPr="00C14AA8">
        <w:t>. An independent e</w:t>
      </w:r>
      <w:r w:rsidR="005D2586" w:rsidRPr="00C14AA8">
        <w:t>valuation of BESIK1 found this program directly contributed to Timor-Leste meeting its target for water access</w:t>
      </w:r>
      <w:r w:rsidR="001D0F3E" w:rsidRPr="00C14AA8">
        <w:t>.</w:t>
      </w:r>
      <w:r w:rsidR="0006535F" w:rsidRPr="009B685C">
        <w:rPr>
          <w:rStyle w:val="FootnoteReference"/>
        </w:rPr>
        <w:footnoteReference w:id="10"/>
      </w:r>
      <w:r w:rsidR="005D2586" w:rsidRPr="00C14AA8">
        <w:t xml:space="preserve"> Improved access to</w:t>
      </w:r>
      <w:r w:rsidR="00994848" w:rsidRPr="00C14AA8">
        <w:t xml:space="preserve"> sanitation</w:t>
      </w:r>
      <w:r w:rsidR="005D2586" w:rsidRPr="00C14AA8">
        <w:t xml:space="preserve"> requires significant investment in household level behaviour change. </w:t>
      </w:r>
      <w:r w:rsidR="00A16D9E" w:rsidRPr="00C14AA8">
        <w:t xml:space="preserve">In addition, access to affordable sanitation products enables households to build their own water systems. </w:t>
      </w:r>
      <w:r w:rsidR="001D0F3E" w:rsidRPr="00C14AA8">
        <w:t>I</w:t>
      </w:r>
      <w:r w:rsidR="005D2586" w:rsidRPr="00C14AA8">
        <w:t>ncreasing behaviour change and access to affordable products continue</w:t>
      </w:r>
      <w:r w:rsidR="001D0F3E" w:rsidRPr="00C14AA8">
        <w:t>s</w:t>
      </w:r>
      <w:r w:rsidR="005D2586" w:rsidRPr="00C14AA8">
        <w:t xml:space="preserve"> to be </w:t>
      </w:r>
      <w:r w:rsidR="002114D9" w:rsidRPr="00C14AA8">
        <w:t xml:space="preserve">a </w:t>
      </w:r>
      <w:r w:rsidR="005D2586" w:rsidRPr="00C14AA8">
        <w:t xml:space="preserve">challenge and at current rates of increase, Timor-Leste is unlikely to meet its </w:t>
      </w:r>
      <w:r w:rsidR="001D0F3E" w:rsidRPr="00C14AA8">
        <w:t xml:space="preserve">Millennium Development Goal </w:t>
      </w:r>
      <w:r w:rsidR="005D2586" w:rsidRPr="00C14AA8">
        <w:t xml:space="preserve">target of 55 per cent access to sanitation in rural areas. </w:t>
      </w:r>
      <w:r w:rsidR="002114D9" w:rsidRPr="00C14AA8">
        <w:t>Currently onl</w:t>
      </w:r>
      <w:r w:rsidR="005D2586" w:rsidRPr="00C14AA8">
        <w:t>y</w:t>
      </w:r>
      <w:r w:rsidR="002114D9" w:rsidRPr="00C14AA8">
        <w:t xml:space="preserve"> </w:t>
      </w:r>
      <w:r w:rsidR="005D2586" w:rsidRPr="00C14AA8">
        <w:t>36 per cent of rural people have access to improved sanitation</w:t>
      </w:r>
      <w:r w:rsidR="001D0F3E" w:rsidRPr="00C14AA8">
        <w:t>.</w:t>
      </w:r>
      <w:r w:rsidR="005D2586" w:rsidRPr="009B685C">
        <w:rPr>
          <w:rStyle w:val="FootnoteReference"/>
        </w:rPr>
        <w:footnoteReference w:id="11"/>
      </w:r>
    </w:p>
    <w:p w14:paraId="4B6CA454" w14:textId="387453CA" w:rsidR="002B1941" w:rsidRPr="00C14AA8" w:rsidRDefault="002B1941" w:rsidP="00C14AA8">
      <w:pPr>
        <w:pStyle w:val="BodyText"/>
      </w:pPr>
      <w:r w:rsidRPr="00C14AA8">
        <w:t xml:space="preserve">BESIK1 improved the health and </w:t>
      </w:r>
      <w:r w:rsidR="00E8273D" w:rsidRPr="00C14AA8">
        <w:t xml:space="preserve">the </w:t>
      </w:r>
      <w:r w:rsidRPr="00C14AA8">
        <w:t xml:space="preserve">quality of life </w:t>
      </w:r>
      <w:r w:rsidR="00E8273D" w:rsidRPr="00C14AA8">
        <w:t xml:space="preserve">for </w:t>
      </w:r>
      <w:r w:rsidRPr="00C14AA8">
        <w:t xml:space="preserve">rural people in Timor-Leste by building the </w:t>
      </w:r>
      <w:r w:rsidR="001D0F3E" w:rsidRPr="00C14AA8">
        <w:t xml:space="preserve">government’s </w:t>
      </w:r>
      <w:r w:rsidRPr="00C14AA8">
        <w:t xml:space="preserve">capacity to deliver water, sanitation and hygiene services to </w:t>
      </w:r>
      <w:r w:rsidR="00E8273D" w:rsidRPr="00C14AA8">
        <w:t xml:space="preserve">its </w:t>
      </w:r>
      <w:r w:rsidRPr="00C14AA8">
        <w:t xml:space="preserve">rural citizens. </w:t>
      </w:r>
      <w:r w:rsidR="00E8273D" w:rsidRPr="00C14AA8">
        <w:t xml:space="preserve">The program </w:t>
      </w:r>
      <w:r w:rsidRPr="00C14AA8">
        <w:t>achieved more than its targets with an additional 222</w:t>
      </w:r>
      <w:r w:rsidR="001D0F3E" w:rsidRPr="00C14AA8">
        <w:t xml:space="preserve"> </w:t>
      </w:r>
      <w:r w:rsidRPr="00C14AA8">
        <w:t xml:space="preserve">909 rural people </w:t>
      </w:r>
      <w:r w:rsidR="00E8273D" w:rsidRPr="00C14AA8">
        <w:t xml:space="preserve">gaining </w:t>
      </w:r>
      <w:r w:rsidRPr="00C14AA8">
        <w:t>access to water (</w:t>
      </w:r>
      <w:r w:rsidR="00E8273D" w:rsidRPr="00C14AA8">
        <w:t xml:space="preserve">an additional </w:t>
      </w:r>
      <w:r w:rsidRPr="00C14AA8">
        <w:t>14 per cent) and 67 068 rural people having access to sanitation (</w:t>
      </w:r>
      <w:r w:rsidR="00E8273D" w:rsidRPr="00C14AA8">
        <w:t xml:space="preserve">an additional </w:t>
      </w:r>
      <w:r w:rsidRPr="00C14AA8">
        <w:t>12 per cent). BESIK2 started in 2012 and will continue this</w:t>
      </w:r>
      <w:r w:rsidR="00E8273D" w:rsidRPr="00C14AA8">
        <w:t xml:space="preserve"> work</w:t>
      </w:r>
      <w:r w:rsidR="00143C5D" w:rsidRPr="00C14AA8">
        <w:t>,</w:t>
      </w:r>
      <w:r w:rsidRPr="00C14AA8">
        <w:t xml:space="preserve"> but with an enhanced focus on sanitation.</w:t>
      </w:r>
    </w:p>
    <w:p w14:paraId="21E8FD50" w14:textId="185A152A" w:rsidR="005D2586" w:rsidRPr="00C14AA8" w:rsidRDefault="005D2586" w:rsidP="00C14AA8">
      <w:pPr>
        <w:pStyle w:val="BodyText"/>
      </w:pPr>
      <w:r w:rsidRPr="00C14AA8">
        <w:t>Australia’s contribution has been through ‘</w:t>
      </w:r>
      <w:r w:rsidR="004B41D9" w:rsidRPr="00C14AA8">
        <w:t>i</w:t>
      </w:r>
      <w:r w:rsidRPr="00C14AA8">
        <w:t>ncreased access to and use of safe water and sanitation’</w:t>
      </w:r>
      <w:r w:rsidR="00D05BAD" w:rsidRPr="00C14AA8">
        <w:t xml:space="preserve"> delivered through BESIK1 and BESIK</w:t>
      </w:r>
      <w:r w:rsidRPr="00C14AA8">
        <w:t>2. In 2009, BESIK</w:t>
      </w:r>
      <w:r w:rsidR="009860D6" w:rsidRPr="00C14AA8">
        <w:t>1</w:t>
      </w:r>
      <w:r w:rsidRPr="00C14AA8">
        <w:t xml:space="preserve"> </w:t>
      </w:r>
      <w:r w:rsidR="00FC5A91" w:rsidRPr="00C14AA8">
        <w:t xml:space="preserve">research </w:t>
      </w:r>
      <w:r w:rsidRPr="00C14AA8">
        <w:t>found that only 30 per cent of new systems in rural areas were fully functioning one year after construction. Under BESIK</w:t>
      </w:r>
      <w:r w:rsidR="00FC5A91" w:rsidRPr="00C14AA8">
        <w:t>1</w:t>
      </w:r>
      <w:r w:rsidRPr="00C14AA8">
        <w:t>, the focus was on improving quality of construction and basic maintenan</w:t>
      </w:r>
      <w:r w:rsidR="009860D6" w:rsidRPr="00C14AA8">
        <w:t>ce of rural water systems. A</w:t>
      </w:r>
      <w:r w:rsidRPr="00C14AA8">
        <w:t>s a result</w:t>
      </w:r>
      <w:r w:rsidR="0037090A" w:rsidRPr="00C14AA8">
        <w:t>,</w:t>
      </w:r>
      <w:r w:rsidRPr="00C14AA8">
        <w:t xml:space="preserve"> these figures have improved and in 2012, 90 per cent of BESIK systems and 75 per cent of government systems constructed in 2010 were still functioning. </w:t>
      </w:r>
      <w:r w:rsidR="00FC5A91" w:rsidRPr="00C14AA8">
        <w:t xml:space="preserve">BESIK </w:t>
      </w:r>
      <w:r w:rsidR="00EC0FD6" w:rsidRPr="00C14AA8">
        <w:t xml:space="preserve">is helping the government to improve </w:t>
      </w:r>
      <w:r w:rsidRPr="00C14AA8">
        <w:t xml:space="preserve">water </w:t>
      </w:r>
      <w:r w:rsidR="00EC0FD6" w:rsidRPr="00C14AA8">
        <w:t xml:space="preserve">infrastructure </w:t>
      </w:r>
      <w:r w:rsidR="00FC5A91" w:rsidRPr="00C14AA8">
        <w:t xml:space="preserve">and </w:t>
      </w:r>
      <w:r w:rsidR="009860D6" w:rsidRPr="00C14AA8">
        <w:t xml:space="preserve">expand </w:t>
      </w:r>
      <w:r w:rsidRPr="00C14AA8">
        <w:t>rural</w:t>
      </w:r>
      <w:r w:rsidR="009860D6" w:rsidRPr="00C14AA8">
        <w:t xml:space="preserve"> water</w:t>
      </w:r>
      <w:r w:rsidR="00EC0FD6" w:rsidRPr="00C14AA8">
        <w:t xml:space="preserve"> supply</w:t>
      </w:r>
      <w:r w:rsidR="009860D6" w:rsidRPr="00C14AA8">
        <w:t xml:space="preserve"> </w:t>
      </w:r>
      <w:r w:rsidR="00EC0FD6" w:rsidRPr="00C14AA8">
        <w:t xml:space="preserve">by providing technical assistance and </w:t>
      </w:r>
      <w:r w:rsidR="003722D3" w:rsidRPr="00C14AA8">
        <w:t xml:space="preserve">other </w:t>
      </w:r>
      <w:r w:rsidR="00EC0FD6" w:rsidRPr="00C14AA8">
        <w:t>support.</w:t>
      </w:r>
      <w:r w:rsidRPr="00C14AA8">
        <w:t xml:space="preserve"> BESIK</w:t>
      </w:r>
      <w:r w:rsidR="00FC5A91" w:rsidRPr="00C14AA8">
        <w:t>2</w:t>
      </w:r>
      <w:r w:rsidRPr="00C14AA8">
        <w:t xml:space="preserve"> is focusing on further</w:t>
      </w:r>
      <w:r w:rsidR="00BF323E" w:rsidRPr="00C14AA8">
        <w:t>ing</w:t>
      </w:r>
      <w:r w:rsidRPr="00C14AA8">
        <w:t xml:space="preserve"> </w:t>
      </w:r>
      <w:r w:rsidR="00BF323E" w:rsidRPr="00C14AA8">
        <w:t xml:space="preserve">the </w:t>
      </w:r>
      <w:r w:rsidR="009860D6" w:rsidRPr="00C14AA8">
        <w:t>sustainability of</w:t>
      </w:r>
      <w:r w:rsidRPr="00C14AA8">
        <w:t xml:space="preserve"> rural water systems, par</w:t>
      </w:r>
      <w:r w:rsidR="009860D6" w:rsidRPr="00C14AA8">
        <w:t xml:space="preserve">ticularly </w:t>
      </w:r>
      <w:r w:rsidR="00BF323E" w:rsidRPr="00C14AA8">
        <w:t xml:space="preserve">the </w:t>
      </w:r>
      <w:r w:rsidR="009860D6" w:rsidRPr="00C14AA8">
        <w:t>ongoing operation</w:t>
      </w:r>
      <w:r w:rsidR="00BF323E" w:rsidRPr="00C14AA8">
        <w:t xml:space="preserve"> and</w:t>
      </w:r>
      <w:r w:rsidR="009860D6" w:rsidRPr="00C14AA8">
        <w:t xml:space="preserve"> </w:t>
      </w:r>
      <w:r w:rsidRPr="00C14AA8">
        <w:t xml:space="preserve">maintenance </w:t>
      </w:r>
      <w:r w:rsidR="00BF323E" w:rsidRPr="00C14AA8">
        <w:t xml:space="preserve">of systems, </w:t>
      </w:r>
      <w:r w:rsidRPr="00C14AA8">
        <w:t xml:space="preserve">and </w:t>
      </w:r>
      <w:r w:rsidR="009860D6" w:rsidRPr="00C14AA8">
        <w:t xml:space="preserve">better </w:t>
      </w:r>
      <w:r w:rsidRPr="00C14AA8">
        <w:t xml:space="preserve">service delivery. Maintaining functioning water systems </w:t>
      </w:r>
      <w:r w:rsidR="009860D6" w:rsidRPr="00C14AA8">
        <w:t xml:space="preserve">and </w:t>
      </w:r>
      <w:r w:rsidR="00BF323E" w:rsidRPr="00C14AA8">
        <w:t xml:space="preserve">improving </w:t>
      </w:r>
      <w:r w:rsidRPr="00C14AA8">
        <w:t xml:space="preserve">hygiene </w:t>
      </w:r>
      <w:r w:rsidR="00BF323E" w:rsidRPr="00C14AA8">
        <w:t xml:space="preserve">practices </w:t>
      </w:r>
      <w:r w:rsidRPr="00C14AA8">
        <w:t>are key steps to sustaining a safe water supply.</w:t>
      </w:r>
    </w:p>
    <w:p w14:paraId="024AB4E4" w14:textId="0AB3AD5D" w:rsidR="005D2586" w:rsidRPr="00C14AA8" w:rsidRDefault="009860D6" w:rsidP="00C14AA8">
      <w:pPr>
        <w:pStyle w:val="BodyText"/>
      </w:pPr>
      <w:r w:rsidRPr="00C14AA8">
        <w:t>Expanding</w:t>
      </w:r>
      <w:r w:rsidR="005D2586" w:rsidRPr="00C14AA8">
        <w:t xml:space="preserve"> sanitation remains a challenge</w:t>
      </w:r>
      <w:r w:rsidRPr="00C14AA8">
        <w:t xml:space="preserve"> with</w:t>
      </w:r>
      <w:r w:rsidR="005D2586" w:rsidRPr="00C14AA8">
        <w:t xml:space="preserve"> sustain</w:t>
      </w:r>
      <w:r w:rsidRPr="00C14AA8">
        <w:t>able</w:t>
      </w:r>
      <w:r w:rsidR="002B1941" w:rsidRPr="00C14AA8">
        <w:t>, improved</w:t>
      </w:r>
      <w:r w:rsidRPr="00C14AA8">
        <w:t xml:space="preserve"> toilets</w:t>
      </w:r>
      <w:r w:rsidR="002B1941" w:rsidRPr="00C14AA8">
        <w:t xml:space="preserve">. Household demand is for improved pour-flush </w:t>
      </w:r>
      <w:proofErr w:type="gramStart"/>
      <w:r w:rsidR="002B1941" w:rsidRPr="00C14AA8">
        <w:t>toilet</w:t>
      </w:r>
      <w:r w:rsidR="007F08FB">
        <w:t>s</w:t>
      </w:r>
      <w:r w:rsidR="002B1941" w:rsidRPr="00C14AA8">
        <w:t>,</w:t>
      </w:r>
      <w:proofErr w:type="gramEnd"/>
      <w:r w:rsidR="002B1941" w:rsidRPr="00C14AA8">
        <w:t xml:space="preserve"> however availability for affordable pour-flush products and access to water are limited. </w:t>
      </w:r>
      <w:r w:rsidR="00BF323E" w:rsidRPr="00C14AA8">
        <w:t xml:space="preserve">Government </w:t>
      </w:r>
      <w:r w:rsidR="002B1941" w:rsidRPr="00C14AA8">
        <w:t>subsidies ha</w:t>
      </w:r>
      <w:r w:rsidR="00BF323E" w:rsidRPr="00C14AA8">
        <w:t>ve</w:t>
      </w:r>
      <w:r w:rsidR="002B1941" w:rsidRPr="00C14AA8">
        <w:t xml:space="preserve"> </w:t>
      </w:r>
      <w:r w:rsidR="00BF323E" w:rsidRPr="00C14AA8">
        <w:t xml:space="preserve">created </w:t>
      </w:r>
      <w:r w:rsidR="002B1941" w:rsidRPr="00C14AA8">
        <w:t xml:space="preserve">an expectation that assistance will be provided to improve traditional toilets. </w:t>
      </w:r>
      <w:r w:rsidR="0037090A" w:rsidRPr="00C14AA8">
        <w:t xml:space="preserve">Despite the challenges, there </w:t>
      </w:r>
      <w:r w:rsidR="00BF323E" w:rsidRPr="00C14AA8">
        <w:t xml:space="preserve">have </w:t>
      </w:r>
      <w:r w:rsidRPr="00C14AA8">
        <w:t>been significant achievement</w:t>
      </w:r>
      <w:r w:rsidR="00BF323E" w:rsidRPr="00C14AA8">
        <w:t>s</w:t>
      </w:r>
      <w:r w:rsidRPr="00C14AA8">
        <w:t xml:space="preserve"> since </w:t>
      </w:r>
      <w:r w:rsidR="00A16D9E" w:rsidRPr="00C14AA8">
        <w:t>2010 with</w:t>
      </w:r>
      <w:r w:rsidRPr="00C14AA8">
        <w:t xml:space="preserve"> an additional </w:t>
      </w:r>
      <w:r w:rsidR="00BF323E" w:rsidRPr="00C14AA8">
        <w:br/>
      </w:r>
      <w:r w:rsidRPr="00C14AA8">
        <w:t>67</w:t>
      </w:r>
      <w:r w:rsidR="00BF323E" w:rsidRPr="00C14AA8">
        <w:t xml:space="preserve"> </w:t>
      </w:r>
      <w:r w:rsidRPr="00C14AA8">
        <w:t xml:space="preserve">028 </w:t>
      </w:r>
      <w:r w:rsidR="005D2586" w:rsidRPr="00C14AA8">
        <w:t xml:space="preserve">people </w:t>
      </w:r>
      <w:r w:rsidRPr="00C14AA8">
        <w:t>gaining</w:t>
      </w:r>
      <w:r w:rsidR="005D2586" w:rsidRPr="00C14AA8">
        <w:t xml:space="preserve"> access to sanitation as a </w:t>
      </w:r>
      <w:r w:rsidRPr="00C14AA8">
        <w:t xml:space="preserve">result of </w:t>
      </w:r>
      <w:r w:rsidR="00067BE2" w:rsidRPr="00C14AA8">
        <w:t>Aus</w:t>
      </w:r>
      <w:r w:rsidR="00067BE2">
        <w:t>tralian</w:t>
      </w:r>
      <w:r w:rsidR="00067BE2" w:rsidRPr="00C14AA8">
        <w:t xml:space="preserve"> </w:t>
      </w:r>
      <w:r w:rsidRPr="00C14AA8">
        <w:t>support</w:t>
      </w:r>
      <w:r w:rsidR="002B1941" w:rsidRPr="00C14AA8">
        <w:t>. Sanitation is critical in</w:t>
      </w:r>
      <w:r w:rsidR="005D2586" w:rsidRPr="00C14AA8">
        <w:t xml:space="preserve"> prevent</w:t>
      </w:r>
      <w:r w:rsidR="002B1941" w:rsidRPr="00C14AA8">
        <w:t>ing</w:t>
      </w:r>
      <w:r w:rsidR="005D2586" w:rsidRPr="00C14AA8">
        <w:t xml:space="preserve"> diarrhoea, a major </w:t>
      </w:r>
      <w:r w:rsidR="00586C8C" w:rsidRPr="00C14AA8">
        <w:t xml:space="preserve">cause of death in </w:t>
      </w:r>
      <w:r w:rsidR="002B1941" w:rsidRPr="00C14AA8">
        <w:t xml:space="preserve">Timorese </w:t>
      </w:r>
      <w:r w:rsidR="00586C8C" w:rsidRPr="00C14AA8">
        <w:t>children. P</w:t>
      </w:r>
      <w:r w:rsidR="005D2586" w:rsidRPr="00C14AA8">
        <w:t xml:space="preserve">oor sanitation </w:t>
      </w:r>
      <w:r w:rsidR="00586C8C" w:rsidRPr="00C14AA8">
        <w:t xml:space="preserve">is </w:t>
      </w:r>
      <w:r w:rsidR="002B1941" w:rsidRPr="00C14AA8">
        <w:t xml:space="preserve">also </w:t>
      </w:r>
      <w:r w:rsidR="00586C8C" w:rsidRPr="00C14AA8">
        <w:t xml:space="preserve">a </w:t>
      </w:r>
      <w:r w:rsidR="005D2586" w:rsidRPr="00C14AA8">
        <w:t>key contributor to poor malnutrition. In 2012</w:t>
      </w:r>
      <w:r w:rsidR="00BF323E" w:rsidRPr="00C14AA8">
        <w:t>–</w:t>
      </w:r>
      <w:r w:rsidR="005D2586" w:rsidRPr="00C14AA8">
        <w:t>13</w:t>
      </w:r>
      <w:r w:rsidR="00586C8C" w:rsidRPr="00C14AA8">
        <w:t>, an</w:t>
      </w:r>
      <w:r w:rsidR="005D2586" w:rsidRPr="00C14AA8">
        <w:t xml:space="preserve"> estimated 31 570 people (5751</w:t>
      </w:r>
      <w:r w:rsidR="0037090A" w:rsidRPr="00C14AA8">
        <w:t xml:space="preserve"> </w:t>
      </w:r>
      <w:r w:rsidR="005D2586" w:rsidRPr="00C14AA8">
        <w:t>households) are demonstrating improved hygiene behaviour, particularly hand-washing with soap</w:t>
      </w:r>
      <w:r w:rsidR="006D5E5D" w:rsidRPr="00C14AA8">
        <w:t xml:space="preserve"> at critical times</w:t>
      </w:r>
      <w:r w:rsidR="005D2586" w:rsidRPr="00C14AA8">
        <w:t xml:space="preserve">, that can be directly attributed to </w:t>
      </w:r>
      <w:r w:rsidR="00BF323E" w:rsidRPr="00C14AA8">
        <w:t>Australian-</w:t>
      </w:r>
      <w:r w:rsidR="005D2586" w:rsidRPr="00C14AA8">
        <w:t xml:space="preserve">funded programs. A regional study of </w:t>
      </w:r>
      <w:r w:rsidR="004273CD" w:rsidRPr="00C14AA8">
        <w:t>community-</w:t>
      </w:r>
      <w:r w:rsidR="005D2586" w:rsidRPr="00C14AA8">
        <w:t xml:space="preserve">led sanitation in East Asia and the Pacific found that Timor-Leste had made progress and that </w:t>
      </w:r>
      <w:r w:rsidR="00586C8C" w:rsidRPr="00C14AA8">
        <w:t>BESIK</w:t>
      </w:r>
      <w:r w:rsidR="005D2586" w:rsidRPr="00C14AA8">
        <w:t xml:space="preserve"> has a significant impact on national sanitation coverage</w:t>
      </w:r>
      <w:r w:rsidR="00BF323E" w:rsidRPr="00C14AA8">
        <w:t>.</w:t>
      </w:r>
      <w:r w:rsidR="005D2586" w:rsidRPr="009B685C">
        <w:rPr>
          <w:rStyle w:val="FootnoteReference"/>
        </w:rPr>
        <w:footnoteReference w:id="12"/>
      </w:r>
    </w:p>
    <w:p w14:paraId="070A459B" w14:textId="67A4283E" w:rsidR="005D2586" w:rsidRPr="00C14AA8" w:rsidRDefault="002B1941" w:rsidP="00C14AA8">
      <w:pPr>
        <w:pStyle w:val="BodyText"/>
      </w:pPr>
      <w:r w:rsidRPr="00C14AA8">
        <w:t>T</w:t>
      </w:r>
      <w:r w:rsidR="005D2586" w:rsidRPr="00C14AA8">
        <w:t xml:space="preserve">here were mixed achievements </w:t>
      </w:r>
      <w:r w:rsidR="00F07CD1" w:rsidRPr="00C14AA8">
        <w:t xml:space="preserve">on </w:t>
      </w:r>
      <w:r w:rsidR="005D2586" w:rsidRPr="00C14AA8">
        <w:t xml:space="preserve">the shared targets in the </w:t>
      </w:r>
      <w:r w:rsidR="00F07CD1" w:rsidRPr="00C14AA8">
        <w:t xml:space="preserve">partnership agreement </w:t>
      </w:r>
      <w:r w:rsidRPr="00C14AA8">
        <w:t>in 2012</w:t>
      </w:r>
      <w:r w:rsidR="005D2586" w:rsidRPr="00C14AA8">
        <w:t xml:space="preserve">. This was in part due to reduced </w:t>
      </w:r>
      <w:r w:rsidR="00BF323E" w:rsidRPr="00C14AA8">
        <w:t xml:space="preserve">Timor-Leste Government </w:t>
      </w:r>
      <w:r w:rsidR="005D2586" w:rsidRPr="00C14AA8">
        <w:t xml:space="preserve">funding in rural water, slowing activity during elections, and some delay between the ending of BESIK1 and </w:t>
      </w:r>
      <w:r w:rsidR="00F07CD1" w:rsidRPr="00C14AA8">
        <w:t xml:space="preserve">start </w:t>
      </w:r>
      <w:r w:rsidR="005D2586" w:rsidRPr="00C14AA8">
        <w:t xml:space="preserve">of BESIK2. </w:t>
      </w:r>
      <w:r w:rsidR="005D2586" w:rsidRPr="00C14AA8">
        <w:lastRenderedPageBreak/>
        <w:t xml:space="preserve">Increased access to safe water for rural people was below the </w:t>
      </w:r>
      <w:r w:rsidR="00F07CD1" w:rsidRPr="00C14AA8">
        <w:t xml:space="preserve">partnership agreement </w:t>
      </w:r>
      <w:r w:rsidR="005D2586" w:rsidRPr="00C14AA8">
        <w:t>2012 target of an additional 90</w:t>
      </w:r>
      <w:r w:rsidR="00F07CD1" w:rsidRPr="00C14AA8">
        <w:t xml:space="preserve"> </w:t>
      </w:r>
      <w:r w:rsidR="005D2586" w:rsidRPr="00C14AA8">
        <w:t xml:space="preserve">000 people with only </w:t>
      </w:r>
      <w:r w:rsidR="00F07CD1" w:rsidRPr="00C14AA8">
        <w:t>half of this</w:t>
      </w:r>
      <w:r w:rsidR="005D2586" w:rsidRPr="00C14AA8">
        <w:t xml:space="preserve"> achieve</w:t>
      </w:r>
      <w:r w:rsidR="00F07CD1" w:rsidRPr="00C14AA8">
        <w:t>d</w:t>
      </w:r>
      <w:r w:rsidR="005D2586" w:rsidRPr="00C14AA8">
        <w:t xml:space="preserve">. During </w:t>
      </w:r>
      <w:r w:rsidR="00F07CD1" w:rsidRPr="00C14AA8">
        <w:t xml:space="preserve">the </w:t>
      </w:r>
      <w:r w:rsidR="005D2586" w:rsidRPr="00C14AA8">
        <w:t>year, an additional 19</w:t>
      </w:r>
      <w:r w:rsidR="00F07CD1" w:rsidRPr="00C14AA8">
        <w:t xml:space="preserve"> </w:t>
      </w:r>
      <w:r w:rsidR="005D2586" w:rsidRPr="00C14AA8">
        <w:t>000 people received access to improved water through BESIK direct support</w:t>
      </w:r>
      <w:r w:rsidR="00F07CD1" w:rsidRPr="00C14AA8">
        <w:t>,</w:t>
      </w:r>
      <w:r w:rsidR="005D2586" w:rsidRPr="00C14AA8">
        <w:t xml:space="preserve"> and an additional 26</w:t>
      </w:r>
      <w:r w:rsidR="00F07CD1" w:rsidRPr="00C14AA8">
        <w:t xml:space="preserve"> </w:t>
      </w:r>
      <w:r w:rsidR="005D2586" w:rsidRPr="00C14AA8">
        <w:t xml:space="preserve">000 people through water systems built by </w:t>
      </w:r>
      <w:r w:rsidR="00F07CD1" w:rsidRPr="00C14AA8">
        <w:t xml:space="preserve">the government </w:t>
      </w:r>
      <w:r w:rsidR="005D2586" w:rsidRPr="00C14AA8">
        <w:t>with BESIK support for survey and design. However, the target of an additional 35</w:t>
      </w:r>
      <w:r w:rsidR="00F07CD1" w:rsidRPr="00C14AA8">
        <w:t xml:space="preserve"> </w:t>
      </w:r>
      <w:r w:rsidR="005D2586" w:rsidRPr="00C14AA8">
        <w:t xml:space="preserve">000 rural people </w:t>
      </w:r>
      <w:r w:rsidR="00F07CD1" w:rsidRPr="00C14AA8">
        <w:t xml:space="preserve">gaining access to </w:t>
      </w:r>
      <w:r w:rsidR="005D2586" w:rsidRPr="00C14AA8">
        <w:t>basic sanitation was exceeded, with an additional 37</w:t>
      </w:r>
      <w:r w:rsidR="00F07CD1" w:rsidRPr="00C14AA8">
        <w:t xml:space="preserve"> </w:t>
      </w:r>
      <w:r w:rsidR="005D2586" w:rsidRPr="00C14AA8">
        <w:t xml:space="preserve">754 people </w:t>
      </w:r>
      <w:r w:rsidR="00F07CD1" w:rsidRPr="00C14AA8">
        <w:t>achieving this goal</w:t>
      </w:r>
      <w:r w:rsidR="005D2586" w:rsidRPr="00C14AA8">
        <w:t>.</w:t>
      </w:r>
    </w:p>
    <w:p w14:paraId="301CF652" w14:textId="26E6B9A6" w:rsidR="005D2586" w:rsidRPr="00C14AA8" w:rsidRDefault="005D2586" w:rsidP="00C14AA8">
      <w:pPr>
        <w:pStyle w:val="BodyText"/>
      </w:pPr>
      <w:r w:rsidRPr="00C14AA8">
        <w:t xml:space="preserve">BESIK is an effective </w:t>
      </w:r>
      <w:r w:rsidR="002349DE" w:rsidRPr="00C14AA8">
        <w:t xml:space="preserve">way </w:t>
      </w:r>
      <w:r w:rsidRPr="00C14AA8">
        <w:t xml:space="preserve">of contributing to Australia’s aim of promoting opportunities for all, </w:t>
      </w:r>
      <w:r w:rsidR="002349DE" w:rsidRPr="00C14AA8">
        <w:t xml:space="preserve">and </w:t>
      </w:r>
      <w:r w:rsidRPr="00C14AA8">
        <w:t xml:space="preserve">increasing awareness of gender and disability in the </w:t>
      </w:r>
      <w:r w:rsidR="002349DE" w:rsidRPr="00C14AA8">
        <w:t xml:space="preserve">water and sanitation </w:t>
      </w:r>
      <w:r w:rsidRPr="00C14AA8">
        <w:t xml:space="preserve">sector. This includes </w:t>
      </w:r>
      <w:r w:rsidR="002349DE" w:rsidRPr="00C14AA8">
        <w:t>building</w:t>
      </w:r>
      <w:r w:rsidRPr="00C14AA8">
        <w:t xml:space="preserve"> accessible water points and </w:t>
      </w:r>
      <w:r w:rsidR="002349DE" w:rsidRPr="00C14AA8">
        <w:t xml:space="preserve">providing </w:t>
      </w:r>
      <w:r w:rsidRPr="00C14AA8">
        <w:t xml:space="preserve">options for households to choose technology suitable for family members with disability. BESIK2 continues to highlight the importance of disability inclusion, </w:t>
      </w:r>
      <w:r w:rsidR="002B1941" w:rsidRPr="00C14AA8">
        <w:t>with</w:t>
      </w:r>
      <w:r w:rsidRPr="00C14AA8">
        <w:t xml:space="preserve"> </w:t>
      </w:r>
      <w:r w:rsidR="002349DE" w:rsidRPr="00C14AA8">
        <w:t xml:space="preserve">water and sanitation </w:t>
      </w:r>
      <w:r w:rsidRPr="00C14AA8">
        <w:t xml:space="preserve">training </w:t>
      </w:r>
      <w:r w:rsidR="002B1941" w:rsidRPr="00C14AA8">
        <w:t>increasing</w:t>
      </w:r>
      <w:r w:rsidRPr="00C14AA8">
        <w:t xml:space="preserve"> the awareness of disability among stakeholders. </w:t>
      </w:r>
    </w:p>
    <w:p w14:paraId="62227C4C" w14:textId="4964B776" w:rsidR="005D2586" w:rsidRPr="00C14AA8" w:rsidRDefault="005D2586" w:rsidP="00C14AA8">
      <w:pPr>
        <w:pStyle w:val="BodyText"/>
      </w:pPr>
      <w:r w:rsidRPr="00C14AA8">
        <w:t>A BESI</w:t>
      </w:r>
      <w:r w:rsidR="002B1941" w:rsidRPr="00C14AA8">
        <w:t>K impact assessment in May 2012</w:t>
      </w:r>
      <w:r w:rsidRPr="00C14AA8">
        <w:t xml:space="preserve"> found that 72 per cent of community water groups and community leaders reported that women and men made joint decisions, compared with only 37 per cent before the program. Of the total community water groups formed under BESIK, 97 per cent have women in technical or management positions showing an increased acceptance of women in leadership role</w:t>
      </w:r>
      <w:r w:rsidR="004273CD" w:rsidRPr="00C14AA8">
        <w:t>s</w:t>
      </w:r>
      <w:r w:rsidRPr="00C14AA8">
        <w:t xml:space="preserve">. With support from BESIK, the recruitment of women </w:t>
      </w:r>
      <w:r w:rsidR="002349DE" w:rsidRPr="00C14AA8">
        <w:t xml:space="preserve">has increased </w:t>
      </w:r>
      <w:r w:rsidRPr="00C14AA8">
        <w:t>in key government roles</w:t>
      </w:r>
      <w:r w:rsidR="002349DE" w:rsidRPr="00C14AA8">
        <w:t>,</w:t>
      </w:r>
      <w:r w:rsidRPr="00C14AA8">
        <w:t xml:space="preserve"> </w:t>
      </w:r>
      <w:r w:rsidR="002349DE" w:rsidRPr="00C14AA8">
        <w:t xml:space="preserve">and </w:t>
      </w:r>
      <w:r w:rsidRPr="00C14AA8">
        <w:t xml:space="preserve">53 per cent of sanitation program officers and 25 per cent of </w:t>
      </w:r>
      <w:r w:rsidR="004273CD" w:rsidRPr="00C14AA8">
        <w:t xml:space="preserve">water, sanitation and hygiene </w:t>
      </w:r>
      <w:r w:rsidRPr="00C14AA8">
        <w:t xml:space="preserve">facilitators </w:t>
      </w:r>
      <w:r w:rsidR="002349DE" w:rsidRPr="00C14AA8">
        <w:t xml:space="preserve">are </w:t>
      </w:r>
      <w:r w:rsidRPr="00C14AA8">
        <w:t>now women</w:t>
      </w:r>
      <w:r w:rsidR="002B1941" w:rsidRPr="00C14AA8">
        <w:t>.</w:t>
      </w:r>
      <w:r w:rsidRPr="00C14AA8">
        <w:t xml:space="preserve"> </w:t>
      </w:r>
    </w:p>
    <w:p w14:paraId="60075C5E" w14:textId="49779672" w:rsidR="00543EC0" w:rsidRPr="00C14AA8" w:rsidRDefault="002B1941" w:rsidP="00C14AA8">
      <w:pPr>
        <w:pStyle w:val="BodyText"/>
      </w:pPr>
      <w:r w:rsidRPr="00C14AA8">
        <w:t>All</w:t>
      </w:r>
      <w:r w:rsidR="005D2586" w:rsidRPr="00C14AA8">
        <w:t xml:space="preserve"> communities reached by BESIK reported that </w:t>
      </w:r>
      <w:r w:rsidR="00D105C9" w:rsidRPr="00C14AA8">
        <w:t xml:space="preserve">collecting </w:t>
      </w:r>
      <w:r w:rsidR="005D2586" w:rsidRPr="00C14AA8">
        <w:t>water took less than 30 minutes</w:t>
      </w:r>
      <w:r w:rsidR="00D105C9" w:rsidRPr="00C14AA8">
        <w:t>. P</w:t>
      </w:r>
      <w:r w:rsidR="002349DE" w:rsidRPr="00C14AA8">
        <w:t>reviously</w:t>
      </w:r>
      <w:r w:rsidR="005D2586" w:rsidRPr="00C14AA8">
        <w:t xml:space="preserve">, </w:t>
      </w:r>
      <w:r w:rsidR="00D105C9" w:rsidRPr="00C14AA8">
        <w:t>collecting water</w:t>
      </w:r>
      <w:r w:rsidR="00D105C9" w:rsidRPr="00C14AA8" w:rsidDel="002349DE">
        <w:t xml:space="preserve"> </w:t>
      </w:r>
      <w:r w:rsidR="005D2586" w:rsidRPr="00C14AA8">
        <w:t>t</w:t>
      </w:r>
      <w:r w:rsidR="002349DE" w:rsidRPr="00C14AA8">
        <w:t xml:space="preserve">ook </w:t>
      </w:r>
      <w:r w:rsidR="005D2586" w:rsidRPr="00C14AA8">
        <w:t xml:space="preserve">longer than 30 minutes </w:t>
      </w:r>
      <w:r w:rsidR="00D105C9" w:rsidRPr="00C14AA8">
        <w:t>for 72 per cent of communities</w:t>
      </w:r>
      <w:r w:rsidRPr="00C14AA8">
        <w:t xml:space="preserve">. </w:t>
      </w:r>
      <w:r w:rsidR="00D105C9" w:rsidRPr="00C14AA8">
        <w:t xml:space="preserve">When there is </w:t>
      </w:r>
      <w:r w:rsidR="005D2586" w:rsidRPr="00C14AA8">
        <w:t xml:space="preserve">less distance to </w:t>
      </w:r>
      <w:r w:rsidR="00D105C9" w:rsidRPr="00C14AA8">
        <w:t xml:space="preserve">travel to collect </w:t>
      </w:r>
      <w:r w:rsidR="005D2586" w:rsidRPr="00C14AA8">
        <w:t>water</w:t>
      </w:r>
      <w:r w:rsidR="00D105C9" w:rsidRPr="00C14AA8">
        <w:t>, there is</w:t>
      </w:r>
      <w:r w:rsidR="005D2586" w:rsidRPr="00C14AA8">
        <w:t xml:space="preserve"> </w:t>
      </w:r>
      <w:r w:rsidR="00D105C9" w:rsidRPr="00C14AA8">
        <w:t xml:space="preserve">less </w:t>
      </w:r>
      <w:r w:rsidR="005D2586" w:rsidRPr="00C14AA8">
        <w:t xml:space="preserve">workload for women, particularly </w:t>
      </w:r>
      <w:r w:rsidR="00D105C9" w:rsidRPr="00C14AA8">
        <w:t>pregnant women. The a</w:t>
      </w:r>
      <w:r w:rsidR="005D2586" w:rsidRPr="00C14AA8">
        <w:t xml:space="preserve">bility </w:t>
      </w:r>
      <w:r w:rsidR="00D105C9" w:rsidRPr="00C14AA8">
        <w:t xml:space="preserve">for people </w:t>
      </w:r>
      <w:r w:rsidR="005D2586" w:rsidRPr="00C14AA8">
        <w:t xml:space="preserve">to grow vegetables was </w:t>
      </w:r>
      <w:r w:rsidR="00D105C9" w:rsidRPr="00C14AA8">
        <w:t xml:space="preserve">also </w:t>
      </w:r>
      <w:r w:rsidR="005D2586" w:rsidRPr="00C14AA8">
        <w:t xml:space="preserve">identified as an important benefit directly </w:t>
      </w:r>
      <w:r w:rsidR="00D105C9" w:rsidRPr="00C14AA8">
        <w:t>attributable</w:t>
      </w:r>
      <w:r w:rsidR="005D2586" w:rsidRPr="00C14AA8">
        <w:t xml:space="preserve"> to the closer proximity of water supply. The vegetables </w:t>
      </w:r>
      <w:r w:rsidR="00D105C9" w:rsidRPr="00C14AA8">
        <w:t xml:space="preserve">are </w:t>
      </w:r>
      <w:r w:rsidR="005D2586" w:rsidRPr="00C14AA8">
        <w:t>available for family consumption and the</w:t>
      </w:r>
      <w:r w:rsidR="00D105C9" w:rsidRPr="00C14AA8">
        <w:t>ir</w:t>
      </w:r>
      <w:r w:rsidR="005D2586" w:rsidRPr="00C14AA8">
        <w:t xml:space="preserve"> sale provid</w:t>
      </w:r>
      <w:r w:rsidR="00D105C9" w:rsidRPr="00C14AA8">
        <w:t>es</w:t>
      </w:r>
      <w:r w:rsidR="005D2586" w:rsidRPr="00C14AA8">
        <w:t xml:space="preserve"> cash to pay for school needs</w:t>
      </w:r>
      <w:r w:rsidRPr="00C14AA8">
        <w:t>.</w:t>
      </w:r>
      <w:r w:rsidR="005D2586" w:rsidRPr="00C14AA8">
        <w:t xml:space="preserve"> In 39 per cent of communities, children said they were no longer late for school compared to before BESIK when they were regularly late for school. </w:t>
      </w:r>
    </w:p>
    <w:p w14:paraId="156F61C3" w14:textId="08B0A8CB" w:rsidR="005D2586" w:rsidRPr="00C14AA8" w:rsidRDefault="005D2586" w:rsidP="00C14AA8">
      <w:pPr>
        <w:pStyle w:val="BodyText"/>
      </w:pPr>
      <w:r w:rsidRPr="00C14AA8">
        <w:t>With BESIK2 ($43 million</w:t>
      </w:r>
      <w:r w:rsidR="00D105C9" w:rsidRPr="00C14AA8">
        <w:t xml:space="preserve"> from</w:t>
      </w:r>
      <w:r w:rsidRPr="00C14AA8">
        <w:t xml:space="preserve"> 2012</w:t>
      </w:r>
      <w:r w:rsidR="00D105C9" w:rsidRPr="00C14AA8">
        <w:t>–</w:t>
      </w:r>
      <w:r w:rsidRPr="00C14AA8">
        <w:t xml:space="preserve">2016), Australia remains the largest donor working in the </w:t>
      </w:r>
      <w:r w:rsidR="00D105C9" w:rsidRPr="00C14AA8">
        <w:t xml:space="preserve">rural water and sanitation </w:t>
      </w:r>
      <w:r w:rsidRPr="00C14AA8">
        <w:t xml:space="preserve">sector after the </w:t>
      </w:r>
      <w:r w:rsidR="00D105C9" w:rsidRPr="00C14AA8">
        <w:t>Timor-Leste Government</w:t>
      </w:r>
      <w:r w:rsidRPr="00C14AA8">
        <w:t>. BESIK2 is well respected as indicated through stakehold</w:t>
      </w:r>
      <w:r w:rsidR="002B1941" w:rsidRPr="00C14AA8">
        <w:t>er interviews conducted by the i</w:t>
      </w:r>
      <w:r w:rsidRPr="00C14AA8">
        <w:t xml:space="preserve">ndependent review team and continues the strong engagement and partnership with </w:t>
      </w:r>
      <w:r w:rsidR="00D105C9" w:rsidRPr="00C14AA8">
        <w:t xml:space="preserve">the government which was </w:t>
      </w:r>
      <w:r w:rsidRPr="00C14AA8">
        <w:t xml:space="preserve">developed </w:t>
      </w:r>
      <w:r w:rsidR="00D105C9" w:rsidRPr="00C14AA8">
        <w:t xml:space="preserve">for </w:t>
      </w:r>
      <w:r w:rsidRPr="00C14AA8">
        <w:t xml:space="preserve">BESIK1. </w:t>
      </w:r>
      <w:r w:rsidR="009D4DFE" w:rsidRPr="00C14AA8">
        <w:t xml:space="preserve">It is expected that the program will regain momentum in 2013 and that a </w:t>
      </w:r>
      <w:r w:rsidR="00F9590E">
        <w:t>DFAT</w:t>
      </w:r>
      <w:r w:rsidR="00F9590E" w:rsidRPr="00C14AA8">
        <w:t xml:space="preserve"> </w:t>
      </w:r>
      <w:r w:rsidR="009D4DFE" w:rsidRPr="00C14AA8">
        <w:t xml:space="preserve">water, sanitation and hygiene program director position in </w:t>
      </w:r>
      <w:proofErr w:type="spellStart"/>
      <w:r w:rsidR="009D4DFE" w:rsidRPr="00C14AA8">
        <w:t>Dili</w:t>
      </w:r>
      <w:proofErr w:type="spellEnd"/>
      <w:r w:rsidR="009D4DFE" w:rsidRPr="00C14AA8">
        <w:t xml:space="preserve"> will elevate engagement with government and enhance the focus on policy and planning. </w:t>
      </w:r>
    </w:p>
    <w:p w14:paraId="6D06209F" w14:textId="5CF0EC8F" w:rsidR="005D1FAD" w:rsidRPr="00C14AA8" w:rsidRDefault="005D1FAD" w:rsidP="00C14AA8">
      <w:pPr>
        <w:pStyle w:val="Heading2"/>
      </w:pPr>
      <w:r w:rsidRPr="00C14AA8">
        <w:t>Objective 2</w:t>
      </w:r>
    </w:p>
    <w:tbl>
      <w:tblPr>
        <w:tblStyle w:val="APPR"/>
        <w:tblW w:w="5000" w:type="pct"/>
        <w:tblLook w:val="0000" w:firstRow="0" w:lastRow="0" w:firstColumn="0" w:lastColumn="0" w:noHBand="0" w:noVBand="0"/>
      </w:tblPr>
      <w:tblGrid>
        <w:gridCol w:w="6329"/>
        <w:gridCol w:w="1105"/>
        <w:gridCol w:w="1173"/>
      </w:tblGrid>
      <w:tr w:rsidR="00C14AA8" w:rsidRPr="001159CC" w14:paraId="30BDBFFE" w14:textId="77777777" w:rsidTr="009B685C">
        <w:trPr>
          <w:cnfStyle w:val="000000010000" w:firstRow="0" w:lastRow="0" w:firstColumn="0" w:lastColumn="0" w:oddVBand="0" w:evenVBand="0" w:oddHBand="0" w:evenHBand="1" w:firstRowFirstColumn="0" w:firstRowLastColumn="0" w:lastRowFirstColumn="0" w:lastRowLastColumn="0"/>
        </w:trPr>
        <w:tc>
          <w:tcPr>
            <w:tcW w:w="5694" w:type="dxa"/>
          </w:tcPr>
          <w:p w14:paraId="1F1E691A" w14:textId="77777777" w:rsidR="00C14AA8" w:rsidRPr="00C14AA8" w:rsidRDefault="00C14AA8" w:rsidP="00C14AA8">
            <w:pPr>
              <w:pStyle w:val="TableHeading1"/>
            </w:pPr>
            <w:r w:rsidRPr="00C14AA8">
              <w:rPr>
                <w:noProof/>
                <w:lang w:eastAsia="en-AU"/>
              </w:rPr>
              <w:drawing>
                <wp:anchor distT="0" distB="0" distL="114300" distR="114300" simplePos="0" relativeHeight="251684864" behindDoc="0" locked="0" layoutInCell="1" allowOverlap="1" wp14:anchorId="15668245" wp14:editId="18A0431F">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AA8">
              <w:t>Objective</w:t>
            </w:r>
          </w:p>
        </w:tc>
        <w:tc>
          <w:tcPr>
            <w:tcW w:w="975" w:type="dxa"/>
          </w:tcPr>
          <w:p w14:paraId="6CB2CF4D" w14:textId="14B8CEC9" w:rsidR="00C14AA8" w:rsidRPr="00C14AA8" w:rsidRDefault="00C14AA8" w:rsidP="00C14AA8">
            <w:pPr>
              <w:pStyle w:val="TableHeading1"/>
            </w:pPr>
            <w:r w:rsidRPr="00C14AA8">
              <w:t>Current rating</w:t>
            </w:r>
          </w:p>
        </w:tc>
        <w:tc>
          <w:tcPr>
            <w:tcW w:w="1024" w:type="dxa"/>
          </w:tcPr>
          <w:p w14:paraId="6346DDF4" w14:textId="10E1A37A" w:rsidR="00C14AA8" w:rsidRPr="00C14AA8" w:rsidRDefault="00C14AA8" w:rsidP="00C14AA8">
            <w:pPr>
              <w:pStyle w:val="TableHeading1"/>
            </w:pPr>
            <w:r w:rsidRPr="00C14AA8">
              <w:t>Previous rating</w:t>
            </w:r>
          </w:p>
        </w:tc>
      </w:tr>
      <w:tr w:rsidR="00C14AA8" w:rsidRPr="00C14AA8" w14:paraId="40191740" w14:textId="77777777" w:rsidTr="009B685C">
        <w:trPr>
          <w:cnfStyle w:val="000000010000" w:firstRow="0" w:lastRow="0" w:firstColumn="0" w:lastColumn="0" w:oddVBand="0" w:evenVBand="0" w:oddHBand="0" w:evenHBand="1" w:firstRowFirstColumn="0" w:firstRowLastColumn="0" w:lastRowFirstColumn="0" w:lastRowLastColumn="0"/>
        </w:trPr>
        <w:tc>
          <w:tcPr>
            <w:tcW w:w="5694" w:type="dxa"/>
          </w:tcPr>
          <w:p w14:paraId="7A7B51C1" w14:textId="77777777" w:rsidR="00C14AA8" w:rsidRPr="00C14AA8" w:rsidRDefault="00C14AA8" w:rsidP="00C14AA8">
            <w:pPr>
              <w:pStyle w:val="TableTextEntries"/>
            </w:pPr>
            <w:r w:rsidRPr="00C14AA8">
              <w:t>Objective 2: Rural population has better roads</w:t>
            </w:r>
          </w:p>
        </w:tc>
        <w:tc>
          <w:tcPr>
            <w:tcW w:w="975" w:type="dxa"/>
            <w:shd w:val="clear" w:color="auto" w:fill="F79646" w:themeFill="accent6"/>
            <w:noWrap/>
          </w:tcPr>
          <w:p w14:paraId="67FC5B30" w14:textId="77777777" w:rsidR="00C14AA8" w:rsidRPr="00C14AA8" w:rsidRDefault="00C14AA8" w:rsidP="00C14AA8">
            <w:pPr>
              <w:pStyle w:val="TableTextEntries"/>
            </w:pPr>
            <w:r w:rsidRPr="00C14AA8">
              <w:t>Amber</w:t>
            </w:r>
          </w:p>
        </w:tc>
        <w:tc>
          <w:tcPr>
            <w:tcW w:w="1024" w:type="dxa"/>
            <w:shd w:val="clear" w:color="auto" w:fill="F79646" w:themeFill="accent6"/>
            <w:noWrap/>
          </w:tcPr>
          <w:p w14:paraId="4636D1BD" w14:textId="77777777" w:rsidR="00C14AA8" w:rsidRPr="00C14AA8" w:rsidRDefault="00C14AA8" w:rsidP="00C14AA8">
            <w:pPr>
              <w:pStyle w:val="TableTextEntries"/>
            </w:pPr>
            <w:r w:rsidRPr="00C14AA8">
              <w:rPr>
                <w:rFonts w:eastAsia="SimSun"/>
              </w:rPr>
              <w:t>Amber</w:t>
            </w:r>
          </w:p>
        </w:tc>
      </w:tr>
    </w:tbl>
    <w:p w14:paraId="1D9DD90E" w14:textId="77777777" w:rsidR="00307935" w:rsidRPr="001159CC" w:rsidRDefault="00307935" w:rsidP="00FA391E">
      <w:pPr>
        <w:rPr>
          <w:sz w:val="22"/>
          <w:szCs w:val="22"/>
        </w:rPr>
      </w:pPr>
    </w:p>
    <w:p w14:paraId="4B9CA9A7" w14:textId="7C481922" w:rsidR="007C42E8" w:rsidRPr="00C14AA8" w:rsidRDefault="00A419D8" w:rsidP="00C14AA8">
      <w:pPr>
        <w:pStyle w:val="BodyText"/>
        <w:rPr>
          <w:i/>
        </w:rPr>
      </w:pPr>
      <w:r w:rsidRPr="00C14AA8">
        <w:rPr>
          <w:i/>
        </w:rPr>
        <w:t xml:space="preserve">Progress </w:t>
      </w:r>
      <w:r w:rsidR="00D105C9" w:rsidRPr="00C14AA8">
        <w:rPr>
          <w:i/>
        </w:rPr>
        <w:t xml:space="preserve">against this objective </w:t>
      </w:r>
      <w:r w:rsidR="00A9018F" w:rsidRPr="00C14AA8">
        <w:rPr>
          <w:i/>
        </w:rPr>
        <w:t>is</w:t>
      </w:r>
      <w:r w:rsidR="007C42E8" w:rsidRPr="00C14AA8">
        <w:rPr>
          <w:i/>
        </w:rPr>
        <w:t xml:space="preserve"> assessed as adequate</w:t>
      </w:r>
      <w:r w:rsidRPr="00C14AA8">
        <w:rPr>
          <w:i/>
        </w:rPr>
        <w:t xml:space="preserve">. </w:t>
      </w:r>
      <w:r w:rsidR="004F749A" w:rsidRPr="00C14AA8">
        <w:rPr>
          <w:i/>
        </w:rPr>
        <w:t>Roads for Development (R4D)</w:t>
      </w:r>
      <w:r w:rsidR="00A9018F" w:rsidRPr="00C14AA8">
        <w:rPr>
          <w:i/>
        </w:rPr>
        <w:t xml:space="preserve"> </w:t>
      </w:r>
      <w:r w:rsidR="004F36C6" w:rsidRPr="00C14AA8">
        <w:rPr>
          <w:i/>
        </w:rPr>
        <w:t xml:space="preserve">focused on the start-up phase of </w:t>
      </w:r>
      <w:r w:rsidR="00E43EED" w:rsidRPr="00C14AA8">
        <w:rPr>
          <w:i/>
        </w:rPr>
        <w:t>implementation, improving</w:t>
      </w:r>
      <w:r w:rsidR="007C42E8" w:rsidRPr="00C14AA8">
        <w:rPr>
          <w:i/>
        </w:rPr>
        <w:t xml:space="preserve"> the institutional environment for ref</w:t>
      </w:r>
      <w:r w:rsidR="00543EC0" w:rsidRPr="00C14AA8">
        <w:rPr>
          <w:i/>
        </w:rPr>
        <w:t xml:space="preserve">orm and human resources required for road building. </w:t>
      </w:r>
      <w:r w:rsidR="00A16D9E" w:rsidRPr="00C14AA8">
        <w:rPr>
          <w:i/>
        </w:rPr>
        <w:t xml:space="preserve">While no roads were built during the start-up phase in 2012, physical works commenced </w:t>
      </w:r>
      <w:r w:rsidR="002B1941" w:rsidRPr="00C14AA8">
        <w:rPr>
          <w:i/>
        </w:rPr>
        <w:t xml:space="preserve">after the rainy season one month later than planned </w:t>
      </w:r>
      <w:r w:rsidR="00A16D9E" w:rsidRPr="00C14AA8">
        <w:rPr>
          <w:i/>
        </w:rPr>
        <w:t xml:space="preserve">in May 2013 in </w:t>
      </w:r>
      <w:proofErr w:type="spellStart"/>
      <w:r w:rsidR="00A16D9E" w:rsidRPr="00C14AA8">
        <w:rPr>
          <w:i/>
        </w:rPr>
        <w:t>Oecusse</w:t>
      </w:r>
      <w:proofErr w:type="spellEnd"/>
      <w:r w:rsidR="00A16D9E" w:rsidRPr="00C14AA8">
        <w:rPr>
          <w:i/>
        </w:rPr>
        <w:t xml:space="preserve">, </w:t>
      </w:r>
      <w:proofErr w:type="spellStart"/>
      <w:r w:rsidR="00A16D9E" w:rsidRPr="00C14AA8">
        <w:rPr>
          <w:i/>
        </w:rPr>
        <w:t>Manufahi</w:t>
      </w:r>
      <w:proofErr w:type="spellEnd"/>
      <w:r w:rsidR="00A16D9E" w:rsidRPr="00C14AA8">
        <w:rPr>
          <w:i/>
        </w:rPr>
        <w:t xml:space="preserve">, </w:t>
      </w:r>
      <w:proofErr w:type="spellStart"/>
      <w:r w:rsidR="00A16D9E" w:rsidRPr="00C14AA8">
        <w:rPr>
          <w:i/>
        </w:rPr>
        <w:t>Bobonaro</w:t>
      </w:r>
      <w:proofErr w:type="spellEnd"/>
      <w:r w:rsidR="00A16D9E" w:rsidRPr="00C14AA8">
        <w:rPr>
          <w:i/>
        </w:rPr>
        <w:t xml:space="preserve">, </w:t>
      </w:r>
      <w:proofErr w:type="spellStart"/>
      <w:r w:rsidR="00A16D9E" w:rsidRPr="00C14AA8">
        <w:rPr>
          <w:i/>
        </w:rPr>
        <w:t>Covalima</w:t>
      </w:r>
      <w:proofErr w:type="spellEnd"/>
      <w:r w:rsidR="00A16D9E" w:rsidRPr="00C14AA8">
        <w:rPr>
          <w:i/>
        </w:rPr>
        <w:t xml:space="preserve">, </w:t>
      </w:r>
      <w:proofErr w:type="spellStart"/>
      <w:r w:rsidR="00A16D9E" w:rsidRPr="00C14AA8">
        <w:rPr>
          <w:i/>
        </w:rPr>
        <w:t>Aileu</w:t>
      </w:r>
      <w:proofErr w:type="spellEnd"/>
      <w:r w:rsidR="00A16D9E" w:rsidRPr="00C14AA8">
        <w:rPr>
          <w:i/>
        </w:rPr>
        <w:t xml:space="preserve">, </w:t>
      </w:r>
      <w:proofErr w:type="spellStart"/>
      <w:r w:rsidR="00A16D9E" w:rsidRPr="00C14AA8">
        <w:rPr>
          <w:i/>
        </w:rPr>
        <w:t>Baucau</w:t>
      </w:r>
      <w:proofErr w:type="spellEnd"/>
      <w:r w:rsidR="00A16D9E" w:rsidRPr="00C14AA8">
        <w:rPr>
          <w:i/>
        </w:rPr>
        <w:t xml:space="preserve"> and </w:t>
      </w:r>
      <w:proofErr w:type="spellStart"/>
      <w:r w:rsidR="00A16D9E" w:rsidRPr="00C14AA8">
        <w:rPr>
          <w:i/>
        </w:rPr>
        <w:t>Lautem</w:t>
      </w:r>
      <w:proofErr w:type="spellEnd"/>
      <w:r w:rsidR="00A16D9E" w:rsidRPr="00C14AA8">
        <w:rPr>
          <w:i/>
        </w:rPr>
        <w:t xml:space="preserve">. Contractors are finding the emphasis on quality a challenge and to meet the minimum standards </w:t>
      </w:r>
      <w:r w:rsidR="009C51B1">
        <w:rPr>
          <w:i/>
        </w:rPr>
        <w:t>DFAT</w:t>
      </w:r>
      <w:r w:rsidR="009C51B1" w:rsidRPr="00C14AA8">
        <w:rPr>
          <w:i/>
        </w:rPr>
        <w:t xml:space="preserve"> </w:t>
      </w:r>
      <w:r w:rsidR="00A16D9E" w:rsidRPr="00C14AA8">
        <w:rPr>
          <w:i/>
        </w:rPr>
        <w:t>will have to ensure effective site supervisio</w:t>
      </w:r>
      <w:r w:rsidR="00881B5E" w:rsidRPr="00C14AA8">
        <w:rPr>
          <w:i/>
        </w:rPr>
        <w:t>n.</w:t>
      </w:r>
    </w:p>
    <w:p w14:paraId="54255504" w14:textId="29C52A04" w:rsidR="00EF4F82" w:rsidRPr="00C14AA8" w:rsidRDefault="00D105C9" w:rsidP="00C14AA8">
      <w:pPr>
        <w:pStyle w:val="BodyText"/>
      </w:pPr>
      <w:r w:rsidRPr="00C14AA8">
        <w:lastRenderedPageBreak/>
        <w:t xml:space="preserve">The Timor-Leste Government </w:t>
      </w:r>
      <w:r w:rsidR="00EF4F82" w:rsidRPr="00C14AA8">
        <w:t xml:space="preserve">and </w:t>
      </w:r>
      <w:r w:rsidRPr="00C14AA8">
        <w:t xml:space="preserve">its </w:t>
      </w:r>
      <w:r w:rsidR="00EF4F82" w:rsidRPr="00C14AA8">
        <w:t xml:space="preserve">development partners </w:t>
      </w:r>
      <w:r w:rsidR="002B1941" w:rsidRPr="00C14AA8">
        <w:t xml:space="preserve">are committed </w:t>
      </w:r>
      <w:r w:rsidR="00EF4F82" w:rsidRPr="00C14AA8">
        <w:t xml:space="preserve">to improving </w:t>
      </w:r>
      <w:r w:rsidRPr="00C14AA8">
        <w:t xml:space="preserve">the </w:t>
      </w:r>
      <w:r w:rsidR="00A419D8" w:rsidRPr="00C14AA8">
        <w:t>roads sector</w:t>
      </w:r>
      <w:r w:rsidR="0053541C" w:rsidRPr="00C14AA8">
        <w:t>, but progress is slow. The shared goal is</w:t>
      </w:r>
      <w:r w:rsidR="00A419D8" w:rsidRPr="00C14AA8">
        <w:t xml:space="preserve"> to </w:t>
      </w:r>
      <w:r w:rsidR="004053E0" w:rsidRPr="00C14AA8">
        <w:t>‘</w:t>
      </w:r>
      <w:r w:rsidR="00A419D8" w:rsidRPr="00C14AA8">
        <w:t>maintain our current road network, including a major program of road rehabilitation, repair and improvement. New roads will only be built if they serve important economic</w:t>
      </w:r>
      <w:r w:rsidR="00A9018F" w:rsidRPr="00C14AA8">
        <w:t xml:space="preserve"> or social objectives</w:t>
      </w:r>
      <w:r w:rsidR="004053E0" w:rsidRPr="00C14AA8">
        <w:t xml:space="preserve">’. </w:t>
      </w:r>
      <w:r w:rsidR="00EF4F82" w:rsidRPr="00C14AA8">
        <w:t xml:space="preserve">Timor-Leste’s road network is a major challenge to improving the lives of the rural population. Without better roads it will be difficult for the government to deliver critical education and health services to districts, and rural Timorese </w:t>
      </w:r>
      <w:r w:rsidR="00517A26" w:rsidRPr="00C14AA8">
        <w:t>cannot access markets, hospitals and schools to help their families.</w:t>
      </w:r>
    </w:p>
    <w:p w14:paraId="373B6321" w14:textId="27FEEF18" w:rsidR="004134DE" w:rsidRPr="00C14AA8" w:rsidRDefault="00A9018F" w:rsidP="00C14AA8">
      <w:pPr>
        <w:pStyle w:val="BodyText"/>
      </w:pPr>
      <w:r w:rsidRPr="00C14AA8">
        <w:t>T</w:t>
      </w:r>
      <w:r w:rsidR="00A419D8" w:rsidRPr="00C14AA8">
        <w:t>he World Bank, Asian Development Bank and Japan focus on national roads,</w:t>
      </w:r>
      <w:r w:rsidR="0006062A" w:rsidRPr="00C14AA8">
        <w:t xml:space="preserve"> while </w:t>
      </w:r>
      <w:r w:rsidR="00A419D8" w:rsidRPr="00C14AA8">
        <w:t xml:space="preserve">Australia works with the new Ministry of Public Works (formerly the Ministry of Infrastructure </w:t>
      </w:r>
      <w:r w:rsidR="00CB5EDF" w:rsidRPr="00C14AA8">
        <w:t>before</w:t>
      </w:r>
      <w:r w:rsidR="00A419D8" w:rsidRPr="00C14AA8">
        <w:t xml:space="preserve"> the 2012 elections) on rural roads. </w:t>
      </w:r>
      <w:r w:rsidR="00C70ABB" w:rsidRPr="00C14AA8">
        <w:t>Timor-Leste’s</w:t>
      </w:r>
      <w:r w:rsidR="00C70ABB" w:rsidRPr="00C14AA8" w:rsidDel="00C70ABB">
        <w:t xml:space="preserve"> </w:t>
      </w:r>
      <w:r w:rsidR="00A419D8" w:rsidRPr="00C14AA8">
        <w:t xml:space="preserve">target for all rural roads to </w:t>
      </w:r>
      <w:r w:rsidR="002B1941" w:rsidRPr="00C14AA8">
        <w:t>be</w:t>
      </w:r>
      <w:r w:rsidR="00A419D8" w:rsidRPr="00C14AA8">
        <w:t xml:space="preserve"> rehabilitated by locally based contractors to a minimum s</w:t>
      </w:r>
      <w:r w:rsidR="00AA401B" w:rsidRPr="00C14AA8">
        <w:t>tandard by 2015 will not be met</w:t>
      </w:r>
      <w:r w:rsidR="00C70ABB" w:rsidRPr="00C14AA8">
        <w:t>,</w:t>
      </w:r>
      <w:r w:rsidR="00AA401B" w:rsidRPr="00C14AA8">
        <w:t xml:space="preserve"> due in part to</w:t>
      </w:r>
      <w:r w:rsidR="00175E4F" w:rsidRPr="00C14AA8">
        <w:t xml:space="preserve"> </w:t>
      </w:r>
      <w:r w:rsidR="00AA401B" w:rsidRPr="00C14AA8">
        <w:t>insufficient financial and human resources</w:t>
      </w:r>
      <w:r w:rsidR="00175E4F" w:rsidRPr="00C14AA8">
        <w:t xml:space="preserve"> at the Ministry for Public Works</w:t>
      </w:r>
      <w:r w:rsidR="00AA401B" w:rsidRPr="00C14AA8">
        <w:t>.</w:t>
      </w:r>
    </w:p>
    <w:p w14:paraId="7C56B94F" w14:textId="6BF8604E" w:rsidR="00A419D8" w:rsidRPr="00C14AA8" w:rsidRDefault="001A6978" w:rsidP="00C14AA8">
      <w:pPr>
        <w:pStyle w:val="BodyText"/>
      </w:pPr>
      <w:r w:rsidRPr="00C14AA8">
        <w:t xml:space="preserve">Australia’s contribution </w:t>
      </w:r>
      <w:r w:rsidR="00EC0FD6" w:rsidRPr="00C14AA8">
        <w:t xml:space="preserve">to improve </w:t>
      </w:r>
      <w:r w:rsidR="003722D3" w:rsidRPr="00C14AA8">
        <w:t xml:space="preserve">roads in </w:t>
      </w:r>
      <w:r w:rsidR="00EC0FD6" w:rsidRPr="00C14AA8">
        <w:t xml:space="preserve">rural </w:t>
      </w:r>
      <w:r w:rsidR="003722D3" w:rsidRPr="00C14AA8">
        <w:t xml:space="preserve">areas </w:t>
      </w:r>
      <w:r w:rsidR="00EC0FD6" w:rsidRPr="00C14AA8">
        <w:t xml:space="preserve">in 2012 </w:t>
      </w:r>
      <w:r w:rsidR="003722D3" w:rsidRPr="00C14AA8">
        <w:t>was</w:t>
      </w:r>
      <w:r w:rsidRPr="00C14AA8">
        <w:t xml:space="preserve"> through</w:t>
      </w:r>
      <w:r w:rsidR="003722D3" w:rsidRPr="00C14AA8">
        <w:t xml:space="preserve"> </w:t>
      </w:r>
      <w:r w:rsidR="00175E4F" w:rsidRPr="00C14AA8">
        <w:t>R4D</w:t>
      </w:r>
      <w:r w:rsidR="004134DE" w:rsidRPr="00C14AA8">
        <w:t xml:space="preserve"> (</w:t>
      </w:r>
      <w:r w:rsidR="005C312A" w:rsidRPr="00C14AA8">
        <w:t>$</w:t>
      </w:r>
      <w:r w:rsidR="00BC10BD" w:rsidRPr="00C14AA8">
        <w:t>30 million</w:t>
      </w:r>
      <w:r w:rsidR="00175E4F" w:rsidRPr="00C14AA8">
        <w:t xml:space="preserve"> from </w:t>
      </w:r>
      <w:r w:rsidR="00BC10BD" w:rsidRPr="00C14AA8">
        <w:t>2012</w:t>
      </w:r>
      <w:r w:rsidR="00175E4F" w:rsidRPr="00C14AA8">
        <w:t>–</w:t>
      </w:r>
      <w:r w:rsidR="00BC10BD" w:rsidRPr="00C14AA8">
        <w:t>2015)</w:t>
      </w:r>
      <w:r w:rsidR="004134DE" w:rsidRPr="00C14AA8">
        <w:t>.</w:t>
      </w:r>
      <w:r w:rsidR="00A419D8" w:rsidRPr="00C14AA8">
        <w:t xml:space="preserve"> </w:t>
      </w:r>
      <w:r w:rsidR="00B05885" w:rsidRPr="00C14AA8">
        <w:t>R4D</w:t>
      </w:r>
      <w:r w:rsidR="004134DE" w:rsidRPr="00C14AA8">
        <w:t xml:space="preserve"> is Australia’s current major contribution to the rural roads sector in Timor-Leste. It is implemented by the M</w:t>
      </w:r>
      <w:r w:rsidR="00FC23D8" w:rsidRPr="00C14AA8">
        <w:t xml:space="preserve">inistry for </w:t>
      </w:r>
      <w:r w:rsidR="004134DE" w:rsidRPr="00C14AA8">
        <w:t>P</w:t>
      </w:r>
      <w:r w:rsidR="00FC23D8" w:rsidRPr="00C14AA8">
        <w:t xml:space="preserve">ublic </w:t>
      </w:r>
      <w:r w:rsidR="004134DE" w:rsidRPr="00C14AA8">
        <w:t>W</w:t>
      </w:r>
      <w:r w:rsidR="00FC23D8" w:rsidRPr="00C14AA8">
        <w:t xml:space="preserve">orks </w:t>
      </w:r>
      <w:r w:rsidR="004134DE" w:rsidRPr="00C14AA8">
        <w:t>with technical assistance from the International Labour Organization</w:t>
      </w:r>
      <w:r w:rsidR="005F4984" w:rsidRPr="00C14AA8">
        <w:t>.</w:t>
      </w:r>
      <w:r w:rsidR="004134DE" w:rsidRPr="00C14AA8">
        <w:t xml:space="preserve"> </w:t>
      </w:r>
      <w:r w:rsidR="00B05885" w:rsidRPr="00C14AA8">
        <w:t>R4D</w:t>
      </w:r>
      <w:r w:rsidR="004134DE" w:rsidRPr="00C14AA8">
        <w:t xml:space="preserve"> </w:t>
      </w:r>
      <w:r w:rsidR="009F4270" w:rsidRPr="00C14AA8">
        <w:t>has</w:t>
      </w:r>
      <w:r w:rsidR="004134DE" w:rsidRPr="00C14AA8">
        <w:t xml:space="preserve"> a </w:t>
      </w:r>
      <w:r w:rsidR="001218C6" w:rsidRPr="00C14AA8">
        <w:t>training</w:t>
      </w:r>
      <w:r w:rsidR="004134DE" w:rsidRPr="00C14AA8">
        <w:t xml:space="preserve"> component combined with capital investments in rural roads works. The </w:t>
      </w:r>
      <w:r w:rsidR="00175E4F" w:rsidRPr="00C14AA8">
        <w:t xml:space="preserve">program’s </w:t>
      </w:r>
      <w:r w:rsidR="004134DE" w:rsidRPr="00C14AA8">
        <w:t xml:space="preserve">design </w:t>
      </w:r>
      <w:r w:rsidR="00A419D8" w:rsidRPr="00C14AA8">
        <w:t>ha</w:t>
      </w:r>
      <w:r w:rsidR="00175E4F" w:rsidRPr="00C14AA8">
        <w:t>s</w:t>
      </w:r>
      <w:r w:rsidR="00A419D8" w:rsidRPr="00C14AA8">
        <w:t xml:space="preserve"> a focus on integrating </w:t>
      </w:r>
      <w:r w:rsidR="00C264C5" w:rsidRPr="00C14AA8">
        <w:t xml:space="preserve">gender </w:t>
      </w:r>
      <w:r w:rsidR="00A419D8" w:rsidRPr="00C14AA8">
        <w:t xml:space="preserve">issues and </w:t>
      </w:r>
      <w:r w:rsidR="00DE38F3" w:rsidRPr="00C14AA8">
        <w:t>Australia</w:t>
      </w:r>
      <w:r w:rsidR="00A419D8" w:rsidRPr="00C14AA8">
        <w:t xml:space="preserve"> will monitor </w:t>
      </w:r>
      <w:r w:rsidR="006744B3" w:rsidRPr="00C14AA8">
        <w:t>this</w:t>
      </w:r>
      <w:r w:rsidR="00A419D8" w:rsidRPr="00C14AA8">
        <w:t xml:space="preserve"> </w:t>
      </w:r>
      <w:r w:rsidR="00FC23D8" w:rsidRPr="00C14AA8">
        <w:t>during road construction.</w:t>
      </w:r>
      <w:r w:rsidR="00FA36D6" w:rsidRPr="00C14AA8">
        <w:t xml:space="preserve"> </w:t>
      </w:r>
      <w:r w:rsidR="00B05885" w:rsidRPr="00C14AA8">
        <w:t>R4D</w:t>
      </w:r>
      <w:r w:rsidR="00FA36D6" w:rsidRPr="00C14AA8">
        <w:t xml:space="preserve"> trains contractors in social and environmental safeguard compliance (participation and empowerment of women) and community engagement.</w:t>
      </w:r>
    </w:p>
    <w:p w14:paraId="2610011D" w14:textId="0A740596" w:rsidR="00FA36D6" w:rsidRPr="00C14AA8" w:rsidRDefault="004134DE" w:rsidP="00C14AA8">
      <w:pPr>
        <w:pStyle w:val="BodyText"/>
      </w:pPr>
      <w:r w:rsidRPr="00C14AA8">
        <w:t xml:space="preserve">An </w:t>
      </w:r>
      <w:r w:rsidR="00EF4F82" w:rsidRPr="00C14AA8">
        <w:t xml:space="preserve">independent monitoring group </w:t>
      </w:r>
      <w:r w:rsidRPr="00C14AA8">
        <w:t xml:space="preserve">review in early 2013 found progress under </w:t>
      </w:r>
      <w:r w:rsidR="00B05885" w:rsidRPr="00C14AA8">
        <w:t>R4D</w:t>
      </w:r>
      <w:r w:rsidRPr="00C14AA8">
        <w:t xml:space="preserve"> </w:t>
      </w:r>
      <w:r w:rsidR="0053541C" w:rsidRPr="00C14AA8">
        <w:t>is</w:t>
      </w:r>
      <w:r w:rsidRPr="00C14AA8">
        <w:t xml:space="preserve"> </w:t>
      </w:r>
      <w:r w:rsidR="00CE78D6" w:rsidRPr="00C14AA8">
        <w:t>adequate</w:t>
      </w:r>
      <w:r w:rsidR="006A1548" w:rsidRPr="00C14AA8">
        <w:t>.</w:t>
      </w:r>
      <w:r w:rsidR="00CE78D6" w:rsidRPr="00C14AA8">
        <w:t xml:space="preserve"> </w:t>
      </w:r>
      <w:r w:rsidR="00175E4F" w:rsidRPr="00C14AA8">
        <w:t xml:space="preserve">Its </w:t>
      </w:r>
      <w:r w:rsidR="00223155" w:rsidRPr="00C14AA8">
        <w:t xml:space="preserve">start-up phase </w:t>
      </w:r>
      <w:r w:rsidR="00175E4F" w:rsidRPr="00C14AA8">
        <w:t xml:space="preserve">in 2012 </w:t>
      </w:r>
      <w:r w:rsidR="00223155" w:rsidRPr="00C14AA8">
        <w:t>focused on improving the institutional environment for reform and human resources required for road building</w:t>
      </w:r>
      <w:r w:rsidR="00CE78D6" w:rsidRPr="00C14AA8">
        <w:t xml:space="preserve">. </w:t>
      </w:r>
      <w:proofErr w:type="gramStart"/>
      <w:r w:rsidR="00C345DF" w:rsidRPr="00C14AA8">
        <w:t>Rehabilitation of 95</w:t>
      </w:r>
      <w:r w:rsidR="000773FD" w:rsidRPr="00C14AA8">
        <w:t xml:space="preserve"> kilometres </w:t>
      </w:r>
      <w:r w:rsidR="00C345DF" w:rsidRPr="00C14AA8">
        <w:t>of roads in seven districts and periodic maintenance of 148</w:t>
      </w:r>
      <w:r w:rsidR="000773FD" w:rsidRPr="00C14AA8">
        <w:t xml:space="preserve"> kilometres </w:t>
      </w:r>
      <w:r w:rsidR="00C345DF" w:rsidRPr="00C14AA8">
        <w:t>of roads in six d</w:t>
      </w:r>
      <w:r w:rsidR="00920CAE" w:rsidRPr="00C14AA8">
        <w:t>istricts commenced in 2012</w:t>
      </w:r>
      <w:r w:rsidR="00175E4F" w:rsidRPr="00C14AA8">
        <w:t>–</w:t>
      </w:r>
      <w:r w:rsidR="00920CAE" w:rsidRPr="00C14AA8">
        <w:t>13.</w:t>
      </w:r>
      <w:proofErr w:type="gramEnd"/>
      <w:r w:rsidR="00C345DF" w:rsidRPr="00C14AA8">
        <w:t xml:space="preserve"> B</w:t>
      </w:r>
      <w:r w:rsidR="00A419D8" w:rsidRPr="00C14AA8">
        <w:t>y the end of the program</w:t>
      </w:r>
      <w:r w:rsidR="00175E4F" w:rsidRPr="00C14AA8">
        <w:t>,</w:t>
      </w:r>
      <w:r w:rsidR="00A419D8" w:rsidRPr="00C14AA8">
        <w:t xml:space="preserve"> </w:t>
      </w:r>
      <w:r w:rsidR="00B05885" w:rsidRPr="00C14AA8">
        <w:t>R4D</w:t>
      </w:r>
      <w:r w:rsidR="00EF4F82" w:rsidRPr="00C14AA8">
        <w:t xml:space="preserve"> </w:t>
      </w:r>
      <w:r w:rsidR="00A419D8" w:rsidRPr="00C14AA8">
        <w:t>aims to have rehabilitated 450</w:t>
      </w:r>
      <w:r w:rsidR="000773FD" w:rsidRPr="00C14AA8">
        <w:t xml:space="preserve"> kilometres </w:t>
      </w:r>
      <w:r w:rsidR="00A419D8" w:rsidRPr="00C14AA8">
        <w:t>of rural roads</w:t>
      </w:r>
      <w:r w:rsidR="00175E4F" w:rsidRPr="00C14AA8">
        <w:t>,</w:t>
      </w:r>
      <w:r w:rsidR="00A419D8" w:rsidRPr="00C14AA8">
        <w:t xml:space="preserve"> have 700</w:t>
      </w:r>
      <w:r w:rsidR="000773FD" w:rsidRPr="00C14AA8">
        <w:t xml:space="preserve"> kilometres </w:t>
      </w:r>
      <w:r w:rsidR="00175E4F" w:rsidRPr="00C14AA8">
        <w:t xml:space="preserve">under periodic maintenance </w:t>
      </w:r>
      <w:r w:rsidR="00A419D8" w:rsidRPr="00C14AA8">
        <w:t>and 1150</w:t>
      </w:r>
      <w:r w:rsidR="000773FD" w:rsidRPr="00C14AA8">
        <w:t xml:space="preserve"> kilometres </w:t>
      </w:r>
      <w:r w:rsidR="00175E4F" w:rsidRPr="00C14AA8">
        <w:t>under</w:t>
      </w:r>
      <w:r w:rsidR="00A419D8" w:rsidRPr="00C14AA8">
        <w:t xml:space="preserve"> routine maintenance.</w:t>
      </w:r>
      <w:r w:rsidR="00FA36D6" w:rsidRPr="00C14AA8">
        <w:t xml:space="preserve"> The </w:t>
      </w:r>
      <w:r w:rsidR="00EF4F82" w:rsidRPr="00C14AA8">
        <w:t>r</w:t>
      </w:r>
      <w:r w:rsidR="00FA36D6" w:rsidRPr="00C14AA8">
        <w:t>eview recommended</w:t>
      </w:r>
      <w:r w:rsidR="00175E4F" w:rsidRPr="00C14AA8">
        <w:t xml:space="preserve"> that </w:t>
      </w:r>
      <w:r w:rsidR="00FA36D6" w:rsidRPr="00C14AA8">
        <w:t xml:space="preserve">the </w:t>
      </w:r>
      <w:r w:rsidR="00EF4F82" w:rsidRPr="00C14AA8">
        <w:t xml:space="preserve">team leader </w:t>
      </w:r>
      <w:r w:rsidR="00FA36D6" w:rsidRPr="00C14AA8">
        <w:t>focus more on government engagement and higher level strategic work, and form</w:t>
      </w:r>
      <w:r w:rsidR="00175E4F" w:rsidRPr="00C14AA8">
        <w:t>ing a</w:t>
      </w:r>
      <w:r w:rsidR="00FA36D6" w:rsidRPr="00C14AA8">
        <w:t xml:space="preserve"> </w:t>
      </w:r>
      <w:r w:rsidR="00175E4F" w:rsidRPr="00C14AA8">
        <w:t xml:space="preserve">steering committee </w:t>
      </w:r>
      <w:r w:rsidR="00FA36D6" w:rsidRPr="00C14AA8">
        <w:t xml:space="preserve">to improve coordination. </w:t>
      </w:r>
      <w:r w:rsidR="00B05885" w:rsidRPr="00C14AA8">
        <w:t>R4D</w:t>
      </w:r>
      <w:r w:rsidR="00FA36D6" w:rsidRPr="00C14AA8">
        <w:t xml:space="preserve"> will monitor its impact at the institutional, policy and infrastructure works levels.</w:t>
      </w:r>
    </w:p>
    <w:p w14:paraId="4F078149" w14:textId="4E327B8E" w:rsidR="00A419D8" w:rsidRPr="00C14AA8" w:rsidRDefault="00223155" w:rsidP="00C14AA8">
      <w:pPr>
        <w:pStyle w:val="BodyText"/>
      </w:pPr>
      <w:r w:rsidRPr="00C14AA8">
        <w:t xml:space="preserve">The rating is amber because </w:t>
      </w:r>
      <w:r w:rsidR="00B05885" w:rsidRPr="00C14AA8">
        <w:t>R4D</w:t>
      </w:r>
      <w:r w:rsidR="0053541C" w:rsidRPr="00C14AA8">
        <w:t xml:space="preserve"> is assisting </w:t>
      </w:r>
      <w:r w:rsidR="00FC23D8" w:rsidRPr="00C14AA8">
        <w:t>the</w:t>
      </w:r>
      <w:r w:rsidR="00A419D8" w:rsidRPr="00C14AA8">
        <w:t xml:space="preserve"> new </w:t>
      </w:r>
      <w:r w:rsidR="00175E4F" w:rsidRPr="00C14AA8">
        <w:t xml:space="preserve">Ministry of Public Works </w:t>
      </w:r>
      <w:r w:rsidR="0053541C" w:rsidRPr="00C14AA8">
        <w:t xml:space="preserve">to </w:t>
      </w:r>
      <w:r w:rsidR="007C42E8" w:rsidRPr="00C14AA8">
        <w:t>establish</w:t>
      </w:r>
      <w:r w:rsidR="00A419D8" w:rsidRPr="00C14AA8">
        <w:t xml:space="preserve"> processes for preparing plans, budgets and strategic documents such as a </w:t>
      </w:r>
      <w:r w:rsidR="005F4984" w:rsidRPr="00C14AA8">
        <w:t>r</w:t>
      </w:r>
      <w:r w:rsidR="00A419D8" w:rsidRPr="00C14AA8">
        <w:t xml:space="preserve">ural </w:t>
      </w:r>
      <w:r w:rsidR="005F4984" w:rsidRPr="00C14AA8">
        <w:t>r</w:t>
      </w:r>
      <w:r w:rsidR="00A419D8" w:rsidRPr="00C14AA8">
        <w:t xml:space="preserve">oads </w:t>
      </w:r>
      <w:r w:rsidR="005F4984" w:rsidRPr="00C14AA8">
        <w:t>m</w:t>
      </w:r>
      <w:r w:rsidR="00A419D8" w:rsidRPr="00C14AA8">
        <w:t xml:space="preserve">aster </w:t>
      </w:r>
      <w:r w:rsidR="005F4984" w:rsidRPr="00C14AA8">
        <w:t>p</w:t>
      </w:r>
      <w:r w:rsidR="00A419D8" w:rsidRPr="00C14AA8">
        <w:t xml:space="preserve">lan, </w:t>
      </w:r>
      <w:r w:rsidR="005F4984" w:rsidRPr="00C14AA8">
        <w:t>h</w:t>
      </w:r>
      <w:r w:rsidR="00A419D8" w:rsidRPr="00C14AA8">
        <w:t xml:space="preserve">uman </w:t>
      </w:r>
      <w:r w:rsidR="005F4984" w:rsidRPr="00C14AA8">
        <w:t>r</w:t>
      </w:r>
      <w:r w:rsidR="00A419D8" w:rsidRPr="00C14AA8">
        <w:t xml:space="preserve">esource </w:t>
      </w:r>
      <w:r w:rsidR="005F4984" w:rsidRPr="00C14AA8">
        <w:t>m</w:t>
      </w:r>
      <w:r w:rsidR="00A419D8" w:rsidRPr="00C14AA8">
        <w:t xml:space="preserve">anagement </w:t>
      </w:r>
      <w:r w:rsidR="005F4984" w:rsidRPr="00C14AA8">
        <w:t>p</w:t>
      </w:r>
      <w:r w:rsidR="00A419D8" w:rsidRPr="00C14AA8">
        <w:t xml:space="preserve">lan and procurement plan. </w:t>
      </w:r>
      <w:r w:rsidR="000E1462" w:rsidRPr="00C14AA8">
        <w:t xml:space="preserve">Through effective policy dialogue, </w:t>
      </w:r>
      <w:r w:rsidR="00B05885" w:rsidRPr="00C14AA8">
        <w:t>R4D</w:t>
      </w:r>
      <w:r w:rsidR="00A419D8" w:rsidRPr="00C14AA8">
        <w:t xml:space="preserve"> was invited to assist </w:t>
      </w:r>
      <w:r w:rsidR="001218C6" w:rsidRPr="00C14AA8">
        <w:t xml:space="preserve">the </w:t>
      </w:r>
      <w:r w:rsidR="00175E4F" w:rsidRPr="00C14AA8">
        <w:t xml:space="preserve">ministry </w:t>
      </w:r>
      <w:r w:rsidR="00A419D8" w:rsidRPr="00C14AA8">
        <w:t xml:space="preserve">prepare its 2013 action plan and budget proposal. This has resulted in an allocation of </w:t>
      </w:r>
      <w:r w:rsidR="005C312A" w:rsidRPr="00C14AA8">
        <w:t>US</w:t>
      </w:r>
      <w:r w:rsidR="00175E4F" w:rsidRPr="00C14AA8">
        <w:t>D</w:t>
      </w:r>
      <w:r w:rsidR="00A419D8" w:rsidRPr="00C14AA8">
        <w:t xml:space="preserve">2.5 million to </w:t>
      </w:r>
      <w:r w:rsidR="00175E4F" w:rsidRPr="00C14AA8">
        <w:t xml:space="preserve">the ministry </w:t>
      </w:r>
      <w:r w:rsidR="00A419D8" w:rsidRPr="00C14AA8">
        <w:t xml:space="preserve">as </w:t>
      </w:r>
      <w:r w:rsidR="00175E4F" w:rsidRPr="00C14AA8">
        <w:t xml:space="preserve">R4D </w:t>
      </w:r>
      <w:r w:rsidR="00A419D8" w:rsidRPr="00C14AA8">
        <w:t xml:space="preserve">counterpart funding for 2013. The </w:t>
      </w:r>
      <w:r w:rsidR="00175E4F" w:rsidRPr="00C14AA8">
        <w:t xml:space="preserve">minister </w:t>
      </w:r>
      <w:r w:rsidR="00A419D8" w:rsidRPr="00C14AA8">
        <w:t xml:space="preserve">has requested </w:t>
      </w:r>
      <w:r w:rsidR="00DE38F3" w:rsidRPr="00C14AA8">
        <w:t>Australia</w:t>
      </w:r>
      <w:r w:rsidR="00FC23D8" w:rsidRPr="00C14AA8">
        <w:t>,</w:t>
      </w:r>
      <w:r w:rsidR="00A419D8" w:rsidRPr="00C14AA8">
        <w:t xml:space="preserve"> through </w:t>
      </w:r>
      <w:proofErr w:type="gramStart"/>
      <w:r w:rsidR="00B05885" w:rsidRPr="00C14AA8">
        <w:t>R4D</w:t>
      </w:r>
      <w:r w:rsidR="00FC23D8" w:rsidRPr="00C14AA8">
        <w:t>,</w:t>
      </w:r>
      <w:proofErr w:type="gramEnd"/>
      <w:r w:rsidR="00A419D8" w:rsidRPr="00C14AA8">
        <w:t xml:space="preserve"> provide support </w:t>
      </w:r>
      <w:r w:rsidR="00175E4F" w:rsidRPr="00C14AA8">
        <w:t xml:space="preserve">to </w:t>
      </w:r>
      <w:r w:rsidR="00A419D8" w:rsidRPr="00C14AA8">
        <w:t xml:space="preserve">public financial management </w:t>
      </w:r>
      <w:r w:rsidR="001841AD" w:rsidRPr="00C14AA8">
        <w:t xml:space="preserve">to secure an increase in </w:t>
      </w:r>
      <w:r w:rsidR="00A419D8" w:rsidRPr="00C14AA8">
        <w:t>budget allocations for rural roads.</w:t>
      </w:r>
      <w:r w:rsidR="00FA36D6" w:rsidRPr="00C14AA8">
        <w:t xml:space="preserve"> </w:t>
      </w:r>
      <w:r w:rsidR="001D48CF" w:rsidRPr="00C14AA8">
        <w:t>Roadwork</w:t>
      </w:r>
      <w:r w:rsidR="00FA36D6" w:rsidRPr="00C14AA8">
        <w:t xml:space="preserve"> commenced in May 2013.</w:t>
      </w:r>
      <w:r w:rsidR="006A1548" w:rsidRPr="00C14AA8">
        <w:t xml:space="preserve"> Insufficient </w:t>
      </w:r>
      <w:r w:rsidR="00175E4F" w:rsidRPr="00C14AA8">
        <w:t xml:space="preserve">Ministry of Public Works </w:t>
      </w:r>
      <w:r w:rsidR="006A1548" w:rsidRPr="00C14AA8">
        <w:t>resources contributed to R4D delays.</w:t>
      </w:r>
    </w:p>
    <w:p w14:paraId="6DF7BFDC" w14:textId="63477425" w:rsidR="00FC23D8" w:rsidRPr="00C14AA8" w:rsidRDefault="00622ED9" w:rsidP="00C14AA8">
      <w:pPr>
        <w:pStyle w:val="BodyText"/>
      </w:pPr>
      <w:r w:rsidRPr="00C14AA8">
        <w:t xml:space="preserve">Through </w:t>
      </w:r>
      <w:r w:rsidR="00B05885" w:rsidRPr="00C14AA8">
        <w:t>R4D</w:t>
      </w:r>
      <w:r w:rsidRPr="00C14AA8">
        <w:t xml:space="preserve">, the </w:t>
      </w:r>
      <w:r w:rsidR="00A419D8" w:rsidRPr="00C14AA8">
        <w:t>institutional capacity of part</w:t>
      </w:r>
      <w:r w:rsidRPr="00C14AA8">
        <w:t>ners will be developed gradually</w:t>
      </w:r>
      <w:r w:rsidR="00A419D8" w:rsidRPr="00C14AA8">
        <w:t xml:space="preserve"> </w:t>
      </w:r>
      <w:r w:rsidR="00175E4F" w:rsidRPr="00C14AA8">
        <w:t xml:space="preserve">as </w:t>
      </w:r>
      <w:r w:rsidRPr="00C14AA8">
        <w:t>change takes time.</w:t>
      </w:r>
      <w:r w:rsidR="00A419D8" w:rsidRPr="00C14AA8">
        <w:t xml:space="preserve"> In parallel, the delivery of capital inves</w:t>
      </w:r>
      <w:r w:rsidRPr="00C14AA8">
        <w:t xml:space="preserve">tments in rural road works by </w:t>
      </w:r>
      <w:r w:rsidR="00B05885" w:rsidRPr="00C14AA8">
        <w:t>R4D</w:t>
      </w:r>
      <w:r w:rsidR="00175E4F" w:rsidRPr="00C14AA8">
        <w:t>–</w:t>
      </w:r>
      <w:r w:rsidR="00A419D8" w:rsidRPr="00C14AA8">
        <w:t xml:space="preserve">–implemented with support from the </w:t>
      </w:r>
      <w:r w:rsidR="00FC23D8" w:rsidRPr="00C14AA8">
        <w:t>I</w:t>
      </w:r>
      <w:r w:rsidR="00FA36D6" w:rsidRPr="00C14AA8">
        <w:t xml:space="preserve">nternational Labour </w:t>
      </w:r>
      <w:r w:rsidR="000773FD" w:rsidRPr="00C14AA8">
        <w:t xml:space="preserve">Organization </w:t>
      </w:r>
      <w:r w:rsidR="00B60E38" w:rsidRPr="00C14AA8">
        <w:t>technical assistance</w:t>
      </w:r>
      <w:r w:rsidR="00A419D8" w:rsidRPr="00C14AA8">
        <w:t xml:space="preserve"> team</w:t>
      </w:r>
      <w:r w:rsidR="00175E4F" w:rsidRPr="00C14AA8">
        <w:t>––</w:t>
      </w:r>
      <w:r w:rsidR="00A419D8" w:rsidRPr="00C14AA8">
        <w:t>aims to demonst</w:t>
      </w:r>
      <w:r w:rsidR="00FC23D8" w:rsidRPr="00C14AA8">
        <w:t xml:space="preserve">rate to key </w:t>
      </w:r>
      <w:r w:rsidR="00175E4F" w:rsidRPr="00C14AA8">
        <w:t xml:space="preserve">government </w:t>
      </w:r>
      <w:r w:rsidR="00FC23D8" w:rsidRPr="00C14AA8">
        <w:t>decision-</w:t>
      </w:r>
      <w:r w:rsidR="00A419D8" w:rsidRPr="00C14AA8">
        <w:t xml:space="preserve">makers the feasibility </w:t>
      </w:r>
      <w:r w:rsidR="004F36C6" w:rsidRPr="00C14AA8">
        <w:t>of employing</w:t>
      </w:r>
      <w:r w:rsidR="00A419D8" w:rsidRPr="00C14AA8">
        <w:t xml:space="preserve"> local</w:t>
      </w:r>
      <w:r w:rsidR="004F36C6" w:rsidRPr="00C14AA8">
        <w:t xml:space="preserve"> people</w:t>
      </w:r>
      <w:r w:rsidR="00E43D98" w:rsidRPr="00C14AA8">
        <w:t>.</w:t>
      </w:r>
      <w:r w:rsidR="00A419D8" w:rsidRPr="00C14AA8">
        <w:t xml:space="preserve"> </w:t>
      </w:r>
    </w:p>
    <w:p w14:paraId="4E022F22" w14:textId="77777777" w:rsidR="00022320" w:rsidRDefault="00022320">
      <w:pPr>
        <w:spacing w:after="200" w:line="276" w:lineRule="auto"/>
        <w:rPr>
          <w:rFonts w:ascii="Franklin Gothic Demi" w:eastAsia="Times New Roman" w:hAnsi="Franklin Gothic Demi" w:cs="Arial"/>
          <w:color w:val="AD495D"/>
          <w:kern w:val="28"/>
          <w:sz w:val="24"/>
          <w:szCs w:val="28"/>
        </w:rPr>
      </w:pPr>
      <w:r>
        <w:br w:type="page"/>
      </w:r>
    </w:p>
    <w:p w14:paraId="54883BCE" w14:textId="542C994E" w:rsidR="005D1FAD" w:rsidRPr="00C14AA8" w:rsidRDefault="005D1FAD" w:rsidP="00C14AA8">
      <w:pPr>
        <w:pStyle w:val="Heading2"/>
      </w:pPr>
      <w:r w:rsidRPr="00C14AA8">
        <w:lastRenderedPageBreak/>
        <w:t>Objective 3</w:t>
      </w:r>
    </w:p>
    <w:tbl>
      <w:tblPr>
        <w:tblStyle w:val="APPR"/>
        <w:tblW w:w="5000" w:type="pct"/>
        <w:tblLook w:val="0000" w:firstRow="0" w:lastRow="0" w:firstColumn="0" w:lastColumn="0" w:noHBand="0" w:noVBand="0"/>
      </w:tblPr>
      <w:tblGrid>
        <w:gridCol w:w="6329"/>
        <w:gridCol w:w="1105"/>
        <w:gridCol w:w="1173"/>
      </w:tblGrid>
      <w:tr w:rsidR="00C14AA8" w:rsidRPr="001159CC" w14:paraId="21EE49FB" w14:textId="77777777" w:rsidTr="009B685C">
        <w:trPr>
          <w:cnfStyle w:val="000000010000" w:firstRow="0" w:lastRow="0" w:firstColumn="0" w:lastColumn="0" w:oddVBand="0" w:evenVBand="0" w:oddHBand="0" w:evenHBand="1" w:firstRowFirstColumn="0" w:firstRowLastColumn="0" w:lastRowFirstColumn="0" w:lastRowLastColumn="0"/>
        </w:trPr>
        <w:tc>
          <w:tcPr>
            <w:tcW w:w="5694" w:type="dxa"/>
          </w:tcPr>
          <w:p w14:paraId="096B226F" w14:textId="77777777" w:rsidR="00C14AA8" w:rsidRPr="00991FE6" w:rsidRDefault="00C14AA8" w:rsidP="00C14AA8">
            <w:pPr>
              <w:pStyle w:val="TableHeading1"/>
            </w:pPr>
            <w:r w:rsidRPr="00991FE6">
              <w:rPr>
                <w:noProof/>
                <w:lang w:eastAsia="en-AU"/>
              </w:rPr>
              <w:drawing>
                <wp:anchor distT="0" distB="0" distL="114300" distR="114300" simplePos="0" relativeHeight="251686912" behindDoc="0" locked="0" layoutInCell="1" allowOverlap="1" wp14:anchorId="573BBCA0" wp14:editId="29C02117">
                  <wp:simplePos x="0" y="0"/>
                  <wp:positionH relativeFrom="column">
                    <wp:posOffset>0</wp:posOffset>
                  </wp:positionH>
                  <wp:positionV relativeFrom="paragraph">
                    <wp:posOffset>0</wp:posOffset>
                  </wp:positionV>
                  <wp:extent cx="1857375" cy="228600"/>
                  <wp:effectExtent l="0" t="0" r="9525" b="0"/>
                  <wp:wrapNone/>
                  <wp:docPr id="27" name="Picture 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FE6">
              <w:t>Objective</w:t>
            </w:r>
          </w:p>
        </w:tc>
        <w:tc>
          <w:tcPr>
            <w:tcW w:w="975" w:type="dxa"/>
          </w:tcPr>
          <w:p w14:paraId="6E14B292" w14:textId="473FA677" w:rsidR="00C14AA8" w:rsidRPr="00991FE6" w:rsidRDefault="00C14AA8" w:rsidP="00C14AA8">
            <w:pPr>
              <w:pStyle w:val="TableHeading1"/>
            </w:pPr>
            <w:r w:rsidRPr="00991FE6">
              <w:t xml:space="preserve">Current </w:t>
            </w:r>
            <w:r>
              <w:t>r</w:t>
            </w:r>
            <w:r w:rsidRPr="00991FE6">
              <w:t>ating</w:t>
            </w:r>
          </w:p>
        </w:tc>
        <w:tc>
          <w:tcPr>
            <w:tcW w:w="1024" w:type="dxa"/>
          </w:tcPr>
          <w:p w14:paraId="24FD3BDD" w14:textId="6FE1FE7E" w:rsidR="00C14AA8" w:rsidRPr="00991FE6" w:rsidRDefault="00C14AA8" w:rsidP="00C14AA8">
            <w:pPr>
              <w:pStyle w:val="TableHeading1"/>
            </w:pPr>
            <w:r w:rsidRPr="00991FE6">
              <w:t xml:space="preserve">Previous </w:t>
            </w:r>
            <w:r>
              <w:t>r</w:t>
            </w:r>
            <w:r w:rsidRPr="00991FE6">
              <w:t>ating</w:t>
            </w:r>
          </w:p>
        </w:tc>
      </w:tr>
      <w:tr w:rsidR="00C14AA8" w:rsidRPr="001159CC" w14:paraId="0F2C22E6" w14:textId="77777777" w:rsidTr="009B685C">
        <w:trPr>
          <w:cnfStyle w:val="000000010000" w:firstRow="0" w:lastRow="0" w:firstColumn="0" w:lastColumn="0" w:oddVBand="0" w:evenVBand="0" w:oddHBand="0" w:evenHBand="1" w:firstRowFirstColumn="0" w:firstRowLastColumn="0" w:lastRowFirstColumn="0" w:lastRowLastColumn="0"/>
        </w:trPr>
        <w:tc>
          <w:tcPr>
            <w:tcW w:w="5694" w:type="dxa"/>
          </w:tcPr>
          <w:p w14:paraId="4D98DA9B" w14:textId="77777777" w:rsidR="00C14AA8" w:rsidRPr="00C14AA8" w:rsidRDefault="00C14AA8" w:rsidP="00C14AA8">
            <w:pPr>
              <w:pStyle w:val="TableTextEntries"/>
            </w:pPr>
            <w:r w:rsidRPr="00C14AA8">
              <w:t>Objective 3: Increased productivity of major staple food crops through farmers using improved seed.</w:t>
            </w:r>
          </w:p>
        </w:tc>
        <w:tc>
          <w:tcPr>
            <w:tcW w:w="975" w:type="dxa"/>
            <w:shd w:val="clear" w:color="auto" w:fill="92D050"/>
            <w:noWrap/>
          </w:tcPr>
          <w:p w14:paraId="7C073D87" w14:textId="77777777" w:rsidR="00C14AA8" w:rsidRPr="00C14AA8" w:rsidRDefault="00C14AA8" w:rsidP="00C14AA8">
            <w:pPr>
              <w:pStyle w:val="TableTextEntries"/>
            </w:pPr>
            <w:r w:rsidRPr="00C14AA8">
              <w:t>Green</w:t>
            </w:r>
          </w:p>
        </w:tc>
        <w:tc>
          <w:tcPr>
            <w:tcW w:w="1024" w:type="dxa"/>
            <w:shd w:val="clear" w:color="auto" w:fill="92D050"/>
            <w:noWrap/>
          </w:tcPr>
          <w:p w14:paraId="210D1D5C" w14:textId="77777777" w:rsidR="00C14AA8" w:rsidRPr="00C14AA8" w:rsidRDefault="00C14AA8" w:rsidP="00C14AA8">
            <w:pPr>
              <w:pStyle w:val="TableTextEntries"/>
            </w:pPr>
            <w:r w:rsidRPr="00C14AA8">
              <w:t>Green</w:t>
            </w:r>
          </w:p>
        </w:tc>
      </w:tr>
    </w:tbl>
    <w:p w14:paraId="2B43882E" w14:textId="77777777" w:rsidR="00307935" w:rsidRPr="001159CC" w:rsidRDefault="00307935" w:rsidP="00FA391E">
      <w:pPr>
        <w:rPr>
          <w:rFonts w:asciiTheme="minorHAnsi" w:hAnsiTheme="minorHAnsi" w:cstheme="minorHAnsi"/>
          <w:sz w:val="22"/>
          <w:szCs w:val="22"/>
        </w:rPr>
      </w:pPr>
    </w:p>
    <w:p w14:paraId="58CC1025" w14:textId="3208794F" w:rsidR="00084B52" w:rsidRPr="00C14AA8" w:rsidRDefault="00C6457A" w:rsidP="00C14AA8">
      <w:pPr>
        <w:pStyle w:val="BodyText"/>
        <w:rPr>
          <w:i/>
        </w:rPr>
      </w:pPr>
      <w:r w:rsidRPr="00C14AA8">
        <w:rPr>
          <w:i/>
        </w:rPr>
        <w:t>Th</w:t>
      </w:r>
      <w:r w:rsidR="00175E4F" w:rsidRPr="00C14AA8">
        <w:rPr>
          <w:i/>
        </w:rPr>
        <w:t>is</w:t>
      </w:r>
      <w:r w:rsidRPr="00C14AA8">
        <w:rPr>
          <w:i/>
        </w:rPr>
        <w:t xml:space="preserve"> rating </w:t>
      </w:r>
      <w:r w:rsidR="00084B52" w:rsidRPr="00C14AA8">
        <w:rPr>
          <w:i/>
        </w:rPr>
        <w:t>highlights</w:t>
      </w:r>
      <w:r w:rsidR="007F702C" w:rsidRPr="00C14AA8">
        <w:rPr>
          <w:i/>
        </w:rPr>
        <w:t xml:space="preserve"> the </w:t>
      </w:r>
      <w:r w:rsidR="00175E4F" w:rsidRPr="00C14AA8">
        <w:rPr>
          <w:i/>
        </w:rPr>
        <w:t xml:space="preserve">program’s </w:t>
      </w:r>
      <w:r w:rsidR="00084B52" w:rsidRPr="00C14AA8">
        <w:rPr>
          <w:i/>
        </w:rPr>
        <w:t>progress toward improving productivity of major food crops</w:t>
      </w:r>
      <w:r w:rsidR="004F4FC0" w:rsidRPr="00C14AA8">
        <w:rPr>
          <w:i/>
        </w:rPr>
        <w:t>. The program is</w:t>
      </w:r>
      <w:r w:rsidR="00084B52" w:rsidRPr="00C14AA8">
        <w:rPr>
          <w:i/>
        </w:rPr>
        <w:t xml:space="preserve"> on track to meet its target of 65</w:t>
      </w:r>
      <w:r w:rsidR="00175E4F" w:rsidRPr="00C14AA8">
        <w:rPr>
          <w:i/>
        </w:rPr>
        <w:t xml:space="preserve"> </w:t>
      </w:r>
      <w:r w:rsidR="00084B52" w:rsidRPr="00C14AA8">
        <w:rPr>
          <w:i/>
        </w:rPr>
        <w:t xml:space="preserve">000 farmers by 2015 using </w:t>
      </w:r>
      <w:r w:rsidR="003875E8" w:rsidRPr="00C14AA8">
        <w:rPr>
          <w:i/>
        </w:rPr>
        <w:t xml:space="preserve">higher yielding </w:t>
      </w:r>
      <w:r w:rsidR="00084B52" w:rsidRPr="00C14AA8">
        <w:rPr>
          <w:i/>
        </w:rPr>
        <w:t>seed varieties.</w:t>
      </w:r>
      <w:r w:rsidR="003875E8" w:rsidRPr="00C14AA8">
        <w:rPr>
          <w:i/>
        </w:rPr>
        <w:t xml:space="preserve"> Positive engagement between development partners and </w:t>
      </w:r>
      <w:r w:rsidR="00175E4F" w:rsidRPr="00C14AA8">
        <w:rPr>
          <w:i/>
        </w:rPr>
        <w:t xml:space="preserve">the </w:t>
      </w:r>
      <w:r w:rsidR="003875E8" w:rsidRPr="00C14AA8">
        <w:rPr>
          <w:i/>
        </w:rPr>
        <w:t>Ministry of Agriculture</w:t>
      </w:r>
      <w:r w:rsidR="007F702C" w:rsidRPr="00C14AA8">
        <w:rPr>
          <w:i/>
        </w:rPr>
        <w:t xml:space="preserve"> </w:t>
      </w:r>
      <w:r w:rsidR="003875E8" w:rsidRPr="00C14AA8">
        <w:rPr>
          <w:i/>
        </w:rPr>
        <w:t>and Fisheries</w:t>
      </w:r>
      <w:r w:rsidR="00AB2473" w:rsidRPr="00C14AA8">
        <w:rPr>
          <w:i/>
        </w:rPr>
        <w:t xml:space="preserve"> </w:t>
      </w:r>
      <w:r w:rsidR="003875E8" w:rsidRPr="00C14AA8">
        <w:rPr>
          <w:i/>
        </w:rPr>
        <w:t xml:space="preserve">to improve planning and budget processes </w:t>
      </w:r>
      <w:r w:rsidR="00722E58" w:rsidRPr="00C14AA8">
        <w:rPr>
          <w:i/>
        </w:rPr>
        <w:t>led</w:t>
      </w:r>
      <w:r w:rsidR="003875E8" w:rsidRPr="00C14AA8">
        <w:rPr>
          <w:i/>
        </w:rPr>
        <w:t xml:space="preserve"> to </w:t>
      </w:r>
      <w:r w:rsidR="00722E58" w:rsidRPr="00C14AA8">
        <w:rPr>
          <w:i/>
        </w:rPr>
        <w:t>an increased 2013 budget allocation.</w:t>
      </w:r>
    </w:p>
    <w:p w14:paraId="5A3AD361" w14:textId="7BF2F232" w:rsidR="00175E4F" w:rsidRPr="00C14AA8" w:rsidRDefault="00854C8F" w:rsidP="00C14AA8">
      <w:pPr>
        <w:pStyle w:val="BodyText"/>
      </w:pPr>
      <w:r w:rsidRPr="00C14AA8">
        <w:t>Low agricultural sector funding, poor strategic planning and technical capacity</w:t>
      </w:r>
      <w:r w:rsidR="00175E4F" w:rsidRPr="00C14AA8">
        <w:t>,</w:t>
      </w:r>
      <w:r w:rsidRPr="00C14AA8">
        <w:t xml:space="preserve"> </w:t>
      </w:r>
      <w:r w:rsidR="00175E4F" w:rsidRPr="00C14AA8">
        <w:t xml:space="preserve">together with a </w:t>
      </w:r>
      <w:r w:rsidRPr="00C14AA8">
        <w:t xml:space="preserve">lack of incentives for agricultural </w:t>
      </w:r>
      <w:proofErr w:type="gramStart"/>
      <w:r w:rsidRPr="00C14AA8">
        <w:t>innovation</w:t>
      </w:r>
      <w:r w:rsidR="00175E4F" w:rsidRPr="00C14AA8">
        <w:t>,</w:t>
      </w:r>
      <w:proofErr w:type="gramEnd"/>
      <w:r w:rsidRPr="00C14AA8">
        <w:t xml:space="preserve"> continue to hamper progress towards the </w:t>
      </w:r>
      <w:r w:rsidR="00175E4F" w:rsidRPr="00C14AA8">
        <w:t xml:space="preserve">Timor-Leste Government’s </w:t>
      </w:r>
      <w:r w:rsidRPr="00C14AA8">
        <w:t xml:space="preserve">2020 food security goal. </w:t>
      </w:r>
    </w:p>
    <w:p w14:paraId="27944791" w14:textId="09338A6F" w:rsidR="005D1FAD" w:rsidRPr="00C14AA8" w:rsidRDefault="005D1FAD" w:rsidP="00C14AA8">
      <w:pPr>
        <w:pStyle w:val="BodyText"/>
      </w:pPr>
      <w:r w:rsidRPr="00C14AA8">
        <w:t>The shared goal of achieving food security by 2020 through improved farming practices and boosting productivity of specific crops is challenging for Timor-Leste</w:t>
      </w:r>
      <w:r w:rsidR="004F4FC0" w:rsidRPr="00C14AA8">
        <w:t>. A</w:t>
      </w:r>
      <w:r w:rsidRPr="00C14AA8">
        <w:t xml:space="preserve">griculture </w:t>
      </w:r>
      <w:r w:rsidR="005559AC" w:rsidRPr="00C14AA8">
        <w:t xml:space="preserve">is </w:t>
      </w:r>
      <w:r w:rsidRPr="00C14AA8">
        <w:t>largely subsistence</w:t>
      </w:r>
      <w:r w:rsidR="008A1942" w:rsidRPr="00C14AA8">
        <w:t>, yields are low</w:t>
      </w:r>
      <w:r w:rsidRPr="00C14AA8">
        <w:t xml:space="preserve"> and food deficits are large. While Timor-Leste </w:t>
      </w:r>
      <w:r w:rsidR="00CB5BBA" w:rsidRPr="00C14AA8">
        <w:t>may</w:t>
      </w:r>
      <w:r w:rsidRPr="00C14AA8">
        <w:t xml:space="preserve"> achieve self-sufficiency in maize and various roots and tubers by 2020, this is not likely for rice where a deficit of </w:t>
      </w:r>
      <w:r w:rsidR="00775520" w:rsidRPr="00C14AA8">
        <w:t>about 80</w:t>
      </w:r>
      <w:r w:rsidR="00517A26" w:rsidRPr="00C14AA8">
        <w:t xml:space="preserve"> </w:t>
      </w:r>
      <w:r w:rsidR="00775520" w:rsidRPr="00C14AA8">
        <w:t>000</w:t>
      </w:r>
      <w:r w:rsidR="0042603B" w:rsidRPr="00C14AA8">
        <w:t xml:space="preserve"> </w:t>
      </w:r>
      <w:r w:rsidR="00175E4F" w:rsidRPr="00C14AA8">
        <w:t xml:space="preserve">metric tonnes </w:t>
      </w:r>
      <w:r w:rsidRPr="00C14AA8">
        <w:t xml:space="preserve">is projected. </w:t>
      </w:r>
      <w:r w:rsidR="00AA2C89" w:rsidRPr="00C14AA8">
        <w:t>S</w:t>
      </w:r>
      <w:r w:rsidRPr="00C14AA8">
        <w:t>ubsidies for rice imports reduce the competitiveness of local rice growers</w:t>
      </w:r>
      <w:r w:rsidR="00175E4F" w:rsidRPr="00C14AA8">
        <w:t>,</w:t>
      </w:r>
      <w:r w:rsidRPr="00C14AA8">
        <w:t xml:space="preserve"> and importation and distribution of free seeds discourages local seed production.</w:t>
      </w:r>
      <w:r w:rsidR="00AA2C89" w:rsidRPr="00C14AA8">
        <w:t xml:space="preserve"> This </w:t>
      </w:r>
      <w:r w:rsidR="00AB2473" w:rsidRPr="00C14AA8">
        <w:t>acts as a disincentive to</w:t>
      </w:r>
      <w:r w:rsidR="00AA2C89" w:rsidRPr="00C14AA8">
        <w:t xml:space="preserve"> improvements in innovation and production</w:t>
      </w:r>
      <w:r w:rsidR="005570B9" w:rsidRPr="00C14AA8">
        <w:t>.</w:t>
      </w:r>
    </w:p>
    <w:p w14:paraId="7E8A3D45" w14:textId="77777777" w:rsidR="005D1FAD" w:rsidRPr="00C14AA8" w:rsidRDefault="00517A26" w:rsidP="00C14AA8">
      <w:pPr>
        <w:pStyle w:val="BodyText"/>
      </w:pPr>
      <w:r w:rsidRPr="00C14AA8">
        <w:t>Improved food security will allow Timorese to reduce the impact of the hungry season, improve some of the factors that contribute to malnutrition and stunting in children, avoid some of the high costs of imported food and strengthen income opportunities.</w:t>
      </w:r>
    </w:p>
    <w:p w14:paraId="185D77BB" w14:textId="076D56FE" w:rsidR="005D1FAD" w:rsidRPr="00C14AA8" w:rsidRDefault="00854C8F" w:rsidP="00C14AA8">
      <w:pPr>
        <w:pStyle w:val="BodyText"/>
      </w:pPr>
      <w:r w:rsidRPr="00C14AA8">
        <w:t xml:space="preserve">Engagement between donors and the government remains generally positive and productive. </w:t>
      </w:r>
      <w:r w:rsidR="005D1FAD" w:rsidRPr="00C14AA8">
        <w:t xml:space="preserve">Development partners, including </w:t>
      </w:r>
      <w:r w:rsidR="00DE38F3" w:rsidRPr="00C14AA8">
        <w:t>Australia</w:t>
      </w:r>
      <w:r w:rsidR="00D0098D" w:rsidRPr="00C14AA8">
        <w:t>,</w:t>
      </w:r>
      <w:r w:rsidR="005D1FAD" w:rsidRPr="00C14AA8">
        <w:t xml:space="preserve"> are working with the Ministry of Agriculture and Fisheries to improve planning and budget processes. This engagement has </w:t>
      </w:r>
      <w:r w:rsidR="00D0098D" w:rsidRPr="00C14AA8">
        <w:t xml:space="preserve">helped the ministry </w:t>
      </w:r>
      <w:r w:rsidR="005D1FAD" w:rsidRPr="00C14AA8">
        <w:t>to secure a 2013 budget allocation of</w:t>
      </w:r>
      <w:r w:rsidR="00AD3E76" w:rsidRPr="00C14AA8">
        <w:t xml:space="preserve"> </w:t>
      </w:r>
      <w:r w:rsidR="005C312A" w:rsidRPr="00C14AA8">
        <w:t>US</w:t>
      </w:r>
      <w:r w:rsidR="00D0098D" w:rsidRPr="00C14AA8">
        <w:t>D</w:t>
      </w:r>
      <w:r w:rsidR="005D1FAD" w:rsidRPr="00C14AA8">
        <w:t>24.2 million (about 40</w:t>
      </w:r>
      <w:r w:rsidR="004E70DC" w:rsidRPr="00C14AA8">
        <w:t xml:space="preserve"> per cent</w:t>
      </w:r>
      <w:r w:rsidR="005D1FAD" w:rsidRPr="00C14AA8">
        <w:t xml:space="preserve"> greater than the previous year). Development partners are also assisting </w:t>
      </w:r>
      <w:r w:rsidR="00D0098D" w:rsidRPr="00C14AA8">
        <w:t xml:space="preserve">the ministry </w:t>
      </w:r>
      <w:r w:rsidR="005D1FAD" w:rsidRPr="00C14AA8">
        <w:t xml:space="preserve">access support from the Global Food Security Fund. </w:t>
      </w:r>
      <w:r w:rsidR="005570B9" w:rsidRPr="00C14AA8">
        <w:t>In</w:t>
      </w:r>
      <w:r w:rsidR="005D1FAD" w:rsidRPr="00C14AA8">
        <w:t xml:space="preserve"> early 2013,</w:t>
      </w:r>
      <w:r w:rsidR="005570B9" w:rsidRPr="00C14AA8">
        <w:t xml:space="preserve"> </w:t>
      </w:r>
      <w:r w:rsidR="00D0098D" w:rsidRPr="00C14AA8">
        <w:t xml:space="preserve">the Timor-Leste Government </w:t>
      </w:r>
      <w:r w:rsidR="005570B9" w:rsidRPr="00C14AA8">
        <w:t>established</w:t>
      </w:r>
      <w:r w:rsidR="005D1FAD" w:rsidRPr="00C14AA8">
        <w:t xml:space="preserve"> the National Council for Food Security, Food Sovereignty and Nutrition (KONSSANTIL) which is led by the </w:t>
      </w:r>
      <w:r w:rsidR="00D0098D" w:rsidRPr="00C14AA8">
        <w:t xml:space="preserve">Ministry of Agriculture and Fisheries </w:t>
      </w:r>
      <w:r w:rsidR="005D1FAD" w:rsidRPr="00C14AA8">
        <w:t>and the Minister of Health.</w:t>
      </w:r>
      <w:r w:rsidR="00A5511B" w:rsidRPr="00C14AA8">
        <w:t xml:space="preserve"> KONSSANTIL reports to the Prime Minister and highlights the importance given to food security. </w:t>
      </w:r>
      <w:r w:rsidR="00DE38F3" w:rsidRPr="00C14AA8">
        <w:t>Australia</w:t>
      </w:r>
      <w:r w:rsidR="005D1FAD" w:rsidRPr="00C14AA8">
        <w:t xml:space="preserve"> is a member of the </w:t>
      </w:r>
      <w:r w:rsidR="004F4FC0" w:rsidRPr="00C14AA8">
        <w:t>p</w:t>
      </w:r>
      <w:r w:rsidR="005D1FAD" w:rsidRPr="00C14AA8">
        <w:t xml:space="preserve">ermanent </w:t>
      </w:r>
      <w:r w:rsidR="004F4FC0" w:rsidRPr="00C14AA8">
        <w:t>t</w:t>
      </w:r>
      <w:r w:rsidR="005D1FAD" w:rsidRPr="00C14AA8">
        <w:t xml:space="preserve">echnical </w:t>
      </w:r>
      <w:r w:rsidR="004F4FC0" w:rsidRPr="00C14AA8">
        <w:t>s</w:t>
      </w:r>
      <w:r w:rsidR="005D1FAD" w:rsidRPr="00C14AA8">
        <w:t xml:space="preserve">ecretariat to KONSSANTIL and is also liaising with the Office of the President on </w:t>
      </w:r>
      <w:r w:rsidR="004F4FC0" w:rsidRPr="00C14AA8">
        <w:t xml:space="preserve">improving </w:t>
      </w:r>
      <w:r w:rsidR="005D1FAD" w:rsidRPr="00C14AA8">
        <w:t>nutrition.</w:t>
      </w:r>
    </w:p>
    <w:p w14:paraId="54C6F78E" w14:textId="74F91FB0" w:rsidR="005D1FAD" w:rsidRPr="00C14AA8" w:rsidRDefault="00854C8F" w:rsidP="00C14AA8">
      <w:pPr>
        <w:pStyle w:val="BodyText"/>
      </w:pPr>
      <w:r w:rsidRPr="00C14AA8">
        <w:t xml:space="preserve">Australia’s contribution to food security </w:t>
      </w:r>
      <w:r w:rsidR="006327A8" w:rsidRPr="00C14AA8">
        <w:t xml:space="preserve">is through </w:t>
      </w:r>
      <w:r w:rsidR="00D0098D" w:rsidRPr="00C14AA8">
        <w:t>i</w:t>
      </w:r>
      <w:r w:rsidR="00775520" w:rsidRPr="00C14AA8">
        <w:t>ncreased</w:t>
      </w:r>
      <w:r w:rsidR="00C14647" w:rsidRPr="00C14AA8">
        <w:t xml:space="preserve"> productivity of major staple food crops through farmers using improved seed</w:t>
      </w:r>
      <w:r w:rsidR="008E4D8F" w:rsidRPr="00C14AA8">
        <w:t xml:space="preserve">, </w:t>
      </w:r>
      <w:r w:rsidR="00D0098D" w:rsidRPr="00C14AA8">
        <w:t xml:space="preserve">which is </w:t>
      </w:r>
      <w:r w:rsidR="006327A8" w:rsidRPr="00C14AA8">
        <w:t xml:space="preserve">delivered through our </w:t>
      </w:r>
      <w:r w:rsidRPr="00C14AA8">
        <w:t xml:space="preserve">Seeds of Life program. </w:t>
      </w:r>
      <w:r w:rsidR="005D1FAD" w:rsidRPr="00C14AA8">
        <w:t xml:space="preserve">Agricultural productivity is low in Timor-Leste and </w:t>
      </w:r>
      <w:r w:rsidR="00AA2C89" w:rsidRPr="00C14AA8">
        <w:t xml:space="preserve">better </w:t>
      </w:r>
      <w:r w:rsidR="00CB5BBA" w:rsidRPr="00C14AA8">
        <w:t>seeds are</w:t>
      </w:r>
      <w:r w:rsidR="005D1FAD" w:rsidRPr="00C14AA8">
        <w:t xml:space="preserve"> critical to yield increases. </w:t>
      </w:r>
      <w:r w:rsidR="00D0098D" w:rsidRPr="00C14AA8">
        <w:t xml:space="preserve">Seeds of Life </w:t>
      </w:r>
      <w:r w:rsidRPr="00C14AA8">
        <w:t>is</w:t>
      </w:r>
      <w:r w:rsidR="005D1FAD" w:rsidRPr="00C14AA8">
        <w:t xml:space="preserve"> the largest </w:t>
      </w:r>
      <w:r w:rsidR="00AA2C89" w:rsidRPr="00C14AA8">
        <w:t xml:space="preserve">program </w:t>
      </w:r>
      <w:r w:rsidR="005D1FAD" w:rsidRPr="00C14AA8">
        <w:t>in the subsistence sector and in its third phase (</w:t>
      </w:r>
      <w:r w:rsidR="005C312A" w:rsidRPr="00C14AA8">
        <w:t>$</w:t>
      </w:r>
      <w:r w:rsidR="005D1FAD" w:rsidRPr="00C14AA8">
        <w:t>25 million</w:t>
      </w:r>
      <w:r w:rsidR="00D0098D" w:rsidRPr="00C14AA8">
        <w:t xml:space="preserve"> from </w:t>
      </w:r>
      <w:r w:rsidR="005D1FAD" w:rsidRPr="00C14AA8">
        <w:t>2011–2015)</w:t>
      </w:r>
      <w:r w:rsidR="0042603B" w:rsidRPr="00C14AA8">
        <w:t xml:space="preserve">. </w:t>
      </w:r>
      <w:r w:rsidR="00D0098D" w:rsidRPr="00C14AA8">
        <w:t xml:space="preserve">It </w:t>
      </w:r>
      <w:r w:rsidR="0042603B" w:rsidRPr="00C14AA8">
        <w:t xml:space="preserve">is </w:t>
      </w:r>
      <w:r w:rsidR="00AA2C89" w:rsidRPr="00C14AA8">
        <w:t xml:space="preserve">managed by </w:t>
      </w:r>
      <w:r w:rsidR="00D0098D" w:rsidRPr="00C14AA8">
        <w:t xml:space="preserve">the </w:t>
      </w:r>
      <w:r w:rsidR="00AA2C89" w:rsidRPr="00C14AA8">
        <w:t xml:space="preserve">Australian Centre for International Agriculture Research and </w:t>
      </w:r>
      <w:r w:rsidR="00277F69">
        <w:t>DFAT</w:t>
      </w:r>
      <w:r w:rsidR="00277F69" w:rsidRPr="00C14AA8">
        <w:t xml:space="preserve"> </w:t>
      </w:r>
      <w:r w:rsidR="00AA2C89" w:rsidRPr="00C14AA8">
        <w:t>in partnership</w:t>
      </w:r>
      <w:r w:rsidR="0042603B" w:rsidRPr="00C14AA8">
        <w:t xml:space="preserve"> with </w:t>
      </w:r>
      <w:r w:rsidR="00D0098D" w:rsidRPr="00C14AA8">
        <w:t xml:space="preserve">the Timor-Leste Government. The program, </w:t>
      </w:r>
      <w:r w:rsidR="005D1FAD" w:rsidRPr="00C14AA8">
        <w:t xml:space="preserve">in close partnership with </w:t>
      </w:r>
      <w:r w:rsidR="00D0098D" w:rsidRPr="00C14AA8">
        <w:t>the Ministry of Agriculture and Fisheries</w:t>
      </w:r>
      <w:r w:rsidR="005D1FAD" w:rsidRPr="00C14AA8">
        <w:t xml:space="preserve">, </w:t>
      </w:r>
      <w:r w:rsidR="00B22230" w:rsidRPr="00C14AA8">
        <w:t>helps</w:t>
      </w:r>
      <w:r w:rsidR="005D1FAD" w:rsidRPr="00C14AA8">
        <w:t xml:space="preserve"> farmers access improved varieties of five staple crops: maize, rice, sweet potato, cassava and peanuts. These varieties give yields that are between 20 and </w:t>
      </w:r>
      <w:r w:rsidR="004542C8" w:rsidRPr="00C14AA8">
        <w:t>80</w:t>
      </w:r>
      <w:r w:rsidR="005D1FAD" w:rsidRPr="00C14AA8">
        <w:t xml:space="preserve"> per cent better than those previously </w:t>
      </w:r>
      <w:r w:rsidR="005D1FAD" w:rsidRPr="00C14AA8">
        <w:lastRenderedPageBreak/>
        <w:t>available and 90</w:t>
      </w:r>
      <w:r w:rsidR="004E70DC" w:rsidRPr="00C14AA8">
        <w:t xml:space="preserve"> per cent</w:t>
      </w:r>
      <w:r w:rsidR="005D1FAD" w:rsidRPr="00C14AA8">
        <w:t xml:space="preserve"> of farmers growing </w:t>
      </w:r>
      <w:r w:rsidR="00D0098D" w:rsidRPr="00C14AA8">
        <w:t xml:space="preserve">these </w:t>
      </w:r>
      <w:r w:rsidR="005D1FAD" w:rsidRPr="00C14AA8">
        <w:t xml:space="preserve">improved varieties have reported increased </w:t>
      </w:r>
      <w:r w:rsidR="000773FD" w:rsidRPr="00C14AA8">
        <w:t>crops</w:t>
      </w:r>
      <w:r w:rsidR="00D0098D" w:rsidRPr="00C14AA8">
        <w:t>.</w:t>
      </w:r>
      <w:r w:rsidR="005D1FAD" w:rsidRPr="009B685C">
        <w:rPr>
          <w:rStyle w:val="FootnoteReference"/>
        </w:rPr>
        <w:footnoteReference w:id="13"/>
      </w:r>
    </w:p>
    <w:p w14:paraId="7013EC62" w14:textId="7B41E44E" w:rsidR="005D1FAD" w:rsidRPr="00C14AA8" w:rsidRDefault="005D1FAD" w:rsidP="00C14AA8">
      <w:pPr>
        <w:pStyle w:val="BodyText"/>
      </w:pPr>
      <w:r w:rsidRPr="00C14AA8">
        <w:t xml:space="preserve">An additional </w:t>
      </w:r>
      <w:r w:rsidR="00EA4B9A" w:rsidRPr="00C14AA8">
        <w:t>11</w:t>
      </w:r>
      <w:r w:rsidR="00D0098D" w:rsidRPr="00C14AA8">
        <w:t xml:space="preserve"> </w:t>
      </w:r>
      <w:r w:rsidR="00EA4B9A" w:rsidRPr="00C14AA8">
        <w:t>792</w:t>
      </w:r>
      <w:r w:rsidRPr="00C14AA8">
        <w:t xml:space="preserve"> farmers</w:t>
      </w:r>
      <w:r w:rsidR="00EA4B9A" w:rsidRPr="00C14AA8">
        <w:t xml:space="preserve"> (including 3773 women)</w:t>
      </w:r>
      <w:r w:rsidRPr="00C14AA8">
        <w:t xml:space="preserve"> started growing </w:t>
      </w:r>
      <w:r w:rsidR="00D0098D" w:rsidRPr="00C14AA8">
        <w:t xml:space="preserve">Seeds of Life </w:t>
      </w:r>
      <w:r w:rsidRPr="00C14AA8">
        <w:t>varieties in 2012</w:t>
      </w:r>
      <w:r w:rsidR="00D0098D" w:rsidRPr="00C14AA8">
        <w:t>–</w:t>
      </w:r>
      <w:r w:rsidRPr="00C14AA8">
        <w:t>13 which is consistent with</w:t>
      </w:r>
      <w:r w:rsidR="00B22230" w:rsidRPr="00C14AA8">
        <w:t xml:space="preserve"> the</w:t>
      </w:r>
      <w:r w:rsidRPr="00C14AA8">
        <w:t xml:space="preserve"> </w:t>
      </w:r>
      <w:r w:rsidR="00B22230" w:rsidRPr="00C14AA8">
        <w:t>target of</w:t>
      </w:r>
      <w:r w:rsidR="00EA4B9A" w:rsidRPr="00C14AA8">
        <w:t xml:space="preserve"> 10</w:t>
      </w:r>
      <w:r w:rsidR="00D0098D" w:rsidRPr="00C14AA8">
        <w:t xml:space="preserve"> </w:t>
      </w:r>
      <w:r w:rsidRPr="00C14AA8">
        <w:t>000 additional farmers each year until 2015</w:t>
      </w:r>
      <w:r w:rsidR="00D0098D" w:rsidRPr="00C14AA8">
        <w:t>.</w:t>
      </w:r>
      <w:r w:rsidRPr="001E3DDE">
        <w:rPr>
          <w:rStyle w:val="FootnoteReference"/>
        </w:rPr>
        <w:footnoteReference w:id="14"/>
      </w:r>
      <w:r w:rsidR="00B22230" w:rsidRPr="00C14AA8">
        <w:t xml:space="preserve"> T</w:t>
      </w:r>
      <w:r w:rsidRPr="00C14AA8">
        <w:t xml:space="preserve">his is a conservative figure and does not include farmers who have obtained </w:t>
      </w:r>
      <w:r w:rsidR="00D0098D" w:rsidRPr="00C14AA8">
        <w:t xml:space="preserve">Seeds of Life </w:t>
      </w:r>
      <w:r w:rsidRPr="00C14AA8">
        <w:t xml:space="preserve">seeds </w:t>
      </w:r>
      <w:r w:rsidR="00D0098D" w:rsidRPr="00C14AA8">
        <w:t xml:space="preserve">by </w:t>
      </w:r>
      <w:r w:rsidRPr="00C14AA8">
        <w:t xml:space="preserve">sharing with neighbours and relatives (on average a farmer may share with </w:t>
      </w:r>
      <w:r w:rsidR="00D0098D" w:rsidRPr="00C14AA8">
        <w:t>one</w:t>
      </w:r>
      <w:r w:rsidRPr="00C14AA8">
        <w:t xml:space="preserve"> to </w:t>
      </w:r>
      <w:r w:rsidR="00D0098D" w:rsidRPr="00C14AA8">
        <w:t>two</w:t>
      </w:r>
      <w:r w:rsidRPr="00C14AA8">
        <w:t xml:space="preserve"> other farmers). </w:t>
      </w:r>
      <w:r w:rsidR="002447F8" w:rsidRPr="00C14AA8">
        <w:t xml:space="preserve">From </w:t>
      </w:r>
      <w:r w:rsidR="00D0098D" w:rsidRPr="00C14AA8">
        <w:t xml:space="preserve">Seeds of Life </w:t>
      </w:r>
      <w:r w:rsidR="002447F8" w:rsidRPr="00C14AA8">
        <w:t>survey dat</w:t>
      </w:r>
      <w:r w:rsidR="00EA4B9A" w:rsidRPr="00C14AA8">
        <w:t>a, it is estimated that about 33</w:t>
      </w:r>
      <w:r w:rsidR="00D0098D" w:rsidRPr="00C14AA8">
        <w:t xml:space="preserve"> </w:t>
      </w:r>
      <w:r w:rsidR="00EA4B9A" w:rsidRPr="00C14AA8">
        <w:t>0</w:t>
      </w:r>
      <w:r w:rsidR="002447F8" w:rsidRPr="00C14AA8">
        <w:t xml:space="preserve">00 farmers are routinely using at least one </w:t>
      </w:r>
      <w:r w:rsidR="00D0098D" w:rsidRPr="00C14AA8">
        <w:t xml:space="preserve">Seeds of Life </w:t>
      </w:r>
      <w:r w:rsidR="002447F8" w:rsidRPr="00C14AA8">
        <w:t xml:space="preserve">variety. </w:t>
      </w:r>
      <w:r w:rsidR="002D3222" w:rsidRPr="00C14AA8">
        <w:t>P</w:t>
      </w:r>
      <w:r w:rsidR="00A3797C" w:rsidRPr="00C14AA8">
        <w:t>rogress towards the end of strategy outcome is adequate</w:t>
      </w:r>
      <w:r w:rsidR="002D3222" w:rsidRPr="00C14AA8">
        <w:t xml:space="preserve"> given the target is 65</w:t>
      </w:r>
      <w:r w:rsidR="00D0098D" w:rsidRPr="00C14AA8">
        <w:t xml:space="preserve"> </w:t>
      </w:r>
      <w:r w:rsidR="002D3222" w:rsidRPr="00C14AA8">
        <w:t xml:space="preserve">000 farmers growing </w:t>
      </w:r>
      <w:r w:rsidR="00D0098D" w:rsidRPr="00C14AA8">
        <w:t xml:space="preserve">these seed </w:t>
      </w:r>
      <w:r w:rsidR="002D3222" w:rsidRPr="00C14AA8">
        <w:t>varieties by 2015</w:t>
      </w:r>
      <w:r w:rsidRPr="00C14AA8">
        <w:t xml:space="preserve">. </w:t>
      </w:r>
    </w:p>
    <w:p w14:paraId="476057B9" w14:textId="445DDB18" w:rsidR="002447F8" w:rsidRPr="00C14AA8" w:rsidRDefault="00D0098D" w:rsidP="00C14AA8">
      <w:pPr>
        <w:pStyle w:val="BodyText"/>
      </w:pPr>
      <w:proofErr w:type="gramStart"/>
      <w:r w:rsidRPr="00C14AA8">
        <w:t xml:space="preserve">Seeds of Life </w:t>
      </w:r>
      <w:r w:rsidR="00AD640D" w:rsidRPr="00C14AA8">
        <w:t>reaches</w:t>
      </w:r>
      <w:proofErr w:type="gramEnd"/>
      <w:r w:rsidR="00AD640D" w:rsidRPr="00C14AA8">
        <w:t xml:space="preserve"> 11 of Timor-Leste’s 13 districts</w:t>
      </w:r>
      <w:r w:rsidRPr="00C14AA8">
        <w:t xml:space="preserve">, and the </w:t>
      </w:r>
      <w:r w:rsidR="00AD640D" w:rsidRPr="00C14AA8">
        <w:t xml:space="preserve">plan </w:t>
      </w:r>
      <w:r w:rsidRPr="00C14AA8">
        <w:t xml:space="preserve">is </w:t>
      </w:r>
      <w:r w:rsidR="00AD640D" w:rsidRPr="00C14AA8">
        <w:t xml:space="preserve">to reach all 13 by July 2013. </w:t>
      </w:r>
      <w:r w:rsidRPr="00C14AA8">
        <w:t xml:space="preserve">It has helped </w:t>
      </w:r>
      <w:r w:rsidR="005D1FAD" w:rsidRPr="00C14AA8">
        <w:t>form</w:t>
      </w:r>
      <w:r w:rsidRPr="00C14AA8">
        <w:t xml:space="preserve">ed </w:t>
      </w:r>
      <w:r w:rsidR="005D1FAD" w:rsidRPr="00C14AA8">
        <w:t xml:space="preserve">680 community seed producer groups </w:t>
      </w:r>
      <w:r w:rsidRPr="00C14AA8">
        <w:t>that</w:t>
      </w:r>
      <w:r w:rsidR="005D1FAD" w:rsidRPr="00C14AA8">
        <w:t xml:space="preserve"> produced 77</w:t>
      </w:r>
      <w:r w:rsidRPr="00C14AA8">
        <w:t xml:space="preserve"> mega tonnes </w:t>
      </w:r>
      <w:r w:rsidR="005D1FAD" w:rsidRPr="00C14AA8">
        <w:t>of improved variety seeds while contracted formal seed producers produced about 65</w:t>
      </w:r>
      <w:r w:rsidRPr="00C14AA8">
        <w:t xml:space="preserve"> mega tonnes </w:t>
      </w:r>
      <w:r w:rsidR="005D1FAD" w:rsidRPr="00C14AA8">
        <w:t>in 2012. This represented about 12</w:t>
      </w:r>
      <w:r w:rsidR="004E70DC" w:rsidRPr="00C14AA8">
        <w:t xml:space="preserve"> per cent</w:t>
      </w:r>
      <w:r w:rsidR="005D1FAD" w:rsidRPr="00C14AA8">
        <w:t xml:space="preserve"> of estimated demand for staple crop seed. The program is on track to achieve 1000 </w:t>
      </w:r>
      <w:r w:rsidRPr="00C14AA8">
        <w:t xml:space="preserve">community seed producer groups </w:t>
      </w:r>
      <w:r w:rsidR="005D1FAD" w:rsidRPr="00C14AA8">
        <w:t xml:space="preserve">by 2015 </w:t>
      </w:r>
      <w:r w:rsidR="009D4DFE" w:rsidRPr="00C14AA8">
        <w:t>that will produce the bulk of Seeds for Life</w:t>
      </w:r>
      <w:r w:rsidRPr="00C14AA8">
        <w:t xml:space="preserve"> </w:t>
      </w:r>
      <w:r w:rsidR="005D1FAD" w:rsidRPr="00C14AA8">
        <w:t>improved variet</w:t>
      </w:r>
      <w:r w:rsidRPr="00C14AA8">
        <w:t xml:space="preserve">ies </w:t>
      </w:r>
      <w:r w:rsidR="005D1FAD" w:rsidRPr="00C14AA8">
        <w:t>in the future.</w:t>
      </w:r>
      <w:r w:rsidR="002447F8" w:rsidRPr="00C14AA8">
        <w:t xml:space="preserve"> </w:t>
      </w:r>
      <w:r w:rsidR="00C44B9F" w:rsidRPr="00C14AA8">
        <w:t>P</w:t>
      </w:r>
      <w:r w:rsidR="002447F8" w:rsidRPr="00C14AA8">
        <w:t xml:space="preserve">articipation </w:t>
      </w:r>
      <w:r w:rsidR="00C44B9F" w:rsidRPr="00C14AA8">
        <w:t xml:space="preserve">of women </w:t>
      </w:r>
      <w:r w:rsidR="002447F8" w:rsidRPr="00C14AA8">
        <w:t xml:space="preserve">as </w:t>
      </w:r>
      <w:r w:rsidR="00C44B9F" w:rsidRPr="00C14AA8">
        <w:t xml:space="preserve">members </w:t>
      </w:r>
      <w:r w:rsidR="00AD640D" w:rsidRPr="00C14AA8">
        <w:t xml:space="preserve">of the groups </w:t>
      </w:r>
      <w:r w:rsidR="00C44B9F" w:rsidRPr="00C14AA8">
        <w:t>has increased to</w:t>
      </w:r>
      <w:r w:rsidR="002447F8" w:rsidRPr="00C14AA8">
        <w:t xml:space="preserve"> 32</w:t>
      </w:r>
      <w:r w:rsidR="00933410" w:rsidRPr="00C14AA8">
        <w:t xml:space="preserve"> per cent</w:t>
      </w:r>
      <w:r w:rsidR="002447F8" w:rsidRPr="00C14AA8">
        <w:t xml:space="preserve"> in 2012</w:t>
      </w:r>
      <w:r w:rsidRPr="00C14AA8">
        <w:t>–</w:t>
      </w:r>
      <w:r w:rsidR="002447F8" w:rsidRPr="00C14AA8">
        <w:t xml:space="preserve">13 </w:t>
      </w:r>
      <w:r w:rsidRPr="00C14AA8">
        <w:t xml:space="preserve">from </w:t>
      </w:r>
      <w:r w:rsidR="00F974A3" w:rsidRPr="00C14AA8">
        <w:t>27</w:t>
      </w:r>
      <w:r w:rsidR="000E1462" w:rsidRPr="00C14AA8">
        <w:t xml:space="preserve"> per cent </w:t>
      </w:r>
      <w:r w:rsidR="002447F8" w:rsidRPr="00C14AA8">
        <w:t>in 2011</w:t>
      </w:r>
      <w:r w:rsidRPr="00C14AA8">
        <w:t>–</w:t>
      </w:r>
      <w:r w:rsidR="002447F8" w:rsidRPr="00C14AA8">
        <w:t xml:space="preserve">12. </w:t>
      </w:r>
      <w:r w:rsidR="000773FD" w:rsidRPr="00C14AA8">
        <w:t>A</w:t>
      </w:r>
      <w:r w:rsidR="002447F8" w:rsidRPr="00C14AA8">
        <w:t xml:space="preserve"> survey of 343 </w:t>
      </w:r>
      <w:r w:rsidRPr="00C14AA8">
        <w:t xml:space="preserve">community seed producer groups </w:t>
      </w:r>
      <w:r w:rsidR="002447F8" w:rsidRPr="00C14AA8">
        <w:t xml:space="preserve">in </w:t>
      </w:r>
      <w:r w:rsidR="002B6889" w:rsidRPr="00C14AA8">
        <w:t xml:space="preserve">nine </w:t>
      </w:r>
      <w:r w:rsidR="002447F8" w:rsidRPr="00C14AA8">
        <w:t>districts</w:t>
      </w:r>
      <w:r w:rsidR="000773FD" w:rsidRPr="00C14AA8">
        <w:t xml:space="preserve"> found that </w:t>
      </w:r>
      <w:r w:rsidR="00042E4E" w:rsidRPr="00C14AA8">
        <w:t xml:space="preserve">women make-up </w:t>
      </w:r>
      <w:r w:rsidR="002D520D" w:rsidRPr="00C14AA8">
        <w:t>seven</w:t>
      </w:r>
      <w:r w:rsidR="000773FD" w:rsidRPr="00C14AA8">
        <w:t xml:space="preserve"> per cent of the group’s chiefs, 23 per cent </w:t>
      </w:r>
      <w:r w:rsidR="002447F8" w:rsidRPr="00C14AA8">
        <w:t>of</w:t>
      </w:r>
      <w:r w:rsidR="002B6889" w:rsidRPr="00C14AA8">
        <w:t xml:space="preserve"> </w:t>
      </w:r>
      <w:r w:rsidR="002D520D" w:rsidRPr="00C14AA8">
        <w:t xml:space="preserve">their </w:t>
      </w:r>
      <w:r w:rsidR="002B6889" w:rsidRPr="00C14AA8">
        <w:t>secretar</w:t>
      </w:r>
      <w:r w:rsidR="000773FD" w:rsidRPr="00C14AA8">
        <w:t xml:space="preserve">ies </w:t>
      </w:r>
      <w:r w:rsidR="002B6889" w:rsidRPr="00C14AA8">
        <w:t xml:space="preserve">and </w:t>
      </w:r>
      <w:r w:rsidR="000773FD" w:rsidRPr="00C14AA8">
        <w:t xml:space="preserve">26 per cent of </w:t>
      </w:r>
      <w:r w:rsidR="002D520D" w:rsidRPr="00C14AA8">
        <w:t xml:space="preserve">their </w:t>
      </w:r>
      <w:r w:rsidR="002B6889" w:rsidRPr="00C14AA8">
        <w:t>treasurer</w:t>
      </w:r>
      <w:r w:rsidR="00AD640D" w:rsidRPr="00C14AA8">
        <w:t>s</w:t>
      </w:r>
      <w:r w:rsidR="00C44B9F" w:rsidRPr="00C14AA8">
        <w:t>. I</w:t>
      </w:r>
      <w:r w:rsidR="002447F8" w:rsidRPr="00C14AA8">
        <w:t>n 55</w:t>
      </w:r>
      <w:r w:rsidR="00933410" w:rsidRPr="00C14AA8">
        <w:t xml:space="preserve"> per cent</w:t>
      </w:r>
      <w:r w:rsidR="002447F8" w:rsidRPr="00C14AA8">
        <w:t xml:space="preserve"> of the 343 </w:t>
      </w:r>
      <w:r w:rsidR="002B6889" w:rsidRPr="00C14AA8">
        <w:t xml:space="preserve">community seed producer groups </w:t>
      </w:r>
      <w:r w:rsidR="002447F8" w:rsidRPr="00C14AA8">
        <w:t xml:space="preserve">surveyed, a woman is </w:t>
      </w:r>
      <w:r w:rsidR="000773FD" w:rsidRPr="00C14AA8">
        <w:t xml:space="preserve">in </w:t>
      </w:r>
      <w:r w:rsidR="002447F8" w:rsidRPr="00C14AA8">
        <w:t>at least one of the</w:t>
      </w:r>
      <w:r w:rsidR="00C44B9F" w:rsidRPr="00C14AA8">
        <w:t>se</w:t>
      </w:r>
      <w:r w:rsidR="002447F8" w:rsidRPr="00C14AA8">
        <w:t xml:space="preserve"> three key positions.</w:t>
      </w:r>
    </w:p>
    <w:p w14:paraId="5612323E" w14:textId="2EE857A5" w:rsidR="005D1FAD" w:rsidRPr="00C14AA8" w:rsidRDefault="002447F8" w:rsidP="00C14AA8">
      <w:pPr>
        <w:pStyle w:val="BodyText"/>
      </w:pPr>
      <w:r w:rsidRPr="00C14AA8">
        <w:t xml:space="preserve">In 2013, households using </w:t>
      </w:r>
      <w:r w:rsidR="002B6889" w:rsidRPr="00C14AA8">
        <w:t xml:space="preserve">Seeds of Life </w:t>
      </w:r>
      <w:r w:rsidRPr="00C14AA8">
        <w:t>varieties will produce about 23</w:t>
      </w:r>
      <w:r w:rsidR="002B6889" w:rsidRPr="00C14AA8">
        <w:t xml:space="preserve"> </w:t>
      </w:r>
      <w:r w:rsidRPr="00C14AA8">
        <w:t>800 ton</w:t>
      </w:r>
      <w:r w:rsidR="002B6889" w:rsidRPr="00C14AA8">
        <w:t>ne</w:t>
      </w:r>
      <w:r w:rsidRPr="00C14AA8">
        <w:t>s of additional food, based on yield increases and area</w:t>
      </w:r>
      <w:r w:rsidR="002B6889" w:rsidRPr="00C14AA8">
        <w:t>s</w:t>
      </w:r>
      <w:r w:rsidRPr="00C14AA8">
        <w:t xml:space="preserve"> planted with improved varieties. The annual survey o</w:t>
      </w:r>
      <w:r w:rsidR="00C44B9F" w:rsidRPr="00C14AA8">
        <w:t>f farmers participating in on farm r</w:t>
      </w:r>
      <w:r w:rsidRPr="00C14AA8">
        <w:t>esearch demonstrates a decrease of the proportion of farmers reporting a lack of food during the year</w:t>
      </w:r>
      <w:r w:rsidR="002D520D" w:rsidRPr="00C14AA8">
        <w:t>,</w:t>
      </w:r>
      <w:r w:rsidRPr="00C14AA8">
        <w:t xml:space="preserve"> from 38</w:t>
      </w:r>
      <w:r w:rsidR="00933410" w:rsidRPr="00C14AA8">
        <w:t xml:space="preserve"> per cent</w:t>
      </w:r>
      <w:r w:rsidRPr="00C14AA8">
        <w:t xml:space="preserve"> in 2007</w:t>
      </w:r>
      <w:r w:rsidR="002B6889" w:rsidRPr="00C14AA8">
        <w:t>–0</w:t>
      </w:r>
      <w:r w:rsidRPr="00C14AA8">
        <w:t>8 to 21</w:t>
      </w:r>
      <w:r w:rsidR="00933410" w:rsidRPr="00C14AA8">
        <w:t xml:space="preserve"> per cent</w:t>
      </w:r>
      <w:r w:rsidRPr="00C14AA8">
        <w:t xml:space="preserve"> in 2010</w:t>
      </w:r>
      <w:r w:rsidR="002B6889" w:rsidRPr="00C14AA8">
        <w:t>–</w:t>
      </w:r>
      <w:r w:rsidRPr="00C14AA8">
        <w:t xml:space="preserve">11. In March 2013, </w:t>
      </w:r>
      <w:r w:rsidR="00C843AA" w:rsidRPr="00C14AA8">
        <w:t xml:space="preserve">Seeds of Life </w:t>
      </w:r>
      <w:r w:rsidRPr="00C14AA8">
        <w:t>partnered with a loc</w:t>
      </w:r>
      <w:r w:rsidR="00AD640D" w:rsidRPr="00C14AA8">
        <w:t xml:space="preserve">al </w:t>
      </w:r>
      <w:r w:rsidR="00C843AA" w:rsidRPr="00C14AA8">
        <w:t>non-government organisation</w:t>
      </w:r>
      <w:r w:rsidR="002D520D" w:rsidRPr="00C14AA8">
        <w:t xml:space="preserve"> </w:t>
      </w:r>
      <w:r w:rsidRPr="00C14AA8">
        <w:t>HIAM</w:t>
      </w:r>
      <w:r w:rsidR="00C843AA" w:rsidRPr="00C14AA8">
        <w:t xml:space="preserve"> </w:t>
      </w:r>
      <w:r w:rsidRPr="00C14AA8">
        <w:t>Health</w:t>
      </w:r>
      <w:r w:rsidR="002D520D" w:rsidRPr="00C14AA8">
        <w:t xml:space="preserve"> </w:t>
      </w:r>
      <w:r w:rsidRPr="00C14AA8">
        <w:t>to provide basic nutrition training for agriculture staff fro</w:t>
      </w:r>
      <w:r w:rsidR="00A405DF" w:rsidRPr="00C14AA8">
        <w:t xml:space="preserve">m the </w:t>
      </w:r>
      <w:r w:rsidR="00C843AA" w:rsidRPr="00C14AA8">
        <w:t>Ministry of Agriculture and Fisheries</w:t>
      </w:r>
      <w:r w:rsidR="00A405DF" w:rsidRPr="00C14AA8">
        <w:t xml:space="preserve">, international </w:t>
      </w:r>
      <w:r w:rsidR="00C843AA" w:rsidRPr="00C14AA8">
        <w:t>and local non-government organisations</w:t>
      </w:r>
      <w:r w:rsidRPr="00C14AA8">
        <w:t xml:space="preserve">. This is part of </w:t>
      </w:r>
      <w:r w:rsidR="009F0099" w:rsidRPr="00C14AA8">
        <w:t xml:space="preserve">Seeds of Life’s </w:t>
      </w:r>
      <w:r w:rsidRPr="00C14AA8">
        <w:t>goal to increase awareness and education on the linkages between agriculture, nutrition and food security.</w:t>
      </w:r>
    </w:p>
    <w:p w14:paraId="131E4CCB" w14:textId="7EFC719F" w:rsidR="005D1FAD" w:rsidRPr="00C14AA8" w:rsidRDefault="009F0099" w:rsidP="00C14AA8">
      <w:pPr>
        <w:pStyle w:val="BodyText"/>
      </w:pPr>
      <w:r w:rsidRPr="00C14AA8">
        <w:t>The Ministry of Agriculture and Fisheries</w:t>
      </w:r>
      <w:r w:rsidR="005D1FAD" w:rsidRPr="00C14AA8">
        <w:t xml:space="preserve">, with </w:t>
      </w:r>
      <w:r w:rsidRPr="00C14AA8">
        <w:t xml:space="preserve">Seeds of Life </w:t>
      </w:r>
      <w:r w:rsidR="005D1FAD" w:rsidRPr="00C14AA8">
        <w:t xml:space="preserve">assistance, has prepared and submitted </w:t>
      </w:r>
      <w:r w:rsidRPr="00C14AA8">
        <w:t xml:space="preserve">a </w:t>
      </w:r>
      <w:r w:rsidR="005D1FAD" w:rsidRPr="00C14AA8">
        <w:t xml:space="preserve">National Seed Policy to the Council of Ministers. When implemented, this policy will encourage local production and distribution of </w:t>
      </w:r>
      <w:r w:rsidR="00CB5BBA" w:rsidRPr="00C14AA8">
        <w:t xml:space="preserve">quality </w:t>
      </w:r>
      <w:r w:rsidR="005D1FAD" w:rsidRPr="00C14AA8">
        <w:t>seeds</w:t>
      </w:r>
      <w:r w:rsidR="00CB5BBA" w:rsidRPr="00C14AA8">
        <w:t xml:space="preserve">. </w:t>
      </w:r>
      <w:r w:rsidRPr="00C14AA8">
        <w:t xml:space="preserve">The Timor-Leste Government </w:t>
      </w:r>
      <w:r w:rsidR="00702C0B" w:rsidRPr="00C14AA8">
        <w:t>projects</w:t>
      </w:r>
      <w:r w:rsidR="005D1FAD" w:rsidRPr="00C14AA8">
        <w:t xml:space="preserve"> that by 2015, all rice seed and about 70</w:t>
      </w:r>
      <w:r w:rsidR="004E70DC" w:rsidRPr="00C14AA8">
        <w:t xml:space="preserve"> per cent</w:t>
      </w:r>
      <w:r w:rsidR="005D1FAD" w:rsidRPr="00C14AA8">
        <w:t xml:space="preserve"> of maize seed will be produced locally</w:t>
      </w:r>
      <w:r w:rsidRPr="00C14AA8">
        <w:t>.</w:t>
      </w:r>
      <w:r w:rsidR="005D1FAD" w:rsidRPr="001E3DDE">
        <w:rPr>
          <w:rStyle w:val="FootnoteReference"/>
        </w:rPr>
        <w:footnoteReference w:id="15"/>
      </w:r>
    </w:p>
    <w:p w14:paraId="0C74BA2D" w14:textId="359FE456" w:rsidR="00A3797C" w:rsidRPr="00C14AA8" w:rsidRDefault="005D1FAD" w:rsidP="00C14AA8">
      <w:pPr>
        <w:pStyle w:val="BodyText"/>
      </w:pPr>
      <w:r w:rsidRPr="00C14AA8">
        <w:t>Apart from impro</w:t>
      </w:r>
      <w:r w:rsidR="00A3797C" w:rsidRPr="00C14AA8">
        <w:t xml:space="preserve">ved seed varieties, </w:t>
      </w:r>
      <w:r w:rsidR="009F0099" w:rsidRPr="00C14AA8">
        <w:t xml:space="preserve">Seeds of Life </w:t>
      </w:r>
      <w:r w:rsidR="00A3797C" w:rsidRPr="00C14AA8">
        <w:t xml:space="preserve">is </w:t>
      </w:r>
      <w:r w:rsidR="001E1EEE" w:rsidRPr="00C14AA8">
        <w:t xml:space="preserve">researching </w:t>
      </w:r>
      <w:r w:rsidRPr="00C14AA8">
        <w:t xml:space="preserve">other farming practices to increase yields. This includes </w:t>
      </w:r>
      <w:r w:rsidR="009F0099" w:rsidRPr="00C14AA8">
        <w:t xml:space="preserve">the </w:t>
      </w:r>
      <w:r w:rsidRPr="00C14AA8">
        <w:t xml:space="preserve">use of velvet bean to suppress weeds and add soil nitrogen, fertiliser applications and drip irrigation. The program is considering nutrition sensitive agriculture and the mid-term review planned for July 2013 will </w:t>
      </w:r>
      <w:r w:rsidR="002D1A21" w:rsidRPr="00C14AA8">
        <w:t>recommend</w:t>
      </w:r>
      <w:r w:rsidRPr="00C14AA8">
        <w:t xml:space="preserve"> adjustments to improve performance.</w:t>
      </w:r>
      <w:r w:rsidR="00A3797C" w:rsidRPr="00C14AA8">
        <w:t xml:space="preserve"> </w:t>
      </w:r>
    </w:p>
    <w:p w14:paraId="75170D30" w14:textId="071C26E4" w:rsidR="00A3797C" w:rsidRPr="00C14AA8" w:rsidRDefault="009F0099" w:rsidP="00C14AA8">
      <w:pPr>
        <w:pStyle w:val="BodyText"/>
      </w:pPr>
      <w:proofErr w:type="gramStart"/>
      <w:r w:rsidRPr="00C14AA8">
        <w:t xml:space="preserve">Seeds of Life </w:t>
      </w:r>
      <w:r w:rsidR="00A3797C" w:rsidRPr="00C14AA8">
        <w:t>does</w:t>
      </w:r>
      <w:proofErr w:type="gramEnd"/>
      <w:r w:rsidR="00A3797C" w:rsidRPr="00C14AA8">
        <w:t xml:space="preserve"> not </w:t>
      </w:r>
      <w:r w:rsidR="00AD640D" w:rsidRPr="00C14AA8">
        <w:t xml:space="preserve">yet </w:t>
      </w:r>
      <w:r w:rsidR="00A3797C" w:rsidRPr="00C14AA8">
        <w:t xml:space="preserve">have a social inclusion strategy. </w:t>
      </w:r>
      <w:r w:rsidR="00CB5BBA" w:rsidRPr="00C14AA8">
        <w:t>The mid-term review</w:t>
      </w:r>
      <w:r w:rsidR="00A3797C" w:rsidRPr="00C14AA8">
        <w:t xml:space="preserve"> will </w:t>
      </w:r>
      <w:r w:rsidR="004542C8" w:rsidRPr="00C14AA8">
        <w:t xml:space="preserve">evaluate the quality of social inclusion in </w:t>
      </w:r>
      <w:r w:rsidRPr="00C14AA8">
        <w:t xml:space="preserve">its </w:t>
      </w:r>
      <w:r w:rsidR="004542C8" w:rsidRPr="00C14AA8">
        <w:t>activities to date</w:t>
      </w:r>
      <w:r w:rsidRPr="00C14AA8">
        <w:t>,</w:t>
      </w:r>
      <w:r w:rsidR="004542C8" w:rsidRPr="00C14AA8">
        <w:t xml:space="preserve"> including a specific focus on gender and disability. </w:t>
      </w:r>
      <w:r w:rsidR="00C8505D" w:rsidRPr="00C14AA8">
        <w:t xml:space="preserve">It will recommend how social inclusion can be improved in the remainder of the program. </w:t>
      </w:r>
    </w:p>
    <w:p w14:paraId="1061D729" w14:textId="77777777" w:rsidR="00917003" w:rsidRPr="00C14AA8" w:rsidRDefault="00917003" w:rsidP="00C14AA8">
      <w:pPr>
        <w:pStyle w:val="Heading2"/>
      </w:pPr>
      <w:r w:rsidRPr="00C14AA8">
        <w:lastRenderedPageBreak/>
        <w:t>Objective 4</w:t>
      </w:r>
    </w:p>
    <w:tbl>
      <w:tblPr>
        <w:tblStyle w:val="APPR"/>
        <w:tblW w:w="5000" w:type="pct"/>
        <w:tblLook w:val="0000" w:firstRow="0" w:lastRow="0" w:firstColumn="0" w:lastColumn="0" w:noHBand="0" w:noVBand="0"/>
      </w:tblPr>
      <w:tblGrid>
        <w:gridCol w:w="6329"/>
        <w:gridCol w:w="1105"/>
        <w:gridCol w:w="1173"/>
      </w:tblGrid>
      <w:tr w:rsidR="00C14AA8" w:rsidRPr="001159CC" w14:paraId="0E8F8288" w14:textId="77777777" w:rsidTr="001E3DDE">
        <w:trPr>
          <w:cnfStyle w:val="000000010000" w:firstRow="0" w:lastRow="0" w:firstColumn="0" w:lastColumn="0" w:oddVBand="0" w:evenVBand="0" w:oddHBand="0" w:evenHBand="1" w:firstRowFirstColumn="0" w:firstRowLastColumn="0" w:lastRowFirstColumn="0" w:lastRowLastColumn="0"/>
        </w:trPr>
        <w:tc>
          <w:tcPr>
            <w:tcW w:w="5694" w:type="dxa"/>
          </w:tcPr>
          <w:p w14:paraId="148808F4" w14:textId="77777777" w:rsidR="00C14AA8" w:rsidRPr="00C14AA8" w:rsidRDefault="00C14AA8" w:rsidP="00C14AA8">
            <w:pPr>
              <w:pStyle w:val="TableHeading1"/>
            </w:pPr>
            <w:r w:rsidRPr="00C14AA8">
              <w:rPr>
                <w:noProof/>
                <w:lang w:eastAsia="en-AU"/>
              </w:rPr>
              <w:drawing>
                <wp:anchor distT="0" distB="0" distL="114300" distR="114300" simplePos="0" relativeHeight="251688960" behindDoc="0" locked="0" layoutInCell="1" allowOverlap="1" wp14:anchorId="4AC23676" wp14:editId="17B0352C">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AA8">
              <w:t>Objective</w:t>
            </w:r>
          </w:p>
        </w:tc>
        <w:tc>
          <w:tcPr>
            <w:tcW w:w="975" w:type="dxa"/>
          </w:tcPr>
          <w:p w14:paraId="41CC2FF0" w14:textId="5E0CB18C" w:rsidR="00C14AA8" w:rsidRPr="00C14AA8" w:rsidRDefault="00C14AA8" w:rsidP="00C14AA8">
            <w:pPr>
              <w:pStyle w:val="TableHeading1"/>
            </w:pPr>
            <w:r w:rsidRPr="00C14AA8">
              <w:t>Current rating</w:t>
            </w:r>
          </w:p>
        </w:tc>
        <w:tc>
          <w:tcPr>
            <w:tcW w:w="1024" w:type="dxa"/>
          </w:tcPr>
          <w:p w14:paraId="341E6EDA" w14:textId="280434F5" w:rsidR="00C14AA8" w:rsidRPr="00C14AA8" w:rsidRDefault="00C14AA8" w:rsidP="00C14AA8">
            <w:pPr>
              <w:pStyle w:val="TableHeading1"/>
            </w:pPr>
            <w:r w:rsidRPr="00C14AA8">
              <w:t>Previous rating</w:t>
            </w:r>
          </w:p>
        </w:tc>
      </w:tr>
      <w:tr w:rsidR="00C14AA8" w:rsidRPr="001159CC" w14:paraId="679B9AFB" w14:textId="77777777" w:rsidTr="001E3DDE">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5694" w:type="dxa"/>
            <w:tcBorders>
              <w:left w:val="nil"/>
              <w:right w:val="nil"/>
            </w:tcBorders>
          </w:tcPr>
          <w:p w14:paraId="328F4D03" w14:textId="77777777" w:rsidR="00C14AA8" w:rsidRPr="00C14AA8" w:rsidRDefault="00C14AA8" w:rsidP="00C14AA8">
            <w:pPr>
              <w:pStyle w:val="TableTextEntries"/>
              <w:rPr>
                <w:b w:val="0"/>
              </w:rPr>
            </w:pPr>
            <w:r w:rsidRPr="00C14AA8">
              <w:rPr>
                <w:b w:val="0"/>
              </w:rPr>
              <w:t>Objective 4 : More children and youth attain improved learning outcomes and employability</w:t>
            </w:r>
          </w:p>
        </w:tc>
        <w:tc>
          <w:tcPr>
            <w:tcW w:w="975" w:type="dxa"/>
            <w:tcBorders>
              <w:left w:val="nil"/>
              <w:right w:val="nil"/>
            </w:tcBorders>
            <w:shd w:val="clear" w:color="auto" w:fill="F79646" w:themeFill="accent6"/>
            <w:noWrap/>
          </w:tcPr>
          <w:p w14:paraId="3E8A2902" w14:textId="77777777" w:rsidR="00C14AA8" w:rsidRPr="00C14AA8" w:rsidRDefault="00C14AA8" w:rsidP="00C14AA8">
            <w:pPr>
              <w:pStyle w:val="TableTextEntries"/>
              <w:rPr>
                <w:b w:val="0"/>
              </w:rPr>
            </w:pPr>
            <w:r w:rsidRPr="00C14AA8">
              <w:rPr>
                <w:b w:val="0"/>
              </w:rPr>
              <w:t>Amber</w:t>
            </w:r>
          </w:p>
        </w:tc>
        <w:tc>
          <w:tcPr>
            <w:tcW w:w="1024" w:type="dxa"/>
            <w:tcBorders>
              <w:left w:val="nil"/>
              <w:right w:val="nil"/>
            </w:tcBorders>
            <w:shd w:val="clear" w:color="auto" w:fill="FF0000"/>
            <w:noWrap/>
          </w:tcPr>
          <w:p w14:paraId="126C80F3" w14:textId="77777777" w:rsidR="00C14AA8" w:rsidRPr="00C14AA8" w:rsidRDefault="00C14AA8" w:rsidP="00C14AA8">
            <w:pPr>
              <w:pStyle w:val="TableTextEntries"/>
              <w:rPr>
                <w:b w:val="0"/>
              </w:rPr>
            </w:pPr>
            <w:r w:rsidRPr="00C14AA8">
              <w:rPr>
                <w:b w:val="0"/>
              </w:rPr>
              <w:t>Red</w:t>
            </w:r>
          </w:p>
        </w:tc>
      </w:tr>
    </w:tbl>
    <w:p w14:paraId="57956B92" w14:textId="77777777" w:rsidR="00C52A35" w:rsidRPr="001159CC" w:rsidRDefault="00C52A35" w:rsidP="00FA391E">
      <w:pPr>
        <w:rPr>
          <w:rFonts w:ascii="Calibri" w:eastAsia="Calibri" w:hAnsi="Calibri"/>
          <w:b/>
          <w:sz w:val="22"/>
          <w:szCs w:val="22"/>
          <w:lang w:eastAsia="en-US"/>
        </w:rPr>
      </w:pPr>
    </w:p>
    <w:p w14:paraId="1A4C9875" w14:textId="52BB4035" w:rsidR="008A5BB6" w:rsidRPr="00C14AA8" w:rsidRDefault="008A5BB6" w:rsidP="00C14AA8">
      <w:pPr>
        <w:pStyle w:val="BodyText"/>
        <w:rPr>
          <w:i/>
        </w:rPr>
      </w:pPr>
      <w:r w:rsidRPr="00C14AA8">
        <w:rPr>
          <w:i/>
        </w:rPr>
        <w:t>The improved rating reflects progress on more children gaining access to basic education</w:t>
      </w:r>
      <w:r w:rsidR="00200740" w:rsidRPr="00C14AA8">
        <w:rPr>
          <w:i/>
        </w:rPr>
        <w:t>.</w:t>
      </w:r>
      <w:r w:rsidRPr="00C14AA8">
        <w:rPr>
          <w:i/>
        </w:rPr>
        <w:t xml:space="preserve"> </w:t>
      </w:r>
      <w:r w:rsidR="00DE38F3" w:rsidRPr="00C14AA8">
        <w:rPr>
          <w:i/>
        </w:rPr>
        <w:t>Australia</w:t>
      </w:r>
      <w:r w:rsidR="000028FF" w:rsidRPr="00C14AA8">
        <w:rPr>
          <w:i/>
        </w:rPr>
        <w:t>’s support shifted to schoo</w:t>
      </w:r>
      <w:r w:rsidR="002D520D" w:rsidRPr="00C14AA8">
        <w:rPr>
          <w:i/>
        </w:rPr>
        <w:t>ls</w:t>
      </w:r>
      <w:r w:rsidR="000028FF" w:rsidRPr="00C14AA8">
        <w:rPr>
          <w:i/>
        </w:rPr>
        <w:t>, partnering with organisations that can deliver services effectively at this level. The t</w:t>
      </w:r>
      <w:r w:rsidRPr="00C14AA8">
        <w:rPr>
          <w:i/>
        </w:rPr>
        <w:t>echnical and vocational training sector made progress</w:t>
      </w:r>
      <w:r w:rsidR="009F0099" w:rsidRPr="00C14AA8">
        <w:rPr>
          <w:i/>
        </w:rPr>
        <w:t>,</w:t>
      </w:r>
      <w:r w:rsidRPr="00C14AA8">
        <w:rPr>
          <w:i/>
        </w:rPr>
        <w:t xml:space="preserve"> becoming regulated and delivering accredited training.</w:t>
      </w:r>
      <w:r w:rsidR="000028FF" w:rsidRPr="00C14AA8">
        <w:rPr>
          <w:i/>
        </w:rPr>
        <w:t xml:space="preserve"> Challenges with low learning outcomes</w:t>
      </w:r>
      <w:r w:rsidR="00962A24" w:rsidRPr="00C14AA8">
        <w:rPr>
          <w:i/>
        </w:rPr>
        <w:t xml:space="preserve"> and poor teacher attendance continue.</w:t>
      </w:r>
      <w:r w:rsidR="00C75378" w:rsidRPr="00C14AA8">
        <w:rPr>
          <w:i/>
        </w:rPr>
        <w:t xml:space="preserve"> </w:t>
      </w:r>
      <w:r w:rsidR="00962A24" w:rsidRPr="00C14AA8">
        <w:rPr>
          <w:i/>
        </w:rPr>
        <w:t>Poor student attendance, o</w:t>
      </w:r>
      <w:r w:rsidR="000028FF" w:rsidRPr="00C14AA8">
        <w:rPr>
          <w:i/>
        </w:rPr>
        <w:t>ver-age enrolment</w:t>
      </w:r>
      <w:r w:rsidR="00962A24" w:rsidRPr="00C14AA8">
        <w:rPr>
          <w:i/>
        </w:rPr>
        <w:t xml:space="preserve"> and </w:t>
      </w:r>
      <w:r w:rsidR="000028FF" w:rsidRPr="00C14AA8">
        <w:rPr>
          <w:i/>
        </w:rPr>
        <w:t>high repetition</w:t>
      </w:r>
      <w:r w:rsidR="00962A24" w:rsidRPr="00C14AA8">
        <w:rPr>
          <w:i/>
        </w:rPr>
        <w:t xml:space="preserve"> remain issues.</w:t>
      </w:r>
      <w:r w:rsidR="000028FF" w:rsidRPr="00C14AA8">
        <w:rPr>
          <w:i/>
        </w:rPr>
        <w:t xml:space="preserve"> </w:t>
      </w:r>
      <w:r w:rsidR="00962A24" w:rsidRPr="00C14AA8">
        <w:rPr>
          <w:i/>
        </w:rPr>
        <w:t>G</w:t>
      </w:r>
      <w:r w:rsidR="000028FF" w:rsidRPr="00C14AA8">
        <w:rPr>
          <w:i/>
        </w:rPr>
        <w:t>eographic disparities</w:t>
      </w:r>
      <w:r w:rsidR="00A4714D" w:rsidRPr="00C14AA8">
        <w:rPr>
          <w:i/>
        </w:rPr>
        <w:t xml:space="preserve"> and agriculture sector workforce not benefiting from training opportunities</w:t>
      </w:r>
      <w:r w:rsidR="000028FF" w:rsidRPr="00C14AA8">
        <w:rPr>
          <w:i/>
        </w:rPr>
        <w:t xml:space="preserve"> persisted in 2012.</w:t>
      </w:r>
    </w:p>
    <w:p w14:paraId="078180DF" w14:textId="47ECA746" w:rsidR="000F1E0E" w:rsidRPr="00C14AA8" w:rsidRDefault="00243192" w:rsidP="00C14AA8">
      <w:pPr>
        <w:pStyle w:val="BodyText"/>
      </w:pPr>
      <w:r w:rsidRPr="00C14AA8">
        <w:t>Progress was made towards the shared goal ‘</w:t>
      </w:r>
      <w:r w:rsidR="002D520D" w:rsidRPr="00C14AA8">
        <w:t xml:space="preserve">by </w:t>
      </w:r>
      <w:r w:rsidR="00C52A35" w:rsidRPr="00C14AA8">
        <w:t>2030, the people of Timor-Leste will be living in a nation where people are educated and knowledgeable, able to live long and productive lives, and have opportunities to access a quality education that will allow them to participate in the economic, social and political development of their nation</w:t>
      </w:r>
      <w:r w:rsidRPr="00C14AA8">
        <w:t>’</w:t>
      </w:r>
      <w:r w:rsidR="00C52A35" w:rsidRPr="00C14AA8">
        <w:t xml:space="preserve">. However, it is unlikely that </w:t>
      </w:r>
      <w:r w:rsidR="000D50DA" w:rsidRPr="00C14AA8">
        <w:t xml:space="preserve">Timor-Leste </w:t>
      </w:r>
      <w:r w:rsidR="00C52A35" w:rsidRPr="00C14AA8">
        <w:t xml:space="preserve">will achieve </w:t>
      </w:r>
      <w:r w:rsidR="003762E1" w:rsidRPr="00C14AA8">
        <w:t xml:space="preserve">Millennium Development Goal </w:t>
      </w:r>
      <w:r w:rsidR="00C52A35" w:rsidRPr="00C14AA8">
        <w:t xml:space="preserve">2 by 2015. More children had access to basic education </w:t>
      </w:r>
      <w:r w:rsidR="008E6BCA" w:rsidRPr="00C14AA8">
        <w:t>in 2012 and 2013</w:t>
      </w:r>
      <w:r w:rsidR="00AD640D" w:rsidRPr="00C14AA8">
        <w:t>,</w:t>
      </w:r>
      <w:r w:rsidR="00C52A35" w:rsidRPr="00C14AA8">
        <w:t xml:space="preserve"> </w:t>
      </w:r>
      <w:r w:rsidR="008E6BCA" w:rsidRPr="00C14AA8">
        <w:t xml:space="preserve">but </w:t>
      </w:r>
      <w:r w:rsidR="00C52A35" w:rsidRPr="00C14AA8">
        <w:t>learning outcomes are still very low. The technical and vocational training sector is becoming regulated and delivering accredited training, but those working in the largest employment sector, agriculture, are still not benefiting from training opportunities.</w:t>
      </w:r>
      <w:r w:rsidR="000F1E0E" w:rsidRPr="00C14AA8">
        <w:t xml:space="preserve"> </w:t>
      </w:r>
    </w:p>
    <w:p w14:paraId="0E399F9D" w14:textId="0ED9339E" w:rsidR="00C52A35" w:rsidRPr="00C14AA8" w:rsidRDefault="00C52A35" w:rsidP="00C14AA8">
      <w:pPr>
        <w:pStyle w:val="BodyText"/>
      </w:pPr>
      <w:r w:rsidRPr="00C14AA8">
        <w:t xml:space="preserve">National elections resulted in a change in leadership of the Ministry of Education and the Secretariat </w:t>
      </w:r>
      <w:r w:rsidR="001B3C34">
        <w:t xml:space="preserve">of State </w:t>
      </w:r>
      <w:r w:rsidRPr="00C14AA8">
        <w:t>for Professional Training and Employment</w:t>
      </w:r>
      <w:r w:rsidR="001B3C34">
        <w:t xml:space="preserve"> Policy</w:t>
      </w:r>
      <w:r w:rsidRPr="00C14AA8">
        <w:t xml:space="preserve">. This </w:t>
      </w:r>
      <w:r w:rsidR="000E1462" w:rsidRPr="00C14AA8">
        <w:t>led to</w:t>
      </w:r>
      <w:r w:rsidRPr="00C14AA8">
        <w:t xml:space="preserve"> policy shifts in language of instruction, and more emphasis on employment.</w:t>
      </w:r>
    </w:p>
    <w:p w14:paraId="53AD1124" w14:textId="40836E72" w:rsidR="00200740" w:rsidRPr="00C14AA8" w:rsidRDefault="00243192" w:rsidP="00C14AA8">
      <w:pPr>
        <w:pStyle w:val="BodyText"/>
      </w:pPr>
      <w:r w:rsidRPr="00C14AA8">
        <w:t xml:space="preserve">Australia’s contribution to the education and training shared goal is through </w:t>
      </w:r>
      <w:r w:rsidR="003762E1" w:rsidRPr="00C14AA8">
        <w:t>enabling m</w:t>
      </w:r>
      <w:r w:rsidR="00C52A35" w:rsidRPr="00C14AA8">
        <w:t xml:space="preserve">ore children and </w:t>
      </w:r>
      <w:r w:rsidR="003762E1" w:rsidRPr="00C14AA8">
        <w:t xml:space="preserve">young people to </w:t>
      </w:r>
      <w:r w:rsidR="00C52A35" w:rsidRPr="00C14AA8">
        <w:t>attain improved learning outcomes and employability</w:t>
      </w:r>
      <w:r w:rsidRPr="00C14AA8">
        <w:t>.</w:t>
      </w:r>
      <w:r w:rsidR="00D82B2C" w:rsidRPr="00C14AA8">
        <w:t xml:space="preserve"> </w:t>
      </w:r>
      <w:r w:rsidR="00200740" w:rsidRPr="00C14AA8">
        <w:t xml:space="preserve">Mixed results of the Education Sector Support Program suggest multi-donor trust funds executed </w:t>
      </w:r>
      <w:r w:rsidR="00A16D9E" w:rsidRPr="00C14AA8">
        <w:t xml:space="preserve">by </w:t>
      </w:r>
      <w:r w:rsidR="003762E1" w:rsidRPr="00C14AA8">
        <w:t xml:space="preserve">the Timor-Leste Government </w:t>
      </w:r>
      <w:r w:rsidR="00200740" w:rsidRPr="00C14AA8">
        <w:t xml:space="preserve">are not always the most effective mechanisms for change. </w:t>
      </w:r>
      <w:r w:rsidR="00517A26" w:rsidRPr="00C14AA8">
        <w:t xml:space="preserve">This was identified in the 2011 </w:t>
      </w:r>
      <w:r w:rsidR="003762E1" w:rsidRPr="00C14AA8">
        <w:t xml:space="preserve">annual program performance report </w:t>
      </w:r>
      <w:r w:rsidR="00517A26" w:rsidRPr="00C14AA8">
        <w:t xml:space="preserve">and in 2012 </w:t>
      </w:r>
      <w:r w:rsidR="00200740" w:rsidRPr="00C14AA8">
        <w:t xml:space="preserve">Australia </w:t>
      </w:r>
      <w:r w:rsidR="000E1462" w:rsidRPr="00C14AA8">
        <w:t>changed</w:t>
      </w:r>
      <w:r w:rsidR="00517A26" w:rsidRPr="00C14AA8">
        <w:t xml:space="preserve"> our World Bank partnership. The focus is now</w:t>
      </w:r>
      <w:r w:rsidR="00200740" w:rsidRPr="00C14AA8">
        <w:t xml:space="preserve"> on analytical and evaluative activities, </w:t>
      </w:r>
      <w:r w:rsidR="00517A26" w:rsidRPr="00C14AA8">
        <w:t>where the World Bank</w:t>
      </w:r>
      <w:r w:rsidR="00200740" w:rsidRPr="00C14AA8">
        <w:t xml:space="preserve"> has </w:t>
      </w:r>
      <w:r w:rsidR="00517A26" w:rsidRPr="00C14AA8">
        <w:t xml:space="preserve">a </w:t>
      </w:r>
      <w:r w:rsidR="00200740" w:rsidRPr="00C14AA8">
        <w:t>comparative advantage.</w:t>
      </w:r>
    </w:p>
    <w:p w14:paraId="31777A61" w14:textId="651CC856" w:rsidR="00610DD1" w:rsidRPr="00C14AA8" w:rsidRDefault="00C52A35" w:rsidP="00C14AA8">
      <w:pPr>
        <w:pStyle w:val="BodyText"/>
      </w:pPr>
      <w:r w:rsidRPr="00C14AA8">
        <w:t xml:space="preserve">In basic education, progress </w:t>
      </w:r>
      <w:r w:rsidR="00D82B2C" w:rsidRPr="00C14AA8">
        <w:t>was</w:t>
      </w:r>
      <w:r w:rsidRPr="00C14AA8">
        <w:t xml:space="preserve"> limited to increases in enrolment. </w:t>
      </w:r>
      <w:r w:rsidR="00DE38F3" w:rsidRPr="00C14AA8">
        <w:t>Australia</w:t>
      </w:r>
      <w:r w:rsidR="00D82B2C" w:rsidRPr="00C14AA8">
        <w:t>’s</w:t>
      </w:r>
      <w:r w:rsidRPr="00C14AA8">
        <w:t xml:space="preserve"> support enabled </w:t>
      </w:r>
      <w:r w:rsidR="002D3222" w:rsidRPr="00C14AA8">
        <w:t xml:space="preserve">an additional </w:t>
      </w:r>
      <w:r w:rsidRPr="00C14AA8">
        <w:t>14</w:t>
      </w:r>
      <w:r w:rsidR="003762E1" w:rsidRPr="00C14AA8">
        <w:t xml:space="preserve"> </w:t>
      </w:r>
      <w:r w:rsidRPr="00C14AA8">
        <w:t>219 children to access school in 2012 (of a total of 304</w:t>
      </w:r>
      <w:r w:rsidR="003762E1" w:rsidRPr="00C14AA8">
        <w:t xml:space="preserve"> </w:t>
      </w:r>
      <w:r w:rsidRPr="00C14AA8">
        <w:t xml:space="preserve">363) through the </w:t>
      </w:r>
      <w:r w:rsidR="003762E1" w:rsidRPr="00C14AA8">
        <w:t xml:space="preserve">United Nations Children’s Fund </w:t>
      </w:r>
      <w:r w:rsidRPr="00C14AA8">
        <w:t>Education Quality Improvement Program and the Education Sector Support Prog</w:t>
      </w:r>
      <w:r w:rsidR="000D22C3" w:rsidRPr="00C14AA8">
        <w:t xml:space="preserve">ram. The high enrolment masks </w:t>
      </w:r>
      <w:r w:rsidRPr="00C14AA8">
        <w:t xml:space="preserve">issues such as over-age enrolment, poor teacher and student attendance, high repetition and geographic disparities. </w:t>
      </w:r>
    </w:p>
    <w:p w14:paraId="4F9EAF15" w14:textId="4142241F" w:rsidR="00610DD1" w:rsidRPr="00C14AA8" w:rsidRDefault="00610DD1" w:rsidP="00C14AA8">
      <w:pPr>
        <w:pStyle w:val="BodyText"/>
      </w:pPr>
      <w:r w:rsidRPr="00C14AA8">
        <w:t>A</w:t>
      </w:r>
      <w:r w:rsidR="00AD640D" w:rsidRPr="00C14AA8">
        <w:t>s a result, A</w:t>
      </w:r>
      <w:r w:rsidRPr="00C14AA8">
        <w:t>ustralia has changed its focus to improv</w:t>
      </w:r>
      <w:r w:rsidR="003762E1" w:rsidRPr="00C14AA8">
        <w:t>e</w:t>
      </w:r>
      <w:r w:rsidRPr="00C14AA8">
        <w:t xml:space="preserve"> learning outcomes </w:t>
      </w:r>
      <w:r w:rsidR="003762E1" w:rsidRPr="00C14AA8">
        <w:t xml:space="preserve">by </w:t>
      </w:r>
      <w:r w:rsidRPr="00C14AA8">
        <w:t>target</w:t>
      </w:r>
      <w:r w:rsidR="003762E1" w:rsidRPr="00C14AA8">
        <w:t>ing</w:t>
      </w:r>
      <w:r w:rsidRPr="00C14AA8">
        <w:t xml:space="preserve"> support </w:t>
      </w:r>
      <w:r w:rsidR="003762E1" w:rsidRPr="00C14AA8">
        <w:t xml:space="preserve">to </w:t>
      </w:r>
      <w:r w:rsidRPr="00C14AA8">
        <w:t xml:space="preserve">learning materials and teacher training. </w:t>
      </w:r>
      <w:r w:rsidR="00FA76D3" w:rsidRPr="00C14AA8">
        <w:t>Learning achievement is low with less than 30</w:t>
      </w:r>
      <w:r w:rsidR="002D3222" w:rsidRPr="00C14AA8">
        <w:t xml:space="preserve"> </w:t>
      </w:r>
      <w:r w:rsidR="00FA76D3" w:rsidRPr="00C14AA8">
        <w:t xml:space="preserve">per cent of students reading at minimum levels. This is due to poorly trained teachers, lack of appropriate learning materials and language of instruction issues. </w:t>
      </w:r>
      <w:r w:rsidRPr="00C14AA8">
        <w:t xml:space="preserve">Australia funds </w:t>
      </w:r>
      <w:proofErr w:type="spellStart"/>
      <w:r w:rsidRPr="00C14AA8">
        <w:t>Alola</w:t>
      </w:r>
      <w:proofErr w:type="spellEnd"/>
      <w:r w:rsidRPr="00C14AA8">
        <w:t xml:space="preserve"> Foundation </w:t>
      </w:r>
      <w:r w:rsidR="003762E1" w:rsidRPr="00C14AA8">
        <w:t>to</w:t>
      </w:r>
      <w:r w:rsidRPr="00C14AA8">
        <w:t xml:space="preserve"> provi</w:t>
      </w:r>
      <w:r w:rsidR="003762E1" w:rsidRPr="00C14AA8">
        <w:t xml:space="preserve">de </w:t>
      </w:r>
      <w:r w:rsidR="00543383" w:rsidRPr="00C14AA8">
        <w:t xml:space="preserve">around </w:t>
      </w:r>
      <w:r w:rsidRPr="00C14AA8">
        <w:t>9</w:t>
      </w:r>
      <w:r w:rsidR="003B04FB" w:rsidRPr="00C14AA8">
        <w:t>4</w:t>
      </w:r>
      <w:r w:rsidR="00F974A3" w:rsidRPr="00C14AA8">
        <w:t xml:space="preserve"> 000</w:t>
      </w:r>
      <w:r w:rsidRPr="00C14AA8">
        <w:t xml:space="preserve"> </w:t>
      </w:r>
      <w:r w:rsidR="00543383" w:rsidRPr="00C14AA8">
        <w:t xml:space="preserve">readers in </w:t>
      </w:r>
      <w:proofErr w:type="spellStart"/>
      <w:r w:rsidR="00543383" w:rsidRPr="00C14AA8">
        <w:t>Tetu</w:t>
      </w:r>
      <w:r w:rsidR="006F2631" w:rsidRPr="00C14AA8">
        <w:t>n</w:t>
      </w:r>
      <w:proofErr w:type="spellEnd"/>
      <w:r w:rsidRPr="00C14AA8">
        <w:t xml:space="preserve">. Through </w:t>
      </w:r>
      <w:r w:rsidR="003762E1" w:rsidRPr="00C14AA8">
        <w:t xml:space="preserve">the Education Quality Improvement Program </w:t>
      </w:r>
      <w:r w:rsidRPr="00C14AA8">
        <w:t xml:space="preserve">and the </w:t>
      </w:r>
      <w:proofErr w:type="spellStart"/>
      <w:r w:rsidRPr="00C14AA8">
        <w:t>Alola</w:t>
      </w:r>
      <w:proofErr w:type="spellEnd"/>
      <w:r w:rsidRPr="00C14AA8">
        <w:t xml:space="preserve"> Foundation 137</w:t>
      </w:r>
      <w:r w:rsidR="003B04FB" w:rsidRPr="00C14AA8">
        <w:t>2</w:t>
      </w:r>
      <w:r w:rsidRPr="00C14AA8">
        <w:t xml:space="preserve"> teachers have received training. Quality training remains a key challenge </w:t>
      </w:r>
      <w:r w:rsidR="002D520D" w:rsidRPr="00C14AA8">
        <w:t xml:space="preserve">however </w:t>
      </w:r>
      <w:r w:rsidRPr="00C14AA8">
        <w:t>and progress will need to be made to improve student learning.</w:t>
      </w:r>
    </w:p>
    <w:p w14:paraId="15AF9C49" w14:textId="564BB508" w:rsidR="00D82B2C" w:rsidRPr="00C14AA8" w:rsidRDefault="000F1E0E" w:rsidP="00C14AA8">
      <w:pPr>
        <w:pStyle w:val="BodyText"/>
      </w:pPr>
      <w:r w:rsidRPr="00C14AA8">
        <w:t xml:space="preserve">Social inclusion </w:t>
      </w:r>
      <w:r w:rsidR="00622546" w:rsidRPr="00C14AA8">
        <w:t xml:space="preserve">also </w:t>
      </w:r>
      <w:r w:rsidRPr="00C14AA8">
        <w:t>remains an</w:t>
      </w:r>
      <w:r w:rsidR="00200740" w:rsidRPr="00C14AA8">
        <w:t xml:space="preserve"> issue. While g</w:t>
      </w:r>
      <w:r w:rsidR="00C52A35" w:rsidRPr="00C14AA8">
        <w:t>ender parity has been achieved in the early grades</w:t>
      </w:r>
      <w:r w:rsidR="00200740" w:rsidRPr="00C14AA8">
        <w:t>,</w:t>
      </w:r>
      <w:r w:rsidR="00C52A35" w:rsidRPr="00C14AA8">
        <w:t xml:space="preserve"> </w:t>
      </w:r>
      <w:r w:rsidR="009C312D" w:rsidRPr="00C14AA8">
        <w:t xml:space="preserve">in secondary school female enrolment was 58 per cent compared to 64 per cent male </w:t>
      </w:r>
      <w:r w:rsidR="009C312D" w:rsidRPr="00C14AA8">
        <w:lastRenderedPageBreak/>
        <w:t>enrolment</w:t>
      </w:r>
      <w:r w:rsidR="00622546" w:rsidRPr="00C14AA8">
        <w:t>.</w:t>
      </w:r>
      <w:r w:rsidR="008E4D8F" w:rsidRPr="001E3DDE">
        <w:rPr>
          <w:rStyle w:val="FootnoteReference"/>
        </w:rPr>
        <w:footnoteReference w:id="16"/>
      </w:r>
      <w:r w:rsidR="009C312D" w:rsidRPr="00C14AA8">
        <w:t xml:space="preserve"> </w:t>
      </w:r>
      <w:r w:rsidR="00865AD9" w:rsidRPr="00C14AA8">
        <w:t>Clearly,</w:t>
      </w:r>
      <w:r w:rsidR="00AD640D" w:rsidRPr="00C14AA8">
        <w:t xml:space="preserve"> c</w:t>
      </w:r>
      <w:r w:rsidR="001943C7" w:rsidRPr="00C14AA8">
        <w:t xml:space="preserve">hildren in Timor-Leste face barriers to accessing </w:t>
      </w:r>
      <w:r w:rsidR="00160303" w:rsidRPr="00C14AA8">
        <w:t>education. The</w:t>
      </w:r>
      <w:r w:rsidR="001943C7" w:rsidRPr="00C14AA8">
        <w:t xml:space="preserve"> 2010 </w:t>
      </w:r>
      <w:r w:rsidR="00622546" w:rsidRPr="00C14AA8">
        <w:t xml:space="preserve">census </w:t>
      </w:r>
      <w:r w:rsidR="001943C7" w:rsidRPr="00C14AA8">
        <w:t>report</w:t>
      </w:r>
      <w:r w:rsidR="00AD640D" w:rsidRPr="00C14AA8">
        <w:t>ed</w:t>
      </w:r>
      <w:r w:rsidR="001943C7" w:rsidRPr="00C14AA8">
        <w:t xml:space="preserve"> that 72 per cent of people with disability in Timor</w:t>
      </w:r>
      <w:r w:rsidR="00BE4DD4">
        <w:t>-Leste</w:t>
      </w:r>
      <w:r w:rsidR="001943C7" w:rsidRPr="00C14AA8">
        <w:t xml:space="preserve"> had never attended school</w:t>
      </w:r>
      <w:r w:rsidR="00A95070" w:rsidRPr="00C14AA8">
        <w:t xml:space="preserve">. </w:t>
      </w:r>
    </w:p>
    <w:p w14:paraId="0D0B6654" w14:textId="66589BB1" w:rsidR="00C52A35" w:rsidRPr="00C14AA8" w:rsidRDefault="00DE38F3" w:rsidP="00C14AA8">
      <w:pPr>
        <w:pStyle w:val="BodyText"/>
      </w:pPr>
      <w:r w:rsidRPr="00C14AA8">
        <w:t>Australia</w:t>
      </w:r>
      <w:r w:rsidR="00C52A35" w:rsidRPr="00C14AA8">
        <w:t xml:space="preserve"> </w:t>
      </w:r>
      <w:r w:rsidR="00622546" w:rsidRPr="00C14AA8">
        <w:t>helped</w:t>
      </w:r>
      <w:r w:rsidR="001E1EEE" w:rsidRPr="00C14AA8">
        <w:t xml:space="preserve"> progress the tertiary vocational education and training sector through </w:t>
      </w:r>
      <w:r w:rsidR="00C52A35" w:rsidRPr="00C14AA8">
        <w:t>the Youth Employment Promotion Program</w:t>
      </w:r>
      <w:r w:rsidR="00622546" w:rsidRPr="00C14AA8">
        <w:t>, working with the International Labour Organization</w:t>
      </w:r>
      <w:r w:rsidR="00C52A35" w:rsidRPr="00C14AA8">
        <w:t xml:space="preserve"> as th</w:t>
      </w:r>
      <w:r w:rsidR="00C638C8" w:rsidRPr="00C14AA8">
        <w:t xml:space="preserve">e implementing agency. </w:t>
      </w:r>
      <w:r w:rsidR="001E1EEE" w:rsidRPr="00C14AA8">
        <w:t xml:space="preserve">We contributed to the </w:t>
      </w:r>
      <w:r w:rsidR="00622546" w:rsidRPr="00C14AA8">
        <w:t xml:space="preserve">government’s </w:t>
      </w:r>
      <w:r w:rsidR="001E1EEE" w:rsidRPr="00C14AA8">
        <w:t xml:space="preserve">commitment of 8400 quality training places </w:t>
      </w:r>
      <w:r w:rsidR="00622546" w:rsidRPr="00C14AA8">
        <w:t xml:space="preserve">a </w:t>
      </w:r>
      <w:r w:rsidR="001E1EEE" w:rsidRPr="00C14AA8">
        <w:t xml:space="preserve">year with </w:t>
      </w:r>
      <w:r w:rsidR="00C52A35" w:rsidRPr="00C14AA8">
        <w:t xml:space="preserve">1923 students enrolled over the </w:t>
      </w:r>
      <w:r w:rsidR="00610DD1" w:rsidRPr="00C14AA8">
        <w:t>reporting period</w:t>
      </w:r>
      <w:r w:rsidR="001E1EEE" w:rsidRPr="00C14AA8">
        <w:t>.</w:t>
      </w:r>
      <w:r w:rsidR="00C52A35" w:rsidRPr="00C14AA8">
        <w:t xml:space="preserve"> </w:t>
      </w:r>
      <w:r w:rsidR="00C638C8" w:rsidRPr="00C14AA8">
        <w:t xml:space="preserve">The first cohort of </w:t>
      </w:r>
      <w:r w:rsidR="00C52A35" w:rsidRPr="00C14AA8">
        <w:t xml:space="preserve">1859 students graduated from registered training institutions with accredited qualifications, almost half of who were girls. </w:t>
      </w:r>
      <w:r w:rsidR="00622546" w:rsidRPr="00C14AA8">
        <w:t>Almost</w:t>
      </w:r>
      <w:r w:rsidR="003B04FB" w:rsidRPr="00C14AA8">
        <w:t xml:space="preserve"> half of all students enrolled in accredited and registered training over the reporting period were girls. </w:t>
      </w:r>
      <w:r w:rsidR="00C52A35" w:rsidRPr="00C14AA8">
        <w:t xml:space="preserve">A comprehensive policy and legal framework has been </w:t>
      </w:r>
      <w:r w:rsidR="00C638C8" w:rsidRPr="00C14AA8">
        <w:t>established</w:t>
      </w:r>
      <w:r w:rsidR="00C52A35" w:rsidRPr="00C14AA8">
        <w:t xml:space="preserve"> and a </w:t>
      </w:r>
      <w:r w:rsidR="00622546" w:rsidRPr="00C14AA8">
        <w:t xml:space="preserve">technical and vocational training strategic plan </w:t>
      </w:r>
      <w:r w:rsidR="00C52A35" w:rsidRPr="00C14AA8">
        <w:t xml:space="preserve">was developed. </w:t>
      </w:r>
    </w:p>
    <w:p w14:paraId="75FDE281" w14:textId="36306169" w:rsidR="00AC528A" w:rsidRPr="00C14AA8" w:rsidRDefault="00C52A35" w:rsidP="00C14AA8">
      <w:pPr>
        <w:pStyle w:val="BodyText"/>
      </w:pPr>
      <w:r w:rsidRPr="00C14AA8">
        <w:t xml:space="preserve">In 2012, </w:t>
      </w:r>
      <w:r w:rsidR="00DE38F3" w:rsidRPr="00C14AA8">
        <w:t>Australia</w:t>
      </w:r>
      <w:r w:rsidRPr="00C14AA8">
        <w:t xml:space="preserve"> provided 22 Australia Awards</w:t>
      </w:r>
      <w:r w:rsidR="00622546" w:rsidRPr="00C14AA8">
        <w:t xml:space="preserve"> to recipients from </w:t>
      </w:r>
      <w:r w:rsidR="00622546" w:rsidRPr="00C14AA8">
        <w:rPr>
          <w:rStyle w:val="st"/>
        </w:rPr>
        <w:t>Timor-Leste</w:t>
      </w:r>
      <w:r w:rsidRPr="00C14AA8">
        <w:t xml:space="preserve">, </w:t>
      </w:r>
      <w:r w:rsidR="00622546" w:rsidRPr="00C14AA8">
        <w:t xml:space="preserve">which is </w:t>
      </w:r>
      <w:r w:rsidRPr="00C14AA8">
        <w:t xml:space="preserve">down from 30 in 2011. This was due to a higher level of English requirement and more rigorous entry criteria in the selection process, rather than a reduction of the awards available. </w:t>
      </w:r>
      <w:r w:rsidR="00E43EED" w:rsidRPr="00C14AA8">
        <w:t>Australia Award alumni reduce professional skill shortages in Timor-Leste</w:t>
      </w:r>
      <w:r w:rsidR="00E43EED" w:rsidRPr="001E3DDE">
        <w:rPr>
          <w:rStyle w:val="FootnoteReference"/>
        </w:rPr>
        <w:footnoteReference w:id="17"/>
      </w:r>
      <w:r w:rsidR="00E43EED" w:rsidRPr="00C14AA8">
        <w:t xml:space="preserve"> that are essential for </w:t>
      </w:r>
      <w:r w:rsidR="002D520D" w:rsidRPr="00C14AA8">
        <w:t>the country</w:t>
      </w:r>
      <w:r w:rsidR="00E43EED" w:rsidRPr="00C14AA8">
        <w:t xml:space="preserve"> to meet its goals under its </w:t>
      </w:r>
      <w:r w:rsidR="00D00877" w:rsidRPr="00C14AA8">
        <w:t>strategic development plan</w:t>
      </w:r>
      <w:r w:rsidR="00E43EED" w:rsidRPr="00C14AA8">
        <w:t xml:space="preserve">. </w:t>
      </w:r>
      <w:r w:rsidR="008D31ED" w:rsidRPr="00C14AA8">
        <w:t>In</w:t>
      </w:r>
      <w:r w:rsidR="0061137A" w:rsidRPr="00C14AA8">
        <w:t xml:space="preserve"> 2012</w:t>
      </w:r>
      <w:r w:rsidR="008D31ED" w:rsidRPr="00C14AA8">
        <w:t xml:space="preserve">, </w:t>
      </w:r>
      <w:r w:rsidR="00795F2C">
        <w:t>DFAT</w:t>
      </w:r>
      <w:r w:rsidR="008E1389" w:rsidRPr="00C14AA8">
        <w:t xml:space="preserve"> </w:t>
      </w:r>
      <w:r w:rsidR="008D31ED" w:rsidRPr="00C14AA8">
        <w:t>worked to reduce</w:t>
      </w:r>
      <w:r w:rsidR="0061137A" w:rsidRPr="00C14AA8">
        <w:t xml:space="preserve"> award duplication between </w:t>
      </w:r>
      <w:r w:rsidR="008E1389">
        <w:t>the department</w:t>
      </w:r>
      <w:r w:rsidR="0061137A" w:rsidRPr="00C14AA8">
        <w:t xml:space="preserve">, NZAID and </w:t>
      </w:r>
      <w:r w:rsidR="00D00877" w:rsidRPr="00C14AA8">
        <w:t xml:space="preserve">the Timor-Leste Government, </w:t>
      </w:r>
      <w:r w:rsidR="008D31ED" w:rsidRPr="00C14AA8">
        <w:t>and to</w:t>
      </w:r>
      <w:r w:rsidR="0061137A" w:rsidRPr="00C14AA8">
        <w:t xml:space="preserve"> id</w:t>
      </w:r>
      <w:r w:rsidR="006C6200" w:rsidRPr="00C14AA8">
        <w:t>entify areas of priority study such as</w:t>
      </w:r>
      <w:r w:rsidR="0061137A" w:rsidRPr="00C14AA8">
        <w:t xml:space="preserve"> </w:t>
      </w:r>
      <w:r w:rsidR="006C6200" w:rsidRPr="00C14AA8">
        <w:t>civil, electrical and mechanical engineering.</w:t>
      </w:r>
      <w:r w:rsidR="008D31ED" w:rsidRPr="00C14AA8">
        <w:t xml:space="preserve"> </w:t>
      </w:r>
      <w:r w:rsidR="00B82CE9" w:rsidRPr="00C14AA8">
        <w:t>G</w:t>
      </w:r>
      <w:r w:rsidR="0061137A" w:rsidRPr="00C14AA8">
        <w:t>ender and geographic equity</w:t>
      </w:r>
      <w:r w:rsidR="00B82CE9" w:rsidRPr="00C14AA8">
        <w:t xml:space="preserve"> were </w:t>
      </w:r>
      <w:r w:rsidR="00F353DB" w:rsidRPr="00C14AA8">
        <w:t>considered.</w:t>
      </w:r>
      <w:r w:rsidR="00E972FA" w:rsidRPr="00C14AA8">
        <w:t xml:space="preserve"> Ten scholarships were awarded to </w:t>
      </w:r>
      <w:proofErr w:type="spellStart"/>
      <w:r w:rsidR="00E972FA" w:rsidRPr="00C14AA8">
        <w:t>Dili</w:t>
      </w:r>
      <w:proofErr w:type="spellEnd"/>
      <w:r w:rsidR="00275DCC" w:rsidRPr="00C14AA8">
        <w:t>-based candidates</w:t>
      </w:r>
      <w:r w:rsidR="00E972FA" w:rsidRPr="00C14AA8">
        <w:t xml:space="preserve">, </w:t>
      </w:r>
      <w:r w:rsidR="00D00877" w:rsidRPr="00C14AA8">
        <w:t xml:space="preserve">and </w:t>
      </w:r>
      <w:r w:rsidR="00E972FA" w:rsidRPr="00C14AA8">
        <w:t xml:space="preserve">12 were drawn from seven other districts. </w:t>
      </w:r>
      <w:r w:rsidR="00A16D9E" w:rsidRPr="00C14AA8">
        <w:t xml:space="preserve">However, alumni reports suggest the majority of returning students seek and attain work in </w:t>
      </w:r>
      <w:proofErr w:type="spellStart"/>
      <w:r w:rsidR="00A16D9E" w:rsidRPr="00C14AA8">
        <w:t>Dili</w:t>
      </w:r>
      <w:proofErr w:type="spellEnd"/>
      <w:r w:rsidR="00A16D9E" w:rsidRPr="00C14AA8">
        <w:t>.</w:t>
      </w:r>
    </w:p>
    <w:p w14:paraId="27E76002" w14:textId="7C39AD77" w:rsidR="0061137A" w:rsidRPr="00C14AA8" w:rsidRDefault="0061137A" w:rsidP="00C14AA8">
      <w:pPr>
        <w:pStyle w:val="Caption"/>
      </w:pPr>
      <w:r w:rsidRPr="00C14AA8">
        <w:t xml:space="preserve">Table 4: Australia Awards </w:t>
      </w:r>
      <w:r w:rsidR="00D00877" w:rsidRPr="00C14AA8">
        <w:t xml:space="preserve">provided </w:t>
      </w:r>
      <w:r w:rsidRPr="00C14AA8">
        <w:t xml:space="preserve">in 2012 for </w:t>
      </w:r>
      <w:r w:rsidR="002D520D" w:rsidRPr="00C14AA8">
        <w:t>commencement</w:t>
      </w:r>
      <w:r w:rsidR="002D520D" w:rsidRPr="00C14AA8" w:rsidDel="002D520D">
        <w:t xml:space="preserve"> </w:t>
      </w:r>
      <w:r w:rsidR="002D520D" w:rsidRPr="00C14AA8">
        <w:t xml:space="preserve">in </w:t>
      </w:r>
      <w:r w:rsidRPr="00C14AA8">
        <w:t xml:space="preserve">2013 </w:t>
      </w:r>
    </w:p>
    <w:tbl>
      <w:tblPr>
        <w:tblStyle w:val="APPR"/>
        <w:tblW w:w="5000" w:type="pct"/>
        <w:tblLook w:val="04A0" w:firstRow="1" w:lastRow="0" w:firstColumn="1" w:lastColumn="0" w:noHBand="0" w:noVBand="1"/>
      </w:tblPr>
      <w:tblGrid>
        <w:gridCol w:w="2150"/>
        <w:gridCol w:w="2153"/>
        <w:gridCol w:w="2152"/>
        <w:gridCol w:w="2152"/>
      </w:tblGrid>
      <w:tr w:rsidR="0061137A" w14:paraId="24403E12" w14:textId="77777777" w:rsidTr="00C14AA8">
        <w:trPr>
          <w:cnfStyle w:val="100000000000" w:firstRow="1" w:lastRow="0" w:firstColumn="0" w:lastColumn="0" w:oddVBand="0" w:evenVBand="0" w:oddHBand="0" w:evenHBand="0" w:firstRowFirstColumn="0" w:firstRowLastColumn="0" w:lastRowFirstColumn="0" w:lastRowLastColumn="0"/>
        </w:trPr>
        <w:tc>
          <w:tcPr>
            <w:tcW w:w="2010" w:type="dxa"/>
          </w:tcPr>
          <w:p w14:paraId="725AEAFD" w14:textId="77777777" w:rsidR="0061137A" w:rsidRPr="00991FE6" w:rsidRDefault="0061137A" w:rsidP="00C14AA8">
            <w:pPr>
              <w:pStyle w:val="TableHeading1"/>
            </w:pPr>
          </w:p>
        </w:tc>
        <w:tc>
          <w:tcPr>
            <w:tcW w:w="2025" w:type="dxa"/>
          </w:tcPr>
          <w:p w14:paraId="24F5E9F1" w14:textId="77777777" w:rsidR="0061137A" w:rsidRPr="00991FE6" w:rsidRDefault="0061137A" w:rsidP="00C14AA8">
            <w:pPr>
              <w:pStyle w:val="TableHeading1"/>
              <w:rPr>
                <w:b/>
              </w:rPr>
            </w:pPr>
            <w:r w:rsidRPr="00991FE6">
              <w:rPr>
                <w:b/>
              </w:rPr>
              <w:t>Master</w:t>
            </w:r>
          </w:p>
        </w:tc>
        <w:tc>
          <w:tcPr>
            <w:tcW w:w="2024" w:type="dxa"/>
          </w:tcPr>
          <w:p w14:paraId="091C8A1C" w14:textId="77777777" w:rsidR="0061137A" w:rsidRPr="00991FE6" w:rsidRDefault="0061137A" w:rsidP="00C14AA8">
            <w:pPr>
              <w:pStyle w:val="TableHeading1"/>
              <w:rPr>
                <w:b/>
              </w:rPr>
            </w:pPr>
            <w:r w:rsidRPr="00991FE6">
              <w:rPr>
                <w:b/>
              </w:rPr>
              <w:t>Bachelor</w:t>
            </w:r>
          </w:p>
        </w:tc>
        <w:tc>
          <w:tcPr>
            <w:tcW w:w="2011" w:type="dxa"/>
          </w:tcPr>
          <w:p w14:paraId="26EB198F" w14:textId="36BA8F0F" w:rsidR="0061137A" w:rsidRPr="00991FE6" w:rsidRDefault="0061137A" w:rsidP="00C14AA8">
            <w:pPr>
              <w:pStyle w:val="TableHeading1"/>
              <w:rPr>
                <w:b/>
              </w:rPr>
            </w:pPr>
            <w:r w:rsidRPr="00991FE6">
              <w:rPr>
                <w:b/>
              </w:rPr>
              <w:t>Grad</w:t>
            </w:r>
            <w:r w:rsidR="002D520D">
              <w:rPr>
                <w:b/>
              </w:rPr>
              <w:t>uate</w:t>
            </w:r>
            <w:r w:rsidRPr="00991FE6">
              <w:rPr>
                <w:b/>
              </w:rPr>
              <w:t xml:space="preserve"> </w:t>
            </w:r>
            <w:r w:rsidR="002D520D">
              <w:rPr>
                <w:b/>
              </w:rPr>
              <w:t>d</w:t>
            </w:r>
            <w:r w:rsidR="002D520D" w:rsidRPr="00991FE6">
              <w:rPr>
                <w:b/>
              </w:rPr>
              <w:t>ip</w:t>
            </w:r>
            <w:r w:rsidR="002D520D">
              <w:rPr>
                <w:b/>
              </w:rPr>
              <w:t>loma</w:t>
            </w:r>
          </w:p>
        </w:tc>
      </w:tr>
      <w:tr w:rsidR="0061137A" w14:paraId="189B0C73" w14:textId="77777777" w:rsidTr="00C14AA8">
        <w:trPr>
          <w:cnfStyle w:val="100000000000" w:firstRow="1" w:lastRow="0" w:firstColumn="0" w:lastColumn="0" w:oddVBand="0" w:evenVBand="0" w:oddHBand="0" w:evenHBand="0" w:firstRowFirstColumn="0" w:firstRowLastColumn="0" w:lastRowFirstColumn="0" w:lastRowLastColumn="0"/>
        </w:trPr>
        <w:tc>
          <w:tcPr>
            <w:tcW w:w="2010" w:type="dxa"/>
          </w:tcPr>
          <w:p w14:paraId="4F99F814" w14:textId="77777777" w:rsidR="0061137A" w:rsidRPr="00C14AA8" w:rsidRDefault="0061137A" w:rsidP="00C14AA8">
            <w:pPr>
              <w:pStyle w:val="TableHeading1"/>
              <w:rPr>
                <w:b/>
              </w:rPr>
            </w:pPr>
            <w:r w:rsidRPr="00C14AA8">
              <w:rPr>
                <w:b/>
              </w:rPr>
              <w:t>Female</w:t>
            </w:r>
          </w:p>
        </w:tc>
        <w:tc>
          <w:tcPr>
            <w:tcW w:w="2025" w:type="dxa"/>
          </w:tcPr>
          <w:p w14:paraId="60CEF24D" w14:textId="77777777" w:rsidR="0061137A" w:rsidRPr="00C14AA8" w:rsidRDefault="0061137A" w:rsidP="00C14AA8">
            <w:pPr>
              <w:pStyle w:val="TableTextEntries"/>
              <w:rPr>
                <w:b w:val="0"/>
              </w:rPr>
            </w:pPr>
            <w:r w:rsidRPr="00C14AA8">
              <w:rPr>
                <w:b w:val="0"/>
              </w:rPr>
              <w:t>4</w:t>
            </w:r>
          </w:p>
        </w:tc>
        <w:tc>
          <w:tcPr>
            <w:tcW w:w="2024" w:type="dxa"/>
          </w:tcPr>
          <w:p w14:paraId="7E326868" w14:textId="77777777" w:rsidR="0061137A" w:rsidRPr="00C14AA8" w:rsidRDefault="0061137A" w:rsidP="00C14AA8">
            <w:pPr>
              <w:pStyle w:val="TableTextEntries"/>
              <w:rPr>
                <w:b w:val="0"/>
              </w:rPr>
            </w:pPr>
            <w:r w:rsidRPr="00C14AA8">
              <w:rPr>
                <w:b w:val="0"/>
              </w:rPr>
              <w:t>6</w:t>
            </w:r>
          </w:p>
        </w:tc>
        <w:tc>
          <w:tcPr>
            <w:tcW w:w="2011" w:type="dxa"/>
          </w:tcPr>
          <w:p w14:paraId="6EDC6852" w14:textId="77777777" w:rsidR="0061137A" w:rsidRPr="00C14AA8" w:rsidRDefault="0061137A" w:rsidP="00C14AA8">
            <w:pPr>
              <w:pStyle w:val="TableTextEntries"/>
              <w:rPr>
                <w:b w:val="0"/>
              </w:rPr>
            </w:pPr>
            <w:r w:rsidRPr="00C14AA8">
              <w:rPr>
                <w:b w:val="0"/>
              </w:rPr>
              <w:t>0</w:t>
            </w:r>
          </w:p>
        </w:tc>
      </w:tr>
      <w:tr w:rsidR="0061137A" w14:paraId="57D7A572" w14:textId="77777777" w:rsidTr="00C14AA8">
        <w:trPr>
          <w:cnfStyle w:val="100000000000" w:firstRow="1" w:lastRow="0" w:firstColumn="0" w:lastColumn="0" w:oddVBand="0" w:evenVBand="0" w:oddHBand="0" w:evenHBand="0" w:firstRowFirstColumn="0" w:firstRowLastColumn="0" w:lastRowFirstColumn="0" w:lastRowLastColumn="0"/>
        </w:trPr>
        <w:tc>
          <w:tcPr>
            <w:tcW w:w="2010" w:type="dxa"/>
          </w:tcPr>
          <w:p w14:paraId="0F395898" w14:textId="77777777" w:rsidR="0061137A" w:rsidRPr="00C14AA8" w:rsidRDefault="0061137A" w:rsidP="00C14AA8">
            <w:pPr>
              <w:pStyle w:val="TableHeading1"/>
              <w:rPr>
                <w:b/>
              </w:rPr>
            </w:pPr>
            <w:r w:rsidRPr="00C14AA8">
              <w:rPr>
                <w:b/>
              </w:rPr>
              <w:t>Male</w:t>
            </w:r>
          </w:p>
        </w:tc>
        <w:tc>
          <w:tcPr>
            <w:tcW w:w="2025" w:type="dxa"/>
          </w:tcPr>
          <w:p w14:paraId="26087744" w14:textId="77777777" w:rsidR="0061137A" w:rsidRPr="00C14AA8" w:rsidRDefault="0061137A" w:rsidP="00C14AA8">
            <w:pPr>
              <w:pStyle w:val="TableTextEntries"/>
              <w:rPr>
                <w:b w:val="0"/>
              </w:rPr>
            </w:pPr>
            <w:r w:rsidRPr="00C14AA8">
              <w:rPr>
                <w:b w:val="0"/>
              </w:rPr>
              <w:t>7</w:t>
            </w:r>
          </w:p>
        </w:tc>
        <w:tc>
          <w:tcPr>
            <w:tcW w:w="2024" w:type="dxa"/>
          </w:tcPr>
          <w:p w14:paraId="2DD44073" w14:textId="77777777" w:rsidR="0061137A" w:rsidRPr="00C14AA8" w:rsidRDefault="0061137A" w:rsidP="00C14AA8">
            <w:pPr>
              <w:pStyle w:val="TableTextEntries"/>
              <w:rPr>
                <w:b w:val="0"/>
              </w:rPr>
            </w:pPr>
            <w:r w:rsidRPr="00C14AA8">
              <w:rPr>
                <w:b w:val="0"/>
              </w:rPr>
              <w:t>4</w:t>
            </w:r>
          </w:p>
        </w:tc>
        <w:tc>
          <w:tcPr>
            <w:tcW w:w="2011" w:type="dxa"/>
          </w:tcPr>
          <w:p w14:paraId="42B93FF6" w14:textId="77777777" w:rsidR="0061137A" w:rsidRPr="00C14AA8" w:rsidRDefault="0061137A" w:rsidP="00C14AA8">
            <w:pPr>
              <w:pStyle w:val="TableTextEntries"/>
              <w:rPr>
                <w:b w:val="0"/>
              </w:rPr>
            </w:pPr>
            <w:r w:rsidRPr="00C14AA8">
              <w:rPr>
                <w:b w:val="0"/>
              </w:rPr>
              <w:t>1</w:t>
            </w:r>
          </w:p>
        </w:tc>
      </w:tr>
    </w:tbl>
    <w:p w14:paraId="06F2E188" w14:textId="77777777" w:rsidR="0061137A" w:rsidRPr="00C14AA8" w:rsidRDefault="0061137A" w:rsidP="00C14AA8">
      <w:pPr>
        <w:pStyle w:val="BodyText"/>
      </w:pPr>
    </w:p>
    <w:p w14:paraId="2EC2CD17" w14:textId="07CD14FE" w:rsidR="00C52A35" w:rsidRPr="00C14AA8" w:rsidRDefault="000D50DA" w:rsidP="00C14AA8">
      <w:pPr>
        <w:pStyle w:val="BodyText"/>
      </w:pPr>
      <w:r w:rsidRPr="00C14AA8">
        <w:t xml:space="preserve">Australia’s support </w:t>
      </w:r>
      <w:r w:rsidR="00C532E0" w:rsidRPr="00C14AA8">
        <w:t xml:space="preserve">in education </w:t>
      </w:r>
      <w:r w:rsidRPr="00C14AA8">
        <w:t>has shifted to school</w:t>
      </w:r>
      <w:r w:rsidR="002D520D" w:rsidRPr="00C14AA8">
        <w:t>s</w:t>
      </w:r>
      <w:r w:rsidRPr="00C14AA8">
        <w:t xml:space="preserve">. This has led to partnerships with organisations that can deliver services effectively at this level, such as the </w:t>
      </w:r>
      <w:proofErr w:type="spellStart"/>
      <w:r w:rsidRPr="00C14AA8">
        <w:t>Alola</w:t>
      </w:r>
      <w:proofErr w:type="spellEnd"/>
      <w:r w:rsidRPr="00C14AA8">
        <w:t xml:space="preserve"> Foundation. However, much of Australia’s support in </w:t>
      </w:r>
      <w:r w:rsidR="00E73AC5" w:rsidRPr="00C14AA8">
        <w:t xml:space="preserve">technical and vocational training </w:t>
      </w:r>
      <w:r w:rsidRPr="00C14AA8">
        <w:t>continues to be in system strengthening and supply-driven training. There is still a gap in areas where training or skills acquisition could result in better standards of living, such as subsistence agriculture.</w:t>
      </w:r>
    </w:p>
    <w:p w14:paraId="0242A50E" w14:textId="56024B38" w:rsidR="00AA2C89" w:rsidRPr="00C14AA8" w:rsidRDefault="00C52A35" w:rsidP="00C14AA8">
      <w:pPr>
        <w:pStyle w:val="BodyText"/>
      </w:pPr>
      <w:r w:rsidRPr="00C14AA8">
        <w:t>Aus</w:t>
      </w:r>
      <w:r w:rsidR="00DE38F3" w:rsidRPr="00C14AA8">
        <w:t>tralia</w:t>
      </w:r>
      <w:r w:rsidRPr="00C14AA8">
        <w:t xml:space="preserve"> continued to deliver much of its program through multilateral organisations. The </w:t>
      </w:r>
      <w:r w:rsidR="00E73AC5" w:rsidRPr="00C14AA8">
        <w:t xml:space="preserve">Youth Employment Promotion Programme, </w:t>
      </w:r>
      <w:r w:rsidRPr="00C14AA8">
        <w:t xml:space="preserve">implemented by </w:t>
      </w:r>
      <w:r w:rsidR="00E73AC5" w:rsidRPr="00C14AA8">
        <w:t xml:space="preserve">the </w:t>
      </w:r>
      <w:r w:rsidRPr="00C14AA8">
        <w:t>I</w:t>
      </w:r>
      <w:r w:rsidR="000848CF" w:rsidRPr="00C14AA8">
        <w:t xml:space="preserve">nternational </w:t>
      </w:r>
      <w:r w:rsidRPr="00C14AA8">
        <w:t>L</w:t>
      </w:r>
      <w:r w:rsidR="000848CF" w:rsidRPr="00C14AA8">
        <w:t xml:space="preserve">abour </w:t>
      </w:r>
      <w:r w:rsidR="002D520D" w:rsidRPr="00C14AA8">
        <w:t>Organization</w:t>
      </w:r>
      <w:r w:rsidRPr="00C14AA8">
        <w:t xml:space="preserve">, was completed in December 2012 with </w:t>
      </w:r>
      <w:r w:rsidR="00D82B2C" w:rsidRPr="00C14AA8">
        <w:t>adequate progress</w:t>
      </w:r>
      <w:r w:rsidR="00D6225D" w:rsidRPr="00C14AA8">
        <w:t xml:space="preserve"> concluded by independent evaluation</w:t>
      </w:r>
      <w:r w:rsidRPr="00C14AA8">
        <w:t xml:space="preserve">. </w:t>
      </w:r>
      <w:r w:rsidR="00E73AC5" w:rsidRPr="00C14AA8">
        <w:t xml:space="preserve">Its </w:t>
      </w:r>
      <w:r w:rsidRPr="00C14AA8">
        <w:t>successor</w:t>
      </w:r>
      <w:r w:rsidR="00E73AC5" w:rsidRPr="00C14AA8">
        <w:t>––the</w:t>
      </w:r>
      <w:r w:rsidRPr="00C14AA8">
        <w:t xml:space="preserve"> </w:t>
      </w:r>
      <w:r w:rsidR="00E73AC5" w:rsidRPr="00C14AA8">
        <w:rPr>
          <w:rStyle w:val="st"/>
        </w:rPr>
        <w:t>Training and Employment Support Program</w:t>
      </w:r>
      <w:r w:rsidR="00E73AC5" w:rsidRPr="00C14AA8" w:rsidDel="00E73AC5">
        <w:t xml:space="preserve"> </w:t>
      </w:r>
      <w:proofErr w:type="spellStart"/>
      <w:r w:rsidRPr="00C14AA8">
        <w:t>program</w:t>
      </w:r>
      <w:proofErr w:type="spellEnd"/>
      <w:r w:rsidRPr="00C14AA8">
        <w:t xml:space="preserve">, also with </w:t>
      </w:r>
      <w:r w:rsidR="000848CF" w:rsidRPr="00C14AA8">
        <w:t xml:space="preserve">International Labour </w:t>
      </w:r>
      <w:r w:rsidR="002D520D" w:rsidRPr="00C14AA8">
        <w:t>Organization</w:t>
      </w:r>
      <w:r w:rsidR="00E73AC5" w:rsidRPr="00C14AA8">
        <w:t xml:space="preserve">––commenced </w:t>
      </w:r>
      <w:r w:rsidRPr="00C14AA8">
        <w:t xml:space="preserve">in January 2013. </w:t>
      </w:r>
    </w:p>
    <w:p w14:paraId="51C2B851" w14:textId="4AF1F263" w:rsidR="00C52A35" w:rsidRPr="00C14AA8" w:rsidRDefault="000848CF" w:rsidP="00C14AA8">
      <w:pPr>
        <w:pStyle w:val="BodyText"/>
      </w:pPr>
      <w:r w:rsidRPr="00C14AA8">
        <w:t>In 2012</w:t>
      </w:r>
      <w:r w:rsidR="00E73AC5" w:rsidRPr="00C14AA8">
        <w:t>–</w:t>
      </w:r>
      <w:r w:rsidR="00D82B2C" w:rsidRPr="00C14AA8">
        <w:t>13</w:t>
      </w:r>
      <w:r w:rsidRPr="00C14AA8">
        <w:t>,</w:t>
      </w:r>
      <w:r w:rsidR="00C52A35" w:rsidRPr="00C14AA8">
        <w:t xml:space="preserve"> </w:t>
      </w:r>
      <w:r w:rsidR="00FB7221">
        <w:t xml:space="preserve">Australia </w:t>
      </w:r>
      <w:r w:rsidR="00BD3057" w:rsidRPr="00C14AA8">
        <w:t>commissioned</w:t>
      </w:r>
      <w:r w:rsidR="00BE4DD4">
        <w:t xml:space="preserve"> research on education in Timor-</w:t>
      </w:r>
      <w:r w:rsidR="00BD3057" w:rsidRPr="00C14AA8">
        <w:t>Leste to inform</w:t>
      </w:r>
      <w:r w:rsidR="00D82B2C" w:rsidRPr="00C14AA8">
        <w:t xml:space="preserve"> </w:t>
      </w:r>
      <w:r w:rsidR="00C52A35" w:rsidRPr="00C14AA8">
        <w:t xml:space="preserve">new education and scholarship </w:t>
      </w:r>
      <w:r w:rsidR="00BD3057" w:rsidRPr="00C14AA8">
        <w:t>designs</w:t>
      </w:r>
      <w:r w:rsidR="00C52A35" w:rsidRPr="00C14AA8">
        <w:t xml:space="preserve">. </w:t>
      </w:r>
      <w:r w:rsidR="005B79AD" w:rsidRPr="00C14AA8">
        <w:t xml:space="preserve">A </w:t>
      </w:r>
      <w:r w:rsidR="00BD3057" w:rsidRPr="00C14AA8">
        <w:t>d</w:t>
      </w:r>
      <w:r w:rsidR="005B79AD" w:rsidRPr="00C14AA8">
        <w:t>isability-</w:t>
      </w:r>
      <w:r w:rsidR="00BD3057" w:rsidRPr="00C14AA8">
        <w:t>i</w:t>
      </w:r>
      <w:r w:rsidR="005B79AD" w:rsidRPr="00C14AA8">
        <w:t xml:space="preserve">nclusive </w:t>
      </w:r>
      <w:r w:rsidR="00BD3057" w:rsidRPr="00C14AA8">
        <w:t>e</w:t>
      </w:r>
      <w:r w:rsidR="005B79AD" w:rsidRPr="00C14AA8">
        <w:t xml:space="preserve">ducation </w:t>
      </w:r>
      <w:r w:rsidR="00BD3057" w:rsidRPr="00C14AA8">
        <w:t>s</w:t>
      </w:r>
      <w:r w:rsidR="005B79AD" w:rsidRPr="00C14AA8">
        <w:t xml:space="preserve">ituational </w:t>
      </w:r>
      <w:r w:rsidR="00BD3057" w:rsidRPr="00C14AA8">
        <w:t>a</w:t>
      </w:r>
      <w:r w:rsidR="00A95070" w:rsidRPr="00C14AA8">
        <w:t>nalysis was</w:t>
      </w:r>
      <w:r w:rsidR="005B79AD" w:rsidRPr="00C14AA8">
        <w:t xml:space="preserve"> undertaken in November 2011 </w:t>
      </w:r>
      <w:r w:rsidR="00E71766" w:rsidRPr="00C14AA8">
        <w:t xml:space="preserve">by sector specialists </w:t>
      </w:r>
      <w:r w:rsidR="00A95070" w:rsidRPr="00C14AA8">
        <w:t>who</w:t>
      </w:r>
      <w:r w:rsidR="005B79AD" w:rsidRPr="00C14AA8">
        <w:t xml:space="preserve"> included people with disability as part of the analysis team. </w:t>
      </w:r>
      <w:r w:rsidR="00C52A35" w:rsidRPr="00C14AA8">
        <w:t xml:space="preserve">In partnership with the World Bank and </w:t>
      </w:r>
      <w:r w:rsidR="00E73AC5" w:rsidRPr="00C14AA8">
        <w:t>Ministry of Education</w:t>
      </w:r>
      <w:r w:rsidR="000D50DA" w:rsidRPr="00C14AA8">
        <w:t>,</w:t>
      </w:r>
      <w:r w:rsidR="00C52A35" w:rsidRPr="00C14AA8">
        <w:t xml:space="preserve"> a comprehensive </w:t>
      </w:r>
      <w:r w:rsidR="000D50DA" w:rsidRPr="00C14AA8">
        <w:t xml:space="preserve">education </w:t>
      </w:r>
      <w:r w:rsidR="00C52A35" w:rsidRPr="00C14AA8">
        <w:t xml:space="preserve">survey was conducted covering every school in Timor-Leste. The findings of this will provide a better understanding of the challenges and needs at the school level. With </w:t>
      </w:r>
      <w:r w:rsidR="00DE38F3" w:rsidRPr="00C14AA8">
        <w:t>Australia’s</w:t>
      </w:r>
      <w:r w:rsidR="00C52A35" w:rsidRPr="00C14AA8">
        <w:t xml:space="preserve"> funding, </w:t>
      </w:r>
      <w:r w:rsidR="00E73AC5" w:rsidRPr="00C14AA8">
        <w:t xml:space="preserve">Timor-Leste’s </w:t>
      </w:r>
      <w:r w:rsidR="001B3C34" w:rsidRPr="00C14AA8">
        <w:t xml:space="preserve">Secretariat </w:t>
      </w:r>
      <w:r w:rsidR="001B3C34">
        <w:t xml:space="preserve">of State </w:t>
      </w:r>
      <w:r w:rsidR="001B3C34" w:rsidRPr="00C14AA8">
        <w:t xml:space="preserve">for Professional Training </w:t>
      </w:r>
      <w:r w:rsidR="001B3C34" w:rsidRPr="00C14AA8">
        <w:lastRenderedPageBreak/>
        <w:t>and Employment</w:t>
      </w:r>
      <w:r w:rsidR="001B3C34">
        <w:t xml:space="preserve"> Policy</w:t>
      </w:r>
      <w:r w:rsidR="001B3C34" w:rsidRPr="00C14AA8">
        <w:t xml:space="preserve"> </w:t>
      </w:r>
      <w:r w:rsidR="00C52A35" w:rsidRPr="00C14AA8">
        <w:t xml:space="preserve">has commenced a labour force survey </w:t>
      </w:r>
      <w:r w:rsidR="00D82B2C" w:rsidRPr="00C14AA8">
        <w:t>to understand</w:t>
      </w:r>
      <w:r w:rsidR="00C52A35" w:rsidRPr="00C14AA8">
        <w:t xml:space="preserve"> labour market dynamics.</w:t>
      </w:r>
      <w:r w:rsidR="005B79AD" w:rsidRPr="00C14AA8">
        <w:t xml:space="preserve"> </w:t>
      </w:r>
    </w:p>
    <w:p w14:paraId="3625D80A" w14:textId="77777777" w:rsidR="00B97362" w:rsidRPr="00C14AA8" w:rsidRDefault="00917003" w:rsidP="00C14AA8">
      <w:pPr>
        <w:pStyle w:val="Heading2"/>
      </w:pPr>
      <w:r w:rsidRPr="00C14AA8">
        <w:t>Objective 5</w:t>
      </w:r>
    </w:p>
    <w:tbl>
      <w:tblPr>
        <w:tblStyle w:val="APPR"/>
        <w:tblW w:w="5000" w:type="pct"/>
        <w:tblLook w:val="0000" w:firstRow="0" w:lastRow="0" w:firstColumn="0" w:lastColumn="0" w:noHBand="0" w:noVBand="0"/>
      </w:tblPr>
      <w:tblGrid>
        <w:gridCol w:w="6329"/>
        <w:gridCol w:w="1105"/>
        <w:gridCol w:w="1173"/>
      </w:tblGrid>
      <w:tr w:rsidR="00C14AA8" w:rsidRPr="00AA729B" w14:paraId="68E246C7" w14:textId="77777777" w:rsidTr="001E3DDE">
        <w:trPr>
          <w:cnfStyle w:val="000000010000" w:firstRow="0" w:lastRow="0" w:firstColumn="0" w:lastColumn="0" w:oddVBand="0" w:evenVBand="0" w:oddHBand="0" w:evenHBand="1" w:firstRowFirstColumn="0" w:firstRowLastColumn="0" w:lastRowFirstColumn="0" w:lastRowLastColumn="0"/>
        </w:trPr>
        <w:tc>
          <w:tcPr>
            <w:tcW w:w="5694" w:type="dxa"/>
          </w:tcPr>
          <w:p w14:paraId="64DDD597" w14:textId="77777777" w:rsidR="00C14AA8" w:rsidRPr="00C14AA8" w:rsidRDefault="00C14AA8" w:rsidP="00C14AA8">
            <w:pPr>
              <w:pStyle w:val="TableHeading1"/>
            </w:pPr>
            <w:r w:rsidRPr="00C14AA8">
              <w:rPr>
                <w:noProof/>
                <w:lang w:eastAsia="en-AU"/>
              </w:rPr>
              <w:drawing>
                <wp:anchor distT="0" distB="0" distL="114300" distR="114300" simplePos="0" relativeHeight="251691008" behindDoc="0" locked="0" layoutInCell="1" allowOverlap="1" wp14:anchorId="5DF48677" wp14:editId="08D766E4">
                  <wp:simplePos x="0" y="0"/>
                  <wp:positionH relativeFrom="column">
                    <wp:posOffset>0</wp:posOffset>
                  </wp:positionH>
                  <wp:positionV relativeFrom="paragraph">
                    <wp:posOffset>0</wp:posOffset>
                  </wp:positionV>
                  <wp:extent cx="1857375" cy="228600"/>
                  <wp:effectExtent l="0" t="0" r="9525" b="0"/>
                  <wp:wrapNone/>
                  <wp:docPr id="29" name="Picture 2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AA8">
              <w:t>Objective</w:t>
            </w:r>
          </w:p>
        </w:tc>
        <w:tc>
          <w:tcPr>
            <w:tcW w:w="975" w:type="dxa"/>
          </w:tcPr>
          <w:p w14:paraId="2D57F984" w14:textId="2A3426B2" w:rsidR="00C14AA8" w:rsidRPr="00C14AA8" w:rsidRDefault="00C14AA8" w:rsidP="00C14AA8">
            <w:pPr>
              <w:pStyle w:val="TableHeading1"/>
            </w:pPr>
            <w:r w:rsidRPr="00C14AA8">
              <w:t>Current rating</w:t>
            </w:r>
          </w:p>
        </w:tc>
        <w:tc>
          <w:tcPr>
            <w:tcW w:w="1024" w:type="dxa"/>
          </w:tcPr>
          <w:p w14:paraId="2249161E" w14:textId="2DBD3901" w:rsidR="00C14AA8" w:rsidRPr="00C14AA8" w:rsidRDefault="00C14AA8" w:rsidP="00C14AA8">
            <w:pPr>
              <w:pStyle w:val="TableHeading1"/>
            </w:pPr>
            <w:r w:rsidRPr="00C14AA8">
              <w:t>Previous rating</w:t>
            </w:r>
          </w:p>
        </w:tc>
      </w:tr>
      <w:tr w:rsidR="00C14AA8" w:rsidRPr="001159CC" w14:paraId="62FC42C6" w14:textId="77777777" w:rsidTr="001E3DDE">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5694" w:type="dxa"/>
            <w:tcBorders>
              <w:left w:val="nil"/>
              <w:right w:val="nil"/>
            </w:tcBorders>
          </w:tcPr>
          <w:p w14:paraId="4BC21DE1" w14:textId="5AA3022D" w:rsidR="00C14AA8" w:rsidRPr="00C14AA8" w:rsidRDefault="00C14AA8" w:rsidP="00C14AA8">
            <w:pPr>
              <w:pStyle w:val="TableTextEntries"/>
              <w:rPr>
                <w:b w:val="0"/>
              </w:rPr>
            </w:pPr>
            <w:r w:rsidRPr="00C14AA8">
              <w:rPr>
                <w:b w:val="0"/>
              </w:rPr>
              <w:t>Objective 5: Households, especially the most vulnerable, increasingly practice behaviours that are conducive to better maternal and child health and nutrition, and use reproductive, maternal, newborn and child health services</w:t>
            </w:r>
          </w:p>
        </w:tc>
        <w:tc>
          <w:tcPr>
            <w:tcW w:w="975" w:type="dxa"/>
            <w:tcBorders>
              <w:left w:val="nil"/>
              <w:right w:val="nil"/>
            </w:tcBorders>
            <w:shd w:val="clear" w:color="auto" w:fill="FF0000"/>
            <w:noWrap/>
          </w:tcPr>
          <w:p w14:paraId="7101158E" w14:textId="77777777" w:rsidR="00C14AA8" w:rsidRPr="00C14AA8" w:rsidRDefault="00C14AA8" w:rsidP="00C14AA8">
            <w:pPr>
              <w:pStyle w:val="TableTextEntries"/>
              <w:rPr>
                <w:rFonts w:eastAsia="SimSun"/>
                <w:b w:val="0"/>
              </w:rPr>
            </w:pPr>
            <w:r w:rsidRPr="00C14AA8">
              <w:rPr>
                <w:rFonts w:eastAsia="SimSun"/>
                <w:b w:val="0"/>
              </w:rPr>
              <w:t>Red</w:t>
            </w:r>
          </w:p>
        </w:tc>
        <w:tc>
          <w:tcPr>
            <w:tcW w:w="1024" w:type="dxa"/>
            <w:tcBorders>
              <w:left w:val="nil"/>
              <w:right w:val="nil"/>
            </w:tcBorders>
            <w:shd w:val="clear" w:color="auto" w:fill="FF0000"/>
            <w:noWrap/>
          </w:tcPr>
          <w:p w14:paraId="3C4FF87A" w14:textId="77777777" w:rsidR="00C14AA8" w:rsidRPr="00C14AA8" w:rsidRDefault="00C14AA8" w:rsidP="00C14AA8">
            <w:pPr>
              <w:pStyle w:val="TableTextEntries"/>
              <w:rPr>
                <w:rFonts w:eastAsia="SimSun"/>
                <w:b w:val="0"/>
              </w:rPr>
            </w:pPr>
            <w:r w:rsidRPr="00C14AA8">
              <w:rPr>
                <w:rFonts w:eastAsia="SimSun"/>
                <w:b w:val="0"/>
              </w:rPr>
              <w:t>Red</w:t>
            </w:r>
          </w:p>
        </w:tc>
      </w:tr>
    </w:tbl>
    <w:p w14:paraId="029A99B3" w14:textId="77777777" w:rsidR="00EB0AA6" w:rsidRPr="001159CC" w:rsidRDefault="00EB0AA6" w:rsidP="00FA391E">
      <w:pPr>
        <w:rPr>
          <w:rFonts w:asciiTheme="minorHAnsi" w:hAnsiTheme="minorHAnsi" w:cstheme="minorHAnsi"/>
          <w:sz w:val="22"/>
          <w:szCs w:val="22"/>
        </w:rPr>
      </w:pPr>
    </w:p>
    <w:p w14:paraId="00070D7F" w14:textId="0CF17299" w:rsidR="000D7CC9" w:rsidRPr="00C14AA8" w:rsidRDefault="00610DD1" w:rsidP="00C14AA8">
      <w:pPr>
        <w:pStyle w:val="BodyText"/>
        <w:rPr>
          <w:i/>
        </w:rPr>
      </w:pPr>
      <w:r w:rsidRPr="00C14AA8">
        <w:rPr>
          <w:i/>
        </w:rPr>
        <w:t xml:space="preserve">Despite considerable work in 2012 to realign and consolidate Australia’s health portfolio to better support </w:t>
      </w:r>
      <w:r w:rsidR="008A6861" w:rsidRPr="00C14AA8">
        <w:rPr>
          <w:i/>
        </w:rPr>
        <w:t xml:space="preserve">Timor-Leste Government </w:t>
      </w:r>
      <w:r w:rsidRPr="00C14AA8">
        <w:rPr>
          <w:i/>
        </w:rPr>
        <w:t xml:space="preserve">maternal and child health objectives, Australia’s progress is rated red as </w:t>
      </w:r>
      <w:r w:rsidR="00FE05C0" w:rsidRPr="00C14AA8">
        <w:rPr>
          <w:i/>
        </w:rPr>
        <w:t>this has</w:t>
      </w:r>
      <w:r w:rsidRPr="00C14AA8">
        <w:rPr>
          <w:i/>
        </w:rPr>
        <w:t xml:space="preserve"> not yet translated into household behaviour change.</w:t>
      </w:r>
      <w:r w:rsidR="000D50DA" w:rsidRPr="00C14AA8">
        <w:rPr>
          <w:i/>
        </w:rPr>
        <w:t xml:space="preserve"> Expected progress on designing a new </w:t>
      </w:r>
      <w:r w:rsidR="00FE05C0" w:rsidRPr="00C14AA8">
        <w:rPr>
          <w:i/>
        </w:rPr>
        <w:t>program</w:t>
      </w:r>
      <w:r w:rsidR="008A6861" w:rsidRPr="00C14AA8">
        <w:rPr>
          <w:i/>
        </w:rPr>
        <w:t xml:space="preserve"> that</w:t>
      </w:r>
      <w:r w:rsidR="000D50DA" w:rsidRPr="00C14AA8">
        <w:rPr>
          <w:i/>
        </w:rPr>
        <w:t xml:space="preserve"> strategically target</w:t>
      </w:r>
      <w:r w:rsidR="008A6861" w:rsidRPr="00C14AA8">
        <w:rPr>
          <w:i/>
        </w:rPr>
        <w:t>s</w:t>
      </w:r>
      <w:r w:rsidR="000D50DA" w:rsidRPr="00C14AA8">
        <w:rPr>
          <w:i/>
        </w:rPr>
        <w:t xml:space="preserve"> maternal and child health has been slower than anticipated</w:t>
      </w:r>
      <w:r w:rsidR="004A7505" w:rsidRPr="00C14AA8">
        <w:rPr>
          <w:i/>
        </w:rPr>
        <w:t xml:space="preserve">. Malnutrition is a serious concern in </w:t>
      </w:r>
      <w:r w:rsidR="00B20EC6" w:rsidRPr="00C14AA8">
        <w:rPr>
          <w:i/>
        </w:rPr>
        <w:t>Timor-Leste</w:t>
      </w:r>
      <w:r w:rsidR="004A7505" w:rsidRPr="00C14AA8">
        <w:rPr>
          <w:i/>
        </w:rPr>
        <w:t xml:space="preserve"> for children </w:t>
      </w:r>
      <w:r w:rsidR="00212F25" w:rsidRPr="00C14AA8">
        <w:rPr>
          <w:i/>
        </w:rPr>
        <w:t>and the population more broadly</w:t>
      </w:r>
      <w:r w:rsidR="002D520D" w:rsidRPr="00C14AA8">
        <w:rPr>
          <w:i/>
        </w:rPr>
        <w:t>,</w:t>
      </w:r>
      <w:r w:rsidR="00212F25" w:rsidRPr="00C14AA8">
        <w:rPr>
          <w:i/>
        </w:rPr>
        <w:t xml:space="preserve"> and we are addressing the health</w:t>
      </w:r>
      <w:r w:rsidR="001B2B71" w:rsidRPr="00C14AA8">
        <w:rPr>
          <w:i/>
        </w:rPr>
        <w:t xml:space="preserve">-related factors </w:t>
      </w:r>
      <w:r w:rsidR="00212F25" w:rsidRPr="00C14AA8">
        <w:rPr>
          <w:i/>
        </w:rPr>
        <w:t>through our program.</w:t>
      </w:r>
    </w:p>
    <w:p w14:paraId="543C7403" w14:textId="2C1472CE" w:rsidR="002D520D" w:rsidRPr="00C14AA8" w:rsidRDefault="000D7CC9" w:rsidP="00C14AA8">
      <w:pPr>
        <w:pStyle w:val="BodyText"/>
      </w:pPr>
      <w:r w:rsidRPr="00C14AA8">
        <w:t xml:space="preserve">Australia’s contribution to the health shared goal is through </w:t>
      </w:r>
      <w:r w:rsidR="008A6861" w:rsidRPr="00C14AA8">
        <w:t>h</w:t>
      </w:r>
      <w:r w:rsidRPr="00C14AA8">
        <w:t xml:space="preserve">ouseholds, especially the most vulnerable, increasingly </w:t>
      </w:r>
      <w:r w:rsidR="008A6861" w:rsidRPr="00C14AA8">
        <w:t xml:space="preserve">practicing </w:t>
      </w:r>
      <w:r w:rsidRPr="00C14AA8">
        <w:t>behaviours that are conducive to better maternal and child health and nutrition</w:t>
      </w:r>
      <w:r w:rsidR="002D520D" w:rsidRPr="00C14AA8">
        <w:t>,</w:t>
      </w:r>
      <w:r w:rsidRPr="00C14AA8">
        <w:t xml:space="preserve"> and </w:t>
      </w:r>
      <w:r w:rsidR="008A6861" w:rsidRPr="00C14AA8">
        <w:t xml:space="preserve">using </w:t>
      </w:r>
      <w:r w:rsidRPr="00C14AA8">
        <w:t xml:space="preserve">reproductive, maternal, newborn and child health services. Australia invested </w:t>
      </w:r>
      <w:r w:rsidR="0062170F">
        <w:t>more than</w:t>
      </w:r>
      <w:r w:rsidRPr="00C14AA8">
        <w:t xml:space="preserve"> </w:t>
      </w:r>
      <w:r w:rsidR="005C312A" w:rsidRPr="00C14AA8">
        <w:t>$</w:t>
      </w:r>
      <w:r w:rsidRPr="00C14AA8">
        <w:t>7 million in health programs in 2012</w:t>
      </w:r>
      <w:r w:rsidR="008A6861" w:rsidRPr="00C14AA8">
        <w:t>–</w:t>
      </w:r>
      <w:r w:rsidRPr="00C14AA8">
        <w:t>13, making it the largest bilateral health funder. Australia funds three main programs</w:t>
      </w:r>
      <w:r w:rsidR="002D520D" w:rsidRPr="00C14AA8">
        <w:t>:</w:t>
      </w:r>
    </w:p>
    <w:p w14:paraId="337D778E" w14:textId="0B37A923" w:rsidR="002D520D" w:rsidRDefault="000D7CC9" w:rsidP="00C14AA8">
      <w:pPr>
        <w:pStyle w:val="ListBullet"/>
      </w:pPr>
      <w:r w:rsidRPr="002D2C2F">
        <w:t>a multi-donor trust fund for health systems strengthening managed by the World Bank</w:t>
      </w:r>
    </w:p>
    <w:p w14:paraId="5FF932A0" w14:textId="7176B784" w:rsidR="002D520D" w:rsidRDefault="000D7CC9" w:rsidP="00C14AA8">
      <w:pPr>
        <w:pStyle w:val="ListBullet"/>
      </w:pPr>
      <w:r w:rsidRPr="002D2C2F">
        <w:t>support to surgical services delivered by the Royal Australasian College of Surgeons</w:t>
      </w:r>
    </w:p>
    <w:p w14:paraId="299D6DB9" w14:textId="76181FE7" w:rsidR="000D7CC9" w:rsidRPr="00831EAE" w:rsidRDefault="000D7CC9" w:rsidP="00C14AA8">
      <w:pPr>
        <w:pStyle w:val="ListBullet"/>
      </w:pPr>
      <w:proofErr w:type="gramStart"/>
      <w:r w:rsidRPr="002D2C2F">
        <w:t>support</w:t>
      </w:r>
      <w:proofErr w:type="gramEnd"/>
      <w:r w:rsidRPr="002D2C2F">
        <w:t xml:space="preserve"> through Health Alliance International and Marie Stopes International to increase access to public sec</w:t>
      </w:r>
      <w:r w:rsidRPr="00831EAE">
        <w:t>tor reproductive, maternal and newborn care.</w:t>
      </w:r>
    </w:p>
    <w:p w14:paraId="17871F9B" w14:textId="43DA79F2" w:rsidR="000D7CC9" w:rsidRPr="00C14AA8" w:rsidRDefault="000D7CC9" w:rsidP="00C14AA8">
      <w:pPr>
        <w:pStyle w:val="BodyText"/>
      </w:pPr>
      <w:r w:rsidRPr="00C14AA8">
        <w:t xml:space="preserve">Progress toward our objective slowed in the health sector following elections last year. A new Minister of Health restructured the Ministry </w:t>
      </w:r>
      <w:r w:rsidR="00212F25" w:rsidRPr="00C14AA8">
        <w:t>of Health</w:t>
      </w:r>
      <w:r w:rsidRPr="00C14AA8">
        <w:t xml:space="preserve"> and put new people into key positions</w:t>
      </w:r>
      <w:r w:rsidR="00F353DB" w:rsidRPr="00C14AA8">
        <w:t>.</w:t>
      </w:r>
      <w:r w:rsidRPr="00C14AA8">
        <w:t xml:space="preserve"> </w:t>
      </w:r>
      <w:r w:rsidR="008A6861" w:rsidRPr="00C14AA8">
        <w:t xml:space="preserve">The ministry’s </w:t>
      </w:r>
      <w:r w:rsidRPr="00C14AA8">
        <w:t xml:space="preserve">budget rose from </w:t>
      </w:r>
      <w:r w:rsidR="00C711FC" w:rsidRPr="00C14AA8">
        <w:t>US</w:t>
      </w:r>
      <w:r w:rsidR="008A6861" w:rsidRPr="00C14AA8">
        <w:t>D</w:t>
      </w:r>
      <w:r w:rsidRPr="00C14AA8">
        <w:t xml:space="preserve">49.9 million in 2012 to </w:t>
      </w:r>
      <w:r w:rsidR="00C711FC" w:rsidRPr="00C14AA8">
        <w:t>US</w:t>
      </w:r>
      <w:r w:rsidR="008A6861" w:rsidRPr="00C14AA8">
        <w:t>D</w:t>
      </w:r>
      <w:r w:rsidRPr="00C14AA8">
        <w:t>61.5 million in 2013</w:t>
      </w:r>
      <w:r w:rsidR="008A6861" w:rsidRPr="00C14AA8">
        <w:t>,</w:t>
      </w:r>
      <w:r w:rsidR="005515BC" w:rsidRPr="00C14AA8">
        <w:t xml:space="preserve"> representing an increase of 23 per cent in one year</w:t>
      </w:r>
      <w:r w:rsidRPr="00C14AA8">
        <w:t xml:space="preserve">. </w:t>
      </w:r>
      <w:r w:rsidR="008A6861" w:rsidRPr="00C14AA8">
        <w:t xml:space="preserve">The ministry </w:t>
      </w:r>
      <w:r w:rsidRPr="00C14AA8">
        <w:t xml:space="preserve">needs to use additional resources more effectively to ensure better health outcomes. </w:t>
      </w:r>
    </w:p>
    <w:p w14:paraId="35D4382A" w14:textId="1E30CBDE" w:rsidR="009C1914" w:rsidRPr="00C14AA8" w:rsidRDefault="00A5511B" w:rsidP="00C14AA8">
      <w:pPr>
        <w:pStyle w:val="BodyText"/>
      </w:pPr>
      <w:r w:rsidRPr="00C14AA8">
        <w:t xml:space="preserve">In addition to restructuring the </w:t>
      </w:r>
      <w:r w:rsidR="008A6861" w:rsidRPr="00C14AA8">
        <w:t>ministry</w:t>
      </w:r>
      <w:r w:rsidRPr="00C14AA8">
        <w:t xml:space="preserve">, the semi-autonomous drug procurement agency was disbanded in 2012. </w:t>
      </w:r>
      <w:r w:rsidR="009C1914" w:rsidRPr="00C14AA8">
        <w:t>Implications for procurement of medical supplies are adverse and far</w:t>
      </w:r>
      <w:r w:rsidR="008A6861" w:rsidRPr="00C14AA8">
        <w:t xml:space="preserve"> </w:t>
      </w:r>
      <w:r w:rsidR="009C1914" w:rsidRPr="00C14AA8">
        <w:t xml:space="preserve">reaching. The challenge is intensified by the return of 400 Cuban trained doctors to Timor-Leste in 2013 because this welcome boost to the health workforce also drives up demand for drugs and supplies. While costs of employing these doctors are covered by the </w:t>
      </w:r>
      <w:r w:rsidR="008A6861" w:rsidRPr="00C14AA8">
        <w:t xml:space="preserve">Ministry of Health’s </w:t>
      </w:r>
      <w:r w:rsidR="009C1914" w:rsidRPr="00C14AA8">
        <w:t>budget, plans to deploy, equip and manage them remain unclear.</w:t>
      </w:r>
    </w:p>
    <w:p w14:paraId="297B83F4" w14:textId="4344F1D4" w:rsidR="000D7CC9" w:rsidRPr="00C14AA8" w:rsidRDefault="008A6861" w:rsidP="00C14AA8">
      <w:pPr>
        <w:pStyle w:val="BodyText"/>
      </w:pPr>
      <w:r w:rsidRPr="00C14AA8">
        <w:t xml:space="preserve">Our </w:t>
      </w:r>
      <w:r w:rsidR="000D7CC9" w:rsidRPr="00C14AA8">
        <w:t xml:space="preserve">health portfolio </w:t>
      </w:r>
      <w:r w:rsidRPr="00C14AA8">
        <w:t xml:space="preserve">was consolidated during the year </w:t>
      </w:r>
      <w:r w:rsidR="000D7CC9" w:rsidRPr="00C14AA8">
        <w:t xml:space="preserve">to refocus on maternal and child health and to align with </w:t>
      </w:r>
      <w:r w:rsidRPr="00C14AA8">
        <w:t>Timor-Leste’s strategic development plan</w:t>
      </w:r>
      <w:r w:rsidR="000D7CC9" w:rsidRPr="00C14AA8">
        <w:t xml:space="preserve">. The Health Sector Strategic Plan Support Program was restructured to manage fewer activities more effectively, improving public financial management and human resources. </w:t>
      </w:r>
      <w:r w:rsidR="00FE05C0" w:rsidRPr="00C14AA8">
        <w:t xml:space="preserve">The </w:t>
      </w:r>
      <w:r w:rsidR="000D7CC9" w:rsidRPr="00C14AA8">
        <w:t xml:space="preserve">World Bank addressed weaknesses in project management while Australia increased its oversight of the program and took the lead in policy engagement. </w:t>
      </w:r>
      <w:r w:rsidR="00A5511B" w:rsidRPr="00C14AA8">
        <w:t xml:space="preserve">Although low capacity for implementation continues to hamper effectiveness, this program helped </w:t>
      </w:r>
      <w:r w:rsidRPr="00C14AA8">
        <w:t xml:space="preserve">the Ministry of Health </w:t>
      </w:r>
      <w:r w:rsidR="00A5511B" w:rsidRPr="00C14AA8">
        <w:t xml:space="preserve">to develop its 2012 and 2013 budgets and to prepare the first monitoring and evaluation framework for the sector. </w:t>
      </w:r>
      <w:r w:rsidR="001B2B71" w:rsidRPr="00C14AA8">
        <w:t>Through this program, our funding enabled 475 mobile clinics to provide prenatal care, malnutrition screening, health promotion on nutrition and breast feeding, hygiene education and basic curative services to more than 300</w:t>
      </w:r>
      <w:r w:rsidRPr="00C14AA8">
        <w:t xml:space="preserve"> </w:t>
      </w:r>
      <w:r w:rsidR="001B2B71" w:rsidRPr="00C14AA8">
        <w:t xml:space="preserve">000 people, most of who were mothers and children. </w:t>
      </w:r>
      <w:r w:rsidR="00881791" w:rsidRPr="00C14AA8">
        <w:t xml:space="preserve">The clinics </w:t>
      </w:r>
      <w:r w:rsidR="00D6225D" w:rsidRPr="00C14AA8">
        <w:t>go</w:t>
      </w:r>
      <w:r w:rsidR="00881791" w:rsidRPr="00C14AA8">
        <w:t xml:space="preserve"> to areas that are difficult to access </w:t>
      </w:r>
      <w:r w:rsidR="004A0547" w:rsidRPr="00C14AA8">
        <w:t xml:space="preserve">with </w:t>
      </w:r>
      <w:r w:rsidR="00713CC0" w:rsidRPr="00C14AA8">
        <w:t xml:space="preserve">much needed </w:t>
      </w:r>
      <w:r w:rsidR="00881791" w:rsidRPr="00C14AA8">
        <w:t>services</w:t>
      </w:r>
      <w:r w:rsidR="00713CC0" w:rsidRPr="00C14AA8">
        <w:t>.</w:t>
      </w:r>
    </w:p>
    <w:p w14:paraId="0281FDF6" w14:textId="1D5483B5" w:rsidR="000D7CC9" w:rsidRPr="00C14AA8" w:rsidRDefault="000D7CC9" w:rsidP="00C14AA8">
      <w:pPr>
        <w:pStyle w:val="BodyText"/>
      </w:pPr>
      <w:r w:rsidRPr="00C14AA8">
        <w:lastRenderedPageBreak/>
        <w:t>The Australia</w:t>
      </w:r>
      <w:r w:rsidR="008A6861" w:rsidRPr="00C14AA8">
        <w:t>–</w:t>
      </w:r>
      <w:r w:rsidRPr="00C14AA8">
        <w:t>Timor-Leste Program for Assistance Secondary Services entered a new phase</w:t>
      </w:r>
      <w:r w:rsidR="00AF1E57" w:rsidRPr="00C14AA8">
        <w:t xml:space="preserve"> during the year</w:t>
      </w:r>
      <w:r w:rsidRPr="00C14AA8">
        <w:t xml:space="preserve">, transitioning from direct service provision to developing the capacity of Timorese specialists to conduct priority secondary surgical services that mitigate trauma and disability. </w:t>
      </w:r>
      <w:r w:rsidR="00AF1E57" w:rsidRPr="00C14AA8">
        <w:t xml:space="preserve">The program </w:t>
      </w:r>
      <w:r w:rsidRPr="00C14AA8">
        <w:t>now includes obstetric and paediatric care, which are vital to maternal and neonatal survival. The program has enrolled 12 trainee doctors (</w:t>
      </w:r>
      <w:r w:rsidR="00AF1E57" w:rsidRPr="00C14AA8">
        <w:t xml:space="preserve">three </w:t>
      </w:r>
      <w:r w:rsidRPr="00C14AA8">
        <w:t xml:space="preserve">women) in post graduate surgical training, including obstetrics and anaesthetics, at the national university. </w:t>
      </w:r>
      <w:r w:rsidR="000F3A06" w:rsidRPr="00C14AA8">
        <w:t>T</w:t>
      </w:r>
      <w:r w:rsidRPr="00C14AA8">
        <w:t xml:space="preserve">he new phase of support was developed with </w:t>
      </w:r>
      <w:r w:rsidR="00AF1E57" w:rsidRPr="00C14AA8">
        <w:t xml:space="preserve">the Ministry of Health </w:t>
      </w:r>
      <w:r w:rsidR="00CB5EDF" w:rsidRPr="00C14AA8">
        <w:t>before</w:t>
      </w:r>
      <w:r w:rsidRPr="00C14AA8">
        <w:t xml:space="preserve"> the election</w:t>
      </w:r>
      <w:r w:rsidR="009376BD" w:rsidRPr="00C14AA8">
        <w:t xml:space="preserve"> and</w:t>
      </w:r>
      <w:r w:rsidRPr="00C14AA8">
        <w:t xml:space="preserve"> further work </w:t>
      </w:r>
      <w:r w:rsidR="009376BD" w:rsidRPr="00C14AA8">
        <w:t xml:space="preserve">is needed </w:t>
      </w:r>
      <w:r w:rsidRPr="00C14AA8">
        <w:t xml:space="preserve">to align the program with </w:t>
      </w:r>
      <w:r w:rsidR="00AF1E57" w:rsidRPr="00C14AA8">
        <w:t>the ministry’s long-</w:t>
      </w:r>
      <w:r w:rsidRPr="00C14AA8">
        <w:t>term resource plans.</w:t>
      </w:r>
    </w:p>
    <w:p w14:paraId="4FF8836F" w14:textId="345A219E" w:rsidR="001B2B71" w:rsidRPr="00C14AA8" w:rsidRDefault="001B2B71" w:rsidP="00C14AA8">
      <w:pPr>
        <w:pStyle w:val="BodyText"/>
      </w:pPr>
      <w:r w:rsidRPr="00C14AA8">
        <w:t xml:space="preserve">Australia’s Safe Motherhood Program </w:t>
      </w:r>
      <w:r w:rsidR="00A16D9E" w:rsidRPr="00C14AA8">
        <w:t>is helping</w:t>
      </w:r>
      <w:r w:rsidRPr="00C14AA8">
        <w:t xml:space="preserve"> communities better understand the benefits of reproductive, maternal and child health services for improving </w:t>
      </w:r>
      <w:r w:rsidR="00AF1E57" w:rsidRPr="00C14AA8">
        <w:t xml:space="preserve">the </w:t>
      </w:r>
      <w:r w:rsidRPr="00C14AA8">
        <w:t>health of mothers and babies</w:t>
      </w:r>
      <w:r w:rsidR="00AF1E57" w:rsidRPr="00C14AA8">
        <w:t xml:space="preserve">. It does this </w:t>
      </w:r>
      <w:r w:rsidRPr="00C14AA8">
        <w:t xml:space="preserve">by providing services at 459 </w:t>
      </w:r>
      <w:r w:rsidR="00E03BF9" w:rsidRPr="00C14AA8">
        <w:t>monthly health clinics</w:t>
      </w:r>
      <w:r w:rsidRPr="00C14AA8">
        <w:t>, 1115 health facilities and 349 outreach visits to under</w:t>
      </w:r>
      <w:r w:rsidR="003619F5" w:rsidRPr="00C14AA8">
        <w:t>-</w:t>
      </w:r>
      <w:r w:rsidRPr="00C14AA8">
        <w:t>served areas</w:t>
      </w:r>
      <w:r w:rsidR="003619F5" w:rsidRPr="00C14AA8">
        <w:t xml:space="preserve">. </w:t>
      </w:r>
      <w:r w:rsidRPr="00C14AA8">
        <w:t xml:space="preserve">This is vital because contraceptive </w:t>
      </w:r>
      <w:r w:rsidR="003619F5" w:rsidRPr="00C14AA8">
        <w:t>prevalence is only 21 per cent. O</w:t>
      </w:r>
      <w:r w:rsidRPr="00C14AA8">
        <w:t xml:space="preserve">ne-third of married women have </w:t>
      </w:r>
      <w:r w:rsidR="00AF1E57" w:rsidRPr="00C14AA8">
        <w:t xml:space="preserve">an unmet </w:t>
      </w:r>
      <w:r w:rsidRPr="00C14AA8">
        <w:t xml:space="preserve">need for family planning, and each woman has on average 5.7 children. </w:t>
      </w:r>
      <w:r w:rsidR="002D2C2F" w:rsidRPr="00C14AA8">
        <w:t>Australian support enabled 43</w:t>
      </w:r>
      <w:r w:rsidR="00AF1E57" w:rsidRPr="00C14AA8">
        <w:t xml:space="preserve"> </w:t>
      </w:r>
      <w:r w:rsidR="002D2C2F" w:rsidRPr="00C14AA8">
        <w:t>328 people to receive family planning counselling and services</w:t>
      </w:r>
      <w:r w:rsidR="00AF1E57" w:rsidRPr="00C14AA8">
        <w:t>,</w:t>
      </w:r>
      <w:r w:rsidR="002D2C2F" w:rsidRPr="00C14AA8">
        <w:t xml:space="preserve"> and 6151 callers (80 per cent of who were young men) </w:t>
      </w:r>
      <w:r w:rsidR="00AF1E57" w:rsidRPr="00C14AA8">
        <w:t xml:space="preserve">to access </w:t>
      </w:r>
      <w:r w:rsidR="002D2C2F" w:rsidRPr="00C14AA8">
        <w:t xml:space="preserve">a reproductive health information line between January and July 2012. </w:t>
      </w:r>
      <w:r w:rsidRPr="00C14AA8">
        <w:t xml:space="preserve">The coverage of services was less than expected in 2012 due to </w:t>
      </w:r>
      <w:r w:rsidR="009376BD" w:rsidRPr="00C14AA8">
        <w:t>delays caused</w:t>
      </w:r>
      <w:r w:rsidRPr="00C14AA8">
        <w:t xml:space="preserve"> by the national elections. </w:t>
      </w:r>
    </w:p>
    <w:p w14:paraId="0BD71498" w14:textId="3EEC9456" w:rsidR="00FA0E61" w:rsidRPr="00C14AA8" w:rsidRDefault="001B2B71" w:rsidP="00C14AA8">
      <w:pPr>
        <w:pStyle w:val="BodyText"/>
      </w:pPr>
      <w:r w:rsidRPr="00C14AA8">
        <w:t xml:space="preserve">Australia commissioned </w:t>
      </w:r>
      <w:r w:rsidR="00AF1E57" w:rsidRPr="00C14AA8">
        <w:t xml:space="preserve">an </w:t>
      </w:r>
      <w:r w:rsidRPr="00C14AA8">
        <w:t xml:space="preserve">analysis on health sector financing and human resources to inform our </w:t>
      </w:r>
      <w:r w:rsidR="00AF1E57" w:rsidRPr="00C14AA8">
        <w:t>health delivery strategy</w:t>
      </w:r>
      <w:r w:rsidRPr="00C14AA8">
        <w:t xml:space="preserve">. Policy dialogue on issues such as transport reform, and engaging </w:t>
      </w:r>
      <w:r w:rsidR="00746EB1" w:rsidRPr="00C14AA8">
        <w:t xml:space="preserve">the Ministry of Health </w:t>
      </w:r>
      <w:r w:rsidRPr="00C14AA8">
        <w:t xml:space="preserve">in joint design of a new program of Australian support were a priority. The new </w:t>
      </w:r>
      <w:r w:rsidR="009376BD" w:rsidRPr="00C14AA8">
        <w:t xml:space="preserve">joint </w:t>
      </w:r>
      <w:r w:rsidRPr="00C14AA8">
        <w:t>health concept note will guide the design phase in 2013</w:t>
      </w:r>
      <w:r w:rsidR="00746EB1" w:rsidRPr="00C14AA8">
        <w:t>–</w:t>
      </w:r>
      <w:r w:rsidRPr="00C14AA8">
        <w:t xml:space="preserve">14. A priority of the design will be working with partners </w:t>
      </w:r>
      <w:r w:rsidR="0069653D" w:rsidRPr="00C14AA8">
        <w:t>to improve</w:t>
      </w:r>
      <w:r w:rsidRPr="00C14AA8">
        <w:t xml:space="preserve"> </w:t>
      </w:r>
      <w:r w:rsidR="002E0247" w:rsidRPr="00C14AA8">
        <w:t>monitoring</w:t>
      </w:r>
      <w:r w:rsidRPr="00C14AA8">
        <w:t xml:space="preserve"> of existing programs to better capture how services are translating to </w:t>
      </w:r>
      <w:r w:rsidR="002E0247" w:rsidRPr="00C14AA8">
        <w:t>changes in behaviour</w:t>
      </w:r>
      <w:r w:rsidRPr="00C14AA8">
        <w:t xml:space="preserve">. Specific barriers to accessing health services by people with disability to enable their active participation in society will be considered in the new health program design through a joint </w:t>
      </w:r>
      <w:r w:rsidR="00262DC3" w:rsidRPr="00C14AA8">
        <w:t>d</w:t>
      </w:r>
      <w:r w:rsidRPr="00C14AA8">
        <w:t>isab</w:t>
      </w:r>
      <w:r w:rsidR="00746EB1" w:rsidRPr="00C14AA8">
        <w:t xml:space="preserve">ility </w:t>
      </w:r>
      <w:r w:rsidR="00262DC3" w:rsidRPr="00C14AA8">
        <w:t>o</w:t>
      </w:r>
      <w:r w:rsidRPr="00C14AA8">
        <w:t xml:space="preserve">rganisation, </w:t>
      </w:r>
      <w:r w:rsidR="00746EB1" w:rsidRPr="00C14AA8">
        <w:t xml:space="preserve">Ministry of Health </w:t>
      </w:r>
      <w:r w:rsidRPr="00C14AA8">
        <w:t xml:space="preserve">and </w:t>
      </w:r>
      <w:r w:rsidR="00095A2B">
        <w:t>DFAT</w:t>
      </w:r>
      <w:r w:rsidR="00095A2B" w:rsidRPr="00C14AA8">
        <w:t xml:space="preserve"> </w:t>
      </w:r>
      <w:r w:rsidRPr="00C14AA8">
        <w:t xml:space="preserve">situational analysis. </w:t>
      </w:r>
    </w:p>
    <w:p w14:paraId="553DB879" w14:textId="77777777" w:rsidR="00C07C4C" w:rsidRPr="00C14AA8" w:rsidRDefault="00C07C4C" w:rsidP="00C14AA8">
      <w:pPr>
        <w:pStyle w:val="Heading2"/>
      </w:pPr>
      <w:r w:rsidRPr="00C14AA8">
        <w:t>Objective 6</w:t>
      </w:r>
    </w:p>
    <w:tbl>
      <w:tblPr>
        <w:tblStyle w:val="APPR"/>
        <w:tblW w:w="5000" w:type="pct"/>
        <w:tblLook w:val="0000" w:firstRow="0" w:lastRow="0" w:firstColumn="0" w:lastColumn="0" w:noHBand="0" w:noVBand="0"/>
      </w:tblPr>
      <w:tblGrid>
        <w:gridCol w:w="6329"/>
        <w:gridCol w:w="1105"/>
        <w:gridCol w:w="1173"/>
      </w:tblGrid>
      <w:tr w:rsidR="00C14AA8" w:rsidRPr="00AA729B" w14:paraId="7564868E" w14:textId="77777777" w:rsidTr="001E3DDE">
        <w:trPr>
          <w:cnfStyle w:val="000000010000" w:firstRow="0" w:lastRow="0" w:firstColumn="0" w:lastColumn="0" w:oddVBand="0" w:evenVBand="0" w:oddHBand="0" w:evenHBand="1" w:firstRowFirstColumn="0" w:firstRowLastColumn="0" w:lastRowFirstColumn="0" w:lastRowLastColumn="0"/>
        </w:trPr>
        <w:tc>
          <w:tcPr>
            <w:tcW w:w="5694" w:type="dxa"/>
          </w:tcPr>
          <w:p w14:paraId="3BDAEF12" w14:textId="77777777" w:rsidR="00C14AA8" w:rsidRPr="00991FE6" w:rsidRDefault="00C14AA8" w:rsidP="00C14AA8">
            <w:pPr>
              <w:pStyle w:val="TableHeading1"/>
            </w:pPr>
            <w:r w:rsidRPr="00991FE6">
              <w:rPr>
                <w:noProof/>
                <w:lang w:eastAsia="en-AU"/>
              </w:rPr>
              <w:drawing>
                <wp:anchor distT="0" distB="0" distL="114300" distR="114300" simplePos="0" relativeHeight="251693056" behindDoc="0" locked="0" layoutInCell="1" allowOverlap="1" wp14:anchorId="4A92DC45" wp14:editId="7F1919AE">
                  <wp:simplePos x="0" y="0"/>
                  <wp:positionH relativeFrom="column">
                    <wp:posOffset>0</wp:posOffset>
                  </wp:positionH>
                  <wp:positionV relativeFrom="paragraph">
                    <wp:posOffset>0</wp:posOffset>
                  </wp:positionV>
                  <wp:extent cx="1857375" cy="228600"/>
                  <wp:effectExtent l="0" t="0" r="9525" b="0"/>
                  <wp:wrapNone/>
                  <wp:docPr id="30" name="Picture 3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FE6">
              <w:t>Objective</w:t>
            </w:r>
          </w:p>
        </w:tc>
        <w:tc>
          <w:tcPr>
            <w:tcW w:w="975" w:type="dxa"/>
          </w:tcPr>
          <w:p w14:paraId="59125BB5" w14:textId="0D571683" w:rsidR="00C14AA8" w:rsidRPr="00991FE6" w:rsidRDefault="00C14AA8" w:rsidP="00C14AA8">
            <w:pPr>
              <w:pStyle w:val="TableHeading1"/>
            </w:pPr>
            <w:r w:rsidRPr="00991FE6">
              <w:t xml:space="preserve">Current </w:t>
            </w:r>
            <w:r>
              <w:t>r</w:t>
            </w:r>
            <w:r w:rsidRPr="00991FE6">
              <w:t>ating</w:t>
            </w:r>
          </w:p>
        </w:tc>
        <w:tc>
          <w:tcPr>
            <w:tcW w:w="1024" w:type="dxa"/>
          </w:tcPr>
          <w:p w14:paraId="4890C864" w14:textId="610763FF" w:rsidR="00C14AA8" w:rsidRPr="00991FE6" w:rsidRDefault="00C14AA8" w:rsidP="00C14AA8">
            <w:pPr>
              <w:pStyle w:val="TableHeading1"/>
            </w:pPr>
            <w:r w:rsidRPr="00991FE6">
              <w:t xml:space="preserve">Previous </w:t>
            </w:r>
            <w:r>
              <w:t>r</w:t>
            </w:r>
            <w:r w:rsidRPr="00991FE6">
              <w:t>ating</w:t>
            </w:r>
          </w:p>
        </w:tc>
      </w:tr>
      <w:tr w:rsidR="00C14AA8" w:rsidRPr="001159CC" w14:paraId="379C3CBE" w14:textId="77777777" w:rsidTr="001E3DDE">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5694" w:type="dxa"/>
            <w:tcBorders>
              <w:left w:val="nil"/>
              <w:right w:val="nil"/>
            </w:tcBorders>
          </w:tcPr>
          <w:p w14:paraId="2C8AFACF" w14:textId="7394279E" w:rsidR="00C14AA8" w:rsidRPr="00C14AA8" w:rsidRDefault="00C14AA8" w:rsidP="00C14AA8">
            <w:pPr>
              <w:pStyle w:val="TableTextEntries"/>
              <w:rPr>
                <w:b w:val="0"/>
              </w:rPr>
            </w:pPr>
            <w:r w:rsidRPr="00C14AA8">
              <w:rPr>
                <w:b w:val="0"/>
              </w:rPr>
              <w:t>Objective 6: Police service effective and accountable in supporting rule of law</w:t>
            </w:r>
          </w:p>
        </w:tc>
        <w:tc>
          <w:tcPr>
            <w:tcW w:w="975" w:type="dxa"/>
            <w:tcBorders>
              <w:left w:val="nil"/>
              <w:right w:val="nil"/>
            </w:tcBorders>
            <w:shd w:val="clear" w:color="auto" w:fill="92D050"/>
            <w:noWrap/>
          </w:tcPr>
          <w:p w14:paraId="6AC4AF8A" w14:textId="77777777" w:rsidR="00C14AA8" w:rsidRPr="00C14AA8" w:rsidRDefault="00C14AA8" w:rsidP="00C14AA8">
            <w:pPr>
              <w:pStyle w:val="TableTextEntries"/>
              <w:rPr>
                <w:rFonts w:eastAsia="SimSun"/>
                <w:b w:val="0"/>
              </w:rPr>
            </w:pPr>
            <w:r w:rsidRPr="00C14AA8">
              <w:rPr>
                <w:rFonts w:eastAsia="SimSun"/>
                <w:b w:val="0"/>
              </w:rPr>
              <w:t>Green</w:t>
            </w:r>
          </w:p>
        </w:tc>
        <w:tc>
          <w:tcPr>
            <w:tcW w:w="1024" w:type="dxa"/>
            <w:tcBorders>
              <w:left w:val="nil"/>
              <w:right w:val="nil"/>
            </w:tcBorders>
            <w:shd w:val="clear" w:color="auto" w:fill="92D050"/>
            <w:noWrap/>
          </w:tcPr>
          <w:p w14:paraId="0BEDA9EA" w14:textId="77777777" w:rsidR="00C14AA8" w:rsidRPr="00C14AA8" w:rsidRDefault="00C14AA8" w:rsidP="00C14AA8">
            <w:pPr>
              <w:pStyle w:val="TableTextEntries"/>
              <w:rPr>
                <w:rFonts w:eastAsia="SimSun"/>
                <w:b w:val="0"/>
              </w:rPr>
            </w:pPr>
            <w:r w:rsidRPr="00C14AA8">
              <w:rPr>
                <w:rFonts w:eastAsia="SimSun"/>
                <w:b w:val="0"/>
              </w:rPr>
              <w:t>Green</w:t>
            </w:r>
          </w:p>
        </w:tc>
      </w:tr>
    </w:tbl>
    <w:p w14:paraId="7FD30A7A" w14:textId="77777777" w:rsidR="00312F79" w:rsidRPr="001159CC" w:rsidRDefault="00312F79" w:rsidP="00FA391E">
      <w:pPr>
        <w:rPr>
          <w:rFonts w:asciiTheme="minorHAnsi" w:hAnsiTheme="minorHAnsi" w:cstheme="minorHAnsi"/>
          <w:i/>
          <w:sz w:val="22"/>
          <w:szCs w:val="22"/>
        </w:rPr>
      </w:pPr>
    </w:p>
    <w:p w14:paraId="5E45F922" w14:textId="6A402A02" w:rsidR="00550526" w:rsidRPr="00C14AA8" w:rsidRDefault="00D66CDC" w:rsidP="00C14AA8">
      <w:pPr>
        <w:pStyle w:val="BodyText"/>
        <w:rPr>
          <w:i/>
        </w:rPr>
      </w:pPr>
      <w:r w:rsidRPr="00C14AA8">
        <w:rPr>
          <w:i/>
        </w:rPr>
        <w:t xml:space="preserve">This </w:t>
      </w:r>
      <w:r w:rsidR="00550526" w:rsidRPr="00C14AA8">
        <w:rPr>
          <w:i/>
        </w:rPr>
        <w:t xml:space="preserve">rating reflects the solid progress </w:t>
      </w:r>
      <w:proofErr w:type="spellStart"/>
      <w:r w:rsidR="00550526" w:rsidRPr="00C14AA8">
        <w:rPr>
          <w:i/>
        </w:rPr>
        <w:t>Policia</w:t>
      </w:r>
      <w:proofErr w:type="spellEnd"/>
      <w:r w:rsidR="00550526" w:rsidRPr="00C14AA8">
        <w:rPr>
          <w:i/>
        </w:rPr>
        <w:t xml:space="preserve"> </w:t>
      </w:r>
      <w:proofErr w:type="spellStart"/>
      <w:r w:rsidR="00550526" w:rsidRPr="00C14AA8">
        <w:rPr>
          <w:i/>
        </w:rPr>
        <w:t>Nacional</w:t>
      </w:r>
      <w:proofErr w:type="spellEnd"/>
      <w:r w:rsidR="00550526" w:rsidRPr="00C14AA8">
        <w:rPr>
          <w:i/>
        </w:rPr>
        <w:t xml:space="preserve"> de Timor-Leste </w:t>
      </w:r>
      <w:r w:rsidRPr="00C14AA8">
        <w:rPr>
          <w:i/>
        </w:rPr>
        <w:t xml:space="preserve">has </w:t>
      </w:r>
      <w:r w:rsidR="00550526" w:rsidRPr="00C14AA8">
        <w:rPr>
          <w:i/>
        </w:rPr>
        <w:t>made in 2012</w:t>
      </w:r>
      <w:r w:rsidR="006814C7" w:rsidRPr="00C14AA8">
        <w:rPr>
          <w:i/>
        </w:rPr>
        <w:t>–</w:t>
      </w:r>
      <w:r w:rsidR="00550526" w:rsidRPr="00C14AA8">
        <w:rPr>
          <w:i/>
        </w:rPr>
        <w:t xml:space="preserve">13 in developing </w:t>
      </w:r>
      <w:r w:rsidR="006814C7" w:rsidRPr="00C14AA8">
        <w:rPr>
          <w:i/>
        </w:rPr>
        <w:t xml:space="preserve">its </w:t>
      </w:r>
      <w:r w:rsidR="00550526" w:rsidRPr="00C14AA8">
        <w:rPr>
          <w:i/>
        </w:rPr>
        <w:t xml:space="preserve">skills and implementing </w:t>
      </w:r>
      <w:r w:rsidR="006814C7" w:rsidRPr="00C14AA8">
        <w:rPr>
          <w:i/>
        </w:rPr>
        <w:t xml:space="preserve">its </w:t>
      </w:r>
      <w:r w:rsidR="00550526" w:rsidRPr="00C14AA8">
        <w:rPr>
          <w:i/>
        </w:rPr>
        <w:t xml:space="preserve">knowledge in the workplace. However, supporting ongoing development through training is a </w:t>
      </w:r>
      <w:r w:rsidR="006814C7" w:rsidRPr="00C14AA8">
        <w:rPr>
          <w:i/>
        </w:rPr>
        <w:t>long-</w:t>
      </w:r>
      <w:r w:rsidR="00550526" w:rsidRPr="00C14AA8">
        <w:rPr>
          <w:i/>
        </w:rPr>
        <w:t xml:space="preserve">term process. </w:t>
      </w:r>
      <w:r w:rsidR="001B3631" w:rsidRPr="00C14AA8">
        <w:rPr>
          <w:i/>
        </w:rPr>
        <w:t>C</w:t>
      </w:r>
      <w:r w:rsidR="00550526" w:rsidRPr="00C14AA8">
        <w:rPr>
          <w:i/>
        </w:rPr>
        <w:t xml:space="preserve">onstraints need to be addressed in 2013 to ensure </w:t>
      </w:r>
      <w:r w:rsidR="00354A2E" w:rsidRPr="00C14AA8">
        <w:rPr>
          <w:i/>
        </w:rPr>
        <w:t xml:space="preserve">the police </w:t>
      </w:r>
      <w:r w:rsidR="001B3631" w:rsidRPr="00C14AA8">
        <w:rPr>
          <w:i/>
        </w:rPr>
        <w:t>can</w:t>
      </w:r>
      <w:r w:rsidR="00160303" w:rsidRPr="00C14AA8">
        <w:rPr>
          <w:i/>
        </w:rPr>
        <w:t xml:space="preserve"> </w:t>
      </w:r>
      <w:r w:rsidR="001B3631" w:rsidRPr="00C14AA8">
        <w:rPr>
          <w:i/>
        </w:rPr>
        <w:t>provide</w:t>
      </w:r>
      <w:r w:rsidR="00550526" w:rsidRPr="00C14AA8">
        <w:rPr>
          <w:i/>
        </w:rPr>
        <w:t xml:space="preserve"> effective operational capacity across key policing functions.</w:t>
      </w:r>
    </w:p>
    <w:p w14:paraId="3D736F49" w14:textId="4A82596A" w:rsidR="00550526" w:rsidRPr="00C14AA8" w:rsidRDefault="00550526" w:rsidP="00C14AA8">
      <w:pPr>
        <w:pStyle w:val="BodyText"/>
      </w:pPr>
      <w:r w:rsidRPr="00C14AA8">
        <w:t xml:space="preserve">Australia’s contribution to the security shared goal is through ‘Police </w:t>
      </w:r>
      <w:r w:rsidR="00B515AF" w:rsidRPr="00C14AA8">
        <w:t xml:space="preserve">service </w:t>
      </w:r>
      <w:r w:rsidRPr="00C14AA8">
        <w:t>is effective and accountable in supporting rule of law’</w:t>
      </w:r>
      <w:r w:rsidR="006814C7" w:rsidRPr="00C14AA8">
        <w:t>, which is</w:t>
      </w:r>
      <w:r w:rsidRPr="00C14AA8">
        <w:t xml:space="preserve"> delivered through the A</w:t>
      </w:r>
      <w:r w:rsidR="006814C7" w:rsidRPr="00C14AA8">
        <w:t xml:space="preserve">ustralian </w:t>
      </w:r>
      <w:r w:rsidRPr="00C14AA8">
        <w:t>F</w:t>
      </w:r>
      <w:r w:rsidR="006814C7" w:rsidRPr="00C14AA8">
        <w:t xml:space="preserve">ederal </w:t>
      </w:r>
      <w:r w:rsidRPr="00C14AA8">
        <w:t>P</w:t>
      </w:r>
      <w:r w:rsidR="006814C7" w:rsidRPr="00C14AA8">
        <w:t>olice</w:t>
      </w:r>
      <w:r w:rsidRPr="00C14AA8">
        <w:t>-implemented Timor-Leste Police Development Program (AFP-TLPDP) and justice activities addressing violence against women. AFP-TLPDP supports the development of Timor-Leste’s police force</w:t>
      </w:r>
      <w:r w:rsidR="00354A2E" w:rsidRPr="00C14AA8">
        <w:t>,</w:t>
      </w:r>
      <w:r w:rsidRPr="00C14AA8">
        <w:t xml:space="preserve"> </w:t>
      </w:r>
      <w:proofErr w:type="spellStart"/>
      <w:r w:rsidRPr="00C14AA8">
        <w:t>Policia</w:t>
      </w:r>
      <w:proofErr w:type="spellEnd"/>
      <w:r w:rsidRPr="00C14AA8">
        <w:t xml:space="preserve"> </w:t>
      </w:r>
      <w:proofErr w:type="spellStart"/>
      <w:r w:rsidRPr="00C14AA8">
        <w:t>Nacional</w:t>
      </w:r>
      <w:proofErr w:type="spellEnd"/>
      <w:r w:rsidRPr="00C14AA8">
        <w:t xml:space="preserve"> de Timor-Leste </w:t>
      </w:r>
      <w:r w:rsidR="00354A2E" w:rsidRPr="00C14AA8">
        <w:t>(</w:t>
      </w:r>
      <w:r w:rsidRPr="00C14AA8">
        <w:t>PNTL) and assists the Office of the Secretary of State</w:t>
      </w:r>
      <w:r w:rsidR="001560A3" w:rsidRPr="00C14AA8">
        <w:t xml:space="preserve"> </w:t>
      </w:r>
      <w:r w:rsidRPr="00C14AA8">
        <w:t>Security and the Office of the Prosecutor-General.</w:t>
      </w:r>
    </w:p>
    <w:p w14:paraId="37E52455" w14:textId="7616D464" w:rsidR="00354A2E" w:rsidRPr="00C14AA8" w:rsidRDefault="00550526" w:rsidP="00C14AA8">
      <w:pPr>
        <w:pStyle w:val="BodyText"/>
      </w:pPr>
      <w:r w:rsidRPr="00C14AA8">
        <w:t>In 2012</w:t>
      </w:r>
      <w:r w:rsidR="001560A3" w:rsidRPr="00C14AA8">
        <w:t>–</w:t>
      </w:r>
      <w:r w:rsidRPr="00C14AA8">
        <w:t xml:space="preserve">13 adequate progress was made by the </w:t>
      </w:r>
      <w:r w:rsidR="001560A3" w:rsidRPr="00C14AA8">
        <w:t>Timor-Leste Government</w:t>
      </w:r>
      <w:r w:rsidRPr="00C14AA8">
        <w:t>, PNTL and the A</w:t>
      </w:r>
      <w:r w:rsidR="001560A3" w:rsidRPr="00C14AA8">
        <w:t xml:space="preserve">ustralian </w:t>
      </w:r>
      <w:r w:rsidRPr="00C14AA8">
        <w:t>F</w:t>
      </w:r>
      <w:r w:rsidR="001560A3" w:rsidRPr="00C14AA8">
        <w:t xml:space="preserve">ederal </w:t>
      </w:r>
      <w:r w:rsidRPr="00C14AA8">
        <w:t>P</w:t>
      </w:r>
      <w:r w:rsidR="001560A3" w:rsidRPr="00C14AA8">
        <w:t xml:space="preserve">olice </w:t>
      </w:r>
      <w:r w:rsidRPr="00C14AA8">
        <w:t>towards creating an ‘effective and accountable police service’. AFP-TLPDP is focusing on seven priority outcomes for the 2010</w:t>
      </w:r>
      <w:r w:rsidR="001560A3" w:rsidRPr="00C14AA8">
        <w:t>–</w:t>
      </w:r>
      <w:r w:rsidRPr="00C14AA8">
        <w:t xml:space="preserve">2014 </w:t>
      </w:r>
      <w:proofErr w:type="gramStart"/>
      <w:r w:rsidRPr="00C14AA8">
        <w:t>program</w:t>
      </w:r>
      <w:proofErr w:type="gramEnd"/>
      <w:r w:rsidRPr="00C14AA8">
        <w:t xml:space="preserve"> that align to the </w:t>
      </w:r>
      <w:r w:rsidR="001560A3" w:rsidRPr="00C14AA8">
        <w:t>strategic development plan</w:t>
      </w:r>
      <w:r w:rsidRPr="00C14AA8">
        <w:t xml:space="preserve">: </w:t>
      </w:r>
    </w:p>
    <w:p w14:paraId="5BED39CF" w14:textId="223DE01F" w:rsidR="00354A2E" w:rsidRDefault="001560A3" w:rsidP="00C14AA8">
      <w:pPr>
        <w:pStyle w:val="ListBullet"/>
      </w:pPr>
      <w:r>
        <w:t>a</w:t>
      </w:r>
      <w:r w:rsidRPr="00B50AE3">
        <w:t xml:space="preserve"> police training centre</w:t>
      </w:r>
      <w:r w:rsidR="00550526" w:rsidRPr="00B50AE3">
        <w:t xml:space="preserve"> </w:t>
      </w:r>
    </w:p>
    <w:p w14:paraId="3403CA0A" w14:textId="3ACBBFA2" w:rsidR="00354A2E" w:rsidRDefault="00550526" w:rsidP="00C14AA8">
      <w:pPr>
        <w:pStyle w:val="ListBullet"/>
      </w:pPr>
      <w:r w:rsidRPr="00B50AE3">
        <w:lastRenderedPageBreak/>
        <w:t xml:space="preserve">PNTL supervision and management </w:t>
      </w:r>
    </w:p>
    <w:p w14:paraId="779CF34F" w14:textId="27E791F3" w:rsidR="00354A2E" w:rsidRDefault="00550526" w:rsidP="00C14AA8">
      <w:pPr>
        <w:pStyle w:val="ListBullet"/>
      </w:pPr>
      <w:r w:rsidRPr="00B50AE3">
        <w:t xml:space="preserve">PNTL </w:t>
      </w:r>
      <w:r w:rsidR="001560A3">
        <w:t>g</w:t>
      </w:r>
      <w:r w:rsidR="001560A3" w:rsidRPr="00B50AE3">
        <w:t>overnance</w:t>
      </w:r>
      <w:r w:rsidRPr="00B50AE3">
        <w:t xml:space="preserve"> </w:t>
      </w:r>
    </w:p>
    <w:p w14:paraId="5227BBC5" w14:textId="161136E1" w:rsidR="00354A2E" w:rsidRDefault="00550526" w:rsidP="00C14AA8">
      <w:pPr>
        <w:pStyle w:val="ListBullet"/>
      </w:pPr>
      <w:r w:rsidRPr="00B50AE3">
        <w:t xml:space="preserve">PNTL </w:t>
      </w:r>
      <w:r w:rsidR="001560A3">
        <w:t>i</w:t>
      </w:r>
      <w:r w:rsidR="001560A3" w:rsidRPr="00A94B49">
        <w:t xml:space="preserve">nvestigations </w:t>
      </w:r>
      <w:r w:rsidRPr="00A94B49">
        <w:t xml:space="preserve">capability </w:t>
      </w:r>
    </w:p>
    <w:p w14:paraId="7CCC9567" w14:textId="3251E7DA" w:rsidR="00354A2E" w:rsidRDefault="00550526" w:rsidP="00C14AA8">
      <w:pPr>
        <w:pStyle w:val="ListBullet"/>
      </w:pPr>
      <w:r w:rsidRPr="00A94B49">
        <w:t xml:space="preserve">improved PNTL operational capacity </w:t>
      </w:r>
    </w:p>
    <w:p w14:paraId="13F5D40A" w14:textId="258DC0AA" w:rsidR="00354A2E" w:rsidRDefault="00550526" w:rsidP="00C14AA8">
      <w:pPr>
        <w:pStyle w:val="ListBullet"/>
      </w:pPr>
      <w:r w:rsidRPr="00A94B49">
        <w:t xml:space="preserve">gender equality </w:t>
      </w:r>
    </w:p>
    <w:p w14:paraId="10810682" w14:textId="58D42F2A" w:rsidR="00550526" w:rsidRPr="00A94B49" w:rsidRDefault="00550526" w:rsidP="00C14AA8">
      <w:pPr>
        <w:pStyle w:val="ListBullet"/>
      </w:pPr>
      <w:proofErr w:type="gramStart"/>
      <w:r w:rsidRPr="00A94B49">
        <w:t>provision</w:t>
      </w:r>
      <w:proofErr w:type="gramEnd"/>
      <w:r w:rsidRPr="00A94B49">
        <w:t xml:space="preserve"> of sufficient and appropriate training, systems development, infrastructure and enabling tools to support capacity development of the PNTL. </w:t>
      </w:r>
    </w:p>
    <w:p w14:paraId="40E36B8A" w14:textId="1BABDFCD" w:rsidR="00550526" w:rsidRPr="00B50AE3" w:rsidRDefault="00550526" w:rsidP="00C14AA8">
      <w:pPr>
        <w:pStyle w:val="BodyText"/>
      </w:pPr>
      <w:r w:rsidRPr="00395C48">
        <w:t>The smooth transition following the withdrawal of the United Nations Integrated Mission in East Timor in December 2012 and full resumption of responsibilities by PNTL was supported by the AFP-TLPDP</w:t>
      </w:r>
      <w:r w:rsidR="008B634B">
        <w:t xml:space="preserve">, which </w:t>
      </w:r>
      <w:r w:rsidRPr="00A94B49">
        <w:t xml:space="preserve">worked with </w:t>
      </w:r>
      <w:r w:rsidR="008B634B">
        <w:t>United Nations Police</w:t>
      </w:r>
      <w:r w:rsidR="008B634B" w:rsidRPr="00B50AE3">
        <w:t xml:space="preserve"> </w:t>
      </w:r>
      <w:r w:rsidRPr="00B50AE3">
        <w:t xml:space="preserve">and the PNTL to identify capacity constraints and provide support where needed. </w:t>
      </w:r>
      <w:r w:rsidR="00A5511B" w:rsidRPr="00B50AE3">
        <w:t xml:space="preserve">AFP-TLPDP activities strengthened PNTL governance and the PNTL </w:t>
      </w:r>
      <w:proofErr w:type="spellStart"/>
      <w:r w:rsidR="00A5511B" w:rsidRPr="00B50AE3">
        <w:t>Comandante-Geral</w:t>
      </w:r>
      <w:proofErr w:type="spellEnd"/>
      <w:r w:rsidR="00A5511B" w:rsidRPr="00B50AE3">
        <w:t xml:space="preserve"> in 2013 is working closely with AFP-TLPDP </w:t>
      </w:r>
      <w:r w:rsidR="00A5511B">
        <w:t>to address</w:t>
      </w:r>
      <w:r w:rsidR="00A5511B" w:rsidRPr="00B50AE3">
        <w:t xml:space="preserve"> gaps in PNTL capacity.</w:t>
      </w:r>
    </w:p>
    <w:p w14:paraId="6FA15D74" w14:textId="3B42DDB3" w:rsidR="00550526" w:rsidRPr="00B50AE3" w:rsidRDefault="008B634B" w:rsidP="00C14AA8">
      <w:pPr>
        <w:pStyle w:val="BodyText"/>
      </w:pPr>
      <w:r>
        <w:t>A</w:t>
      </w:r>
      <w:r w:rsidRPr="00B50AE3">
        <w:t xml:space="preserve"> priority </w:t>
      </w:r>
      <w:r>
        <w:t xml:space="preserve">for the </w:t>
      </w:r>
      <w:r w:rsidRPr="008B634B">
        <w:t>Timor-Leste Government</w:t>
      </w:r>
      <w:r>
        <w:t xml:space="preserve"> in 2012 was c</w:t>
      </w:r>
      <w:r w:rsidR="00A5511B" w:rsidRPr="00B50AE3">
        <w:t>areer progression and promotions,</w:t>
      </w:r>
      <w:r>
        <w:t xml:space="preserve"> which was</w:t>
      </w:r>
      <w:r w:rsidR="00A5511B" w:rsidRPr="00B50AE3">
        <w:t xml:space="preserve"> supported by AFP-TLPDP</w:t>
      </w:r>
      <w:r w:rsidR="00A5511B">
        <w:t xml:space="preserve">. </w:t>
      </w:r>
      <w:r w:rsidR="001B3631">
        <w:t>T</w:t>
      </w:r>
      <w:r w:rsidR="00550526" w:rsidRPr="00B50AE3">
        <w:t xml:space="preserve">he Exceptional Promotions Decree Law (22/2012) </w:t>
      </w:r>
      <w:r w:rsidR="001B3631">
        <w:t xml:space="preserve">was </w:t>
      </w:r>
      <w:r w:rsidR="00550526" w:rsidRPr="00B50AE3">
        <w:t>passed allowing for 1360 PNTL officers</w:t>
      </w:r>
      <w:r w:rsidRPr="008B634B">
        <w:t xml:space="preserve"> </w:t>
      </w:r>
      <w:r>
        <w:t>to be</w:t>
      </w:r>
      <w:r w:rsidRPr="00B50AE3">
        <w:t xml:space="preserve"> promot</w:t>
      </w:r>
      <w:r>
        <w:t>ed</w:t>
      </w:r>
      <w:r w:rsidR="00550526" w:rsidRPr="00B50AE3">
        <w:t>. This was conducted independent</w:t>
      </w:r>
      <w:r w:rsidR="00354A2E">
        <w:t>ly</w:t>
      </w:r>
      <w:r w:rsidR="00550526" w:rsidRPr="00B50AE3">
        <w:t xml:space="preserve"> </w:t>
      </w:r>
      <w:r w:rsidR="001B3631">
        <w:t>to ensure</w:t>
      </w:r>
      <w:r w:rsidR="001B3631" w:rsidRPr="00B50AE3">
        <w:t xml:space="preserve"> </w:t>
      </w:r>
      <w:r w:rsidR="00550526" w:rsidRPr="00B50AE3">
        <w:t>accountability</w:t>
      </w:r>
      <w:r w:rsidR="00354A2E">
        <w:t xml:space="preserve"> and</w:t>
      </w:r>
      <w:r w:rsidR="00550526" w:rsidRPr="00B50AE3">
        <w:t xml:space="preserve"> a merit based approach</w:t>
      </w:r>
      <w:r>
        <w:t>.</w:t>
      </w:r>
      <w:r w:rsidR="00550526" w:rsidRPr="00B50AE3">
        <w:t xml:space="preserve"> In February 2013, 249 PNTL probationary officers graduated and were transferred to their assigned operational areas throughout Timor-Leste.</w:t>
      </w:r>
    </w:p>
    <w:p w14:paraId="1C8B208E" w14:textId="2F443210" w:rsidR="00550526" w:rsidRPr="00B50AE3" w:rsidRDefault="00550526" w:rsidP="00C14AA8">
      <w:pPr>
        <w:pStyle w:val="BodyText"/>
      </w:pPr>
      <w:r w:rsidRPr="00395C48">
        <w:t>Australia supported change leading to a more effective and accountable PNTL by training and mentoring 934 police and other law and order officials</w:t>
      </w:r>
      <w:r w:rsidRPr="00B50AE3">
        <w:t xml:space="preserve"> </w:t>
      </w:r>
      <w:r w:rsidR="00B50AE3" w:rsidRPr="00B50AE3">
        <w:t>during the reporting period</w:t>
      </w:r>
      <w:r w:rsidR="008B634B">
        <w:t>:</w:t>
      </w:r>
      <w:r w:rsidR="00F07004">
        <w:t xml:space="preserve"> </w:t>
      </w:r>
    </w:p>
    <w:p w14:paraId="206CB357" w14:textId="50296C57" w:rsidR="00550526" w:rsidRPr="00C34E6A" w:rsidRDefault="008B634B" w:rsidP="00C14AA8">
      <w:pPr>
        <w:pStyle w:val="BodyText"/>
        <w:rPr>
          <w:szCs w:val="22"/>
        </w:rPr>
      </w:pPr>
      <w:r w:rsidRPr="00395C48">
        <w:rPr>
          <w:szCs w:val="22"/>
        </w:rPr>
        <w:t xml:space="preserve">Since </w:t>
      </w:r>
      <w:r w:rsidR="00550526" w:rsidRPr="00395C48">
        <w:rPr>
          <w:szCs w:val="22"/>
        </w:rPr>
        <w:t>2011, 74</w:t>
      </w:r>
      <w:r w:rsidR="00933410" w:rsidRPr="00395C48">
        <w:rPr>
          <w:szCs w:val="22"/>
        </w:rPr>
        <w:t xml:space="preserve"> per cent</w:t>
      </w:r>
      <w:r w:rsidR="00550526" w:rsidRPr="00395C48">
        <w:rPr>
          <w:szCs w:val="22"/>
        </w:rPr>
        <w:t xml:space="preserve"> of the </w:t>
      </w:r>
      <w:r w:rsidRPr="00395C48">
        <w:rPr>
          <w:szCs w:val="22"/>
        </w:rPr>
        <w:t xml:space="preserve">PNTL’s </w:t>
      </w:r>
      <w:r w:rsidR="00550526" w:rsidRPr="00395C48">
        <w:rPr>
          <w:szCs w:val="22"/>
        </w:rPr>
        <w:t>senior executive were or are being trained in the 12-month Diploma of Executive Police Management (47</w:t>
      </w:r>
      <w:r w:rsidR="00933410" w:rsidRPr="00395C48">
        <w:rPr>
          <w:szCs w:val="22"/>
        </w:rPr>
        <w:t xml:space="preserve"> per cent</w:t>
      </w:r>
      <w:r w:rsidR="00550526" w:rsidRPr="00395C48">
        <w:rPr>
          <w:szCs w:val="22"/>
        </w:rPr>
        <w:t xml:space="preserve"> trained during the 2012</w:t>
      </w:r>
      <w:r w:rsidRPr="00395C48">
        <w:rPr>
          <w:szCs w:val="22"/>
        </w:rPr>
        <w:t>–</w:t>
      </w:r>
      <w:r w:rsidR="00550526" w:rsidRPr="00395C48">
        <w:rPr>
          <w:szCs w:val="22"/>
        </w:rPr>
        <w:t>13 reporting period, 27</w:t>
      </w:r>
      <w:r w:rsidR="00933410" w:rsidRPr="00395C48">
        <w:rPr>
          <w:szCs w:val="22"/>
        </w:rPr>
        <w:t xml:space="preserve"> per cent</w:t>
      </w:r>
      <w:r w:rsidR="00550526" w:rsidRPr="00395C48">
        <w:rPr>
          <w:szCs w:val="22"/>
        </w:rPr>
        <w:t xml:space="preserve"> trained in 2011)</w:t>
      </w:r>
      <w:r w:rsidRPr="00395C48">
        <w:rPr>
          <w:szCs w:val="22"/>
        </w:rPr>
        <w:t>.</w:t>
      </w:r>
    </w:p>
    <w:p w14:paraId="0528DC96" w14:textId="526737C9" w:rsidR="00550526" w:rsidRPr="00C34E6A" w:rsidRDefault="008B634B" w:rsidP="00C14AA8">
      <w:pPr>
        <w:pStyle w:val="BodyText"/>
        <w:rPr>
          <w:szCs w:val="22"/>
        </w:rPr>
      </w:pPr>
      <w:r w:rsidRPr="00395C48">
        <w:rPr>
          <w:szCs w:val="22"/>
        </w:rPr>
        <w:t xml:space="preserve">District </w:t>
      </w:r>
      <w:r w:rsidR="00550526" w:rsidRPr="00395C48">
        <w:rPr>
          <w:szCs w:val="22"/>
        </w:rPr>
        <w:t>assessments indicate the participants are implementing course elements such as section audits, improving the use of resources and accountability into district commands</w:t>
      </w:r>
      <w:r w:rsidRPr="00395C48">
        <w:rPr>
          <w:szCs w:val="22"/>
        </w:rPr>
        <w:t xml:space="preserve">, </w:t>
      </w:r>
      <w:r w:rsidR="00550526" w:rsidRPr="00395C48">
        <w:rPr>
          <w:szCs w:val="22"/>
        </w:rPr>
        <w:t>better personnel file management</w:t>
      </w:r>
      <w:r w:rsidRPr="00395C48">
        <w:rPr>
          <w:szCs w:val="22"/>
        </w:rPr>
        <w:t xml:space="preserve">, </w:t>
      </w:r>
      <w:r w:rsidR="00550526" w:rsidRPr="00395C48">
        <w:rPr>
          <w:szCs w:val="22"/>
        </w:rPr>
        <w:t>better use of formal procedures and laws</w:t>
      </w:r>
      <w:r w:rsidRPr="00395C48">
        <w:rPr>
          <w:szCs w:val="22"/>
        </w:rPr>
        <w:t xml:space="preserve">, </w:t>
      </w:r>
      <w:r w:rsidR="00550526" w:rsidRPr="00395C48">
        <w:rPr>
          <w:szCs w:val="22"/>
        </w:rPr>
        <w:t xml:space="preserve">improved administrative systems within </w:t>
      </w:r>
      <w:r w:rsidRPr="00395C48">
        <w:rPr>
          <w:szCs w:val="22"/>
        </w:rPr>
        <w:t>district commands, better meeting processes including</w:t>
      </w:r>
      <w:r w:rsidR="00550526" w:rsidRPr="00395C48">
        <w:rPr>
          <w:szCs w:val="22"/>
        </w:rPr>
        <w:t xml:space="preserve"> formal meetings with set agendas, minutes and action items</w:t>
      </w:r>
      <w:r w:rsidRPr="00395C48">
        <w:rPr>
          <w:szCs w:val="22"/>
        </w:rPr>
        <w:t xml:space="preserve">, </w:t>
      </w:r>
      <w:r w:rsidR="00550526" w:rsidRPr="00395C48">
        <w:rPr>
          <w:szCs w:val="22"/>
        </w:rPr>
        <w:t xml:space="preserve">and drafting guidelines to decentralise PNTL budgets from Finance in </w:t>
      </w:r>
      <w:proofErr w:type="spellStart"/>
      <w:r w:rsidR="00550526" w:rsidRPr="00395C48">
        <w:rPr>
          <w:szCs w:val="22"/>
        </w:rPr>
        <w:t>Dili</w:t>
      </w:r>
      <w:proofErr w:type="spellEnd"/>
      <w:r w:rsidR="00550526" w:rsidRPr="00395C48">
        <w:rPr>
          <w:szCs w:val="22"/>
        </w:rPr>
        <w:t xml:space="preserve"> to </w:t>
      </w:r>
      <w:r w:rsidRPr="00395C48">
        <w:rPr>
          <w:szCs w:val="22"/>
        </w:rPr>
        <w:t>district/unit commanders</w:t>
      </w:r>
      <w:r w:rsidR="00550526" w:rsidRPr="00395C48">
        <w:rPr>
          <w:szCs w:val="22"/>
        </w:rPr>
        <w:t>.</w:t>
      </w:r>
    </w:p>
    <w:p w14:paraId="0BA32104" w14:textId="5DA0584C" w:rsidR="00550526" w:rsidRPr="00C34E6A" w:rsidRDefault="00550526" w:rsidP="00C14AA8">
      <w:pPr>
        <w:pStyle w:val="BodyText"/>
        <w:rPr>
          <w:szCs w:val="22"/>
        </w:rPr>
      </w:pPr>
      <w:r w:rsidRPr="00395C48">
        <w:rPr>
          <w:szCs w:val="22"/>
        </w:rPr>
        <w:t xml:space="preserve">The Timor-Leste Prosecutor General has commented </w:t>
      </w:r>
      <w:r w:rsidR="008B634B" w:rsidRPr="00395C48">
        <w:rPr>
          <w:szCs w:val="22"/>
        </w:rPr>
        <w:t xml:space="preserve">that </w:t>
      </w:r>
      <w:r w:rsidRPr="00395C48">
        <w:rPr>
          <w:szCs w:val="22"/>
        </w:rPr>
        <w:t xml:space="preserve">the quality of files presented to </w:t>
      </w:r>
      <w:r w:rsidR="008B634B" w:rsidRPr="00395C48">
        <w:rPr>
          <w:szCs w:val="22"/>
        </w:rPr>
        <w:t xml:space="preserve">the Office of the Prosecutor-General </w:t>
      </w:r>
      <w:r w:rsidRPr="00395C48">
        <w:rPr>
          <w:szCs w:val="22"/>
        </w:rPr>
        <w:t xml:space="preserve">from PNTL has improved, as has the relationship between the two organisations, due to the influence of TLPDP investigations training. </w:t>
      </w:r>
      <w:r w:rsidR="008B634B" w:rsidRPr="00395C48">
        <w:rPr>
          <w:szCs w:val="22"/>
        </w:rPr>
        <w:t>S</w:t>
      </w:r>
      <w:r w:rsidRPr="00395C48">
        <w:rPr>
          <w:szCs w:val="22"/>
        </w:rPr>
        <w:t xml:space="preserve">taff have observed, and the AFP-TLPDP </w:t>
      </w:r>
      <w:r w:rsidR="008B634B" w:rsidRPr="00395C48">
        <w:rPr>
          <w:szCs w:val="22"/>
        </w:rPr>
        <w:t xml:space="preserve">has </w:t>
      </w:r>
      <w:r w:rsidRPr="00395C48">
        <w:rPr>
          <w:szCs w:val="22"/>
        </w:rPr>
        <w:t xml:space="preserve">verified through district visits, that the PNTL </w:t>
      </w:r>
      <w:r w:rsidR="008B634B" w:rsidRPr="00395C48">
        <w:rPr>
          <w:szCs w:val="22"/>
        </w:rPr>
        <w:t>is</w:t>
      </w:r>
      <w:r w:rsidRPr="00395C48">
        <w:rPr>
          <w:szCs w:val="22"/>
        </w:rPr>
        <w:t xml:space="preserve"> now more proactive in </w:t>
      </w:r>
      <w:r w:rsidR="008B634B" w:rsidRPr="00395C48">
        <w:rPr>
          <w:szCs w:val="22"/>
        </w:rPr>
        <w:t xml:space="preserve">its </w:t>
      </w:r>
      <w:r w:rsidRPr="00395C48">
        <w:rPr>
          <w:szCs w:val="22"/>
        </w:rPr>
        <w:t>approach to investigations, actively seeking delegation rather than waiting for guidance</w:t>
      </w:r>
      <w:r w:rsidR="008B634B" w:rsidRPr="00395C48">
        <w:rPr>
          <w:szCs w:val="22"/>
        </w:rPr>
        <w:t xml:space="preserve"> from the Office of the Prosecutor-General</w:t>
      </w:r>
      <w:r w:rsidRPr="00395C48">
        <w:rPr>
          <w:szCs w:val="22"/>
        </w:rPr>
        <w:t>.</w:t>
      </w:r>
    </w:p>
    <w:p w14:paraId="0C36449D" w14:textId="15036EF4" w:rsidR="00550526" w:rsidRPr="00C34E6A" w:rsidRDefault="0069653D" w:rsidP="00C14AA8">
      <w:pPr>
        <w:pStyle w:val="BodyText"/>
        <w:rPr>
          <w:szCs w:val="22"/>
        </w:rPr>
      </w:pPr>
      <w:r w:rsidRPr="00395C48">
        <w:rPr>
          <w:szCs w:val="22"/>
        </w:rPr>
        <w:t>T</w:t>
      </w:r>
      <w:r w:rsidR="00271E09" w:rsidRPr="00395C48">
        <w:rPr>
          <w:szCs w:val="22"/>
        </w:rPr>
        <w:t>he Timor-Leste Government</w:t>
      </w:r>
      <w:r w:rsidR="00F974A3" w:rsidRPr="00395C48">
        <w:rPr>
          <w:szCs w:val="22"/>
        </w:rPr>
        <w:t>, with</w:t>
      </w:r>
      <w:r w:rsidR="00550526" w:rsidRPr="00395C48">
        <w:rPr>
          <w:szCs w:val="22"/>
        </w:rPr>
        <w:t xml:space="preserve"> </w:t>
      </w:r>
      <w:r w:rsidR="002F340F">
        <w:rPr>
          <w:szCs w:val="22"/>
        </w:rPr>
        <w:t xml:space="preserve">the department </w:t>
      </w:r>
      <w:r w:rsidR="00550526" w:rsidRPr="00395C48">
        <w:rPr>
          <w:szCs w:val="22"/>
        </w:rPr>
        <w:t xml:space="preserve">and </w:t>
      </w:r>
      <w:r w:rsidR="008B634B" w:rsidRPr="00395C48">
        <w:rPr>
          <w:szCs w:val="22"/>
        </w:rPr>
        <w:t xml:space="preserve">the </w:t>
      </w:r>
      <w:r w:rsidR="00271E09" w:rsidRPr="00395C48">
        <w:rPr>
          <w:szCs w:val="22"/>
        </w:rPr>
        <w:t xml:space="preserve">AFP-TLPDP, </w:t>
      </w:r>
      <w:r w:rsidR="00550526" w:rsidRPr="00395C48">
        <w:rPr>
          <w:szCs w:val="22"/>
        </w:rPr>
        <w:t xml:space="preserve">implemented a database system in the PNTL for case tracking and incident management. This cross-agency database enables justice institutions to track and report accurately on cases, helping improve transparency and coordination. </w:t>
      </w:r>
    </w:p>
    <w:p w14:paraId="18F2EA51" w14:textId="1ACE2C4F" w:rsidR="00550526" w:rsidRPr="00B50AE3" w:rsidRDefault="00550526" w:rsidP="00C14AA8">
      <w:pPr>
        <w:pStyle w:val="BodyText"/>
        <w:rPr>
          <w:rFonts w:eastAsia="SimSun"/>
        </w:rPr>
      </w:pPr>
      <w:r w:rsidRPr="0090694D">
        <w:rPr>
          <w:rFonts w:eastAsia="SimSun"/>
          <w:szCs w:val="22"/>
        </w:rPr>
        <w:t>Evidence of implementation of AFP-TLPDP initiatives in the workplace, measured through quantitative and qualitative analysis, reflect</w:t>
      </w:r>
      <w:r w:rsidR="008B634B" w:rsidRPr="0021665A">
        <w:rPr>
          <w:rFonts w:eastAsia="SimSun"/>
          <w:szCs w:val="22"/>
        </w:rPr>
        <w:t xml:space="preserve">s </w:t>
      </w:r>
      <w:r w:rsidRPr="001D665B">
        <w:rPr>
          <w:rFonts w:eastAsia="SimSun"/>
          <w:szCs w:val="22"/>
        </w:rPr>
        <w:t>A</w:t>
      </w:r>
      <w:r w:rsidRPr="00A57351">
        <w:rPr>
          <w:rFonts w:eastAsia="SimSun"/>
          <w:szCs w:val="22"/>
        </w:rPr>
        <w:t>FP-TLPDP’s targeted</w:t>
      </w:r>
      <w:r w:rsidRPr="00B50AE3">
        <w:rPr>
          <w:rFonts w:eastAsia="SimSun"/>
        </w:rPr>
        <w:t xml:space="preserve"> improvement efforts at key points of influence within the PNTL, including executive leadership and management, governance and investigations. Further support </w:t>
      </w:r>
      <w:r w:rsidR="00CE72C8">
        <w:rPr>
          <w:rFonts w:eastAsia="SimSun"/>
        </w:rPr>
        <w:t xml:space="preserve">for </w:t>
      </w:r>
      <w:r w:rsidRPr="00B50AE3">
        <w:rPr>
          <w:rFonts w:eastAsia="SimSun"/>
        </w:rPr>
        <w:t xml:space="preserve">pro-active policing patrol </w:t>
      </w:r>
      <w:r w:rsidR="005D2586" w:rsidRPr="00B50AE3">
        <w:rPr>
          <w:rFonts w:eastAsia="SimSun"/>
        </w:rPr>
        <w:t>programs</w:t>
      </w:r>
      <w:r w:rsidRPr="00B50AE3">
        <w:rPr>
          <w:rFonts w:eastAsia="SimSun"/>
        </w:rPr>
        <w:t xml:space="preserve"> and assistance with gender based issues have improved perceptions at the PNTL-community interface. This improvement in management practices and key policing skills provides a </w:t>
      </w:r>
      <w:r w:rsidRPr="00B50AE3">
        <w:rPr>
          <w:rFonts w:eastAsia="SimSun"/>
        </w:rPr>
        <w:lastRenderedPageBreak/>
        <w:t>promising indication of the overall improvement of the capacity of the PNTL to be effective and accountable in enforcing rule of law.</w:t>
      </w:r>
    </w:p>
    <w:p w14:paraId="3A13F081" w14:textId="516FC552" w:rsidR="00C76651" w:rsidRPr="00B50AE3" w:rsidRDefault="00C76651" w:rsidP="00C14AA8">
      <w:pPr>
        <w:pStyle w:val="Heading3"/>
        <w:rPr>
          <w:rFonts w:eastAsia="SimSun"/>
        </w:rPr>
      </w:pPr>
      <w:r w:rsidRPr="00B50AE3">
        <w:rPr>
          <w:rFonts w:eastAsia="SimSun"/>
        </w:rPr>
        <w:t xml:space="preserve">Ending </w:t>
      </w:r>
      <w:r w:rsidR="008B634B" w:rsidRPr="00B50AE3">
        <w:rPr>
          <w:rFonts w:eastAsia="SimSun"/>
        </w:rPr>
        <w:t>violence against women</w:t>
      </w:r>
    </w:p>
    <w:p w14:paraId="29FE5EDB" w14:textId="3179941F" w:rsidR="00934841" w:rsidRPr="00C14AA8" w:rsidRDefault="00C76651" w:rsidP="00C14AA8">
      <w:pPr>
        <w:pStyle w:val="BodyText"/>
        <w:rPr>
          <w:rFonts w:eastAsia="SimSun"/>
        </w:rPr>
      </w:pPr>
      <w:r w:rsidRPr="00C14AA8">
        <w:rPr>
          <w:rFonts w:eastAsia="SimSun"/>
        </w:rPr>
        <w:t>Violence against women in Timor-Leste is widespread</w:t>
      </w:r>
      <w:r w:rsidR="00A40CED" w:rsidRPr="00C14AA8">
        <w:rPr>
          <w:rFonts w:eastAsia="SimSun"/>
        </w:rPr>
        <w:t xml:space="preserve">. </w:t>
      </w:r>
      <w:r w:rsidR="00E43EED" w:rsidRPr="00C14AA8">
        <w:rPr>
          <w:rFonts w:eastAsia="SimSun"/>
        </w:rPr>
        <w:t>In</w:t>
      </w:r>
      <w:r w:rsidRPr="00C14AA8">
        <w:rPr>
          <w:rFonts w:eastAsia="SimSun"/>
        </w:rPr>
        <w:t xml:space="preserve"> 2009, 38 per cent of women reported they had experienced physical violence in their lifetime, primarily </w:t>
      </w:r>
      <w:r w:rsidR="00C73270" w:rsidRPr="00C14AA8">
        <w:rPr>
          <w:rFonts w:eastAsia="SimSun"/>
        </w:rPr>
        <w:t>by</w:t>
      </w:r>
      <w:r w:rsidRPr="00C14AA8">
        <w:rPr>
          <w:rFonts w:eastAsia="SimSun"/>
        </w:rPr>
        <w:t xml:space="preserve"> their husband or partner. This is likely to be under-reported. Although there is a lack of evidence for </w:t>
      </w:r>
      <w:r w:rsidR="00B20EC6" w:rsidRPr="00C14AA8">
        <w:rPr>
          <w:rFonts w:eastAsia="SimSun"/>
        </w:rPr>
        <w:t>Timor-Leste</w:t>
      </w:r>
      <w:r w:rsidRPr="00C14AA8">
        <w:rPr>
          <w:rFonts w:eastAsia="SimSun"/>
        </w:rPr>
        <w:t>, global studies indicate that women with disability are two to three times more likely to experience physical and sexual abuse than women without</w:t>
      </w:r>
      <w:r w:rsidR="00E47CDE" w:rsidRPr="00C14AA8">
        <w:rPr>
          <w:rFonts w:eastAsia="SimSun"/>
        </w:rPr>
        <w:t>.</w:t>
      </w:r>
      <w:r w:rsidRPr="001E3DDE">
        <w:rPr>
          <w:rStyle w:val="FootnoteReference"/>
        </w:rPr>
        <w:footnoteReference w:id="18"/>
      </w:r>
    </w:p>
    <w:p w14:paraId="1E89B0CE" w14:textId="6CE044F3" w:rsidR="00C76651" w:rsidRPr="00C14AA8" w:rsidRDefault="00C76651" w:rsidP="00C14AA8">
      <w:pPr>
        <w:pStyle w:val="BodyText"/>
        <w:rPr>
          <w:rFonts w:eastAsia="SimSun"/>
        </w:rPr>
      </w:pPr>
      <w:r w:rsidRPr="00C14AA8">
        <w:rPr>
          <w:rFonts w:eastAsia="SimSun"/>
        </w:rPr>
        <w:t xml:space="preserve">In 2012, Timor-Leste continued to develop a sound legal and policy base to end violence against women with the adoption of a </w:t>
      </w:r>
      <w:r w:rsidR="00E47CDE" w:rsidRPr="00C14AA8">
        <w:rPr>
          <w:rFonts w:eastAsia="SimSun"/>
        </w:rPr>
        <w:t xml:space="preserve">national action plan on gender-based violence </w:t>
      </w:r>
      <w:r w:rsidRPr="00C14AA8">
        <w:rPr>
          <w:rFonts w:eastAsia="SimSun"/>
        </w:rPr>
        <w:t xml:space="preserve">to support implementation of the </w:t>
      </w:r>
      <w:r w:rsidR="00E47CDE" w:rsidRPr="00C14AA8">
        <w:rPr>
          <w:rFonts w:eastAsia="SimSun"/>
        </w:rPr>
        <w:t>domestic violence law</w:t>
      </w:r>
      <w:r w:rsidRPr="00C14AA8">
        <w:rPr>
          <w:rFonts w:eastAsia="SimSun"/>
        </w:rPr>
        <w:t>.</w:t>
      </w:r>
    </w:p>
    <w:p w14:paraId="23509FFC" w14:textId="1E847313" w:rsidR="00C76651" w:rsidRPr="00C14AA8" w:rsidRDefault="00C76651" w:rsidP="00C14AA8">
      <w:pPr>
        <w:pStyle w:val="BodyText"/>
        <w:rPr>
          <w:rFonts w:eastAsia="SimSun"/>
        </w:rPr>
      </w:pPr>
      <w:r w:rsidRPr="00C14AA8">
        <w:rPr>
          <w:rFonts w:eastAsia="SimSun"/>
        </w:rPr>
        <w:t>In 2012</w:t>
      </w:r>
      <w:r w:rsidR="00E47CDE" w:rsidRPr="00C14AA8">
        <w:rPr>
          <w:rFonts w:eastAsia="SimSun"/>
        </w:rPr>
        <w:t>–</w:t>
      </w:r>
      <w:r w:rsidRPr="00C14AA8">
        <w:rPr>
          <w:rFonts w:eastAsia="SimSun"/>
        </w:rPr>
        <w:t>13 Australia’s contribution to the justice sector in Timor-Leste through the Justice Sector Support Facility focused on addressing violence against women. The Justice Facility provided direct support through 14 grants to civil society organisations engaged in preventing violence against women and ensuring those affected have access to justice and support services.</w:t>
      </w:r>
    </w:p>
    <w:p w14:paraId="67165585" w14:textId="3FC43399" w:rsidR="00C76651" w:rsidRPr="00C14AA8" w:rsidRDefault="00C76651" w:rsidP="00C14AA8">
      <w:pPr>
        <w:pStyle w:val="BodyText"/>
        <w:rPr>
          <w:rFonts w:eastAsia="SimSun"/>
        </w:rPr>
      </w:pPr>
      <w:r w:rsidRPr="00C14AA8">
        <w:rPr>
          <w:rFonts w:eastAsia="SimSun"/>
        </w:rPr>
        <w:t xml:space="preserve">The </w:t>
      </w:r>
      <w:r w:rsidR="00E47CDE" w:rsidRPr="00C14AA8">
        <w:t xml:space="preserve">Timor-Leste Government </w:t>
      </w:r>
      <w:r w:rsidRPr="00C14AA8">
        <w:rPr>
          <w:rFonts w:eastAsia="SimSun"/>
        </w:rPr>
        <w:t xml:space="preserve">provides some funding for </w:t>
      </w:r>
      <w:r w:rsidR="00E47CDE" w:rsidRPr="00C14AA8">
        <w:t xml:space="preserve">civil society organisations </w:t>
      </w:r>
      <w:r w:rsidRPr="00C14AA8">
        <w:rPr>
          <w:rFonts w:eastAsia="SimSun"/>
        </w:rPr>
        <w:t xml:space="preserve">but their services continue to be dependent on donor funding, with Australia </w:t>
      </w:r>
      <w:r w:rsidR="00E47CDE" w:rsidRPr="00C14AA8">
        <w:rPr>
          <w:rFonts w:eastAsia="SimSun"/>
        </w:rPr>
        <w:t xml:space="preserve">the </w:t>
      </w:r>
      <w:r w:rsidRPr="00C14AA8">
        <w:rPr>
          <w:rFonts w:eastAsia="SimSun"/>
        </w:rPr>
        <w:t>key</w:t>
      </w:r>
      <w:r w:rsidR="00CA0682">
        <w:rPr>
          <w:rFonts w:eastAsia="SimSun"/>
        </w:rPr>
        <w:t xml:space="preserve"> donor</w:t>
      </w:r>
      <w:r w:rsidRPr="00C14AA8">
        <w:rPr>
          <w:rFonts w:eastAsia="SimSun"/>
        </w:rPr>
        <w:t>. Between 1 January and 31 December 2012, 1349 women survivors of violence received specialised services as a result of Australia’s support. Although this number represe</w:t>
      </w:r>
      <w:r w:rsidR="000C13D5" w:rsidRPr="00C14AA8">
        <w:rPr>
          <w:rFonts w:eastAsia="SimSun"/>
        </w:rPr>
        <w:t xml:space="preserve">nts less than two per cent of </w:t>
      </w:r>
      <w:r w:rsidRPr="00C14AA8">
        <w:rPr>
          <w:rFonts w:eastAsia="SimSun"/>
        </w:rPr>
        <w:t>women estimate</w:t>
      </w:r>
      <w:r w:rsidR="00E47CDE" w:rsidRPr="00C14AA8">
        <w:rPr>
          <w:rFonts w:eastAsia="SimSun"/>
        </w:rPr>
        <w:t>d to have</w:t>
      </w:r>
      <w:r w:rsidRPr="00C14AA8">
        <w:rPr>
          <w:rFonts w:eastAsia="SimSun"/>
        </w:rPr>
        <w:t xml:space="preserve"> experienced violence in 2012, it is adequate progress given</w:t>
      </w:r>
      <w:r w:rsidR="00A16D9E" w:rsidRPr="00C14AA8">
        <w:rPr>
          <w:rFonts w:eastAsia="SimSun"/>
        </w:rPr>
        <w:t xml:space="preserve"> </w:t>
      </w:r>
      <w:r w:rsidR="00E47CDE" w:rsidRPr="00C14AA8">
        <w:rPr>
          <w:rFonts w:eastAsia="SimSun"/>
        </w:rPr>
        <w:t xml:space="preserve">the </w:t>
      </w:r>
      <w:r w:rsidR="007D077C" w:rsidRPr="00C14AA8">
        <w:t>challenges involved in increasing the reach of services</w:t>
      </w:r>
      <w:r w:rsidR="00FE7007" w:rsidRPr="00C14AA8">
        <w:t>. In 2012</w:t>
      </w:r>
      <w:r w:rsidR="00012408" w:rsidRPr="00C14AA8">
        <w:t>–</w:t>
      </w:r>
      <w:r w:rsidR="00FE7007" w:rsidRPr="00C14AA8">
        <w:t xml:space="preserve">13 </w:t>
      </w:r>
      <w:r w:rsidR="006A5C78">
        <w:t>Australia</w:t>
      </w:r>
      <w:r w:rsidR="006A5C78" w:rsidRPr="00C14AA8">
        <w:t xml:space="preserve"> </w:t>
      </w:r>
      <w:r w:rsidR="00FE7007" w:rsidRPr="00C14AA8">
        <w:t xml:space="preserve">committed resources to address these challenges </w:t>
      </w:r>
      <w:r w:rsidR="00012408" w:rsidRPr="00C14AA8">
        <w:t xml:space="preserve">by </w:t>
      </w:r>
      <w:r w:rsidR="00FE7007" w:rsidRPr="00C14AA8">
        <w:t>develop</w:t>
      </w:r>
      <w:r w:rsidR="00012408" w:rsidRPr="00C14AA8">
        <w:t xml:space="preserve">ing </w:t>
      </w:r>
      <w:r w:rsidR="00FE7007" w:rsidRPr="00C14AA8">
        <w:t xml:space="preserve">an ending violence against women concept for a proposed </w:t>
      </w:r>
      <w:r w:rsidR="00012408" w:rsidRPr="00C14AA8">
        <w:t xml:space="preserve">eight </w:t>
      </w:r>
      <w:r w:rsidR="00FE7007" w:rsidRPr="00C14AA8">
        <w:t xml:space="preserve">year program. </w:t>
      </w:r>
      <w:r w:rsidR="00FE7007" w:rsidRPr="00C14AA8">
        <w:rPr>
          <w:rFonts w:eastAsia="SimSun"/>
        </w:rPr>
        <w:t>T</w:t>
      </w:r>
      <w:r w:rsidRPr="00C14AA8">
        <w:rPr>
          <w:rFonts w:eastAsia="SimSun"/>
        </w:rPr>
        <w:t xml:space="preserve">he domestic violence </w:t>
      </w:r>
      <w:r w:rsidR="00F974A3" w:rsidRPr="00C14AA8">
        <w:rPr>
          <w:rFonts w:eastAsia="SimSun"/>
        </w:rPr>
        <w:t>law, introduced</w:t>
      </w:r>
      <w:r w:rsidRPr="00C14AA8">
        <w:rPr>
          <w:rFonts w:eastAsia="SimSun"/>
        </w:rPr>
        <w:t xml:space="preserve"> in 2010</w:t>
      </w:r>
      <w:r w:rsidR="002C07DB" w:rsidRPr="00C14AA8">
        <w:rPr>
          <w:rFonts w:eastAsia="SimSun"/>
        </w:rPr>
        <w:t>, along with these</w:t>
      </w:r>
      <w:r w:rsidRPr="00C14AA8">
        <w:rPr>
          <w:rFonts w:eastAsia="SimSun"/>
        </w:rPr>
        <w:t xml:space="preserve"> services play</w:t>
      </w:r>
      <w:r w:rsidR="00012408" w:rsidRPr="00C14AA8">
        <w:rPr>
          <w:rFonts w:eastAsia="SimSun"/>
        </w:rPr>
        <w:t>s</w:t>
      </w:r>
      <w:r w:rsidRPr="00C14AA8">
        <w:rPr>
          <w:rFonts w:eastAsia="SimSun"/>
        </w:rPr>
        <w:t xml:space="preserve"> an important role in changing the widely</w:t>
      </w:r>
      <w:r w:rsidR="00012408" w:rsidRPr="00C14AA8">
        <w:rPr>
          <w:rFonts w:eastAsia="SimSun"/>
        </w:rPr>
        <w:t xml:space="preserve"> </w:t>
      </w:r>
      <w:r w:rsidRPr="00C14AA8">
        <w:rPr>
          <w:rFonts w:eastAsia="SimSun"/>
        </w:rPr>
        <w:t>held view that violence against women is acceptable.</w:t>
      </w:r>
    </w:p>
    <w:p w14:paraId="5EDBBA63" w14:textId="044325F9" w:rsidR="00C76651" w:rsidRPr="00C14AA8" w:rsidRDefault="00C76651" w:rsidP="00C14AA8">
      <w:pPr>
        <w:pStyle w:val="BodyText"/>
        <w:rPr>
          <w:rFonts w:eastAsia="SimSun"/>
        </w:rPr>
      </w:pPr>
      <w:r w:rsidRPr="00C14AA8">
        <w:rPr>
          <w:rFonts w:eastAsia="SimSun"/>
        </w:rPr>
        <w:t xml:space="preserve">Gender </w:t>
      </w:r>
      <w:r w:rsidR="001326AD" w:rsidRPr="00C14AA8">
        <w:rPr>
          <w:rFonts w:eastAsia="SimSun"/>
        </w:rPr>
        <w:t>e</w:t>
      </w:r>
      <w:r w:rsidRPr="00C14AA8">
        <w:rPr>
          <w:rFonts w:eastAsia="SimSun"/>
        </w:rPr>
        <w:t>quality has been a focus of the</w:t>
      </w:r>
      <w:r w:rsidR="00E0241C">
        <w:rPr>
          <w:rFonts w:eastAsia="SimSun"/>
        </w:rPr>
        <w:t xml:space="preserve"> AFP-TLPDP</w:t>
      </w:r>
      <w:r w:rsidRPr="00C14AA8">
        <w:rPr>
          <w:rFonts w:eastAsia="SimSun"/>
        </w:rPr>
        <w:t xml:space="preserve"> program over the reporting period</w:t>
      </w:r>
      <w:r w:rsidR="00AC21A1" w:rsidRPr="00C14AA8">
        <w:rPr>
          <w:rFonts w:eastAsia="SimSun"/>
        </w:rPr>
        <w:t>. As a result,</w:t>
      </w:r>
      <w:r w:rsidR="00354A2E" w:rsidRPr="00C14AA8">
        <w:rPr>
          <w:rFonts w:eastAsia="SimSun"/>
        </w:rPr>
        <w:t xml:space="preserve"> more</w:t>
      </w:r>
      <w:r w:rsidRPr="00C14AA8">
        <w:rPr>
          <w:rFonts w:eastAsia="SimSun"/>
        </w:rPr>
        <w:t xml:space="preserve"> training opportunities </w:t>
      </w:r>
      <w:r w:rsidR="00AC21A1" w:rsidRPr="00C14AA8">
        <w:rPr>
          <w:rFonts w:eastAsia="SimSun"/>
        </w:rPr>
        <w:t xml:space="preserve">have been delivered </w:t>
      </w:r>
      <w:r w:rsidRPr="00C14AA8">
        <w:rPr>
          <w:rFonts w:eastAsia="SimSun"/>
        </w:rPr>
        <w:t xml:space="preserve">for women in policing, </w:t>
      </w:r>
      <w:r w:rsidR="00AC21A1" w:rsidRPr="00C14AA8">
        <w:rPr>
          <w:rFonts w:eastAsia="SimSun"/>
        </w:rPr>
        <w:t xml:space="preserve">safe houses have been </w:t>
      </w:r>
      <w:r w:rsidRPr="00C14AA8">
        <w:rPr>
          <w:rFonts w:eastAsia="SimSun"/>
        </w:rPr>
        <w:t xml:space="preserve">refurbished and supported, </w:t>
      </w:r>
      <w:r w:rsidR="001326AD" w:rsidRPr="00C14AA8">
        <w:rPr>
          <w:rFonts w:eastAsia="SimSun"/>
        </w:rPr>
        <w:t>g</w:t>
      </w:r>
      <w:r w:rsidRPr="00C14AA8">
        <w:rPr>
          <w:rFonts w:eastAsia="SimSun"/>
        </w:rPr>
        <w:t xml:space="preserve">ender </w:t>
      </w:r>
      <w:r w:rsidR="001326AD" w:rsidRPr="00C14AA8">
        <w:rPr>
          <w:rFonts w:eastAsia="SimSun"/>
        </w:rPr>
        <w:t>b</w:t>
      </w:r>
      <w:r w:rsidRPr="00C14AA8">
        <w:rPr>
          <w:rFonts w:eastAsia="SimSun"/>
        </w:rPr>
        <w:t xml:space="preserve">ased </w:t>
      </w:r>
      <w:r w:rsidR="001326AD" w:rsidRPr="00C14AA8">
        <w:rPr>
          <w:rFonts w:eastAsia="SimSun"/>
        </w:rPr>
        <w:t>v</w:t>
      </w:r>
      <w:r w:rsidRPr="00C14AA8">
        <w:rPr>
          <w:rFonts w:eastAsia="SimSun"/>
        </w:rPr>
        <w:t xml:space="preserve">iolence training support </w:t>
      </w:r>
      <w:r w:rsidR="00AC21A1" w:rsidRPr="00C14AA8">
        <w:rPr>
          <w:rFonts w:eastAsia="SimSun"/>
        </w:rPr>
        <w:t xml:space="preserve">has been provided </w:t>
      </w:r>
      <w:r w:rsidRPr="00C14AA8">
        <w:rPr>
          <w:rFonts w:eastAsia="SimSun"/>
        </w:rPr>
        <w:t>to the PNTL, and the role of women in policing</w:t>
      </w:r>
      <w:r w:rsidR="00AC21A1" w:rsidRPr="00C14AA8">
        <w:rPr>
          <w:rFonts w:eastAsia="SimSun"/>
        </w:rPr>
        <w:t xml:space="preserve"> has been more widely promoted</w:t>
      </w:r>
      <w:r w:rsidRPr="00C14AA8">
        <w:rPr>
          <w:rFonts w:eastAsia="SimSun"/>
        </w:rPr>
        <w:t>.</w:t>
      </w:r>
    </w:p>
    <w:p w14:paraId="2E8A5776" w14:textId="097BD89F" w:rsidR="00756A89" w:rsidRPr="00C14AA8" w:rsidRDefault="00756A89" w:rsidP="00C14AA8">
      <w:pPr>
        <w:pStyle w:val="Heading2"/>
      </w:pPr>
      <w:r w:rsidRPr="00C14AA8">
        <w:t xml:space="preserve">Objective 7: Public </w:t>
      </w:r>
      <w:r w:rsidR="00012408" w:rsidRPr="00C14AA8">
        <w:t>sector management and good governance</w:t>
      </w:r>
    </w:p>
    <w:tbl>
      <w:tblPr>
        <w:tblStyle w:val="APPR"/>
        <w:tblW w:w="5000" w:type="pct"/>
        <w:tblLook w:val="0000" w:firstRow="0" w:lastRow="0" w:firstColumn="0" w:lastColumn="0" w:noHBand="0" w:noVBand="0"/>
      </w:tblPr>
      <w:tblGrid>
        <w:gridCol w:w="6337"/>
        <w:gridCol w:w="1101"/>
        <w:gridCol w:w="1169"/>
      </w:tblGrid>
      <w:tr w:rsidR="00C14AA8" w:rsidRPr="001159CC" w14:paraId="3F23B0AD" w14:textId="77777777" w:rsidTr="00C14AA8">
        <w:trPr>
          <w:cnfStyle w:val="000000010000" w:firstRow="0" w:lastRow="0" w:firstColumn="0" w:lastColumn="0" w:oddVBand="0" w:evenVBand="0" w:oddHBand="0" w:evenHBand="1" w:firstRowFirstColumn="0" w:firstRowLastColumn="0" w:lastRowFirstColumn="0" w:lastRowLastColumn="0"/>
          <w:trHeight w:val="651"/>
        </w:trPr>
        <w:tc>
          <w:tcPr>
            <w:tcW w:w="5700" w:type="dxa"/>
          </w:tcPr>
          <w:p w14:paraId="0C4A0823" w14:textId="77777777" w:rsidR="00C14AA8" w:rsidRPr="00C14AA8" w:rsidRDefault="00C14AA8" w:rsidP="00C14AA8">
            <w:pPr>
              <w:pStyle w:val="TableHeading1"/>
            </w:pPr>
            <w:r w:rsidRPr="00C14AA8">
              <w:rPr>
                <w:noProof/>
                <w:lang w:eastAsia="en-AU"/>
              </w:rPr>
              <w:drawing>
                <wp:anchor distT="0" distB="0" distL="114300" distR="114300" simplePos="0" relativeHeight="251695104" behindDoc="0" locked="0" layoutInCell="1" allowOverlap="1" wp14:anchorId="00FB2785" wp14:editId="3E27BDCF">
                  <wp:simplePos x="0" y="0"/>
                  <wp:positionH relativeFrom="column">
                    <wp:posOffset>0</wp:posOffset>
                  </wp:positionH>
                  <wp:positionV relativeFrom="paragraph">
                    <wp:posOffset>0</wp:posOffset>
                  </wp:positionV>
                  <wp:extent cx="1857375" cy="228600"/>
                  <wp:effectExtent l="0" t="0" r="9525" b="0"/>
                  <wp:wrapNone/>
                  <wp:docPr id="31" name="Picture 3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AA8">
              <w:t>Objective</w:t>
            </w:r>
          </w:p>
        </w:tc>
        <w:tc>
          <w:tcPr>
            <w:tcW w:w="972" w:type="dxa"/>
          </w:tcPr>
          <w:p w14:paraId="0F26D805" w14:textId="7BB06996" w:rsidR="00C14AA8" w:rsidRPr="00C14AA8" w:rsidRDefault="00C14AA8" w:rsidP="00C14AA8">
            <w:pPr>
              <w:pStyle w:val="TableHeading1"/>
            </w:pPr>
            <w:r w:rsidRPr="00C14AA8">
              <w:t>Current rating</w:t>
            </w:r>
          </w:p>
        </w:tc>
        <w:tc>
          <w:tcPr>
            <w:tcW w:w="1021" w:type="dxa"/>
          </w:tcPr>
          <w:p w14:paraId="2C010B85" w14:textId="39CF8B04" w:rsidR="00C14AA8" w:rsidRPr="00C14AA8" w:rsidRDefault="00C14AA8" w:rsidP="00C14AA8">
            <w:pPr>
              <w:pStyle w:val="TableHeading1"/>
            </w:pPr>
            <w:r w:rsidRPr="00C14AA8">
              <w:t>Previous rating</w:t>
            </w:r>
          </w:p>
        </w:tc>
      </w:tr>
      <w:tr w:rsidR="00C14AA8" w:rsidRPr="001159CC" w14:paraId="45164D1B" w14:textId="77777777" w:rsidTr="00C14AA8">
        <w:trPr>
          <w:cnfStyle w:val="000000010000" w:firstRow="0" w:lastRow="0" w:firstColumn="0" w:lastColumn="0" w:oddVBand="0" w:evenVBand="0" w:oddHBand="0" w:evenHBand="1" w:firstRowFirstColumn="0" w:firstRowLastColumn="0" w:lastRowFirstColumn="0" w:lastRowLastColumn="0"/>
        </w:trPr>
        <w:tc>
          <w:tcPr>
            <w:tcW w:w="5700" w:type="dxa"/>
          </w:tcPr>
          <w:p w14:paraId="573DC200" w14:textId="77777777" w:rsidR="00C14AA8" w:rsidRPr="00C14AA8" w:rsidRDefault="00C14AA8" w:rsidP="00C14AA8">
            <w:pPr>
              <w:pStyle w:val="TableTextEntries"/>
              <w:rPr>
                <w:rFonts w:eastAsia="SimSun"/>
              </w:rPr>
            </w:pPr>
            <w:r w:rsidRPr="00C14AA8">
              <w:rPr>
                <w:rFonts w:eastAsia="SimSun"/>
              </w:rPr>
              <w:t xml:space="preserve">Objective 7: Poverty reduction in Timor-Leste through economic development and delivery of services </w:t>
            </w:r>
          </w:p>
        </w:tc>
        <w:tc>
          <w:tcPr>
            <w:tcW w:w="972" w:type="dxa"/>
            <w:shd w:val="clear" w:color="auto" w:fill="92D050"/>
            <w:noWrap/>
          </w:tcPr>
          <w:p w14:paraId="77485C14" w14:textId="77777777" w:rsidR="00C14AA8" w:rsidRPr="00C14AA8" w:rsidRDefault="00C14AA8" w:rsidP="00C14AA8">
            <w:pPr>
              <w:pStyle w:val="TableTextEntries"/>
              <w:rPr>
                <w:rFonts w:eastAsia="SimSun"/>
              </w:rPr>
            </w:pPr>
            <w:r w:rsidRPr="00C14AA8">
              <w:rPr>
                <w:rFonts w:eastAsia="SimSun"/>
              </w:rPr>
              <w:t>Green</w:t>
            </w:r>
          </w:p>
        </w:tc>
        <w:tc>
          <w:tcPr>
            <w:tcW w:w="1021" w:type="dxa"/>
            <w:shd w:val="clear" w:color="auto" w:fill="F79646" w:themeFill="accent6"/>
            <w:noWrap/>
          </w:tcPr>
          <w:p w14:paraId="062E9BA9" w14:textId="77777777" w:rsidR="00C14AA8" w:rsidRPr="00C14AA8" w:rsidRDefault="00C14AA8" w:rsidP="00C14AA8">
            <w:pPr>
              <w:pStyle w:val="TableTextEntries"/>
              <w:rPr>
                <w:rFonts w:eastAsia="SimSun"/>
              </w:rPr>
            </w:pPr>
            <w:r w:rsidRPr="00C14AA8">
              <w:rPr>
                <w:rFonts w:eastAsia="SimSun"/>
              </w:rPr>
              <w:t>Amber</w:t>
            </w:r>
          </w:p>
        </w:tc>
      </w:tr>
    </w:tbl>
    <w:p w14:paraId="0398CCD2" w14:textId="77777777" w:rsidR="001A2C9A" w:rsidRDefault="001A2C9A" w:rsidP="00FA391E">
      <w:pPr>
        <w:pStyle w:val="ListParagraph"/>
        <w:ind w:left="68"/>
        <w:rPr>
          <w:rFonts w:asciiTheme="minorHAnsi" w:eastAsia="SimSun" w:hAnsiTheme="minorHAnsi" w:cstheme="minorHAnsi"/>
          <w:i/>
          <w:szCs w:val="22"/>
        </w:rPr>
      </w:pPr>
    </w:p>
    <w:p w14:paraId="31F943B5" w14:textId="77777777" w:rsidR="00CF0DAC" w:rsidRPr="00C14AA8" w:rsidRDefault="00901226" w:rsidP="00C14AA8">
      <w:pPr>
        <w:pStyle w:val="BodyText"/>
        <w:rPr>
          <w:rFonts w:eastAsia="SimSun"/>
          <w:i/>
        </w:rPr>
      </w:pPr>
      <w:r w:rsidRPr="00C14AA8">
        <w:rPr>
          <w:rFonts w:eastAsia="SimSun"/>
          <w:i/>
        </w:rPr>
        <w:t xml:space="preserve">The improved rating reflects strengthening the core capacity of central agencies in parallel to a prolonged design phase to position Australia as a trusted, responsive partner during 2012. This approach has resulted in improvements </w:t>
      </w:r>
      <w:r w:rsidR="0069653D" w:rsidRPr="00C14AA8">
        <w:rPr>
          <w:rFonts w:eastAsia="SimSun"/>
          <w:i/>
        </w:rPr>
        <w:t xml:space="preserve">in </w:t>
      </w:r>
      <w:r w:rsidRPr="00C14AA8">
        <w:rPr>
          <w:rFonts w:eastAsia="SimSun"/>
          <w:i/>
        </w:rPr>
        <w:t xml:space="preserve">the relevance of Australia’s governance program </w:t>
      </w:r>
      <w:r w:rsidR="001326AD" w:rsidRPr="00C14AA8">
        <w:rPr>
          <w:rFonts w:eastAsia="SimSun"/>
          <w:i/>
        </w:rPr>
        <w:t>in</w:t>
      </w:r>
      <w:r w:rsidRPr="00C14AA8">
        <w:rPr>
          <w:rFonts w:eastAsia="SimSun"/>
          <w:i/>
        </w:rPr>
        <w:t xml:space="preserve"> </w:t>
      </w:r>
      <w:r w:rsidR="00B20EC6" w:rsidRPr="00C14AA8">
        <w:rPr>
          <w:rFonts w:eastAsia="SimSun"/>
          <w:i/>
        </w:rPr>
        <w:t>Timor-Leste</w:t>
      </w:r>
      <w:r w:rsidRPr="00C14AA8">
        <w:rPr>
          <w:rFonts w:eastAsia="SimSun"/>
          <w:i/>
        </w:rPr>
        <w:t>. Key challenges affecting Australia’s progress such</w:t>
      </w:r>
      <w:r w:rsidR="001326AD" w:rsidRPr="00C14AA8">
        <w:rPr>
          <w:rFonts w:eastAsia="SimSun"/>
          <w:i/>
        </w:rPr>
        <w:t xml:space="preserve"> as</w:t>
      </w:r>
      <w:r w:rsidRPr="00C14AA8">
        <w:rPr>
          <w:rFonts w:eastAsia="SimSun"/>
          <w:i/>
        </w:rPr>
        <w:t xml:space="preserve"> </w:t>
      </w:r>
      <w:r w:rsidR="000C13D5" w:rsidRPr="00C14AA8">
        <w:rPr>
          <w:rFonts w:eastAsia="SimSun"/>
          <w:i/>
        </w:rPr>
        <w:t>slow</w:t>
      </w:r>
      <w:r w:rsidRPr="00C14AA8">
        <w:rPr>
          <w:rFonts w:eastAsia="SimSun"/>
          <w:i/>
        </w:rPr>
        <w:t xml:space="preserve"> </w:t>
      </w:r>
      <w:r w:rsidR="001326AD" w:rsidRPr="00C14AA8">
        <w:rPr>
          <w:rFonts w:eastAsia="SimSun"/>
          <w:i/>
        </w:rPr>
        <w:t xml:space="preserve">government </w:t>
      </w:r>
      <w:r w:rsidR="000C13D5" w:rsidRPr="00C14AA8">
        <w:rPr>
          <w:rFonts w:eastAsia="SimSun"/>
          <w:i/>
        </w:rPr>
        <w:t>formation</w:t>
      </w:r>
      <w:r w:rsidRPr="00C14AA8">
        <w:rPr>
          <w:rFonts w:eastAsia="SimSun"/>
          <w:i/>
        </w:rPr>
        <w:t xml:space="preserve"> after the 2012 elections were seen as opportunities</w:t>
      </w:r>
      <w:r w:rsidR="00160303" w:rsidRPr="00C14AA8">
        <w:rPr>
          <w:rFonts w:eastAsia="SimSun"/>
          <w:i/>
        </w:rPr>
        <w:t xml:space="preserve"> </w:t>
      </w:r>
      <w:r w:rsidR="001326AD" w:rsidRPr="00C14AA8">
        <w:rPr>
          <w:rFonts w:eastAsia="SimSun"/>
          <w:i/>
        </w:rPr>
        <w:t>for better consultation on the new Governance for Development program design</w:t>
      </w:r>
      <w:r w:rsidRPr="00C14AA8">
        <w:rPr>
          <w:rFonts w:eastAsia="SimSun"/>
          <w:i/>
        </w:rPr>
        <w:t xml:space="preserve">. </w:t>
      </w:r>
    </w:p>
    <w:p w14:paraId="17F636C2" w14:textId="62DB712C" w:rsidR="008F2295" w:rsidRPr="00C14AA8" w:rsidRDefault="00901226" w:rsidP="00C14AA8">
      <w:pPr>
        <w:pStyle w:val="BodyText"/>
        <w:rPr>
          <w:rFonts w:eastAsia="SimSun"/>
        </w:rPr>
      </w:pPr>
      <w:r w:rsidRPr="00C14AA8">
        <w:rPr>
          <w:rFonts w:eastAsia="SimSun"/>
        </w:rPr>
        <w:lastRenderedPageBreak/>
        <w:t xml:space="preserve">Australia’s contribution to the </w:t>
      </w:r>
      <w:r w:rsidR="00CF0DAC" w:rsidRPr="00C14AA8">
        <w:rPr>
          <w:rFonts w:eastAsia="SimSun"/>
        </w:rPr>
        <w:t xml:space="preserve">public sector management and good governance </w:t>
      </w:r>
      <w:r w:rsidRPr="00C14AA8">
        <w:rPr>
          <w:rFonts w:eastAsia="SimSun"/>
        </w:rPr>
        <w:t xml:space="preserve">shared goal is through our </w:t>
      </w:r>
      <w:r w:rsidR="00863416" w:rsidRPr="00C14AA8">
        <w:rPr>
          <w:rFonts w:eastAsia="SimSun"/>
        </w:rPr>
        <w:t xml:space="preserve">strategy </w:t>
      </w:r>
      <w:r w:rsidRPr="00C14AA8">
        <w:rPr>
          <w:rFonts w:eastAsia="SimSun"/>
        </w:rPr>
        <w:t>objective ‘</w:t>
      </w:r>
      <w:r w:rsidR="00942BA7" w:rsidRPr="00C14AA8">
        <w:rPr>
          <w:rFonts w:eastAsia="SimSun"/>
        </w:rPr>
        <w:t xml:space="preserve">Poverty reduction in Timor-Leste through economic development and delivery of </w:t>
      </w:r>
      <w:r w:rsidR="00CF0DAC" w:rsidRPr="00C14AA8">
        <w:rPr>
          <w:rFonts w:eastAsia="SimSun"/>
        </w:rPr>
        <w:t xml:space="preserve">services’, which we are </w:t>
      </w:r>
      <w:r w:rsidR="00AC21A1" w:rsidRPr="00C14AA8">
        <w:rPr>
          <w:rFonts w:eastAsia="SimSun"/>
        </w:rPr>
        <w:t>achieving</w:t>
      </w:r>
      <w:r w:rsidR="00CF0DAC" w:rsidRPr="00C14AA8">
        <w:rPr>
          <w:rFonts w:eastAsia="SimSun"/>
        </w:rPr>
        <w:t xml:space="preserve"> </w:t>
      </w:r>
      <w:r w:rsidRPr="00C14AA8">
        <w:rPr>
          <w:rFonts w:eastAsia="SimSun"/>
        </w:rPr>
        <w:t xml:space="preserve">through our Governance for Development program. </w:t>
      </w:r>
    </w:p>
    <w:p w14:paraId="5B9F793B" w14:textId="2151DB2C" w:rsidR="00901226" w:rsidRPr="00C14AA8" w:rsidRDefault="00D34FE0" w:rsidP="00C14AA8">
      <w:pPr>
        <w:pStyle w:val="BodyText"/>
        <w:rPr>
          <w:rFonts w:eastAsia="SimSun"/>
        </w:rPr>
      </w:pPr>
      <w:r w:rsidRPr="00C14AA8">
        <w:rPr>
          <w:rFonts w:eastAsia="SimSun"/>
        </w:rPr>
        <w:t xml:space="preserve">Governance for Development’s </w:t>
      </w:r>
      <w:r w:rsidR="002D2C2F" w:rsidRPr="00C14AA8">
        <w:rPr>
          <w:rFonts w:eastAsia="SimSun"/>
        </w:rPr>
        <w:t>objectives</w:t>
      </w:r>
      <w:r w:rsidR="00901226" w:rsidRPr="00C14AA8">
        <w:rPr>
          <w:rFonts w:eastAsia="SimSun"/>
        </w:rPr>
        <w:t xml:space="preserve"> </w:t>
      </w:r>
      <w:proofErr w:type="gramStart"/>
      <w:r w:rsidR="00901226" w:rsidRPr="00C14AA8">
        <w:rPr>
          <w:rFonts w:eastAsia="SimSun"/>
        </w:rPr>
        <w:t>are</w:t>
      </w:r>
      <w:proofErr w:type="gramEnd"/>
      <w:r w:rsidR="00FB54EE" w:rsidRPr="00C14AA8">
        <w:rPr>
          <w:rFonts w:eastAsia="SimSun"/>
        </w:rPr>
        <w:t xml:space="preserve"> to</w:t>
      </w:r>
      <w:r w:rsidR="00901226" w:rsidRPr="00C14AA8">
        <w:rPr>
          <w:rFonts w:eastAsia="SimSun"/>
        </w:rPr>
        <w:t>:</w:t>
      </w:r>
    </w:p>
    <w:p w14:paraId="0FFAB496" w14:textId="26AE40D7" w:rsidR="00901226" w:rsidRPr="00C14AA8" w:rsidRDefault="00D34FE0" w:rsidP="00C14AA8">
      <w:pPr>
        <w:pStyle w:val="ListBullet"/>
      </w:pPr>
      <w:r w:rsidRPr="00C14AA8">
        <w:rPr>
          <w:rFonts w:eastAsia="SimSun"/>
        </w:rPr>
        <w:t>support</w:t>
      </w:r>
      <w:r w:rsidRPr="00C14AA8">
        <w:t xml:space="preserve"> </w:t>
      </w:r>
      <w:r w:rsidR="00901226" w:rsidRPr="00C14AA8">
        <w:t>Timor-Leste’s central agency sys</w:t>
      </w:r>
      <w:r w:rsidR="00F07004" w:rsidRPr="00C14AA8">
        <w:t>tems to enable service delivery</w:t>
      </w:r>
    </w:p>
    <w:p w14:paraId="1FEEA467" w14:textId="05FA351A" w:rsidR="00901226" w:rsidRPr="00C14AA8" w:rsidRDefault="00D34FE0" w:rsidP="00C14AA8">
      <w:pPr>
        <w:pStyle w:val="ListBullet"/>
      </w:pPr>
      <w:r w:rsidRPr="00C14AA8">
        <w:t xml:space="preserve">enable </w:t>
      </w:r>
      <w:r w:rsidR="00901226" w:rsidRPr="00C14AA8">
        <w:t>Timor-Leste’s economic development policies to be informed</w:t>
      </w:r>
      <w:r w:rsidR="00F07004" w:rsidRPr="00C14AA8">
        <w:t xml:space="preserve"> by quality advice and analysis</w:t>
      </w:r>
      <w:r w:rsidR="00901226" w:rsidRPr="00C14AA8">
        <w:t xml:space="preserve"> </w:t>
      </w:r>
    </w:p>
    <w:p w14:paraId="2125C8F4" w14:textId="5B874DFA" w:rsidR="00901226" w:rsidRPr="00C14AA8" w:rsidRDefault="00D34FE0" w:rsidP="00C14AA8">
      <w:pPr>
        <w:pStyle w:val="ListBullet"/>
      </w:pPr>
      <w:proofErr w:type="gramStart"/>
      <w:r w:rsidRPr="00C14AA8">
        <w:t>help</w:t>
      </w:r>
      <w:proofErr w:type="gramEnd"/>
      <w:r w:rsidRPr="00C14AA8">
        <w:t xml:space="preserve"> community </w:t>
      </w:r>
      <w:r w:rsidR="00901226" w:rsidRPr="00C14AA8">
        <w:t xml:space="preserve">committees to </w:t>
      </w:r>
      <w:r w:rsidR="002D2C2F" w:rsidRPr="00C14AA8">
        <w:t>plan</w:t>
      </w:r>
      <w:r w:rsidRPr="00C14AA8">
        <w:t>,</w:t>
      </w:r>
      <w:r w:rsidR="00901226" w:rsidRPr="00C14AA8">
        <w:t xml:space="preserve"> implement and maintain small infrastructure with broad community participation. </w:t>
      </w:r>
    </w:p>
    <w:p w14:paraId="419B01B2" w14:textId="1328E733" w:rsidR="000E5B37" w:rsidRPr="00C14AA8" w:rsidRDefault="00901226" w:rsidP="00C14AA8">
      <w:pPr>
        <w:pStyle w:val="BodyText"/>
        <w:rPr>
          <w:rFonts w:eastAsia="SimSun"/>
        </w:rPr>
      </w:pPr>
      <w:r w:rsidRPr="00C14AA8">
        <w:rPr>
          <w:rFonts w:eastAsia="SimSun"/>
        </w:rPr>
        <w:t xml:space="preserve">Over the past 18 months, Australia has </w:t>
      </w:r>
      <w:r w:rsidR="00FB54EE" w:rsidRPr="00C14AA8">
        <w:rPr>
          <w:rFonts w:eastAsia="SimSun"/>
        </w:rPr>
        <w:t xml:space="preserve">developed </w:t>
      </w:r>
      <w:r w:rsidRPr="00C14AA8">
        <w:rPr>
          <w:rFonts w:eastAsia="SimSun"/>
        </w:rPr>
        <w:t xml:space="preserve">new programs to support Timor-Leste’s governance sector and </w:t>
      </w:r>
      <w:r w:rsidR="00FB54EE" w:rsidRPr="00C14AA8">
        <w:rPr>
          <w:rFonts w:eastAsia="SimSun"/>
        </w:rPr>
        <w:t xml:space="preserve">strengthened </w:t>
      </w:r>
      <w:r w:rsidRPr="00C14AA8">
        <w:rPr>
          <w:rFonts w:eastAsia="SimSun"/>
        </w:rPr>
        <w:t xml:space="preserve">the capacity of central agencies. This foundational work </w:t>
      </w:r>
      <w:r w:rsidR="00FB54EE" w:rsidRPr="00C14AA8">
        <w:rPr>
          <w:rFonts w:eastAsia="SimSun"/>
        </w:rPr>
        <w:t xml:space="preserve">supports </w:t>
      </w:r>
      <w:r w:rsidRPr="00C14AA8">
        <w:rPr>
          <w:rFonts w:eastAsia="SimSun"/>
        </w:rPr>
        <w:t xml:space="preserve">central ministries and agencies </w:t>
      </w:r>
      <w:r w:rsidR="00FB54EE" w:rsidRPr="00C14AA8">
        <w:rPr>
          <w:rFonts w:eastAsia="SimSun"/>
        </w:rPr>
        <w:t xml:space="preserve">to </w:t>
      </w:r>
      <w:r w:rsidRPr="00C14AA8">
        <w:rPr>
          <w:rFonts w:eastAsia="SimSun"/>
        </w:rPr>
        <w:t xml:space="preserve">have a more direct impact on reducing poverty. Spending on governance increased in </w:t>
      </w:r>
      <w:r w:rsidR="008F2295" w:rsidRPr="00C14AA8">
        <w:rPr>
          <w:rFonts w:eastAsia="SimSun"/>
        </w:rPr>
        <w:t>20</w:t>
      </w:r>
      <w:r w:rsidRPr="00C14AA8">
        <w:rPr>
          <w:rFonts w:eastAsia="SimSun"/>
        </w:rPr>
        <w:t>12</w:t>
      </w:r>
      <w:r w:rsidR="00D34FE0" w:rsidRPr="00C14AA8">
        <w:rPr>
          <w:rFonts w:eastAsia="SimSun"/>
        </w:rPr>
        <w:t>–</w:t>
      </w:r>
      <w:r w:rsidRPr="00C14AA8">
        <w:rPr>
          <w:rFonts w:eastAsia="SimSun"/>
        </w:rPr>
        <w:t xml:space="preserve">13 </w:t>
      </w:r>
      <w:r w:rsidR="00651974" w:rsidRPr="00C14AA8">
        <w:rPr>
          <w:rFonts w:eastAsia="SimSun"/>
        </w:rPr>
        <w:t xml:space="preserve">because Australia </w:t>
      </w:r>
      <w:r w:rsidR="00FB54EE" w:rsidRPr="00C14AA8">
        <w:rPr>
          <w:rFonts w:eastAsia="SimSun"/>
        </w:rPr>
        <w:t xml:space="preserve">also </w:t>
      </w:r>
      <w:r w:rsidR="00651974" w:rsidRPr="00C14AA8">
        <w:rPr>
          <w:rFonts w:eastAsia="SimSun"/>
        </w:rPr>
        <w:t>supported</w:t>
      </w:r>
      <w:r w:rsidRPr="00C14AA8">
        <w:rPr>
          <w:rFonts w:eastAsia="SimSun"/>
        </w:rPr>
        <w:t xml:space="preserve"> the </w:t>
      </w:r>
      <w:r w:rsidR="00D34FE0" w:rsidRPr="00C14AA8">
        <w:t xml:space="preserve">Timor-Leste Government’s </w:t>
      </w:r>
      <w:r w:rsidR="00D32772" w:rsidRPr="00C14AA8">
        <w:rPr>
          <w:rFonts w:eastAsia="SimSun"/>
        </w:rPr>
        <w:t xml:space="preserve">Program for </w:t>
      </w:r>
      <w:r w:rsidR="001326AD" w:rsidRPr="00C14AA8">
        <w:rPr>
          <w:rFonts w:eastAsia="SimSun"/>
        </w:rPr>
        <w:t xml:space="preserve">Village </w:t>
      </w:r>
      <w:r w:rsidR="00D32772" w:rsidRPr="00C14AA8">
        <w:rPr>
          <w:rFonts w:eastAsia="SimSun"/>
        </w:rPr>
        <w:t>Development.</w:t>
      </w:r>
      <w:r w:rsidRPr="00C14AA8">
        <w:rPr>
          <w:rFonts w:eastAsia="SimSun"/>
        </w:rPr>
        <w:t xml:space="preserve"> </w:t>
      </w:r>
    </w:p>
    <w:p w14:paraId="6671A1AA" w14:textId="64FC4DD2" w:rsidR="00751FA0" w:rsidRPr="00C14AA8" w:rsidRDefault="006A5C78" w:rsidP="00C14AA8">
      <w:pPr>
        <w:pStyle w:val="BodyText"/>
        <w:rPr>
          <w:rFonts w:eastAsia="SimSun"/>
        </w:rPr>
      </w:pPr>
      <w:r>
        <w:rPr>
          <w:rFonts w:eastAsia="SimSun"/>
        </w:rPr>
        <w:t>Australia</w:t>
      </w:r>
      <w:r w:rsidRPr="00C14AA8">
        <w:rPr>
          <w:rFonts w:eastAsia="SimSun"/>
        </w:rPr>
        <w:t xml:space="preserve"> </w:t>
      </w:r>
      <w:r w:rsidR="000E5B37" w:rsidRPr="00C14AA8">
        <w:rPr>
          <w:rFonts w:eastAsia="SimSun"/>
        </w:rPr>
        <w:t>assist</w:t>
      </w:r>
      <w:r w:rsidR="001326AD" w:rsidRPr="00C14AA8">
        <w:rPr>
          <w:rFonts w:eastAsia="SimSun"/>
        </w:rPr>
        <w:t>ed</w:t>
      </w:r>
      <w:r w:rsidR="000E5B37" w:rsidRPr="00C14AA8">
        <w:rPr>
          <w:rFonts w:eastAsia="SimSun"/>
        </w:rPr>
        <w:t xml:space="preserve"> the Ministry of Finance </w:t>
      </w:r>
      <w:r w:rsidR="001326AD" w:rsidRPr="00C14AA8">
        <w:rPr>
          <w:rFonts w:eastAsia="SimSun"/>
        </w:rPr>
        <w:t>to</w:t>
      </w:r>
      <w:r w:rsidR="00751FA0" w:rsidRPr="00C14AA8">
        <w:rPr>
          <w:rFonts w:eastAsia="SimSun"/>
        </w:rPr>
        <w:t>:</w:t>
      </w:r>
    </w:p>
    <w:p w14:paraId="14C4D25C" w14:textId="0E467869" w:rsidR="00751FA0" w:rsidRDefault="000E5B37" w:rsidP="00C14AA8">
      <w:pPr>
        <w:pStyle w:val="ListBullet"/>
        <w:rPr>
          <w:rFonts w:eastAsia="SimSun"/>
        </w:rPr>
      </w:pPr>
      <w:r w:rsidRPr="000E1150">
        <w:rPr>
          <w:rFonts w:eastAsia="SimSun"/>
        </w:rPr>
        <w:t xml:space="preserve">finalise its 20 and five year </w:t>
      </w:r>
      <w:r w:rsidR="00751FA0">
        <w:rPr>
          <w:rFonts w:eastAsia="SimSun"/>
        </w:rPr>
        <w:t>s</w:t>
      </w:r>
      <w:r w:rsidR="00751FA0" w:rsidRPr="000E1150">
        <w:rPr>
          <w:rFonts w:eastAsia="SimSun"/>
        </w:rPr>
        <w:t xml:space="preserve">trategic </w:t>
      </w:r>
      <w:r w:rsidR="00751FA0">
        <w:rPr>
          <w:rFonts w:eastAsia="SimSun"/>
        </w:rPr>
        <w:t>p</w:t>
      </w:r>
      <w:r w:rsidR="00751FA0" w:rsidRPr="000E1150">
        <w:rPr>
          <w:rFonts w:eastAsia="SimSun"/>
        </w:rPr>
        <w:t>lans</w:t>
      </w:r>
    </w:p>
    <w:p w14:paraId="4A3CA72B" w14:textId="7004BA42" w:rsidR="00751FA0" w:rsidRDefault="000E5B37" w:rsidP="00C14AA8">
      <w:pPr>
        <w:pStyle w:val="ListBullet"/>
        <w:rPr>
          <w:rFonts w:eastAsia="SimSun"/>
        </w:rPr>
      </w:pPr>
      <w:r w:rsidRPr="000E1150">
        <w:rPr>
          <w:rFonts w:eastAsia="SimSun"/>
        </w:rPr>
        <w:t>improve budgeting and planning for projects that span more than one year (</w:t>
      </w:r>
      <w:r w:rsidR="00751FA0">
        <w:rPr>
          <w:rFonts w:eastAsia="SimSun"/>
        </w:rPr>
        <w:t>such as</w:t>
      </w:r>
      <w:r w:rsidRPr="000E1150">
        <w:rPr>
          <w:rFonts w:eastAsia="SimSun"/>
        </w:rPr>
        <w:t xml:space="preserve"> infrastructure</w:t>
      </w:r>
      <w:r w:rsidR="00751FA0" w:rsidRPr="000E1150">
        <w:rPr>
          <w:rFonts w:eastAsia="SimSun"/>
        </w:rPr>
        <w:t>)</w:t>
      </w:r>
    </w:p>
    <w:p w14:paraId="18299D29" w14:textId="1024CA60" w:rsidR="00751FA0" w:rsidRDefault="000E5B37" w:rsidP="00C14AA8">
      <w:pPr>
        <w:pStyle w:val="ListBullet"/>
        <w:rPr>
          <w:rFonts w:eastAsia="SimSun"/>
        </w:rPr>
      </w:pPr>
      <w:r w:rsidRPr="000E1150">
        <w:rPr>
          <w:rFonts w:eastAsia="SimSun"/>
        </w:rPr>
        <w:t xml:space="preserve">improve the system </w:t>
      </w:r>
      <w:r w:rsidR="00751FA0">
        <w:rPr>
          <w:rFonts w:eastAsia="SimSun"/>
        </w:rPr>
        <w:t xml:space="preserve">to </w:t>
      </w:r>
      <w:r w:rsidRPr="000E1150">
        <w:rPr>
          <w:rFonts w:eastAsia="SimSun"/>
        </w:rPr>
        <w:t>mov</w:t>
      </w:r>
      <w:r w:rsidR="00751FA0">
        <w:rPr>
          <w:rFonts w:eastAsia="SimSun"/>
        </w:rPr>
        <w:t xml:space="preserve">e </w:t>
      </w:r>
      <w:r w:rsidRPr="000E1150">
        <w:rPr>
          <w:rFonts w:eastAsia="SimSun"/>
        </w:rPr>
        <w:t>unspent funds between financial years</w:t>
      </w:r>
    </w:p>
    <w:p w14:paraId="00EE0C3C" w14:textId="6E747055" w:rsidR="00751FA0" w:rsidRDefault="000E5B37" w:rsidP="00C14AA8">
      <w:pPr>
        <w:pStyle w:val="ListBullet"/>
        <w:rPr>
          <w:rFonts w:eastAsia="SimSun"/>
        </w:rPr>
      </w:pPr>
      <w:r w:rsidRPr="000E1150">
        <w:rPr>
          <w:rFonts w:eastAsia="SimSun"/>
        </w:rPr>
        <w:t xml:space="preserve">reduce the amount of work for finance officers by allowing unpaid bills of the state to be </w:t>
      </w:r>
      <w:r w:rsidR="00751FA0" w:rsidRPr="000E1150">
        <w:rPr>
          <w:rFonts w:eastAsia="SimSun"/>
        </w:rPr>
        <w:t xml:space="preserve">automatically </w:t>
      </w:r>
      <w:r w:rsidRPr="000E1150">
        <w:rPr>
          <w:rFonts w:eastAsia="SimSun"/>
        </w:rPr>
        <w:t>rolled over into the new budget year</w:t>
      </w:r>
    </w:p>
    <w:p w14:paraId="6C4A97C0" w14:textId="04065FB6" w:rsidR="00751FA0" w:rsidRDefault="001326AD" w:rsidP="00C14AA8">
      <w:pPr>
        <w:pStyle w:val="ListBullet"/>
        <w:rPr>
          <w:rFonts w:eastAsia="SimSun"/>
        </w:rPr>
      </w:pPr>
      <w:proofErr w:type="gramStart"/>
      <w:r w:rsidRPr="000E1150">
        <w:rPr>
          <w:rFonts w:eastAsia="SimSun"/>
        </w:rPr>
        <w:t>introduce</w:t>
      </w:r>
      <w:proofErr w:type="gramEnd"/>
      <w:r w:rsidR="000E5B37" w:rsidRPr="000E1150">
        <w:rPr>
          <w:rFonts w:eastAsia="SimSun"/>
        </w:rPr>
        <w:t xml:space="preserve"> automated bank reconciliations. </w:t>
      </w:r>
    </w:p>
    <w:p w14:paraId="729CE752" w14:textId="3E4257F1" w:rsidR="000E5B37" w:rsidRPr="000E1150" w:rsidRDefault="000E5B37" w:rsidP="00C14AA8">
      <w:pPr>
        <w:pStyle w:val="BodyText"/>
      </w:pPr>
      <w:r w:rsidRPr="000E1150">
        <w:rPr>
          <w:rFonts w:eastAsia="SimSun"/>
        </w:rPr>
        <w:t xml:space="preserve">All of these reforms will free up time for finance officers to focus on helping service delivery agencies improve their financial management practices. </w:t>
      </w:r>
      <w:r w:rsidR="00290C79">
        <w:rPr>
          <w:rFonts w:eastAsia="SimSun"/>
        </w:rPr>
        <w:t>The department</w:t>
      </w:r>
      <w:r w:rsidR="00290C79" w:rsidRPr="000E1150">
        <w:rPr>
          <w:rFonts w:eastAsia="SimSun"/>
        </w:rPr>
        <w:t xml:space="preserve"> </w:t>
      </w:r>
      <w:r w:rsidRPr="000E1150">
        <w:rPr>
          <w:rFonts w:eastAsia="SimSun"/>
        </w:rPr>
        <w:t xml:space="preserve">also supported the National Directorate of Statistics to carry out its Consumer Price Index 2012 (which had not been updated since 2001) and Business Activity Survey 2011. </w:t>
      </w:r>
    </w:p>
    <w:p w14:paraId="086336F1" w14:textId="33D1A896" w:rsidR="00901226" w:rsidRPr="00FA0E61" w:rsidRDefault="00751FA0" w:rsidP="00C14AA8">
      <w:pPr>
        <w:pStyle w:val="BodyText"/>
        <w:rPr>
          <w:rFonts w:eastAsia="SimSun"/>
        </w:rPr>
      </w:pPr>
      <w:r>
        <w:rPr>
          <w:rFonts w:eastAsia="SimSun"/>
        </w:rPr>
        <w:t>Help was provided to</w:t>
      </w:r>
      <w:r w:rsidR="00901226" w:rsidRPr="00FA0E61">
        <w:rPr>
          <w:rFonts w:eastAsia="SimSun"/>
        </w:rPr>
        <w:t xml:space="preserve"> the </w:t>
      </w:r>
      <w:r w:rsidR="00AC21A1" w:rsidRPr="00FA0E61">
        <w:rPr>
          <w:rFonts w:eastAsia="SimSun"/>
        </w:rPr>
        <w:t xml:space="preserve">Timorese </w:t>
      </w:r>
      <w:r w:rsidR="00901226" w:rsidRPr="00FA0E61">
        <w:rPr>
          <w:rFonts w:eastAsia="SimSun"/>
        </w:rPr>
        <w:t xml:space="preserve">Civil Service Commission to </w:t>
      </w:r>
      <w:r w:rsidR="0012171C" w:rsidRPr="00FA0E61">
        <w:rPr>
          <w:rFonts w:eastAsia="SimSun"/>
        </w:rPr>
        <w:t>review</w:t>
      </w:r>
      <w:r w:rsidR="00901226" w:rsidRPr="00FA0E61">
        <w:rPr>
          <w:rFonts w:eastAsia="SimSun"/>
        </w:rPr>
        <w:t xml:space="preserve"> laws and policies for civil service training and gender equality</w:t>
      </w:r>
      <w:r w:rsidR="0012171C" w:rsidRPr="00FA0E61">
        <w:rPr>
          <w:rFonts w:eastAsia="SimSun"/>
        </w:rPr>
        <w:t>.</w:t>
      </w:r>
      <w:r w:rsidR="00FB54EE" w:rsidRPr="00FA0E61">
        <w:rPr>
          <w:rFonts w:eastAsia="SimSun"/>
        </w:rPr>
        <w:t xml:space="preserve"> We also s</w:t>
      </w:r>
      <w:r w:rsidR="00901226" w:rsidRPr="00FA0E61">
        <w:rPr>
          <w:rFonts w:eastAsia="SimSun"/>
        </w:rPr>
        <w:t>upported the Major Projects Secretaria</w:t>
      </w:r>
      <w:r w:rsidR="000F7C54" w:rsidRPr="00FA0E61">
        <w:rPr>
          <w:rFonts w:eastAsia="SimSun"/>
        </w:rPr>
        <w:t>t to appraise all 17 large</w:t>
      </w:r>
      <w:r w:rsidR="00901226" w:rsidRPr="00FA0E61">
        <w:rPr>
          <w:rFonts w:eastAsia="SimSun"/>
        </w:rPr>
        <w:t xml:space="preserve"> infrastructure projects proposed during 2012, </w:t>
      </w:r>
      <w:r>
        <w:rPr>
          <w:rFonts w:eastAsia="SimSun"/>
        </w:rPr>
        <w:t xml:space="preserve">and to </w:t>
      </w:r>
      <w:r w:rsidR="00901226" w:rsidRPr="00FA0E61">
        <w:rPr>
          <w:rFonts w:eastAsia="SimSun"/>
        </w:rPr>
        <w:t xml:space="preserve">assess their feasibility and likely economic return. These appraisals were considered in the 2013 budget process. </w:t>
      </w:r>
      <w:r w:rsidR="0012171C" w:rsidRPr="00FA0E61">
        <w:rPr>
          <w:rFonts w:eastAsia="SimSun"/>
        </w:rPr>
        <w:t xml:space="preserve">Australia supported the National Procurement Commission with an agent to help its procurement and </w:t>
      </w:r>
      <w:r>
        <w:rPr>
          <w:rFonts w:eastAsia="SimSun"/>
        </w:rPr>
        <w:t>has</w:t>
      </w:r>
      <w:r w:rsidRPr="00FA0E61">
        <w:rPr>
          <w:rFonts w:eastAsia="SimSun"/>
        </w:rPr>
        <w:t xml:space="preserve"> </w:t>
      </w:r>
      <w:r w:rsidR="0012171C" w:rsidRPr="00FA0E61">
        <w:rPr>
          <w:rFonts w:eastAsia="SimSun"/>
        </w:rPr>
        <w:t>begun working with the National Development Agency to improve its effectiveness.</w:t>
      </w:r>
    </w:p>
    <w:p w14:paraId="613F82A8" w14:textId="0305341B" w:rsidR="00262DC3" w:rsidRPr="00FA0E61" w:rsidRDefault="00663A6F" w:rsidP="00C14AA8">
      <w:pPr>
        <w:pStyle w:val="BodyText"/>
        <w:rPr>
          <w:rFonts w:eastAsia="SimSun"/>
        </w:rPr>
      </w:pPr>
      <w:r w:rsidRPr="00FA0E61">
        <w:rPr>
          <w:rFonts w:eastAsia="SimSun"/>
        </w:rPr>
        <w:t xml:space="preserve">Our governance program assisted the Ministry of State Administration to start the National Program for </w:t>
      </w:r>
      <w:r w:rsidR="001326AD" w:rsidRPr="00FA0E61">
        <w:rPr>
          <w:rFonts w:eastAsia="SimSun"/>
        </w:rPr>
        <w:t xml:space="preserve">Village </w:t>
      </w:r>
      <w:r w:rsidRPr="00FA0E61">
        <w:rPr>
          <w:rFonts w:eastAsia="SimSun"/>
        </w:rPr>
        <w:t>Development</w:t>
      </w:r>
      <w:r w:rsidR="00AC21A1">
        <w:rPr>
          <w:rFonts w:eastAsia="SimSun"/>
        </w:rPr>
        <w:t>,</w:t>
      </w:r>
      <w:r w:rsidR="00AF45DC" w:rsidRPr="00FA0E61">
        <w:rPr>
          <w:rFonts w:eastAsia="SimSun"/>
        </w:rPr>
        <w:t xml:space="preserve"> </w:t>
      </w:r>
      <w:r w:rsidRPr="00FA0E61">
        <w:rPr>
          <w:rFonts w:eastAsia="SimSun"/>
        </w:rPr>
        <w:t>which will provide government grants of US</w:t>
      </w:r>
      <w:r w:rsidR="00751FA0">
        <w:rPr>
          <w:rFonts w:eastAsia="SimSun"/>
        </w:rPr>
        <w:t>D</w:t>
      </w:r>
      <w:r w:rsidRPr="00FA0E61">
        <w:rPr>
          <w:rFonts w:eastAsia="SimSun"/>
        </w:rPr>
        <w:t>50</w:t>
      </w:r>
      <w:r w:rsidR="00751FA0">
        <w:rPr>
          <w:rFonts w:eastAsia="SimSun"/>
        </w:rPr>
        <w:t xml:space="preserve"> </w:t>
      </w:r>
      <w:r w:rsidRPr="00FA0E61">
        <w:rPr>
          <w:rFonts w:eastAsia="SimSun"/>
        </w:rPr>
        <w:t>000</w:t>
      </w:r>
      <w:r w:rsidR="0069653D" w:rsidRPr="00FA0E61">
        <w:rPr>
          <w:rFonts w:eastAsia="SimSun"/>
        </w:rPr>
        <w:t xml:space="preserve"> to US</w:t>
      </w:r>
      <w:r w:rsidR="00751FA0">
        <w:rPr>
          <w:rFonts w:eastAsia="SimSun"/>
        </w:rPr>
        <w:t>D</w:t>
      </w:r>
      <w:r w:rsidRPr="00FA0E61">
        <w:rPr>
          <w:rFonts w:eastAsia="SimSun"/>
        </w:rPr>
        <w:t>75</w:t>
      </w:r>
      <w:r w:rsidR="00751FA0">
        <w:rPr>
          <w:rFonts w:eastAsia="SimSun"/>
        </w:rPr>
        <w:t xml:space="preserve"> </w:t>
      </w:r>
      <w:r w:rsidRPr="00FA0E61">
        <w:rPr>
          <w:rFonts w:eastAsia="SimSun"/>
        </w:rPr>
        <w:t xml:space="preserve">000 to every village in Timor-Leste. </w:t>
      </w:r>
      <w:r w:rsidR="00751FA0">
        <w:rPr>
          <w:rFonts w:eastAsia="SimSun"/>
        </w:rPr>
        <w:t>A</w:t>
      </w:r>
      <w:r w:rsidRPr="00FA0E61">
        <w:rPr>
          <w:rFonts w:eastAsia="SimSun"/>
        </w:rPr>
        <w:t xml:space="preserve"> field </w:t>
      </w:r>
      <w:r w:rsidR="00F974A3" w:rsidRPr="00FA0E61">
        <w:rPr>
          <w:rFonts w:eastAsia="SimSun"/>
        </w:rPr>
        <w:t>test of</w:t>
      </w:r>
      <w:r w:rsidRPr="00FA0E61">
        <w:rPr>
          <w:rFonts w:eastAsia="SimSun"/>
        </w:rPr>
        <w:t xml:space="preserve"> the program </w:t>
      </w:r>
      <w:r w:rsidR="00751FA0">
        <w:rPr>
          <w:rFonts w:eastAsia="SimSun"/>
        </w:rPr>
        <w:t xml:space="preserve">will be </w:t>
      </w:r>
      <w:r w:rsidR="00751FA0" w:rsidRPr="00FA0E61">
        <w:rPr>
          <w:rFonts w:eastAsia="SimSun"/>
        </w:rPr>
        <w:t>support</w:t>
      </w:r>
      <w:r w:rsidR="00751FA0">
        <w:rPr>
          <w:rFonts w:eastAsia="SimSun"/>
        </w:rPr>
        <w:t>ed</w:t>
      </w:r>
      <w:r w:rsidR="00751FA0" w:rsidRPr="00FA0E61">
        <w:rPr>
          <w:rFonts w:eastAsia="SimSun"/>
        </w:rPr>
        <w:t xml:space="preserve"> </w:t>
      </w:r>
      <w:r w:rsidRPr="00FA0E61">
        <w:rPr>
          <w:rFonts w:eastAsia="SimSun"/>
        </w:rPr>
        <w:t xml:space="preserve">in 2013 </w:t>
      </w:r>
      <w:r w:rsidR="00751FA0">
        <w:rPr>
          <w:rFonts w:eastAsia="SimSun"/>
        </w:rPr>
        <w:t>as well as</w:t>
      </w:r>
      <w:r w:rsidRPr="00FA0E61">
        <w:rPr>
          <w:rFonts w:eastAsia="SimSun"/>
        </w:rPr>
        <w:t xml:space="preserve"> the full </w:t>
      </w:r>
      <w:r w:rsidR="00AC21A1">
        <w:rPr>
          <w:rFonts w:eastAsia="SimSun"/>
        </w:rPr>
        <w:t xml:space="preserve">program </w:t>
      </w:r>
      <w:r w:rsidRPr="00FA0E61">
        <w:rPr>
          <w:rFonts w:eastAsia="SimSun"/>
        </w:rPr>
        <w:t>roll</w:t>
      </w:r>
      <w:r w:rsidR="0069653D" w:rsidRPr="00FA0E61">
        <w:rPr>
          <w:rFonts w:eastAsia="SimSun"/>
        </w:rPr>
        <w:t>-</w:t>
      </w:r>
      <w:r w:rsidRPr="00FA0E61">
        <w:rPr>
          <w:rFonts w:eastAsia="SimSun"/>
        </w:rPr>
        <w:t xml:space="preserve">out in 2014. These grants </w:t>
      </w:r>
      <w:r w:rsidR="001326AD" w:rsidRPr="00FA0E61">
        <w:rPr>
          <w:rFonts w:eastAsia="SimSun"/>
        </w:rPr>
        <w:t xml:space="preserve">will </w:t>
      </w:r>
      <w:r w:rsidRPr="00FA0E61">
        <w:rPr>
          <w:rFonts w:eastAsia="SimSun"/>
        </w:rPr>
        <w:t xml:space="preserve">be used to build new irrigation channels </w:t>
      </w:r>
      <w:r w:rsidR="00751FA0" w:rsidRPr="00FA0E61">
        <w:rPr>
          <w:rFonts w:eastAsia="SimSun"/>
        </w:rPr>
        <w:t xml:space="preserve">and </w:t>
      </w:r>
      <w:r w:rsidRPr="00FA0E61">
        <w:rPr>
          <w:rFonts w:eastAsia="SimSun"/>
        </w:rPr>
        <w:t xml:space="preserve">small bridges, </w:t>
      </w:r>
      <w:r w:rsidR="00751FA0">
        <w:rPr>
          <w:rFonts w:eastAsia="SimSun"/>
        </w:rPr>
        <w:t xml:space="preserve">and to </w:t>
      </w:r>
      <w:r w:rsidRPr="00FA0E61">
        <w:rPr>
          <w:rFonts w:eastAsia="SimSun"/>
        </w:rPr>
        <w:t xml:space="preserve">refurbish existing water systems, schools and health posts. Australia also commenced training the 400 facilitators who </w:t>
      </w:r>
      <w:r w:rsidR="00F974A3" w:rsidRPr="00FA0E61">
        <w:rPr>
          <w:rFonts w:eastAsia="SimSun"/>
        </w:rPr>
        <w:t>will assist</w:t>
      </w:r>
      <w:r w:rsidRPr="00FA0E61">
        <w:rPr>
          <w:rFonts w:eastAsia="SimSun"/>
        </w:rPr>
        <w:t xml:space="preserve"> communities to plan, build and maintain this infrastructure. </w:t>
      </w:r>
    </w:p>
    <w:p w14:paraId="5C844F54" w14:textId="79ACA89A" w:rsidR="004E3D9B" w:rsidRPr="00FA0E61" w:rsidRDefault="004E3D9B" w:rsidP="00C14AA8">
      <w:pPr>
        <w:pStyle w:val="BodyText"/>
        <w:rPr>
          <w:rFonts w:eastAsia="SimSun"/>
        </w:rPr>
      </w:pPr>
      <w:r w:rsidRPr="00FA0E61">
        <w:rPr>
          <w:rFonts w:eastAsia="SimSun"/>
        </w:rPr>
        <w:t xml:space="preserve">Across </w:t>
      </w:r>
      <w:r w:rsidR="00262DC3" w:rsidRPr="00FA0E61">
        <w:rPr>
          <w:rFonts w:eastAsia="SimSun"/>
        </w:rPr>
        <w:t xml:space="preserve">key central </w:t>
      </w:r>
      <w:r w:rsidRPr="00FA0E61">
        <w:rPr>
          <w:rFonts w:eastAsia="SimSun"/>
        </w:rPr>
        <w:t xml:space="preserve">agencies, there has been a substantial increase in the level of buy-in, engagement and trust of Australia as a partner. This has been reflected in a much deeper policy dialogue with the Ministries of Finance and State Administration and the Civil Service Commission, evidenced by agreement to a more flexible budget support arrangement at </w:t>
      </w:r>
      <w:r w:rsidRPr="00FA0E61">
        <w:rPr>
          <w:rFonts w:eastAsia="SimSun"/>
        </w:rPr>
        <w:lastRenderedPageBreak/>
        <w:t xml:space="preserve">Finance, helping to design </w:t>
      </w:r>
      <w:r w:rsidR="00AC21A1">
        <w:rPr>
          <w:rFonts w:eastAsia="SimSun"/>
        </w:rPr>
        <w:t xml:space="preserve">the </w:t>
      </w:r>
      <w:r w:rsidR="00AC21A1" w:rsidRPr="00FA0E61">
        <w:rPr>
          <w:rFonts w:eastAsia="SimSun"/>
        </w:rPr>
        <w:t>National Program for Village Development</w:t>
      </w:r>
      <w:r w:rsidR="00751FA0">
        <w:rPr>
          <w:rFonts w:eastAsia="SimSun"/>
        </w:rPr>
        <w:t>,</w:t>
      </w:r>
      <w:r w:rsidRPr="00FA0E61">
        <w:rPr>
          <w:rFonts w:eastAsia="SimSun"/>
        </w:rPr>
        <w:t xml:space="preserve"> and a joint strategic review at the Civil Service Commission.</w:t>
      </w:r>
    </w:p>
    <w:p w14:paraId="5AE443B9" w14:textId="12348C8C" w:rsidR="00663A6F" w:rsidRPr="00395C48" w:rsidRDefault="00663A6F" w:rsidP="00C14AA8">
      <w:pPr>
        <w:pStyle w:val="BodyText"/>
      </w:pPr>
      <w:r w:rsidRPr="00FA0E61">
        <w:rPr>
          <w:rFonts w:eastAsia="SimSun"/>
        </w:rPr>
        <w:t xml:space="preserve">The program design requires the active participation of female community members in </w:t>
      </w:r>
      <w:r w:rsidR="00AC21A1" w:rsidRPr="00FA0E61">
        <w:rPr>
          <w:rFonts w:eastAsia="SimSun"/>
        </w:rPr>
        <w:t xml:space="preserve">National Program for Village Development </w:t>
      </w:r>
      <w:r w:rsidRPr="00FA0E61">
        <w:rPr>
          <w:rFonts w:eastAsia="SimSun"/>
        </w:rPr>
        <w:t xml:space="preserve">village committees and during program planning and implementation. </w:t>
      </w:r>
      <w:r w:rsidR="00795F2C">
        <w:rPr>
          <w:rFonts w:eastAsia="SimSun"/>
        </w:rPr>
        <w:t xml:space="preserve">The department </w:t>
      </w:r>
      <w:r w:rsidRPr="00FA0E61">
        <w:rPr>
          <w:rFonts w:eastAsia="SimSun"/>
        </w:rPr>
        <w:t xml:space="preserve">has worked with </w:t>
      </w:r>
      <w:r w:rsidR="00751FA0">
        <w:rPr>
          <w:rFonts w:eastAsia="SimSun"/>
        </w:rPr>
        <w:t xml:space="preserve">the </w:t>
      </w:r>
      <w:r w:rsidR="00751FA0" w:rsidRPr="00751FA0">
        <w:t>Timor-Leste Government</w:t>
      </w:r>
      <w:r w:rsidR="00751FA0" w:rsidRPr="00FA0E61">
        <w:rPr>
          <w:rFonts w:eastAsia="SimSun"/>
        </w:rPr>
        <w:t xml:space="preserve"> </w:t>
      </w:r>
      <w:r w:rsidRPr="00FA0E61">
        <w:rPr>
          <w:rFonts w:eastAsia="SimSun"/>
        </w:rPr>
        <w:t>to ensure that at least 40</w:t>
      </w:r>
      <w:r w:rsidR="00933410" w:rsidRPr="00FA0E61">
        <w:rPr>
          <w:rFonts w:eastAsia="SimSun"/>
        </w:rPr>
        <w:t xml:space="preserve"> per cent</w:t>
      </w:r>
      <w:r w:rsidRPr="00FA0E61">
        <w:rPr>
          <w:rFonts w:eastAsia="SimSun"/>
        </w:rPr>
        <w:t xml:space="preserve"> of community facilitators are women</w:t>
      </w:r>
      <w:r w:rsidR="00751FA0">
        <w:rPr>
          <w:rFonts w:eastAsia="SimSun"/>
        </w:rPr>
        <w:t xml:space="preserve"> and w</w:t>
      </w:r>
      <w:r w:rsidRPr="00FA0E61">
        <w:rPr>
          <w:rFonts w:eastAsia="SimSun"/>
        </w:rPr>
        <w:t xml:space="preserve">ill monitor the participation of women during </w:t>
      </w:r>
      <w:r w:rsidR="00AC21A1">
        <w:rPr>
          <w:rFonts w:eastAsia="SimSun"/>
        </w:rPr>
        <w:t>the program’s</w:t>
      </w:r>
      <w:r w:rsidR="00AC21A1" w:rsidRPr="00FA0E61">
        <w:rPr>
          <w:rFonts w:eastAsia="SimSun"/>
        </w:rPr>
        <w:t xml:space="preserve"> </w:t>
      </w:r>
      <w:r w:rsidRPr="00FA0E61">
        <w:rPr>
          <w:rFonts w:eastAsia="SimSun"/>
        </w:rPr>
        <w:t>implementation</w:t>
      </w:r>
      <w:r w:rsidR="00751FA0">
        <w:rPr>
          <w:rFonts w:eastAsia="SimSun"/>
        </w:rPr>
        <w:t xml:space="preserve">. We will also </w:t>
      </w:r>
      <w:r w:rsidR="00F974A3" w:rsidRPr="00FA0E61">
        <w:rPr>
          <w:rFonts w:eastAsia="SimSun"/>
        </w:rPr>
        <w:t>work with</w:t>
      </w:r>
      <w:r w:rsidRPr="00FA0E61">
        <w:rPr>
          <w:rFonts w:eastAsia="SimSun"/>
        </w:rPr>
        <w:t xml:space="preserve"> </w:t>
      </w:r>
      <w:r w:rsidR="00751FA0">
        <w:rPr>
          <w:rFonts w:eastAsia="SimSun"/>
        </w:rPr>
        <w:t xml:space="preserve">the </w:t>
      </w:r>
      <w:r w:rsidR="00751FA0" w:rsidRPr="00751FA0">
        <w:t>Timor-Leste Government</w:t>
      </w:r>
      <w:r w:rsidR="00751FA0">
        <w:t xml:space="preserve"> </w:t>
      </w:r>
      <w:r w:rsidRPr="00FA0E61">
        <w:rPr>
          <w:rFonts w:eastAsia="SimSun"/>
        </w:rPr>
        <w:t xml:space="preserve">and communities to improve </w:t>
      </w:r>
      <w:r w:rsidR="00751FA0">
        <w:rPr>
          <w:rFonts w:eastAsia="SimSun"/>
        </w:rPr>
        <w:t xml:space="preserve">the </w:t>
      </w:r>
      <w:r w:rsidR="00AF45DC" w:rsidRPr="00FA0E61">
        <w:rPr>
          <w:rFonts w:eastAsia="SimSun"/>
        </w:rPr>
        <w:t>participation of women</w:t>
      </w:r>
      <w:r w:rsidRPr="00FA0E61">
        <w:rPr>
          <w:rFonts w:eastAsia="SimSun"/>
        </w:rPr>
        <w:t>.</w:t>
      </w:r>
    </w:p>
    <w:p w14:paraId="0206F3DE" w14:textId="04570DEC" w:rsidR="00901226" w:rsidRPr="00FA0E61" w:rsidRDefault="00751FA0" w:rsidP="00C14AA8">
      <w:pPr>
        <w:pStyle w:val="BodyText"/>
        <w:rPr>
          <w:rFonts w:eastAsia="SimSun"/>
        </w:rPr>
      </w:pPr>
      <w:r>
        <w:rPr>
          <w:rFonts w:eastAsia="SimSun"/>
        </w:rPr>
        <w:t xml:space="preserve">During the year </w:t>
      </w:r>
      <w:r w:rsidR="00352F2B">
        <w:rPr>
          <w:rFonts w:eastAsia="SimSun"/>
        </w:rPr>
        <w:t xml:space="preserve">Australia </w:t>
      </w:r>
      <w:r w:rsidR="00610726" w:rsidRPr="00FA0E61">
        <w:rPr>
          <w:rFonts w:eastAsia="SimSun"/>
        </w:rPr>
        <w:t>s</w:t>
      </w:r>
      <w:r w:rsidR="00901226" w:rsidRPr="00FA0E61">
        <w:rPr>
          <w:rFonts w:eastAsia="SimSun"/>
        </w:rPr>
        <w:t>upported and increased engagement with the Disability Working Group</w:t>
      </w:r>
      <w:r w:rsidR="001326AD" w:rsidRPr="00FA0E61">
        <w:rPr>
          <w:rFonts w:eastAsia="SimSun"/>
        </w:rPr>
        <w:t xml:space="preserve">, </w:t>
      </w:r>
      <w:r w:rsidR="00901226" w:rsidRPr="00FA0E61">
        <w:rPr>
          <w:rFonts w:eastAsia="SimSun"/>
        </w:rPr>
        <w:t xml:space="preserve">the national representative and coordinating body for people with disability in Timor-Leste. Our support is helping to build and maintain linkages between the disability sector and government as well as Australia, </w:t>
      </w:r>
      <w:r>
        <w:rPr>
          <w:rFonts w:eastAsia="SimSun"/>
        </w:rPr>
        <w:t xml:space="preserve">and </w:t>
      </w:r>
      <w:r w:rsidR="008F2295" w:rsidRPr="00FA0E61">
        <w:rPr>
          <w:rFonts w:eastAsia="SimSun"/>
        </w:rPr>
        <w:t>ensuring</w:t>
      </w:r>
      <w:r w:rsidR="00901226" w:rsidRPr="00FA0E61">
        <w:rPr>
          <w:rFonts w:eastAsia="SimSun"/>
        </w:rPr>
        <w:t xml:space="preserve"> people with disability are active </w:t>
      </w:r>
      <w:r w:rsidR="000C13D5" w:rsidRPr="00FA0E61">
        <w:rPr>
          <w:rFonts w:eastAsia="SimSun"/>
        </w:rPr>
        <w:t>contributors to decision making.</w:t>
      </w:r>
      <w:r w:rsidR="00663A6F" w:rsidRPr="00FA0E61">
        <w:rPr>
          <w:rFonts w:eastAsia="SimSun"/>
        </w:rPr>
        <w:t xml:space="preserve"> The </w:t>
      </w:r>
      <w:r w:rsidR="00E72E36" w:rsidRPr="00FA0E61">
        <w:rPr>
          <w:rFonts w:eastAsia="SimSun"/>
        </w:rPr>
        <w:t>Disability Working Group</w:t>
      </w:r>
      <w:r w:rsidR="00663A6F" w:rsidRPr="00FA0E61">
        <w:rPr>
          <w:rFonts w:eastAsia="SimSun"/>
        </w:rPr>
        <w:t xml:space="preserve"> has </w:t>
      </w:r>
      <w:r>
        <w:rPr>
          <w:rFonts w:eastAsia="SimSun"/>
        </w:rPr>
        <w:t>helped</w:t>
      </w:r>
      <w:r w:rsidRPr="00FA0E61">
        <w:rPr>
          <w:rFonts w:eastAsia="SimSun"/>
        </w:rPr>
        <w:t xml:space="preserve"> </w:t>
      </w:r>
      <w:r w:rsidR="00663A6F" w:rsidRPr="00FA0E61">
        <w:rPr>
          <w:rFonts w:eastAsia="SimSun"/>
        </w:rPr>
        <w:t xml:space="preserve">ensure that </w:t>
      </w:r>
      <w:r w:rsidR="00AC21A1" w:rsidRPr="00FA0E61">
        <w:rPr>
          <w:rFonts w:eastAsia="SimSun"/>
        </w:rPr>
        <w:t xml:space="preserve">National Program for Village Development </w:t>
      </w:r>
      <w:r w:rsidR="00663A6F" w:rsidRPr="00FA0E61">
        <w:rPr>
          <w:rFonts w:eastAsia="SimSun"/>
        </w:rPr>
        <w:t xml:space="preserve">facilitator training materials </w:t>
      </w:r>
      <w:proofErr w:type="gramStart"/>
      <w:r w:rsidR="00663A6F" w:rsidRPr="00FA0E61">
        <w:rPr>
          <w:rFonts w:eastAsia="SimSun"/>
        </w:rPr>
        <w:t>are</w:t>
      </w:r>
      <w:proofErr w:type="gramEnd"/>
      <w:r w:rsidR="00663A6F" w:rsidRPr="00FA0E61">
        <w:rPr>
          <w:rFonts w:eastAsia="SimSun"/>
        </w:rPr>
        <w:t xml:space="preserve"> disability-inclusive.</w:t>
      </w:r>
    </w:p>
    <w:p w14:paraId="5FC62F17" w14:textId="77777777" w:rsidR="00901226" w:rsidRPr="00B50AE3" w:rsidRDefault="00901226" w:rsidP="00C14AA8">
      <w:pPr>
        <w:pStyle w:val="BodyText"/>
      </w:pPr>
      <w:r w:rsidRPr="00B50AE3">
        <w:rPr>
          <w:rFonts w:eastAsia="SimSun"/>
        </w:rPr>
        <w:t>There</w:t>
      </w:r>
      <w:r w:rsidRPr="00B50AE3">
        <w:t xml:space="preserve"> </w:t>
      </w:r>
      <w:r w:rsidR="00E72E36">
        <w:t>are some</w:t>
      </w:r>
      <w:r w:rsidRPr="00B50AE3">
        <w:t xml:space="preserve"> </w:t>
      </w:r>
      <w:r w:rsidRPr="00395C48">
        <w:t>challenges affecting progress</w:t>
      </w:r>
      <w:r w:rsidR="00E72E36" w:rsidRPr="00395C48">
        <w:t>.</w:t>
      </w:r>
      <w:r w:rsidR="00160303">
        <w:rPr>
          <w:b/>
        </w:rPr>
        <w:t xml:space="preserve"> </w:t>
      </w:r>
      <w:r w:rsidRPr="00B50AE3">
        <w:t>Australia continued to support the strengthening of Timor-Leste’s public financial management systems in partnership with the World Bank. We are transitioning to context-appropriate delivery m</w:t>
      </w:r>
      <w:r w:rsidR="004E3D9B">
        <w:t>echanisms</w:t>
      </w:r>
      <w:r w:rsidRPr="00B50AE3">
        <w:t xml:space="preserve"> </w:t>
      </w:r>
      <w:r w:rsidR="00C73270" w:rsidRPr="00B50AE3">
        <w:t xml:space="preserve">within the World Bank </w:t>
      </w:r>
      <w:r w:rsidRPr="00B50AE3">
        <w:t xml:space="preserve">including a country-level trust fund to support analytical and advisory services. </w:t>
      </w:r>
    </w:p>
    <w:p w14:paraId="51095BF9" w14:textId="6D0CCB36" w:rsidR="00901226" w:rsidRPr="00B50AE3" w:rsidRDefault="00901226" w:rsidP="00C14AA8">
      <w:pPr>
        <w:pStyle w:val="BodyText"/>
        <w:rPr>
          <w:szCs w:val="22"/>
        </w:rPr>
      </w:pPr>
      <w:r w:rsidRPr="00B50AE3">
        <w:rPr>
          <w:szCs w:val="22"/>
        </w:rPr>
        <w:t xml:space="preserve">Australia responded to </w:t>
      </w:r>
      <w:r w:rsidR="00160303" w:rsidRPr="00B50AE3">
        <w:rPr>
          <w:szCs w:val="22"/>
        </w:rPr>
        <w:t>th</w:t>
      </w:r>
      <w:r w:rsidR="00160303">
        <w:rPr>
          <w:szCs w:val="22"/>
        </w:rPr>
        <w:t>e</w:t>
      </w:r>
      <w:r w:rsidRPr="00B50AE3">
        <w:rPr>
          <w:szCs w:val="22"/>
        </w:rPr>
        <w:t xml:space="preserve"> dynamic environment </w:t>
      </w:r>
      <w:r w:rsidR="00A20D42">
        <w:rPr>
          <w:szCs w:val="22"/>
        </w:rPr>
        <w:t>post</w:t>
      </w:r>
      <w:r w:rsidR="00160303">
        <w:rPr>
          <w:szCs w:val="22"/>
        </w:rPr>
        <w:t>-</w:t>
      </w:r>
      <w:r w:rsidR="00A20D42">
        <w:rPr>
          <w:szCs w:val="22"/>
        </w:rPr>
        <w:t xml:space="preserve">election </w:t>
      </w:r>
      <w:r w:rsidRPr="00B50AE3">
        <w:rPr>
          <w:szCs w:val="22"/>
        </w:rPr>
        <w:t xml:space="preserve">by extending the timetable for the development </w:t>
      </w:r>
      <w:r w:rsidR="000C13D5" w:rsidRPr="00B50AE3">
        <w:rPr>
          <w:szCs w:val="22"/>
        </w:rPr>
        <w:t xml:space="preserve">of </w:t>
      </w:r>
      <w:r w:rsidR="00751FA0" w:rsidRPr="00B50AE3">
        <w:rPr>
          <w:rFonts w:eastAsia="SimSun"/>
          <w:szCs w:val="22"/>
        </w:rPr>
        <w:t xml:space="preserve">Governance for Development program </w:t>
      </w:r>
      <w:r w:rsidR="000C13D5" w:rsidRPr="00B50AE3">
        <w:rPr>
          <w:szCs w:val="22"/>
        </w:rPr>
        <w:t>design</w:t>
      </w:r>
      <w:r w:rsidRPr="00B50AE3">
        <w:rPr>
          <w:szCs w:val="22"/>
        </w:rPr>
        <w:t xml:space="preserve"> to 2013. </w:t>
      </w:r>
      <w:r w:rsidR="00A20D42">
        <w:rPr>
          <w:szCs w:val="22"/>
        </w:rPr>
        <w:t>W</w:t>
      </w:r>
      <w:r w:rsidRPr="00B50AE3">
        <w:rPr>
          <w:szCs w:val="22"/>
        </w:rPr>
        <w:t xml:space="preserve">e have maintained clear objectives, while being flexible in how we achieve these. </w:t>
      </w:r>
      <w:r w:rsidR="00751FA0">
        <w:rPr>
          <w:szCs w:val="22"/>
        </w:rPr>
        <w:t xml:space="preserve">The </w:t>
      </w:r>
      <w:r w:rsidR="00751FA0" w:rsidRPr="00751FA0">
        <w:rPr>
          <w:szCs w:val="22"/>
        </w:rPr>
        <w:t>Timor-Leste Government</w:t>
      </w:r>
      <w:r w:rsidR="00751FA0">
        <w:rPr>
          <w:szCs w:val="22"/>
        </w:rPr>
        <w:t xml:space="preserve"> </w:t>
      </w:r>
      <w:r w:rsidRPr="00B50AE3">
        <w:rPr>
          <w:szCs w:val="22"/>
        </w:rPr>
        <w:t xml:space="preserve">has a strong desire to deliver tangible results to its people. </w:t>
      </w:r>
      <w:r w:rsidR="00663A6F" w:rsidRPr="00B50AE3">
        <w:rPr>
          <w:szCs w:val="22"/>
        </w:rPr>
        <w:t xml:space="preserve">This has resulted in pressure on ministries to deliver programs quickly. With Australia’s support, </w:t>
      </w:r>
      <w:r w:rsidR="00751FA0">
        <w:rPr>
          <w:szCs w:val="22"/>
        </w:rPr>
        <w:t>the government</w:t>
      </w:r>
      <w:r w:rsidR="00751FA0" w:rsidRPr="00B50AE3">
        <w:rPr>
          <w:szCs w:val="22"/>
        </w:rPr>
        <w:t xml:space="preserve"> </w:t>
      </w:r>
      <w:r w:rsidR="00663A6F" w:rsidRPr="00B50AE3">
        <w:rPr>
          <w:szCs w:val="22"/>
        </w:rPr>
        <w:t>has tried to balance this pressure</w:t>
      </w:r>
      <w:r w:rsidR="00AF45DC">
        <w:rPr>
          <w:szCs w:val="22"/>
        </w:rPr>
        <w:t>. I</w:t>
      </w:r>
      <w:r w:rsidR="00663A6F" w:rsidRPr="00B50AE3">
        <w:rPr>
          <w:szCs w:val="22"/>
        </w:rPr>
        <w:t xml:space="preserve">t has allowed time to design the </w:t>
      </w:r>
      <w:r w:rsidR="00AC21A1" w:rsidRPr="00FA0E61">
        <w:rPr>
          <w:rFonts w:eastAsia="SimSun"/>
        </w:rPr>
        <w:t>National Program for Village Development</w:t>
      </w:r>
      <w:r w:rsidR="00663A6F" w:rsidRPr="00B50AE3">
        <w:rPr>
          <w:szCs w:val="22"/>
        </w:rPr>
        <w:t>, establish the corporate systems required to run it, train facilitators and test the effectiveness of the program in the field before moving to full implementation.</w:t>
      </w:r>
    </w:p>
    <w:p w14:paraId="6F1A4F66" w14:textId="146A1EAB" w:rsidR="00AA2E41" w:rsidRPr="00865AD9" w:rsidRDefault="00F9048F" w:rsidP="00393FAB">
      <w:pPr>
        <w:pStyle w:val="Heading1"/>
      </w:pPr>
      <w:r w:rsidRPr="00C14AA8">
        <w:t>Program</w:t>
      </w:r>
      <w:r w:rsidRPr="000C1A15">
        <w:t xml:space="preserve"> </w:t>
      </w:r>
      <w:r w:rsidR="00751FA0" w:rsidRPr="000C1A15">
        <w:t xml:space="preserve">management </w:t>
      </w:r>
      <w:r w:rsidR="00D34FE0" w:rsidRPr="000C1A15">
        <w:t xml:space="preserve">– </w:t>
      </w:r>
      <w:r w:rsidR="00AA2E41" w:rsidRPr="000C1A15">
        <w:t>Quality at Implementation (QAI) ratings</w:t>
      </w:r>
    </w:p>
    <w:p w14:paraId="5F64E421" w14:textId="7DA46F8E" w:rsidR="006F4078" w:rsidRDefault="006F4078" w:rsidP="00C14AA8">
      <w:pPr>
        <w:pStyle w:val="BodyText"/>
        <w:rPr>
          <w:rFonts w:eastAsia="SimSun"/>
        </w:rPr>
      </w:pPr>
      <w:r>
        <w:rPr>
          <w:rFonts w:eastAsia="SimSun"/>
        </w:rPr>
        <w:t>Quality at Implementation ratings are</w:t>
      </w:r>
      <w:r w:rsidR="00610726">
        <w:rPr>
          <w:rFonts w:eastAsia="SimSun"/>
        </w:rPr>
        <w:t xml:space="preserve"> performance measures of our programs undertaken by</w:t>
      </w:r>
      <w:r>
        <w:rPr>
          <w:rFonts w:eastAsia="SimSun"/>
        </w:rPr>
        <w:t xml:space="preserve"> </w:t>
      </w:r>
      <w:r w:rsidR="000D0E53">
        <w:rPr>
          <w:rFonts w:eastAsia="SimSun"/>
        </w:rPr>
        <w:t xml:space="preserve">DFAT </w:t>
      </w:r>
      <w:r>
        <w:rPr>
          <w:rFonts w:eastAsia="SimSun"/>
        </w:rPr>
        <w:t>staff. In 2012</w:t>
      </w:r>
      <w:r w:rsidR="000C1A15">
        <w:rPr>
          <w:rFonts w:eastAsia="SimSun"/>
        </w:rPr>
        <w:t>–</w:t>
      </w:r>
      <w:r>
        <w:rPr>
          <w:rFonts w:eastAsia="SimSun"/>
        </w:rPr>
        <w:t>13</w:t>
      </w:r>
      <w:r w:rsidR="00BE4A0F">
        <w:rPr>
          <w:rFonts w:eastAsia="SimSun"/>
        </w:rPr>
        <w:t>,</w:t>
      </w:r>
      <w:r>
        <w:rPr>
          <w:rFonts w:eastAsia="SimSun"/>
        </w:rPr>
        <w:t xml:space="preserve"> </w:t>
      </w:r>
      <w:r w:rsidR="00537F9C">
        <w:rPr>
          <w:rFonts w:eastAsia="SimSun"/>
        </w:rPr>
        <w:t xml:space="preserve">the </w:t>
      </w:r>
      <w:r w:rsidR="00B20EC6">
        <w:rPr>
          <w:rFonts w:eastAsia="SimSun"/>
        </w:rPr>
        <w:t>Timor-Leste</w:t>
      </w:r>
      <w:r w:rsidR="00BE4A0F">
        <w:rPr>
          <w:rFonts w:eastAsia="SimSun"/>
        </w:rPr>
        <w:t xml:space="preserve"> program</w:t>
      </w:r>
      <w:r w:rsidR="00E97706">
        <w:rPr>
          <w:rFonts w:eastAsia="SimSun"/>
        </w:rPr>
        <w:t xml:space="preserve"> invested resources in an Evaluation Capacity B</w:t>
      </w:r>
      <w:r>
        <w:rPr>
          <w:rFonts w:eastAsia="SimSun"/>
        </w:rPr>
        <w:t xml:space="preserve">uilding program to </w:t>
      </w:r>
      <w:r w:rsidR="00E97706">
        <w:rPr>
          <w:rFonts w:eastAsia="SimSun"/>
        </w:rPr>
        <w:t>fu</w:t>
      </w:r>
      <w:r w:rsidR="000C13D5">
        <w:rPr>
          <w:rFonts w:eastAsia="SimSun"/>
        </w:rPr>
        <w:t>rther develop program managers</w:t>
      </w:r>
      <w:r w:rsidR="00610726">
        <w:rPr>
          <w:rFonts w:eastAsia="SimSun"/>
        </w:rPr>
        <w:t>’</w:t>
      </w:r>
      <w:r w:rsidR="000C13D5">
        <w:rPr>
          <w:rFonts w:eastAsia="SimSun"/>
        </w:rPr>
        <w:t xml:space="preserve"> ability to make </w:t>
      </w:r>
      <w:r w:rsidR="00976907">
        <w:rPr>
          <w:rFonts w:eastAsia="SimSun"/>
        </w:rPr>
        <w:t>credible assessments of the adequacy of progress for programs they manage.</w:t>
      </w:r>
    </w:p>
    <w:p w14:paraId="3C90AB5E" w14:textId="0C71E02A" w:rsidR="00AA2E41" w:rsidRPr="00C34E6A" w:rsidRDefault="00AA2E41" w:rsidP="00C14AA8">
      <w:pPr>
        <w:pStyle w:val="BodyText"/>
        <w:rPr>
          <w:szCs w:val="22"/>
        </w:rPr>
      </w:pPr>
      <w:r w:rsidRPr="00395C48">
        <w:rPr>
          <w:szCs w:val="22"/>
        </w:rPr>
        <w:t xml:space="preserve">QAI results reflect that the Timor-Leste </w:t>
      </w:r>
      <w:r w:rsidR="000C1A15" w:rsidRPr="00395C48">
        <w:rPr>
          <w:szCs w:val="22"/>
        </w:rPr>
        <w:t xml:space="preserve">program </w:t>
      </w:r>
      <w:r w:rsidRPr="00395C48">
        <w:rPr>
          <w:szCs w:val="22"/>
        </w:rPr>
        <w:t xml:space="preserve">is nearing completion of a significant re-design phase. New programs are more strategically pitched, with clearer outcomes and adequate resourcing for monitoring and evaluation. We are </w:t>
      </w:r>
      <w:r w:rsidR="00CB2E13" w:rsidRPr="00395C48">
        <w:rPr>
          <w:szCs w:val="22"/>
        </w:rPr>
        <w:t>experiencing</w:t>
      </w:r>
      <w:r w:rsidRPr="00395C48">
        <w:rPr>
          <w:szCs w:val="22"/>
        </w:rPr>
        <w:t xml:space="preserve"> a major turnaround in portfolio relevance. Over the last two years, the percentage of highly relevant (5</w:t>
      </w:r>
      <w:r w:rsidR="000C1A15" w:rsidRPr="00395C48">
        <w:rPr>
          <w:szCs w:val="22"/>
        </w:rPr>
        <w:t>–</w:t>
      </w:r>
      <w:r w:rsidRPr="00395C48">
        <w:rPr>
          <w:szCs w:val="22"/>
        </w:rPr>
        <w:t xml:space="preserve">6) </w:t>
      </w:r>
      <w:r w:rsidR="007772DE" w:rsidRPr="00395C48">
        <w:rPr>
          <w:szCs w:val="22"/>
        </w:rPr>
        <w:t>program</w:t>
      </w:r>
      <w:r w:rsidRPr="00395C48">
        <w:rPr>
          <w:szCs w:val="22"/>
        </w:rPr>
        <w:t xml:space="preserve">s has more than doubled, and the percentage of less relevant </w:t>
      </w:r>
      <w:r w:rsidR="007772DE" w:rsidRPr="00395C48">
        <w:rPr>
          <w:szCs w:val="22"/>
        </w:rPr>
        <w:t>program</w:t>
      </w:r>
      <w:r w:rsidRPr="00395C48">
        <w:rPr>
          <w:szCs w:val="22"/>
        </w:rPr>
        <w:t>s (1</w:t>
      </w:r>
      <w:r w:rsidR="000C1A15" w:rsidRPr="00395C48">
        <w:rPr>
          <w:szCs w:val="22"/>
        </w:rPr>
        <w:t>–</w:t>
      </w:r>
      <w:r w:rsidRPr="00395C48">
        <w:rPr>
          <w:szCs w:val="22"/>
        </w:rPr>
        <w:t xml:space="preserve">3) has dropped to just </w:t>
      </w:r>
      <w:r w:rsidR="000C1A15" w:rsidRPr="00395C48">
        <w:rPr>
          <w:szCs w:val="22"/>
        </w:rPr>
        <w:t xml:space="preserve">five </w:t>
      </w:r>
      <w:r w:rsidR="000D50DA" w:rsidRPr="00395C48">
        <w:rPr>
          <w:szCs w:val="22"/>
        </w:rPr>
        <w:t>per cent</w:t>
      </w:r>
      <w:r w:rsidRPr="00395C48">
        <w:rPr>
          <w:szCs w:val="22"/>
        </w:rPr>
        <w:t>.</w:t>
      </w:r>
    </w:p>
    <w:p w14:paraId="150B05C6" w14:textId="7F63CD63" w:rsidR="00AA2E41" w:rsidRPr="00C34E6A" w:rsidRDefault="00882B04" w:rsidP="00C14AA8">
      <w:pPr>
        <w:pStyle w:val="BodyText"/>
        <w:rPr>
          <w:szCs w:val="22"/>
        </w:rPr>
      </w:pPr>
      <w:r w:rsidRPr="00395C48">
        <w:rPr>
          <w:szCs w:val="22"/>
        </w:rPr>
        <w:t xml:space="preserve">Most of the </w:t>
      </w:r>
      <w:r w:rsidR="007772DE" w:rsidRPr="00395C48">
        <w:rPr>
          <w:szCs w:val="22"/>
        </w:rPr>
        <w:t>program</w:t>
      </w:r>
      <w:r w:rsidRPr="00395C48">
        <w:rPr>
          <w:szCs w:val="22"/>
        </w:rPr>
        <w:t xml:space="preserve">s with low scores for effectiveness </w:t>
      </w:r>
      <w:r w:rsidR="00AA2E41" w:rsidRPr="00395C48">
        <w:rPr>
          <w:szCs w:val="22"/>
        </w:rPr>
        <w:t>are ending. A small number of ongoing</w:t>
      </w:r>
      <w:r w:rsidR="00AC21A1">
        <w:rPr>
          <w:szCs w:val="22"/>
        </w:rPr>
        <w:t xml:space="preserve"> or </w:t>
      </w:r>
      <w:r w:rsidR="00AA2E41" w:rsidRPr="00395C48">
        <w:rPr>
          <w:szCs w:val="22"/>
        </w:rPr>
        <w:t xml:space="preserve">new </w:t>
      </w:r>
      <w:r w:rsidR="007772DE" w:rsidRPr="00395C48">
        <w:rPr>
          <w:szCs w:val="22"/>
        </w:rPr>
        <w:t>program</w:t>
      </w:r>
      <w:r w:rsidR="00AA2E41" w:rsidRPr="00395C48">
        <w:rPr>
          <w:szCs w:val="22"/>
        </w:rPr>
        <w:t xml:space="preserve">s need </w:t>
      </w:r>
      <w:r w:rsidR="00CB2E13" w:rsidRPr="00395C48">
        <w:rPr>
          <w:szCs w:val="22"/>
        </w:rPr>
        <w:t>design support</w:t>
      </w:r>
      <w:r w:rsidR="00AA2E41" w:rsidRPr="00395C48">
        <w:rPr>
          <w:szCs w:val="22"/>
        </w:rPr>
        <w:t xml:space="preserve">. Over the last two years, the percentage of </w:t>
      </w:r>
      <w:r w:rsidR="007772DE" w:rsidRPr="00395C48">
        <w:rPr>
          <w:szCs w:val="22"/>
        </w:rPr>
        <w:t>program</w:t>
      </w:r>
      <w:r w:rsidR="00AA2E41" w:rsidRPr="00395C48">
        <w:rPr>
          <w:szCs w:val="22"/>
        </w:rPr>
        <w:t>s rated unsatisfactory (1</w:t>
      </w:r>
      <w:r w:rsidR="000C1A15" w:rsidRPr="00395C48">
        <w:rPr>
          <w:szCs w:val="22"/>
        </w:rPr>
        <w:t>–</w:t>
      </w:r>
      <w:r w:rsidR="00AA2E41" w:rsidRPr="00395C48">
        <w:rPr>
          <w:szCs w:val="22"/>
        </w:rPr>
        <w:t>3) has halved to 15</w:t>
      </w:r>
      <w:r w:rsidR="007772DE" w:rsidRPr="00395C48">
        <w:rPr>
          <w:szCs w:val="22"/>
        </w:rPr>
        <w:t xml:space="preserve"> </w:t>
      </w:r>
      <w:r w:rsidR="000D50DA" w:rsidRPr="00395C48">
        <w:rPr>
          <w:szCs w:val="22"/>
        </w:rPr>
        <w:t>per cent</w:t>
      </w:r>
      <w:r w:rsidR="00AA2E41" w:rsidRPr="00395C48">
        <w:rPr>
          <w:szCs w:val="22"/>
        </w:rPr>
        <w:t xml:space="preserve">, with a corresponding increase in the percentage of moderately effective </w:t>
      </w:r>
      <w:r w:rsidR="007772DE" w:rsidRPr="00395C48">
        <w:rPr>
          <w:szCs w:val="22"/>
        </w:rPr>
        <w:t>program</w:t>
      </w:r>
      <w:r w:rsidR="00AA2E41" w:rsidRPr="00395C48">
        <w:rPr>
          <w:szCs w:val="22"/>
        </w:rPr>
        <w:t>s (</w:t>
      </w:r>
      <w:r w:rsidR="00537F9C">
        <w:rPr>
          <w:szCs w:val="22"/>
        </w:rPr>
        <w:t>4</w:t>
      </w:r>
      <w:r w:rsidR="00AA2E41" w:rsidRPr="00395C48">
        <w:rPr>
          <w:szCs w:val="22"/>
        </w:rPr>
        <w:t>).</w:t>
      </w:r>
    </w:p>
    <w:p w14:paraId="62E9417D" w14:textId="0CC041F3" w:rsidR="00AA2E41" w:rsidRPr="00C34E6A" w:rsidRDefault="00AA2E41" w:rsidP="00C14AA8">
      <w:pPr>
        <w:pStyle w:val="BodyText"/>
        <w:rPr>
          <w:szCs w:val="22"/>
        </w:rPr>
      </w:pPr>
      <w:r w:rsidRPr="00395C48">
        <w:rPr>
          <w:szCs w:val="22"/>
        </w:rPr>
        <w:t xml:space="preserve">We’ve made some improvement on sustainability, but still </w:t>
      </w:r>
      <w:r w:rsidR="00CB2E13" w:rsidRPr="00395C48">
        <w:rPr>
          <w:szCs w:val="22"/>
        </w:rPr>
        <w:t>require focused effort to improve</w:t>
      </w:r>
      <w:r w:rsidRPr="00395C48">
        <w:rPr>
          <w:szCs w:val="22"/>
        </w:rPr>
        <w:t xml:space="preserve">. The percentage of highly sustainable </w:t>
      </w:r>
      <w:r w:rsidR="007772DE" w:rsidRPr="00395C48">
        <w:rPr>
          <w:szCs w:val="22"/>
        </w:rPr>
        <w:t>program</w:t>
      </w:r>
      <w:r w:rsidRPr="00395C48">
        <w:rPr>
          <w:szCs w:val="22"/>
        </w:rPr>
        <w:t>s increased from zero to 20</w:t>
      </w:r>
      <w:r w:rsidR="006456BB" w:rsidRPr="00395C48">
        <w:rPr>
          <w:szCs w:val="22"/>
        </w:rPr>
        <w:t xml:space="preserve"> </w:t>
      </w:r>
      <w:r w:rsidR="000D50DA" w:rsidRPr="00395C48">
        <w:rPr>
          <w:szCs w:val="22"/>
        </w:rPr>
        <w:t>per cent</w:t>
      </w:r>
      <w:r w:rsidRPr="00395C48">
        <w:rPr>
          <w:szCs w:val="22"/>
        </w:rPr>
        <w:t xml:space="preserve"> over two years. The percentage of </w:t>
      </w:r>
      <w:r w:rsidR="007772DE" w:rsidRPr="00395C48">
        <w:rPr>
          <w:szCs w:val="22"/>
        </w:rPr>
        <w:t>program</w:t>
      </w:r>
      <w:r w:rsidRPr="00395C48">
        <w:rPr>
          <w:szCs w:val="22"/>
        </w:rPr>
        <w:t xml:space="preserve">s </w:t>
      </w:r>
      <w:r w:rsidR="00B77B88" w:rsidRPr="00395C48">
        <w:rPr>
          <w:szCs w:val="22"/>
        </w:rPr>
        <w:t xml:space="preserve">with low sustainability rating </w:t>
      </w:r>
      <w:r w:rsidRPr="00395C48">
        <w:rPr>
          <w:szCs w:val="22"/>
        </w:rPr>
        <w:t xml:space="preserve">dropped by two thirds this year, but still amounts to one in five </w:t>
      </w:r>
      <w:r w:rsidR="007772DE" w:rsidRPr="00395C48">
        <w:rPr>
          <w:szCs w:val="22"/>
        </w:rPr>
        <w:t>program</w:t>
      </w:r>
      <w:r w:rsidRPr="00395C48">
        <w:rPr>
          <w:szCs w:val="22"/>
        </w:rPr>
        <w:t xml:space="preserve">s. Most cite difficulties balancing capacity development with capacity substitution. </w:t>
      </w:r>
      <w:r w:rsidR="000C1A15" w:rsidRPr="00395C48">
        <w:rPr>
          <w:szCs w:val="22"/>
        </w:rPr>
        <w:t xml:space="preserve">Sixty </w:t>
      </w:r>
      <w:r w:rsidR="000D50DA" w:rsidRPr="00395C48">
        <w:rPr>
          <w:szCs w:val="22"/>
        </w:rPr>
        <w:t>per cent</w:t>
      </w:r>
      <w:r w:rsidRPr="00395C48">
        <w:rPr>
          <w:szCs w:val="22"/>
        </w:rPr>
        <w:t xml:space="preserve"> of </w:t>
      </w:r>
      <w:r w:rsidR="007772DE" w:rsidRPr="00395C48">
        <w:rPr>
          <w:szCs w:val="22"/>
        </w:rPr>
        <w:t>program</w:t>
      </w:r>
      <w:r w:rsidRPr="00395C48">
        <w:rPr>
          <w:szCs w:val="22"/>
        </w:rPr>
        <w:t xml:space="preserve">s are moderately </w:t>
      </w:r>
      <w:r w:rsidR="0008613A" w:rsidRPr="00395C48">
        <w:rPr>
          <w:szCs w:val="22"/>
        </w:rPr>
        <w:t>able to be maintained.</w:t>
      </w:r>
    </w:p>
    <w:p w14:paraId="298239F8" w14:textId="38E0488B" w:rsidR="00AA2E41" w:rsidRPr="00C34E6A" w:rsidRDefault="00AA2E41" w:rsidP="00C14AA8">
      <w:pPr>
        <w:pStyle w:val="BodyText"/>
        <w:rPr>
          <w:szCs w:val="22"/>
        </w:rPr>
      </w:pPr>
      <w:r w:rsidRPr="00395C48">
        <w:rPr>
          <w:szCs w:val="22"/>
        </w:rPr>
        <w:lastRenderedPageBreak/>
        <w:t xml:space="preserve">Efficiency remains </w:t>
      </w:r>
      <w:r w:rsidR="00B77B88" w:rsidRPr="00395C48">
        <w:rPr>
          <w:szCs w:val="22"/>
        </w:rPr>
        <w:t>an area for improvement</w:t>
      </w:r>
      <w:r w:rsidRPr="00395C48">
        <w:rPr>
          <w:szCs w:val="22"/>
        </w:rPr>
        <w:t xml:space="preserve">. Over the past two years, the percentage of inefficient </w:t>
      </w:r>
      <w:r w:rsidR="007772DE" w:rsidRPr="00395C48">
        <w:rPr>
          <w:szCs w:val="22"/>
        </w:rPr>
        <w:t>program</w:t>
      </w:r>
      <w:r w:rsidRPr="00395C48">
        <w:rPr>
          <w:szCs w:val="22"/>
        </w:rPr>
        <w:t xml:space="preserve">s has dropped, but the percentage of </w:t>
      </w:r>
      <w:r w:rsidR="007772DE" w:rsidRPr="00395C48">
        <w:rPr>
          <w:szCs w:val="22"/>
        </w:rPr>
        <w:t>program</w:t>
      </w:r>
      <w:r w:rsidRPr="00395C48">
        <w:rPr>
          <w:szCs w:val="22"/>
        </w:rPr>
        <w:t xml:space="preserve">s rated highly efficient has dropped </w:t>
      </w:r>
      <w:r w:rsidR="00A20D42" w:rsidRPr="00395C48">
        <w:rPr>
          <w:szCs w:val="22"/>
        </w:rPr>
        <w:t>also</w:t>
      </w:r>
      <w:r w:rsidRPr="00395C48">
        <w:rPr>
          <w:szCs w:val="22"/>
        </w:rPr>
        <w:t xml:space="preserve">. For </w:t>
      </w:r>
      <w:r w:rsidR="007772DE" w:rsidRPr="00395C48">
        <w:rPr>
          <w:szCs w:val="22"/>
        </w:rPr>
        <w:t>weaker</w:t>
      </w:r>
      <w:r w:rsidRPr="00395C48">
        <w:rPr>
          <w:szCs w:val="22"/>
        </w:rPr>
        <w:t xml:space="preserve"> </w:t>
      </w:r>
      <w:r w:rsidR="007772DE" w:rsidRPr="00395C48">
        <w:rPr>
          <w:szCs w:val="22"/>
        </w:rPr>
        <w:t>program</w:t>
      </w:r>
      <w:r w:rsidRPr="00395C48">
        <w:rPr>
          <w:szCs w:val="22"/>
        </w:rPr>
        <w:t xml:space="preserve">s, common issues include dysfunctional program coordination mechanisms, and cumbersome interaction between </w:t>
      </w:r>
      <w:r w:rsidR="000C1A15" w:rsidRPr="00395C48">
        <w:rPr>
          <w:szCs w:val="22"/>
        </w:rPr>
        <w:t xml:space="preserve">Timor-Leste Government </w:t>
      </w:r>
      <w:r w:rsidRPr="00395C48">
        <w:rPr>
          <w:szCs w:val="22"/>
        </w:rPr>
        <w:t>and multilateral systems.</w:t>
      </w:r>
    </w:p>
    <w:p w14:paraId="03F6A59B" w14:textId="6B4234B9" w:rsidR="00AA2E41" w:rsidRPr="00C34E6A" w:rsidRDefault="00AA2E41" w:rsidP="00C14AA8">
      <w:pPr>
        <w:pStyle w:val="BodyText"/>
        <w:rPr>
          <w:szCs w:val="22"/>
        </w:rPr>
      </w:pPr>
      <w:r w:rsidRPr="00395C48">
        <w:rPr>
          <w:szCs w:val="22"/>
        </w:rPr>
        <w:t xml:space="preserve">There have been slight improvements to </w:t>
      </w:r>
      <w:r w:rsidR="00AF45DC" w:rsidRPr="00395C48">
        <w:rPr>
          <w:szCs w:val="22"/>
        </w:rPr>
        <w:t>monitoring and evaluation</w:t>
      </w:r>
      <w:r w:rsidR="000C1A15" w:rsidRPr="00395C48">
        <w:rPr>
          <w:szCs w:val="22"/>
        </w:rPr>
        <w:t>,</w:t>
      </w:r>
      <w:r w:rsidR="00AF45DC" w:rsidRPr="00395C48">
        <w:rPr>
          <w:szCs w:val="22"/>
        </w:rPr>
        <w:t xml:space="preserve"> </w:t>
      </w:r>
      <w:r w:rsidRPr="00395C48">
        <w:rPr>
          <w:szCs w:val="22"/>
        </w:rPr>
        <w:t>but this is still our worst rated criterion</w:t>
      </w:r>
      <w:r w:rsidR="00015C68" w:rsidRPr="00395C48">
        <w:rPr>
          <w:szCs w:val="22"/>
        </w:rPr>
        <w:t xml:space="preserve"> with program managers having to supplement frameworks with alternative credible sources of information to rate other QAI criteria</w:t>
      </w:r>
      <w:r w:rsidRPr="00395C48">
        <w:rPr>
          <w:szCs w:val="22"/>
        </w:rPr>
        <w:t xml:space="preserve">. Over the past two years, there has been a slight </w:t>
      </w:r>
      <w:r w:rsidR="00DF7753" w:rsidRPr="00395C48">
        <w:rPr>
          <w:szCs w:val="22"/>
        </w:rPr>
        <w:t>shift toward the adequate level (4). R</w:t>
      </w:r>
      <w:r w:rsidRPr="00395C48">
        <w:rPr>
          <w:szCs w:val="22"/>
        </w:rPr>
        <w:t xml:space="preserve">atings have improved since they dropped markedly last year. Four unsatisfactory </w:t>
      </w:r>
      <w:r w:rsidR="00DF7753" w:rsidRPr="00395C48">
        <w:rPr>
          <w:szCs w:val="22"/>
        </w:rPr>
        <w:t>programs</w:t>
      </w:r>
      <w:r w:rsidRPr="00395C48">
        <w:rPr>
          <w:szCs w:val="22"/>
        </w:rPr>
        <w:t xml:space="preserve"> are ongoing and currently receiving support to design or reform their </w:t>
      </w:r>
      <w:r w:rsidR="000C1A15" w:rsidRPr="00395C48">
        <w:rPr>
          <w:szCs w:val="22"/>
        </w:rPr>
        <w:t>monitoring and evaluation</w:t>
      </w:r>
      <w:r w:rsidR="000C1A15" w:rsidRPr="00395C48" w:rsidDel="000C1A15">
        <w:rPr>
          <w:szCs w:val="22"/>
        </w:rPr>
        <w:t xml:space="preserve"> </w:t>
      </w:r>
      <w:r w:rsidRPr="00395C48">
        <w:rPr>
          <w:szCs w:val="22"/>
        </w:rPr>
        <w:t xml:space="preserve">systems. </w:t>
      </w:r>
    </w:p>
    <w:p w14:paraId="283BDBDD" w14:textId="64D13884" w:rsidR="00AA2E41" w:rsidRPr="00C34E6A" w:rsidRDefault="00DF7753" w:rsidP="00C14AA8">
      <w:pPr>
        <w:pStyle w:val="BodyText"/>
        <w:rPr>
          <w:szCs w:val="22"/>
        </w:rPr>
      </w:pPr>
      <w:r w:rsidRPr="00395C48">
        <w:rPr>
          <w:szCs w:val="22"/>
        </w:rPr>
        <w:t xml:space="preserve">Improving gender equality in </w:t>
      </w:r>
      <w:r w:rsidR="00AA2E41" w:rsidRPr="00395C48">
        <w:rPr>
          <w:szCs w:val="22"/>
        </w:rPr>
        <w:t xml:space="preserve">our weaker </w:t>
      </w:r>
      <w:r w:rsidRPr="00395C48">
        <w:rPr>
          <w:szCs w:val="22"/>
        </w:rPr>
        <w:t>programs has been challenging</w:t>
      </w:r>
      <w:r w:rsidR="00AA2E41" w:rsidRPr="00395C48">
        <w:rPr>
          <w:szCs w:val="22"/>
        </w:rPr>
        <w:t xml:space="preserve">. Over the past year, there has been a reduction in unsatisfactory </w:t>
      </w:r>
      <w:r w:rsidRPr="00395C48">
        <w:rPr>
          <w:szCs w:val="22"/>
        </w:rPr>
        <w:t>programs</w:t>
      </w:r>
      <w:r w:rsidR="00AA2E41" w:rsidRPr="00395C48">
        <w:rPr>
          <w:szCs w:val="22"/>
        </w:rPr>
        <w:t xml:space="preserve"> (1</w:t>
      </w:r>
      <w:r w:rsidR="000C1A15" w:rsidRPr="00395C48">
        <w:rPr>
          <w:szCs w:val="22"/>
        </w:rPr>
        <w:t>–</w:t>
      </w:r>
      <w:r w:rsidR="00AA2E41" w:rsidRPr="00395C48">
        <w:rPr>
          <w:szCs w:val="22"/>
        </w:rPr>
        <w:t xml:space="preserve">3) and a similar increase in </w:t>
      </w:r>
      <w:r w:rsidRPr="00395C48">
        <w:rPr>
          <w:szCs w:val="22"/>
        </w:rPr>
        <w:t>programs</w:t>
      </w:r>
      <w:r w:rsidR="00AA2E41" w:rsidRPr="00395C48">
        <w:rPr>
          <w:szCs w:val="22"/>
        </w:rPr>
        <w:t xml:space="preserve"> rated adequate (4). But </w:t>
      </w:r>
      <w:r w:rsidRPr="00395C48">
        <w:rPr>
          <w:szCs w:val="22"/>
        </w:rPr>
        <w:t xml:space="preserve">programs </w:t>
      </w:r>
      <w:r w:rsidR="00AA2E41" w:rsidRPr="00395C48">
        <w:rPr>
          <w:szCs w:val="22"/>
        </w:rPr>
        <w:t xml:space="preserve">with high </w:t>
      </w:r>
      <w:r w:rsidRPr="00395C48">
        <w:rPr>
          <w:szCs w:val="22"/>
        </w:rPr>
        <w:t>ratings (5</w:t>
      </w:r>
      <w:r w:rsidR="000C1A15" w:rsidRPr="00395C48">
        <w:rPr>
          <w:szCs w:val="22"/>
        </w:rPr>
        <w:t>–</w:t>
      </w:r>
      <w:r w:rsidRPr="00395C48">
        <w:rPr>
          <w:szCs w:val="22"/>
        </w:rPr>
        <w:t>6) have also lowered</w:t>
      </w:r>
      <w:r w:rsidR="003867FC" w:rsidRPr="00395C48">
        <w:rPr>
          <w:szCs w:val="22"/>
        </w:rPr>
        <w:t>.</w:t>
      </w:r>
    </w:p>
    <w:p w14:paraId="1B6E7BBD" w14:textId="4971FD9D" w:rsidR="003868E4" w:rsidRPr="00C34E6A" w:rsidRDefault="003868E4" w:rsidP="00C14AA8">
      <w:pPr>
        <w:pStyle w:val="BodyText"/>
        <w:rPr>
          <w:szCs w:val="22"/>
        </w:rPr>
      </w:pPr>
      <w:r w:rsidRPr="00395C48">
        <w:rPr>
          <w:szCs w:val="22"/>
        </w:rPr>
        <w:t xml:space="preserve">The 2011 </w:t>
      </w:r>
      <w:r w:rsidR="000C1A15" w:rsidRPr="00395C48">
        <w:rPr>
          <w:szCs w:val="22"/>
        </w:rPr>
        <w:t xml:space="preserve">annual program performance review </w:t>
      </w:r>
      <w:r w:rsidRPr="00395C48">
        <w:rPr>
          <w:szCs w:val="22"/>
        </w:rPr>
        <w:t>found that very few quality assessments mentioned disability. We have improved this in our 2012 reports, with 14 of 22 quality reports considering the quality of disability inclusion.</w:t>
      </w:r>
    </w:p>
    <w:p w14:paraId="788DBBF4" w14:textId="5F12AEE8" w:rsidR="000D7CC9" w:rsidRPr="00C14AA8" w:rsidRDefault="000D7CC9" w:rsidP="00C14AA8">
      <w:pPr>
        <w:pStyle w:val="Heading1"/>
      </w:pPr>
      <w:r w:rsidRPr="00C14AA8">
        <w:t xml:space="preserve">Social </w:t>
      </w:r>
      <w:r w:rsidR="00C15212" w:rsidRPr="00C14AA8">
        <w:t xml:space="preserve">inclusion </w:t>
      </w:r>
      <w:r w:rsidR="00E612BC" w:rsidRPr="00C14AA8">
        <w:t xml:space="preserve">– Australia’s </w:t>
      </w:r>
      <w:r w:rsidR="00C15212" w:rsidRPr="00C14AA8">
        <w:t xml:space="preserve">approach </w:t>
      </w:r>
      <w:r w:rsidR="00E612BC" w:rsidRPr="00C14AA8">
        <w:t xml:space="preserve">in </w:t>
      </w:r>
      <w:r w:rsidR="00B20EC6" w:rsidRPr="00C14AA8">
        <w:t>Timor-Leste</w:t>
      </w:r>
    </w:p>
    <w:p w14:paraId="152A4871" w14:textId="285888E2" w:rsidR="000C1A15" w:rsidRPr="00C14AA8" w:rsidRDefault="00116D82" w:rsidP="00C14AA8">
      <w:pPr>
        <w:pStyle w:val="BodyText"/>
      </w:pPr>
      <w:r w:rsidRPr="00C14AA8">
        <w:t>A</w:t>
      </w:r>
      <w:r>
        <w:t xml:space="preserve">ustralia </w:t>
      </w:r>
      <w:r w:rsidR="00A5511B" w:rsidRPr="00C14AA8">
        <w:t>adopts a mainstreaming approach to social inclusion</w:t>
      </w:r>
      <w:r w:rsidR="000C1A15" w:rsidRPr="00C14AA8">
        <w:t>–</w:t>
      </w:r>
      <w:r w:rsidR="00A5511B" w:rsidRPr="00C14AA8">
        <w:t>–the inclusion of women, girls and boys, people with disability and other marginalised groups–</w:t>
      </w:r>
      <w:r w:rsidR="000C1A15" w:rsidRPr="00C14AA8">
        <w:t>–</w:t>
      </w:r>
      <w:r w:rsidR="00A5511B" w:rsidRPr="00C14AA8">
        <w:t xml:space="preserve">to improve progress toward all sector objectives. </w:t>
      </w:r>
      <w:r w:rsidR="00064059" w:rsidRPr="00C14AA8">
        <w:t xml:space="preserve">For example, our BESIK program integrates social inclusion into </w:t>
      </w:r>
      <w:r w:rsidR="000C1A15" w:rsidRPr="00C14AA8">
        <w:t xml:space="preserve">water and sanitation </w:t>
      </w:r>
      <w:r w:rsidR="00064059" w:rsidRPr="00C14AA8">
        <w:t>policy formulation, nat</w:t>
      </w:r>
      <w:r w:rsidR="00BB2D22" w:rsidRPr="00C14AA8">
        <w:t>ional guidelines, technical guid</w:t>
      </w:r>
      <w:r w:rsidR="00064059" w:rsidRPr="00C14AA8">
        <w:t xml:space="preserve">es, training curricula and manuals for community engagement for water and sanitation. </w:t>
      </w:r>
      <w:r w:rsidR="000C1A15" w:rsidRPr="00C14AA8">
        <w:t xml:space="preserve">By </w:t>
      </w:r>
      <w:r w:rsidR="00064059" w:rsidRPr="00C14AA8">
        <w:t xml:space="preserve">engaging </w:t>
      </w:r>
      <w:r w:rsidR="00C52225" w:rsidRPr="00C14AA8">
        <w:t xml:space="preserve">with </w:t>
      </w:r>
      <w:r w:rsidR="000C1A15" w:rsidRPr="00C14AA8">
        <w:t>disability o</w:t>
      </w:r>
      <w:r w:rsidR="00CE4365" w:rsidRPr="00C14AA8">
        <w:t>rganisation</w:t>
      </w:r>
      <w:r w:rsidR="00064059" w:rsidRPr="00C14AA8">
        <w:t>s at national and district level</w:t>
      </w:r>
      <w:r w:rsidR="000C1A15" w:rsidRPr="00C14AA8">
        <w:t>s</w:t>
      </w:r>
      <w:r w:rsidR="00064059" w:rsidRPr="00C14AA8">
        <w:t xml:space="preserve">, BESIK is supporting </w:t>
      </w:r>
      <w:r w:rsidR="000C1A15" w:rsidRPr="00C14AA8">
        <w:t xml:space="preserve">water and sanitation </w:t>
      </w:r>
      <w:r w:rsidR="00064059" w:rsidRPr="00C14AA8">
        <w:t>stakeholder awareness. An impact assessment in May 2012 interviewed 43 people with disability</w:t>
      </w:r>
      <w:r w:rsidR="00A20D42" w:rsidRPr="00C14AA8">
        <w:t xml:space="preserve"> </w:t>
      </w:r>
      <w:r w:rsidR="000C1A15" w:rsidRPr="00C14AA8">
        <w:t xml:space="preserve">and </w:t>
      </w:r>
      <w:r w:rsidR="00064059" w:rsidRPr="00C14AA8">
        <w:t xml:space="preserve">14 </w:t>
      </w:r>
      <w:r w:rsidR="000C1A15" w:rsidRPr="00C14AA8">
        <w:t xml:space="preserve">nominated being </w:t>
      </w:r>
      <w:r w:rsidR="00064059" w:rsidRPr="00C14AA8">
        <w:t xml:space="preserve">able to shower more regularly as a significant benefit, </w:t>
      </w:r>
      <w:r w:rsidR="000C1A15" w:rsidRPr="00C14AA8">
        <w:t xml:space="preserve">while </w:t>
      </w:r>
      <w:r w:rsidR="00064059" w:rsidRPr="00C14AA8">
        <w:t>many nominated having a toilet close by as a significant change in their lives.</w:t>
      </w:r>
      <w:r w:rsidR="00B77B88" w:rsidRPr="00C14AA8">
        <w:t xml:space="preserve"> </w:t>
      </w:r>
    </w:p>
    <w:p w14:paraId="7070659E" w14:textId="678807F6" w:rsidR="00BD23D5" w:rsidRPr="00C14AA8" w:rsidRDefault="00116D82" w:rsidP="00C14AA8">
      <w:pPr>
        <w:pStyle w:val="BodyText"/>
      </w:pPr>
      <w:r>
        <w:t>The Australian Government</w:t>
      </w:r>
      <w:r w:rsidRPr="00C14AA8">
        <w:t xml:space="preserve"> </w:t>
      </w:r>
      <w:r w:rsidR="00C74C82" w:rsidRPr="00C14AA8">
        <w:t>supports</w:t>
      </w:r>
      <w:r w:rsidR="007D10AE" w:rsidRPr="00C14AA8">
        <w:t xml:space="preserve"> people with disability</w:t>
      </w:r>
      <w:r w:rsidR="00B77B88" w:rsidRPr="00C14AA8">
        <w:t xml:space="preserve"> to undertake Australia Awards at Australian insti</w:t>
      </w:r>
      <w:r w:rsidR="00FA76D3" w:rsidRPr="00C14AA8">
        <w:t>tutions. In 2012</w:t>
      </w:r>
      <w:r w:rsidR="000C1A15" w:rsidRPr="00C14AA8">
        <w:t>–</w:t>
      </w:r>
      <w:r w:rsidR="00FA76D3" w:rsidRPr="00C14AA8">
        <w:t xml:space="preserve">13, </w:t>
      </w:r>
      <w:r w:rsidR="00610726" w:rsidRPr="00C14AA8">
        <w:t xml:space="preserve">one </w:t>
      </w:r>
      <w:r w:rsidR="00FA76D3" w:rsidRPr="00C14AA8">
        <w:t>out of 22</w:t>
      </w:r>
      <w:r w:rsidR="00B77B88" w:rsidRPr="00C14AA8">
        <w:t xml:space="preserve"> students had disability.</w:t>
      </w:r>
      <w:r w:rsidR="00BB2D22" w:rsidRPr="00C14AA8">
        <w:t xml:space="preserve"> This is a good result for Timor</w:t>
      </w:r>
      <w:r w:rsidR="00C12F9B" w:rsidRPr="00C14AA8">
        <w:t>-Leste</w:t>
      </w:r>
      <w:r w:rsidR="00BB2D22" w:rsidRPr="00C14AA8">
        <w:t xml:space="preserve"> </w:t>
      </w:r>
      <w:r w:rsidR="00C52225" w:rsidRPr="00C14AA8">
        <w:t>as low</w:t>
      </w:r>
      <w:r w:rsidR="00BB2D22" w:rsidRPr="00C14AA8">
        <w:t xml:space="preserve"> English levels and high </w:t>
      </w:r>
      <w:r w:rsidR="000C1A15" w:rsidRPr="00C14AA8">
        <w:t>International English Language Testing System s</w:t>
      </w:r>
      <w:r w:rsidR="00BB2D22" w:rsidRPr="00C14AA8">
        <w:t>core requirement</w:t>
      </w:r>
      <w:r w:rsidR="000C1A15" w:rsidRPr="00C14AA8">
        <w:t>s</w:t>
      </w:r>
      <w:r w:rsidR="00BB2D22" w:rsidRPr="00C14AA8">
        <w:t xml:space="preserve"> </w:t>
      </w:r>
      <w:r w:rsidR="00C52225" w:rsidRPr="00C14AA8">
        <w:t>limit</w:t>
      </w:r>
      <w:r w:rsidR="00BB2D22" w:rsidRPr="00C14AA8">
        <w:t xml:space="preserve"> suitable applicants.</w:t>
      </w:r>
    </w:p>
    <w:p w14:paraId="22F7407B" w14:textId="68A65B9B" w:rsidR="00610726" w:rsidRPr="00C14AA8" w:rsidRDefault="00BD23D5" w:rsidP="00C14AA8">
      <w:pPr>
        <w:pStyle w:val="BodyText"/>
      </w:pPr>
      <w:r w:rsidRPr="00C14AA8">
        <w:t>In 2012</w:t>
      </w:r>
      <w:r w:rsidR="000C1A15" w:rsidRPr="00C14AA8">
        <w:t>–</w:t>
      </w:r>
      <w:r w:rsidRPr="00C14AA8">
        <w:t>13,</w:t>
      </w:r>
      <w:r w:rsidR="00610726" w:rsidRPr="00C14AA8">
        <w:t xml:space="preserve"> the</w:t>
      </w:r>
      <w:r w:rsidRPr="00C14AA8">
        <w:t xml:space="preserve"> </w:t>
      </w:r>
      <w:r w:rsidR="000D50DA" w:rsidRPr="00C14AA8">
        <w:t xml:space="preserve">Timor-Leste </w:t>
      </w:r>
      <w:r w:rsidRPr="00C14AA8">
        <w:t xml:space="preserve">program worked in a more targeted way to give </w:t>
      </w:r>
      <w:r w:rsidR="001B7949" w:rsidRPr="00C14AA8">
        <w:t xml:space="preserve">better </w:t>
      </w:r>
      <w:r w:rsidRPr="00C14AA8">
        <w:t xml:space="preserve">attention to gender. Australia commissioned a gender and disability situation analysis for </w:t>
      </w:r>
      <w:r w:rsidR="000D50DA" w:rsidRPr="00C14AA8">
        <w:t xml:space="preserve">Timor-Leste </w:t>
      </w:r>
      <w:r w:rsidRPr="00C14AA8">
        <w:t xml:space="preserve">to inform and influence our new education and health designs. A </w:t>
      </w:r>
      <w:r w:rsidR="00610726" w:rsidRPr="00C14AA8">
        <w:t xml:space="preserve">desktop review </w:t>
      </w:r>
      <w:r w:rsidRPr="00C14AA8">
        <w:t xml:space="preserve">of </w:t>
      </w:r>
      <w:r w:rsidR="00610726" w:rsidRPr="00C14AA8">
        <w:t xml:space="preserve">gender </w:t>
      </w:r>
      <w:r w:rsidRPr="00C14AA8">
        <w:t xml:space="preserve">was commissioned </w:t>
      </w:r>
      <w:r w:rsidR="00CE4365" w:rsidRPr="00C14AA8">
        <w:t xml:space="preserve">by </w:t>
      </w:r>
      <w:r w:rsidR="00254E9E">
        <w:t>the department</w:t>
      </w:r>
      <w:r w:rsidR="00254E9E" w:rsidRPr="00C14AA8">
        <w:t xml:space="preserve"> </w:t>
      </w:r>
      <w:r w:rsidRPr="00C14AA8">
        <w:t xml:space="preserve">to inform the country situation </w:t>
      </w:r>
      <w:r w:rsidR="009800D5" w:rsidRPr="00C14AA8">
        <w:t>analysis and a</w:t>
      </w:r>
      <w:r w:rsidRPr="00C14AA8">
        <w:t xml:space="preserve"> </w:t>
      </w:r>
      <w:r w:rsidR="001B7949" w:rsidRPr="00C14AA8">
        <w:t xml:space="preserve">gender working group </w:t>
      </w:r>
      <w:r w:rsidR="009800D5" w:rsidRPr="00C14AA8">
        <w:t xml:space="preserve">was established to contribute to the development of the new </w:t>
      </w:r>
      <w:r w:rsidR="001B7949" w:rsidRPr="00C14AA8">
        <w:t>country strategy</w:t>
      </w:r>
      <w:r w:rsidR="009800D5" w:rsidRPr="00C14AA8">
        <w:t xml:space="preserve">. </w:t>
      </w:r>
    </w:p>
    <w:p w14:paraId="02717FAF" w14:textId="14D0E10F" w:rsidR="0009520F" w:rsidRPr="00C14AA8" w:rsidRDefault="00CE4365" w:rsidP="00C14AA8">
      <w:pPr>
        <w:pStyle w:val="BodyText"/>
      </w:pPr>
      <w:r w:rsidRPr="00C14AA8">
        <w:t xml:space="preserve">The </w:t>
      </w:r>
      <w:r w:rsidR="001B7949" w:rsidRPr="00C14AA8">
        <w:t xml:space="preserve">program </w:t>
      </w:r>
      <w:r w:rsidRPr="00C14AA8">
        <w:t xml:space="preserve">resourced an </w:t>
      </w:r>
      <w:r w:rsidR="00610726" w:rsidRPr="00C14AA8">
        <w:t xml:space="preserve">ending violence against women concept </w:t>
      </w:r>
      <w:r w:rsidRPr="00C14AA8">
        <w:t xml:space="preserve">for a proposed </w:t>
      </w:r>
      <w:r w:rsidR="001B7949" w:rsidRPr="00C14AA8">
        <w:t xml:space="preserve">eight- </w:t>
      </w:r>
      <w:r w:rsidRPr="00C14AA8">
        <w:t>year program</w:t>
      </w:r>
      <w:r w:rsidR="006E1791" w:rsidRPr="00C14AA8">
        <w:t xml:space="preserve"> that includes</w:t>
      </w:r>
      <w:r w:rsidR="00BD23D5" w:rsidRPr="00C14AA8">
        <w:t xml:space="preserve"> a gender situation analysis. </w:t>
      </w:r>
      <w:r w:rsidR="008D2F57" w:rsidRPr="00C14AA8">
        <w:t>F</w:t>
      </w:r>
      <w:r w:rsidR="00A96FF1" w:rsidRPr="00C14AA8">
        <w:t xml:space="preserve">or a more targeted approach to </w:t>
      </w:r>
      <w:r w:rsidR="008D2F57" w:rsidRPr="00C14AA8">
        <w:t>gender</w:t>
      </w:r>
      <w:proofErr w:type="gramStart"/>
      <w:r w:rsidR="008D2F57" w:rsidRPr="00C14AA8">
        <w:t>,  a</w:t>
      </w:r>
      <w:proofErr w:type="gramEnd"/>
      <w:r w:rsidR="008D2F57" w:rsidRPr="00C14AA8">
        <w:t xml:space="preserve"> </w:t>
      </w:r>
      <w:r w:rsidR="00610726" w:rsidRPr="00C14AA8">
        <w:t xml:space="preserve">gender </w:t>
      </w:r>
      <w:r w:rsidR="00DE7AE4">
        <w:t>coordinator</w:t>
      </w:r>
      <w:r w:rsidR="00610726" w:rsidRPr="00C14AA8">
        <w:t xml:space="preserve"> </w:t>
      </w:r>
      <w:r w:rsidR="009800D5" w:rsidRPr="00C14AA8">
        <w:t xml:space="preserve">at </w:t>
      </w:r>
      <w:proofErr w:type="spellStart"/>
      <w:r w:rsidR="009800D5" w:rsidRPr="00C14AA8">
        <w:t>Dili</w:t>
      </w:r>
      <w:proofErr w:type="spellEnd"/>
      <w:r w:rsidR="00BD23D5" w:rsidRPr="00C14AA8">
        <w:t xml:space="preserve"> </w:t>
      </w:r>
      <w:r w:rsidR="00C65124" w:rsidRPr="00C14AA8">
        <w:t xml:space="preserve">Post </w:t>
      </w:r>
      <w:r w:rsidR="00BD23D5" w:rsidRPr="00C14AA8">
        <w:t xml:space="preserve">and </w:t>
      </w:r>
      <w:r w:rsidR="009800D5" w:rsidRPr="00C14AA8">
        <w:t>in Canberra</w:t>
      </w:r>
      <w:r w:rsidR="00BF1D91">
        <w:t xml:space="preserve"> were resourced</w:t>
      </w:r>
      <w:r w:rsidR="00BD23D5" w:rsidRPr="00C14AA8">
        <w:t xml:space="preserve">. </w:t>
      </w:r>
      <w:r w:rsidR="009800D5" w:rsidRPr="00C14AA8">
        <w:t xml:space="preserve">The program has committed to undertake a </w:t>
      </w:r>
      <w:r w:rsidR="00610726" w:rsidRPr="00C14AA8">
        <w:t xml:space="preserve">gender stocktake </w:t>
      </w:r>
      <w:r w:rsidR="009800D5" w:rsidRPr="00C14AA8">
        <w:t>in 2013</w:t>
      </w:r>
      <w:r w:rsidR="001B7949" w:rsidRPr="00C14AA8">
        <w:t>–</w:t>
      </w:r>
      <w:r w:rsidR="009800D5" w:rsidRPr="00C14AA8">
        <w:t xml:space="preserve">14 and to consider preparing a </w:t>
      </w:r>
      <w:r w:rsidR="001B7949" w:rsidRPr="00C14AA8">
        <w:t xml:space="preserve">gender action plan </w:t>
      </w:r>
      <w:r w:rsidR="009800D5" w:rsidRPr="00C14AA8">
        <w:t xml:space="preserve">for </w:t>
      </w:r>
      <w:r w:rsidR="00B20EC6" w:rsidRPr="00C14AA8">
        <w:t>Timor-Leste</w:t>
      </w:r>
      <w:r w:rsidR="009800D5" w:rsidRPr="00C14AA8">
        <w:t xml:space="preserve">. Through </w:t>
      </w:r>
      <w:r w:rsidR="00610726" w:rsidRPr="00C14AA8">
        <w:t xml:space="preserve">policy dialogue </w:t>
      </w:r>
      <w:r w:rsidR="009800D5" w:rsidRPr="00C14AA8">
        <w:t xml:space="preserve">on </w:t>
      </w:r>
      <w:r w:rsidR="00610726" w:rsidRPr="00C14AA8">
        <w:t>women’s empowerment</w:t>
      </w:r>
      <w:r w:rsidR="00C74C82" w:rsidRPr="00C14AA8">
        <w:t>,</w:t>
      </w:r>
      <w:r w:rsidR="00C52225" w:rsidRPr="00C14AA8">
        <w:t xml:space="preserve"> </w:t>
      </w:r>
      <w:r w:rsidR="00254E9E">
        <w:t>the department</w:t>
      </w:r>
      <w:r w:rsidR="00254E9E" w:rsidRPr="00C14AA8">
        <w:t xml:space="preserve"> </w:t>
      </w:r>
      <w:r w:rsidR="00C52225" w:rsidRPr="00C14AA8">
        <w:t>has</w:t>
      </w:r>
      <w:r w:rsidR="009800D5" w:rsidRPr="00C14AA8">
        <w:t xml:space="preserve"> advocated with </w:t>
      </w:r>
      <w:r w:rsidR="00C74C82" w:rsidRPr="00C14AA8">
        <w:t xml:space="preserve">the </w:t>
      </w:r>
      <w:r w:rsidR="009800D5" w:rsidRPr="00C14AA8">
        <w:t>Ministry of Health to meet demand for family planning</w:t>
      </w:r>
      <w:r w:rsidR="001B7949" w:rsidRPr="00C14AA8">
        <w:t xml:space="preserve">, </w:t>
      </w:r>
      <w:r w:rsidR="006E1791" w:rsidRPr="00C14AA8">
        <w:t xml:space="preserve">our </w:t>
      </w:r>
      <w:r w:rsidR="001B7949" w:rsidRPr="00C14AA8">
        <w:t xml:space="preserve">Justice Sector Support Facility </w:t>
      </w:r>
      <w:r w:rsidR="00CB433D" w:rsidRPr="00C14AA8">
        <w:t>justice</w:t>
      </w:r>
      <w:r w:rsidR="006E1791" w:rsidRPr="00C14AA8">
        <w:t xml:space="preserve"> program </w:t>
      </w:r>
      <w:r w:rsidRPr="00C14AA8">
        <w:t xml:space="preserve">engaged in advocacy </w:t>
      </w:r>
      <w:r w:rsidR="006E1791" w:rsidRPr="00C14AA8">
        <w:t>with the Ministry of Social Solidarity</w:t>
      </w:r>
      <w:r w:rsidR="00CB433D" w:rsidRPr="00C14AA8">
        <w:t xml:space="preserve"> for </w:t>
      </w:r>
      <w:r w:rsidRPr="00C14AA8">
        <w:t>women’s access to justice</w:t>
      </w:r>
      <w:r w:rsidR="001B7949" w:rsidRPr="00C14AA8">
        <w:t xml:space="preserve">, </w:t>
      </w:r>
      <w:r w:rsidR="006E1791" w:rsidRPr="00C14AA8">
        <w:t xml:space="preserve">and </w:t>
      </w:r>
      <w:r w:rsidR="00C74C82" w:rsidRPr="00C14AA8">
        <w:t xml:space="preserve">our </w:t>
      </w:r>
      <w:r w:rsidR="006E1791" w:rsidRPr="00C14AA8">
        <w:t xml:space="preserve">Roads </w:t>
      </w:r>
      <w:r w:rsidR="00EE640C" w:rsidRPr="00C14AA8">
        <w:t xml:space="preserve">for Development program advocated </w:t>
      </w:r>
      <w:r w:rsidR="006E1791" w:rsidRPr="00C14AA8">
        <w:t>for access to paid employment for women.</w:t>
      </w:r>
      <w:r w:rsidR="009800D5" w:rsidRPr="00C14AA8">
        <w:t xml:space="preserve"> </w:t>
      </w:r>
      <w:r w:rsidR="00BB0BAD" w:rsidRPr="00C14AA8">
        <w:t xml:space="preserve">In addition, </w:t>
      </w:r>
      <w:r w:rsidR="00365208">
        <w:t>the Australian Government</w:t>
      </w:r>
      <w:r w:rsidR="00365208" w:rsidRPr="00C14AA8">
        <w:t xml:space="preserve"> </w:t>
      </w:r>
      <w:r w:rsidR="00BB0BAD" w:rsidRPr="00C14AA8">
        <w:t xml:space="preserve">funded </w:t>
      </w:r>
      <w:r w:rsidR="00BE5882" w:rsidRPr="00C14AA8">
        <w:t>Australian v</w:t>
      </w:r>
      <w:r w:rsidR="00BB0BAD" w:rsidRPr="00C14AA8">
        <w:t xml:space="preserve">olunteers through our global programs including a </w:t>
      </w:r>
      <w:r w:rsidR="0009520F" w:rsidRPr="00C14AA8">
        <w:t xml:space="preserve">planned </w:t>
      </w:r>
      <w:r w:rsidR="00BB0BAD" w:rsidRPr="00C14AA8">
        <w:t xml:space="preserve">disability support worker in </w:t>
      </w:r>
      <w:proofErr w:type="spellStart"/>
      <w:r w:rsidR="00BB0BAD" w:rsidRPr="00C14AA8">
        <w:t>Balide</w:t>
      </w:r>
      <w:proofErr w:type="spellEnd"/>
      <w:r w:rsidR="00BB0BAD" w:rsidRPr="00C14AA8">
        <w:t xml:space="preserve"> and gender support officers in </w:t>
      </w:r>
      <w:proofErr w:type="spellStart"/>
      <w:r w:rsidR="00BB0BAD" w:rsidRPr="00C14AA8">
        <w:t>Baucau</w:t>
      </w:r>
      <w:proofErr w:type="spellEnd"/>
      <w:r w:rsidR="00BB0BAD" w:rsidRPr="00C14AA8">
        <w:t xml:space="preserve"> and </w:t>
      </w:r>
      <w:proofErr w:type="spellStart"/>
      <w:r w:rsidR="00BB0BAD" w:rsidRPr="00C14AA8">
        <w:t>Liquica</w:t>
      </w:r>
      <w:proofErr w:type="spellEnd"/>
      <w:r w:rsidR="003867FC" w:rsidRPr="00C14AA8">
        <w:t>.</w:t>
      </w:r>
    </w:p>
    <w:p w14:paraId="3848DCFD" w14:textId="54D312F5" w:rsidR="00E76727" w:rsidRDefault="00850461" w:rsidP="004A1807">
      <w:pPr>
        <w:pStyle w:val="Heading1"/>
      </w:pPr>
      <w:r w:rsidRPr="00C14AA8">
        <w:lastRenderedPageBreak/>
        <w:t xml:space="preserve">2012 </w:t>
      </w:r>
      <w:r w:rsidR="00C15212" w:rsidRPr="00C14AA8">
        <w:t>management consequences</w:t>
      </w:r>
    </w:p>
    <w:tbl>
      <w:tblPr>
        <w:tblStyle w:val="APPR"/>
        <w:tblW w:w="5000" w:type="pct"/>
        <w:tblLook w:val="0600" w:firstRow="0" w:lastRow="0" w:firstColumn="0" w:lastColumn="0" w:noHBand="1" w:noVBand="1"/>
      </w:tblPr>
      <w:tblGrid>
        <w:gridCol w:w="4426"/>
        <w:gridCol w:w="4181"/>
      </w:tblGrid>
      <w:tr w:rsidR="00E76727" w:rsidRPr="00180B19" w14:paraId="311BE689" w14:textId="77777777" w:rsidTr="00AC528A">
        <w:tc>
          <w:tcPr>
            <w:tcW w:w="4180" w:type="dxa"/>
            <w:hideMark/>
          </w:tcPr>
          <w:p w14:paraId="5E52B54B" w14:textId="77777777" w:rsidR="00E76727" w:rsidRPr="004C4A3E" w:rsidRDefault="00E76727" w:rsidP="00C14AA8">
            <w:pPr>
              <w:pStyle w:val="TableHeading1"/>
            </w:pPr>
            <w:r w:rsidRPr="004C4A3E">
              <w:t>Most significant risks</w:t>
            </w:r>
          </w:p>
        </w:tc>
        <w:tc>
          <w:tcPr>
            <w:tcW w:w="3946" w:type="dxa"/>
          </w:tcPr>
          <w:p w14:paraId="2601E0DB" w14:textId="04832DCA" w:rsidR="00E76727" w:rsidRPr="004C4A3E" w:rsidRDefault="00E76727" w:rsidP="00C14AA8">
            <w:pPr>
              <w:pStyle w:val="TableHeading1"/>
            </w:pPr>
            <w:r w:rsidRPr="004C4A3E">
              <w:t xml:space="preserve">Management </w:t>
            </w:r>
            <w:r w:rsidR="00C15212">
              <w:t>r</w:t>
            </w:r>
            <w:r w:rsidR="00C15212" w:rsidRPr="004C4A3E">
              <w:t xml:space="preserve">esponse </w:t>
            </w:r>
            <w:r w:rsidR="00C15212">
              <w:t>–</w:t>
            </w:r>
            <w:r w:rsidR="00C15212" w:rsidRPr="004C4A3E">
              <w:t xml:space="preserve"> </w:t>
            </w:r>
            <w:r w:rsidRPr="004C4A3E">
              <w:t xml:space="preserve">What? Who? How? When? </w:t>
            </w:r>
          </w:p>
        </w:tc>
      </w:tr>
      <w:tr w:rsidR="00E76727" w:rsidRPr="00180B19" w14:paraId="0B0900D6" w14:textId="77777777" w:rsidTr="00AC528A">
        <w:tc>
          <w:tcPr>
            <w:tcW w:w="4180" w:type="dxa"/>
            <w:hideMark/>
          </w:tcPr>
          <w:p w14:paraId="1667D95C" w14:textId="37804DD0" w:rsidR="00E76727" w:rsidRPr="00C14AA8" w:rsidRDefault="00E76727" w:rsidP="00C14AA8">
            <w:pPr>
              <w:pStyle w:val="TableTextEntries"/>
            </w:pPr>
            <w:r w:rsidRPr="00C14AA8">
              <w:rPr>
                <w:rFonts w:eastAsia="SimSun"/>
              </w:rPr>
              <w:t xml:space="preserve">Lapsing </w:t>
            </w:r>
            <w:r w:rsidR="00425C32" w:rsidRPr="00C14AA8">
              <w:rPr>
                <w:rFonts w:eastAsia="SimSun"/>
              </w:rPr>
              <w:t xml:space="preserve">country strategy and interim performance framework </w:t>
            </w:r>
            <w:r w:rsidRPr="00C14AA8">
              <w:rPr>
                <w:rFonts w:eastAsia="SimSun"/>
              </w:rPr>
              <w:t>limited to reporting on sector outcomes rather than cross strategy and country-level outcomes</w:t>
            </w:r>
            <w:r w:rsidR="00425C32" w:rsidRPr="00C14AA8">
              <w:rPr>
                <w:rFonts w:eastAsia="SimSun"/>
              </w:rPr>
              <w:t>.</w:t>
            </w:r>
          </w:p>
        </w:tc>
        <w:tc>
          <w:tcPr>
            <w:tcW w:w="3946" w:type="dxa"/>
          </w:tcPr>
          <w:p w14:paraId="290A4BC1" w14:textId="79563809" w:rsidR="00E76727" w:rsidRPr="00C14AA8" w:rsidRDefault="00E76727" w:rsidP="00C14AA8">
            <w:pPr>
              <w:pStyle w:val="TableTextEntries"/>
            </w:pPr>
            <w:r w:rsidRPr="00C14AA8">
              <w:t xml:space="preserve">Finalise a </w:t>
            </w:r>
            <w:r w:rsidR="00425C32" w:rsidRPr="00C14AA8">
              <w:t xml:space="preserve">country strategy and performance framework </w:t>
            </w:r>
            <w:r w:rsidRPr="00C14AA8">
              <w:t>by December 2013</w:t>
            </w:r>
            <w:r w:rsidR="00425C32" w:rsidRPr="00C14AA8">
              <w:t>.</w:t>
            </w:r>
          </w:p>
        </w:tc>
      </w:tr>
      <w:tr w:rsidR="00E76727" w:rsidRPr="00180B19" w14:paraId="68EFB95C" w14:textId="77777777" w:rsidTr="00AC528A">
        <w:tc>
          <w:tcPr>
            <w:tcW w:w="4180" w:type="dxa"/>
            <w:hideMark/>
          </w:tcPr>
          <w:p w14:paraId="7371BD6C" w14:textId="2C56C55B" w:rsidR="00E76727" w:rsidRPr="00C14AA8" w:rsidRDefault="00425C32" w:rsidP="004A1BA0">
            <w:pPr>
              <w:pStyle w:val="TableTextEntries"/>
            </w:pPr>
            <w:r w:rsidRPr="00C14AA8">
              <w:rPr>
                <w:rFonts w:eastAsia="SimSun"/>
              </w:rPr>
              <w:t xml:space="preserve">Government </w:t>
            </w:r>
            <w:r w:rsidR="00E76727" w:rsidRPr="00C14AA8">
              <w:rPr>
                <w:rFonts w:eastAsia="SimSun"/>
              </w:rPr>
              <w:t xml:space="preserve">reduces engagement in </w:t>
            </w:r>
            <w:r w:rsidR="004A1BA0">
              <w:rPr>
                <w:rFonts w:eastAsia="SimSun"/>
              </w:rPr>
              <w:t>Australian</w:t>
            </w:r>
            <w:r w:rsidR="004A1BA0" w:rsidRPr="00C14AA8">
              <w:rPr>
                <w:rFonts w:eastAsia="SimSun"/>
              </w:rPr>
              <w:t xml:space="preserve"> </w:t>
            </w:r>
            <w:r w:rsidR="00E76727" w:rsidRPr="00C14AA8">
              <w:rPr>
                <w:rFonts w:eastAsia="SimSun"/>
              </w:rPr>
              <w:t>programs and as a result programs are delayed or lack relevance</w:t>
            </w:r>
            <w:r w:rsidRPr="00C14AA8">
              <w:rPr>
                <w:rFonts w:eastAsia="SimSun"/>
              </w:rPr>
              <w:t>.</w:t>
            </w:r>
          </w:p>
        </w:tc>
        <w:tc>
          <w:tcPr>
            <w:tcW w:w="3946" w:type="dxa"/>
          </w:tcPr>
          <w:p w14:paraId="6D7CD477" w14:textId="353B30BB" w:rsidR="00E76727" w:rsidRPr="00C14AA8" w:rsidRDefault="00E76727" w:rsidP="00C14AA8">
            <w:pPr>
              <w:pStyle w:val="TableTextEntries"/>
            </w:pPr>
            <w:r w:rsidRPr="00C14AA8">
              <w:t>High-level partnership talks between Australia and Timor-</w:t>
            </w:r>
            <w:r w:rsidR="00C07BA3" w:rsidRPr="00C14AA8">
              <w:t>Leste, which</w:t>
            </w:r>
            <w:r w:rsidRPr="00C14AA8">
              <w:t xml:space="preserve"> review achievements and agree annual targets</w:t>
            </w:r>
            <w:r w:rsidR="00425C32" w:rsidRPr="00C14AA8">
              <w:t>.</w:t>
            </w:r>
          </w:p>
        </w:tc>
      </w:tr>
      <w:tr w:rsidR="00E76727" w:rsidRPr="00180B19" w14:paraId="19E885E1" w14:textId="77777777" w:rsidTr="00AC528A">
        <w:tc>
          <w:tcPr>
            <w:tcW w:w="4180" w:type="dxa"/>
          </w:tcPr>
          <w:p w14:paraId="4FA7006C" w14:textId="17DE03C9" w:rsidR="00E76727" w:rsidRPr="00C14AA8" w:rsidRDefault="00E76727" w:rsidP="004A1BA0">
            <w:pPr>
              <w:pStyle w:val="TableTextEntries"/>
            </w:pPr>
            <w:r w:rsidRPr="00C14AA8">
              <w:rPr>
                <w:rFonts w:eastAsia="SimSun"/>
              </w:rPr>
              <w:t xml:space="preserve">Basic standards for adviser recruitment and management as described in the 2010 Timor-Leste </w:t>
            </w:r>
            <w:r w:rsidR="00C65124" w:rsidRPr="00C14AA8">
              <w:rPr>
                <w:rFonts w:eastAsia="SimSun"/>
              </w:rPr>
              <w:t xml:space="preserve">adviser </w:t>
            </w:r>
            <w:r w:rsidRPr="00C14AA8">
              <w:rPr>
                <w:rFonts w:eastAsia="SimSun"/>
              </w:rPr>
              <w:t>review not met</w:t>
            </w:r>
            <w:r w:rsidR="00425C32" w:rsidRPr="00C14AA8">
              <w:rPr>
                <w:rFonts w:eastAsia="SimSun"/>
              </w:rPr>
              <w:t>.</w:t>
            </w:r>
          </w:p>
        </w:tc>
        <w:tc>
          <w:tcPr>
            <w:tcW w:w="3946" w:type="dxa"/>
          </w:tcPr>
          <w:p w14:paraId="54C80EB1" w14:textId="3B43F3B0" w:rsidR="00E76727" w:rsidRPr="00C14AA8" w:rsidRDefault="00E76727" w:rsidP="0051698A">
            <w:pPr>
              <w:pStyle w:val="TableTextEntries"/>
            </w:pPr>
            <w:r w:rsidRPr="00C14AA8">
              <w:t xml:space="preserve">Achievement of basic standards for adviser recruitment and management as described in the 2010 Timor-Leste Adviser </w:t>
            </w:r>
            <w:r w:rsidR="00C65124" w:rsidRPr="00C14AA8">
              <w:t>R</w:t>
            </w:r>
            <w:r w:rsidRPr="00C14AA8">
              <w:t>eview.</w:t>
            </w:r>
          </w:p>
        </w:tc>
      </w:tr>
      <w:tr w:rsidR="00E76727" w:rsidRPr="00180B19" w14:paraId="384974E3" w14:textId="77777777" w:rsidTr="00AC528A">
        <w:tc>
          <w:tcPr>
            <w:tcW w:w="4180" w:type="dxa"/>
          </w:tcPr>
          <w:p w14:paraId="0864B998" w14:textId="4D77CB6D" w:rsidR="00E76727" w:rsidRPr="00C14AA8" w:rsidRDefault="00E76727" w:rsidP="00C14AA8">
            <w:pPr>
              <w:pStyle w:val="TableTextEntries"/>
            </w:pPr>
            <w:r w:rsidRPr="00C14AA8">
              <w:rPr>
                <w:rFonts w:eastAsia="SimSun"/>
              </w:rPr>
              <w:t>Poor child nutrition impacts development outcomes in every sector</w:t>
            </w:r>
            <w:r w:rsidR="00425C32" w:rsidRPr="00C14AA8">
              <w:rPr>
                <w:rFonts w:eastAsia="SimSun"/>
              </w:rPr>
              <w:t>.</w:t>
            </w:r>
          </w:p>
        </w:tc>
        <w:tc>
          <w:tcPr>
            <w:tcW w:w="3946" w:type="dxa"/>
          </w:tcPr>
          <w:p w14:paraId="1B30C02E" w14:textId="07C3EBBE" w:rsidR="00E76727" w:rsidRPr="00C14AA8" w:rsidRDefault="00E76727" w:rsidP="00C14AA8">
            <w:pPr>
              <w:pStyle w:val="TableTextEntries"/>
            </w:pPr>
            <w:r w:rsidRPr="00C14AA8">
              <w:t xml:space="preserve">Develop a coherent approach to food and nutrition security that exploits linkages between our health, education, </w:t>
            </w:r>
            <w:r w:rsidR="00425C32" w:rsidRPr="00C14AA8">
              <w:t xml:space="preserve">water and </w:t>
            </w:r>
            <w:r w:rsidR="00C07BA3" w:rsidRPr="00C14AA8">
              <w:t>sanitation</w:t>
            </w:r>
            <w:r w:rsidR="00C65124" w:rsidRPr="00C14AA8">
              <w:t>,</w:t>
            </w:r>
            <w:r w:rsidR="00425C32" w:rsidRPr="00C14AA8">
              <w:t xml:space="preserve"> </w:t>
            </w:r>
            <w:r w:rsidRPr="00C14AA8">
              <w:t>and agriculture programs. Refocus our major programs to directly benefit nutrition. Support National Nutrition Survey and advocacy.</w:t>
            </w:r>
          </w:p>
        </w:tc>
      </w:tr>
      <w:tr w:rsidR="00E76727" w:rsidRPr="00180B19" w14:paraId="1B3D7233" w14:textId="77777777" w:rsidTr="00AC528A">
        <w:tc>
          <w:tcPr>
            <w:tcW w:w="4180" w:type="dxa"/>
          </w:tcPr>
          <w:p w14:paraId="7515E993" w14:textId="2B989393" w:rsidR="00E76727" w:rsidRPr="00C14AA8" w:rsidRDefault="00E76727" w:rsidP="00C14AA8">
            <w:pPr>
              <w:pStyle w:val="TableTextEntries"/>
            </w:pPr>
            <w:r w:rsidRPr="00C14AA8">
              <w:rPr>
                <w:rFonts w:eastAsia="SimSun"/>
              </w:rPr>
              <w:t>Poor governance impacts on service delivery and achievement of sector development outcomes</w:t>
            </w:r>
            <w:r w:rsidR="00425C32" w:rsidRPr="00C14AA8">
              <w:rPr>
                <w:rFonts w:eastAsia="SimSun"/>
              </w:rPr>
              <w:t>.</w:t>
            </w:r>
          </w:p>
        </w:tc>
        <w:tc>
          <w:tcPr>
            <w:tcW w:w="3946" w:type="dxa"/>
          </w:tcPr>
          <w:p w14:paraId="64AEA6AF" w14:textId="25988038" w:rsidR="00E76727" w:rsidRPr="00C14AA8" w:rsidRDefault="00E76727" w:rsidP="00C14AA8">
            <w:pPr>
              <w:pStyle w:val="TableTextEntries"/>
            </w:pPr>
            <w:r w:rsidRPr="00C14AA8">
              <w:t>Develop a budget engagement strategy. Finalise the policy enabling delivery strategy by August 2013, then agree and resource an activity plan by December 2013</w:t>
            </w:r>
            <w:r w:rsidR="00425C32" w:rsidRPr="00C14AA8">
              <w:t>.</w:t>
            </w:r>
          </w:p>
        </w:tc>
      </w:tr>
      <w:tr w:rsidR="00E76727" w:rsidRPr="00180B19" w14:paraId="779F2016" w14:textId="77777777" w:rsidTr="00AC528A">
        <w:tc>
          <w:tcPr>
            <w:tcW w:w="4180" w:type="dxa"/>
          </w:tcPr>
          <w:p w14:paraId="1F52D437" w14:textId="02379505" w:rsidR="00E76727" w:rsidRPr="00C14AA8" w:rsidRDefault="00E76727" w:rsidP="00C14AA8">
            <w:pPr>
              <w:pStyle w:val="TableTextEntries"/>
            </w:pPr>
            <w:r w:rsidRPr="00C14AA8">
              <w:rPr>
                <w:rFonts w:eastAsia="SimSun"/>
              </w:rPr>
              <w:t>Progress toward achieving sector program development outcomes inadequate due to gender barriers and non-inclusive development practices</w:t>
            </w:r>
            <w:r w:rsidR="00425C32" w:rsidRPr="00C14AA8">
              <w:rPr>
                <w:rFonts w:eastAsia="SimSun"/>
              </w:rPr>
              <w:t>.</w:t>
            </w:r>
          </w:p>
        </w:tc>
        <w:tc>
          <w:tcPr>
            <w:tcW w:w="3946" w:type="dxa"/>
          </w:tcPr>
          <w:p w14:paraId="47A3F29C" w14:textId="77777777" w:rsidR="00E76727" w:rsidRPr="00C14AA8" w:rsidRDefault="00E76727" w:rsidP="00C14AA8">
            <w:pPr>
              <w:pStyle w:val="TableTextEntries"/>
            </w:pPr>
            <w:r w:rsidRPr="00C14AA8">
              <w:t xml:space="preserve">Undertake a gender stocktake and action plan by December 2013 linked to a gender outcome in the new country strategy by 2014. Continue inclusive development analysis to understand barriers to people with disability to influence design and implementation of programs. </w:t>
            </w:r>
          </w:p>
        </w:tc>
      </w:tr>
      <w:tr w:rsidR="00E76727" w:rsidRPr="00180B19" w14:paraId="7A34AE10" w14:textId="77777777" w:rsidTr="00AC528A">
        <w:tc>
          <w:tcPr>
            <w:tcW w:w="4180" w:type="dxa"/>
          </w:tcPr>
          <w:p w14:paraId="2E9EEEE5" w14:textId="295C8EC0" w:rsidR="00E76727" w:rsidRPr="00C14AA8" w:rsidRDefault="00E76727" w:rsidP="00C14AA8">
            <w:pPr>
              <w:pStyle w:val="TableTextEntries"/>
              <w:rPr>
                <w:rFonts w:eastAsia="SimSun"/>
              </w:rPr>
            </w:pPr>
            <w:r w:rsidRPr="00C14AA8">
              <w:rPr>
                <w:rFonts w:eastAsia="SimSun"/>
              </w:rPr>
              <w:t>Poor quality monitoring and evaluation products impact on quality of the aid program</w:t>
            </w:r>
            <w:r w:rsidR="00425C32" w:rsidRPr="00C14AA8">
              <w:rPr>
                <w:rFonts w:eastAsia="SimSun"/>
              </w:rPr>
              <w:t>.</w:t>
            </w:r>
          </w:p>
        </w:tc>
        <w:tc>
          <w:tcPr>
            <w:tcW w:w="3946" w:type="dxa"/>
          </w:tcPr>
          <w:p w14:paraId="223F8742" w14:textId="460B025B" w:rsidR="00E76727" w:rsidRPr="00C14AA8" w:rsidRDefault="00E76727" w:rsidP="00C14AA8">
            <w:pPr>
              <w:pStyle w:val="TableTextEntries"/>
            </w:pPr>
            <w:r w:rsidRPr="00C14AA8">
              <w:t xml:space="preserve">90 per cent of priority </w:t>
            </w:r>
            <w:r w:rsidR="00425C32" w:rsidRPr="00C14AA8">
              <w:t>monitoring and evaluation</w:t>
            </w:r>
            <w:r w:rsidRPr="00C14AA8">
              <w:t xml:space="preserve"> </w:t>
            </w:r>
            <w:r w:rsidR="00425C32" w:rsidRPr="00C14AA8">
              <w:t xml:space="preserve">products </w:t>
            </w:r>
            <w:r w:rsidRPr="00C14AA8">
              <w:t>quality assured by the Evaluation Capacity Building Program during 2013</w:t>
            </w:r>
            <w:r w:rsidR="00425C32" w:rsidRPr="00C14AA8">
              <w:t>–</w:t>
            </w:r>
            <w:r w:rsidRPr="00C14AA8">
              <w:t>14</w:t>
            </w:r>
            <w:r w:rsidR="00C65124" w:rsidRPr="00C14AA8">
              <w:t>.</w:t>
            </w:r>
          </w:p>
        </w:tc>
      </w:tr>
      <w:tr w:rsidR="00E76727" w:rsidRPr="00180B19" w14:paraId="2CF2772B" w14:textId="77777777" w:rsidTr="00AC528A">
        <w:tc>
          <w:tcPr>
            <w:tcW w:w="4180" w:type="dxa"/>
          </w:tcPr>
          <w:p w14:paraId="520699C4" w14:textId="2F66480F" w:rsidR="00E76727" w:rsidRPr="00C14AA8" w:rsidRDefault="00E76727" w:rsidP="00C14AA8">
            <w:pPr>
              <w:pStyle w:val="TableTextEntries"/>
              <w:rPr>
                <w:rFonts w:eastAsia="SimSun"/>
              </w:rPr>
            </w:pPr>
            <w:r w:rsidRPr="00C14AA8">
              <w:rPr>
                <w:rFonts w:eastAsia="SimSun"/>
              </w:rPr>
              <w:t xml:space="preserve">Programs do not fully understand, or support, </w:t>
            </w:r>
            <w:r w:rsidR="00425C32" w:rsidRPr="00C14AA8">
              <w:rPr>
                <w:rFonts w:eastAsia="SimSun"/>
              </w:rPr>
              <w:t xml:space="preserve">civil society </w:t>
            </w:r>
            <w:r w:rsidRPr="00C14AA8">
              <w:rPr>
                <w:rFonts w:eastAsia="SimSun"/>
              </w:rPr>
              <w:t>engagement.</w:t>
            </w:r>
          </w:p>
        </w:tc>
        <w:tc>
          <w:tcPr>
            <w:tcW w:w="3946" w:type="dxa"/>
          </w:tcPr>
          <w:p w14:paraId="6245DB14" w14:textId="36E051A7" w:rsidR="00C65124" w:rsidRPr="00C14AA8" w:rsidRDefault="00E76727" w:rsidP="00C14AA8">
            <w:pPr>
              <w:pStyle w:val="TableTextEntries"/>
            </w:pPr>
            <w:r w:rsidRPr="00C14AA8">
              <w:t xml:space="preserve">Finalise the 2012 independent </w:t>
            </w:r>
            <w:r w:rsidR="00425C32" w:rsidRPr="00C14AA8">
              <w:t xml:space="preserve">civil society organisation </w:t>
            </w:r>
            <w:r w:rsidRPr="00C14AA8">
              <w:t xml:space="preserve">review and implement key recommendations. </w:t>
            </w:r>
          </w:p>
        </w:tc>
      </w:tr>
    </w:tbl>
    <w:p w14:paraId="1CFD931D" w14:textId="77777777" w:rsidR="001E3DDE" w:rsidRDefault="001E3DDE">
      <w:r>
        <w:rPr>
          <w:b/>
        </w:rPr>
        <w:br w:type="page"/>
      </w:r>
    </w:p>
    <w:tbl>
      <w:tblPr>
        <w:tblStyle w:val="APPR"/>
        <w:tblW w:w="5000" w:type="pct"/>
        <w:tblLook w:val="0600" w:firstRow="0" w:lastRow="0" w:firstColumn="0" w:lastColumn="0" w:noHBand="1" w:noVBand="1"/>
      </w:tblPr>
      <w:tblGrid>
        <w:gridCol w:w="4426"/>
        <w:gridCol w:w="4181"/>
      </w:tblGrid>
      <w:tr w:rsidR="00E76727" w:rsidRPr="00180B19" w14:paraId="416A5509" w14:textId="77777777" w:rsidTr="00AC528A">
        <w:tc>
          <w:tcPr>
            <w:tcW w:w="4180" w:type="dxa"/>
            <w:hideMark/>
          </w:tcPr>
          <w:p w14:paraId="6CD26B7C" w14:textId="2A15AF94" w:rsidR="00E76727" w:rsidRPr="004C4A3E" w:rsidRDefault="00E76727" w:rsidP="00C14AA8">
            <w:pPr>
              <w:pStyle w:val="TableHeading1"/>
            </w:pPr>
            <w:r>
              <w:lastRenderedPageBreak/>
              <w:t xml:space="preserve">Sector </w:t>
            </w:r>
            <w:r w:rsidR="00425C32">
              <w:t>program</w:t>
            </w:r>
            <w:r>
              <w:t xml:space="preserve">: </w:t>
            </w:r>
            <w:r w:rsidR="00425C32">
              <w:t>m</w:t>
            </w:r>
            <w:r w:rsidR="00425C32" w:rsidRPr="00F54FAE">
              <w:t xml:space="preserve">ost </w:t>
            </w:r>
            <w:r w:rsidRPr="00F54FAE">
              <w:t>significant risks</w:t>
            </w:r>
          </w:p>
        </w:tc>
        <w:tc>
          <w:tcPr>
            <w:tcW w:w="3946" w:type="dxa"/>
          </w:tcPr>
          <w:p w14:paraId="5F725D18" w14:textId="4C8E01CE" w:rsidR="00E76727" w:rsidRPr="004C4A3E" w:rsidRDefault="00E76727" w:rsidP="00C14AA8">
            <w:pPr>
              <w:pStyle w:val="TableHeading1"/>
            </w:pPr>
            <w:r w:rsidRPr="00F54FAE">
              <w:t xml:space="preserve">Management </w:t>
            </w:r>
            <w:r w:rsidR="00425C32">
              <w:t>r</w:t>
            </w:r>
            <w:r w:rsidR="00425C32" w:rsidRPr="00F54FAE">
              <w:t xml:space="preserve">esponse </w:t>
            </w:r>
            <w:r w:rsidR="00C65124">
              <w:t>–</w:t>
            </w:r>
            <w:r w:rsidR="00C65124" w:rsidRPr="00F54FAE">
              <w:t xml:space="preserve"> </w:t>
            </w:r>
            <w:r w:rsidRPr="00F54FAE">
              <w:t xml:space="preserve">What? Who? How? When? </w:t>
            </w:r>
          </w:p>
        </w:tc>
      </w:tr>
      <w:tr w:rsidR="00E76727" w:rsidRPr="00180B19" w14:paraId="47FFA255" w14:textId="77777777" w:rsidTr="00AC528A">
        <w:tc>
          <w:tcPr>
            <w:tcW w:w="4180" w:type="dxa"/>
            <w:hideMark/>
          </w:tcPr>
          <w:p w14:paraId="274D02A7" w14:textId="2ACD85EA" w:rsidR="00E76727" w:rsidRPr="004C4A3E" w:rsidRDefault="00E76727" w:rsidP="00C14AA8">
            <w:pPr>
              <w:pStyle w:val="TableHeading2"/>
            </w:pPr>
            <w:r w:rsidRPr="007D1B93">
              <w:rPr>
                <w:rFonts w:eastAsia="SimSun"/>
              </w:rPr>
              <w:t xml:space="preserve">Objective 1: Water, </w:t>
            </w:r>
            <w:r w:rsidR="00425C32">
              <w:rPr>
                <w:rFonts w:eastAsia="SimSun"/>
              </w:rPr>
              <w:t>s</w:t>
            </w:r>
            <w:r w:rsidR="00425C32" w:rsidRPr="007D1B93">
              <w:rPr>
                <w:rFonts w:eastAsia="SimSun"/>
              </w:rPr>
              <w:t xml:space="preserve">anitation </w:t>
            </w:r>
            <w:r w:rsidRPr="007D1B93">
              <w:rPr>
                <w:rFonts w:eastAsia="SimSun"/>
              </w:rPr>
              <w:t xml:space="preserve">and </w:t>
            </w:r>
            <w:r w:rsidR="00425C32">
              <w:rPr>
                <w:rFonts w:eastAsia="SimSun"/>
              </w:rPr>
              <w:t>h</w:t>
            </w:r>
            <w:r w:rsidR="00425C32" w:rsidRPr="007D1B93">
              <w:rPr>
                <w:rFonts w:eastAsia="SimSun"/>
              </w:rPr>
              <w:t>ygiene</w:t>
            </w:r>
          </w:p>
        </w:tc>
        <w:tc>
          <w:tcPr>
            <w:tcW w:w="3946" w:type="dxa"/>
          </w:tcPr>
          <w:p w14:paraId="506B85FA" w14:textId="77777777" w:rsidR="00E76727" w:rsidRPr="004C4A3E" w:rsidRDefault="00E76727" w:rsidP="00E76727">
            <w:pPr>
              <w:pStyle w:val="TableTextEntries"/>
            </w:pPr>
          </w:p>
        </w:tc>
      </w:tr>
      <w:tr w:rsidR="00E76727" w:rsidRPr="00180B19" w14:paraId="3C713DBA" w14:textId="77777777" w:rsidTr="00AC528A">
        <w:tc>
          <w:tcPr>
            <w:tcW w:w="4180" w:type="dxa"/>
            <w:hideMark/>
          </w:tcPr>
          <w:p w14:paraId="350380E7" w14:textId="71D0D1A3" w:rsidR="00E76727" w:rsidRPr="00C14AA8" w:rsidRDefault="00E76727" w:rsidP="00C14AA8">
            <w:pPr>
              <w:pStyle w:val="TableTextEntries"/>
            </w:pPr>
            <w:r w:rsidRPr="00C14AA8">
              <w:rPr>
                <w:rFonts w:eastAsia="SimSun"/>
              </w:rPr>
              <w:t xml:space="preserve">Increased investment in rural water systems wasted as systems </w:t>
            </w:r>
            <w:r w:rsidR="00C07BA3" w:rsidRPr="00C14AA8">
              <w:rPr>
                <w:rFonts w:eastAsia="SimSun"/>
              </w:rPr>
              <w:t>breakdown</w:t>
            </w:r>
            <w:r w:rsidRPr="00C14AA8">
              <w:rPr>
                <w:rFonts w:eastAsia="SimSun"/>
              </w:rPr>
              <w:t xml:space="preserve"> and </w:t>
            </w:r>
            <w:r w:rsidR="00425C32" w:rsidRPr="00C14AA8">
              <w:rPr>
                <w:rFonts w:eastAsia="SimSun"/>
              </w:rPr>
              <w:t xml:space="preserve">because of </w:t>
            </w:r>
            <w:r w:rsidRPr="00C14AA8">
              <w:rPr>
                <w:rFonts w:eastAsia="SimSun"/>
              </w:rPr>
              <w:t xml:space="preserve">limited </w:t>
            </w:r>
            <w:r w:rsidR="00425C32" w:rsidRPr="00C14AA8">
              <w:rPr>
                <w:rFonts w:eastAsia="SimSun"/>
              </w:rPr>
              <w:t xml:space="preserve">community and government </w:t>
            </w:r>
            <w:r w:rsidRPr="00C14AA8">
              <w:rPr>
                <w:rFonts w:eastAsia="SimSun"/>
              </w:rPr>
              <w:t xml:space="preserve">capacity. </w:t>
            </w:r>
            <w:r w:rsidR="00425C32" w:rsidRPr="00C14AA8">
              <w:rPr>
                <w:rFonts w:eastAsia="SimSun"/>
              </w:rPr>
              <w:t>Increasing</w:t>
            </w:r>
            <w:r w:rsidRPr="00C14AA8">
              <w:rPr>
                <w:rFonts w:eastAsia="SimSun"/>
              </w:rPr>
              <w:t xml:space="preserve"> sanitation in rural areas faces risk that households will not want to invest in an improved toilet, leading to households returning to open defecation.</w:t>
            </w:r>
          </w:p>
        </w:tc>
        <w:tc>
          <w:tcPr>
            <w:tcW w:w="3946" w:type="dxa"/>
          </w:tcPr>
          <w:p w14:paraId="6274F894" w14:textId="7F541632" w:rsidR="00E76727" w:rsidRPr="00C14AA8" w:rsidRDefault="00E76727" w:rsidP="00C14AA8">
            <w:pPr>
              <w:pStyle w:val="TableTextEntries"/>
            </w:pPr>
            <w:r w:rsidRPr="00C14AA8">
              <w:rPr>
                <w:rFonts w:eastAsia="SimSun"/>
              </w:rPr>
              <w:t xml:space="preserve">BESIK will work closely with </w:t>
            </w:r>
            <w:r w:rsidR="00425C32" w:rsidRPr="00C14AA8">
              <w:rPr>
                <w:rFonts w:eastAsia="SimSun"/>
              </w:rPr>
              <w:t xml:space="preserve">the Timor-Leste Government </w:t>
            </w:r>
            <w:r w:rsidRPr="00C14AA8">
              <w:rPr>
                <w:rFonts w:eastAsia="SimSun"/>
              </w:rPr>
              <w:t xml:space="preserve">to institutionalise operation and maintenance </w:t>
            </w:r>
            <w:r w:rsidR="00425C32" w:rsidRPr="00C14AA8">
              <w:rPr>
                <w:rFonts w:eastAsia="SimSun"/>
              </w:rPr>
              <w:t xml:space="preserve">by </w:t>
            </w:r>
            <w:r w:rsidRPr="00C14AA8">
              <w:rPr>
                <w:rFonts w:eastAsia="SimSun"/>
              </w:rPr>
              <w:t xml:space="preserve">increasing community and government capacity to prevent and respond to breakdowns in a timely manner. BESIK will work with </w:t>
            </w:r>
            <w:r w:rsidR="00425C32" w:rsidRPr="00C14AA8">
              <w:rPr>
                <w:rFonts w:eastAsia="SimSun"/>
              </w:rPr>
              <w:t xml:space="preserve">government </w:t>
            </w:r>
            <w:r w:rsidRPr="00C14AA8">
              <w:rPr>
                <w:rFonts w:eastAsia="SimSun"/>
              </w:rPr>
              <w:t>and stakeholders on communication campaigns around household responsibility to build a toilet and have affordable sanitation products available in rural areas.</w:t>
            </w:r>
          </w:p>
        </w:tc>
      </w:tr>
      <w:tr w:rsidR="00E76727" w:rsidRPr="00180B19" w14:paraId="63AAE323" w14:textId="77777777" w:rsidTr="00AC528A">
        <w:tc>
          <w:tcPr>
            <w:tcW w:w="4180" w:type="dxa"/>
          </w:tcPr>
          <w:p w14:paraId="5F59DAFD" w14:textId="57E48176" w:rsidR="00E76727" w:rsidRPr="00C14AA8" w:rsidRDefault="00E76727" w:rsidP="00C14AA8">
            <w:pPr>
              <w:pStyle w:val="TableTextEntries"/>
            </w:pPr>
            <w:r w:rsidRPr="00C14AA8">
              <w:rPr>
                <w:rFonts w:eastAsia="SimSun"/>
              </w:rPr>
              <w:t xml:space="preserve">Low motivation of civil servants due to poor resourcing, realistic challenges to transition to a service delivery and policy development, confusion on roles with other line ministries (e.g. </w:t>
            </w:r>
            <w:r w:rsidR="00425C32" w:rsidRPr="00C14AA8">
              <w:rPr>
                <w:rStyle w:val="st"/>
              </w:rPr>
              <w:t>National Program for Village Development</w:t>
            </w:r>
            <w:r w:rsidRPr="00C14AA8">
              <w:rPr>
                <w:rFonts w:eastAsia="SimSun"/>
              </w:rPr>
              <w:t xml:space="preserve">, </w:t>
            </w:r>
            <w:r w:rsidR="00425C32" w:rsidRPr="00C14AA8">
              <w:rPr>
                <w:rFonts w:eastAsia="SimSun"/>
              </w:rPr>
              <w:t>water resources management</w:t>
            </w:r>
            <w:r w:rsidRPr="00C14AA8">
              <w:rPr>
                <w:rFonts w:eastAsia="SimSun"/>
              </w:rPr>
              <w:t>).</w:t>
            </w:r>
          </w:p>
        </w:tc>
        <w:tc>
          <w:tcPr>
            <w:tcW w:w="3946" w:type="dxa"/>
          </w:tcPr>
          <w:p w14:paraId="1533149F" w14:textId="5355CEB6" w:rsidR="00C15212" w:rsidRPr="00C14AA8" w:rsidRDefault="00E76727" w:rsidP="00C14AA8">
            <w:pPr>
              <w:pStyle w:val="TableTextEntries"/>
            </w:pPr>
            <w:r w:rsidRPr="00C14AA8">
              <w:rPr>
                <w:rFonts w:eastAsia="SimSun"/>
              </w:rPr>
              <w:t>BESIK will be analytical in identifying the bottlenecks, barriers and de-motivating factors and through policy dialogue with government</w:t>
            </w:r>
            <w:r w:rsidR="00C65124" w:rsidRPr="00C14AA8">
              <w:rPr>
                <w:rFonts w:eastAsia="SimSun"/>
              </w:rPr>
              <w:t xml:space="preserve"> –</w:t>
            </w:r>
            <w:r w:rsidRPr="00C14AA8">
              <w:rPr>
                <w:rFonts w:eastAsia="SimSun"/>
              </w:rPr>
              <w:t xml:space="preserve"> including central agencies</w:t>
            </w:r>
            <w:r w:rsidR="00C65124" w:rsidRPr="00C14AA8">
              <w:rPr>
                <w:rFonts w:eastAsia="SimSun"/>
              </w:rPr>
              <w:t xml:space="preserve"> –</w:t>
            </w:r>
            <w:r w:rsidRPr="00C14AA8">
              <w:rPr>
                <w:rFonts w:eastAsia="SimSun"/>
              </w:rPr>
              <w:t xml:space="preserve"> and building partnerships </w:t>
            </w:r>
            <w:r w:rsidR="00C65124" w:rsidRPr="00C14AA8">
              <w:rPr>
                <w:rFonts w:eastAsia="SimSun"/>
              </w:rPr>
              <w:t>–</w:t>
            </w:r>
            <w:r w:rsidRPr="00C14AA8">
              <w:rPr>
                <w:rFonts w:eastAsia="SimSun"/>
              </w:rPr>
              <w:t>including resourcing for civil servants</w:t>
            </w:r>
            <w:r w:rsidR="00C65124" w:rsidRPr="00C14AA8">
              <w:rPr>
                <w:rFonts w:eastAsia="SimSun"/>
              </w:rPr>
              <w:t xml:space="preserve"> –</w:t>
            </w:r>
            <w:r w:rsidRPr="00C14AA8">
              <w:rPr>
                <w:rFonts w:eastAsia="SimSun"/>
              </w:rPr>
              <w:t>and through gaining recognition for their work.</w:t>
            </w:r>
            <w:r w:rsidR="00C14AA8" w:rsidRPr="00C14AA8">
              <w:t xml:space="preserve"> </w:t>
            </w:r>
          </w:p>
        </w:tc>
      </w:tr>
      <w:tr w:rsidR="00E76727" w:rsidRPr="00180B19" w14:paraId="32A9CC7A" w14:textId="77777777" w:rsidTr="00AC528A">
        <w:tc>
          <w:tcPr>
            <w:tcW w:w="4180" w:type="dxa"/>
          </w:tcPr>
          <w:p w14:paraId="2DD8AB94" w14:textId="46D2D144" w:rsidR="00E76727" w:rsidRPr="004C4A3E" w:rsidRDefault="00E76727" w:rsidP="00C14AA8">
            <w:pPr>
              <w:pStyle w:val="TableHeading2"/>
            </w:pPr>
            <w:r w:rsidRPr="007D1B93">
              <w:rPr>
                <w:rFonts w:eastAsia="SimSun"/>
              </w:rPr>
              <w:t xml:space="preserve">Objective 2: Rural </w:t>
            </w:r>
            <w:r w:rsidR="00425C32">
              <w:rPr>
                <w:rFonts w:eastAsia="SimSun"/>
              </w:rPr>
              <w:t>r</w:t>
            </w:r>
            <w:r w:rsidR="00425C32" w:rsidRPr="007D1B93">
              <w:rPr>
                <w:rFonts w:eastAsia="SimSun"/>
              </w:rPr>
              <w:t>oads</w:t>
            </w:r>
          </w:p>
        </w:tc>
        <w:tc>
          <w:tcPr>
            <w:tcW w:w="3946" w:type="dxa"/>
          </w:tcPr>
          <w:p w14:paraId="6C3B1BE3" w14:textId="77777777" w:rsidR="00E76727" w:rsidRPr="004C4A3E" w:rsidRDefault="00E76727" w:rsidP="00E76727">
            <w:pPr>
              <w:pStyle w:val="TableTextColumnHeading"/>
            </w:pPr>
          </w:p>
        </w:tc>
      </w:tr>
      <w:tr w:rsidR="00E76727" w:rsidRPr="00180B19" w14:paraId="2C754C5E" w14:textId="77777777" w:rsidTr="00AC528A">
        <w:tc>
          <w:tcPr>
            <w:tcW w:w="4180" w:type="dxa"/>
            <w:hideMark/>
          </w:tcPr>
          <w:p w14:paraId="37162549" w14:textId="4628AA23" w:rsidR="00E76727" w:rsidRPr="00C14AA8" w:rsidRDefault="00E76727" w:rsidP="00C14AA8">
            <w:pPr>
              <w:pStyle w:val="TableTextEntries"/>
            </w:pPr>
            <w:r w:rsidRPr="00C14AA8">
              <w:rPr>
                <w:rFonts w:eastAsia="SimSun"/>
              </w:rPr>
              <w:t>Poor coordination between government agencies in the rural roads sector leading to inconsistencies in planning and implementation of road works, poor quality of roads and marginalisation of the role of M</w:t>
            </w:r>
            <w:r w:rsidR="00425C32" w:rsidRPr="00C14AA8">
              <w:rPr>
                <w:rFonts w:eastAsia="SimSun"/>
              </w:rPr>
              <w:t xml:space="preserve">inistry of </w:t>
            </w:r>
            <w:r w:rsidRPr="00C14AA8">
              <w:rPr>
                <w:rFonts w:eastAsia="SimSun"/>
              </w:rPr>
              <w:t>P</w:t>
            </w:r>
            <w:r w:rsidR="00425C32" w:rsidRPr="00C14AA8">
              <w:rPr>
                <w:rFonts w:eastAsia="SimSun"/>
              </w:rPr>
              <w:t xml:space="preserve">ublic </w:t>
            </w:r>
            <w:r w:rsidRPr="00C14AA8">
              <w:rPr>
                <w:rFonts w:eastAsia="SimSun"/>
              </w:rPr>
              <w:t>W</w:t>
            </w:r>
            <w:r w:rsidR="00425C32" w:rsidRPr="00C14AA8">
              <w:rPr>
                <w:rFonts w:eastAsia="SimSun"/>
              </w:rPr>
              <w:t>orks</w:t>
            </w:r>
            <w:r w:rsidRPr="00C14AA8">
              <w:rPr>
                <w:rFonts w:eastAsia="SimSun"/>
              </w:rPr>
              <w:t>.</w:t>
            </w:r>
          </w:p>
        </w:tc>
        <w:tc>
          <w:tcPr>
            <w:tcW w:w="3946" w:type="dxa"/>
          </w:tcPr>
          <w:p w14:paraId="67A12780" w14:textId="77845FE5" w:rsidR="00E76727" w:rsidRPr="00C14AA8" w:rsidRDefault="00E76727" w:rsidP="00C14AA8">
            <w:pPr>
              <w:pStyle w:val="TableTextEntries"/>
            </w:pPr>
            <w:r w:rsidRPr="00C14AA8">
              <w:rPr>
                <w:rFonts w:eastAsia="SimSun"/>
              </w:rPr>
              <w:t xml:space="preserve">Australia Minister Counsellor and </w:t>
            </w:r>
            <w:r w:rsidR="00425C32" w:rsidRPr="00C14AA8">
              <w:rPr>
                <w:rFonts w:eastAsia="SimSun"/>
              </w:rPr>
              <w:t xml:space="preserve">International Labour Organization </w:t>
            </w:r>
            <w:r w:rsidRPr="00C14AA8">
              <w:rPr>
                <w:rFonts w:eastAsia="SimSun"/>
              </w:rPr>
              <w:t xml:space="preserve">Country Head continue </w:t>
            </w:r>
            <w:r w:rsidR="00425C32" w:rsidRPr="00C14AA8">
              <w:rPr>
                <w:rFonts w:eastAsia="SimSun"/>
              </w:rPr>
              <w:t xml:space="preserve">to </w:t>
            </w:r>
            <w:r w:rsidRPr="00C14AA8">
              <w:rPr>
                <w:rFonts w:eastAsia="SimSun"/>
              </w:rPr>
              <w:t xml:space="preserve">intensify engagement with the Minister of Public Works. This will include a meeting in 2013 to discuss the recommendations of the first </w:t>
            </w:r>
            <w:r w:rsidR="003722D3" w:rsidRPr="00C14AA8">
              <w:rPr>
                <w:rFonts w:eastAsia="SimSun"/>
              </w:rPr>
              <w:t xml:space="preserve">independent monitoring group </w:t>
            </w:r>
            <w:r w:rsidRPr="00C14AA8">
              <w:rPr>
                <w:rFonts w:eastAsia="SimSun"/>
              </w:rPr>
              <w:t xml:space="preserve">and formation of the </w:t>
            </w:r>
            <w:r w:rsidR="00425C32" w:rsidRPr="00C14AA8">
              <w:rPr>
                <w:rFonts w:eastAsia="SimSun"/>
              </w:rPr>
              <w:t>program steering committee</w:t>
            </w:r>
            <w:r w:rsidRPr="00C14AA8">
              <w:rPr>
                <w:rFonts w:eastAsia="SimSun"/>
              </w:rPr>
              <w:t>. Identify through policy dialogue at the working level actions to improve effectiveness of coordination.</w:t>
            </w:r>
          </w:p>
        </w:tc>
      </w:tr>
      <w:tr w:rsidR="00E76727" w:rsidRPr="00180B19" w14:paraId="76D8D805" w14:textId="77777777" w:rsidTr="00AC528A">
        <w:tc>
          <w:tcPr>
            <w:tcW w:w="4180" w:type="dxa"/>
            <w:hideMark/>
          </w:tcPr>
          <w:p w14:paraId="2AFF7716" w14:textId="2C5FD7EB" w:rsidR="00E76727" w:rsidRPr="00C14AA8" w:rsidRDefault="00E76727" w:rsidP="00C14AA8">
            <w:pPr>
              <w:pStyle w:val="TableTextEntries"/>
            </w:pPr>
            <w:r w:rsidRPr="00C14AA8">
              <w:rPr>
                <w:rFonts w:eastAsia="SimSun"/>
              </w:rPr>
              <w:t xml:space="preserve">Weak institutional capacity in </w:t>
            </w:r>
            <w:r w:rsidR="00425C32" w:rsidRPr="00C14AA8">
              <w:rPr>
                <w:rFonts w:eastAsia="SimSun"/>
              </w:rPr>
              <w:t>Ministry of Public Works</w:t>
            </w:r>
            <w:r w:rsidR="00425C32" w:rsidRPr="00C14AA8" w:rsidDel="00425C32">
              <w:rPr>
                <w:rFonts w:eastAsia="SimSun"/>
              </w:rPr>
              <w:t xml:space="preserve"> </w:t>
            </w:r>
            <w:r w:rsidRPr="00C14AA8">
              <w:rPr>
                <w:rFonts w:eastAsia="SimSun"/>
              </w:rPr>
              <w:t>and road contractors limits the quality of R4D implementation.</w:t>
            </w:r>
          </w:p>
        </w:tc>
        <w:tc>
          <w:tcPr>
            <w:tcW w:w="3946" w:type="dxa"/>
          </w:tcPr>
          <w:p w14:paraId="25883EAA" w14:textId="5E4B42A5" w:rsidR="00E76727" w:rsidRPr="00C14AA8" w:rsidRDefault="00E76727" w:rsidP="00C14AA8">
            <w:pPr>
              <w:pStyle w:val="TableTextEntries"/>
            </w:pPr>
            <w:r w:rsidRPr="00C14AA8">
              <w:rPr>
                <w:rFonts w:eastAsia="SimSun"/>
              </w:rPr>
              <w:t xml:space="preserve">R4D implements a staged approach </w:t>
            </w:r>
            <w:r w:rsidR="00425C32" w:rsidRPr="00C14AA8">
              <w:rPr>
                <w:rFonts w:eastAsia="SimSun"/>
              </w:rPr>
              <w:t xml:space="preserve">to </w:t>
            </w:r>
            <w:r w:rsidRPr="00C14AA8">
              <w:rPr>
                <w:rFonts w:eastAsia="SimSun"/>
              </w:rPr>
              <w:t xml:space="preserve">support </w:t>
            </w:r>
            <w:r w:rsidR="00425C32" w:rsidRPr="00C14AA8">
              <w:rPr>
                <w:rFonts w:eastAsia="SimSun"/>
              </w:rPr>
              <w:t>Ministry of Public Works</w:t>
            </w:r>
            <w:r w:rsidR="00425C32" w:rsidRPr="00C14AA8" w:rsidDel="00425C32">
              <w:rPr>
                <w:rFonts w:eastAsia="SimSun"/>
              </w:rPr>
              <w:t xml:space="preserve"> </w:t>
            </w:r>
            <w:r w:rsidRPr="00C14AA8">
              <w:rPr>
                <w:rFonts w:eastAsia="SimSun"/>
              </w:rPr>
              <w:t>development</w:t>
            </w:r>
            <w:r w:rsidR="00425C32" w:rsidRPr="00C14AA8">
              <w:rPr>
                <w:rFonts w:eastAsia="SimSun"/>
              </w:rPr>
              <w:t>,</w:t>
            </w:r>
            <w:r w:rsidRPr="00C14AA8">
              <w:rPr>
                <w:rFonts w:eastAsia="SimSun"/>
              </w:rPr>
              <w:t xml:space="preserve"> and reviews its contractor training modules after the first cycle of road works in 2013.</w:t>
            </w:r>
          </w:p>
        </w:tc>
      </w:tr>
      <w:tr w:rsidR="00E76727" w:rsidRPr="00180B19" w14:paraId="52444F46" w14:textId="77777777" w:rsidTr="00AC528A">
        <w:tc>
          <w:tcPr>
            <w:tcW w:w="4180" w:type="dxa"/>
            <w:hideMark/>
          </w:tcPr>
          <w:p w14:paraId="77E436F7" w14:textId="77777777" w:rsidR="00E76727" w:rsidRPr="004C4A3E" w:rsidRDefault="00E76727" w:rsidP="00C14AA8">
            <w:pPr>
              <w:pStyle w:val="TableHeading2"/>
            </w:pPr>
            <w:r w:rsidRPr="007D1B93">
              <w:rPr>
                <w:rFonts w:eastAsia="SimSun"/>
              </w:rPr>
              <w:t>Objective 3: Agriculture</w:t>
            </w:r>
          </w:p>
        </w:tc>
        <w:tc>
          <w:tcPr>
            <w:tcW w:w="3946" w:type="dxa"/>
          </w:tcPr>
          <w:p w14:paraId="091DAB61" w14:textId="77777777" w:rsidR="00E76727" w:rsidRPr="004C4A3E" w:rsidRDefault="00E76727" w:rsidP="00E76727">
            <w:pPr>
              <w:pStyle w:val="TableTextEntries"/>
            </w:pPr>
          </w:p>
        </w:tc>
      </w:tr>
      <w:tr w:rsidR="00E76727" w:rsidRPr="00180B19" w14:paraId="6182FC83" w14:textId="77777777" w:rsidTr="00AC528A">
        <w:tc>
          <w:tcPr>
            <w:tcW w:w="4180" w:type="dxa"/>
            <w:hideMark/>
          </w:tcPr>
          <w:p w14:paraId="21A2229F" w14:textId="626E4396" w:rsidR="00E76727" w:rsidRPr="00C14AA8" w:rsidRDefault="00425C32" w:rsidP="00C14AA8">
            <w:pPr>
              <w:pStyle w:val="TableTextEntries"/>
            </w:pPr>
            <w:r w:rsidRPr="00C14AA8">
              <w:t xml:space="preserve">Ministry of Agriculture and Fisheries </w:t>
            </w:r>
            <w:r w:rsidR="00E76727" w:rsidRPr="00C14AA8">
              <w:rPr>
                <w:rFonts w:eastAsia="SimSun"/>
              </w:rPr>
              <w:t xml:space="preserve">capacity remains weak and inadequate resources are allocated to take greater budget and operational responsibility for the research and formal seed production activities of </w:t>
            </w:r>
            <w:r w:rsidRPr="00C14AA8">
              <w:rPr>
                <w:rFonts w:eastAsia="SimSun"/>
              </w:rPr>
              <w:t>Seeds of Life</w:t>
            </w:r>
            <w:r w:rsidR="00E76727" w:rsidRPr="00C14AA8">
              <w:rPr>
                <w:rFonts w:eastAsia="SimSun"/>
              </w:rPr>
              <w:t>.</w:t>
            </w:r>
          </w:p>
        </w:tc>
        <w:tc>
          <w:tcPr>
            <w:tcW w:w="3946" w:type="dxa"/>
          </w:tcPr>
          <w:p w14:paraId="641700B5" w14:textId="38E86D39" w:rsidR="00E76727" w:rsidRPr="00C14AA8" w:rsidRDefault="00E76B25" w:rsidP="00C14AA8">
            <w:pPr>
              <w:pStyle w:val="TableTextEntries"/>
            </w:pPr>
            <w:r>
              <w:rPr>
                <w:rFonts w:eastAsia="SimSun"/>
              </w:rPr>
              <w:t>The department</w:t>
            </w:r>
            <w:r w:rsidRPr="00C14AA8">
              <w:rPr>
                <w:rFonts w:eastAsia="SimSun"/>
              </w:rPr>
              <w:t xml:space="preserve"> </w:t>
            </w:r>
            <w:r w:rsidR="00E76727" w:rsidRPr="00C14AA8">
              <w:rPr>
                <w:rFonts w:eastAsia="SimSun"/>
              </w:rPr>
              <w:t xml:space="preserve">will increase engagement with the </w:t>
            </w:r>
            <w:r w:rsidR="00425C32" w:rsidRPr="00C14AA8">
              <w:rPr>
                <w:rFonts w:eastAsia="SimSun"/>
              </w:rPr>
              <w:t xml:space="preserve">ministry </w:t>
            </w:r>
            <w:r w:rsidR="00E76727" w:rsidRPr="00C14AA8">
              <w:rPr>
                <w:rFonts w:eastAsia="SimSun"/>
              </w:rPr>
              <w:t xml:space="preserve">on budget planning in 2014. </w:t>
            </w:r>
            <w:r w:rsidR="00425C32" w:rsidRPr="00C14AA8">
              <w:rPr>
                <w:rFonts w:eastAsia="SimSun"/>
              </w:rPr>
              <w:t xml:space="preserve">Seeds of Life team leader </w:t>
            </w:r>
            <w:r w:rsidR="00E76727" w:rsidRPr="00C14AA8">
              <w:rPr>
                <w:rFonts w:eastAsia="SimSun"/>
              </w:rPr>
              <w:t xml:space="preserve">to continue regular engagement with the </w:t>
            </w:r>
            <w:r w:rsidR="00425C32" w:rsidRPr="00C14AA8">
              <w:rPr>
                <w:rFonts w:eastAsia="SimSun"/>
              </w:rPr>
              <w:t>ministry’s d</w:t>
            </w:r>
            <w:r w:rsidR="00E76727" w:rsidRPr="00C14AA8">
              <w:rPr>
                <w:rFonts w:eastAsia="SimSun"/>
              </w:rPr>
              <w:t xml:space="preserve">irector </w:t>
            </w:r>
            <w:r w:rsidR="00425C32" w:rsidRPr="00C14AA8">
              <w:rPr>
                <w:rFonts w:eastAsia="SimSun"/>
              </w:rPr>
              <w:t xml:space="preserve">general </w:t>
            </w:r>
            <w:r w:rsidR="00E76727" w:rsidRPr="00C14AA8">
              <w:rPr>
                <w:rFonts w:eastAsia="SimSun"/>
              </w:rPr>
              <w:t>to ensure sufficient inputs provided for the 2014 budget planning process.</w:t>
            </w:r>
          </w:p>
        </w:tc>
      </w:tr>
      <w:tr w:rsidR="00E76727" w:rsidRPr="00180B19" w14:paraId="69A31379" w14:textId="77777777" w:rsidTr="00AC528A">
        <w:tc>
          <w:tcPr>
            <w:tcW w:w="4180" w:type="dxa"/>
          </w:tcPr>
          <w:p w14:paraId="791E28D8" w14:textId="5CD6576F" w:rsidR="00E76727" w:rsidRPr="00C14AA8" w:rsidRDefault="00E76727" w:rsidP="00C14AA8">
            <w:pPr>
              <w:pStyle w:val="TableTextEntries"/>
            </w:pPr>
            <w:r w:rsidRPr="00C14AA8">
              <w:rPr>
                <w:rFonts w:eastAsia="SimSun"/>
              </w:rPr>
              <w:t>Analysis and design development for post-</w:t>
            </w:r>
            <w:r w:rsidR="00425C32" w:rsidRPr="00C14AA8">
              <w:rPr>
                <w:rFonts w:eastAsia="SimSun"/>
              </w:rPr>
              <w:t xml:space="preserve">Seeds of Life 3 </w:t>
            </w:r>
            <w:r w:rsidRPr="00C14AA8">
              <w:rPr>
                <w:rFonts w:eastAsia="SimSun"/>
              </w:rPr>
              <w:t>delayed.</w:t>
            </w:r>
          </w:p>
        </w:tc>
        <w:tc>
          <w:tcPr>
            <w:tcW w:w="3946" w:type="dxa"/>
          </w:tcPr>
          <w:p w14:paraId="1511DEF5" w14:textId="25E53609" w:rsidR="00E76727" w:rsidRPr="00C14AA8" w:rsidRDefault="00E76727" w:rsidP="00C14AA8">
            <w:pPr>
              <w:pStyle w:val="TableTextEntries"/>
            </w:pPr>
            <w:r w:rsidRPr="00C14AA8">
              <w:rPr>
                <w:rFonts w:eastAsia="SimSun"/>
              </w:rPr>
              <w:t>Commence design theory of change first quarter 2013</w:t>
            </w:r>
            <w:r w:rsidR="00425C32" w:rsidRPr="00C14AA8">
              <w:rPr>
                <w:rFonts w:eastAsia="SimSun"/>
              </w:rPr>
              <w:t>–</w:t>
            </w:r>
            <w:r w:rsidRPr="00C14AA8">
              <w:rPr>
                <w:rFonts w:eastAsia="SimSun"/>
              </w:rPr>
              <w:t>14.</w:t>
            </w:r>
          </w:p>
        </w:tc>
      </w:tr>
      <w:tr w:rsidR="00E76727" w:rsidRPr="00180B19" w14:paraId="288A2E1D" w14:textId="77777777" w:rsidTr="00AC528A">
        <w:tc>
          <w:tcPr>
            <w:tcW w:w="4180" w:type="dxa"/>
            <w:hideMark/>
          </w:tcPr>
          <w:p w14:paraId="302F0B2F" w14:textId="6556C2A5" w:rsidR="00E76727" w:rsidRPr="004C4A3E" w:rsidRDefault="00E76727" w:rsidP="00C14AA8">
            <w:pPr>
              <w:pStyle w:val="TableHeading2"/>
            </w:pPr>
            <w:r w:rsidRPr="000B1C90">
              <w:rPr>
                <w:rFonts w:eastAsia="SimSun"/>
              </w:rPr>
              <w:t xml:space="preserve">Objective 4: Education and </w:t>
            </w:r>
            <w:r w:rsidR="00425C32">
              <w:rPr>
                <w:rFonts w:eastAsia="SimSun"/>
              </w:rPr>
              <w:t>t</w:t>
            </w:r>
            <w:r w:rsidR="00425C32" w:rsidRPr="000B1C90">
              <w:rPr>
                <w:rFonts w:eastAsia="SimSun"/>
              </w:rPr>
              <w:t>raining</w:t>
            </w:r>
          </w:p>
        </w:tc>
        <w:tc>
          <w:tcPr>
            <w:tcW w:w="3946" w:type="dxa"/>
          </w:tcPr>
          <w:p w14:paraId="17CCD814" w14:textId="77777777" w:rsidR="00E76727" w:rsidRPr="004C4A3E" w:rsidRDefault="00E76727" w:rsidP="00E76727">
            <w:pPr>
              <w:pStyle w:val="TableTextEntries"/>
            </w:pPr>
          </w:p>
        </w:tc>
      </w:tr>
      <w:tr w:rsidR="00E76727" w:rsidRPr="00180B19" w14:paraId="0159816D" w14:textId="77777777" w:rsidTr="00AC528A">
        <w:tc>
          <w:tcPr>
            <w:tcW w:w="4180" w:type="dxa"/>
            <w:hideMark/>
          </w:tcPr>
          <w:p w14:paraId="5817E6E0" w14:textId="77777777" w:rsidR="00E76727" w:rsidRPr="00C14AA8" w:rsidRDefault="00E76727" w:rsidP="00C14AA8">
            <w:pPr>
              <w:pStyle w:val="TableTextEntries"/>
              <w:rPr>
                <w:rFonts w:eastAsia="SimSun"/>
              </w:rPr>
            </w:pPr>
            <w:r w:rsidRPr="00C14AA8">
              <w:rPr>
                <w:rFonts w:eastAsia="SimSun"/>
              </w:rPr>
              <w:t>Weak monitoring and evaluation system and low quality products result in poor management of Australia’s new education program.</w:t>
            </w:r>
          </w:p>
          <w:p w14:paraId="2800FF23" w14:textId="77777777" w:rsidR="00E76727" w:rsidRPr="00C14AA8" w:rsidRDefault="00E76727" w:rsidP="00C14AA8">
            <w:pPr>
              <w:pStyle w:val="TableTextEntries"/>
            </w:pPr>
          </w:p>
        </w:tc>
        <w:tc>
          <w:tcPr>
            <w:tcW w:w="3946" w:type="dxa"/>
          </w:tcPr>
          <w:p w14:paraId="49489A6F" w14:textId="47B2E5B8" w:rsidR="00E76727" w:rsidRPr="00C14AA8" w:rsidRDefault="00E76727" w:rsidP="00E76B25">
            <w:pPr>
              <w:pStyle w:val="TableTextEntries"/>
            </w:pPr>
            <w:r w:rsidRPr="00C14AA8">
              <w:rPr>
                <w:rFonts w:eastAsia="SimSun"/>
              </w:rPr>
              <w:t xml:space="preserve">In 2013 </w:t>
            </w:r>
            <w:r w:rsidR="00E76B25">
              <w:rPr>
                <w:rFonts w:eastAsia="SimSun"/>
              </w:rPr>
              <w:t>the department</w:t>
            </w:r>
            <w:r w:rsidR="00E76B25" w:rsidRPr="00C14AA8">
              <w:rPr>
                <w:rFonts w:eastAsia="SimSun"/>
              </w:rPr>
              <w:t xml:space="preserve"> </w:t>
            </w:r>
            <w:r w:rsidRPr="00C14AA8">
              <w:rPr>
                <w:rFonts w:eastAsia="SimSun"/>
              </w:rPr>
              <w:t>will develop a comprehensive and rigorous monitoring and evaluation framework for the education and training program to identify issues early.</w:t>
            </w:r>
          </w:p>
        </w:tc>
      </w:tr>
      <w:tr w:rsidR="00E76727" w:rsidRPr="00180B19" w14:paraId="291A2709" w14:textId="77777777" w:rsidTr="00AC528A">
        <w:tc>
          <w:tcPr>
            <w:tcW w:w="4180" w:type="dxa"/>
          </w:tcPr>
          <w:p w14:paraId="61C6D1B1" w14:textId="4C7629CE" w:rsidR="00E76727" w:rsidRPr="00C14AA8" w:rsidRDefault="00E76727" w:rsidP="00C14AA8">
            <w:pPr>
              <w:pStyle w:val="TableTextEntries"/>
              <w:rPr>
                <w:rFonts w:eastAsia="SimSun"/>
              </w:rPr>
            </w:pPr>
            <w:r w:rsidRPr="00C14AA8">
              <w:rPr>
                <w:rFonts w:eastAsia="SimSun"/>
              </w:rPr>
              <w:t xml:space="preserve">Ministry of Education and </w:t>
            </w:r>
            <w:r w:rsidR="00425C32" w:rsidRPr="00C14AA8">
              <w:t xml:space="preserve">Secretariat for Policy, Professional Training and Employment </w:t>
            </w:r>
            <w:r w:rsidRPr="00C14AA8">
              <w:rPr>
                <w:rFonts w:eastAsia="SimSun"/>
              </w:rPr>
              <w:t>do not have ownership of the new education program.</w:t>
            </w:r>
          </w:p>
          <w:p w14:paraId="23675BC1" w14:textId="77777777" w:rsidR="00E76727" w:rsidRPr="00C14AA8" w:rsidRDefault="00E76727" w:rsidP="00C14AA8">
            <w:pPr>
              <w:pStyle w:val="TableTextEntries"/>
            </w:pPr>
          </w:p>
        </w:tc>
        <w:tc>
          <w:tcPr>
            <w:tcW w:w="3946" w:type="dxa"/>
          </w:tcPr>
          <w:p w14:paraId="4F37C1FF" w14:textId="35239EA8" w:rsidR="00E76727" w:rsidRPr="00C14AA8" w:rsidRDefault="00E76B25" w:rsidP="00C14AA8">
            <w:pPr>
              <w:pStyle w:val="TableTextEntries"/>
            </w:pPr>
            <w:r>
              <w:rPr>
                <w:rFonts w:eastAsia="SimSun"/>
              </w:rPr>
              <w:t>DFAT</w:t>
            </w:r>
            <w:r w:rsidRPr="00C14AA8">
              <w:rPr>
                <w:rFonts w:eastAsia="SimSun"/>
              </w:rPr>
              <w:t xml:space="preserve"> </w:t>
            </w:r>
            <w:r w:rsidR="00E76727" w:rsidRPr="00C14AA8">
              <w:rPr>
                <w:rFonts w:eastAsia="SimSun"/>
              </w:rPr>
              <w:t xml:space="preserve">will better communicate the work of Australia with the </w:t>
            </w:r>
            <w:r w:rsidR="00425C32" w:rsidRPr="00C14AA8">
              <w:rPr>
                <w:rFonts w:eastAsia="SimSun"/>
              </w:rPr>
              <w:t>government</w:t>
            </w:r>
            <w:r w:rsidR="00E76727" w:rsidRPr="00C14AA8">
              <w:rPr>
                <w:rFonts w:eastAsia="SimSun"/>
              </w:rPr>
              <w:t xml:space="preserve">, partners and communities, and engage with </w:t>
            </w:r>
            <w:r w:rsidR="00425C32" w:rsidRPr="00C14AA8">
              <w:rPr>
                <w:rFonts w:eastAsia="SimSun"/>
              </w:rPr>
              <w:t xml:space="preserve">the government to </w:t>
            </w:r>
            <w:r w:rsidR="00E76727" w:rsidRPr="00C14AA8">
              <w:rPr>
                <w:rFonts w:eastAsia="SimSun"/>
              </w:rPr>
              <w:t>identify key priorities and challenges.</w:t>
            </w:r>
          </w:p>
        </w:tc>
      </w:tr>
      <w:tr w:rsidR="00E76727" w:rsidRPr="00180B19" w14:paraId="22D596E4" w14:textId="77777777" w:rsidTr="00AC528A">
        <w:tc>
          <w:tcPr>
            <w:tcW w:w="4180" w:type="dxa"/>
          </w:tcPr>
          <w:p w14:paraId="6B583E1D" w14:textId="02902A94" w:rsidR="00E76727" w:rsidRPr="00C14AA8" w:rsidRDefault="00425C32" w:rsidP="00C14AA8">
            <w:pPr>
              <w:pStyle w:val="TableTextEntries"/>
              <w:rPr>
                <w:rFonts w:eastAsia="SimSun"/>
              </w:rPr>
            </w:pPr>
            <w:r w:rsidRPr="00C14AA8">
              <w:rPr>
                <w:rFonts w:eastAsia="SimSun"/>
              </w:rPr>
              <w:t xml:space="preserve">Timor-Leste Government </w:t>
            </w:r>
            <w:r w:rsidR="00E76727" w:rsidRPr="00C14AA8">
              <w:rPr>
                <w:rFonts w:eastAsia="SimSun"/>
              </w:rPr>
              <w:t>funding to the education and training sector may decrease as Australia increases funding.</w:t>
            </w:r>
          </w:p>
          <w:p w14:paraId="3353C111" w14:textId="77777777" w:rsidR="00E76727" w:rsidRPr="00C14AA8" w:rsidRDefault="00E76727" w:rsidP="00C14AA8">
            <w:pPr>
              <w:pStyle w:val="TableTextEntries"/>
              <w:rPr>
                <w:rFonts w:eastAsia="SimSun"/>
              </w:rPr>
            </w:pPr>
          </w:p>
          <w:p w14:paraId="2F227D9F" w14:textId="77777777" w:rsidR="00E76727" w:rsidRPr="00C14AA8" w:rsidRDefault="00E76727" w:rsidP="00C14AA8">
            <w:pPr>
              <w:pStyle w:val="TableTextEntries"/>
            </w:pPr>
          </w:p>
        </w:tc>
        <w:tc>
          <w:tcPr>
            <w:tcW w:w="3946" w:type="dxa"/>
          </w:tcPr>
          <w:p w14:paraId="593A0B6F" w14:textId="0459EEDC" w:rsidR="00E76727" w:rsidRPr="00C14AA8" w:rsidRDefault="00817F5E" w:rsidP="00817F5E">
            <w:pPr>
              <w:pStyle w:val="TableTextEntries"/>
            </w:pPr>
            <w:r>
              <w:rPr>
                <w:rFonts w:eastAsia="SimSun"/>
              </w:rPr>
              <w:t>DFAT</w:t>
            </w:r>
            <w:r w:rsidRPr="00C14AA8">
              <w:rPr>
                <w:rFonts w:eastAsia="SimSun"/>
              </w:rPr>
              <w:t xml:space="preserve"> </w:t>
            </w:r>
            <w:r w:rsidR="00E76727" w:rsidRPr="00C14AA8">
              <w:rPr>
                <w:rFonts w:eastAsia="SimSun"/>
              </w:rPr>
              <w:t xml:space="preserve">will devise a budget engagement strategy, and undertake regular analysis to inform discussions. </w:t>
            </w:r>
            <w:r>
              <w:rPr>
                <w:rFonts w:eastAsia="SimSun"/>
              </w:rPr>
              <w:t>DFAT</w:t>
            </w:r>
            <w:r w:rsidRPr="00C14AA8">
              <w:rPr>
                <w:rFonts w:eastAsia="SimSun"/>
              </w:rPr>
              <w:t xml:space="preserve"> </w:t>
            </w:r>
            <w:r w:rsidR="00E76727" w:rsidRPr="00C14AA8">
              <w:rPr>
                <w:rFonts w:eastAsia="SimSun"/>
              </w:rPr>
              <w:t xml:space="preserve">will support </w:t>
            </w:r>
            <w:r w:rsidR="00425C32" w:rsidRPr="00C14AA8">
              <w:rPr>
                <w:rFonts w:eastAsia="SimSun"/>
              </w:rPr>
              <w:t xml:space="preserve">Ministry of Education and </w:t>
            </w:r>
            <w:r w:rsidR="00425C32" w:rsidRPr="00C14AA8">
              <w:t xml:space="preserve">Secretariat for Policy, Professional Training and Employment </w:t>
            </w:r>
            <w:r w:rsidR="00E76727" w:rsidRPr="00C14AA8">
              <w:rPr>
                <w:rFonts w:eastAsia="SimSun"/>
              </w:rPr>
              <w:t xml:space="preserve">to engage with </w:t>
            </w:r>
            <w:r w:rsidR="00425C32" w:rsidRPr="00C14AA8">
              <w:rPr>
                <w:rFonts w:eastAsia="SimSun"/>
              </w:rPr>
              <w:t xml:space="preserve">the </w:t>
            </w:r>
            <w:r w:rsidR="00BD11FD" w:rsidRPr="00C14AA8">
              <w:rPr>
                <w:rFonts w:eastAsia="SimSun"/>
              </w:rPr>
              <w:t>Ministry of Finance</w:t>
            </w:r>
            <w:r w:rsidR="00E76727" w:rsidRPr="00C14AA8">
              <w:rPr>
                <w:rFonts w:eastAsia="SimSun"/>
              </w:rPr>
              <w:t>.</w:t>
            </w:r>
          </w:p>
        </w:tc>
      </w:tr>
    </w:tbl>
    <w:p w14:paraId="213B0282" w14:textId="77777777" w:rsidR="001E3DDE" w:rsidRDefault="001E3DDE">
      <w:r>
        <w:rPr>
          <w:b/>
          <w:i/>
        </w:rPr>
        <w:br w:type="page"/>
      </w:r>
    </w:p>
    <w:tbl>
      <w:tblPr>
        <w:tblStyle w:val="APPR"/>
        <w:tblW w:w="5000" w:type="pct"/>
        <w:tblLook w:val="0600" w:firstRow="0" w:lastRow="0" w:firstColumn="0" w:lastColumn="0" w:noHBand="1" w:noVBand="1"/>
      </w:tblPr>
      <w:tblGrid>
        <w:gridCol w:w="4426"/>
        <w:gridCol w:w="4181"/>
      </w:tblGrid>
      <w:tr w:rsidR="00E76727" w:rsidRPr="00180B19" w14:paraId="0C7B5E86" w14:textId="77777777" w:rsidTr="00022320">
        <w:tc>
          <w:tcPr>
            <w:tcW w:w="4384" w:type="dxa"/>
            <w:hideMark/>
          </w:tcPr>
          <w:p w14:paraId="770A5C13" w14:textId="47018AEA" w:rsidR="00E76727" w:rsidRPr="004C4A3E" w:rsidRDefault="00E76727" w:rsidP="00C14AA8">
            <w:pPr>
              <w:pStyle w:val="TableHeading2"/>
            </w:pPr>
            <w:r w:rsidRPr="007D1B93">
              <w:rPr>
                <w:rFonts w:eastAsia="SimSun"/>
              </w:rPr>
              <w:lastRenderedPageBreak/>
              <w:t>Objective 5: Health</w:t>
            </w:r>
          </w:p>
        </w:tc>
        <w:tc>
          <w:tcPr>
            <w:tcW w:w="4139" w:type="dxa"/>
          </w:tcPr>
          <w:p w14:paraId="637B4E65" w14:textId="77777777" w:rsidR="00E76727" w:rsidRPr="004C4A3E" w:rsidRDefault="00E76727" w:rsidP="00E76727">
            <w:pPr>
              <w:pStyle w:val="TableTextEntries"/>
            </w:pPr>
          </w:p>
        </w:tc>
      </w:tr>
      <w:tr w:rsidR="00E76727" w:rsidRPr="00180B19" w14:paraId="68C0E2A3" w14:textId="77777777" w:rsidTr="00022320">
        <w:tc>
          <w:tcPr>
            <w:tcW w:w="4384" w:type="dxa"/>
            <w:hideMark/>
          </w:tcPr>
          <w:p w14:paraId="5610F029" w14:textId="34E72E31" w:rsidR="00E76727" w:rsidRPr="00C14AA8" w:rsidRDefault="00BD11FD" w:rsidP="0062170F">
            <w:pPr>
              <w:pStyle w:val="TableTextEntries"/>
            </w:pPr>
            <w:r w:rsidRPr="00C14AA8">
              <w:rPr>
                <w:rFonts w:eastAsia="SimSun"/>
              </w:rPr>
              <w:t xml:space="preserve">Ministry of Health </w:t>
            </w:r>
            <w:r w:rsidR="00E76727" w:rsidRPr="00C14AA8">
              <w:rPr>
                <w:rFonts w:eastAsia="SimSun"/>
              </w:rPr>
              <w:t>restructure continues to generate uncertainty and impacts on capacity to engage with Australia in the joint design of a new program.</w:t>
            </w:r>
          </w:p>
        </w:tc>
        <w:tc>
          <w:tcPr>
            <w:tcW w:w="4139" w:type="dxa"/>
          </w:tcPr>
          <w:p w14:paraId="62DA38C6" w14:textId="27850395" w:rsidR="00E76727" w:rsidRPr="00C14AA8" w:rsidRDefault="00E76727" w:rsidP="0062170F">
            <w:pPr>
              <w:pStyle w:val="TableTextEntries"/>
            </w:pPr>
            <w:r w:rsidRPr="00C14AA8">
              <w:rPr>
                <w:rFonts w:eastAsia="SimSun"/>
              </w:rPr>
              <w:t xml:space="preserve">The Director Health and Education and the Senior Health Specialist jointly design the new health program with </w:t>
            </w:r>
            <w:r w:rsidR="00BD11FD" w:rsidRPr="00C14AA8">
              <w:rPr>
                <w:rFonts w:eastAsia="SimSun"/>
              </w:rPr>
              <w:t xml:space="preserve">ministry </w:t>
            </w:r>
            <w:r w:rsidRPr="00C14AA8">
              <w:rPr>
                <w:rFonts w:eastAsia="SimSun"/>
              </w:rPr>
              <w:t>staff.</w:t>
            </w:r>
          </w:p>
        </w:tc>
      </w:tr>
      <w:tr w:rsidR="00E76727" w:rsidRPr="00180B19" w14:paraId="00FA4E85" w14:textId="77777777" w:rsidTr="00022320">
        <w:tc>
          <w:tcPr>
            <w:tcW w:w="4384" w:type="dxa"/>
          </w:tcPr>
          <w:p w14:paraId="4AC377D5" w14:textId="77777777" w:rsidR="00E76727" w:rsidRPr="00C14AA8" w:rsidRDefault="00E76727" w:rsidP="00C14AA8">
            <w:pPr>
              <w:pStyle w:val="TableTextEntries"/>
              <w:rPr>
                <w:rFonts w:eastAsia="SimSun"/>
              </w:rPr>
            </w:pPr>
            <w:r w:rsidRPr="00C14AA8">
              <w:rPr>
                <w:rFonts w:eastAsia="SimSun"/>
              </w:rPr>
              <w:t>Cross cutting issues including gender, nutrition and disability are not integrated into the health portfolio.</w:t>
            </w:r>
          </w:p>
          <w:p w14:paraId="47D90071" w14:textId="77777777" w:rsidR="00E76727" w:rsidRPr="00C14AA8" w:rsidRDefault="00E76727" w:rsidP="00C14AA8">
            <w:pPr>
              <w:pStyle w:val="TableTextEntries"/>
            </w:pPr>
          </w:p>
        </w:tc>
        <w:tc>
          <w:tcPr>
            <w:tcW w:w="4139" w:type="dxa"/>
          </w:tcPr>
          <w:p w14:paraId="6AF2D5A0" w14:textId="092D1AA8" w:rsidR="00E76727" w:rsidRPr="00C14AA8" w:rsidRDefault="00E76727" w:rsidP="00817F5E">
            <w:pPr>
              <w:pStyle w:val="TableTextEntries"/>
            </w:pPr>
            <w:r w:rsidRPr="00C14AA8">
              <w:rPr>
                <w:rFonts w:eastAsia="SimSun"/>
              </w:rPr>
              <w:t xml:space="preserve">The </w:t>
            </w:r>
            <w:r w:rsidR="00817F5E">
              <w:rPr>
                <w:rFonts w:eastAsia="SimSun"/>
              </w:rPr>
              <w:t>DFAT</w:t>
            </w:r>
            <w:r w:rsidR="00817F5E" w:rsidRPr="00C14AA8">
              <w:rPr>
                <w:rFonts w:eastAsia="SimSun"/>
              </w:rPr>
              <w:t xml:space="preserve"> </w:t>
            </w:r>
            <w:r w:rsidRPr="00C14AA8">
              <w:rPr>
                <w:rFonts w:eastAsia="SimSun"/>
              </w:rPr>
              <w:t xml:space="preserve">health design team and the nutrition, disability and gender focal points will participate in cross-cutting working groups and coordinate with other sectors to improve nutrition, gender equality and disability. The team will work with </w:t>
            </w:r>
            <w:r w:rsidR="00BD11FD" w:rsidRPr="00C14AA8">
              <w:rPr>
                <w:rFonts w:eastAsia="SimSun"/>
              </w:rPr>
              <w:t xml:space="preserve">the government </w:t>
            </w:r>
            <w:r w:rsidRPr="00C14AA8">
              <w:rPr>
                <w:rFonts w:eastAsia="SimSun"/>
              </w:rPr>
              <w:t>and development partners to raise the profile of these cross-cutting issues and advocate for evidence based interventions.</w:t>
            </w:r>
          </w:p>
        </w:tc>
      </w:tr>
      <w:tr w:rsidR="00E76727" w:rsidRPr="00180B19" w14:paraId="74AD1D11" w14:textId="77777777" w:rsidTr="00022320">
        <w:tc>
          <w:tcPr>
            <w:tcW w:w="4384" w:type="dxa"/>
          </w:tcPr>
          <w:p w14:paraId="1DA2ED4E" w14:textId="5D5B9D33" w:rsidR="00E76727" w:rsidRPr="00C14AA8" w:rsidRDefault="00E76727" w:rsidP="00C14AA8">
            <w:pPr>
              <w:pStyle w:val="TableTextEntries"/>
            </w:pPr>
            <w:r w:rsidRPr="00C14AA8">
              <w:rPr>
                <w:rFonts w:eastAsia="SimSun"/>
              </w:rPr>
              <w:t xml:space="preserve">Poor </w:t>
            </w:r>
            <w:r w:rsidR="00BD11FD" w:rsidRPr="00C14AA8">
              <w:rPr>
                <w:rFonts w:eastAsia="SimSun"/>
              </w:rPr>
              <w:t>monitoring and evaluation</w:t>
            </w:r>
            <w:r w:rsidRPr="00C14AA8">
              <w:rPr>
                <w:rFonts w:eastAsia="SimSun"/>
              </w:rPr>
              <w:t xml:space="preserve"> across our health programs and the health sector limits the ability to make evidence based decisions to improve sector performance.</w:t>
            </w:r>
          </w:p>
        </w:tc>
        <w:tc>
          <w:tcPr>
            <w:tcW w:w="4139" w:type="dxa"/>
          </w:tcPr>
          <w:p w14:paraId="0E768A87" w14:textId="182634EE" w:rsidR="00E76727" w:rsidRPr="00C14AA8" w:rsidRDefault="00E76727" w:rsidP="00C14AA8">
            <w:pPr>
              <w:pStyle w:val="TableTextEntries"/>
            </w:pPr>
            <w:r w:rsidRPr="00C14AA8">
              <w:rPr>
                <w:rFonts w:eastAsia="SimSun"/>
              </w:rPr>
              <w:t>We will strengt</w:t>
            </w:r>
            <w:r w:rsidR="005E732A" w:rsidRPr="00C14AA8">
              <w:rPr>
                <w:rFonts w:eastAsia="SimSun"/>
              </w:rPr>
              <w:t xml:space="preserve">hen </w:t>
            </w:r>
            <w:r w:rsidR="00BD11FD" w:rsidRPr="00C14AA8">
              <w:rPr>
                <w:rFonts w:eastAsia="SimSun"/>
              </w:rPr>
              <w:t>monitoring and evaluation</w:t>
            </w:r>
            <w:r w:rsidR="005E732A" w:rsidRPr="00C14AA8">
              <w:rPr>
                <w:rFonts w:eastAsia="SimSun"/>
              </w:rPr>
              <w:t xml:space="preserve"> to improve performance.</w:t>
            </w:r>
            <w:r w:rsidRPr="00C14AA8">
              <w:rPr>
                <w:rFonts w:eastAsia="SimSun"/>
              </w:rPr>
              <w:t xml:space="preserve"> We will use </w:t>
            </w:r>
            <w:r w:rsidR="00BD11FD" w:rsidRPr="00C14AA8">
              <w:rPr>
                <w:rFonts w:eastAsia="SimSun"/>
              </w:rPr>
              <w:t xml:space="preserve">monitoring and evaluation </w:t>
            </w:r>
            <w:r w:rsidRPr="00C14AA8">
              <w:rPr>
                <w:rFonts w:eastAsia="SimSun"/>
              </w:rPr>
              <w:t xml:space="preserve">to encourage </w:t>
            </w:r>
            <w:r w:rsidR="00BD11FD" w:rsidRPr="00C14AA8">
              <w:rPr>
                <w:rFonts w:eastAsia="SimSun"/>
              </w:rPr>
              <w:t xml:space="preserve">the Ministry of Health </w:t>
            </w:r>
            <w:r w:rsidRPr="00C14AA8">
              <w:rPr>
                <w:rFonts w:eastAsia="SimSun"/>
              </w:rPr>
              <w:t xml:space="preserve">to use the sector </w:t>
            </w:r>
            <w:r w:rsidR="00BD11FD" w:rsidRPr="00C14AA8">
              <w:rPr>
                <w:rFonts w:eastAsia="SimSun"/>
              </w:rPr>
              <w:t xml:space="preserve">monitoring and evaluation </w:t>
            </w:r>
            <w:r w:rsidRPr="00C14AA8">
              <w:rPr>
                <w:rFonts w:eastAsia="SimSun"/>
              </w:rPr>
              <w:t xml:space="preserve">framework to make informed decisions. We will support development of </w:t>
            </w:r>
            <w:r w:rsidR="00BD11FD" w:rsidRPr="00C14AA8">
              <w:rPr>
                <w:rFonts w:eastAsia="SimSun"/>
              </w:rPr>
              <w:t xml:space="preserve">monitoring and evaluation </w:t>
            </w:r>
            <w:r w:rsidRPr="00C14AA8">
              <w:rPr>
                <w:rFonts w:eastAsia="SimSun"/>
              </w:rPr>
              <w:t>skills through the Evaluation Capacity Building Program.</w:t>
            </w:r>
          </w:p>
        </w:tc>
      </w:tr>
      <w:tr w:rsidR="00E76727" w:rsidRPr="00180B19" w14:paraId="14856019" w14:textId="77777777" w:rsidTr="00022320">
        <w:tc>
          <w:tcPr>
            <w:tcW w:w="4384" w:type="dxa"/>
          </w:tcPr>
          <w:p w14:paraId="30410A54" w14:textId="23CD5981" w:rsidR="00E76727" w:rsidRPr="00C14AA8" w:rsidRDefault="00BD11FD" w:rsidP="00C14AA8">
            <w:pPr>
              <w:pStyle w:val="TableTextEntries"/>
            </w:pPr>
            <w:r w:rsidRPr="00C14AA8">
              <w:t xml:space="preserve">Australia–Timor-Leste Program for Assistance Secondary Services </w:t>
            </w:r>
            <w:r w:rsidR="00E76727" w:rsidRPr="00C14AA8">
              <w:rPr>
                <w:rFonts w:eastAsia="SimSun"/>
              </w:rPr>
              <w:t xml:space="preserve">and </w:t>
            </w:r>
            <w:r w:rsidRPr="00C14AA8">
              <w:t xml:space="preserve">National Health Sector Strategic Plan Support Program </w:t>
            </w:r>
            <w:r w:rsidR="00E76727" w:rsidRPr="00C14AA8">
              <w:rPr>
                <w:rFonts w:eastAsia="SimSun"/>
              </w:rPr>
              <w:t>at risk of reduced effectiveness.</w:t>
            </w:r>
          </w:p>
        </w:tc>
        <w:tc>
          <w:tcPr>
            <w:tcW w:w="4139" w:type="dxa"/>
          </w:tcPr>
          <w:p w14:paraId="4A35FF06" w14:textId="423DE51A" w:rsidR="00E76727" w:rsidRPr="00C14AA8" w:rsidRDefault="00E76727" w:rsidP="00C14AA8">
            <w:pPr>
              <w:pStyle w:val="TableTextEntries"/>
            </w:pPr>
            <w:r w:rsidRPr="00C14AA8">
              <w:t xml:space="preserve">Close monitoring of </w:t>
            </w:r>
            <w:r w:rsidR="00BD11FD" w:rsidRPr="00C14AA8">
              <w:t>these programs</w:t>
            </w:r>
            <w:r w:rsidRPr="00C14AA8">
              <w:t xml:space="preserve">, identify management issues, </w:t>
            </w:r>
            <w:r w:rsidR="00BD11FD" w:rsidRPr="00C14AA8">
              <w:t xml:space="preserve">undertake </w:t>
            </w:r>
            <w:r w:rsidRPr="00C14AA8">
              <w:t xml:space="preserve">policy dialogue with </w:t>
            </w:r>
            <w:r w:rsidR="00BD11FD" w:rsidRPr="00C14AA8">
              <w:t xml:space="preserve">the Ministry of Health </w:t>
            </w:r>
            <w:r w:rsidRPr="00C14AA8">
              <w:t>to improve adequacy of progress.</w:t>
            </w:r>
          </w:p>
        </w:tc>
      </w:tr>
      <w:tr w:rsidR="00E76727" w:rsidRPr="00180B19" w14:paraId="4AA2DACA" w14:textId="77777777" w:rsidTr="00022320">
        <w:tc>
          <w:tcPr>
            <w:tcW w:w="4384" w:type="dxa"/>
            <w:hideMark/>
          </w:tcPr>
          <w:p w14:paraId="5BC46D88" w14:textId="77777777" w:rsidR="00E76727" w:rsidRPr="004C4A3E" w:rsidRDefault="00E76727" w:rsidP="00C14AA8">
            <w:pPr>
              <w:pStyle w:val="TableHeading2"/>
            </w:pPr>
            <w:r w:rsidRPr="007D1B93">
              <w:rPr>
                <w:rFonts w:eastAsia="SimSun"/>
              </w:rPr>
              <w:t>Objective 6: Security</w:t>
            </w:r>
          </w:p>
        </w:tc>
        <w:tc>
          <w:tcPr>
            <w:tcW w:w="4139" w:type="dxa"/>
          </w:tcPr>
          <w:p w14:paraId="19AADB11" w14:textId="77777777" w:rsidR="00E76727" w:rsidRPr="004C4A3E" w:rsidRDefault="00E76727" w:rsidP="00E76727">
            <w:pPr>
              <w:pStyle w:val="TableTextEntries"/>
            </w:pPr>
          </w:p>
        </w:tc>
      </w:tr>
      <w:tr w:rsidR="00E76727" w:rsidRPr="00180B19" w14:paraId="497C17A6" w14:textId="77777777" w:rsidTr="00022320">
        <w:tc>
          <w:tcPr>
            <w:tcW w:w="4384" w:type="dxa"/>
            <w:hideMark/>
          </w:tcPr>
          <w:p w14:paraId="64B05963" w14:textId="6927A104" w:rsidR="00E76727" w:rsidRPr="00C14AA8" w:rsidRDefault="00E76727" w:rsidP="00C14AA8">
            <w:pPr>
              <w:pStyle w:val="TableTextEntries"/>
            </w:pPr>
            <w:r w:rsidRPr="00C14AA8">
              <w:t xml:space="preserve">The ability and willingness of the </w:t>
            </w:r>
            <w:proofErr w:type="spellStart"/>
            <w:r w:rsidR="00BD11FD" w:rsidRPr="00C14AA8">
              <w:t>Policia</w:t>
            </w:r>
            <w:proofErr w:type="spellEnd"/>
            <w:r w:rsidR="00BD11FD" w:rsidRPr="00C14AA8">
              <w:t xml:space="preserve"> </w:t>
            </w:r>
            <w:proofErr w:type="spellStart"/>
            <w:r w:rsidR="00BD11FD" w:rsidRPr="00C14AA8">
              <w:t>Nacional</w:t>
            </w:r>
            <w:proofErr w:type="spellEnd"/>
            <w:r w:rsidR="00BD11FD" w:rsidRPr="00C14AA8">
              <w:t xml:space="preserve"> de Timor-Leste </w:t>
            </w:r>
            <w:r w:rsidRPr="00C14AA8">
              <w:t xml:space="preserve">to sustain training delivery standards, implement skills learnt and to develop and implement effective systems is still a key risk to the </w:t>
            </w:r>
            <w:r w:rsidR="00BD11FD" w:rsidRPr="00C14AA8">
              <w:t xml:space="preserve">police force </w:t>
            </w:r>
            <w:r w:rsidRPr="00C14AA8">
              <w:t>and the AFP-TLPDP.</w:t>
            </w:r>
          </w:p>
        </w:tc>
        <w:tc>
          <w:tcPr>
            <w:tcW w:w="4139" w:type="dxa"/>
          </w:tcPr>
          <w:p w14:paraId="3ABD7DB6" w14:textId="6A4BC1B6" w:rsidR="00E76727" w:rsidRPr="00C14AA8" w:rsidRDefault="00E76727" w:rsidP="00C14AA8">
            <w:pPr>
              <w:pStyle w:val="TableTextEntries"/>
            </w:pPr>
            <w:r w:rsidRPr="00C14AA8">
              <w:t xml:space="preserve">Continue evaluating </w:t>
            </w:r>
            <w:proofErr w:type="spellStart"/>
            <w:r w:rsidR="00BD11FD" w:rsidRPr="00C14AA8">
              <w:t>Policia</w:t>
            </w:r>
            <w:proofErr w:type="spellEnd"/>
            <w:r w:rsidR="00BD11FD" w:rsidRPr="00C14AA8">
              <w:t xml:space="preserve"> </w:t>
            </w:r>
            <w:proofErr w:type="spellStart"/>
            <w:r w:rsidR="00BD11FD" w:rsidRPr="00C14AA8">
              <w:t>Nacional</w:t>
            </w:r>
            <w:proofErr w:type="spellEnd"/>
            <w:r w:rsidR="00BD11FD" w:rsidRPr="00C14AA8">
              <w:t xml:space="preserve"> de Timor-Leste </w:t>
            </w:r>
            <w:r w:rsidRPr="00C14AA8">
              <w:t xml:space="preserve">progress and AFP-TLPDP effectiveness. This includes continuous improvement processes through reassessment of activity plans, quarterly evaluations and reviewing alignment of the program with the </w:t>
            </w:r>
            <w:r w:rsidR="00BD11FD" w:rsidRPr="00C14AA8">
              <w:t xml:space="preserve">Timor-Leste </w:t>
            </w:r>
            <w:r w:rsidRPr="00C14AA8">
              <w:t xml:space="preserve">Government. AFP-TLPDP will conduct an independent review of the current program in 2013, to inform </w:t>
            </w:r>
            <w:r w:rsidR="00C65124" w:rsidRPr="00C14AA8">
              <w:t xml:space="preserve">its </w:t>
            </w:r>
            <w:r w:rsidRPr="00C14AA8">
              <w:t>design for the new funding cycle in 2014.</w:t>
            </w:r>
          </w:p>
          <w:p w14:paraId="33104074" w14:textId="1DE80D1D" w:rsidR="00E76727" w:rsidRPr="00C14AA8" w:rsidRDefault="00E76727" w:rsidP="00C14AA8">
            <w:pPr>
              <w:pStyle w:val="TableTextEntries"/>
            </w:pPr>
            <w:r w:rsidRPr="00C14AA8">
              <w:t xml:space="preserve">Continue to advocate for </w:t>
            </w:r>
            <w:proofErr w:type="spellStart"/>
            <w:r w:rsidR="00BD11FD" w:rsidRPr="00C14AA8">
              <w:t>Policia</w:t>
            </w:r>
            <w:proofErr w:type="spellEnd"/>
            <w:r w:rsidR="00BD11FD" w:rsidRPr="00C14AA8">
              <w:t xml:space="preserve"> </w:t>
            </w:r>
            <w:proofErr w:type="spellStart"/>
            <w:r w:rsidR="00BD11FD" w:rsidRPr="00C14AA8">
              <w:t>Nacional</w:t>
            </w:r>
            <w:proofErr w:type="spellEnd"/>
            <w:r w:rsidR="00BD11FD" w:rsidRPr="00C14AA8">
              <w:t xml:space="preserve"> de Timor-Leste </w:t>
            </w:r>
            <w:r w:rsidRPr="00C14AA8">
              <w:t>commitment to higher levels of management training and maintain appointment of AFP-TLPDP advisors to assist with the provision of management skills.</w:t>
            </w:r>
          </w:p>
          <w:p w14:paraId="11857F94" w14:textId="3187A134" w:rsidR="00E76727" w:rsidRPr="00C14AA8" w:rsidRDefault="00E76727" w:rsidP="00C14AA8">
            <w:pPr>
              <w:pStyle w:val="TableTextEntries"/>
            </w:pPr>
            <w:r w:rsidRPr="00C14AA8">
              <w:t xml:space="preserve">Conduct executive police management programs, three levels of investigations training, </w:t>
            </w:r>
            <w:r w:rsidR="00BD11FD" w:rsidRPr="00C14AA8">
              <w:t xml:space="preserve">complete </w:t>
            </w:r>
            <w:r w:rsidRPr="00C14AA8">
              <w:t xml:space="preserve">ongoing </w:t>
            </w:r>
            <w:r w:rsidR="003722D3" w:rsidRPr="00C14AA8">
              <w:t xml:space="preserve">training centre </w:t>
            </w:r>
            <w:r w:rsidRPr="00C14AA8">
              <w:t xml:space="preserve">infrastructure development, strengthen key areas in governance, </w:t>
            </w:r>
            <w:r w:rsidR="00BD11FD" w:rsidRPr="00C14AA8">
              <w:t xml:space="preserve">and </w:t>
            </w:r>
            <w:r w:rsidRPr="00C14AA8">
              <w:t xml:space="preserve">accreditation of the </w:t>
            </w:r>
            <w:r w:rsidR="003722D3" w:rsidRPr="00C14AA8">
              <w:t xml:space="preserve">police training centre </w:t>
            </w:r>
            <w:r w:rsidRPr="00C14AA8">
              <w:t xml:space="preserve">and its programs, further strengthen the </w:t>
            </w:r>
            <w:r w:rsidR="00BD11FD" w:rsidRPr="00C14AA8">
              <w:t xml:space="preserve">incident management system, </w:t>
            </w:r>
            <w:r w:rsidRPr="00C14AA8">
              <w:t>and implement and deliver gender equality programs.</w:t>
            </w:r>
          </w:p>
        </w:tc>
      </w:tr>
      <w:tr w:rsidR="00E76727" w:rsidRPr="00180B19" w14:paraId="6638E553" w14:textId="77777777" w:rsidTr="00022320">
        <w:tc>
          <w:tcPr>
            <w:tcW w:w="4384" w:type="dxa"/>
          </w:tcPr>
          <w:p w14:paraId="38A40EB3" w14:textId="77777777" w:rsidR="00E76727" w:rsidRPr="00C14AA8" w:rsidRDefault="00E76727" w:rsidP="00C14AA8">
            <w:pPr>
              <w:pStyle w:val="TableTextEntries"/>
            </w:pPr>
            <w:r w:rsidRPr="00C14AA8">
              <w:t>Donor competiveness and the lack of effective donor coordination continue to result in a degree of donor shopping, short cut solutions and duplication. Thi</w:t>
            </w:r>
            <w:r w:rsidR="005E732A" w:rsidRPr="00C14AA8">
              <w:t xml:space="preserve">s can complicate </w:t>
            </w:r>
            <w:r w:rsidRPr="00C14AA8">
              <w:t xml:space="preserve">the sustainment of strategic direction. </w:t>
            </w:r>
          </w:p>
        </w:tc>
        <w:tc>
          <w:tcPr>
            <w:tcW w:w="4139" w:type="dxa"/>
          </w:tcPr>
          <w:p w14:paraId="08D4C93D" w14:textId="3D15AC11" w:rsidR="00E76727" w:rsidRPr="00C14AA8" w:rsidRDefault="00E76727" w:rsidP="00C14AA8">
            <w:pPr>
              <w:pStyle w:val="TableTextEntries"/>
            </w:pPr>
            <w:r w:rsidRPr="00C14AA8">
              <w:t xml:space="preserve">Work with National Directorate of Aid Effectiveness and other </w:t>
            </w:r>
            <w:r w:rsidR="00BD11FD" w:rsidRPr="00C14AA8">
              <w:t xml:space="preserve">development partners </w:t>
            </w:r>
            <w:r w:rsidRPr="00C14AA8">
              <w:t xml:space="preserve">to look at new structures for effective donor coordination. AFP-TLPDP meets weekly/monthly with other donors and the </w:t>
            </w:r>
            <w:r w:rsidR="00BD11FD" w:rsidRPr="00C14AA8">
              <w:t xml:space="preserve">government </w:t>
            </w:r>
            <w:r w:rsidRPr="00C14AA8">
              <w:t>to coordinate delivery of aid to police.</w:t>
            </w:r>
          </w:p>
        </w:tc>
      </w:tr>
      <w:tr w:rsidR="00E76727" w:rsidRPr="00180B19" w14:paraId="3E963A4E" w14:textId="77777777" w:rsidTr="00022320">
        <w:tc>
          <w:tcPr>
            <w:tcW w:w="4384" w:type="dxa"/>
          </w:tcPr>
          <w:p w14:paraId="2FC29BE3" w14:textId="4D9C58CB" w:rsidR="00E76727" w:rsidRPr="004C4A3E" w:rsidRDefault="00E76727" w:rsidP="00E76727">
            <w:pPr>
              <w:pStyle w:val="TableTextEntries"/>
            </w:pPr>
            <w:r w:rsidRPr="00CB674A">
              <w:t xml:space="preserve">Violence </w:t>
            </w:r>
            <w:r w:rsidR="00BD11FD" w:rsidRPr="00CB674A">
              <w:t xml:space="preserve">against women </w:t>
            </w:r>
            <w:r w:rsidRPr="00CB674A">
              <w:t>and barriers to gender equality limit development progress.</w:t>
            </w:r>
          </w:p>
        </w:tc>
        <w:tc>
          <w:tcPr>
            <w:tcW w:w="4139" w:type="dxa"/>
          </w:tcPr>
          <w:p w14:paraId="57E31B2C" w14:textId="77535B73" w:rsidR="009561C7" w:rsidRPr="004C4A3E" w:rsidRDefault="00E76727">
            <w:pPr>
              <w:pStyle w:val="TableTextEntries"/>
            </w:pPr>
            <w:r w:rsidRPr="00CB674A">
              <w:t xml:space="preserve">Implement a new program of support for ending violence against women. Align </w:t>
            </w:r>
            <w:r w:rsidR="00BD11FD" w:rsidRPr="00CB674A">
              <w:t>th</w:t>
            </w:r>
            <w:r w:rsidR="00BD11FD">
              <w:t>is</w:t>
            </w:r>
            <w:r w:rsidR="00BD11FD" w:rsidRPr="00CB674A">
              <w:t xml:space="preserve"> </w:t>
            </w:r>
            <w:r w:rsidRPr="00CB674A">
              <w:t xml:space="preserve">with the objectives of Timor-Leste’s National Action Plan on Gender-Based Violence. Better reflect the Australian aid program’s commitment to gender equality and women’s empowerment in the </w:t>
            </w:r>
            <w:r w:rsidR="009561C7">
              <w:t>p</w:t>
            </w:r>
            <w:r w:rsidR="009561C7" w:rsidRPr="00CB674A">
              <w:t xml:space="preserve">artnership </w:t>
            </w:r>
            <w:r w:rsidR="009561C7">
              <w:t>a</w:t>
            </w:r>
            <w:r w:rsidR="009561C7" w:rsidRPr="00CB674A">
              <w:t>greement</w:t>
            </w:r>
            <w:r w:rsidRPr="00CB674A">
              <w:t>.</w:t>
            </w:r>
          </w:p>
        </w:tc>
      </w:tr>
    </w:tbl>
    <w:p w14:paraId="7EE388BC" w14:textId="77777777" w:rsidR="00022320" w:rsidRDefault="00022320">
      <w:r>
        <w:rPr>
          <w:b/>
          <w:i/>
        </w:rPr>
        <w:br w:type="page"/>
      </w:r>
    </w:p>
    <w:tbl>
      <w:tblPr>
        <w:tblStyle w:val="APPR"/>
        <w:tblW w:w="5000" w:type="pct"/>
        <w:tblLook w:val="0600" w:firstRow="0" w:lastRow="0" w:firstColumn="0" w:lastColumn="0" w:noHBand="1" w:noVBand="1"/>
      </w:tblPr>
      <w:tblGrid>
        <w:gridCol w:w="4426"/>
        <w:gridCol w:w="4181"/>
      </w:tblGrid>
      <w:tr w:rsidR="00E76727" w:rsidRPr="00180B19" w14:paraId="24BB1615" w14:textId="77777777" w:rsidTr="00022320">
        <w:tc>
          <w:tcPr>
            <w:tcW w:w="4384" w:type="dxa"/>
            <w:hideMark/>
          </w:tcPr>
          <w:p w14:paraId="24479B94" w14:textId="628E0F08" w:rsidR="00E76727" w:rsidRPr="004C4A3E" w:rsidRDefault="00E76727" w:rsidP="00C14AA8">
            <w:pPr>
              <w:pStyle w:val="TableHeading2"/>
            </w:pPr>
            <w:r w:rsidRPr="007D1B93">
              <w:rPr>
                <w:rFonts w:eastAsia="SimSun"/>
              </w:rPr>
              <w:lastRenderedPageBreak/>
              <w:t xml:space="preserve">Objective 7: Public </w:t>
            </w:r>
            <w:r w:rsidR="009561C7" w:rsidRPr="007D1B93">
              <w:rPr>
                <w:rFonts w:eastAsia="SimSun"/>
              </w:rPr>
              <w:t>sector management and good governan</w:t>
            </w:r>
            <w:r w:rsidRPr="007D1B93">
              <w:rPr>
                <w:rFonts w:eastAsia="SimSun"/>
              </w:rPr>
              <w:t>ce</w:t>
            </w:r>
          </w:p>
        </w:tc>
        <w:tc>
          <w:tcPr>
            <w:tcW w:w="4139" w:type="dxa"/>
          </w:tcPr>
          <w:p w14:paraId="6A283D0D" w14:textId="77777777" w:rsidR="00E76727" w:rsidRPr="004C4A3E" w:rsidRDefault="00E76727" w:rsidP="00E76727">
            <w:pPr>
              <w:pStyle w:val="TableTextEntries"/>
            </w:pPr>
          </w:p>
        </w:tc>
      </w:tr>
      <w:tr w:rsidR="00E76727" w:rsidRPr="00180B19" w14:paraId="5ABC7F69" w14:textId="77777777" w:rsidTr="00022320">
        <w:tc>
          <w:tcPr>
            <w:tcW w:w="4384" w:type="dxa"/>
            <w:hideMark/>
          </w:tcPr>
          <w:p w14:paraId="384AEEDC" w14:textId="3349EA23" w:rsidR="00E76727" w:rsidRPr="00C14AA8" w:rsidRDefault="00E76727" w:rsidP="00C14AA8">
            <w:pPr>
              <w:pStyle w:val="TableTextEntries"/>
            </w:pPr>
            <w:r w:rsidRPr="00C14AA8">
              <w:t xml:space="preserve">Failure to deliver effectively on support for the new Economic Planning and Investment Agency limits the effectiveness of achievements against Objective II </w:t>
            </w:r>
            <w:r w:rsidR="009561C7" w:rsidRPr="00C14AA8">
              <w:t>–</w:t>
            </w:r>
            <w:r w:rsidRPr="00C14AA8">
              <w:t xml:space="preserve">Timor-Leste’s economic development policies to be informed by quality advice and analysis. </w:t>
            </w:r>
          </w:p>
        </w:tc>
        <w:tc>
          <w:tcPr>
            <w:tcW w:w="4139" w:type="dxa"/>
          </w:tcPr>
          <w:p w14:paraId="2DBA2F7C" w14:textId="08B43D71" w:rsidR="00E76727" w:rsidRPr="00C14AA8" w:rsidRDefault="00E76727" w:rsidP="00C14AA8">
            <w:pPr>
              <w:pStyle w:val="TableTextEntries"/>
            </w:pPr>
            <w:r w:rsidRPr="00C14AA8">
              <w:t xml:space="preserve">Ensure that </w:t>
            </w:r>
            <w:r w:rsidR="009561C7" w:rsidRPr="00C14AA8">
              <w:rPr>
                <w:rFonts w:eastAsia="SimSun"/>
              </w:rPr>
              <w:t xml:space="preserve">Governance for Development </w:t>
            </w:r>
            <w:r w:rsidRPr="00C14AA8">
              <w:t>prioritises this request and dedicates sufficient and appropriate resources to effectively meet this.</w:t>
            </w:r>
          </w:p>
        </w:tc>
      </w:tr>
      <w:tr w:rsidR="00E76727" w:rsidRPr="00180B19" w14:paraId="635E483E" w14:textId="77777777" w:rsidTr="00022320">
        <w:tc>
          <w:tcPr>
            <w:tcW w:w="4384" w:type="dxa"/>
          </w:tcPr>
          <w:p w14:paraId="0C70D768" w14:textId="2264635E" w:rsidR="00E76727" w:rsidRPr="00C14AA8" w:rsidRDefault="00817F5E" w:rsidP="00C14AA8">
            <w:pPr>
              <w:pStyle w:val="TableTextEntries"/>
            </w:pPr>
            <w:r>
              <w:rPr>
                <w:rFonts w:eastAsia="SimSun"/>
              </w:rPr>
              <w:t>The department</w:t>
            </w:r>
            <w:r w:rsidRPr="00C14AA8">
              <w:rPr>
                <w:rFonts w:eastAsia="SimSun"/>
              </w:rPr>
              <w:t xml:space="preserve"> </w:t>
            </w:r>
            <w:r w:rsidR="00E76727" w:rsidRPr="00C14AA8">
              <w:rPr>
                <w:rFonts w:eastAsia="SimSun"/>
              </w:rPr>
              <w:t xml:space="preserve">does not have sufficiently skilled and qualified personnel to support the effective direct implementation of the Governance for Development Program. This limits progress towards </w:t>
            </w:r>
            <w:r w:rsidR="009561C7" w:rsidRPr="00C14AA8">
              <w:rPr>
                <w:rFonts w:eastAsia="SimSun"/>
              </w:rPr>
              <w:t xml:space="preserve">governance </w:t>
            </w:r>
            <w:r w:rsidR="00E76727" w:rsidRPr="00C14AA8">
              <w:rPr>
                <w:rFonts w:eastAsia="SimSun"/>
              </w:rPr>
              <w:t>development outcomes and impacts Australia’s reputation.</w:t>
            </w:r>
          </w:p>
        </w:tc>
        <w:tc>
          <w:tcPr>
            <w:tcW w:w="4139" w:type="dxa"/>
          </w:tcPr>
          <w:p w14:paraId="600478B6" w14:textId="6C646057" w:rsidR="00E76727" w:rsidRPr="00C14AA8" w:rsidRDefault="00817F5E" w:rsidP="00C14AA8">
            <w:pPr>
              <w:pStyle w:val="TableTextEntries"/>
            </w:pPr>
            <w:r>
              <w:t>DFAT</w:t>
            </w:r>
            <w:r w:rsidRPr="00C14AA8">
              <w:t xml:space="preserve"> </w:t>
            </w:r>
            <w:r w:rsidR="00E76727" w:rsidRPr="00C14AA8">
              <w:t xml:space="preserve">management will work with </w:t>
            </w:r>
            <w:r w:rsidR="00B17828">
              <w:t xml:space="preserve">the </w:t>
            </w:r>
            <w:r>
              <w:t>internal</w:t>
            </w:r>
            <w:r w:rsidRPr="00C14AA8">
              <w:t xml:space="preserve"> </w:t>
            </w:r>
            <w:r w:rsidR="00E76727" w:rsidRPr="00C14AA8">
              <w:t xml:space="preserve">workforce planning area to </w:t>
            </w:r>
            <w:r w:rsidR="009561C7" w:rsidRPr="00C14AA8">
              <w:t>develop</w:t>
            </w:r>
            <w:r w:rsidR="00E76727" w:rsidRPr="00C14AA8">
              <w:t xml:space="preserve"> strategies for a pipeline of appropriately skilled and experienced personnel to implement the new governance programs.</w:t>
            </w:r>
          </w:p>
          <w:p w14:paraId="2697C658" w14:textId="77777777" w:rsidR="00E76727" w:rsidRPr="00C14AA8" w:rsidRDefault="00E76727" w:rsidP="00C14AA8">
            <w:pPr>
              <w:pStyle w:val="TableTextEntries"/>
            </w:pPr>
          </w:p>
          <w:p w14:paraId="27A0EAD9" w14:textId="6723C455" w:rsidR="00E76727" w:rsidRPr="00C14AA8" w:rsidRDefault="00E76727" w:rsidP="00C14AA8">
            <w:pPr>
              <w:pStyle w:val="TableTextEntries"/>
            </w:pPr>
            <w:r w:rsidRPr="00C14AA8">
              <w:t xml:space="preserve">Australia’s </w:t>
            </w:r>
            <w:r w:rsidR="009561C7" w:rsidRPr="00C14AA8">
              <w:rPr>
                <w:rFonts w:eastAsia="SimSun"/>
              </w:rPr>
              <w:t xml:space="preserve">Governance for Development </w:t>
            </w:r>
            <w:r w:rsidRPr="00C14AA8">
              <w:t xml:space="preserve">Program will support new partnerships in 2013 with the World Bank and The Asia Foundation to build </w:t>
            </w:r>
            <w:r w:rsidR="009561C7" w:rsidRPr="00C14AA8">
              <w:t xml:space="preserve">our </w:t>
            </w:r>
            <w:r w:rsidRPr="00C14AA8">
              <w:t>understanding of the Timorese context and secure relevant expertise to the country program.</w:t>
            </w:r>
          </w:p>
        </w:tc>
      </w:tr>
      <w:tr w:rsidR="00E76727" w:rsidRPr="00180B19" w14:paraId="0D215CDC" w14:textId="77777777" w:rsidTr="00022320">
        <w:tc>
          <w:tcPr>
            <w:tcW w:w="4384" w:type="dxa"/>
          </w:tcPr>
          <w:p w14:paraId="33066251" w14:textId="61D0E5C3" w:rsidR="00E76727" w:rsidRPr="00C14AA8" w:rsidRDefault="00E76727" w:rsidP="0051698A">
            <w:pPr>
              <w:pStyle w:val="TableTextEntries"/>
            </w:pPr>
            <w:r w:rsidRPr="00C14AA8">
              <w:rPr>
                <w:rFonts w:eastAsia="SimSun"/>
              </w:rPr>
              <w:t xml:space="preserve">Potential for decentralisation reform to change the way </w:t>
            </w:r>
            <w:r w:rsidR="007871B0">
              <w:rPr>
                <w:rFonts w:eastAsia="SimSun"/>
              </w:rPr>
              <w:t>DFAT</w:t>
            </w:r>
            <w:r w:rsidR="007871B0" w:rsidRPr="00C14AA8">
              <w:rPr>
                <w:rFonts w:eastAsia="SimSun"/>
              </w:rPr>
              <w:t xml:space="preserve"> </w:t>
            </w:r>
            <w:r w:rsidRPr="00C14AA8">
              <w:rPr>
                <w:rFonts w:eastAsia="SimSun"/>
              </w:rPr>
              <w:t xml:space="preserve">support for services are delivered across the country. </w:t>
            </w:r>
          </w:p>
        </w:tc>
        <w:tc>
          <w:tcPr>
            <w:tcW w:w="4139" w:type="dxa"/>
          </w:tcPr>
          <w:p w14:paraId="16F69791" w14:textId="77777777" w:rsidR="00E76727" w:rsidRPr="00C14AA8" w:rsidRDefault="00E76727" w:rsidP="00C14AA8">
            <w:pPr>
              <w:pStyle w:val="TableTextEntries"/>
            </w:pPr>
            <w:r w:rsidRPr="00C14AA8">
              <w:t>Australia will monitor decentralisation developments closely to ensure the aid program is well placed to respond to potentially rapid reforms to decentralisation.</w:t>
            </w:r>
          </w:p>
        </w:tc>
      </w:tr>
    </w:tbl>
    <w:p w14:paraId="53F42CD4" w14:textId="77777777" w:rsidR="00C20103" w:rsidRDefault="00C20103">
      <w:r>
        <w:br w:type="page"/>
      </w:r>
    </w:p>
    <w:p w14:paraId="596890BD" w14:textId="622FD6A1" w:rsidR="00744C12" w:rsidRPr="00E922D4" w:rsidRDefault="00C65930" w:rsidP="00E922D4">
      <w:pPr>
        <w:pStyle w:val="Heading1"/>
      </w:pPr>
      <w:r w:rsidRPr="00E922D4">
        <w:lastRenderedPageBreak/>
        <w:t>Annex A</w:t>
      </w:r>
      <w:r w:rsidR="00235573" w:rsidRPr="00E922D4">
        <w:t>:</w:t>
      </w:r>
      <w:r w:rsidR="00FE4491" w:rsidRPr="00E922D4">
        <w:t xml:space="preserve"> </w:t>
      </w:r>
      <w:r w:rsidR="00C15212" w:rsidRPr="00E922D4">
        <w:t xml:space="preserve">progress </w:t>
      </w:r>
      <w:r w:rsidR="00BE7770" w:rsidRPr="00E922D4">
        <w:t>in addressing 2011 management consequences</w:t>
      </w:r>
    </w:p>
    <w:tbl>
      <w:tblPr>
        <w:tblStyle w:val="APPR"/>
        <w:tblpPr w:leftFromText="180" w:rightFromText="180" w:vertAnchor="text" w:horzAnchor="margin" w:tblpY="531"/>
        <w:tblW w:w="4971" w:type="pct"/>
        <w:tblLayout w:type="fixed"/>
        <w:tblLook w:val="0000" w:firstRow="0" w:lastRow="0" w:firstColumn="0" w:lastColumn="0" w:noHBand="0" w:noVBand="0"/>
      </w:tblPr>
      <w:tblGrid>
        <w:gridCol w:w="3838"/>
        <w:gridCol w:w="868"/>
        <w:gridCol w:w="3851"/>
      </w:tblGrid>
      <w:tr w:rsidR="00FE36BE" w:rsidRPr="00180B19" w14:paraId="071745C1" w14:textId="77777777" w:rsidTr="005720F0">
        <w:trPr>
          <w:cnfStyle w:val="000000010000" w:firstRow="0" w:lastRow="0" w:firstColumn="0" w:lastColumn="0" w:oddVBand="0" w:evenVBand="0" w:oddHBand="0" w:evenHBand="1" w:firstRowFirstColumn="0" w:firstRowLastColumn="0" w:lastRowFirstColumn="0" w:lastRowLastColumn="0"/>
        </w:trPr>
        <w:tc>
          <w:tcPr>
            <w:tcW w:w="3618" w:type="dxa"/>
          </w:tcPr>
          <w:p w14:paraId="1B8586B1" w14:textId="77777777" w:rsidR="00FE36BE" w:rsidRPr="005720F0" w:rsidRDefault="00FE36BE" w:rsidP="005720F0">
            <w:pPr>
              <w:pStyle w:val="TableHeading1"/>
            </w:pPr>
            <w:r w:rsidRPr="005720F0">
              <w:t>Management consequences identified in 2011 APPR</w:t>
            </w:r>
            <w:r w:rsidRPr="005720F0">
              <w:tab/>
            </w:r>
          </w:p>
        </w:tc>
        <w:tc>
          <w:tcPr>
            <w:tcW w:w="801" w:type="dxa"/>
          </w:tcPr>
          <w:p w14:paraId="6C8CFA95" w14:textId="77777777" w:rsidR="00FE36BE" w:rsidRPr="005720F0" w:rsidRDefault="00FE36BE" w:rsidP="005720F0">
            <w:pPr>
              <w:pStyle w:val="TableHeading1"/>
            </w:pPr>
            <w:r w:rsidRPr="005720F0">
              <w:t>Rating</w:t>
            </w:r>
          </w:p>
        </w:tc>
        <w:tc>
          <w:tcPr>
            <w:tcW w:w="3631" w:type="dxa"/>
          </w:tcPr>
          <w:p w14:paraId="77760E80" w14:textId="6049D1F3" w:rsidR="00FE36BE" w:rsidRPr="005720F0" w:rsidRDefault="00FE36BE" w:rsidP="005720F0">
            <w:pPr>
              <w:pStyle w:val="TableHeading1"/>
            </w:pPr>
            <w:r w:rsidRPr="005720F0">
              <w:t>Progress made in 2012</w:t>
            </w:r>
            <w:r w:rsidR="000C1A15" w:rsidRPr="005720F0">
              <w:t>–</w:t>
            </w:r>
            <w:r w:rsidRPr="005720F0">
              <w:t>13</w:t>
            </w:r>
          </w:p>
        </w:tc>
      </w:tr>
      <w:tr w:rsidR="00FE36BE" w:rsidRPr="00180B19" w14:paraId="66EB3FB4" w14:textId="77777777" w:rsidTr="005720F0">
        <w:trPr>
          <w:cnfStyle w:val="000000010000" w:firstRow="0" w:lastRow="0" w:firstColumn="0" w:lastColumn="0" w:oddVBand="0" w:evenVBand="0" w:oddHBand="0" w:evenHBand="1" w:firstRowFirstColumn="0" w:firstRowLastColumn="0" w:lastRowFirstColumn="0" w:lastRowLastColumn="0"/>
        </w:trPr>
        <w:tc>
          <w:tcPr>
            <w:tcW w:w="3618" w:type="dxa"/>
          </w:tcPr>
          <w:p w14:paraId="22DBBD54" w14:textId="5989C16F" w:rsidR="00FE36BE" w:rsidRPr="005720F0" w:rsidRDefault="00FE36BE" w:rsidP="005720F0">
            <w:pPr>
              <w:pStyle w:val="TableTextEntries"/>
            </w:pPr>
            <w:r w:rsidRPr="005720F0">
              <w:t xml:space="preserve">Establish a performance framework linked to the principles of partnership and objectives agreed to in the Strategic Planning Agreement for Development 2011 and discuss these with the </w:t>
            </w:r>
            <w:r w:rsidR="009561C7" w:rsidRPr="005720F0">
              <w:t xml:space="preserve">Timor-Leste Government </w:t>
            </w:r>
            <w:r w:rsidRPr="005720F0">
              <w:t>in a high-level dialogue in 2012.</w:t>
            </w:r>
          </w:p>
        </w:tc>
        <w:tc>
          <w:tcPr>
            <w:tcW w:w="801" w:type="dxa"/>
            <w:shd w:val="clear" w:color="auto" w:fill="F79646" w:themeFill="accent6"/>
          </w:tcPr>
          <w:p w14:paraId="62FB0C8A" w14:textId="77777777" w:rsidR="00FE36BE" w:rsidRPr="005720F0" w:rsidRDefault="00FE36BE" w:rsidP="005720F0">
            <w:pPr>
              <w:pStyle w:val="TableTextEntries"/>
            </w:pPr>
            <w:r w:rsidRPr="005720F0">
              <w:t>Amber</w:t>
            </w:r>
          </w:p>
        </w:tc>
        <w:tc>
          <w:tcPr>
            <w:tcW w:w="3631" w:type="dxa"/>
          </w:tcPr>
          <w:p w14:paraId="541CFFD8" w14:textId="550D4F79" w:rsidR="00FE36BE" w:rsidRPr="005720F0" w:rsidRDefault="00FE36BE" w:rsidP="005720F0">
            <w:pPr>
              <w:pStyle w:val="TableTextEntries"/>
            </w:pPr>
            <w:r w:rsidRPr="005720F0">
              <w:t xml:space="preserve">Interim </w:t>
            </w:r>
            <w:r w:rsidR="009561C7" w:rsidRPr="005720F0">
              <w:t xml:space="preserve">performance assessment framework </w:t>
            </w:r>
            <w:r w:rsidRPr="005720F0">
              <w:t xml:space="preserve">piloted with 2012 </w:t>
            </w:r>
            <w:r w:rsidR="00DF4239" w:rsidRPr="005720F0">
              <w:t xml:space="preserve">annual program performance review </w:t>
            </w:r>
            <w:r w:rsidRPr="005720F0">
              <w:t>reporting.</w:t>
            </w:r>
          </w:p>
          <w:p w14:paraId="778FE904" w14:textId="7AAEACC5" w:rsidR="00FE36BE" w:rsidRPr="005720F0" w:rsidRDefault="00FE36BE" w:rsidP="005720F0">
            <w:pPr>
              <w:pStyle w:val="TableTextEntries"/>
            </w:pPr>
            <w:r w:rsidRPr="005720F0">
              <w:t xml:space="preserve">Delayed partnership reporting led to </w:t>
            </w:r>
            <w:r w:rsidR="009561C7" w:rsidRPr="005720F0">
              <w:t xml:space="preserve">partnership </w:t>
            </w:r>
            <w:r w:rsidRPr="005720F0">
              <w:t>dialogue pushed back to June 2013.</w:t>
            </w:r>
          </w:p>
        </w:tc>
      </w:tr>
      <w:tr w:rsidR="00FE36BE" w:rsidRPr="00180B19" w14:paraId="15B0253A" w14:textId="77777777" w:rsidTr="005720F0">
        <w:trPr>
          <w:cnfStyle w:val="000000010000" w:firstRow="0" w:lastRow="0" w:firstColumn="0" w:lastColumn="0" w:oddVBand="0" w:evenVBand="0" w:oddHBand="0" w:evenHBand="1" w:firstRowFirstColumn="0" w:firstRowLastColumn="0" w:lastRowFirstColumn="0" w:lastRowLastColumn="0"/>
        </w:trPr>
        <w:tc>
          <w:tcPr>
            <w:tcW w:w="3618" w:type="dxa"/>
          </w:tcPr>
          <w:p w14:paraId="69F7C2F7" w14:textId="77777777" w:rsidR="00FE36BE" w:rsidRPr="005720F0" w:rsidRDefault="00FE36BE" w:rsidP="005720F0">
            <w:pPr>
              <w:pStyle w:val="TableTextEntries"/>
            </w:pPr>
            <w:r w:rsidRPr="005720F0">
              <w:t>Undertake a new country situation analysis after the parliamentary elections in July 2012. This will update our understanding of the country context, including an insight into critical development factors such as gender, disability, fragility and the environment, and clearly set out the higher order outcomes and strategies underpinning our sectoral engagement.</w:t>
            </w:r>
          </w:p>
        </w:tc>
        <w:tc>
          <w:tcPr>
            <w:tcW w:w="801" w:type="dxa"/>
            <w:shd w:val="clear" w:color="auto" w:fill="92D050"/>
          </w:tcPr>
          <w:p w14:paraId="60FF711E" w14:textId="77777777" w:rsidR="00FE36BE" w:rsidRPr="005720F0" w:rsidRDefault="00FE36BE" w:rsidP="005720F0">
            <w:pPr>
              <w:pStyle w:val="TableTextEntries"/>
            </w:pPr>
            <w:r w:rsidRPr="005720F0">
              <w:t>Green</w:t>
            </w:r>
          </w:p>
        </w:tc>
        <w:tc>
          <w:tcPr>
            <w:tcW w:w="3631" w:type="dxa"/>
          </w:tcPr>
          <w:p w14:paraId="42A3819C" w14:textId="2C14CA2D" w:rsidR="00FE36BE" w:rsidRPr="005720F0" w:rsidRDefault="00FE36BE" w:rsidP="005720F0">
            <w:pPr>
              <w:pStyle w:val="TableTextEntries"/>
            </w:pPr>
            <w:r w:rsidRPr="005720F0">
              <w:t xml:space="preserve">Country </w:t>
            </w:r>
            <w:r w:rsidR="009561C7" w:rsidRPr="005720F0">
              <w:t xml:space="preserve">situation analysis </w:t>
            </w:r>
            <w:r w:rsidRPr="005720F0">
              <w:t xml:space="preserve">drafted ready for </w:t>
            </w:r>
            <w:r w:rsidR="009561C7" w:rsidRPr="005720F0">
              <w:t>whole-of-</w:t>
            </w:r>
            <w:r w:rsidRPr="005720F0">
              <w:t>government endorsement</w:t>
            </w:r>
            <w:r w:rsidR="004B2BB5" w:rsidRPr="005720F0">
              <w:t xml:space="preserve"> by 2013</w:t>
            </w:r>
            <w:r w:rsidRPr="005720F0">
              <w:t>.</w:t>
            </w:r>
          </w:p>
        </w:tc>
      </w:tr>
      <w:tr w:rsidR="00FE36BE" w:rsidRPr="00180B19" w14:paraId="65672A2C" w14:textId="77777777" w:rsidTr="005720F0">
        <w:trPr>
          <w:cnfStyle w:val="000000010000" w:firstRow="0" w:lastRow="0" w:firstColumn="0" w:lastColumn="0" w:oddVBand="0" w:evenVBand="0" w:oddHBand="0" w:evenHBand="1" w:firstRowFirstColumn="0" w:firstRowLastColumn="0" w:lastRowFirstColumn="0" w:lastRowLastColumn="0"/>
        </w:trPr>
        <w:tc>
          <w:tcPr>
            <w:tcW w:w="3618" w:type="dxa"/>
          </w:tcPr>
          <w:p w14:paraId="2190D699" w14:textId="77777777" w:rsidR="00FE36BE" w:rsidRPr="005720F0" w:rsidRDefault="00FE36BE" w:rsidP="005720F0">
            <w:pPr>
              <w:pStyle w:val="TableTextEntries"/>
            </w:pPr>
            <w:r w:rsidRPr="005720F0">
              <w:t>Undertake a joint assessment of World Bank Trust Fund mechanisms in Timor-Leste that will identify the strengths we can focus on, and how we can jointly compliment weaknesses with other innovative approaches.</w:t>
            </w:r>
          </w:p>
        </w:tc>
        <w:tc>
          <w:tcPr>
            <w:tcW w:w="801" w:type="dxa"/>
            <w:shd w:val="clear" w:color="auto" w:fill="F79646" w:themeFill="accent6"/>
          </w:tcPr>
          <w:p w14:paraId="4C856BB8" w14:textId="77777777" w:rsidR="00FE36BE" w:rsidRPr="005720F0" w:rsidRDefault="00FE36BE" w:rsidP="005720F0">
            <w:pPr>
              <w:pStyle w:val="TableTextEntries"/>
            </w:pPr>
            <w:r w:rsidRPr="005720F0">
              <w:t>Amber</w:t>
            </w:r>
          </w:p>
        </w:tc>
        <w:tc>
          <w:tcPr>
            <w:tcW w:w="3631" w:type="dxa"/>
          </w:tcPr>
          <w:p w14:paraId="35825E44" w14:textId="5EE3A689" w:rsidR="00FE36BE" w:rsidRPr="005720F0" w:rsidRDefault="00A5511B" w:rsidP="005720F0">
            <w:pPr>
              <w:pStyle w:val="TableTextEntries"/>
            </w:pPr>
            <w:r w:rsidRPr="005720F0">
              <w:t xml:space="preserve">The </w:t>
            </w:r>
            <w:r w:rsidR="009561C7" w:rsidRPr="005720F0">
              <w:t xml:space="preserve">Education Sector Support Program </w:t>
            </w:r>
            <w:r w:rsidRPr="005720F0">
              <w:t>evaluation in 2013</w:t>
            </w:r>
            <w:r w:rsidR="009561C7" w:rsidRPr="005720F0">
              <w:t>–</w:t>
            </w:r>
            <w:r w:rsidRPr="005720F0">
              <w:t>14 will focus on the appropriateness of the W</w:t>
            </w:r>
            <w:r w:rsidR="009561C7" w:rsidRPr="005720F0">
              <w:t xml:space="preserve">orld </w:t>
            </w:r>
            <w:r w:rsidRPr="005720F0">
              <w:t>B</w:t>
            </w:r>
            <w:r w:rsidR="009561C7" w:rsidRPr="005720F0">
              <w:t>ank</w:t>
            </w:r>
            <w:r w:rsidRPr="005720F0">
              <w:t xml:space="preserve"> recipient-executed trust fund mechanism. </w:t>
            </w:r>
            <w:r w:rsidR="00FE36BE" w:rsidRPr="005720F0">
              <w:t xml:space="preserve">Australia and the World Bank have also agreed on an alternative country-level, World Bank executed Trust Fund mechanism through which future support will be channelled. This </w:t>
            </w:r>
            <w:r w:rsidR="009561C7" w:rsidRPr="005720F0">
              <w:t xml:space="preserve">is in line with the bank’s </w:t>
            </w:r>
            <w:r w:rsidR="00FE36BE" w:rsidRPr="005720F0">
              <w:t>analytical and advisory services</w:t>
            </w:r>
            <w:r w:rsidR="009561C7" w:rsidRPr="005720F0">
              <w:t xml:space="preserve"> strengths</w:t>
            </w:r>
            <w:r w:rsidR="00FE36BE" w:rsidRPr="005720F0">
              <w:t xml:space="preserve">. </w:t>
            </w:r>
          </w:p>
        </w:tc>
      </w:tr>
      <w:tr w:rsidR="00FE36BE" w:rsidRPr="00180B19" w14:paraId="19935AE4" w14:textId="77777777" w:rsidTr="005720F0">
        <w:trPr>
          <w:cnfStyle w:val="000000010000" w:firstRow="0" w:lastRow="0" w:firstColumn="0" w:lastColumn="0" w:oddVBand="0" w:evenVBand="0" w:oddHBand="0" w:evenHBand="1" w:firstRowFirstColumn="0" w:firstRowLastColumn="0" w:lastRowFirstColumn="0" w:lastRowLastColumn="0"/>
        </w:trPr>
        <w:tc>
          <w:tcPr>
            <w:tcW w:w="3618" w:type="dxa"/>
          </w:tcPr>
          <w:p w14:paraId="41C9C129" w14:textId="77777777" w:rsidR="00FE36BE" w:rsidRPr="005720F0" w:rsidRDefault="00FE36BE" w:rsidP="005720F0">
            <w:pPr>
              <w:pStyle w:val="TableTextEntries"/>
            </w:pPr>
            <w:r w:rsidRPr="005720F0">
              <w:t>Develop engagement strategies, such as in budget and policy engagement that allows the program team to better use meetings with government officials and support higher-level partnership goals.</w:t>
            </w:r>
          </w:p>
        </w:tc>
        <w:tc>
          <w:tcPr>
            <w:tcW w:w="801" w:type="dxa"/>
            <w:shd w:val="clear" w:color="auto" w:fill="F79646" w:themeFill="accent6"/>
          </w:tcPr>
          <w:p w14:paraId="7404204D" w14:textId="77777777" w:rsidR="00FE36BE" w:rsidRPr="005720F0" w:rsidRDefault="00FE36BE" w:rsidP="005720F0">
            <w:pPr>
              <w:pStyle w:val="TableTextEntries"/>
            </w:pPr>
            <w:r w:rsidRPr="005720F0">
              <w:t>Amber</w:t>
            </w:r>
          </w:p>
        </w:tc>
        <w:tc>
          <w:tcPr>
            <w:tcW w:w="3631" w:type="dxa"/>
          </w:tcPr>
          <w:p w14:paraId="5D582514" w14:textId="1CAE81A6" w:rsidR="00FE36BE" w:rsidRPr="005720F0" w:rsidRDefault="00FE36BE" w:rsidP="005720F0">
            <w:pPr>
              <w:pStyle w:val="TableTextEntries"/>
            </w:pPr>
            <w:r w:rsidRPr="005720F0">
              <w:t>Some sectors developed policy engagement strategies as part of investment design processes in 2012</w:t>
            </w:r>
            <w:r w:rsidR="009561C7" w:rsidRPr="005720F0">
              <w:t>–</w:t>
            </w:r>
            <w:r w:rsidRPr="005720F0">
              <w:t xml:space="preserve">13. </w:t>
            </w:r>
            <w:r w:rsidR="00C07BA3" w:rsidRPr="005720F0">
              <w:t xml:space="preserve">The </w:t>
            </w:r>
            <w:r w:rsidR="009561C7" w:rsidRPr="005720F0">
              <w:t xml:space="preserve">Governance for Development program </w:t>
            </w:r>
            <w:r w:rsidRPr="005720F0">
              <w:t xml:space="preserve">team </w:t>
            </w:r>
            <w:r w:rsidR="00C07BA3" w:rsidRPr="005720F0">
              <w:t xml:space="preserve">will develop budget engagement strategies for key sectors </w:t>
            </w:r>
            <w:r w:rsidRPr="005720F0">
              <w:t>in 2013</w:t>
            </w:r>
            <w:r w:rsidR="009561C7" w:rsidRPr="005720F0">
              <w:t>–</w:t>
            </w:r>
            <w:r w:rsidRPr="005720F0">
              <w:t>14.</w:t>
            </w:r>
          </w:p>
        </w:tc>
      </w:tr>
      <w:tr w:rsidR="00FE36BE" w:rsidRPr="00180B19" w14:paraId="6A011E65" w14:textId="77777777" w:rsidTr="005720F0">
        <w:trPr>
          <w:cnfStyle w:val="000000010000" w:firstRow="0" w:lastRow="0" w:firstColumn="0" w:lastColumn="0" w:oddVBand="0" w:evenVBand="0" w:oddHBand="0" w:evenHBand="1" w:firstRowFirstColumn="0" w:firstRowLastColumn="0" w:lastRowFirstColumn="0" w:lastRowLastColumn="0"/>
        </w:trPr>
        <w:tc>
          <w:tcPr>
            <w:tcW w:w="3618" w:type="dxa"/>
          </w:tcPr>
          <w:p w14:paraId="4512A283" w14:textId="77777777" w:rsidR="00FE36BE" w:rsidRPr="005720F0" w:rsidRDefault="00FE36BE" w:rsidP="005720F0">
            <w:pPr>
              <w:pStyle w:val="TableTextEntries"/>
            </w:pPr>
            <w:r w:rsidRPr="005720F0">
              <w:t>Engage a senior capacity development consultant to provide short inputs across the program to ensure appropriate application of capacity development frameworks, and achievement of basic standards for adviser recruitment and management as described in the Australia 2010 Timor-Leste Adviser Review.</w:t>
            </w:r>
          </w:p>
        </w:tc>
        <w:tc>
          <w:tcPr>
            <w:tcW w:w="801" w:type="dxa"/>
            <w:shd w:val="clear" w:color="auto" w:fill="F79646" w:themeFill="accent6"/>
          </w:tcPr>
          <w:p w14:paraId="76F15294" w14:textId="77777777" w:rsidR="00FE36BE" w:rsidRPr="005720F0" w:rsidRDefault="00FE36BE" w:rsidP="005720F0">
            <w:pPr>
              <w:pStyle w:val="TableTextEntries"/>
            </w:pPr>
            <w:r w:rsidRPr="005720F0">
              <w:t>Amber</w:t>
            </w:r>
          </w:p>
        </w:tc>
        <w:tc>
          <w:tcPr>
            <w:tcW w:w="3631" w:type="dxa"/>
          </w:tcPr>
          <w:p w14:paraId="22F9F38D" w14:textId="6DB08F33" w:rsidR="00FE36BE" w:rsidRPr="005720F0" w:rsidRDefault="00FE36BE" w:rsidP="005720F0">
            <w:pPr>
              <w:pStyle w:val="TableTextEntries"/>
            </w:pPr>
            <w:r w:rsidRPr="005720F0">
              <w:t>Not achieved. The expir</w:t>
            </w:r>
            <w:r w:rsidR="009561C7" w:rsidRPr="005720F0">
              <w:t xml:space="preserve">y </w:t>
            </w:r>
            <w:r w:rsidRPr="005720F0">
              <w:t xml:space="preserve">of period offers made access to highly qualified capacity development specialists difficult. Instead, various designs drew on Australia’s guidance on staged capacity building approaches, and these are now being applied in programs at inception stage. Limited progress has been made on institutionalising standards for adviser recruitment and management </w:t>
            </w:r>
          </w:p>
        </w:tc>
      </w:tr>
      <w:tr w:rsidR="00FE36BE" w:rsidRPr="00180B19" w14:paraId="23DF3A1F" w14:textId="77777777" w:rsidTr="005720F0">
        <w:trPr>
          <w:cnfStyle w:val="000000010000" w:firstRow="0" w:lastRow="0" w:firstColumn="0" w:lastColumn="0" w:oddVBand="0" w:evenVBand="0" w:oddHBand="0" w:evenHBand="1" w:firstRowFirstColumn="0" w:firstRowLastColumn="0" w:lastRowFirstColumn="0" w:lastRowLastColumn="0"/>
        </w:trPr>
        <w:tc>
          <w:tcPr>
            <w:tcW w:w="3618" w:type="dxa"/>
          </w:tcPr>
          <w:p w14:paraId="47F7EF0B" w14:textId="77777777" w:rsidR="00FE36BE" w:rsidRPr="005720F0" w:rsidRDefault="00FE36BE" w:rsidP="005720F0">
            <w:pPr>
              <w:pStyle w:val="TableTextEntries"/>
            </w:pPr>
            <w:r w:rsidRPr="005720F0">
              <w:t xml:space="preserve">Commence a three to five year monitoring and evaluation capacity program to improve the quality of monitoring and evaluation across the program and institutionalise the capacity to maintain it. </w:t>
            </w:r>
          </w:p>
        </w:tc>
        <w:tc>
          <w:tcPr>
            <w:tcW w:w="801" w:type="dxa"/>
            <w:shd w:val="clear" w:color="auto" w:fill="92D050"/>
          </w:tcPr>
          <w:p w14:paraId="0D9A577C" w14:textId="77777777" w:rsidR="00FE36BE" w:rsidRPr="005720F0" w:rsidRDefault="00FE36BE" w:rsidP="005720F0">
            <w:pPr>
              <w:pStyle w:val="TableTextEntries"/>
            </w:pPr>
            <w:r w:rsidRPr="005720F0">
              <w:t>Green</w:t>
            </w:r>
          </w:p>
        </w:tc>
        <w:tc>
          <w:tcPr>
            <w:tcW w:w="3631" w:type="dxa"/>
          </w:tcPr>
          <w:p w14:paraId="751AE565" w14:textId="77777777" w:rsidR="00FE36BE" w:rsidRPr="005720F0" w:rsidRDefault="00FE36BE" w:rsidP="005720F0">
            <w:pPr>
              <w:pStyle w:val="TableTextEntries"/>
            </w:pPr>
            <w:r w:rsidRPr="005720F0">
              <w:t>Achieved.</w:t>
            </w:r>
          </w:p>
        </w:tc>
      </w:tr>
    </w:tbl>
    <w:p w14:paraId="797C178C" w14:textId="77777777" w:rsidR="00022320" w:rsidRDefault="00022320"/>
    <w:p w14:paraId="45C5766D" w14:textId="77777777" w:rsidR="00A36C39" w:rsidRDefault="00A36C39">
      <w:r>
        <w:br w:type="page"/>
      </w:r>
    </w:p>
    <w:tbl>
      <w:tblPr>
        <w:tblStyle w:val="APPR"/>
        <w:tblW w:w="5000" w:type="pct"/>
        <w:tblLayout w:type="fixed"/>
        <w:tblLook w:val="0000" w:firstRow="0" w:lastRow="0" w:firstColumn="0" w:lastColumn="0" w:noHBand="0" w:noVBand="0"/>
      </w:tblPr>
      <w:tblGrid>
        <w:gridCol w:w="3860"/>
        <w:gridCol w:w="873"/>
        <w:gridCol w:w="3874"/>
      </w:tblGrid>
      <w:tr w:rsidR="00FE36BE" w:rsidRPr="00180B19" w14:paraId="7C95BB8F" w14:textId="77777777" w:rsidTr="004A1807">
        <w:trPr>
          <w:cnfStyle w:val="000000010000" w:firstRow="0" w:lastRow="0" w:firstColumn="0" w:lastColumn="0" w:oddVBand="0" w:evenVBand="0" w:oddHBand="0" w:evenHBand="1" w:firstRowFirstColumn="0" w:firstRowLastColumn="0" w:lastRowFirstColumn="0" w:lastRowLastColumn="0"/>
        </w:trPr>
        <w:tc>
          <w:tcPr>
            <w:tcW w:w="3618" w:type="dxa"/>
          </w:tcPr>
          <w:p w14:paraId="435D1228" w14:textId="297285D3" w:rsidR="00FE36BE" w:rsidRPr="00275DCC" w:rsidRDefault="00FE36BE" w:rsidP="004A1807">
            <w:pPr>
              <w:pStyle w:val="TableHeading1"/>
              <w:rPr>
                <w:b w:val="0"/>
              </w:rPr>
            </w:pPr>
            <w:r w:rsidRPr="00275DCC">
              <w:lastRenderedPageBreak/>
              <w:t xml:space="preserve">Sector </w:t>
            </w:r>
            <w:r w:rsidR="009561C7">
              <w:t>m</w:t>
            </w:r>
            <w:r w:rsidR="009561C7" w:rsidRPr="00275DCC">
              <w:t xml:space="preserve">anagement </w:t>
            </w:r>
            <w:r w:rsidRPr="00275DCC">
              <w:t>consequences identified in 2011 APPR</w:t>
            </w:r>
          </w:p>
        </w:tc>
        <w:tc>
          <w:tcPr>
            <w:tcW w:w="801" w:type="dxa"/>
          </w:tcPr>
          <w:p w14:paraId="648E6B36" w14:textId="77777777" w:rsidR="00FE36BE" w:rsidRPr="00443639" w:rsidRDefault="00FE36BE" w:rsidP="004A1807">
            <w:pPr>
              <w:pStyle w:val="TableHeading1"/>
              <w:rPr>
                <w:color w:val="FFFFFF" w:themeColor="background1"/>
              </w:rPr>
            </w:pPr>
          </w:p>
        </w:tc>
        <w:tc>
          <w:tcPr>
            <w:tcW w:w="3631" w:type="dxa"/>
          </w:tcPr>
          <w:p w14:paraId="46B3D8EC" w14:textId="77777777" w:rsidR="00FE36BE" w:rsidRDefault="00FE36BE" w:rsidP="004A1807">
            <w:pPr>
              <w:pStyle w:val="TableHeading1"/>
            </w:pPr>
          </w:p>
        </w:tc>
      </w:tr>
      <w:tr w:rsidR="00FE36BE" w:rsidRPr="00180B19" w14:paraId="152039AF" w14:textId="77777777" w:rsidTr="004A1807">
        <w:trPr>
          <w:tblHeader w:val="0"/>
        </w:trPr>
        <w:tc>
          <w:tcPr>
            <w:tcW w:w="3618" w:type="dxa"/>
          </w:tcPr>
          <w:p w14:paraId="17495763" w14:textId="43136498" w:rsidR="00FE36BE" w:rsidRPr="00275DCC" w:rsidRDefault="00FE36BE" w:rsidP="004A1807">
            <w:pPr>
              <w:pStyle w:val="TableHeading2"/>
            </w:pPr>
            <w:r w:rsidRPr="00275DCC">
              <w:t xml:space="preserve">Objective 1: Water </w:t>
            </w:r>
            <w:r w:rsidR="00DF4239">
              <w:t>s</w:t>
            </w:r>
            <w:r w:rsidR="00DF4239" w:rsidRPr="00275DCC">
              <w:t>upply</w:t>
            </w:r>
            <w:r w:rsidRPr="00275DCC">
              <w:t xml:space="preserve">, </w:t>
            </w:r>
            <w:r w:rsidR="00DF4239">
              <w:t>s</w:t>
            </w:r>
            <w:r w:rsidR="00DF4239" w:rsidRPr="00275DCC">
              <w:t xml:space="preserve">anitation </w:t>
            </w:r>
            <w:r w:rsidRPr="00275DCC">
              <w:t xml:space="preserve">and </w:t>
            </w:r>
            <w:r w:rsidR="00DF4239">
              <w:t>h</w:t>
            </w:r>
            <w:r w:rsidR="00DF4239" w:rsidRPr="00275DCC">
              <w:t xml:space="preserve">ygiene </w:t>
            </w:r>
            <w:r w:rsidR="00DF4239">
              <w:t>s</w:t>
            </w:r>
            <w:r w:rsidR="00DF4239" w:rsidRPr="00275DCC">
              <w:t>ector</w:t>
            </w:r>
          </w:p>
        </w:tc>
        <w:tc>
          <w:tcPr>
            <w:tcW w:w="801" w:type="dxa"/>
          </w:tcPr>
          <w:p w14:paraId="73AA1CF2" w14:textId="77777777" w:rsidR="00FE36BE" w:rsidRPr="00275DCC" w:rsidRDefault="00FE36BE" w:rsidP="004A1807">
            <w:pPr>
              <w:pStyle w:val="TableHeading2"/>
            </w:pPr>
            <w:r w:rsidRPr="00275DCC">
              <w:t>Rating</w:t>
            </w:r>
          </w:p>
        </w:tc>
        <w:tc>
          <w:tcPr>
            <w:tcW w:w="3631" w:type="dxa"/>
          </w:tcPr>
          <w:p w14:paraId="602561A7" w14:textId="5A06E41F" w:rsidR="00FE36BE" w:rsidRPr="00275DCC" w:rsidRDefault="00942BA7" w:rsidP="004A1807">
            <w:pPr>
              <w:pStyle w:val="TableHeading2"/>
            </w:pPr>
            <w:r w:rsidRPr="00275DCC">
              <w:t>Progress made in 2012</w:t>
            </w:r>
            <w:r w:rsidR="009561C7">
              <w:t>–</w:t>
            </w:r>
            <w:r w:rsidRPr="00275DCC">
              <w:t>13</w:t>
            </w:r>
          </w:p>
        </w:tc>
      </w:tr>
      <w:tr w:rsidR="00FE36BE" w:rsidRPr="00180B19" w14:paraId="28E80693" w14:textId="77777777" w:rsidTr="004A1807">
        <w:trPr>
          <w:cnfStyle w:val="000000010000" w:firstRow="0" w:lastRow="0" w:firstColumn="0" w:lastColumn="0" w:oddVBand="0" w:evenVBand="0" w:oddHBand="0" w:evenHBand="1" w:firstRowFirstColumn="0" w:firstRowLastColumn="0" w:lastRowFirstColumn="0" w:lastRowLastColumn="0"/>
          <w:trHeight w:val="1096"/>
          <w:tblHeader w:val="0"/>
        </w:trPr>
        <w:tc>
          <w:tcPr>
            <w:tcW w:w="3618" w:type="dxa"/>
          </w:tcPr>
          <w:p w14:paraId="1051A546" w14:textId="556A6F59" w:rsidR="00FE36BE" w:rsidRPr="007B1585" w:rsidRDefault="00FE36BE" w:rsidP="004A1807">
            <w:pPr>
              <w:pStyle w:val="TableTextEntries"/>
            </w:pPr>
            <w:r w:rsidRPr="007B1585">
              <w:t xml:space="preserve">Revise our strategy for engaging with government. This will include recruiting a </w:t>
            </w:r>
            <w:r w:rsidR="009561C7" w:rsidRPr="007B1585">
              <w:t xml:space="preserve">water and sanitation </w:t>
            </w:r>
            <w:r w:rsidRPr="007B1585">
              <w:t>specialist program director who will lead Australia’s policy and operational engagement with government and development partners in the sector.</w:t>
            </w:r>
          </w:p>
        </w:tc>
        <w:tc>
          <w:tcPr>
            <w:tcW w:w="801" w:type="dxa"/>
            <w:shd w:val="clear" w:color="auto" w:fill="92D050"/>
          </w:tcPr>
          <w:p w14:paraId="273E38D6" w14:textId="77777777" w:rsidR="00FE36BE" w:rsidRPr="007B1585" w:rsidRDefault="00FE36BE" w:rsidP="004A1807">
            <w:pPr>
              <w:pStyle w:val="TableTextEntries"/>
            </w:pPr>
            <w:r w:rsidRPr="007B1585">
              <w:t>Green</w:t>
            </w:r>
          </w:p>
        </w:tc>
        <w:tc>
          <w:tcPr>
            <w:tcW w:w="3631" w:type="dxa"/>
          </w:tcPr>
          <w:p w14:paraId="19172B62" w14:textId="6F3E8D5C" w:rsidR="00FE36BE" w:rsidRPr="007B1585" w:rsidRDefault="006D7125" w:rsidP="004A1807">
            <w:pPr>
              <w:pStyle w:val="TableTextEntries"/>
            </w:pPr>
            <w:r w:rsidRPr="007B1585">
              <w:t xml:space="preserve">Water and Sanitation </w:t>
            </w:r>
            <w:r w:rsidR="00FE36BE" w:rsidRPr="007B1585">
              <w:t xml:space="preserve">Program Director recruited and commenced duties during initiation </w:t>
            </w:r>
            <w:r w:rsidR="001D48CF" w:rsidRPr="007B1585">
              <w:t>of BESIK2.</w:t>
            </w:r>
          </w:p>
        </w:tc>
      </w:tr>
      <w:tr w:rsidR="00FE36BE" w:rsidRPr="00180B19" w14:paraId="18C6872B" w14:textId="77777777" w:rsidTr="004A1807">
        <w:trPr>
          <w:tblHeader w:val="0"/>
        </w:trPr>
        <w:tc>
          <w:tcPr>
            <w:tcW w:w="3618" w:type="dxa"/>
          </w:tcPr>
          <w:p w14:paraId="6851032D" w14:textId="23FD47B4" w:rsidR="00FE36BE" w:rsidRPr="007B1585" w:rsidRDefault="00FE36BE" w:rsidP="004A1807">
            <w:pPr>
              <w:pStyle w:val="TableTextEntries"/>
            </w:pPr>
            <w:r w:rsidRPr="007B1585">
              <w:t xml:space="preserve">Establish an effective program steering committee with </w:t>
            </w:r>
            <w:r w:rsidR="006D7125" w:rsidRPr="007B1585">
              <w:t xml:space="preserve">the Timor-Leste Government </w:t>
            </w:r>
            <w:r w:rsidR="004B2BB5" w:rsidRPr="007B1585">
              <w:t xml:space="preserve">to support </w:t>
            </w:r>
            <w:r w:rsidRPr="007B1585">
              <w:t>strategic oversight of the next phase of Australian support.</w:t>
            </w:r>
          </w:p>
        </w:tc>
        <w:tc>
          <w:tcPr>
            <w:tcW w:w="801" w:type="dxa"/>
            <w:shd w:val="clear" w:color="auto" w:fill="F79646" w:themeFill="accent6"/>
          </w:tcPr>
          <w:p w14:paraId="06F3C405" w14:textId="77777777" w:rsidR="00FE36BE" w:rsidRPr="007B1585" w:rsidRDefault="00550526" w:rsidP="004A1807">
            <w:pPr>
              <w:pStyle w:val="TableTextEntries"/>
            </w:pPr>
            <w:r w:rsidRPr="007B1585">
              <w:t>Amber</w:t>
            </w:r>
          </w:p>
        </w:tc>
        <w:tc>
          <w:tcPr>
            <w:tcW w:w="3631" w:type="dxa"/>
          </w:tcPr>
          <w:p w14:paraId="50B3B228" w14:textId="1363E06C" w:rsidR="00FE36BE" w:rsidRPr="007B1585" w:rsidRDefault="00FE36BE" w:rsidP="004A1807">
            <w:pPr>
              <w:pStyle w:val="TableTextEntries"/>
            </w:pPr>
            <w:r w:rsidRPr="007B1585">
              <w:t xml:space="preserve">Program </w:t>
            </w:r>
            <w:r w:rsidR="006D7125" w:rsidRPr="007B1585">
              <w:t>s</w:t>
            </w:r>
            <w:r w:rsidRPr="007B1585">
              <w:t xml:space="preserve">teering </w:t>
            </w:r>
            <w:r w:rsidR="006D7125" w:rsidRPr="007B1585">
              <w:t xml:space="preserve">committee </w:t>
            </w:r>
            <w:r w:rsidRPr="007B1585">
              <w:t>has not been established. Negotiations with the new Minister of Public Works and the new Secretary of State are ongoing</w:t>
            </w:r>
            <w:r w:rsidR="004B2BB5" w:rsidRPr="007B1585">
              <w:t xml:space="preserve"> for an alternative mechanism</w:t>
            </w:r>
            <w:r w:rsidRPr="007B1585">
              <w:t>.</w:t>
            </w:r>
          </w:p>
        </w:tc>
      </w:tr>
      <w:tr w:rsidR="00FE36BE" w:rsidRPr="00180B19" w14:paraId="446ECEDF"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133C3FE9" w14:textId="77777777" w:rsidR="00FE36BE" w:rsidRPr="007B1585" w:rsidRDefault="00FE36BE" w:rsidP="004A1807">
            <w:pPr>
              <w:pStyle w:val="TableTextEntries"/>
            </w:pPr>
            <w:r w:rsidRPr="007B1585">
              <w:t>Undertake a fiduciary risk assessment to progress greater use of government systems.</w:t>
            </w:r>
          </w:p>
        </w:tc>
        <w:tc>
          <w:tcPr>
            <w:tcW w:w="801" w:type="dxa"/>
            <w:shd w:val="clear" w:color="auto" w:fill="F79646" w:themeFill="accent6"/>
          </w:tcPr>
          <w:p w14:paraId="096C8578" w14:textId="77777777" w:rsidR="00FE36BE" w:rsidRPr="007B1585" w:rsidRDefault="00FE36BE" w:rsidP="004A1807">
            <w:pPr>
              <w:pStyle w:val="TableTextEntries"/>
            </w:pPr>
            <w:r w:rsidRPr="007B1585">
              <w:t>Amber</w:t>
            </w:r>
          </w:p>
        </w:tc>
        <w:tc>
          <w:tcPr>
            <w:tcW w:w="3631" w:type="dxa"/>
          </w:tcPr>
          <w:p w14:paraId="23490C6F" w14:textId="2FB078F5" w:rsidR="00FE36BE" w:rsidRPr="007B1585" w:rsidRDefault="00FE36BE" w:rsidP="004A1807">
            <w:pPr>
              <w:pStyle w:val="TableTextEntries"/>
            </w:pPr>
            <w:r w:rsidRPr="007B1585">
              <w:t xml:space="preserve">It </w:t>
            </w:r>
            <w:r w:rsidR="006D7125" w:rsidRPr="007B1585">
              <w:t xml:space="preserve">was </w:t>
            </w:r>
            <w:r w:rsidRPr="007B1585">
              <w:t xml:space="preserve">decided to postpone this </w:t>
            </w:r>
            <w:r w:rsidR="001D48CF" w:rsidRPr="007B1585">
              <w:t>while BESIK2 establishes</w:t>
            </w:r>
            <w:r w:rsidRPr="007B1585">
              <w:t xml:space="preserve"> its team and program. A </w:t>
            </w:r>
            <w:r w:rsidR="006D7125" w:rsidRPr="007B1585">
              <w:t xml:space="preserve">public financial management adviser </w:t>
            </w:r>
            <w:r w:rsidR="004B2BB5" w:rsidRPr="007B1585">
              <w:t>was</w:t>
            </w:r>
            <w:r w:rsidRPr="007B1585">
              <w:t xml:space="preserve"> recruited in 2013 </w:t>
            </w:r>
            <w:r w:rsidR="004B2BB5" w:rsidRPr="007B1585">
              <w:t>to</w:t>
            </w:r>
            <w:r w:rsidRPr="007B1585">
              <w:t xml:space="preserve"> </w:t>
            </w:r>
            <w:r w:rsidR="004B2BB5" w:rsidRPr="007B1585">
              <w:t>support</w:t>
            </w:r>
            <w:r w:rsidRPr="007B1585">
              <w:t xml:space="preserve"> a future fiduciary risk assessment.</w:t>
            </w:r>
          </w:p>
        </w:tc>
      </w:tr>
      <w:tr w:rsidR="00FE36BE" w:rsidRPr="00180B19" w14:paraId="6C235D3B" w14:textId="77777777" w:rsidTr="004A1807">
        <w:trPr>
          <w:tblHeader w:val="0"/>
        </w:trPr>
        <w:tc>
          <w:tcPr>
            <w:tcW w:w="3618" w:type="dxa"/>
          </w:tcPr>
          <w:p w14:paraId="6A0324F7" w14:textId="77777777" w:rsidR="00FE36BE" w:rsidRPr="007B1585" w:rsidRDefault="00FE36BE" w:rsidP="004A1807">
            <w:pPr>
              <w:pStyle w:val="TableTextEntries"/>
            </w:pPr>
            <w:r w:rsidRPr="007B1585">
              <w:t>Commence sanitation trials, increase engagement and assistance to the Ministry of Health and support progress toward sanitation and hygiene targets.</w:t>
            </w:r>
          </w:p>
        </w:tc>
        <w:tc>
          <w:tcPr>
            <w:tcW w:w="801" w:type="dxa"/>
            <w:shd w:val="clear" w:color="auto" w:fill="92D050"/>
          </w:tcPr>
          <w:p w14:paraId="15ADFD69" w14:textId="77777777" w:rsidR="00FE36BE" w:rsidRPr="007B1585" w:rsidRDefault="00FE36BE" w:rsidP="004A1807">
            <w:pPr>
              <w:pStyle w:val="TableTextEntries"/>
            </w:pPr>
            <w:r w:rsidRPr="007B1585">
              <w:t>Green</w:t>
            </w:r>
          </w:p>
        </w:tc>
        <w:tc>
          <w:tcPr>
            <w:tcW w:w="3631" w:type="dxa"/>
          </w:tcPr>
          <w:p w14:paraId="4EDF6B47" w14:textId="3847D323" w:rsidR="00FE36BE" w:rsidRPr="007B1585" w:rsidRDefault="00FE36BE" w:rsidP="004A1807">
            <w:pPr>
              <w:pStyle w:val="TableTextEntries"/>
            </w:pPr>
            <w:r w:rsidRPr="007B1585">
              <w:t xml:space="preserve">BESIK assisted </w:t>
            </w:r>
            <w:r w:rsidR="006D7125" w:rsidRPr="007B1585">
              <w:t xml:space="preserve">the Ministry of Health </w:t>
            </w:r>
            <w:r w:rsidRPr="007B1585">
              <w:t xml:space="preserve">to recruit 15 pilot sanitarians in April 2013 and their training commenced in May 2013. They will work in </w:t>
            </w:r>
            <w:proofErr w:type="spellStart"/>
            <w:r w:rsidRPr="007B1585">
              <w:t>Baucau</w:t>
            </w:r>
            <w:proofErr w:type="spellEnd"/>
            <w:r w:rsidRPr="007B1585">
              <w:t xml:space="preserve">, </w:t>
            </w:r>
            <w:proofErr w:type="spellStart"/>
            <w:r w:rsidRPr="007B1585">
              <w:t>Bobonaro</w:t>
            </w:r>
            <w:proofErr w:type="spellEnd"/>
            <w:r w:rsidRPr="007B1585">
              <w:t xml:space="preserve"> and </w:t>
            </w:r>
            <w:proofErr w:type="spellStart"/>
            <w:r w:rsidRPr="007B1585">
              <w:t>Liquica</w:t>
            </w:r>
            <w:proofErr w:type="spellEnd"/>
            <w:r w:rsidRPr="007B1585">
              <w:t xml:space="preserve"> and are the main element in efforts to </w:t>
            </w:r>
            <w:r w:rsidR="006D7125" w:rsidRPr="007B1585">
              <w:t xml:space="preserve">help the ministry </w:t>
            </w:r>
            <w:r w:rsidRPr="007B1585">
              <w:t>achieve sanitation and hygiene targets.</w:t>
            </w:r>
          </w:p>
        </w:tc>
      </w:tr>
      <w:tr w:rsidR="00FE36BE" w:rsidRPr="00180B19" w14:paraId="4A4BABB0"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23BC837E" w14:textId="367BBF68" w:rsidR="00FE36BE" w:rsidRPr="007B1585" w:rsidRDefault="00FE36BE" w:rsidP="004A1807">
            <w:pPr>
              <w:pStyle w:val="TableTextEntries"/>
            </w:pPr>
            <w:r w:rsidRPr="007B1585">
              <w:t>Continue to provide technical assistance to the Ministry of Infrastructure and Ministry of Health to bid for increased budget allocations from Ministry of Finance.</w:t>
            </w:r>
          </w:p>
        </w:tc>
        <w:tc>
          <w:tcPr>
            <w:tcW w:w="801" w:type="dxa"/>
            <w:shd w:val="clear" w:color="auto" w:fill="92D050"/>
          </w:tcPr>
          <w:p w14:paraId="120D3159" w14:textId="77777777" w:rsidR="00FE36BE" w:rsidRPr="007B1585" w:rsidRDefault="00FE36BE" w:rsidP="004A1807">
            <w:pPr>
              <w:pStyle w:val="TableTextEntries"/>
            </w:pPr>
            <w:r w:rsidRPr="007B1585">
              <w:t>Green</w:t>
            </w:r>
          </w:p>
        </w:tc>
        <w:tc>
          <w:tcPr>
            <w:tcW w:w="3631" w:type="dxa"/>
          </w:tcPr>
          <w:p w14:paraId="1F2ADC21" w14:textId="1DA8C145" w:rsidR="00FE36BE" w:rsidRPr="007B1585" w:rsidRDefault="001D48CF" w:rsidP="004A1807">
            <w:pPr>
              <w:pStyle w:val="TableTextEntries"/>
            </w:pPr>
            <w:r w:rsidRPr="007B1585">
              <w:t>BESIK2 has</w:t>
            </w:r>
            <w:r w:rsidR="00FE36BE" w:rsidRPr="007B1585">
              <w:t xml:space="preserve"> recruited a </w:t>
            </w:r>
            <w:r w:rsidR="006D7125" w:rsidRPr="007B1585">
              <w:t xml:space="preserve">public financial management adviser </w:t>
            </w:r>
            <w:r w:rsidR="004B2BB5" w:rsidRPr="007B1585">
              <w:t>to</w:t>
            </w:r>
            <w:r w:rsidR="00FE36BE" w:rsidRPr="007B1585">
              <w:t xml:space="preserve"> work closely with the Ministry of Public Works. The </w:t>
            </w:r>
            <w:r w:rsidR="006D7125" w:rsidRPr="007B1585">
              <w:t xml:space="preserve">adviser </w:t>
            </w:r>
            <w:r w:rsidR="00FE36BE" w:rsidRPr="007B1585">
              <w:t xml:space="preserve">will play a major role in budget planning processes for </w:t>
            </w:r>
            <w:r w:rsidR="008A19A0" w:rsidRPr="007B1585">
              <w:t xml:space="preserve">the Ministries of Public Works </w:t>
            </w:r>
            <w:r w:rsidR="00FE36BE" w:rsidRPr="007B1585">
              <w:t xml:space="preserve">and </w:t>
            </w:r>
            <w:r w:rsidR="008A19A0" w:rsidRPr="007B1585">
              <w:t>Health</w:t>
            </w:r>
            <w:r w:rsidR="00FE36BE" w:rsidRPr="007B1585">
              <w:t xml:space="preserve">. District level budgets for water </w:t>
            </w:r>
            <w:r w:rsidR="008A19A0" w:rsidRPr="007B1585">
              <w:t xml:space="preserve">and </w:t>
            </w:r>
            <w:r w:rsidR="00FE36BE" w:rsidRPr="007B1585">
              <w:t>sanitation have increased 300 per cent</w:t>
            </w:r>
            <w:r w:rsidR="008A19A0" w:rsidRPr="007B1585">
              <w:t xml:space="preserve">, </w:t>
            </w:r>
            <w:r w:rsidR="00FE36BE" w:rsidRPr="007B1585">
              <w:t xml:space="preserve">a key area of BESIK policy dialogue, </w:t>
            </w:r>
            <w:r w:rsidR="008A19A0" w:rsidRPr="007B1585">
              <w:t xml:space="preserve">and there is </w:t>
            </w:r>
            <w:r w:rsidR="00FE36BE" w:rsidRPr="007B1585">
              <w:t xml:space="preserve">a commitment to recruit </w:t>
            </w:r>
            <w:r w:rsidR="008A19A0" w:rsidRPr="007B1585">
              <w:t>operations and maintenance</w:t>
            </w:r>
            <w:r w:rsidR="00FE36BE" w:rsidRPr="007B1585">
              <w:t xml:space="preserve"> managers by 2014.</w:t>
            </w:r>
          </w:p>
        </w:tc>
      </w:tr>
      <w:tr w:rsidR="00FE36BE" w:rsidRPr="00180B19" w14:paraId="51D364FF" w14:textId="77777777" w:rsidTr="004A1807">
        <w:trPr>
          <w:tblHeader w:val="0"/>
        </w:trPr>
        <w:tc>
          <w:tcPr>
            <w:tcW w:w="3618" w:type="dxa"/>
          </w:tcPr>
          <w:p w14:paraId="540666A3" w14:textId="6E0B3E18" w:rsidR="00FE36BE" w:rsidRPr="00275DCC" w:rsidRDefault="00FE36BE" w:rsidP="004A1807">
            <w:pPr>
              <w:pStyle w:val="TableHeading2"/>
            </w:pPr>
            <w:r w:rsidRPr="00275DCC">
              <w:t xml:space="preserve">Objective 2: Roads </w:t>
            </w:r>
            <w:r w:rsidR="008A19A0">
              <w:t>s</w:t>
            </w:r>
            <w:r w:rsidR="008A19A0" w:rsidRPr="00275DCC">
              <w:t>ector</w:t>
            </w:r>
          </w:p>
        </w:tc>
        <w:tc>
          <w:tcPr>
            <w:tcW w:w="801" w:type="dxa"/>
          </w:tcPr>
          <w:p w14:paraId="149C640B" w14:textId="77777777" w:rsidR="00FE36BE" w:rsidRPr="00275DCC" w:rsidRDefault="00633826" w:rsidP="004A1807">
            <w:pPr>
              <w:pStyle w:val="TableHeading2"/>
              <w:rPr>
                <w:color w:val="FFFFFF" w:themeColor="background1"/>
              </w:rPr>
            </w:pPr>
            <w:r w:rsidRPr="00275DCC">
              <w:t>Rating</w:t>
            </w:r>
          </w:p>
        </w:tc>
        <w:tc>
          <w:tcPr>
            <w:tcW w:w="3631" w:type="dxa"/>
          </w:tcPr>
          <w:p w14:paraId="4EB6B1E4" w14:textId="405A0A3E" w:rsidR="00FE36BE" w:rsidRPr="00275DCC" w:rsidRDefault="00FE36BE" w:rsidP="004A1807">
            <w:pPr>
              <w:pStyle w:val="TableHeading2"/>
              <w:rPr>
                <w:color w:val="92D050"/>
              </w:rPr>
            </w:pPr>
            <w:r w:rsidRPr="00275DCC">
              <w:t>Progress made in 2012</w:t>
            </w:r>
            <w:r w:rsidR="000123EE">
              <w:t>–</w:t>
            </w:r>
            <w:r w:rsidRPr="00275DCC">
              <w:t>13</w:t>
            </w:r>
          </w:p>
        </w:tc>
      </w:tr>
      <w:tr w:rsidR="00FE36BE" w:rsidRPr="00180B19" w14:paraId="34AED582"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35D67D6E" w14:textId="77777777" w:rsidR="00FE36BE" w:rsidRPr="007B1585" w:rsidRDefault="00FE36BE" w:rsidP="004A1807">
            <w:pPr>
              <w:pStyle w:val="TableTextEntries"/>
            </w:pPr>
            <w:r w:rsidRPr="007B1585">
              <w:t>Ensure the program strengthens the capacity of the Ministry of Infrastructure to sustainably rehabilitate and maintain rural roads.</w:t>
            </w:r>
          </w:p>
        </w:tc>
        <w:tc>
          <w:tcPr>
            <w:tcW w:w="801" w:type="dxa"/>
            <w:shd w:val="clear" w:color="auto" w:fill="F79646" w:themeFill="accent6"/>
          </w:tcPr>
          <w:p w14:paraId="0096A2EE" w14:textId="77777777" w:rsidR="00FE36BE" w:rsidRPr="007B1585" w:rsidRDefault="00FE36BE" w:rsidP="004A1807">
            <w:pPr>
              <w:pStyle w:val="TableTextEntries"/>
            </w:pPr>
            <w:r w:rsidRPr="007B1585">
              <w:t>Amber</w:t>
            </w:r>
          </w:p>
        </w:tc>
        <w:tc>
          <w:tcPr>
            <w:tcW w:w="3631" w:type="dxa"/>
          </w:tcPr>
          <w:p w14:paraId="2DF54041" w14:textId="4BC34391" w:rsidR="00FE36BE" w:rsidRPr="007B1585" w:rsidRDefault="00FE36BE" w:rsidP="004A1807">
            <w:pPr>
              <w:pStyle w:val="TableTextEntries"/>
            </w:pPr>
            <w:r w:rsidRPr="007B1585">
              <w:t xml:space="preserve">The Ministry of Infrastructure restructured after the 2012 elections and part of it became the Ministry of Public Works. With a new </w:t>
            </w:r>
            <w:r w:rsidR="008A19A0" w:rsidRPr="007B1585">
              <w:t xml:space="preserve">minister </w:t>
            </w:r>
            <w:r w:rsidRPr="007B1585">
              <w:t xml:space="preserve">and a change of the </w:t>
            </w:r>
            <w:r w:rsidR="008A19A0" w:rsidRPr="007B1585">
              <w:t xml:space="preserve">director </w:t>
            </w:r>
            <w:r w:rsidRPr="007B1585">
              <w:t xml:space="preserve">of </w:t>
            </w:r>
            <w:r w:rsidR="008A19A0" w:rsidRPr="007B1585">
              <w:t xml:space="preserve">roads </w:t>
            </w:r>
            <w:r w:rsidRPr="007B1585">
              <w:t xml:space="preserve">in December 2012, it has been challenging for </w:t>
            </w:r>
            <w:r w:rsidR="00B05885" w:rsidRPr="007B1585">
              <w:t>R4D</w:t>
            </w:r>
            <w:r w:rsidRPr="007B1585">
              <w:t xml:space="preserve"> to engage effectively with </w:t>
            </w:r>
            <w:r w:rsidR="008A19A0" w:rsidRPr="007B1585">
              <w:t>the Ministry of Public Works</w:t>
            </w:r>
            <w:r w:rsidRPr="007B1585">
              <w:t xml:space="preserve">. This has improved greatly in 2013 with regular meetings with the </w:t>
            </w:r>
            <w:r w:rsidR="008A19A0" w:rsidRPr="007B1585">
              <w:t>minister</w:t>
            </w:r>
            <w:r w:rsidRPr="007B1585">
              <w:t xml:space="preserve">. </w:t>
            </w:r>
            <w:r w:rsidR="00B05885" w:rsidRPr="007B1585">
              <w:t>R4D</w:t>
            </w:r>
            <w:r w:rsidRPr="007B1585">
              <w:t xml:space="preserve"> is now recruiting district engineers directly to increase resources in </w:t>
            </w:r>
            <w:r w:rsidR="008A19A0" w:rsidRPr="007B1585">
              <w:t xml:space="preserve">the ministry </w:t>
            </w:r>
            <w:r w:rsidRPr="007B1585">
              <w:t xml:space="preserve">with a plan that they transition into civil servants later. The training focus has been on civil works contractors but </w:t>
            </w:r>
            <w:r w:rsidR="00B05885" w:rsidRPr="007B1585">
              <w:t>R4D</w:t>
            </w:r>
            <w:r w:rsidRPr="007B1585">
              <w:t xml:space="preserve"> has developed a draft training plan for </w:t>
            </w:r>
            <w:r w:rsidR="008A19A0" w:rsidRPr="007B1585">
              <w:t>the Ministry of Public Works</w:t>
            </w:r>
            <w:r w:rsidRPr="007B1585">
              <w:t xml:space="preserve">. </w:t>
            </w:r>
          </w:p>
        </w:tc>
      </w:tr>
      <w:tr w:rsidR="00FE36BE" w:rsidRPr="00180B19" w14:paraId="122E17EF" w14:textId="77777777" w:rsidTr="004A1807">
        <w:trPr>
          <w:tblHeader w:val="0"/>
        </w:trPr>
        <w:tc>
          <w:tcPr>
            <w:tcW w:w="3618" w:type="dxa"/>
          </w:tcPr>
          <w:p w14:paraId="32419DAD" w14:textId="77777777" w:rsidR="00FE36BE" w:rsidRPr="007B1585" w:rsidRDefault="00FE36BE" w:rsidP="004A1807">
            <w:pPr>
              <w:pStyle w:val="TableTextEntries"/>
            </w:pPr>
            <w:r w:rsidRPr="007B1585">
              <w:t xml:space="preserve">Monitor the relationship progress between Australia, the International Labour Organization and Ministry of Infrastructure during the </w:t>
            </w:r>
            <w:r w:rsidR="00B05885" w:rsidRPr="007B1585">
              <w:t>R4D</w:t>
            </w:r>
            <w:r w:rsidRPr="007B1585">
              <w:t xml:space="preserve"> design process.</w:t>
            </w:r>
          </w:p>
        </w:tc>
        <w:tc>
          <w:tcPr>
            <w:tcW w:w="801" w:type="dxa"/>
            <w:shd w:val="clear" w:color="auto" w:fill="92D050"/>
          </w:tcPr>
          <w:p w14:paraId="1A4AD5F2" w14:textId="77777777" w:rsidR="00FE36BE" w:rsidRPr="007B1585" w:rsidRDefault="00FE36BE" w:rsidP="004A1807">
            <w:pPr>
              <w:pStyle w:val="TableTextEntries"/>
            </w:pPr>
            <w:r w:rsidRPr="007B1585">
              <w:t>Green</w:t>
            </w:r>
          </w:p>
        </w:tc>
        <w:tc>
          <w:tcPr>
            <w:tcW w:w="3631" w:type="dxa"/>
          </w:tcPr>
          <w:p w14:paraId="43FE69D0" w14:textId="77777777" w:rsidR="00FE36BE" w:rsidRPr="007B1585" w:rsidRDefault="00FE36BE" w:rsidP="004A1807">
            <w:pPr>
              <w:pStyle w:val="TableTextEntries"/>
            </w:pPr>
            <w:r w:rsidRPr="007B1585">
              <w:t xml:space="preserve">This was done and the </w:t>
            </w:r>
            <w:r w:rsidR="00B05885" w:rsidRPr="007B1585">
              <w:t>R4D</w:t>
            </w:r>
            <w:r w:rsidRPr="007B1585">
              <w:t xml:space="preserve"> design was accepted by the Minister of Infrastructure.</w:t>
            </w:r>
          </w:p>
        </w:tc>
      </w:tr>
      <w:tr w:rsidR="00FE36BE" w:rsidRPr="00180B19" w14:paraId="133B256F"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0D58F302" w14:textId="77777777" w:rsidR="00FE36BE" w:rsidRPr="007B1585" w:rsidRDefault="00FE36BE" w:rsidP="004A1807">
            <w:pPr>
              <w:pStyle w:val="TableTextEntries"/>
            </w:pPr>
            <w:r w:rsidRPr="007B1585">
              <w:t>Assist the government to finalise a rural roads master plan based on the plan developed by the European Union.</w:t>
            </w:r>
          </w:p>
        </w:tc>
        <w:tc>
          <w:tcPr>
            <w:tcW w:w="801" w:type="dxa"/>
            <w:shd w:val="clear" w:color="auto" w:fill="F79646" w:themeFill="accent6"/>
          </w:tcPr>
          <w:p w14:paraId="286F5CA2" w14:textId="77777777" w:rsidR="00FE36BE" w:rsidRPr="007B1585" w:rsidRDefault="00550526" w:rsidP="004A1807">
            <w:pPr>
              <w:pStyle w:val="TableTextEntries"/>
            </w:pPr>
            <w:r w:rsidRPr="007B1585">
              <w:t>Amber</w:t>
            </w:r>
          </w:p>
        </w:tc>
        <w:tc>
          <w:tcPr>
            <w:tcW w:w="3631" w:type="dxa"/>
          </w:tcPr>
          <w:p w14:paraId="53418293" w14:textId="10561F40" w:rsidR="00FE36BE" w:rsidRPr="007B1585" w:rsidRDefault="00FE36BE" w:rsidP="004A1807">
            <w:pPr>
              <w:pStyle w:val="TableTextEntries"/>
            </w:pPr>
            <w:r w:rsidRPr="007B1585">
              <w:t xml:space="preserve">This has not been prioritised and instead the focus has been on preparing and rolling out road rehabilitation works in time for the 2013 dry season. </w:t>
            </w:r>
            <w:r w:rsidR="00A5511B" w:rsidRPr="007B1585">
              <w:t>R4D is however in discussion with M</w:t>
            </w:r>
            <w:r w:rsidR="000123EE" w:rsidRPr="007B1585">
              <w:t xml:space="preserve">inistry of </w:t>
            </w:r>
            <w:r w:rsidR="00A5511B" w:rsidRPr="007B1585">
              <w:t>P</w:t>
            </w:r>
            <w:r w:rsidR="000123EE" w:rsidRPr="007B1585">
              <w:t xml:space="preserve">ublic </w:t>
            </w:r>
            <w:r w:rsidR="00A5511B" w:rsidRPr="007B1585">
              <w:t>W</w:t>
            </w:r>
            <w:r w:rsidR="000123EE" w:rsidRPr="007B1585">
              <w:t>orks</w:t>
            </w:r>
            <w:r w:rsidR="00A5511B" w:rsidRPr="007B1585">
              <w:t xml:space="preserve"> about the finalisation of the master plan.</w:t>
            </w:r>
          </w:p>
        </w:tc>
      </w:tr>
      <w:tr w:rsidR="00FE36BE" w:rsidRPr="00180B19" w14:paraId="77BDE87F" w14:textId="77777777" w:rsidTr="004A1807">
        <w:trPr>
          <w:tblHeader w:val="0"/>
        </w:trPr>
        <w:tc>
          <w:tcPr>
            <w:tcW w:w="3618" w:type="dxa"/>
          </w:tcPr>
          <w:p w14:paraId="5F17D99B" w14:textId="77777777" w:rsidR="00FE36BE" w:rsidRPr="007B1585" w:rsidRDefault="00FE36BE" w:rsidP="004A1807">
            <w:pPr>
              <w:pStyle w:val="TableTextEntries"/>
            </w:pPr>
            <w:r w:rsidRPr="007B1585">
              <w:t xml:space="preserve">Encourage improved resourcing of this sector with the Ministry of Infrastructure and the Ministry of </w:t>
            </w:r>
            <w:r w:rsidRPr="007B1585">
              <w:lastRenderedPageBreak/>
              <w:t xml:space="preserve">Finance. The </w:t>
            </w:r>
            <w:r w:rsidR="00B05885" w:rsidRPr="007B1585">
              <w:t>R4D</w:t>
            </w:r>
            <w:r w:rsidRPr="007B1585">
              <w:t xml:space="preserve"> program steering committee will work to influence policy and budgeting across the roads sector.</w:t>
            </w:r>
          </w:p>
        </w:tc>
        <w:tc>
          <w:tcPr>
            <w:tcW w:w="801" w:type="dxa"/>
            <w:shd w:val="clear" w:color="auto" w:fill="92D050"/>
          </w:tcPr>
          <w:p w14:paraId="3103F7AF" w14:textId="77777777" w:rsidR="00FE36BE" w:rsidRPr="007B1585" w:rsidRDefault="00FE36BE" w:rsidP="004A1807">
            <w:pPr>
              <w:pStyle w:val="TableTextEntries"/>
            </w:pPr>
            <w:r w:rsidRPr="007B1585">
              <w:lastRenderedPageBreak/>
              <w:t>Green</w:t>
            </w:r>
          </w:p>
        </w:tc>
        <w:tc>
          <w:tcPr>
            <w:tcW w:w="3631" w:type="dxa"/>
          </w:tcPr>
          <w:p w14:paraId="0041CF64" w14:textId="3D93D46A" w:rsidR="00FE36BE" w:rsidRPr="007B1585" w:rsidRDefault="00FE36BE" w:rsidP="004A1807">
            <w:pPr>
              <w:pStyle w:val="TableTextEntries"/>
            </w:pPr>
            <w:r w:rsidRPr="007B1585">
              <w:t xml:space="preserve">Close engagement with </w:t>
            </w:r>
            <w:r w:rsidR="000123EE" w:rsidRPr="007B1585">
              <w:t xml:space="preserve">the Ministry of Public Works </w:t>
            </w:r>
            <w:r w:rsidRPr="007B1585">
              <w:t xml:space="preserve">during preparation of the 2013 budget </w:t>
            </w:r>
            <w:r w:rsidRPr="007B1585">
              <w:lastRenderedPageBreak/>
              <w:t>resulted in an allocation of US</w:t>
            </w:r>
            <w:r w:rsidR="000123EE" w:rsidRPr="007B1585">
              <w:t>D</w:t>
            </w:r>
            <w:r w:rsidRPr="007B1585">
              <w:t>2.5 million for rural roads.</w:t>
            </w:r>
          </w:p>
        </w:tc>
      </w:tr>
      <w:tr w:rsidR="00FE36BE" w:rsidRPr="00180B19" w14:paraId="05EAB5EF"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4B8D40AE" w14:textId="77777777" w:rsidR="00FE36BE" w:rsidRPr="007B1585" w:rsidRDefault="00FE36BE" w:rsidP="004A1807">
            <w:pPr>
              <w:pStyle w:val="TableTextEntries"/>
            </w:pPr>
            <w:r w:rsidRPr="007B1585">
              <w:lastRenderedPageBreak/>
              <w:t>Undertake an independent evaluation of the Infrastructure Technical Assistance program in 2012 to gather lessons for training approaches and to inform programs implemented through the Ministry of Infrastructure.</w:t>
            </w:r>
          </w:p>
        </w:tc>
        <w:tc>
          <w:tcPr>
            <w:tcW w:w="801" w:type="dxa"/>
            <w:shd w:val="clear" w:color="auto" w:fill="92D050"/>
          </w:tcPr>
          <w:p w14:paraId="04F734B2" w14:textId="77777777" w:rsidR="00FE36BE" w:rsidRPr="007B1585" w:rsidRDefault="00FE36BE" w:rsidP="004A1807">
            <w:pPr>
              <w:pStyle w:val="TableTextEntries"/>
            </w:pPr>
            <w:r w:rsidRPr="007B1585">
              <w:t>Green</w:t>
            </w:r>
          </w:p>
        </w:tc>
        <w:tc>
          <w:tcPr>
            <w:tcW w:w="3631" w:type="dxa"/>
          </w:tcPr>
          <w:p w14:paraId="1AAD5035" w14:textId="62831C02" w:rsidR="00FE36BE" w:rsidRPr="007B1585" w:rsidRDefault="00FE36BE" w:rsidP="004A1807">
            <w:pPr>
              <w:pStyle w:val="TableTextEntries"/>
            </w:pPr>
            <w:r w:rsidRPr="007B1585">
              <w:t xml:space="preserve">An </w:t>
            </w:r>
            <w:r w:rsidR="000123EE" w:rsidRPr="007B1585">
              <w:t>i</w:t>
            </w:r>
            <w:r w:rsidRPr="007B1585">
              <w:t xml:space="preserve">ndependent </w:t>
            </w:r>
            <w:r w:rsidR="000123EE" w:rsidRPr="007B1585">
              <w:t>c</w:t>
            </w:r>
            <w:r w:rsidRPr="007B1585">
              <w:t xml:space="preserve">ompletion </w:t>
            </w:r>
            <w:r w:rsidR="000123EE" w:rsidRPr="007B1585">
              <w:t>r</w:t>
            </w:r>
            <w:r w:rsidRPr="007B1585">
              <w:t xml:space="preserve">eport was prepared in July 2012. The </w:t>
            </w:r>
            <w:r w:rsidR="000123EE" w:rsidRPr="007B1585">
              <w:t xml:space="preserve">terms of reference </w:t>
            </w:r>
            <w:r w:rsidRPr="007B1585">
              <w:t>included evaluating the impact of training during the program and lessons learnt. Th</w:t>
            </w:r>
            <w:r w:rsidR="00D75653" w:rsidRPr="007B1585">
              <w:t xml:space="preserve">is has </w:t>
            </w:r>
            <w:r w:rsidRPr="007B1585">
              <w:t xml:space="preserve">contributed to improving the approach taken by </w:t>
            </w:r>
            <w:r w:rsidR="00B05885" w:rsidRPr="007B1585">
              <w:t>R4D</w:t>
            </w:r>
            <w:r w:rsidRPr="007B1585">
              <w:t>.</w:t>
            </w:r>
          </w:p>
        </w:tc>
      </w:tr>
      <w:tr w:rsidR="00FE36BE" w:rsidRPr="00180B19" w14:paraId="4A968E45" w14:textId="77777777" w:rsidTr="004A1807">
        <w:trPr>
          <w:tblHeader w:val="0"/>
        </w:trPr>
        <w:tc>
          <w:tcPr>
            <w:tcW w:w="3618" w:type="dxa"/>
          </w:tcPr>
          <w:p w14:paraId="1852398A" w14:textId="5AD67362" w:rsidR="00FE36BE" w:rsidRPr="00275DCC" w:rsidRDefault="00FE36BE" w:rsidP="004A1807">
            <w:pPr>
              <w:pStyle w:val="TableHeading2"/>
            </w:pPr>
            <w:r w:rsidRPr="00275DCC">
              <w:t xml:space="preserve">Objective 3: Agriculture </w:t>
            </w:r>
            <w:r w:rsidR="000123EE">
              <w:t>s</w:t>
            </w:r>
            <w:r w:rsidR="000123EE" w:rsidRPr="00275DCC">
              <w:t>ector</w:t>
            </w:r>
          </w:p>
        </w:tc>
        <w:tc>
          <w:tcPr>
            <w:tcW w:w="801" w:type="dxa"/>
          </w:tcPr>
          <w:p w14:paraId="257620F3" w14:textId="77777777" w:rsidR="00FE36BE" w:rsidRPr="00275DCC" w:rsidRDefault="00633826" w:rsidP="004A1807">
            <w:pPr>
              <w:pStyle w:val="TableHeading2"/>
              <w:rPr>
                <w:color w:val="FFFFFF" w:themeColor="background1"/>
              </w:rPr>
            </w:pPr>
            <w:r w:rsidRPr="00275DCC">
              <w:t>Rating</w:t>
            </w:r>
          </w:p>
        </w:tc>
        <w:tc>
          <w:tcPr>
            <w:tcW w:w="3631" w:type="dxa"/>
          </w:tcPr>
          <w:p w14:paraId="3FDADE7F" w14:textId="70155DB3" w:rsidR="00FE36BE" w:rsidRPr="00275DCC" w:rsidRDefault="00FE36BE" w:rsidP="004A1807">
            <w:pPr>
              <w:pStyle w:val="TableHeading2"/>
              <w:rPr>
                <w:color w:val="92D050"/>
              </w:rPr>
            </w:pPr>
            <w:r w:rsidRPr="00275DCC">
              <w:t>Progress made in 2012</w:t>
            </w:r>
            <w:r w:rsidR="000123EE">
              <w:t>–</w:t>
            </w:r>
            <w:r w:rsidRPr="00275DCC">
              <w:t>13</w:t>
            </w:r>
          </w:p>
        </w:tc>
      </w:tr>
      <w:tr w:rsidR="00FE36BE" w:rsidRPr="00180B19" w14:paraId="2EF592CC"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0CDCC8A2" w14:textId="0E5969A5" w:rsidR="00FE36BE" w:rsidRPr="007B1585" w:rsidRDefault="00FE36BE" w:rsidP="004A1807">
            <w:pPr>
              <w:pStyle w:val="TableTextEntries"/>
            </w:pPr>
            <w:r w:rsidRPr="007B1585">
              <w:t xml:space="preserve">Work closely with </w:t>
            </w:r>
            <w:r w:rsidR="000123EE" w:rsidRPr="007B1585">
              <w:t xml:space="preserve">the Ministry of Agriculture and Fisheries </w:t>
            </w:r>
            <w:r w:rsidRPr="007B1585">
              <w:t>and M</w:t>
            </w:r>
            <w:r w:rsidR="000123EE" w:rsidRPr="007B1585">
              <w:t xml:space="preserve">inistry of </w:t>
            </w:r>
            <w:r w:rsidRPr="007B1585">
              <w:t>F</w:t>
            </w:r>
            <w:r w:rsidR="000123EE" w:rsidRPr="007B1585">
              <w:t>inance</w:t>
            </w:r>
            <w:r w:rsidRPr="007B1585">
              <w:t xml:space="preserve"> on forward planning mechanisms for the budget and staff required to sustain the </w:t>
            </w:r>
            <w:r w:rsidR="000123EE" w:rsidRPr="007B1585">
              <w:t xml:space="preserve">Seeds of Life </w:t>
            </w:r>
            <w:r w:rsidRPr="007B1585">
              <w:t>program.</w:t>
            </w:r>
          </w:p>
        </w:tc>
        <w:tc>
          <w:tcPr>
            <w:tcW w:w="801" w:type="dxa"/>
            <w:shd w:val="clear" w:color="auto" w:fill="F79646" w:themeFill="accent6"/>
          </w:tcPr>
          <w:p w14:paraId="0D09A0FB" w14:textId="77777777" w:rsidR="00FE36BE" w:rsidRPr="007B1585" w:rsidRDefault="00FE36BE" w:rsidP="004A1807">
            <w:pPr>
              <w:pStyle w:val="TableTextEntries"/>
            </w:pPr>
            <w:r w:rsidRPr="007B1585">
              <w:t>Amber</w:t>
            </w:r>
          </w:p>
        </w:tc>
        <w:tc>
          <w:tcPr>
            <w:tcW w:w="3631" w:type="dxa"/>
          </w:tcPr>
          <w:p w14:paraId="45718484" w14:textId="587CF21C" w:rsidR="00FE36BE" w:rsidRPr="007B1585" w:rsidRDefault="000123EE" w:rsidP="004A1807">
            <w:pPr>
              <w:pStyle w:val="TableTextEntries"/>
            </w:pPr>
            <w:r w:rsidRPr="007B1585">
              <w:t xml:space="preserve">Seeds of Life </w:t>
            </w:r>
            <w:r w:rsidR="00FE36BE" w:rsidRPr="007B1585">
              <w:t xml:space="preserve">assisted </w:t>
            </w:r>
            <w:r w:rsidRPr="007B1585">
              <w:t xml:space="preserve">the Ministry of Agriculture and </w:t>
            </w:r>
            <w:r w:rsidR="00C07BA3" w:rsidRPr="007B1585">
              <w:t>Fisheries to</w:t>
            </w:r>
            <w:r w:rsidR="00FE36BE" w:rsidRPr="007B1585">
              <w:t xml:space="preserve"> convene a </w:t>
            </w:r>
            <w:r w:rsidRPr="007B1585">
              <w:t xml:space="preserve">development partners support group </w:t>
            </w:r>
            <w:r w:rsidR="00FE36BE" w:rsidRPr="007B1585">
              <w:t xml:space="preserve">and contributed to planning for the 2013 budget request. This resulted in a 40 per cent increase in the </w:t>
            </w:r>
            <w:r w:rsidRPr="007B1585">
              <w:t xml:space="preserve">ministry’s </w:t>
            </w:r>
            <w:r w:rsidR="00FE36BE" w:rsidRPr="007B1585">
              <w:t>budget for 2013. It is yet to be seen if this will result in improved staffing resources of adequate competency.</w:t>
            </w:r>
          </w:p>
        </w:tc>
      </w:tr>
      <w:tr w:rsidR="00FE36BE" w:rsidRPr="00180B19" w14:paraId="63D69FAB" w14:textId="77777777" w:rsidTr="004A1807">
        <w:trPr>
          <w:tblHeader w:val="0"/>
        </w:trPr>
        <w:tc>
          <w:tcPr>
            <w:tcW w:w="3618" w:type="dxa"/>
          </w:tcPr>
          <w:p w14:paraId="1E0D6398" w14:textId="17AB9E2B" w:rsidR="00FE36BE" w:rsidRPr="007B1585" w:rsidRDefault="00FE36BE" w:rsidP="004A1807">
            <w:pPr>
              <w:pStyle w:val="TableTextEntries"/>
            </w:pPr>
            <w:r w:rsidRPr="007B1585">
              <w:t xml:space="preserve">Identify, in consultation with </w:t>
            </w:r>
            <w:r w:rsidR="000123EE" w:rsidRPr="007B1585">
              <w:t xml:space="preserve">the Ministry of Finance </w:t>
            </w:r>
            <w:r w:rsidRPr="007B1585">
              <w:t>and other donors, opportunities to broaden the scope of</w:t>
            </w:r>
            <w:r w:rsidR="000123EE" w:rsidRPr="007B1585">
              <w:t xml:space="preserve"> Seeds of Life </w:t>
            </w:r>
            <w:r w:rsidRPr="007B1585">
              <w:t>to make a greater contribution to food security. This could include options for other forms of engagement with the sector, particularly around agricultural inputs and agronomic practices to improve productivity.</w:t>
            </w:r>
          </w:p>
        </w:tc>
        <w:tc>
          <w:tcPr>
            <w:tcW w:w="801" w:type="dxa"/>
            <w:shd w:val="clear" w:color="auto" w:fill="F79646" w:themeFill="accent6"/>
          </w:tcPr>
          <w:p w14:paraId="02B27CA3" w14:textId="77777777" w:rsidR="00FE36BE" w:rsidRPr="007B1585" w:rsidRDefault="00FE36BE" w:rsidP="004A1807">
            <w:pPr>
              <w:pStyle w:val="TableTextEntries"/>
            </w:pPr>
            <w:r w:rsidRPr="007B1585">
              <w:t>Amber</w:t>
            </w:r>
            <w:r w:rsidRPr="007B1585">
              <w:fldChar w:fldCharType="begin"/>
            </w:r>
            <w:r w:rsidRPr="007B1585">
              <w:instrText xml:space="preserve"> AUTOTEXTLIST  \s "Rating bullet"\t "Right click to choose a rating" \* MERGEFORMAT </w:instrText>
            </w:r>
            <w:r w:rsidRPr="007B1585">
              <w:fldChar w:fldCharType="end"/>
            </w:r>
          </w:p>
        </w:tc>
        <w:tc>
          <w:tcPr>
            <w:tcW w:w="3631" w:type="dxa"/>
          </w:tcPr>
          <w:p w14:paraId="14643875" w14:textId="3FE02BAE" w:rsidR="00FE36BE" w:rsidRPr="007B1585" w:rsidRDefault="000123EE" w:rsidP="004A1807">
            <w:pPr>
              <w:pStyle w:val="TableTextEntries"/>
            </w:pPr>
            <w:proofErr w:type="gramStart"/>
            <w:r w:rsidRPr="007B1585">
              <w:t xml:space="preserve">Seeds of Life </w:t>
            </w:r>
            <w:r w:rsidR="00FE36BE" w:rsidRPr="007B1585">
              <w:t>has</w:t>
            </w:r>
            <w:proofErr w:type="gramEnd"/>
            <w:r w:rsidR="00FE36BE" w:rsidRPr="007B1585">
              <w:t xml:space="preserve"> run trials to investigate the </w:t>
            </w:r>
            <w:proofErr w:type="spellStart"/>
            <w:r w:rsidRPr="007B1585">
              <w:t>affect</w:t>
            </w:r>
            <w:proofErr w:type="spellEnd"/>
            <w:r w:rsidRPr="007B1585">
              <w:t xml:space="preserve"> </w:t>
            </w:r>
            <w:r w:rsidR="00FE36BE" w:rsidRPr="007B1585">
              <w:t>of fertiliser applications and velvet bean as a cover crop to increase productivity. The mid-term review will evaluate these efforts and make recommendations for future application.</w:t>
            </w:r>
            <w:r w:rsidR="00C07BA3" w:rsidRPr="007B1585">
              <w:t xml:space="preserve"> </w:t>
            </w:r>
            <w:proofErr w:type="gramStart"/>
            <w:r w:rsidRPr="007B1585">
              <w:t xml:space="preserve">Seeds of Life </w:t>
            </w:r>
            <w:r w:rsidR="00FE36BE" w:rsidRPr="007B1585">
              <w:t>is</w:t>
            </w:r>
            <w:proofErr w:type="gramEnd"/>
            <w:r w:rsidR="00FE36BE" w:rsidRPr="007B1585">
              <w:t xml:space="preserve"> supporting </w:t>
            </w:r>
            <w:r w:rsidRPr="007B1585">
              <w:t xml:space="preserve">the Ministry of Agriculture and Fisheries </w:t>
            </w:r>
            <w:r w:rsidR="00FE36BE" w:rsidRPr="007B1585">
              <w:t xml:space="preserve">to develop a district planning </w:t>
            </w:r>
            <w:r w:rsidR="009D4DFE" w:rsidRPr="007B1585">
              <w:t>approach, which</w:t>
            </w:r>
            <w:r w:rsidR="00FE36BE" w:rsidRPr="007B1585">
              <w:t xml:space="preserve"> will improve agricultural planning. The </w:t>
            </w:r>
            <w:r w:rsidRPr="007B1585">
              <w:t>Seeds of Life c</w:t>
            </w:r>
            <w:r w:rsidR="00FE36BE" w:rsidRPr="007B1585">
              <w:t xml:space="preserve">limate </w:t>
            </w:r>
            <w:r w:rsidRPr="007B1585">
              <w:t xml:space="preserve">change adviser </w:t>
            </w:r>
            <w:r w:rsidR="00FE36BE" w:rsidRPr="007B1585">
              <w:t>has set up 19 weather stations to improve availability of weather data.</w:t>
            </w:r>
          </w:p>
        </w:tc>
      </w:tr>
      <w:tr w:rsidR="00FE36BE" w:rsidRPr="00180B19" w14:paraId="7B74876D"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3BB858AF" w14:textId="667F75D9" w:rsidR="00FE36BE" w:rsidRPr="00275DCC" w:rsidRDefault="00FE36BE" w:rsidP="004A1807">
            <w:pPr>
              <w:pStyle w:val="TableHeading2"/>
            </w:pPr>
            <w:r w:rsidRPr="00275DCC">
              <w:t xml:space="preserve">Objective 4: Education and </w:t>
            </w:r>
            <w:r w:rsidR="000123EE">
              <w:t>t</w:t>
            </w:r>
            <w:r w:rsidR="000123EE" w:rsidRPr="00275DCC">
              <w:t>raining</w:t>
            </w:r>
            <w:r w:rsidRPr="00275DCC">
              <w:tab/>
            </w:r>
          </w:p>
        </w:tc>
        <w:tc>
          <w:tcPr>
            <w:tcW w:w="801" w:type="dxa"/>
          </w:tcPr>
          <w:p w14:paraId="2A2F0B31" w14:textId="77777777" w:rsidR="00FE36BE" w:rsidRPr="00275DCC" w:rsidRDefault="00FE36BE" w:rsidP="004A1807">
            <w:pPr>
              <w:pStyle w:val="TableHeading2"/>
            </w:pPr>
            <w:r w:rsidRPr="00275DCC">
              <w:t>Rating</w:t>
            </w:r>
          </w:p>
        </w:tc>
        <w:tc>
          <w:tcPr>
            <w:tcW w:w="3631" w:type="dxa"/>
          </w:tcPr>
          <w:p w14:paraId="69CD1391" w14:textId="42D90669" w:rsidR="00FE36BE" w:rsidRPr="00275DCC" w:rsidRDefault="00FE36BE" w:rsidP="004A1807">
            <w:pPr>
              <w:pStyle w:val="TableHeading2"/>
            </w:pPr>
            <w:r w:rsidRPr="00275DCC">
              <w:t>Progress made in 2012</w:t>
            </w:r>
            <w:r w:rsidR="000123EE">
              <w:t>–</w:t>
            </w:r>
            <w:r w:rsidRPr="00275DCC">
              <w:t>13</w:t>
            </w:r>
          </w:p>
        </w:tc>
      </w:tr>
      <w:tr w:rsidR="00FE36BE" w:rsidRPr="00180B19" w14:paraId="66CB6F06" w14:textId="77777777" w:rsidTr="004A1807">
        <w:trPr>
          <w:tblHeader w:val="0"/>
        </w:trPr>
        <w:tc>
          <w:tcPr>
            <w:tcW w:w="3618" w:type="dxa"/>
          </w:tcPr>
          <w:p w14:paraId="407C5410" w14:textId="77777777" w:rsidR="00FE36BE" w:rsidRPr="007B1585" w:rsidRDefault="00FE36BE" w:rsidP="004A1807">
            <w:pPr>
              <w:pStyle w:val="TableTextEntries"/>
            </w:pPr>
            <w:r w:rsidRPr="007B1585">
              <w:t>Ensure a stronger focus on schools by providing school materials, building and rehabilitating classrooms and water, sanitation and hygiene facilities, and supporting teacher training.</w:t>
            </w:r>
          </w:p>
        </w:tc>
        <w:tc>
          <w:tcPr>
            <w:tcW w:w="801" w:type="dxa"/>
            <w:shd w:val="clear" w:color="auto" w:fill="F79646" w:themeFill="accent6"/>
          </w:tcPr>
          <w:p w14:paraId="7CB1C034" w14:textId="77777777" w:rsidR="00FE36BE" w:rsidRPr="007B1585" w:rsidRDefault="00FE36BE" w:rsidP="004A1807">
            <w:pPr>
              <w:pStyle w:val="TableTextEntries"/>
              <w:rPr>
                <w:rFonts w:eastAsia="SimSun"/>
              </w:rPr>
            </w:pPr>
            <w:r w:rsidRPr="007B1585">
              <w:t>Amber</w:t>
            </w:r>
          </w:p>
        </w:tc>
        <w:tc>
          <w:tcPr>
            <w:tcW w:w="3631" w:type="dxa"/>
          </w:tcPr>
          <w:p w14:paraId="4A27754A" w14:textId="60C60064" w:rsidR="00FE36BE" w:rsidRPr="007B1585" w:rsidRDefault="00E913FE" w:rsidP="004A1807">
            <w:pPr>
              <w:pStyle w:val="TableTextEntries"/>
            </w:pPr>
            <w:r w:rsidRPr="007B1585">
              <w:t xml:space="preserve">Australia’s programs with </w:t>
            </w:r>
            <w:r w:rsidR="000123EE" w:rsidRPr="007B1585">
              <w:t xml:space="preserve">the United Nations Children’s Fund </w:t>
            </w:r>
            <w:r w:rsidRPr="007B1585">
              <w:t xml:space="preserve">and the </w:t>
            </w:r>
            <w:proofErr w:type="spellStart"/>
            <w:r w:rsidRPr="007B1585">
              <w:t>Alola</w:t>
            </w:r>
            <w:proofErr w:type="spellEnd"/>
            <w:r w:rsidRPr="007B1585">
              <w:t xml:space="preserve"> Foundation are beginning to deliver results with regard to these areas, although there is still some way to go. Australia’s new program of support has explicitly adopted this focus for its outcomes.</w:t>
            </w:r>
          </w:p>
        </w:tc>
      </w:tr>
      <w:tr w:rsidR="00FE36BE" w:rsidRPr="00180B19" w14:paraId="642F4C72"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256F1C89" w14:textId="2709F2CB" w:rsidR="00FE36BE" w:rsidRPr="007B1585" w:rsidRDefault="00FE36BE" w:rsidP="004A1807">
            <w:pPr>
              <w:pStyle w:val="TableTextEntries"/>
            </w:pPr>
            <w:r w:rsidRPr="007B1585">
              <w:t xml:space="preserve">Finalise an </w:t>
            </w:r>
            <w:r w:rsidR="000123EE" w:rsidRPr="007B1585">
              <w:t>in-</w:t>
            </w:r>
            <w:r w:rsidRPr="007B1585">
              <w:t>depth situational analysis of the sector, including a survey of all schools in Timor-Leste.</w:t>
            </w:r>
          </w:p>
        </w:tc>
        <w:tc>
          <w:tcPr>
            <w:tcW w:w="801" w:type="dxa"/>
            <w:shd w:val="clear" w:color="auto" w:fill="92D050"/>
          </w:tcPr>
          <w:p w14:paraId="32A68811" w14:textId="77777777" w:rsidR="00FE36BE" w:rsidRPr="007B1585" w:rsidRDefault="00FE36BE" w:rsidP="004A1807">
            <w:pPr>
              <w:pStyle w:val="TableTextEntries"/>
              <w:rPr>
                <w:rFonts w:eastAsia="SimSun"/>
              </w:rPr>
            </w:pPr>
            <w:r w:rsidRPr="007B1585">
              <w:t>Green</w:t>
            </w:r>
          </w:p>
        </w:tc>
        <w:tc>
          <w:tcPr>
            <w:tcW w:w="3631" w:type="dxa"/>
          </w:tcPr>
          <w:p w14:paraId="39BEB4EA" w14:textId="77777777" w:rsidR="00FE36BE" w:rsidRPr="007B1585" w:rsidRDefault="00FE36BE" w:rsidP="004A1807">
            <w:pPr>
              <w:pStyle w:val="TableTextEntries"/>
            </w:pPr>
            <w:r w:rsidRPr="007B1585">
              <w:t>The school survey has been completed, and preliminary analysis is being conducted on data. The situational analysis has been finalised, but not yet publicly released.</w:t>
            </w:r>
          </w:p>
        </w:tc>
      </w:tr>
      <w:tr w:rsidR="00FE36BE" w:rsidRPr="00180B19" w14:paraId="3F32110D" w14:textId="77777777" w:rsidTr="004A1807">
        <w:trPr>
          <w:tblHeader w:val="0"/>
        </w:trPr>
        <w:tc>
          <w:tcPr>
            <w:tcW w:w="3618" w:type="dxa"/>
          </w:tcPr>
          <w:p w14:paraId="0594B0A5" w14:textId="4CB270C9" w:rsidR="00FE36BE" w:rsidRPr="007B1585" w:rsidRDefault="00FE36BE" w:rsidP="004A1807">
            <w:pPr>
              <w:pStyle w:val="TableTextEntries"/>
              <w:rPr>
                <w:rFonts w:eastAsia="SimSun"/>
              </w:rPr>
            </w:pPr>
            <w:r w:rsidRPr="007B1585">
              <w:t xml:space="preserve">Strengthen policy and operational engagement with the government and development partners, including through regular consultation, participation in joint </w:t>
            </w:r>
            <w:proofErr w:type="spellStart"/>
            <w:r w:rsidRPr="007B1585">
              <w:t>fora</w:t>
            </w:r>
            <w:proofErr w:type="spellEnd"/>
            <w:r w:rsidRPr="007B1585">
              <w:t>, monitoring visits and part-time location of Australia</w:t>
            </w:r>
            <w:r w:rsidR="000123EE" w:rsidRPr="007B1585">
              <w:t>n</w:t>
            </w:r>
            <w:r w:rsidRPr="007B1585">
              <w:t xml:space="preserve"> officers at the Ministry of Education.</w:t>
            </w:r>
          </w:p>
        </w:tc>
        <w:tc>
          <w:tcPr>
            <w:tcW w:w="801" w:type="dxa"/>
            <w:shd w:val="clear" w:color="auto" w:fill="92D050"/>
          </w:tcPr>
          <w:p w14:paraId="34496DC1" w14:textId="77777777" w:rsidR="00FE36BE" w:rsidRPr="007B1585" w:rsidRDefault="00FE36BE" w:rsidP="004A1807">
            <w:pPr>
              <w:pStyle w:val="TableTextEntries"/>
              <w:rPr>
                <w:rFonts w:eastAsia="SimSun"/>
              </w:rPr>
            </w:pPr>
            <w:r w:rsidRPr="007B1585">
              <w:t>Green</w:t>
            </w:r>
          </w:p>
        </w:tc>
        <w:tc>
          <w:tcPr>
            <w:tcW w:w="3631" w:type="dxa"/>
          </w:tcPr>
          <w:p w14:paraId="0004475B" w14:textId="59C252F9" w:rsidR="00FE36BE" w:rsidRPr="007B1585" w:rsidRDefault="001D48CF" w:rsidP="004A1807">
            <w:pPr>
              <w:pStyle w:val="TableTextEntries"/>
            </w:pPr>
            <w:r w:rsidRPr="007B1585">
              <w:t xml:space="preserve">Australian </w:t>
            </w:r>
            <w:proofErr w:type="gramStart"/>
            <w:r w:rsidRPr="007B1585">
              <w:t>staff were</w:t>
            </w:r>
            <w:proofErr w:type="gramEnd"/>
            <w:r w:rsidRPr="007B1585">
              <w:t xml:space="preserve"> co</w:t>
            </w:r>
            <w:r w:rsidR="00FA2B6D" w:rsidRPr="007B1585">
              <w:t>l</w:t>
            </w:r>
            <w:r w:rsidRPr="007B1585">
              <w:t xml:space="preserve">located for a period within the </w:t>
            </w:r>
            <w:r w:rsidR="00FA2B6D" w:rsidRPr="007B1585">
              <w:t xml:space="preserve">Ministry of Education </w:t>
            </w:r>
            <w:r w:rsidRPr="007B1585">
              <w:t>and</w:t>
            </w:r>
            <w:r w:rsidR="00FA2B6D" w:rsidRPr="007B1585">
              <w:rPr>
                <w:rStyle w:val="Heading1Char"/>
                <w:rFonts w:ascii="Franklin Gothic Book" w:hAnsi="Franklin Gothic Book" w:cs="Times New Roman"/>
                <w:color w:val="auto"/>
                <w:kern w:val="0"/>
                <w:sz w:val="17"/>
                <w:szCs w:val="17"/>
              </w:rPr>
              <w:t xml:space="preserve"> </w:t>
            </w:r>
            <w:r w:rsidR="00FA2B6D" w:rsidRPr="007B1585">
              <w:rPr>
                <w:rStyle w:val="st"/>
              </w:rPr>
              <w:t>Secretariat of State for Vocational Training Policy and Employment</w:t>
            </w:r>
            <w:r w:rsidRPr="007B1585">
              <w:t xml:space="preserve">. </w:t>
            </w:r>
            <w:r w:rsidR="00FE36BE" w:rsidRPr="007B1585">
              <w:t xml:space="preserve">Staff participated in </w:t>
            </w:r>
            <w:r w:rsidR="00FA2B6D" w:rsidRPr="007B1585">
              <w:t xml:space="preserve">government </w:t>
            </w:r>
            <w:r w:rsidR="00FE36BE" w:rsidRPr="007B1585">
              <w:t>planning sessions, regularly attend</w:t>
            </w:r>
            <w:r w:rsidR="00FA2B6D" w:rsidRPr="007B1585">
              <w:t>ed</w:t>
            </w:r>
            <w:r w:rsidR="00FE36BE" w:rsidRPr="007B1585">
              <w:t xml:space="preserve"> donor coordination meetings, and engaged with senior leadership on strategic issues, </w:t>
            </w:r>
            <w:r w:rsidR="00D75653" w:rsidRPr="007B1585">
              <w:t>including the</w:t>
            </w:r>
            <w:r w:rsidR="00FE36BE" w:rsidRPr="007B1585">
              <w:t xml:space="preserve"> new education and training</w:t>
            </w:r>
            <w:r w:rsidR="00D75653" w:rsidRPr="007B1585">
              <w:t xml:space="preserve"> program</w:t>
            </w:r>
            <w:r w:rsidR="00FE36BE" w:rsidRPr="007B1585">
              <w:t>.</w:t>
            </w:r>
          </w:p>
        </w:tc>
      </w:tr>
      <w:tr w:rsidR="00FE36BE" w:rsidRPr="00180B19" w14:paraId="300EFEE2"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7EC4F2E4" w14:textId="77777777" w:rsidR="00FE36BE" w:rsidRPr="007B1585" w:rsidRDefault="00FE36BE" w:rsidP="004A1807">
            <w:pPr>
              <w:pStyle w:val="TableTextEntries"/>
              <w:rPr>
                <w:rFonts w:eastAsia="SimSun"/>
              </w:rPr>
            </w:pPr>
            <w:r w:rsidRPr="007B1585">
              <w:t>Continue to develop the education expertise of the team as aligned with the specialist development streams in Australia’s workforce plan through a combination of training, mentoring and exposure to relevant experience.</w:t>
            </w:r>
          </w:p>
        </w:tc>
        <w:tc>
          <w:tcPr>
            <w:tcW w:w="801" w:type="dxa"/>
            <w:shd w:val="clear" w:color="auto" w:fill="92D050"/>
          </w:tcPr>
          <w:p w14:paraId="64A7145B" w14:textId="77777777" w:rsidR="00FE36BE" w:rsidRPr="007B1585" w:rsidRDefault="00FE36BE" w:rsidP="004A1807">
            <w:pPr>
              <w:pStyle w:val="TableTextEntries"/>
              <w:rPr>
                <w:rFonts w:eastAsia="SimSun"/>
              </w:rPr>
            </w:pPr>
            <w:r w:rsidRPr="007B1585">
              <w:t>Green</w:t>
            </w:r>
          </w:p>
        </w:tc>
        <w:tc>
          <w:tcPr>
            <w:tcW w:w="3631" w:type="dxa"/>
          </w:tcPr>
          <w:p w14:paraId="78C4C6E4" w14:textId="403E0521" w:rsidR="00FE36BE" w:rsidRPr="007B1585" w:rsidRDefault="00FE36BE" w:rsidP="004A1807">
            <w:pPr>
              <w:pStyle w:val="TableTextEntries"/>
              <w:rPr>
                <w:rFonts w:eastAsia="SimSun"/>
              </w:rPr>
            </w:pPr>
            <w:r w:rsidRPr="007B1585">
              <w:t>Australia</w:t>
            </w:r>
            <w:r w:rsidR="00FA2B6D" w:rsidRPr="007B1585">
              <w:t>n</w:t>
            </w:r>
            <w:r w:rsidRPr="007B1585">
              <w:t xml:space="preserve"> </w:t>
            </w:r>
            <w:r w:rsidR="00FA2B6D" w:rsidRPr="007B1585">
              <w:t xml:space="preserve">education </w:t>
            </w:r>
            <w:proofErr w:type="gramStart"/>
            <w:r w:rsidR="00FA2B6D" w:rsidRPr="007B1585">
              <w:t xml:space="preserve">staff </w:t>
            </w:r>
            <w:r w:rsidRPr="007B1585">
              <w:t>participate</w:t>
            </w:r>
            <w:proofErr w:type="gramEnd"/>
            <w:r w:rsidRPr="007B1585">
              <w:t xml:space="preserve"> in the </w:t>
            </w:r>
            <w:r w:rsidR="00FA2B6D" w:rsidRPr="007B1585">
              <w:t xml:space="preserve">education </w:t>
            </w:r>
            <w:r w:rsidR="001D48CF" w:rsidRPr="007B1585">
              <w:t>community of practice</w:t>
            </w:r>
            <w:r w:rsidRPr="007B1585">
              <w:t xml:space="preserve"> and are currently undertaking mentoring with education specialists. The </w:t>
            </w:r>
            <w:r w:rsidR="00FA2B6D" w:rsidRPr="007B1585">
              <w:t xml:space="preserve">education </w:t>
            </w:r>
            <w:r w:rsidRPr="007B1585">
              <w:t xml:space="preserve">team </w:t>
            </w:r>
            <w:r w:rsidR="00FA2B6D" w:rsidRPr="007B1585">
              <w:t xml:space="preserve">has </w:t>
            </w:r>
            <w:r w:rsidRPr="007B1585">
              <w:t>participated in the design of Australia’s new program. This includes comprehensive</w:t>
            </w:r>
            <w:r w:rsidR="00D75653" w:rsidRPr="007B1585">
              <w:t xml:space="preserve"> field</w:t>
            </w:r>
            <w:r w:rsidRPr="007B1585">
              <w:t xml:space="preserve"> mentoring</w:t>
            </w:r>
            <w:r w:rsidR="00D75653" w:rsidRPr="007B1585">
              <w:t>.</w:t>
            </w:r>
          </w:p>
        </w:tc>
      </w:tr>
      <w:tr w:rsidR="00FE36BE" w:rsidRPr="00180B19" w14:paraId="520CFADB" w14:textId="77777777" w:rsidTr="004A1807">
        <w:trPr>
          <w:tblHeader w:val="0"/>
        </w:trPr>
        <w:tc>
          <w:tcPr>
            <w:tcW w:w="3618" w:type="dxa"/>
          </w:tcPr>
          <w:p w14:paraId="4A54E6DD" w14:textId="26579EC7" w:rsidR="00FE36BE" w:rsidRPr="00275DCC" w:rsidRDefault="00FE36BE" w:rsidP="004A1807">
            <w:pPr>
              <w:pStyle w:val="TableHeading2"/>
            </w:pPr>
            <w:r w:rsidRPr="00275DCC">
              <w:t>Objective 5: Health</w:t>
            </w:r>
          </w:p>
        </w:tc>
        <w:tc>
          <w:tcPr>
            <w:tcW w:w="801" w:type="dxa"/>
          </w:tcPr>
          <w:p w14:paraId="3629800E" w14:textId="77777777" w:rsidR="00FE36BE" w:rsidRPr="00275DCC" w:rsidRDefault="00FE36BE" w:rsidP="004A1807">
            <w:pPr>
              <w:pStyle w:val="TableHeading2"/>
            </w:pPr>
            <w:r w:rsidRPr="00275DCC">
              <w:t>Rating</w:t>
            </w:r>
          </w:p>
        </w:tc>
        <w:tc>
          <w:tcPr>
            <w:tcW w:w="3631" w:type="dxa"/>
          </w:tcPr>
          <w:p w14:paraId="712275C5" w14:textId="0A72FF54" w:rsidR="00FE36BE" w:rsidRPr="00275DCC" w:rsidRDefault="00FE36BE" w:rsidP="004A1807">
            <w:pPr>
              <w:pStyle w:val="TableHeading2"/>
            </w:pPr>
            <w:r w:rsidRPr="00275DCC">
              <w:t>Progress made in 2012</w:t>
            </w:r>
            <w:r w:rsidR="00FA2B6D">
              <w:t>–</w:t>
            </w:r>
            <w:r w:rsidRPr="00275DCC">
              <w:t>13</w:t>
            </w:r>
          </w:p>
        </w:tc>
      </w:tr>
      <w:tr w:rsidR="00FE36BE" w:rsidRPr="00180B19" w14:paraId="6FEA54DB"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570079CD" w14:textId="04164B6F" w:rsidR="00FE36BE" w:rsidRPr="007B1585" w:rsidRDefault="00FE36BE" w:rsidP="004A1807">
            <w:pPr>
              <w:pStyle w:val="TableTextEntries"/>
            </w:pPr>
            <w:r w:rsidRPr="007B1585">
              <w:t xml:space="preserve">Work closely with </w:t>
            </w:r>
            <w:r w:rsidR="00D9779C" w:rsidRPr="007B1585">
              <w:t xml:space="preserve">the Timor-Leste Government </w:t>
            </w:r>
            <w:r w:rsidRPr="007B1585">
              <w:t xml:space="preserve">and key </w:t>
            </w:r>
            <w:r w:rsidR="00D9779C" w:rsidRPr="007B1585">
              <w:t xml:space="preserve">development partners </w:t>
            </w:r>
            <w:r w:rsidRPr="007B1585">
              <w:t>to design a large new, longer-term program to further strengthen demand and supply sides of the health system</w:t>
            </w:r>
            <w:r w:rsidRPr="007B1585" w:rsidDel="00131E31">
              <w:t xml:space="preserve"> </w:t>
            </w:r>
            <w:r w:rsidR="00C10D63">
              <w:t xml:space="preserve">to improve </w:t>
            </w:r>
            <w:r w:rsidRPr="007B1585">
              <w:t xml:space="preserve">maternal and child health. </w:t>
            </w:r>
          </w:p>
        </w:tc>
        <w:tc>
          <w:tcPr>
            <w:tcW w:w="801" w:type="dxa"/>
            <w:shd w:val="clear" w:color="auto" w:fill="FF0000"/>
          </w:tcPr>
          <w:p w14:paraId="484D89EF" w14:textId="77777777" w:rsidR="00FE36BE" w:rsidRPr="007B1585" w:rsidRDefault="00FE36BE" w:rsidP="004A1807">
            <w:pPr>
              <w:pStyle w:val="TableTextEntries"/>
            </w:pPr>
            <w:r w:rsidRPr="007B1585">
              <w:t>Red</w:t>
            </w:r>
          </w:p>
        </w:tc>
        <w:tc>
          <w:tcPr>
            <w:tcW w:w="3631" w:type="dxa"/>
          </w:tcPr>
          <w:p w14:paraId="61B17535" w14:textId="6099F0BF" w:rsidR="00FE36BE" w:rsidRPr="007B1585" w:rsidRDefault="00FE36BE" w:rsidP="004A1807">
            <w:pPr>
              <w:pStyle w:val="TableTextEntries"/>
            </w:pPr>
            <w:r w:rsidRPr="007B1585">
              <w:t xml:space="preserve">Changes within </w:t>
            </w:r>
            <w:r w:rsidR="00D9779C" w:rsidRPr="007B1585">
              <w:t xml:space="preserve">the Ministry of Health </w:t>
            </w:r>
            <w:r w:rsidRPr="007B1585">
              <w:t>have delayed joint design work.</w:t>
            </w:r>
          </w:p>
        </w:tc>
      </w:tr>
      <w:tr w:rsidR="00FE36BE" w:rsidRPr="00180B19" w14:paraId="737EEB8D" w14:textId="77777777" w:rsidTr="004A1807">
        <w:trPr>
          <w:tblHeader w:val="0"/>
        </w:trPr>
        <w:tc>
          <w:tcPr>
            <w:tcW w:w="3618" w:type="dxa"/>
          </w:tcPr>
          <w:p w14:paraId="0BC65743" w14:textId="0CB5A748" w:rsidR="00FE36BE" w:rsidRPr="007B1585" w:rsidRDefault="00FE36BE" w:rsidP="004A1807">
            <w:pPr>
              <w:pStyle w:val="TableTextEntries"/>
            </w:pPr>
            <w:r w:rsidRPr="007B1585">
              <w:lastRenderedPageBreak/>
              <w:t>Work more closely, during the design process, with Australia</w:t>
            </w:r>
            <w:r w:rsidR="00D9779C" w:rsidRPr="007B1585">
              <w:t>n</w:t>
            </w:r>
            <w:r w:rsidRPr="007B1585">
              <w:t xml:space="preserve"> teams in water </w:t>
            </w:r>
            <w:r w:rsidR="00D9779C" w:rsidRPr="007B1585">
              <w:t xml:space="preserve">and </w:t>
            </w:r>
            <w:r w:rsidRPr="007B1585">
              <w:t>sanitation, education, food security, governance and community-driven development to improve health and nutrition.</w:t>
            </w:r>
          </w:p>
        </w:tc>
        <w:tc>
          <w:tcPr>
            <w:tcW w:w="801" w:type="dxa"/>
            <w:shd w:val="clear" w:color="auto" w:fill="92D050"/>
          </w:tcPr>
          <w:p w14:paraId="530E6900" w14:textId="77777777" w:rsidR="00FE36BE" w:rsidRPr="007B1585" w:rsidRDefault="00FE36BE" w:rsidP="004A1807">
            <w:pPr>
              <w:pStyle w:val="TableTextEntries"/>
            </w:pPr>
            <w:r w:rsidRPr="007B1585">
              <w:t xml:space="preserve">Green </w:t>
            </w:r>
            <w:r w:rsidRPr="007B1585">
              <w:fldChar w:fldCharType="begin"/>
            </w:r>
            <w:r w:rsidRPr="007B1585">
              <w:instrText xml:space="preserve"> AUTOTEXTLIST  \s "Rating bullet"\t "Right click to choose a rating" \* MERGEFORMAT </w:instrText>
            </w:r>
            <w:r w:rsidRPr="007B1585">
              <w:fldChar w:fldCharType="end"/>
            </w:r>
          </w:p>
        </w:tc>
        <w:tc>
          <w:tcPr>
            <w:tcW w:w="3631" w:type="dxa"/>
          </w:tcPr>
          <w:p w14:paraId="6ADEFFA9" w14:textId="2FDF2B1B" w:rsidR="00FE36BE" w:rsidRPr="007B1585" w:rsidRDefault="00FE36BE" w:rsidP="004A1807">
            <w:pPr>
              <w:pStyle w:val="TableTextEntries"/>
            </w:pPr>
            <w:r w:rsidRPr="007B1585">
              <w:t xml:space="preserve">We are using focal points, participating in other sectors’ designs and evaluations (BESIK, </w:t>
            </w:r>
            <w:r w:rsidR="00D9779C" w:rsidRPr="007B1585">
              <w:rPr>
                <w:rFonts w:eastAsia="SimSun"/>
              </w:rPr>
              <w:t>Governance for Development</w:t>
            </w:r>
            <w:r w:rsidRPr="007B1585">
              <w:t>), and establishing cross-sectoral working groups.</w:t>
            </w:r>
          </w:p>
          <w:p w14:paraId="0802EE5C" w14:textId="77777777" w:rsidR="00FE36BE" w:rsidRPr="007B1585" w:rsidRDefault="00FE36BE" w:rsidP="004A1807">
            <w:pPr>
              <w:pStyle w:val="TableTextEntries"/>
            </w:pPr>
          </w:p>
        </w:tc>
      </w:tr>
      <w:tr w:rsidR="00FE36BE" w:rsidRPr="00180B19" w14:paraId="4B721F2D"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671F7FE6" w14:textId="77777777" w:rsidR="00FE36BE" w:rsidRPr="007B1585" w:rsidRDefault="00FE36BE" w:rsidP="004A1807">
            <w:pPr>
              <w:pStyle w:val="TableTextEntries"/>
            </w:pPr>
            <w:r w:rsidRPr="007B1585">
              <w:t>Undertake rigorous quality processes for new programs including presenting the concept at the Strategic Programming Committee in October 2012.</w:t>
            </w:r>
          </w:p>
          <w:p w14:paraId="3E7A882D" w14:textId="77777777" w:rsidR="00FE36BE" w:rsidRPr="007B1585" w:rsidRDefault="00FE36BE" w:rsidP="004A1807">
            <w:pPr>
              <w:pStyle w:val="TableTextEntries"/>
            </w:pPr>
          </w:p>
        </w:tc>
        <w:tc>
          <w:tcPr>
            <w:tcW w:w="801" w:type="dxa"/>
            <w:shd w:val="clear" w:color="auto" w:fill="92D050"/>
          </w:tcPr>
          <w:p w14:paraId="7DC6F638" w14:textId="77777777" w:rsidR="00FE36BE" w:rsidRPr="007B1585" w:rsidRDefault="00FE36BE" w:rsidP="004A1807">
            <w:pPr>
              <w:pStyle w:val="TableTextEntries"/>
            </w:pPr>
            <w:r w:rsidRPr="007B1585">
              <w:t>Green</w:t>
            </w:r>
          </w:p>
        </w:tc>
        <w:tc>
          <w:tcPr>
            <w:tcW w:w="3631" w:type="dxa"/>
          </w:tcPr>
          <w:p w14:paraId="54E0B44F" w14:textId="77777777" w:rsidR="00FE36BE" w:rsidRPr="007B1585" w:rsidRDefault="00FE36BE" w:rsidP="004A1807">
            <w:pPr>
              <w:pStyle w:val="TableTextEntries"/>
            </w:pPr>
            <w:r w:rsidRPr="007B1585">
              <w:t>Concept was developed and approved.</w:t>
            </w:r>
          </w:p>
        </w:tc>
      </w:tr>
      <w:tr w:rsidR="00FE36BE" w:rsidRPr="00180B19" w14:paraId="13DCB73E" w14:textId="77777777" w:rsidTr="004A1807">
        <w:trPr>
          <w:tblHeader w:val="0"/>
        </w:trPr>
        <w:tc>
          <w:tcPr>
            <w:tcW w:w="3618" w:type="dxa"/>
          </w:tcPr>
          <w:p w14:paraId="7422F170" w14:textId="1F857C42" w:rsidR="00FE36BE" w:rsidRPr="007B1585" w:rsidRDefault="00FE36BE" w:rsidP="004A1807">
            <w:pPr>
              <w:pStyle w:val="TableTextEntries"/>
            </w:pPr>
            <w:r w:rsidRPr="007B1585">
              <w:t xml:space="preserve">Undertake joint monthly monitoring visits with the </w:t>
            </w:r>
            <w:r w:rsidR="00D9779C" w:rsidRPr="007B1585">
              <w:t xml:space="preserve">Ministry of Health </w:t>
            </w:r>
            <w:r w:rsidRPr="007B1585">
              <w:t>to enhance shared understanding of how the health system is functioning, and to inform and ensure credibility in our policy discussions.</w:t>
            </w:r>
          </w:p>
        </w:tc>
        <w:tc>
          <w:tcPr>
            <w:tcW w:w="801" w:type="dxa"/>
            <w:shd w:val="clear" w:color="auto" w:fill="F79646" w:themeFill="accent6"/>
          </w:tcPr>
          <w:p w14:paraId="7B954BB2" w14:textId="77777777" w:rsidR="00FE36BE" w:rsidRPr="007B1585" w:rsidRDefault="00FE36BE" w:rsidP="004A1807">
            <w:pPr>
              <w:pStyle w:val="TableTextEntries"/>
            </w:pPr>
            <w:r w:rsidRPr="007B1585">
              <w:t>Amber</w:t>
            </w:r>
          </w:p>
        </w:tc>
        <w:tc>
          <w:tcPr>
            <w:tcW w:w="3631" w:type="dxa"/>
          </w:tcPr>
          <w:p w14:paraId="2985EF2A" w14:textId="5EFCB476" w:rsidR="00FE36BE" w:rsidRPr="007B1585" w:rsidRDefault="00FE36BE" w:rsidP="004A1807">
            <w:pPr>
              <w:pStyle w:val="TableTextEntries"/>
            </w:pPr>
            <w:r w:rsidRPr="007B1585">
              <w:t xml:space="preserve">In recent months we have </w:t>
            </w:r>
            <w:r w:rsidR="00D9779C" w:rsidRPr="007B1585">
              <w:t xml:space="preserve">undertaken </w:t>
            </w:r>
            <w:r w:rsidRPr="007B1585">
              <w:t>joint monitoring trips with vice-ministers.</w:t>
            </w:r>
          </w:p>
          <w:p w14:paraId="1234EFB5" w14:textId="77777777" w:rsidR="00FE36BE" w:rsidRPr="007B1585" w:rsidRDefault="00FE36BE" w:rsidP="004A1807">
            <w:pPr>
              <w:pStyle w:val="TableTextEntries"/>
            </w:pPr>
          </w:p>
        </w:tc>
      </w:tr>
      <w:tr w:rsidR="00FE36BE" w:rsidRPr="00180B19" w14:paraId="747C8163"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156E79C0" w14:textId="3B78653D" w:rsidR="00FE36BE" w:rsidRPr="007B1585" w:rsidRDefault="00FE36BE" w:rsidP="004A1807">
            <w:pPr>
              <w:pStyle w:val="TableTextEntries"/>
            </w:pPr>
            <w:r w:rsidRPr="007B1585">
              <w:t xml:space="preserve">Develop </w:t>
            </w:r>
            <w:r w:rsidR="00D9779C" w:rsidRPr="007B1585">
              <w:t>monitoring and evaluation</w:t>
            </w:r>
            <w:r w:rsidRPr="007B1585">
              <w:t xml:space="preserve"> plans for </w:t>
            </w:r>
            <w:r w:rsidR="00D9779C" w:rsidRPr="007B1585">
              <w:t xml:space="preserve">the National Health Sector Strategic Plan Support Program </w:t>
            </w:r>
            <w:r w:rsidRPr="007B1585">
              <w:t>and all our health investments.</w:t>
            </w:r>
          </w:p>
          <w:p w14:paraId="4A418561" w14:textId="77777777" w:rsidR="00FE36BE" w:rsidRPr="007B1585" w:rsidRDefault="00FE36BE" w:rsidP="004A1807">
            <w:pPr>
              <w:pStyle w:val="TableTextEntries"/>
            </w:pPr>
          </w:p>
        </w:tc>
        <w:tc>
          <w:tcPr>
            <w:tcW w:w="801" w:type="dxa"/>
            <w:shd w:val="clear" w:color="auto" w:fill="F79646" w:themeFill="accent6"/>
          </w:tcPr>
          <w:p w14:paraId="4EA6B0C8" w14:textId="77777777" w:rsidR="00FE36BE" w:rsidRPr="007B1585" w:rsidRDefault="00FE36BE" w:rsidP="004A1807">
            <w:pPr>
              <w:pStyle w:val="TableTextEntries"/>
            </w:pPr>
            <w:r w:rsidRPr="007B1585">
              <w:t>Amber</w:t>
            </w:r>
          </w:p>
        </w:tc>
        <w:tc>
          <w:tcPr>
            <w:tcW w:w="3631" w:type="dxa"/>
          </w:tcPr>
          <w:p w14:paraId="6BD8BAA0" w14:textId="243E0B87" w:rsidR="00FE36BE" w:rsidRPr="007B1585" w:rsidRDefault="00FE36BE" w:rsidP="004A1807">
            <w:pPr>
              <w:pStyle w:val="TableTextEntries"/>
            </w:pPr>
            <w:r w:rsidRPr="007B1585">
              <w:t xml:space="preserve">There have been improvements but </w:t>
            </w:r>
            <w:r w:rsidR="00D9779C" w:rsidRPr="007B1585">
              <w:t xml:space="preserve">a </w:t>
            </w:r>
            <w:r w:rsidRPr="007B1585">
              <w:t xml:space="preserve">plan </w:t>
            </w:r>
            <w:r w:rsidR="00D9779C" w:rsidRPr="007B1585">
              <w:t xml:space="preserve">has </w:t>
            </w:r>
            <w:r w:rsidRPr="007B1585">
              <w:t xml:space="preserve">not </w:t>
            </w:r>
            <w:r w:rsidR="00D9779C" w:rsidRPr="007B1585">
              <w:t xml:space="preserve">been </w:t>
            </w:r>
            <w:r w:rsidRPr="007B1585">
              <w:t xml:space="preserve">finalised. A </w:t>
            </w:r>
            <w:r w:rsidR="00D9779C" w:rsidRPr="007B1585">
              <w:t xml:space="preserve">monitoring and evaluation </w:t>
            </w:r>
            <w:r w:rsidRPr="007B1585">
              <w:t>framework will be developed as part of our new health program design and implementation.</w:t>
            </w:r>
          </w:p>
        </w:tc>
      </w:tr>
      <w:tr w:rsidR="00FE36BE" w:rsidRPr="00180B19" w14:paraId="32D6802D" w14:textId="77777777" w:rsidTr="004A1807">
        <w:trPr>
          <w:tblHeader w:val="0"/>
        </w:trPr>
        <w:tc>
          <w:tcPr>
            <w:tcW w:w="3618" w:type="dxa"/>
          </w:tcPr>
          <w:p w14:paraId="677C9724" w14:textId="77777777" w:rsidR="00FE36BE" w:rsidRPr="007B1585" w:rsidRDefault="00FE36BE" w:rsidP="004A1807">
            <w:pPr>
              <w:pStyle w:val="TableTextEntries"/>
            </w:pPr>
          </w:p>
          <w:p w14:paraId="31BF3ABD" w14:textId="552C0BDA" w:rsidR="00FE36BE" w:rsidRPr="007B1585" w:rsidRDefault="00FE36BE" w:rsidP="004A1807">
            <w:pPr>
              <w:pStyle w:val="TableTextEntries"/>
            </w:pPr>
            <w:r w:rsidRPr="007B1585">
              <w:t>Improve our understanding of health systems and</w:t>
            </w:r>
            <w:r w:rsidR="00D9779C" w:rsidRPr="007B1585">
              <w:t xml:space="preserve"> monitoring and evaluation</w:t>
            </w:r>
            <w:r w:rsidRPr="007B1585">
              <w:t xml:space="preserve">. </w:t>
            </w:r>
          </w:p>
          <w:p w14:paraId="103D2567" w14:textId="77777777" w:rsidR="00FE36BE" w:rsidRPr="007B1585" w:rsidRDefault="00FE36BE" w:rsidP="004A1807">
            <w:pPr>
              <w:pStyle w:val="TableTextEntries"/>
            </w:pPr>
          </w:p>
        </w:tc>
        <w:tc>
          <w:tcPr>
            <w:tcW w:w="801" w:type="dxa"/>
            <w:shd w:val="clear" w:color="auto" w:fill="92D050"/>
          </w:tcPr>
          <w:p w14:paraId="14D09180" w14:textId="77777777" w:rsidR="00FE36BE" w:rsidRPr="007B1585" w:rsidRDefault="00FE36BE" w:rsidP="004A1807">
            <w:pPr>
              <w:pStyle w:val="TableTextEntries"/>
            </w:pPr>
            <w:r w:rsidRPr="007B1585">
              <w:t>Green</w:t>
            </w:r>
          </w:p>
        </w:tc>
        <w:tc>
          <w:tcPr>
            <w:tcW w:w="3631" w:type="dxa"/>
          </w:tcPr>
          <w:p w14:paraId="206A8E01" w14:textId="77777777" w:rsidR="00FE36BE" w:rsidRPr="007B1585" w:rsidRDefault="00FE36BE" w:rsidP="004A1807">
            <w:pPr>
              <w:pStyle w:val="TableTextEntries"/>
            </w:pPr>
            <w:r w:rsidRPr="007B1585">
              <w:t>The team undertook professional development with the interim health specialist, worked closely with a design specialist, used the thematic group for advice on the concept note for the new design and recruitment of health specialist, and successfully recruited a permanent senior health specialist.</w:t>
            </w:r>
          </w:p>
        </w:tc>
      </w:tr>
      <w:tr w:rsidR="00FE36BE" w:rsidRPr="00180B19" w14:paraId="1C0425C9"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6A000095" w14:textId="6B561782" w:rsidR="00FE36BE" w:rsidRPr="007B1585" w:rsidRDefault="00FE36BE" w:rsidP="004A1807">
            <w:pPr>
              <w:pStyle w:val="TableTextEntries"/>
            </w:pPr>
            <w:r w:rsidRPr="007B1585">
              <w:t xml:space="preserve">Co-chair </w:t>
            </w:r>
            <w:r w:rsidR="00D9779C" w:rsidRPr="007B1585">
              <w:t>a development partner health f</w:t>
            </w:r>
            <w:r w:rsidRPr="007B1585">
              <w:t xml:space="preserve">orum, facilitate </w:t>
            </w:r>
            <w:r w:rsidR="00D9779C" w:rsidRPr="007B1585">
              <w:t xml:space="preserve">Ministry of Health </w:t>
            </w:r>
            <w:r w:rsidRPr="007B1585">
              <w:t>leadership in coordinating the sector, and jointly develop policy and guidance on supporting further development.</w:t>
            </w:r>
          </w:p>
          <w:p w14:paraId="1D2343D9" w14:textId="77777777" w:rsidR="00FE36BE" w:rsidRPr="007B1585" w:rsidRDefault="00FE36BE" w:rsidP="004A1807">
            <w:pPr>
              <w:pStyle w:val="TableTextEntries"/>
            </w:pPr>
          </w:p>
        </w:tc>
        <w:tc>
          <w:tcPr>
            <w:tcW w:w="801" w:type="dxa"/>
            <w:shd w:val="clear" w:color="auto" w:fill="F79646" w:themeFill="accent6"/>
          </w:tcPr>
          <w:p w14:paraId="6CEEAF00" w14:textId="77777777" w:rsidR="00FE36BE" w:rsidRPr="007B1585" w:rsidRDefault="00FE36BE" w:rsidP="004A1807">
            <w:pPr>
              <w:pStyle w:val="TableTextEntries"/>
            </w:pPr>
            <w:r w:rsidRPr="007B1585">
              <w:t>Amber</w:t>
            </w:r>
          </w:p>
        </w:tc>
        <w:tc>
          <w:tcPr>
            <w:tcW w:w="3631" w:type="dxa"/>
          </w:tcPr>
          <w:p w14:paraId="1BBC84AB" w14:textId="212AFF39" w:rsidR="00FE36BE" w:rsidRPr="007B1585" w:rsidRDefault="00FE36BE" w:rsidP="004A1807">
            <w:pPr>
              <w:pStyle w:val="TableTextEntries"/>
            </w:pPr>
            <w:r w:rsidRPr="007B1585">
              <w:t xml:space="preserve">Australia has co-chaired quarterly meetings of the </w:t>
            </w:r>
            <w:r w:rsidR="00D9779C" w:rsidRPr="007B1585">
              <w:t>development partners’ f</w:t>
            </w:r>
            <w:r w:rsidRPr="007B1585">
              <w:t xml:space="preserve">orum and the first joint meeting led by </w:t>
            </w:r>
            <w:r w:rsidR="00D9779C" w:rsidRPr="007B1585">
              <w:t xml:space="preserve">the Ministry of Health </w:t>
            </w:r>
            <w:r w:rsidRPr="007B1585">
              <w:t>is scheduled for May 2012.</w:t>
            </w:r>
          </w:p>
          <w:p w14:paraId="2A3A5CBA" w14:textId="77777777" w:rsidR="00FE36BE" w:rsidRPr="007B1585" w:rsidRDefault="00FE36BE" w:rsidP="004A1807">
            <w:pPr>
              <w:pStyle w:val="TableTextEntries"/>
            </w:pPr>
          </w:p>
        </w:tc>
      </w:tr>
      <w:tr w:rsidR="00FE36BE" w:rsidRPr="00180B19" w14:paraId="05884D46" w14:textId="77777777" w:rsidTr="004A1807">
        <w:trPr>
          <w:tblHeader w:val="0"/>
        </w:trPr>
        <w:tc>
          <w:tcPr>
            <w:tcW w:w="3618" w:type="dxa"/>
          </w:tcPr>
          <w:p w14:paraId="662A5E2B" w14:textId="77777777" w:rsidR="00FE36BE" w:rsidRPr="00633826" w:rsidRDefault="00FE36BE" w:rsidP="004A1807">
            <w:pPr>
              <w:pStyle w:val="TableHeading2"/>
            </w:pPr>
            <w:r w:rsidRPr="00633826">
              <w:t>Objective 6: Security</w:t>
            </w:r>
            <w:r w:rsidRPr="00633826">
              <w:tab/>
            </w:r>
          </w:p>
        </w:tc>
        <w:tc>
          <w:tcPr>
            <w:tcW w:w="801" w:type="dxa"/>
          </w:tcPr>
          <w:p w14:paraId="026B82C6" w14:textId="77777777" w:rsidR="00FE36BE" w:rsidRPr="00633826" w:rsidRDefault="00FE36BE" w:rsidP="004A1807">
            <w:pPr>
              <w:pStyle w:val="TableHeading2"/>
            </w:pPr>
            <w:r w:rsidRPr="00633826">
              <w:t>Rating</w:t>
            </w:r>
          </w:p>
        </w:tc>
        <w:tc>
          <w:tcPr>
            <w:tcW w:w="3631" w:type="dxa"/>
          </w:tcPr>
          <w:p w14:paraId="71848FA9" w14:textId="098DEC6D" w:rsidR="00FE36BE" w:rsidRPr="00633826" w:rsidRDefault="00FE36BE" w:rsidP="004A1807">
            <w:pPr>
              <w:pStyle w:val="TableHeading2"/>
            </w:pPr>
            <w:r w:rsidRPr="00633826">
              <w:t>Progress made in 2012</w:t>
            </w:r>
            <w:r w:rsidR="00D9779C">
              <w:t>–</w:t>
            </w:r>
            <w:r w:rsidRPr="00633826">
              <w:t>13</w:t>
            </w:r>
          </w:p>
        </w:tc>
      </w:tr>
      <w:tr w:rsidR="00FE36BE" w:rsidRPr="00180B19" w14:paraId="3658DEE7"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590918D2" w14:textId="24B3C659" w:rsidR="00FE36BE" w:rsidRPr="007B1585" w:rsidRDefault="001D48CF" w:rsidP="004A1807">
            <w:pPr>
              <w:pStyle w:val="TableTextEntries"/>
            </w:pPr>
            <w:r w:rsidRPr="007B1585">
              <w:t xml:space="preserve">Ability of </w:t>
            </w:r>
            <w:proofErr w:type="spellStart"/>
            <w:r w:rsidR="00155E7D" w:rsidRPr="007B1585">
              <w:t>Policia</w:t>
            </w:r>
            <w:proofErr w:type="spellEnd"/>
            <w:r w:rsidR="00155E7D" w:rsidRPr="007B1585">
              <w:t xml:space="preserve"> </w:t>
            </w:r>
            <w:proofErr w:type="spellStart"/>
            <w:r w:rsidR="00155E7D" w:rsidRPr="007B1585">
              <w:t>Nacional</w:t>
            </w:r>
            <w:proofErr w:type="spellEnd"/>
            <w:r w:rsidR="00155E7D" w:rsidRPr="007B1585">
              <w:t xml:space="preserve"> de Timor-Leste </w:t>
            </w:r>
            <w:r w:rsidRPr="007B1585">
              <w:t xml:space="preserve">to sustain training delivery standards, implement skills learnt in training and </w:t>
            </w:r>
            <w:proofErr w:type="gramStart"/>
            <w:r w:rsidRPr="007B1585">
              <w:t>develop</w:t>
            </w:r>
            <w:proofErr w:type="gramEnd"/>
            <w:r w:rsidRPr="007B1585">
              <w:t xml:space="preserve"> and implement effective systems.</w:t>
            </w:r>
          </w:p>
        </w:tc>
        <w:tc>
          <w:tcPr>
            <w:tcW w:w="801" w:type="dxa"/>
            <w:shd w:val="clear" w:color="auto" w:fill="92D050"/>
          </w:tcPr>
          <w:p w14:paraId="4D0A1870" w14:textId="77777777" w:rsidR="00FE36BE" w:rsidRPr="007B1585" w:rsidRDefault="00FE36BE" w:rsidP="004A1807">
            <w:pPr>
              <w:pStyle w:val="TableTextEntries"/>
            </w:pPr>
            <w:r w:rsidRPr="007B1585">
              <w:t>Green</w:t>
            </w:r>
          </w:p>
        </w:tc>
        <w:tc>
          <w:tcPr>
            <w:tcW w:w="3631" w:type="dxa"/>
          </w:tcPr>
          <w:p w14:paraId="17586CF6" w14:textId="7AA605F4" w:rsidR="00FE36BE" w:rsidRPr="007B1585" w:rsidRDefault="00766691" w:rsidP="004A1807">
            <w:pPr>
              <w:pStyle w:val="TableTextEntries"/>
              <w:rPr>
                <w:rFonts w:eastAsia="SimSun"/>
              </w:rPr>
            </w:pPr>
            <w:r w:rsidRPr="007B1585">
              <w:t>Continue evaluating</w:t>
            </w:r>
            <w:r w:rsidR="009D4DFE" w:rsidRPr="007B1585">
              <w:t xml:space="preserve"> </w:t>
            </w:r>
            <w:proofErr w:type="spellStart"/>
            <w:r w:rsidR="00AF4F95" w:rsidRPr="007B1585">
              <w:t>Policia</w:t>
            </w:r>
            <w:proofErr w:type="spellEnd"/>
            <w:r w:rsidR="00AF4F95" w:rsidRPr="007B1585">
              <w:t xml:space="preserve"> </w:t>
            </w:r>
            <w:proofErr w:type="spellStart"/>
            <w:r w:rsidR="00AF4F95" w:rsidRPr="007B1585">
              <w:t>Nacional</w:t>
            </w:r>
            <w:proofErr w:type="spellEnd"/>
            <w:r w:rsidR="00AF4F95" w:rsidRPr="007B1585">
              <w:t xml:space="preserve"> de Timor-Leste </w:t>
            </w:r>
            <w:r w:rsidRPr="007B1585">
              <w:t xml:space="preserve">progress and AFP-TLPDP effectiveness. This includes reassessment of activity plans, quarterly evaluations and reviewing alignment of the program with the </w:t>
            </w:r>
            <w:r w:rsidR="00AF4F95" w:rsidRPr="007B1585">
              <w:t>Timor-Leste Government strategic development plan</w:t>
            </w:r>
            <w:r w:rsidRPr="007B1585">
              <w:t>. AFP-TLPDP will conduct an independent review of the current program in 2013 to inform the design of the program for the new funding cycle in 2014.</w:t>
            </w:r>
          </w:p>
        </w:tc>
      </w:tr>
      <w:tr w:rsidR="00FE36BE" w:rsidRPr="00180B19" w14:paraId="3DA9330B" w14:textId="77777777" w:rsidTr="004A1807">
        <w:trPr>
          <w:tblHeader w:val="0"/>
        </w:trPr>
        <w:tc>
          <w:tcPr>
            <w:tcW w:w="3618" w:type="dxa"/>
          </w:tcPr>
          <w:p w14:paraId="0A6C0CFA" w14:textId="202DBFAE" w:rsidR="00FE36BE" w:rsidRPr="007B1585" w:rsidRDefault="00FE36BE" w:rsidP="004A1807">
            <w:pPr>
              <w:pStyle w:val="TableTextEntries"/>
            </w:pPr>
            <w:r w:rsidRPr="007B1585">
              <w:t xml:space="preserve">Level of </w:t>
            </w:r>
            <w:r w:rsidR="00155E7D" w:rsidRPr="007B1585">
              <w:t xml:space="preserve">donor competiveness </w:t>
            </w:r>
            <w:r w:rsidRPr="007B1585">
              <w:t>(lack of effective donor coordination results in a degree of donor shopping, short cut solutions and duplication that complicates the sustainment of strategic direction).</w:t>
            </w:r>
          </w:p>
        </w:tc>
        <w:tc>
          <w:tcPr>
            <w:tcW w:w="801" w:type="dxa"/>
            <w:shd w:val="clear" w:color="auto" w:fill="92D050"/>
          </w:tcPr>
          <w:p w14:paraId="6E3A8A1D" w14:textId="77777777" w:rsidR="00FE36BE" w:rsidRPr="007B1585" w:rsidRDefault="00FE36BE" w:rsidP="004A1807">
            <w:pPr>
              <w:pStyle w:val="TableTextEntries"/>
            </w:pPr>
            <w:r w:rsidRPr="007B1585">
              <w:t>Green</w:t>
            </w:r>
            <w:r w:rsidRPr="007B1585">
              <w:fldChar w:fldCharType="begin"/>
            </w:r>
            <w:r w:rsidRPr="007B1585">
              <w:instrText xml:space="preserve"> AUTOTEXTLIST  \s "Rating bullet"\t "Right click to choose a rating" \* MERGEFORMAT </w:instrText>
            </w:r>
            <w:r w:rsidRPr="007B1585">
              <w:fldChar w:fldCharType="end"/>
            </w:r>
          </w:p>
        </w:tc>
        <w:tc>
          <w:tcPr>
            <w:tcW w:w="3631" w:type="dxa"/>
          </w:tcPr>
          <w:p w14:paraId="56D17CAF" w14:textId="14B86572" w:rsidR="00FE36BE" w:rsidRPr="007B1585" w:rsidRDefault="00766691" w:rsidP="004A1807">
            <w:pPr>
              <w:pStyle w:val="TableTextEntries"/>
            </w:pPr>
            <w:r w:rsidRPr="007B1585">
              <w:t xml:space="preserve">Work with </w:t>
            </w:r>
            <w:r w:rsidR="00155E7D" w:rsidRPr="007B1585">
              <w:t xml:space="preserve">the government’s </w:t>
            </w:r>
            <w:r w:rsidRPr="007B1585">
              <w:t xml:space="preserve">National Directorate of Aid Effectiveness and other </w:t>
            </w:r>
            <w:r w:rsidR="00155E7D" w:rsidRPr="007B1585">
              <w:t xml:space="preserve">development partners </w:t>
            </w:r>
            <w:r w:rsidRPr="007B1585">
              <w:t xml:space="preserve">to look at new structures and for effective donor coordination. AFP-TLPDP meets weekly/monthly with other donors and the </w:t>
            </w:r>
            <w:r w:rsidR="00155E7D" w:rsidRPr="007B1585">
              <w:t xml:space="preserve">government </w:t>
            </w:r>
            <w:r w:rsidRPr="007B1585">
              <w:t>to coordinate the delivery of aid to police.</w:t>
            </w:r>
          </w:p>
        </w:tc>
      </w:tr>
      <w:tr w:rsidR="00FE36BE" w:rsidRPr="00180B19" w14:paraId="5DE70510"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1F18154C" w14:textId="2408C5FE" w:rsidR="00FE36BE" w:rsidRPr="007B1585" w:rsidRDefault="00FE36BE" w:rsidP="004A1807">
            <w:pPr>
              <w:pStyle w:val="TableTextEntries"/>
            </w:pPr>
            <w:r w:rsidRPr="007B1585">
              <w:t>Anticipated withdrawal of</w:t>
            </w:r>
            <w:r w:rsidR="00155E7D" w:rsidRPr="007B1585">
              <w:t xml:space="preserve"> United Nations Integrated Mission in East Timor</w:t>
            </w:r>
            <w:r w:rsidRPr="007B1585">
              <w:t>.</w:t>
            </w:r>
          </w:p>
        </w:tc>
        <w:tc>
          <w:tcPr>
            <w:tcW w:w="801" w:type="dxa"/>
            <w:shd w:val="clear" w:color="auto" w:fill="92D050"/>
          </w:tcPr>
          <w:p w14:paraId="79F5D873" w14:textId="77777777" w:rsidR="00FE36BE" w:rsidRPr="007B1585" w:rsidRDefault="00FE36BE" w:rsidP="004A1807">
            <w:pPr>
              <w:pStyle w:val="TableTextEntries"/>
            </w:pPr>
            <w:r w:rsidRPr="007B1585">
              <w:t>Green</w:t>
            </w:r>
          </w:p>
        </w:tc>
        <w:tc>
          <w:tcPr>
            <w:tcW w:w="3631" w:type="dxa"/>
          </w:tcPr>
          <w:p w14:paraId="677DBDCB" w14:textId="4755AA9A" w:rsidR="00FE36BE" w:rsidRPr="007B1585" w:rsidRDefault="00FE36BE" w:rsidP="004A1807">
            <w:pPr>
              <w:pStyle w:val="TableTextEntries"/>
            </w:pPr>
            <w:r w:rsidRPr="007B1585">
              <w:t xml:space="preserve">The most significant impact </w:t>
            </w:r>
            <w:r w:rsidR="00155E7D" w:rsidRPr="007B1585">
              <w:t xml:space="preserve">is </w:t>
            </w:r>
            <w:r w:rsidRPr="007B1585">
              <w:t>the withdrawal of supporting resources such as vehicles and U</w:t>
            </w:r>
            <w:r w:rsidR="00155E7D" w:rsidRPr="007B1585">
              <w:t xml:space="preserve">nited </w:t>
            </w:r>
            <w:r w:rsidRPr="007B1585">
              <w:t>N</w:t>
            </w:r>
            <w:r w:rsidR="00155E7D" w:rsidRPr="007B1585">
              <w:t>ations</w:t>
            </w:r>
            <w:r w:rsidRPr="007B1585">
              <w:t xml:space="preserve"> personnel coupled with a decline in available donor funding. The AFP-TLPDP has adjusted its strategic direction and training support to the </w:t>
            </w:r>
            <w:proofErr w:type="spellStart"/>
            <w:r w:rsidR="00155E7D" w:rsidRPr="007B1585">
              <w:t>Policia</w:t>
            </w:r>
            <w:proofErr w:type="spellEnd"/>
            <w:r w:rsidR="00155E7D" w:rsidRPr="007B1585">
              <w:t xml:space="preserve"> </w:t>
            </w:r>
            <w:proofErr w:type="spellStart"/>
            <w:r w:rsidR="00155E7D" w:rsidRPr="007B1585">
              <w:t>Nacional</w:t>
            </w:r>
            <w:proofErr w:type="spellEnd"/>
            <w:r w:rsidR="00155E7D" w:rsidRPr="007B1585">
              <w:t xml:space="preserve"> de Timor-Leste </w:t>
            </w:r>
            <w:r w:rsidR="00D75653" w:rsidRPr="007B1585">
              <w:t>in response.</w:t>
            </w:r>
          </w:p>
        </w:tc>
      </w:tr>
      <w:tr w:rsidR="00FE36BE" w:rsidRPr="00180B19" w14:paraId="2617EADD" w14:textId="77777777" w:rsidTr="004A1807">
        <w:trPr>
          <w:tblHeader w:val="0"/>
        </w:trPr>
        <w:tc>
          <w:tcPr>
            <w:tcW w:w="3618" w:type="dxa"/>
          </w:tcPr>
          <w:p w14:paraId="02BA1B5F" w14:textId="2D1A1204" w:rsidR="00FE36BE" w:rsidRPr="007B1585" w:rsidRDefault="00FE36BE" w:rsidP="004A1807">
            <w:pPr>
              <w:pStyle w:val="TableTextEntries"/>
            </w:pPr>
            <w:r w:rsidRPr="007B1585">
              <w:t xml:space="preserve">Lack of </w:t>
            </w:r>
            <w:r w:rsidR="00155E7D" w:rsidRPr="007B1585">
              <w:t xml:space="preserve">sufficient accurate data </w:t>
            </w:r>
            <w:r w:rsidRPr="007B1585">
              <w:t xml:space="preserve">on </w:t>
            </w:r>
            <w:r w:rsidR="00B10050" w:rsidRPr="007B1585">
              <w:t>p</w:t>
            </w:r>
            <w:r w:rsidR="00155E7D" w:rsidRPr="007B1585">
              <w:t>rogress</w:t>
            </w:r>
            <w:r w:rsidRPr="007B1585">
              <w:t>.</w:t>
            </w:r>
          </w:p>
        </w:tc>
        <w:tc>
          <w:tcPr>
            <w:tcW w:w="801" w:type="dxa"/>
            <w:shd w:val="clear" w:color="auto" w:fill="92D050"/>
          </w:tcPr>
          <w:p w14:paraId="38B8B5D9" w14:textId="77777777" w:rsidR="00FE36BE" w:rsidRPr="007B1585" w:rsidRDefault="00FE36BE" w:rsidP="004A1807">
            <w:pPr>
              <w:pStyle w:val="TableTextEntries"/>
            </w:pPr>
            <w:r w:rsidRPr="007B1585">
              <w:t>Green</w:t>
            </w:r>
          </w:p>
        </w:tc>
        <w:tc>
          <w:tcPr>
            <w:tcW w:w="3631" w:type="dxa"/>
          </w:tcPr>
          <w:p w14:paraId="2125115D" w14:textId="230CB6B3" w:rsidR="00FE36BE" w:rsidRPr="007B1585" w:rsidRDefault="00155E7D" w:rsidP="004A1807">
            <w:pPr>
              <w:pStyle w:val="TableTextEntries"/>
            </w:pPr>
            <w:r w:rsidRPr="007B1585">
              <w:t xml:space="preserve">The AFP-TLPDP’s monitoring </w:t>
            </w:r>
            <w:r w:rsidR="00C711FC" w:rsidRPr="007B1585">
              <w:t xml:space="preserve">and </w:t>
            </w:r>
            <w:r w:rsidRPr="007B1585">
              <w:t xml:space="preserve">evaluation </w:t>
            </w:r>
            <w:r w:rsidR="00FE36BE" w:rsidRPr="007B1585">
              <w:t xml:space="preserve">program has benchmarked the </w:t>
            </w:r>
            <w:proofErr w:type="spellStart"/>
            <w:r w:rsidRPr="007B1585">
              <w:t>Policia</w:t>
            </w:r>
            <w:proofErr w:type="spellEnd"/>
            <w:r w:rsidRPr="007B1585">
              <w:t xml:space="preserve"> </w:t>
            </w:r>
            <w:proofErr w:type="spellStart"/>
            <w:r w:rsidRPr="007B1585">
              <w:t>Nacional</w:t>
            </w:r>
            <w:proofErr w:type="spellEnd"/>
            <w:r w:rsidRPr="007B1585">
              <w:t xml:space="preserve"> de Timor-Leste </w:t>
            </w:r>
            <w:r w:rsidR="00FE36BE" w:rsidRPr="007B1585">
              <w:t xml:space="preserve">across different areas. Further, a </w:t>
            </w:r>
            <w:r w:rsidR="00FE36BE" w:rsidRPr="007B1585">
              <w:lastRenderedPageBreak/>
              <w:t>comprehensive scheduled process of evaluating</w:t>
            </w:r>
            <w:r w:rsidRPr="007B1585">
              <w:t xml:space="preserve"> </w:t>
            </w:r>
            <w:proofErr w:type="spellStart"/>
            <w:r w:rsidRPr="007B1585">
              <w:t>Policia</w:t>
            </w:r>
            <w:proofErr w:type="spellEnd"/>
            <w:r w:rsidRPr="007B1585">
              <w:t xml:space="preserve"> </w:t>
            </w:r>
            <w:proofErr w:type="spellStart"/>
            <w:r w:rsidRPr="007B1585">
              <w:t>Nacional</w:t>
            </w:r>
            <w:proofErr w:type="spellEnd"/>
            <w:r w:rsidRPr="007B1585">
              <w:t xml:space="preserve"> de Timor-Leste </w:t>
            </w:r>
            <w:r w:rsidR="00FE36BE" w:rsidRPr="007B1585">
              <w:t xml:space="preserve">progress and AFP-TLPDP effectiveness has also been implemented to mitigate identified risks. This includes reassessment of activity plans, quarterly evaluations and reviewing alignment of the program with the </w:t>
            </w:r>
            <w:r w:rsidRPr="007B1585">
              <w:t>government’s strategic development plan</w:t>
            </w:r>
            <w:r w:rsidR="00FE36BE" w:rsidRPr="007B1585">
              <w:t>.</w:t>
            </w:r>
          </w:p>
        </w:tc>
      </w:tr>
      <w:tr w:rsidR="00FE36BE" w:rsidRPr="00180B19" w14:paraId="717AF276"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7E99DE19" w14:textId="77777777" w:rsidR="00FE36BE" w:rsidRPr="007D1B93" w:rsidRDefault="00FE36BE" w:rsidP="004A1807">
            <w:pPr>
              <w:pStyle w:val="TableHeading2"/>
            </w:pPr>
            <w:r w:rsidRPr="007D1B93">
              <w:lastRenderedPageBreak/>
              <w:t>Objective 7: Public Sector Management and Good Governance</w:t>
            </w:r>
          </w:p>
        </w:tc>
        <w:tc>
          <w:tcPr>
            <w:tcW w:w="801" w:type="dxa"/>
          </w:tcPr>
          <w:p w14:paraId="6FEA5FAA" w14:textId="77777777" w:rsidR="00FE36BE" w:rsidRPr="00443639" w:rsidRDefault="00633826" w:rsidP="004A1807">
            <w:pPr>
              <w:pStyle w:val="TableHeading2"/>
              <w:rPr>
                <w:color w:val="FFFFFF" w:themeColor="background1"/>
              </w:rPr>
            </w:pPr>
            <w:r w:rsidRPr="00FC12F1">
              <w:t>Rating</w:t>
            </w:r>
          </w:p>
        </w:tc>
        <w:tc>
          <w:tcPr>
            <w:tcW w:w="3631" w:type="dxa"/>
          </w:tcPr>
          <w:p w14:paraId="0D64DCE5" w14:textId="39C9C480" w:rsidR="00FE36BE" w:rsidRDefault="00633826" w:rsidP="004A1807">
            <w:pPr>
              <w:pStyle w:val="TableHeading2"/>
            </w:pPr>
            <w:r w:rsidRPr="00FC12F1">
              <w:t>Progress made in 2012</w:t>
            </w:r>
            <w:r w:rsidR="00155E7D">
              <w:t>–</w:t>
            </w:r>
            <w:r w:rsidRPr="00FC12F1">
              <w:t>13</w:t>
            </w:r>
          </w:p>
        </w:tc>
      </w:tr>
      <w:tr w:rsidR="00FE36BE" w:rsidRPr="00180B19" w14:paraId="79BC07B1" w14:textId="77777777" w:rsidTr="004A1807">
        <w:trPr>
          <w:tblHeader w:val="0"/>
        </w:trPr>
        <w:tc>
          <w:tcPr>
            <w:tcW w:w="3618" w:type="dxa"/>
          </w:tcPr>
          <w:p w14:paraId="14B49EB1" w14:textId="0C842351" w:rsidR="00FE36BE" w:rsidRPr="007B1585" w:rsidRDefault="00FE36BE" w:rsidP="004A1807">
            <w:pPr>
              <w:pStyle w:val="TableTextEntries"/>
            </w:pPr>
            <w:r w:rsidRPr="007B1585">
              <w:t>The public finance and administration team will deliver a high quality governance for development design in 2012 to:</w:t>
            </w:r>
          </w:p>
          <w:p w14:paraId="7038AFA9" w14:textId="444B9279" w:rsidR="00FE36BE" w:rsidRPr="007B1585" w:rsidRDefault="00B10050" w:rsidP="004A1807">
            <w:pPr>
              <w:pStyle w:val="TableListBullet"/>
            </w:pPr>
            <w:r w:rsidRPr="007B1585">
              <w:t>c</w:t>
            </w:r>
            <w:r w:rsidR="00FE36BE" w:rsidRPr="007B1585">
              <w:t>onsolidate two of Australia’s existing programs (the Public Sector Capacity Building Program and the Planning and Financial Management Capacity Building Program) under a single umbrella by December 2012</w:t>
            </w:r>
          </w:p>
          <w:p w14:paraId="49B7CB8C" w14:textId="223F00B4" w:rsidR="00FE36BE" w:rsidRPr="007B1585" w:rsidRDefault="00B10050" w:rsidP="004A1807">
            <w:pPr>
              <w:pStyle w:val="TableListBullet"/>
            </w:pPr>
            <w:r w:rsidRPr="007B1585">
              <w:t>n</w:t>
            </w:r>
            <w:r w:rsidR="00FE36BE" w:rsidRPr="007B1585">
              <w:t>arrow the scope of Australia’s justice sector support to the integrated information management system and activities to help end violence against women</w:t>
            </w:r>
          </w:p>
          <w:p w14:paraId="2B089C18" w14:textId="660ABD93" w:rsidR="00FE36BE" w:rsidRPr="007B1585" w:rsidRDefault="00B10050" w:rsidP="004A1807">
            <w:pPr>
              <w:pStyle w:val="TableListBullet"/>
            </w:pPr>
            <w:r w:rsidRPr="007B1585">
              <w:t>s</w:t>
            </w:r>
            <w:r w:rsidR="00FE36BE" w:rsidRPr="007B1585">
              <w:t>upport the government to develop and implement good public policy programs which improve services and promote economic growth</w:t>
            </w:r>
          </w:p>
          <w:p w14:paraId="0458FD38" w14:textId="4517957B" w:rsidR="00FE36BE" w:rsidRPr="007B1585" w:rsidRDefault="00B10050" w:rsidP="004A1807">
            <w:pPr>
              <w:pStyle w:val="TableListBullet"/>
            </w:pPr>
            <w:r w:rsidRPr="007B1585">
              <w:t>p</w:t>
            </w:r>
            <w:r w:rsidR="00FE36BE" w:rsidRPr="007B1585">
              <w:t>rovide an analytical capability for the country program to ensure that programming decisions are underpinned by systematic and robust economic, political and social analysis</w:t>
            </w:r>
          </w:p>
          <w:p w14:paraId="64F6FF2B" w14:textId="34CE6ACC" w:rsidR="00FE36BE" w:rsidRPr="007B1585" w:rsidRDefault="00B10050" w:rsidP="004A1807">
            <w:pPr>
              <w:pStyle w:val="TableListBullet"/>
            </w:pPr>
            <w:proofErr w:type="gramStart"/>
            <w:r w:rsidRPr="007B1585">
              <w:t>i</w:t>
            </w:r>
            <w:r w:rsidR="00FE36BE" w:rsidRPr="007B1585">
              <w:t>mprove</w:t>
            </w:r>
            <w:proofErr w:type="gramEnd"/>
            <w:r w:rsidR="00FE36BE" w:rsidRPr="007B1585">
              <w:t xml:space="preserve"> living standards for poor Timorese through services and economic empowerment. </w:t>
            </w:r>
          </w:p>
        </w:tc>
        <w:tc>
          <w:tcPr>
            <w:tcW w:w="801" w:type="dxa"/>
            <w:shd w:val="clear" w:color="auto" w:fill="92D050"/>
          </w:tcPr>
          <w:p w14:paraId="72A80CCE" w14:textId="77777777" w:rsidR="00FE36BE" w:rsidRPr="007B1585" w:rsidRDefault="00FE36BE" w:rsidP="004A1807">
            <w:pPr>
              <w:pStyle w:val="TableTextEntries"/>
            </w:pPr>
            <w:r w:rsidRPr="007B1585">
              <w:t>Green</w:t>
            </w:r>
          </w:p>
        </w:tc>
        <w:tc>
          <w:tcPr>
            <w:tcW w:w="3631" w:type="dxa"/>
          </w:tcPr>
          <w:p w14:paraId="3400222A" w14:textId="77777777" w:rsidR="00FE36BE" w:rsidRPr="007B1585" w:rsidRDefault="00FE36BE" w:rsidP="004A1807">
            <w:pPr>
              <w:pStyle w:val="TableTextEntries"/>
            </w:pPr>
            <w:r w:rsidRPr="007B1585">
              <w:t>A new design was approved in May 2013. This revised timetable was appropriate to allow for sufficient negotiation with the new government after the 2012 elections, and subsequent changes to ministries’ leadership, mandates and plans:</w:t>
            </w:r>
          </w:p>
          <w:p w14:paraId="042B6B52" w14:textId="6DE3E927" w:rsidR="00FE36BE" w:rsidRPr="007B1585" w:rsidRDefault="00B10050" w:rsidP="004A1807">
            <w:pPr>
              <w:pStyle w:val="TableListBullet"/>
            </w:pPr>
            <w:r w:rsidRPr="007B1585">
              <w:t>t</w:t>
            </w:r>
            <w:r w:rsidR="00FE36BE" w:rsidRPr="007B1585">
              <w:t>he new program consolidates the two previous programs</w:t>
            </w:r>
          </w:p>
          <w:p w14:paraId="10C0D5E6" w14:textId="574F995D" w:rsidR="00FE36BE" w:rsidRPr="007B1585" w:rsidRDefault="00B10050" w:rsidP="004A1807">
            <w:pPr>
              <w:pStyle w:val="TableListBullet"/>
            </w:pPr>
            <w:r w:rsidRPr="007B1585">
              <w:t>t</w:t>
            </w:r>
            <w:r w:rsidR="00FE36BE" w:rsidRPr="007B1585">
              <w:t xml:space="preserve">he justice sector support is being taken forward under a separate </w:t>
            </w:r>
            <w:r w:rsidRPr="007B1585">
              <w:t>ending violence a</w:t>
            </w:r>
            <w:r w:rsidR="00FE36BE" w:rsidRPr="007B1585">
              <w:t xml:space="preserve">gainst </w:t>
            </w:r>
            <w:r w:rsidRPr="007B1585">
              <w:t xml:space="preserve">women </w:t>
            </w:r>
            <w:r w:rsidR="00FE36BE" w:rsidRPr="007B1585">
              <w:t xml:space="preserve">design, also estimated to </w:t>
            </w:r>
            <w:r w:rsidRPr="007B1585">
              <w:t xml:space="preserve">be </w:t>
            </w:r>
            <w:r w:rsidR="00FE36BE" w:rsidRPr="007B1585">
              <w:t>complete</w:t>
            </w:r>
            <w:r w:rsidRPr="007B1585">
              <w:t>d</w:t>
            </w:r>
            <w:r w:rsidR="00FE36BE" w:rsidRPr="007B1585">
              <w:t xml:space="preserve"> in 2013</w:t>
            </w:r>
          </w:p>
          <w:p w14:paraId="50DA995E" w14:textId="2B2917B5" w:rsidR="00FE36BE" w:rsidRPr="007B1585" w:rsidRDefault="00B10050" w:rsidP="004A1807">
            <w:pPr>
              <w:pStyle w:val="TableListBullet"/>
            </w:pPr>
            <w:proofErr w:type="gramStart"/>
            <w:r w:rsidRPr="007B1585">
              <w:t>t</w:t>
            </w:r>
            <w:r w:rsidR="00FE36BE" w:rsidRPr="007B1585">
              <w:t>he</w:t>
            </w:r>
            <w:proofErr w:type="gramEnd"/>
            <w:r w:rsidR="00FE36BE" w:rsidRPr="007B1585">
              <w:t xml:space="preserve"> new design includes partnerships to allow the country program to benefit from World Bank </w:t>
            </w:r>
            <w:r w:rsidRPr="007B1585">
              <w:t xml:space="preserve">analytical </w:t>
            </w:r>
            <w:r w:rsidR="00FE36BE" w:rsidRPr="007B1585">
              <w:t xml:space="preserve">and </w:t>
            </w:r>
            <w:r w:rsidRPr="007B1585">
              <w:t xml:space="preserve">advisory </w:t>
            </w:r>
            <w:r w:rsidR="00FE36BE" w:rsidRPr="007B1585">
              <w:t xml:space="preserve">services and </w:t>
            </w:r>
            <w:r w:rsidR="00AF4F95" w:rsidRPr="007B1585">
              <w:t>T</w:t>
            </w:r>
            <w:r w:rsidR="00FE36BE" w:rsidRPr="007B1585">
              <w:t>he Asia Foundation. It also has an emphasis on integrated political economy analysis and cross program coordination and learning</w:t>
            </w:r>
          </w:p>
          <w:p w14:paraId="6D3A898E" w14:textId="627F551E" w:rsidR="00FE36BE" w:rsidRPr="007B1585" w:rsidRDefault="00B10050" w:rsidP="004A1807">
            <w:pPr>
              <w:pStyle w:val="TableListBullet"/>
            </w:pPr>
            <w:proofErr w:type="gramStart"/>
            <w:r w:rsidRPr="007B1585">
              <w:t>t</w:t>
            </w:r>
            <w:r w:rsidR="00FE36BE" w:rsidRPr="007B1585">
              <w:t>he</w:t>
            </w:r>
            <w:proofErr w:type="gramEnd"/>
            <w:r w:rsidR="00FE36BE" w:rsidRPr="007B1585">
              <w:t xml:space="preserve"> new design focuses on addressing poverty through improved services and economic development (enabled by economic policy).</w:t>
            </w:r>
          </w:p>
        </w:tc>
      </w:tr>
      <w:tr w:rsidR="00FE36BE" w:rsidRPr="00180B19" w14:paraId="49198AC3"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3D7FFBED" w14:textId="77777777" w:rsidR="00FE36BE" w:rsidRPr="007B1585" w:rsidRDefault="00FE36BE" w:rsidP="004A1807">
            <w:pPr>
              <w:pStyle w:val="TableTextEntries"/>
            </w:pPr>
            <w:r w:rsidRPr="007B1585">
              <w:t>Commence negotiations with the Ministry of Finance in May 2012 to strengthen its public financial management systems. This will be undertaken with a view to moving towards budget support by 2013 linked to the achievement of minimum conditions agreed with development partners.</w:t>
            </w:r>
          </w:p>
        </w:tc>
        <w:tc>
          <w:tcPr>
            <w:tcW w:w="801" w:type="dxa"/>
            <w:shd w:val="clear" w:color="auto" w:fill="92D050"/>
          </w:tcPr>
          <w:p w14:paraId="71F078DA" w14:textId="77777777" w:rsidR="00FE36BE" w:rsidRPr="007B1585" w:rsidRDefault="00FE36BE" w:rsidP="004A1807">
            <w:pPr>
              <w:pStyle w:val="TableTextEntries"/>
            </w:pPr>
            <w:r w:rsidRPr="007B1585">
              <w:t>Green</w:t>
            </w:r>
            <w:r w:rsidRPr="007B1585">
              <w:fldChar w:fldCharType="begin"/>
            </w:r>
            <w:r w:rsidRPr="007B1585">
              <w:instrText xml:space="preserve"> AUTOTEXTLIST  \s "Rating bullet"\t "Right click to choose a rating" \* MERGEFORMAT </w:instrText>
            </w:r>
            <w:r w:rsidRPr="007B1585">
              <w:fldChar w:fldCharType="end"/>
            </w:r>
          </w:p>
        </w:tc>
        <w:tc>
          <w:tcPr>
            <w:tcW w:w="3631" w:type="dxa"/>
          </w:tcPr>
          <w:p w14:paraId="31594785" w14:textId="2F870C2C" w:rsidR="00FE36BE" w:rsidRPr="007B1585" w:rsidRDefault="00B10050" w:rsidP="004A1807">
            <w:pPr>
              <w:pStyle w:val="TableTextEntries"/>
            </w:pPr>
            <w:r w:rsidRPr="007B1585">
              <w:t>O</w:t>
            </w:r>
            <w:r w:rsidR="00FE36BE" w:rsidRPr="007B1585">
              <w:t>n track</w:t>
            </w:r>
            <w:r w:rsidRPr="007B1585">
              <w:t>. N</w:t>
            </w:r>
            <w:r w:rsidR="00FE36BE" w:rsidRPr="007B1585">
              <w:t xml:space="preserve">egotiations with the Ministry of Finance, based on </w:t>
            </w:r>
            <w:r w:rsidRPr="007B1585">
              <w:t xml:space="preserve">expert </w:t>
            </w:r>
            <w:r w:rsidR="00FE36BE" w:rsidRPr="007B1585">
              <w:t xml:space="preserve">analysis, have proposed 12 results that the </w:t>
            </w:r>
            <w:r w:rsidRPr="007B1585">
              <w:t xml:space="preserve">ministry </w:t>
            </w:r>
            <w:r w:rsidR="00FE36BE" w:rsidRPr="007B1585">
              <w:t>needs to achieve as a foundation for budget support</w:t>
            </w:r>
            <w:r w:rsidRPr="007B1585">
              <w:t>. The</w:t>
            </w:r>
            <w:r w:rsidR="00FE36BE" w:rsidRPr="007B1585">
              <w:t xml:space="preserve"> outcome </w:t>
            </w:r>
            <w:r w:rsidRPr="007B1585">
              <w:t xml:space="preserve">is </w:t>
            </w:r>
            <w:r w:rsidR="00FE36BE" w:rsidRPr="007B1585">
              <w:t xml:space="preserve">still to be determined. Governance for Development will support these changes in 2013 while also assisting in the design of the budget support program, expected to commence in 2014. </w:t>
            </w:r>
          </w:p>
        </w:tc>
      </w:tr>
      <w:tr w:rsidR="00FE36BE" w:rsidRPr="00180B19" w14:paraId="6B0F30F8" w14:textId="77777777" w:rsidTr="004A1807">
        <w:trPr>
          <w:tblHeader w:val="0"/>
        </w:trPr>
        <w:tc>
          <w:tcPr>
            <w:tcW w:w="3618" w:type="dxa"/>
          </w:tcPr>
          <w:p w14:paraId="73ED45AF" w14:textId="4AE1809A" w:rsidR="00FE36BE" w:rsidRPr="007B1585" w:rsidRDefault="00FE36BE" w:rsidP="004A1807">
            <w:pPr>
              <w:pStyle w:val="TableTextEntries"/>
            </w:pPr>
            <w:r w:rsidRPr="007B1585">
              <w:t xml:space="preserve">Work closely with Timor-Leste throughout 2012 to </w:t>
            </w:r>
            <w:proofErr w:type="spellStart"/>
            <w:r w:rsidR="00B10050" w:rsidRPr="007B1585">
              <w:t>operationalise</w:t>
            </w:r>
            <w:proofErr w:type="spellEnd"/>
            <w:r w:rsidR="00B10050" w:rsidRPr="007B1585">
              <w:t xml:space="preserve"> </w:t>
            </w:r>
            <w:r w:rsidRPr="007B1585">
              <w:t xml:space="preserve">the National Program for </w:t>
            </w:r>
            <w:r w:rsidR="00A57351" w:rsidRPr="007B1585">
              <w:t xml:space="preserve">Village </w:t>
            </w:r>
            <w:r w:rsidRPr="007B1585">
              <w:t xml:space="preserve">Development, with the first grants anticipated to flow to communities by the beginning of 2013. </w:t>
            </w:r>
          </w:p>
        </w:tc>
        <w:tc>
          <w:tcPr>
            <w:tcW w:w="801" w:type="dxa"/>
            <w:shd w:val="clear" w:color="auto" w:fill="92D050"/>
          </w:tcPr>
          <w:p w14:paraId="70974B86" w14:textId="77777777" w:rsidR="00FE36BE" w:rsidRPr="007B1585" w:rsidRDefault="00FE36BE" w:rsidP="004A1807">
            <w:pPr>
              <w:pStyle w:val="TableTextEntries"/>
            </w:pPr>
            <w:r w:rsidRPr="007B1585">
              <w:t>Green</w:t>
            </w:r>
            <w:r w:rsidRPr="007B1585">
              <w:fldChar w:fldCharType="begin"/>
            </w:r>
            <w:r w:rsidRPr="007B1585">
              <w:instrText xml:space="preserve"> AUTOTEXTLIST  \s "Rating bullet"\t "Right click to choose a rating" \* MERGEFORMAT </w:instrText>
            </w:r>
            <w:r w:rsidRPr="007B1585">
              <w:fldChar w:fldCharType="end"/>
            </w:r>
          </w:p>
        </w:tc>
        <w:tc>
          <w:tcPr>
            <w:tcW w:w="3631" w:type="dxa"/>
          </w:tcPr>
          <w:p w14:paraId="773944BE" w14:textId="77777777" w:rsidR="00FE36BE" w:rsidRPr="007B1585" w:rsidRDefault="00FE36BE" w:rsidP="004A1807">
            <w:pPr>
              <w:pStyle w:val="TableTextEntries"/>
            </w:pPr>
            <w:r w:rsidRPr="007B1585">
              <w:t>This is on track with the first grants to flow to 30 communities through a field test that will commence in June 2013. The small delay results from a commendable government decision to test the effectiveness of the program before rolling it out nationwide.</w:t>
            </w:r>
          </w:p>
        </w:tc>
      </w:tr>
      <w:tr w:rsidR="00FE36BE" w:rsidRPr="00180B19" w14:paraId="14275B99"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3618" w:type="dxa"/>
          </w:tcPr>
          <w:p w14:paraId="40D6955A" w14:textId="77777777" w:rsidR="00FE36BE" w:rsidRPr="007B1585" w:rsidRDefault="00FE36BE" w:rsidP="004A1807">
            <w:pPr>
              <w:pStyle w:val="TableTextEntries"/>
            </w:pPr>
            <w:r w:rsidRPr="007B1585">
              <w:t>Monitor decentralisation developments closely and undertake analysis to ensure that the aid program is well placed to respond to potentially rapid reforms in this area.</w:t>
            </w:r>
          </w:p>
        </w:tc>
        <w:tc>
          <w:tcPr>
            <w:tcW w:w="801" w:type="dxa"/>
            <w:shd w:val="clear" w:color="auto" w:fill="92D050"/>
          </w:tcPr>
          <w:p w14:paraId="032C6FE5" w14:textId="77777777" w:rsidR="00FE36BE" w:rsidRPr="007B1585" w:rsidRDefault="00FE36BE" w:rsidP="004A1807">
            <w:pPr>
              <w:pStyle w:val="TableTextEntries"/>
            </w:pPr>
            <w:r w:rsidRPr="007B1585">
              <w:t>Green</w:t>
            </w:r>
            <w:r w:rsidRPr="007B1585">
              <w:fldChar w:fldCharType="begin"/>
            </w:r>
            <w:r w:rsidRPr="007B1585">
              <w:instrText xml:space="preserve"> AUTOTEXTLIST  \s "Rating bullet"\t "Right click to choose a rating" \* MERGEFORMAT </w:instrText>
            </w:r>
            <w:r w:rsidRPr="007B1585">
              <w:fldChar w:fldCharType="end"/>
            </w:r>
          </w:p>
        </w:tc>
        <w:tc>
          <w:tcPr>
            <w:tcW w:w="3631" w:type="dxa"/>
          </w:tcPr>
          <w:p w14:paraId="5ACD61A2" w14:textId="54A60E2C" w:rsidR="00FE36BE" w:rsidRPr="007B1585" w:rsidRDefault="00FE36BE" w:rsidP="004A1807">
            <w:pPr>
              <w:pStyle w:val="TableTextEntries"/>
            </w:pPr>
            <w:r w:rsidRPr="007B1585">
              <w:t>This is on track</w:t>
            </w:r>
            <w:r w:rsidR="00B10050" w:rsidRPr="007B1585">
              <w:t>,</w:t>
            </w:r>
            <w:r w:rsidRPr="007B1585">
              <w:t xml:space="preserve"> although a number of stakeholders are still engaged in deciding on the model and pace of decentralisation reforms. </w:t>
            </w:r>
            <w:r w:rsidR="00D75653" w:rsidRPr="007B1585">
              <w:t>We are in</w:t>
            </w:r>
            <w:r w:rsidRPr="007B1585">
              <w:t xml:space="preserve"> regular contact with the relevant stakeholders including the Prime Minister, the Minister for State Administration and the Secretary of State for Administrative Decentralisation. At a program level, Australia’s</w:t>
            </w:r>
            <w:r w:rsidR="00B10050" w:rsidRPr="007B1585">
              <w:t xml:space="preserve"> National Program for Village Development </w:t>
            </w:r>
            <w:r w:rsidRPr="007B1585">
              <w:t xml:space="preserve">and </w:t>
            </w:r>
            <w:r w:rsidR="00B10050" w:rsidRPr="007B1585">
              <w:rPr>
                <w:rFonts w:eastAsia="SimSun"/>
              </w:rPr>
              <w:t xml:space="preserve">Governance for Development </w:t>
            </w:r>
            <w:r w:rsidR="00B10050" w:rsidRPr="007B1585">
              <w:t>p</w:t>
            </w:r>
            <w:r w:rsidRPr="007B1585">
              <w:t>rogram</w:t>
            </w:r>
            <w:r w:rsidR="00AF4F95" w:rsidRPr="007B1585">
              <w:t>s</w:t>
            </w:r>
            <w:r w:rsidRPr="007B1585">
              <w:t xml:space="preserve"> have</w:t>
            </w:r>
            <w:r w:rsidR="00C07BA3" w:rsidRPr="007B1585">
              <w:t xml:space="preserve"> </w:t>
            </w:r>
            <w:r w:rsidR="00B10050" w:rsidRPr="007B1585">
              <w:t xml:space="preserve">work plans </w:t>
            </w:r>
            <w:r w:rsidRPr="007B1585">
              <w:t>with the Ministry of State Administration, which will be relevant to decentralisation reforms.</w:t>
            </w:r>
          </w:p>
        </w:tc>
      </w:tr>
      <w:tr w:rsidR="00FE36BE" w:rsidRPr="00180B19" w14:paraId="4CB6A31E" w14:textId="77777777" w:rsidTr="004A1807">
        <w:trPr>
          <w:tblHeader w:val="0"/>
        </w:trPr>
        <w:tc>
          <w:tcPr>
            <w:tcW w:w="3618" w:type="dxa"/>
          </w:tcPr>
          <w:p w14:paraId="44F1BB99" w14:textId="77777777" w:rsidR="00FE36BE" w:rsidRPr="007B1585" w:rsidRDefault="00FE36BE" w:rsidP="004A1807">
            <w:pPr>
              <w:pStyle w:val="TableTextEntries"/>
            </w:pPr>
            <w:r w:rsidRPr="007B1585">
              <w:t xml:space="preserve">Develop a new program of support for ending violence against women, which builds on the </w:t>
            </w:r>
            <w:r w:rsidRPr="007B1585">
              <w:lastRenderedPageBreak/>
              <w:t>successes of our engagement through our existing justice sector program.</w:t>
            </w:r>
          </w:p>
        </w:tc>
        <w:tc>
          <w:tcPr>
            <w:tcW w:w="801" w:type="dxa"/>
            <w:shd w:val="clear" w:color="auto" w:fill="92D050"/>
          </w:tcPr>
          <w:p w14:paraId="08B6AD35" w14:textId="77777777" w:rsidR="00FE36BE" w:rsidRPr="007B1585" w:rsidRDefault="00FE36BE" w:rsidP="004A1807">
            <w:pPr>
              <w:pStyle w:val="TableTextEntries"/>
            </w:pPr>
            <w:r w:rsidRPr="007B1585">
              <w:lastRenderedPageBreak/>
              <w:t>Green</w:t>
            </w:r>
          </w:p>
        </w:tc>
        <w:tc>
          <w:tcPr>
            <w:tcW w:w="3631" w:type="dxa"/>
          </w:tcPr>
          <w:p w14:paraId="631F8ED0" w14:textId="77777777" w:rsidR="00FE36BE" w:rsidRPr="007B1585" w:rsidRDefault="00D75653" w:rsidP="004A1807">
            <w:pPr>
              <w:pStyle w:val="TableTextEntries"/>
            </w:pPr>
            <w:r w:rsidRPr="007B1585">
              <w:t>T</w:t>
            </w:r>
            <w:r w:rsidR="00FE36BE" w:rsidRPr="007B1585">
              <w:t xml:space="preserve">he design is expected to </w:t>
            </w:r>
            <w:r w:rsidRPr="007B1585">
              <w:t xml:space="preserve">be </w:t>
            </w:r>
            <w:r w:rsidR="00FE36BE" w:rsidRPr="007B1585">
              <w:t>complete</w:t>
            </w:r>
            <w:r w:rsidRPr="007B1585">
              <w:t>d in</w:t>
            </w:r>
            <w:r w:rsidR="00FE36BE" w:rsidRPr="007B1585">
              <w:t xml:space="preserve"> 2013, partly due to delays from the election timetable. </w:t>
            </w:r>
          </w:p>
        </w:tc>
      </w:tr>
    </w:tbl>
    <w:p w14:paraId="159CA2C6" w14:textId="77777777" w:rsidR="00FE4491" w:rsidRPr="007D1B93" w:rsidRDefault="00FE4491" w:rsidP="00E922D4">
      <w:pPr>
        <w:pStyle w:val="Note"/>
      </w:pPr>
      <w:r w:rsidRPr="007D1B93">
        <w:lastRenderedPageBreak/>
        <w:t xml:space="preserve">Note: </w:t>
      </w:r>
    </w:p>
    <w:p w14:paraId="351D367C" w14:textId="77777777" w:rsidR="00FE4491" w:rsidRDefault="00FE4491" w:rsidP="00E922D4">
      <w:pPr>
        <w:pStyle w:val="Note"/>
      </w:pPr>
      <w:r w:rsidRPr="007D1B93">
        <w:rPr>
          <w:color w:val="92D050"/>
        </w:rPr>
        <w:sym w:font="Webdings" w:char="F067"/>
      </w:r>
      <w:r w:rsidRPr="007D1B93">
        <w:t> </w:t>
      </w:r>
      <w:r w:rsidRPr="007D1B93">
        <w:t xml:space="preserve"> </w:t>
      </w:r>
      <w:proofErr w:type="gramStart"/>
      <w:r w:rsidR="00443639" w:rsidRPr="007D1B93">
        <w:t>Green</w:t>
      </w:r>
      <w:r w:rsidRPr="007D1B93">
        <w:t>.</w:t>
      </w:r>
      <w:proofErr w:type="gramEnd"/>
      <w:r w:rsidRPr="007D1B93">
        <w:t xml:space="preserve"> Progress is as expected for this point in time and it is likely that the objective will be achieved. Standard program management practices are sufficient.</w:t>
      </w:r>
    </w:p>
    <w:p w14:paraId="2D0645CC" w14:textId="77777777" w:rsidR="00FE4491" w:rsidRDefault="00FE4491" w:rsidP="00E922D4">
      <w:pPr>
        <w:pStyle w:val="Note"/>
      </w:pPr>
      <w:r w:rsidRPr="007D1B93">
        <w:rPr>
          <w:color w:val="F79646" w:themeColor="accent6"/>
        </w:rPr>
        <w:sym w:font="Webdings" w:char="F067"/>
      </w:r>
      <w:r w:rsidRPr="007D1B93">
        <w:t> </w:t>
      </w:r>
      <w:r w:rsidRPr="007D1B93">
        <w:t xml:space="preserve"> Amber. Progress is somewhat less than expected for this point in time and restorative action will be necessary if the objective is to be achieved. Close performance monitoring is recommended.</w:t>
      </w:r>
    </w:p>
    <w:p w14:paraId="5DC83536" w14:textId="77777777" w:rsidR="00582647" w:rsidRDefault="00FE4491" w:rsidP="00E922D4">
      <w:pPr>
        <w:pStyle w:val="Note"/>
      </w:pPr>
      <w:r w:rsidRPr="007D1B93">
        <w:rPr>
          <w:color w:val="FF0000"/>
        </w:rPr>
        <w:sym w:font="Webdings" w:char="F067"/>
      </w:r>
      <w:r w:rsidRPr="007D1B93">
        <w:t> </w:t>
      </w:r>
      <w:r w:rsidRPr="007D1B93">
        <w:t xml:space="preserve"> </w:t>
      </w:r>
      <w:proofErr w:type="gramStart"/>
      <w:r w:rsidRPr="007D1B93">
        <w:t>Red.</w:t>
      </w:r>
      <w:proofErr w:type="gramEnd"/>
      <w:r w:rsidRPr="007D1B93">
        <w:t xml:space="preserve"> Progress is significantly less than expected for this point in time and the objective is not likely to be met given available resources and priorities. Recasting the objective may be required.</w:t>
      </w:r>
      <w:r w:rsidR="00582647">
        <w:br w:type="page"/>
      </w:r>
    </w:p>
    <w:p w14:paraId="64AE48EF" w14:textId="77777777" w:rsidR="00A44D0D" w:rsidRPr="00E922D4" w:rsidRDefault="00A44D0D" w:rsidP="00E922D4">
      <w:pPr>
        <w:pStyle w:val="Heading1"/>
      </w:pPr>
      <w:r w:rsidRPr="00E922D4">
        <w:lastRenderedPageBreak/>
        <w:t>Annex B</w:t>
      </w:r>
      <w:r w:rsidR="00F54FAE" w:rsidRPr="00E922D4">
        <w:t>:</w:t>
      </w:r>
      <w:r w:rsidRPr="00E922D4">
        <w:t xml:space="preserve"> Quality at Implementation ratings</w:t>
      </w:r>
    </w:p>
    <w:tbl>
      <w:tblPr>
        <w:tblStyle w:val="APPR"/>
        <w:tblW w:w="5000" w:type="pct"/>
        <w:tblLayout w:type="fixed"/>
        <w:tblLook w:val="04A0" w:firstRow="1" w:lastRow="0" w:firstColumn="1" w:lastColumn="0" w:noHBand="0" w:noVBand="1"/>
      </w:tblPr>
      <w:tblGrid>
        <w:gridCol w:w="1629"/>
        <w:gridCol w:w="1040"/>
        <w:gridCol w:w="1040"/>
        <w:gridCol w:w="1509"/>
        <w:gridCol w:w="673"/>
        <w:gridCol w:w="386"/>
        <w:gridCol w:w="386"/>
        <w:gridCol w:w="386"/>
        <w:gridCol w:w="386"/>
        <w:gridCol w:w="386"/>
        <w:gridCol w:w="386"/>
        <w:gridCol w:w="400"/>
      </w:tblGrid>
      <w:tr w:rsidR="007B1585" w:rsidRPr="007B1585" w14:paraId="75EE4DF0" w14:textId="77777777" w:rsidTr="004A1807">
        <w:trPr>
          <w:cnfStyle w:val="100000000000" w:firstRow="1" w:lastRow="0" w:firstColumn="0" w:lastColumn="0" w:oddVBand="0" w:evenVBand="0" w:oddHBand="0" w:evenHBand="0" w:firstRowFirstColumn="0" w:firstRowLastColumn="0" w:lastRowFirstColumn="0" w:lastRowLastColumn="0"/>
          <w:cantSplit/>
          <w:trHeight w:val="1530"/>
        </w:trPr>
        <w:tc>
          <w:tcPr>
            <w:tcW w:w="1702" w:type="dxa"/>
            <w:hideMark/>
          </w:tcPr>
          <w:p w14:paraId="0D30DD62" w14:textId="77777777" w:rsidR="00A44D0D" w:rsidRPr="007B1585" w:rsidRDefault="00A44D0D" w:rsidP="007B1585">
            <w:pPr>
              <w:pStyle w:val="TableTextEntries"/>
            </w:pPr>
            <w:r w:rsidRPr="007B1585">
              <w:t> </w:t>
            </w:r>
          </w:p>
        </w:tc>
        <w:tc>
          <w:tcPr>
            <w:tcW w:w="1077" w:type="dxa"/>
            <w:hideMark/>
          </w:tcPr>
          <w:p w14:paraId="26A9A2F0" w14:textId="641DA365" w:rsidR="00A44D0D" w:rsidRPr="007B1585" w:rsidRDefault="007772DE" w:rsidP="007B1585">
            <w:pPr>
              <w:pStyle w:val="TableTextEntries"/>
            </w:pPr>
            <w:r w:rsidRPr="007B1585">
              <w:t>Program</w:t>
            </w:r>
            <w:r w:rsidR="00A44D0D" w:rsidRPr="007B1585">
              <w:t xml:space="preserve"> </w:t>
            </w:r>
            <w:r w:rsidR="002A2A4F" w:rsidRPr="007B1585">
              <w:t>start d</w:t>
            </w:r>
            <w:r w:rsidR="00A44D0D" w:rsidRPr="007B1585">
              <w:t>ate</w:t>
            </w:r>
          </w:p>
        </w:tc>
        <w:tc>
          <w:tcPr>
            <w:tcW w:w="1077" w:type="dxa"/>
            <w:hideMark/>
          </w:tcPr>
          <w:p w14:paraId="54DC9CB7" w14:textId="358EF73C" w:rsidR="00A44D0D" w:rsidRPr="007B1585" w:rsidRDefault="007772DE" w:rsidP="007B1585">
            <w:pPr>
              <w:pStyle w:val="TableTextEntries"/>
            </w:pPr>
            <w:r w:rsidRPr="007B1585">
              <w:t>Program</w:t>
            </w:r>
            <w:r w:rsidR="00A44D0D" w:rsidRPr="007B1585">
              <w:t xml:space="preserve"> </w:t>
            </w:r>
            <w:r w:rsidR="002A2A4F" w:rsidRPr="007B1585">
              <w:t>end d</w:t>
            </w:r>
            <w:r w:rsidR="00A44D0D" w:rsidRPr="007B1585">
              <w:t>ate</w:t>
            </w:r>
          </w:p>
        </w:tc>
        <w:tc>
          <w:tcPr>
            <w:tcW w:w="1588" w:type="dxa"/>
            <w:hideMark/>
          </w:tcPr>
          <w:p w14:paraId="2E74F5EB" w14:textId="57711C07" w:rsidR="00A44D0D" w:rsidRPr="007B1585" w:rsidRDefault="007772DE" w:rsidP="007B1585">
            <w:pPr>
              <w:pStyle w:val="TableTextEntries"/>
            </w:pPr>
            <w:r w:rsidRPr="007B1585">
              <w:t>Program</w:t>
            </w:r>
            <w:r w:rsidR="00A44D0D" w:rsidRPr="007B1585">
              <w:t xml:space="preserve"> </w:t>
            </w:r>
            <w:r w:rsidR="002A2A4F" w:rsidRPr="007B1585">
              <w:t>value</w:t>
            </w:r>
          </w:p>
        </w:tc>
        <w:tc>
          <w:tcPr>
            <w:tcW w:w="680" w:type="dxa"/>
            <w:textDirection w:val="btLr"/>
            <w:hideMark/>
          </w:tcPr>
          <w:p w14:paraId="580AFF41" w14:textId="77777777" w:rsidR="00A44D0D" w:rsidRPr="007B1585" w:rsidRDefault="00A44D0D" w:rsidP="007B1585">
            <w:pPr>
              <w:pStyle w:val="TableTextEntries"/>
              <w:ind w:left="113" w:right="113"/>
              <w:jc w:val="right"/>
            </w:pPr>
            <w:r w:rsidRPr="007B1585">
              <w:t>Year</w:t>
            </w:r>
            <w:r w:rsidR="007143DE" w:rsidRPr="007B1585">
              <w:t xml:space="preserve"> </w:t>
            </w:r>
          </w:p>
        </w:tc>
        <w:tc>
          <w:tcPr>
            <w:tcW w:w="369" w:type="dxa"/>
            <w:textDirection w:val="btLr"/>
            <w:hideMark/>
          </w:tcPr>
          <w:p w14:paraId="38EF3402" w14:textId="77777777" w:rsidR="00A44D0D" w:rsidRPr="007B1585" w:rsidRDefault="00A44D0D" w:rsidP="007B1585">
            <w:pPr>
              <w:pStyle w:val="TableTextEntries"/>
              <w:ind w:left="113" w:right="113"/>
              <w:jc w:val="right"/>
            </w:pPr>
            <w:r w:rsidRPr="007B1585">
              <w:t>Relevance</w:t>
            </w:r>
          </w:p>
        </w:tc>
        <w:tc>
          <w:tcPr>
            <w:tcW w:w="369" w:type="dxa"/>
            <w:textDirection w:val="btLr"/>
            <w:hideMark/>
          </w:tcPr>
          <w:p w14:paraId="4BAB10EF" w14:textId="77777777" w:rsidR="00A44D0D" w:rsidRPr="007B1585" w:rsidRDefault="00A44D0D" w:rsidP="007B1585">
            <w:pPr>
              <w:pStyle w:val="TableTextEntries"/>
              <w:ind w:left="113" w:right="113"/>
              <w:jc w:val="right"/>
            </w:pPr>
            <w:r w:rsidRPr="007B1585">
              <w:t>Effectiveness</w:t>
            </w:r>
          </w:p>
        </w:tc>
        <w:tc>
          <w:tcPr>
            <w:tcW w:w="369" w:type="dxa"/>
            <w:textDirection w:val="btLr"/>
            <w:hideMark/>
          </w:tcPr>
          <w:p w14:paraId="7CB5835A" w14:textId="77777777" w:rsidR="00A44D0D" w:rsidRPr="007B1585" w:rsidRDefault="00A44D0D" w:rsidP="007B1585">
            <w:pPr>
              <w:pStyle w:val="TableTextEntries"/>
              <w:ind w:left="113" w:right="113"/>
              <w:jc w:val="right"/>
            </w:pPr>
            <w:r w:rsidRPr="007B1585">
              <w:t>Efficiency</w:t>
            </w:r>
          </w:p>
        </w:tc>
        <w:tc>
          <w:tcPr>
            <w:tcW w:w="369" w:type="dxa"/>
            <w:textDirection w:val="btLr"/>
          </w:tcPr>
          <w:p w14:paraId="5A7D0E6D" w14:textId="7471B199" w:rsidR="00A44D0D" w:rsidRPr="007B1585" w:rsidRDefault="00E36392" w:rsidP="007B1585">
            <w:pPr>
              <w:pStyle w:val="TableTextEntries"/>
              <w:ind w:left="113" w:right="113"/>
              <w:jc w:val="right"/>
            </w:pPr>
            <w:r w:rsidRPr="007B1585">
              <w:t>M &amp; E</w:t>
            </w:r>
          </w:p>
        </w:tc>
        <w:tc>
          <w:tcPr>
            <w:tcW w:w="369" w:type="dxa"/>
            <w:textDirection w:val="btLr"/>
            <w:hideMark/>
          </w:tcPr>
          <w:p w14:paraId="0A9F59D2" w14:textId="77777777" w:rsidR="00A44D0D" w:rsidRPr="007B1585" w:rsidRDefault="00A44D0D" w:rsidP="007B1585">
            <w:pPr>
              <w:pStyle w:val="TableTextEntries"/>
              <w:ind w:left="113" w:right="113"/>
              <w:jc w:val="right"/>
            </w:pPr>
            <w:r w:rsidRPr="007B1585">
              <w:t>Sustainability</w:t>
            </w:r>
          </w:p>
        </w:tc>
        <w:tc>
          <w:tcPr>
            <w:tcW w:w="369" w:type="dxa"/>
            <w:textDirection w:val="btLr"/>
            <w:hideMark/>
          </w:tcPr>
          <w:p w14:paraId="1E45882F" w14:textId="294D1216" w:rsidR="00A44D0D" w:rsidRPr="007B1585" w:rsidRDefault="00A44D0D" w:rsidP="007B1585">
            <w:pPr>
              <w:pStyle w:val="TableTextEntries"/>
              <w:ind w:left="113" w:right="113"/>
              <w:jc w:val="right"/>
            </w:pPr>
            <w:r w:rsidRPr="007B1585">
              <w:t xml:space="preserve">Gender </w:t>
            </w:r>
            <w:r w:rsidR="00E36B98" w:rsidRPr="007B1585">
              <w:t>equality</w:t>
            </w:r>
          </w:p>
        </w:tc>
        <w:tc>
          <w:tcPr>
            <w:tcW w:w="369" w:type="dxa"/>
            <w:textDirection w:val="btLr"/>
          </w:tcPr>
          <w:p w14:paraId="6C864412" w14:textId="0CBB9742" w:rsidR="00A44D0D" w:rsidRPr="007B1585" w:rsidRDefault="00A44D0D" w:rsidP="007B1585">
            <w:pPr>
              <w:pStyle w:val="TableTextEntries"/>
              <w:ind w:left="113" w:right="113"/>
              <w:jc w:val="right"/>
            </w:pPr>
            <w:r w:rsidRPr="007B1585">
              <w:t xml:space="preserve">Risk </w:t>
            </w:r>
            <w:r w:rsidR="00E36B98" w:rsidRPr="007B1585">
              <w:t>management</w:t>
            </w:r>
          </w:p>
        </w:tc>
      </w:tr>
      <w:tr w:rsidR="007B1585" w:rsidRPr="007B1585" w14:paraId="314430C3" w14:textId="77777777" w:rsidTr="004A1807">
        <w:trPr>
          <w:trHeight w:val="255"/>
          <w:tblHeader w:val="0"/>
        </w:trPr>
        <w:tc>
          <w:tcPr>
            <w:tcW w:w="1702" w:type="dxa"/>
            <w:vMerge w:val="restart"/>
            <w:hideMark/>
          </w:tcPr>
          <w:p w14:paraId="5230E380" w14:textId="13A67A79" w:rsidR="00A44D0D" w:rsidRPr="002B51BC" w:rsidRDefault="00A44D0D" w:rsidP="004A1807">
            <w:pPr>
              <w:pStyle w:val="TableTextEntries"/>
            </w:pPr>
            <w:r w:rsidRPr="002B51BC">
              <w:t xml:space="preserve">BESIK </w:t>
            </w:r>
            <w:r w:rsidR="002A2A4F" w:rsidRPr="002B51BC">
              <w:t>–</w:t>
            </w:r>
            <w:r w:rsidRPr="002B51BC">
              <w:t xml:space="preserve"> Rural Water Supply and Sanitation </w:t>
            </w:r>
          </w:p>
        </w:tc>
        <w:tc>
          <w:tcPr>
            <w:tcW w:w="1077" w:type="dxa"/>
            <w:vMerge w:val="restart"/>
            <w:hideMark/>
          </w:tcPr>
          <w:p w14:paraId="38949452" w14:textId="77777777" w:rsidR="00A44D0D" w:rsidRPr="002B51BC" w:rsidRDefault="00E36392" w:rsidP="004A1807">
            <w:pPr>
              <w:pStyle w:val="TableTextEntries"/>
              <w:rPr>
                <w:sz w:val="16"/>
                <w:szCs w:val="16"/>
              </w:rPr>
            </w:pPr>
            <w:r w:rsidRPr="002B51BC">
              <w:rPr>
                <w:sz w:val="16"/>
                <w:szCs w:val="16"/>
              </w:rPr>
              <w:t>07/10/</w:t>
            </w:r>
            <w:r w:rsidR="00A44D0D" w:rsidRPr="002B51BC">
              <w:rPr>
                <w:sz w:val="16"/>
                <w:szCs w:val="16"/>
              </w:rPr>
              <w:t>04</w:t>
            </w:r>
          </w:p>
        </w:tc>
        <w:tc>
          <w:tcPr>
            <w:tcW w:w="1077" w:type="dxa"/>
            <w:vMerge w:val="restart"/>
            <w:hideMark/>
          </w:tcPr>
          <w:p w14:paraId="370ADA11" w14:textId="77777777" w:rsidR="00A44D0D" w:rsidRPr="002B51BC" w:rsidRDefault="00E36392" w:rsidP="004A1807">
            <w:pPr>
              <w:pStyle w:val="TableTextEntries"/>
              <w:rPr>
                <w:sz w:val="16"/>
                <w:szCs w:val="16"/>
              </w:rPr>
            </w:pPr>
            <w:r w:rsidRPr="002B51BC">
              <w:rPr>
                <w:sz w:val="16"/>
                <w:szCs w:val="16"/>
              </w:rPr>
              <w:t>16/09/</w:t>
            </w:r>
            <w:r w:rsidR="00A44D0D" w:rsidRPr="002B51BC">
              <w:rPr>
                <w:sz w:val="16"/>
                <w:szCs w:val="16"/>
              </w:rPr>
              <w:t>12</w:t>
            </w:r>
          </w:p>
        </w:tc>
        <w:tc>
          <w:tcPr>
            <w:tcW w:w="1588" w:type="dxa"/>
            <w:vMerge w:val="restart"/>
            <w:hideMark/>
          </w:tcPr>
          <w:p w14:paraId="365C9492" w14:textId="65FE5040" w:rsidR="00A44D0D" w:rsidRPr="002B51BC" w:rsidRDefault="00A44D0D" w:rsidP="004A1807">
            <w:pPr>
              <w:pStyle w:val="TableTextEntries"/>
              <w:rPr>
                <w:sz w:val="16"/>
                <w:szCs w:val="16"/>
              </w:rPr>
            </w:pPr>
            <w:r w:rsidRPr="002B51BC">
              <w:rPr>
                <w:sz w:val="16"/>
                <w:szCs w:val="16"/>
              </w:rPr>
              <w:t>$41</w:t>
            </w:r>
            <w:r w:rsidR="00E36B98" w:rsidRPr="002B51BC">
              <w:rPr>
                <w:sz w:val="16"/>
                <w:szCs w:val="16"/>
              </w:rPr>
              <w:t xml:space="preserve"> </w:t>
            </w:r>
            <w:r w:rsidRPr="002B51BC">
              <w:rPr>
                <w:sz w:val="16"/>
                <w:szCs w:val="16"/>
              </w:rPr>
              <w:t>282</w:t>
            </w:r>
            <w:r w:rsidR="00E36B98" w:rsidRPr="002B51BC">
              <w:rPr>
                <w:sz w:val="16"/>
                <w:szCs w:val="16"/>
              </w:rPr>
              <w:t xml:space="preserve"> </w:t>
            </w:r>
            <w:r w:rsidRPr="002B51BC">
              <w:rPr>
                <w:sz w:val="16"/>
                <w:szCs w:val="16"/>
              </w:rPr>
              <w:t>303.80</w:t>
            </w:r>
          </w:p>
        </w:tc>
        <w:tc>
          <w:tcPr>
            <w:tcW w:w="680" w:type="dxa"/>
            <w:hideMark/>
          </w:tcPr>
          <w:p w14:paraId="18BC6914" w14:textId="77777777" w:rsidR="00A44D0D" w:rsidRPr="002B51BC" w:rsidRDefault="007143DE" w:rsidP="004A1807">
            <w:pPr>
              <w:pStyle w:val="TableTextEntries"/>
              <w:rPr>
                <w:sz w:val="16"/>
                <w:szCs w:val="16"/>
              </w:rPr>
            </w:pPr>
            <w:r w:rsidRPr="002B51BC">
              <w:rPr>
                <w:sz w:val="16"/>
                <w:szCs w:val="16"/>
              </w:rPr>
              <w:t>20</w:t>
            </w:r>
            <w:r w:rsidR="00A44D0D" w:rsidRPr="002B51BC">
              <w:rPr>
                <w:sz w:val="16"/>
                <w:szCs w:val="16"/>
              </w:rPr>
              <w:t>11</w:t>
            </w:r>
          </w:p>
        </w:tc>
        <w:tc>
          <w:tcPr>
            <w:tcW w:w="369" w:type="dxa"/>
            <w:shd w:val="clear" w:color="auto" w:fill="92D050"/>
            <w:noWrap/>
            <w:hideMark/>
          </w:tcPr>
          <w:p w14:paraId="0F17D50C" w14:textId="77777777" w:rsidR="00A44D0D" w:rsidRPr="002B51BC" w:rsidRDefault="00A44D0D" w:rsidP="004A1807">
            <w:pPr>
              <w:pStyle w:val="TableTextEntries"/>
            </w:pPr>
            <w:r w:rsidRPr="002B51BC">
              <w:rPr>
                <w:sz w:val="16"/>
                <w:szCs w:val="16"/>
              </w:rPr>
              <w:t>6</w:t>
            </w:r>
          </w:p>
        </w:tc>
        <w:tc>
          <w:tcPr>
            <w:tcW w:w="369" w:type="dxa"/>
            <w:shd w:val="clear" w:color="auto" w:fill="92D050"/>
            <w:noWrap/>
            <w:hideMark/>
          </w:tcPr>
          <w:p w14:paraId="2054EA5A"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noWrap/>
            <w:hideMark/>
          </w:tcPr>
          <w:p w14:paraId="74AF52FD" w14:textId="77777777" w:rsidR="00A44D0D" w:rsidRPr="002B51BC" w:rsidRDefault="00A44D0D" w:rsidP="004A1807">
            <w:pPr>
              <w:pStyle w:val="TableTextEntries"/>
              <w:rPr>
                <w:sz w:val="16"/>
                <w:szCs w:val="16"/>
              </w:rPr>
            </w:pPr>
            <w:r w:rsidRPr="002B51BC">
              <w:rPr>
                <w:sz w:val="16"/>
                <w:szCs w:val="16"/>
              </w:rPr>
              <w:t>6</w:t>
            </w:r>
          </w:p>
        </w:tc>
        <w:tc>
          <w:tcPr>
            <w:tcW w:w="369" w:type="dxa"/>
            <w:shd w:val="clear" w:color="auto" w:fill="92D050"/>
            <w:noWrap/>
            <w:hideMark/>
          </w:tcPr>
          <w:p w14:paraId="050F9B04"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noWrap/>
            <w:hideMark/>
          </w:tcPr>
          <w:p w14:paraId="42BA9988"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noWrap/>
            <w:hideMark/>
          </w:tcPr>
          <w:p w14:paraId="0BA0CF46" w14:textId="77777777" w:rsidR="00A44D0D" w:rsidRPr="002B51BC" w:rsidRDefault="00A44D0D" w:rsidP="004A1807">
            <w:pPr>
              <w:pStyle w:val="TableTextEntries"/>
              <w:rPr>
                <w:sz w:val="16"/>
                <w:szCs w:val="16"/>
              </w:rPr>
            </w:pPr>
            <w:r w:rsidRPr="002B51BC">
              <w:rPr>
                <w:sz w:val="16"/>
                <w:szCs w:val="16"/>
              </w:rPr>
              <w:t>5</w:t>
            </w:r>
          </w:p>
        </w:tc>
        <w:tc>
          <w:tcPr>
            <w:tcW w:w="369" w:type="dxa"/>
          </w:tcPr>
          <w:p w14:paraId="333C743E" w14:textId="77777777" w:rsidR="00A44D0D" w:rsidRPr="002B51BC" w:rsidRDefault="00A44D0D" w:rsidP="004A1807">
            <w:pPr>
              <w:pStyle w:val="TableTextEntries"/>
              <w:rPr>
                <w:sz w:val="16"/>
                <w:szCs w:val="16"/>
              </w:rPr>
            </w:pPr>
          </w:p>
        </w:tc>
      </w:tr>
      <w:tr w:rsidR="007B1585" w:rsidRPr="007B1585" w14:paraId="085FAB77"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hideMark/>
          </w:tcPr>
          <w:p w14:paraId="200F7232" w14:textId="77777777" w:rsidR="00A44D0D" w:rsidRPr="002B51BC" w:rsidRDefault="00A44D0D" w:rsidP="004A1807">
            <w:pPr>
              <w:pStyle w:val="TableTextEntries"/>
            </w:pPr>
          </w:p>
        </w:tc>
        <w:tc>
          <w:tcPr>
            <w:tcW w:w="1077" w:type="dxa"/>
            <w:vMerge/>
            <w:hideMark/>
          </w:tcPr>
          <w:p w14:paraId="0B9CBB57" w14:textId="77777777" w:rsidR="00A44D0D" w:rsidRPr="002B51BC" w:rsidRDefault="00A44D0D" w:rsidP="004A1807">
            <w:pPr>
              <w:pStyle w:val="TableTextEntries"/>
              <w:rPr>
                <w:sz w:val="16"/>
                <w:szCs w:val="16"/>
              </w:rPr>
            </w:pPr>
          </w:p>
        </w:tc>
        <w:tc>
          <w:tcPr>
            <w:tcW w:w="1077" w:type="dxa"/>
            <w:vMerge/>
            <w:hideMark/>
          </w:tcPr>
          <w:p w14:paraId="16CB9D8C" w14:textId="77777777" w:rsidR="00A44D0D" w:rsidRPr="002B51BC" w:rsidRDefault="00A44D0D" w:rsidP="004A1807">
            <w:pPr>
              <w:pStyle w:val="TableTextEntries"/>
              <w:rPr>
                <w:sz w:val="16"/>
                <w:szCs w:val="16"/>
              </w:rPr>
            </w:pPr>
          </w:p>
        </w:tc>
        <w:tc>
          <w:tcPr>
            <w:tcW w:w="1588" w:type="dxa"/>
            <w:vMerge/>
            <w:hideMark/>
          </w:tcPr>
          <w:p w14:paraId="1C67CC64" w14:textId="77777777" w:rsidR="00A44D0D" w:rsidRPr="002B51BC" w:rsidRDefault="00A44D0D" w:rsidP="004A1807">
            <w:pPr>
              <w:pStyle w:val="TableTextEntries"/>
              <w:rPr>
                <w:sz w:val="16"/>
                <w:szCs w:val="16"/>
              </w:rPr>
            </w:pPr>
          </w:p>
        </w:tc>
        <w:tc>
          <w:tcPr>
            <w:tcW w:w="680" w:type="dxa"/>
            <w:hideMark/>
          </w:tcPr>
          <w:p w14:paraId="5518EB93"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92D050"/>
            <w:noWrap/>
            <w:hideMark/>
          </w:tcPr>
          <w:p w14:paraId="381238AD" w14:textId="77777777" w:rsidR="00A44D0D" w:rsidRPr="002B51BC" w:rsidRDefault="00A44D0D" w:rsidP="004A1807">
            <w:pPr>
              <w:pStyle w:val="TableTextEntries"/>
              <w:rPr>
                <w:sz w:val="16"/>
                <w:szCs w:val="16"/>
              </w:rPr>
            </w:pPr>
            <w:r w:rsidRPr="002B51BC">
              <w:rPr>
                <w:sz w:val="16"/>
                <w:szCs w:val="16"/>
              </w:rPr>
              <w:t>6</w:t>
            </w:r>
          </w:p>
        </w:tc>
        <w:tc>
          <w:tcPr>
            <w:tcW w:w="369" w:type="dxa"/>
            <w:shd w:val="clear" w:color="auto" w:fill="92D050"/>
            <w:noWrap/>
            <w:hideMark/>
          </w:tcPr>
          <w:p w14:paraId="2E150942"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noWrap/>
            <w:hideMark/>
          </w:tcPr>
          <w:p w14:paraId="7810FC98"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noWrap/>
            <w:hideMark/>
          </w:tcPr>
          <w:p w14:paraId="3EB74855"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noWrap/>
            <w:hideMark/>
          </w:tcPr>
          <w:p w14:paraId="185EBB20"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noWrap/>
            <w:hideMark/>
          </w:tcPr>
          <w:p w14:paraId="053D70BA"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tcPr>
          <w:p w14:paraId="211A4898" w14:textId="77777777" w:rsidR="00A44D0D" w:rsidRPr="002B51BC" w:rsidRDefault="00A44D0D" w:rsidP="004A1807">
            <w:pPr>
              <w:pStyle w:val="TableTextEntries"/>
              <w:rPr>
                <w:sz w:val="16"/>
                <w:szCs w:val="16"/>
              </w:rPr>
            </w:pPr>
            <w:r w:rsidRPr="002B51BC">
              <w:rPr>
                <w:sz w:val="16"/>
                <w:szCs w:val="16"/>
              </w:rPr>
              <w:t>M</w:t>
            </w:r>
          </w:p>
        </w:tc>
      </w:tr>
      <w:tr w:rsidR="007B1585" w:rsidRPr="007B1585" w14:paraId="166D7798" w14:textId="77777777" w:rsidTr="004A1807">
        <w:trPr>
          <w:trHeight w:val="255"/>
          <w:tblHeader w:val="0"/>
        </w:trPr>
        <w:tc>
          <w:tcPr>
            <w:tcW w:w="1702" w:type="dxa"/>
            <w:vMerge w:val="restart"/>
            <w:hideMark/>
          </w:tcPr>
          <w:p w14:paraId="5941A934" w14:textId="77777777" w:rsidR="00A44D0D" w:rsidRPr="002B51BC" w:rsidRDefault="00A44D0D" w:rsidP="004A1807">
            <w:pPr>
              <w:pStyle w:val="TableTextEntries"/>
            </w:pPr>
            <w:r w:rsidRPr="002B51BC">
              <w:t xml:space="preserve">Seeds of Life </w:t>
            </w:r>
          </w:p>
        </w:tc>
        <w:tc>
          <w:tcPr>
            <w:tcW w:w="1077" w:type="dxa"/>
            <w:vMerge w:val="restart"/>
            <w:hideMark/>
          </w:tcPr>
          <w:p w14:paraId="470519D7" w14:textId="77777777" w:rsidR="00A44D0D" w:rsidRPr="002B51BC" w:rsidRDefault="00E36392" w:rsidP="004A1807">
            <w:pPr>
              <w:pStyle w:val="TableTextEntries"/>
              <w:rPr>
                <w:sz w:val="16"/>
                <w:szCs w:val="16"/>
              </w:rPr>
            </w:pPr>
            <w:r w:rsidRPr="002B51BC">
              <w:rPr>
                <w:sz w:val="16"/>
                <w:szCs w:val="16"/>
              </w:rPr>
              <w:t>22/04/</w:t>
            </w:r>
            <w:r w:rsidR="00A44D0D" w:rsidRPr="002B51BC">
              <w:rPr>
                <w:sz w:val="16"/>
                <w:szCs w:val="16"/>
              </w:rPr>
              <w:t>05</w:t>
            </w:r>
          </w:p>
        </w:tc>
        <w:tc>
          <w:tcPr>
            <w:tcW w:w="1077" w:type="dxa"/>
            <w:vMerge w:val="restart"/>
            <w:hideMark/>
          </w:tcPr>
          <w:p w14:paraId="29BD20CD" w14:textId="77777777" w:rsidR="00A44D0D" w:rsidRPr="002B51BC" w:rsidRDefault="00E36392" w:rsidP="004A1807">
            <w:pPr>
              <w:pStyle w:val="TableTextEntries"/>
              <w:rPr>
                <w:sz w:val="16"/>
                <w:szCs w:val="16"/>
              </w:rPr>
            </w:pPr>
            <w:r w:rsidRPr="002B51BC">
              <w:rPr>
                <w:sz w:val="16"/>
                <w:szCs w:val="16"/>
              </w:rPr>
              <w:t>30/06/</w:t>
            </w:r>
            <w:r w:rsidR="00A44D0D" w:rsidRPr="002B51BC">
              <w:rPr>
                <w:sz w:val="16"/>
                <w:szCs w:val="16"/>
              </w:rPr>
              <w:t>16</w:t>
            </w:r>
          </w:p>
        </w:tc>
        <w:tc>
          <w:tcPr>
            <w:tcW w:w="1588" w:type="dxa"/>
            <w:vMerge w:val="restart"/>
            <w:hideMark/>
          </w:tcPr>
          <w:p w14:paraId="57A02E31" w14:textId="50FE6FE2" w:rsidR="00A44D0D" w:rsidRPr="002B51BC" w:rsidRDefault="00A44D0D" w:rsidP="004A1807">
            <w:pPr>
              <w:pStyle w:val="TableTextEntries"/>
              <w:rPr>
                <w:sz w:val="16"/>
                <w:szCs w:val="16"/>
              </w:rPr>
            </w:pPr>
            <w:r w:rsidRPr="002B51BC">
              <w:rPr>
                <w:sz w:val="16"/>
                <w:szCs w:val="16"/>
              </w:rPr>
              <w:t>$32</w:t>
            </w:r>
            <w:r w:rsidR="00E36B98" w:rsidRPr="002B51BC">
              <w:rPr>
                <w:sz w:val="16"/>
                <w:szCs w:val="16"/>
              </w:rPr>
              <w:t xml:space="preserve"> </w:t>
            </w:r>
            <w:r w:rsidRPr="002B51BC">
              <w:rPr>
                <w:sz w:val="16"/>
                <w:szCs w:val="16"/>
              </w:rPr>
              <w:t>332</w:t>
            </w:r>
            <w:r w:rsidR="00E36B98" w:rsidRPr="002B51BC">
              <w:rPr>
                <w:sz w:val="16"/>
                <w:szCs w:val="16"/>
              </w:rPr>
              <w:t xml:space="preserve"> </w:t>
            </w:r>
            <w:r w:rsidRPr="002B51BC">
              <w:rPr>
                <w:sz w:val="16"/>
                <w:szCs w:val="16"/>
              </w:rPr>
              <w:t>718.69</w:t>
            </w:r>
          </w:p>
        </w:tc>
        <w:tc>
          <w:tcPr>
            <w:tcW w:w="680" w:type="dxa"/>
            <w:hideMark/>
          </w:tcPr>
          <w:p w14:paraId="3718DFD9" w14:textId="77777777" w:rsidR="00A44D0D" w:rsidRPr="002B51BC" w:rsidRDefault="00A44D0D" w:rsidP="004A1807">
            <w:pPr>
              <w:pStyle w:val="TableTextEntries"/>
              <w:rPr>
                <w:sz w:val="16"/>
                <w:szCs w:val="16"/>
              </w:rPr>
            </w:pPr>
            <w:r w:rsidRPr="002B51BC">
              <w:rPr>
                <w:sz w:val="16"/>
                <w:szCs w:val="16"/>
              </w:rPr>
              <w:t>2011</w:t>
            </w:r>
          </w:p>
        </w:tc>
        <w:tc>
          <w:tcPr>
            <w:tcW w:w="369" w:type="dxa"/>
            <w:shd w:val="clear" w:color="auto" w:fill="92D050"/>
            <w:noWrap/>
            <w:hideMark/>
          </w:tcPr>
          <w:p w14:paraId="50505DB3" w14:textId="77777777" w:rsidR="00A44D0D" w:rsidRPr="002B51BC" w:rsidRDefault="00A44D0D" w:rsidP="004A1807">
            <w:pPr>
              <w:pStyle w:val="TableTextEntries"/>
              <w:rPr>
                <w:sz w:val="16"/>
                <w:szCs w:val="16"/>
              </w:rPr>
            </w:pPr>
            <w:r w:rsidRPr="002B51BC">
              <w:rPr>
                <w:sz w:val="16"/>
                <w:szCs w:val="16"/>
              </w:rPr>
              <w:t>6</w:t>
            </w:r>
          </w:p>
        </w:tc>
        <w:tc>
          <w:tcPr>
            <w:tcW w:w="369" w:type="dxa"/>
            <w:shd w:val="clear" w:color="auto" w:fill="92D050"/>
            <w:noWrap/>
            <w:hideMark/>
          </w:tcPr>
          <w:p w14:paraId="36277C03"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noWrap/>
            <w:hideMark/>
          </w:tcPr>
          <w:p w14:paraId="23CD4CB8" w14:textId="77777777" w:rsidR="00A44D0D" w:rsidRPr="002B51BC" w:rsidRDefault="00A44D0D" w:rsidP="004A1807">
            <w:pPr>
              <w:pStyle w:val="TableTextEntries"/>
              <w:rPr>
                <w:sz w:val="16"/>
                <w:szCs w:val="16"/>
              </w:rPr>
            </w:pPr>
            <w:r w:rsidRPr="002B51BC">
              <w:rPr>
                <w:sz w:val="16"/>
                <w:szCs w:val="16"/>
              </w:rPr>
              <w:t>6</w:t>
            </w:r>
          </w:p>
        </w:tc>
        <w:tc>
          <w:tcPr>
            <w:tcW w:w="369" w:type="dxa"/>
            <w:shd w:val="clear" w:color="auto" w:fill="FFFF00"/>
            <w:noWrap/>
            <w:hideMark/>
          </w:tcPr>
          <w:p w14:paraId="1604E937"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FF00"/>
            <w:noWrap/>
            <w:hideMark/>
          </w:tcPr>
          <w:p w14:paraId="5573A990"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92D050"/>
            <w:noWrap/>
            <w:hideMark/>
          </w:tcPr>
          <w:p w14:paraId="513CD732" w14:textId="77777777" w:rsidR="00A44D0D" w:rsidRPr="002B51BC" w:rsidRDefault="00A44D0D" w:rsidP="004A1807">
            <w:pPr>
              <w:pStyle w:val="TableTextEntries"/>
              <w:rPr>
                <w:sz w:val="16"/>
                <w:szCs w:val="16"/>
              </w:rPr>
            </w:pPr>
            <w:r w:rsidRPr="002B51BC">
              <w:rPr>
                <w:sz w:val="16"/>
                <w:szCs w:val="16"/>
              </w:rPr>
              <w:t>5</w:t>
            </w:r>
          </w:p>
        </w:tc>
        <w:tc>
          <w:tcPr>
            <w:tcW w:w="369" w:type="dxa"/>
          </w:tcPr>
          <w:p w14:paraId="261889DC" w14:textId="77777777" w:rsidR="00A44D0D" w:rsidRPr="002B51BC" w:rsidRDefault="00A44D0D" w:rsidP="004A1807">
            <w:pPr>
              <w:pStyle w:val="TableTextEntries"/>
              <w:rPr>
                <w:sz w:val="16"/>
                <w:szCs w:val="16"/>
              </w:rPr>
            </w:pPr>
          </w:p>
        </w:tc>
      </w:tr>
      <w:tr w:rsidR="007B1585" w:rsidRPr="007B1585" w14:paraId="11F46F4A"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hideMark/>
          </w:tcPr>
          <w:p w14:paraId="0091BE51" w14:textId="77777777" w:rsidR="00A44D0D" w:rsidRPr="002B51BC" w:rsidRDefault="00A44D0D" w:rsidP="004A1807">
            <w:pPr>
              <w:pStyle w:val="TableTextEntries"/>
            </w:pPr>
          </w:p>
        </w:tc>
        <w:tc>
          <w:tcPr>
            <w:tcW w:w="1077" w:type="dxa"/>
            <w:vMerge/>
            <w:hideMark/>
          </w:tcPr>
          <w:p w14:paraId="723ED076" w14:textId="77777777" w:rsidR="00A44D0D" w:rsidRPr="002B51BC" w:rsidRDefault="00A44D0D" w:rsidP="004A1807">
            <w:pPr>
              <w:pStyle w:val="TableTextEntries"/>
              <w:rPr>
                <w:sz w:val="16"/>
                <w:szCs w:val="16"/>
              </w:rPr>
            </w:pPr>
          </w:p>
        </w:tc>
        <w:tc>
          <w:tcPr>
            <w:tcW w:w="1077" w:type="dxa"/>
            <w:vMerge/>
            <w:hideMark/>
          </w:tcPr>
          <w:p w14:paraId="6ED0310E" w14:textId="77777777" w:rsidR="00A44D0D" w:rsidRPr="002B51BC" w:rsidRDefault="00A44D0D" w:rsidP="004A1807">
            <w:pPr>
              <w:pStyle w:val="TableTextEntries"/>
              <w:rPr>
                <w:sz w:val="16"/>
                <w:szCs w:val="16"/>
              </w:rPr>
            </w:pPr>
          </w:p>
        </w:tc>
        <w:tc>
          <w:tcPr>
            <w:tcW w:w="1588" w:type="dxa"/>
            <w:vMerge/>
            <w:hideMark/>
          </w:tcPr>
          <w:p w14:paraId="43F6EAEF" w14:textId="77777777" w:rsidR="00A44D0D" w:rsidRPr="002B51BC" w:rsidRDefault="00A44D0D" w:rsidP="004A1807">
            <w:pPr>
              <w:pStyle w:val="TableTextEntries"/>
              <w:rPr>
                <w:sz w:val="16"/>
                <w:szCs w:val="16"/>
              </w:rPr>
            </w:pPr>
          </w:p>
        </w:tc>
        <w:tc>
          <w:tcPr>
            <w:tcW w:w="680" w:type="dxa"/>
            <w:hideMark/>
          </w:tcPr>
          <w:p w14:paraId="729FAE9C"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92D050"/>
            <w:noWrap/>
            <w:hideMark/>
          </w:tcPr>
          <w:p w14:paraId="72FA8410" w14:textId="77777777" w:rsidR="00A44D0D" w:rsidRPr="002B51BC" w:rsidRDefault="00A44D0D" w:rsidP="004A1807">
            <w:pPr>
              <w:pStyle w:val="TableTextEntries"/>
              <w:rPr>
                <w:sz w:val="16"/>
                <w:szCs w:val="16"/>
              </w:rPr>
            </w:pPr>
            <w:r w:rsidRPr="002B51BC">
              <w:rPr>
                <w:sz w:val="16"/>
                <w:szCs w:val="16"/>
              </w:rPr>
              <w:t>6</w:t>
            </w:r>
          </w:p>
        </w:tc>
        <w:tc>
          <w:tcPr>
            <w:tcW w:w="369" w:type="dxa"/>
            <w:shd w:val="clear" w:color="auto" w:fill="92D050"/>
            <w:noWrap/>
            <w:hideMark/>
          </w:tcPr>
          <w:p w14:paraId="0FA96183"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noWrap/>
            <w:hideMark/>
          </w:tcPr>
          <w:p w14:paraId="700E9044" w14:textId="77777777" w:rsidR="00A44D0D" w:rsidRPr="002B51BC" w:rsidRDefault="00A44D0D" w:rsidP="004A1807">
            <w:pPr>
              <w:pStyle w:val="TableTextEntries"/>
              <w:rPr>
                <w:sz w:val="16"/>
                <w:szCs w:val="16"/>
              </w:rPr>
            </w:pPr>
            <w:r w:rsidRPr="002B51BC">
              <w:rPr>
                <w:sz w:val="16"/>
                <w:szCs w:val="16"/>
              </w:rPr>
              <w:t>6</w:t>
            </w:r>
          </w:p>
        </w:tc>
        <w:tc>
          <w:tcPr>
            <w:tcW w:w="369" w:type="dxa"/>
            <w:shd w:val="clear" w:color="auto" w:fill="FFFF00"/>
            <w:noWrap/>
            <w:hideMark/>
          </w:tcPr>
          <w:p w14:paraId="79C16AF3"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92D050"/>
            <w:noWrap/>
            <w:hideMark/>
          </w:tcPr>
          <w:p w14:paraId="0C30DC00"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FFFF00"/>
            <w:noWrap/>
            <w:hideMark/>
          </w:tcPr>
          <w:p w14:paraId="497498E2"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tcPr>
          <w:p w14:paraId="1919E860" w14:textId="77777777" w:rsidR="00A44D0D" w:rsidRPr="002B51BC" w:rsidRDefault="00A44D0D" w:rsidP="004A1807">
            <w:pPr>
              <w:pStyle w:val="TableTextEntries"/>
              <w:rPr>
                <w:sz w:val="16"/>
                <w:szCs w:val="16"/>
              </w:rPr>
            </w:pPr>
            <w:r w:rsidRPr="002B51BC">
              <w:rPr>
                <w:sz w:val="16"/>
                <w:szCs w:val="16"/>
              </w:rPr>
              <w:t>I</w:t>
            </w:r>
          </w:p>
        </w:tc>
      </w:tr>
      <w:tr w:rsidR="007B1585" w:rsidRPr="007B1585" w14:paraId="049E9608" w14:textId="77777777" w:rsidTr="004A1807">
        <w:trPr>
          <w:trHeight w:val="255"/>
          <w:tblHeader w:val="0"/>
        </w:trPr>
        <w:tc>
          <w:tcPr>
            <w:tcW w:w="1702" w:type="dxa"/>
            <w:vMerge w:val="restart"/>
            <w:hideMark/>
          </w:tcPr>
          <w:p w14:paraId="695E1723" w14:textId="77777777" w:rsidR="00A44D0D" w:rsidRPr="002B51BC" w:rsidRDefault="00A44D0D" w:rsidP="004A1807">
            <w:pPr>
              <w:pStyle w:val="TableTextEntries"/>
            </w:pPr>
            <w:r w:rsidRPr="002B51BC">
              <w:t>Public Sector Linkages Program</w:t>
            </w:r>
          </w:p>
        </w:tc>
        <w:tc>
          <w:tcPr>
            <w:tcW w:w="1077" w:type="dxa"/>
            <w:vMerge w:val="restart"/>
            <w:hideMark/>
          </w:tcPr>
          <w:p w14:paraId="59AA8ED4" w14:textId="77777777" w:rsidR="00A44D0D" w:rsidRPr="002B51BC" w:rsidRDefault="00E36392" w:rsidP="004A1807">
            <w:pPr>
              <w:pStyle w:val="TableTextEntries"/>
              <w:rPr>
                <w:sz w:val="16"/>
                <w:szCs w:val="16"/>
              </w:rPr>
            </w:pPr>
            <w:r w:rsidRPr="002B51BC">
              <w:rPr>
                <w:sz w:val="16"/>
                <w:szCs w:val="16"/>
              </w:rPr>
              <w:t>28/04/</w:t>
            </w:r>
            <w:r w:rsidR="00A44D0D" w:rsidRPr="002B51BC">
              <w:rPr>
                <w:sz w:val="16"/>
                <w:szCs w:val="16"/>
              </w:rPr>
              <w:t>05</w:t>
            </w:r>
          </w:p>
        </w:tc>
        <w:tc>
          <w:tcPr>
            <w:tcW w:w="1077" w:type="dxa"/>
            <w:vMerge w:val="restart"/>
            <w:hideMark/>
          </w:tcPr>
          <w:p w14:paraId="7F36312E" w14:textId="77777777" w:rsidR="00A44D0D" w:rsidRPr="002B51BC" w:rsidRDefault="00E36392" w:rsidP="004A1807">
            <w:pPr>
              <w:pStyle w:val="TableTextEntries"/>
              <w:rPr>
                <w:sz w:val="16"/>
                <w:szCs w:val="16"/>
              </w:rPr>
            </w:pPr>
            <w:r w:rsidRPr="002B51BC">
              <w:rPr>
                <w:sz w:val="16"/>
                <w:szCs w:val="16"/>
              </w:rPr>
              <w:t>30/06/</w:t>
            </w:r>
            <w:r w:rsidR="00A44D0D" w:rsidRPr="002B51BC">
              <w:rPr>
                <w:sz w:val="16"/>
                <w:szCs w:val="16"/>
              </w:rPr>
              <w:t>13</w:t>
            </w:r>
          </w:p>
        </w:tc>
        <w:tc>
          <w:tcPr>
            <w:tcW w:w="1588" w:type="dxa"/>
            <w:vMerge w:val="restart"/>
            <w:hideMark/>
          </w:tcPr>
          <w:p w14:paraId="5D09AD91" w14:textId="2C02C61A" w:rsidR="00A44D0D" w:rsidRPr="002B51BC" w:rsidRDefault="00A44D0D" w:rsidP="004A1807">
            <w:pPr>
              <w:pStyle w:val="TableTextEntries"/>
              <w:rPr>
                <w:sz w:val="16"/>
                <w:szCs w:val="16"/>
              </w:rPr>
            </w:pPr>
            <w:r w:rsidRPr="002B51BC">
              <w:rPr>
                <w:sz w:val="16"/>
                <w:szCs w:val="16"/>
              </w:rPr>
              <w:t>$6</w:t>
            </w:r>
            <w:r w:rsidR="00E36B98" w:rsidRPr="002B51BC">
              <w:rPr>
                <w:sz w:val="16"/>
                <w:szCs w:val="16"/>
              </w:rPr>
              <w:t xml:space="preserve"> </w:t>
            </w:r>
            <w:r w:rsidRPr="002B51BC">
              <w:rPr>
                <w:sz w:val="16"/>
                <w:szCs w:val="16"/>
              </w:rPr>
              <w:t>981</w:t>
            </w:r>
            <w:r w:rsidR="00E36B98" w:rsidRPr="002B51BC">
              <w:rPr>
                <w:sz w:val="16"/>
                <w:szCs w:val="16"/>
              </w:rPr>
              <w:t xml:space="preserve"> </w:t>
            </w:r>
            <w:r w:rsidRPr="002B51BC">
              <w:rPr>
                <w:sz w:val="16"/>
                <w:szCs w:val="16"/>
              </w:rPr>
              <w:t>279.29</w:t>
            </w:r>
          </w:p>
        </w:tc>
        <w:tc>
          <w:tcPr>
            <w:tcW w:w="680" w:type="dxa"/>
            <w:hideMark/>
          </w:tcPr>
          <w:p w14:paraId="57547741" w14:textId="77777777" w:rsidR="00A44D0D" w:rsidRPr="002B51BC" w:rsidRDefault="00A44D0D" w:rsidP="004A1807">
            <w:pPr>
              <w:pStyle w:val="TableTextEntries"/>
              <w:rPr>
                <w:sz w:val="16"/>
                <w:szCs w:val="16"/>
              </w:rPr>
            </w:pPr>
            <w:r w:rsidRPr="002B51BC">
              <w:rPr>
                <w:sz w:val="16"/>
                <w:szCs w:val="16"/>
              </w:rPr>
              <w:t>2011</w:t>
            </w:r>
          </w:p>
        </w:tc>
        <w:tc>
          <w:tcPr>
            <w:tcW w:w="369" w:type="dxa"/>
            <w:shd w:val="clear" w:color="auto" w:fill="FFFF00"/>
            <w:noWrap/>
            <w:hideMark/>
          </w:tcPr>
          <w:p w14:paraId="5E6FE1D0"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noWrap/>
            <w:hideMark/>
          </w:tcPr>
          <w:p w14:paraId="0536C34E"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20EF398A"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147F3170"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79646" w:themeFill="accent6"/>
            <w:noWrap/>
            <w:hideMark/>
          </w:tcPr>
          <w:p w14:paraId="6E98420B"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622A8E37" w14:textId="77777777" w:rsidR="00A44D0D" w:rsidRPr="002B51BC" w:rsidRDefault="00A44D0D" w:rsidP="004A1807">
            <w:pPr>
              <w:pStyle w:val="TableTextEntries"/>
              <w:rPr>
                <w:sz w:val="16"/>
                <w:szCs w:val="16"/>
              </w:rPr>
            </w:pPr>
            <w:r w:rsidRPr="002B51BC">
              <w:rPr>
                <w:sz w:val="16"/>
                <w:szCs w:val="16"/>
              </w:rPr>
              <w:t>3</w:t>
            </w:r>
          </w:p>
        </w:tc>
        <w:tc>
          <w:tcPr>
            <w:tcW w:w="369" w:type="dxa"/>
          </w:tcPr>
          <w:p w14:paraId="159EB551" w14:textId="77777777" w:rsidR="00A44D0D" w:rsidRPr="002B51BC" w:rsidRDefault="00A44D0D" w:rsidP="004A1807">
            <w:pPr>
              <w:pStyle w:val="TableTextEntries"/>
              <w:rPr>
                <w:sz w:val="16"/>
                <w:szCs w:val="16"/>
              </w:rPr>
            </w:pPr>
          </w:p>
        </w:tc>
      </w:tr>
      <w:tr w:rsidR="007B1585" w:rsidRPr="007B1585" w14:paraId="0648B561"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hideMark/>
          </w:tcPr>
          <w:p w14:paraId="52EE6DD2" w14:textId="77777777" w:rsidR="00A44D0D" w:rsidRPr="002B51BC" w:rsidRDefault="00A44D0D" w:rsidP="004A1807">
            <w:pPr>
              <w:pStyle w:val="TableTextEntries"/>
            </w:pPr>
          </w:p>
        </w:tc>
        <w:tc>
          <w:tcPr>
            <w:tcW w:w="1077" w:type="dxa"/>
            <w:vMerge/>
            <w:hideMark/>
          </w:tcPr>
          <w:p w14:paraId="1FF804FB" w14:textId="77777777" w:rsidR="00A44D0D" w:rsidRPr="002B51BC" w:rsidRDefault="00A44D0D" w:rsidP="004A1807">
            <w:pPr>
              <w:pStyle w:val="TableTextEntries"/>
              <w:rPr>
                <w:sz w:val="16"/>
                <w:szCs w:val="16"/>
              </w:rPr>
            </w:pPr>
          </w:p>
        </w:tc>
        <w:tc>
          <w:tcPr>
            <w:tcW w:w="1077" w:type="dxa"/>
            <w:vMerge/>
            <w:hideMark/>
          </w:tcPr>
          <w:p w14:paraId="08E3D60C" w14:textId="77777777" w:rsidR="00A44D0D" w:rsidRPr="002B51BC" w:rsidRDefault="00A44D0D" w:rsidP="004A1807">
            <w:pPr>
              <w:pStyle w:val="TableTextEntries"/>
              <w:rPr>
                <w:sz w:val="16"/>
                <w:szCs w:val="16"/>
              </w:rPr>
            </w:pPr>
          </w:p>
        </w:tc>
        <w:tc>
          <w:tcPr>
            <w:tcW w:w="1588" w:type="dxa"/>
            <w:vMerge/>
            <w:hideMark/>
          </w:tcPr>
          <w:p w14:paraId="27973B11" w14:textId="77777777" w:rsidR="00A44D0D" w:rsidRPr="002B51BC" w:rsidRDefault="00A44D0D" w:rsidP="004A1807">
            <w:pPr>
              <w:pStyle w:val="TableTextEntries"/>
              <w:rPr>
                <w:sz w:val="16"/>
                <w:szCs w:val="16"/>
              </w:rPr>
            </w:pPr>
          </w:p>
        </w:tc>
        <w:tc>
          <w:tcPr>
            <w:tcW w:w="680" w:type="dxa"/>
            <w:hideMark/>
          </w:tcPr>
          <w:p w14:paraId="6FC1B132"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FF0000"/>
            <w:noWrap/>
            <w:hideMark/>
          </w:tcPr>
          <w:p w14:paraId="74B7C9F1"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79646" w:themeFill="accent6"/>
            <w:noWrap/>
            <w:hideMark/>
          </w:tcPr>
          <w:p w14:paraId="49CB0947"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0D2FC3D6"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7C789073"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F0000"/>
            <w:noWrap/>
            <w:hideMark/>
          </w:tcPr>
          <w:p w14:paraId="384A9652"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F0000"/>
            <w:noWrap/>
            <w:hideMark/>
          </w:tcPr>
          <w:p w14:paraId="20759C16"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79646" w:themeFill="accent6"/>
          </w:tcPr>
          <w:p w14:paraId="5AF1B8BB" w14:textId="77777777" w:rsidR="00A44D0D" w:rsidRPr="002B51BC" w:rsidRDefault="00A44D0D" w:rsidP="004A1807">
            <w:pPr>
              <w:pStyle w:val="TableTextEntries"/>
              <w:rPr>
                <w:sz w:val="16"/>
                <w:szCs w:val="16"/>
              </w:rPr>
            </w:pPr>
            <w:r w:rsidRPr="002B51BC">
              <w:rPr>
                <w:sz w:val="16"/>
                <w:szCs w:val="16"/>
              </w:rPr>
              <w:t>I</w:t>
            </w:r>
          </w:p>
        </w:tc>
      </w:tr>
      <w:tr w:rsidR="007B1585" w:rsidRPr="007B1585" w14:paraId="02CABD05" w14:textId="77777777" w:rsidTr="004A1807">
        <w:trPr>
          <w:trHeight w:val="450"/>
          <w:tblHeader w:val="0"/>
        </w:trPr>
        <w:tc>
          <w:tcPr>
            <w:tcW w:w="1702" w:type="dxa"/>
            <w:hideMark/>
          </w:tcPr>
          <w:p w14:paraId="2E62FCBE" w14:textId="0176A3B3" w:rsidR="00A44D0D" w:rsidRPr="002B51BC" w:rsidRDefault="00A44D0D" w:rsidP="004A1807">
            <w:pPr>
              <w:pStyle w:val="TableTextEntries"/>
            </w:pPr>
            <w:r w:rsidRPr="002B51BC">
              <w:t xml:space="preserve">Public Sector Capacity Development Program </w:t>
            </w:r>
          </w:p>
        </w:tc>
        <w:tc>
          <w:tcPr>
            <w:tcW w:w="1077" w:type="dxa"/>
            <w:hideMark/>
          </w:tcPr>
          <w:p w14:paraId="2686C8D6" w14:textId="77777777" w:rsidR="00A44D0D" w:rsidRPr="002B51BC" w:rsidRDefault="00E36392" w:rsidP="004A1807">
            <w:pPr>
              <w:pStyle w:val="TableTextEntries"/>
              <w:rPr>
                <w:sz w:val="16"/>
                <w:szCs w:val="16"/>
              </w:rPr>
            </w:pPr>
            <w:r w:rsidRPr="002B51BC">
              <w:rPr>
                <w:sz w:val="16"/>
                <w:szCs w:val="16"/>
              </w:rPr>
              <w:t>03/01/</w:t>
            </w:r>
            <w:r w:rsidR="00A44D0D" w:rsidRPr="002B51BC">
              <w:rPr>
                <w:sz w:val="16"/>
                <w:szCs w:val="16"/>
              </w:rPr>
              <w:t>06</w:t>
            </w:r>
          </w:p>
        </w:tc>
        <w:tc>
          <w:tcPr>
            <w:tcW w:w="1077" w:type="dxa"/>
            <w:hideMark/>
          </w:tcPr>
          <w:p w14:paraId="1BD37BFB" w14:textId="77777777" w:rsidR="00A44D0D" w:rsidRPr="002B51BC" w:rsidRDefault="00E36392" w:rsidP="004A1807">
            <w:pPr>
              <w:pStyle w:val="TableTextEntries"/>
              <w:rPr>
                <w:sz w:val="16"/>
                <w:szCs w:val="16"/>
              </w:rPr>
            </w:pPr>
            <w:r w:rsidRPr="002B51BC">
              <w:rPr>
                <w:sz w:val="16"/>
                <w:szCs w:val="16"/>
              </w:rPr>
              <w:t>31/08/</w:t>
            </w:r>
            <w:r w:rsidR="00A44D0D" w:rsidRPr="002B51BC">
              <w:rPr>
                <w:sz w:val="16"/>
                <w:szCs w:val="16"/>
              </w:rPr>
              <w:t>12</w:t>
            </w:r>
          </w:p>
        </w:tc>
        <w:tc>
          <w:tcPr>
            <w:tcW w:w="1588" w:type="dxa"/>
            <w:hideMark/>
          </w:tcPr>
          <w:p w14:paraId="1B48158A" w14:textId="2D338E30" w:rsidR="00A44D0D" w:rsidRPr="002B51BC" w:rsidRDefault="00A44D0D" w:rsidP="004A1807">
            <w:pPr>
              <w:pStyle w:val="TableTextEntries"/>
              <w:rPr>
                <w:sz w:val="16"/>
                <w:szCs w:val="16"/>
              </w:rPr>
            </w:pPr>
            <w:r w:rsidRPr="002B51BC">
              <w:rPr>
                <w:sz w:val="16"/>
                <w:szCs w:val="16"/>
              </w:rPr>
              <w:t>$40</w:t>
            </w:r>
            <w:r w:rsidR="00E36B98" w:rsidRPr="002B51BC">
              <w:rPr>
                <w:sz w:val="16"/>
                <w:szCs w:val="16"/>
              </w:rPr>
              <w:t xml:space="preserve"> </w:t>
            </w:r>
            <w:r w:rsidRPr="002B51BC">
              <w:rPr>
                <w:sz w:val="16"/>
                <w:szCs w:val="16"/>
              </w:rPr>
              <w:t>318</w:t>
            </w:r>
            <w:r w:rsidR="00E36B98" w:rsidRPr="002B51BC">
              <w:rPr>
                <w:sz w:val="16"/>
                <w:szCs w:val="16"/>
              </w:rPr>
              <w:t xml:space="preserve"> </w:t>
            </w:r>
            <w:r w:rsidRPr="002B51BC">
              <w:rPr>
                <w:sz w:val="16"/>
                <w:szCs w:val="16"/>
              </w:rPr>
              <w:t>559.38</w:t>
            </w:r>
          </w:p>
        </w:tc>
        <w:tc>
          <w:tcPr>
            <w:tcW w:w="680" w:type="dxa"/>
            <w:hideMark/>
          </w:tcPr>
          <w:p w14:paraId="376F224E" w14:textId="77777777" w:rsidR="00A44D0D" w:rsidRPr="002B51BC" w:rsidRDefault="00A44D0D" w:rsidP="004A1807">
            <w:pPr>
              <w:pStyle w:val="TableTextEntries"/>
              <w:rPr>
                <w:sz w:val="16"/>
                <w:szCs w:val="16"/>
              </w:rPr>
            </w:pPr>
            <w:r w:rsidRPr="002B51BC">
              <w:rPr>
                <w:sz w:val="16"/>
                <w:szCs w:val="16"/>
              </w:rPr>
              <w:t>2011</w:t>
            </w:r>
          </w:p>
        </w:tc>
        <w:tc>
          <w:tcPr>
            <w:tcW w:w="369" w:type="dxa"/>
            <w:shd w:val="clear" w:color="auto" w:fill="F79646" w:themeFill="accent6"/>
            <w:noWrap/>
            <w:hideMark/>
          </w:tcPr>
          <w:p w14:paraId="3D83D5A4"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05A7BD1D"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0F0EAE6C"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41461125"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79646" w:themeFill="accent6"/>
            <w:noWrap/>
            <w:hideMark/>
          </w:tcPr>
          <w:p w14:paraId="380C7CDA"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521E8AD1" w14:textId="77777777" w:rsidR="00A44D0D" w:rsidRPr="002B51BC" w:rsidRDefault="00A44D0D" w:rsidP="004A1807">
            <w:pPr>
              <w:pStyle w:val="TableTextEntries"/>
              <w:rPr>
                <w:sz w:val="16"/>
                <w:szCs w:val="16"/>
              </w:rPr>
            </w:pPr>
            <w:r w:rsidRPr="002B51BC">
              <w:rPr>
                <w:sz w:val="16"/>
                <w:szCs w:val="16"/>
              </w:rPr>
              <w:t>2</w:t>
            </w:r>
          </w:p>
        </w:tc>
        <w:tc>
          <w:tcPr>
            <w:tcW w:w="369" w:type="dxa"/>
          </w:tcPr>
          <w:p w14:paraId="78C042AC" w14:textId="77777777" w:rsidR="00A44D0D" w:rsidRPr="002B51BC" w:rsidRDefault="00A44D0D" w:rsidP="004A1807">
            <w:pPr>
              <w:pStyle w:val="TableTextEntries"/>
              <w:rPr>
                <w:sz w:val="16"/>
                <w:szCs w:val="16"/>
              </w:rPr>
            </w:pPr>
          </w:p>
        </w:tc>
      </w:tr>
      <w:tr w:rsidR="007B1585" w:rsidRPr="007B1585" w14:paraId="7533F5A5"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hideMark/>
          </w:tcPr>
          <w:p w14:paraId="36C21819" w14:textId="77777777" w:rsidR="00A44D0D" w:rsidRPr="002B51BC" w:rsidRDefault="00A44D0D" w:rsidP="004A1807">
            <w:pPr>
              <w:pStyle w:val="TableTextEntries"/>
            </w:pPr>
            <w:r w:rsidRPr="002B51BC">
              <w:t>ATLASS - Specialised Medical Services Program</w:t>
            </w:r>
          </w:p>
        </w:tc>
        <w:tc>
          <w:tcPr>
            <w:tcW w:w="1077" w:type="dxa"/>
            <w:hideMark/>
          </w:tcPr>
          <w:p w14:paraId="4F234229" w14:textId="77777777" w:rsidR="00A44D0D" w:rsidRPr="002B51BC" w:rsidRDefault="00E36392" w:rsidP="004A1807">
            <w:pPr>
              <w:pStyle w:val="TableTextEntries"/>
              <w:rPr>
                <w:sz w:val="16"/>
                <w:szCs w:val="16"/>
              </w:rPr>
            </w:pPr>
            <w:r w:rsidRPr="002B51BC">
              <w:rPr>
                <w:sz w:val="16"/>
                <w:szCs w:val="16"/>
              </w:rPr>
              <w:t>01/02/</w:t>
            </w:r>
            <w:r w:rsidR="00A44D0D" w:rsidRPr="002B51BC">
              <w:rPr>
                <w:sz w:val="16"/>
                <w:szCs w:val="16"/>
              </w:rPr>
              <w:t>06</w:t>
            </w:r>
          </w:p>
        </w:tc>
        <w:tc>
          <w:tcPr>
            <w:tcW w:w="1077" w:type="dxa"/>
            <w:hideMark/>
          </w:tcPr>
          <w:p w14:paraId="16AE0FE4" w14:textId="77777777" w:rsidR="00A44D0D" w:rsidRPr="002B51BC" w:rsidRDefault="00A44D0D" w:rsidP="004A1807">
            <w:pPr>
              <w:pStyle w:val="TableTextEntries"/>
              <w:rPr>
                <w:sz w:val="16"/>
                <w:szCs w:val="16"/>
              </w:rPr>
            </w:pPr>
            <w:r w:rsidRPr="002B51BC">
              <w:rPr>
                <w:sz w:val="16"/>
                <w:szCs w:val="16"/>
              </w:rPr>
              <w:t>30/06/12</w:t>
            </w:r>
          </w:p>
        </w:tc>
        <w:tc>
          <w:tcPr>
            <w:tcW w:w="1588" w:type="dxa"/>
            <w:hideMark/>
          </w:tcPr>
          <w:p w14:paraId="2EA44E02" w14:textId="68DC4346" w:rsidR="00A44D0D" w:rsidRPr="002B51BC" w:rsidRDefault="00A44D0D" w:rsidP="004A1807">
            <w:pPr>
              <w:pStyle w:val="TableTextEntries"/>
              <w:rPr>
                <w:sz w:val="16"/>
                <w:szCs w:val="16"/>
              </w:rPr>
            </w:pPr>
            <w:r w:rsidRPr="002B51BC">
              <w:rPr>
                <w:sz w:val="16"/>
                <w:szCs w:val="16"/>
              </w:rPr>
              <w:t>$9</w:t>
            </w:r>
            <w:r w:rsidR="00E36B98" w:rsidRPr="002B51BC">
              <w:rPr>
                <w:sz w:val="16"/>
                <w:szCs w:val="16"/>
              </w:rPr>
              <w:t xml:space="preserve"> </w:t>
            </w:r>
            <w:r w:rsidRPr="002B51BC">
              <w:rPr>
                <w:sz w:val="16"/>
                <w:szCs w:val="16"/>
              </w:rPr>
              <w:t>582</w:t>
            </w:r>
            <w:r w:rsidR="00E36B98" w:rsidRPr="002B51BC">
              <w:rPr>
                <w:sz w:val="16"/>
                <w:szCs w:val="16"/>
              </w:rPr>
              <w:t xml:space="preserve"> </w:t>
            </w:r>
            <w:r w:rsidRPr="002B51BC">
              <w:rPr>
                <w:sz w:val="16"/>
                <w:szCs w:val="16"/>
              </w:rPr>
              <w:t>036.58</w:t>
            </w:r>
          </w:p>
        </w:tc>
        <w:tc>
          <w:tcPr>
            <w:tcW w:w="680" w:type="dxa"/>
            <w:hideMark/>
          </w:tcPr>
          <w:p w14:paraId="705174B2" w14:textId="77777777" w:rsidR="00A44D0D" w:rsidRPr="002B51BC" w:rsidRDefault="00A44D0D" w:rsidP="004A1807">
            <w:pPr>
              <w:pStyle w:val="TableTextEntries"/>
              <w:rPr>
                <w:sz w:val="16"/>
                <w:szCs w:val="16"/>
              </w:rPr>
            </w:pPr>
            <w:r w:rsidRPr="002B51BC">
              <w:rPr>
                <w:sz w:val="16"/>
                <w:szCs w:val="16"/>
              </w:rPr>
              <w:t>2011</w:t>
            </w:r>
          </w:p>
        </w:tc>
        <w:tc>
          <w:tcPr>
            <w:tcW w:w="369" w:type="dxa"/>
            <w:shd w:val="clear" w:color="auto" w:fill="FFFF00"/>
            <w:noWrap/>
            <w:hideMark/>
          </w:tcPr>
          <w:p w14:paraId="7FF6C5EC"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FF00"/>
            <w:noWrap/>
            <w:hideMark/>
          </w:tcPr>
          <w:p w14:paraId="3913F947"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92D050"/>
            <w:noWrap/>
            <w:hideMark/>
          </w:tcPr>
          <w:p w14:paraId="4E4EED16"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F79646" w:themeFill="accent6"/>
            <w:noWrap/>
            <w:hideMark/>
          </w:tcPr>
          <w:p w14:paraId="44EA4C18"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6B760C28"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FF00"/>
            <w:noWrap/>
            <w:hideMark/>
          </w:tcPr>
          <w:p w14:paraId="2ABD59C3" w14:textId="77777777" w:rsidR="00A44D0D" w:rsidRPr="002B51BC" w:rsidRDefault="00A44D0D" w:rsidP="004A1807">
            <w:pPr>
              <w:pStyle w:val="TableTextEntries"/>
              <w:rPr>
                <w:sz w:val="16"/>
                <w:szCs w:val="16"/>
              </w:rPr>
            </w:pPr>
            <w:r w:rsidRPr="002B51BC">
              <w:rPr>
                <w:sz w:val="16"/>
                <w:szCs w:val="16"/>
              </w:rPr>
              <w:t>4</w:t>
            </w:r>
          </w:p>
        </w:tc>
        <w:tc>
          <w:tcPr>
            <w:tcW w:w="369" w:type="dxa"/>
          </w:tcPr>
          <w:p w14:paraId="3D2951CD" w14:textId="77777777" w:rsidR="00A44D0D" w:rsidRPr="002B51BC" w:rsidRDefault="00A44D0D" w:rsidP="004A1807">
            <w:pPr>
              <w:pStyle w:val="TableTextEntries"/>
              <w:rPr>
                <w:sz w:val="16"/>
                <w:szCs w:val="16"/>
              </w:rPr>
            </w:pPr>
          </w:p>
        </w:tc>
      </w:tr>
      <w:tr w:rsidR="007B1585" w:rsidRPr="007B1585" w14:paraId="68EF94EE" w14:textId="77777777" w:rsidTr="004A1807">
        <w:trPr>
          <w:trHeight w:val="255"/>
          <w:tblHeader w:val="0"/>
        </w:trPr>
        <w:tc>
          <w:tcPr>
            <w:tcW w:w="1702" w:type="dxa"/>
            <w:vMerge w:val="restart"/>
            <w:hideMark/>
          </w:tcPr>
          <w:p w14:paraId="6563A26A" w14:textId="650DD2D5" w:rsidR="00A44D0D" w:rsidRPr="002B51BC" w:rsidRDefault="00A44D0D" w:rsidP="004A1807">
            <w:pPr>
              <w:pStyle w:val="TableTextEntries"/>
            </w:pPr>
            <w:r w:rsidRPr="002B51BC">
              <w:t>East Timor Emerging Infectious Diseases</w:t>
            </w:r>
          </w:p>
        </w:tc>
        <w:tc>
          <w:tcPr>
            <w:tcW w:w="1077" w:type="dxa"/>
            <w:vMerge w:val="restart"/>
            <w:hideMark/>
          </w:tcPr>
          <w:p w14:paraId="3A5AB6DE" w14:textId="77777777" w:rsidR="00A44D0D" w:rsidRPr="002B51BC" w:rsidRDefault="00E36392" w:rsidP="004A1807">
            <w:pPr>
              <w:pStyle w:val="TableTextEntries"/>
              <w:rPr>
                <w:sz w:val="16"/>
                <w:szCs w:val="16"/>
              </w:rPr>
            </w:pPr>
            <w:r w:rsidRPr="002B51BC">
              <w:rPr>
                <w:sz w:val="16"/>
                <w:szCs w:val="16"/>
              </w:rPr>
              <w:t>01/11/</w:t>
            </w:r>
            <w:r w:rsidR="00A44D0D" w:rsidRPr="002B51BC">
              <w:rPr>
                <w:sz w:val="16"/>
                <w:szCs w:val="16"/>
              </w:rPr>
              <w:t>06</w:t>
            </w:r>
          </w:p>
        </w:tc>
        <w:tc>
          <w:tcPr>
            <w:tcW w:w="1077" w:type="dxa"/>
            <w:vMerge w:val="restart"/>
            <w:hideMark/>
          </w:tcPr>
          <w:p w14:paraId="45262DE0" w14:textId="77777777" w:rsidR="00A44D0D" w:rsidRPr="002B51BC" w:rsidRDefault="00E36392" w:rsidP="004A1807">
            <w:pPr>
              <w:pStyle w:val="TableTextEntries"/>
              <w:rPr>
                <w:sz w:val="16"/>
                <w:szCs w:val="16"/>
              </w:rPr>
            </w:pPr>
            <w:r w:rsidRPr="002B51BC">
              <w:rPr>
                <w:sz w:val="16"/>
                <w:szCs w:val="16"/>
              </w:rPr>
              <w:t>31/12/</w:t>
            </w:r>
            <w:r w:rsidR="00A44D0D" w:rsidRPr="002B51BC">
              <w:rPr>
                <w:sz w:val="16"/>
                <w:szCs w:val="16"/>
              </w:rPr>
              <w:t>12</w:t>
            </w:r>
          </w:p>
        </w:tc>
        <w:tc>
          <w:tcPr>
            <w:tcW w:w="1588" w:type="dxa"/>
            <w:vMerge w:val="restart"/>
            <w:hideMark/>
          </w:tcPr>
          <w:p w14:paraId="64BAD24C" w14:textId="5BF02CB1" w:rsidR="00A44D0D" w:rsidRPr="002B51BC" w:rsidRDefault="00A44D0D" w:rsidP="004A1807">
            <w:pPr>
              <w:pStyle w:val="TableTextEntries"/>
              <w:rPr>
                <w:sz w:val="16"/>
                <w:szCs w:val="16"/>
              </w:rPr>
            </w:pPr>
            <w:r w:rsidRPr="002B51BC">
              <w:rPr>
                <w:sz w:val="16"/>
                <w:szCs w:val="16"/>
              </w:rPr>
              <w:t>$5</w:t>
            </w:r>
            <w:r w:rsidR="00E36B98" w:rsidRPr="002B51BC">
              <w:rPr>
                <w:sz w:val="16"/>
                <w:szCs w:val="16"/>
              </w:rPr>
              <w:t xml:space="preserve"> </w:t>
            </w:r>
            <w:r w:rsidRPr="002B51BC">
              <w:rPr>
                <w:sz w:val="16"/>
                <w:szCs w:val="16"/>
              </w:rPr>
              <w:t>910</w:t>
            </w:r>
            <w:r w:rsidR="00E36B98" w:rsidRPr="002B51BC">
              <w:rPr>
                <w:sz w:val="16"/>
                <w:szCs w:val="16"/>
              </w:rPr>
              <w:t xml:space="preserve"> </w:t>
            </w:r>
            <w:r w:rsidRPr="002B51BC">
              <w:rPr>
                <w:sz w:val="16"/>
                <w:szCs w:val="16"/>
              </w:rPr>
              <w:t>340.32</w:t>
            </w:r>
          </w:p>
        </w:tc>
        <w:tc>
          <w:tcPr>
            <w:tcW w:w="680" w:type="dxa"/>
            <w:hideMark/>
          </w:tcPr>
          <w:p w14:paraId="6E22AB56" w14:textId="77777777" w:rsidR="00A44D0D" w:rsidRPr="002B51BC" w:rsidRDefault="00A44D0D" w:rsidP="004A1807">
            <w:pPr>
              <w:pStyle w:val="TableTextEntries"/>
              <w:rPr>
                <w:sz w:val="16"/>
                <w:szCs w:val="16"/>
              </w:rPr>
            </w:pPr>
            <w:r w:rsidRPr="002B51BC">
              <w:rPr>
                <w:sz w:val="16"/>
                <w:szCs w:val="16"/>
              </w:rPr>
              <w:t>2011</w:t>
            </w:r>
          </w:p>
        </w:tc>
        <w:tc>
          <w:tcPr>
            <w:tcW w:w="369" w:type="dxa"/>
            <w:shd w:val="clear" w:color="auto" w:fill="F79646" w:themeFill="accent6"/>
            <w:noWrap/>
            <w:hideMark/>
          </w:tcPr>
          <w:p w14:paraId="4313FA81"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707DEEDE"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79646" w:themeFill="accent6"/>
            <w:noWrap/>
            <w:hideMark/>
          </w:tcPr>
          <w:p w14:paraId="2A41A9D8"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341D8C3A"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6C994EDB"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F0000"/>
            <w:noWrap/>
            <w:hideMark/>
          </w:tcPr>
          <w:p w14:paraId="507313D4" w14:textId="77777777" w:rsidR="00A44D0D" w:rsidRPr="002B51BC" w:rsidRDefault="00A44D0D" w:rsidP="004A1807">
            <w:pPr>
              <w:pStyle w:val="TableTextEntries"/>
              <w:rPr>
                <w:sz w:val="16"/>
                <w:szCs w:val="16"/>
              </w:rPr>
            </w:pPr>
            <w:r w:rsidRPr="002B51BC">
              <w:rPr>
                <w:sz w:val="16"/>
                <w:szCs w:val="16"/>
              </w:rPr>
              <w:t>2</w:t>
            </w:r>
          </w:p>
        </w:tc>
        <w:tc>
          <w:tcPr>
            <w:tcW w:w="369" w:type="dxa"/>
          </w:tcPr>
          <w:p w14:paraId="69CC97FC" w14:textId="77777777" w:rsidR="00A44D0D" w:rsidRPr="002B51BC" w:rsidRDefault="00A44D0D" w:rsidP="004A1807">
            <w:pPr>
              <w:pStyle w:val="TableTextEntries"/>
              <w:rPr>
                <w:sz w:val="16"/>
                <w:szCs w:val="16"/>
              </w:rPr>
            </w:pPr>
          </w:p>
        </w:tc>
      </w:tr>
      <w:tr w:rsidR="007B1585" w:rsidRPr="007B1585" w14:paraId="6AC5D217"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hideMark/>
          </w:tcPr>
          <w:p w14:paraId="4A316E5D" w14:textId="77777777" w:rsidR="00A44D0D" w:rsidRPr="002B51BC" w:rsidRDefault="00A44D0D" w:rsidP="004A1807">
            <w:pPr>
              <w:pStyle w:val="TableTextEntries"/>
            </w:pPr>
          </w:p>
        </w:tc>
        <w:tc>
          <w:tcPr>
            <w:tcW w:w="1077" w:type="dxa"/>
            <w:vMerge/>
            <w:hideMark/>
          </w:tcPr>
          <w:p w14:paraId="6563C1F2" w14:textId="77777777" w:rsidR="00A44D0D" w:rsidRPr="002B51BC" w:rsidRDefault="00A44D0D" w:rsidP="004A1807">
            <w:pPr>
              <w:pStyle w:val="TableTextEntries"/>
              <w:rPr>
                <w:sz w:val="16"/>
                <w:szCs w:val="16"/>
              </w:rPr>
            </w:pPr>
          </w:p>
        </w:tc>
        <w:tc>
          <w:tcPr>
            <w:tcW w:w="1077" w:type="dxa"/>
            <w:vMerge/>
            <w:hideMark/>
          </w:tcPr>
          <w:p w14:paraId="3F144ACA" w14:textId="77777777" w:rsidR="00A44D0D" w:rsidRPr="002B51BC" w:rsidRDefault="00A44D0D" w:rsidP="004A1807">
            <w:pPr>
              <w:pStyle w:val="TableTextEntries"/>
              <w:rPr>
                <w:sz w:val="16"/>
                <w:szCs w:val="16"/>
              </w:rPr>
            </w:pPr>
          </w:p>
        </w:tc>
        <w:tc>
          <w:tcPr>
            <w:tcW w:w="1588" w:type="dxa"/>
            <w:vMerge/>
            <w:hideMark/>
          </w:tcPr>
          <w:p w14:paraId="0885F41D" w14:textId="77777777" w:rsidR="00A44D0D" w:rsidRPr="002B51BC" w:rsidRDefault="00A44D0D" w:rsidP="004A1807">
            <w:pPr>
              <w:pStyle w:val="TableTextEntries"/>
              <w:rPr>
                <w:sz w:val="16"/>
                <w:szCs w:val="16"/>
              </w:rPr>
            </w:pPr>
          </w:p>
        </w:tc>
        <w:tc>
          <w:tcPr>
            <w:tcW w:w="680" w:type="dxa"/>
            <w:hideMark/>
          </w:tcPr>
          <w:p w14:paraId="15F2B004"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FFFF00"/>
            <w:noWrap/>
            <w:hideMark/>
          </w:tcPr>
          <w:p w14:paraId="1A5734C4"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FF00"/>
            <w:noWrap/>
            <w:hideMark/>
          </w:tcPr>
          <w:p w14:paraId="1E8FF63B"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noWrap/>
            <w:hideMark/>
          </w:tcPr>
          <w:p w14:paraId="13E603A9"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7A273625"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FF00"/>
            <w:noWrap/>
            <w:hideMark/>
          </w:tcPr>
          <w:p w14:paraId="4D551BC8"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0000"/>
            <w:noWrap/>
            <w:hideMark/>
          </w:tcPr>
          <w:p w14:paraId="5517A8B0"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79646" w:themeFill="accent6"/>
          </w:tcPr>
          <w:p w14:paraId="07AF4A66" w14:textId="77777777" w:rsidR="00A44D0D" w:rsidRPr="002B51BC" w:rsidRDefault="00A44D0D" w:rsidP="004A1807">
            <w:pPr>
              <w:pStyle w:val="TableTextEntries"/>
              <w:rPr>
                <w:sz w:val="16"/>
                <w:szCs w:val="16"/>
              </w:rPr>
            </w:pPr>
            <w:r w:rsidRPr="002B51BC">
              <w:rPr>
                <w:sz w:val="16"/>
                <w:szCs w:val="16"/>
              </w:rPr>
              <w:t>I</w:t>
            </w:r>
          </w:p>
        </w:tc>
      </w:tr>
      <w:tr w:rsidR="007B1585" w:rsidRPr="007B1585" w14:paraId="0F00F193" w14:textId="77777777" w:rsidTr="004A1807">
        <w:trPr>
          <w:trHeight w:val="255"/>
          <w:tblHeader w:val="0"/>
        </w:trPr>
        <w:tc>
          <w:tcPr>
            <w:tcW w:w="1702" w:type="dxa"/>
            <w:vMerge w:val="restart"/>
            <w:hideMark/>
          </w:tcPr>
          <w:p w14:paraId="4219AE8C" w14:textId="77777777" w:rsidR="00A44D0D" w:rsidRPr="002B51BC" w:rsidRDefault="00A44D0D" w:rsidP="004A1807">
            <w:pPr>
              <w:pStyle w:val="TableTextEntries"/>
            </w:pPr>
            <w:r w:rsidRPr="002B51BC">
              <w:t>Vocational Education Program</w:t>
            </w:r>
          </w:p>
        </w:tc>
        <w:tc>
          <w:tcPr>
            <w:tcW w:w="1077" w:type="dxa"/>
            <w:vMerge w:val="restart"/>
            <w:hideMark/>
          </w:tcPr>
          <w:p w14:paraId="6E4A03CD" w14:textId="77777777" w:rsidR="00A44D0D" w:rsidRPr="002B51BC" w:rsidRDefault="00E36392" w:rsidP="004A1807">
            <w:pPr>
              <w:pStyle w:val="TableTextEntries"/>
              <w:rPr>
                <w:sz w:val="16"/>
                <w:szCs w:val="16"/>
              </w:rPr>
            </w:pPr>
            <w:r w:rsidRPr="002B51BC">
              <w:rPr>
                <w:sz w:val="16"/>
                <w:szCs w:val="16"/>
              </w:rPr>
              <w:t>01/07/</w:t>
            </w:r>
            <w:r w:rsidR="00A44D0D" w:rsidRPr="002B51BC">
              <w:rPr>
                <w:sz w:val="16"/>
                <w:szCs w:val="16"/>
              </w:rPr>
              <w:t>07</w:t>
            </w:r>
          </w:p>
        </w:tc>
        <w:tc>
          <w:tcPr>
            <w:tcW w:w="1077" w:type="dxa"/>
            <w:vMerge w:val="restart"/>
            <w:hideMark/>
          </w:tcPr>
          <w:p w14:paraId="2880D299" w14:textId="77777777" w:rsidR="00A44D0D" w:rsidRPr="002B51BC" w:rsidRDefault="00E36392" w:rsidP="004A1807">
            <w:pPr>
              <w:pStyle w:val="TableTextEntries"/>
              <w:rPr>
                <w:sz w:val="16"/>
                <w:szCs w:val="16"/>
              </w:rPr>
            </w:pPr>
            <w:r w:rsidRPr="002B51BC">
              <w:rPr>
                <w:sz w:val="16"/>
                <w:szCs w:val="16"/>
              </w:rPr>
              <w:t>31/12/</w:t>
            </w:r>
            <w:r w:rsidR="00A44D0D" w:rsidRPr="002B51BC">
              <w:rPr>
                <w:sz w:val="16"/>
                <w:szCs w:val="16"/>
              </w:rPr>
              <w:t>12</w:t>
            </w:r>
          </w:p>
        </w:tc>
        <w:tc>
          <w:tcPr>
            <w:tcW w:w="1588" w:type="dxa"/>
            <w:vMerge w:val="restart"/>
            <w:hideMark/>
          </w:tcPr>
          <w:p w14:paraId="711C0C9F" w14:textId="2757E41A" w:rsidR="00A44D0D" w:rsidRPr="002B51BC" w:rsidRDefault="00A44D0D" w:rsidP="004A1807">
            <w:pPr>
              <w:pStyle w:val="TableTextEntries"/>
              <w:rPr>
                <w:sz w:val="16"/>
                <w:szCs w:val="16"/>
              </w:rPr>
            </w:pPr>
            <w:r w:rsidRPr="002B51BC">
              <w:rPr>
                <w:sz w:val="16"/>
                <w:szCs w:val="16"/>
              </w:rPr>
              <w:t>$30</w:t>
            </w:r>
            <w:r w:rsidR="00E36B98" w:rsidRPr="002B51BC">
              <w:rPr>
                <w:sz w:val="16"/>
                <w:szCs w:val="16"/>
              </w:rPr>
              <w:t xml:space="preserve"> </w:t>
            </w:r>
            <w:r w:rsidRPr="002B51BC">
              <w:rPr>
                <w:sz w:val="16"/>
                <w:szCs w:val="16"/>
              </w:rPr>
              <w:t>507</w:t>
            </w:r>
            <w:r w:rsidR="00E36B98" w:rsidRPr="002B51BC">
              <w:rPr>
                <w:sz w:val="16"/>
                <w:szCs w:val="16"/>
              </w:rPr>
              <w:t xml:space="preserve"> </w:t>
            </w:r>
            <w:r w:rsidRPr="002B51BC">
              <w:rPr>
                <w:sz w:val="16"/>
                <w:szCs w:val="16"/>
              </w:rPr>
              <w:t>546.52</w:t>
            </w:r>
          </w:p>
        </w:tc>
        <w:tc>
          <w:tcPr>
            <w:tcW w:w="680" w:type="dxa"/>
            <w:hideMark/>
          </w:tcPr>
          <w:p w14:paraId="5C1D362F" w14:textId="77777777" w:rsidR="00A44D0D" w:rsidRPr="002B51BC" w:rsidRDefault="00A44D0D" w:rsidP="004A1807">
            <w:pPr>
              <w:pStyle w:val="TableTextEntries"/>
              <w:rPr>
                <w:sz w:val="16"/>
                <w:szCs w:val="16"/>
              </w:rPr>
            </w:pPr>
            <w:r w:rsidRPr="002B51BC">
              <w:rPr>
                <w:sz w:val="16"/>
                <w:szCs w:val="16"/>
              </w:rPr>
              <w:t>2011</w:t>
            </w:r>
          </w:p>
        </w:tc>
        <w:tc>
          <w:tcPr>
            <w:tcW w:w="369" w:type="dxa"/>
            <w:shd w:val="clear" w:color="auto" w:fill="FFFF00"/>
            <w:noWrap/>
            <w:hideMark/>
          </w:tcPr>
          <w:p w14:paraId="67B47DD1"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noWrap/>
            <w:hideMark/>
          </w:tcPr>
          <w:p w14:paraId="124BA57A"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7B17F808"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61934C61"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79646" w:themeFill="accent6"/>
            <w:noWrap/>
            <w:hideMark/>
          </w:tcPr>
          <w:p w14:paraId="6AE620A5"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197F3A01" w14:textId="77777777" w:rsidR="00A44D0D" w:rsidRPr="002B51BC" w:rsidRDefault="00A44D0D" w:rsidP="004A1807">
            <w:pPr>
              <w:pStyle w:val="TableTextEntries"/>
              <w:rPr>
                <w:sz w:val="16"/>
                <w:szCs w:val="16"/>
              </w:rPr>
            </w:pPr>
            <w:r w:rsidRPr="002B51BC">
              <w:rPr>
                <w:sz w:val="16"/>
                <w:szCs w:val="16"/>
              </w:rPr>
              <w:t>2</w:t>
            </w:r>
          </w:p>
        </w:tc>
        <w:tc>
          <w:tcPr>
            <w:tcW w:w="369" w:type="dxa"/>
          </w:tcPr>
          <w:p w14:paraId="40E0E6BF" w14:textId="77777777" w:rsidR="00A44D0D" w:rsidRPr="002B51BC" w:rsidRDefault="00A44D0D" w:rsidP="004A1807">
            <w:pPr>
              <w:pStyle w:val="TableTextEntries"/>
              <w:rPr>
                <w:sz w:val="16"/>
                <w:szCs w:val="16"/>
              </w:rPr>
            </w:pPr>
          </w:p>
        </w:tc>
      </w:tr>
      <w:tr w:rsidR="007B1585" w:rsidRPr="007B1585" w14:paraId="7A786A0A"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hideMark/>
          </w:tcPr>
          <w:p w14:paraId="3240531E" w14:textId="77777777" w:rsidR="00A44D0D" w:rsidRPr="002B51BC" w:rsidRDefault="00A44D0D" w:rsidP="004A1807">
            <w:pPr>
              <w:pStyle w:val="TableTextEntries"/>
            </w:pPr>
          </w:p>
        </w:tc>
        <w:tc>
          <w:tcPr>
            <w:tcW w:w="1077" w:type="dxa"/>
            <w:vMerge/>
            <w:hideMark/>
          </w:tcPr>
          <w:p w14:paraId="68C18102" w14:textId="77777777" w:rsidR="00A44D0D" w:rsidRPr="002B51BC" w:rsidRDefault="00A44D0D" w:rsidP="004A1807">
            <w:pPr>
              <w:pStyle w:val="TableTextEntries"/>
              <w:rPr>
                <w:sz w:val="16"/>
                <w:szCs w:val="16"/>
              </w:rPr>
            </w:pPr>
          </w:p>
        </w:tc>
        <w:tc>
          <w:tcPr>
            <w:tcW w:w="1077" w:type="dxa"/>
            <w:vMerge/>
            <w:hideMark/>
          </w:tcPr>
          <w:p w14:paraId="627F2522" w14:textId="77777777" w:rsidR="00A44D0D" w:rsidRPr="002B51BC" w:rsidRDefault="00A44D0D" w:rsidP="004A1807">
            <w:pPr>
              <w:pStyle w:val="TableTextEntries"/>
              <w:rPr>
                <w:sz w:val="16"/>
                <w:szCs w:val="16"/>
              </w:rPr>
            </w:pPr>
          </w:p>
        </w:tc>
        <w:tc>
          <w:tcPr>
            <w:tcW w:w="1588" w:type="dxa"/>
            <w:vMerge/>
            <w:hideMark/>
          </w:tcPr>
          <w:p w14:paraId="42C06969" w14:textId="77777777" w:rsidR="00A44D0D" w:rsidRPr="002B51BC" w:rsidRDefault="00A44D0D" w:rsidP="004A1807">
            <w:pPr>
              <w:pStyle w:val="TableTextEntries"/>
              <w:rPr>
                <w:sz w:val="16"/>
                <w:szCs w:val="16"/>
              </w:rPr>
            </w:pPr>
          </w:p>
        </w:tc>
        <w:tc>
          <w:tcPr>
            <w:tcW w:w="680" w:type="dxa"/>
            <w:hideMark/>
          </w:tcPr>
          <w:p w14:paraId="6A98B5BC"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FFFF00"/>
            <w:noWrap/>
            <w:hideMark/>
          </w:tcPr>
          <w:p w14:paraId="7F80F045"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FF00"/>
            <w:noWrap/>
            <w:hideMark/>
          </w:tcPr>
          <w:p w14:paraId="108E7464"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FF00"/>
            <w:noWrap/>
            <w:hideMark/>
          </w:tcPr>
          <w:p w14:paraId="4413D467"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FF00"/>
            <w:noWrap/>
            <w:hideMark/>
          </w:tcPr>
          <w:p w14:paraId="47C85679"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noWrap/>
            <w:hideMark/>
          </w:tcPr>
          <w:p w14:paraId="6BAA3EBD"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FF00"/>
            <w:noWrap/>
            <w:hideMark/>
          </w:tcPr>
          <w:p w14:paraId="7D35D03E"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tcPr>
          <w:p w14:paraId="1482D6D5" w14:textId="77777777" w:rsidR="00A44D0D" w:rsidRPr="002B51BC" w:rsidRDefault="00A44D0D" w:rsidP="004A1807">
            <w:pPr>
              <w:pStyle w:val="TableTextEntries"/>
              <w:rPr>
                <w:sz w:val="16"/>
                <w:szCs w:val="16"/>
              </w:rPr>
            </w:pPr>
            <w:r w:rsidRPr="002B51BC">
              <w:rPr>
                <w:sz w:val="16"/>
                <w:szCs w:val="16"/>
              </w:rPr>
              <w:t>I</w:t>
            </w:r>
          </w:p>
        </w:tc>
      </w:tr>
      <w:tr w:rsidR="007B1585" w:rsidRPr="007B1585" w14:paraId="4DA6B1CA" w14:textId="77777777" w:rsidTr="004A1807">
        <w:trPr>
          <w:trHeight w:val="255"/>
          <w:tblHeader w:val="0"/>
        </w:trPr>
        <w:tc>
          <w:tcPr>
            <w:tcW w:w="1702" w:type="dxa"/>
            <w:vMerge w:val="restart"/>
            <w:hideMark/>
          </w:tcPr>
          <w:p w14:paraId="7888F877" w14:textId="71D68139" w:rsidR="00A44D0D" w:rsidRPr="002B51BC" w:rsidRDefault="00A44D0D" w:rsidP="004A1807">
            <w:pPr>
              <w:pStyle w:val="TableTextEntries"/>
            </w:pPr>
            <w:r w:rsidRPr="002B51BC">
              <w:t>Humanitarian Response 2007</w:t>
            </w:r>
            <w:r w:rsidR="002A2A4F" w:rsidRPr="002B51BC">
              <w:t>–</w:t>
            </w:r>
            <w:r w:rsidRPr="002B51BC">
              <w:t>2011</w:t>
            </w:r>
          </w:p>
        </w:tc>
        <w:tc>
          <w:tcPr>
            <w:tcW w:w="1077" w:type="dxa"/>
            <w:vMerge w:val="restart"/>
            <w:hideMark/>
          </w:tcPr>
          <w:p w14:paraId="39B0F0BB" w14:textId="77777777" w:rsidR="00A44D0D" w:rsidRPr="002B51BC" w:rsidRDefault="00E36392" w:rsidP="004A1807">
            <w:pPr>
              <w:pStyle w:val="TableTextEntries"/>
              <w:rPr>
                <w:sz w:val="16"/>
                <w:szCs w:val="16"/>
              </w:rPr>
            </w:pPr>
            <w:r w:rsidRPr="002B51BC">
              <w:rPr>
                <w:sz w:val="16"/>
                <w:szCs w:val="16"/>
              </w:rPr>
              <w:t>16/08/</w:t>
            </w:r>
            <w:r w:rsidR="00A44D0D" w:rsidRPr="002B51BC">
              <w:rPr>
                <w:sz w:val="16"/>
                <w:szCs w:val="16"/>
              </w:rPr>
              <w:t>07</w:t>
            </w:r>
          </w:p>
        </w:tc>
        <w:tc>
          <w:tcPr>
            <w:tcW w:w="1077" w:type="dxa"/>
            <w:vMerge w:val="restart"/>
            <w:hideMark/>
          </w:tcPr>
          <w:p w14:paraId="54100761" w14:textId="77777777" w:rsidR="00A44D0D" w:rsidRPr="002B51BC" w:rsidRDefault="00E36392" w:rsidP="004A1807">
            <w:pPr>
              <w:pStyle w:val="TableTextEntries"/>
              <w:rPr>
                <w:sz w:val="16"/>
                <w:szCs w:val="16"/>
              </w:rPr>
            </w:pPr>
            <w:r w:rsidRPr="002B51BC">
              <w:rPr>
                <w:sz w:val="16"/>
                <w:szCs w:val="16"/>
              </w:rPr>
              <w:t>30/06/</w:t>
            </w:r>
            <w:r w:rsidR="00A44D0D" w:rsidRPr="002B51BC">
              <w:rPr>
                <w:sz w:val="16"/>
                <w:szCs w:val="16"/>
              </w:rPr>
              <w:t>13</w:t>
            </w:r>
          </w:p>
        </w:tc>
        <w:tc>
          <w:tcPr>
            <w:tcW w:w="1588" w:type="dxa"/>
            <w:vMerge w:val="restart"/>
            <w:hideMark/>
          </w:tcPr>
          <w:p w14:paraId="05F7FF17" w14:textId="2238669E" w:rsidR="00A44D0D" w:rsidRPr="002B51BC" w:rsidRDefault="00A44D0D" w:rsidP="004A1807">
            <w:pPr>
              <w:pStyle w:val="TableTextEntries"/>
              <w:rPr>
                <w:sz w:val="16"/>
                <w:szCs w:val="16"/>
              </w:rPr>
            </w:pPr>
            <w:r w:rsidRPr="002B51BC">
              <w:rPr>
                <w:sz w:val="16"/>
                <w:szCs w:val="16"/>
              </w:rPr>
              <w:t>$8</w:t>
            </w:r>
            <w:r w:rsidR="00E36B98" w:rsidRPr="002B51BC">
              <w:rPr>
                <w:sz w:val="16"/>
                <w:szCs w:val="16"/>
              </w:rPr>
              <w:t xml:space="preserve"> </w:t>
            </w:r>
            <w:r w:rsidRPr="002B51BC">
              <w:rPr>
                <w:sz w:val="16"/>
                <w:szCs w:val="16"/>
              </w:rPr>
              <w:t>928</w:t>
            </w:r>
            <w:r w:rsidR="00E36B98" w:rsidRPr="002B51BC">
              <w:rPr>
                <w:sz w:val="16"/>
                <w:szCs w:val="16"/>
              </w:rPr>
              <w:t xml:space="preserve"> </w:t>
            </w:r>
            <w:r w:rsidRPr="002B51BC">
              <w:rPr>
                <w:sz w:val="16"/>
                <w:szCs w:val="16"/>
              </w:rPr>
              <w:t>666.77</w:t>
            </w:r>
          </w:p>
        </w:tc>
        <w:tc>
          <w:tcPr>
            <w:tcW w:w="680" w:type="dxa"/>
            <w:hideMark/>
          </w:tcPr>
          <w:p w14:paraId="1601C995" w14:textId="77777777" w:rsidR="00A44D0D" w:rsidRPr="002B51BC" w:rsidRDefault="00A44D0D" w:rsidP="004A1807">
            <w:pPr>
              <w:pStyle w:val="TableTextEntries"/>
              <w:rPr>
                <w:sz w:val="16"/>
                <w:szCs w:val="16"/>
              </w:rPr>
            </w:pPr>
            <w:r w:rsidRPr="002B51BC">
              <w:rPr>
                <w:sz w:val="16"/>
                <w:szCs w:val="16"/>
              </w:rPr>
              <w:t>2011</w:t>
            </w:r>
          </w:p>
        </w:tc>
        <w:tc>
          <w:tcPr>
            <w:tcW w:w="369" w:type="dxa"/>
            <w:gridSpan w:val="6"/>
            <w:noWrap/>
            <w:hideMark/>
          </w:tcPr>
          <w:p w14:paraId="5D9F23C2" w14:textId="77777777" w:rsidR="00A44D0D" w:rsidRPr="002B51BC" w:rsidRDefault="00A44D0D" w:rsidP="004A1807">
            <w:pPr>
              <w:pStyle w:val="TableTextEntries"/>
              <w:rPr>
                <w:sz w:val="16"/>
                <w:szCs w:val="16"/>
              </w:rPr>
            </w:pPr>
            <w:r w:rsidRPr="002B51BC">
              <w:rPr>
                <w:sz w:val="16"/>
                <w:szCs w:val="16"/>
              </w:rPr>
              <w:t>Exempt</w:t>
            </w:r>
          </w:p>
        </w:tc>
        <w:tc>
          <w:tcPr>
            <w:tcW w:w="369" w:type="dxa"/>
          </w:tcPr>
          <w:p w14:paraId="3D2BA005" w14:textId="77777777" w:rsidR="00A44D0D" w:rsidRPr="002B51BC" w:rsidRDefault="00A44D0D" w:rsidP="004A1807">
            <w:pPr>
              <w:pStyle w:val="TableTextEntries"/>
              <w:rPr>
                <w:sz w:val="16"/>
                <w:szCs w:val="16"/>
              </w:rPr>
            </w:pPr>
          </w:p>
        </w:tc>
      </w:tr>
      <w:tr w:rsidR="007B1585" w:rsidRPr="007B1585" w14:paraId="44A9E626"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hideMark/>
          </w:tcPr>
          <w:p w14:paraId="0EFF6149" w14:textId="77777777" w:rsidR="00A44D0D" w:rsidRPr="002B51BC" w:rsidRDefault="00A44D0D" w:rsidP="004A1807">
            <w:pPr>
              <w:pStyle w:val="TableTextEntries"/>
            </w:pPr>
          </w:p>
        </w:tc>
        <w:tc>
          <w:tcPr>
            <w:tcW w:w="1077" w:type="dxa"/>
            <w:vMerge/>
            <w:hideMark/>
          </w:tcPr>
          <w:p w14:paraId="7643EB42" w14:textId="77777777" w:rsidR="00A44D0D" w:rsidRPr="002B51BC" w:rsidRDefault="00A44D0D" w:rsidP="004A1807">
            <w:pPr>
              <w:pStyle w:val="TableTextEntries"/>
              <w:rPr>
                <w:sz w:val="16"/>
                <w:szCs w:val="16"/>
              </w:rPr>
            </w:pPr>
          </w:p>
        </w:tc>
        <w:tc>
          <w:tcPr>
            <w:tcW w:w="1077" w:type="dxa"/>
            <w:vMerge/>
            <w:hideMark/>
          </w:tcPr>
          <w:p w14:paraId="26A53698" w14:textId="77777777" w:rsidR="00A44D0D" w:rsidRPr="002B51BC" w:rsidRDefault="00A44D0D" w:rsidP="004A1807">
            <w:pPr>
              <w:pStyle w:val="TableTextEntries"/>
              <w:rPr>
                <w:sz w:val="16"/>
                <w:szCs w:val="16"/>
              </w:rPr>
            </w:pPr>
          </w:p>
        </w:tc>
        <w:tc>
          <w:tcPr>
            <w:tcW w:w="1588" w:type="dxa"/>
            <w:vMerge/>
            <w:hideMark/>
          </w:tcPr>
          <w:p w14:paraId="2B2C2330" w14:textId="77777777" w:rsidR="00A44D0D" w:rsidRPr="002B51BC" w:rsidRDefault="00A44D0D" w:rsidP="004A1807">
            <w:pPr>
              <w:pStyle w:val="TableTextEntries"/>
              <w:rPr>
                <w:sz w:val="16"/>
                <w:szCs w:val="16"/>
              </w:rPr>
            </w:pPr>
          </w:p>
        </w:tc>
        <w:tc>
          <w:tcPr>
            <w:tcW w:w="680" w:type="dxa"/>
            <w:hideMark/>
          </w:tcPr>
          <w:p w14:paraId="574EA43B"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F79646" w:themeFill="accent6"/>
            <w:noWrap/>
            <w:hideMark/>
          </w:tcPr>
          <w:p w14:paraId="7EFF4352"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21C6A377"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5C79DDAD"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4A3A20B2"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FFF00"/>
            <w:noWrap/>
            <w:hideMark/>
          </w:tcPr>
          <w:p w14:paraId="33052741"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FF00"/>
            <w:noWrap/>
            <w:hideMark/>
          </w:tcPr>
          <w:p w14:paraId="67BFB33D"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0000"/>
          </w:tcPr>
          <w:p w14:paraId="404C2811" w14:textId="77777777" w:rsidR="00A44D0D" w:rsidRPr="002B51BC" w:rsidRDefault="00A44D0D" w:rsidP="004A1807">
            <w:pPr>
              <w:pStyle w:val="TableTextEntries"/>
              <w:rPr>
                <w:sz w:val="16"/>
                <w:szCs w:val="16"/>
              </w:rPr>
            </w:pPr>
            <w:r w:rsidRPr="002B51BC">
              <w:rPr>
                <w:sz w:val="16"/>
                <w:szCs w:val="16"/>
              </w:rPr>
              <w:t>B</w:t>
            </w:r>
          </w:p>
        </w:tc>
      </w:tr>
      <w:tr w:rsidR="007B1585" w:rsidRPr="007B1585" w14:paraId="037976DE" w14:textId="77777777" w:rsidTr="004A1807">
        <w:trPr>
          <w:trHeight w:val="255"/>
          <w:tblHeader w:val="0"/>
        </w:trPr>
        <w:tc>
          <w:tcPr>
            <w:tcW w:w="1702" w:type="dxa"/>
            <w:vMerge w:val="restart"/>
            <w:hideMark/>
          </w:tcPr>
          <w:p w14:paraId="44EF0EB4" w14:textId="77777777" w:rsidR="00A44D0D" w:rsidRPr="002B51BC" w:rsidRDefault="00A44D0D" w:rsidP="004A1807">
            <w:pPr>
              <w:pStyle w:val="TableTextEntries"/>
            </w:pPr>
            <w:r w:rsidRPr="002B51BC">
              <w:t>Justice Sector Development Program</w:t>
            </w:r>
          </w:p>
        </w:tc>
        <w:tc>
          <w:tcPr>
            <w:tcW w:w="1077" w:type="dxa"/>
            <w:vMerge w:val="restart"/>
            <w:hideMark/>
          </w:tcPr>
          <w:p w14:paraId="2213F37F" w14:textId="77777777" w:rsidR="00A44D0D" w:rsidRPr="002B51BC" w:rsidRDefault="00E36392" w:rsidP="004A1807">
            <w:pPr>
              <w:pStyle w:val="TableTextEntries"/>
              <w:rPr>
                <w:sz w:val="16"/>
                <w:szCs w:val="16"/>
              </w:rPr>
            </w:pPr>
            <w:r w:rsidRPr="002B51BC">
              <w:rPr>
                <w:sz w:val="16"/>
                <w:szCs w:val="16"/>
              </w:rPr>
              <w:t>01/07/</w:t>
            </w:r>
            <w:r w:rsidR="00A44D0D" w:rsidRPr="002B51BC">
              <w:rPr>
                <w:sz w:val="16"/>
                <w:szCs w:val="16"/>
              </w:rPr>
              <w:t>07</w:t>
            </w:r>
          </w:p>
        </w:tc>
        <w:tc>
          <w:tcPr>
            <w:tcW w:w="1077" w:type="dxa"/>
            <w:vMerge w:val="restart"/>
            <w:hideMark/>
          </w:tcPr>
          <w:p w14:paraId="72711C63" w14:textId="77777777" w:rsidR="00A44D0D" w:rsidRPr="002B51BC" w:rsidRDefault="00E36392" w:rsidP="004A1807">
            <w:pPr>
              <w:pStyle w:val="TableTextEntries"/>
              <w:rPr>
                <w:sz w:val="16"/>
                <w:szCs w:val="16"/>
              </w:rPr>
            </w:pPr>
            <w:r w:rsidRPr="002B51BC">
              <w:rPr>
                <w:sz w:val="16"/>
                <w:szCs w:val="16"/>
              </w:rPr>
              <w:t>30/06/</w:t>
            </w:r>
            <w:r w:rsidR="00A44D0D" w:rsidRPr="002B51BC">
              <w:rPr>
                <w:sz w:val="16"/>
                <w:szCs w:val="16"/>
              </w:rPr>
              <w:t>14</w:t>
            </w:r>
          </w:p>
        </w:tc>
        <w:tc>
          <w:tcPr>
            <w:tcW w:w="1588" w:type="dxa"/>
            <w:vMerge w:val="restart"/>
            <w:hideMark/>
          </w:tcPr>
          <w:p w14:paraId="785AE637" w14:textId="7C409641" w:rsidR="00A44D0D" w:rsidRPr="002B51BC" w:rsidRDefault="00A44D0D" w:rsidP="004A1807">
            <w:pPr>
              <w:pStyle w:val="TableTextEntries"/>
              <w:rPr>
                <w:sz w:val="16"/>
                <w:szCs w:val="16"/>
              </w:rPr>
            </w:pPr>
            <w:r w:rsidRPr="002B51BC">
              <w:rPr>
                <w:sz w:val="16"/>
                <w:szCs w:val="16"/>
              </w:rPr>
              <w:t>$32</w:t>
            </w:r>
            <w:r w:rsidR="00E36B98" w:rsidRPr="002B51BC">
              <w:rPr>
                <w:sz w:val="16"/>
                <w:szCs w:val="16"/>
              </w:rPr>
              <w:t xml:space="preserve"> </w:t>
            </w:r>
            <w:r w:rsidRPr="002B51BC">
              <w:rPr>
                <w:sz w:val="16"/>
                <w:szCs w:val="16"/>
              </w:rPr>
              <w:t>194</w:t>
            </w:r>
            <w:r w:rsidR="00E36B98" w:rsidRPr="002B51BC">
              <w:rPr>
                <w:sz w:val="16"/>
                <w:szCs w:val="16"/>
              </w:rPr>
              <w:t xml:space="preserve"> </w:t>
            </w:r>
            <w:r w:rsidRPr="002B51BC">
              <w:rPr>
                <w:sz w:val="16"/>
                <w:szCs w:val="16"/>
              </w:rPr>
              <w:t>092.67</w:t>
            </w:r>
          </w:p>
        </w:tc>
        <w:tc>
          <w:tcPr>
            <w:tcW w:w="680" w:type="dxa"/>
            <w:hideMark/>
          </w:tcPr>
          <w:p w14:paraId="523ECDAE" w14:textId="77777777" w:rsidR="00A44D0D" w:rsidRPr="002B51BC" w:rsidRDefault="00A44D0D" w:rsidP="004A1807">
            <w:pPr>
              <w:pStyle w:val="TableTextEntries"/>
              <w:rPr>
                <w:sz w:val="16"/>
                <w:szCs w:val="16"/>
              </w:rPr>
            </w:pPr>
            <w:r w:rsidRPr="002B51BC">
              <w:rPr>
                <w:sz w:val="16"/>
                <w:szCs w:val="16"/>
              </w:rPr>
              <w:t>2011</w:t>
            </w:r>
          </w:p>
        </w:tc>
        <w:tc>
          <w:tcPr>
            <w:tcW w:w="369" w:type="dxa"/>
            <w:shd w:val="clear" w:color="auto" w:fill="FFFF00"/>
            <w:noWrap/>
            <w:hideMark/>
          </w:tcPr>
          <w:p w14:paraId="4E65763C"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92D050"/>
            <w:noWrap/>
            <w:hideMark/>
          </w:tcPr>
          <w:p w14:paraId="2575B676"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F79646" w:themeFill="accent6"/>
            <w:noWrap/>
            <w:hideMark/>
          </w:tcPr>
          <w:p w14:paraId="2FE59E77"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16FD0DA8"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79646" w:themeFill="accent6"/>
            <w:noWrap/>
            <w:hideMark/>
          </w:tcPr>
          <w:p w14:paraId="05019205"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92D050"/>
            <w:noWrap/>
            <w:hideMark/>
          </w:tcPr>
          <w:p w14:paraId="284B6ED5" w14:textId="77777777" w:rsidR="00A44D0D" w:rsidRPr="002B51BC" w:rsidRDefault="00A44D0D" w:rsidP="004A1807">
            <w:pPr>
              <w:pStyle w:val="TableTextEntries"/>
              <w:rPr>
                <w:sz w:val="16"/>
                <w:szCs w:val="16"/>
              </w:rPr>
            </w:pPr>
            <w:r w:rsidRPr="002B51BC">
              <w:rPr>
                <w:sz w:val="16"/>
                <w:szCs w:val="16"/>
              </w:rPr>
              <w:t>5</w:t>
            </w:r>
          </w:p>
        </w:tc>
        <w:tc>
          <w:tcPr>
            <w:tcW w:w="369" w:type="dxa"/>
          </w:tcPr>
          <w:p w14:paraId="70E7B0E0" w14:textId="77777777" w:rsidR="00A44D0D" w:rsidRPr="002B51BC" w:rsidRDefault="00A44D0D" w:rsidP="004A1807">
            <w:pPr>
              <w:pStyle w:val="TableTextEntries"/>
              <w:rPr>
                <w:sz w:val="16"/>
                <w:szCs w:val="16"/>
              </w:rPr>
            </w:pPr>
          </w:p>
        </w:tc>
      </w:tr>
      <w:tr w:rsidR="007B1585" w:rsidRPr="007B1585" w14:paraId="3946BDE2"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hideMark/>
          </w:tcPr>
          <w:p w14:paraId="65D1CEEE" w14:textId="77777777" w:rsidR="00A44D0D" w:rsidRPr="002B51BC" w:rsidRDefault="00A44D0D" w:rsidP="004A1807">
            <w:pPr>
              <w:pStyle w:val="TableTextEntries"/>
            </w:pPr>
          </w:p>
        </w:tc>
        <w:tc>
          <w:tcPr>
            <w:tcW w:w="1077" w:type="dxa"/>
            <w:vMerge/>
            <w:hideMark/>
          </w:tcPr>
          <w:p w14:paraId="3CFC67B6" w14:textId="77777777" w:rsidR="00A44D0D" w:rsidRPr="002B51BC" w:rsidRDefault="00A44D0D" w:rsidP="004A1807">
            <w:pPr>
              <w:pStyle w:val="TableTextEntries"/>
              <w:rPr>
                <w:sz w:val="16"/>
                <w:szCs w:val="16"/>
              </w:rPr>
            </w:pPr>
          </w:p>
        </w:tc>
        <w:tc>
          <w:tcPr>
            <w:tcW w:w="1077" w:type="dxa"/>
            <w:vMerge/>
            <w:hideMark/>
          </w:tcPr>
          <w:p w14:paraId="3A23967F" w14:textId="77777777" w:rsidR="00A44D0D" w:rsidRPr="002B51BC" w:rsidRDefault="00A44D0D" w:rsidP="004A1807">
            <w:pPr>
              <w:pStyle w:val="TableTextEntries"/>
              <w:rPr>
                <w:sz w:val="16"/>
                <w:szCs w:val="16"/>
              </w:rPr>
            </w:pPr>
          </w:p>
        </w:tc>
        <w:tc>
          <w:tcPr>
            <w:tcW w:w="1588" w:type="dxa"/>
            <w:vMerge/>
            <w:hideMark/>
          </w:tcPr>
          <w:p w14:paraId="025156C3" w14:textId="77777777" w:rsidR="00A44D0D" w:rsidRPr="002B51BC" w:rsidRDefault="00A44D0D" w:rsidP="004A1807">
            <w:pPr>
              <w:pStyle w:val="TableTextEntries"/>
              <w:rPr>
                <w:sz w:val="16"/>
                <w:szCs w:val="16"/>
              </w:rPr>
            </w:pPr>
          </w:p>
        </w:tc>
        <w:tc>
          <w:tcPr>
            <w:tcW w:w="680" w:type="dxa"/>
            <w:hideMark/>
          </w:tcPr>
          <w:p w14:paraId="057A3B67"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FFFF00"/>
            <w:noWrap/>
            <w:hideMark/>
          </w:tcPr>
          <w:p w14:paraId="3D45999D"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92D050"/>
            <w:noWrap/>
            <w:hideMark/>
          </w:tcPr>
          <w:p w14:paraId="3222F98A"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FFFF00"/>
            <w:noWrap/>
            <w:hideMark/>
          </w:tcPr>
          <w:p w14:paraId="02CBE1B4"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0000"/>
            <w:noWrap/>
            <w:hideMark/>
          </w:tcPr>
          <w:p w14:paraId="629E5D34"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FFF00"/>
            <w:noWrap/>
            <w:hideMark/>
          </w:tcPr>
          <w:p w14:paraId="706A712D"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92D050"/>
            <w:noWrap/>
            <w:hideMark/>
          </w:tcPr>
          <w:p w14:paraId="3E84C1A9"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tcPr>
          <w:p w14:paraId="0606430B" w14:textId="77777777" w:rsidR="00A44D0D" w:rsidRPr="002B51BC" w:rsidRDefault="00A44D0D" w:rsidP="004A1807">
            <w:pPr>
              <w:pStyle w:val="TableTextEntries"/>
              <w:rPr>
                <w:sz w:val="16"/>
                <w:szCs w:val="16"/>
              </w:rPr>
            </w:pPr>
            <w:r w:rsidRPr="002B51BC">
              <w:rPr>
                <w:sz w:val="16"/>
                <w:szCs w:val="16"/>
              </w:rPr>
              <w:t>M</w:t>
            </w:r>
          </w:p>
        </w:tc>
      </w:tr>
      <w:tr w:rsidR="007B1585" w:rsidRPr="007B1585" w14:paraId="25D9696F" w14:textId="77777777" w:rsidTr="004A1807">
        <w:trPr>
          <w:trHeight w:val="255"/>
          <w:tblHeader w:val="0"/>
        </w:trPr>
        <w:tc>
          <w:tcPr>
            <w:tcW w:w="1702" w:type="dxa"/>
            <w:vMerge w:val="restart"/>
            <w:hideMark/>
          </w:tcPr>
          <w:p w14:paraId="69EF6C7A" w14:textId="54D13F56" w:rsidR="00A44D0D" w:rsidRPr="002B51BC" w:rsidRDefault="00A44D0D" w:rsidP="004A1807">
            <w:pPr>
              <w:pStyle w:val="TableTextEntries"/>
            </w:pPr>
            <w:r w:rsidRPr="002B51BC">
              <w:t>Health Sector Support Program (2007</w:t>
            </w:r>
            <w:r w:rsidR="002A2A4F" w:rsidRPr="002B51BC">
              <w:t>–</w:t>
            </w:r>
            <w:r w:rsidRPr="002B51BC">
              <w:t>2013)</w:t>
            </w:r>
          </w:p>
        </w:tc>
        <w:tc>
          <w:tcPr>
            <w:tcW w:w="1077" w:type="dxa"/>
            <w:vMerge w:val="restart"/>
            <w:hideMark/>
          </w:tcPr>
          <w:p w14:paraId="21217B4F" w14:textId="77777777" w:rsidR="00A44D0D" w:rsidRPr="002B51BC" w:rsidRDefault="00E36392" w:rsidP="004A1807">
            <w:pPr>
              <w:pStyle w:val="TableTextEntries"/>
              <w:rPr>
                <w:sz w:val="16"/>
                <w:szCs w:val="16"/>
              </w:rPr>
            </w:pPr>
            <w:r w:rsidRPr="002B51BC">
              <w:rPr>
                <w:sz w:val="16"/>
                <w:szCs w:val="16"/>
              </w:rPr>
              <w:t>17/09/</w:t>
            </w:r>
            <w:r w:rsidR="00A44D0D" w:rsidRPr="002B51BC">
              <w:rPr>
                <w:sz w:val="16"/>
                <w:szCs w:val="16"/>
              </w:rPr>
              <w:t>07</w:t>
            </w:r>
          </w:p>
        </w:tc>
        <w:tc>
          <w:tcPr>
            <w:tcW w:w="1077" w:type="dxa"/>
            <w:vMerge w:val="restart"/>
            <w:hideMark/>
          </w:tcPr>
          <w:p w14:paraId="1C844A43" w14:textId="77777777" w:rsidR="00A44D0D" w:rsidRPr="002B51BC" w:rsidRDefault="00E36392" w:rsidP="004A1807">
            <w:pPr>
              <w:pStyle w:val="TableTextEntries"/>
              <w:rPr>
                <w:sz w:val="16"/>
                <w:szCs w:val="16"/>
              </w:rPr>
            </w:pPr>
            <w:r w:rsidRPr="002B51BC">
              <w:rPr>
                <w:sz w:val="16"/>
                <w:szCs w:val="16"/>
              </w:rPr>
              <w:t>30/06/</w:t>
            </w:r>
            <w:r w:rsidR="00A44D0D" w:rsidRPr="002B51BC">
              <w:rPr>
                <w:sz w:val="16"/>
                <w:szCs w:val="16"/>
              </w:rPr>
              <w:t>13</w:t>
            </w:r>
          </w:p>
        </w:tc>
        <w:tc>
          <w:tcPr>
            <w:tcW w:w="1588" w:type="dxa"/>
            <w:vMerge w:val="restart"/>
            <w:hideMark/>
          </w:tcPr>
          <w:p w14:paraId="1A21A789" w14:textId="5C280193" w:rsidR="00A44D0D" w:rsidRPr="002B51BC" w:rsidRDefault="00A44D0D" w:rsidP="004A1807">
            <w:pPr>
              <w:pStyle w:val="TableTextEntries"/>
              <w:rPr>
                <w:sz w:val="16"/>
                <w:szCs w:val="16"/>
              </w:rPr>
            </w:pPr>
            <w:r w:rsidRPr="002B51BC">
              <w:rPr>
                <w:sz w:val="16"/>
                <w:szCs w:val="16"/>
              </w:rPr>
              <w:t>$23</w:t>
            </w:r>
            <w:r w:rsidR="00E36B98" w:rsidRPr="002B51BC">
              <w:rPr>
                <w:sz w:val="16"/>
                <w:szCs w:val="16"/>
              </w:rPr>
              <w:t xml:space="preserve"> </w:t>
            </w:r>
            <w:r w:rsidRPr="002B51BC">
              <w:rPr>
                <w:sz w:val="16"/>
                <w:szCs w:val="16"/>
              </w:rPr>
              <w:t>000</w:t>
            </w:r>
            <w:r w:rsidR="00E36B98" w:rsidRPr="002B51BC">
              <w:rPr>
                <w:sz w:val="16"/>
                <w:szCs w:val="16"/>
              </w:rPr>
              <w:t xml:space="preserve"> </w:t>
            </w:r>
            <w:r w:rsidRPr="002B51BC">
              <w:rPr>
                <w:sz w:val="16"/>
                <w:szCs w:val="16"/>
              </w:rPr>
              <w:t>000.00</w:t>
            </w:r>
          </w:p>
        </w:tc>
        <w:tc>
          <w:tcPr>
            <w:tcW w:w="680" w:type="dxa"/>
            <w:hideMark/>
          </w:tcPr>
          <w:p w14:paraId="1824F948" w14:textId="77777777" w:rsidR="00A44D0D" w:rsidRPr="002B51BC" w:rsidRDefault="00A44D0D" w:rsidP="004A1807">
            <w:pPr>
              <w:pStyle w:val="TableTextEntries"/>
              <w:rPr>
                <w:sz w:val="16"/>
                <w:szCs w:val="16"/>
              </w:rPr>
            </w:pPr>
            <w:r w:rsidRPr="002B51BC">
              <w:rPr>
                <w:sz w:val="16"/>
                <w:szCs w:val="16"/>
              </w:rPr>
              <w:t>2011</w:t>
            </w:r>
          </w:p>
        </w:tc>
        <w:tc>
          <w:tcPr>
            <w:tcW w:w="369" w:type="dxa"/>
            <w:shd w:val="clear" w:color="auto" w:fill="FFFF00"/>
            <w:noWrap/>
            <w:hideMark/>
          </w:tcPr>
          <w:p w14:paraId="5D7BEFB5"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0000"/>
            <w:noWrap/>
            <w:hideMark/>
          </w:tcPr>
          <w:p w14:paraId="76A7E790"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79646" w:themeFill="accent6"/>
            <w:noWrap/>
            <w:hideMark/>
          </w:tcPr>
          <w:p w14:paraId="226B8656"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120D5102"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79646" w:themeFill="accent6"/>
            <w:noWrap/>
            <w:hideMark/>
          </w:tcPr>
          <w:p w14:paraId="23E9834F"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505F2F69" w14:textId="77777777" w:rsidR="00A44D0D" w:rsidRPr="002B51BC" w:rsidRDefault="00A44D0D" w:rsidP="004A1807">
            <w:pPr>
              <w:pStyle w:val="TableTextEntries"/>
              <w:rPr>
                <w:sz w:val="16"/>
                <w:szCs w:val="16"/>
              </w:rPr>
            </w:pPr>
            <w:r w:rsidRPr="002B51BC">
              <w:rPr>
                <w:sz w:val="16"/>
                <w:szCs w:val="16"/>
              </w:rPr>
              <w:t>3</w:t>
            </w:r>
          </w:p>
        </w:tc>
        <w:tc>
          <w:tcPr>
            <w:tcW w:w="369" w:type="dxa"/>
          </w:tcPr>
          <w:p w14:paraId="6EAAB472" w14:textId="77777777" w:rsidR="00A44D0D" w:rsidRPr="002B51BC" w:rsidRDefault="00A44D0D" w:rsidP="004A1807">
            <w:pPr>
              <w:pStyle w:val="TableTextEntries"/>
              <w:rPr>
                <w:sz w:val="16"/>
                <w:szCs w:val="16"/>
              </w:rPr>
            </w:pPr>
          </w:p>
        </w:tc>
      </w:tr>
      <w:tr w:rsidR="007B1585" w:rsidRPr="007B1585" w14:paraId="1C9380DB"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hideMark/>
          </w:tcPr>
          <w:p w14:paraId="20AE9015" w14:textId="77777777" w:rsidR="00A44D0D" w:rsidRPr="002B51BC" w:rsidRDefault="00A44D0D" w:rsidP="004A1807">
            <w:pPr>
              <w:pStyle w:val="TableTextEntries"/>
            </w:pPr>
          </w:p>
        </w:tc>
        <w:tc>
          <w:tcPr>
            <w:tcW w:w="1077" w:type="dxa"/>
            <w:vMerge/>
            <w:hideMark/>
          </w:tcPr>
          <w:p w14:paraId="63DA376A" w14:textId="77777777" w:rsidR="00A44D0D" w:rsidRPr="002B51BC" w:rsidRDefault="00A44D0D" w:rsidP="004A1807">
            <w:pPr>
              <w:pStyle w:val="TableTextEntries"/>
              <w:rPr>
                <w:sz w:val="16"/>
                <w:szCs w:val="16"/>
              </w:rPr>
            </w:pPr>
          </w:p>
        </w:tc>
        <w:tc>
          <w:tcPr>
            <w:tcW w:w="1077" w:type="dxa"/>
            <w:vMerge/>
            <w:hideMark/>
          </w:tcPr>
          <w:p w14:paraId="458CC9C7" w14:textId="77777777" w:rsidR="00A44D0D" w:rsidRPr="002B51BC" w:rsidRDefault="00A44D0D" w:rsidP="004A1807">
            <w:pPr>
              <w:pStyle w:val="TableTextEntries"/>
              <w:rPr>
                <w:sz w:val="16"/>
                <w:szCs w:val="16"/>
              </w:rPr>
            </w:pPr>
          </w:p>
        </w:tc>
        <w:tc>
          <w:tcPr>
            <w:tcW w:w="1588" w:type="dxa"/>
            <w:vMerge/>
            <w:hideMark/>
          </w:tcPr>
          <w:p w14:paraId="4525C331" w14:textId="77777777" w:rsidR="00A44D0D" w:rsidRPr="002B51BC" w:rsidRDefault="00A44D0D" w:rsidP="004A1807">
            <w:pPr>
              <w:pStyle w:val="TableTextEntries"/>
              <w:rPr>
                <w:sz w:val="16"/>
                <w:szCs w:val="16"/>
              </w:rPr>
            </w:pPr>
          </w:p>
        </w:tc>
        <w:tc>
          <w:tcPr>
            <w:tcW w:w="680" w:type="dxa"/>
            <w:hideMark/>
          </w:tcPr>
          <w:p w14:paraId="54BDF7DB"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FFFF00"/>
            <w:noWrap/>
            <w:hideMark/>
          </w:tcPr>
          <w:p w14:paraId="16DA6A39"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noWrap/>
            <w:hideMark/>
          </w:tcPr>
          <w:p w14:paraId="5429C221"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FF00"/>
            <w:noWrap/>
            <w:hideMark/>
          </w:tcPr>
          <w:p w14:paraId="61095962"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noWrap/>
            <w:hideMark/>
          </w:tcPr>
          <w:p w14:paraId="3EB6E5EF"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FF00"/>
            <w:noWrap/>
            <w:hideMark/>
          </w:tcPr>
          <w:p w14:paraId="099FD9CB"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noWrap/>
            <w:hideMark/>
          </w:tcPr>
          <w:p w14:paraId="5472FDA9"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tcPr>
          <w:p w14:paraId="5A7A3015" w14:textId="77777777" w:rsidR="00A44D0D" w:rsidRPr="002B51BC" w:rsidRDefault="00A44D0D" w:rsidP="004A1807">
            <w:pPr>
              <w:pStyle w:val="TableTextEntries"/>
              <w:rPr>
                <w:sz w:val="16"/>
                <w:szCs w:val="16"/>
              </w:rPr>
            </w:pPr>
            <w:r w:rsidRPr="002B51BC">
              <w:rPr>
                <w:sz w:val="16"/>
                <w:szCs w:val="16"/>
              </w:rPr>
              <w:t>B</w:t>
            </w:r>
          </w:p>
        </w:tc>
      </w:tr>
      <w:tr w:rsidR="007B1585" w:rsidRPr="007B1585" w14:paraId="4D4C46F1" w14:textId="77777777" w:rsidTr="004A1807">
        <w:trPr>
          <w:trHeight w:val="255"/>
          <w:tblHeader w:val="0"/>
        </w:trPr>
        <w:tc>
          <w:tcPr>
            <w:tcW w:w="1702" w:type="dxa"/>
            <w:vMerge w:val="restart"/>
            <w:hideMark/>
          </w:tcPr>
          <w:p w14:paraId="61C30243" w14:textId="05D13C26" w:rsidR="00A44D0D" w:rsidRPr="002B51BC" w:rsidRDefault="004645BF" w:rsidP="004A1807">
            <w:pPr>
              <w:pStyle w:val="TableTextEntries"/>
            </w:pPr>
            <w:r w:rsidRPr="002B51BC">
              <w:t>Planning &amp;</w:t>
            </w:r>
            <w:r w:rsidR="002A2A4F" w:rsidRPr="002B51BC">
              <w:t xml:space="preserve"> </w:t>
            </w:r>
            <w:r w:rsidRPr="002B51BC">
              <w:t>Finance</w:t>
            </w:r>
            <w:r w:rsidR="00A44D0D" w:rsidRPr="002B51BC">
              <w:t xml:space="preserve"> Capacity Building Program</w:t>
            </w:r>
          </w:p>
        </w:tc>
        <w:tc>
          <w:tcPr>
            <w:tcW w:w="1077" w:type="dxa"/>
            <w:vMerge w:val="restart"/>
            <w:hideMark/>
          </w:tcPr>
          <w:p w14:paraId="113AA0BB" w14:textId="77777777" w:rsidR="00A44D0D" w:rsidRPr="002B51BC" w:rsidRDefault="00E36392" w:rsidP="004A1807">
            <w:pPr>
              <w:pStyle w:val="TableTextEntries"/>
              <w:rPr>
                <w:sz w:val="16"/>
                <w:szCs w:val="16"/>
              </w:rPr>
            </w:pPr>
            <w:r w:rsidRPr="002B51BC">
              <w:rPr>
                <w:sz w:val="16"/>
                <w:szCs w:val="16"/>
              </w:rPr>
              <w:t>01/07/</w:t>
            </w:r>
            <w:r w:rsidR="00A44D0D" w:rsidRPr="002B51BC">
              <w:rPr>
                <w:sz w:val="16"/>
                <w:szCs w:val="16"/>
              </w:rPr>
              <w:t>08</w:t>
            </w:r>
          </w:p>
        </w:tc>
        <w:tc>
          <w:tcPr>
            <w:tcW w:w="1077" w:type="dxa"/>
            <w:vMerge w:val="restart"/>
            <w:hideMark/>
          </w:tcPr>
          <w:p w14:paraId="1134D7FD" w14:textId="77777777" w:rsidR="00A44D0D" w:rsidRPr="002B51BC" w:rsidRDefault="00E36392" w:rsidP="004A1807">
            <w:pPr>
              <w:pStyle w:val="TableTextEntries"/>
              <w:rPr>
                <w:sz w:val="16"/>
                <w:szCs w:val="16"/>
              </w:rPr>
            </w:pPr>
            <w:r w:rsidRPr="002B51BC">
              <w:rPr>
                <w:sz w:val="16"/>
                <w:szCs w:val="16"/>
              </w:rPr>
              <w:t>31/01/</w:t>
            </w:r>
            <w:r w:rsidR="00A44D0D" w:rsidRPr="002B51BC">
              <w:rPr>
                <w:sz w:val="16"/>
                <w:szCs w:val="16"/>
              </w:rPr>
              <w:t>14</w:t>
            </w:r>
          </w:p>
        </w:tc>
        <w:tc>
          <w:tcPr>
            <w:tcW w:w="1588" w:type="dxa"/>
            <w:vMerge w:val="restart"/>
            <w:hideMark/>
          </w:tcPr>
          <w:p w14:paraId="334EC546" w14:textId="78A09C9D" w:rsidR="00A44D0D" w:rsidRPr="002B51BC" w:rsidRDefault="00A44D0D" w:rsidP="004A1807">
            <w:pPr>
              <w:pStyle w:val="TableTextEntries"/>
              <w:rPr>
                <w:sz w:val="16"/>
                <w:szCs w:val="16"/>
              </w:rPr>
            </w:pPr>
            <w:r w:rsidRPr="002B51BC">
              <w:rPr>
                <w:sz w:val="16"/>
                <w:szCs w:val="16"/>
              </w:rPr>
              <w:t>$13</w:t>
            </w:r>
            <w:r w:rsidR="00E36B98" w:rsidRPr="002B51BC">
              <w:rPr>
                <w:sz w:val="16"/>
                <w:szCs w:val="16"/>
              </w:rPr>
              <w:t xml:space="preserve"> </w:t>
            </w:r>
            <w:r w:rsidRPr="002B51BC">
              <w:rPr>
                <w:sz w:val="16"/>
                <w:szCs w:val="16"/>
              </w:rPr>
              <w:t>000</w:t>
            </w:r>
            <w:r w:rsidR="00E36B98" w:rsidRPr="002B51BC">
              <w:rPr>
                <w:sz w:val="16"/>
                <w:szCs w:val="16"/>
              </w:rPr>
              <w:t xml:space="preserve"> </w:t>
            </w:r>
            <w:r w:rsidRPr="002B51BC">
              <w:rPr>
                <w:sz w:val="16"/>
                <w:szCs w:val="16"/>
              </w:rPr>
              <w:t>000.00</w:t>
            </w:r>
          </w:p>
        </w:tc>
        <w:tc>
          <w:tcPr>
            <w:tcW w:w="680" w:type="dxa"/>
            <w:hideMark/>
          </w:tcPr>
          <w:p w14:paraId="6FF2E964" w14:textId="77777777" w:rsidR="00A44D0D" w:rsidRPr="002B51BC" w:rsidRDefault="00A44D0D" w:rsidP="004A1807">
            <w:pPr>
              <w:pStyle w:val="TableTextEntries"/>
              <w:rPr>
                <w:sz w:val="16"/>
                <w:szCs w:val="16"/>
              </w:rPr>
            </w:pPr>
            <w:r w:rsidRPr="002B51BC">
              <w:rPr>
                <w:sz w:val="16"/>
                <w:szCs w:val="16"/>
              </w:rPr>
              <w:t>2011</w:t>
            </w:r>
          </w:p>
        </w:tc>
        <w:tc>
          <w:tcPr>
            <w:tcW w:w="369" w:type="dxa"/>
            <w:shd w:val="clear" w:color="auto" w:fill="92D050"/>
            <w:noWrap/>
            <w:hideMark/>
          </w:tcPr>
          <w:p w14:paraId="54F08ECC"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FFFF00"/>
            <w:noWrap/>
            <w:hideMark/>
          </w:tcPr>
          <w:p w14:paraId="2BA3107C"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FF00"/>
            <w:noWrap/>
            <w:hideMark/>
          </w:tcPr>
          <w:p w14:paraId="29BC3FDD"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0000"/>
            <w:noWrap/>
            <w:hideMark/>
          </w:tcPr>
          <w:p w14:paraId="35EABA75"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FFF00"/>
            <w:noWrap/>
            <w:hideMark/>
          </w:tcPr>
          <w:p w14:paraId="08FFE4B0"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0000"/>
            <w:noWrap/>
            <w:hideMark/>
          </w:tcPr>
          <w:p w14:paraId="5BF4E0AB" w14:textId="77777777" w:rsidR="00A44D0D" w:rsidRPr="002B51BC" w:rsidRDefault="00A44D0D" w:rsidP="004A1807">
            <w:pPr>
              <w:pStyle w:val="TableTextEntries"/>
              <w:rPr>
                <w:sz w:val="16"/>
                <w:szCs w:val="16"/>
              </w:rPr>
            </w:pPr>
            <w:r w:rsidRPr="002B51BC">
              <w:rPr>
                <w:sz w:val="16"/>
                <w:szCs w:val="16"/>
              </w:rPr>
              <w:t>1</w:t>
            </w:r>
          </w:p>
        </w:tc>
        <w:tc>
          <w:tcPr>
            <w:tcW w:w="369" w:type="dxa"/>
          </w:tcPr>
          <w:p w14:paraId="5C5BEAD1" w14:textId="77777777" w:rsidR="00A44D0D" w:rsidRPr="002B51BC" w:rsidRDefault="00A44D0D" w:rsidP="004A1807">
            <w:pPr>
              <w:pStyle w:val="TableTextEntries"/>
              <w:rPr>
                <w:sz w:val="16"/>
                <w:szCs w:val="16"/>
              </w:rPr>
            </w:pPr>
          </w:p>
        </w:tc>
      </w:tr>
      <w:tr w:rsidR="007B1585" w:rsidRPr="007B1585" w14:paraId="45A40CC2"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hideMark/>
          </w:tcPr>
          <w:p w14:paraId="024A5E6D" w14:textId="77777777" w:rsidR="00A44D0D" w:rsidRPr="002B51BC" w:rsidRDefault="00A44D0D" w:rsidP="004A1807">
            <w:pPr>
              <w:pStyle w:val="TableTextEntries"/>
            </w:pPr>
          </w:p>
        </w:tc>
        <w:tc>
          <w:tcPr>
            <w:tcW w:w="1077" w:type="dxa"/>
            <w:vMerge/>
            <w:hideMark/>
          </w:tcPr>
          <w:p w14:paraId="7A152B06" w14:textId="77777777" w:rsidR="00A44D0D" w:rsidRPr="002B51BC" w:rsidRDefault="00A44D0D" w:rsidP="004A1807">
            <w:pPr>
              <w:pStyle w:val="TableTextEntries"/>
              <w:rPr>
                <w:sz w:val="16"/>
                <w:szCs w:val="16"/>
              </w:rPr>
            </w:pPr>
          </w:p>
        </w:tc>
        <w:tc>
          <w:tcPr>
            <w:tcW w:w="1077" w:type="dxa"/>
            <w:vMerge/>
            <w:hideMark/>
          </w:tcPr>
          <w:p w14:paraId="19208490" w14:textId="77777777" w:rsidR="00A44D0D" w:rsidRPr="002B51BC" w:rsidRDefault="00A44D0D" w:rsidP="004A1807">
            <w:pPr>
              <w:pStyle w:val="TableTextEntries"/>
              <w:rPr>
                <w:sz w:val="16"/>
                <w:szCs w:val="16"/>
              </w:rPr>
            </w:pPr>
          </w:p>
        </w:tc>
        <w:tc>
          <w:tcPr>
            <w:tcW w:w="1588" w:type="dxa"/>
            <w:vMerge/>
            <w:hideMark/>
          </w:tcPr>
          <w:p w14:paraId="0F8A4AC7" w14:textId="77777777" w:rsidR="00A44D0D" w:rsidRPr="002B51BC" w:rsidRDefault="00A44D0D" w:rsidP="004A1807">
            <w:pPr>
              <w:pStyle w:val="TableTextEntries"/>
              <w:rPr>
                <w:sz w:val="16"/>
                <w:szCs w:val="16"/>
              </w:rPr>
            </w:pPr>
          </w:p>
        </w:tc>
        <w:tc>
          <w:tcPr>
            <w:tcW w:w="680" w:type="dxa"/>
            <w:hideMark/>
          </w:tcPr>
          <w:p w14:paraId="47636C30"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92D050"/>
            <w:noWrap/>
            <w:hideMark/>
          </w:tcPr>
          <w:p w14:paraId="4C3A5A9C"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FFFF00"/>
            <w:noWrap/>
            <w:hideMark/>
          </w:tcPr>
          <w:p w14:paraId="75B2DF19"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noWrap/>
            <w:hideMark/>
          </w:tcPr>
          <w:p w14:paraId="6A25A669"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416DEC60"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FFF00"/>
            <w:noWrap/>
            <w:hideMark/>
          </w:tcPr>
          <w:p w14:paraId="3111FDBC"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0000"/>
            <w:noWrap/>
            <w:hideMark/>
          </w:tcPr>
          <w:p w14:paraId="1A3FED7D" w14:textId="77777777" w:rsidR="00A44D0D" w:rsidRPr="002B51BC" w:rsidRDefault="00A44D0D" w:rsidP="004A1807">
            <w:pPr>
              <w:pStyle w:val="TableTextEntries"/>
              <w:rPr>
                <w:sz w:val="16"/>
                <w:szCs w:val="16"/>
              </w:rPr>
            </w:pPr>
            <w:r w:rsidRPr="002B51BC">
              <w:rPr>
                <w:sz w:val="16"/>
                <w:szCs w:val="16"/>
              </w:rPr>
              <w:t>1</w:t>
            </w:r>
          </w:p>
        </w:tc>
        <w:tc>
          <w:tcPr>
            <w:tcW w:w="369" w:type="dxa"/>
            <w:shd w:val="clear" w:color="auto" w:fill="92D050"/>
          </w:tcPr>
          <w:p w14:paraId="2186A63C" w14:textId="77777777" w:rsidR="00A44D0D" w:rsidRPr="002B51BC" w:rsidRDefault="00A44D0D" w:rsidP="004A1807">
            <w:pPr>
              <w:pStyle w:val="TableTextEntries"/>
              <w:rPr>
                <w:sz w:val="16"/>
                <w:szCs w:val="16"/>
              </w:rPr>
            </w:pPr>
            <w:r w:rsidRPr="002B51BC">
              <w:rPr>
                <w:sz w:val="16"/>
                <w:szCs w:val="16"/>
              </w:rPr>
              <w:t>M</w:t>
            </w:r>
          </w:p>
        </w:tc>
      </w:tr>
      <w:tr w:rsidR="007B1585" w:rsidRPr="007B1585" w14:paraId="49457772" w14:textId="77777777" w:rsidTr="004A1807">
        <w:trPr>
          <w:trHeight w:val="255"/>
          <w:tblHeader w:val="0"/>
        </w:trPr>
        <w:tc>
          <w:tcPr>
            <w:tcW w:w="1702" w:type="dxa"/>
            <w:hideMark/>
          </w:tcPr>
          <w:p w14:paraId="418A5AD3" w14:textId="77777777" w:rsidR="00A44D0D" w:rsidRPr="002B51BC" w:rsidRDefault="00A44D0D" w:rsidP="004A1807">
            <w:pPr>
              <w:pStyle w:val="TableTextEntries"/>
            </w:pPr>
            <w:r w:rsidRPr="002B51BC">
              <w:t>Climate Change Adaptation East Timor</w:t>
            </w:r>
          </w:p>
        </w:tc>
        <w:tc>
          <w:tcPr>
            <w:tcW w:w="1077" w:type="dxa"/>
            <w:hideMark/>
          </w:tcPr>
          <w:p w14:paraId="73CB1D27" w14:textId="77777777" w:rsidR="00A44D0D" w:rsidRPr="002B51BC" w:rsidRDefault="00E36392" w:rsidP="004A1807">
            <w:pPr>
              <w:pStyle w:val="TableTextEntries"/>
              <w:rPr>
                <w:sz w:val="16"/>
                <w:szCs w:val="16"/>
              </w:rPr>
            </w:pPr>
            <w:r w:rsidRPr="002B51BC">
              <w:rPr>
                <w:sz w:val="16"/>
                <w:szCs w:val="16"/>
              </w:rPr>
              <w:t>01/04/</w:t>
            </w:r>
            <w:r w:rsidR="00A44D0D" w:rsidRPr="002B51BC">
              <w:rPr>
                <w:sz w:val="16"/>
                <w:szCs w:val="16"/>
              </w:rPr>
              <w:t>09</w:t>
            </w:r>
          </w:p>
        </w:tc>
        <w:tc>
          <w:tcPr>
            <w:tcW w:w="1077" w:type="dxa"/>
            <w:hideMark/>
          </w:tcPr>
          <w:p w14:paraId="522A4C77" w14:textId="77777777" w:rsidR="00A44D0D" w:rsidRPr="002B51BC" w:rsidRDefault="00E36392" w:rsidP="004A1807">
            <w:pPr>
              <w:pStyle w:val="TableTextEntries"/>
              <w:rPr>
                <w:sz w:val="16"/>
                <w:szCs w:val="16"/>
              </w:rPr>
            </w:pPr>
            <w:r w:rsidRPr="002B51BC">
              <w:rPr>
                <w:sz w:val="16"/>
                <w:szCs w:val="16"/>
              </w:rPr>
              <w:t>28/02/</w:t>
            </w:r>
            <w:r w:rsidR="00A44D0D" w:rsidRPr="002B51BC">
              <w:rPr>
                <w:sz w:val="16"/>
                <w:szCs w:val="16"/>
              </w:rPr>
              <w:t>15</w:t>
            </w:r>
          </w:p>
        </w:tc>
        <w:tc>
          <w:tcPr>
            <w:tcW w:w="1588" w:type="dxa"/>
            <w:hideMark/>
          </w:tcPr>
          <w:p w14:paraId="3BC44F44" w14:textId="0D5B82FD" w:rsidR="00A44D0D" w:rsidRPr="002B51BC" w:rsidRDefault="00A44D0D" w:rsidP="004A1807">
            <w:pPr>
              <w:pStyle w:val="TableTextEntries"/>
              <w:rPr>
                <w:sz w:val="16"/>
                <w:szCs w:val="16"/>
              </w:rPr>
            </w:pPr>
            <w:r w:rsidRPr="002B51BC">
              <w:rPr>
                <w:sz w:val="16"/>
                <w:szCs w:val="16"/>
              </w:rPr>
              <w:t>$3</w:t>
            </w:r>
            <w:r w:rsidR="00E36B98" w:rsidRPr="002B51BC">
              <w:rPr>
                <w:sz w:val="16"/>
                <w:szCs w:val="16"/>
              </w:rPr>
              <w:t xml:space="preserve"> </w:t>
            </w:r>
            <w:r w:rsidRPr="002B51BC">
              <w:rPr>
                <w:sz w:val="16"/>
                <w:szCs w:val="16"/>
              </w:rPr>
              <w:t>936</w:t>
            </w:r>
            <w:r w:rsidR="00E36B98" w:rsidRPr="002B51BC">
              <w:rPr>
                <w:sz w:val="16"/>
                <w:szCs w:val="16"/>
              </w:rPr>
              <w:t xml:space="preserve"> </w:t>
            </w:r>
            <w:r w:rsidRPr="002B51BC">
              <w:rPr>
                <w:sz w:val="16"/>
                <w:szCs w:val="16"/>
              </w:rPr>
              <w:t>363.53</w:t>
            </w:r>
          </w:p>
        </w:tc>
        <w:tc>
          <w:tcPr>
            <w:tcW w:w="680" w:type="dxa"/>
            <w:hideMark/>
          </w:tcPr>
          <w:p w14:paraId="7521BBF7"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92D050"/>
            <w:noWrap/>
            <w:hideMark/>
          </w:tcPr>
          <w:p w14:paraId="2A34F1E3"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noWrap/>
            <w:hideMark/>
          </w:tcPr>
          <w:p w14:paraId="4C304E62"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FFFF00"/>
            <w:noWrap/>
            <w:hideMark/>
          </w:tcPr>
          <w:p w14:paraId="743BD2ED"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noWrap/>
            <w:hideMark/>
          </w:tcPr>
          <w:p w14:paraId="3617B952"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FF00"/>
            <w:noWrap/>
            <w:hideMark/>
          </w:tcPr>
          <w:p w14:paraId="472D55EE"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92D050"/>
            <w:noWrap/>
            <w:hideMark/>
          </w:tcPr>
          <w:p w14:paraId="31466ED1"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92D050"/>
          </w:tcPr>
          <w:p w14:paraId="76161C38" w14:textId="77777777" w:rsidR="00A44D0D" w:rsidRPr="002B51BC" w:rsidRDefault="00A44D0D" w:rsidP="004A1807">
            <w:pPr>
              <w:pStyle w:val="TableTextEntries"/>
              <w:rPr>
                <w:sz w:val="16"/>
                <w:szCs w:val="16"/>
              </w:rPr>
            </w:pPr>
            <w:r w:rsidRPr="002B51BC">
              <w:rPr>
                <w:sz w:val="16"/>
                <w:szCs w:val="16"/>
              </w:rPr>
              <w:t>M</w:t>
            </w:r>
          </w:p>
        </w:tc>
      </w:tr>
      <w:tr w:rsidR="007B1585" w:rsidRPr="007B1585" w14:paraId="157E5365"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val="restart"/>
            <w:hideMark/>
          </w:tcPr>
          <w:p w14:paraId="090427DC" w14:textId="77777777" w:rsidR="00A44D0D" w:rsidRPr="002B51BC" w:rsidRDefault="00A44D0D" w:rsidP="004A1807">
            <w:pPr>
              <w:pStyle w:val="TableTextEntries"/>
            </w:pPr>
            <w:r w:rsidRPr="002B51BC">
              <w:t>Family Planning and Reproductive Health Services</w:t>
            </w:r>
          </w:p>
        </w:tc>
        <w:tc>
          <w:tcPr>
            <w:tcW w:w="1077" w:type="dxa"/>
            <w:vMerge w:val="restart"/>
            <w:hideMark/>
          </w:tcPr>
          <w:p w14:paraId="7F79D56C" w14:textId="77777777" w:rsidR="00A44D0D" w:rsidRPr="002B51BC" w:rsidRDefault="00E36392" w:rsidP="004A1807">
            <w:pPr>
              <w:pStyle w:val="TableTextEntries"/>
              <w:rPr>
                <w:sz w:val="16"/>
                <w:szCs w:val="16"/>
              </w:rPr>
            </w:pPr>
            <w:r w:rsidRPr="002B51BC">
              <w:rPr>
                <w:sz w:val="16"/>
                <w:szCs w:val="16"/>
              </w:rPr>
              <w:t>01/12/</w:t>
            </w:r>
            <w:r w:rsidR="00A44D0D" w:rsidRPr="002B51BC">
              <w:rPr>
                <w:sz w:val="16"/>
                <w:szCs w:val="16"/>
              </w:rPr>
              <w:t>09</w:t>
            </w:r>
          </w:p>
        </w:tc>
        <w:tc>
          <w:tcPr>
            <w:tcW w:w="1077" w:type="dxa"/>
            <w:vMerge w:val="restart"/>
            <w:hideMark/>
          </w:tcPr>
          <w:p w14:paraId="7FFD7A67" w14:textId="77777777" w:rsidR="00A44D0D" w:rsidRPr="002B51BC" w:rsidRDefault="00E36392" w:rsidP="004A1807">
            <w:pPr>
              <w:pStyle w:val="TableTextEntries"/>
              <w:rPr>
                <w:sz w:val="16"/>
                <w:szCs w:val="16"/>
              </w:rPr>
            </w:pPr>
            <w:r w:rsidRPr="002B51BC">
              <w:rPr>
                <w:sz w:val="16"/>
                <w:szCs w:val="16"/>
              </w:rPr>
              <w:t>31/03/</w:t>
            </w:r>
            <w:r w:rsidR="00A44D0D" w:rsidRPr="002B51BC">
              <w:rPr>
                <w:sz w:val="16"/>
                <w:szCs w:val="16"/>
              </w:rPr>
              <w:t>15</w:t>
            </w:r>
          </w:p>
        </w:tc>
        <w:tc>
          <w:tcPr>
            <w:tcW w:w="1588" w:type="dxa"/>
            <w:vMerge w:val="restart"/>
            <w:hideMark/>
          </w:tcPr>
          <w:p w14:paraId="3A4DD075" w14:textId="07C577FB" w:rsidR="00A44D0D" w:rsidRPr="002B51BC" w:rsidRDefault="00A44D0D" w:rsidP="004A1807">
            <w:pPr>
              <w:pStyle w:val="TableTextEntries"/>
              <w:rPr>
                <w:sz w:val="16"/>
                <w:szCs w:val="16"/>
              </w:rPr>
            </w:pPr>
            <w:r w:rsidRPr="002B51BC">
              <w:rPr>
                <w:sz w:val="16"/>
                <w:szCs w:val="16"/>
              </w:rPr>
              <w:t>$16</w:t>
            </w:r>
            <w:r w:rsidR="00E36B98" w:rsidRPr="002B51BC">
              <w:rPr>
                <w:sz w:val="16"/>
                <w:szCs w:val="16"/>
              </w:rPr>
              <w:t xml:space="preserve"> </w:t>
            </w:r>
            <w:r w:rsidRPr="002B51BC">
              <w:rPr>
                <w:sz w:val="16"/>
                <w:szCs w:val="16"/>
              </w:rPr>
              <w:t>489</w:t>
            </w:r>
            <w:r w:rsidR="00E36B98" w:rsidRPr="002B51BC">
              <w:rPr>
                <w:sz w:val="16"/>
                <w:szCs w:val="16"/>
              </w:rPr>
              <w:t xml:space="preserve"> </w:t>
            </w:r>
            <w:r w:rsidRPr="002B51BC">
              <w:rPr>
                <w:sz w:val="16"/>
                <w:szCs w:val="16"/>
              </w:rPr>
              <w:t>482.60</w:t>
            </w:r>
          </w:p>
        </w:tc>
        <w:tc>
          <w:tcPr>
            <w:tcW w:w="680" w:type="dxa"/>
            <w:hideMark/>
          </w:tcPr>
          <w:p w14:paraId="5642E8E7" w14:textId="77777777" w:rsidR="00A44D0D" w:rsidRPr="002B51BC" w:rsidRDefault="00A44D0D" w:rsidP="004A1807">
            <w:pPr>
              <w:pStyle w:val="TableTextEntries"/>
              <w:rPr>
                <w:sz w:val="16"/>
                <w:szCs w:val="16"/>
              </w:rPr>
            </w:pPr>
            <w:r w:rsidRPr="002B51BC">
              <w:rPr>
                <w:sz w:val="16"/>
                <w:szCs w:val="16"/>
              </w:rPr>
              <w:t>2011</w:t>
            </w:r>
          </w:p>
        </w:tc>
        <w:tc>
          <w:tcPr>
            <w:tcW w:w="369" w:type="dxa"/>
            <w:shd w:val="clear" w:color="auto" w:fill="92D050"/>
            <w:noWrap/>
            <w:hideMark/>
          </w:tcPr>
          <w:p w14:paraId="5FEDBBEF"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F79646" w:themeFill="accent6"/>
            <w:noWrap/>
            <w:hideMark/>
          </w:tcPr>
          <w:p w14:paraId="3E4FADBF"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F0000"/>
            <w:noWrap/>
            <w:hideMark/>
          </w:tcPr>
          <w:p w14:paraId="11C93DC6" w14:textId="77777777" w:rsidR="00A44D0D" w:rsidRPr="002B51BC" w:rsidRDefault="00A44D0D" w:rsidP="004A1807">
            <w:pPr>
              <w:pStyle w:val="TableTextEntries"/>
              <w:rPr>
                <w:sz w:val="16"/>
                <w:szCs w:val="16"/>
              </w:rPr>
            </w:pPr>
            <w:r w:rsidRPr="002B51BC">
              <w:rPr>
                <w:sz w:val="16"/>
                <w:szCs w:val="16"/>
              </w:rPr>
              <w:t>2</w:t>
            </w:r>
          </w:p>
        </w:tc>
        <w:tc>
          <w:tcPr>
            <w:tcW w:w="369" w:type="dxa"/>
            <w:shd w:val="clear" w:color="auto" w:fill="F79646" w:themeFill="accent6"/>
            <w:noWrap/>
            <w:hideMark/>
          </w:tcPr>
          <w:p w14:paraId="7053900C"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F79646" w:themeFill="accent6"/>
            <w:noWrap/>
            <w:hideMark/>
          </w:tcPr>
          <w:p w14:paraId="50CA0243"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92D050"/>
            <w:noWrap/>
            <w:hideMark/>
          </w:tcPr>
          <w:p w14:paraId="70C59F60" w14:textId="77777777" w:rsidR="00A44D0D" w:rsidRPr="002B51BC" w:rsidRDefault="00A44D0D" w:rsidP="004A1807">
            <w:pPr>
              <w:pStyle w:val="TableTextEntries"/>
              <w:rPr>
                <w:sz w:val="16"/>
                <w:szCs w:val="16"/>
              </w:rPr>
            </w:pPr>
            <w:r w:rsidRPr="002B51BC">
              <w:rPr>
                <w:sz w:val="16"/>
                <w:szCs w:val="16"/>
              </w:rPr>
              <w:t>5</w:t>
            </w:r>
          </w:p>
        </w:tc>
        <w:tc>
          <w:tcPr>
            <w:tcW w:w="369" w:type="dxa"/>
          </w:tcPr>
          <w:p w14:paraId="68801A50" w14:textId="77777777" w:rsidR="00A44D0D" w:rsidRPr="002B51BC" w:rsidRDefault="00A44D0D" w:rsidP="004A1807">
            <w:pPr>
              <w:pStyle w:val="TableTextEntries"/>
              <w:rPr>
                <w:sz w:val="16"/>
                <w:szCs w:val="16"/>
              </w:rPr>
            </w:pPr>
          </w:p>
        </w:tc>
      </w:tr>
      <w:tr w:rsidR="007B1585" w:rsidRPr="007B1585" w14:paraId="29786E35" w14:textId="77777777" w:rsidTr="004A1807">
        <w:trPr>
          <w:trHeight w:val="255"/>
          <w:tblHeader w:val="0"/>
        </w:trPr>
        <w:tc>
          <w:tcPr>
            <w:tcW w:w="1702" w:type="dxa"/>
            <w:vMerge/>
            <w:hideMark/>
          </w:tcPr>
          <w:p w14:paraId="2A52057C" w14:textId="77777777" w:rsidR="00A44D0D" w:rsidRPr="002B51BC" w:rsidRDefault="00A44D0D" w:rsidP="004A1807">
            <w:pPr>
              <w:pStyle w:val="TableTextEntries"/>
            </w:pPr>
          </w:p>
        </w:tc>
        <w:tc>
          <w:tcPr>
            <w:tcW w:w="1077" w:type="dxa"/>
            <w:vMerge/>
            <w:hideMark/>
          </w:tcPr>
          <w:p w14:paraId="27A93DF1" w14:textId="77777777" w:rsidR="00A44D0D" w:rsidRPr="002B51BC" w:rsidRDefault="00A44D0D" w:rsidP="004A1807">
            <w:pPr>
              <w:pStyle w:val="TableTextEntries"/>
              <w:rPr>
                <w:sz w:val="16"/>
                <w:szCs w:val="16"/>
              </w:rPr>
            </w:pPr>
          </w:p>
        </w:tc>
        <w:tc>
          <w:tcPr>
            <w:tcW w:w="1077" w:type="dxa"/>
            <w:vMerge/>
            <w:hideMark/>
          </w:tcPr>
          <w:p w14:paraId="22B9FC80" w14:textId="77777777" w:rsidR="00A44D0D" w:rsidRPr="002B51BC" w:rsidRDefault="00A44D0D" w:rsidP="004A1807">
            <w:pPr>
              <w:pStyle w:val="TableTextEntries"/>
              <w:rPr>
                <w:sz w:val="16"/>
                <w:szCs w:val="16"/>
              </w:rPr>
            </w:pPr>
          </w:p>
        </w:tc>
        <w:tc>
          <w:tcPr>
            <w:tcW w:w="1588" w:type="dxa"/>
            <w:vMerge/>
            <w:hideMark/>
          </w:tcPr>
          <w:p w14:paraId="54188BF2" w14:textId="77777777" w:rsidR="00A44D0D" w:rsidRPr="002B51BC" w:rsidRDefault="00A44D0D" w:rsidP="004A1807">
            <w:pPr>
              <w:pStyle w:val="TableTextEntries"/>
              <w:rPr>
                <w:sz w:val="16"/>
                <w:szCs w:val="16"/>
              </w:rPr>
            </w:pPr>
          </w:p>
        </w:tc>
        <w:tc>
          <w:tcPr>
            <w:tcW w:w="680" w:type="dxa"/>
            <w:hideMark/>
          </w:tcPr>
          <w:p w14:paraId="4CBDADC3"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92D050"/>
            <w:noWrap/>
            <w:hideMark/>
          </w:tcPr>
          <w:p w14:paraId="23BFEC6E"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FFFF00"/>
            <w:noWrap/>
            <w:hideMark/>
          </w:tcPr>
          <w:p w14:paraId="14DE0298"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FF00"/>
            <w:noWrap/>
            <w:hideMark/>
          </w:tcPr>
          <w:p w14:paraId="24163166"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FFF00"/>
            <w:noWrap/>
            <w:hideMark/>
          </w:tcPr>
          <w:p w14:paraId="0271E808" w14:textId="77777777" w:rsidR="00A44D0D" w:rsidRPr="002B51BC" w:rsidRDefault="00A44D0D" w:rsidP="004A1807">
            <w:pPr>
              <w:pStyle w:val="TableTextEntries"/>
              <w:rPr>
                <w:sz w:val="16"/>
                <w:szCs w:val="16"/>
              </w:rPr>
            </w:pPr>
            <w:r w:rsidRPr="002B51BC">
              <w:rPr>
                <w:sz w:val="16"/>
                <w:szCs w:val="16"/>
              </w:rPr>
              <w:t>4</w:t>
            </w:r>
          </w:p>
        </w:tc>
        <w:tc>
          <w:tcPr>
            <w:tcW w:w="369" w:type="dxa"/>
            <w:shd w:val="clear" w:color="auto" w:fill="F79646" w:themeFill="accent6"/>
            <w:noWrap/>
            <w:hideMark/>
          </w:tcPr>
          <w:p w14:paraId="66DF2371" w14:textId="77777777" w:rsidR="00A44D0D" w:rsidRPr="002B51BC" w:rsidRDefault="00A44D0D" w:rsidP="004A1807">
            <w:pPr>
              <w:pStyle w:val="TableTextEntries"/>
              <w:rPr>
                <w:sz w:val="16"/>
                <w:szCs w:val="16"/>
              </w:rPr>
            </w:pPr>
            <w:r w:rsidRPr="002B51BC">
              <w:rPr>
                <w:sz w:val="16"/>
                <w:szCs w:val="16"/>
              </w:rPr>
              <w:t>3</w:t>
            </w:r>
          </w:p>
        </w:tc>
        <w:tc>
          <w:tcPr>
            <w:tcW w:w="369" w:type="dxa"/>
            <w:shd w:val="clear" w:color="auto" w:fill="92D050"/>
            <w:noWrap/>
            <w:hideMark/>
          </w:tcPr>
          <w:p w14:paraId="195F8A29" w14:textId="77777777" w:rsidR="00A44D0D" w:rsidRPr="002B51BC" w:rsidRDefault="00A44D0D" w:rsidP="004A1807">
            <w:pPr>
              <w:pStyle w:val="TableTextEntries"/>
              <w:rPr>
                <w:sz w:val="16"/>
                <w:szCs w:val="16"/>
              </w:rPr>
            </w:pPr>
            <w:r w:rsidRPr="002B51BC">
              <w:rPr>
                <w:sz w:val="16"/>
                <w:szCs w:val="16"/>
              </w:rPr>
              <w:t>5</w:t>
            </w:r>
          </w:p>
        </w:tc>
        <w:tc>
          <w:tcPr>
            <w:tcW w:w="369" w:type="dxa"/>
            <w:shd w:val="clear" w:color="auto" w:fill="F79646" w:themeFill="accent6"/>
          </w:tcPr>
          <w:p w14:paraId="014404CA" w14:textId="77777777" w:rsidR="00A44D0D" w:rsidRPr="002B51BC" w:rsidRDefault="00A44D0D" w:rsidP="004A1807">
            <w:pPr>
              <w:pStyle w:val="TableTextEntries"/>
              <w:rPr>
                <w:sz w:val="16"/>
                <w:szCs w:val="16"/>
              </w:rPr>
            </w:pPr>
            <w:r w:rsidRPr="002B51BC">
              <w:rPr>
                <w:sz w:val="16"/>
                <w:szCs w:val="16"/>
              </w:rPr>
              <w:t>I</w:t>
            </w:r>
          </w:p>
        </w:tc>
      </w:tr>
      <w:tr w:rsidR="007B1585" w:rsidRPr="007B1585" w14:paraId="4DF8A42B"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val="restart"/>
            <w:hideMark/>
          </w:tcPr>
          <w:p w14:paraId="0C28C345" w14:textId="77777777" w:rsidR="00A44D0D" w:rsidRPr="002B51BC" w:rsidRDefault="00A44D0D" w:rsidP="004A1807">
            <w:pPr>
              <w:pStyle w:val="TableTextEntries"/>
            </w:pPr>
            <w:r w:rsidRPr="002B51BC">
              <w:t>Australian Development Awards East Timor</w:t>
            </w:r>
          </w:p>
        </w:tc>
        <w:tc>
          <w:tcPr>
            <w:tcW w:w="1077" w:type="dxa"/>
            <w:vMerge w:val="restart"/>
            <w:hideMark/>
          </w:tcPr>
          <w:p w14:paraId="12D7EF25" w14:textId="77777777" w:rsidR="00A44D0D" w:rsidRPr="002B51BC" w:rsidRDefault="00E36392" w:rsidP="004A1807">
            <w:pPr>
              <w:pStyle w:val="TableTextEntries"/>
              <w:rPr>
                <w:sz w:val="16"/>
                <w:szCs w:val="16"/>
              </w:rPr>
            </w:pPr>
            <w:r w:rsidRPr="002B51BC">
              <w:rPr>
                <w:sz w:val="16"/>
                <w:szCs w:val="16"/>
              </w:rPr>
              <w:t>01/01/</w:t>
            </w:r>
            <w:r w:rsidR="00A44D0D" w:rsidRPr="002B51BC">
              <w:rPr>
                <w:sz w:val="16"/>
                <w:szCs w:val="16"/>
              </w:rPr>
              <w:t>10</w:t>
            </w:r>
          </w:p>
        </w:tc>
        <w:tc>
          <w:tcPr>
            <w:tcW w:w="1077" w:type="dxa"/>
            <w:vMerge w:val="restart"/>
            <w:hideMark/>
          </w:tcPr>
          <w:p w14:paraId="00FE1BB3" w14:textId="77777777" w:rsidR="00A44D0D" w:rsidRPr="002B51BC" w:rsidRDefault="00E36392" w:rsidP="004A1807">
            <w:pPr>
              <w:pStyle w:val="TableTextEntries"/>
              <w:rPr>
                <w:sz w:val="16"/>
                <w:szCs w:val="16"/>
              </w:rPr>
            </w:pPr>
            <w:r w:rsidRPr="002B51BC">
              <w:rPr>
                <w:sz w:val="16"/>
                <w:szCs w:val="16"/>
              </w:rPr>
              <w:t>30/06/</w:t>
            </w:r>
            <w:r w:rsidR="00A44D0D" w:rsidRPr="002B51BC">
              <w:rPr>
                <w:sz w:val="16"/>
                <w:szCs w:val="16"/>
              </w:rPr>
              <w:t>17</w:t>
            </w:r>
          </w:p>
        </w:tc>
        <w:tc>
          <w:tcPr>
            <w:tcW w:w="1588" w:type="dxa"/>
            <w:vMerge w:val="restart"/>
            <w:hideMark/>
          </w:tcPr>
          <w:p w14:paraId="2F79552B" w14:textId="1E8C1714" w:rsidR="00A44D0D" w:rsidRPr="002B51BC" w:rsidRDefault="00A44D0D" w:rsidP="004A1807">
            <w:pPr>
              <w:pStyle w:val="TableTextEntries"/>
              <w:rPr>
                <w:sz w:val="16"/>
                <w:szCs w:val="16"/>
              </w:rPr>
            </w:pPr>
            <w:r w:rsidRPr="002B51BC">
              <w:rPr>
                <w:sz w:val="16"/>
                <w:szCs w:val="16"/>
              </w:rPr>
              <w:t>$10</w:t>
            </w:r>
            <w:r w:rsidR="00E36B98" w:rsidRPr="002B51BC">
              <w:rPr>
                <w:sz w:val="16"/>
                <w:szCs w:val="16"/>
              </w:rPr>
              <w:t xml:space="preserve"> </w:t>
            </w:r>
            <w:r w:rsidRPr="002B51BC">
              <w:rPr>
                <w:sz w:val="16"/>
                <w:szCs w:val="16"/>
              </w:rPr>
              <w:t>917</w:t>
            </w:r>
            <w:r w:rsidR="00E36B98" w:rsidRPr="002B51BC">
              <w:rPr>
                <w:sz w:val="16"/>
                <w:szCs w:val="16"/>
              </w:rPr>
              <w:t xml:space="preserve"> </w:t>
            </w:r>
            <w:r w:rsidRPr="002B51BC">
              <w:rPr>
                <w:sz w:val="16"/>
                <w:szCs w:val="16"/>
              </w:rPr>
              <w:t>803.64</w:t>
            </w:r>
          </w:p>
        </w:tc>
        <w:tc>
          <w:tcPr>
            <w:tcW w:w="680" w:type="dxa"/>
            <w:hideMark/>
          </w:tcPr>
          <w:p w14:paraId="5CC5181E" w14:textId="77777777" w:rsidR="00A44D0D" w:rsidRPr="002B51BC" w:rsidRDefault="00A44D0D" w:rsidP="004A1807">
            <w:pPr>
              <w:pStyle w:val="TableTextEntries"/>
              <w:rPr>
                <w:sz w:val="16"/>
                <w:szCs w:val="16"/>
              </w:rPr>
            </w:pPr>
            <w:r w:rsidRPr="002B51BC">
              <w:rPr>
                <w:sz w:val="16"/>
                <w:szCs w:val="16"/>
              </w:rPr>
              <w:t>2011</w:t>
            </w:r>
          </w:p>
        </w:tc>
        <w:tc>
          <w:tcPr>
            <w:tcW w:w="369" w:type="dxa"/>
            <w:shd w:val="clear" w:color="auto" w:fill="92D050"/>
            <w:noWrap/>
            <w:hideMark/>
          </w:tcPr>
          <w:p w14:paraId="103B1B28" w14:textId="77777777" w:rsidR="00A44D0D" w:rsidRPr="002B51BC" w:rsidRDefault="00A44D0D" w:rsidP="004A1807">
            <w:pPr>
              <w:pStyle w:val="TableTextEntries"/>
              <w:rPr>
                <w:rFonts w:cs="Arial"/>
                <w:sz w:val="16"/>
                <w:szCs w:val="16"/>
              </w:rPr>
            </w:pPr>
            <w:r w:rsidRPr="002B51BC">
              <w:rPr>
                <w:rFonts w:cs="Arial"/>
                <w:sz w:val="16"/>
                <w:szCs w:val="16"/>
              </w:rPr>
              <w:t>5</w:t>
            </w:r>
          </w:p>
        </w:tc>
        <w:tc>
          <w:tcPr>
            <w:tcW w:w="369" w:type="dxa"/>
            <w:shd w:val="clear" w:color="auto" w:fill="FFFF00"/>
            <w:noWrap/>
            <w:hideMark/>
          </w:tcPr>
          <w:p w14:paraId="468D825B" w14:textId="77777777" w:rsidR="00A44D0D" w:rsidRPr="002B51BC" w:rsidRDefault="00A44D0D" w:rsidP="004A1807">
            <w:pPr>
              <w:pStyle w:val="TableTextEntries"/>
              <w:rPr>
                <w:rFonts w:cs="Arial"/>
                <w:sz w:val="16"/>
                <w:szCs w:val="16"/>
              </w:rPr>
            </w:pPr>
            <w:r w:rsidRPr="002B51BC">
              <w:rPr>
                <w:rFonts w:cs="Arial"/>
                <w:sz w:val="16"/>
                <w:szCs w:val="16"/>
              </w:rPr>
              <w:t>4</w:t>
            </w:r>
          </w:p>
        </w:tc>
        <w:tc>
          <w:tcPr>
            <w:tcW w:w="369" w:type="dxa"/>
            <w:shd w:val="clear" w:color="auto" w:fill="92D050"/>
            <w:noWrap/>
            <w:hideMark/>
          </w:tcPr>
          <w:p w14:paraId="3DCEB912" w14:textId="77777777" w:rsidR="00A44D0D" w:rsidRPr="002B51BC" w:rsidRDefault="00A44D0D" w:rsidP="004A1807">
            <w:pPr>
              <w:pStyle w:val="TableTextEntries"/>
              <w:rPr>
                <w:rFonts w:cs="Arial"/>
                <w:sz w:val="16"/>
                <w:szCs w:val="16"/>
              </w:rPr>
            </w:pPr>
            <w:r w:rsidRPr="002B51BC">
              <w:rPr>
                <w:rFonts w:cs="Arial"/>
                <w:sz w:val="16"/>
                <w:szCs w:val="16"/>
              </w:rPr>
              <w:t>5</w:t>
            </w:r>
          </w:p>
        </w:tc>
        <w:tc>
          <w:tcPr>
            <w:tcW w:w="369" w:type="dxa"/>
            <w:shd w:val="clear" w:color="auto" w:fill="FFFF00"/>
            <w:noWrap/>
            <w:hideMark/>
          </w:tcPr>
          <w:p w14:paraId="3E9EC37A" w14:textId="77777777" w:rsidR="00A44D0D" w:rsidRPr="002B51BC" w:rsidRDefault="00A44D0D" w:rsidP="004A1807">
            <w:pPr>
              <w:pStyle w:val="TableTextEntries"/>
              <w:rPr>
                <w:rFonts w:cs="Arial"/>
                <w:sz w:val="16"/>
                <w:szCs w:val="16"/>
              </w:rPr>
            </w:pPr>
            <w:r w:rsidRPr="002B51BC">
              <w:rPr>
                <w:rFonts w:cs="Arial"/>
                <w:sz w:val="16"/>
                <w:szCs w:val="16"/>
              </w:rPr>
              <w:t>4</w:t>
            </w:r>
          </w:p>
        </w:tc>
        <w:tc>
          <w:tcPr>
            <w:tcW w:w="369" w:type="dxa"/>
            <w:shd w:val="clear" w:color="auto" w:fill="FFFF00"/>
            <w:noWrap/>
            <w:hideMark/>
          </w:tcPr>
          <w:p w14:paraId="6BBDF449" w14:textId="77777777" w:rsidR="00A44D0D" w:rsidRPr="002B51BC" w:rsidRDefault="00A44D0D" w:rsidP="004A1807">
            <w:pPr>
              <w:pStyle w:val="TableTextEntries"/>
              <w:rPr>
                <w:rFonts w:cs="Arial"/>
                <w:sz w:val="16"/>
                <w:szCs w:val="16"/>
              </w:rPr>
            </w:pPr>
            <w:r w:rsidRPr="002B51BC">
              <w:rPr>
                <w:rFonts w:cs="Arial"/>
                <w:sz w:val="16"/>
                <w:szCs w:val="16"/>
              </w:rPr>
              <w:t>4</w:t>
            </w:r>
          </w:p>
        </w:tc>
        <w:tc>
          <w:tcPr>
            <w:tcW w:w="369" w:type="dxa"/>
            <w:shd w:val="clear" w:color="auto" w:fill="92D050"/>
            <w:noWrap/>
            <w:hideMark/>
          </w:tcPr>
          <w:p w14:paraId="715193F8" w14:textId="77777777" w:rsidR="00A44D0D" w:rsidRPr="002B51BC" w:rsidRDefault="00A44D0D" w:rsidP="004A1807">
            <w:pPr>
              <w:pStyle w:val="TableTextEntries"/>
              <w:rPr>
                <w:rFonts w:cs="Arial"/>
                <w:sz w:val="16"/>
                <w:szCs w:val="16"/>
              </w:rPr>
            </w:pPr>
            <w:r w:rsidRPr="002B51BC">
              <w:rPr>
                <w:rFonts w:cs="Arial"/>
                <w:sz w:val="16"/>
                <w:szCs w:val="16"/>
              </w:rPr>
              <w:t>5</w:t>
            </w:r>
          </w:p>
        </w:tc>
        <w:tc>
          <w:tcPr>
            <w:tcW w:w="369" w:type="dxa"/>
          </w:tcPr>
          <w:p w14:paraId="61A6903F" w14:textId="77777777" w:rsidR="00A44D0D" w:rsidRPr="002B51BC" w:rsidRDefault="00A44D0D" w:rsidP="004A1807">
            <w:pPr>
              <w:pStyle w:val="TableTextEntries"/>
              <w:rPr>
                <w:rFonts w:cs="Arial"/>
                <w:sz w:val="16"/>
                <w:szCs w:val="16"/>
              </w:rPr>
            </w:pPr>
          </w:p>
        </w:tc>
      </w:tr>
      <w:tr w:rsidR="007B1585" w:rsidRPr="007B1585" w14:paraId="0F1E459A" w14:textId="77777777" w:rsidTr="004A1807">
        <w:trPr>
          <w:trHeight w:val="255"/>
          <w:tblHeader w:val="0"/>
        </w:trPr>
        <w:tc>
          <w:tcPr>
            <w:tcW w:w="1702" w:type="dxa"/>
            <w:vMerge/>
            <w:hideMark/>
          </w:tcPr>
          <w:p w14:paraId="56BED2F2" w14:textId="77777777" w:rsidR="00A44D0D" w:rsidRPr="002B51BC" w:rsidRDefault="00A44D0D" w:rsidP="004A1807">
            <w:pPr>
              <w:pStyle w:val="TableTextEntries"/>
            </w:pPr>
          </w:p>
        </w:tc>
        <w:tc>
          <w:tcPr>
            <w:tcW w:w="1077" w:type="dxa"/>
            <w:vMerge/>
            <w:hideMark/>
          </w:tcPr>
          <w:p w14:paraId="71AF7922" w14:textId="77777777" w:rsidR="00A44D0D" w:rsidRPr="002B51BC" w:rsidRDefault="00A44D0D" w:rsidP="004A1807">
            <w:pPr>
              <w:pStyle w:val="TableTextEntries"/>
              <w:rPr>
                <w:sz w:val="16"/>
                <w:szCs w:val="16"/>
              </w:rPr>
            </w:pPr>
          </w:p>
        </w:tc>
        <w:tc>
          <w:tcPr>
            <w:tcW w:w="1077" w:type="dxa"/>
            <w:vMerge/>
            <w:hideMark/>
          </w:tcPr>
          <w:p w14:paraId="73C70AC7" w14:textId="77777777" w:rsidR="00A44D0D" w:rsidRPr="002B51BC" w:rsidRDefault="00A44D0D" w:rsidP="004A1807">
            <w:pPr>
              <w:pStyle w:val="TableTextEntries"/>
              <w:rPr>
                <w:sz w:val="16"/>
                <w:szCs w:val="16"/>
              </w:rPr>
            </w:pPr>
          </w:p>
        </w:tc>
        <w:tc>
          <w:tcPr>
            <w:tcW w:w="1588" w:type="dxa"/>
            <w:vMerge/>
            <w:hideMark/>
          </w:tcPr>
          <w:p w14:paraId="35F57732" w14:textId="77777777" w:rsidR="00A44D0D" w:rsidRPr="002B51BC" w:rsidRDefault="00A44D0D" w:rsidP="004A1807">
            <w:pPr>
              <w:pStyle w:val="TableTextEntries"/>
              <w:rPr>
                <w:sz w:val="16"/>
                <w:szCs w:val="16"/>
              </w:rPr>
            </w:pPr>
          </w:p>
        </w:tc>
        <w:tc>
          <w:tcPr>
            <w:tcW w:w="680" w:type="dxa"/>
            <w:hideMark/>
          </w:tcPr>
          <w:p w14:paraId="24EA793B" w14:textId="77777777" w:rsidR="00A44D0D" w:rsidRPr="002B51BC" w:rsidRDefault="00A44D0D" w:rsidP="004A1807">
            <w:pPr>
              <w:pStyle w:val="TableTextEntries"/>
              <w:rPr>
                <w:sz w:val="16"/>
                <w:szCs w:val="16"/>
              </w:rPr>
            </w:pPr>
            <w:r w:rsidRPr="002B51BC">
              <w:rPr>
                <w:sz w:val="16"/>
                <w:szCs w:val="16"/>
              </w:rPr>
              <w:t>2012</w:t>
            </w:r>
          </w:p>
        </w:tc>
        <w:tc>
          <w:tcPr>
            <w:tcW w:w="369" w:type="dxa"/>
            <w:shd w:val="clear" w:color="auto" w:fill="FFFF00"/>
            <w:noWrap/>
            <w:hideMark/>
          </w:tcPr>
          <w:p w14:paraId="52398B86" w14:textId="77777777" w:rsidR="00A44D0D" w:rsidRPr="002B51BC" w:rsidRDefault="00A44D0D" w:rsidP="004A1807">
            <w:pPr>
              <w:pStyle w:val="TableTextEntries"/>
              <w:rPr>
                <w:rFonts w:cs="Arial"/>
                <w:sz w:val="16"/>
                <w:szCs w:val="16"/>
              </w:rPr>
            </w:pPr>
            <w:r w:rsidRPr="002B51BC">
              <w:rPr>
                <w:rFonts w:cs="Arial"/>
                <w:sz w:val="16"/>
                <w:szCs w:val="16"/>
              </w:rPr>
              <w:t>4</w:t>
            </w:r>
          </w:p>
        </w:tc>
        <w:tc>
          <w:tcPr>
            <w:tcW w:w="369" w:type="dxa"/>
            <w:shd w:val="clear" w:color="auto" w:fill="FFFF00"/>
            <w:noWrap/>
            <w:hideMark/>
          </w:tcPr>
          <w:p w14:paraId="04AA6B46" w14:textId="77777777" w:rsidR="00A44D0D" w:rsidRPr="002B51BC" w:rsidRDefault="00A44D0D" w:rsidP="004A1807">
            <w:pPr>
              <w:pStyle w:val="TableTextEntries"/>
              <w:rPr>
                <w:rFonts w:cs="Arial"/>
                <w:sz w:val="16"/>
                <w:szCs w:val="16"/>
              </w:rPr>
            </w:pPr>
            <w:r w:rsidRPr="002B51BC">
              <w:rPr>
                <w:rFonts w:cs="Arial"/>
                <w:sz w:val="16"/>
                <w:szCs w:val="16"/>
              </w:rPr>
              <w:t>4</w:t>
            </w:r>
          </w:p>
        </w:tc>
        <w:tc>
          <w:tcPr>
            <w:tcW w:w="369" w:type="dxa"/>
            <w:shd w:val="clear" w:color="auto" w:fill="FFFF00"/>
            <w:noWrap/>
            <w:hideMark/>
          </w:tcPr>
          <w:p w14:paraId="18E21CDF" w14:textId="77777777" w:rsidR="00A44D0D" w:rsidRPr="002B51BC" w:rsidRDefault="00A44D0D" w:rsidP="004A1807">
            <w:pPr>
              <w:pStyle w:val="TableTextEntries"/>
              <w:rPr>
                <w:rFonts w:cs="Arial"/>
                <w:sz w:val="16"/>
                <w:szCs w:val="16"/>
              </w:rPr>
            </w:pPr>
            <w:r w:rsidRPr="002B51BC">
              <w:rPr>
                <w:rFonts w:cs="Arial"/>
                <w:sz w:val="16"/>
                <w:szCs w:val="16"/>
              </w:rPr>
              <w:t>4</w:t>
            </w:r>
          </w:p>
        </w:tc>
        <w:tc>
          <w:tcPr>
            <w:tcW w:w="369" w:type="dxa"/>
            <w:shd w:val="clear" w:color="auto" w:fill="FFFF00"/>
            <w:noWrap/>
            <w:hideMark/>
          </w:tcPr>
          <w:p w14:paraId="357A5295" w14:textId="77777777" w:rsidR="00A44D0D" w:rsidRPr="002B51BC" w:rsidRDefault="00A44D0D" w:rsidP="004A1807">
            <w:pPr>
              <w:pStyle w:val="TableTextEntries"/>
              <w:rPr>
                <w:rFonts w:cs="Arial"/>
                <w:sz w:val="16"/>
                <w:szCs w:val="16"/>
              </w:rPr>
            </w:pPr>
            <w:r w:rsidRPr="002B51BC">
              <w:rPr>
                <w:rFonts w:cs="Arial"/>
                <w:sz w:val="16"/>
                <w:szCs w:val="16"/>
              </w:rPr>
              <w:t>4</w:t>
            </w:r>
          </w:p>
        </w:tc>
        <w:tc>
          <w:tcPr>
            <w:tcW w:w="369" w:type="dxa"/>
            <w:shd w:val="clear" w:color="auto" w:fill="FFFF00"/>
            <w:noWrap/>
            <w:hideMark/>
          </w:tcPr>
          <w:p w14:paraId="30BEE11E" w14:textId="77777777" w:rsidR="00A44D0D" w:rsidRPr="002B51BC" w:rsidRDefault="00A44D0D" w:rsidP="004A1807">
            <w:pPr>
              <w:pStyle w:val="TableTextEntries"/>
              <w:rPr>
                <w:rFonts w:cs="Arial"/>
                <w:sz w:val="16"/>
                <w:szCs w:val="16"/>
              </w:rPr>
            </w:pPr>
            <w:r w:rsidRPr="002B51BC">
              <w:rPr>
                <w:rFonts w:cs="Arial"/>
                <w:sz w:val="16"/>
                <w:szCs w:val="16"/>
              </w:rPr>
              <w:t>4</w:t>
            </w:r>
          </w:p>
        </w:tc>
        <w:tc>
          <w:tcPr>
            <w:tcW w:w="369" w:type="dxa"/>
            <w:shd w:val="clear" w:color="auto" w:fill="FFFF00"/>
            <w:noWrap/>
            <w:hideMark/>
          </w:tcPr>
          <w:p w14:paraId="25CEFE36" w14:textId="77777777" w:rsidR="00A44D0D" w:rsidRPr="002B51BC" w:rsidRDefault="00A44D0D" w:rsidP="004A1807">
            <w:pPr>
              <w:pStyle w:val="TableTextEntries"/>
              <w:rPr>
                <w:rFonts w:cs="Arial"/>
                <w:sz w:val="16"/>
                <w:szCs w:val="16"/>
              </w:rPr>
            </w:pPr>
            <w:r w:rsidRPr="002B51BC">
              <w:rPr>
                <w:rFonts w:cs="Arial"/>
                <w:sz w:val="16"/>
                <w:szCs w:val="16"/>
              </w:rPr>
              <w:t>4</w:t>
            </w:r>
          </w:p>
        </w:tc>
        <w:tc>
          <w:tcPr>
            <w:tcW w:w="369" w:type="dxa"/>
            <w:shd w:val="clear" w:color="auto" w:fill="F79646" w:themeFill="accent6"/>
          </w:tcPr>
          <w:p w14:paraId="10FB2DF2" w14:textId="77777777" w:rsidR="00A44D0D" w:rsidRPr="002B51BC" w:rsidRDefault="00A44D0D" w:rsidP="004A1807">
            <w:pPr>
              <w:pStyle w:val="TableTextEntries"/>
              <w:rPr>
                <w:rFonts w:cs="Arial"/>
                <w:sz w:val="16"/>
                <w:szCs w:val="16"/>
              </w:rPr>
            </w:pPr>
            <w:r w:rsidRPr="002B51BC">
              <w:rPr>
                <w:rFonts w:cs="Arial"/>
                <w:sz w:val="16"/>
                <w:szCs w:val="16"/>
              </w:rPr>
              <w:t>I</w:t>
            </w:r>
          </w:p>
        </w:tc>
      </w:tr>
      <w:tr w:rsidR="007B1585" w:rsidRPr="007B1585" w14:paraId="21343728"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hideMark/>
          </w:tcPr>
          <w:p w14:paraId="1760F0A0" w14:textId="77777777" w:rsidR="00A44D0D" w:rsidRPr="007B1585" w:rsidRDefault="00A44D0D" w:rsidP="004A1807">
            <w:pPr>
              <w:pStyle w:val="TableTextEntries"/>
            </w:pPr>
            <w:r w:rsidRPr="007B1585">
              <w:t xml:space="preserve">Labour-Based Rural Road Works in East Timor </w:t>
            </w:r>
          </w:p>
        </w:tc>
        <w:tc>
          <w:tcPr>
            <w:tcW w:w="1077" w:type="dxa"/>
            <w:hideMark/>
          </w:tcPr>
          <w:p w14:paraId="7CFBEF21" w14:textId="77777777" w:rsidR="00A44D0D" w:rsidRPr="007B1585" w:rsidRDefault="00E36392" w:rsidP="004A1807">
            <w:pPr>
              <w:pStyle w:val="TableTextEntries"/>
              <w:rPr>
                <w:sz w:val="16"/>
                <w:szCs w:val="16"/>
              </w:rPr>
            </w:pPr>
            <w:r w:rsidRPr="007B1585">
              <w:rPr>
                <w:sz w:val="16"/>
                <w:szCs w:val="16"/>
              </w:rPr>
              <w:t>01/06/</w:t>
            </w:r>
            <w:r w:rsidR="00A44D0D" w:rsidRPr="007B1585">
              <w:rPr>
                <w:sz w:val="16"/>
                <w:szCs w:val="16"/>
              </w:rPr>
              <w:t>10</w:t>
            </w:r>
          </w:p>
        </w:tc>
        <w:tc>
          <w:tcPr>
            <w:tcW w:w="1077" w:type="dxa"/>
            <w:hideMark/>
          </w:tcPr>
          <w:p w14:paraId="6811D05A" w14:textId="77777777" w:rsidR="00A44D0D" w:rsidRPr="007B1585" w:rsidRDefault="00E36392" w:rsidP="004A1807">
            <w:pPr>
              <w:pStyle w:val="TableTextEntries"/>
              <w:rPr>
                <w:sz w:val="16"/>
                <w:szCs w:val="16"/>
              </w:rPr>
            </w:pPr>
            <w:r w:rsidRPr="007B1585">
              <w:rPr>
                <w:sz w:val="16"/>
                <w:szCs w:val="16"/>
              </w:rPr>
              <w:t>29/02/</w:t>
            </w:r>
            <w:r w:rsidR="00A44D0D" w:rsidRPr="007B1585">
              <w:rPr>
                <w:sz w:val="16"/>
                <w:szCs w:val="16"/>
              </w:rPr>
              <w:t>12</w:t>
            </w:r>
          </w:p>
        </w:tc>
        <w:tc>
          <w:tcPr>
            <w:tcW w:w="1588" w:type="dxa"/>
            <w:hideMark/>
          </w:tcPr>
          <w:p w14:paraId="0E730735" w14:textId="5ABCF018" w:rsidR="00A44D0D" w:rsidRPr="007B1585" w:rsidRDefault="00A44D0D" w:rsidP="004A1807">
            <w:pPr>
              <w:pStyle w:val="TableTextEntries"/>
              <w:rPr>
                <w:sz w:val="16"/>
                <w:szCs w:val="16"/>
              </w:rPr>
            </w:pPr>
            <w:r w:rsidRPr="007B1585">
              <w:rPr>
                <w:sz w:val="16"/>
                <w:szCs w:val="16"/>
              </w:rPr>
              <w:t>$3</w:t>
            </w:r>
            <w:r w:rsidR="00E36B98" w:rsidRPr="007B1585">
              <w:rPr>
                <w:sz w:val="16"/>
                <w:szCs w:val="16"/>
              </w:rPr>
              <w:t xml:space="preserve"> </w:t>
            </w:r>
            <w:r w:rsidRPr="007B1585">
              <w:rPr>
                <w:sz w:val="16"/>
                <w:szCs w:val="16"/>
              </w:rPr>
              <w:t>300</w:t>
            </w:r>
            <w:r w:rsidR="00E36B98" w:rsidRPr="007B1585">
              <w:rPr>
                <w:sz w:val="16"/>
                <w:szCs w:val="16"/>
              </w:rPr>
              <w:t xml:space="preserve"> </w:t>
            </w:r>
            <w:r w:rsidRPr="007B1585">
              <w:rPr>
                <w:sz w:val="16"/>
                <w:szCs w:val="16"/>
              </w:rPr>
              <w:t>000.00</w:t>
            </w:r>
          </w:p>
        </w:tc>
        <w:tc>
          <w:tcPr>
            <w:tcW w:w="680" w:type="dxa"/>
            <w:hideMark/>
          </w:tcPr>
          <w:p w14:paraId="6DE82F0E" w14:textId="77777777" w:rsidR="00A44D0D" w:rsidRPr="007B1585" w:rsidRDefault="00A44D0D" w:rsidP="004A1807">
            <w:pPr>
              <w:pStyle w:val="TableTextEntries"/>
              <w:rPr>
                <w:sz w:val="16"/>
                <w:szCs w:val="16"/>
              </w:rPr>
            </w:pPr>
            <w:r w:rsidRPr="007B1585">
              <w:rPr>
                <w:sz w:val="16"/>
                <w:szCs w:val="16"/>
              </w:rPr>
              <w:t>2011</w:t>
            </w:r>
          </w:p>
        </w:tc>
        <w:tc>
          <w:tcPr>
            <w:tcW w:w="369" w:type="dxa"/>
            <w:shd w:val="clear" w:color="auto" w:fill="92D050"/>
            <w:noWrap/>
            <w:hideMark/>
          </w:tcPr>
          <w:p w14:paraId="7F620BC4"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92D050"/>
            <w:noWrap/>
            <w:hideMark/>
          </w:tcPr>
          <w:p w14:paraId="6F6A5CC1"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92D050"/>
            <w:noWrap/>
            <w:hideMark/>
          </w:tcPr>
          <w:p w14:paraId="5E75505F"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FFF00"/>
            <w:noWrap/>
            <w:hideMark/>
          </w:tcPr>
          <w:p w14:paraId="55993AE1"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7274B8EE"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92D050"/>
            <w:noWrap/>
            <w:hideMark/>
          </w:tcPr>
          <w:p w14:paraId="02E77195"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tcPr>
          <w:p w14:paraId="03FD22FF" w14:textId="77777777" w:rsidR="00A44D0D" w:rsidRPr="007B1585" w:rsidRDefault="00A44D0D" w:rsidP="004A1807">
            <w:pPr>
              <w:pStyle w:val="TableTextEntries"/>
              <w:rPr>
                <w:rFonts w:ascii="Arial" w:hAnsi="Arial" w:cs="Arial"/>
                <w:sz w:val="16"/>
                <w:szCs w:val="16"/>
              </w:rPr>
            </w:pPr>
          </w:p>
        </w:tc>
      </w:tr>
      <w:tr w:rsidR="007B1585" w:rsidRPr="007B1585" w14:paraId="1EBD8E45" w14:textId="77777777" w:rsidTr="004A1807">
        <w:trPr>
          <w:trHeight w:val="255"/>
          <w:tblHeader w:val="0"/>
        </w:trPr>
        <w:tc>
          <w:tcPr>
            <w:tcW w:w="1702" w:type="dxa"/>
            <w:vMerge w:val="restart"/>
            <w:hideMark/>
          </w:tcPr>
          <w:p w14:paraId="6B34AB92" w14:textId="77777777" w:rsidR="00A44D0D" w:rsidRPr="007B1585" w:rsidRDefault="00A44D0D" w:rsidP="004A1807">
            <w:pPr>
              <w:pStyle w:val="TableTextEntries"/>
            </w:pPr>
            <w:r w:rsidRPr="007B1585">
              <w:lastRenderedPageBreak/>
              <w:t>Education</w:t>
            </w:r>
          </w:p>
        </w:tc>
        <w:tc>
          <w:tcPr>
            <w:tcW w:w="1077" w:type="dxa"/>
            <w:vMerge w:val="restart"/>
            <w:hideMark/>
          </w:tcPr>
          <w:p w14:paraId="5EA6FDE1" w14:textId="77777777" w:rsidR="00A44D0D" w:rsidRPr="007B1585" w:rsidRDefault="00E36392" w:rsidP="004A1807">
            <w:pPr>
              <w:pStyle w:val="TableTextEntries"/>
              <w:rPr>
                <w:sz w:val="16"/>
                <w:szCs w:val="16"/>
              </w:rPr>
            </w:pPr>
            <w:r w:rsidRPr="007B1585">
              <w:rPr>
                <w:sz w:val="16"/>
                <w:szCs w:val="16"/>
              </w:rPr>
              <w:t>08/06/</w:t>
            </w:r>
            <w:r w:rsidR="00A44D0D" w:rsidRPr="007B1585">
              <w:rPr>
                <w:sz w:val="16"/>
                <w:szCs w:val="16"/>
              </w:rPr>
              <w:t>11</w:t>
            </w:r>
          </w:p>
        </w:tc>
        <w:tc>
          <w:tcPr>
            <w:tcW w:w="1077" w:type="dxa"/>
            <w:vMerge w:val="restart"/>
            <w:hideMark/>
          </w:tcPr>
          <w:p w14:paraId="4766904E" w14:textId="77777777" w:rsidR="00A44D0D" w:rsidRPr="007B1585" w:rsidRDefault="00E36392" w:rsidP="004A1807">
            <w:pPr>
              <w:pStyle w:val="TableTextEntries"/>
              <w:rPr>
                <w:sz w:val="16"/>
                <w:szCs w:val="16"/>
              </w:rPr>
            </w:pPr>
            <w:r w:rsidRPr="007B1585">
              <w:rPr>
                <w:sz w:val="16"/>
                <w:szCs w:val="16"/>
              </w:rPr>
              <w:t>31/12/</w:t>
            </w:r>
            <w:r w:rsidR="00A44D0D" w:rsidRPr="007B1585">
              <w:rPr>
                <w:sz w:val="16"/>
                <w:szCs w:val="16"/>
              </w:rPr>
              <w:t>14</w:t>
            </w:r>
          </w:p>
        </w:tc>
        <w:tc>
          <w:tcPr>
            <w:tcW w:w="1588" w:type="dxa"/>
            <w:vMerge w:val="restart"/>
            <w:hideMark/>
          </w:tcPr>
          <w:p w14:paraId="44BAEBEF" w14:textId="2D4DD116" w:rsidR="00A44D0D" w:rsidRPr="007B1585" w:rsidRDefault="00A44D0D" w:rsidP="004A1807">
            <w:pPr>
              <w:pStyle w:val="TableTextEntries"/>
              <w:rPr>
                <w:sz w:val="16"/>
                <w:szCs w:val="16"/>
              </w:rPr>
            </w:pPr>
            <w:r w:rsidRPr="007B1585">
              <w:rPr>
                <w:sz w:val="16"/>
                <w:szCs w:val="16"/>
              </w:rPr>
              <w:t>$9</w:t>
            </w:r>
            <w:r w:rsidR="00E36B98" w:rsidRPr="007B1585">
              <w:rPr>
                <w:sz w:val="16"/>
                <w:szCs w:val="16"/>
              </w:rPr>
              <w:t xml:space="preserve"> </w:t>
            </w:r>
            <w:r w:rsidRPr="007B1585">
              <w:rPr>
                <w:sz w:val="16"/>
                <w:szCs w:val="16"/>
              </w:rPr>
              <w:t>175</w:t>
            </w:r>
            <w:r w:rsidR="00E36B98" w:rsidRPr="007B1585">
              <w:rPr>
                <w:sz w:val="16"/>
                <w:szCs w:val="16"/>
              </w:rPr>
              <w:t xml:space="preserve"> </w:t>
            </w:r>
            <w:r w:rsidRPr="007B1585">
              <w:rPr>
                <w:sz w:val="16"/>
                <w:szCs w:val="16"/>
              </w:rPr>
              <w:t>116.24</w:t>
            </w:r>
          </w:p>
        </w:tc>
        <w:tc>
          <w:tcPr>
            <w:tcW w:w="680" w:type="dxa"/>
            <w:hideMark/>
          </w:tcPr>
          <w:p w14:paraId="51FA035E" w14:textId="77777777" w:rsidR="00A44D0D" w:rsidRPr="007B1585" w:rsidRDefault="00A44D0D" w:rsidP="004A1807">
            <w:pPr>
              <w:pStyle w:val="TableTextEntries"/>
              <w:rPr>
                <w:sz w:val="16"/>
                <w:szCs w:val="16"/>
              </w:rPr>
            </w:pPr>
            <w:r w:rsidRPr="007B1585">
              <w:rPr>
                <w:sz w:val="16"/>
                <w:szCs w:val="16"/>
              </w:rPr>
              <w:t>2011</w:t>
            </w:r>
          </w:p>
        </w:tc>
        <w:tc>
          <w:tcPr>
            <w:tcW w:w="369" w:type="dxa"/>
            <w:shd w:val="clear" w:color="auto" w:fill="FFFF00"/>
            <w:noWrap/>
            <w:hideMark/>
          </w:tcPr>
          <w:p w14:paraId="7F601B4A"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79646" w:themeFill="accent6"/>
            <w:noWrap/>
            <w:hideMark/>
          </w:tcPr>
          <w:p w14:paraId="2503E689"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F0000"/>
            <w:noWrap/>
            <w:hideMark/>
          </w:tcPr>
          <w:p w14:paraId="21AFEAF7"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2</w:t>
            </w:r>
          </w:p>
        </w:tc>
        <w:tc>
          <w:tcPr>
            <w:tcW w:w="369" w:type="dxa"/>
            <w:shd w:val="clear" w:color="auto" w:fill="FF0000"/>
            <w:noWrap/>
            <w:hideMark/>
          </w:tcPr>
          <w:p w14:paraId="74D5CD5C"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2</w:t>
            </w:r>
          </w:p>
        </w:tc>
        <w:tc>
          <w:tcPr>
            <w:tcW w:w="369" w:type="dxa"/>
            <w:shd w:val="clear" w:color="auto" w:fill="F79646" w:themeFill="accent6"/>
            <w:noWrap/>
            <w:hideMark/>
          </w:tcPr>
          <w:p w14:paraId="49343523"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79646" w:themeFill="accent6"/>
            <w:noWrap/>
            <w:hideMark/>
          </w:tcPr>
          <w:p w14:paraId="72E75D26"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tcPr>
          <w:p w14:paraId="30ED680D" w14:textId="77777777" w:rsidR="00A44D0D" w:rsidRPr="007B1585" w:rsidRDefault="00A44D0D" w:rsidP="004A1807">
            <w:pPr>
              <w:pStyle w:val="TableTextEntries"/>
              <w:rPr>
                <w:rFonts w:ascii="Arial" w:hAnsi="Arial" w:cs="Arial"/>
                <w:sz w:val="16"/>
                <w:szCs w:val="16"/>
              </w:rPr>
            </w:pPr>
          </w:p>
        </w:tc>
      </w:tr>
      <w:tr w:rsidR="007B1585" w:rsidRPr="007B1585" w14:paraId="223D621E"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vMerge/>
            <w:hideMark/>
          </w:tcPr>
          <w:p w14:paraId="6907B4D8" w14:textId="77777777" w:rsidR="00A44D0D" w:rsidRPr="007B1585" w:rsidRDefault="00A44D0D" w:rsidP="004A1807">
            <w:pPr>
              <w:pStyle w:val="TableTextEntries"/>
            </w:pPr>
          </w:p>
        </w:tc>
        <w:tc>
          <w:tcPr>
            <w:tcW w:w="1077" w:type="dxa"/>
            <w:vMerge/>
            <w:hideMark/>
          </w:tcPr>
          <w:p w14:paraId="67B1C31E" w14:textId="77777777" w:rsidR="00A44D0D" w:rsidRPr="007B1585" w:rsidRDefault="00A44D0D" w:rsidP="004A1807">
            <w:pPr>
              <w:pStyle w:val="TableTextEntries"/>
              <w:rPr>
                <w:sz w:val="16"/>
                <w:szCs w:val="16"/>
              </w:rPr>
            </w:pPr>
          </w:p>
        </w:tc>
        <w:tc>
          <w:tcPr>
            <w:tcW w:w="1077" w:type="dxa"/>
            <w:vMerge/>
            <w:hideMark/>
          </w:tcPr>
          <w:p w14:paraId="29975162" w14:textId="77777777" w:rsidR="00A44D0D" w:rsidRPr="007B1585" w:rsidRDefault="00A44D0D" w:rsidP="004A1807">
            <w:pPr>
              <w:pStyle w:val="TableTextEntries"/>
              <w:rPr>
                <w:sz w:val="16"/>
                <w:szCs w:val="16"/>
              </w:rPr>
            </w:pPr>
          </w:p>
        </w:tc>
        <w:tc>
          <w:tcPr>
            <w:tcW w:w="1588" w:type="dxa"/>
            <w:vMerge/>
            <w:hideMark/>
          </w:tcPr>
          <w:p w14:paraId="2D19DD44" w14:textId="77777777" w:rsidR="00A44D0D" w:rsidRPr="007B1585" w:rsidRDefault="00A44D0D" w:rsidP="004A1807">
            <w:pPr>
              <w:pStyle w:val="TableTextEntries"/>
              <w:rPr>
                <w:sz w:val="16"/>
                <w:szCs w:val="16"/>
              </w:rPr>
            </w:pPr>
          </w:p>
        </w:tc>
        <w:tc>
          <w:tcPr>
            <w:tcW w:w="680" w:type="dxa"/>
            <w:hideMark/>
          </w:tcPr>
          <w:p w14:paraId="544A4A2D" w14:textId="77777777" w:rsidR="00A44D0D" w:rsidRPr="007B1585" w:rsidRDefault="00A44D0D" w:rsidP="004A1807">
            <w:pPr>
              <w:pStyle w:val="TableTextEntries"/>
              <w:rPr>
                <w:sz w:val="16"/>
                <w:szCs w:val="16"/>
              </w:rPr>
            </w:pPr>
            <w:r w:rsidRPr="007B1585">
              <w:rPr>
                <w:sz w:val="16"/>
                <w:szCs w:val="16"/>
              </w:rPr>
              <w:t>2012</w:t>
            </w:r>
          </w:p>
        </w:tc>
        <w:tc>
          <w:tcPr>
            <w:tcW w:w="369" w:type="dxa"/>
            <w:shd w:val="clear" w:color="auto" w:fill="92D050"/>
            <w:noWrap/>
            <w:hideMark/>
          </w:tcPr>
          <w:p w14:paraId="410C7D55"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FFF00"/>
            <w:noWrap/>
            <w:hideMark/>
          </w:tcPr>
          <w:p w14:paraId="17310FAE"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79646" w:themeFill="accent6"/>
            <w:noWrap/>
            <w:hideMark/>
          </w:tcPr>
          <w:p w14:paraId="50334BF8"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FFF00"/>
            <w:noWrap/>
            <w:hideMark/>
          </w:tcPr>
          <w:p w14:paraId="5AF6470D"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3510B562"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79646" w:themeFill="accent6"/>
            <w:noWrap/>
            <w:hideMark/>
          </w:tcPr>
          <w:p w14:paraId="5D0B4D83"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79646" w:themeFill="accent6"/>
          </w:tcPr>
          <w:p w14:paraId="15A97D6C"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I</w:t>
            </w:r>
          </w:p>
        </w:tc>
      </w:tr>
      <w:tr w:rsidR="007B1585" w:rsidRPr="007B1585" w14:paraId="0E6A2B2B" w14:textId="77777777" w:rsidTr="004A1807">
        <w:trPr>
          <w:trHeight w:val="255"/>
          <w:tblHeader w:val="0"/>
        </w:trPr>
        <w:tc>
          <w:tcPr>
            <w:tcW w:w="1702" w:type="dxa"/>
            <w:hideMark/>
          </w:tcPr>
          <w:p w14:paraId="27E9D01F" w14:textId="4958CDC7" w:rsidR="00A44D0D" w:rsidRPr="007B1585" w:rsidRDefault="00A44D0D" w:rsidP="004A1807">
            <w:pPr>
              <w:pStyle w:val="TableTextEntries"/>
            </w:pPr>
            <w:r w:rsidRPr="007B1585">
              <w:t xml:space="preserve">Roads for Development </w:t>
            </w:r>
          </w:p>
        </w:tc>
        <w:tc>
          <w:tcPr>
            <w:tcW w:w="1077" w:type="dxa"/>
            <w:hideMark/>
          </w:tcPr>
          <w:p w14:paraId="4FE20A14" w14:textId="77777777" w:rsidR="00A44D0D" w:rsidRPr="007B1585" w:rsidRDefault="00E36392" w:rsidP="004A1807">
            <w:pPr>
              <w:pStyle w:val="TableTextEntries"/>
              <w:rPr>
                <w:sz w:val="16"/>
                <w:szCs w:val="16"/>
              </w:rPr>
            </w:pPr>
            <w:r w:rsidRPr="007B1585">
              <w:rPr>
                <w:sz w:val="16"/>
                <w:szCs w:val="16"/>
              </w:rPr>
              <w:t>01/06/</w:t>
            </w:r>
            <w:r w:rsidR="00A44D0D" w:rsidRPr="007B1585">
              <w:rPr>
                <w:sz w:val="16"/>
                <w:szCs w:val="16"/>
              </w:rPr>
              <w:t>11</w:t>
            </w:r>
          </w:p>
        </w:tc>
        <w:tc>
          <w:tcPr>
            <w:tcW w:w="1077" w:type="dxa"/>
            <w:hideMark/>
          </w:tcPr>
          <w:p w14:paraId="2DA992C9" w14:textId="77777777" w:rsidR="00A44D0D" w:rsidRPr="007B1585" w:rsidRDefault="00E36392" w:rsidP="004A1807">
            <w:pPr>
              <w:pStyle w:val="TableTextEntries"/>
              <w:rPr>
                <w:sz w:val="16"/>
                <w:szCs w:val="16"/>
              </w:rPr>
            </w:pPr>
            <w:r w:rsidRPr="007B1585">
              <w:rPr>
                <w:sz w:val="16"/>
                <w:szCs w:val="16"/>
              </w:rPr>
              <w:t>29/02/</w:t>
            </w:r>
            <w:r w:rsidR="00A44D0D" w:rsidRPr="007B1585">
              <w:rPr>
                <w:sz w:val="16"/>
                <w:szCs w:val="16"/>
              </w:rPr>
              <w:t>16</w:t>
            </w:r>
          </w:p>
        </w:tc>
        <w:tc>
          <w:tcPr>
            <w:tcW w:w="1588" w:type="dxa"/>
            <w:hideMark/>
          </w:tcPr>
          <w:p w14:paraId="5D70E39D" w14:textId="65B9B737" w:rsidR="00A44D0D" w:rsidRPr="007B1585" w:rsidRDefault="00A44D0D" w:rsidP="004A1807">
            <w:pPr>
              <w:pStyle w:val="TableTextEntries"/>
              <w:rPr>
                <w:sz w:val="16"/>
                <w:szCs w:val="16"/>
              </w:rPr>
            </w:pPr>
            <w:r w:rsidRPr="007B1585">
              <w:rPr>
                <w:sz w:val="16"/>
                <w:szCs w:val="16"/>
              </w:rPr>
              <w:t>$30</w:t>
            </w:r>
            <w:r w:rsidR="00E36B98" w:rsidRPr="007B1585">
              <w:rPr>
                <w:sz w:val="16"/>
                <w:szCs w:val="16"/>
              </w:rPr>
              <w:t xml:space="preserve"> </w:t>
            </w:r>
            <w:r w:rsidRPr="007B1585">
              <w:rPr>
                <w:sz w:val="16"/>
                <w:szCs w:val="16"/>
              </w:rPr>
              <w:t>500</w:t>
            </w:r>
            <w:r w:rsidR="00E36B98" w:rsidRPr="007B1585">
              <w:rPr>
                <w:sz w:val="16"/>
                <w:szCs w:val="16"/>
              </w:rPr>
              <w:t xml:space="preserve"> </w:t>
            </w:r>
            <w:r w:rsidRPr="007B1585">
              <w:rPr>
                <w:sz w:val="16"/>
                <w:szCs w:val="16"/>
              </w:rPr>
              <w:t>000.00</w:t>
            </w:r>
          </w:p>
        </w:tc>
        <w:tc>
          <w:tcPr>
            <w:tcW w:w="680" w:type="dxa"/>
            <w:hideMark/>
          </w:tcPr>
          <w:p w14:paraId="4ED8D986" w14:textId="77777777" w:rsidR="00A44D0D" w:rsidRPr="007B1585" w:rsidRDefault="00A44D0D" w:rsidP="004A1807">
            <w:pPr>
              <w:pStyle w:val="TableTextEntries"/>
              <w:rPr>
                <w:sz w:val="16"/>
                <w:szCs w:val="16"/>
              </w:rPr>
            </w:pPr>
            <w:r w:rsidRPr="007B1585">
              <w:rPr>
                <w:sz w:val="16"/>
                <w:szCs w:val="16"/>
              </w:rPr>
              <w:t>2012</w:t>
            </w:r>
          </w:p>
        </w:tc>
        <w:tc>
          <w:tcPr>
            <w:tcW w:w="369" w:type="dxa"/>
            <w:shd w:val="clear" w:color="auto" w:fill="92D050"/>
            <w:noWrap/>
            <w:hideMark/>
          </w:tcPr>
          <w:p w14:paraId="701DBB33"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FFF00"/>
            <w:noWrap/>
            <w:hideMark/>
          </w:tcPr>
          <w:p w14:paraId="3FA38558"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7F3F5782"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3C0D0E90"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5BF4795C"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92D050"/>
            <w:noWrap/>
            <w:hideMark/>
          </w:tcPr>
          <w:p w14:paraId="4CE0B076"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79646" w:themeFill="accent6"/>
          </w:tcPr>
          <w:p w14:paraId="62DE8A3D"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I</w:t>
            </w:r>
          </w:p>
        </w:tc>
      </w:tr>
      <w:tr w:rsidR="007B1585" w:rsidRPr="007B1585" w14:paraId="066D7655"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hideMark/>
          </w:tcPr>
          <w:p w14:paraId="1A06BE68" w14:textId="20B6A268" w:rsidR="00A44D0D" w:rsidRPr="007B1585" w:rsidRDefault="00A44D0D" w:rsidP="004A1807">
            <w:pPr>
              <w:pStyle w:val="TableTextEntries"/>
            </w:pPr>
            <w:r w:rsidRPr="007B1585">
              <w:t>Rural Water Supply &amp; Sanitation Program BESIK II</w:t>
            </w:r>
          </w:p>
        </w:tc>
        <w:tc>
          <w:tcPr>
            <w:tcW w:w="1077" w:type="dxa"/>
            <w:hideMark/>
          </w:tcPr>
          <w:p w14:paraId="0FC34E96" w14:textId="77777777" w:rsidR="00A44D0D" w:rsidRPr="007B1585" w:rsidRDefault="00E36392" w:rsidP="004A1807">
            <w:pPr>
              <w:pStyle w:val="TableTextEntries"/>
              <w:rPr>
                <w:sz w:val="16"/>
                <w:szCs w:val="16"/>
              </w:rPr>
            </w:pPr>
            <w:r w:rsidRPr="007B1585">
              <w:rPr>
                <w:sz w:val="16"/>
                <w:szCs w:val="16"/>
              </w:rPr>
              <w:t>01/06/</w:t>
            </w:r>
            <w:r w:rsidR="00A44D0D" w:rsidRPr="007B1585">
              <w:rPr>
                <w:sz w:val="16"/>
                <w:szCs w:val="16"/>
              </w:rPr>
              <w:t>11</w:t>
            </w:r>
          </w:p>
        </w:tc>
        <w:tc>
          <w:tcPr>
            <w:tcW w:w="1077" w:type="dxa"/>
            <w:hideMark/>
          </w:tcPr>
          <w:p w14:paraId="52AA89D0" w14:textId="77777777" w:rsidR="00A44D0D" w:rsidRPr="007B1585" w:rsidRDefault="00E36392" w:rsidP="004A1807">
            <w:pPr>
              <w:pStyle w:val="TableTextEntries"/>
              <w:rPr>
                <w:sz w:val="16"/>
                <w:szCs w:val="16"/>
              </w:rPr>
            </w:pPr>
            <w:r w:rsidRPr="007B1585">
              <w:rPr>
                <w:sz w:val="16"/>
                <w:szCs w:val="16"/>
              </w:rPr>
              <w:t>30/06/</w:t>
            </w:r>
            <w:r w:rsidR="00A44D0D" w:rsidRPr="007B1585">
              <w:rPr>
                <w:sz w:val="16"/>
                <w:szCs w:val="16"/>
              </w:rPr>
              <w:t>20</w:t>
            </w:r>
          </w:p>
        </w:tc>
        <w:tc>
          <w:tcPr>
            <w:tcW w:w="1588" w:type="dxa"/>
            <w:hideMark/>
          </w:tcPr>
          <w:p w14:paraId="7375C8AD" w14:textId="0D76E705" w:rsidR="00A44D0D" w:rsidRPr="007B1585" w:rsidRDefault="00A44D0D" w:rsidP="004A1807">
            <w:pPr>
              <w:pStyle w:val="TableTextEntries"/>
              <w:rPr>
                <w:sz w:val="16"/>
                <w:szCs w:val="16"/>
              </w:rPr>
            </w:pPr>
            <w:r w:rsidRPr="007B1585">
              <w:rPr>
                <w:sz w:val="16"/>
                <w:szCs w:val="16"/>
              </w:rPr>
              <w:t>$60</w:t>
            </w:r>
            <w:r w:rsidR="00E36B98" w:rsidRPr="007B1585">
              <w:rPr>
                <w:sz w:val="16"/>
                <w:szCs w:val="16"/>
              </w:rPr>
              <w:t xml:space="preserve"> </w:t>
            </w:r>
            <w:r w:rsidRPr="007B1585">
              <w:rPr>
                <w:sz w:val="16"/>
                <w:szCs w:val="16"/>
              </w:rPr>
              <w:t>655</w:t>
            </w:r>
            <w:r w:rsidR="00E36B98" w:rsidRPr="007B1585">
              <w:rPr>
                <w:sz w:val="16"/>
                <w:szCs w:val="16"/>
              </w:rPr>
              <w:t xml:space="preserve"> </w:t>
            </w:r>
            <w:r w:rsidRPr="007B1585">
              <w:rPr>
                <w:sz w:val="16"/>
                <w:szCs w:val="16"/>
              </w:rPr>
              <w:t>999.08</w:t>
            </w:r>
          </w:p>
        </w:tc>
        <w:tc>
          <w:tcPr>
            <w:tcW w:w="680" w:type="dxa"/>
            <w:hideMark/>
          </w:tcPr>
          <w:p w14:paraId="08A08611" w14:textId="77777777" w:rsidR="00A44D0D" w:rsidRPr="007B1585" w:rsidRDefault="00A44D0D" w:rsidP="004A1807">
            <w:pPr>
              <w:pStyle w:val="TableTextEntries"/>
              <w:rPr>
                <w:sz w:val="16"/>
                <w:szCs w:val="16"/>
              </w:rPr>
            </w:pPr>
            <w:r w:rsidRPr="007B1585">
              <w:rPr>
                <w:sz w:val="16"/>
                <w:szCs w:val="16"/>
              </w:rPr>
              <w:t>2012</w:t>
            </w:r>
          </w:p>
        </w:tc>
        <w:tc>
          <w:tcPr>
            <w:tcW w:w="369" w:type="dxa"/>
            <w:shd w:val="clear" w:color="auto" w:fill="92D050"/>
            <w:noWrap/>
            <w:hideMark/>
          </w:tcPr>
          <w:p w14:paraId="1143FF56"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6</w:t>
            </w:r>
          </w:p>
        </w:tc>
        <w:tc>
          <w:tcPr>
            <w:tcW w:w="369" w:type="dxa"/>
            <w:shd w:val="clear" w:color="auto" w:fill="92D050"/>
            <w:noWrap/>
            <w:hideMark/>
          </w:tcPr>
          <w:p w14:paraId="78A752D1"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92D050"/>
            <w:noWrap/>
            <w:hideMark/>
          </w:tcPr>
          <w:p w14:paraId="46210E31"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92D050"/>
            <w:noWrap/>
            <w:hideMark/>
          </w:tcPr>
          <w:p w14:paraId="7D2A47C9"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92D050"/>
            <w:noWrap/>
            <w:hideMark/>
          </w:tcPr>
          <w:p w14:paraId="5A10EFFD"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92D050"/>
            <w:noWrap/>
            <w:hideMark/>
          </w:tcPr>
          <w:p w14:paraId="56D3B46B"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92D050"/>
          </w:tcPr>
          <w:p w14:paraId="12BD6236"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M</w:t>
            </w:r>
          </w:p>
        </w:tc>
      </w:tr>
      <w:tr w:rsidR="007B1585" w:rsidRPr="007B1585" w14:paraId="5BF5197A" w14:textId="77777777" w:rsidTr="004A1807">
        <w:trPr>
          <w:trHeight w:val="255"/>
          <w:tblHeader w:val="0"/>
        </w:trPr>
        <w:tc>
          <w:tcPr>
            <w:tcW w:w="1702" w:type="dxa"/>
            <w:hideMark/>
          </w:tcPr>
          <w:p w14:paraId="30613DA6" w14:textId="77777777" w:rsidR="00A44D0D" w:rsidRPr="007B1585" w:rsidRDefault="00A44D0D" w:rsidP="004A1807">
            <w:pPr>
              <w:pStyle w:val="TableTextEntries"/>
            </w:pPr>
            <w:r w:rsidRPr="007B1585">
              <w:t>ATLASS Phase II</w:t>
            </w:r>
          </w:p>
        </w:tc>
        <w:tc>
          <w:tcPr>
            <w:tcW w:w="1077" w:type="dxa"/>
            <w:hideMark/>
          </w:tcPr>
          <w:p w14:paraId="1D86C793" w14:textId="77777777" w:rsidR="00A44D0D" w:rsidRPr="007B1585" w:rsidRDefault="00E36392" w:rsidP="004A1807">
            <w:pPr>
              <w:pStyle w:val="TableTextEntries"/>
              <w:rPr>
                <w:sz w:val="16"/>
                <w:szCs w:val="16"/>
              </w:rPr>
            </w:pPr>
            <w:r w:rsidRPr="007B1585">
              <w:rPr>
                <w:sz w:val="16"/>
                <w:szCs w:val="16"/>
              </w:rPr>
              <w:t>01/04/</w:t>
            </w:r>
            <w:r w:rsidR="00A44D0D" w:rsidRPr="007B1585">
              <w:rPr>
                <w:sz w:val="16"/>
                <w:szCs w:val="16"/>
              </w:rPr>
              <w:t>12</w:t>
            </w:r>
          </w:p>
        </w:tc>
        <w:tc>
          <w:tcPr>
            <w:tcW w:w="1077" w:type="dxa"/>
            <w:hideMark/>
          </w:tcPr>
          <w:p w14:paraId="56A303B4" w14:textId="77777777" w:rsidR="00A44D0D" w:rsidRPr="007B1585" w:rsidRDefault="00A44D0D" w:rsidP="004A1807">
            <w:pPr>
              <w:pStyle w:val="TableTextEntries"/>
              <w:rPr>
                <w:sz w:val="16"/>
                <w:szCs w:val="16"/>
              </w:rPr>
            </w:pPr>
            <w:r w:rsidRPr="007B1585">
              <w:rPr>
                <w:sz w:val="16"/>
                <w:szCs w:val="16"/>
              </w:rPr>
              <w:t>30</w:t>
            </w:r>
            <w:r w:rsidR="00E36392" w:rsidRPr="007B1585">
              <w:rPr>
                <w:sz w:val="16"/>
                <w:szCs w:val="16"/>
              </w:rPr>
              <w:t>/06/</w:t>
            </w:r>
            <w:r w:rsidRPr="007B1585">
              <w:rPr>
                <w:sz w:val="16"/>
                <w:szCs w:val="16"/>
              </w:rPr>
              <w:t>16</w:t>
            </w:r>
          </w:p>
        </w:tc>
        <w:tc>
          <w:tcPr>
            <w:tcW w:w="1588" w:type="dxa"/>
            <w:hideMark/>
          </w:tcPr>
          <w:p w14:paraId="46D1FE29" w14:textId="2063A6E5" w:rsidR="00A44D0D" w:rsidRPr="007B1585" w:rsidRDefault="00A44D0D" w:rsidP="004A1807">
            <w:pPr>
              <w:pStyle w:val="TableTextEntries"/>
              <w:rPr>
                <w:sz w:val="16"/>
                <w:szCs w:val="16"/>
              </w:rPr>
            </w:pPr>
            <w:r w:rsidRPr="007B1585">
              <w:rPr>
                <w:sz w:val="16"/>
                <w:szCs w:val="16"/>
              </w:rPr>
              <w:t>$8</w:t>
            </w:r>
            <w:r w:rsidR="00E36B98" w:rsidRPr="007B1585">
              <w:rPr>
                <w:sz w:val="16"/>
                <w:szCs w:val="16"/>
              </w:rPr>
              <w:t xml:space="preserve"> </w:t>
            </w:r>
            <w:r w:rsidRPr="007B1585">
              <w:rPr>
                <w:sz w:val="16"/>
                <w:szCs w:val="16"/>
              </w:rPr>
              <w:t>700</w:t>
            </w:r>
            <w:r w:rsidR="00E36B98" w:rsidRPr="007B1585">
              <w:rPr>
                <w:sz w:val="16"/>
                <w:szCs w:val="16"/>
              </w:rPr>
              <w:t xml:space="preserve"> </w:t>
            </w:r>
            <w:r w:rsidRPr="007B1585">
              <w:rPr>
                <w:sz w:val="16"/>
                <w:szCs w:val="16"/>
              </w:rPr>
              <w:t>000.00</w:t>
            </w:r>
          </w:p>
        </w:tc>
        <w:tc>
          <w:tcPr>
            <w:tcW w:w="680" w:type="dxa"/>
            <w:hideMark/>
          </w:tcPr>
          <w:p w14:paraId="011048B5" w14:textId="77777777" w:rsidR="00A44D0D" w:rsidRPr="007B1585" w:rsidRDefault="00A44D0D" w:rsidP="004A1807">
            <w:pPr>
              <w:pStyle w:val="TableTextEntries"/>
              <w:rPr>
                <w:sz w:val="16"/>
                <w:szCs w:val="16"/>
              </w:rPr>
            </w:pPr>
            <w:r w:rsidRPr="007B1585">
              <w:rPr>
                <w:sz w:val="16"/>
                <w:szCs w:val="16"/>
              </w:rPr>
              <w:t>2012</w:t>
            </w:r>
          </w:p>
        </w:tc>
        <w:tc>
          <w:tcPr>
            <w:tcW w:w="369" w:type="dxa"/>
            <w:shd w:val="clear" w:color="auto" w:fill="92D050"/>
            <w:noWrap/>
            <w:hideMark/>
          </w:tcPr>
          <w:p w14:paraId="68C20B1D"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79646" w:themeFill="accent6"/>
            <w:noWrap/>
            <w:hideMark/>
          </w:tcPr>
          <w:p w14:paraId="77313CB0"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79646" w:themeFill="accent6"/>
            <w:noWrap/>
            <w:hideMark/>
          </w:tcPr>
          <w:p w14:paraId="36F2197C"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79646" w:themeFill="accent6"/>
            <w:noWrap/>
            <w:hideMark/>
          </w:tcPr>
          <w:p w14:paraId="00C8731B"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79646" w:themeFill="accent6"/>
            <w:noWrap/>
            <w:hideMark/>
          </w:tcPr>
          <w:p w14:paraId="24F48A1C"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FFF00"/>
            <w:noWrap/>
            <w:hideMark/>
          </w:tcPr>
          <w:p w14:paraId="54630999"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0000"/>
          </w:tcPr>
          <w:p w14:paraId="7674051D"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B</w:t>
            </w:r>
          </w:p>
        </w:tc>
      </w:tr>
      <w:tr w:rsidR="007B1585" w:rsidRPr="007B1585" w14:paraId="431B3B8A" w14:textId="77777777" w:rsidTr="004A1807">
        <w:trPr>
          <w:cnfStyle w:val="000000010000" w:firstRow="0" w:lastRow="0" w:firstColumn="0" w:lastColumn="0" w:oddVBand="0" w:evenVBand="0" w:oddHBand="0" w:evenHBand="1" w:firstRowFirstColumn="0" w:firstRowLastColumn="0" w:lastRowFirstColumn="0" w:lastRowLastColumn="0"/>
          <w:trHeight w:val="255"/>
          <w:tblHeader w:val="0"/>
        </w:trPr>
        <w:tc>
          <w:tcPr>
            <w:tcW w:w="1702" w:type="dxa"/>
            <w:hideMark/>
          </w:tcPr>
          <w:p w14:paraId="64DF458B" w14:textId="77777777" w:rsidR="00A44D0D" w:rsidRPr="007B1585" w:rsidRDefault="00A44D0D" w:rsidP="004A1807">
            <w:pPr>
              <w:pStyle w:val="TableTextEntries"/>
            </w:pPr>
            <w:r w:rsidRPr="007B1585">
              <w:t>National Health Sector Strategic Plan</w:t>
            </w:r>
          </w:p>
        </w:tc>
        <w:tc>
          <w:tcPr>
            <w:tcW w:w="1077" w:type="dxa"/>
            <w:hideMark/>
          </w:tcPr>
          <w:p w14:paraId="647BD8BC" w14:textId="77777777" w:rsidR="00A44D0D" w:rsidRPr="007B1585" w:rsidRDefault="00E36392" w:rsidP="004A1807">
            <w:pPr>
              <w:pStyle w:val="TableTextEntries"/>
              <w:rPr>
                <w:sz w:val="16"/>
                <w:szCs w:val="16"/>
              </w:rPr>
            </w:pPr>
            <w:r w:rsidRPr="007B1585">
              <w:rPr>
                <w:sz w:val="16"/>
                <w:szCs w:val="16"/>
              </w:rPr>
              <w:t>21/09/</w:t>
            </w:r>
            <w:r w:rsidR="00A44D0D" w:rsidRPr="007B1585">
              <w:rPr>
                <w:sz w:val="16"/>
                <w:szCs w:val="16"/>
              </w:rPr>
              <w:t>11</w:t>
            </w:r>
          </w:p>
        </w:tc>
        <w:tc>
          <w:tcPr>
            <w:tcW w:w="1077" w:type="dxa"/>
            <w:hideMark/>
          </w:tcPr>
          <w:p w14:paraId="7E368C12" w14:textId="77777777" w:rsidR="00A44D0D" w:rsidRPr="007B1585" w:rsidRDefault="00E36392" w:rsidP="004A1807">
            <w:pPr>
              <w:pStyle w:val="TableTextEntries"/>
              <w:rPr>
                <w:sz w:val="16"/>
                <w:szCs w:val="16"/>
              </w:rPr>
            </w:pPr>
            <w:r w:rsidRPr="007B1585">
              <w:rPr>
                <w:sz w:val="16"/>
                <w:szCs w:val="16"/>
              </w:rPr>
              <w:t>15/12/</w:t>
            </w:r>
            <w:r w:rsidR="00A44D0D" w:rsidRPr="007B1585">
              <w:rPr>
                <w:sz w:val="16"/>
                <w:szCs w:val="16"/>
              </w:rPr>
              <w:t>15</w:t>
            </w:r>
          </w:p>
        </w:tc>
        <w:tc>
          <w:tcPr>
            <w:tcW w:w="1588" w:type="dxa"/>
            <w:hideMark/>
          </w:tcPr>
          <w:p w14:paraId="0DA87E56" w14:textId="54E81EE1" w:rsidR="00A44D0D" w:rsidRPr="007B1585" w:rsidRDefault="00A44D0D" w:rsidP="004A1807">
            <w:pPr>
              <w:pStyle w:val="TableTextEntries"/>
              <w:rPr>
                <w:sz w:val="16"/>
                <w:szCs w:val="16"/>
              </w:rPr>
            </w:pPr>
            <w:r w:rsidRPr="007B1585">
              <w:rPr>
                <w:sz w:val="16"/>
                <w:szCs w:val="16"/>
              </w:rPr>
              <w:t>$10</w:t>
            </w:r>
            <w:r w:rsidR="00E36B98" w:rsidRPr="007B1585">
              <w:rPr>
                <w:sz w:val="16"/>
                <w:szCs w:val="16"/>
              </w:rPr>
              <w:t xml:space="preserve"> </w:t>
            </w:r>
            <w:r w:rsidRPr="007B1585">
              <w:rPr>
                <w:sz w:val="16"/>
                <w:szCs w:val="16"/>
              </w:rPr>
              <w:t>700</w:t>
            </w:r>
            <w:r w:rsidR="00E36B98" w:rsidRPr="007B1585">
              <w:rPr>
                <w:sz w:val="16"/>
                <w:szCs w:val="16"/>
              </w:rPr>
              <w:t xml:space="preserve"> </w:t>
            </w:r>
            <w:r w:rsidRPr="007B1585">
              <w:rPr>
                <w:sz w:val="16"/>
                <w:szCs w:val="16"/>
              </w:rPr>
              <w:t>000.00</w:t>
            </w:r>
          </w:p>
        </w:tc>
        <w:tc>
          <w:tcPr>
            <w:tcW w:w="680" w:type="dxa"/>
            <w:hideMark/>
          </w:tcPr>
          <w:p w14:paraId="14035D05" w14:textId="77777777" w:rsidR="00A44D0D" w:rsidRPr="007B1585" w:rsidRDefault="00A44D0D" w:rsidP="004A1807">
            <w:pPr>
              <w:pStyle w:val="TableTextEntries"/>
              <w:rPr>
                <w:sz w:val="16"/>
                <w:szCs w:val="16"/>
              </w:rPr>
            </w:pPr>
            <w:r w:rsidRPr="007B1585">
              <w:rPr>
                <w:sz w:val="16"/>
                <w:szCs w:val="16"/>
              </w:rPr>
              <w:t>2012</w:t>
            </w:r>
          </w:p>
        </w:tc>
        <w:tc>
          <w:tcPr>
            <w:tcW w:w="369" w:type="dxa"/>
            <w:shd w:val="clear" w:color="auto" w:fill="92D050"/>
            <w:noWrap/>
            <w:hideMark/>
          </w:tcPr>
          <w:p w14:paraId="60144FFF"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FFF00"/>
            <w:noWrap/>
            <w:hideMark/>
          </w:tcPr>
          <w:p w14:paraId="064DD8E9"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73870C01"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79646" w:themeFill="accent6"/>
            <w:noWrap/>
            <w:hideMark/>
          </w:tcPr>
          <w:p w14:paraId="1EE46665"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FFF00"/>
            <w:noWrap/>
            <w:hideMark/>
          </w:tcPr>
          <w:p w14:paraId="3B38F70D"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79646" w:themeFill="accent6"/>
            <w:noWrap/>
            <w:hideMark/>
          </w:tcPr>
          <w:p w14:paraId="136A76B5"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F0000"/>
          </w:tcPr>
          <w:p w14:paraId="7658AE14"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B</w:t>
            </w:r>
          </w:p>
        </w:tc>
      </w:tr>
      <w:tr w:rsidR="007B1585" w:rsidRPr="007B1585" w14:paraId="521DF66E" w14:textId="77777777" w:rsidTr="004A1807">
        <w:trPr>
          <w:trHeight w:val="255"/>
          <w:tblHeader w:val="0"/>
        </w:trPr>
        <w:tc>
          <w:tcPr>
            <w:tcW w:w="1702" w:type="dxa"/>
            <w:hideMark/>
          </w:tcPr>
          <w:p w14:paraId="06C7E3CB" w14:textId="67F586A3" w:rsidR="00A44D0D" w:rsidRPr="007B1585" w:rsidRDefault="00A44D0D" w:rsidP="004A1807">
            <w:pPr>
              <w:pStyle w:val="TableTextEntries"/>
            </w:pPr>
            <w:r w:rsidRPr="007B1585">
              <w:t>Interim Support to the Ministry of Finance 2011</w:t>
            </w:r>
            <w:r w:rsidR="002A2A4F" w:rsidRPr="007B1585">
              <w:t>–20</w:t>
            </w:r>
            <w:r w:rsidRPr="007B1585">
              <w:t>14</w:t>
            </w:r>
          </w:p>
        </w:tc>
        <w:tc>
          <w:tcPr>
            <w:tcW w:w="1077" w:type="dxa"/>
            <w:hideMark/>
          </w:tcPr>
          <w:p w14:paraId="3D7AA13D" w14:textId="77777777" w:rsidR="00A44D0D" w:rsidRPr="007B1585" w:rsidRDefault="00E36392" w:rsidP="004A1807">
            <w:pPr>
              <w:pStyle w:val="TableTextEntries"/>
              <w:rPr>
                <w:sz w:val="16"/>
                <w:szCs w:val="16"/>
              </w:rPr>
            </w:pPr>
            <w:r w:rsidRPr="007B1585">
              <w:rPr>
                <w:sz w:val="16"/>
                <w:szCs w:val="16"/>
              </w:rPr>
              <w:t>28/10/</w:t>
            </w:r>
            <w:r w:rsidR="00A44D0D" w:rsidRPr="007B1585">
              <w:rPr>
                <w:sz w:val="16"/>
                <w:szCs w:val="16"/>
              </w:rPr>
              <w:t>11</w:t>
            </w:r>
          </w:p>
        </w:tc>
        <w:tc>
          <w:tcPr>
            <w:tcW w:w="1077" w:type="dxa"/>
            <w:hideMark/>
          </w:tcPr>
          <w:p w14:paraId="2488675F" w14:textId="77777777" w:rsidR="00A44D0D" w:rsidRPr="007B1585" w:rsidRDefault="00E36392" w:rsidP="004A1807">
            <w:pPr>
              <w:pStyle w:val="TableTextEntries"/>
              <w:rPr>
                <w:sz w:val="16"/>
                <w:szCs w:val="16"/>
              </w:rPr>
            </w:pPr>
            <w:r w:rsidRPr="007B1585">
              <w:rPr>
                <w:sz w:val="16"/>
                <w:szCs w:val="16"/>
              </w:rPr>
              <w:t>30/06/</w:t>
            </w:r>
            <w:r w:rsidR="00A44D0D" w:rsidRPr="007B1585">
              <w:rPr>
                <w:sz w:val="16"/>
                <w:szCs w:val="16"/>
              </w:rPr>
              <w:t>14</w:t>
            </w:r>
          </w:p>
        </w:tc>
        <w:tc>
          <w:tcPr>
            <w:tcW w:w="1588" w:type="dxa"/>
            <w:hideMark/>
          </w:tcPr>
          <w:p w14:paraId="1FF2628F" w14:textId="5F8CD819" w:rsidR="00A44D0D" w:rsidRPr="007B1585" w:rsidRDefault="00A44D0D" w:rsidP="004A1807">
            <w:pPr>
              <w:pStyle w:val="TableTextEntries"/>
              <w:rPr>
                <w:sz w:val="16"/>
                <w:szCs w:val="16"/>
              </w:rPr>
            </w:pPr>
            <w:r w:rsidRPr="007B1585">
              <w:rPr>
                <w:sz w:val="16"/>
                <w:szCs w:val="16"/>
              </w:rPr>
              <w:t>$4</w:t>
            </w:r>
            <w:r w:rsidR="00E36B98" w:rsidRPr="007B1585">
              <w:rPr>
                <w:sz w:val="16"/>
                <w:szCs w:val="16"/>
              </w:rPr>
              <w:t xml:space="preserve"> </w:t>
            </w:r>
            <w:r w:rsidRPr="007B1585">
              <w:rPr>
                <w:sz w:val="16"/>
                <w:szCs w:val="16"/>
              </w:rPr>
              <w:t>101</w:t>
            </w:r>
            <w:r w:rsidR="00E36B98" w:rsidRPr="007B1585">
              <w:rPr>
                <w:sz w:val="16"/>
                <w:szCs w:val="16"/>
              </w:rPr>
              <w:t xml:space="preserve"> </w:t>
            </w:r>
            <w:r w:rsidRPr="007B1585">
              <w:rPr>
                <w:sz w:val="16"/>
                <w:szCs w:val="16"/>
              </w:rPr>
              <w:t>000.00</w:t>
            </w:r>
          </w:p>
        </w:tc>
        <w:tc>
          <w:tcPr>
            <w:tcW w:w="680" w:type="dxa"/>
            <w:hideMark/>
          </w:tcPr>
          <w:p w14:paraId="30BBC085" w14:textId="77777777" w:rsidR="00A44D0D" w:rsidRPr="007B1585" w:rsidRDefault="00A44D0D" w:rsidP="004A1807">
            <w:pPr>
              <w:pStyle w:val="TableTextEntries"/>
              <w:rPr>
                <w:sz w:val="16"/>
                <w:szCs w:val="16"/>
              </w:rPr>
            </w:pPr>
            <w:r w:rsidRPr="007B1585">
              <w:rPr>
                <w:sz w:val="16"/>
                <w:szCs w:val="16"/>
              </w:rPr>
              <w:t>2012</w:t>
            </w:r>
          </w:p>
        </w:tc>
        <w:tc>
          <w:tcPr>
            <w:tcW w:w="369" w:type="dxa"/>
            <w:shd w:val="clear" w:color="auto" w:fill="92D050"/>
            <w:noWrap/>
            <w:hideMark/>
          </w:tcPr>
          <w:p w14:paraId="2DD58D7A"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92D050"/>
            <w:noWrap/>
            <w:hideMark/>
          </w:tcPr>
          <w:p w14:paraId="74A14F05"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FFF00"/>
            <w:noWrap/>
            <w:hideMark/>
          </w:tcPr>
          <w:p w14:paraId="6B615A84"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79646" w:themeFill="accent6"/>
            <w:noWrap/>
            <w:hideMark/>
          </w:tcPr>
          <w:p w14:paraId="10DA62C8"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92D050"/>
            <w:noWrap/>
            <w:hideMark/>
          </w:tcPr>
          <w:p w14:paraId="250C4AA1"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F0000"/>
            <w:noWrap/>
            <w:hideMark/>
          </w:tcPr>
          <w:p w14:paraId="6397D043"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1</w:t>
            </w:r>
          </w:p>
        </w:tc>
        <w:tc>
          <w:tcPr>
            <w:tcW w:w="369" w:type="dxa"/>
            <w:shd w:val="clear" w:color="auto" w:fill="92D050"/>
          </w:tcPr>
          <w:p w14:paraId="521D8902"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M</w:t>
            </w:r>
          </w:p>
        </w:tc>
      </w:tr>
      <w:tr w:rsidR="007B1585" w:rsidRPr="007B1585" w14:paraId="420111F0" w14:textId="77777777" w:rsidTr="004A1807">
        <w:trPr>
          <w:cnfStyle w:val="000000010000" w:firstRow="0" w:lastRow="0" w:firstColumn="0" w:lastColumn="0" w:oddVBand="0" w:evenVBand="0" w:oddHBand="0" w:evenHBand="1" w:firstRowFirstColumn="0" w:firstRowLastColumn="0" w:lastRowFirstColumn="0" w:lastRowLastColumn="0"/>
          <w:trHeight w:val="450"/>
          <w:tblHeader w:val="0"/>
        </w:trPr>
        <w:tc>
          <w:tcPr>
            <w:tcW w:w="1702" w:type="dxa"/>
            <w:hideMark/>
          </w:tcPr>
          <w:p w14:paraId="6283B898" w14:textId="77777777" w:rsidR="00A44D0D" w:rsidRPr="007B1585" w:rsidRDefault="00A44D0D" w:rsidP="004A1807">
            <w:pPr>
              <w:pStyle w:val="TableTextEntries"/>
            </w:pPr>
            <w:r w:rsidRPr="007B1585">
              <w:t>Interim Governance for Development Support Service</w:t>
            </w:r>
          </w:p>
        </w:tc>
        <w:tc>
          <w:tcPr>
            <w:tcW w:w="1077" w:type="dxa"/>
            <w:hideMark/>
          </w:tcPr>
          <w:p w14:paraId="724D88DD" w14:textId="77777777" w:rsidR="00A44D0D" w:rsidRPr="007B1585" w:rsidRDefault="00E36392" w:rsidP="004A1807">
            <w:pPr>
              <w:pStyle w:val="TableTextEntries"/>
              <w:rPr>
                <w:sz w:val="16"/>
                <w:szCs w:val="16"/>
              </w:rPr>
            </w:pPr>
            <w:r w:rsidRPr="007B1585">
              <w:rPr>
                <w:sz w:val="16"/>
                <w:szCs w:val="16"/>
              </w:rPr>
              <w:t>06/12/</w:t>
            </w:r>
            <w:r w:rsidR="00A44D0D" w:rsidRPr="007B1585">
              <w:rPr>
                <w:sz w:val="16"/>
                <w:szCs w:val="16"/>
              </w:rPr>
              <w:t>11</w:t>
            </w:r>
          </w:p>
        </w:tc>
        <w:tc>
          <w:tcPr>
            <w:tcW w:w="1077" w:type="dxa"/>
            <w:hideMark/>
          </w:tcPr>
          <w:p w14:paraId="23888AD6" w14:textId="77777777" w:rsidR="00A44D0D" w:rsidRPr="007B1585" w:rsidRDefault="00E36392" w:rsidP="004A1807">
            <w:pPr>
              <w:pStyle w:val="TableTextEntries"/>
              <w:rPr>
                <w:sz w:val="16"/>
                <w:szCs w:val="16"/>
              </w:rPr>
            </w:pPr>
            <w:r w:rsidRPr="007B1585">
              <w:rPr>
                <w:sz w:val="16"/>
                <w:szCs w:val="16"/>
              </w:rPr>
              <w:t>30/06/</w:t>
            </w:r>
            <w:r w:rsidR="00A44D0D" w:rsidRPr="007B1585">
              <w:rPr>
                <w:sz w:val="16"/>
                <w:szCs w:val="16"/>
              </w:rPr>
              <w:t>14</w:t>
            </w:r>
          </w:p>
        </w:tc>
        <w:tc>
          <w:tcPr>
            <w:tcW w:w="1588" w:type="dxa"/>
            <w:hideMark/>
          </w:tcPr>
          <w:p w14:paraId="4842F3A8" w14:textId="13A093B2" w:rsidR="00A44D0D" w:rsidRPr="007B1585" w:rsidRDefault="00A44D0D" w:rsidP="004A1807">
            <w:pPr>
              <w:pStyle w:val="TableTextEntries"/>
              <w:rPr>
                <w:sz w:val="16"/>
                <w:szCs w:val="16"/>
              </w:rPr>
            </w:pPr>
            <w:r w:rsidRPr="007B1585">
              <w:rPr>
                <w:sz w:val="16"/>
                <w:szCs w:val="16"/>
              </w:rPr>
              <w:t>$16</w:t>
            </w:r>
            <w:r w:rsidR="00E36B98" w:rsidRPr="007B1585">
              <w:rPr>
                <w:sz w:val="16"/>
                <w:szCs w:val="16"/>
              </w:rPr>
              <w:t xml:space="preserve"> </w:t>
            </w:r>
            <w:r w:rsidRPr="007B1585">
              <w:rPr>
                <w:sz w:val="16"/>
                <w:szCs w:val="16"/>
              </w:rPr>
              <w:t>637</w:t>
            </w:r>
            <w:r w:rsidR="00E36B98" w:rsidRPr="007B1585">
              <w:rPr>
                <w:sz w:val="16"/>
                <w:szCs w:val="16"/>
              </w:rPr>
              <w:t xml:space="preserve"> </w:t>
            </w:r>
            <w:r w:rsidRPr="007B1585">
              <w:rPr>
                <w:sz w:val="16"/>
                <w:szCs w:val="16"/>
              </w:rPr>
              <w:t>999.00</w:t>
            </w:r>
          </w:p>
        </w:tc>
        <w:tc>
          <w:tcPr>
            <w:tcW w:w="680" w:type="dxa"/>
            <w:hideMark/>
          </w:tcPr>
          <w:p w14:paraId="4B8A4B8C" w14:textId="77777777" w:rsidR="00A44D0D" w:rsidRPr="007B1585" w:rsidRDefault="00A44D0D" w:rsidP="004A1807">
            <w:pPr>
              <w:pStyle w:val="TableTextEntries"/>
              <w:rPr>
                <w:sz w:val="16"/>
                <w:szCs w:val="16"/>
              </w:rPr>
            </w:pPr>
            <w:r w:rsidRPr="007B1585">
              <w:rPr>
                <w:sz w:val="16"/>
                <w:szCs w:val="16"/>
              </w:rPr>
              <w:t>2012</w:t>
            </w:r>
          </w:p>
        </w:tc>
        <w:tc>
          <w:tcPr>
            <w:tcW w:w="369" w:type="dxa"/>
            <w:shd w:val="clear" w:color="auto" w:fill="92D050"/>
            <w:noWrap/>
            <w:hideMark/>
          </w:tcPr>
          <w:p w14:paraId="138119B2"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92D050"/>
            <w:noWrap/>
            <w:hideMark/>
          </w:tcPr>
          <w:p w14:paraId="5AC3815A"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FFF00"/>
            <w:noWrap/>
            <w:hideMark/>
          </w:tcPr>
          <w:p w14:paraId="194642AC"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79646" w:themeFill="accent6"/>
            <w:noWrap/>
            <w:hideMark/>
          </w:tcPr>
          <w:p w14:paraId="37788652"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FFF00"/>
            <w:noWrap/>
            <w:hideMark/>
          </w:tcPr>
          <w:p w14:paraId="25C5B65B"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2CF18E3C"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92D050"/>
          </w:tcPr>
          <w:p w14:paraId="49EA7115"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M</w:t>
            </w:r>
          </w:p>
        </w:tc>
      </w:tr>
      <w:tr w:rsidR="007B1585" w:rsidRPr="007B1585" w14:paraId="5DAED95B" w14:textId="77777777" w:rsidTr="004A1807">
        <w:trPr>
          <w:trHeight w:val="255"/>
          <w:tblHeader w:val="0"/>
        </w:trPr>
        <w:tc>
          <w:tcPr>
            <w:tcW w:w="1702" w:type="dxa"/>
            <w:hideMark/>
          </w:tcPr>
          <w:p w14:paraId="3E19FFD3" w14:textId="77777777" w:rsidR="00A44D0D" w:rsidRPr="007B1585" w:rsidRDefault="00A44D0D" w:rsidP="004A1807">
            <w:pPr>
              <w:pStyle w:val="TableTextEntries"/>
            </w:pPr>
            <w:r w:rsidRPr="007B1585">
              <w:t>East Timor Education Program</w:t>
            </w:r>
          </w:p>
        </w:tc>
        <w:tc>
          <w:tcPr>
            <w:tcW w:w="1077" w:type="dxa"/>
            <w:hideMark/>
          </w:tcPr>
          <w:p w14:paraId="0678211D" w14:textId="77777777" w:rsidR="00A44D0D" w:rsidRPr="007B1585" w:rsidRDefault="00E36392" w:rsidP="004A1807">
            <w:pPr>
              <w:pStyle w:val="TableTextEntries"/>
              <w:rPr>
                <w:sz w:val="16"/>
                <w:szCs w:val="16"/>
              </w:rPr>
            </w:pPr>
            <w:r w:rsidRPr="007B1585">
              <w:rPr>
                <w:sz w:val="16"/>
                <w:szCs w:val="16"/>
              </w:rPr>
              <w:t>01/07/</w:t>
            </w:r>
            <w:r w:rsidR="00A44D0D" w:rsidRPr="007B1585">
              <w:rPr>
                <w:sz w:val="16"/>
                <w:szCs w:val="16"/>
              </w:rPr>
              <w:t>12</w:t>
            </w:r>
          </w:p>
        </w:tc>
        <w:tc>
          <w:tcPr>
            <w:tcW w:w="1077" w:type="dxa"/>
            <w:hideMark/>
          </w:tcPr>
          <w:p w14:paraId="499B18BF" w14:textId="77777777" w:rsidR="00A44D0D" w:rsidRPr="007B1585" w:rsidRDefault="00E36392" w:rsidP="004A1807">
            <w:pPr>
              <w:pStyle w:val="TableTextEntries"/>
              <w:rPr>
                <w:sz w:val="16"/>
                <w:szCs w:val="16"/>
              </w:rPr>
            </w:pPr>
            <w:r w:rsidRPr="007B1585">
              <w:rPr>
                <w:sz w:val="16"/>
                <w:szCs w:val="16"/>
              </w:rPr>
              <w:t>30/06/</w:t>
            </w:r>
            <w:r w:rsidR="00A44D0D" w:rsidRPr="007B1585">
              <w:rPr>
                <w:sz w:val="16"/>
                <w:szCs w:val="16"/>
              </w:rPr>
              <w:t>16</w:t>
            </w:r>
          </w:p>
        </w:tc>
        <w:tc>
          <w:tcPr>
            <w:tcW w:w="1588" w:type="dxa"/>
            <w:hideMark/>
          </w:tcPr>
          <w:p w14:paraId="5E112E9A" w14:textId="7722D4BE" w:rsidR="00A44D0D" w:rsidRPr="007B1585" w:rsidRDefault="00A44D0D" w:rsidP="004A1807">
            <w:pPr>
              <w:pStyle w:val="TableTextEntries"/>
              <w:rPr>
                <w:sz w:val="16"/>
                <w:szCs w:val="16"/>
              </w:rPr>
            </w:pPr>
            <w:r w:rsidRPr="007B1585">
              <w:rPr>
                <w:sz w:val="16"/>
                <w:szCs w:val="16"/>
              </w:rPr>
              <w:t>$18</w:t>
            </w:r>
            <w:r w:rsidR="00E36B98" w:rsidRPr="007B1585">
              <w:rPr>
                <w:sz w:val="16"/>
                <w:szCs w:val="16"/>
              </w:rPr>
              <w:t xml:space="preserve"> </w:t>
            </w:r>
            <w:r w:rsidRPr="007B1585">
              <w:rPr>
                <w:sz w:val="16"/>
                <w:szCs w:val="16"/>
              </w:rPr>
              <w:t>830</w:t>
            </w:r>
            <w:r w:rsidR="00E36B98" w:rsidRPr="007B1585">
              <w:rPr>
                <w:sz w:val="16"/>
                <w:szCs w:val="16"/>
              </w:rPr>
              <w:t xml:space="preserve"> </w:t>
            </w:r>
            <w:r w:rsidRPr="007B1585">
              <w:rPr>
                <w:sz w:val="16"/>
                <w:szCs w:val="16"/>
              </w:rPr>
              <w:t>000.03</w:t>
            </w:r>
          </w:p>
        </w:tc>
        <w:tc>
          <w:tcPr>
            <w:tcW w:w="680" w:type="dxa"/>
            <w:hideMark/>
          </w:tcPr>
          <w:p w14:paraId="5435B445" w14:textId="77777777" w:rsidR="00A44D0D" w:rsidRPr="007B1585" w:rsidRDefault="00A44D0D" w:rsidP="004A1807">
            <w:pPr>
              <w:pStyle w:val="TableTextEntries"/>
              <w:rPr>
                <w:sz w:val="16"/>
                <w:szCs w:val="16"/>
              </w:rPr>
            </w:pPr>
            <w:r w:rsidRPr="007B1585">
              <w:rPr>
                <w:sz w:val="16"/>
                <w:szCs w:val="16"/>
              </w:rPr>
              <w:t>2012</w:t>
            </w:r>
          </w:p>
        </w:tc>
        <w:tc>
          <w:tcPr>
            <w:tcW w:w="369" w:type="dxa"/>
            <w:shd w:val="clear" w:color="auto" w:fill="92D050"/>
            <w:noWrap/>
            <w:hideMark/>
          </w:tcPr>
          <w:p w14:paraId="2B518B3E"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FFF00"/>
            <w:noWrap/>
            <w:hideMark/>
          </w:tcPr>
          <w:p w14:paraId="72578AA2"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79646" w:themeFill="accent6"/>
            <w:noWrap/>
            <w:hideMark/>
          </w:tcPr>
          <w:p w14:paraId="236E6323"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FFF00"/>
            <w:noWrap/>
            <w:hideMark/>
          </w:tcPr>
          <w:p w14:paraId="5CDDF9F9"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4ACBB181"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79646" w:themeFill="accent6"/>
            <w:noWrap/>
            <w:hideMark/>
          </w:tcPr>
          <w:p w14:paraId="036578DC"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79646" w:themeFill="accent6"/>
          </w:tcPr>
          <w:p w14:paraId="66DA3EFA"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I</w:t>
            </w:r>
          </w:p>
        </w:tc>
      </w:tr>
      <w:tr w:rsidR="007B1585" w:rsidRPr="007B1585" w14:paraId="70FEE498" w14:textId="77777777" w:rsidTr="004A1807">
        <w:trPr>
          <w:cnfStyle w:val="000000010000" w:firstRow="0" w:lastRow="0" w:firstColumn="0" w:lastColumn="0" w:oddVBand="0" w:evenVBand="0" w:oddHBand="0" w:evenHBand="1" w:firstRowFirstColumn="0" w:firstRowLastColumn="0" w:lastRowFirstColumn="0" w:lastRowLastColumn="0"/>
          <w:trHeight w:val="450"/>
          <w:tblHeader w:val="0"/>
        </w:trPr>
        <w:tc>
          <w:tcPr>
            <w:tcW w:w="1702" w:type="dxa"/>
            <w:hideMark/>
          </w:tcPr>
          <w:p w14:paraId="17D55E6A" w14:textId="0E486E18" w:rsidR="00A44D0D" w:rsidRPr="007B1585" w:rsidRDefault="00A44D0D" w:rsidP="004A1807">
            <w:pPr>
              <w:pStyle w:val="TableTextEntries"/>
            </w:pPr>
            <w:r w:rsidRPr="007B1585">
              <w:t>Management of Scholarships in Timor-Leste 2012</w:t>
            </w:r>
            <w:r w:rsidR="002A2A4F" w:rsidRPr="007B1585">
              <w:t>–20</w:t>
            </w:r>
            <w:r w:rsidRPr="007B1585">
              <w:t>14</w:t>
            </w:r>
          </w:p>
        </w:tc>
        <w:tc>
          <w:tcPr>
            <w:tcW w:w="1077" w:type="dxa"/>
            <w:hideMark/>
          </w:tcPr>
          <w:p w14:paraId="6F93C0A0" w14:textId="77777777" w:rsidR="00A44D0D" w:rsidRPr="007B1585" w:rsidRDefault="00E36392" w:rsidP="004A1807">
            <w:pPr>
              <w:pStyle w:val="TableTextEntries"/>
              <w:rPr>
                <w:sz w:val="16"/>
                <w:szCs w:val="16"/>
              </w:rPr>
            </w:pPr>
            <w:r w:rsidRPr="007B1585">
              <w:rPr>
                <w:sz w:val="16"/>
                <w:szCs w:val="16"/>
              </w:rPr>
              <w:t>01/09/</w:t>
            </w:r>
            <w:r w:rsidR="00A44D0D" w:rsidRPr="007B1585">
              <w:rPr>
                <w:sz w:val="16"/>
                <w:szCs w:val="16"/>
              </w:rPr>
              <w:t>12</w:t>
            </w:r>
          </w:p>
        </w:tc>
        <w:tc>
          <w:tcPr>
            <w:tcW w:w="1077" w:type="dxa"/>
            <w:hideMark/>
          </w:tcPr>
          <w:p w14:paraId="1251BC34" w14:textId="77777777" w:rsidR="00A44D0D" w:rsidRPr="007B1585" w:rsidRDefault="00E36392" w:rsidP="004A1807">
            <w:pPr>
              <w:pStyle w:val="TableTextEntries"/>
              <w:rPr>
                <w:sz w:val="16"/>
                <w:szCs w:val="16"/>
              </w:rPr>
            </w:pPr>
            <w:r w:rsidRPr="007B1585">
              <w:rPr>
                <w:sz w:val="16"/>
                <w:szCs w:val="16"/>
              </w:rPr>
              <w:t>28/02/</w:t>
            </w:r>
            <w:r w:rsidR="00A44D0D" w:rsidRPr="007B1585">
              <w:rPr>
                <w:sz w:val="16"/>
                <w:szCs w:val="16"/>
              </w:rPr>
              <w:t>14</w:t>
            </w:r>
          </w:p>
        </w:tc>
        <w:tc>
          <w:tcPr>
            <w:tcW w:w="1588" w:type="dxa"/>
            <w:hideMark/>
          </w:tcPr>
          <w:p w14:paraId="64ADD6F4" w14:textId="1DEC035F" w:rsidR="00A44D0D" w:rsidRPr="007B1585" w:rsidRDefault="00A44D0D" w:rsidP="004A1807">
            <w:pPr>
              <w:pStyle w:val="TableTextEntries"/>
              <w:rPr>
                <w:sz w:val="16"/>
                <w:szCs w:val="16"/>
              </w:rPr>
            </w:pPr>
            <w:r w:rsidRPr="007B1585">
              <w:rPr>
                <w:sz w:val="16"/>
                <w:szCs w:val="16"/>
              </w:rPr>
              <w:t>$3</w:t>
            </w:r>
            <w:r w:rsidR="00E36B98" w:rsidRPr="007B1585">
              <w:rPr>
                <w:sz w:val="16"/>
                <w:szCs w:val="16"/>
              </w:rPr>
              <w:t xml:space="preserve"> </w:t>
            </w:r>
            <w:r w:rsidRPr="007B1585">
              <w:rPr>
                <w:sz w:val="16"/>
                <w:szCs w:val="16"/>
              </w:rPr>
              <w:t>000</w:t>
            </w:r>
            <w:r w:rsidR="00E36B98" w:rsidRPr="007B1585">
              <w:rPr>
                <w:sz w:val="16"/>
                <w:szCs w:val="16"/>
              </w:rPr>
              <w:t xml:space="preserve"> </w:t>
            </w:r>
            <w:r w:rsidRPr="007B1585">
              <w:rPr>
                <w:sz w:val="16"/>
                <w:szCs w:val="16"/>
              </w:rPr>
              <w:t>000.00</w:t>
            </w:r>
          </w:p>
        </w:tc>
        <w:tc>
          <w:tcPr>
            <w:tcW w:w="680" w:type="dxa"/>
            <w:hideMark/>
          </w:tcPr>
          <w:p w14:paraId="7C1C3417" w14:textId="77777777" w:rsidR="00A44D0D" w:rsidRPr="007B1585" w:rsidRDefault="00A44D0D" w:rsidP="004A1807">
            <w:pPr>
              <w:pStyle w:val="TableTextEntries"/>
              <w:rPr>
                <w:sz w:val="16"/>
                <w:szCs w:val="16"/>
              </w:rPr>
            </w:pPr>
            <w:r w:rsidRPr="007B1585">
              <w:rPr>
                <w:sz w:val="16"/>
                <w:szCs w:val="16"/>
              </w:rPr>
              <w:t>2012</w:t>
            </w:r>
          </w:p>
        </w:tc>
        <w:tc>
          <w:tcPr>
            <w:tcW w:w="369" w:type="dxa"/>
            <w:shd w:val="clear" w:color="auto" w:fill="FFFF00"/>
            <w:noWrap/>
            <w:hideMark/>
          </w:tcPr>
          <w:p w14:paraId="6107544F"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713A4193"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62F28D4D"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0E23A834"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08F89595"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FFF00"/>
            <w:noWrap/>
            <w:hideMark/>
          </w:tcPr>
          <w:p w14:paraId="438F1B91"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79646" w:themeFill="accent6"/>
          </w:tcPr>
          <w:p w14:paraId="64216A7B"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I</w:t>
            </w:r>
          </w:p>
        </w:tc>
      </w:tr>
      <w:tr w:rsidR="007B1585" w:rsidRPr="007B1585" w14:paraId="6B80DA77" w14:textId="77777777" w:rsidTr="004A1807">
        <w:trPr>
          <w:trHeight w:val="255"/>
          <w:tblHeader w:val="0"/>
        </w:trPr>
        <w:tc>
          <w:tcPr>
            <w:tcW w:w="1702" w:type="dxa"/>
            <w:hideMark/>
          </w:tcPr>
          <w:p w14:paraId="7D949B58" w14:textId="77777777" w:rsidR="00A44D0D" w:rsidRPr="007B1585" w:rsidRDefault="00A44D0D" w:rsidP="004A1807">
            <w:pPr>
              <w:pStyle w:val="TableTextEntries"/>
            </w:pPr>
            <w:r w:rsidRPr="007B1585">
              <w:t>National Program for Village Development</w:t>
            </w:r>
          </w:p>
        </w:tc>
        <w:tc>
          <w:tcPr>
            <w:tcW w:w="1077" w:type="dxa"/>
            <w:hideMark/>
          </w:tcPr>
          <w:p w14:paraId="4918702F" w14:textId="77777777" w:rsidR="00A44D0D" w:rsidRPr="007B1585" w:rsidRDefault="00E36392" w:rsidP="004A1807">
            <w:pPr>
              <w:pStyle w:val="TableTextEntries"/>
              <w:rPr>
                <w:sz w:val="16"/>
                <w:szCs w:val="16"/>
              </w:rPr>
            </w:pPr>
            <w:r w:rsidRPr="007B1585">
              <w:rPr>
                <w:sz w:val="16"/>
                <w:szCs w:val="16"/>
              </w:rPr>
              <w:t>01/07/</w:t>
            </w:r>
            <w:r w:rsidR="00A44D0D" w:rsidRPr="007B1585">
              <w:rPr>
                <w:sz w:val="16"/>
                <w:szCs w:val="16"/>
              </w:rPr>
              <w:t>12</w:t>
            </w:r>
          </w:p>
        </w:tc>
        <w:tc>
          <w:tcPr>
            <w:tcW w:w="1077" w:type="dxa"/>
            <w:hideMark/>
          </w:tcPr>
          <w:p w14:paraId="4994A699" w14:textId="77777777" w:rsidR="00A44D0D" w:rsidRPr="007B1585" w:rsidRDefault="00E36392" w:rsidP="004A1807">
            <w:pPr>
              <w:pStyle w:val="TableTextEntries"/>
              <w:rPr>
                <w:sz w:val="16"/>
                <w:szCs w:val="16"/>
              </w:rPr>
            </w:pPr>
            <w:r w:rsidRPr="007B1585">
              <w:rPr>
                <w:sz w:val="16"/>
                <w:szCs w:val="16"/>
              </w:rPr>
              <w:t>30/04/</w:t>
            </w:r>
            <w:r w:rsidR="00A44D0D" w:rsidRPr="007B1585">
              <w:rPr>
                <w:sz w:val="16"/>
                <w:szCs w:val="16"/>
              </w:rPr>
              <w:t>14</w:t>
            </w:r>
          </w:p>
        </w:tc>
        <w:tc>
          <w:tcPr>
            <w:tcW w:w="1588" w:type="dxa"/>
            <w:hideMark/>
          </w:tcPr>
          <w:p w14:paraId="66C80828" w14:textId="708740B6" w:rsidR="00A44D0D" w:rsidRPr="007B1585" w:rsidRDefault="00A44D0D" w:rsidP="004A1807">
            <w:pPr>
              <w:pStyle w:val="TableTextEntries"/>
              <w:rPr>
                <w:sz w:val="16"/>
                <w:szCs w:val="16"/>
              </w:rPr>
            </w:pPr>
            <w:r w:rsidRPr="007B1585">
              <w:rPr>
                <w:sz w:val="16"/>
                <w:szCs w:val="16"/>
              </w:rPr>
              <w:t>$14</w:t>
            </w:r>
            <w:r w:rsidR="00E36B98" w:rsidRPr="007B1585">
              <w:rPr>
                <w:sz w:val="16"/>
                <w:szCs w:val="16"/>
              </w:rPr>
              <w:t xml:space="preserve"> </w:t>
            </w:r>
            <w:r w:rsidRPr="007B1585">
              <w:rPr>
                <w:sz w:val="16"/>
                <w:szCs w:val="16"/>
              </w:rPr>
              <w:t>573</w:t>
            </w:r>
            <w:r w:rsidR="00E36B98" w:rsidRPr="007B1585">
              <w:rPr>
                <w:sz w:val="16"/>
                <w:szCs w:val="16"/>
              </w:rPr>
              <w:t xml:space="preserve"> </w:t>
            </w:r>
            <w:r w:rsidRPr="007B1585">
              <w:rPr>
                <w:sz w:val="16"/>
                <w:szCs w:val="16"/>
              </w:rPr>
              <w:t>507.58</w:t>
            </w:r>
          </w:p>
        </w:tc>
        <w:tc>
          <w:tcPr>
            <w:tcW w:w="680" w:type="dxa"/>
            <w:hideMark/>
          </w:tcPr>
          <w:p w14:paraId="22EDD8CD" w14:textId="77777777" w:rsidR="00A44D0D" w:rsidRPr="007B1585" w:rsidRDefault="00A44D0D" w:rsidP="004A1807">
            <w:pPr>
              <w:pStyle w:val="TableTextEntries"/>
              <w:rPr>
                <w:sz w:val="16"/>
                <w:szCs w:val="16"/>
              </w:rPr>
            </w:pPr>
            <w:r w:rsidRPr="007B1585">
              <w:rPr>
                <w:sz w:val="16"/>
                <w:szCs w:val="16"/>
              </w:rPr>
              <w:t>2012</w:t>
            </w:r>
          </w:p>
        </w:tc>
        <w:tc>
          <w:tcPr>
            <w:tcW w:w="369" w:type="dxa"/>
            <w:shd w:val="clear" w:color="auto" w:fill="92D050"/>
            <w:noWrap/>
            <w:hideMark/>
          </w:tcPr>
          <w:p w14:paraId="19A2E407"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6</w:t>
            </w:r>
          </w:p>
        </w:tc>
        <w:tc>
          <w:tcPr>
            <w:tcW w:w="369" w:type="dxa"/>
            <w:shd w:val="clear" w:color="auto" w:fill="92D050"/>
            <w:noWrap/>
            <w:hideMark/>
          </w:tcPr>
          <w:p w14:paraId="191292D3"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FFF00"/>
            <w:noWrap/>
            <w:hideMark/>
          </w:tcPr>
          <w:p w14:paraId="7897578E"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F79646" w:themeFill="accent6"/>
            <w:noWrap/>
            <w:hideMark/>
          </w:tcPr>
          <w:p w14:paraId="6106D78C"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3</w:t>
            </w:r>
          </w:p>
        </w:tc>
        <w:tc>
          <w:tcPr>
            <w:tcW w:w="369" w:type="dxa"/>
            <w:shd w:val="clear" w:color="auto" w:fill="FFFF00"/>
            <w:noWrap/>
            <w:hideMark/>
          </w:tcPr>
          <w:p w14:paraId="5E880487"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4</w:t>
            </w:r>
          </w:p>
        </w:tc>
        <w:tc>
          <w:tcPr>
            <w:tcW w:w="369" w:type="dxa"/>
            <w:shd w:val="clear" w:color="auto" w:fill="92D050"/>
            <w:noWrap/>
            <w:hideMark/>
          </w:tcPr>
          <w:p w14:paraId="232293C0"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5</w:t>
            </w:r>
          </w:p>
        </w:tc>
        <w:tc>
          <w:tcPr>
            <w:tcW w:w="369" w:type="dxa"/>
            <w:shd w:val="clear" w:color="auto" w:fill="F79646" w:themeFill="accent6"/>
          </w:tcPr>
          <w:p w14:paraId="008AE506" w14:textId="77777777" w:rsidR="00A44D0D" w:rsidRPr="007B1585" w:rsidRDefault="00A44D0D" w:rsidP="004A1807">
            <w:pPr>
              <w:pStyle w:val="TableTextEntries"/>
              <w:rPr>
                <w:rFonts w:ascii="Arial" w:hAnsi="Arial" w:cs="Arial"/>
                <w:sz w:val="16"/>
                <w:szCs w:val="16"/>
              </w:rPr>
            </w:pPr>
            <w:r w:rsidRPr="007B1585">
              <w:rPr>
                <w:rFonts w:ascii="Arial" w:hAnsi="Arial" w:cs="Arial"/>
                <w:sz w:val="16"/>
                <w:szCs w:val="16"/>
              </w:rPr>
              <w:t>I</w:t>
            </w:r>
          </w:p>
        </w:tc>
      </w:tr>
    </w:tbl>
    <w:p w14:paraId="32F30553" w14:textId="77777777" w:rsidR="00A44D0D" w:rsidRPr="0023665A" w:rsidRDefault="00A44D0D" w:rsidP="00E922D4">
      <w:pPr>
        <w:pStyle w:val="Note"/>
      </w:pPr>
      <w:r w:rsidRPr="0023665A">
        <w:t>Satisfactory (4, 5 and 6)</w:t>
      </w:r>
    </w:p>
    <w:p w14:paraId="3020179F" w14:textId="77777777" w:rsidR="00A44D0D" w:rsidRPr="0023665A" w:rsidRDefault="00A44D0D" w:rsidP="00E922D4">
      <w:pPr>
        <w:pStyle w:val="Note"/>
      </w:pPr>
      <w:r w:rsidRPr="0023665A">
        <w:rPr>
          <w:color w:val="92D050"/>
        </w:rPr>
        <w:sym w:font="Webdings" w:char="F067"/>
      </w:r>
      <w:r w:rsidRPr="0023665A">
        <w:t xml:space="preserve"> = 6 = Very high quality</w:t>
      </w:r>
    </w:p>
    <w:p w14:paraId="5A36F9C3" w14:textId="77777777" w:rsidR="00A44D0D" w:rsidRPr="0023665A" w:rsidRDefault="00A44D0D" w:rsidP="00E922D4">
      <w:pPr>
        <w:pStyle w:val="Note"/>
      </w:pPr>
      <w:r w:rsidRPr="0023665A">
        <w:rPr>
          <w:color w:val="92D050"/>
        </w:rPr>
        <w:sym w:font="Webdings" w:char="F067"/>
      </w:r>
      <w:r w:rsidRPr="0023665A">
        <w:t xml:space="preserve"> = 5 = Good quality</w:t>
      </w:r>
    </w:p>
    <w:p w14:paraId="0A18A73A" w14:textId="77777777" w:rsidR="00E36392" w:rsidRDefault="00A44D0D" w:rsidP="00E922D4">
      <w:pPr>
        <w:pStyle w:val="Note"/>
      </w:pPr>
      <w:r w:rsidRPr="0023665A">
        <w:rPr>
          <w:color w:val="FFFF00"/>
        </w:rPr>
        <w:sym w:font="Webdings" w:char="F067"/>
      </w:r>
      <w:r w:rsidRPr="0023665A">
        <w:t xml:space="preserve"> = 4 = Adequate quality, needs some work</w:t>
      </w:r>
    </w:p>
    <w:p w14:paraId="59E0AE75" w14:textId="77777777" w:rsidR="00A44D0D" w:rsidRPr="0023665A" w:rsidRDefault="00A44D0D" w:rsidP="00E922D4">
      <w:pPr>
        <w:pStyle w:val="Note"/>
      </w:pPr>
      <w:r w:rsidRPr="0023665A">
        <w:t>Less than satisfactory (1, 2 and 3)</w:t>
      </w:r>
    </w:p>
    <w:p w14:paraId="1B91B784" w14:textId="77777777" w:rsidR="00A44D0D" w:rsidRPr="0023665A" w:rsidRDefault="00A44D0D" w:rsidP="00E922D4">
      <w:pPr>
        <w:pStyle w:val="Note"/>
      </w:pPr>
      <w:r w:rsidRPr="0023665A">
        <w:rPr>
          <w:color w:val="F79646"/>
        </w:rPr>
        <w:sym w:font="Webdings" w:char="F067"/>
      </w:r>
      <w:r w:rsidRPr="0023665A">
        <w:t xml:space="preserve"> = 3 = Less than adequate quality; needs significant work</w:t>
      </w:r>
    </w:p>
    <w:p w14:paraId="403A03D7" w14:textId="77777777" w:rsidR="00A44D0D" w:rsidRPr="0023665A" w:rsidRDefault="00A44D0D" w:rsidP="00E922D4">
      <w:pPr>
        <w:pStyle w:val="Note"/>
      </w:pPr>
      <w:r w:rsidRPr="0023665A">
        <w:rPr>
          <w:color w:val="FF0000"/>
        </w:rPr>
        <w:sym w:font="Webdings" w:char="F067"/>
      </w:r>
      <w:r w:rsidRPr="0023665A">
        <w:t xml:space="preserve"> = 2 = Poor quality; needs major work to improve</w:t>
      </w:r>
    </w:p>
    <w:p w14:paraId="0CB2347D" w14:textId="77777777" w:rsidR="00A44D0D" w:rsidRDefault="00A44D0D" w:rsidP="00E922D4">
      <w:pPr>
        <w:pStyle w:val="Note"/>
      </w:pPr>
      <w:r w:rsidRPr="0023665A">
        <w:rPr>
          <w:color w:val="FF0000"/>
        </w:rPr>
        <w:sym w:font="Webdings" w:char="F067"/>
      </w:r>
      <w:r w:rsidRPr="0023665A">
        <w:t xml:space="preserve"> = 1 = Very poor quality; needs major overhaul</w:t>
      </w:r>
    </w:p>
    <w:p w14:paraId="2B9449AC" w14:textId="77777777" w:rsidR="00850461" w:rsidRPr="0023665A" w:rsidRDefault="00850461" w:rsidP="00E922D4">
      <w:pPr>
        <w:pStyle w:val="Note"/>
      </w:pPr>
    </w:p>
    <w:p w14:paraId="72DB100A" w14:textId="107E1D40" w:rsidR="00A44D0D" w:rsidRPr="0023665A" w:rsidRDefault="00A44D0D" w:rsidP="00E922D4">
      <w:pPr>
        <w:pStyle w:val="Note"/>
      </w:pPr>
      <w:r w:rsidRPr="0023665A">
        <w:t>Risk Management scale:</w:t>
      </w:r>
      <w:r w:rsidR="00EC4081">
        <w:t xml:space="preserve"> </w:t>
      </w:r>
      <w:r w:rsidR="00B84EAD">
        <w:t>*</w:t>
      </w:r>
      <w:r w:rsidR="00EC4081" w:rsidRPr="00E36392">
        <w:t xml:space="preserve"> 2011 risk ratings </w:t>
      </w:r>
      <w:r w:rsidR="00EC4081">
        <w:t>=</w:t>
      </w:r>
      <w:r w:rsidR="00850461">
        <w:t xml:space="preserve"> </w:t>
      </w:r>
      <w:r w:rsidR="00EC4081">
        <w:t>QAI</w:t>
      </w:r>
      <w:r w:rsidR="00EC4081" w:rsidRPr="00E36392">
        <w:t xml:space="preserve"> key risks</w:t>
      </w:r>
      <w:r w:rsidR="00850461">
        <w:t xml:space="preserve"> rated</w:t>
      </w:r>
      <w:r w:rsidR="00B84EAD">
        <w:t>;</w:t>
      </w:r>
      <w:r w:rsidR="00EC4081" w:rsidRPr="00E36392">
        <w:t xml:space="preserve"> 2012</w:t>
      </w:r>
      <w:r w:rsidR="00850461">
        <w:t xml:space="preserve"> Ratings</w:t>
      </w:r>
      <w:r w:rsidR="00E36B98">
        <w:t xml:space="preserve"> </w:t>
      </w:r>
      <w:r w:rsidR="00B84EAD">
        <w:t>=</w:t>
      </w:r>
      <w:r w:rsidR="00EC4081" w:rsidRPr="00E36392">
        <w:t xml:space="preserve"> quality of the risk management system </w:t>
      </w:r>
      <w:r w:rsidR="00B84EAD">
        <w:t>rated</w:t>
      </w:r>
      <w:r w:rsidR="00EC4081" w:rsidRPr="00E36392">
        <w:t xml:space="preserve"> </w:t>
      </w:r>
    </w:p>
    <w:p w14:paraId="5903578D" w14:textId="67CF1D9E" w:rsidR="00A44D0D" w:rsidRPr="0023665A" w:rsidRDefault="00A44D0D" w:rsidP="00E922D4">
      <w:pPr>
        <w:pStyle w:val="Note"/>
      </w:pPr>
      <w:r w:rsidRPr="0023665A">
        <w:rPr>
          <w:color w:val="92D050"/>
        </w:rPr>
        <w:sym w:font="Webdings" w:char="F067"/>
      </w:r>
      <w:r w:rsidR="00C07BA3">
        <w:t xml:space="preserve"> </w:t>
      </w:r>
      <w:r w:rsidRPr="0023665A">
        <w:t xml:space="preserve">Mature (M). Indicates the </w:t>
      </w:r>
      <w:r w:rsidR="007772DE">
        <w:t>program</w:t>
      </w:r>
      <w:r w:rsidRPr="0023665A">
        <w:t xml:space="preserve"> manager conducts risk discussions on at least a monthly basis with all stakeholders and updates the risk registry quarterly. </w:t>
      </w:r>
    </w:p>
    <w:p w14:paraId="7042A93E" w14:textId="0FB01F27" w:rsidR="00A44D0D" w:rsidRPr="0023665A" w:rsidRDefault="00A44D0D" w:rsidP="00E922D4">
      <w:pPr>
        <w:pStyle w:val="Note"/>
      </w:pPr>
      <w:r w:rsidRPr="0023665A">
        <w:rPr>
          <w:color w:val="F79646"/>
        </w:rPr>
        <w:sym w:font="Webdings" w:char="F067"/>
      </w:r>
      <w:r w:rsidRPr="0023665A">
        <w:t xml:space="preserve"> Intermediate (I). Indicates the </w:t>
      </w:r>
      <w:r w:rsidR="007772DE">
        <w:t>program</w:t>
      </w:r>
      <w:r w:rsidRPr="0023665A">
        <w:t xml:space="preserve"> manager conducts ad-hoc risk discussion and updates the risk register occasionally. </w:t>
      </w:r>
    </w:p>
    <w:p w14:paraId="48639460" w14:textId="72A7CC18" w:rsidR="00B84EAD" w:rsidRDefault="00A44D0D" w:rsidP="00E922D4">
      <w:pPr>
        <w:pStyle w:val="Note"/>
      </w:pPr>
      <w:r w:rsidRPr="0023665A">
        <w:rPr>
          <w:color w:val="FF0000"/>
        </w:rPr>
        <w:sym w:font="Webdings" w:char="F067"/>
      </w:r>
      <w:r w:rsidRPr="0023665A">
        <w:t xml:space="preserve"> </w:t>
      </w:r>
      <w:proofErr w:type="gramStart"/>
      <w:r w:rsidR="00A5511B" w:rsidRPr="0023665A">
        <w:t>Basic</w:t>
      </w:r>
      <w:r w:rsidR="00A5511B">
        <w:t xml:space="preserve"> </w:t>
      </w:r>
      <w:r w:rsidR="00A5511B" w:rsidRPr="0023665A">
        <w:t>(B).</w:t>
      </w:r>
      <w:proofErr w:type="gramEnd"/>
      <w:r w:rsidR="00A5511B" w:rsidRPr="0023665A">
        <w:t xml:space="preserve"> </w:t>
      </w:r>
      <w:r w:rsidRPr="0023665A">
        <w:t>Indicates there are limited or few risk discussions and the risk register has not been updated in the past 12 months.</w:t>
      </w:r>
    </w:p>
    <w:p w14:paraId="309EA248" w14:textId="77777777" w:rsidR="00BD0A90" w:rsidRDefault="00BD0A90">
      <w:pPr>
        <w:spacing w:after="200" w:line="276" w:lineRule="auto"/>
        <w:rPr>
          <w:rFonts w:ascii="Franklin Gothic Demi" w:eastAsia="Times New Roman" w:hAnsi="Franklin Gothic Demi" w:cs="Arial"/>
          <w:color w:val="AD495D"/>
          <w:kern w:val="28"/>
          <w:sz w:val="28"/>
          <w:szCs w:val="28"/>
        </w:rPr>
      </w:pPr>
      <w:r>
        <w:br w:type="page"/>
      </w:r>
    </w:p>
    <w:p w14:paraId="483C9D90" w14:textId="03ECDB1D" w:rsidR="00071B95" w:rsidRPr="00071B95" w:rsidRDefault="00071B95" w:rsidP="00694989">
      <w:pPr>
        <w:pStyle w:val="Heading1"/>
      </w:pPr>
      <w:r w:rsidRPr="00071B95">
        <w:lastRenderedPageBreak/>
        <w:t>Annex C</w:t>
      </w:r>
      <w:r w:rsidR="00694989">
        <w:t xml:space="preserve">: </w:t>
      </w:r>
      <w:r w:rsidRPr="00071B95">
        <w:t xml:space="preserve">Evaluation and </w:t>
      </w:r>
      <w:r w:rsidR="002A2A4F" w:rsidRPr="00071B95">
        <w:t>review pipeline planning</w:t>
      </w:r>
    </w:p>
    <w:tbl>
      <w:tblPr>
        <w:tblStyle w:val="APPR"/>
        <w:tblW w:w="0" w:type="auto"/>
        <w:tblLayout w:type="fixed"/>
        <w:tblLook w:val="04A0" w:firstRow="1" w:lastRow="0" w:firstColumn="1" w:lastColumn="0" w:noHBand="0" w:noVBand="1"/>
      </w:tblPr>
      <w:tblGrid>
        <w:gridCol w:w="1270"/>
        <w:gridCol w:w="1075"/>
        <w:gridCol w:w="1173"/>
        <w:gridCol w:w="1173"/>
        <w:gridCol w:w="1173"/>
        <w:gridCol w:w="1173"/>
        <w:gridCol w:w="1173"/>
      </w:tblGrid>
      <w:tr w:rsidR="00071B95" w:rsidRPr="002A2A4F" w14:paraId="5D459DD5" w14:textId="77777777" w:rsidTr="004A1807">
        <w:trPr>
          <w:cnfStyle w:val="100000000000" w:firstRow="1" w:lastRow="0" w:firstColumn="0" w:lastColumn="0" w:oddVBand="0" w:evenVBand="0" w:oddHBand="0" w:evenHBand="0" w:firstRowFirstColumn="0" w:firstRowLastColumn="0" w:lastRowFirstColumn="0" w:lastRowLastColumn="0"/>
        </w:trPr>
        <w:tc>
          <w:tcPr>
            <w:tcW w:w="1228" w:type="dxa"/>
          </w:tcPr>
          <w:p w14:paraId="58757401" w14:textId="77777777" w:rsidR="00071B95" w:rsidRPr="007B1585" w:rsidRDefault="00071B95" w:rsidP="007B1585">
            <w:pPr>
              <w:pStyle w:val="TableHeading1"/>
              <w:rPr>
                <w:b/>
              </w:rPr>
            </w:pPr>
            <w:r w:rsidRPr="007B1585">
              <w:rPr>
                <w:b/>
              </w:rPr>
              <w:t xml:space="preserve">Name of </w:t>
            </w:r>
            <w:r w:rsidR="007772DE" w:rsidRPr="007B1585">
              <w:rPr>
                <w:b/>
              </w:rPr>
              <w:t>Program</w:t>
            </w:r>
          </w:p>
        </w:tc>
        <w:tc>
          <w:tcPr>
            <w:tcW w:w="1047" w:type="dxa"/>
          </w:tcPr>
          <w:p w14:paraId="2CF02A46" w14:textId="77777777" w:rsidR="00071B95" w:rsidRPr="007B1585" w:rsidRDefault="00071B95" w:rsidP="007B1585">
            <w:pPr>
              <w:pStyle w:val="TableHeading1"/>
              <w:rPr>
                <w:b/>
              </w:rPr>
            </w:pPr>
            <w:proofErr w:type="spellStart"/>
            <w:r w:rsidRPr="007B1585">
              <w:rPr>
                <w:b/>
              </w:rPr>
              <w:t>Aidworks</w:t>
            </w:r>
            <w:proofErr w:type="spellEnd"/>
            <w:r w:rsidRPr="007B1585">
              <w:rPr>
                <w:b/>
              </w:rPr>
              <w:t xml:space="preserve"> number</w:t>
            </w:r>
          </w:p>
        </w:tc>
        <w:tc>
          <w:tcPr>
            <w:tcW w:w="1145" w:type="dxa"/>
          </w:tcPr>
          <w:p w14:paraId="14928617" w14:textId="77777777" w:rsidR="00071B95" w:rsidRPr="007B1585" w:rsidRDefault="00071B95" w:rsidP="007B1585">
            <w:pPr>
              <w:pStyle w:val="TableHeading1"/>
              <w:rPr>
                <w:b/>
              </w:rPr>
            </w:pPr>
            <w:r w:rsidRPr="007B1585">
              <w:rPr>
                <w:b/>
              </w:rPr>
              <w:t>Type of evaluation</w:t>
            </w:r>
            <w:r w:rsidRPr="007B1585">
              <w:rPr>
                <w:b/>
              </w:rPr>
              <w:footnoteReference w:id="19"/>
            </w:r>
          </w:p>
        </w:tc>
        <w:tc>
          <w:tcPr>
            <w:tcW w:w="1145" w:type="dxa"/>
          </w:tcPr>
          <w:p w14:paraId="542EDED8" w14:textId="2A4DA603" w:rsidR="00071B95" w:rsidRPr="007B1585" w:rsidRDefault="002A2A4F" w:rsidP="007B1585">
            <w:pPr>
              <w:pStyle w:val="TableHeading1"/>
              <w:rPr>
                <w:b/>
              </w:rPr>
            </w:pPr>
            <w:r w:rsidRPr="007B1585">
              <w:rPr>
                <w:b/>
              </w:rPr>
              <w:t>Date evaluation report received</w:t>
            </w:r>
          </w:p>
        </w:tc>
        <w:tc>
          <w:tcPr>
            <w:tcW w:w="1145" w:type="dxa"/>
          </w:tcPr>
          <w:p w14:paraId="2527F10B" w14:textId="4AC185EE" w:rsidR="00071B95" w:rsidRPr="007B1585" w:rsidRDefault="002A2A4F" w:rsidP="007B1585">
            <w:pPr>
              <w:pStyle w:val="TableHeading1"/>
              <w:rPr>
                <w:b/>
              </w:rPr>
            </w:pPr>
            <w:r w:rsidRPr="007B1585">
              <w:rPr>
                <w:b/>
              </w:rPr>
              <w:t xml:space="preserve">Date evaluation report uploaded into </w:t>
            </w:r>
            <w:proofErr w:type="spellStart"/>
            <w:r w:rsidRPr="007B1585">
              <w:rPr>
                <w:b/>
              </w:rPr>
              <w:t>Aidworks</w:t>
            </w:r>
            <w:proofErr w:type="spellEnd"/>
          </w:p>
        </w:tc>
        <w:tc>
          <w:tcPr>
            <w:tcW w:w="1145" w:type="dxa"/>
          </w:tcPr>
          <w:p w14:paraId="0856EE0B" w14:textId="7A0E4CAD" w:rsidR="00071B95" w:rsidRPr="007B1585" w:rsidRDefault="002A2A4F" w:rsidP="007B1585">
            <w:pPr>
              <w:pStyle w:val="TableHeading1"/>
              <w:rPr>
                <w:b/>
              </w:rPr>
            </w:pPr>
            <w:r w:rsidRPr="007B1585">
              <w:rPr>
                <w:b/>
              </w:rPr>
              <w:t xml:space="preserve">Date management response uploaded into </w:t>
            </w:r>
            <w:proofErr w:type="spellStart"/>
            <w:r w:rsidRPr="007B1585">
              <w:rPr>
                <w:b/>
              </w:rPr>
              <w:t>Aidworks</w:t>
            </w:r>
            <w:proofErr w:type="spellEnd"/>
          </w:p>
        </w:tc>
        <w:tc>
          <w:tcPr>
            <w:tcW w:w="1131" w:type="dxa"/>
          </w:tcPr>
          <w:p w14:paraId="09F6D492" w14:textId="11A0950B" w:rsidR="00071B95" w:rsidRPr="007B1585" w:rsidRDefault="002A2A4F" w:rsidP="007B1585">
            <w:pPr>
              <w:pStyle w:val="TableHeading1"/>
              <w:rPr>
                <w:b/>
              </w:rPr>
            </w:pPr>
            <w:r w:rsidRPr="007B1585">
              <w:rPr>
                <w:b/>
              </w:rPr>
              <w:t>Published on website</w:t>
            </w:r>
          </w:p>
        </w:tc>
      </w:tr>
      <w:tr w:rsidR="00644B20" w:rsidRPr="00071B95" w14:paraId="1326CB17" w14:textId="77777777" w:rsidTr="004A1807">
        <w:trPr>
          <w:tblHeader w:val="0"/>
        </w:trPr>
        <w:tc>
          <w:tcPr>
            <w:tcW w:w="1228" w:type="dxa"/>
          </w:tcPr>
          <w:p w14:paraId="52C4E871" w14:textId="77777777" w:rsidR="00644B20" w:rsidRPr="00694989" w:rsidRDefault="00644B20" w:rsidP="004A1807">
            <w:pPr>
              <w:pStyle w:val="TableTextEntries"/>
            </w:pPr>
            <w:r w:rsidRPr="00694989">
              <w:t>East Timor Infrastructure Program</w:t>
            </w:r>
          </w:p>
        </w:tc>
        <w:tc>
          <w:tcPr>
            <w:tcW w:w="1047" w:type="dxa"/>
          </w:tcPr>
          <w:p w14:paraId="67161EC0" w14:textId="77777777" w:rsidR="00644B20" w:rsidRPr="00694989" w:rsidRDefault="00644B20" w:rsidP="004A1807">
            <w:pPr>
              <w:pStyle w:val="TableTextEntries"/>
            </w:pPr>
            <w:r w:rsidRPr="00694989">
              <w:t>INH497</w:t>
            </w:r>
          </w:p>
        </w:tc>
        <w:tc>
          <w:tcPr>
            <w:tcW w:w="1145" w:type="dxa"/>
          </w:tcPr>
          <w:p w14:paraId="56A69493" w14:textId="7BA27335" w:rsidR="00644B20" w:rsidRPr="00694989" w:rsidRDefault="00644B20" w:rsidP="004A1807">
            <w:pPr>
              <w:pStyle w:val="TableTextEntries"/>
            </w:pPr>
            <w:r w:rsidRPr="00694989">
              <w:t xml:space="preserve">Independent </w:t>
            </w:r>
            <w:r w:rsidR="002A2A4F" w:rsidRPr="00694989">
              <w:t>completion report</w:t>
            </w:r>
          </w:p>
        </w:tc>
        <w:tc>
          <w:tcPr>
            <w:tcW w:w="1145" w:type="dxa"/>
          </w:tcPr>
          <w:p w14:paraId="4F9EA9A9" w14:textId="77777777" w:rsidR="00644B20" w:rsidRPr="00694989" w:rsidRDefault="00644B20" w:rsidP="004A1807">
            <w:pPr>
              <w:pStyle w:val="TableTextEntries"/>
            </w:pPr>
            <w:r w:rsidRPr="00694989">
              <w:t>July 2012</w:t>
            </w:r>
          </w:p>
        </w:tc>
        <w:tc>
          <w:tcPr>
            <w:tcW w:w="1145" w:type="dxa"/>
          </w:tcPr>
          <w:p w14:paraId="14DFA591" w14:textId="77777777" w:rsidR="00644B20" w:rsidRPr="00694989" w:rsidRDefault="00644B20" w:rsidP="004A1807">
            <w:pPr>
              <w:pStyle w:val="TableTextEntries"/>
            </w:pPr>
            <w:r w:rsidRPr="00694989">
              <w:t>8 August 2012</w:t>
            </w:r>
          </w:p>
        </w:tc>
        <w:tc>
          <w:tcPr>
            <w:tcW w:w="1145" w:type="dxa"/>
          </w:tcPr>
          <w:p w14:paraId="62DF781A" w14:textId="77777777" w:rsidR="00644B20" w:rsidRPr="00694989" w:rsidRDefault="00644B20" w:rsidP="004A1807">
            <w:pPr>
              <w:pStyle w:val="TableTextEntries"/>
            </w:pPr>
            <w:r w:rsidRPr="00694989">
              <w:t>September 2012</w:t>
            </w:r>
          </w:p>
        </w:tc>
        <w:tc>
          <w:tcPr>
            <w:tcW w:w="1131" w:type="dxa"/>
          </w:tcPr>
          <w:p w14:paraId="320F61C7" w14:textId="77777777" w:rsidR="00644B20" w:rsidRPr="00694989" w:rsidRDefault="00644B20" w:rsidP="004A1807">
            <w:pPr>
              <w:pStyle w:val="TableTextEntries"/>
            </w:pPr>
            <w:r w:rsidRPr="00694989">
              <w:t>November 2012</w:t>
            </w:r>
          </w:p>
        </w:tc>
      </w:tr>
      <w:tr w:rsidR="00FE0B13" w:rsidRPr="00071B95" w14:paraId="32B3C908"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1228" w:type="dxa"/>
          </w:tcPr>
          <w:p w14:paraId="5249E2E2" w14:textId="588274C7" w:rsidR="00FE0B13" w:rsidRPr="00694989" w:rsidRDefault="00FE0B13" w:rsidP="004A1807">
            <w:pPr>
              <w:pStyle w:val="TableTextEntries"/>
            </w:pPr>
            <w:r w:rsidRPr="00694989">
              <w:t>East Timor Emerging Infectious Diseases</w:t>
            </w:r>
          </w:p>
        </w:tc>
        <w:tc>
          <w:tcPr>
            <w:tcW w:w="1047" w:type="dxa"/>
          </w:tcPr>
          <w:p w14:paraId="7791D469" w14:textId="77777777" w:rsidR="00FE0B13" w:rsidRPr="00694989" w:rsidRDefault="00FE0B13" w:rsidP="004A1807">
            <w:pPr>
              <w:pStyle w:val="TableTextEntries"/>
            </w:pPr>
            <w:r w:rsidRPr="00694989">
              <w:t>INH054</w:t>
            </w:r>
          </w:p>
        </w:tc>
        <w:tc>
          <w:tcPr>
            <w:tcW w:w="1145" w:type="dxa"/>
          </w:tcPr>
          <w:p w14:paraId="308EB7F5" w14:textId="1FC6CF76" w:rsidR="00FE0B13" w:rsidRPr="00694989" w:rsidRDefault="00FE0B13" w:rsidP="004A1807">
            <w:pPr>
              <w:pStyle w:val="TableTextEntries"/>
            </w:pPr>
            <w:r w:rsidRPr="00694989">
              <w:t xml:space="preserve">Independent </w:t>
            </w:r>
            <w:r w:rsidR="002A2A4F">
              <w:t>e</w:t>
            </w:r>
            <w:r w:rsidRPr="00694989">
              <w:t>valuation</w:t>
            </w:r>
          </w:p>
        </w:tc>
        <w:tc>
          <w:tcPr>
            <w:tcW w:w="1145" w:type="dxa"/>
          </w:tcPr>
          <w:p w14:paraId="6E33F690" w14:textId="77777777" w:rsidR="00FE0B13" w:rsidRPr="00694989" w:rsidRDefault="00FE0B13" w:rsidP="004A1807">
            <w:pPr>
              <w:pStyle w:val="TableTextEntries"/>
            </w:pPr>
            <w:r w:rsidRPr="00694989">
              <w:t>November 2011</w:t>
            </w:r>
          </w:p>
        </w:tc>
        <w:tc>
          <w:tcPr>
            <w:tcW w:w="1145" w:type="dxa"/>
          </w:tcPr>
          <w:p w14:paraId="5A86D3DE" w14:textId="77777777" w:rsidR="00FE0B13" w:rsidRPr="00694989" w:rsidRDefault="00FE0B13" w:rsidP="004A1807">
            <w:pPr>
              <w:pStyle w:val="TableTextEntries"/>
            </w:pPr>
            <w:r w:rsidRPr="00694989">
              <w:t>12 July 2012</w:t>
            </w:r>
          </w:p>
        </w:tc>
        <w:tc>
          <w:tcPr>
            <w:tcW w:w="1145" w:type="dxa"/>
          </w:tcPr>
          <w:p w14:paraId="017AD8AC" w14:textId="77777777" w:rsidR="00FE0B13" w:rsidRPr="00694989" w:rsidRDefault="00EE5F28" w:rsidP="004A1807">
            <w:pPr>
              <w:pStyle w:val="TableTextEntries"/>
            </w:pPr>
            <w:r w:rsidRPr="00694989">
              <w:t>12 July 2012</w:t>
            </w:r>
          </w:p>
        </w:tc>
        <w:tc>
          <w:tcPr>
            <w:tcW w:w="1131" w:type="dxa"/>
          </w:tcPr>
          <w:p w14:paraId="60D6FCF9" w14:textId="77777777" w:rsidR="00FE0B13" w:rsidRPr="00694989" w:rsidRDefault="00FE0B13" w:rsidP="004A1807">
            <w:pPr>
              <w:pStyle w:val="TableTextEntries"/>
            </w:pPr>
            <w:r w:rsidRPr="00694989">
              <w:t>November 2012</w:t>
            </w:r>
          </w:p>
        </w:tc>
      </w:tr>
      <w:tr w:rsidR="00EE640C" w:rsidRPr="00071B95" w14:paraId="2E634CEA" w14:textId="77777777" w:rsidTr="004A1807">
        <w:trPr>
          <w:tblHeader w:val="0"/>
        </w:trPr>
        <w:tc>
          <w:tcPr>
            <w:tcW w:w="1228" w:type="dxa"/>
          </w:tcPr>
          <w:p w14:paraId="3633FE6A" w14:textId="77777777" w:rsidR="00EE640C" w:rsidRPr="00694989" w:rsidRDefault="00EE640C" w:rsidP="004A1807">
            <w:pPr>
              <w:pStyle w:val="TableTextEntries"/>
            </w:pPr>
            <w:r w:rsidRPr="00694989">
              <w:t>Safe Motherhood</w:t>
            </w:r>
          </w:p>
        </w:tc>
        <w:tc>
          <w:tcPr>
            <w:tcW w:w="1047" w:type="dxa"/>
          </w:tcPr>
          <w:p w14:paraId="03B3FF6E" w14:textId="77777777" w:rsidR="00EE640C" w:rsidRPr="00694989" w:rsidRDefault="001C13DA" w:rsidP="004A1807">
            <w:pPr>
              <w:pStyle w:val="TableTextEntries"/>
            </w:pPr>
            <w:r w:rsidRPr="00694989">
              <w:t>INJ035</w:t>
            </w:r>
          </w:p>
        </w:tc>
        <w:tc>
          <w:tcPr>
            <w:tcW w:w="1145" w:type="dxa"/>
          </w:tcPr>
          <w:p w14:paraId="2B5AC70D" w14:textId="29119B30" w:rsidR="00EE640C" w:rsidRPr="00694989" w:rsidRDefault="001C13DA" w:rsidP="004A1807">
            <w:pPr>
              <w:pStyle w:val="TableTextEntries"/>
            </w:pPr>
            <w:r w:rsidRPr="00694989">
              <w:t xml:space="preserve">Independent </w:t>
            </w:r>
            <w:r w:rsidR="002A2A4F">
              <w:t>e</w:t>
            </w:r>
            <w:r w:rsidR="002A2A4F" w:rsidRPr="00694989">
              <w:t>valuation</w:t>
            </w:r>
          </w:p>
        </w:tc>
        <w:tc>
          <w:tcPr>
            <w:tcW w:w="1145" w:type="dxa"/>
          </w:tcPr>
          <w:p w14:paraId="5492F804" w14:textId="77777777" w:rsidR="00EE640C" w:rsidRPr="00694989" w:rsidRDefault="00EE640C" w:rsidP="004A1807">
            <w:pPr>
              <w:pStyle w:val="TableTextEntries"/>
            </w:pPr>
            <w:r w:rsidRPr="00694989">
              <w:t>September 2012</w:t>
            </w:r>
          </w:p>
        </w:tc>
        <w:tc>
          <w:tcPr>
            <w:tcW w:w="1145" w:type="dxa"/>
          </w:tcPr>
          <w:p w14:paraId="2541976F" w14:textId="77777777" w:rsidR="00EE640C" w:rsidRPr="00694989" w:rsidRDefault="00EE640C" w:rsidP="004A1807">
            <w:pPr>
              <w:pStyle w:val="TableTextEntries"/>
            </w:pPr>
            <w:r w:rsidRPr="00694989">
              <w:t>December 2012</w:t>
            </w:r>
          </w:p>
        </w:tc>
        <w:tc>
          <w:tcPr>
            <w:tcW w:w="1145" w:type="dxa"/>
          </w:tcPr>
          <w:p w14:paraId="605B38F7" w14:textId="77777777" w:rsidR="00EE640C" w:rsidRPr="00694989" w:rsidRDefault="001C13DA" w:rsidP="004A1807">
            <w:pPr>
              <w:pStyle w:val="TableTextEntries"/>
            </w:pPr>
            <w:r w:rsidRPr="00694989">
              <w:t>Pending</w:t>
            </w:r>
          </w:p>
        </w:tc>
        <w:tc>
          <w:tcPr>
            <w:tcW w:w="1131" w:type="dxa"/>
          </w:tcPr>
          <w:p w14:paraId="26A54C0D" w14:textId="77777777" w:rsidR="00EE640C" w:rsidRPr="00694989" w:rsidRDefault="001C13DA" w:rsidP="004A1807">
            <w:pPr>
              <w:pStyle w:val="TableTextEntries"/>
            </w:pPr>
            <w:r w:rsidRPr="00694989">
              <w:t>Pending</w:t>
            </w:r>
          </w:p>
        </w:tc>
      </w:tr>
      <w:tr w:rsidR="00EE640C" w:rsidRPr="00071B95" w14:paraId="26F1CB97"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1228" w:type="dxa"/>
          </w:tcPr>
          <w:p w14:paraId="328A7DB5" w14:textId="77777777" w:rsidR="00EE640C" w:rsidRPr="00694989" w:rsidRDefault="00EE640C" w:rsidP="004A1807">
            <w:pPr>
              <w:pStyle w:val="TableTextEntries"/>
            </w:pPr>
            <w:r w:rsidRPr="00694989">
              <w:t>ATLASS</w:t>
            </w:r>
          </w:p>
        </w:tc>
        <w:tc>
          <w:tcPr>
            <w:tcW w:w="1047" w:type="dxa"/>
          </w:tcPr>
          <w:p w14:paraId="06055449" w14:textId="77777777" w:rsidR="00EE640C" w:rsidRPr="00694989" w:rsidRDefault="001C13DA" w:rsidP="004A1807">
            <w:pPr>
              <w:pStyle w:val="TableTextEntries"/>
            </w:pPr>
            <w:r w:rsidRPr="00694989">
              <w:t>INK220</w:t>
            </w:r>
          </w:p>
        </w:tc>
        <w:tc>
          <w:tcPr>
            <w:tcW w:w="1145" w:type="dxa"/>
          </w:tcPr>
          <w:p w14:paraId="157F2B98" w14:textId="77777777" w:rsidR="00EE640C" w:rsidRPr="00694989" w:rsidRDefault="001C13DA" w:rsidP="004A1807">
            <w:pPr>
              <w:pStyle w:val="TableTextEntries"/>
            </w:pPr>
            <w:r w:rsidRPr="00694989">
              <w:t>Technical Advisory Group Report 1</w:t>
            </w:r>
          </w:p>
        </w:tc>
        <w:tc>
          <w:tcPr>
            <w:tcW w:w="1145" w:type="dxa"/>
          </w:tcPr>
          <w:p w14:paraId="4AB82D1A" w14:textId="77777777" w:rsidR="00EE640C" w:rsidRPr="00694989" w:rsidRDefault="001C13DA" w:rsidP="004A1807">
            <w:pPr>
              <w:pStyle w:val="TableTextEntries"/>
            </w:pPr>
            <w:r w:rsidRPr="00694989">
              <w:t>February 2013</w:t>
            </w:r>
          </w:p>
        </w:tc>
        <w:tc>
          <w:tcPr>
            <w:tcW w:w="1145" w:type="dxa"/>
          </w:tcPr>
          <w:p w14:paraId="16A711D8" w14:textId="77777777" w:rsidR="00EE640C" w:rsidRPr="00694989" w:rsidRDefault="00F30596" w:rsidP="004A1807">
            <w:pPr>
              <w:pStyle w:val="TableTextEntries"/>
            </w:pPr>
            <w:r w:rsidRPr="00694989">
              <w:t>Pending</w:t>
            </w:r>
          </w:p>
        </w:tc>
        <w:tc>
          <w:tcPr>
            <w:tcW w:w="1145" w:type="dxa"/>
          </w:tcPr>
          <w:p w14:paraId="22644551" w14:textId="77777777" w:rsidR="00EE640C" w:rsidRPr="00694989" w:rsidRDefault="00F30596" w:rsidP="004A1807">
            <w:pPr>
              <w:pStyle w:val="TableTextEntries"/>
            </w:pPr>
            <w:r w:rsidRPr="00694989">
              <w:t>Pending</w:t>
            </w:r>
          </w:p>
        </w:tc>
        <w:tc>
          <w:tcPr>
            <w:tcW w:w="1131" w:type="dxa"/>
          </w:tcPr>
          <w:p w14:paraId="7BC3F097" w14:textId="77777777" w:rsidR="00EE640C" w:rsidRPr="00694989" w:rsidRDefault="00F30596" w:rsidP="004A1807">
            <w:pPr>
              <w:pStyle w:val="TableTextEntries"/>
            </w:pPr>
            <w:r w:rsidRPr="00694989">
              <w:t>Pending</w:t>
            </w:r>
          </w:p>
        </w:tc>
      </w:tr>
      <w:tr w:rsidR="00FE0B13" w:rsidRPr="00071B95" w14:paraId="05A32382" w14:textId="77777777" w:rsidTr="004A1807">
        <w:trPr>
          <w:tblHeader w:val="0"/>
        </w:trPr>
        <w:tc>
          <w:tcPr>
            <w:tcW w:w="1228" w:type="dxa"/>
          </w:tcPr>
          <w:p w14:paraId="251C27B7" w14:textId="77777777" w:rsidR="00FE0B13" w:rsidRPr="00694989" w:rsidRDefault="00FE0B13" w:rsidP="004A1807">
            <w:pPr>
              <w:pStyle w:val="TableTextEntries"/>
            </w:pPr>
            <w:r w:rsidRPr="00694989">
              <w:t>Labour-Based Rural Road Works in East Timor</w:t>
            </w:r>
          </w:p>
        </w:tc>
        <w:tc>
          <w:tcPr>
            <w:tcW w:w="1047" w:type="dxa"/>
          </w:tcPr>
          <w:p w14:paraId="442C5260" w14:textId="77777777" w:rsidR="00FE0B13" w:rsidRPr="00694989" w:rsidRDefault="00FE0B13" w:rsidP="004A1807">
            <w:pPr>
              <w:pStyle w:val="TableTextEntries"/>
            </w:pPr>
            <w:r w:rsidRPr="00694989">
              <w:t>INJ371</w:t>
            </w:r>
          </w:p>
        </w:tc>
        <w:tc>
          <w:tcPr>
            <w:tcW w:w="1145" w:type="dxa"/>
          </w:tcPr>
          <w:p w14:paraId="7360FDDF" w14:textId="237B588E" w:rsidR="00FE0B13" w:rsidRPr="00694989" w:rsidRDefault="00FE0B13" w:rsidP="004A1807">
            <w:pPr>
              <w:pStyle w:val="TableTextEntries"/>
            </w:pPr>
            <w:r w:rsidRPr="00694989">
              <w:t xml:space="preserve">Independent </w:t>
            </w:r>
            <w:r w:rsidR="002A2A4F">
              <w:t>e</w:t>
            </w:r>
            <w:r w:rsidR="002A2A4F" w:rsidRPr="00694989">
              <w:t>valuation</w:t>
            </w:r>
          </w:p>
        </w:tc>
        <w:tc>
          <w:tcPr>
            <w:tcW w:w="1145" w:type="dxa"/>
          </w:tcPr>
          <w:p w14:paraId="6AF83B69" w14:textId="77777777" w:rsidR="00FE0B13" w:rsidRPr="00694989" w:rsidRDefault="00FE0B13" w:rsidP="004A1807">
            <w:pPr>
              <w:pStyle w:val="TableTextEntries"/>
            </w:pPr>
            <w:r w:rsidRPr="00694989">
              <w:t>March 2012</w:t>
            </w:r>
          </w:p>
        </w:tc>
        <w:tc>
          <w:tcPr>
            <w:tcW w:w="1145" w:type="dxa"/>
          </w:tcPr>
          <w:p w14:paraId="500C1E75" w14:textId="77777777" w:rsidR="00FE0B13" w:rsidRPr="00694989" w:rsidRDefault="00FE0B13" w:rsidP="004A1807">
            <w:pPr>
              <w:pStyle w:val="TableTextEntries"/>
            </w:pPr>
            <w:r w:rsidRPr="00694989">
              <w:t>10 April 2012</w:t>
            </w:r>
          </w:p>
        </w:tc>
        <w:tc>
          <w:tcPr>
            <w:tcW w:w="1145" w:type="dxa"/>
          </w:tcPr>
          <w:p w14:paraId="7BF95D52" w14:textId="77777777" w:rsidR="00FE0B13" w:rsidRPr="00694989" w:rsidRDefault="00EE5F28" w:rsidP="004A1807">
            <w:pPr>
              <w:pStyle w:val="TableTextEntries"/>
            </w:pPr>
            <w:r w:rsidRPr="00694989">
              <w:t>10 April 2012</w:t>
            </w:r>
          </w:p>
        </w:tc>
        <w:tc>
          <w:tcPr>
            <w:tcW w:w="1131" w:type="dxa"/>
          </w:tcPr>
          <w:p w14:paraId="287E056E" w14:textId="77777777" w:rsidR="00FE0B13" w:rsidRPr="00694989" w:rsidRDefault="00FE0B13" w:rsidP="004A1807">
            <w:pPr>
              <w:pStyle w:val="TableTextEntries"/>
            </w:pPr>
            <w:r w:rsidRPr="00694989">
              <w:t>November 2012</w:t>
            </w:r>
          </w:p>
        </w:tc>
      </w:tr>
      <w:tr w:rsidR="00FE0B13" w:rsidRPr="00071B95" w14:paraId="45FCF473"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1228" w:type="dxa"/>
          </w:tcPr>
          <w:p w14:paraId="5E95DDD5" w14:textId="77777777" w:rsidR="00FE0B13" w:rsidRPr="00694989" w:rsidRDefault="00FE0B13" w:rsidP="004A1807">
            <w:pPr>
              <w:pStyle w:val="TableTextEntries"/>
            </w:pPr>
            <w:r w:rsidRPr="00694989">
              <w:t>Justice Sector Support Facility</w:t>
            </w:r>
          </w:p>
        </w:tc>
        <w:tc>
          <w:tcPr>
            <w:tcW w:w="1047" w:type="dxa"/>
          </w:tcPr>
          <w:p w14:paraId="366C29A5" w14:textId="77777777" w:rsidR="00FE0B13" w:rsidRPr="00694989" w:rsidRDefault="00FE0B13" w:rsidP="004A1807">
            <w:pPr>
              <w:pStyle w:val="TableTextEntries"/>
            </w:pPr>
            <w:r w:rsidRPr="00694989">
              <w:t>INH487</w:t>
            </w:r>
          </w:p>
        </w:tc>
        <w:tc>
          <w:tcPr>
            <w:tcW w:w="1145" w:type="dxa"/>
          </w:tcPr>
          <w:p w14:paraId="6E865CAE" w14:textId="77777777" w:rsidR="00FE0B13" w:rsidRPr="00694989" w:rsidRDefault="00FE0B13" w:rsidP="004A1807">
            <w:pPr>
              <w:pStyle w:val="TableTextEntries"/>
            </w:pPr>
            <w:r w:rsidRPr="00694989">
              <w:t>Independent Evaluation</w:t>
            </w:r>
          </w:p>
        </w:tc>
        <w:tc>
          <w:tcPr>
            <w:tcW w:w="1145" w:type="dxa"/>
          </w:tcPr>
          <w:p w14:paraId="339E72D4" w14:textId="77777777" w:rsidR="00FE0B13" w:rsidRPr="00694989" w:rsidRDefault="00FE0B13" w:rsidP="004A1807">
            <w:pPr>
              <w:pStyle w:val="TableTextEntries"/>
            </w:pPr>
            <w:r w:rsidRPr="00694989">
              <w:t>April 2012</w:t>
            </w:r>
          </w:p>
        </w:tc>
        <w:tc>
          <w:tcPr>
            <w:tcW w:w="1145" w:type="dxa"/>
          </w:tcPr>
          <w:p w14:paraId="60A7ECFB" w14:textId="77777777" w:rsidR="00FE0B13" w:rsidRPr="00694989" w:rsidRDefault="00FE0B13" w:rsidP="004A1807">
            <w:pPr>
              <w:pStyle w:val="TableTextEntries"/>
            </w:pPr>
            <w:r w:rsidRPr="00694989">
              <w:t>November 2012</w:t>
            </w:r>
          </w:p>
        </w:tc>
        <w:tc>
          <w:tcPr>
            <w:tcW w:w="1145" w:type="dxa"/>
          </w:tcPr>
          <w:p w14:paraId="253B3B57" w14:textId="77777777" w:rsidR="00FE0B13" w:rsidRPr="00694989" w:rsidRDefault="00FE0B13" w:rsidP="004A1807">
            <w:pPr>
              <w:pStyle w:val="TableTextEntries"/>
            </w:pPr>
            <w:r w:rsidRPr="00694989">
              <w:t>May 2013</w:t>
            </w:r>
          </w:p>
        </w:tc>
        <w:tc>
          <w:tcPr>
            <w:tcW w:w="1131" w:type="dxa"/>
          </w:tcPr>
          <w:p w14:paraId="6C60507E" w14:textId="77777777" w:rsidR="00FE0B13" w:rsidRPr="00694989" w:rsidRDefault="00FE0B13" w:rsidP="004A1807">
            <w:pPr>
              <w:pStyle w:val="TableTextEntries"/>
            </w:pPr>
            <w:r w:rsidRPr="00694989">
              <w:t>Pending</w:t>
            </w:r>
          </w:p>
        </w:tc>
      </w:tr>
      <w:tr w:rsidR="00FE0B13" w:rsidRPr="00071B95" w14:paraId="682D81FA" w14:textId="77777777" w:rsidTr="004A1807">
        <w:trPr>
          <w:tblHeader w:val="0"/>
        </w:trPr>
        <w:tc>
          <w:tcPr>
            <w:tcW w:w="1228" w:type="dxa"/>
          </w:tcPr>
          <w:p w14:paraId="143AB13A" w14:textId="4E010A70" w:rsidR="00FE0B13" w:rsidRPr="00694989" w:rsidRDefault="00FE0B13" w:rsidP="004A1807">
            <w:pPr>
              <w:pStyle w:val="TableTextEntries"/>
            </w:pPr>
            <w:r w:rsidRPr="00694989">
              <w:t>Public Sector Capacity Development Program</w:t>
            </w:r>
          </w:p>
        </w:tc>
        <w:tc>
          <w:tcPr>
            <w:tcW w:w="1047" w:type="dxa"/>
          </w:tcPr>
          <w:p w14:paraId="2AADC28E" w14:textId="77777777" w:rsidR="00FE0B13" w:rsidRPr="00694989" w:rsidRDefault="00FE0B13" w:rsidP="004A1807">
            <w:pPr>
              <w:pStyle w:val="TableTextEntries"/>
            </w:pPr>
            <w:r w:rsidRPr="00694989">
              <w:t>ING357</w:t>
            </w:r>
          </w:p>
        </w:tc>
        <w:tc>
          <w:tcPr>
            <w:tcW w:w="1145" w:type="dxa"/>
          </w:tcPr>
          <w:p w14:paraId="670D9C2C" w14:textId="18FA5623" w:rsidR="00FE0B13" w:rsidRPr="00694989" w:rsidRDefault="00FE0B13" w:rsidP="004A1807">
            <w:pPr>
              <w:pStyle w:val="TableTextEntries"/>
            </w:pPr>
            <w:r w:rsidRPr="00694989">
              <w:t xml:space="preserve">Independent </w:t>
            </w:r>
            <w:r w:rsidR="002A2A4F">
              <w:t>e</w:t>
            </w:r>
            <w:r w:rsidR="002A2A4F" w:rsidRPr="00694989">
              <w:t>valuation</w:t>
            </w:r>
          </w:p>
        </w:tc>
        <w:tc>
          <w:tcPr>
            <w:tcW w:w="1145" w:type="dxa"/>
          </w:tcPr>
          <w:p w14:paraId="102D34FB" w14:textId="77777777" w:rsidR="00FE0B13" w:rsidRPr="00694989" w:rsidRDefault="00FE0B13" w:rsidP="004A1807">
            <w:pPr>
              <w:pStyle w:val="TableTextEntries"/>
            </w:pPr>
            <w:r w:rsidRPr="00694989">
              <w:t>July 2012</w:t>
            </w:r>
          </w:p>
        </w:tc>
        <w:tc>
          <w:tcPr>
            <w:tcW w:w="1145" w:type="dxa"/>
          </w:tcPr>
          <w:p w14:paraId="3156315D" w14:textId="77777777" w:rsidR="00FE0B13" w:rsidRPr="00694989" w:rsidRDefault="00FE0B13" w:rsidP="004A1807">
            <w:pPr>
              <w:pStyle w:val="TableTextEntries"/>
            </w:pPr>
            <w:r w:rsidRPr="00694989">
              <w:t>January 2013</w:t>
            </w:r>
          </w:p>
        </w:tc>
        <w:tc>
          <w:tcPr>
            <w:tcW w:w="1145" w:type="dxa"/>
          </w:tcPr>
          <w:p w14:paraId="52B08EC2" w14:textId="77777777" w:rsidR="00FE0B13" w:rsidRPr="00694989" w:rsidRDefault="00DD61E1" w:rsidP="004A1807">
            <w:pPr>
              <w:pStyle w:val="TableTextEntries"/>
            </w:pPr>
            <w:r w:rsidRPr="00694989">
              <w:t>Pending</w:t>
            </w:r>
          </w:p>
        </w:tc>
        <w:tc>
          <w:tcPr>
            <w:tcW w:w="1131" w:type="dxa"/>
          </w:tcPr>
          <w:p w14:paraId="5A617760" w14:textId="77777777" w:rsidR="00FE0B13" w:rsidRPr="00694989" w:rsidRDefault="00DD61E1" w:rsidP="004A1807">
            <w:pPr>
              <w:pStyle w:val="TableTextEntries"/>
            </w:pPr>
            <w:r w:rsidRPr="00694989">
              <w:t>Pending</w:t>
            </w:r>
          </w:p>
        </w:tc>
      </w:tr>
      <w:tr w:rsidR="00644B20" w:rsidRPr="00071B95" w14:paraId="0F41DAB6"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1228" w:type="dxa"/>
          </w:tcPr>
          <w:p w14:paraId="34E04770" w14:textId="77777777" w:rsidR="00644B20" w:rsidRPr="00694989" w:rsidRDefault="00644B20" w:rsidP="004A1807">
            <w:pPr>
              <w:pStyle w:val="TableTextEntries"/>
            </w:pPr>
            <w:r w:rsidRPr="00694989">
              <w:t>BESIK - Rural Water Supply and Sanitation</w:t>
            </w:r>
          </w:p>
        </w:tc>
        <w:tc>
          <w:tcPr>
            <w:tcW w:w="1047" w:type="dxa"/>
          </w:tcPr>
          <w:p w14:paraId="1B215195" w14:textId="77777777" w:rsidR="00644B20" w:rsidRPr="00694989" w:rsidRDefault="00644B20" w:rsidP="004A1807">
            <w:pPr>
              <w:pStyle w:val="TableTextEntries"/>
            </w:pPr>
            <w:r w:rsidRPr="00694989">
              <w:t>ING002</w:t>
            </w:r>
          </w:p>
        </w:tc>
        <w:tc>
          <w:tcPr>
            <w:tcW w:w="1145" w:type="dxa"/>
          </w:tcPr>
          <w:p w14:paraId="684375F4" w14:textId="40F53856" w:rsidR="00644B20" w:rsidRPr="00694989" w:rsidRDefault="00644B20" w:rsidP="004A1807">
            <w:pPr>
              <w:pStyle w:val="TableTextEntries"/>
            </w:pPr>
            <w:r w:rsidRPr="00694989">
              <w:t xml:space="preserve">Independent </w:t>
            </w:r>
            <w:r w:rsidR="002A2A4F" w:rsidRPr="00694989">
              <w:t>completion report</w:t>
            </w:r>
          </w:p>
        </w:tc>
        <w:tc>
          <w:tcPr>
            <w:tcW w:w="1145" w:type="dxa"/>
          </w:tcPr>
          <w:p w14:paraId="7F10EDA6" w14:textId="77777777" w:rsidR="00644B20" w:rsidRPr="00694989" w:rsidRDefault="00644B20" w:rsidP="004A1807">
            <w:pPr>
              <w:pStyle w:val="TableTextEntries"/>
            </w:pPr>
            <w:r w:rsidRPr="00694989">
              <w:t>August 2012</w:t>
            </w:r>
          </w:p>
        </w:tc>
        <w:tc>
          <w:tcPr>
            <w:tcW w:w="1145" w:type="dxa"/>
          </w:tcPr>
          <w:p w14:paraId="4779FB9B" w14:textId="77777777" w:rsidR="00644B20" w:rsidRPr="00694989" w:rsidRDefault="00644B20" w:rsidP="004A1807">
            <w:pPr>
              <w:pStyle w:val="TableTextEntries"/>
            </w:pPr>
            <w:r w:rsidRPr="00694989">
              <w:t>February 2013</w:t>
            </w:r>
          </w:p>
        </w:tc>
        <w:tc>
          <w:tcPr>
            <w:tcW w:w="1145" w:type="dxa"/>
          </w:tcPr>
          <w:p w14:paraId="2DB63E5B" w14:textId="77777777" w:rsidR="00644B20" w:rsidRPr="00694989" w:rsidRDefault="00644B20" w:rsidP="004A1807">
            <w:pPr>
              <w:pStyle w:val="TableTextEntries"/>
            </w:pPr>
            <w:r w:rsidRPr="00694989">
              <w:t>April 2013</w:t>
            </w:r>
          </w:p>
        </w:tc>
        <w:tc>
          <w:tcPr>
            <w:tcW w:w="1131" w:type="dxa"/>
          </w:tcPr>
          <w:p w14:paraId="4382E2C1" w14:textId="77777777" w:rsidR="00644B20" w:rsidRPr="00694989" w:rsidRDefault="00644B20" w:rsidP="004A1807">
            <w:pPr>
              <w:pStyle w:val="TableTextEntries"/>
            </w:pPr>
            <w:r w:rsidRPr="00694989">
              <w:t>Pending</w:t>
            </w:r>
          </w:p>
        </w:tc>
      </w:tr>
      <w:tr w:rsidR="00644B20" w:rsidRPr="00071B95" w14:paraId="2241E9F0" w14:textId="77777777" w:rsidTr="004A1807">
        <w:trPr>
          <w:tblHeader w:val="0"/>
        </w:trPr>
        <w:tc>
          <w:tcPr>
            <w:tcW w:w="1228" w:type="dxa"/>
          </w:tcPr>
          <w:p w14:paraId="6C702E5D" w14:textId="77777777" w:rsidR="00644B20" w:rsidRPr="00694989" w:rsidRDefault="00644B20" w:rsidP="004A1807">
            <w:pPr>
              <w:pStyle w:val="TableTextEntries"/>
            </w:pPr>
            <w:r w:rsidRPr="00694989">
              <w:t>Seeds of Life</w:t>
            </w:r>
          </w:p>
        </w:tc>
        <w:tc>
          <w:tcPr>
            <w:tcW w:w="1047" w:type="dxa"/>
          </w:tcPr>
          <w:p w14:paraId="26AF931B" w14:textId="77777777" w:rsidR="00644B20" w:rsidRPr="00694989" w:rsidRDefault="00644B20" w:rsidP="004A1807">
            <w:pPr>
              <w:pStyle w:val="TableTextEntries"/>
            </w:pPr>
            <w:r w:rsidRPr="00694989">
              <w:t>ING104</w:t>
            </w:r>
          </w:p>
        </w:tc>
        <w:tc>
          <w:tcPr>
            <w:tcW w:w="1145" w:type="dxa"/>
          </w:tcPr>
          <w:p w14:paraId="38AB4D3F" w14:textId="77777777" w:rsidR="00644B20" w:rsidRPr="00694989" w:rsidRDefault="00644B20" w:rsidP="004A1807">
            <w:pPr>
              <w:pStyle w:val="TableTextEntries"/>
            </w:pPr>
            <w:r w:rsidRPr="00694989">
              <w:t>Technical Advisory Group Report 1</w:t>
            </w:r>
          </w:p>
        </w:tc>
        <w:tc>
          <w:tcPr>
            <w:tcW w:w="1145" w:type="dxa"/>
          </w:tcPr>
          <w:p w14:paraId="1EBF4CF2" w14:textId="77777777" w:rsidR="00644B20" w:rsidRPr="00694989" w:rsidRDefault="00644B20" w:rsidP="004A1807">
            <w:pPr>
              <w:pStyle w:val="TableTextEntries"/>
            </w:pPr>
            <w:r w:rsidRPr="00694989">
              <w:t>November 2011</w:t>
            </w:r>
          </w:p>
        </w:tc>
        <w:tc>
          <w:tcPr>
            <w:tcW w:w="1145" w:type="dxa"/>
          </w:tcPr>
          <w:p w14:paraId="2BF79856" w14:textId="77777777" w:rsidR="00644B20" w:rsidRPr="00694989" w:rsidRDefault="00644B20" w:rsidP="004A1807">
            <w:pPr>
              <w:pStyle w:val="TableTextEntries"/>
            </w:pPr>
            <w:r w:rsidRPr="00694989">
              <w:t>November 2012</w:t>
            </w:r>
          </w:p>
        </w:tc>
        <w:tc>
          <w:tcPr>
            <w:tcW w:w="1145" w:type="dxa"/>
          </w:tcPr>
          <w:p w14:paraId="549BEC77" w14:textId="77777777" w:rsidR="00644B20" w:rsidRPr="00694989" w:rsidRDefault="00644B20" w:rsidP="004A1807">
            <w:pPr>
              <w:pStyle w:val="TableTextEntries"/>
            </w:pPr>
            <w:r w:rsidRPr="00694989">
              <w:t>November 2012</w:t>
            </w:r>
          </w:p>
        </w:tc>
        <w:tc>
          <w:tcPr>
            <w:tcW w:w="1131" w:type="dxa"/>
          </w:tcPr>
          <w:p w14:paraId="7CCB672B" w14:textId="77777777" w:rsidR="00644B20" w:rsidRPr="00694989" w:rsidRDefault="00644B20" w:rsidP="004A1807">
            <w:pPr>
              <w:pStyle w:val="TableTextEntries"/>
            </w:pPr>
            <w:r w:rsidRPr="00694989">
              <w:t>May 2012</w:t>
            </w:r>
          </w:p>
        </w:tc>
      </w:tr>
      <w:tr w:rsidR="00FE0B13" w:rsidRPr="00071B95" w14:paraId="0A0A877C" w14:textId="77777777" w:rsidTr="004A1807">
        <w:trPr>
          <w:cnfStyle w:val="000000010000" w:firstRow="0" w:lastRow="0" w:firstColumn="0" w:lastColumn="0" w:oddVBand="0" w:evenVBand="0" w:oddHBand="0" w:evenHBand="1" w:firstRowFirstColumn="0" w:firstRowLastColumn="0" w:lastRowFirstColumn="0" w:lastRowLastColumn="0"/>
          <w:tblHeader w:val="0"/>
        </w:trPr>
        <w:tc>
          <w:tcPr>
            <w:tcW w:w="1228" w:type="dxa"/>
          </w:tcPr>
          <w:p w14:paraId="55B865D7" w14:textId="77777777" w:rsidR="00FE0B13" w:rsidRPr="00694989" w:rsidRDefault="00FE0B13" w:rsidP="004A1807">
            <w:pPr>
              <w:pStyle w:val="TableTextEntries"/>
            </w:pPr>
            <w:r w:rsidRPr="00694989">
              <w:t xml:space="preserve">Youth Employment Promotion Program </w:t>
            </w:r>
          </w:p>
        </w:tc>
        <w:tc>
          <w:tcPr>
            <w:tcW w:w="1047" w:type="dxa"/>
          </w:tcPr>
          <w:p w14:paraId="1E27D827" w14:textId="77777777" w:rsidR="00FE0B13" w:rsidRPr="00694989" w:rsidRDefault="00FE0B13" w:rsidP="004A1807">
            <w:pPr>
              <w:pStyle w:val="TableTextEntries"/>
            </w:pPr>
            <w:r w:rsidRPr="00694989">
              <w:t>INH459</w:t>
            </w:r>
          </w:p>
        </w:tc>
        <w:tc>
          <w:tcPr>
            <w:tcW w:w="1145" w:type="dxa"/>
          </w:tcPr>
          <w:p w14:paraId="799C0AFC" w14:textId="77777777" w:rsidR="00FE0B13" w:rsidRPr="00694989" w:rsidRDefault="00FE0B13" w:rsidP="004A1807">
            <w:pPr>
              <w:pStyle w:val="TableTextEntries"/>
            </w:pPr>
            <w:r w:rsidRPr="00694989">
              <w:t>Independent completion report</w:t>
            </w:r>
          </w:p>
        </w:tc>
        <w:tc>
          <w:tcPr>
            <w:tcW w:w="1145" w:type="dxa"/>
          </w:tcPr>
          <w:p w14:paraId="725E55F0" w14:textId="77777777" w:rsidR="00FE0B13" w:rsidRPr="00694989" w:rsidRDefault="00FE0B13" w:rsidP="004A1807">
            <w:pPr>
              <w:pStyle w:val="TableTextEntries"/>
            </w:pPr>
            <w:r w:rsidRPr="00694989">
              <w:t>April 2012</w:t>
            </w:r>
          </w:p>
        </w:tc>
        <w:tc>
          <w:tcPr>
            <w:tcW w:w="1145" w:type="dxa"/>
          </w:tcPr>
          <w:p w14:paraId="2813C3B6" w14:textId="77777777" w:rsidR="00FE0B13" w:rsidRPr="00694989" w:rsidRDefault="00FE0B13" w:rsidP="004A1807">
            <w:pPr>
              <w:pStyle w:val="TableTextEntries"/>
            </w:pPr>
            <w:r w:rsidRPr="00694989">
              <w:t>December 2012</w:t>
            </w:r>
          </w:p>
        </w:tc>
        <w:tc>
          <w:tcPr>
            <w:tcW w:w="1145" w:type="dxa"/>
          </w:tcPr>
          <w:p w14:paraId="1947E9C6" w14:textId="77777777" w:rsidR="00FE0B13" w:rsidRPr="00694989" w:rsidRDefault="00FE0B13" w:rsidP="004A1807">
            <w:pPr>
              <w:pStyle w:val="TableTextEntries"/>
            </w:pPr>
            <w:r w:rsidRPr="00694989">
              <w:t>Pending</w:t>
            </w:r>
          </w:p>
        </w:tc>
        <w:tc>
          <w:tcPr>
            <w:tcW w:w="1131" w:type="dxa"/>
          </w:tcPr>
          <w:p w14:paraId="76DFFD6F" w14:textId="77777777" w:rsidR="00FE0B13" w:rsidRPr="00694989" w:rsidRDefault="00FE0B13" w:rsidP="004A1807">
            <w:pPr>
              <w:pStyle w:val="TableTextEntries"/>
            </w:pPr>
            <w:r w:rsidRPr="00694989">
              <w:t>Pending</w:t>
            </w:r>
          </w:p>
        </w:tc>
      </w:tr>
    </w:tbl>
    <w:p w14:paraId="19B898A0" w14:textId="77777777" w:rsidR="00BD0A90" w:rsidRDefault="00BD0A90" w:rsidP="00ED0D08">
      <w:pPr>
        <w:pStyle w:val="Caption"/>
      </w:pPr>
    </w:p>
    <w:p w14:paraId="4F00ABF0" w14:textId="77777777" w:rsidR="00BD0A90" w:rsidRDefault="00BD0A90">
      <w:pPr>
        <w:spacing w:after="200" w:line="276" w:lineRule="auto"/>
        <w:rPr>
          <w:rFonts w:ascii="Arial" w:eastAsia="Times New Roman" w:hAnsi="Arial" w:cs="Arial"/>
          <w:color w:val="7E6D5F"/>
          <w:szCs w:val="19"/>
        </w:rPr>
      </w:pPr>
      <w:r>
        <w:br w:type="page"/>
      </w:r>
    </w:p>
    <w:p w14:paraId="0AD26B45" w14:textId="59C3FE53" w:rsidR="00071B95" w:rsidRPr="00694989" w:rsidRDefault="002A2A4F" w:rsidP="00ED0D08">
      <w:pPr>
        <w:pStyle w:val="Caption"/>
      </w:pPr>
      <w:r>
        <w:lastRenderedPageBreak/>
        <w:t>E</w:t>
      </w:r>
      <w:r w:rsidR="00071B95" w:rsidRPr="00694989">
        <w:t xml:space="preserve">valuations planned in the next 12 months </w:t>
      </w:r>
    </w:p>
    <w:tbl>
      <w:tblPr>
        <w:tblStyle w:val="APPR"/>
        <w:tblW w:w="5000" w:type="pct"/>
        <w:tblLook w:val="0600" w:firstRow="0" w:lastRow="0" w:firstColumn="0" w:lastColumn="0" w:noHBand="1" w:noVBand="1"/>
      </w:tblPr>
      <w:tblGrid>
        <w:gridCol w:w="2483"/>
        <w:gridCol w:w="1288"/>
        <w:gridCol w:w="2570"/>
        <w:gridCol w:w="2266"/>
      </w:tblGrid>
      <w:tr w:rsidR="00CC62D0" w:rsidRPr="00071B95" w14:paraId="5B8FA4B3" w14:textId="77777777" w:rsidTr="004A1807">
        <w:tc>
          <w:tcPr>
            <w:tcW w:w="2287" w:type="dxa"/>
          </w:tcPr>
          <w:p w14:paraId="4569DF47" w14:textId="2EECA9E3" w:rsidR="00CC62D0" w:rsidRPr="00275DCC" w:rsidRDefault="00CC62D0" w:rsidP="00754C06">
            <w:pPr>
              <w:pStyle w:val="TableHeading1"/>
              <w:rPr>
                <w:b w:val="0"/>
              </w:rPr>
            </w:pPr>
            <w:r w:rsidRPr="00275DCC">
              <w:t xml:space="preserve">Name of </w:t>
            </w:r>
            <w:r w:rsidR="002A2A4F">
              <w:t>p</w:t>
            </w:r>
            <w:r w:rsidR="002A2A4F" w:rsidRPr="00275DCC">
              <w:t>rogram</w:t>
            </w:r>
          </w:p>
        </w:tc>
        <w:tc>
          <w:tcPr>
            <w:tcW w:w="1181" w:type="dxa"/>
          </w:tcPr>
          <w:p w14:paraId="09A77CE4" w14:textId="77777777" w:rsidR="00CC62D0" w:rsidRPr="00275DCC" w:rsidRDefault="00CC62D0" w:rsidP="00694989">
            <w:pPr>
              <w:pStyle w:val="TableHeading1"/>
              <w:rPr>
                <w:b w:val="0"/>
              </w:rPr>
            </w:pPr>
            <w:proofErr w:type="spellStart"/>
            <w:r w:rsidRPr="00275DCC">
              <w:t>Aidworks</w:t>
            </w:r>
            <w:proofErr w:type="spellEnd"/>
            <w:r w:rsidRPr="00275DCC">
              <w:t xml:space="preserve"> number</w:t>
            </w:r>
          </w:p>
        </w:tc>
        <w:tc>
          <w:tcPr>
            <w:tcW w:w="2382" w:type="dxa"/>
          </w:tcPr>
          <w:p w14:paraId="796EDEFD" w14:textId="77777777" w:rsidR="00CC62D0" w:rsidRPr="00275DCC" w:rsidRDefault="00CC62D0" w:rsidP="00694989">
            <w:pPr>
              <w:pStyle w:val="TableHeading1"/>
              <w:rPr>
                <w:b w:val="0"/>
              </w:rPr>
            </w:pPr>
            <w:r w:rsidRPr="00275DCC">
              <w:t>Type of evaluation</w:t>
            </w:r>
          </w:p>
        </w:tc>
        <w:tc>
          <w:tcPr>
            <w:tcW w:w="2084" w:type="dxa"/>
          </w:tcPr>
          <w:p w14:paraId="2D6D778A" w14:textId="77777777" w:rsidR="00CC62D0" w:rsidRPr="00275DCC" w:rsidRDefault="00CC62D0" w:rsidP="00694989">
            <w:pPr>
              <w:pStyle w:val="TableHeading1"/>
              <w:rPr>
                <w:b w:val="0"/>
              </w:rPr>
            </w:pPr>
            <w:r w:rsidRPr="00275DCC">
              <w:t>Expected completion date</w:t>
            </w:r>
          </w:p>
        </w:tc>
      </w:tr>
      <w:tr w:rsidR="00CC62D0" w:rsidRPr="00071B95" w14:paraId="317EBB53" w14:textId="77777777" w:rsidTr="004A1807">
        <w:trPr>
          <w:tblHeader w:val="0"/>
        </w:trPr>
        <w:tc>
          <w:tcPr>
            <w:tcW w:w="2287" w:type="dxa"/>
            <w:vAlign w:val="center"/>
          </w:tcPr>
          <w:p w14:paraId="30AE5061" w14:textId="77777777" w:rsidR="00CC62D0" w:rsidRPr="006A72E8" w:rsidRDefault="00CC62D0" w:rsidP="00694989">
            <w:pPr>
              <w:pStyle w:val="TableTextEntries"/>
            </w:pPr>
            <w:r w:rsidRPr="006A72E8">
              <w:t>East Timor Education Program</w:t>
            </w:r>
          </w:p>
        </w:tc>
        <w:tc>
          <w:tcPr>
            <w:tcW w:w="1181" w:type="dxa"/>
            <w:vAlign w:val="center"/>
          </w:tcPr>
          <w:p w14:paraId="2A4E5B8D" w14:textId="77777777" w:rsidR="00CC62D0" w:rsidRPr="006A72E8" w:rsidRDefault="00CC62D0" w:rsidP="00694989">
            <w:pPr>
              <w:pStyle w:val="TableTextEntries"/>
            </w:pPr>
            <w:r w:rsidRPr="006A72E8">
              <w:t>INK585</w:t>
            </w:r>
          </w:p>
        </w:tc>
        <w:tc>
          <w:tcPr>
            <w:tcW w:w="2382" w:type="dxa"/>
          </w:tcPr>
          <w:p w14:paraId="1B1B008C" w14:textId="483E45A0" w:rsidR="00CC62D0" w:rsidRPr="00071B95" w:rsidRDefault="00CC62D0" w:rsidP="00754C06">
            <w:pPr>
              <w:pStyle w:val="TableTextEntries"/>
            </w:pPr>
            <w:r>
              <w:t xml:space="preserve">Independent </w:t>
            </w:r>
            <w:r w:rsidR="002A2A4F">
              <w:t>evaluation</w:t>
            </w:r>
          </w:p>
        </w:tc>
        <w:tc>
          <w:tcPr>
            <w:tcW w:w="2084" w:type="dxa"/>
          </w:tcPr>
          <w:p w14:paraId="75F0C9E8" w14:textId="77777777" w:rsidR="00CC62D0" w:rsidRPr="00071B95" w:rsidRDefault="00CC62D0" w:rsidP="00694989">
            <w:pPr>
              <w:pStyle w:val="TableTextEntries"/>
            </w:pPr>
            <w:r>
              <w:t>October 2014</w:t>
            </w:r>
          </w:p>
        </w:tc>
      </w:tr>
      <w:tr w:rsidR="00CC62D0" w:rsidRPr="00071B95" w14:paraId="53BDD639" w14:textId="77777777" w:rsidTr="004A1807">
        <w:trPr>
          <w:tblHeader w:val="0"/>
        </w:trPr>
        <w:tc>
          <w:tcPr>
            <w:tcW w:w="2287" w:type="dxa"/>
            <w:vAlign w:val="center"/>
          </w:tcPr>
          <w:p w14:paraId="65E5244F" w14:textId="1801F500" w:rsidR="00CC62D0" w:rsidRPr="006A72E8" w:rsidRDefault="00CC62D0" w:rsidP="00754C06">
            <w:pPr>
              <w:pStyle w:val="TableTextEntries"/>
            </w:pPr>
            <w:r w:rsidRPr="006A72E8">
              <w:t xml:space="preserve">Management of Scholarships in Timor-Leste </w:t>
            </w:r>
            <w:r w:rsidR="002A2A4F">
              <w:t>20</w:t>
            </w:r>
            <w:r w:rsidRPr="006A72E8">
              <w:t>12</w:t>
            </w:r>
            <w:r w:rsidR="002A2A4F">
              <w:t>–20</w:t>
            </w:r>
            <w:r w:rsidRPr="006A72E8">
              <w:t>14</w:t>
            </w:r>
          </w:p>
        </w:tc>
        <w:tc>
          <w:tcPr>
            <w:tcW w:w="1181" w:type="dxa"/>
            <w:vAlign w:val="center"/>
          </w:tcPr>
          <w:p w14:paraId="22AEDDA4" w14:textId="77777777" w:rsidR="00CC62D0" w:rsidRPr="006A72E8" w:rsidRDefault="00CC62D0" w:rsidP="00694989">
            <w:pPr>
              <w:pStyle w:val="TableTextEntries"/>
            </w:pPr>
            <w:r w:rsidRPr="006A72E8">
              <w:t>INK737</w:t>
            </w:r>
          </w:p>
        </w:tc>
        <w:tc>
          <w:tcPr>
            <w:tcW w:w="2382" w:type="dxa"/>
          </w:tcPr>
          <w:p w14:paraId="2979A87B" w14:textId="1E20CDBB" w:rsidR="00CC62D0" w:rsidRPr="00071B95" w:rsidRDefault="00CC62D0" w:rsidP="00754C06">
            <w:pPr>
              <w:pStyle w:val="TableTextEntries"/>
            </w:pPr>
            <w:r>
              <w:t xml:space="preserve">Independent </w:t>
            </w:r>
            <w:r w:rsidR="002A2A4F">
              <w:t>evaluation</w:t>
            </w:r>
          </w:p>
        </w:tc>
        <w:tc>
          <w:tcPr>
            <w:tcW w:w="2084" w:type="dxa"/>
          </w:tcPr>
          <w:p w14:paraId="3B415099" w14:textId="77777777" w:rsidR="00CC62D0" w:rsidRPr="00071B95" w:rsidRDefault="00CC62D0" w:rsidP="00694989">
            <w:pPr>
              <w:pStyle w:val="TableTextEntries"/>
            </w:pPr>
            <w:r>
              <w:t>March 2014</w:t>
            </w:r>
          </w:p>
        </w:tc>
      </w:tr>
      <w:tr w:rsidR="00CC62D0" w:rsidRPr="00071B95" w14:paraId="1F53857D" w14:textId="77777777" w:rsidTr="004A1807">
        <w:trPr>
          <w:tblHeader w:val="0"/>
        </w:trPr>
        <w:tc>
          <w:tcPr>
            <w:tcW w:w="2287" w:type="dxa"/>
          </w:tcPr>
          <w:p w14:paraId="34D01DFA" w14:textId="77777777" w:rsidR="00CC62D0" w:rsidRPr="006A72E8" w:rsidRDefault="00CC62D0" w:rsidP="00694989">
            <w:pPr>
              <w:pStyle w:val="TableTextEntries"/>
            </w:pPr>
            <w:r w:rsidRPr="006A72E8">
              <w:t>ATLASS Phase II</w:t>
            </w:r>
          </w:p>
        </w:tc>
        <w:tc>
          <w:tcPr>
            <w:tcW w:w="1181" w:type="dxa"/>
          </w:tcPr>
          <w:p w14:paraId="2F1ACE6C" w14:textId="77777777" w:rsidR="00CC62D0" w:rsidRPr="006A72E8" w:rsidRDefault="00CC62D0" w:rsidP="00694989">
            <w:pPr>
              <w:pStyle w:val="TableTextEntries"/>
            </w:pPr>
            <w:r w:rsidRPr="006A72E8">
              <w:t>INK220</w:t>
            </w:r>
          </w:p>
        </w:tc>
        <w:tc>
          <w:tcPr>
            <w:tcW w:w="2382" w:type="dxa"/>
          </w:tcPr>
          <w:p w14:paraId="326DCD77" w14:textId="6B813268" w:rsidR="00CC62D0" w:rsidRPr="00071B95" w:rsidRDefault="00EE640C" w:rsidP="00754C06">
            <w:pPr>
              <w:pStyle w:val="TableTextEntries"/>
            </w:pPr>
            <w:r>
              <w:t xml:space="preserve">Independent </w:t>
            </w:r>
            <w:r w:rsidR="002A2A4F">
              <w:t>evaluation</w:t>
            </w:r>
          </w:p>
        </w:tc>
        <w:tc>
          <w:tcPr>
            <w:tcW w:w="2084" w:type="dxa"/>
          </w:tcPr>
          <w:p w14:paraId="39702BF7" w14:textId="77777777" w:rsidR="00CC62D0" w:rsidRPr="00071B95" w:rsidRDefault="00CC62D0" w:rsidP="00694989">
            <w:pPr>
              <w:pStyle w:val="TableTextEntries"/>
            </w:pPr>
            <w:r>
              <w:t>December 2014</w:t>
            </w:r>
          </w:p>
        </w:tc>
      </w:tr>
      <w:tr w:rsidR="00EE640C" w:rsidRPr="00071B95" w14:paraId="11E69A0A" w14:textId="77777777" w:rsidTr="004A1807">
        <w:trPr>
          <w:tblHeader w:val="0"/>
        </w:trPr>
        <w:tc>
          <w:tcPr>
            <w:tcW w:w="2287" w:type="dxa"/>
          </w:tcPr>
          <w:p w14:paraId="6234CF52" w14:textId="77777777" w:rsidR="00EE640C" w:rsidRPr="006A72E8" w:rsidRDefault="00EE640C" w:rsidP="00694989">
            <w:pPr>
              <w:pStyle w:val="TableTextEntries"/>
            </w:pPr>
            <w:r>
              <w:t xml:space="preserve">ATLASS </w:t>
            </w:r>
            <w:r w:rsidR="001C13DA">
              <w:t>Phase II</w:t>
            </w:r>
          </w:p>
        </w:tc>
        <w:tc>
          <w:tcPr>
            <w:tcW w:w="1181" w:type="dxa"/>
          </w:tcPr>
          <w:p w14:paraId="1F025E7F" w14:textId="77777777" w:rsidR="00EE640C" w:rsidRDefault="00EE640C" w:rsidP="00694989">
            <w:pPr>
              <w:pStyle w:val="TableTextEntries"/>
            </w:pPr>
            <w:r w:rsidRPr="006A72E8">
              <w:t>INK220</w:t>
            </w:r>
          </w:p>
        </w:tc>
        <w:tc>
          <w:tcPr>
            <w:tcW w:w="2382" w:type="dxa"/>
          </w:tcPr>
          <w:p w14:paraId="38F00295" w14:textId="6A5D6459" w:rsidR="00EE640C" w:rsidRDefault="00EE640C" w:rsidP="00694989">
            <w:pPr>
              <w:pStyle w:val="TableTextEntries"/>
            </w:pPr>
            <w:r>
              <w:t xml:space="preserve">Technical </w:t>
            </w:r>
            <w:r w:rsidR="00C07BA3">
              <w:t>advisory group revie</w:t>
            </w:r>
            <w:r>
              <w:t>w</w:t>
            </w:r>
          </w:p>
        </w:tc>
        <w:tc>
          <w:tcPr>
            <w:tcW w:w="2084" w:type="dxa"/>
          </w:tcPr>
          <w:p w14:paraId="6A9FDCCD" w14:textId="77777777" w:rsidR="00EE640C" w:rsidRDefault="001C13DA" w:rsidP="00694989">
            <w:pPr>
              <w:pStyle w:val="TableTextEntries"/>
            </w:pPr>
            <w:r>
              <w:t>November 2013</w:t>
            </w:r>
          </w:p>
        </w:tc>
      </w:tr>
      <w:tr w:rsidR="00EE640C" w:rsidRPr="00071B95" w14:paraId="02AE5874" w14:textId="77777777" w:rsidTr="004A1807">
        <w:trPr>
          <w:tblHeader w:val="0"/>
        </w:trPr>
        <w:tc>
          <w:tcPr>
            <w:tcW w:w="2287" w:type="dxa"/>
          </w:tcPr>
          <w:p w14:paraId="56B024E2" w14:textId="77777777" w:rsidR="00EE640C" w:rsidRPr="006A72E8" w:rsidRDefault="00EE640C" w:rsidP="00694989">
            <w:pPr>
              <w:pStyle w:val="TableTextEntries"/>
            </w:pPr>
            <w:r>
              <w:t>Safe Motherhood</w:t>
            </w:r>
          </w:p>
        </w:tc>
        <w:tc>
          <w:tcPr>
            <w:tcW w:w="1181" w:type="dxa"/>
          </w:tcPr>
          <w:p w14:paraId="3E83D53B" w14:textId="77777777" w:rsidR="00EE640C" w:rsidRDefault="001C13DA" w:rsidP="00694989">
            <w:pPr>
              <w:pStyle w:val="TableTextEntries"/>
            </w:pPr>
            <w:r w:rsidRPr="001C13DA">
              <w:t>INJ035</w:t>
            </w:r>
          </w:p>
        </w:tc>
        <w:tc>
          <w:tcPr>
            <w:tcW w:w="2382" w:type="dxa"/>
          </w:tcPr>
          <w:p w14:paraId="62981E2F" w14:textId="5677B7D1" w:rsidR="00EE640C" w:rsidRDefault="001C13DA" w:rsidP="00754C06">
            <w:pPr>
              <w:pStyle w:val="TableTextEntries"/>
            </w:pPr>
            <w:r>
              <w:t xml:space="preserve">Independent </w:t>
            </w:r>
            <w:r w:rsidR="002A2A4F">
              <w:t>evaluation</w:t>
            </w:r>
          </w:p>
        </w:tc>
        <w:tc>
          <w:tcPr>
            <w:tcW w:w="2084" w:type="dxa"/>
          </w:tcPr>
          <w:p w14:paraId="00CAE48B" w14:textId="77777777" w:rsidR="00EE640C" w:rsidRDefault="001C13DA" w:rsidP="00694989">
            <w:pPr>
              <w:pStyle w:val="TableTextEntries"/>
            </w:pPr>
            <w:r>
              <w:t>June 2013</w:t>
            </w:r>
          </w:p>
        </w:tc>
      </w:tr>
      <w:tr w:rsidR="00CC62D0" w:rsidRPr="00071B95" w14:paraId="77046798" w14:textId="77777777" w:rsidTr="004A1807">
        <w:trPr>
          <w:tblHeader w:val="0"/>
        </w:trPr>
        <w:tc>
          <w:tcPr>
            <w:tcW w:w="2287" w:type="dxa"/>
            <w:vAlign w:val="center"/>
          </w:tcPr>
          <w:p w14:paraId="75841735" w14:textId="77777777" w:rsidR="00CC62D0" w:rsidRPr="006A72E8" w:rsidRDefault="00CC62D0" w:rsidP="00694989">
            <w:pPr>
              <w:pStyle w:val="TableTextEntries"/>
            </w:pPr>
            <w:r w:rsidRPr="006A72E8">
              <w:t>National Health Sector Strategic Plan</w:t>
            </w:r>
          </w:p>
        </w:tc>
        <w:tc>
          <w:tcPr>
            <w:tcW w:w="1181" w:type="dxa"/>
            <w:vAlign w:val="center"/>
          </w:tcPr>
          <w:p w14:paraId="677B3303" w14:textId="77777777" w:rsidR="00CC62D0" w:rsidRPr="006A72E8" w:rsidRDefault="00CC62D0" w:rsidP="00694989">
            <w:pPr>
              <w:pStyle w:val="TableTextEntries"/>
            </w:pPr>
            <w:r w:rsidRPr="006A72E8">
              <w:t>INK221</w:t>
            </w:r>
          </w:p>
        </w:tc>
        <w:tc>
          <w:tcPr>
            <w:tcW w:w="2382" w:type="dxa"/>
          </w:tcPr>
          <w:p w14:paraId="7C60FB30" w14:textId="49D3A677" w:rsidR="00CC62D0" w:rsidRPr="00071B95" w:rsidRDefault="00CC62D0" w:rsidP="00754C06">
            <w:pPr>
              <w:pStyle w:val="TableTextEntries"/>
            </w:pPr>
            <w:r>
              <w:t xml:space="preserve">Independent </w:t>
            </w:r>
            <w:r w:rsidR="002A2A4F">
              <w:t>evaluation</w:t>
            </w:r>
          </w:p>
        </w:tc>
        <w:tc>
          <w:tcPr>
            <w:tcW w:w="2084" w:type="dxa"/>
          </w:tcPr>
          <w:p w14:paraId="2F915F5E" w14:textId="77777777" w:rsidR="00CC62D0" w:rsidRPr="00071B95" w:rsidRDefault="00CC62D0" w:rsidP="00694989">
            <w:pPr>
              <w:pStyle w:val="TableTextEntries"/>
            </w:pPr>
            <w:r>
              <w:t>December 2014</w:t>
            </w:r>
          </w:p>
        </w:tc>
      </w:tr>
      <w:tr w:rsidR="00644B20" w:rsidRPr="00071B95" w14:paraId="2E0985BF" w14:textId="77777777" w:rsidTr="004A1807">
        <w:trPr>
          <w:tblHeader w:val="0"/>
        </w:trPr>
        <w:tc>
          <w:tcPr>
            <w:tcW w:w="2287" w:type="dxa"/>
            <w:vAlign w:val="center"/>
          </w:tcPr>
          <w:p w14:paraId="7F07393C" w14:textId="77777777" w:rsidR="00644B20" w:rsidRPr="006A72E8" w:rsidRDefault="00644B20" w:rsidP="00694989">
            <w:pPr>
              <w:pStyle w:val="TableTextEntries"/>
            </w:pPr>
            <w:r w:rsidRPr="006A72E8">
              <w:t xml:space="preserve">Seeds of Life </w:t>
            </w:r>
          </w:p>
        </w:tc>
        <w:tc>
          <w:tcPr>
            <w:tcW w:w="1181" w:type="dxa"/>
            <w:vAlign w:val="center"/>
          </w:tcPr>
          <w:p w14:paraId="532BBF49" w14:textId="77777777" w:rsidR="00644B20" w:rsidRPr="006A72E8" w:rsidRDefault="00644B20" w:rsidP="00694989">
            <w:pPr>
              <w:pStyle w:val="TableTextEntries"/>
            </w:pPr>
            <w:r w:rsidRPr="006A72E8">
              <w:t>ING104</w:t>
            </w:r>
          </w:p>
        </w:tc>
        <w:tc>
          <w:tcPr>
            <w:tcW w:w="2382" w:type="dxa"/>
          </w:tcPr>
          <w:p w14:paraId="50564389" w14:textId="57A5FF64" w:rsidR="00644B20" w:rsidRPr="00071B95" w:rsidRDefault="00644B20" w:rsidP="00754C06">
            <w:pPr>
              <w:pStyle w:val="TableTextEntries"/>
            </w:pPr>
            <w:r>
              <w:t xml:space="preserve">Independent </w:t>
            </w:r>
            <w:r w:rsidR="002A2A4F">
              <w:t>evaluation</w:t>
            </w:r>
          </w:p>
        </w:tc>
        <w:tc>
          <w:tcPr>
            <w:tcW w:w="2084" w:type="dxa"/>
          </w:tcPr>
          <w:p w14:paraId="1869CDD1" w14:textId="77777777" w:rsidR="00644B20" w:rsidRPr="00071B95" w:rsidRDefault="00644B20" w:rsidP="00694989">
            <w:pPr>
              <w:pStyle w:val="TableTextEntries"/>
            </w:pPr>
            <w:r>
              <w:t>August 2013</w:t>
            </w:r>
          </w:p>
        </w:tc>
      </w:tr>
      <w:tr w:rsidR="00DD61E1" w:rsidRPr="00071B95" w14:paraId="3D213B44" w14:textId="77777777" w:rsidTr="004A1807">
        <w:trPr>
          <w:tblHeader w:val="0"/>
        </w:trPr>
        <w:tc>
          <w:tcPr>
            <w:tcW w:w="2287" w:type="dxa"/>
            <w:vAlign w:val="center"/>
          </w:tcPr>
          <w:p w14:paraId="3E5CBA6B" w14:textId="77777777" w:rsidR="00DD61E1" w:rsidRPr="006A72E8" w:rsidRDefault="0091087B" w:rsidP="00694989">
            <w:pPr>
              <w:pStyle w:val="TableTextEntries"/>
            </w:pPr>
            <w:r>
              <w:t>TLPDP</w:t>
            </w:r>
          </w:p>
        </w:tc>
        <w:tc>
          <w:tcPr>
            <w:tcW w:w="1181" w:type="dxa"/>
            <w:vAlign w:val="center"/>
          </w:tcPr>
          <w:p w14:paraId="06686009" w14:textId="77777777" w:rsidR="00DD61E1" w:rsidRPr="006A72E8" w:rsidRDefault="00E91578" w:rsidP="00694989">
            <w:pPr>
              <w:pStyle w:val="TableTextEntries"/>
            </w:pPr>
            <w:r>
              <w:t>N/A</w:t>
            </w:r>
          </w:p>
        </w:tc>
        <w:tc>
          <w:tcPr>
            <w:tcW w:w="2382" w:type="dxa"/>
          </w:tcPr>
          <w:p w14:paraId="6D38DF7B" w14:textId="16438934" w:rsidR="00DD61E1" w:rsidRDefault="0091087B" w:rsidP="00754C06">
            <w:pPr>
              <w:pStyle w:val="TableTextEntries"/>
            </w:pPr>
            <w:r>
              <w:t xml:space="preserve">Independent </w:t>
            </w:r>
            <w:r w:rsidR="002A2A4F">
              <w:t>evaluation</w:t>
            </w:r>
          </w:p>
        </w:tc>
        <w:tc>
          <w:tcPr>
            <w:tcW w:w="2084" w:type="dxa"/>
          </w:tcPr>
          <w:p w14:paraId="39E263F3" w14:textId="77777777" w:rsidR="00DD61E1" w:rsidRDefault="0091087B" w:rsidP="00694989">
            <w:pPr>
              <w:pStyle w:val="TableTextEntries"/>
            </w:pPr>
            <w:r>
              <w:t>2013</w:t>
            </w:r>
          </w:p>
        </w:tc>
      </w:tr>
    </w:tbl>
    <w:p w14:paraId="3EEB7F50" w14:textId="77777777" w:rsidR="00071B95" w:rsidRDefault="00071B95" w:rsidP="00071B95">
      <w:pPr>
        <w:rPr>
          <w:b/>
        </w:rPr>
      </w:pPr>
    </w:p>
    <w:sectPr w:rsidR="00071B95" w:rsidSect="004A1807">
      <w:headerReference w:type="default" r:id="rId10"/>
      <w:footerReference w:type="even" r:id="rId11"/>
      <w:footerReference w:type="default" r:id="rId12"/>
      <w:headerReference w:type="first" r:id="rId13"/>
      <w:footerReference w:type="first" r:id="rId14"/>
      <w:pgSz w:w="11907" w:h="16840" w:code="9"/>
      <w:pgMar w:top="2268" w:right="1701" w:bottom="907" w:left="1871" w:header="851"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25E7B" w14:textId="77777777" w:rsidR="00B70075" w:rsidRDefault="00B70075" w:rsidP="0050529F">
      <w:r>
        <w:separator/>
      </w:r>
    </w:p>
    <w:p w14:paraId="286F88D3" w14:textId="77777777" w:rsidR="00B70075" w:rsidRDefault="00B70075"/>
    <w:p w14:paraId="59E0CEF5" w14:textId="77777777" w:rsidR="00B70075" w:rsidRDefault="00B70075"/>
  </w:endnote>
  <w:endnote w:type="continuationSeparator" w:id="0">
    <w:p w14:paraId="14C70B64" w14:textId="77777777" w:rsidR="00B70075" w:rsidRDefault="00B70075" w:rsidP="0050529F">
      <w:r>
        <w:continuationSeparator/>
      </w:r>
    </w:p>
    <w:p w14:paraId="330CBE9D" w14:textId="77777777" w:rsidR="00B70075" w:rsidRDefault="00B70075"/>
    <w:p w14:paraId="0AF96B39" w14:textId="77777777" w:rsidR="00B70075" w:rsidRDefault="00B70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80DD0" w14:textId="77777777" w:rsidR="00B70075" w:rsidRDefault="00B70075" w:rsidP="00395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B3F3BDA" w14:textId="77777777" w:rsidR="00B70075" w:rsidRDefault="00B70075" w:rsidP="00395C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9CE74" w14:textId="673ECCEB" w:rsidR="00B70075" w:rsidRPr="00022320" w:rsidRDefault="00B70075" w:rsidP="00022320">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8B08E9">
      <w:rPr>
        <w:rFonts w:ascii="Franklin Gothic Medium" w:eastAsia="Times New Roman" w:hAnsi="Franklin Gothic Medium"/>
        <w:noProof/>
        <w:sz w:val="14"/>
        <w:szCs w:val="14"/>
      </w:rPr>
      <w:t>Aid Program Performance Report 2012−13 República Democrática de Timor-Leste</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8B08E9">
      <w:rPr>
        <w:rFonts w:ascii="Franklin Gothic Medium" w:eastAsia="Times New Roman" w:hAnsi="Franklin Gothic Medium"/>
        <w:noProof/>
        <w:sz w:val="14"/>
        <w:szCs w:val="14"/>
      </w:rPr>
      <w:t>7</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79744" behindDoc="1" locked="0" layoutInCell="1" allowOverlap="1" wp14:anchorId="7E7310BC" wp14:editId="1F55F7A2">
              <wp:simplePos x="0" y="0"/>
              <wp:positionH relativeFrom="column">
                <wp:posOffset>0</wp:posOffset>
              </wp:positionH>
              <wp:positionV relativeFrom="paragraph">
                <wp:posOffset>8498840</wp:posOffset>
              </wp:positionV>
              <wp:extent cx="7379970" cy="2181860"/>
              <wp:effectExtent l="0" t="2540" r="1905" b="0"/>
              <wp:wrapNone/>
              <wp:docPr id="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jV6t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Ai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T41er&#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78720" behindDoc="1" locked="0" layoutInCell="1" allowOverlap="1" wp14:anchorId="4009B494" wp14:editId="4F616A7B">
              <wp:simplePos x="0" y="0"/>
              <wp:positionH relativeFrom="column">
                <wp:posOffset>0</wp:posOffset>
              </wp:positionH>
              <wp:positionV relativeFrom="paragraph">
                <wp:posOffset>8498840</wp:posOffset>
              </wp:positionV>
              <wp:extent cx="7379970" cy="2181860"/>
              <wp:effectExtent l="0" t="2540" r="1905" b="0"/>
              <wp:wrapNone/>
              <wp:docPr id="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JxQAUUmR6ijI9RRcBaKTI9RRkeoouAtFJke&#10;ooyKLg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340&#10;/wCQVF/11H8jXSVzfjT/AJBUX/XUfyNcuN/3efodWC/3iHqcLRRRXyR9YFb+itoot/8ASwv2rJwZ&#10;c7PbpWBW/ov9i/Zv9L2/asn/AFudntXThP4nT5nLjP4XX5GjPJrHkt/ZwszAB/y64J/WuQYkuxb7&#10;2efrXYTrrJhb+zmshBjpa4HH41x7Z3Hd1zzW2O3W/wA9vkY4DZ7fLf5iVs+FnK6/AB/EGB/I1jVr&#10;+GP+Rhtv+Bf+gmufC/x4eqOn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tjTfD9xqFt9p81I4Mkbjknj2rHre0bTNRltvtUF59ngyeck9PYV0YWCnUs&#10;43OfFTcKd1Kw9F0XTWObq6nlHURgoM1gOQzsRnBPGa6241fT4oWhvWOoS4xuMATFcixBYkDAzwK1&#10;xnKrRi16L+mZYNyd5STv3f6aIStfwx/yMNt/wL/0E1kVr+GP+Rhtv+Bf+gmscL/Hh6o2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q3ZXN9C4FnJMD/&#10;AHY8n9KqVv6NrjWdt9kFmZASfni4fmt8Ok56ysYYhtQ0jc0bVtZuY8XtjbvHjlp1Cn/P4VyMgxIw&#10;wBgngV10+jHUoWn+13sHGdl2cj+dcgwwxGc4PWujGqSUU/vfU5sC4tyat6LoJWv4Y/5GG2/4F/6C&#10;ayK1/DH/ACMNt/wL/wBBNc+F/jw9UdO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b+ka4dOsTC9ozREnM0Zw3PvisCtyzk1S90N7C2tBJADy+OeucV0&#10;4WUozbi9bdrnNi4xlBKS0v3sTTDStTy39qXEUh/hnBYfnXPMMMQDnB61L9lnMrxeS/mICWXHIx1z&#10;UNRWqOerjZlUaahdRldBWv4Y/wCRhtv+Bf8AoJrIrX8Mf8jDbf8AAv8A0E08L/Hh6oMV/An6M9Ho&#10;oor7A+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m/Gn/IKi/66j+RrpK5vxp/yCov+uo/ka5cb/u8/Q6sF/vEPU4Wiiivkj6wK6ezh1K68P2o05nj&#10;MUj78Hbvycgg98VzFbmn6bfXWnrIb8W1sGIQPIQCe+K6sI3zNJN3XTT8TkxiXKm2lZ9dfwNsafeL&#10;rVvfSKqxmAC5YsACcc/0ri5tvnybPu7jj6ZroG0OZlIOtW7AjkGQ81zrLtdlyDg4yK0xjdkuW3Xe&#10;5ng0ru0r7Lawla/hj/kYbb/gX/oJrIrX8Mf8jDbf8C/9BNYYX+PD1R0Y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gV0draw6j4ft4p7yG3aGRvL3N1BP&#10;ORXOVozWkMOiWtwQTPO7Y54CjiujDy5eZ2uranNiY83Kr2d9C4fD9sAf+JxaH/P1rDZdrFc5wcZF&#10;dKuhaaiwWk9xIL+dNy4Hyg+lc3JGYpXjbqrFT+FXiafIl7tvncnC1edtc1/lYbWv4Y/5GG2/4F/6&#10;CayK1/DH/Iw23/Av/QTWeF/jw9UaYr+BP0Z6PRRRX2B8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N+NP+QVF/wBdR/I10lc340/5BUX/AF1H8jXL&#10;jf8Ad5+h1YL/AHiHqcLRRRXyR9YFb2kXgezFvcaZJeRQsWQxqSVJ6isGunsptQXw/bf2Up3LI/n7&#10;VySc8fhXXg787fl2vc5MZ8CXn3tYzpdXll137ebfLR/dj5+UAVlyOZJGdurEsfxrsUsro69Dcm2K&#10;xzQD7RxgAkc1x8yqs8ir90MQPpmnioTirye7ZOFqQk7RWyX/AAwytfwx/wAjDbf8C/8AQTWRWv4Y&#10;/wCRhtv+Bf8AoJrLC/x4eqNs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oNMttcuNNj+xThLcMdo3hTnPNc/Wzpmlme0N1c3v2W1DbQSeWPtXThb&#10;udlf5O34nNirKF3b5q/4F+TS/EkkTI91uQjkeb1rF/sq5/s1775PKR9hGec1qPo8NxE507VvPlUZ&#10;8onBI9qwDJIEMZdtuclc8ZrXEKMbcyf33McM5ST5WvusMrX8Mf8AIw23/Av/AEE1kVr+GP8AkYbb&#10;/gX/AKCawwv8eHqjoxX8Cfoz0eiiivsD5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b8af8gqL/rqP5Gukrm/Gn/IKi/66j+Rrlxv+7z9DqwX+8Q9&#10;ThaKKK+SPrAro7S3tr/w9Dbz30Nu8cjMgZux9RXOVpLbacdEM5uT9tDcRfj/AIV0YZ2ctE1broc+&#10;JV1HVp36K5sabptjYXi3B1e2YoDtAbHOO/NZ19pVrDBLcLqlvK/XYnU/rWNRVSxEHDl5PxZMcPNT&#10;5+f8EFa/hj/kYbb/AIF/6CayK1/DH/Iw23/Av/QTUYX+ND1ReK/gT9Gej0UUV9gfI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340/5BUX/XUfyNdJXN+NP+QVF/11H8jXLjf93n6HVgv94h6nC0UUV8kf&#10;WBXQ2tx/Y+hwXkFvHJPcOwaR1zsAPArnq09M1i5sFMCxpPC5z5TjIz7V0YaahJ3dvPsc+Jg5wVlf&#10;y7mpYaxPrN0tle28MsUgILKmCnHWublUJM6A5CsQDXXo+rXlu4t7CCwiYfNIeDiuPddrspOSDjNb&#10;Yu/LHmbfm1YwwduaXKkl2TuNrX8Mf8jDbf8AAv8A0E1kVr+GP+Rhtv8AgX/oJrDC/wAeHqjo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rodD1mysrU&#10;wSxGKYk/6QqhjXPVrRXaSaG9lHp5km3ZMyrnHOf/AK1dGGm4Tck9bepzYqCnBRa0v3sX7zTrrU1M&#10;ttqi3q9dhbaR+Fc2QVJB6jinIzxvlCysPTgimE55qa1SNR3tZ+pVGnKmuVu66aBWv4Y/5GG2/wCB&#10;f+gmsitfwx/yMNt/wL/0E08L/Hh6oMV/An6M9Hooor7A+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m/Gn/IKi/66j+RrpK5vxp/yCov+uo/ka5cb&#10;/u8/Q6sF/vEPU4Wiiivkj6wK6ayur230C2bS4wz+Ywnwm45zx+lczW/pX9vTWIj0/wCWBGPzfKMn&#10;6nrXXhJNTaV9um5yYyKcE3bR9djRjtJW8QQz/ZCsVzBmcbeFJHNclMoSeRV+6rED6Zrp5LXxTJEy&#10;PKSpHOHWuWZSrFW6g4NXjHovda1b1M8GtW+ZPRLQStfwx/yMNt/wL/0E1kVr+GP+Rhtv+Bf+gmsM&#10;L/Hh6o6MV/An6M9Hooor7A+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m/Gn/ACCov+uo/ka6Sub8af8AIKi/66j+Rrlxv+7z9DqwX+8Q9ThaKKK+&#10;SPrArprWzvNS8N2yWrmMwyNkFtokBPX8K5mniaQIEEjhQcgBjit6FVU2+ZaNGFelKolyuzTubh8P&#10;6yBnzV/7/wBYLAqzBuoODTvNk/56P/31TKVWcJW5U16u46UJxvztP0VgrY8LjPiC29t3/oJrHrqP&#10;Btkz3ct4wOyNdqn1JrTBQc68Uu5GNmoUJN9jtqKKK+t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n/wAgqL/rqP5GukpkkUcqgSIrgdmGaxr0&#10;/a03C+5rQqeyqKdtjySjFer/AGK1/wCfeL/vgUfYrX/n3i/74FeR/Y8v5/wPX/thfyfieUYoxXq/&#10;2K1/594v++BR9itf+feL/vgUf2PL+f8AAP7YX8n4nlGKVVZjhVJJ7AV6t9itf+feL/vgU5LeGI/J&#10;Ei/RQKFk76z/AAB5wv5PxOB0zwze3zq0qGCHuzDk/QV3lpaQ2VslvAm2NRxU9FelhsHTw693fueb&#10;icXUxD97bsFFFFdZ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5974" w14:textId="6A6745CD" w:rsidR="00B70075" w:rsidRPr="00022320" w:rsidRDefault="00B70075" w:rsidP="00022320">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9A3AC3">
      <w:rPr>
        <w:rFonts w:ascii="Franklin Gothic Medium" w:eastAsia="Times New Roman" w:hAnsi="Franklin Gothic Medium"/>
        <w:noProof/>
        <w:sz w:val="14"/>
        <w:szCs w:val="14"/>
      </w:rPr>
      <w:t>Aid Program Performance Report 2012−13 República Democrática de Timor-Leste</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9A3AC3">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76672" behindDoc="1" locked="0" layoutInCell="1" allowOverlap="1" wp14:anchorId="19ED2AAE" wp14:editId="3A8B0252">
              <wp:simplePos x="0" y="0"/>
              <wp:positionH relativeFrom="column">
                <wp:posOffset>0</wp:posOffset>
              </wp:positionH>
              <wp:positionV relativeFrom="paragraph">
                <wp:posOffset>8498840</wp:posOffset>
              </wp:positionV>
              <wp:extent cx="7379970" cy="2181860"/>
              <wp:effectExtent l="0" t="2540" r="1905" b="0"/>
              <wp:wrapNone/>
              <wp:docPr id="1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X5x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soI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4F+c&#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75648" behindDoc="1" locked="0" layoutInCell="1" allowOverlap="1" wp14:anchorId="01E4C49B" wp14:editId="4057265B">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D2CD4" w14:textId="77777777" w:rsidR="00B70075" w:rsidRDefault="00B70075"/>
    <w:p w14:paraId="6BCD7F21" w14:textId="77777777" w:rsidR="00B70075" w:rsidRDefault="00B70075"/>
  </w:footnote>
  <w:footnote w:type="continuationSeparator" w:id="0">
    <w:p w14:paraId="3436C647" w14:textId="77777777" w:rsidR="00B70075" w:rsidRDefault="00B70075" w:rsidP="0050529F">
      <w:r>
        <w:continuationSeparator/>
      </w:r>
    </w:p>
    <w:p w14:paraId="34616EDB" w14:textId="77777777" w:rsidR="00B70075" w:rsidRDefault="00B70075"/>
    <w:p w14:paraId="18E691F7" w14:textId="77777777" w:rsidR="00B70075" w:rsidRDefault="00B70075"/>
  </w:footnote>
  <w:footnote w:id="1">
    <w:p w14:paraId="3DC312C0" w14:textId="37F35C9E" w:rsidR="00B70075" w:rsidRPr="004A1807" w:rsidRDefault="00B70075" w:rsidP="004A1807">
      <w:pPr>
        <w:pStyle w:val="FootnoteText"/>
      </w:pPr>
      <w:r w:rsidRPr="004A1807">
        <w:rPr>
          <w:rStyle w:val="FootnoteReference"/>
        </w:rPr>
        <w:footnoteRef/>
      </w:r>
      <w:r w:rsidRPr="004A1807">
        <w:rPr>
          <w:rStyle w:val="FootnoteReference"/>
          <w:position w:val="0"/>
          <w:szCs w:val="20"/>
        </w:rPr>
        <w:t xml:space="preserve"> </w:t>
      </w:r>
      <w:r w:rsidRPr="004A1807">
        <w:t>Timor-Leste Demographic and Health Survey 2009–10.</w:t>
      </w:r>
    </w:p>
  </w:footnote>
  <w:footnote w:id="2">
    <w:p w14:paraId="7FB31B80" w14:textId="20643CD6" w:rsidR="00B70075" w:rsidRDefault="00B70075" w:rsidP="004F7E70">
      <w:pPr>
        <w:pStyle w:val="FootnoteText"/>
      </w:pPr>
      <w:r w:rsidRPr="00ED0D08">
        <w:rPr>
          <w:rStyle w:val="FootnoteReference"/>
        </w:rPr>
        <w:footnoteRef/>
      </w:r>
      <w:r w:rsidRPr="00ED0D08">
        <w:rPr>
          <w:rStyle w:val="FootnoteReference"/>
        </w:rPr>
        <w:t xml:space="preserve"> </w:t>
      </w:r>
      <w:proofErr w:type="gramStart"/>
      <w:r>
        <w:t>According to the national poverty line of USD0.88 a day as estimated by the World Bank in 2009.</w:t>
      </w:r>
      <w:proofErr w:type="gramEnd"/>
    </w:p>
  </w:footnote>
  <w:footnote w:id="3">
    <w:p w14:paraId="1532EFD8" w14:textId="04C45177" w:rsidR="00B70075" w:rsidRPr="00CA2194" w:rsidRDefault="00B70075" w:rsidP="00D02BEE">
      <w:pPr>
        <w:pStyle w:val="FootnoteText"/>
      </w:pPr>
      <w:r w:rsidRPr="00ED0D08">
        <w:rPr>
          <w:rStyle w:val="FootnoteReference"/>
        </w:rPr>
        <w:footnoteRef/>
      </w:r>
      <w:r w:rsidRPr="00ED0D08">
        <w:rPr>
          <w:rStyle w:val="FootnoteReference"/>
        </w:rPr>
        <w:t xml:space="preserve"> </w:t>
      </w:r>
      <w:r w:rsidRPr="004A1807">
        <w:t>Although there is good information about the extent of poverty in Timor-Leste, very few of the poverty studies have been repeated or include qualitative enquiry, which means there is limited information on the dynamics or drivers of poverty. By the international income poverty measure of USD2 a day, 72.8 per cent of the population is poor. The Multidimensional Poverty Index, which tracks health, education and asset measures, and is based on 2009–10 Timorese data, estimates that 68.1 per cent of the population is poor and 18.2 per cent is vulnerable to poverty. The index also estimates that 38.7 per cent of the population in Timor-Leste is in severe poverty.</w:t>
      </w:r>
      <w:r w:rsidRPr="00810F35">
        <w:t xml:space="preserve"> </w:t>
      </w:r>
    </w:p>
  </w:footnote>
  <w:footnote w:id="4">
    <w:p w14:paraId="5E27EC23" w14:textId="7A75F601" w:rsidR="00B70075" w:rsidRDefault="00B70075">
      <w:pPr>
        <w:pStyle w:val="FootnoteText"/>
      </w:pPr>
      <w:r w:rsidRPr="00ED0D08">
        <w:rPr>
          <w:rStyle w:val="FootnoteReference"/>
        </w:rPr>
        <w:footnoteRef/>
      </w:r>
      <w:r w:rsidRPr="00ED0D08">
        <w:rPr>
          <w:rStyle w:val="FootnoteReference"/>
        </w:rPr>
        <w:t xml:space="preserve"> </w:t>
      </w:r>
      <w:proofErr w:type="gramStart"/>
      <w:r>
        <w:t>United Nations Development Programme</w:t>
      </w:r>
      <w:r w:rsidRPr="00D02BEE">
        <w:t xml:space="preserve"> report on Timor-Leste (United Nations Development Program</w:t>
      </w:r>
      <w:r>
        <w:t>me</w:t>
      </w:r>
      <w:r w:rsidRPr="00D02BEE">
        <w:t>, 2011, p</w:t>
      </w:r>
      <w:r>
        <w:t>.</w:t>
      </w:r>
      <w:r w:rsidRPr="00D02BEE">
        <w:t>32)</w:t>
      </w:r>
      <w:r>
        <w:t>.</w:t>
      </w:r>
      <w:proofErr w:type="gramEnd"/>
    </w:p>
  </w:footnote>
  <w:footnote w:id="5">
    <w:p w14:paraId="3C9ADD2C" w14:textId="1A6B71E9" w:rsidR="00B70075" w:rsidRDefault="00B70075">
      <w:pPr>
        <w:pStyle w:val="FootnoteText"/>
      </w:pPr>
      <w:r>
        <w:rPr>
          <w:rStyle w:val="FootnoteReference"/>
        </w:rPr>
        <w:footnoteRef/>
      </w:r>
      <w:r>
        <w:t xml:space="preserve"> </w:t>
      </w:r>
      <w:r w:rsidRPr="00ED0D08">
        <w:t>Timor-Leste Demographic Health Survey 2009–10.</w:t>
      </w:r>
    </w:p>
  </w:footnote>
  <w:footnote w:id="6">
    <w:p w14:paraId="1C23AE63" w14:textId="77777777" w:rsidR="00B70075" w:rsidRDefault="00B70075">
      <w:pPr>
        <w:pStyle w:val="FootnoteText"/>
      </w:pPr>
      <w:r>
        <w:rPr>
          <w:rStyle w:val="FootnoteReference"/>
        </w:rPr>
        <w:footnoteRef/>
      </w:r>
      <w:r>
        <w:t xml:space="preserve"> Timor-Leste is a member of the g7+,</w:t>
      </w:r>
      <w:r w:rsidRPr="004A0D7A">
        <w:t xml:space="preserve"> an international grouping of 18 countries that have come together to give voice to the unique challenges faced by fragile and conflict affected states. </w:t>
      </w:r>
      <w:r>
        <w:t>Timor-Leste</w:t>
      </w:r>
      <w:r w:rsidRPr="004A0D7A">
        <w:t xml:space="preserve"> has championed a new way for international development known as the New Deal to help fragile and conflict affected countries take charge of their future. The New Deal calls for recipient governments to take greater control of development in their country and for donor assistance to align behind local priorities. Australia and Timor-Leste were among the first countries in the world to sign up to the New Deal at the High-level Forum on Aid Effectiveness in </w:t>
      </w:r>
      <w:proofErr w:type="spellStart"/>
      <w:r w:rsidRPr="004A0D7A">
        <w:t>Busan</w:t>
      </w:r>
      <w:proofErr w:type="spellEnd"/>
      <w:r w:rsidRPr="004A0D7A">
        <w:t xml:space="preserve"> in 2011.</w:t>
      </w:r>
    </w:p>
  </w:footnote>
  <w:footnote w:id="7">
    <w:p w14:paraId="1FE5D7CB" w14:textId="2C7A9F65" w:rsidR="00B70075" w:rsidRDefault="00B70075" w:rsidP="00AF24B2">
      <w:pPr>
        <w:pStyle w:val="FootnoteText"/>
      </w:pPr>
      <w:r>
        <w:rPr>
          <w:rStyle w:val="FootnoteReference"/>
        </w:rPr>
        <w:footnoteRef/>
      </w:r>
      <w:r>
        <w:t xml:space="preserve"> </w:t>
      </w:r>
      <w:proofErr w:type="gramStart"/>
      <w:r>
        <w:t>Review of World Bank Trust Fund programs 2012 and Civil Society Organisations Review 2013.</w:t>
      </w:r>
      <w:proofErr w:type="gramEnd"/>
    </w:p>
  </w:footnote>
  <w:footnote w:id="8">
    <w:p w14:paraId="024D323E" w14:textId="01718235" w:rsidR="009A3AC3" w:rsidRDefault="009A3AC3">
      <w:pPr>
        <w:pStyle w:val="FootnoteText"/>
      </w:pPr>
      <w:r>
        <w:rPr>
          <w:rStyle w:val="FootnoteReference"/>
        </w:rPr>
        <w:footnoteRef/>
      </w:r>
      <w:r>
        <w:t xml:space="preserve"> Prior to 2012-13 And Program Performance Reports were called Annual Program Performance Reports</w:t>
      </w:r>
    </w:p>
  </w:footnote>
  <w:footnote w:id="9">
    <w:p w14:paraId="0941B811" w14:textId="22D548D0" w:rsidR="00B70075" w:rsidRDefault="00B70075" w:rsidP="00C14AA8">
      <w:pPr>
        <w:pStyle w:val="Footer"/>
      </w:pPr>
      <w:r w:rsidRPr="00C14AA8">
        <w:rPr>
          <w:rStyle w:val="FootnoteReference"/>
        </w:rPr>
        <w:footnoteRef/>
      </w:r>
      <w:r w:rsidRPr="00C14AA8">
        <w:rPr>
          <w:rStyle w:val="FootnoteReference"/>
        </w:rPr>
        <w:t xml:space="preserve"> </w:t>
      </w:r>
      <w:r w:rsidRPr="00C14AA8">
        <w:rPr>
          <w:rStyle w:val="FootnoteTextChar"/>
          <w:rFonts w:eastAsia="SimSun"/>
        </w:rPr>
        <w:t xml:space="preserve">Timor-Leste Government, Timor-Leste </w:t>
      </w:r>
      <w:proofErr w:type="spellStart"/>
      <w:r w:rsidRPr="00C14AA8">
        <w:rPr>
          <w:rStyle w:val="FootnoteTextChar"/>
          <w:rFonts w:eastAsia="SimSun"/>
        </w:rPr>
        <w:t>Orsamento</w:t>
      </w:r>
      <w:proofErr w:type="spellEnd"/>
      <w:r w:rsidRPr="00C14AA8">
        <w:rPr>
          <w:rStyle w:val="FootnoteTextChar"/>
          <w:rFonts w:eastAsia="SimSun"/>
        </w:rPr>
        <w:t xml:space="preserve"> </w:t>
      </w:r>
      <w:proofErr w:type="spellStart"/>
      <w:r w:rsidRPr="00C14AA8">
        <w:rPr>
          <w:rStyle w:val="FootnoteTextChar"/>
          <w:rFonts w:eastAsia="SimSun"/>
        </w:rPr>
        <w:t>Geral</w:t>
      </w:r>
      <w:proofErr w:type="spellEnd"/>
      <w:r w:rsidRPr="00C14AA8">
        <w:rPr>
          <w:rStyle w:val="FootnoteTextChar"/>
          <w:rFonts w:eastAsia="SimSun"/>
        </w:rPr>
        <w:t xml:space="preserve"> do Estado, 2012. </w:t>
      </w:r>
      <w:proofErr w:type="gramStart"/>
      <w:r w:rsidRPr="00C14AA8">
        <w:rPr>
          <w:rStyle w:val="FootnoteTextChar"/>
          <w:rFonts w:eastAsia="SimSun"/>
        </w:rPr>
        <w:t>Budget Book 3.</w:t>
      </w:r>
      <w:proofErr w:type="gramEnd"/>
    </w:p>
  </w:footnote>
  <w:footnote w:id="10">
    <w:p w14:paraId="393F12B5" w14:textId="260B5151" w:rsidR="00B70075" w:rsidRDefault="00B70075">
      <w:pPr>
        <w:pStyle w:val="FootnoteText"/>
      </w:pPr>
      <w:r w:rsidRPr="00C14AA8">
        <w:rPr>
          <w:rStyle w:val="FootnoteReference"/>
        </w:rPr>
        <w:footnoteRef/>
      </w:r>
      <w:r w:rsidRPr="00C14AA8">
        <w:rPr>
          <w:rStyle w:val="FootnoteReference"/>
        </w:rPr>
        <w:t xml:space="preserve"> </w:t>
      </w:r>
      <w:r w:rsidRPr="00C14AA8">
        <w:t xml:space="preserve">The BESIK1 independent completion report is published on the </w:t>
      </w:r>
      <w:r>
        <w:t>DFAT</w:t>
      </w:r>
      <w:r w:rsidRPr="00C14AA8">
        <w:t xml:space="preserve"> website.</w:t>
      </w:r>
    </w:p>
  </w:footnote>
  <w:footnote w:id="11">
    <w:p w14:paraId="43BD7BE0" w14:textId="10ADEBBA" w:rsidR="00B70075" w:rsidRDefault="00B70075" w:rsidP="005D2586">
      <w:pPr>
        <w:pStyle w:val="FootnoteText"/>
      </w:pPr>
      <w:r w:rsidRPr="00C14AA8">
        <w:rPr>
          <w:rStyle w:val="FootnoteReference"/>
        </w:rPr>
        <w:footnoteRef/>
      </w:r>
      <w:r w:rsidRPr="00C14AA8">
        <w:rPr>
          <w:rStyle w:val="FootnoteReference"/>
        </w:rPr>
        <w:t xml:space="preserve"> </w:t>
      </w:r>
      <w:proofErr w:type="gramStart"/>
      <w:r w:rsidRPr="00C14AA8">
        <w:t>2009–10 District Health Survey.</w:t>
      </w:r>
      <w:proofErr w:type="gramEnd"/>
    </w:p>
  </w:footnote>
  <w:footnote w:id="12">
    <w:p w14:paraId="57461D36" w14:textId="559BA626" w:rsidR="00B70075" w:rsidRPr="004053E0" w:rsidRDefault="00B70075" w:rsidP="005D2586">
      <w:pPr>
        <w:widowControl w:val="0"/>
        <w:autoSpaceDE w:val="0"/>
        <w:autoSpaceDN w:val="0"/>
        <w:adjustRightInd w:val="0"/>
        <w:rPr>
          <w:rFonts w:ascii="Helvetica" w:eastAsiaTheme="minorHAnsi" w:hAnsi="Helvetica" w:cs="Helvetica"/>
          <w:sz w:val="28"/>
          <w:szCs w:val="28"/>
          <w:lang w:val="en-US" w:eastAsia="en-US"/>
        </w:rPr>
      </w:pPr>
      <w:r w:rsidRPr="00C14AA8">
        <w:rPr>
          <w:rStyle w:val="FootnoteReference"/>
        </w:rPr>
        <w:footnoteRef/>
      </w:r>
      <w:r w:rsidRPr="00C14AA8">
        <w:rPr>
          <w:rStyle w:val="FootnoteReference"/>
        </w:rPr>
        <w:t xml:space="preserve"> </w:t>
      </w:r>
      <w:hyperlink r:id="rId1" w:history="1">
        <w:r w:rsidRPr="00C14AA8">
          <w:rPr>
            <w:rStyle w:val="FootnoteTextChar"/>
            <w:rFonts w:eastAsia="SimSun"/>
          </w:rPr>
          <w:t>www.unicef.org/eapro/12205_12250.html</w:t>
        </w:r>
      </w:hyperlink>
    </w:p>
  </w:footnote>
  <w:footnote w:id="13">
    <w:p w14:paraId="37DB7C7B" w14:textId="76C0F16A" w:rsidR="00B70075" w:rsidRDefault="00B70075" w:rsidP="005D1FAD">
      <w:pPr>
        <w:pStyle w:val="FootnoteText"/>
      </w:pPr>
      <w:r>
        <w:rPr>
          <w:rStyle w:val="FootnoteReference"/>
        </w:rPr>
        <w:footnoteRef/>
      </w:r>
      <w:r>
        <w:t xml:space="preserve"> </w:t>
      </w:r>
      <w:proofErr w:type="gramStart"/>
      <w:r>
        <w:t>Seeds of Life Baseline Survey 2011.</w:t>
      </w:r>
      <w:proofErr w:type="gramEnd"/>
    </w:p>
  </w:footnote>
  <w:footnote w:id="14">
    <w:p w14:paraId="7A4348AE" w14:textId="6BA55399" w:rsidR="00B70075" w:rsidRDefault="00B70075" w:rsidP="005D1FAD">
      <w:pPr>
        <w:pStyle w:val="FootnoteText"/>
      </w:pPr>
      <w:r>
        <w:rPr>
          <w:rStyle w:val="FootnoteReference"/>
        </w:rPr>
        <w:footnoteRef/>
      </w:r>
      <w:r>
        <w:t xml:space="preserve"> Seeds of Life calculations for headline indicator #18, May 2013.</w:t>
      </w:r>
    </w:p>
  </w:footnote>
  <w:footnote w:id="15">
    <w:p w14:paraId="02483ECA" w14:textId="408513E3" w:rsidR="00B70075" w:rsidRDefault="00B70075" w:rsidP="005D1FAD">
      <w:pPr>
        <w:pStyle w:val="FootnoteText"/>
      </w:pPr>
      <w:r w:rsidRPr="00C14AA8">
        <w:rPr>
          <w:rStyle w:val="FootnoteReference"/>
        </w:rPr>
        <w:footnoteRef/>
      </w:r>
      <w:r w:rsidRPr="00C14AA8">
        <w:rPr>
          <w:rStyle w:val="FootnoteReference"/>
        </w:rPr>
        <w:t xml:space="preserve"> </w:t>
      </w:r>
      <w:r w:rsidRPr="00C14AA8">
        <w:t xml:space="preserve">Presentation by Gil </w:t>
      </w:r>
      <w:proofErr w:type="spellStart"/>
      <w:r w:rsidRPr="00C14AA8">
        <w:t>Alves</w:t>
      </w:r>
      <w:proofErr w:type="spellEnd"/>
      <w:r w:rsidRPr="00C14AA8">
        <w:t>, Director, Crops, Ministry of Agriculture and Fisheries, 11 March 2013.</w:t>
      </w:r>
    </w:p>
  </w:footnote>
  <w:footnote w:id="16">
    <w:p w14:paraId="289D7D5D" w14:textId="4C58B651" w:rsidR="00B70075" w:rsidRDefault="00B70075">
      <w:pPr>
        <w:pStyle w:val="FootnoteText"/>
      </w:pPr>
      <w:r>
        <w:rPr>
          <w:rStyle w:val="FootnoteReference"/>
        </w:rPr>
        <w:footnoteRef/>
      </w:r>
      <w:r>
        <w:t xml:space="preserve"> </w:t>
      </w:r>
      <w:proofErr w:type="gramStart"/>
      <w:r w:rsidRPr="001159CC">
        <w:t>Publication 3</w:t>
      </w:r>
      <w:r>
        <w:t>,</w:t>
      </w:r>
      <w:r w:rsidRPr="001159CC">
        <w:t xml:space="preserve"> Government of </w:t>
      </w:r>
      <w:r>
        <w:t>Timor-Leste</w:t>
      </w:r>
      <w:r w:rsidRPr="001159CC">
        <w:t>, 2010</w:t>
      </w:r>
      <w:r>
        <w:t xml:space="preserve">, </w:t>
      </w:r>
      <w:proofErr w:type="spellStart"/>
      <w:r w:rsidRPr="001159CC">
        <w:t>p</w:t>
      </w:r>
      <w:r>
        <w:t>.</w:t>
      </w:r>
      <w:r w:rsidRPr="001159CC">
        <w:t>xvi</w:t>
      </w:r>
      <w:proofErr w:type="spellEnd"/>
      <w:r>
        <w:t>.</w:t>
      </w:r>
      <w:proofErr w:type="gramEnd"/>
    </w:p>
  </w:footnote>
  <w:footnote w:id="17">
    <w:p w14:paraId="3CDF122F" w14:textId="02572CE1" w:rsidR="00B70075" w:rsidRDefault="00B70075">
      <w:pPr>
        <w:pStyle w:val="FootnoteText"/>
      </w:pPr>
      <w:r w:rsidRPr="00C14AA8">
        <w:rPr>
          <w:rStyle w:val="FootnoteReference"/>
        </w:rPr>
        <w:footnoteRef/>
      </w:r>
      <w:r w:rsidRPr="00C14AA8">
        <w:rPr>
          <w:rStyle w:val="FootnoteReference"/>
        </w:rPr>
        <w:t xml:space="preserve"> </w:t>
      </w:r>
      <w:r w:rsidRPr="00C14AA8">
        <w:t>The 2010 Census in Timor-Leste reports that four per cent of the population aged five years and over had reached a level of education equivalent to either polytechnic or diploma qualification or a university qualification. When compared with results from other countries, this suggests there is unsatisfied demand for higher education in Timor-Leste.</w:t>
      </w:r>
    </w:p>
  </w:footnote>
  <w:footnote w:id="18">
    <w:p w14:paraId="54C964CC" w14:textId="1ACBA85E" w:rsidR="00B70075" w:rsidRDefault="00B70075" w:rsidP="00C76651">
      <w:pPr>
        <w:pStyle w:val="FootnoteText"/>
      </w:pPr>
      <w:r w:rsidRPr="00C14AA8">
        <w:rPr>
          <w:rStyle w:val="FootnoteReference"/>
        </w:rPr>
        <w:footnoteRef/>
      </w:r>
      <w:r w:rsidRPr="00C14AA8">
        <w:rPr>
          <w:rStyle w:val="FootnoteReference"/>
        </w:rPr>
        <w:t xml:space="preserve"> </w:t>
      </w:r>
      <w:r w:rsidRPr="00C14AA8">
        <w:t xml:space="preserve">Stephanie </w:t>
      </w:r>
      <w:proofErr w:type="spellStart"/>
      <w:r w:rsidRPr="00C14AA8">
        <w:t>Ortoleva</w:t>
      </w:r>
      <w:proofErr w:type="spellEnd"/>
      <w:r w:rsidRPr="00C14AA8">
        <w:t xml:space="preserve"> and Hope Lewis, 2012, </w:t>
      </w:r>
      <w:proofErr w:type="gramStart"/>
      <w:r w:rsidRPr="00C14AA8">
        <w:rPr>
          <w:i/>
        </w:rPr>
        <w:t>Forgotten</w:t>
      </w:r>
      <w:proofErr w:type="gramEnd"/>
      <w:r w:rsidRPr="00C14AA8">
        <w:rPr>
          <w:i/>
        </w:rPr>
        <w:t xml:space="preserve"> sisters: a report on violence against women with disabilities: an overview of its nature, scope, causes and consequences</w:t>
      </w:r>
      <w:r w:rsidRPr="00C14AA8">
        <w:t>, School of Law Faculty Publications, Paper 184.</w:t>
      </w:r>
    </w:p>
  </w:footnote>
  <w:footnote w:id="19">
    <w:p w14:paraId="4D2CCA23" w14:textId="77777777" w:rsidR="00B70075" w:rsidRPr="00071B95" w:rsidRDefault="00B70075" w:rsidP="00071B95">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87102" w14:textId="04884B7B" w:rsidR="00B70075" w:rsidRDefault="00B70075">
    <w:pPr>
      <w:pStyle w:val="Header"/>
    </w:pPr>
    <w:r>
      <w:rPr>
        <w:noProof/>
      </w:rPr>
      <w:drawing>
        <wp:anchor distT="0" distB="0" distL="114300" distR="114300" simplePos="0" relativeHeight="251673600" behindDoc="0" locked="0" layoutInCell="1" allowOverlap="1" wp14:anchorId="7BC45DC9" wp14:editId="66F67E0F">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0F00E" w14:textId="3A721BCF" w:rsidR="00B70075" w:rsidRDefault="00B70075" w:rsidP="00A36C39"/>
  <w:p w14:paraId="17060DF3" w14:textId="0B81BFCE" w:rsidR="00B70075" w:rsidRDefault="00B70075" w:rsidP="00A36C39">
    <w:r>
      <w:rPr>
        <w:noProof/>
      </w:rPr>
      <w:drawing>
        <wp:anchor distT="0" distB="0" distL="114300" distR="114300" simplePos="0" relativeHeight="251671552" behindDoc="0" locked="0" layoutInCell="1" allowOverlap="1" wp14:anchorId="0BA7EF79" wp14:editId="7A0BF536">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p w14:paraId="5E51D3FB" w14:textId="77777777" w:rsidR="00B70075" w:rsidRDefault="00B70075" w:rsidP="00A36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0491EAE"/>
    <w:multiLevelType w:val="hybridMultilevel"/>
    <w:tmpl w:val="3D60F7A6"/>
    <w:lvl w:ilvl="0" w:tplc="3A761E5E">
      <w:start w:val="1"/>
      <w:numFmt w:val="lowerRoman"/>
      <w:lvlText w:val="(%1)"/>
      <w:lvlJc w:val="left"/>
      <w:pPr>
        <w:ind w:left="428" w:hanging="360"/>
      </w:pPr>
      <w:rPr>
        <w:color w:val="auto"/>
        <w:sz w:val="24"/>
      </w:rPr>
    </w:lvl>
    <w:lvl w:ilvl="1" w:tplc="3A761E5E">
      <w:start w:val="1"/>
      <w:numFmt w:val="lowerRoman"/>
      <w:lvlText w:val="(%2)"/>
      <w:lvlJc w:val="left"/>
      <w:pPr>
        <w:ind w:left="1148" w:hanging="360"/>
      </w:pPr>
    </w:lvl>
    <w:lvl w:ilvl="2" w:tplc="0C090005">
      <w:start w:val="1"/>
      <w:numFmt w:val="bullet"/>
      <w:lvlText w:val=""/>
      <w:lvlJc w:val="left"/>
      <w:pPr>
        <w:ind w:left="1868" w:hanging="360"/>
      </w:pPr>
      <w:rPr>
        <w:rFonts w:ascii="Wingdings" w:hAnsi="Wingdings" w:hint="default"/>
      </w:rPr>
    </w:lvl>
    <w:lvl w:ilvl="3" w:tplc="0C090001">
      <w:start w:val="1"/>
      <w:numFmt w:val="bullet"/>
      <w:lvlText w:val=""/>
      <w:lvlJc w:val="left"/>
      <w:pPr>
        <w:ind w:left="2588" w:hanging="360"/>
      </w:pPr>
      <w:rPr>
        <w:rFonts w:ascii="Symbol" w:hAnsi="Symbol" w:hint="default"/>
      </w:rPr>
    </w:lvl>
    <w:lvl w:ilvl="4" w:tplc="0C090003">
      <w:start w:val="1"/>
      <w:numFmt w:val="bullet"/>
      <w:lvlText w:val="o"/>
      <w:lvlJc w:val="left"/>
      <w:pPr>
        <w:ind w:left="3308" w:hanging="360"/>
      </w:pPr>
      <w:rPr>
        <w:rFonts w:ascii="Courier New" w:hAnsi="Courier New" w:cs="Courier New" w:hint="default"/>
      </w:rPr>
    </w:lvl>
    <w:lvl w:ilvl="5" w:tplc="0C090005">
      <w:start w:val="1"/>
      <w:numFmt w:val="bullet"/>
      <w:lvlText w:val=""/>
      <w:lvlJc w:val="left"/>
      <w:pPr>
        <w:ind w:left="4028" w:hanging="360"/>
      </w:pPr>
      <w:rPr>
        <w:rFonts w:ascii="Wingdings" w:hAnsi="Wingdings" w:hint="default"/>
      </w:rPr>
    </w:lvl>
    <w:lvl w:ilvl="6" w:tplc="0C090001">
      <w:start w:val="1"/>
      <w:numFmt w:val="bullet"/>
      <w:lvlText w:val=""/>
      <w:lvlJc w:val="left"/>
      <w:pPr>
        <w:ind w:left="4748" w:hanging="360"/>
      </w:pPr>
      <w:rPr>
        <w:rFonts w:ascii="Symbol" w:hAnsi="Symbol" w:hint="default"/>
      </w:rPr>
    </w:lvl>
    <w:lvl w:ilvl="7" w:tplc="0C090003">
      <w:start w:val="1"/>
      <w:numFmt w:val="bullet"/>
      <w:lvlText w:val="o"/>
      <w:lvlJc w:val="left"/>
      <w:pPr>
        <w:ind w:left="5468" w:hanging="360"/>
      </w:pPr>
      <w:rPr>
        <w:rFonts w:ascii="Courier New" w:hAnsi="Courier New" w:cs="Courier New" w:hint="default"/>
      </w:rPr>
    </w:lvl>
    <w:lvl w:ilvl="8" w:tplc="0C090005">
      <w:start w:val="1"/>
      <w:numFmt w:val="bullet"/>
      <w:lvlText w:val=""/>
      <w:lvlJc w:val="left"/>
      <w:pPr>
        <w:ind w:left="6188" w:hanging="360"/>
      </w:pPr>
      <w:rPr>
        <w:rFonts w:ascii="Wingdings" w:hAnsi="Wingdings" w:hint="default"/>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1D797D"/>
    <w:multiLevelType w:val="hybridMultilevel"/>
    <w:tmpl w:val="1506CA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725276"/>
    <w:multiLevelType w:val="hybridMultilevel"/>
    <w:tmpl w:val="83D88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8C360C"/>
    <w:multiLevelType w:val="hybridMultilevel"/>
    <w:tmpl w:val="3F5E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F7506"/>
    <w:multiLevelType w:val="hybridMultilevel"/>
    <w:tmpl w:val="6DAA9612"/>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8">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7887318"/>
    <w:multiLevelType w:val="hybridMultilevel"/>
    <w:tmpl w:val="E7BCBC2A"/>
    <w:lvl w:ilvl="0" w:tplc="2252048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0">
    <w:nsid w:val="185E7A7F"/>
    <w:multiLevelType w:val="hybridMultilevel"/>
    <w:tmpl w:val="B4FE0540"/>
    <w:lvl w:ilvl="0" w:tplc="A06CB840">
      <w:start w:val="1"/>
      <w:numFmt w:val="decimal"/>
      <w:pStyle w:val="bodynumbered"/>
      <w:lvlText w:val="%1."/>
      <w:lvlJc w:val="left"/>
      <w:pPr>
        <w:ind w:left="360" w:hanging="360"/>
      </w:pPr>
      <w:rPr>
        <w:b w:val="0"/>
        <w:color w:val="4F81BD" w:themeColor="accent1"/>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E8E6E72"/>
    <w:multiLevelType w:val="hybridMultilevel"/>
    <w:tmpl w:val="A6E88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B13354"/>
    <w:multiLevelType w:val="hybridMultilevel"/>
    <w:tmpl w:val="CCE06464"/>
    <w:lvl w:ilvl="0" w:tplc="0218CCA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1F2B798C"/>
    <w:multiLevelType w:val="hybridMultilevel"/>
    <w:tmpl w:val="3A38F928"/>
    <w:lvl w:ilvl="0" w:tplc="A120C8FE">
      <w:start w:val="1"/>
      <w:numFmt w:val="bullet"/>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4">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5">
    <w:nsid w:val="21A329A1"/>
    <w:multiLevelType w:val="hybridMultilevel"/>
    <w:tmpl w:val="7B5E5C00"/>
    <w:lvl w:ilvl="0" w:tplc="9CF8869E">
      <w:start w:val="1"/>
      <w:numFmt w:val="bullet"/>
      <w:lvlText w:val="­"/>
      <w:lvlJc w:val="left"/>
      <w:pPr>
        <w:ind w:left="1080" w:hanging="360"/>
      </w:pPr>
      <w:rPr>
        <w:rFonts w:ascii="Courier New"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nsid w:val="29C23B5B"/>
    <w:multiLevelType w:val="hybridMultilevel"/>
    <w:tmpl w:val="7EF29AD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21D4EB3"/>
    <w:multiLevelType w:val="hybridMultilevel"/>
    <w:tmpl w:val="E258EB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B52EE3"/>
    <w:multiLevelType w:val="hybridMultilevel"/>
    <w:tmpl w:val="E04A15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6B2F15"/>
    <w:multiLevelType w:val="hybridMultilevel"/>
    <w:tmpl w:val="3E188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904DD4"/>
    <w:multiLevelType w:val="hybridMultilevel"/>
    <w:tmpl w:val="06902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F0325E2"/>
    <w:multiLevelType w:val="hybridMultilevel"/>
    <w:tmpl w:val="F428391A"/>
    <w:lvl w:ilvl="0" w:tplc="9CF8869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DF1C10"/>
    <w:multiLevelType w:val="hybridMultilevel"/>
    <w:tmpl w:val="A14C8C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DA906BB"/>
    <w:multiLevelType w:val="hybridMultilevel"/>
    <w:tmpl w:val="C1F2FB46"/>
    <w:lvl w:ilvl="0" w:tplc="0409000F">
      <w:start w:val="1"/>
      <w:numFmt w:val="bullet"/>
      <w:lvlText w:val=""/>
      <w:lvlJc w:val="left"/>
      <w:pPr>
        <w:ind w:left="544" w:hanging="360"/>
      </w:pPr>
      <w:rPr>
        <w:rFonts w:ascii="Wingdings" w:hAnsi="Wingdings" w:hint="default"/>
      </w:rPr>
    </w:lvl>
    <w:lvl w:ilvl="1" w:tplc="04090019" w:tentative="1">
      <w:start w:val="1"/>
      <w:numFmt w:val="bullet"/>
      <w:lvlText w:val="o"/>
      <w:lvlJc w:val="left"/>
      <w:pPr>
        <w:ind w:left="1264" w:hanging="360"/>
      </w:pPr>
      <w:rPr>
        <w:rFonts w:ascii="Courier New" w:hAnsi="Courier New" w:cs="Symbol" w:hint="default"/>
      </w:rPr>
    </w:lvl>
    <w:lvl w:ilvl="2" w:tplc="0409001B" w:tentative="1">
      <w:start w:val="1"/>
      <w:numFmt w:val="bullet"/>
      <w:lvlText w:val=""/>
      <w:lvlJc w:val="left"/>
      <w:pPr>
        <w:ind w:left="1984" w:hanging="360"/>
      </w:pPr>
      <w:rPr>
        <w:rFonts w:ascii="Wingdings" w:hAnsi="Wingdings" w:hint="default"/>
      </w:rPr>
    </w:lvl>
    <w:lvl w:ilvl="3" w:tplc="0409000F" w:tentative="1">
      <w:start w:val="1"/>
      <w:numFmt w:val="bullet"/>
      <w:lvlText w:val=""/>
      <w:lvlJc w:val="left"/>
      <w:pPr>
        <w:ind w:left="2704" w:hanging="360"/>
      </w:pPr>
      <w:rPr>
        <w:rFonts w:ascii="Symbol" w:hAnsi="Symbol" w:hint="default"/>
      </w:rPr>
    </w:lvl>
    <w:lvl w:ilvl="4" w:tplc="04090019" w:tentative="1">
      <w:start w:val="1"/>
      <w:numFmt w:val="bullet"/>
      <w:lvlText w:val="o"/>
      <w:lvlJc w:val="left"/>
      <w:pPr>
        <w:ind w:left="3424" w:hanging="360"/>
      </w:pPr>
      <w:rPr>
        <w:rFonts w:ascii="Courier New" w:hAnsi="Courier New" w:cs="Symbol" w:hint="default"/>
      </w:rPr>
    </w:lvl>
    <w:lvl w:ilvl="5" w:tplc="0409001B" w:tentative="1">
      <w:start w:val="1"/>
      <w:numFmt w:val="bullet"/>
      <w:lvlText w:val=""/>
      <w:lvlJc w:val="left"/>
      <w:pPr>
        <w:ind w:left="4144" w:hanging="360"/>
      </w:pPr>
      <w:rPr>
        <w:rFonts w:ascii="Wingdings" w:hAnsi="Wingdings" w:hint="default"/>
      </w:rPr>
    </w:lvl>
    <w:lvl w:ilvl="6" w:tplc="0409000F" w:tentative="1">
      <w:start w:val="1"/>
      <w:numFmt w:val="bullet"/>
      <w:lvlText w:val=""/>
      <w:lvlJc w:val="left"/>
      <w:pPr>
        <w:ind w:left="4864" w:hanging="360"/>
      </w:pPr>
      <w:rPr>
        <w:rFonts w:ascii="Symbol" w:hAnsi="Symbol" w:hint="default"/>
      </w:rPr>
    </w:lvl>
    <w:lvl w:ilvl="7" w:tplc="04090019" w:tentative="1">
      <w:start w:val="1"/>
      <w:numFmt w:val="bullet"/>
      <w:lvlText w:val="o"/>
      <w:lvlJc w:val="left"/>
      <w:pPr>
        <w:ind w:left="5584" w:hanging="360"/>
      </w:pPr>
      <w:rPr>
        <w:rFonts w:ascii="Courier New" w:hAnsi="Courier New" w:cs="Symbol" w:hint="default"/>
      </w:rPr>
    </w:lvl>
    <w:lvl w:ilvl="8" w:tplc="0409001B" w:tentative="1">
      <w:start w:val="1"/>
      <w:numFmt w:val="bullet"/>
      <w:lvlText w:val=""/>
      <w:lvlJc w:val="left"/>
      <w:pPr>
        <w:ind w:left="6304" w:hanging="360"/>
      </w:pPr>
      <w:rPr>
        <w:rFonts w:ascii="Wingdings" w:hAnsi="Wingdings" w:hint="default"/>
      </w:rPr>
    </w:lvl>
  </w:abstractNum>
  <w:abstractNum w:abstractNumId="28">
    <w:nsid w:val="4DB152D3"/>
    <w:multiLevelType w:val="hybridMultilevel"/>
    <w:tmpl w:val="6D8CE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F2141DF"/>
    <w:multiLevelType w:val="hybridMultilevel"/>
    <w:tmpl w:val="77B4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4">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A767823"/>
    <w:multiLevelType w:val="hybridMultilevel"/>
    <w:tmpl w:val="5408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7">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C82698"/>
    <w:multiLevelType w:val="hybridMultilevel"/>
    <w:tmpl w:val="965CB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6795C2D"/>
    <w:multiLevelType w:val="hybridMultilevel"/>
    <w:tmpl w:val="D5583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DA5A2E"/>
    <w:multiLevelType w:val="hybridMultilevel"/>
    <w:tmpl w:val="9AB0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BF669D1"/>
    <w:multiLevelType w:val="hybridMultilevel"/>
    <w:tmpl w:val="94120C54"/>
    <w:lvl w:ilvl="0" w:tplc="F55A3768">
      <w:start w:val="5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286CAA"/>
    <w:multiLevelType w:val="hybridMultilevel"/>
    <w:tmpl w:val="40B000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7A528B"/>
    <w:multiLevelType w:val="hybridMultilevel"/>
    <w:tmpl w:val="F356F33E"/>
    <w:lvl w:ilvl="0" w:tplc="9BBAB958">
      <w:start w:val="1"/>
      <w:numFmt w:val="bullet"/>
      <w:pStyle w:val="ListBullet"/>
      <w:lvlText w:val="&gt;"/>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2316"/>
        </w:tabs>
        <w:ind w:left="2316" w:hanging="360"/>
      </w:pPr>
      <w:rPr>
        <w:rFonts w:ascii="Courier New" w:hAnsi="Courier New" w:cs="Courier New" w:hint="default"/>
      </w:rPr>
    </w:lvl>
    <w:lvl w:ilvl="2" w:tplc="FFFFFFFF" w:tentative="1">
      <w:start w:val="1"/>
      <w:numFmt w:val="bullet"/>
      <w:lvlText w:val=""/>
      <w:lvlJc w:val="left"/>
      <w:pPr>
        <w:tabs>
          <w:tab w:val="num" w:pos="3036"/>
        </w:tabs>
        <w:ind w:left="3036" w:hanging="360"/>
      </w:pPr>
      <w:rPr>
        <w:rFonts w:ascii="Wingdings" w:hAnsi="Wingdings" w:hint="default"/>
      </w:rPr>
    </w:lvl>
    <w:lvl w:ilvl="3" w:tplc="FFFFFFFF" w:tentative="1">
      <w:start w:val="1"/>
      <w:numFmt w:val="bullet"/>
      <w:lvlText w:val=""/>
      <w:lvlJc w:val="left"/>
      <w:pPr>
        <w:tabs>
          <w:tab w:val="num" w:pos="3756"/>
        </w:tabs>
        <w:ind w:left="3756" w:hanging="360"/>
      </w:pPr>
      <w:rPr>
        <w:rFonts w:ascii="Symbol" w:hAnsi="Symbol" w:hint="default"/>
      </w:rPr>
    </w:lvl>
    <w:lvl w:ilvl="4" w:tplc="FFFFFFFF" w:tentative="1">
      <w:start w:val="1"/>
      <w:numFmt w:val="bullet"/>
      <w:lvlText w:val="o"/>
      <w:lvlJc w:val="left"/>
      <w:pPr>
        <w:tabs>
          <w:tab w:val="num" w:pos="4476"/>
        </w:tabs>
        <w:ind w:left="4476" w:hanging="360"/>
      </w:pPr>
      <w:rPr>
        <w:rFonts w:ascii="Courier New" w:hAnsi="Courier New" w:cs="Courier New" w:hint="default"/>
      </w:rPr>
    </w:lvl>
    <w:lvl w:ilvl="5" w:tplc="FFFFFFFF" w:tentative="1">
      <w:start w:val="1"/>
      <w:numFmt w:val="bullet"/>
      <w:lvlText w:val=""/>
      <w:lvlJc w:val="left"/>
      <w:pPr>
        <w:tabs>
          <w:tab w:val="num" w:pos="5196"/>
        </w:tabs>
        <w:ind w:left="5196" w:hanging="360"/>
      </w:pPr>
      <w:rPr>
        <w:rFonts w:ascii="Wingdings" w:hAnsi="Wingdings" w:hint="default"/>
      </w:rPr>
    </w:lvl>
    <w:lvl w:ilvl="6" w:tplc="FFFFFFFF" w:tentative="1">
      <w:start w:val="1"/>
      <w:numFmt w:val="bullet"/>
      <w:lvlText w:val=""/>
      <w:lvlJc w:val="left"/>
      <w:pPr>
        <w:tabs>
          <w:tab w:val="num" w:pos="5916"/>
        </w:tabs>
        <w:ind w:left="5916" w:hanging="360"/>
      </w:pPr>
      <w:rPr>
        <w:rFonts w:ascii="Symbol" w:hAnsi="Symbol" w:hint="default"/>
      </w:rPr>
    </w:lvl>
    <w:lvl w:ilvl="7" w:tplc="FFFFFFFF" w:tentative="1">
      <w:start w:val="1"/>
      <w:numFmt w:val="bullet"/>
      <w:lvlText w:val="o"/>
      <w:lvlJc w:val="left"/>
      <w:pPr>
        <w:tabs>
          <w:tab w:val="num" w:pos="6636"/>
        </w:tabs>
        <w:ind w:left="6636" w:hanging="360"/>
      </w:pPr>
      <w:rPr>
        <w:rFonts w:ascii="Courier New" w:hAnsi="Courier New" w:cs="Courier New" w:hint="default"/>
      </w:rPr>
    </w:lvl>
    <w:lvl w:ilvl="8" w:tplc="FFFFFFFF" w:tentative="1">
      <w:start w:val="1"/>
      <w:numFmt w:val="bullet"/>
      <w:lvlText w:val=""/>
      <w:lvlJc w:val="left"/>
      <w:pPr>
        <w:tabs>
          <w:tab w:val="num" w:pos="7356"/>
        </w:tabs>
        <w:ind w:left="7356" w:hanging="360"/>
      </w:pPr>
      <w:rPr>
        <w:rFonts w:ascii="Wingdings" w:hAnsi="Wingdings" w:hint="default"/>
      </w:rPr>
    </w:lvl>
  </w:abstractNum>
  <w:num w:numId="1">
    <w:abstractNumId w:val="33"/>
  </w:num>
  <w:num w:numId="2">
    <w:abstractNumId w:val="36"/>
  </w:num>
  <w:num w:numId="3">
    <w:abstractNumId w:val="13"/>
  </w:num>
  <w:num w:numId="4">
    <w:abstractNumId w:val="31"/>
  </w:num>
  <w:num w:numId="5">
    <w:abstractNumId w:val="8"/>
  </w:num>
  <w:num w:numId="6">
    <w:abstractNumId w:val="30"/>
  </w:num>
  <w:num w:numId="7">
    <w:abstractNumId w:val="26"/>
  </w:num>
  <w:num w:numId="8">
    <w:abstractNumId w:val="21"/>
  </w:num>
  <w:num w:numId="9">
    <w:abstractNumId w:val="34"/>
  </w:num>
  <w:num w:numId="10">
    <w:abstractNumId w:val="4"/>
  </w:num>
  <w:num w:numId="11">
    <w:abstractNumId w:val="29"/>
  </w:num>
  <w:num w:numId="12">
    <w:abstractNumId w:val="37"/>
  </w:num>
  <w:num w:numId="13">
    <w:abstractNumId w:val="14"/>
  </w:num>
  <w:num w:numId="14">
    <w:abstractNumId w:val="41"/>
  </w:num>
  <w:num w:numId="15">
    <w:abstractNumId w:val="44"/>
  </w:num>
  <w:num w:numId="16">
    <w:abstractNumId w:val="18"/>
  </w:num>
  <w:num w:numId="17">
    <w:abstractNumId w:val="0"/>
  </w:num>
  <w:num w:numId="18">
    <w:abstractNumId w:val="2"/>
  </w:num>
  <w:num w:numId="19">
    <w:abstractNumId w:val="11"/>
  </w:num>
  <w:num w:numId="20">
    <w:abstractNumId w:val="38"/>
  </w:num>
  <w:num w:numId="21">
    <w:abstractNumId w:val="12"/>
  </w:num>
  <w:num w:numId="22">
    <w:abstractNumId w:val="7"/>
  </w:num>
  <w:num w:numId="23">
    <w:abstractNumId w:val="43"/>
  </w:num>
  <w:num w:numId="24">
    <w:abstractNumId w:val="15"/>
  </w:num>
  <w:num w:numId="25">
    <w:abstractNumId w:val="5"/>
  </w:num>
  <w:num w:numId="26">
    <w:abstractNumId w:val="24"/>
  </w:num>
  <w:num w:numId="27">
    <w:abstractNumId w:val="17"/>
  </w:num>
  <w:num w:numId="28">
    <w:abstractNumId w:val="10"/>
  </w:num>
  <w:num w:numId="29">
    <w:abstractNumId w:val="19"/>
  </w:num>
  <w:num w:numId="30">
    <w:abstractNumId w:val="20"/>
  </w:num>
  <w:num w:numId="31">
    <w:abstractNumId w:val="27"/>
  </w:num>
  <w:num w:numId="32">
    <w:abstractNumId w:val="3"/>
  </w:num>
  <w:num w:numId="33">
    <w:abstractNumId w:val="25"/>
  </w:num>
  <w:num w:numId="34">
    <w:abstractNumId w:val="42"/>
  </w:num>
  <w:num w:numId="35">
    <w:abstractNumId w:val="44"/>
  </w:num>
  <w:num w:numId="36">
    <w:abstractNumId w:val="34"/>
  </w:num>
  <w:num w:numId="37">
    <w:abstractNumId w:val="34"/>
  </w:num>
  <w:num w:numId="38">
    <w:abstractNumId w:val="34"/>
  </w:num>
  <w:num w:numId="39">
    <w:abstractNumId w:val="44"/>
  </w:num>
  <w:num w:numId="40">
    <w:abstractNumId w:val="44"/>
  </w:num>
  <w:num w:numId="41">
    <w:abstractNumId w:val="34"/>
  </w:num>
  <w:num w:numId="42">
    <w:abstractNumId w:val="9"/>
  </w:num>
  <w:num w:numId="43">
    <w:abstractNumId w:val="44"/>
  </w:num>
  <w:num w:numId="44">
    <w:abstractNumId w:val="34"/>
  </w:num>
  <w:num w:numId="45">
    <w:abstractNumId w:val="34"/>
  </w:num>
  <w:num w:numId="46">
    <w:abstractNumId w:val="39"/>
  </w:num>
  <w:num w:numId="47">
    <w:abstractNumId w:val="44"/>
  </w:num>
  <w:num w:numId="48">
    <w:abstractNumId w:val="44"/>
  </w:num>
  <w:num w:numId="49">
    <w:abstractNumId w:val="34"/>
  </w:num>
  <w:num w:numId="50">
    <w:abstractNumId w:val="34"/>
  </w:num>
  <w:num w:numId="5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28"/>
  </w:num>
  <w:num w:numId="53">
    <w:abstractNumId w:val="44"/>
  </w:num>
  <w:num w:numId="54">
    <w:abstractNumId w:val="1"/>
  </w:num>
  <w:num w:numId="55">
    <w:abstractNumId w:val="35"/>
  </w:num>
  <w:num w:numId="56">
    <w:abstractNumId w:val="22"/>
  </w:num>
  <w:num w:numId="57">
    <w:abstractNumId w:val="23"/>
  </w:num>
  <w:num w:numId="58">
    <w:abstractNumId w:val="6"/>
  </w:num>
  <w:num w:numId="59">
    <w:abstractNumId w:val="32"/>
  </w:num>
  <w:num w:numId="6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NotTrackMove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0CA2"/>
    <w:rsid w:val="000028FF"/>
    <w:rsid w:val="000039CF"/>
    <w:rsid w:val="00005BF9"/>
    <w:rsid w:val="00006E30"/>
    <w:rsid w:val="000123EE"/>
    <w:rsid w:val="00012408"/>
    <w:rsid w:val="000128FC"/>
    <w:rsid w:val="00012DF8"/>
    <w:rsid w:val="00013383"/>
    <w:rsid w:val="000143D9"/>
    <w:rsid w:val="0001462C"/>
    <w:rsid w:val="000148F4"/>
    <w:rsid w:val="00015C68"/>
    <w:rsid w:val="00020121"/>
    <w:rsid w:val="00021A9E"/>
    <w:rsid w:val="00022320"/>
    <w:rsid w:val="00025588"/>
    <w:rsid w:val="000275A9"/>
    <w:rsid w:val="00030111"/>
    <w:rsid w:val="00031100"/>
    <w:rsid w:val="0004191D"/>
    <w:rsid w:val="0004217E"/>
    <w:rsid w:val="00042E4E"/>
    <w:rsid w:val="0004349E"/>
    <w:rsid w:val="0005017A"/>
    <w:rsid w:val="00052CDF"/>
    <w:rsid w:val="00052D1A"/>
    <w:rsid w:val="00055482"/>
    <w:rsid w:val="00057D58"/>
    <w:rsid w:val="0006062A"/>
    <w:rsid w:val="00062AC1"/>
    <w:rsid w:val="00064059"/>
    <w:rsid w:val="0006535F"/>
    <w:rsid w:val="00067BE2"/>
    <w:rsid w:val="00071B95"/>
    <w:rsid w:val="000745E2"/>
    <w:rsid w:val="000773FD"/>
    <w:rsid w:val="000774FD"/>
    <w:rsid w:val="000848CF"/>
    <w:rsid w:val="00084B52"/>
    <w:rsid w:val="0008613A"/>
    <w:rsid w:val="00086B8E"/>
    <w:rsid w:val="00087B62"/>
    <w:rsid w:val="00092F24"/>
    <w:rsid w:val="00094102"/>
    <w:rsid w:val="00094C42"/>
    <w:rsid w:val="0009520F"/>
    <w:rsid w:val="00095A2B"/>
    <w:rsid w:val="000979A0"/>
    <w:rsid w:val="000A0224"/>
    <w:rsid w:val="000A0A48"/>
    <w:rsid w:val="000A1618"/>
    <w:rsid w:val="000B105D"/>
    <w:rsid w:val="000B1C90"/>
    <w:rsid w:val="000B3121"/>
    <w:rsid w:val="000B3DFA"/>
    <w:rsid w:val="000B4334"/>
    <w:rsid w:val="000C10F0"/>
    <w:rsid w:val="000C13D5"/>
    <w:rsid w:val="000C1A15"/>
    <w:rsid w:val="000C20B8"/>
    <w:rsid w:val="000C29BF"/>
    <w:rsid w:val="000C2CE6"/>
    <w:rsid w:val="000C6080"/>
    <w:rsid w:val="000C60A8"/>
    <w:rsid w:val="000D063A"/>
    <w:rsid w:val="000D0E53"/>
    <w:rsid w:val="000D1F7A"/>
    <w:rsid w:val="000D22C3"/>
    <w:rsid w:val="000D3CBA"/>
    <w:rsid w:val="000D50DA"/>
    <w:rsid w:val="000D7CC9"/>
    <w:rsid w:val="000E094C"/>
    <w:rsid w:val="000E1150"/>
    <w:rsid w:val="000E1462"/>
    <w:rsid w:val="000E326A"/>
    <w:rsid w:val="000E5B37"/>
    <w:rsid w:val="000E7297"/>
    <w:rsid w:val="000F157F"/>
    <w:rsid w:val="000F15A6"/>
    <w:rsid w:val="000F19C9"/>
    <w:rsid w:val="000F1E0E"/>
    <w:rsid w:val="000F3A06"/>
    <w:rsid w:val="000F4341"/>
    <w:rsid w:val="000F5EAD"/>
    <w:rsid w:val="000F7C54"/>
    <w:rsid w:val="00100AA2"/>
    <w:rsid w:val="001074F8"/>
    <w:rsid w:val="00110AEE"/>
    <w:rsid w:val="00110E8E"/>
    <w:rsid w:val="00111A4C"/>
    <w:rsid w:val="00112E97"/>
    <w:rsid w:val="001159CC"/>
    <w:rsid w:val="00116D82"/>
    <w:rsid w:val="0012041D"/>
    <w:rsid w:val="00120FC7"/>
    <w:rsid w:val="0012171C"/>
    <w:rsid w:val="001218C6"/>
    <w:rsid w:val="00126598"/>
    <w:rsid w:val="001326AD"/>
    <w:rsid w:val="0013348E"/>
    <w:rsid w:val="001341CA"/>
    <w:rsid w:val="00135667"/>
    <w:rsid w:val="00135824"/>
    <w:rsid w:val="001366B4"/>
    <w:rsid w:val="0014167E"/>
    <w:rsid w:val="00141A30"/>
    <w:rsid w:val="00143C5D"/>
    <w:rsid w:val="0014411B"/>
    <w:rsid w:val="00146078"/>
    <w:rsid w:val="001522C7"/>
    <w:rsid w:val="0015543C"/>
    <w:rsid w:val="00155E7D"/>
    <w:rsid w:val="001560A3"/>
    <w:rsid w:val="00160303"/>
    <w:rsid w:val="001612CE"/>
    <w:rsid w:val="0016544D"/>
    <w:rsid w:val="001654D7"/>
    <w:rsid w:val="00170A4D"/>
    <w:rsid w:val="00173011"/>
    <w:rsid w:val="00173C6E"/>
    <w:rsid w:val="00175E4F"/>
    <w:rsid w:val="001761FD"/>
    <w:rsid w:val="00180B19"/>
    <w:rsid w:val="0018196F"/>
    <w:rsid w:val="00181C28"/>
    <w:rsid w:val="001829BB"/>
    <w:rsid w:val="00182DC9"/>
    <w:rsid w:val="00183EF7"/>
    <w:rsid w:val="001841AD"/>
    <w:rsid w:val="0018468F"/>
    <w:rsid w:val="00184C7E"/>
    <w:rsid w:val="00185879"/>
    <w:rsid w:val="00187EA1"/>
    <w:rsid w:val="00190A79"/>
    <w:rsid w:val="00191284"/>
    <w:rsid w:val="00192498"/>
    <w:rsid w:val="001943C7"/>
    <w:rsid w:val="00194806"/>
    <w:rsid w:val="00197260"/>
    <w:rsid w:val="001A2C9A"/>
    <w:rsid w:val="001A4BBF"/>
    <w:rsid w:val="001A64F4"/>
    <w:rsid w:val="001A6978"/>
    <w:rsid w:val="001A7F98"/>
    <w:rsid w:val="001B1A0C"/>
    <w:rsid w:val="001B2B71"/>
    <w:rsid w:val="001B3631"/>
    <w:rsid w:val="001B3C34"/>
    <w:rsid w:val="001B7949"/>
    <w:rsid w:val="001C13DA"/>
    <w:rsid w:val="001C1EA0"/>
    <w:rsid w:val="001C507E"/>
    <w:rsid w:val="001C700E"/>
    <w:rsid w:val="001C7117"/>
    <w:rsid w:val="001D0F3E"/>
    <w:rsid w:val="001D136D"/>
    <w:rsid w:val="001D20FC"/>
    <w:rsid w:val="001D210A"/>
    <w:rsid w:val="001D48CF"/>
    <w:rsid w:val="001D665B"/>
    <w:rsid w:val="001D7881"/>
    <w:rsid w:val="001E08DA"/>
    <w:rsid w:val="001E0F0E"/>
    <w:rsid w:val="001E1EEE"/>
    <w:rsid w:val="001E2E5D"/>
    <w:rsid w:val="001E3DDE"/>
    <w:rsid w:val="001F0B4A"/>
    <w:rsid w:val="001F39BA"/>
    <w:rsid w:val="001F55A2"/>
    <w:rsid w:val="001F7071"/>
    <w:rsid w:val="001F7480"/>
    <w:rsid w:val="002001BD"/>
    <w:rsid w:val="00200740"/>
    <w:rsid w:val="002033E4"/>
    <w:rsid w:val="00206585"/>
    <w:rsid w:val="002114D9"/>
    <w:rsid w:val="002115BD"/>
    <w:rsid w:val="00212F25"/>
    <w:rsid w:val="0021365C"/>
    <w:rsid w:val="00213662"/>
    <w:rsid w:val="002142F4"/>
    <w:rsid w:val="0021443E"/>
    <w:rsid w:val="00214B5B"/>
    <w:rsid w:val="002161E5"/>
    <w:rsid w:val="0021665A"/>
    <w:rsid w:val="00220C26"/>
    <w:rsid w:val="00222850"/>
    <w:rsid w:val="00223155"/>
    <w:rsid w:val="00225044"/>
    <w:rsid w:val="00230C4A"/>
    <w:rsid w:val="00231D45"/>
    <w:rsid w:val="00232BD1"/>
    <w:rsid w:val="002349DE"/>
    <w:rsid w:val="00235573"/>
    <w:rsid w:val="0023665A"/>
    <w:rsid w:val="00237C4B"/>
    <w:rsid w:val="002411F1"/>
    <w:rsid w:val="00243192"/>
    <w:rsid w:val="00243670"/>
    <w:rsid w:val="002447F8"/>
    <w:rsid w:val="00244CC2"/>
    <w:rsid w:val="00246BB3"/>
    <w:rsid w:val="00246E5F"/>
    <w:rsid w:val="00250585"/>
    <w:rsid w:val="00253F4C"/>
    <w:rsid w:val="00254E9E"/>
    <w:rsid w:val="0025647F"/>
    <w:rsid w:val="0026180F"/>
    <w:rsid w:val="00262DC3"/>
    <w:rsid w:val="00267301"/>
    <w:rsid w:val="00270C00"/>
    <w:rsid w:val="00271E09"/>
    <w:rsid w:val="00273AA7"/>
    <w:rsid w:val="0027443C"/>
    <w:rsid w:val="0027469D"/>
    <w:rsid w:val="00275067"/>
    <w:rsid w:val="00275DCC"/>
    <w:rsid w:val="00276805"/>
    <w:rsid w:val="00277F69"/>
    <w:rsid w:val="002835F4"/>
    <w:rsid w:val="002849B4"/>
    <w:rsid w:val="00290C79"/>
    <w:rsid w:val="00296458"/>
    <w:rsid w:val="00296FB3"/>
    <w:rsid w:val="00296FE3"/>
    <w:rsid w:val="0029727E"/>
    <w:rsid w:val="002A1935"/>
    <w:rsid w:val="002A1D49"/>
    <w:rsid w:val="002A22F7"/>
    <w:rsid w:val="002A2A4F"/>
    <w:rsid w:val="002A3F3C"/>
    <w:rsid w:val="002A4041"/>
    <w:rsid w:val="002A668A"/>
    <w:rsid w:val="002A7253"/>
    <w:rsid w:val="002B1941"/>
    <w:rsid w:val="002B226B"/>
    <w:rsid w:val="002B433A"/>
    <w:rsid w:val="002B51BC"/>
    <w:rsid w:val="002B6889"/>
    <w:rsid w:val="002B7229"/>
    <w:rsid w:val="002B79D4"/>
    <w:rsid w:val="002B7B86"/>
    <w:rsid w:val="002B7E89"/>
    <w:rsid w:val="002C07DB"/>
    <w:rsid w:val="002C1E49"/>
    <w:rsid w:val="002C6452"/>
    <w:rsid w:val="002D1A21"/>
    <w:rsid w:val="002D29DF"/>
    <w:rsid w:val="002D2C2F"/>
    <w:rsid w:val="002D3222"/>
    <w:rsid w:val="002D520D"/>
    <w:rsid w:val="002D5776"/>
    <w:rsid w:val="002D6914"/>
    <w:rsid w:val="002D71E0"/>
    <w:rsid w:val="002E0247"/>
    <w:rsid w:val="002E697E"/>
    <w:rsid w:val="002F22B4"/>
    <w:rsid w:val="002F340F"/>
    <w:rsid w:val="002F479A"/>
    <w:rsid w:val="002F4DD0"/>
    <w:rsid w:val="002F5A14"/>
    <w:rsid w:val="002F68EC"/>
    <w:rsid w:val="002F6D7B"/>
    <w:rsid w:val="00300193"/>
    <w:rsid w:val="00300FE4"/>
    <w:rsid w:val="00303038"/>
    <w:rsid w:val="003034AE"/>
    <w:rsid w:val="00307098"/>
    <w:rsid w:val="00307935"/>
    <w:rsid w:val="00310061"/>
    <w:rsid w:val="00310426"/>
    <w:rsid w:val="00312F79"/>
    <w:rsid w:val="00314862"/>
    <w:rsid w:val="0031590E"/>
    <w:rsid w:val="00315D13"/>
    <w:rsid w:val="003223F8"/>
    <w:rsid w:val="0032486D"/>
    <w:rsid w:val="003260C0"/>
    <w:rsid w:val="003269E3"/>
    <w:rsid w:val="00326B5A"/>
    <w:rsid w:val="003327F8"/>
    <w:rsid w:val="0033369C"/>
    <w:rsid w:val="0033500C"/>
    <w:rsid w:val="0033572D"/>
    <w:rsid w:val="00341177"/>
    <w:rsid w:val="00341C10"/>
    <w:rsid w:val="00343DD3"/>
    <w:rsid w:val="003456BF"/>
    <w:rsid w:val="00345B8E"/>
    <w:rsid w:val="003518CC"/>
    <w:rsid w:val="00351ACA"/>
    <w:rsid w:val="0035220C"/>
    <w:rsid w:val="00352AE5"/>
    <w:rsid w:val="00352F2B"/>
    <w:rsid w:val="00354A2E"/>
    <w:rsid w:val="00357AF7"/>
    <w:rsid w:val="00360662"/>
    <w:rsid w:val="003619F5"/>
    <w:rsid w:val="00361CDB"/>
    <w:rsid w:val="00362330"/>
    <w:rsid w:val="00364725"/>
    <w:rsid w:val="00365208"/>
    <w:rsid w:val="0036798A"/>
    <w:rsid w:val="0037090A"/>
    <w:rsid w:val="003722D3"/>
    <w:rsid w:val="00372E1B"/>
    <w:rsid w:val="00375A16"/>
    <w:rsid w:val="003762E1"/>
    <w:rsid w:val="00383294"/>
    <w:rsid w:val="00383935"/>
    <w:rsid w:val="003867FC"/>
    <w:rsid w:val="003868E4"/>
    <w:rsid w:val="00387564"/>
    <w:rsid w:val="003875E8"/>
    <w:rsid w:val="00393FAB"/>
    <w:rsid w:val="00395C48"/>
    <w:rsid w:val="00395CFA"/>
    <w:rsid w:val="0039639B"/>
    <w:rsid w:val="00397F28"/>
    <w:rsid w:val="003A06E3"/>
    <w:rsid w:val="003A0B49"/>
    <w:rsid w:val="003A2D7B"/>
    <w:rsid w:val="003A324E"/>
    <w:rsid w:val="003A74BF"/>
    <w:rsid w:val="003B04FB"/>
    <w:rsid w:val="003B09CD"/>
    <w:rsid w:val="003C2B44"/>
    <w:rsid w:val="003C3B38"/>
    <w:rsid w:val="003C6F8D"/>
    <w:rsid w:val="003C7721"/>
    <w:rsid w:val="003D081D"/>
    <w:rsid w:val="003D2150"/>
    <w:rsid w:val="003E2C1C"/>
    <w:rsid w:val="003E4982"/>
    <w:rsid w:val="003E4E69"/>
    <w:rsid w:val="003E5A15"/>
    <w:rsid w:val="003E5E1E"/>
    <w:rsid w:val="00400D07"/>
    <w:rsid w:val="004026E1"/>
    <w:rsid w:val="004053E0"/>
    <w:rsid w:val="004059D5"/>
    <w:rsid w:val="00406809"/>
    <w:rsid w:val="004134DE"/>
    <w:rsid w:val="00413539"/>
    <w:rsid w:val="00415A92"/>
    <w:rsid w:val="00416B7C"/>
    <w:rsid w:val="00416DE4"/>
    <w:rsid w:val="004228CD"/>
    <w:rsid w:val="004242A0"/>
    <w:rsid w:val="00425C32"/>
    <w:rsid w:val="0042603B"/>
    <w:rsid w:val="00426354"/>
    <w:rsid w:val="004273CD"/>
    <w:rsid w:val="004278B7"/>
    <w:rsid w:val="00436409"/>
    <w:rsid w:val="004369E3"/>
    <w:rsid w:val="00436C70"/>
    <w:rsid w:val="004371A2"/>
    <w:rsid w:val="00443546"/>
    <w:rsid w:val="00443639"/>
    <w:rsid w:val="00445A3B"/>
    <w:rsid w:val="00445D11"/>
    <w:rsid w:val="004460F6"/>
    <w:rsid w:val="004542C8"/>
    <w:rsid w:val="00454E7A"/>
    <w:rsid w:val="0045547B"/>
    <w:rsid w:val="00460BC6"/>
    <w:rsid w:val="004645BF"/>
    <w:rsid w:val="00467CFA"/>
    <w:rsid w:val="00476505"/>
    <w:rsid w:val="00477B3B"/>
    <w:rsid w:val="00487DC8"/>
    <w:rsid w:val="00490D6F"/>
    <w:rsid w:val="0049127B"/>
    <w:rsid w:val="00497F7E"/>
    <w:rsid w:val="004A0547"/>
    <w:rsid w:val="004A0D26"/>
    <w:rsid w:val="004A0D7A"/>
    <w:rsid w:val="004A1807"/>
    <w:rsid w:val="004A1BA0"/>
    <w:rsid w:val="004A2416"/>
    <w:rsid w:val="004A2A38"/>
    <w:rsid w:val="004A68CD"/>
    <w:rsid w:val="004A68EA"/>
    <w:rsid w:val="004A7400"/>
    <w:rsid w:val="004A7505"/>
    <w:rsid w:val="004B16B6"/>
    <w:rsid w:val="004B2BB5"/>
    <w:rsid w:val="004B41D9"/>
    <w:rsid w:val="004B6586"/>
    <w:rsid w:val="004B687A"/>
    <w:rsid w:val="004B6C2B"/>
    <w:rsid w:val="004B7D3A"/>
    <w:rsid w:val="004C0F84"/>
    <w:rsid w:val="004C4A3E"/>
    <w:rsid w:val="004C4DF2"/>
    <w:rsid w:val="004C660D"/>
    <w:rsid w:val="004C72A5"/>
    <w:rsid w:val="004D102F"/>
    <w:rsid w:val="004D1529"/>
    <w:rsid w:val="004D16DB"/>
    <w:rsid w:val="004D19CE"/>
    <w:rsid w:val="004D4522"/>
    <w:rsid w:val="004D625C"/>
    <w:rsid w:val="004E3D9B"/>
    <w:rsid w:val="004E6400"/>
    <w:rsid w:val="004E65B2"/>
    <w:rsid w:val="004E68D6"/>
    <w:rsid w:val="004E6920"/>
    <w:rsid w:val="004E6E33"/>
    <w:rsid w:val="004E70DC"/>
    <w:rsid w:val="004F2F42"/>
    <w:rsid w:val="004F36C6"/>
    <w:rsid w:val="004F4FC0"/>
    <w:rsid w:val="004F521E"/>
    <w:rsid w:val="004F749A"/>
    <w:rsid w:val="004F7E70"/>
    <w:rsid w:val="00503974"/>
    <w:rsid w:val="0050438D"/>
    <w:rsid w:val="0050529F"/>
    <w:rsid w:val="00506EAA"/>
    <w:rsid w:val="0050770E"/>
    <w:rsid w:val="00514B5E"/>
    <w:rsid w:val="0051698A"/>
    <w:rsid w:val="00517A26"/>
    <w:rsid w:val="00520C8F"/>
    <w:rsid w:val="0052286C"/>
    <w:rsid w:val="00522AB9"/>
    <w:rsid w:val="00522D9B"/>
    <w:rsid w:val="0052327F"/>
    <w:rsid w:val="00524F1D"/>
    <w:rsid w:val="005253DF"/>
    <w:rsid w:val="00525FD2"/>
    <w:rsid w:val="005265B9"/>
    <w:rsid w:val="005277CB"/>
    <w:rsid w:val="00533533"/>
    <w:rsid w:val="0053541C"/>
    <w:rsid w:val="00535E24"/>
    <w:rsid w:val="00537F9C"/>
    <w:rsid w:val="00542ECC"/>
    <w:rsid w:val="00543383"/>
    <w:rsid w:val="00543EC0"/>
    <w:rsid w:val="005440F6"/>
    <w:rsid w:val="0054557A"/>
    <w:rsid w:val="005459DD"/>
    <w:rsid w:val="00546DD6"/>
    <w:rsid w:val="00546EE9"/>
    <w:rsid w:val="005500EE"/>
    <w:rsid w:val="00550526"/>
    <w:rsid w:val="005515BC"/>
    <w:rsid w:val="005559AC"/>
    <w:rsid w:val="005570B9"/>
    <w:rsid w:val="0055771D"/>
    <w:rsid w:val="0055792B"/>
    <w:rsid w:val="0056289D"/>
    <w:rsid w:val="00564301"/>
    <w:rsid w:val="00567FCF"/>
    <w:rsid w:val="005720F0"/>
    <w:rsid w:val="00572B46"/>
    <w:rsid w:val="00575295"/>
    <w:rsid w:val="005806CE"/>
    <w:rsid w:val="00582647"/>
    <w:rsid w:val="00582AD7"/>
    <w:rsid w:val="005845CB"/>
    <w:rsid w:val="0058498A"/>
    <w:rsid w:val="00586350"/>
    <w:rsid w:val="00586BBE"/>
    <w:rsid w:val="00586C8C"/>
    <w:rsid w:val="00591709"/>
    <w:rsid w:val="00593EC9"/>
    <w:rsid w:val="005A18C5"/>
    <w:rsid w:val="005A26D8"/>
    <w:rsid w:val="005A2ADD"/>
    <w:rsid w:val="005A2B70"/>
    <w:rsid w:val="005A4167"/>
    <w:rsid w:val="005A5962"/>
    <w:rsid w:val="005B1B7D"/>
    <w:rsid w:val="005B5466"/>
    <w:rsid w:val="005B559A"/>
    <w:rsid w:val="005B59E2"/>
    <w:rsid w:val="005B79AD"/>
    <w:rsid w:val="005B7C71"/>
    <w:rsid w:val="005C312A"/>
    <w:rsid w:val="005C3F10"/>
    <w:rsid w:val="005C4A6B"/>
    <w:rsid w:val="005D0744"/>
    <w:rsid w:val="005D1FAD"/>
    <w:rsid w:val="005D2586"/>
    <w:rsid w:val="005D2A59"/>
    <w:rsid w:val="005D3FA9"/>
    <w:rsid w:val="005D4E4E"/>
    <w:rsid w:val="005D539C"/>
    <w:rsid w:val="005E224E"/>
    <w:rsid w:val="005E25B5"/>
    <w:rsid w:val="005E4783"/>
    <w:rsid w:val="005E628E"/>
    <w:rsid w:val="005E732A"/>
    <w:rsid w:val="005F0C00"/>
    <w:rsid w:val="005F2371"/>
    <w:rsid w:val="005F33F2"/>
    <w:rsid w:val="005F36AC"/>
    <w:rsid w:val="005F4984"/>
    <w:rsid w:val="005F5A6D"/>
    <w:rsid w:val="005F677B"/>
    <w:rsid w:val="005F7B82"/>
    <w:rsid w:val="00600ECB"/>
    <w:rsid w:val="00601D61"/>
    <w:rsid w:val="00601E1D"/>
    <w:rsid w:val="006032DE"/>
    <w:rsid w:val="00610726"/>
    <w:rsid w:val="00610DD1"/>
    <w:rsid w:val="0061137A"/>
    <w:rsid w:val="006124D0"/>
    <w:rsid w:val="00613367"/>
    <w:rsid w:val="006178D7"/>
    <w:rsid w:val="00617A02"/>
    <w:rsid w:val="00617F30"/>
    <w:rsid w:val="00620A31"/>
    <w:rsid w:val="0062170F"/>
    <w:rsid w:val="00622546"/>
    <w:rsid w:val="00622ED9"/>
    <w:rsid w:val="00624D79"/>
    <w:rsid w:val="00631CB7"/>
    <w:rsid w:val="006327A8"/>
    <w:rsid w:val="00633826"/>
    <w:rsid w:val="00633FA0"/>
    <w:rsid w:val="00635931"/>
    <w:rsid w:val="006375B1"/>
    <w:rsid w:val="00637776"/>
    <w:rsid w:val="00637F31"/>
    <w:rsid w:val="00642E50"/>
    <w:rsid w:val="006432CF"/>
    <w:rsid w:val="00644B20"/>
    <w:rsid w:val="006456BB"/>
    <w:rsid w:val="00646049"/>
    <w:rsid w:val="006476EC"/>
    <w:rsid w:val="0064776F"/>
    <w:rsid w:val="00651974"/>
    <w:rsid w:val="006553B1"/>
    <w:rsid w:val="00656874"/>
    <w:rsid w:val="00657108"/>
    <w:rsid w:val="0065772F"/>
    <w:rsid w:val="0066198F"/>
    <w:rsid w:val="00663909"/>
    <w:rsid w:val="00663A6F"/>
    <w:rsid w:val="006671BC"/>
    <w:rsid w:val="006744B3"/>
    <w:rsid w:val="00675B1B"/>
    <w:rsid w:val="00677447"/>
    <w:rsid w:val="00680679"/>
    <w:rsid w:val="006814C7"/>
    <w:rsid w:val="00683062"/>
    <w:rsid w:val="00683FFB"/>
    <w:rsid w:val="00686526"/>
    <w:rsid w:val="0069204B"/>
    <w:rsid w:val="00693FAC"/>
    <w:rsid w:val="00694989"/>
    <w:rsid w:val="00695279"/>
    <w:rsid w:val="0069653D"/>
    <w:rsid w:val="00697FCE"/>
    <w:rsid w:val="006A1548"/>
    <w:rsid w:val="006A52D1"/>
    <w:rsid w:val="006A5C78"/>
    <w:rsid w:val="006A72E8"/>
    <w:rsid w:val="006A72F7"/>
    <w:rsid w:val="006B0255"/>
    <w:rsid w:val="006B23A1"/>
    <w:rsid w:val="006B72B5"/>
    <w:rsid w:val="006C0E27"/>
    <w:rsid w:val="006C0F7C"/>
    <w:rsid w:val="006C6200"/>
    <w:rsid w:val="006C66AF"/>
    <w:rsid w:val="006C6800"/>
    <w:rsid w:val="006C6E9D"/>
    <w:rsid w:val="006D1F96"/>
    <w:rsid w:val="006D2E37"/>
    <w:rsid w:val="006D5E5D"/>
    <w:rsid w:val="006D7125"/>
    <w:rsid w:val="006E0F13"/>
    <w:rsid w:val="006E1791"/>
    <w:rsid w:val="006E2B46"/>
    <w:rsid w:val="006E7E9F"/>
    <w:rsid w:val="006E7FA8"/>
    <w:rsid w:val="006F2631"/>
    <w:rsid w:val="006F4078"/>
    <w:rsid w:val="006F4623"/>
    <w:rsid w:val="006F4B40"/>
    <w:rsid w:val="006F70F6"/>
    <w:rsid w:val="006F77C9"/>
    <w:rsid w:val="00700C65"/>
    <w:rsid w:val="00701FEA"/>
    <w:rsid w:val="00702C0B"/>
    <w:rsid w:val="00704E41"/>
    <w:rsid w:val="00706DE1"/>
    <w:rsid w:val="0070756B"/>
    <w:rsid w:val="00710443"/>
    <w:rsid w:val="007110C9"/>
    <w:rsid w:val="00712036"/>
    <w:rsid w:val="00713CC0"/>
    <w:rsid w:val="007140D6"/>
    <w:rsid w:val="007143DE"/>
    <w:rsid w:val="00714BA3"/>
    <w:rsid w:val="00716EF3"/>
    <w:rsid w:val="00720437"/>
    <w:rsid w:val="00721098"/>
    <w:rsid w:val="00721A06"/>
    <w:rsid w:val="00722762"/>
    <w:rsid w:val="00722E58"/>
    <w:rsid w:val="00723659"/>
    <w:rsid w:val="00725D04"/>
    <w:rsid w:val="00726801"/>
    <w:rsid w:val="0072736B"/>
    <w:rsid w:val="00727EE7"/>
    <w:rsid w:val="00732DAD"/>
    <w:rsid w:val="00733D21"/>
    <w:rsid w:val="00734B66"/>
    <w:rsid w:val="0074135E"/>
    <w:rsid w:val="00744C12"/>
    <w:rsid w:val="00744DD2"/>
    <w:rsid w:val="00746EB1"/>
    <w:rsid w:val="007504AA"/>
    <w:rsid w:val="00750E77"/>
    <w:rsid w:val="00751DF7"/>
    <w:rsid w:val="00751FA0"/>
    <w:rsid w:val="00754C06"/>
    <w:rsid w:val="0075517B"/>
    <w:rsid w:val="00756A89"/>
    <w:rsid w:val="00757DE2"/>
    <w:rsid w:val="00761DE0"/>
    <w:rsid w:val="00763DC1"/>
    <w:rsid w:val="00766691"/>
    <w:rsid w:val="00766BCF"/>
    <w:rsid w:val="00767265"/>
    <w:rsid w:val="00767F39"/>
    <w:rsid w:val="0077021E"/>
    <w:rsid w:val="00770AC3"/>
    <w:rsid w:val="007726E1"/>
    <w:rsid w:val="00774F4B"/>
    <w:rsid w:val="00775520"/>
    <w:rsid w:val="007772DE"/>
    <w:rsid w:val="00781823"/>
    <w:rsid w:val="007853D8"/>
    <w:rsid w:val="007871B0"/>
    <w:rsid w:val="007879CC"/>
    <w:rsid w:val="00792043"/>
    <w:rsid w:val="0079219C"/>
    <w:rsid w:val="0079256F"/>
    <w:rsid w:val="007944E7"/>
    <w:rsid w:val="00795F2C"/>
    <w:rsid w:val="00796729"/>
    <w:rsid w:val="00796B53"/>
    <w:rsid w:val="007A3C6A"/>
    <w:rsid w:val="007A5821"/>
    <w:rsid w:val="007A5D06"/>
    <w:rsid w:val="007A6DE7"/>
    <w:rsid w:val="007A71C5"/>
    <w:rsid w:val="007A7BD9"/>
    <w:rsid w:val="007B1585"/>
    <w:rsid w:val="007B49E4"/>
    <w:rsid w:val="007B51E2"/>
    <w:rsid w:val="007B5DBF"/>
    <w:rsid w:val="007C42E8"/>
    <w:rsid w:val="007D077C"/>
    <w:rsid w:val="007D10AE"/>
    <w:rsid w:val="007D1A78"/>
    <w:rsid w:val="007D1B93"/>
    <w:rsid w:val="007D3EB3"/>
    <w:rsid w:val="007D4708"/>
    <w:rsid w:val="007D51CC"/>
    <w:rsid w:val="007E05DB"/>
    <w:rsid w:val="007E0948"/>
    <w:rsid w:val="007E1311"/>
    <w:rsid w:val="007E2A95"/>
    <w:rsid w:val="007E2BD8"/>
    <w:rsid w:val="007E3AC7"/>
    <w:rsid w:val="007E5CC7"/>
    <w:rsid w:val="007E5E18"/>
    <w:rsid w:val="007F08FB"/>
    <w:rsid w:val="007F2841"/>
    <w:rsid w:val="007F3B17"/>
    <w:rsid w:val="007F3EBE"/>
    <w:rsid w:val="007F4624"/>
    <w:rsid w:val="007F702C"/>
    <w:rsid w:val="00802A66"/>
    <w:rsid w:val="00810643"/>
    <w:rsid w:val="00812AF0"/>
    <w:rsid w:val="008163E0"/>
    <w:rsid w:val="00817F5E"/>
    <w:rsid w:val="00817FF8"/>
    <w:rsid w:val="008211F1"/>
    <w:rsid w:val="00821541"/>
    <w:rsid w:val="00826120"/>
    <w:rsid w:val="00830647"/>
    <w:rsid w:val="00830E80"/>
    <w:rsid w:val="00831EAE"/>
    <w:rsid w:val="008343F9"/>
    <w:rsid w:val="00836801"/>
    <w:rsid w:val="00845F46"/>
    <w:rsid w:val="00846C0E"/>
    <w:rsid w:val="00850461"/>
    <w:rsid w:val="0085124E"/>
    <w:rsid w:val="0085451D"/>
    <w:rsid w:val="00854C8F"/>
    <w:rsid w:val="008558D9"/>
    <w:rsid w:val="008615AC"/>
    <w:rsid w:val="00863416"/>
    <w:rsid w:val="008636D4"/>
    <w:rsid w:val="0086532D"/>
    <w:rsid w:val="00865AD9"/>
    <w:rsid w:val="0087260B"/>
    <w:rsid w:val="00880F47"/>
    <w:rsid w:val="008810FA"/>
    <w:rsid w:val="00881791"/>
    <w:rsid w:val="00881B5E"/>
    <w:rsid w:val="00882B04"/>
    <w:rsid w:val="00884878"/>
    <w:rsid w:val="0088541F"/>
    <w:rsid w:val="00885B9C"/>
    <w:rsid w:val="00892EC8"/>
    <w:rsid w:val="00896927"/>
    <w:rsid w:val="00896F28"/>
    <w:rsid w:val="00897E16"/>
    <w:rsid w:val="008A144E"/>
    <w:rsid w:val="008A1942"/>
    <w:rsid w:val="008A19A0"/>
    <w:rsid w:val="008A3F61"/>
    <w:rsid w:val="008A5BB6"/>
    <w:rsid w:val="008A6861"/>
    <w:rsid w:val="008B08E9"/>
    <w:rsid w:val="008B281C"/>
    <w:rsid w:val="008B4943"/>
    <w:rsid w:val="008B5F65"/>
    <w:rsid w:val="008B634B"/>
    <w:rsid w:val="008B6C73"/>
    <w:rsid w:val="008C166B"/>
    <w:rsid w:val="008C3A51"/>
    <w:rsid w:val="008C41D2"/>
    <w:rsid w:val="008C4B75"/>
    <w:rsid w:val="008D27EF"/>
    <w:rsid w:val="008D2DC8"/>
    <w:rsid w:val="008D2F57"/>
    <w:rsid w:val="008D31ED"/>
    <w:rsid w:val="008D34F9"/>
    <w:rsid w:val="008D745E"/>
    <w:rsid w:val="008E061E"/>
    <w:rsid w:val="008E1389"/>
    <w:rsid w:val="008E4D8F"/>
    <w:rsid w:val="008E6BCA"/>
    <w:rsid w:val="008F06F2"/>
    <w:rsid w:val="008F2295"/>
    <w:rsid w:val="008F4C4B"/>
    <w:rsid w:val="008F5D80"/>
    <w:rsid w:val="00901226"/>
    <w:rsid w:val="0090694D"/>
    <w:rsid w:val="0090706E"/>
    <w:rsid w:val="009100D9"/>
    <w:rsid w:val="0091087B"/>
    <w:rsid w:val="009126A7"/>
    <w:rsid w:val="009153D3"/>
    <w:rsid w:val="00915570"/>
    <w:rsid w:val="00917003"/>
    <w:rsid w:val="009170AB"/>
    <w:rsid w:val="00920CAE"/>
    <w:rsid w:val="00923D3D"/>
    <w:rsid w:val="00924CCB"/>
    <w:rsid w:val="00924E50"/>
    <w:rsid w:val="00925125"/>
    <w:rsid w:val="0092520A"/>
    <w:rsid w:val="00925D9D"/>
    <w:rsid w:val="009272DE"/>
    <w:rsid w:val="00927DCB"/>
    <w:rsid w:val="00932FAD"/>
    <w:rsid w:val="00933410"/>
    <w:rsid w:val="00934510"/>
    <w:rsid w:val="00934841"/>
    <w:rsid w:val="00936DEC"/>
    <w:rsid w:val="009376BD"/>
    <w:rsid w:val="009413DA"/>
    <w:rsid w:val="009424B1"/>
    <w:rsid w:val="009425BC"/>
    <w:rsid w:val="00942BA7"/>
    <w:rsid w:val="0095119E"/>
    <w:rsid w:val="00951562"/>
    <w:rsid w:val="00951ED7"/>
    <w:rsid w:val="00952500"/>
    <w:rsid w:val="009528FB"/>
    <w:rsid w:val="00954EF3"/>
    <w:rsid w:val="009561C7"/>
    <w:rsid w:val="00962320"/>
    <w:rsid w:val="00962A24"/>
    <w:rsid w:val="009630B8"/>
    <w:rsid w:val="009668EF"/>
    <w:rsid w:val="009729A9"/>
    <w:rsid w:val="00975EFF"/>
    <w:rsid w:val="00976907"/>
    <w:rsid w:val="009800D5"/>
    <w:rsid w:val="0098030D"/>
    <w:rsid w:val="0098073B"/>
    <w:rsid w:val="00980BC0"/>
    <w:rsid w:val="00981E62"/>
    <w:rsid w:val="00985161"/>
    <w:rsid w:val="0098560E"/>
    <w:rsid w:val="009860D6"/>
    <w:rsid w:val="00991FE6"/>
    <w:rsid w:val="0099243A"/>
    <w:rsid w:val="00993C3F"/>
    <w:rsid w:val="00994848"/>
    <w:rsid w:val="009A0214"/>
    <w:rsid w:val="009A1E07"/>
    <w:rsid w:val="009A28D2"/>
    <w:rsid w:val="009A2AB5"/>
    <w:rsid w:val="009A3AC3"/>
    <w:rsid w:val="009A4D39"/>
    <w:rsid w:val="009B5190"/>
    <w:rsid w:val="009B552B"/>
    <w:rsid w:val="009B654F"/>
    <w:rsid w:val="009B67B5"/>
    <w:rsid w:val="009B685C"/>
    <w:rsid w:val="009B7608"/>
    <w:rsid w:val="009C16DF"/>
    <w:rsid w:val="009C18D3"/>
    <w:rsid w:val="009C1914"/>
    <w:rsid w:val="009C312D"/>
    <w:rsid w:val="009C33C0"/>
    <w:rsid w:val="009C4804"/>
    <w:rsid w:val="009C51B1"/>
    <w:rsid w:val="009C7FD9"/>
    <w:rsid w:val="009D2D0D"/>
    <w:rsid w:val="009D3524"/>
    <w:rsid w:val="009D4671"/>
    <w:rsid w:val="009D4DFE"/>
    <w:rsid w:val="009D5CC9"/>
    <w:rsid w:val="009E369C"/>
    <w:rsid w:val="009E5497"/>
    <w:rsid w:val="009E62E6"/>
    <w:rsid w:val="009E6780"/>
    <w:rsid w:val="009E6CDB"/>
    <w:rsid w:val="009F0099"/>
    <w:rsid w:val="009F02D9"/>
    <w:rsid w:val="009F1275"/>
    <w:rsid w:val="009F1E4C"/>
    <w:rsid w:val="009F2F54"/>
    <w:rsid w:val="009F391B"/>
    <w:rsid w:val="009F4270"/>
    <w:rsid w:val="009F4D99"/>
    <w:rsid w:val="009F50F0"/>
    <w:rsid w:val="00A01C10"/>
    <w:rsid w:val="00A01E2D"/>
    <w:rsid w:val="00A03911"/>
    <w:rsid w:val="00A05140"/>
    <w:rsid w:val="00A10DE1"/>
    <w:rsid w:val="00A15619"/>
    <w:rsid w:val="00A16D9E"/>
    <w:rsid w:val="00A20D42"/>
    <w:rsid w:val="00A219EB"/>
    <w:rsid w:val="00A22538"/>
    <w:rsid w:val="00A2438A"/>
    <w:rsid w:val="00A34039"/>
    <w:rsid w:val="00A3552E"/>
    <w:rsid w:val="00A36C39"/>
    <w:rsid w:val="00A3797C"/>
    <w:rsid w:val="00A405DF"/>
    <w:rsid w:val="00A40CED"/>
    <w:rsid w:val="00A417FA"/>
    <w:rsid w:val="00A419D8"/>
    <w:rsid w:val="00A42760"/>
    <w:rsid w:val="00A443C7"/>
    <w:rsid w:val="00A44D0D"/>
    <w:rsid w:val="00A46E6B"/>
    <w:rsid w:val="00A4714D"/>
    <w:rsid w:val="00A514FF"/>
    <w:rsid w:val="00A5452F"/>
    <w:rsid w:val="00A5511B"/>
    <w:rsid w:val="00A5551F"/>
    <w:rsid w:val="00A57351"/>
    <w:rsid w:val="00A620DC"/>
    <w:rsid w:val="00A6410B"/>
    <w:rsid w:val="00A65CAA"/>
    <w:rsid w:val="00A73CFE"/>
    <w:rsid w:val="00A73EEA"/>
    <w:rsid w:val="00A75DAE"/>
    <w:rsid w:val="00A766FD"/>
    <w:rsid w:val="00A77FE9"/>
    <w:rsid w:val="00A8097D"/>
    <w:rsid w:val="00A81850"/>
    <w:rsid w:val="00A820E7"/>
    <w:rsid w:val="00A84882"/>
    <w:rsid w:val="00A87030"/>
    <w:rsid w:val="00A9018F"/>
    <w:rsid w:val="00A94B49"/>
    <w:rsid w:val="00A94EC5"/>
    <w:rsid w:val="00A95070"/>
    <w:rsid w:val="00A95B8C"/>
    <w:rsid w:val="00A96FF1"/>
    <w:rsid w:val="00AA1290"/>
    <w:rsid w:val="00AA2C89"/>
    <w:rsid w:val="00AA2DB7"/>
    <w:rsid w:val="00AA2E41"/>
    <w:rsid w:val="00AA3C9D"/>
    <w:rsid w:val="00AA401B"/>
    <w:rsid w:val="00AA4F9F"/>
    <w:rsid w:val="00AA729B"/>
    <w:rsid w:val="00AB0239"/>
    <w:rsid w:val="00AB0EC0"/>
    <w:rsid w:val="00AB1991"/>
    <w:rsid w:val="00AB2473"/>
    <w:rsid w:val="00AB3900"/>
    <w:rsid w:val="00AB7215"/>
    <w:rsid w:val="00AC20DD"/>
    <w:rsid w:val="00AC21A1"/>
    <w:rsid w:val="00AC2D8C"/>
    <w:rsid w:val="00AC528A"/>
    <w:rsid w:val="00AC56C2"/>
    <w:rsid w:val="00AC5E19"/>
    <w:rsid w:val="00AD1455"/>
    <w:rsid w:val="00AD17DB"/>
    <w:rsid w:val="00AD326E"/>
    <w:rsid w:val="00AD3E76"/>
    <w:rsid w:val="00AD4A44"/>
    <w:rsid w:val="00AD53CB"/>
    <w:rsid w:val="00AD640D"/>
    <w:rsid w:val="00AE0E7C"/>
    <w:rsid w:val="00AE2215"/>
    <w:rsid w:val="00AE3A72"/>
    <w:rsid w:val="00AE5B25"/>
    <w:rsid w:val="00AE5C52"/>
    <w:rsid w:val="00AF045F"/>
    <w:rsid w:val="00AF0FA2"/>
    <w:rsid w:val="00AF0FDD"/>
    <w:rsid w:val="00AF1E57"/>
    <w:rsid w:val="00AF24B2"/>
    <w:rsid w:val="00AF45DC"/>
    <w:rsid w:val="00AF48EC"/>
    <w:rsid w:val="00AF4F95"/>
    <w:rsid w:val="00B01315"/>
    <w:rsid w:val="00B036E1"/>
    <w:rsid w:val="00B05885"/>
    <w:rsid w:val="00B05D3B"/>
    <w:rsid w:val="00B07BC8"/>
    <w:rsid w:val="00B10050"/>
    <w:rsid w:val="00B1197A"/>
    <w:rsid w:val="00B12CC3"/>
    <w:rsid w:val="00B12E27"/>
    <w:rsid w:val="00B160D9"/>
    <w:rsid w:val="00B17828"/>
    <w:rsid w:val="00B17A9D"/>
    <w:rsid w:val="00B20EC6"/>
    <w:rsid w:val="00B21C2F"/>
    <w:rsid w:val="00B22230"/>
    <w:rsid w:val="00B22484"/>
    <w:rsid w:val="00B2646C"/>
    <w:rsid w:val="00B2764E"/>
    <w:rsid w:val="00B30E77"/>
    <w:rsid w:val="00B33F27"/>
    <w:rsid w:val="00B37296"/>
    <w:rsid w:val="00B414AF"/>
    <w:rsid w:val="00B43FEC"/>
    <w:rsid w:val="00B44CE9"/>
    <w:rsid w:val="00B456CC"/>
    <w:rsid w:val="00B478EF"/>
    <w:rsid w:val="00B50AE3"/>
    <w:rsid w:val="00B515AF"/>
    <w:rsid w:val="00B51BAD"/>
    <w:rsid w:val="00B53E11"/>
    <w:rsid w:val="00B56551"/>
    <w:rsid w:val="00B57AE9"/>
    <w:rsid w:val="00B60E38"/>
    <w:rsid w:val="00B6128E"/>
    <w:rsid w:val="00B638BD"/>
    <w:rsid w:val="00B64D61"/>
    <w:rsid w:val="00B659CA"/>
    <w:rsid w:val="00B65EB5"/>
    <w:rsid w:val="00B67BEF"/>
    <w:rsid w:val="00B70075"/>
    <w:rsid w:val="00B72CEC"/>
    <w:rsid w:val="00B77B88"/>
    <w:rsid w:val="00B80707"/>
    <w:rsid w:val="00B82CE9"/>
    <w:rsid w:val="00B83D8D"/>
    <w:rsid w:val="00B84EAD"/>
    <w:rsid w:val="00B87675"/>
    <w:rsid w:val="00B949CD"/>
    <w:rsid w:val="00B95043"/>
    <w:rsid w:val="00B97362"/>
    <w:rsid w:val="00BA0630"/>
    <w:rsid w:val="00BA3026"/>
    <w:rsid w:val="00BA3EFF"/>
    <w:rsid w:val="00BA4972"/>
    <w:rsid w:val="00BA5962"/>
    <w:rsid w:val="00BA5FE7"/>
    <w:rsid w:val="00BB0BAD"/>
    <w:rsid w:val="00BB10D9"/>
    <w:rsid w:val="00BB1C24"/>
    <w:rsid w:val="00BB25F3"/>
    <w:rsid w:val="00BB2D22"/>
    <w:rsid w:val="00BB65FA"/>
    <w:rsid w:val="00BC10BD"/>
    <w:rsid w:val="00BC5422"/>
    <w:rsid w:val="00BC6774"/>
    <w:rsid w:val="00BC6EEF"/>
    <w:rsid w:val="00BC7980"/>
    <w:rsid w:val="00BD0A90"/>
    <w:rsid w:val="00BD11FD"/>
    <w:rsid w:val="00BD23D5"/>
    <w:rsid w:val="00BD3057"/>
    <w:rsid w:val="00BD4A5C"/>
    <w:rsid w:val="00BD4D43"/>
    <w:rsid w:val="00BE0D5C"/>
    <w:rsid w:val="00BE43BC"/>
    <w:rsid w:val="00BE4A0F"/>
    <w:rsid w:val="00BE4DD4"/>
    <w:rsid w:val="00BE50B6"/>
    <w:rsid w:val="00BE5882"/>
    <w:rsid w:val="00BE65E4"/>
    <w:rsid w:val="00BE66F3"/>
    <w:rsid w:val="00BE7770"/>
    <w:rsid w:val="00BF0AA7"/>
    <w:rsid w:val="00BF1D91"/>
    <w:rsid w:val="00BF2F97"/>
    <w:rsid w:val="00BF323E"/>
    <w:rsid w:val="00BF59D5"/>
    <w:rsid w:val="00C00102"/>
    <w:rsid w:val="00C00765"/>
    <w:rsid w:val="00C0458B"/>
    <w:rsid w:val="00C06287"/>
    <w:rsid w:val="00C07BA3"/>
    <w:rsid w:val="00C07C4C"/>
    <w:rsid w:val="00C10D63"/>
    <w:rsid w:val="00C114B4"/>
    <w:rsid w:val="00C12F9B"/>
    <w:rsid w:val="00C14647"/>
    <w:rsid w:val="00C14AA8"/>
    <w:rsid w:val="00C15212"/>
    <w:rsid w:val="00C20103"/>
    <w:rsid w:val="00C20D5E"/>
    <w:rsid w:val="00C21BC0"/>
    <w:rsid w:val="00C21F17"/>
    <w:rsid w:val="00C22746"/>
    <w:rsid w:val="00C23583"/>
    <w:rsid w:val="00C2443E"/>
    <w:rsid w:val="00C249A5"/>
    <w:rsid w:val="00C264C5"/>
    <w:rsid w:val="00C26754"/>
    <w:rsid w:val="00C3177A"/>
    <w:rsid w:val="00C31F75"/>
    <w:rsid w:val="00C3261B"/>
    <w:rsid w:val="00C34151"/>
    <w:rsid w:val="00C345DF"/>
    <w:rsid w:val="00C34A15"/>
    <w:rsid w:val="00C34E6A"/>
    <w:rsid w:val="00C36C67"/>
    <w:rsid w:val="00C4066A"/>
    <w:rsid w:val="00C406BC"/>
    <w:rsid w:val="00C40790"/>
    <w:rsid w:val="00C40D0E"/>
    <w:rsid w:val="00C44B9F"/>
    <w:rsid w:val="00C462B6"/>
    <w:rsid w:val="00C46778"/>
    <w:rsid w:val="00C469FC"/>
    <w:rsid w:val="00C46AAF"/>
    <w:rsid w:val="00C52225"/>
    <w:rsid w:val="00C52A35"/>
    <w:rsid w:val="00C532E0"/>
    <w:rsid w:val="00C5443C"/>
    <w:rsid w:val="00C54F48"/>
    <w:rsid w:val="00C5676D"/>
    <w:rsid w:val="00C56BAB"/>
    <w:rsid w:val="00C60D92"/>
    <w:rsid w:val="00C638C8"/>
    <w:rsid w:val="00C6457A"/>
    <w:rsid w:val="00C65124"/>
    <w:rsid w:val="00C65930"/>
    <w:rsid w:val="00C675D8"/>
    <w:rsid w:val="00C675FC"/>
    <w:rsid w:val="00C70138"/>
    <w:rsid w:val="00C70ABB"/>
    <w:rsid w:val="00C711FC"/>
    <w:rsid w:val="00C730EF"/>
    <w:rsid w:val="00C73270"/>
    <w:rsid w:val="00C74C82"/>
    <w:rsid w:val="00C75378"/>
    <w:rsid w:val="00C75AB0"/>
    <w:rsid w:val="00C76651"/>
    <w:rsid w:val="00C82AA4"/>
    <w:rsid w:val="00C8305C"/>
    <w:rsid w:val="00C843AA"/>
    <w:rsid w:val="00C846B5"/>
    <w:rsid w:val="00C8505D"/>
    <w:rsid w:val="00C878AA"/>
    <w:rsid w:val="00C87A77"/>
    <w:rsid w:val="00C917FB"/>
    <w:rsid w:val="00C95691"/>
    <w:rsid w:val="00C9688E"/>
    <w:rsid w:val="00C97343"/>
    <w:rsid w:val="00C97F17"/>
    <w:rsid w:val="00CA0682"/>
    <w:rsid w:val="00CA1ECD"/>
    <w:rsid w:val="00CA2C99"/>
    <w:rsid w:val="00CA33C0"/>
    <w:rsid w:val="00CA4C7F"/>
    <w:rsid w:val="00CA4F12"/>
    <w:rsid w:val="00CB2E13"/>
    <w:rsid w:val="00CB2F72"/>
    <w:rsid w:val="00CB433D"/>
    <w:rsid w:val="00CB505A"/>
    <w:rsid w:val="00CB5BBA"/>
    <w:rsid w:val="00CB5EDF"/>
    <w:rsid w:val="00CB60B2"/>
    <w:rsid w:val="00CB674A"/>
    <w:rsid w:val="00CB7CAD"/>
    <w:rsid w:val="00CC62D0"/>
    <w:rsid w:val="00CD0FA4"/>
    <w:rsid w:val="00CD428E"/>
    <w:rsid w:val="00CD50A2"/>
    <w:rsid w:val="00CE0152"/>
    <w:rsid w:val="00CE4365"/>
    <w:rsid w:val="00CE711A"/>
    <w:rsid w:val="00CE72C8"/>
    <w:rsid w:val="00CE72E4"/>
    <w:rsid w:val="00CE78D6"/>
    <w:rsid w:val="00CF0DAC"/>
    <w:rsid w:val="00CF0DE4"/>
    <w:rsid w:val="00CF5974"/>
    <w:rsid w:val="00CF6080"/>
    <w:rsid w:val="00D00877"/>
    <w:rsid w:val="00D0098D"/>
    <w:rsid w:val="00D02BEE"/>
    <w:rsid w:val="00D0468E"/>
    <w:rsid w:val="00D05BAD"/>
    <w:rsid w:val="00D0608D"/>
    <w:rsid w:val="00D06E87"/>
    <w:rsid w:val="00D06EFC"/>
    <w:rsid w:val="00D07B2E"/>
    <w:rsid w:val="00D10218"/>
    <w:rsid w:val="00D105C9"/>
    <w:rsid w:val="00D1197E"/>
    <w:rsid w:val="00D12204"/>
    <w:rsid w:val="00D1253F"/>
    <w:rsid w:val="00D13A56"/>
    <w:rsid w:val="00D156B5"/>
    <w:rsid w:val="00D1619E"/>
    <w:rsid w:val="00D1774A"/>
    <w:rsid w:val="00D21CF6"/>
    <w:rsid w:val="00D23901"/>
    <w:rsid w:val="00D24EB5"/>
    <w:rsid w:val="00D26343"/>
    <w:rsid w:val="00D32772"/>
    <w:rsid w:val="00D3277C"/>
    <w:rsid w:val="00D33765"/>
    <w:rsid w:val="00D33DA7"/>
    <w:rsid w:val="00D34FE0"/>
    <w:rsid w:val="00D3635B"/>
    <w:rsid w:val="00D4424E"/>
    <w:rsid w:val="00D472D8"/>
    <w:rsid w:val="00D53282"/>
    <w:rsid w:val="00D53677"/>
    <w:rsid w:val="00D54067"/>
    <w:rsid w:val="00D553F6"/>
    <w:rsid w:val="00D56FF4"/>
    <w:rsid w:val="00D572F5"/>
    <w:rsid w:val="00D6225D"/>
    <w:rsid w:val="00D62C85"/>
    <w:rsid w:val="00D62CEB"/>
    <w:rsid w:val="00D64E2A"/>
    <w:rsid w:val="00D66B87"/>
    <w:rsid w:val="00D66CDC"/>
    <w:rsid w:val="00D71890"/>
    <w:rsid w:val="00D74036"/>
    <w:rsid w:val="00D75653"/>
    <w:rsid w:val="00D80397"/>
    <w:rsid w:val="00D808EE"/>
    <w:rsid w:val="00D82B2C"/>
    <w:rsid w:val="00D83009"/>
    <w:rsid w:val="00D84D7F"/>
    <w:rsid w:val="00D871D6"/>
    <w:rsid w:val="00D925A1"/>
    <w:rsid w:val="00D93663"/>
    <w:rsid w:val="00D94097"/>
    <w:rsid w:val="00D9779C"/>
    <w:rsid w:val="00D97DFA"/>
    <w:rsid w:val="00DA1481"/>
    <w:rsid w:val="00DA2A46"/>
    <w:rsid w:val="00DA3FED"/>
    <w:rsid w:val="00DA4200"/>
    <w:rsid w:val="00DA7DA7"/>
    <w:rsid w:val="00DB0CB2"/>
    <w:rsid w:val="00DB37D5"/>
    <w:rsid w:val="00DB7497"/>
    <w:rsid w:val="00DC15E2"/>
    <w:rsid w:val="00DC439A"/>
    <w:rsid w:val="00DC77E6"/>
    <w:rsid w:val="00DC79FE"/>
    <w:rsid w:val="00DD1922"/>
    <w:rsid w:val="00DD2B4C"/>
    <w:rsid w:val="00DD5BD9"/>
    <w:rsid w:val="00DD61E1"/>
    <w:rsid w:val="00DD7D05"/>
    <w:rsid w:val="00DE011C"/>
    <w:rsid w:val="00DE02A6"/>
    <w:rsid w:val="00DE38F3"/>
    <w:rsid w:val="00DE55E6"/>
    <w:rsid w:val="00DE76A1"/>
    <w:rsid w:val="00DE7AE4"/>
    <w:rsid w:val="00DF3E7F"/>
    <w:rsid w:val="00DF4239"/>
    <w:rsid w:val="00DF7753"/>
    <w:rsid w:val="00DF78DC"/>
    <w:rsid w:val="00DF7F55"/>
    <w:rsid w:val="00E00C5F"/>
    <w:rsid w:val="00E013F4"/>
    <w:rsid w:val="00E016E3"/>
    <w:rsid w:val="00E0241C"/>
    <w:rsid w:val="00E03BF9"/>
    <w:rsid w:val="00E04482"/>
    <w:rsid w:val="00E06C0B"/>
    <w:rsid w:val="00E07968"/>
    <w:rsid w:val="00E206AD"/>
    <w:rsid w:val="00E2267F"/>
    <w:rsid w:val="00E236A2"/>
    <w:rsid w:val="00E27C9F"/>
    <w:rsid w:val="00E36392"/>
    <w:rsid w:val="00E36B98"/>
    <w:rsid w:val="00E37590"/>
    <w:rsid w:val="00E42207"/>
    <w:rsid w:val="00E4288D"/>
    <w:rsid w:val="00E43D98"/>
    <w:rsid w:val="00E43E6D"/>
    <w:rsid w:val="00E43EED"/>
    <w:rsid w:val="00E44D8F"/>
    <w:rsid w:val="00E47CDE"/>
    <w:rsid w:val="00E55185"/>
    <w:rsid w:val="00E56811"/>
    <w:rsid w:val="00E57E3E"/>
    <w:rsid w:val="00E60EF8"/>
    <w:rsid w:val="00E612BC"/>
    <w:rsid w:val="00E6139F"/>
    <w:rsid w:val="00E613DF"/>
    <w:rsid w:val="00E61E1E"/>
    <w:rsid w:val="00E62387"/>
    <w:rsid w:val="00E6292D"/>
    <w:rsid w:val="00E62EB2"/>
    <w:rsid w:val="00E64B3B"/>
    <w:rsid w:val="00E70201"/>
    <w:rsid w:val="00E71766"/>
    <w:rsid w:val="00E71A05"/>
    <w:rsid w:val="00E729D5"/>
    <w:rsid w:val="00E72E36"/>
    <w:rsid w:val="00E73AC5"/>
    <w:rsid w:val="00E73C40"/>
    <w:rsid w:val="00E76727"/>
    <w:rsid w:val="00E76B25"/>
    <w:rsid w:val="00E80A73"/>
    <w:rsid w:val="00E8194D"/>
    <w:rsid w:val="00E8273D"/>
    <w:rsid w:val="00E83C1E"/>
    <w:rsid w:val="00E83F68"/>
    <w:rsid w:val="00E85574"/>
    <w:rsid w:val="00E85645"/>
    <w:rsid w:val="00E86BF8"/>
    <w:rsid w:val="00E90B9D"/>
    <w:rsid w:val="00E913FE"/>
    <w:rsid w:val="00E91578"/>
    <w:rsid w:val="00E922D4"/>
    <w:rsid w:val="00E923F1"/>
    <w:rsid w:val="00E970F7"/>
    <w:rsid w:val="00E972FA"/>
    <w:rsid w:val="00E97706"/>
    <w:rsid w:val="00EA347C"/>
    <w:rsid w:val="00EA4276"/>
    <w:rsid w:val="00EA4B9A"/>
    <w:rsid w:val="00EA5D67"/>
    <w:rsid w:val="00EB0589"/>
    <w:rsid w:val="00EB0A7B"/>
    <w:rsid w:val="00EB0AA6"/>
    <w:rsid w:val="00EB3D8A"/>
    <w:rsid w:val="00EB4AF9"/>
    <w:rsid w:val="00EB711D"/>
    <w:rsid w:val="00EC0FD6"/>
    <w:rsid w:val="00EC1D18"/>
    <w:rsid w:val="00EC4081"/>
    <w:rsid w:val="00EC5503"/>
    <w:rsid w:val="00EC59A3"/>
    <w:rsid w:val="00ED0D08"/>
    <w:rsid w:val="00ED1EC0"/>
    <w:rsid w:val="00ED2536"/>
    <w:rsid w:val="00ED30C8"/>
    <w:rsid w:val="00ED4879"/>
    <w:rsid w:val="00ED5F10"/>
    <w:rsid w:val="00EE0CAE"/>
    <w:rsid w:val="00EE0E84"/>
    <w:rsid w:val="00EE1DA0"/>
    <w:rsid w:val="00EE1DD6"/>
    <w:rsid w:val="00EE308D"/>
    <w:rsid w:val="00EE44C9"/>
    <w:rsid w:val="00EE5F28"/>
    <w:rsid w:val="00EE633F"/>
    <w:rsid w:val="00EE640C"/>
    <w:rsid w:val="00EF0696"/>
    <w:rsid w:val="00EF2769"/>
    <w:rsid w:val="00EF4CBA"/>
    <w:rsid w:val="00EF4DF3"/>
    <w:rsid w:val="00EF4F82"/>
    <w:rsid w:val="00EF73E3"/>
    <w:rsid w:val="00F005F0"/>
    <w:rsid w:val="00F07004"/>
    <w:rsid w:val="00F0799D"/>
    <w:rsid w:val="00F07CD1"/>
    <w:rsid w:val="00F11DCF"/>
    <w:rsid w:val="00F12098"/>
    <w:rsid w:val="00F207EA"/>
    <w:rsid w:val="00F209D8"/>
    <w:rsid w:val="00F231F6"/>
    <w:rsid w:val="00F242F2"/>
    <w:rsid w:val="00F27ED1"/>
    <w:rsid w:val="00F30596"/>
    <w:rsid w:val="00F34B47"/>
    <w:rsid w:val="00F35129"/>
    <w:rsid w:val="00F353DB"/>
    <w:rsid w:val="00F35AAF"/>
    <w:rsid w:val="00F46297"/>
    <w:rsid w:val="00F47E24"/>
    <w:rsid w:val="00F50F73"/>
    <w:rsid w:val="00F5172B"/>
    <w:rsid w:val="00F53655"/>
    <w:rsid w:val="00F53925"/>
    <w:rsid w:val="00F54FAE"/>
    <w:rsid w:val="00F6071E"/>
    <w:rsid w:val="00F6368B"/>
    <w:rsid w:val="00F63B83"/>
    <w:rsid w:val="00F65284"/>
    <w:rsid w:val="00F70B16"/>
    <w:rsid w:val="00F711FF"/>
    <w:rsid w:val="00F71512"/>
    <w:rsid w:val="00F7465D"/>
    <w:rsid w:val="00F74E81"/>
    <w:rsid w:val="00F74FA5"/>
    <w:rsid w:val="00F7703B"/>
    <w:rsid w:val="00F77E6A"/>
    <w:rsid w:val="00F81D93"/>
    <w:rsid w:val="00F81F2B"/>
    <w:rsid w:val="00F8344D"/>
    <w:rsid w:val="00F84158"/>
    <w:rsid w:val="00F86C62"/>
    <w:rsid w:val="00F87F48"/>
    <w:rsid w:val="00F9048F"/>
    <w:rsid w:val="00F93164"/>
    <w:rsid w:val="00F940A3"/>
    <w:rsid w:val="00F9413F"/>
    <w:rsid w:val="00F94D21"/>
    <w:rsid w:val="00F9590E"/>
    <w:rsid w:val="00F96460"/>
    <w:rsid w:val="00F974A3"/>
    <w:rsid w:val="00FA0E61"/>
    <w:rsid w:val="00FA11D0"/>
    <w:rsid w:val="00FA2B6D"/>
    <w:rsid w:val="00FA36D6"/>
    <w:rsid w:val="00FA391E"/>
    <w:rsid w:val="00FA406D"/>
    <w:rsid w:val="00FA4570"/>
    <w:rsid w:val="00FA76D3"/>
    <w:rsid w:val="00FB54EE"/>
    <w:rsid w:val="00FB6C57"/>
    <w:rsid w:val="00FB7221"/>
    <w:rsid w:val="00FC19A6"/>
    <w:rsid w:val="00FC23D8"/>
    <w:rsid w:val="00FC3C87"/>
    <w:rsid w:val="00FC4335"/>
    <w:rsid w:val="00FC5A91"/>
    <w:rsid w:val="00FC6DB0"/>
    <w:rsid w:val="00FD102B"/>
    <w:rsid w:val="00FD132D"/>
    <w:rsid w:val="00FD4172"/>
    <w:rsid w:val="00FD746D"/>
    <w:rsid w:val="00FE05C0"/>
    <w:rsid w:val="00FE06A3"/>
    <w:rsid w:val="00FE0B13"/>
    <w:rsid w:val="00FE1536"/>
    <w:rsid w:val="00FE25EE"/>
    <w:rsid w:val="00FE36BE"/>
    <w:rsid w:val="00FE4491"/>
    <w:rsid w:val="00FE7007"/>
    <w:rsid w:val="00FF1191"/>
    <w:rsid w:val="00FF2D07"/>
    <w:rsid w:val="00FF3151"/>
    <w:rsid w:val="00FF3B8A"/>
    <w:rsid w:val="00FF66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7D6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caption"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90"/>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uiPriority w:val="99"/>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uiPriority w:val="99"/>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uiPriority w:val="99"/>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uiPriority w:val="99"/>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uiPriority w:val="99"/>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uiPriority w:val="99"/>
    <w:qFormat/>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uiPriority w:val="99"/>
    <w:qFormat/>
    <w:rsid w:val="0050529F"/>
    <w:pPr>
      <w:numPr>
        <w:ilvl w:val="6"/>
      </w:numPr>
      <w:outlineLvl w:val="6"/>
    </w:pPr>
    <w:rPr>
      <w:sz w:val="28"/>
    </w:rPr>
  </w:style>
  <w:style w:type="paragraph" w:styleId="Heading8">
    <w:name w:val="heading 8"/>
    <w:basedOn w:val="Heading3"/>
    <w:next w:val="BodyText"/>
    <w:link w:val="Heading8Char"/>
    <w:uiPriority w:val="99"/>
    <w:qFormat/>
    <w:rsid w:val="0050529F"/>
    <w:pPr>
      <w:numPr>
        <w:ilvl w:val="7"/>
      </w:numPr>
      <w:outlineLvl w:val="7"/>
    </w:pPr>
  </w:style>
  <w:style w:type="paragraph" w:styleId="Heading9">
    <w:name w:val="heading 9"/>
    <w:basedOn w:val="Heading4"/>
    <w:next w:val="BodyText"/>
    <w:link w:val="Heading9Char"/>
    <w:uiPriority w:val="99"/>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05017A"/>
    <w:pPr>
      <w:spacing w:after="120"/>
    </w:pPr>
    <w:rPr>
      <w:rFonts w:eastAsia="Times New Roman"/>
      <w:sz w:val="22"/>
    </w:rPr>
  </w:style>
  <w:style w:type="character" w:customStyle="1" w:styleId="BodyTextChar">
    <w:name w:val="Body Text Char"/>
    <w:basedOn w:val="DefaultParagraphFont"/>
    <w:link w:val="BodyText"/>
    <w:uiPriority w:val="99"/>
    <w:rsid w:val="0005017A"/>
    <w:rPr>
      <w:rFonts w:ascii="Times New Roman" w:eastAsia="Times New Roman" w:hAnsi="Times New Roman" w:cs="Times New Roman"/>
      <w:szCs w:val="24"/>
    </w:rPr>
  </w:style>
  <w:style w:type="character" w:customStyle="1" w:styleId="Heading2Char">
    <w:name w:val="Heading 2 Char"/>
    <w:basedOn w:val="DefaultParagraphFont"/>
    <w:link w:val="Heading2"/>
    <w:uiPriority w:val="99"/>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uiPriority w:val="99"/>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uiPriority w:val="99"/>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uiPriority w:val="99"/>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uiPriority w:val="9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022320"/>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3A06E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3A06E3"/>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C14AA8"/>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9B685C"/>
    <w:pPr>
      <w:keepNext/>
      <w:spacing w:before="20" w:after="20" w:line="180" w:lineRule="atLeast"/>
    </w:pPr>
    <w:rPr>
      <w:iCs/>
      <w:sz w:val="14"/>
      <w:szCs w:val="16"/>
      <w:lang w:eastAsia="en-AU"/>
    </w:rPr>
  </w:style>
  <w:style w:type="paragraph" w:customStyle="1" w:styleId="TableTextEntries">
    <w:name w:val="Table Text Entries"/>
    <w:basedOn w:val="Normal"/>
    <w:rsid w:val="002B51BC"/>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9B685C"/>
    <w:rPr>
      <w:rFonts w:ascii="Franklin Gothic Book" w:eastAsia="Times New Roman" w:hAnsi="Franklin Gothic Book" w:cs="Times New Roman"/>
      <w:iCs/>
      <w:sz w:val="14"/>
      <w:szCs w:val="16"/>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link w:val="ListParagraphChar"/>
    <w:uiPriority w:val="99"/>
    <w:qFormat/>
    <w:rsid w:val="00100AA2"/>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9B685C"/>
    <w:pPr>
      <w:numPr>
        <w:numId w:val="15"/>
      </w:numPr>
      <w:ind w:left="357" w:hanging="357"/>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ED0D08"/>
    <w:pPr>
      <w:spacing w:before="80" w:after="80"/>
    </w:pPr>
    <w:rPr>
      <w:rFonts w:ascii="Franklin Gothic Medium" w:hAnsi="Franklin Gothic Medium"/>
      <w:b/>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uiPriority w:val="99"/>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Demi" w:hAnsi="Franklin Gothic Dem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C14AA8"/>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BodyText"/>
    <w:link w:val="FootnoteTextChar"/>
    <w:uiPriority w:val="99"/>
    <w:unhideWhenUsed/>
    <w:qFormat/>
    <w:rsid w:val="00ED0D08"/>
    <w:pPr>
      <w:spacing w:after="0"/>
      <w:contextualSpacing/>
    </w:pPr>
    <w:rPr>
      <w:sz w:val="16"/>
      <w:szCs w:val="20"/>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rsid w:val="00ED0D08"/>
    <w:rPr>
      <w:rFonts w:ascii="Times New Roman" w:eastAsia="Times New Roman" w:hAnsi="Times New Roman" w:cs="Times New Roman"/>
      <w:sz w:val="16"/>
      <w:szCs w:val="20"/>
    </w:rPr>
  </w:style>
  <w:style w:type="character" w:styleId="FootnoteReference">
    <w:name w:val="footnote reference"/>
    <w:uiPriority w:val="99"/>
    <w:rsid w:val="00F77E6A"/>
    <w:rPr>
      <w:rFonts w:ascii="Times New Roman" w:hAnsi="Times New Roman"/>
      <w:w w:val="100"/>
      <w:position w:val="6"/>
      <w:sz w:val="16"/>
      <w:szCs w:val="12"/>
      <w:vertAlign w:val="baseline"/>
    </w:rPr>
  </w:style>
  <w:style w:type="character" w:styleId="IntenseEmphasis">
    <w:name w:val="Intense Emphasis"/>
    <w:basedOn w:val="DefaultParagraphFont"/>
    <w:uiPriority w:val="21"/>
    <w:qFormat/>
    <w:rsid w:val="007D3EB3"/>
    <w:rPr>
      <w:b/>
      <w:bCs/>
      <w:i/>
      <w:iCs/>
      <w:color w:val="4F81BD" w:themeColor="accent1"/>
    </w:rPr>
  </w:style>
  <w:style w:type="character" w:customStyle="1" w:styleId="ListParagraphChar">
    <w:name w:val="List Paragraph Char"/>
    <w:basedOn w:val="DefaultParagraphFont"/>
    <w:link w:val="ListParagraph"/>
    <w:uiPriority w:val="99"/>
    <w:rsid w:val="005D1FAD"/>
    <w:rPr>
      <w:rFonts w:ascii="Times New Roman" w:eastAsia="Times New Roman" w:hAnsi="Times New Roman" w:cs="Times New Roman"/>
      <w:szCs w:val="24"/>
    </w:rPr>
  </w:style>
  <w:style w:type="paragraph" w:customStyle="1" w:styleId="bodynumbered">
    <w:name w:val="body numbered"/>
    <w:basedOn w:val="ListParagraph"/>
    <w:qFormat/>
    <w:rsid w:val="000F15A6"/>
    <w:pPr>
      <w:numPr>
        <w:numId w:val="28"/>
      </w:numPr>
      <w:spacing w:before="60" w:after="60"/>
      <w:ind w:left="0" w:firstLine="0"/>
    </w:pPr>
    <w:rPr>
      <w:rFonts w:ascii="Arial" w:eastAsia="Calibri" w:hAnsi="Arial"/>
      <w:szCs w:val="22"/>
      <w:lang w:eastAsia="en-US"/>
    </w:rPr>
  </w:style>
  <w:style w:type="paragraph" w:customStyle="1" w:styleId="execsummarytext">
    <w:name w:val="exec summary text"/>
    <w:basedOn w:val="Normal"/>
    <w:link w:val="execsummarytextChar"/>
    <w:rsid w:val="00220C26"/>
    <w:pPr>
      <w:spacing w:after="200" w:line="324" w:lineRule="atLeast"/>
      <w:jc w:val="both"/>
    </w:pPr>
    <w:rPr>
      <w:rFonts w:ascii="Times Roman" w:eastAsia="Times New Roman" w:hAnsi="Times Roman" w:cs="Arial"/>
      <w:sz w:val="22"/>
      <w:szCs w:val="22"/>
    </w:rPr>
  </w:style>
  <w:style w:type="character" w:customStyle="1" w:styleId="execsummarytextChar">
    <w:name w:val="exec summary text Char"/>
    <w:link w:val="execsummarytext"/>
    <w:rsid w:val="00220C26"/>
    <w:rPr>
      <w:rFonts w:ascii="Times Roman" w:eastAsia="Times New Roman" w:hAnsi="Times Roman" w:cs="Arial"/>
    </w:rPr>
  </w:style>
  <w:style w:type="paragraph" w:customStyle="1" w:styleId="footnotetest">
    <w:name w:val="footnote test"/>
    <w:basedOn w:val="Normal"/>
    <w:rsid w:val="00220C26"/>
    <w:pPr>
      <w:spacing w:after="200"/>
    </w:pPr>
    <w:rPr>
      <w:rFonts w:ascii="Calibri" w:eastAsia="Times New Roman" w:hAnsi="Calibri"/>
      <w:sz w:val="18"/>
      <w:szCs w:val="18"/>
    </w:rPr>
  </w:style>
  <w:style w:type="character" w:styleId="Strong">
    <w:name w:val="Strong"/>
    <w:basedOn w:val="DefaultParagraphFont"/>
    <w:uiPriority w:val="22"/>
    <w:qFormat/>
    <w:rsid w:val="00182DC9"/>
    <w:rPr>
      <w:b/>
      <w:bCs/>
    </w:rPr>
  </w:style>
  <w:style w:type="paragraph" w:customStyle="1" w:styleId="TableTextColumnHeading">
    <w:name w:val="Table Text Column Heading"/>
    <w:basedOn w:val="TableDataColumnHeading"/>
    <w:autoRedefine/>
    <w:rsid w:val="00E76727"/>
    <w:pPr>
      <w:jc w:val="left"/>
    </w:pPr>
    <w:rPr>
      <w:b/>
    </w:rPr>
  </w:style>
  <w:style w:type="character" w:customStyle="1" w:styleId="st">
    <w:name w:val="st"/>
    <w:basedOn w:val="DefaultParagraphFont"/>
    <w:rsid w:val="00580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caption"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90"/>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uiPriority w:val="99"/>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uiPriority w:val="99"/>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uiPriority w:val="99"/>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uiPriority w:val="99"/>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uiPriority w:val="99"/>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uiPriority w:val="99"/>
    <w:qFormat/>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uiPriority w:val="99"/>
    <w:qFormat/>
    <w:rsid w:val="0050529F"/>
    <w:pPr>
      <w:numPr>
        <w:ilvl w:val="6"/>
      </w:numPr>
      <w:outlineLvl w:val="6"/>
    </w:pPr>
    <w:rPr>
      <w:sz w:val="28"/>
    </w:rPr>
  </w:style>
  <w:style w:type="paragraph" w:styleId="Heading8">
    <w:name w:val="heading 8"/>
    <w:basedOn w:val="Heading3"/>
    <w:next w:val="BodyText"/>
    <w:link w:val="Heading8Char"/>
    <w:uiPriority w:val="99"/>
    <w:qFormat/>
    <w:rsid w:val="0050529F"/>
    <w:pPr>
      <w:numPr>
        <w:ilvl w:val="7"/>
      </w:numPr>
      <w:outlineLvl w:val="7"/>
    </w:pPr>
  </w:style>
  <w:style w:type="paragraph" w:styleId="Heading9">
    <w:name w:val="heading 9"/>
    <w:basedOn w:val="Heading4"/>
    <w:next w:val="BodyText"/>
    <w:link w:val="Heading9Char"/>
    <w:uiPriority w:val="99"/>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05017A"/>
    <w:pPr>
      <w:spacing w:after="120"/>
    </w:pPr>
    <w:rPr>
      <w:rFonts w:eastAsia="Times New Roman"/>
      <w:sz w:val="22"/>
    </w:rPr>
  </w:style>
  <w:style w:type="character" w:customStyle="1" w:styleId="BodyTextChar">
    <w:name w:val="Body Text Char"/>
    <w:basedOn w:val="DefaultParagraphFont"/>
    <w:link w:val="BodyText"/>
    <w:uiPriority w:val="99"/>
    <w:rsid w:val="0005017A"/>
    <w:rPr>
      <w:rFonts w:ascii="Times New Roman" w:eastAsia="Times New Roman" w:hAnsi="Times New Roman" w:cs="Times New Roman"/>
      <w:szCs w:val="24"/>
    </w:rPr>
  </w:style>
  <w:style w:type="character" w:customStyle="1" w:styleId="Heading2Char">
    <w:name w:val="Heading 2 Char"/>
    <w:basedOn w:val="DefaultParagraphFont"/>
    <w:link w:val="Heading2"/>
    <w:uiPriority w:val="99"/>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uiPriority w:val="99"/>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uiPriority w:val="99"/>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uiPriority w:val="99"/>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uiPriority w:val="9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022320"/>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3A06E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3A06E3"/>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iPriority w:val="99"/>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C14AA8"/>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9B685C"/>
    <w:pPr>
      <w:keepNext/>
      <w:spacing w:before="20" w:after="20" w:line="180" w:lineRule="atLeast"/>
    </w:pPr>
    <w:rPr>
      <w:iCs/>
      <w:sz w:val="14"/>
      <w:szCs w:val="16"/>
      <w:lang w:eastAsia="en-AU"/>
    </w:rPr>
  </w:style>
  <w:style w:type="paragraph" w:customStyle="1" w:styleId="TableTextEntries">
    <w:name w:val="Table Text Entries"/>
    <w:basedOn w:val="Normal"/>
    <w:rsid w:val="002B51BC"/>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9B685C"/>
    <w:rPr>
      <w:rFonts w:ascii="Franklin Gothic Book" w:eastAsia="Times New Roman" w:hAnsi="Franklin Gothic Book" w:cs="Times New Roman"/>
      <w:iCs/>
      <w:sz w:val="14"/>
      <w:szCs w:val="16"/>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link w:val="ListParagraphChar"/>
    <w:uiPriority w:val="99"/>
    <w:qFormat/>
    <w:rsid w:val="00100AA2"/>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9B685C"/>
    <w:pPr>
      <w:numPr>
        <w:numId w:val="15"/>
      </w:numPr>
      <w:ind w:left="357" w:hanging="357"/>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ED0D08"/>
    <w:pPr>
      <w:spacing w:before="80" w:after="80"/>
    </w:pPr>
    <w:rPr>
      <w:rFonts w:ascii="Franklin Gothic Medium" w:hAnsi="Franklin Gothic Medium"/>
      <w:b/>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uiPriority w:val="99"/>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Demi" w:hAnsi="Franklin Gothic Dem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C14AA8"/>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BodyText"/>
    <w:link w:val="FootnoteTextChar"/>
    <w:uiPriority w:val="99"/>
    <w:unhideWhenUsed/>
    <w:qFormat/>
    <w:rsid w:val="00ED0D08"/>
    <w:pPr>
      <w:spacing w:after="0"/>
      <w:contextualSpacing/>
    </w:pPr>
    <w:rPr>
      <w:sz w:val="16"/>
      <w:szCs w:val="20"/>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rsid w:val="00ED0D08"/>
    <w:rPr>
      <w:rFonts w:ascii="Times New Roman" w:eastAsia="Times New Roman" w:hAnsi="Times New Roman" w:cs="Times New Roman"/>
      <w:sz w:val="16"/>
      <w:szCs w:val="20"/>
    </w:rPr>
  </w:style>
  <w:style w:type="character" w:styleId="FootnoteReference">
    <w:name w:val="footnote reference"/>
    <w:uiPriority w:val="99"/>
    <w:rsid w:val="00F77E6A"/>
    <w:rPr>
      <w:rFonts w:ascii="Times New Roman" w:hAnsi="Times New Roman"/>
      <w:w w:val="100"/>
      <w:position w:val="6"/>
      <w:sz w:val="16"/>
      <w:szCs w:val="12"/>
      <w:vertAlign w:val="baseline"/>
    </w:rPr>
  </w:style>
  <w:style w:type="character" w:styleId="IntenseEmphasis">
    <w:name w:val="Intense Emphasis"/>
    <w:basedOn w:val="DefaultParagraphFont"/>
    <w:uiPriority w:val="21"/>
    <w:qFormat/>
    <w:rsid w:val="007D3EB3"/>
    <w:rPr>
      <w:b/>
      <w:bCs/>
      <w:i/>
      <w:iCs/>
      <w:color w:val="4F81BD" w:themeColor="accent1"/>
    </w:rPr>
  </w:style>
  <w:style w:type="character" w:customStyle="1" w:styleId="ListParagraphChar">
    <w:name w:val="List Paragraph Char"/>
    <w:basedOn w:val="DefaultParagraphFont"/>
    <w:link w:val="ListParagraph"/>
    <w:uiPriority w:val="99"/>
    <w:rsid w:val="005D1FAD"/>
    <w:rPr>
      <w:rFonts w:ascii="Times New Roman" w:eastAsia="Times New Roman" w:hAnsi="Times New Roman" w:cs="Times New Roman"/>
      <w:szCs w:val="24"/>
    </w:rPr>
  </w:style>
  <w:style w:type="paragraph" w:customStyle="1" w:styleId="bodynumbered">
    <w:name w:val="body numbered"/>
    <w:basedOn w:val="ListParagraph"/>
    <w:qFormat/>
    <w:rsid w:val="000F15A6"/>
    <w:pPr>
      <w:numPr>
        <w:numId w:val="28"/>
      </w:numPr>
      <w:spacing w:before="60" w:after="60"/>
      <w:ind w:left="0" w:firstLine="0"/>
    </w:pPr>
    <w:rPr>
      <w:rFonts w:ascii="Arial" w:eastAsia="Calibri" w:hAnsi="Arial"/>
      <w:szCs w:val="22"/>
      <w:lang w:eastAsia="en-US"/>
    </w:rPr>
  </w:style>
  <w:style w:type="paragraph" w:customStyle="1" w:styleId="execsummarytext">
    <w:name w:val="exec summary text"/>
    <w:basedOn w:val="Normal"/>
    <w:link w:val="execsummarytextChar"/>
    <w:rsid w:val="00220C26"/>
    <w:pPr>
      <w:spacing w:after="200" w:line="324" w:lineRule="atLeast"/>
      <w:jc w:val="both"/>
    </w:pPr>
    <w:rPr>
      <w:rFonts w:ascii="Times Roman" w:eastAsia="Times New Roman" w:hAnsi="Times Roman" w:cs="Arial"/>
      <w:sz w:val="22"/>
      <w:szCs w:val="22"/>
    </w:rPr>
  </w:style>
  <w:style w:type="character" w:customStyle="1" w:styleId="execsummarytextChar">
    <w:name w:val="exec summary text Char"/>
    <w:link w:val="execsummarytext"/>
    <w:rsid w:val="00220C26"/>
    <w:rPr>
      <w:rFonts w:ascii="Times Roman" w:eastAsia="Times New Roman" w:hAnsi="Times Roman" w:cs="Arial"/>
    </w:rPr>
  </w:style>
  <w:style w:type="paragraph" w:customStyle="1" w:styleId="footnotetest">
    <w:name w:val="footnote test"/>
    <w:basedOn w:val="Normal"/>
    <w:rsid w:val="00220C26"/>
    <w:pPr>
      <w:spacing w:after="200"/>
    </w:pPr>
    <w:rPr>
      <w:rFonts w:ascii="Calibri" w:eastAsia="Times New Roman" w:hAnsi="Calibri"/>
      <w:sz w:val="18"/>
      <w:szCs w:val="18"/>
    </w:rPr>
  </w:style>
  <w:style w:type="character" w:styleId="Strong">
    <w:name w:val="Strong"/>
    <w:basedOn w:val="DefaultParagraphFont"/>
    <w:uiPriority w:val="22"/>
    <w:qFormat/>
    <w:rsid w:val="00182DC9"/>
    <w:rPr>
      <w:b/>
      <w:bCs/>
    </w:rPr>
  </w:style>
  <w:style w:type="paragraph" w:customStyle="1" w:styleId="TableTextColumnHeading">
    <w:name w:val="Table Text Column Heading"/>
    <w:basedOn w:val="TableDataColumnHeading"/>
    <w:autoRedefine/>
    <w:rsid w:val="00E76727"/>
    <w:pPr>
      <w:jc w:val="left"/>
    </w:pPr>
    <w:rPr>
      <w:b/>
    </w:rPr>
  </w:style>
  <w:style w:type="character" w:customStyle="1" w:styleId="st">
    <w:name w:val="st"/>
    <w:basedOn w:val="DefaultParagraphFont"/>
    <w:rsid w:val="0058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1240">
      <w:bodyDiv w:val="1"/>
      <w:marLeft w:val="0"/>
      <w:marRight w:val="0"/>
      <w:marTop w:val="0"/>
      <w:marBottom w:val="0"/>
      <w:divBdr>
        <w:top w:val="none" w:sz="0" w:space="0" w:color="auto"/>
        <w:left w:val="none" w:sz="0" w:space="0" w:color="auto"/>
        <w:bottom w:val="none" w:sz="0" w:space="0" w:color="auto"/>
        <w:right w:val="none" w:sz="0" w:space="0" w:color="auto"/>
      </w:divBdr>
    </w:div>
    <w:div w:id="60103175">
      <w:bodyDiv w:val="1"/>
      <w:marLeft w:val="0"/>
      <w:marRight w:val="0"/>
      <w:marTop w:val="0"/>
      <w:marBottom w:val="0"/>
      <w:divBdr>
        <w:top w:val="none" w:sz="0" w:space="0" w:color="auto"/>
        <w:left w:val="none" w:sz="0" w:space="0" w:color="auto"/>
        <w:bottom w:val="none" w:sz="0" w:space="0" w:color="auto"/>
        <w:right w:val="none" w:sz="0" w:space="0" w:color="auto"/>
      </w:divBdr>
    </w:div>
    <w:div w:id="128210262">
      <w:bodyDiv w:val="1"/>
      <w:marLeft w:val="0"/>
      <w:marRight w:val="0"/>
      <w:marTop w:val="0"/>
      <w:marBottom w:val="0"/>
      <w:divBdr>
        <w:top w:val="none" w:sz="0" w:space="0" w:color="auto"/>
        <w:left w:val="none" w:sz="0" w:space="0" w:color="auto"/>
        <w:bottom w:val="none" w:sz="0" w:space="0" w:color="auto"/>
        <w:right w:val="none" w:sz="0" w:space="0" w:color="auto"/>
      </w:divBdr>
    </w:div>
    <w:div w:id="146670195">
      <w:bodyDiv w:val="1"/>
      <w:marLeft w:val="0"/>
      <w:marRight w:val="0"/>
      <w:marTop w:val="0"/>
      <w:marBottom w:val="0"/>
      <w:divBdr>
        <w:top w:val="none" w:sz="0" w:space="0" w:color="auto"/>
        <w:left w:val="none" w:sz="0" w:space="0" w:color="auto"/>
        <w:bottom w:val="none" w:sz="0" w:space="0" w:color="auto"/>
        <w:right w:val="none" w:sz="0" w:space="0" w:color="auto"/>
      </w:divBdr>
    </w:div>
    <w:div w:id="148864484">
      <w:bodyDiv w:val="1"/>
      <w:marLeft w:val="0"/>
      <w:marRight w:val="0"/>
      <w:marTop w:val="0"/>
      <w:marBottom w:val="0"/>
      <w:divBdr>
        <w:top w:val="none" w:sz="0" w:space="0" w:color="auto"/>
        <w:left w:val="none" w:sz="0" w:space="0" w:color="auto"/>
        <w:bottom w:val="none" w:sz="0" w:space="0" w:color="auto"/>
        <w:right w:val="none" w:sz="0" w:space="0" w:color="auto"/>
      </w:divBdr>
    </w:div>
    <w:div w:id="149291123">
      <w:bodyDiv w:val="1"/>
      <w:marLeft w:val="0"/>
      <w:marRight w:val="0"/>
      <w:marTop w:val="0"/>
      <w:marBottom w:val="0"/>
      <w:divBdr>
        <w:top w:val="none" w:sz="0" w:space="0" w:color="auto"/>
        <w:left w:val="none" w:sz="0" w:space="0" w:color="auto"/>
        <w:bottom w:val="none" w:sz="0" w:space="0" w:color="auto"/>
        <w:right w:val="none" w:sz="0" w:space="0" w:color="auto"/>
      </w:divBdr>
    </w:div>
    <w:div w:id="187262185">
      <w:bodyDiv w:val="1"/>
      <w:marLeft w:val="0"/>
      <w:marRight w:val="0"/>
      <w:marTop w:val="0"/>
      <w:marBottom w:val="0"/>
      <w:divBdr>
        <w:top w:val="none" w:sz="0" w:space="0" w:color="auto"/>
        <w:left w:val="none" w:sz="0" w:space="0" w:color="auto"/>
        <w:bottom w:val="none" w:sz="0" w:space="0" w:color="auto"/>
        <w:right w:val="none" w:sz="0" w:space="0" w:color="auto"/>
      </w:divBdr>
    </w:div>
    <w:div w:id="405227472">
      <w:bodyDiv w:val="1"/>
      <w:marLeft w:val="0"/>
      <w:marRight w:val="0"/>
      <w:marTop w:val="0"/>
      <w:marBottom w:val="0"/>
      <w:divBdr>
        <w:top w:val="none" w:sz="0" w:space="0" w:color="auto"/>
        <w:left w:val="none" w:sz="0" w:space="0" w:color="auto"/>
        <w:bottom w:val="none" w:sz="0" w:space="0" w:color="auto"/>
        <w:right w:val="none" w:sz="0" w:space="0" w:color="auto"/>
      </w:divBdr>
    </w:div>
    <w:div w:id="409430893">
      <w:bodyDiv w:val="1"/>
      <w:marLeft w:val="0"/>
      <w:marRight w:val="0"/>
      <w:marTop w:val="0"/>
      <w:marBottom w:val="0"/>
      <w:divBdr>
        <w:top w:val="none" w:sz="0" w:space="0" w:color="auto"/>
        <w:left w:val="none" w:sz="0" w:space="0" w:color="auto"/>
        <w:bottom w:val="none" w:sz="0" w:space="0" w:color="auto"/>
        <w:right w:val="none" w:sz="0" w:space="0" w:color="auto"/>
      </w:divBdr>
    </w:div>
    <w:div w:id="462233528">
      <w:bodyDiv w:val="1"/>
      <w:marLeft w:val="0"/>
      <w:marRight w:val="0"/>
      <w:marTop w:val="0"/>
      <w:marBottom w:val="0"/>
      <w:divBdr>
        <w:top w:val="none" w:sz="0" w:space="0" w:color="auto"/>
        <w:left w:val="none" w:sz="0" w:space="0" w:color="auto"/>
        <w:bottom w:val="none" w:sz="0" w:space="0" w:color="auto"/>
        <w:right w:val="none" w:sz="0" w:space="0" w:color="auto"/>
      </w:divBdr>
    </w:div>
    <w:div w:id="464011525">
      <w:bodyDiv w:val="1"/>
      <w:marLeft w:val="0"/>
      <w:marRight w:val="0"/>
      <w:marTop w:val="0"/>
      <w:marBottom w:val="0"/>
      <w:divBdr>
        <w:top w:val="none" w:sz="0" w:space="0" w:color="auto"/>
        <w:left w:val="none" w:sz="0" w:space="0" w:color="auto"/>
        <w:bottom w:val="none" w:sz="0" w:space="0" w:color="auto"/>
        <w:right w:val="none" w:sz="0" w:space="0" w:color="auto"/>
      </w:divBdr>
    </w:div>
    <w:div w:id="530340957">
      <w:bodyDiv w:val="1"/>
      <w:marLeft w:val="0"/>
      <w:marRight w:val="0"/>
      <w:marTop w:val="0"/>
      <w:marBottom w:val="0"/>
      <w:divBdr>
        <w:top w:val="none" w:sz="0" w:space="0" w:color="auto"/>
        <w:left w:val="none" w:sz="0" w:space="0" w:color="auto"/>
        <w:bottom w:val="none" w:sz="0" w:space="0" w:color="auto"/>
        <w:right w:val="none" w:sz="0" w:space="0" w:color="auto"/>
      </w:divBdr>
    </w:div>
    <w:div w:id="553009248">
      <w:bodyDiv w:val="1"/>
      <w:marLeft w:val="0"/>
      <w:marRight w:val="0"/>
      <w:marTop w:val="0"/>
      <w:marBottom w:val="0"/>
      <w:divBdr>
        <w:top w:val="none" w:sz="0" w:space="0" w:color="auto"/>
        <w:left w:val="none" w:sz="0" w:space="0" w:color="auto"/>
        <w:bottom w:val="none" w:sz="0" w:space="0" w:color="auto"/>
        <w:right w:val="none" w:sz="0" w:space="0" w:color="auto"/>
      </w:divBdr>
    </w:div>
    <w:div w:id="570192410">
      <w:bodyDiv w:val="1"/>
      <w:marLeft w:val="0"/>
      <w:marRight w:val="0"/>
      <w:marTop w:val="0"/>
      <w:marBottom w:val="0"/>
      <w:divBdr>
        <w:top w:val="none" w:sz="0" w:space="0" w:color="auto"/>
        <w:left w:val="none" w:sz="0" w:space="0" w:color="auto"/>
        <w:bottom w:val="none" w:sz="0" w:space="0" w:color="auto"/>
        <w:right w:val="none" w:sz="0" w:space="0" w:color="auto"/>
      </w:divBdr>
    </w:div>
    <w:div w:id="600911912">
      <w:bodyDiv w:val="1"/>
      <w:marLeft w:val="0"/>
      <w:marRight w:val="0"/>
      <w:marTop w:val="0"/>
      <w:marBottom w:val="0"/>
      <w:divBdr>
        <w:top w:val="none" w:sz="0" w:space="0" w:color="auto"/>
        <w:left w:val="none" w:sz="0" w:space="0" w:color="auto"/>
        <w:bottom w:val="none" w:sz="0" w:space="0" w:color="auto"/>
        <w:right w:val="none" w:sz="0" w:space="0" w:color="auto"/>
      </w:divBdr>
    </w:div>
    <w:div w:id="689841861">
      <w:bodyDiv w:val="1"/>
      <w:marLeft w:val="0"/>
      <w:marRight w:val="0"/>
      <w:marTop w:val="0"/>
      <w:marBottom w:val="0"/>
      <w:divBdr>
        <w:top w:val="none" w:sz="0" w:space="0" w:color="auto"/>
        <w:left w:val="none" w:sz="0" w:space="0" w:color="auto"/>
        <w:bottom w:val="none" w:sz="0" w:space="0" w:color="auto"/>
        <w:right w:val="none" w:sz="0" w:space="0" w:color="auto"/>
      </w:divBdr>
    </w:div>
    <w:div w:id="844318721">
      <w:bodyDiv w:val="1"/>
      <w:marLeft w:val="0"/>
      <w:marRight w:val="0"/>
      <w:marTop w:val="0"/>
      <w:marBottom w:val="0"/>
      <w:divBdr>
        <w:top w:val="none" w:sz="0" w:space="0" w:color="auto"/>
        <w:left w:val="none" w:sz="0" w:space="0" w:color="auto"/>
        <w:bottom w:val="none" w:sz="0" w:space="0" w:color="auto"/>
        <w:right w:val="none" w:sz="0" w:space="0" w:color="auto"/>
      </w:divBdr>
    </w:div>
    <w:div w:id="915673517">
      <w:bodyDiv w:val="1"/>
      <w:marLeft w:val="0"/>
      <w:marRight w:val="0"/>
      <w:marTop w:val="0"/>
      <w:marBottom w:val="0"/>
      <w:divBdr>
        <w:top w:val="none" w:sz="0" w:space="0" w:color="auto"/>
        <w:left w:val="none" w:sz="0" w:space="0" w:color="auto"/>
        <w:bottom w:val="none" w:sz="0" w:space="0" w:color="auto"/>
        <w:right w:val="none" w:sz="0" w:space="0" w:color="auto"/>
      </w:divBdr>
    </w:div>
    <w:div w:id="932935432">
      <w:bodyDiv w:val="1"/>
      <w:marLeft w:val="0"/>
      <w:marRight w:val="0"/>
      <w:marTop w:val="0"/>
      <w:marBottom w:val="0"/>
      <w:divBdr>
        <w:top w:val="none" w:sz="0" w:space="0" w:color="auto"/>
        <w:left w:val="none" w:sz="0" w:space="0" w:color="auto"/>
        <w:bottom w:val="none" w:sz="0" w:space="0" w:color="auto"/>
        <w:right w:val="none" w:sz="0" w:space="0" w:color="auto"/>
      </w:divBdr>
    </w:div>
    <w:div w:id="1115055640">
      <w:bodyDiv w:val="1"/>
      <w:marLeft w:val="0"/>
      <w:marRight w:val="0"/>
      <w:marTop w:val="0"/>
      <w:marBottom w:val="0"/>
      <w:divBdr>
        <w:top w:val="none" w:sz="0" w:space="0" w:color="auto"/>
        <w:left w:val="none" w:sz="0" w:space="0" w:color="auto"/>
        <w:bottom w:val="none" w:sz="0" w:space="0" w:color="auto"/>
        <w:right w:val="none" w:sz="0" w:space="0" w:color="auto"/>
      </w:divBdr>
    </w:div>
    <w:div w:id="1152521519">
      <w:bodyDiv w:val="1"/>
      <w:marLeft w:val="0"/>
      <w:marRight w:val="0"/>
      <w:marTop w:val="0"/>
      <w:marBottom w:val="0"/>
      <w:divBdr>
        <w:top w:val="none" w:sz="0" w:space="0" w:color="auto"/>
        <w:left w:val="none" w:sz="0" w:space="0" w:color="auto"/>
        <w:bottom w:val="none" w:sz="0" w:space="0" w:color="auto"/>
        <w:right w:val="none" w:sz="0" w:space="0" w:color="auto"/>
      </w:divBdr>
      <w:divsChild>
        <w:div w:id="204099817">
          <w:marLeft w:val="0"/>
          <w:marRight w:val="0"/>
          <w:marTop w:val="0"/>
          <w:marBottom w:val="0"/>
          <w:divBdr>
            <w:top w:val="none" w:sz="0" w:space="0" w:color="auto"/>
            <w:left w:val="none" w:sz="0" w:space="0" w:color="auto"/>
            <w:bottom w:val="none" w:sz="0" w:space="0" w:color="auto"/>
            <w:right w:val="none" w:sz="0" w:space="0" w:color="auto"/>
          </w:divBdr>
        </w:div>
        <w:div w:id="377248301">
          <w:marLeft w:val="0"/>
          <w:marRight w:val="0"/>
          <w:marTop w:val="0"/>
          <w:marBottom w:val="0"/>
          <w:divBdr>
            <w:top w:val="none" w:sz="0" w:space="0" w:color="auto"/>
            <w:left w:val="none" w:sz="0" w:space="0" w:color="auto"/>
            <w:bottom w:val="none" w:sz="0" w:space="0" w:color="auto"/>
            <w:right w:val="none" w:sz="0" w:space="0" w:color="auto"/>
          </w:divBdr>
        </w:div>
        <w:div w:id="434862488">
          <w:marLeft w:val="0"/>
          <w:marRight w:val="0"/>
          <w:marTop w:val="0"/>
          <w:marBottom w:val="0"/>
          <w:divBdr>
            <w:top w:val="none" w:sz="0" w:space="0" w:color="auto"/>
            <w:left w:val="none" w:sz="0" w:space="0" w:color="auto"/>
            <w:bottom w:val="none" w:sz="0" w:space="0" w:color="auto"/>
            <w:right w:val="none" w:sz="0" w:space="0" w:color="auto"/>
          </w:divBdr>
        </w:div>
        <w:div w:id="458958237">
          <w:marLeft w:val="0"/>
          <w:marRight w:val="0"/>
          <w:marTop w:val="0"/>
          <w:marBottom w:val="0"/>
          <w:divBdr>
            <w:top w:val="none" w:sz="0" w:space="0" w:color="auto"/>
            <w:left w:val="none" w:sz="0" w:space="0" w:color="auto"/>
            <w:bottom w:val="none" w:sz="0" w:space="0" w:color="auto"/>
            <w:right w:val="none" w:sz="0" w:space="0" w:color="auto"/>
          </w:divBdr>
        </w:div>
        <w:div w:id="473108237">
          <w:marLeft w:val="0"/>
          <w:marRight w:val="0"/>
          <w:marTop w:val="0"/>
          <w:marBottom w:val="0"/>
          <w:divBdr>
            <w:top w:val="none" w:sz="0" w:space="0" w:color="auto"/>
            <w:left w:val="none" w:sz="0" w:space="0" w:color="auto"/>
            <w:bottom w:val="none" w:sz="0" w:space="0" w:color="auto"/>
            <w:right w:val="none" w:sz="0" w:space="0" w:color="auto"/>
          </w:divBdr>
        </w:div>
        <w:div w:id="735978369">
          <w:marLeft w:val="0"/>
          <w:marRight w:val="0"/>
          <w:marTop w:val="0"/>
          <w:marBottom w:val="0"/>
          <w:divBdr>
            <w:top w:val="none" w:sz="0" w:space="0" w:color="auto"/>
            <w:left w:val="none" w:sz="0" w:space="0" w:color="auto"/>
            <w:bottom w:val="none" w:sz="0" w:space="0" w:color="auto"/>
            <w:right w:val="none" w:sz="0" w:space="0" w:color="auto"/>
          </w:divBdr>
        </w:div>
        <w:div w:id="1099837931">
          <w:marLeft w:val="0"/>
          <w:marRight w:val="0"/>
          <w:marTop w:val="0"/>
          <w:marBottom w:val="0"/>
          <w:divBdr>
            <w:top w:val="none" w:sz="0" w:space="0" w:color="auto"/>
            <w:left w:val="none" w:sz="0" w:space="0" w:color="auto"/>
            <w:bottom w:val="none" w:sz="0" w:space="0" w:color="auto"/>
            <w:right w:val="none" w:sz="0" w:space="0" w:color="auto"/>
          </w:divBdr>
        </w:div>
        <w:div w:id="1227109961">
          <w:marLeft w:val="0"/>
          <w:marRight w:val="0"/>
          <w:marTop w:val="0"/>
          <w:marBottom w:val="0"/>
          <w:divBdr>
            <w:top w:val="none" w:sz="0" w:space="0" w:color="auto"/>
            <w:left w:val="none" w:sz="0" w:space="0" w:color="auto"/>
            <w:bottom w:val="none" w:sz="0" w:space="0" w:color="auto"/>
            <w:right w:val="none" w:sz="0" w:space="0" w:color="auto"/>
          </w:divBdr>
        </w:div>
        <w:div w:id="1768302951">
          <w:marLeft w:val="0"/>
          <w:marRight w:val="0"/>
          <w:marTop w:val="0"/>
          <w:marBottom w:val="0"/>
          <w:divBdr>
            <w:top w:val="none" w:sz="0" w:space="0" w:color="auto"/>
            <w:left w:val="none" w:sz="0" w:space="0" w:color="auto"/>
            <w:bottom w:val="none" w:sz="0" w:space="0" w:color="auto"/>
            <w:right w:val="none" w:sz="0" w:space="0" w:color="auto"/>
          </w:divBdr>
        </w:div>
        <w:div w:id="1989703478">
          <w:marLeft w:val="0"/>
          <w:marRight w:val="0"/>
          <w:marTop w:val="0"/>
          <w:marBottom w:val="0"/>
          <w:divBdr>
            <w:top w:val="none" w:sz="0" w:space="0" w:color="auto"/>
            <w:left w:val="none" w:sz="0" w:space="0" w:color="auto"/>
            <w:bottom w:val="none" w:sz="0" w:space="0" w:color="auto"/>
            <w:right w:val="none" w:sz="0" w:space="0" w:color="auto"/>
          </w:divBdr>
        </w:div>
        <w:div w:id="2055276142">
          <w:marLeft w:val="0"/>
          <w:marRight w:val="0"/>
          <w:marTop w:val="0"/>
          <w:marBottom w:val="0"/>
          <w:divBdr>
            <w:top w:val="none" w:sz="0" w:space="0" w:color="auto"/>
            <w:left w:val="none" w:sz="0" w:space="0" w:color="auto"/>
            <w:bottom w:val="none" w:sz="0" w:space="0" w:color="auto"/>
            <w:right w:val="none" w:sz="0" w:space="0" w:color="auto"/>
          </w:divBdr>
        </w:div>
        <w:div w:id="2073309911">
          <w:marLeft w:val="0"/>
          <w:marRight w:val="0"/>
          <w:marTop w:val="0"/>
          <w:marBottom w:val="0"/>
          <w:divBdr>
            <w:top w:val="none" w:sz="0" w:space="0" w:color="auto"/>
            <w:left w:val="none" w:sz="0" w:space="0" w:color="auto"/>
            <w:bottom w:val="none" w:sz="0" w:space="0" w:color="auto"/>
            <w:right w:val="none" w:sz="0" w:space="0" w:color="auto"/>
          </w:divBdr>
        </w:div>
        <w:div w:id="2097705867">
          <w:marLeft w:val="0"/>
          <w:marRight w:val="0"/>
          <w:marTop w:val="0"/>
          <w:marBottom w:val="0"/>
          <w:divBdr>
            <w:top w:val="none" w:sz="0" w:space="0" w:color="auto"/>
            <w:left w:val="none" w:sz="0" w:space="0" w:color="auto"/>
            <w:bottom w:val="none" w:sz="0" w:space="0" w:color="auto"/>
            <w:right w:val="none" w:sz="0" w:space="0" w:color="auto"/>
          </w:divBdr>
        </w:div>
      </w:divsChild>
    </w:div>
    <w:div w:id="1155488612">
      <w:bodyDiv w:val="1"/>
      <w:marLeft w:val="0"/>
      <w:marRight w:val="0"/>
      <w:marTop w:val="0"/>
      <w:marBottom w:val="0"/>
      <w:divBdr>
        <w:top w:val="none" w:sz="0" w:space="0" w:color="auto"/>
        <w:left w:val="none" w:sz="0" w:space="0" w:color="auto"/>
        <w:bottom w:val="none" w:sz="0" w:space="0" w:color="auto"/>
        <w:right w:val="none" w:sz="0" w:space="0" w:color="auto"/>
      </w:divBdr>
    </w:div>
    <w:div w:id="1263995797">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68485739">
      <w:bodyDiv w:val="1"/>
      <w:marLeft w:val="0"/>
      <w:marRight w:val="0"/>
      <w:marTop w:val="0"/>
      <w:marBottom w:val="0"/>
      <w:divBdr>
        <w:top w:val="none" w:sz="0" w:space="0" w:color="auto"/>
        <w:left w:val="none" w:sz="0" w:space="0" w:color="auto"/>
        <w:bottom w:val="none" w:sz="0" w:space="0" w:color="auto"/>
        <w:right w:val="none" w:sz="0" w:space="0" w:color="auto"/>
      </w:divBdr>
    </w:div>
    <w:div w:id="1411728992">
      <w:bodyDiv w:val="1"/>
      <w:marLeft w:val="0"/>
      <w:marRight w:val="0"/>
      <w:marTop w:val="0"/>
      <w:marBottom w:val="0"/>
      <w:divBdr>
        <w:top w:val="none" w:sz="0" w:space="0" w:color="auto"/>
        <w:left w:val="none" w:sz="0" w:space="0" w:color="auto"/>
        <w:bottom w:val="none" w:sz="0" w:space="0" w:color="auto"/>
        <w:right w:val="none" w:sz="0" w:space="0" w:color="auto"/>
      </w:divBdr>
    </w:div>
    <w:div w:id="1415325312">
      <w:bodyDiv w:val="1"/>
      <w:marLeft w:val="0"/>
      <w:marRight w:val="0"/>
      <w:marTop w:val="0"/>
      <w:marBottom w:val="0"/>
      <w:divBdr>
        <w:top w:val="none" w:sz="0" w:space="0" w:color="auto"/>
        <w:left w:val="none" w:sz="0" w:space="0" w:color="auto"/>
        <w:bottom w:val="none" w:sz="0" w:space="0" w:color="auto"/>
        <w:right w:val="none" w:sz="0" w:space="0" w:color="auto"/>
      </w:divBdr>
    </w:div>
    <w:div w:id="1431509296">
      <w:bodyDiv w:val="1"/>
      <w:marLeft w:val="0"/>
      <w:marRight w:val="0"/>
      <w:marTop w:val="0"/>
      <w:marBottom w:val="0"/>
      <w:divBdr>
        <w:top w:val="none" w:sz="0" w:space="0" w:color="auto"/>
        <w:left w:val="none" w:sz="0" w:space="0" w:color="auto"/>
        <w:bottom w:val="none" w:sz="0" w:space="0" w:color="auto"/>
        <w:right w:val="none" w:sz="0" w:space="0" w:color="auto"/>
      </w:divBdr>
    </w:div>
    <w:div w:id="1475221370">
      <w:bodyDiv w:val="1"/>
      <w:marLeft w:val="0"/>
      <w:marRight w:val="0"/>
      <w:marTop w:val="0"/>
      <w:marBottom w:val="0"/>
      <w:divBdr>
        <w:top w:val="none" w:sz="0" w:space="0" w:color="auto"/>
        <w:left w:val="none" w:sz="0" w:space="0" w:color="auto"/>
        <w:bottom w:val="none" w:sz="0" w:space="0" w:color="auto"/>
        <w:right w:val="none" w:sz="0" w:space="0" w:color="auto"/>
      </w:divBdr>
    </w:div>
    <w:div w:id="1485662518">
      <w:bodyDiv w:val="1"/>
      <w:marLeft w:val="0"/>
      <w:marRight w:val="0"/>
      <w:marTop w:val="0"/>
      <w:marBottom w:val="0"/>
      <w:divBdr>
        <w:top w:val="none" w:sz="0" w:space="0" w:color="auto"/>
        <w:left w:val="none" w:sz="0" w:space="0" w:color="auto"/>
        <w:bottom w:val="none" w:sz="0" w:space="0" w:color="auto"/>
        <w:right w:val="none" w:sz="0" w:space="0" w:color="auto"/>
      </w:divBdr>
      <w:divsChild>
        <w:div w:id="494149776">
          <w:marLeft w:val="0"/>
          <w:marRight w:val="0"/>
          <w:marTop w:val="0"/>
          <w:marBottom w:val="0"/>
          <w:divBdr>
            <w:top w:val="none" w:sz="0" w:space="0" w:color="auto"/>
            <w:left w:val="none" w:sz="0" w:space="0" w:color="auto"/>
            <w:bottom w:val="none" w:sz="0" w:space="0" w:color="auto"/>
            <w:right w:val="none" w:sz="0" w:space="0" w:color="auto"/>
          </w:divBdr>
          <w:divsChild>
            <w:div w:id="259220214">
              <w:marLeft w:val="0"/>
              <w:marRight w:val="0"/>
              <w:marTop w:val="0"/>
              <w:marBottom w:val="0"/>
              <w:divBdr>
                <w:top w:val="none" w:sz="0" w:space="0" w:color="auto"/>
                <w:left w:val="none" w:sz="0" w:space="0" w:color="auto"/>
                <w:bottom w:val="none" w:sz="0" w:space="0" w:color="auto"/>
                <w:right w:val="none" w:sz="0" w:space="0" w:color="auto"/>
              </w:divBdr>
              <w:divsChild>
                <w:div w:id="1519002370">
                  <w:marLeft w:val="-15"/>
                  <w:marRight w:val="0"/>
                  <w:marTop w:val="0"/>
                  <w:marBottom w:val="0"/>
                  <w:divBdr>
                    <w:top w:val="none" w:sz="0" w:space="0" w:color="auto"/>
                    <w:left w:val="single" w:sz="6" w:space="0" w:color="919B9C"/>
                    <w:bottom w:val="single" w:sz="6" w:space="15" w:color="919B9C"/>
                    <w:right w:val="none" w:sz="0" w:space="0" w:color="auto"/>
                  </w:divBdr>
                  <w:divsChild>
                    <w:div w:id="1541937690">
                      <w:marLeft w:val="0"/>
                      <w:marRight w:val="0"/>
                      <w:marTop w:val="0"/>
                      <w:marBottom w:val="0"/>
                      <w:divBdr>
                        <w:top w:val="none" w:sz="0" w:space="0" w:color="auto"/>
                        <w:left w:val="none" w:sz="0" w:space="0" w:color="auto"/>
                        <w:bottom w:val="none" w:sz="0" w:space="0" w:color="auto"/>
                        <w:right w:val="none" w:sz="0" w:space="0" w:color="auto"/>
                      </w:divBdr>
                      <w:divsChild>
                        <w:div w:id="1826512695">
                          <w:marLeft w:val="0"/>
                          <w:marRight w:val="0"/>
                          <w:marTop w:val="0"/>
                          <w:marBottom w:val="0"/>
                          <w:divBdr>
                            <w:top w:val="none" w:sz="0" w:space="0" w:color="auto"/>
                            <w:left w:val="none" w:sz="0" w:space="0" w:color="auto"/>
                            <w:bottom w:val="none" w:sz="0" w:space="0" w:color="auto"/>
                            <w:right w:val="none" w:sz="0" w:space="0" w:color="auto"/>
                          </w:divBdr>
                          <w:divsChild>
                            <w:div w:id="18413864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493369040">
      <w:bodyDiv w:val="1"/>
      <w:marLeft w:val="0"/>
      <w:marRight w:val="0"/>
      <w:marTop w:val="0"/>
      <w:marBottom w:val="0"/>
      <w:divBdr>
        <w:top w:val="none" w:sz="0" w:space="0" w:color="auto"/>
        <w:left w:val="none" w:sz="0" w:space="0" w:color="auto"/>
        <w:bottom w:val="none" w:sz="0" w:space="0" w:color="auto"/>
        <w:right w:val="none" w:sz="0" w:space="0" w:color="auto"/>
      </w:divBdr>
    </w:div>
    <w:div w:id="1570262841">
      <w:bodyDiv w:val="1"/>
      <w:marLeft w:val="0"/>
      <w:marRight w:val="0"/>
      <w:marTop w:val="0"/>
      <w:marBottom w:val="0"/>
      <w:divBdr>
        <w:top w:val="none" w:sz="0" w:space="0" w:color="auto"/>
        <w:left w:val="none" w:sz="0" w:space="0" w:color="auto"/>
        <w:bottom w:val="none" w:sz="0" w:space="0" w:color="auto"/>
        <w:right w:val="none" w:sz="0" w:space="0" w:color="auto"/>
      </w:divBdr>
    </w:div>
    <w:div w:id="1613627859">
      <w:bodyDiv w:val="1"/>
      <w:marLeft w:val="0"/>
      <w:marRight w:val="0"/>
      <w:marTop w:val="0"/>
      <w:marBottom w:val="0"/>
      <w:divBdr>
        <w:top w:val="none" w:sz="0" w:space="0" w:color="auto"/>
        <w:left w:val="none" w:sz="0" w:space="0" w:color="auto"/>
        <w:bottom w:val="none" w:sz="0" w:space="0" w:color="auto"/>
        <w:right w:val="none" w:sz="0" w:space="0" w:color="auto"/>
      </w:divBdr>
    </w:div>
    <w:div w:id="1701009385">
      <w:bodyDiv w:val="1"/>
      <w:marLeft w:val="0"/>
      <w:marRight w:val="0"/>
      <w:marTop w:val="0"/>
      <w:marBottom w:val="0"/>
      <w:divBdr>
        <w:top w:val="none" w:sz="0" w:space="0" w:color="auto"/>
        <w:left w:val="none" w:sz="0" w:space="0" w:color="auto"/>
        <w:bottom w:val="none" w:sz="0" w:space="0" w:color="auto"/>
        <w:right w:val="none" w:sz="0" w:space="0" w:color="auto"/>
      </w:divBdr>
    </w:div>
    <w:div w:id="1774126555">
      <w:bodyDiv w:val="1"/>
      <w:marLeft w:val="0"/>
      <w:marRight w:val="0"/>
      <w:marTop w:val="0"/>
      <w:marBottom w:val="0"/>
      <w:divBdr>
        <w:top w:val="none" w:sz="0" w:space="0" w:color="auto"/>
        <w:left w:val="none" w:sz="0" w:space="0" w:color="auto"/>
        <w:bottom w:val="none" w:sz="0" w:space="0" w:color="auto"/>
        <w:right w:val="none" w:sz="0" w:space="0" w:color="auto"/>
      </w:divBdr>
    </w:div>
    <w:div w:id="1794521784">
      <w:bodyDiv w:val="1"/>
      <w:marLeft w:val="0"/>
      <w:marRight w:val="0"/>
      <w:marTop w:val="0"/>
      <w:marBottom w:val="0"/>
      <w:divBdr>
        <w:top w:val="none" w:sz="0" w:space="0" w:color="auto"/>
        <w:left w:val="none" w:sz="0" w:space="0" w:color="auto"/>
        <w:bottom w:val="none" w:sz="0" w:space="0" w:color="auto"/>
        <w:right w:val="none" w:sz="0" w:space="0" w:color="auto"/>
      </w:divBdr>
    </w:div>
    <w:div w:id="1882017058">
      <w:bodyDiv w:val="1"/>
      <w:marLeft w:val="0"/>
      <w:marRight w:val="0"/>
      <w:marTop w:val="0"/>
      <w:marBottom w:val="0"/>
      <w:divBdr>
        <w:top w:val="none" w:sz="0" w:space="0" w:color="auto"/>
        <w:left w:val="none" w:sz="0" w:space="0" w:color="auto"/>
        <w:bottom w:val="none" w:sz="0" w:space="0" w:color="auto"/>
        <w:right w:val="none" w:sz="0" w:space="0" w:color="auto"/>
      </w:divBdr>
    </w:div>
    <w:div w:id="1885749176">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05745469">
      <w:bodyDiv w:val="1"/>
      <w:marLeft w:val="0"/>
      <w:marRight w:val="0"/>
      <w:marTop w:val="0"/>
      <w:marBottom w:val="0"/>
      <w:divBdr>
        <w:top w:val="none" w:sz="0" w:space="0" w:color="auto"/>
        <w:left w:val="none" w:sz="0" w:space="0" w:color="auto"/>
        <w:bottom w:val="none" w:sz="0" w:space="0" w:color="auto"/>
        <w:right w:val="none" w:sz="0" w:space="0" w:color="auto"/>
      </w:divBdr>
    </w:div>
    <w:div w:id="20479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eapro/12205_1225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E776C-72E7-4516-9F65-DB4CD846AB01}"/>
</file>

<file path=customXml/itemProps2.xml><?xml version="1.0" encoding="utf-8"?>
<ds:datastoreItem xmlns:ds="http://schemas.openxmlformats.org/officeDocument/2006/customXml" ds:itemID="{97E180BC-18B2-4C2B-AECB-2F3F5CC9D308}"/>
</file>

<file path=customXml/itemProps3.xml><?xml version="1.0" encoding="utf-8"?>
<ds:datastoreItem xmlns:ds="http://schemas.openxmlformats.org/officeDocument/2006/customXml" ds:itemID="{0DF7F780-3A94-4612-B9AA-D24949198BE6}"/>
</file>

<file path=customXml/itemProps4.xml><?xml version="1.0" encoding="utf-8"?>
<ds:datastoreItem xmlns:ds="http://schemas.openxmlformats.org/officeDocument/2006/customXml" ds:itemID="{F25C555F-E60D-47DC-910A-F3E68B3B3B12}"/>
</file>

<file path=docProps/app.xml><?xml version="1.0" encoding="utf-8"?>
<Properties xmlns="http://schemas.openxmlformats.org/officeDocument/2006/extended-properties" xmlns:vt="http://schemas.openxmlformats.org/officeDocument/2006/docPropsVTypes">
  <Template>Normal.dotm</Template>
  <TotalTime>0</TotalTime>
  <Pages>35</Pages>
  <Words>15850</Words>
  <Characters>90351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2013-11-20T00:05:00Z</dcterms:created>
  <dcterms:modified xsi:type="dcterms:W3CDTF">2014-01-29T04:41:00Z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312100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