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A871A" w14:textId="77777777" w:rsidR="00161F35" w:rsidRPr="00C93A4A" w:rsidRDefault="00161F35" w:rsidP="002A3F30">
      <w:pPr>
        <w:pStyle w:val="Title"/>
        <w:pBdr>
          <w:bottom w:val="none" w:sz="0" w:space="0" w:color="auto"/>
        </w:pBdr>
        <w:rPr>
          <w:color w:val="375439" w:themeColor="accent1" w:themeShade="80"/>
          <w:sz w:val="56"/>
          <w:szCs w:val="56"/>
          <w:lang w:val="en-GB"/>
        </w:rPr>
      </w:pPr>
    </w:p>
    <w:p w14:paraId="0B2E7F93" w14:textId="77777777" w:rsidR="00161F35" w:rsidRPr="00C93A4A" w:rsidRDefault="00161F35" w:rsidP="002A3F30">
      <w:pPr>
        <w:pStyle w:val="Title"/>
        <w:pBdr>
          <w:bottom w:val="none" w:sz="0" w:space="0" w:color="auto"/>
        </w:pBdr>
        <w:rPr>
          <w:color w:val="375439" w:themeColor="accent1" w:themeShade="80"/>
          <w:sz w:val="56"/>
          <w:szCs w:val="56"/>
          <w:lang w:val="en-GB"/>
        </w:rPr>
      </w:pPr>
      <w:r w:rsidRPr="00C93A4A">
        <w:rPr>
          <w:color w:val="375439" w:themeColor="accent1" w:themeShade="80"/>
          <w:sz w:val="56"/>
          <w:szCs w:val="56"/>
          <w:lang w:val="en-GB"/>
        </w:rPr>
        <w:t xml:space="preserve">Roads for Development (R4D) </w:t>
      </w:r>
    </w:p>
    <w:p w14:paraId="7AB851E4" w14:textId="77777777" w:rsidR="00161F35" w:rsidRPr="00C93A4A" w:rsidRDefault="00161F35" w:rsidP="002A3F30">
      <w:pPr>
        <w:pStyle w:val="Title"/>
        <w:pBdr>
          <w:bottom w:val="none" w:sz="0" w:space="0" w:color="auto"/>
        </w:pBdr>
        <w:rPr>
          <w:color w:val="375439" w:themeColor="accent1" w:themeShade="80"/>
          <w:sz w:val="56"/>
          <w:szCs w:val="56"/>
          <w:lang w:val="en-GB"/>
        </w:rPr>
      </w:pPr>
    </w:p>
    <w:p w14:paraId="1F8D7D13" w14:textId="11E0DE2E" w:rsidR="00161F35" w:rsidRPr="00C93A4A" w:rsidRDefault="00161F35" w:rsidP="002A3F30">
      <w:pPr>
        <w:pStyle w:val="Title"/>
        <w:pBdr>
          <w:bottom w:val="single" w:sz="8" w:space="4" w:color="375439" w:themeColor="accent1" w:themeShade="80"/>
        </w:pBdr>
        <w:rPr>
          <w:color w:val="375439" w:themeColor="accent1" w:themeShade="80"/>
          <w:sz w:val="56"/>
          <w:szCs w:val="56"/>
          <w:lang w:val="en-GB"/>
        </w:rPr>
      </w:pPr>
      <w:r w:rsidRPr="00C93A4A">
        <w:rPr>
          <w:color w:val="375439" w:themeColor="accent1" w:themeShade="80"/>
          <w:sz w:val="56"/>
          <w:szCs w:val="56"/>
          <w:lang w:val="en-GB"/>
        </w:rPr>
        <w:t>Phase 2 Investment Concept Note</w:t>
      </w:r>
    </w:p>
    <w:p w14:paraId="352587BF" w14:textId="77777777" w:rsidR="00161F35" w:rsidRPr="00C93A4A" w:rsidRDefault="00161F35">
      <w:pPr>
        <w:spacing w:after="0" w:line="240" w:lineRule="auto"/>
        <w:rPr>
          <w:color w:val="375439" w:themeColor="accent1" w:themeShade="80"/>
          <w:lang w:val="en-GB"/>
        </w:rPr>
      </w:pPr>
    </w:p>
    <w:p w14:paraId="6696FFE9" w14:textId="77777777" w:rsidR="00161F35" w:rsidRDefault="00161F35">
      <w:pPr>
        <w:spacing w:after="0" w:line="240" w:lineRule="auto"/>
        <w:rPr>
          <w:lang w:val="en-GB"/>
        </w:rPr>
      </w:pPr>
    </w:p>
    <w:p w14:paraId="69C5DF5F" w14:textId="77777777" w:rsidR="00FA0B26" w:rsidRPr="00C93A4A" w:rsidRDefault="00FA0B26">
      <w:pPr>
        <w:spacing w:after="0" w:line="240" w:lineRule="auto"/>
        <w:rPr>
          <w:lang w:val="en-GB"/>
        </w:rPr>
      </w:pPr>
    </w:p>
    <w:p w14:paraId="15CFF638" w14:textId="77777777" w:rsidR="00781AEF" w:rsidRPr="00C93A4A" w:rsidRDefault="00781AEF">
      <w:pPr>
        <w:spacing w:after="0" w:line="240" w:lineRule="auto"/>
        <w:rPr>
          <w:lang w:val="en-GB"/>
        </w:rPr>
      </w:pPr>
    </w:p>
    <w:p w14:paraId="662571D9" w14:textId="77777777" w:rsidR="00781AEF" w:rsidRPr="00C93A4A" w:rsidRDefault="00781AEF">
      <w:pPr>
        <w:spacing w:after="0" w:line="240" w:lineRule="auto"/>
        <w:rPr>
          <w:lang w:val="en-GB"/>
        </w:rPr>
      </w:pPr>
    </w:p>
    <w:tbl>
      <w:tblPr>
        <w:tblStyle w:val="TableGrid"/>
        <w:tblW w:w="0" w:type="auto"/>
        <w:tblLook w:val="04A0" w:firstRow="1" w:lastRow="0" w:firstColumn="1" w:lastColumn="0" w:noHBand="0" w:noVBand="1"/>
      </w:tblPr>
      <w:tblGrid>
        <w:gridCol w:w="2160"/>
        <w:gridCol w:w="2196"/>
        <w:gridCol w:w="2403"/>
        <w:gridCol w:w="2069"/>
      </w:tblGrid>
      <w:tr w:rsidR="00FA0B26" w14:paraId="084F1073" w14:textId="77777777" w:rsidTr="00FA0B26">
        <w:tc>
          <w:tcPr>
            <w:tcW w:w="2207" w:type="dxa"/>
          </w:tcPr>
          <w:p w14:paraId="67F79188" w14:textId="1FA09CCD" w:rsidR="00FA0B26" w:rsidRDefault="00FA0B26" w:rsidP="00FA0B26">
            <w:pPr>
              <w:spacing w:after="0" w:line="240" w:lineRule="auto"/>
              <w:ind w:left="-113" w:right="-119"/>
              <w:rPr>
                <w:lang w:val="en-GB"/>
              </w:rPr>
            </w:pPr>
            <w:r w:rsidRPr="00FA0B26">
              <w:rPr>
                <w:noProof/>
                <w:lang w:val="en-GB" w:eastAsia="en-GB"/>
              </w:rPr>
              <w:drawing>
                <wp:inline distT="0" distB="0" distL="0" distR="0" wp14:anchorId="53AF763C" wp14:editId="365D63E7">
                  <wp:extent cx="1457737" cy="1944000"/>
                  <wp:effectExtent l="0" t="0" r="9525" b="0"/>
                  <wp:docPr id="2" name="Picture 2" descr="C:\Users\Matt Bond\Dropbox\Current\R4D\R4D pics\best\P101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 Bond\Dropbox\Current\R4D\R4D pics\best\P1010812.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7737" cy="1944000"/>
                          </a:xfrm>
                          <a:prstGeom prst="rect">
                            <a:avLst/>
                          </a:prstGeom>
                          <a:noFill/>
                          <a:ln>
                            <a:noFill/>
                          </a:ln>
                        </pic:spPr>
                      </pic:pic>
                    </a:graphicData>
                  </a:graphic>
                </wp:inline>
              </w:drawing>
            </w:r>
          </w:p>
        </w:tc>
        <w:tc>
          <w:tcPr>
            <w:tcW w:w="2207" w:type="dxa"/>
          </w:tcPr>
          <w:p w14:paraId="1F97071E" w14:textId="5F92CE78" w:rsidR="00FA0B26" w:rsidRDefault="00FA0B26">
            <w:pPr>
              <w:spacing w:after="0" w:line="240" w:lineRule="auto"/>
              <w:ind w:left="-163"/>
              <w:rPr>
                <w:lang w:val="en-GB"/>
              </w:rPr>
            </w:pPr>
            <w:r w:rsidRPr="00FA0B26">
              <w:rPr>
                <w:noProof/>
                <w:lang w:val="en-GB" w:eastAsia="en-GB"/>
              </w:rPr>
              <w:drawing>
                <wp:inline distT="0" distB="0" distL="0" distR="0" wp14:anchorId="0C05495F" wp14:editId="56EBA4D3">
                  <wp:extent cx="1517218" cy="1944000"/>
                  <wp:effectExtent l="0" t="0" r="6985" b="0"/>
                  <wp:docPr id="3" name="Picture 3" descr="C:\Users\Matt Bond\Dropbox\Current\R4D\R4D pics\best\P10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 Bond\Dropbox\Current\R4D\R4D pics\best\P1010816.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517218" cy="194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7" w:type="dxa"/>
          </w:tcPr>
          <w:p w14:paraId="7FF8D546" w14:textId="0EED75E7" w:rsidR="00FA0B26" w:rsidRDefault="00FA0B26" w:rsidP="00FA0B26">
            <w:pPr>
              <w:spacing w:after="0" w:line="240" w:lineRule="auto"/>
              <w:ind w:left="-197"/>
              <w:rPr>
                <w:lang w:val="en-GB"/>
              </w:rPr>
            </w:pPr>
            <w:r w:rsidRPr="00FA0B26">
              <w:rPr>
                <w:noProof/>
                <w:lang w:val="en-GB" w:eastAsia="en-GB"/>
              </w:rPr>
              <w:drawing>
                <wp:inline distT="0" distB="0" distL="0" distR="0" wp14:anchorId="06882CC9" wp14:editId="587BE063">
                  <wp:extent cx="1692762" cy="1944000"/>
                  <wp:effectExtent l="0" t="0" r="3175" b="0"/>
                  <wp:docPr id="4" name="Picture 4" descr="C:\Users\Matt Bond\Dropbox\Current\R4D\R4D pics\best\P101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 Bond\Dropbox\Current\R4D\R4D pics\best\P1010834.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692762" cy="194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7" w:type="dxa"/>
          </w:tcPr>
          <w:p w14:paraId="081AD44C" w14:textId="16080CB3" w:rsidR="00FA0B26" w:rsidRDefault="00FA0B26" w:rsidP="00FA0B26">
            <w:pPr>
              <w:spacing w:after="0" w:line="240" w:lineRule="auto"/>
              <w:ind w:left="-215"/>
              <w:rPr>
                <w:lang w:val="en-GB"/>
              </w:rPr>
            </w:pPr>
            <w:r w:rsidRPr="00FA0B26">
              <w:rPr>
                <w:noProof/>
                <w:lang w:val="en-GB" w:eastAsia="en-GB"/>
              </w:rPr>
              <w:drawing>
                <wp:inline distT="0" distB="0" distL="0" distR="0" wp14:anchorId="232C83A3" wp14:editId="63A56F54">
                  <wp:extent cx="1457737" cy="1944000"/>
                  <wp:effectExtent l="0" t="0" r="9525" b="0"/>
                  <wp:docPr id="6" name="Picture 6" descr="C:\Users\Matt Bond\Dropbox\Current\R4D\R4D pics\best\P101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 Bond\Dropbox\Current\R4D\R4D pics\best\P1010865.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57737" cy="1944000"/>
                          </a:xfrm>
                          <a:prstGeom prst="rect">
                            <a:avLst/>
                          </a:prstGeom>
                          <a:noFill/>
                          <a:ln>
                            <a:noFill/>
                          </a:ln>
                        </pic:spPr>
                      </pic:pic>
                    </a:graphicData>
                  </a:graphic>
                </wp:inline>
              </w:drawing>
            </w:r>
          </w:p>
        </w:tc>
      </w:tr>
    </w:tbl>
    <w:p w14:paraId="458D71D1" w14:textId="77777777" w:rsidR="00781AEF" w:rsidRPr="00C93A4A" w:rsidRDefault="00781AEF">
      <w:pPr>
        <w:spacing w:after="0" w:line="240" w:lineRule="auto"/>
        <w:rPr>
          <w:lang w:val="en-GB"/>
        </w:rPr>
      </w:pPr>
    </w:p>
    <w:p w14:paraId="5E542C8D" w14:textId="77777777" w:rsidR="00781AEF" w:rsidRPr="00C93A4A" w:rsidRDefault="00781AEF">
      <w:pPr>
        <w:spacing w:after="0" w:line="240" w:lineRule="auto"/>
        <w:rPr>
          <w:lang w:val="en-GB"/>
        </w:rPr>
      </w:pPr>
    </w:p>
    <w:p w14:paraId="5E3DFDF4" w14:textId="77777777" w:rsidR="00781AEF" w:rsidRPr="00C93A4A" w:rsidRDefault="00781AEF">
      <w:pPr>
        <w:spacing w:after="0" w:line="240" w:lineRule="auto"/>
        <w:rPr>
          <w:lang w:val="en-GB"/>
        </w:rPr>
      </w:pPr>
    </w:p>
    <w:p w14:paraId="0B446697" w14:textId="77777777" w:rsidR="00781AEF" w:rsidRPr="00C93A4A" w:rsidRDefault="00781AEF">
      <w:pPr>
        <w:spacing w:after="0" w:line="240" w:lineRule="auto"/>
        <w:rPr>
          <w:lang w:val="en-GB"/>
        </w:rPr>
      </w:pPr>
    </w:p>
    <w:p w14:paraId="5631E6B7" w14:textId="77777777" w:rsidR="00781AEF" w:rsidRPr="00C93A4A" w:rsidRDefault="00781AEF">
      <w:pPr>
        <w:spacing w:after="0" w:line="240" w:lineRule="auto"/>
        <w:rPr>
          <w:lang w:val="en-GB"/>
        </w:rPr>
      </w:pPr>
    </w:p>
    <w:p w14:paraId="536CE5A1" w14:textId="77777777" w:rsidR="00781AEF" w:rsidRPr="00C93A4A" w:rsidRDefault="00781AEF">
      <w:pPr>
        <w:spacing w:after="0" w:line="240" w:lineRule="auto"/>
        <w:rPr>
          <w:lang w:val="en-GB"/>
        </w:rPr>
      </w:pPr>
    </w:p>
    <w:p w14:paraId="13B22197" w14:textId="77777777" w:rsidR="00781AEF" w:rsidRPr="00C93A4A" w:rsidRDefault="00781AEF">
      <w:pPr>
        <w:spacing w:after="0" w:line="240" w:lineRule="auto"/>
        <w:rPr>
          <w:lang w:val="en-GB"/>
        </w:rPr>
      </w:pPr>
    </w:p>
    <w:p w14:paraId="33BF5800" w14:textId="77777777" w:rsidR="00781AEF" w:rsidRDefault="00781AEF">
      <w:pPr>
        <w:spacing w:after="0" w:line="240" w:lineRule="auto"/>
        <w:rPr>
          <w:lang w:val="en-GB"/>
        </w:rPr>
      </w:pPr>
    </w:p>
    <w:p w14:paraId="671722F1" w14:textId="77777777" w:rsidR="00FA0B26" w:rsidRDefault="00FA0B26">
      <w:pPr>
        <w:spacing w:after="0" w:line="240" w:lineRule="auto"/>
        <w:rPr>
          <w:lang w:val="en-GB"/>
        </w:rPr>
      </w:pPr>
    </w:p>
    <w:p w14:paraId="7DA452CF" w14:textId="77777777" w:rsidR="00FA0B26" w:rsidRDefault="00FA0B26">
      <w:pPr>
        <w:spacing w:after="0" w:line="240" w:lineRule="auto"/>
        <w:rPr>
          <w:lang w:val="en-GB"/>
        </w:rPr>
      </w:pPr>
    </w:p>
    <w:p w14:paraId="2409D88B" w14:textId="77777777" w:rsidR="00FA0B26" w:rsidRPr="00C93A4A" w:rsidRDefault="00FA0B26">
      <w:pPr>
        <w:spacing w:after="0" w:line="240" w:lineRule="auto"/>
        <w:rPr>
          <w:lang w:val="en-GB"/>
        </w:rPr>
      </w:pPr>
    </w:p>
    <w:p w14:paraId="4E9FD00A" w14:textId="77777777" w:rsidR="00781AEF" w:rsidRPr="00C93A4A" w:rsidRDefault="00781AEF">
      <w:pPr>
        <w:spacing w:after="0" w:line="240" w:lineRule="auto"/>
        <w:rPr>
          <w:lang w:val="en-GB"/>
        </w:rPr>
      </w:pPr>
    </w:p>
    <w:p w14:paraId="63FCF9E1" w14:textId="77777777" w:rsidR="00781AEF" w:rsidRPr="00C93A4A" w:rsidRDefault="00781AEF">
      <w:pPr>
        <w:spacing w:after="0" w:line="240" w:lineRule="auto"/>
        <w:rPr>
          <w:lang w:val="en-GB"/>
        </w:rPr>
      </w:pPr>
    </w:p>
    <w:p w14:paraId="7B0B1C4E" w14:textId="77777777" w:rsidR="00781AEF" w:rsidRPr="00C93A4A" w:rsidRDefault="00781AEF">
      <w:pPr>
        <w:spacing w:after="0" w:line="240" w:lineRule="auto"/>
        <w:rPr>
          <w:lang w:val="en-GB"/>
        </w:rPr>
      </w:pPr>
    </w:p>
    <w:p w14:paraId="09B6A328" w14:textId="22AFF5AC" w:rsidR="00161F35" w:rsidRPr="00C93A4A" w:rsidRDefault="00161F35">
      <w:pPr>
        <w:spacing w:after="0" w:line="240" w:lineRule="auto"/>
        <w:rPr>
          <w:lang w:val="en-GB"/>
        </w:rPr>
      </w:pPr>
      <w:r w:rsidRPr="00C93A4A">
        <w:rPr>
          <w:lang w:val="en-GB"/>
        </w:rPr>
        <w:t>Version 1.</w:t>
      </w:r>
      <w:r w:rsidR="004F2D3F">
        <w:rPr>
          <w:lang w:val="en-GB"/>
        </w:rPr>
        <w:t>1</w:t>
      </w:r>
    </w:p>
    <w:p w14:paraId="3E9DF765" w14:textId="1E2FB0F8" w:rsidR="00161F35" w:rsidRPr="00C93A4A" w:rsidRDefault="00C2653E">
      <w:pPr>
        <w:spacing w:after="0" w:line="240" w:lineRule="auto"/>
        <w:rPr>
          <w:lang w:val="en-GB"/>
        </w:rPr>
      </w:pPr>
      <w:r>
        <w:rPr>
          <w:lang w:val="en-GB"/>
        </w:rPr>
        <w:t>Final, 19 August 2015</w:t>
      </w:r>
    </w:p>
    <w:p w14:paraId="49E47CB0" w14:textId="77777777" w:rsidR="00161F35" w:rsidRPr="00C93A4A" w:rsidRDefault="00161F35">
      <w:pPr>
        <w:spacing w:after="0" w:line="240" w:lineRule="auto"/>
        <w:rPr>
          <w:lang w:val="en-GB"/>
        </w:rPr>
      </w:pPr>
    </w:p>
    <w:p w14:paraId="49DC8FA1" w14:textId="77777777" w:rsidR="00161F35" w:rsidRPr="00C93A4A" w:rsidRDefault="00161F35">
      <w:pPr>
        <w:spacing w:after="0" w:line="240" w:lineRule="auto"/>
        <w:rPr>
          <w:lang w:val="en-GB"/>
        </w:rPr>
      </w:pPr>
    </w:p>
    <w:p w14:paraId="2D7EF07A" w14:textId="77777777" w:rsidR="00161F35" w:rsidRPr="00C93A4A" w:rsidRDefault="00161F35">
      <w:pPr>
        <w:spacing w:after="0" w:line="240" w:lineRule="auto"/>
        <w:rPr>
          <w:lang w:val="en-GB"/>
        </w:rPr>
        <w:sectPr w:rsidR="00161F35" w:rsidRPr="00C93A4A" w:rsidSect="00F926F8">
          <w:pgSz w:w="12240" w:h="15840"/>
          <w:pgMar w:top="1440" w:right="1701" w:bottom="1440" w:left="1701" w:header="709" w:footer="709" w:gutter="0"/>
          <w:cols w:space="708"/>
          <w:docGrid w:linePitch="360"/>
        </w:sectPr>
      </w:pPr>
    </w:p>
    <w:sdt>
      <w:sdtPr>
        <w:rPr>
          <w:rFonts w:ascii="Calibri" w:eastAsia="Times New Roman" w:hAnsi="Calibri" w:cs="Times New Roman"/>
          <w:color w:val="auto"/>
          <w:sz w:val="22"/>
          <w:szCs w:val="24"/>
          <w:lang w:val="en-GB"/>
        </w:rPr>
        <w:id w:val="2084101842"/>
        <w:docPartObj>
          <w:docPartGallery w:val="Table of Contents"/>
          <w:docPartUnique/>
        </w:docPartObj>
      </w:sdtPr>
      <w:sdtEndPr>
        <w:rPr>
          <w:b/>
          <w:bCs/>
          <w:noProof/>
        </w:rPr>
      </w:sdtEndPr>
      <w:sdtContent>
        <w:p w14:paraId="0457F52F" w14:textId="6226BA83" w:rsidR="00781AEF" w:rsidRPr="00C93A4A" w:rsidRDefault="00781AEF">
          <w:pPr>
            <w:pStyle w:val="TOCHeading"/>
            <w:rPr>
              <w:rFonts w:asciiTheme="minorHAnsi" w:eastAsia="Times New Roman" w:hAnsiTheme="minorHAnsi" w:cs="Times New Roman"/>
              <w:b/>
              <w:bCs/>
              <w:color w:val="676A55" w:themeColor="text2"/>
              <w:sz w:val="24"/>
              <w:szCs w:val="26"/>
              <w:lang w:val="en-GB"/>
            </w:rPr>
          </w:pPr>
          <w:r w:rsidRPr="00C93A4A">
            <w:rPr>
              <w:rFonts w:asciiTheme="minorHAnsi" w:eastAsia="Times New Roman" w:hAnsiTheme="minorHAnsi" w:cs="Times New Roman"/>
              <w:b/>
              <w:bCs/>
              <w:color w:val="676A55" w:themeColor="text2"/>
              <w:sz w:val="24"/>
              <w:szCs w:val="26"/>
              <w:lang w:val="en-GB"/>
            </w:rPr>
            <w:t>Contents</w:t>
          </w:r>
        </w:p>
        <w:p w14:paraId="091DE1F8" w14:textId="77777777" w:rsidR="00781AEF" w:rsidRPr="00C93A4A" w:rsidRDefault="00781AEF" w:rsidP="00781AEF">
          <w:pPr>
            <w:rPr>
              <w:lang w:val="en-GB"/>
            </w:rPr>
          </w:pPr>
        </w:p>
        <w:p w14:paraId="369F1B5C" w14:textId="77777777" w:rsidR="00781AEF" w:rsidRPr="00C93A4A" w:rsidRDefault="00781AEF" w:rsidP="00781AEF">
          <w:pPr>
            <w:pStyle w:val="TOC1"/>
            <w:spacing w:before="240"/>
            <w:rPr>
              <w:rFonts w:eastAsiaTheme="minorEastAsia" w:cstheme="minorBidi"/>
              <w:noProof/>
              <w:sz w:val="18"/>
              <w:szCs w:val="22"/>
              <w:lang w:val="en-GB" w:eastAsia="en-GB"/>
            </w:rPr>
          </w:pPr>
          <w:r w:rsidRPr="00C93A4A">
            <w:rPr>
              <w:lang w:val="en-GB"/>
            </w:rPr>
            <w:fldChar w:fldCharType="begin"/>
          </w:r>
          <w:r w:rsidRPr="00C93A4A">
            <w:rPr>
              <w:lang w:val="en-GB"/>
            </w:rPr>
            <w:instrText xml:space="preserve"> TOC \o "1-3" \h \z \u </w:instrText>
          </w:r>
          <w:r w:rsidRPr="00C93A4A">
            <w:rPr>
              <w:lang w:val="en-GB"/>
            </w:rPr>
            <w:fldChar w:fldCharType="separate"/>
          </w:r>
          <w:hyperlink w:anchor="_Toc424633113" w:history="1">
            <w:r w:rsidRPr="00C93A4A">
              <w:rPr>
                <w:rStyle w:val="Hyperlink"/>
                <w:noProof/>
                <w:sz w:val="22"/>
                <w:lang w:val="en-GB"/>
              </w:rPr>
              <w:t>Abbreviations</w:t>
            </w:r>
            <w:r w:rsidRPr="00C93A4A">
              <w:rPr>
                <w:noProof/>
                <w:webHidden/>
                <w:sz w:val="22"/>
                <w:lang w:val="en-GB"/>
              </w:rPr>
              <w:tab/>
            </w:r>
            <w:r w:rsidRPr="00C93A4A">
              <w:rPr>
                <w:noProof/>
                <w:webHidden/>
                <w:sz w:val="22"/>
                <w:lang w:val="en-GB"/>
              </w:rPr>
              <w:fldChar w:fldCharType="begin"/>
            </w:r>
            <w:r w:rsidRPr="00C93A4A">
              <w:rPr>
                <w:noProof/>
                <w:webHidden/>
                <w:sz w:val="22"/>
                <w:lang w:val="en-GB"/>
              </w:rPr>
              <w:instrText xml:space="preserve"> PAGEREF _Toc424633113 \h </w:instrText>
            </w:r>
            <w:r w:rsidRPr="00C93A4A">
              <w:rPr>
                <w:noProof/>
                <w:webHidden/>
                <w:sz w:val="22"/>
                <w:lang w:val="en-GB"/>
              </w:rPr>
            </w:r>
            <w:r w:rsidRPr="00C93A4A">
              <w:rPr>
                <w:noProof/>
                <w:webHidden/>
                <w:sz w:val="22"/>
                <w:lang w:val="en-GB"/>
              </w:rPr>
              <w:fldChar w:fldCharType="separate"/>
            </w:r>
            <w:r w:rsidR="00375FF2">
              <w:rPr>
                <w:noProof/>
                <w:webHidden/>
                <w:sz w:val="22"/>
                <w:lang w:val="en-GB"/>
              </w:rPr>
              <w:t>ii</w:t>
            </w:r>
            <w:r w:rsidRPr="00C93A4A">
              <w:rPr>
                <w:noProof/>
                <w:webHidden/>
                <w:sz w:val="22"/>
                <w:lang w:val="en-GB"/>
              </w:rPr>
              <w:fldChar w:fldCharType="end"/>
            </w:r>
          </w:hyperlink>
        </w:p>
        <w:p w14:paraId="10E97C14" w14:textId="77777777" w:rsidR="00781AEF" w:rsidRPr="00C93A4A" w:rsidRDefault="00777416" w:rsidP="00781AEF">
          <w:pPr>
            <w:pStyle w:val="TOC1"/>
            <w:spacing w:before="240"/>
            <w:rPr>
              <w:rFonts w:eastAsiaTheme="minorEastAsia" w:cstheme="minorBidi"/>
              <w:noProof/>
              <w:sz w:val="18"/>
              <w:szCs w:val="22"/>
              <w:lang w:val="en-GB" w:eastAsia="en-GB"/>
            </w:rPr>
          </w:pPr>
          <w:hyperlink w:anchor="_Toc424633114" w:history="1">
            <w:r w:rsidR="00781AEF" w:rsidRPr="00C93A4A">
              <w:rPr>
                <w:rStyle w:val="Hyperlink"/>
                <w:noProof/>
                <w:sz w:val="22"/>
                <w:lang w:val="en-GB"/>
              </w:rPr>
              <w:t>A.</w:t>
            </w:r>
            <w:r w:rsidR="00781AEF" w:rsidRPr="00C93A4A">
              <w:rPr>
                <w:rFonts w:eastAsiaTheme="minorEastAsia" w:cstheme="minorBidi"/>
                <w:noProof/>
                <w:sz w:val="18"/>
                <w:szCs w:val="22"/>
                <w:lang w:val="en-GB" w:eastAsia="en-GB"/>
              </w:rPr>
              <w:tab/>
            </w:r>
            <w:r w:rsidR="00781AEF" w:rsidRPr="00C93A4A">
              <w:rPr>
                <w:rStyle w:val="Hyperlink"/>
                <w:noProof/>
                <w:sz w:val="22"/>
                <w:lang w:val="en-GB"/>
              </w:rPr>
              <w:t>Investment summary</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_Toc424633114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1</w:t>
            </w:r>
            <w:r w:rsidR="00781AEF" w:rsidRPr="00C93A4A">
              <w:rPr>
                <w:noProof/>
                <w:webHidden/>
                <w:sz w:val="22"/>
                <w:lang w:val="en-GB"/>
              </w:rPr>
              <w:fldChar w:fldCharType="end"/>
            </w:r>
          </w:hyperlink>
        </w:p>
        <w:p w14:paraId="6849D511" w14:textId="77777777" w:rsidR="00781AEF" w:rsidRPr="00C93A4A" w:rsidRDefault="00777416" w:rsidP="00781AEF">
          <w:pPr>
            <w:pStyle w:val="TOC1"/>
            <w:spacing w:before="240"/>
            <w:rPr>
              <w:rFonts w:eastAsiaTheme="minorEastAsia" w:cstheme="minorBidi"/>
              <w:noProof/>
              <w:sz w:val="18"/>
              <w:szCs w:val="22"/>
              <w:lang w:val="en-GB" w:eastAsia="en-GB"/>
            </w:rPr>
          </w:pPr>
          <w:hyperlink w:anchor="_Toc424633115" w:history="1">
            <w:r w:rsidR="00781AEF" w:rsidRPr="00C93A4A">
              <w:rPr>
                <w:rStyle w:val="Hyperlink"/>
                <w:noProof/>
                <w:sz w:val="22"/>
                <w:lang w:val="en-GB"/>
              </w:rPr>
              <w:t>B.</w:t>
            </w:r>
            <w:r w:rsidR="00781AEF" w:rsidRPr="00C93A4A">
              <w:rPr>
                <w:rFonts w:eastAsiaTheme="minorEastAsia" w:cstheme="minorBidi"/>
                <w:noProof/>
                <w:sz w:val="18"/>
                <w:szCs w:val="22"/>
                <w:lang w:val="en-GB" w:eastAsia="en-GB"/>
              </w:rPr>
              <w:tab/>
            </w:r>
            <w:r w:rsidR="00781AEF" w:rsidRPr="00C93A4A">
              <w:rPr>
                <w:rStyle w:val="Hyperlink"/>
                <w:noProof/>
                <w:sz w:val="22"/>
                <w:lang w:val="en-GB"/>
              </w:rPr>
              <w:t>Problem/issue definition and rationale for investment (Why?)</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_Toc424633115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2</w:t>
            </w:r>
            <w:r w:rsidR="00781AEF" w:rsidRPr="00C93A4A">
              <w:rPr>
                <w:noProof/>
                <w:webHidden/>
                <w:sz w:val="22"/>
                <w:lang w:val="en-GB"/>
              </w:rPr>
              <w:fldChar w:fldCharType="end"/>
            </w:r>
          </w:hyperlink>
        </w:p>
        <w:p w14:paraId="737FEA27" w14:textId="77777777" w:rsidR="00781AEF" w:rsidRPr="00C93A4A" w:rsidRDefault="00777416" w:rsidP="00781AEF">
          <w:pPr>
            <w:pStyle w:val="TOC1"/>
            <w:spacing w:before="240"/>
            <w:rPr>
              <w:rFonts w:eastAsiaTheme="minorEastAsia" w:cstheme="minorBidi"/>
              <w:noProof/>
              <w:sz w:val="18"/>
              <w:szCs w:val="22"/>
              <w:lang w:val="en-GB" w:eastAsia="en-GB"/>
            </w:rPr>
          </w:pPr>
          <w:hyperlink w:anchor="_Toc424633116" w:history="1">
            <w:r w:rsidR="00781AEF" w:rsidRPr="00C93A4A">
              <w:rPr>
                <w:rStyle w:val="Hyperlink"/>
                <w:noProof/>
                <w:sz w:val="22"/>
                <w:lang w:val="en-GB"/>
              </w:rPr>
              <w:t>C.</w:t>
            </w:r>
            <w:r w:rsidR="00781AEF" w:rsidRPr="00C93A4A">
              <w:rPr>
                <w:rFonts w:eastAsiaTheme="minorEastAsia" w:cstheme="minorBidi"/>
                <w:noProof/>
                <w:sz w:val="18"/>
                <w:szCs w:val="22"/>
                <w:lang w:val="en-GB" w:eastAsia="en-GB"/>
              </w:rPr>
              <w:tab/>
            </w:r>
            <w:r w:rsidR="00781AEF" w:rsidRPr="00C93A4A">
              <w:rPr>
                <w:rStyle w:val="Hyperlink"/>
                <w:noProof/>
                <w:sz w:val="22"/>
                <w:lang w:val="en-GB"/>
              </w:rPr>
              <w:t>Proposed outcomes and investment options (What?)</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_Toc424633116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3</w:t>
            </w:r>
            <w:r w:rsidR="00781AEF" w:rsidRPr="00C93A4A">
              <w:rPr>
                <w:noProof/>
                <w:webHidden/>
                <w:sz w:val="22"/>
                <w:lang w:val="en-GB"/>
              </w:rPr>
              <w:fldChar w:fldCharType="end"/>
            </w:r>
          </w:hyperlink>
        </w:p>
        <w:p w14:paraId="0D46D979" w14:textId="77777777" w:rsidR="00781AEF" w:rsidRPr="00C93A4A" w:rsidRDefault="00777416" w:rsidP="00781AEF">
          <w:pPr>
            <w:pStyle w:val="TOC1"/>
            <w:spacing w:before="240"/>
            <w:rPr>
              <w:rFonts w:eastAsiaTheme="minorEastAsia" w:cstheme="minorBidi"/>
              <w:noProof/>
              <w:sz w:val="18"/>
              <w:szCs w:val="22"/>
              <w:lang w:val="en-GB" w:eastAsia="en-GB"/>
            </w:rPr>
          </w:pPr>
          <w:hyperlink w:anchor="_Toc424633117" w:history="1">
            <w:r w:rsidR="00781AEF" w:rsidRPr="00C93A4A">
              <w:rPr>
                <w:rStyle w:val="Hyperlink"/>
                <w:noProof/>
                <w:sz w:val="22"/>
                <w:lang w:val="en-GB"/>
              </w:rPr>
              <w:t>D.</w:t>
            </w:r>
            <w:r w:rsidR="00781AEF" w:rsidRPr="00C93A4A">
              <w:rPr>
                <w:rFonts w:eastAsiaTheme="minorEastAsia" w:cstheme="minorBidi"/>
                <w:noProof/>
                <w:sz w:val="18"/>
                <w:szCs w:val="22"/>
                <w:lang w:val="en-GB" w:eastAsia="en-GB"/>
              </w:rPr>
              <w:tab/>
            </w:r>
            <w:r w:rsidR="00781AEF" w:rsidRPr="00C93A4A">
              <w:rPr>
                <w:rStyle w:val="Hyperlink"/>
                <w:noProof/>
                <w:sz w:val="22"/>
                <w:lang w:val="en-GB"/>
              </w:rPr>
              <w:t>Implementation/delivery approach (How and with whom?)</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_Toc424633117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4</w:t>
            </w:r>
            <w:r w:rsidR="00781AEF" w:rsidRPr="00C93A4A">
              <w:rPr>
                <w:noProof/>
                <w:webHidden/>
                <w:sz w:val="22"/>
                <w:lang w:val="en-GB"/>
              </w:rPr>
              <w:fldChar w:fldCharType="end"/>
            </w:r>
          </w:hyperlink>
        </w:p>
        <w:p w14:paraId="7211C1CF" w14:textId="77777777" w:rsidR="00781AEF" w:rsidRPr="00C93A4A" w:rsidRDefault="00777416" w:rsidP="00781AEF">
          <w:pPr>
            <w:pStyle w:val="TOC1"/>
            <w:spacing w:before="240"/>
            <w:rPr>
              <w:rFonts w:eastAsiaTheme="minorEastAsia" w:cstheme="minorBidi"/>
              <w:noProof/>
              <w:sz w:val="18"/>
              <w:szCs w:val="22"/>
              <w:lang w:val="en-GB" w:eastAsia="en-GB"/>
            </w:rPr>
          </w:pPr>
          <w:hyperlink w:anchor="_Toc424633118" w:history="1">
            <w:r w:rsidR="00781AEF" w:rsidRPr="00C93A4A">
              <w:rPr>
                <w:rStyle w:val="Hyperlink"/>
                <w:noProof/>
                <w:sz w:val="22"/>
                <w:lang w:val="en-GB"/>
              </w:rPr>
              <w:t>E.</w:t>
            </w:r>
            <w:r w:rsidR="00781AEF" w:rsidRPr="00C93A4A">
              <w:rPr>
                <w:rFonts w:eastAsiaTheme="minorEastAsia" w:cstheme="minorBidi"/>
                <w:noProof/>
                <w:sz w:val="18"/>
                <w:szCs w:val="22"/>
                <w:lang w:val="en-GB" w:eastAsia="en-GB"/>
              </w:rPr>
              <w:tab/>
            </w:r>
            <w:r w:rsidR="00781AEF" w:rsidRPr="00C93A4A">
              <w:rPr>
                <w:rStyle w:val="Hyperlink"/>
                <w:noProof/>
                <w:sz w:val="22"/>
                <w:lang w:val="en-GB"/>
              </w:rPr>
              <w:t>Risk assessment approach (What might go wrong?)</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_Toc424633118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6</w:t>
            </w:r>
            <w:r w:rsidR="00781AEF" w:rsidRPr="00C93A4A">
              <w:rPr>
                <w:noProof/>
                <w:webHidden/>
                <w:sz w:val="22"/>
                <w:lang w:val="en-GB"/>
              </w:rPr>
              <w:fldChar w:fldCharType="end"/>
            </w:r>
          </w:hyperlink>
        </w:p>
        <w:p w14:paraId="2E450DA6" w14:textId="77777777" w:rsidR="00781AEF" w:rsidRPr="00C93A4A" w:rsidRDefault="00777416" w:rsidP="00781AEF">
          <w:pPr>
            <w:pStyle w:val="TOC1"/>
            <w:spacing w:before="240"/>
            <w:rPr>
              <w:rFonts w:eastAsiaTheme="minorEastAsia" w:cstheme="minorBidi"/>
              <w:noProof/>
              <w:sz w:val="18"/>
              <w:szCs w:val="22"/>
              <w:lang w:val="en-GB" w:eastAsia="en-GB"/>
            </w:rPr>
          </w:pPr>
          <w:hyperlink w:anchor="_Toc424633119" w:history="1">
            <w:r w:rsidR="00781AEF" w:rsidRPr="00C93A4A">
              <w:rPr>
                <w:rStyle w:val="Hyperlink"/>
                <w:noProof/>
                <w:sz w:val="22"/>
                <w:lang w:val="en-GB"/>
              </w:rPr>
              <w:t>F.</w:t>
            </w:r>
            <w:r w:rsidR="00781AEF" w:rsidRPr="00C93A4A">
              <w:rPr>
                <w:rFonts w:eastAsiaTheme="minorEastAsia" w:cstheme="minorBidi"/>
                <w:noProof/>
                <w:sz w:val="18"/>
                <w:szCs w:val="22"/>
                <w:lang w:val="en-GB" w:eastAsia="en-GB"/>
              </w:rPr>
              <w:tab/>
            </w:r>
            <w:r w:rsidR="00781AEF" w:rsidRPr="00C93A4A">
              <w:rPr>
                <w:rStyle w:val="Hyperlink"/>
                <w:noProof/>
                <w:sz w:val="22"/>
                <w:lang w:val="en-GB"/>
              </w:rPr>
              <w:t>Proposed design and quality assurance process (What are the next steps?)</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_Toc424633119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6</w:t>
            </w:r>
            <w:r w:rsidR="00781AEF" w:rsidRPr="00C93A4A">
              <w:rPr>
                <w:noProof/>
                <w:webHidden/>
                <w:sz w:val="22"/>
                <w:lang w:val="en-GB"/>
              </w:rPr>
              <w:fldChar w:fldCharType="end"/>
            </w:r>
          </w:hyperlink>
        </w:p>
        <w:p w14:paraId="2A295F11" w14:textId="77777777" w:rsidR="00781AEF" w:rsidRPr="00C93A4A" w:rsidRDefault="00777416" w:rsidP="00781AEF">
          <w:pPr>
            <w:pStyle w:val="TOC1"/>
            <w:tabs>
              <w:tab w:val="left" w:pos="1320"/>
            </w:tabs>
            <w:spacing w:before="240"/>
            <w:rPr>
              <w:rFonts w:eastAsiaTheme="minorEastAsia" w:cstheme="minorBidi"/>
              <w:noProof/>
              <w:sz w:val="18"/>
              <w:szCs w:val="22"/>
              <w:lang w:val="en-GB" w:eastAsia="en-GB"/>
            </w:rPr>
          </w:pPr>
          <w:hyperlink w:anchor="_Toc424633120" w:history="1">
            <w:r w:rsidR="00781AEF" w:rsidRPr="00C93A4A">
              <w:rPr>
                <w:rStyle w:val="Hyperlink"/>
                <w:noProof/>
                <w:sz w:val="22"/>
                <w:lang w:val="en-GB"/>
              </w:rPr>
              <w:t>Annex 1.</w:t>
            </w:r>
            <w:r w:rsidR="00781AEF" w:rsidRPr="00C93A4A">
              <w:rPr>
                <w:rFonts w:eastAsiaTheme="minorEastAsia" w:cstheme="minorBidi"/>
                <w:noProof/>
                <w:sz w:val="18"/>
                <w:szCs w:val="22"/>
                <w:lang w:val="en-GB" w:eastAsia="en-GB"/>
              </w:rPr>
              <w:tab/>
            </w:r>
            <w:r w:rsidR="00781AEF" w:rsidRPr="00C93A4A">
              <w:rPr>
                <w:rStyle w:val="Hyperlink"/>
                <w:noProof/>
                <w:sz w:val="22"/>
                <w:lang w:val="en-GB"/>
              </w:rPr>
              <w:t>Risk assessment tool</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_Toc424633120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9</w:t>
            </w:r>
            <w:r w:rsidR="00781AEF" w:rsidRPr="00C93A4A">
              <w:rPr>
                <w:noProof/>
                <w:webHidden/>
                <w:sz w:val="22"/>
                <w:lang w:val="en-GB"/>
              </w:rPr>
              <w:fldChar w:fldCharType="end"/>
            </w:r>
          </w:hyperlink>
        </w:p>
        <w:p w14:paraId="1030C6C7" w14:textId="77777777" w:rsidR="00781AEF" w:rsidRPr="00C93A4A" w:rsidRDefault="00777416" w:rsidP="00781AEF">
          <w:pPr>
            <w:pStyle w:val="TOC1"/>
            <w:tabs>
              <w:tab w:val="left" w:pos="1320"/>
            </w:tabs>
            <w:spacing w:before="240"/>
            <w:rPr>
              <w:rFonts w:eastAsiaTheme="minorEastAsia" w:cstheme="minorBidi"/>
              <w:noProof/>
              <w:sz w:val="18"/>
              <w:szCs w:val="22"/>
              <w:lang w:val="en-GB" w:eastAsia="en-GB"/>
            </w:rPr>
          </w:pPr>
          <w:hyperlink w:anchor="_Toc424633121" w:history="1">
            <w:r w:rsidR="00781AEF" w:rsidRPr="00C93A4A">
              <w:rPr>
                <w:rStyle w:val="Hyperlink"/>
                <w:noProof/>
                <w:sz w:val="22"/>
                <w:lang w:val="en-GB"/>
              </w:rPr>
              <w:t>Annex 2.</w:t>
            </w:r>
            <w:r w:rsidR="00781AEF" w:rsidRPr="00C93A4A">
              <w:rPr>
                <w:rFonts w:eastAsiaTheme="minorEastAsia" w:cstheme="minorBidi"/>
                <w:noProof/>
                <w:sz w:val="18"/>
                <w:szCs w:val="22"/>
                <w:lang w:val="en-GB" w:eastAsia="en-GB"/>
              </w:rPr>
              <w:tab/>
            </w:r>
            <w:r w:rsidR="00781AEF" w:rsidRPr="00C93A4A">
              <w:rPr>
                <w:rStyle w:val="Hyperlink"/>
                <w:noProof/>
                <w:sz w:val="22"/>
                <w:lang w:val="en-GB"/>
              </w:rPr>
              <w:t>Safeguards screening checklist</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_Toc424633121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12</w:t>
            </w:r>
            <w:r w:rsidR="00781AEF" w:rsidRPr="00C93A4A">
              <w:rPr>
                <w:noProof/>
                <w:webHidden/>
                <w:sz w:val="22"/>
                <w:lang w:val="en-GB"/>
              </w:rPr>
              <w:fldChar w:fldCharType="end"/>
            </w:r>
          </w:hyperlink>
        </w:p>
        <w:p w14:paraId="3A466B3A" w14:textId="77777777" w:rsidR="00781AEF" w:rsidRPr="00C93A4A" w:rsidRDefault="00777416" w:rsidP="00781AEF">
          <w:pPr>
            <w:pStyle w:val="TOC1"/>
            <w:tabs>
              <w:tab w:val="left" w:pos="1320"/>
            </w:tabs>
            <w:spacing w:before="240"/>
            <w:rPr>
              <w:rFonts w:eastAsiaTheme="minorEastAsia" w:cstheme="minorBidi"/>
              <w:noProof/>
              <w:sz w:val="18"/>
              <w:szCs w:val="22"/>
              <w:lang w:val="en-GB" w:eastAsia="en-GB"/>
            </w:rPr>
          </w:pPr>
          <w:hyperlink w:anchor="_Toc424633122" w:history="1">
            <w:r w:rsidR="00781AEF" w:rsidRPr="00C93A4A">
              <w:rPr>
                <w:rStyle w:val="Hyperlink"/>
                <w:noProof/>
                <w:sz w:val="22"/>
                <w:lang w:val="en-GB"/>
              </w:rPr>
              <w:t>Annex 3.</w:t>
            </w:r>
            <w:r w:rsidR="00781AEF" w:rsidRPr="00C93A4A">
              <w:rPr>
                <w:rFonts w:eastAsiaTheme="minorEastAsia" w:cstheme="minorBidi"/>
                <w:noProof/>
                <w:sz w:val="18"/>
                <w:szCs w:val="22"/>
                <w:lang w:val="en-GB" w:eastAsia="en-GB"/>
              </w:rPr>
              <w:tab/>
            </w:r>
            <w:r w:rsidR="00781AEF" w:rsidRPr="00C93A4A">
              <w:rPr>
                <w:rStyle w:val="Hyperlink"/>
                <w:noProof/>
                <w:sz w:val="22"/>
                <w:lang w:val="en-GB"/>
              </w:rPr>
              <w:t>Phase 1 program logic and M&amp;E framework—critique</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_Toc424633122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14</w:t>
            </w:r>
            <w:r w:rsidR="00781AEF" w:rsidRPr="00C93A4A">
              <w:rPr>
                <w:noProof/>
                <w:webHidden/>
                <w:sz w:val="22"/>
                <w:lang w:val="en-GB"/>
              </w:rPr>
              <w:fldChar w:fldCharType="end"/>
            </w:r>
          </w:hyperlink>
        </w:p>
        <w:p w14:paraId="3A8C6CFB" w14:textId="77777777" w:rsidR="00781AEF" w:rsidRPr="00C93A4A" w:rsidRDefault="00777416" w:rsidP="00781AEF">
          <w:pPr>
            <w:pStyle w:val="TOC1"/>
            <w:tabs>
              <w:tab w:val="left" w:pos="1320"/>
            </w:tabs>
            <w:spacing w:before="240"/>
            <w:rPr>
              <w:rFonts w:eastAsiaTheme="minorEastAsia" w:cstheme="minorBidi"/>
              <w:noProof/>
              <w:sz w:val="18"/>
              <w:szCs w:val="22"/>
              <w:lang w:val="en-GB" w:eastAsia="en-GB"/>
            </w:rPr>
          </w:pPr>
          <w:hyperlink w:anchor="_Toc424633123" w:history="1">
            <w:r w:rsidR="00781AEF" w:rsidRPr="00C93A4A">
              <w:rPr>
                <w:rStyle w:val="Hyperlink"/>
                <w:noProof/>
                <w:sz w:val="22"/>
                <w:lang w:val="en-GB"/>
              </w:rPr>
              <w:t>Annex 4.</w:t>
            </w:r>
            <w:r w:rsidR="00781AEF" w:rsidRPr="00C93A4A">
              <w:rPr>
                <w:rFonts w:eastAsiaTheme="minorEastAsia" w:cstheme="minorBidi"/>
                <w:noProof/>
                <w:sz w:val="18"/>
                <w:szCs w:val="22"/>
                <w:lang w:val="en-GB" w:eastAsia="en-GB"/>
              </w:rPr>
              <w:tab/>
            </w:r>
            <w:r w:rsidR="00781AEF" w:rsidRPr="00C93A4A">
              <w:rPr>
                <w:rStyle w:val="Hyperlink"/>
                <w:noProof/>
                <w:sz w:val="22"/>
                <w:lang w:val="en-GB"/>
              </w:rPr>
              <w:t>Comparison of ILO and typical commercial contractor program delivery costs</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_Toc424633123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16</w:t>
            </w:r>
            <w:r w:rsidR="00781AEF" w:rsidRPr="00C93A4A">
              <w:rPr>
                <w:noProof/>
                <w:webHidden/>
                <w:sz w:val="22"/>
                <w:lang w:val="en-GB"/>
              </w:rPr>
              <w:fldChar w:fldCharType="end"/>
            </w:r>
          </w:hyperlink>
        </w:p>
        <w:p w14:paraId="6BED2D76" w14:textId="77777777" w:rsidR="00781AEF" w:rsidRPr="00C93A4A" w:rsidRDefault="00777416" w:rsidP="00781AEF">
          <w:pPr>
            <w:pStyle w:val="TOC1"/>
            <w:tabs>
              <w:tab w:val="left" w:pos="1320"/>
            </w:tabs>
            <w:spacing w:before="240"/>
            <w:rPr>
              <w:rFonts w:eastAsiaTheme="minorEastAsia" w:cstheme="minorBidi"/>
              <w:noProof/>
              <w:sz w:val="18"/>
              <w:szCs w:val="22"/>
              <w:lang w:val="en-GB" w:eastAsia="en-GB"/>
            </w:rPr>
          </w:pPr>
          <w:hyperlink w:anchor="_Toc424633126" w:history="1">
            <w:r w:rsidR="00781AEF" w:rsidRPr="00C93A4A">
              <w:rPr>
                <w:rStyle w:val="Hyperlink"/>
                <w:noProof/>
                <w:sz w:val="22"/>
                <w:lang w:val="en-GB"/>
              </w:rPr>
              <w:t>Annex 5.</w:t>
            </w:r>
            <w:r w:rsidR="00781AEF" w:rsidRPr="00C93A4A">
              <w:rPr>
                <w:rFonts w:eastAsiaTheme="minorEastAsia" w:cstheme="minorBidi"/>
                <w:noProof/>
                <w:sz w:val="18"/>
                <w:szCs w:val="22"/>
                <w:lang w:val="en-GB" w:eastAsia="en-GB"/>
              </w:rPr>
              <w:tab/>
            </w:r>
            <w:r w:rsidR="00781AEF" w:rsidRPr="00C93A4A">
              <w:rPr>
                <w:rStyle w:val="Hyperlink"/>
                <w:noProof/>
                <w:sz w:val="22"/>
                <w:lang w:val="en-GB"/>
              </w:rPr>
              <w:t>Issues to address in a second phase</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_Toc424633126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19</w:t>
            </w:r>
            <w:r w:rsidR="00781AEF" w:rsidRPr="00C93A4A">
              <w:rPr>
                <w:noProof/>
                <w:webHidden/>
                <w:sz w:val="22"/>
                <w:lang w:val="en-GB"/>
              </w:rPr>
              <w:fldChar w:fldCharType="end"/>
            </w:r>
          </w:hyperlink>
        </w:p>
        <w:p w14:paraId="2AF3F1ED" w14:textId="77777777" w:rsidR="00781AEF" w:rsidRPr="00C93A4A" w:rsidRDefault="00777416" w:rsidP="00781AEF">
          <w:pPr>
            <w:pStyle w:val="TOC1"/>
            <w:tabs>
              <w:tab w:val="left" w:pos="1320"/>
            </w:tabs>
            <w:spacing w:before="240"/>
            <w:rPr>
              <w:rFonts w:eastAsiaTheme="minorEastAsia" w:cstheme="minorBidi"/>
              <w:noProof/>
              <w:sz w:val="18"/>
              <w:szCs w:val="22"/>
              <w:lang w:val="en-GB" w:eastAsia="en-GB"/>
            </w:rPr>
          </w:pPr>
          <w:hyperlink w:anchor="_Toc424633136" w:history="1">
            <w:r w:rsidR="00781AEF" w:rsidRPr="00C93A4A">
              <w:rPr>
                <w:rStyle w:val="Hyperlink"/>
                <w:noProof/>
                <w:sz w:val="22"/>
                <w:lang w:val="en-GB"/>
              </w:rPr>
              <w:t>Annex 6.</w:t>
            </w:r>
            <w:r w:rsidR="00781AEF" w:rsidRPr="00C93A4A">
              <w:rPr>
                <w:rFonts w:eastAsiaTheme="minorEastAsia" w:cstheme="minorBidi"/>
                <w:noProof/>
                <w:sz w:val="18"/>
                <w:szCs w:val="22"/>
                <w:lang w:val="en-GB" w:eastAsia="en-GB"/>
              </w:rPr>
              <w:tab/>
            </w:r>
            <w:r w:rsidR="00781AEF" w:rsidRPr="00C93A4A">
              <w:rPr>
                <w:rStyle w:val="Hyperlink"/>
                <w:noProof/>
                <w:sz w:val="22"/>
                <w:lang w:val="en-GB"/>
              </w:rPr>
              <w:t>Stakeholders consulted</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_Toc424633136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25</w:t>
            </w:r>
            <w:r w:rsidR="00781AEF" w:rsidRPr="00C93A4A">
              <w:rPr>
                <w:noProof/>
                <w:webHidden/>
                <w:sz w:val="22"/>
                <w:lang w:val="en-GB"/>
              </w:rPr>
              <w:fldChar w:fldCharType="end"/>
            </w:r>
          </w:hyperlink>
        </w:p>
        <w:p w14:paraId="6B94D5A8" w14:textId="77777777" w:rsidR="00781AEF" w:rsidRPr="00C93A4A" w:rsidRDefault="00777416" w:rsidP="00781AEF">
          <w:pPr>
            <w:pStyle w:val="TOC1"/>
            <w:tabs>
              <w:tab w:val="left" w:pos="1320"/>
            </w:tabs>
            <w:spacing w:before="240"/>
            <w:rPr>
              <w:rFonts w:eastAsiaTheme="minorEastAsia" w:cstheme="minorBidi"/>
              <w:noProof/>
              <w:sz w:val="22"/>
              <w:szCs w:val="22"/>
              <w:lang w:val="en-GB" w:eastAsia="en-GB"/>
            </w:rPr>
          </w:pPr>
          <w:hyperlink w:anchor="_Toc424633137" w:history="1">
            <w:r w:rsidR="00781AEF" w:rsidRPr="00C93A4A">
              <w:rPr>
                <w:rStyle w:val="Hyperlink"/>
                <w:noProof/>
                <w:sz w:val="22"/>
                <w:lang w:val="en-GB"/>
              </w:rPr>
              <w:t>Annex 7.</w:t>
            </w:r>
            <w:r w:rsidR="00781AEF" w:rsidRPr="00C93A4A">
              <w:rPr>
                <w:rFonts w:eastAsiaTheme="minorEastAsia" w:cstheme="minorBidi"/>
                <w:noProof/>
                <w:sz w:val="18"/>
                <w:szCs w:val="22"/>
                <w:lang w:val="en-GB" w:eastAsia="en-GB"/>
              </w:rPr>
              <w:tab/>
            </w:r>
            <w:r w:rsidR="00781AEF" w:rsidRPr="00C93A4A">
              <w:rPr>
                <w:rStyle w:val="Hyperlink"/>
                <w:noProof/>
                <w:sz w:val="22"/>
                <w:lang w:val="en-GB"/>
              </w:rPr>
              <w:t>ICM terms of reference</w:t>
            </w:r>
            <w:r w:rsidR="00781AEF" w:rsidRPr="00C93A4A">
              <w:rPr>
                <w:noProof/>
                <w:webHidden/>
                <w:sz w:val="22"/>
                <w:lang w:val="en-GB"/>
              </w:rPr>
              <w:tab/>
            </w:r>
            <w:r w:rsidR="00781AEF" w:rsidRPr="00C93A4A">
              <w:rPr>
                <w:noProof/>
                <w:webHidden/>
                <w:sz w:val="22"/>
                <w:lang w:val="en-GB"/>
              </w:rPr>
              <w:fldChar w:fldCharType="begin"/>
            </w:r>
            <w:r w:rsidR="00781AEF" w:rsidRPr="00C93A4A">
              <w:rPr>
                <w:noProof/>
                <w:webHidden/>
                <w:sz w:val="22"/>
                <w:lang w:val="en-GB"/>
              </w:rPr>
              <w:instrText xml:space="preserve"> PAGEREF _Toc424633137 \h </w:instrText>
            </w:r>
            <w:r w:rsidR="00781AEF" w:rsidRPr="00C93A4A">
              <w:rPr>
                <w:noProof/>
                <w:webHidden/>
                <w:sz w:val="22"/>
                <w:lang w:val="en-GB"/>
              </w:rPr>
            </w:r>
            <w:r w:rsidR="00781AEF" w:rsidRPr="00C93A4A">
              <w:rPr>
                <w:noProof/>
                <w:webHidden/>
                <w:sz w:val="22"/>
                <w:lang w:val="en-GB"/>
              </w:rPr>
              <w:fldChar w:fldCharType="separate"/>
            </w:r>
            <w:r w:rsidR="00375FF2">
              <w:rPr>
                <w:noProof/>
                <w:webHidden/>
                <w:sz w:val="22"/>
                <w:lang w:val="en-GB"/>
              </w:rPr>
              <w:t>28</w:t>
            </w:r>
            <w:r w:rsidR="00781AEF" w:rsidRPr="00C93A4A">
              <w:rPr>
                <w:noProof/>
                <w:webHidden/>
                <w:sz w:val="22"/>
                <w:lang w:val="en-GB"/>
              </w:rPr>
              <w:fldChar w:fldCharType="end"/>
            </w:r>
          </w:hyperlink>
        </w:p>
        <w:p w14:paraId="3D65B2F6" w14:textId="47D56F96" w:rsidR="00781AEF" w:rsidRPr="00C93A4A" w:rsidRDefault="00781AEF">
          <w:pPr>
            <w:rPr>
              <w:lang w:val="en-GB"/>
            </w:rPr>
          </w:pPr>
          <w:r w:rsidRPr="00C93A4A">
            <w:rPr>
              <w:b/>
              <w:bCs/>
              <w:noProof/>
              <w:lang w:val="en-GB"/>
            </w:rPr>
            <w:fldChar w:fldCharType="end"/>
          </w:r>
        </w:p>
      </w:sdtContent>
    </w:sdt>
    <w:p w14:paraId="73BF0106" w14:textId="77777777" w:rsidR="00161F35" w:rsidRPr="00C93A4A" w:rsidRDefault="00161F35">
      <w:pPr>
        <w:spacing w:after="0" w:line="240" w:lineRule="auto"/>
        <w:rPr>
          <w:rFonts w:asciiTheme="minorHAnsi" w:hAnsiTheme="minorHAnsi"/>
          <w:b/>
          <w:bCs/>
          <w:color w:val="676A55" w:themeColor="text2"/>
          <w:sz w:val="24"/>
          <w:szCs w:val="26"/>
          <w:lang w:val="en-GB"/>
        </w:rPr>
      </w:pPr>
    </w:p>
    <w:p w14:paraId="01973599" w14:textId="77777777" w:rsidR="00161F35" w:rsidRPr="00C93A4A" w:rsidRDefault="00161F35">
      <w:pPr>
        <w:spacing w:after="0" w:line="240" w:lineRule="auto"/>
        <w:rPr>
          <w:rFonts w:asciiTheme="minorHAnsi" w:hAnsiTheme="minorHAnsi"/>
          <w:b/>
          <w:bCs/>
          <w:color w:val="676A55" w:themeColor="text2"/>
          <w:sz w:val="24"/>
          <w:szCs w:val="26"/>
          <w:lang w:val="en-GB"/>
        </w:rPr>
      </w:pPr>
    </w:p>
    <w:p w14:paraId="7A3904A9" w14:textId="287242D4" w:rsidR="00161F35" w:rsidRPr="00C93A4A" w:rsidRDefault="00161F35">
      <w:pPr>
        <w:spacing w:after="0" w:line="240" w:lineRule="auto"/>
        <w:rPr>
          <w:rFonts w:asciiTheme="minorHAnsi" w:hAnsiTheme="minorHAnsi"/>
          <w:b/>
          <w:bCs/>
          <w:color w:val="676A55" w:themeColor="text2"/>
          <w:sz w:val="24"/>
          <w:szCs w:val="26"/>
          <w:lang w:val="en-GB"/>
        </w:rPr>
      </w:pPr>
      <w:r w:rsidRPr="00C93A4A">
        <w:rPr>
          <w:rFonts w:asciiTheme="minorHAnsi" w:hAnsiTheme="minorHAnsi"/>
          <w:b/>
          <w:bCs/>
          <w:color w:val="676A55" w:themeColor="text2"/>
          <w:sz w:val="24"/>
          <w:szCs w:val="26"/>
          <w:lang w:val="en-GB"/>
        </w:rPr>
        <w:br w:type="page"/>
      </w:r>
    </w:p>
    <w:p w14:paraId="7D91240A" w14:textId="44207D22" w:rsidR="00161F35" w:rsidRPr="00C93A4A" w:rsidRDefault="00161F35" w:rsidP="00161F35">
      <w:pPr>
        <w:pStyle w:val="Heading1"/>
        <w:numPr>
          <w:ilvl w:val="0"/>
          <w:numId w:val="0"/>
        </w:numPr>
      </w:pPr>
      <w:bookmarkStart w:id="0" w:name="_Toc424633113"/>
      <w:r w:rsidRPr="00C93A4A">
        <w:lastRenderedPageBreak/>
        <w:t>Abbreviations</w:t>
      </w:r>
      <w:bookmarkEnd w:id="0"/>
    </w:p>
    <w:p w14:paraId="57B08C34" w14:textId="77777777" w:rsidR="00161F35" w:rsidRPr="00C93A4A" w:rsidRDefault="00161F35" w:rsidP="00161F35">
      <w:pPr>
        <w:rPr>
          <w:lang w:val="en-GB"/>
        </w:rPr>
      </w:pPr>
    </w:p>
    <w:p w14:paraId="705BA85D"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ADB</w:t>
      </w:r>
      <w:r w:rsidRPr="00C93A4A">
        <w:rPr>
          <w:rFonts w:asciiTheme="minorHAnsi" w:hAnsiTheme="minorHAnsi" w:cstheme="minorHAnsi"/>
          <w:szCs w:val="22"/>
          <w:lang w:val="en-GB"/>
        </w:rPr>
        <w:tab/>
      </w:r>
      <w:r w:rsidRPr="00C93A4A">
        <w:rPr>
          <w:rFonts w:asciiTheme="minorHAnsi" w:hAnsiTheme="minorHAnsi" w:cstheme="minorHAnsi"/>
          <w:szCs w:val="22"/>
          <w:lang w:val="en-GB"/>
        </w:rPr>
        <w:tab/>
        <w:t>Asian Development Bank</w:t>
      </w:r>
    </w:p>
    <w:p w14:paraId="0756E3FC"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ADN</w:t>
      </w:r>
      <w:r w:rsidRPr="00C93A4A">
        <w:rPr>
          <w:rFonts w:asciiTheme="minorHAnsi" w:hAnsiTheme="minorHAnsi" w:cstheme="minorHAnsi"/>
          <w:szCs w:val="22"/>
          <w:lang w:val="en-GB"/>
        </w:rPr>
        <w:tab/>
      </w:r>
      <w:r w:rsidRPr="00C93A4A">
        <w:rPr>
          <w:rFonts w:asciiTheme="minorHAnsi" w:hAnsiTheme="minorHAnsi" w:cstheme="minorHAnsi"/>
          <w:szCs w:val="22"/>
          <w:lang w:val="en-GB"/>
        </w:rPr>
        <w:tab/>
        <w:t>Agencia de Desenvolvimento Nacional</w:t>
      </w:r>
    </w:p>
    <w:p w14:paraId="2B74F91D"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AUD</w:t>
      </w:r>
      <w:r w:rsidRPr="00C93A4A">
        <w:rPr>
          <w:rFonts w:asciiTheme="minorHAnsi" w:hAnsiTheme="minorHAnsi" w:cstheme="minorHAnsi"/>
          <w:szCs w:val="22"/>
          <w:lang w:val="en-GB"/>
        </w:rPr>
        <w:tab/>
      </w:r>
      <w:r w:rsidRPr="00C93A4A">
        <w:rPr>
          <w:rFonts w:asciiTheme="minorHAnsi" w:hAnsiTheme="minorHAnsi" w:cstheme="minorHAnsi"/>
          <w:szCs w:val="22"/>
          <w:lang w:val="en-GB"/>
        </w:rPr>
        <w:tab/>
        <w:t>Australian Dollar</w:t>
      </w:r>
    </w:p>
    <w:p w14:paraId="4F4B8E35" w14:textId="2DC5BC2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DFAT</w:t>
      </w:r>
      <w:r w:rsidRPr="00C93A4A">
        <w:rPr>
          <w:rFonts w:asciiTheme="minorHAnsi" w:hAnsiTheme="minorHAnsi" w:cstheme="minorHAnsi"/>
          <w:szCs w:val="22"/>
          <w:lang w:val="en-GB"/>
        </w:rPr>
        <w:tab/>
      </w:r>
      <w:r w:rsidRPr="00C93A4A">
        <w:rPr>
          <w:rFonts w:asciiTheme="minorHAnsi" w:hAnsiTheme="minorHAnsi" w:cstheme="minorHAnsi"/>
          <w:szCs w:val="22"/>
          <w:lang w:val="en-GB"/>
        </w:rPr>
        <w:tab/>
        <w:t>Department of Foreign Affairs and Trade</w:t>
      </w:r>
      <w:r w:rsidR="00781AEF" w:rsidRPr="00C93A4A">
        <w:rPr>
          <w:rFonts w:asciiTheme="minorHAnsi" w:hAnsiTheme="minorHAnsi" w:cstheme="minorHAnsi"/>
          <w:szCs w:val="22"/>
          <w:lang w:val="en-GB"/>
        </w:rPr>
        <w:t xml:space="preserve"> (Government of Australia)</w:t>
      </w:r>
    </w:p>
    <w:p w14:paraId="04C03DB2"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DRBFC</w:t>
      </w:r>
      <w:r w:rsidRPr="00C93A4A">
        <w:rPr>
          <w:rFonts w:asciiTheme="minorHAnsi" w:hAnsiTheme="minorHAnsi" w:cstheme="minorHAnsi"/>
          <w:szCs w:val="22"/>
          <w:lang w:val="en-GB"/>
        </w:rPr>
        <w:tab/>
      </w:r>
      <w:r w:rsidRPr="00C93A4A">
        <w:rPr>
          <w:rFonts w:asciiTheme="minorHAnsi" w:hAnsiTheme="minorHAnsi" w:cstheme="minorHAnsi"/>
          <w:szCs w:val="22"/>
          <w:lang w:val="en-GB"/>
        </w:rPr>
        <w:tab/>
        <w:t>Directorate of Roads, Bridges and Flood Control</w:t>
      </w:r>
    </w:p>
    <w:p w14:paraId="5E0B8684"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ERA</w:t>
      </w:r>
      <w:r w:rsidRPr="00C93A4A">
        <w:rPr>
          <w:rFonts w:asciiTheme="minorHAnsi" w:hAnsiTheme="minorHAnsi" w:cstheme="minorHAnsi"/>
          <w:szCs w:val="22"/>
          <w:lang w:val="en-GB"/>
        </w:rPr>
        <w:tab/>
      </w:r>
      <w:r w:rsidRPr="00C93A4A">
        <w:rPr>
          <w:rFonts w:asciiTheme="minorHAnsi" w:hAnsiTheme="minorHAnsi" w:cstheme="minorHAnsi"/>
          <w:szCs w:val="22"/>
          <w:lang w:val="en-GB"/>
        </w:rPr>
        <w:tab/>
        <w:t>Enhancing Rural Access (EU project)</w:t>
      </w:r>
    </w:p>
    <w:p w14:paraId="74C8125A"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GoA</w:t>
      </w:r>
      <w:r w:rsidRPr="00C93A4A">
        <w:rPr>
          <w:rFonts w:asciiTheme="minorHAnsi" w:hAnsiTheme="minorHAnsi" w:cstheme="minorHAnsi"/>
          <w:szCs w:val="22"/>
          <w:lang w:val="en-GB"/>
        </w:rPr>
        <w:tab/>
      </w:r>
      <w:r w:rsidRPr="00C93A4A">
        <w:rPr>
          <w:rFonts w:asciiTheme="minorHAnsi" w:hAnsiTheme="minorHAnsi" w:cstheme="minorHAnsi"/>
          <w:szCs w:val="22"/>
          <w:lang w:val="en-GB"/>
        </w:rPr>
        <w:tab/>
        <w:t>Government of Australia</w:t>
      </w:r>
    </w:p>
    <w:p w14:paraId="3A750EEA"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GoTL</w:t>
      </w:r>
      <w:r w:rsidRPr="00C93A4A">
        <w:rPr>
          <w:rFonts w:asciiTheme="minorHAnsi" w:hAnsiTheme="minorHAnsi" w:cstheme="minorHAnsi"/>
          <w:szCs w:val="22"/>
          <w:lang w:val="en-GB"/>
        </w:rPr>
        <w:tab/>
      </w:r>
      <w:r w:rsidRPr="00C93A4A">
        <w:rPr>
          <w:rFonts w:asciiTheme="minorHAnsi" w:hAnsiTheme="minorHAnsi" w:cstheme="minorHAnsi"/>
          <w:szCs w:val="22"/>
          <w:lang w:val="en-GB"/>
        </w:rPr>
        <w:tab/>
        <w:t>Government of Timor-Leste</w:t>
      </w:r>
    </w:p>
    <w:p w14:paraId="4B25F509" w14:textId="70F96C43" w:rsidR="00C93A4A" w:rsidRPr="00C93A4A" w:rsidRDefault="00C93A4A" w:rsidP="00C93A4A">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ICM</w:t>
      </w:r>
      <w:r w:rsidRPr="00C93A4A">
        <w:rPr>
          <w:rFonts w:asciiTheme="minorHAnsi" w:hAnsiTheme="minorHAnsi" w:cstheme="minorHAnsi"/>
          <w:szCs w:val="22"/>
          <w:lang w:val="en-GB"/>
        </w:rPr>
        <w:tab/>
      </w:r>
      <w:r w:rsidRPr="00C93A4A">
        <w:rPr>
          <w:rFonts w:asciiTheme="minorHAnsi" w:hAnsiTheme="minorHAnsi" w:cstheme="minorHAnsi"/>
          <w:szCs w:val="22"/>
          <w:lang w:val="en-GB"/>
        </w:rPr>
        <w:tab/>
        <w:t>Investment Concept Mission</w:t>
      </w:r>
    </w:p>
    <w:p w14:paraId="70DEC235" w14:textId="5B33AC34" w:rsidR="00C93A4A" w:rsidRPr="00C93A4A" w:rsidRDefault="00C93A4A"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ICN</w:t>
      </w:r>
      <w:r w:rsidRPr="00C93A4A">
        <w:rPr>
          <w:rFonts w:asciiTheme="minorHAnsi" w:hAnsiTheme="minorHAnsi" w:cstheme="minorHAnsi"/>
          <w:szCs w:val="22"/>
          <w:lang w:val="en-GB"/>
        </w:rPr>
        <w:tab/>
      </w:r>
      <w:r w:rsidRPr="00C93A4A">
        <w:rPr>
          <w:rFonts w:asciiTheme="minorHAnsi" w:hAnsiTheme="minorHAnsi" w:cstheme="minorHAnsi"/>
          <w:szCs w:val="22"/>
          <w:lang w:val="en-GB"/>
        </w:rPr>
        <w:tab/>
        <w:t>Investment Concept Note</w:t>
      </w:r>
    </w:p>
    <w:p w14:paraId="1CDE6792"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ILO</w:t>
      </w:r>
      <w:r w:rsidRPr="00C93A4A">
        <w:rPr>
          <w:rFonts w:asciiTheme="minorHAnsi" w:hAnsiTheme="minorHAnsi" w:cstheme="minorHAnsi"/>
          <w:szCs w:val="22"/>
          <w:lang w:val="en-GB"/>
        </w:rPr>
        <w:tab/>
      </w:r>
      <w:r w:rsidRPr="00C93A4A">
        <w:rPr>
          <w:rFonts w:asciiTheme="minorHAnsi" w:hAnsiTheme="minorHAnsi" w:cstheme="minorHAnsi"/>
          <w:szCs w:val="22"/>
          <w:lang w:val="en-GB"/>
        </w:rPr>
        <w:tab/>
        <w:t>International Labour Organization</w:t>
      </w:r>
    </w:p>
    <w:p w14:paraId="1B381F5D"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IMG</w:t>
      </w:r>
      <w:r w:rsidRPr="00C93A4A">
        <w:rPr>
          <w:rFonts w:asciiTheme="minorHAnsi" w:hAnsiTheme="minorHAnsi" w:cstheme="minorHAnsi"/>
          <w:szCs w:val="22"/>
          <w:lang w:val="en-GB"/>
        </w:rPr>
        <w:tab/>
      </w:r>
      <w:r w:rsidRPr="00C93A4A">
        <w:rPr>
          <w:rFonts w:asciiTheme="minorHAnsi" w:hAnsiTheme="minorHAnsi" w:cstheme="minorHAnsi"/>
          <w:szCs w:val="22"/>
          <w:lang w:val="en-GB"/>
        </w:rPr>
        <w:tab/>
        <w:t>Independent Monitoring Group</w:t>
      </w:r>
    </w:p>
    <w:p w14:paraId="745F9149"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M&amp;E</w:t>
      </w:r>
      <w:r w:rsidRPr="00C93A4A">
        <w:rPr>
          <w:rFonts w:asciiTheme="minorHAnsi" w:hAnsiTheme="minorHAnsi" w:cstheme="minorHAnsi"/>
          <w:szCs w:val="22"/>
          <w:lang w:val="en-GB"/>
        </w:rPr>
        <w:tab/>
      </w:r>
      <w:r w:rsidRPr="00C93A4A">
        <w:rPr>
          <w:rFonts w:asciiTheme="minorHAnsi" w:hAnsiTheme="minorHAnsi" w:cstheme="minorHAnsi"/>
          <w:szCs w:val="22"/>
          <w:lang w:val="en-GB"/>
        </w:rPr>
        <w:tab/>
        <w:t>Monitoring and Evaluation</w:t>
      </w:r>
    </w:p>
    <w:p w14:paraId="18ED3DDC"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MoF</w:t>
      </w:r>
      <w:r w:rsidRPr="00C93A4A">
        <w:rPr>
          <w:rFonts w:asciiTheme="minorHAnsi" w:hAnsiTheme="minorHAnsi" w:cstheme="minorHAnsi"/>
          <w:szCs w:val="22"/>
          <w:lang w:val="en-GB"/>
        </w:rPr>
        <w:tab/>
      </w:r>
      <w:r w:rsidRPr="00C93A4A">
        <w:rPr>
          <w:rFonts w:asciiTheme="minorHAnsi" w:hAnsiTheme="minorHAnsi" w:cstheme="minorHAnsi"/>
          <w:szCs w:val="22"/>
          <w:lang w:val="en-GB"/>
        </w:rPr>
        <w:tab/>
        <w:t>Ministry of Finance</w:t>
      </w:r>
    </w:p>
    <w:p w14:paraId="606AD36C" w14:textId="6789D61E"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MPW</w:t>
      </w:r>
      <w:r w:rsidRPr="00C93A4A">
        <w:rPr>
          <w:rFonts w:asciiTheme="minorHAnsi" w:hAnsiTheme="minorHAnsi" w:cstheme="minorHAnsi"/>
          <w:szCs w:val="22"/>
          <w:lang w:val="en-GB"/>
        </w:rPr>
        <w:tab/>
      </w:r>
      <w:r w:rsidRPr="00C93A4A">
        <w:rPr>
          <w:rFonts w:asciiTheme="minorHAnsi" w:hAnsiTheme="minorHAnsi" w:cstheme="minorHAnsi"/>
          <w:szCs w:val="22"/>
          <w:lang w:val="en-GB"/>
        </w:rPr>
        <w:tab/>
        <w:t>Ministry of Public Works</w:t>
      </w:r>
    </w:p>
    <w:p w14:paraId="7D3DC068"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MoU</w:t>
      </w:r>
      <w:r w:rsidRPr="00C93A4A">
        <w:rPr>
          <w:rFonts w:asciiTheme="minorHAnsi" w:hAnsiTheme="minorHAnsi" w:cstheme="minorHAnsi"/>
          <w:szCs w:val="22"/>
          <w:lang w:val="en-GB"/>
        </w:rPr>
        <w:tab/>
      </w:r>
      <w:r w:rsidRPr="00C93A4A">
        <w:rPr>
          <w:rFonts w:asciiTheme="minorHAnsi" w:hAnsiTheme="minorHAnsi" w:cstheme="minorHAnsi"/>
          <w:szCs w:val="22"/>
          <w:lang w:val="en-GB"/>
        </w:rPr>
        <w:tab/>
        <w:t>Memorandum of Understanding</w:t>
      </w:r>
    </w:p>
    <w:p w14:paraId="450B3E62" w14:textId="1DD2893C"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PDID</w:t>
      </w:r>
      <w:r w:rsidRPr="00C93A4A">
        <w:rPr>
          <w:rFonts w:asciiTheme="minorHAnsi" w:hAnsiTheme="minorHAnsi" w:cstheme="minorHAnsi"/>
          <w:szCs w:val="22"/>
          <w:lang w:val="en-GB"/>
        </w:rPr>
        <w:tab/>
      </w:r>
      <w:r w:rsidRPr="00C93A4A">
        <w:rPr>
          <w:rFonts w:asciiTheme="minorHAnsi" w:hAnsiTheme="minorHAnsi" w:cstheme="minorHAnsi"/>
          <w:szCs w:val="22"/>
          <w:lang w:val="en-GB"/>
        </w:rPr>
        <w:tab/>
        <w:t>Integrat</w:t>
      </w:r>
      <w:r w:rsidR="00781AEF" w:rsidRPr="00C93A4A">
        <w:rPr>
          <w:rFonts w:asciiTheme="minorHAnsi" w:hAnsiTheme="minorHAnsi" w:cstheme="minorHAnsi"/>
          <w:szCs w:val="22"/>
          <w:lang w:val="en-GB"/>
        </w:rPr>
        <w:t xml:space="preserve">ed District Development Plan </w:t>
      </w:r>
      <w:r w:rsidR="00781AEF" w:rsidRPr="00C93A4A">
        <w:rPr>
          <w:lang w:val="en-GB"/>
        </w:rPr>
        <w:t>(Plano Dezenvolvimento Integrado Distrital)</w:t>
      </w:r>
    </w:p>
    <w:p w14:paraId="5B64FEF4"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PMU</w:t>
      </w:r>
      <w:r w:rsidRPr="00C93A4A">
        <w:rPr>
          <w:rFonts w:asciiTheme="minorHAnsi" w:hAnsiTheme="minorHAnsi" w:cstheme="minorHAnsi"/>
          <w:szCs w:val="22"/>
          <w:lang w:val="en-GB"/>
        </w:rPr>
        <w:tab/>
      </w:r>
      <w:r w:rsidRPr="00C93A4A">
        <w:rPr>
          <w:rFonts w:asciiTheme="minorHAnsi" w:hAnsiTheme="minorHAnsi" w:cstheme="minorHAnsi"/>
          <w:szCs w:val="22"/>
          <w:lang w:val="en-GB"/>
        </w:rPr>
        <w:tab/>
        <w:t>Project Management Unit</w:t>
      </w:r>
    </w:p>
    <w:p w14:paraId="2A6019A7"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RE</w:t>
      </w:r>
      <w:r w:rsidRPr="00C93A4A">
        <w:rPr>
          <w:rFonts w:asciiTheme="minorHAnsi" w:hAnsiTheme="minorHAnsi" w:cstheme="minorHAnsi"/>
          <w:szCs w:val="22"/>
          <w:lang w:val="en-GB"/>
        </w:rPr>
        <w:tab/>
      </w:r>
      <w:r w:rsidRPr="00C93A4A">
        <w:rPr>
          <w:rFonts w:asciiTheme="minorHAnsi" w:hAnsiTheme="minorHAnsi" w:cstheme="minorHAnsi"/>
          <w:szCs w:val="22"/>
          <w:lang w:val="en-GB"/>
        </w:rPr>
        <w:tab/>
        <w:t>Regional Engineer</w:t>
      </w:r>
    </w:p>
    <w:p w14:paraId="43C4E433"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R4D</w:t>
      </w:r>
      <w:r w:rsidRPr="00C93A4A">
        <w:rPr>
          <w:rFonts w:asciiTheme="minorHAnsi" w:hAnsiTheme="minorHAnsi" w:cstheme="minorHAnsi"/>
          <w:szCs w:val="22"/>
          <w:lang w:val="en-GB"/>
        </w:rPr>
        <w:tab/>
      </w:r>
      <w:r w:rsidRPr="00C93A4A">
        <w:rPr>
          <w:rFonts w:asciiTheme="minorHAnsi" w:hAnsiTheme="minorHAnsi" w:cstheme="minorHAnsi"/>
          <w:szCs w:val="22"/>
          <w:lang w:val="en-GB"/>
        </w:rPr>
        <w:tab/>
        <w:t>Roads for Development Program</w:t>
      </w:r>
    </w:p>
    <w:p w14:paraId="73734BC5" w14:textId="30E797C4"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RRMP</w:t>
      </w:r>
      <w:r w:rsidRPr="00C93A4A">
        <w:rPr>
          <w:rFonts w:asciiTheme="minorHAnsi" w:hAnsiTheme="minorHAnsi" w:cstheme="minorHAnsi"/>
          <w:szCs w:val="22"/>
          <w:lang w:val="en-GB"/>
        </w:rPr>
        <w:tab/>
      </w:r>
      <w:r w:rsidRPr="00C93A4A">
        <w:rPr>
          <w:rFonts w:asciiTheme="minorHAnsi" w:hAnsiTheme="minorHAnsi" w:cstheme="minorHAnsi"/>
          <w:szCs w:val="22"/>
          <w:lang w:val="en-GB"/>
        </w:rPr>
        <w:tab/>
        <w:t>Rural Roads Master Plan</w:t>
      </w:r>
      <w:r w:rsidR="00781AEF" w:rsidRPr="00C93A4A">
        <w:rPr>
          <w:rFonts w:asciiTheme="minorHAnsi" w:hAnsiTheme="minorHAnsi" w:cstheme="minorHAnsi"/>
          <w:szCs w:val="22"/>
          <w:lang w:val="en-GB"/>
        </w:rPr>
        <w:t xml:space="preserve"> and Investment Strategy</w:t>
      </w:r>
    </w:p>
    <w:p w14:paraId="292EBD34"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RRWG</w:t>
      </w:r>
      <w:r w:rsidRPr="00C93A4A">
        <w:rPr>
          <w:rFonts w:asciiTheme="minorHAnsi" w:hAnsiTheme="minorHAnsi" w:cstheme="minorHAnsi"/>
          <w:szCs w:val="22"/>
          <w:lang w:val="en-GB"/>
        </w:rPr>
        <w:tab/>
      </w:r>
      <w:r w:rsidRPr="00C93A4A">
        <w:rPr>
          <w:rFonts w:asciiTheme="minorHAnsi" w:hAnsiTheme="minorHAnsi" w:cstheme="minorHAnsi"/>
          <w:szCs w:val="22"/>
          <w:lang w:val="en-GB"/>
        </w:rPr>
        <w:tab/>
        <w:t>Rural Roads Working Group</w:t>
      </w:r>
    </w:p>
    <w:p w14:paraId="011D3874"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SDP</w:t>
      </w:r>
      <w:r w:rsidRPr="00C93A4A">
        <w:rPr>
          <w:rFonts w:asciiTheme="minorHAnsi" w:hAnsiTheme="minorHAnsi" w:cstheme="minorHAnsi"/>
          <w:szCs w:val="22"/>
          <w:lang w:val="en-GB"/>
        </w:rPr>
        <w:tab/>
      </w:r>
      <w:r w:rsidRPr="00C93A4A">
        <w:rPr>
          <w:rFonts w:asciiTheme="minorHAnsi" w:hAnsiTheme="minorHAnsi" w:cstheme="minorHAnsi"/>
          <w:szCs w:val="22"/>
          <w:lang w:val="en-GB"/>
        </w:rPr>
        <w:tab/>
        <w:t>Strategic Development Plan</w:t>
      </w:r>
    </w:p>
    <w:p w14:paraId="590B7555"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SEPFOPE</w:t>
      </w:r>
      <w:r w:rsidRPr="00C93A4A">
        <w:rPr>
          <w:rFonts w:asciiTheme="minorHAnsi" w:hAnsiTheme="minorHAnsi" w:cstheme="minorHAnsi"/>
          <w:szCs w:val="22"/>
          <w:lang w:val="en-GB"/>
        </w:rPr>
        <w:tab/>
        <w:t xml:space="preserve">Secretaria de Estado ba Formasaun Profisional no Empregu </w:t>
      </w:r>
      <w:r w:rsidRPr="00C93A4A">
        <w:rPr>
          <w:rFonts w:asciiTheme="minorHAnsi" w:hAnsiTheme="minorHAnsi" w:cstheme="minorHAnsi"/>
          <w:szCs w:val="22"/>
          <w:lang w:val="en-GB"/>
        </w:rPr>
        <w:br/>
      </w:r>
      <w:r w:rsidRPr="00C93A4A">
        <w:rPr>
          <w:rFonts w:asciiTheme="minorHAnsi" w:hAnsiTheme="minorHAnsi" w:cstheme="minorHAnsi"/>
          <w:szCs w:val="22"/>
          <w:lang w:val="en-GB"/>
        </w:rPr>
        <w:tab/>
      </w:r>
      <w:r w:rsidRPr="00C93A4A">
        <w:rPr>
          <w:rFonts w:asciiTheme="minorHAnsi" w:hAnsiTheme="minorHAnsi" w:cstheme="minorHAnsi"/>
          <w:szCs w:val="22"/>
          <w:lang w:val="en-GB"/>
        </w:rPr>
        <w:tab/>
        <w:t>(Secretary of State for Vocational Training and Employment)</w:t>
      </w:r>
    </w:p>
    <w:p w14:paraId="6CF1EA21"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TA</w:t>
      </w:r>
      <w:r w:rsidRPr="00C93A4A">
        <w:rPr>
          <w:rFonts w:asciiTheme="minorHAnsi" w:hAnsiTheme="minorHAnsi" w:cstheme="minorHAnsi"/>
          <w:szCs w:val="22"/>
          <w:lang w:val="en-GB"/>
        </w:rPr>
        <w:tab/>
      </w:r>
      <w:r w:rsidRPr="00C93A4A">
        <w:rPr>
          <w:rFonts w:asciiTheme="minorHAnsi" w:hAnsiTheme="minorHAnsi" w:cstheme="minorHAnsi"/>
          <w:szCs w:val="22"/>
          <w:lang w:val="en-GB"/>
        </w:rPr>
        <w:tab/>
        <w:t>Technical Assistance</w:t>
      </w:r>
    </w:p>
    <w:p w14:paraId="514F4EF8" w14:textId="77777777" w:rsidR="00161F35" w:rsidRPr="00C93A4A" w:rsidRDefault="00161F35" w:rsidP="00161F35">
      <w:pPr>
        <w:spacing w:line="240" w:lineRule="auto"/>
        <w:rPr>
          <w:rFonts w:asciiTheme="minorHAnsi" w:hAnsiTheme="minorHAnsi" w:cstheme="minorHAnsi"/>
          <w:szCs w:val="22"/>
          <w:lang w:val="en-GB"/>
        </w:rPr>
      </w:pPr>
      <w:r w:rsidRPr="00C93A4A">
        <w:rPr>
          <w:rFonts w:asciiTheme="minorHAnsi" w:hAnsiTheme="minorHAnsi" w:cstheme="minorHAnsi"/>
          <w:szCs w:val="22"/>
          <w:lang w:val="en-GB"/>
        </w:rPr>
        <w:t>ToR</w:t>
      </w:r>
      <w:r w:rsidRPr="00C93A4A">
        <w:rPr>
          <w:rFonts w:asciiTheme="minorHAnsi" w:hAnsiTheme="minorHAnsi" w:cstheme="minorHAnsi"/>
          <w:szCs w:val="22"/>
          <w:lang w:val="en-GB"/>
        </w:rPr>
        <w:tab/>
      </w:r>
      <w:r w:rsidRPr="00C93A4A">
        <w:rPr>
          <w:rFonts w:asciiTheme="minorHAnsi" w:hAnsiTheme="minorHAnsi" w:cstheme="minorHAnsi"/>
          <w:szCs w:val="22"/>
          <w:lang w:val="en-GB"/>
        </w:rPr>
        <w:tab/>
        <w:t>Terms of Reference</w:t>
      </w:r>
    </w:p>
    <w:p w14:paraId="427A7EB4" w14:textId="77777777" w:rsidR="00161F35" w:rsidRPr="00C93A4A" w:rsidRDefault="00161F35">
      <w:pPr>
        <w:spacing w:after="0" w:line="240" w:lineRule="auto"/>
        <w:rPr>
          <w:rFonts w:asciiTheme="minorHAnsi" w:hAnsiTheme="minorHAnsi"/>
          <w:b/>
          <w:bCs/>
          <w:color w:val="676A55" w:themeColor="text2"/>
          <w:sz w:val="24"/>
          <w:szCs w:val="26"/>
          <w:lang w:val="en-GB"/>
        </w:rPr>
      </w:pPr>
    </w:p>
    <w:p w14:paraId="7874CBCA" w14:textId="77777777" w:rsidR="00161F35" w:rsidRPr="00C93A4A" w:rsidRDefault="00161F35">
      <w:pPr>
        <w:spacing w:after="0" w:line="240" w:lineRule="auto"/>
        <w:rPr>
          <w:rFonts w:asciiTheme="minorHAnsi" w:hAnsiTheme="minorHAnsi"/>
          <w:b/>
          <w:bCs/>
          <w:color w:val="676A55" w:themeColor="text2"/>
          <w:sz w:val="24"/>
          <w:szCs w:val="26"/>
          <w:lang w:val="en-GB"/>
        </w:rPr>
      </w:pPr>
    </w:p>
    <w:p w14:paraId="33BB0316" w14:textId="77777777" w:rsidR="00161F35" w:rsidRPr="00C93A4A" w:rsidRDefault="00161F35">
      <w:pPr>
        <w:spacing w:after="0" w:line="240" w:lineRule="auto"/>
        <w:rPr>
          <w:rFonts w:asciiTheme="minorHAnsi" w:hAnsiTheme="minorHAnsi"/>
          <w:b/>
          <w:bCs/>
          <w:color w:val="676A55" w:themeColor="text2"/>
          <w:sz w:val="24"/>
          <w:szCs w:val="26"/>
          <w:lang w:val="en-GB"/>
        </w:rPr>
        <w:sectPr w:rsidR="00161F35" w:rsidRPr="00C93A4A" w:rsidSect="00302BDD">
          <w:headerReference w:type="default" r:id="rId12"/>
          <w:footerReference w:type="default" r:id="rId13"/>
          <w:pgSz w:w="12240" w:h="15840"/>
          <w:pgMar w:top="1440" w:right="1701" w:bottom="1440" w:left="1701" w:header="709" w:footer="709" w:gutter="0"/>
          <w:pgNumType w:fmt="lowerRoman" w:start="1"/>
          <w:cols w:space="708"/>
          <w:docGrid w:linePitch="360"/>
        </w:sectPr>
      </w:pPr>
    </w:p>
    <w:p w14:paraId="09DC3265" w14:textId="623A5AEC" w:rsidR="00161F35" w:rsidRPr="00C93A4A" w:rsidRDefault="00161F35">
      <w:pPr>
        <w:spacing w:after="0" w:line="240" w:lineRule="auto"/>
        <w:rPr>
          <w:rFonts w:asciiTheme="minorHAnsi" w:hAnsiTheme="minorHAnsi"/>
          <w:b/>
          <w:bCs/>
          <w:color w:val="676A55" w:themeColor="text2"/>
          <w:sz w:val="24"/>
          <w:szCs w:val="26"/>
          <w:lang w:val="en-GB"/>
        </w:rPr>
      </w:pPr>
    </w:p>
    <w:p w14:paraId="6C2281FA" w14:textId="518F8488" w:rsidR="00C11BB2" w:rsidRPr="00C93A4A" w:rsidRDefault="00C11BB2" w:rsidP="00FB6FA6">
      <w:pPr>
        <w:pStyle w:val="Heading1"/>
        <w:spacing w:before="0"/>
      </w:pPr>
      <w:bookmarkStart w:id="1" w:name="_Toc424633114"/>
      <w:r w:rsidRPr="00C93A4A">
        <w:t>Investment summary</w:t>
      </w:r>
      <w:bookmarkEnd w:id="1"/>
    </w:p>
    <w:tbl>
      <w:tblPr>
        <w:tblStyle w:val="TableGrid"/>
        <w:tblW w:w="0" w:type="auto"/>
        <w:tblLook w:val="04A0" w:firstRow="1" w:lastRow="0" w:firstColumn="1" w:lastColumn="0" w:noHBand="0" w:noVBand="1"/>
      </w:tblPr>
      <w:tblGrid>
        <w:gridCol w:w="3681"/>
        <w:gridCol w:w="5147"/>
      </w:tblGrid>
      <w:tr w:rsidR="00C11BB2" w:rsidRPr="00C93A4A" w14:paraId="0F1E124E" w14:textId="77777777" w:rsidTr="00161F35">
        <w:tc>
          <w:tcPr>
            <w:tcW w:w="3681" w:type="dxa"/>
            <w:shd w:val="clear" w:color="auto" w:fill="EBE7D5" w:themeFill="accent5" w:themeFillTint="66"/>
            <w:vAlign w:val="center"/>
          </w:tcPr>
          <w:p w14:paraId="02E15214" w14:textId="77777777" w:rsidR="00C11BB2" w:rsidRPr="00C93A4A" w:rsidRDefault="00C11BB2" w:rsidP="00CD52CD">
            <w:pPr>
              <w:spacing w:before="60" w:after="60"/>
              <w:rPr>
                <w:b/>
                <w:sz w:val="20"/>
                <w:szCs w:val="20"/>
                <w:lang w:val="en-GB"/>
              </w:rPr>
            </w:pPr>
            <w:r w:rsidRPr="00C93A4A">
              <w:rPr>
                <w:b/>
                <w:sz w:val="20"/>
                <w:szCs w:val="20"/>
                <w:lang w:val="en-GB"/>
              </w:rPr>
              <w:t>Investment concept title</w:t>
            </w:r>
          </w:p>
        </w:tc>
        <w:tc>
          <w:tcPr>
            <w:tcW w:w="5147" w:type="dxa"/>
            <w:vAlign w:val="center"/>
          </w:tcPr>
          <w:p w14:paraId="19167F4B" w14:textId="77777777" w:rsidR="00C11BB2" w:rsidRPr="00C93A4A" w:rsidRDefault="006A7140" w:rsidP="00CD52CD">
            <w:pPr>
              <w:spacing w:before="60" w:after="60"/>
              <w:rPr>
                <w:sz w:val="20"/>
                <w:szCs w:val="20"/>
                <w:lang w:val="en-GB"/>
              </w:rPr>
            </w:pPr>
            <w:r w:rsidRPr="00C93A4A">
              <w:rPr>
                <w:sz w:val="20"/>
                <w:szCs w:val="20"/>
                <w:lang w:val="en-GB"/>
              </w:rPr>
              <w:t>Roads for Development, Phase 2</w:t>
            </w:r>
          </w:p>
        </w:tc>
      </w:tr>
      <w:tr w:rsidR="00C11BB2" w:rsidRPr="00C93A4A" w14:paraId="0E6E2ECC" w14:textId="77777777" w:rsidTr="00161F35">
        <w:tc>
          <w:tcPr>
            <w:tcW w:w="3681" w:type="dxa"/>
            <w:shd w:val="clear" w:color="auto" w:fill="EBE7D5" w:themeFill="accent5" w:themeFillTint="66"/>
            <w:vAlign w:val="center"/>
          </w:tcPr>
          <w:p w14:paraId="0FB0EB58" w14:textId="77777777" w:rsidR="00C11BB2" w:rsidRPr="00C93A4A" w:rsidRDefault="00C11BB2" w:rsidP="00CD52CD">
            <w:pPr>
              <w:spacing w:before="60" w:after="60"/>
              <w:rPr>
                <w:b/>
                <w:sz w:val="20"/>
                <w:szCs w:val="20"/>
                <w:lang w:val="en-GB"/>
              </w:rPr>
            </w:pPr>
            <w:r w:rsidRPr="00C93A4A">
              <w:rPr>
                <w:b/>
                <w:sz w:val="20"/>
                <w:szCs w:val="20"/>
                <w:lang w:val="en-GB"/>
              </w:rPr>
              <w:t>Proposed start date and timeframe</w:t>
            </w:r>
          </w:p>
        </w:tc>
        <w:tc>
          <w:tcPr>
            <w:tcW w:w="5147" w:type="dxa"/>
            <w:vAlign w:val="center"/>
          </w:tcPr>
          <w:p w14:paraId="11413A81" w14:textId="77777777" w:rsidR="00C11BB2" w:rsidRPr="00C93A4A" w:rsidRDefault="006A7140" w:rsidP="00CD52CD">
            <w:pPr>
              <w:spacing w:before="60" w:after="60"/>
              <w:rPr>
                <w:sz w:val="20"/>
                <w:szCs w:val="20"/>
                <w:lang w:val="en-GB"/>
              </w:rPr>
            </w:pPr>
            <w:r w:rsidRPr="00C93A4A">
              <w:rPr>
                <w:sz w:val="20"/>
                <w:szCs w:val="20"/>
                <w:lang w:val="en-GB"/>
              </w:rPr>
              <w:t>Jan 2017 to Dec 2020</w:t>
            </w:r>
          </w:p>
        </w:tc>
      </w:tr>
      <w:tr w:rsidR="00C11BB2" w:rsidRPr="00C93A4A" w14:paraId="70FE3EA7" w14:textId="77777777" w:rsidTr="00161F35">
        <w:tc>
          <w:tcPr>
            <w:tcW w:w="3681" w:type="dxa"/>
            <w:shd w:val="clear" w:color="auto" w:fill="EBE7D5" w:themeFill="accent5" w:themeFillTint="66"/>
            <w:vAlign w:val="center"/>
          </w:tcPr>
          <w:p w14:paraId="340609F9" w14:textId="77777777" w:rsidR="00C11BB2" w:rsidRPr="00C93A4A" w:rsidRDefault="00C11BB2" w:rsidP="00CD52CD">
            <w:pPr>
              <w:spacing w:before="60" w:after="60"/>
              <w:rPr>
                <w:b/>
                <w:sz w:val="20"/>
                <w:szCs w:val="20"/>
                <w:lang w:val="en-GB"/>
              </w:rPr>
            </w:pPr>
            <w:r w:rsidRPr="00C93A4A">
              <w:rPr>
                <w:b/>
                <w:sz w:val="20"/>
                <w:szCs w:val="20"/>
                <w:lang w:val="en-GB"/>
              </w:rPr>
              <w:t>Proposed funding allocation</w:t>
            </w:r>
          </w:p>
        </w:tc>
        <w:tc>
          <w:tcPr>
            <w:tcW w:w="5147" w:type="dxa"/>
            <w:vAlign w:val="center"/>
          </w:tcPr>
          <w:p w14:paraId="66B96255" w14:textId="0734D006" w:rsidR="00C11BB2" w:rsidRPr="00C93A4A" w:rsidRDefault="00F5076B" w:rsidP="00CD52CD">
            <w:pPr>
              <w:spacing w:before="60" w:after="60"/>
              <w:rPr>
                <w:sz w:val="20"/>
                <w:szCs w:val="20"/>
                <w:lang w:val="en-GB"/>
              </w:rPr>
            </w:pPr>
            <w:r>
              <w:rPr>
                <w:sz w:val="20"/>
                <w:szCs w:val="20"/>
                <w:lang w:val="en-GB"/>
              </w:rPr>
              <w:t>TBA</w:t>
            </w:r>
          </w:p>
        </w:tc>
      </w:tr>
      <w:tr w:rsidR="00C11BB2" w:rsidRPr="00C93A4A" w14:paraId="4E4E34E8" w14:textId="77777777" w:rsidTr="00161F35">
        <w:tc>
          <w:tcPr>
            <w:tcW w:w="3681" w:type="dxa"/>
            <w:shd w:val="clear" w:color="auto" w:fill="EBE7D5" w:themeFill="accent5" w:themeFillTint="66"/>
            <w:vAlign w:val="center"/>
          </w:tcPr>
          <w:p w14:paraId="64B67C76" w14:textId="77777777" w:rsidR="00C11BB2" w:rsidRPr="00C93A4A" w:rsidRDefault="00C11BB2" w:rsidP="00CD52CD">
            <w:pPr>
              <w:spacing w:before="60" w:after="60"/>
              <w:rPr>
                <w:b/>
                <w:sz w:val="20"/>
                <w:szCs w:val="20"/>
                <w:lang w:val="en-GB"/>
              </w:rPr>
            </w:pPr>
            <w:r w:rsidRPr="00C93A4A">
              <w:rPr>
                <w:b/>
                <w:sz w:val="20"/>
                <w:szCs w:val="20"/>
                <w:lang w:val="en-GB"/>
              </w:rPr>
              <w:t>Current program fund annual allocation</w:t>
            </w:r>
          </w:p>
        </w:tc>
        <w:tc>
          <w:tcPr>
            <w:tcW w:w="5147" w:type="dxa"/>
            <w:vAlign w:val="center"/>
          </w:tcPr>
          <w:p w14:paraId="47D19501" w14:textId="19FC0300" w:rsidR="00C11BB2" w:rsidRPr="00C93A4A" w:rsidRDefault="00F5076B" w:rsidP="00CD52CD">
            <w:pPr>
              <w:spacing w:before="60" w:after="60"/>
              <w:rPr>
                <w:sz w:val="20"/>
                <w:szCs w:val="20"/>
                <w:lang w:val="en-GB"/>
              </w:rPr>
            </w:pPr>
            <w:r>
              <w:rPr>
                <w:sz w:val="20"/>
                <w:szCs w:val="20"/>
                <w:lang w:val="en-GB"/>
              </w:rPr>
              <w:t>AUD 6.5 p.a.</w:t>
            </w:r>
          </w:p>
        </w:tc>
      </w:tr>
      <w:tr w:rsidR="00C11BB2" w:rsidRPr="00C93A4A" w14:paraId="6D369832" w14:textId="77777777" w:rsidTr="00161F35">
        <w:tc>
          <w:tcPr>
            <w:tcW w:w="3681" w:type="dxa"/>
            <w:shd w:val="clear" w:color="auto" w:fill="EBE7D5" w:themeFill="accent5" w:themeFillTint="66"/>
            <w:vAlign w:val="center"/>
          </w:tcPr>
          <w:p w14:paraId="2950978D" w14:textId="77777777" w:rsidR="00C11BB2" w:rsidRPr="00C93A4A" w:rsidRDefault="00C11BB2" w:rsidP="00CD52CD">
            <w:pPr>
              <w:spacing w:before="60" w:after="60"/>
              <w:rPr>
                <w:b/>
                <w:sz w:val="20"/>
                <w:szCs w:val="20"/>
                <w:lang w:val="en-GB"/>
              </w:rPr>
            </w:pPr>
            <w:r w:rsidRPr="00C93A4A">
              <w:rPr>
                <w:b/>
                <w:sz w:val="20"/>
                <w:szCs w:val="20"/>
                <w:lang w:val="en-GB"/>
              </w:rPr>
              <w:t>Risk and value assessment result</w:t>
            </w:r>
          </w:p>
        </w:tc>
        <w:tc>
          <w:tcPr>
            <w:tcW w:w="5147" w:type="dxa"/>
            <w:vAlign w:val="center"/>
          </w:tcPr>
          <w:p w14:paraId="13D2CBF3" w14:textId="76F69570" w:rsidR="00C11BB2" w:rsidRPr="00C93A4A" w:rsidRDefault="00D62E7B" w:rsidP="00CD52CD">
            <w:pPr>
              <w:spacing w:before="60" w:after="60"/>
              <w:rPr>
                <w:sz w:val="20"/>
                <w:szCs w:val="20"/>
                <w:lang w:val="en-GB"/>
              </w:rPr>
            </w:pPr>
            <w:r>
              <w:rPr>
                <w:sz w:val="20"/>
                <w:szCs w:val="20"/>
                <w:lang w:val="en-GB"/>
              </w:rPr>
              <w:t>Low</w:t>
            </w:r>
            <w:r w:rsidR="00C11BB2" w:rsidRPr="00C93A4A">
              <w:rPr>
                <w:sz w:val="20"/>
                <w:szCs w:val="20"/>
                <w:lang w:val="en-GB"/>
              </w:rPr>
              <w:tab/>
              <w:t>Risk</w:t>
            </w:r>
          </w:p>
          <w:p w14:paraId="18E6E6F2" w14:textId="74A88569" w:rsidR="00C11BB2" w:rsidRPr="00C93A4A" w:rsidRDefault="00D62E7B" w:rsidP="00CD52CD">
            <w:pPr>
              <w:spacing w:before="60" w:after="60"/>
              <w:rPr>
                <w:sz w:val="20"/>
                <w:szCs w:val="20"/>
                <w:lang w:val="en-GB"/>
              </w:rPr>
            </w:pPr>
            <w:r>
              <w:rPr>
                <w:sz w:val="20"/>
                <w:szCs w:val="20"/>
                <w:lang w:val="en-GB"/>
              </w:rPr>
              <w:t>Low</w:t>
            </w:r>
            <w:r w:rsidR="00C11BB2" w:rsidRPr="00C93A4A">
              <w:rPr>
                <w:sz w:val="20"/>
                <w:szCs w:val="20"/>
                <w:lang w:val="en-GB"/>
              </w:rPr>
              <w:tab/>
              <w:t>Value</w:t>
            </w:r>
          </w:p>
        </w:tc>
      </w:tr>
      <w:tr w:rsidR="00C11BB2" w:rsidRPr="00C93A4A" w14:paraId="6DB57951" w14:textId="77777777" w:rsidTr="00161F35">
        <w:tc>
          <w:tcPr>
            <w:tcW w:w="3681" w:type="dxa"/>
            <w:shd w:val="clear" w:color="auto" w:fill="EBE7D5" w:themeFill="accent5" w:themeFillTint="66"/>
            <w:vAlign w:val="center"/>
          </w:tcPr>
          <w:p w14:paraId="62799E8A" w14:textId="77777777" w:rsidR="00C11BB2" w:rsidRPr="00C93A4A" w:rsidRDefault="00C11BB2" w:rsidP="00CD52CD">
            <w:pPr>
              <w:spacing w:before="60" w:after="60"/>
              <w:rPr>
                <w:b/>
                <w:sz w:val="20"/>
                <w:szCs w:val="20"/>
                <w:lang w:val="en-GB"/>
              </w:rPr>
            </w:pPr>
            <w:r w:rsidRPr="00C93A4A">
              <w:rPr>
                <w:b/>
                <w:sz w:val="20"/>
                <w:szCs w:val="20"/>
                <w:lang w:val="en-GB"/>
              </w:rPr>
              <w:t>Consultation</w:t>
            </w:r>
          </w:p>
        </w:tc>
        <w:tc>
          <w:tcPr>
            <w:tcW w:w="5147" w:type="dxa"/>
            <w:vAlign w:val="center"/>
          </w:tcPr>
          <w:p w14:paraId="6EC3EF05" w14:textId="07857B5D" w:rsidR="00C11BB2" w:rsidRPr="00C93A4A" w:rsidRDefault="00F5076B" w:rsidP="00F5076B">
            <w:pPr>
              <w:spacing w:before="60" w:after="60"/>
              <w:rPr>
                <w:sz w:val="20"/>
                <w:szCs w:val="20"/>
                <w:lang w:val="en-GB"/>
              </w:rPr>
            </w:pPr>
            <w:r w:rsidRPr="00F5076B">
              <w:rPr>
                <w:sz w:val="20"/>
                <w:szCs w:val="20"/>
                <w:lang w:val="en-GB"/>
              </w:rPr>
              <w:t>IOB (International organisations, UN section), Pacific AEB (Peter Kelly), ILO, various donors, Government of Timor-Les</w:t>
            </w:r>
            <w:r>
              <w:rPr>
                <w:sz w:val="20"/>
                <w:szCs w:val="20"/>
                <w:lang w:val="en-GB"/>
              </w:rPr>
              <w:t>t</w:t>
            </w:r>
            <w:r w:rsidRPr="00F5076B">
              <w:rPr>
                <w:sz w:val="20"/>
                <w:szCs w:val="20"/>
                <w:lang w:val="en-GB"/>
              </w:rPr>
              <w:t>e</w:t>
            </w:r>
          </w:p>
        </w:tc>
      </w:tr>
      <w:tr w:rsidR="00C11BB2" w:rsidRPr="00C93A4A" w14:paraId="53776D05" w14:textId="77777777" w:rsidTr="00161F35">
        <w:tc>
          <w:tcPr>
            <w:tcW w:w="3681" w:type="dxa"/>
            <w:shd w:val="clear" w:color="auto" w:fill="EBE7D5" w:themeFill="accent5" w:themeFillTint="66"/>
            <w:vAlign w:val="center"/>
          </w:tcPr>
          <w:p w14:paraId="65FC04D8" w14:textId="77777777" w:rsidR="00C11BB2" w:rsidRPr="00C93A4A" w:rsidRDefault="00C11BB2" w:rsidP="00CD52CD">
            <w:pPr>
              <w:spacing w:before="60" w:after="60"/>
              <w:rPr>
                <w:b/>
                <w:sz w:val="20"/>
                <w:szCs w:val="20"/>
                <w:lang w:val="en-GB"/>
              </w:rPr>
            </w:pPr>
            <w:r w:rsidRPr="00C93A4A">
              <w:rPr>
                <w:b/>
                <w:sz w:val="20"/>
                <w:szCs w:val="20"/>
                <w:lang w:val="en-GB"/>
              </w:rPr>
              <w:t>Proposed design pathway</w:t>
            </w:r>
          </w:p>
        </w:tc>
        <w:tc>
          <w:tcPr>
            <w:tcW w:w="5147" w:type="dxa"/>
            <w:vAlign w:val="center"/>
          </w:tcPr>
          <w:p w14:paraId="1052CC61" w14:textId="005F2578" w:rsidR="00C11BB2" w:rsidRPr="00C93A4A" w:rsidRDefault="00571F5B" w:rsidP="0092226A">
            <w:pPr>
              <w:spacing w:before="60" w:after="60"/>
              <w:rPr>
                <w:rFonts w:asciiTheme="minorHAnsi" w:hAnsiTheme="minorHAnsi" w:cstheme="minorHAnsi"/>
                <w:sz w:val="20"/>
                <w:szCs w:val="20"/>
                <w:lang w:val="en-GB"/>
              </w:rPr>
            </w:pPr>
            <w:r w:rsidRPr="00C93A4A">
              <w:rPr>
                <w:rFonts w:asciiTheme="minorHAnsi" w:hAnsiTheme="minorHAnsi" w:cstheme="minorHAnsi"/>
                <w:sz w:val="20"/>
                <w:szCs w:val="20"/>
                <w:lang w:val="en-GB"/>
              </w:rPr>
              <w:t>FAS/AS/HOM Review</w:t>
            </w:r>
          </w:p>
        </w:tc>
      </w:tr>
      <w:tr w:rsidR="00C11BB2" w:rsidRPr="00C93A4A" w14:paraId="656ED61F" w14:textId="77777777" w:rsidTr="00161F35">
        <w:tc>
          <w:tcPr>
            <w:tcW w:w="3681" w:type="dxa"/>
            <w:shd w:val="clear" w:color="auto" w:fill="EBE7D5" w:themeFill="accent5" w:themeFillTint="66"/>
            <w:vAlign w:val="center"/>
          </w:tcPr>
          <w:p w14:paraId="279E331B" w14:textId="77777777" w:rsidR="00C11BB2" w:rsidRPr="00C93A4A" w:rsidRDefault="00C11BB2" w:rsidP="00CD52CD">
            <w:pPr>
              <w:spacing w:before="60" w:after="60"/>
              <w:rPr>
                <w:b/>
                <w:sz w:val="20"/>
                <w:szCs w:val="20"/>
                <w:lang w:val="en-GB"/>
              </w:rPr>
            </w:pPr>
            <w:r w:rsidRPr="00C93A4A">
              <w:rPr>
                <w:b/>
                <w:sz w:val="20"/>
                <w:szCs w:val="20"/>
                <w:lang w:val="en-GB"/>
              </w:rPr>
              <w:t>Draft AidWorks initiative number</w:t>
            </w:r>
          </w:p>
        </w:tc>
        <w:tc>
          <w:tcPr>
            <w:tcW w:w="5147" w:type="dxa"/>
            <w:vAlign w:val="center"/>
          </w:tcPr>
          <w:p w14:paraId="7B1B67ED" w14:textId="5C60AE3B" w:rsidR="00C11BB2" w:rsidRPr="00C93A4A" w:rsidRDefault="00F5076B" w:rsidP="00CD52CD">
            <w:pPr>
              <w:spacing w:before="60" w:after="60"/>
              <w:rPr>
                <w:sz w:val="20"/>
                <w:szCs w:val="20"/>
                <w:lang w:val="en-GB"/>
              </w:rPr>
            </w:pPr>
            <w:r>
              <w:rPr>
                <w:sz w:val="20"/>
                <w:szCs w:val="20"/>
                <w:lang w:val="en-GB"/>
              </w:rPr>
              <w:t>INK211</w:t>
            </w:r>
          </w:p>
        </w:tc>
      </w:tr>
    </w:tbl>
    <w:p w14:paraId="68195A2C" w14:textId="77777777" w:rsidR="00C11BB2" w:rsidRPr="00C93A4A" w:rsidRDefault="00C11BB2" w:rsidP="00C11BB2">
      <w:pPr>
        <w:rPr>
          <w:lang w:val="en-GB"/>
        </w:rPr>
      </w:pPr>
    </w:p>
    <w:p w14:paraId="2FA52DF1" w14:textId="21E4BD3D" w:rsidR="003014C6" w:rsidRPr="00C93A4A" w:rsidRDefault="00396FAE" w:rsidP="00C11BB2">
      <w:pPr>
        <w:rPr>
          <w:lang w:val="en-GB"/>
        </w:rPr>
      </w:pPr>
      <w:r w:rsidRPr="00C93A4A">
        <w:rPr>
          <w:rStyle w:val="Strong"/>
          <w:lang w:val="en-GB"/>
        </w:rPr>
        <w:t>Purpose.</w:t>
      </w:r>
      <w:r w:rsidRPr="00C93A4A">
        <w:rPr>
          <w:lang w:val="en-GB"/>
        </w:rPr>
        <w:t xml:space="preserve"> This Investment Concept Note (ICN) responds to DFAT terms of reference</w:t>
      </w:r>
      <w:r w:rsidR="006A7140" w:rsidRPr="00C93A4A">
        <w:rPr>
          <w:lang w:val="en-GB"/>
        </w:rPr>
        <w:t xml:space="preserve"> (dated 12/5/15, </w:t>
      </w:r>
      <w:r w:rsidR="00D36DA6">
        <w:rPr>
          <w:lang w:val="en-GB"/>
        </w:rPr>
        <w:t>Annex 7</w:t>
      </w:r>
      <w:r w:rsidR="006A7140" w:rsidRPr="00C93A4A">
        <w:rPr>
          <w:lang w:val="en-GB"/>
        </w:rPr>
        <w:t>) regarding a potential second phase of the Roads for Development (R4D) program</w:t>
      </w:r>
      <w:r w:rsidRPr="00C93A4A">
        <w:rPr>
          <w:lang w:val="en-GB"/>
        </w:rPr>
        <w:t xml:space="preserve">. </w:t>
      </w:r>
      <w:r w:rsidR="006A7140" w:rsidRPr="00C93A4A">
        <w:rPr>
          <w:lang w:val="en-GB"/>
        </w:rPr>
        <w:t>T</w:t>
      </w:r>
      <w:r w:rsidR="003014C6" w:rsidRPr="00C93A4A">
        <w:rPr>
          <w:lang w:val="en-GB"/>
        </w:rPr>
        <w:t xml:space="preserve">he main purpose of the ICN </w:t>
      </w:r>
      <w:r w:rsidR="006A7140" w:rsidRPr="00C93A4A">
        <w:rPr>
          <w:lang w:val="en-GB"/>
        </w:rPr>
        <w:t>is</w:t>
      </w:r>
      <w:r w:rsidR="003014C6" w:rsidRPr="00C93A4A">
        <w:rPr>
          <w:lang w:val="en-GB"/>
        </w:rPr>
        <w:t>:</w:t>
      </w:r>
      <w:r w:rsidRPr="00C93A4A">
        <w:rPr>
          <w:lang w:val="en-GB"/>
        </w:rPr>
        <w:t xml:space="preserve"> </w:t>
      </w:r>
    </w:p>
    <w:p w14:paraId="6EE035DD" w14:textId="77777777" w:rsidR="003014C6" w:rsidRPr="00C93A4A" w:rsidRDefault="00B549BB" w:rsidP="003014C6">
      <w:pPr>
        <w:ind w:left="426" w:right="-93"/>
        <w:rPr>
          <w:lang w:val="en-GB"/>
        </w:rPr>
      </w:pPr>
      <w:r w:rsidRPr="00C93A4A">
        <w:rPr>
          <w:lang w:val="en-GB"/>
        </w:rPr>
        <w:t>‘</w:t>
      </w:r>
      <w:r w:rsidRPr="00C93A4A">
        <w:rPr>
          <w:i/>
          <w:lang w:val="en-GB"/>
        </w:rPr>
        <w:t>to recommend whether a second phase of R4D should be designed…[and to make] recommendations on what, if any, modifications should be made to the program’s 2012 design document and current program model, should a second phase of the program be approved’</w:t>
      </w:r>
      <w:r w:rsidRPr="00C93A4A">
        <w:rPr>
          <w:lang w:val="en-GB"/>
        </w:rPr>
        <w:t xml:space="preserve">. </w:t>
      </w:r>
    </w:p>
    <w:p w14:paraId="1ABFAE49" w14:textId="6A329003" w:rsidR="00793208" w:rsidRPr="00C93A4A" w:rsidRDefault="004A02E0" w:rsidP="00C11BB2">
      <w:pPr>
        <w:rPr>
          <w:lang w:val="en-GB"/>
        </w:rPr>
      </w:pPr>
      <w:r w:rsidRPr="00C93A4A">
        <w:rPr>
          <w:rStyle w:val="Strong"/>
          <w:lang w:val="en-GB"/>
        </w:rPr>
        <w:t>Current p</w:t>
      </w:r>
      <w:r w:rsidR="00396FAE" w:rsidRPr="00C93A4A">
        <w:rPr>
          <w:rStyle w:val="Strong"/>
          <w:lang w:val="en-GB"/>
        </w:rPr>
        <w:t>rogram outline.</w:t>
      </w:r>
      <w:r w:rsidR="00396FAE" w:rsidRPr="00C93A4A">
        <w:rPr>
          <w:lang w:val="en-GB"/>
        </w:rPr>
        <w:t xml:space="preserve"> R4D </w:t>
      </w:r>
      <w:r w:rsidR="006A7140" w:rsidRPr="00C93A4A">
        <w:rPr>
          <w:lang w:val="en-GB"/>
        </w:rPr>
        <w:t>strengthens</w:t>
      </w:r>
      <w:r w:rsidR="00396FAE" w:rsidRPr="00C93A4A">
        <w:rPr>
          <w:lang w:val="en-GB"/>
        </w:rPr>
        <w:t xml:space="preserve"> development and management of a quality rural roads network in Timor-Leste usin</w:t>
      </w:r>
      <w:r w:rsidR="00EA69E1" w:rsidRPr="00C93A4A">
        <w:rPr>
          <w:lang w:val="en-GB"/>
        </w:rPr>
        <w:t>g labour-based methods</w:t>
      </w:r>
      <w:r w:rsidR="00396FAE" w:rsidRPr="00C93A4A">
        <w:rPr>
          <w:lang w:val="en-GB"/>
        </w:rPr>
        <w:t xml:space="preserve">. It provides broad institutional support to the Ministry of Public Works, Transport and Communication (MPW) and builds </w:t>
      </w:r>
      <w:r w:rsidR="00EA69E1" w:rsidRPr="00C93A4A">
        <w:rPr>
          <w:lang w:val="en-GB"/>
        </w:rPr>
        <w:t xml:space="preserve">the </w:t>
      </w:r>
      <w:r w:rsidR="00396FAE" w:rsidRPr="00C93A4A">
        <w:rPr>
          <w:lang w:val="en-GB"/>
        </w:rPr>
        <w:t xml:space="preserve">capacity of </w:t>
      </w:r>
      <w:r w:rsidR="00F839DE">
        <w:rPr>
          <w:lang w:val="en-GB"/>
        </w:rPr>
        <w:t>Government of Timor-Leste (</w:t>
      </w:r>
      <w:r w:rsidR="00396FAE" w:rsidRPr="00C93A4A">
        <w:rPr>
          <w:lang w:val="en-GB"/>
        </w:rPr>
        <w:t>GoTL</w:t>
      </w:r>
      <w:r w:rsidR="00F839DE">
        <w:rPr>
          <w:lang w:val="en-GB"/>
        </w:rPr>
        <w:t>)</w:t>
      </w:r>
      <w:r w:rsidR="00396FAE" w:rsidRPr="00C93A4A">
        <w:rPr>
          <w:lang w:val="en-GB"/>
        </w:rPr>
        <w:t xml:space="preserve"> agencies and local private contractors to improve the rural road network. R4D is </w:t>
      </w:r>
      <w:r w:rsidR="006A7140" w:rsidRPr="00C93A4A">
        <w:rPr>
          <w:lang w:val="en-GB"/>
        </w:rPr>
        <w:t xml:space="preserve">currently </w:t>
      </w:r>
      <w:r w:rsidR="00396FAE" w:rsidRPr="00C93A4A">
        <w:rPr>
          <w:lang w:val="en-GB"/>
        </w:rPr>
        <w:t>implemented by the United Nation</w:t>
      </w:r>
      <w:r w:rsidR="005B634E">
        <w:rPr>
          <w:lang w:val="en-GB"/>
        </w:rPr>
        <w:t>s’</w:t>
      </w:r>
      <w:r w:rsidR="00396FAE" w:rsidRPr="00C93A4A">
        <w:rPr>
          <w:lang w:val="en-GB"/>
        </w:rPr>
        <w:t xml:space="preserve"> International Labour Organi</w:t>
      </w:r>
      <w:r w:rsidR="00CD52CD" w:rsidRPr="00C93A4A">
        <w:rPr>
          <w:lang w:val="en-GB"/>
        </w:rPr>
        <w:t>z</w:t>
      </w:r>
      <w:r w:rsidR="00396FAE" w:rsidRPr="00C93A4A">
        <w:rPr>
          <w:lang w:val="en-GB"/>
        </w:rPr>
        <w:t>atio</w:t>
      </w:r>
      <w:r w:rsidR="00CD52CD" w:rsidRPr="00C93A4A">
        <w:rPr>
          <w:lang w:val="en-GB"/>
        </w:rPr>
        <w:t>n</w:t>
      </w:r>
      <w:r w:rsidR="00396FAE" w:rsidRPr="00C93A4A">
        <w:rPr>
          <w:lang w:val="en-GB"/>
        </w:rPr>
        <w:t xml:space="preserve"> (ILO). The current, initial phase of activities runs from 2012 to February 2016</w:t>
      </w:r>
      <w:r w:rsidR="00CD52CD" w:rsidRPr="00C93A4A">
        <w:rPr>
          <w:lang w:val="en-GB"/>
        </w:rPr>
        <w:t>.</w:t>
      </w:r>
      <w:r w:rsidR="00EA69E1" w:rsidRPr="00C93A4A">
        <w:rPr>
          <w:lang w:val="en-GB"/>
        </w:rPr>
        <w:t xml:space="preserve"> </w:t>
      </w:r>
      <w:r w:rsidR="007A555A" w:rsidRPr="00C93A4A">
        <w:rPr>
          <w:lang w:val="en-GB"/>
        </w:rPr>
        <w:t xml:space="preserve">To date, R4D has let 83 contracts to local contractors worth $15.4m to rehabilitate and maintain 248km of rural roads. </w:t>
      </w:r>
    </w:p>
    <w:p w14:paraId="2A7F4BC8" w14:textId="4EDBEE7F" w:rsidR="00396FAE" w:rsidRPr="00C93A4A" w:rsidRDefault="00CD52CD" w:rsidP="00C11BB2">
      <w:pPr>
        <w:rPr>
          <w:lang w:val="en-GB"/>
        </w:rPr>
      </w:pPr>
      <w:r w:rsidRPr="00C93A4A">
        <w:rPr>
          <w:lang w:val="en-GB"/>
        </w:rPr>
        <w:t>I</w:t>
      </w:r>
      <w:r w:rsidR="00EA69E1" w:rsidRPr="00C93A4A">
        <w:rPr>
          <w:lang w:val="en-GB"/>
        </w:rPr>
        <w:t xml:space="preserve">n-principle agreement has been reached between ILO and DFAT for an extension </w:t>
      </w:r>
      <w:r w:rsidRPr="00C93A4A">
        <w:rPr>
          <w:lang w:val="en-GB"/>
        </w:rPr>
        <w:t xml:space="preserve">of R4D </w:t>
      </w:r>
      <w:r w:rsidR="00EA69E1" w:rsidRPr="00C93A4A">
        <w:rPr>
          <w:lang w:val="en-GB"/>
        </w:rPr>
        <w:t>to Dec 2016. An overview of the program design</w:t>
      </w:r>
      <w:r w:rsidRPr="00C93A4A">
        <w:rPr>
          <w:lang w:val="en-GB"/>
        </w:rPr>
        <w:t>, including the intended outcomes</w:t>
      </w:r>
      <w:r w:rsidR="00EA69E1" w:rsidRPr="00C93A4A">
        <w:rPr>
          <w:lang w:val="en-GB"/>
        </w:rPr>
        <w:t xml:space="preserve"> and monitoring and evaluation (M&amp;E) framework</w:t>
      </w:r>
      <w:r w:rsidR="00793208" w:rsidRPr="00C93A4A">
        <w:rPr>
          <w:lang w:val="en-GB"/>
        </w:rPr>
        <w:t>,</w:t>
      </w:r>
      <w:r w:rsidR="00EA69E1" w:rsidRPr="00C93A4A">
        <w:rPr>
          <w:lang w:val="en-GB"/>
        </w:rPr>
        <w:t xml:space="preserve"> is provided in </w:t>
      </w:r>
      <w:r w:rsidR="00D36DA6">
        <w:rPr>
          <w:lang w:val="en-GB"/>
        </w:rPr>
        <w:t>Annex 3</w:t>
      </w:r>
      <w:r w:rsidR="00EA69E1" w:rsidRPr="00C93A4A">
        <w:rPr>
          <w:lang w:val="en-GB"/>
        </w:rPr>
        <w:t>.</w:t>
      </w:r>
    </w:p>
    <w:p w14:paraId="708B1218" w14:textId="30C95076" w:rsidR="0069705B" w:rsidRPr="00C93A4A" w:rsidRDefault="00664EA8" w:rsidP="0069705B">
      <w:pPr>
        <w:rPr>
          <w:lang w:val="en-GB"/>
        </w:rPr>
      </w:pPr>
      <w:r w:rsidRPr="00C93A4A">
        <w:rPr>
          <w:rStyle w:val="Strong"/>
          <w:lang w:val="en-GB"/>
        </w:rPr>
        <w:t>I</w:t>
      </w:r>
      <w:r w:rsidR="00EA69E1" w:rsidRPr="00C93A4A">
        <w:rPr>
          <w:rStyle w:val="Strong"/>
          <w:lang w:val="en-GB"/>
        </w:rPr>
        <w:t>nvestment Concept Mission</w:t>
      </w:r>
      <w:r w:rsidR="006A7140" w:rsidRPr="00C93A4A">
        <w:rPr>
          <w:rStyle w:val="Strong"/>
          <w:lang w:val="en-GB"/>
        </w:rPr>
        <w:t xml:space="preserve"> (ICM)</w:t>
      </w:r>
      <w:r w:rsidR="00EA69E1" w:rsidRPr="00C93A4A">
        <w:rPr>
          <w:rStyle w:val="Strong"/>
          <w:lang w:val="en-GB"/>
        </w:rPr>
        <w:t>.</w:t>
      </w:r>
      <w:r w:rsidR="00EA69E1" w:rsidRPr="00C93A4A">
        <w:rPr>
          <w:lang w:val="en-GB"/>
        </w:rPr>
        <w:t xml:space="preserve"> </w:t>
      </w:r>
      <w:r w:rsidR="0069705B" w:rsidRPr="00C93A4A">
        <w:rPr>
          <w:lang w:val="en-GB"/>
        </w:rPr>
        <w:t xml:space="preserve">In-country activities for the </w:t>
      </w:r>
      <w:r w:rsidR="006A7140" w:rsidRPr="00C93A4A">
        <w:rPr>
          <w:lang w:val="en-GB"/>
        </w:rPr>
        <w:t>ICM</w:t>
      </w:r>
      <w:r w:rsidR="0069705B" w:rsidRPr="00C93A4A">
        <w:rPr>
          <w:lang w:val="en-GB"/>
        </w:rPr>
        <w:t xml:space="preserve"> were undertaken between 22/6 and 2/7 by a three-person team: Matthew Bond (Team Leader), Charles Melhuish (Rural Road Specialist) and Darrell Hawkins (DFAT Rural Development</w:t>
      </w:r>
      <w:r w:rsidR="006A7140" w:rsidRPr="00C93A4A">
        <w:rPr>
          <w:lang w:val="en-GB"/>
        </w:rPr>
        <w:t xml:space="preserve"> Officer</w:t>
      </w:r>
      <w:r w:rsidR="0069705B" w:rsidRPr="00C93A4A">
        <w:rPr>
          <w:lang w:val="en-GB"/>
        </w:rPr>
        <w:t>). Paul Crawford (M&amp;E Specialist) provided desk-based inputs. A broad range of stakeholders were consulted during the in-country activities, which included site visits to Bobonaro and Aileu municipalities</w:t>
      </w:r>
      <w:r w:rsidR="003014C6" w:rsidRPr="00C93A4A">
        <w:rPr>
          <w:lang w:val="en-GB"/>
        </w:rPr>
        <w:t xml:space="preserve"> (refer to</w:t>
      </w:r>
      <w:r w:rsidR="00D36DA6">
        <w:rPr>
          <w:lang w:val="en-GB"/>
        </w:rPr>
        <w:t xml:space="preserve"> Annex 6</w:t>
      </w:r>
      <w:r w:rsidR="003014C6" w:rsidRPr="00C93A4A">
        <w:rPr>
          <w:lang w:val="en-GB"/>
        </w:rPr>
        <w:t>)</w:t>
      </w:r>
      <w:r w:rsidR="0069705B" w:rsidRPr="00C93A4A">
        <w:rPr>
          <w:lang w:val="en-GB"/>
        </w:rPr>
        <w:t>.</w:t>
      </w:r>
    </w:p>
    <w:p w14:paraId="224205C7" w14:textId="77777777" w:rsidR="000D08D4" w:rsidRPr="00C93A4A" w:rsidRDefault="000D08D4" w:rsidP="00CD52CD">
      <w:pPr>
        <w:pStyle w:val="Heading1"/>
        <w:spacing w:after="120"/>
      </w:pPr>
      <w:bookmarkStart w:id="2" w:name="_Toc424633115"/>
      <w:r w:rsidRPr="00C93A4A">
        <w:lastRenderedPageBreak/>
        <w:t>Problem/issue definition and rationale for investment (Why?)</w:t>
      </w:r>
      <w:bookmarkEnd w:id="2"/>
    </w:p>
    <w:p w14:paraId="59E45BDD" w14:textId="2E2DF206" w:rsidR="000C5E2B" w:rsidRPr="00C93A4A" w:rsidRDefault="00CD52CD" w:rsidP="00CD52CD">
      <w:pPr>
        <w:rPr>
          <w:lang w:val="en-GB"/>
        </w:rPr>
      </w:pPr>
      <w:r w:rsidRPr="00C93A4A">
        <w:rPr>
          <w:rStyle w:val="Strong"/>
          <w:lang w:val="en-GB"/>
        </w:rPr>
        <w:t>Problem definition.</w:t>
      </w:r>
      <w:r w:rsidRPr="00C93A4A">
        <w:rPr>
          <w:rStyle w:val="IntenseReference"/>
          <w:b w:val="0"/>
          <w:bCs w:val="0"/>
          <w:smallCaps w:val="0"/>
          <w:color w:val="676A55" w:themeColor="text2"/>
          <w:spacing w:val="0"/>
          <w:lang w:val="en-GB"/>
        </w:rPr>
        <w:t xml:space="preserve"> </w:t>
      </w:r>
      <w:r w:rsidR="00680A64" w:rsidRPr="00C93A4A">
        <w:rPr>
          <w:lang w:val="en-GB"/>
        </w:rPr>
        <w:t>The R4D Program Design Document (</w:t>
      </w:r>
      <w:r w:rsidR="00693103" w:rsidRPr="00C93A4A">
        <w:rPr>
          <w:lang w:val="en-GB"/>
        </w:rPr>
        <w:t>PDD</w:t>
      </w:r>
      <w:r w:rsidR="00680A64" w:rsidRPr="00C93A4A">
        <w:rPr>
          <w:lang w:val="en-GB"/>
        </w:rPr>
        <w:t>) notes that road</w:t>
      </w:r>
      <w:r w:rsidR="005B634E">
        <w:rPr>
          <w:lang w:val="en-GB"/>
        </w:rPr>
        <w:t xml:space="preserve"> transport</w:t>
      </w:r>
      <w:r w:rsidR="00680A64" w:rsidRPr="00C93A4A">
        <w:rPr>
          <w:lang w:val="en-GB"/>
        </w:rPr>
        <w:t xml:space="preserve"> </w:t>
      </w:r>
      <w:r w:rsidR="005B634E">
        <w:rPr>
          <w:lang w:val="en-GB"/>
        </w:rPr>
        <w:t>is</w:t>
      </w:r>
      <w:r w:rsidR="00680A64" w:rsidRPr="00C93A4A">
        <w:rPr>
          <w:lang w:val="en-GB"/>
        </w:rPr>
        <w:t xml:space="preserve"> the primary mode of transport in Timor-Leste and </w:t>
      </w:r>
      <w:r w:rsidR="000C5E2B" w:rsidRPr="00C93A4A">
        <w:rPr>
          <w:lang w:val="en-GB"/>
        </w:rPr>
        <w:t>outlines</w:t>
      </w:r>
      <w:r w:rsidR="00680A64" w:rsidRPr="00C93A4A">
        <w:rPr>
          <w:lang w:val="en-GB"/>
        </w:rPr>
        <w:t xml:space="preserve"> the constraints on economic development and poverty alleviation </w:t>
      </w:r>
      <w:r w:rsidR="000C5E2B" w:rsidRPr="00C93A4A">
        <w:rPr>
          <w:lang w:val="en-GB"/>
        </w:rPr>
        <w:t>caus</w:t>
      </w:r>
      <w:r w:rsidR="00680A64" w:rsidRPr="00C93A4A">
        <w:rPr>
          <w:lang w:val="en-GB"/>
        </w:rPr>
        <w:t xml:space="preserve">ed </w:t>
      </w:r>
      <w:r w:rsidR="000C5E2B" w:rsidRPr="00C93A4A">
        <w:rPr>
          <w:lang w:val="en-GB"/>
        </w:rPr>
        <w:t>by</w:t>
      </w:r>
      <w:r w:rsidR="00680A64" w:rsidRPr="00C93A4A">
        <w:rPr>
          <w:lang w:val="en-GB"/>
        </w:rPr>
        <w:t xml:space="preserve"> </w:t>
      </w:r>
      <w:r w:rsidR="007A555A" w:rsidRPr="00C93A4A">
        <w:rPr>
          <w:lang w:val="en-GB"/>
        </w:rPr>
        <w:t>the</w:t>
      </w:r>
      <w:r w:rsidR="00680A64" w:rsidRPr="00C93A4A">
        <w:rPr>
          <w:lang w:val="en-GB"/>
        </w:rPr>
        <w:t xml:space="preserve"> poor rural road network.</w:t>
      </w:r>
      <w:r w:rsidR="00680A64" w:rsidRPr="00C93A4A">
        <w:rPr>
          <w:rStyle w:val="FootnoteReference"/>
          <w:sz w:val="20"/>
          <w:szCs w:val="20"/>
          <w:lang w:val="en-GB"/>
        </w:rPr>
        <w:footnoteReference w:id="1"/>
      </w:r>
      <w:r w:rsidR="00680A64" w:rsidRPr="00C93A4A">
        <w:rPr>
          <w:lang w:val="en-GB"/>
        </w:rPr>
        <w:t xml:space="preserve"> Poor roads increase barriers to service provision (for example health services) and increase the cost and time taken to transport goods to and from markets.</w:t>
      </w:r>
      <w:r w:rsidR="00274CAB" w:rsidRPr="00C93A4A">
        <w:rPr>
          <w:rStyle w:val="FootnoteReference"/>
          <w:lang w:val="en-GB"/>
        </w:rPr>
        <w:footnoteReference w:id="2"/>
      </w:r>
      <w:r w:rsidR="00693103" w:rsidRPr="00C93A4A">
        <w:rPr>
          <w:lang w:val="en-GB"/>
        </w:rPr>
        <w:t xml:space="preserve"> </w:t>
      </w:r>
      <w:r w:rsidR="00680A64" w:rsidRPr="00C93A4A">
        <w:rPr>
          <w:lang w:val="en-GB"/>
        </w:rPr>
        <w:t xml:space="preserve">When the PDD was prepared, there was no authoritative assessment of the extent and condition of the rural road network. </w:t>
      </w:r>
      <w:r w:rsidR="00B552F2" w:rsidRPr="00C93A4A">
        <w:rPr>
          <w:lang w:val="en-GB"/>
        </w:rPr>
        <w:t>T</w:t>
      </w:r>
      <w:r w:rsidR="00680A64" w:rsidRPr="00C93A4A">
        <w:rPr>
          <w:lang w:val="en-GB"/>
        </w:rPr>
        <w:t xml:space="preserve">he </w:t>
      </w:r>
      <w:r w:rsidR="00693103" w:rsidRPr="00C93A4A">
        <w:rPr>
          <w:lang w:val="en-GB"/>
        </w:rPr>
        <w:t>R</w:t>
      </w:r>
      <w:r w:rsidR="00680A64" w:rsidRPr="00C93A4A">
        <w:rPr>
          <w:lang w:val="en-GB"/>
        </w:rPr>
        <w:t>ural Roads Master Plan</w:t>
      </w:r>
      <w:r w:rsidR="006A7140" w:rsidRPr="00C93A4A">
        <w:rPr>
          <w:lang w:val="en-GB"/>
        </w:rPr>
        <w:t xml:space="preserve"> and Investment Strategy</w:t>
      </w:r>
      <w:r w:rsidR="00680A64" w:rsidRPr="00C93A4A">
        <w:rPr>
          <w:lang w:val="en-GB"/>
        </w:rPr>
        <w:t xml:space="preserve"> (RRMP), prepared with R4D support</w:t>
      </w:r>
      <w:r w:rsidR="005D08DE" w:rsidRPr="00C93A4A">
        <w:rPr>
          <w:lang w:val="en-GB"/>
        </w:rPr>
        <w:t>, quantifies the extent of the problem</w:t>
      </w:r>
      <w:r w:rsidR="000C5E2B" w:rsidRPr="00C93A4A">
        <w:rPr>
          <w:lang w:val="en-GB"/>
        </w:rPr>
        <w:t xml:space="preserve">. The rural road network extends to 4952 km, of which 1675 km are ‘core’ roads serving populations of 500 or more people. Of the core roads, only 13% are in good condition. Almost two thirds are in bad or poor condition and require rehabilitation. The RRMP data was used to calculate the World Bank’s Road Accessibility Index (RAI) for Timor-Leste. Compared with an average of 90% for East Asia and the Pacific, Timor-Leste’s RAI is just 49%. </w:t>
      </w:r>
      <w:r w:rsidR="007A555A" w:rsidRPr="00C93A4A">
        <w:rPr>
          <w:lang w:val="en-GB"/>
        </w:rPr>
        <w:t>Establishing GoTL capacity to manage a</w:t>
      </w:r>
      <w:r w:rsidR="000C5E2B" w:rsidRPr="00C93A4A">
        <w:rPr>
          <w:lang w:val="en-GB"/>
        </w:rPr>
        <w:t xml:space="preserve"> targeted program of rehabilitation and regular maintenance of the rural road network remains an important </w:t>
      </w:r>
      <w:r w:rsidR="006A7140" w:rsidRPr="00C93A4A">
        <w:rPr>
          <w:lang w:val="en-GB"/>
        </w:rPr>
        <w:t>precondition</w:t>
      </w:r>
      <w:r w:rsidR="000C5E2B" w:rsidRPr="00C93A4A">
        <w:rPr>
          <w:lang w:val="en-GB"/>
        </w:rPr>
        <w:t xml:space="preserve"> for </w:t>
      </w:r>
      <w:r w:rsidR="006A7140" w:rsidRPr="00C93A4A">
        <w:rPr>
          <w:lang w:val="en-GB"/>
        </w:rPr>
        <w:t xml:space="preserve">other </w:t>
      </w:r>
      <w:r w:rsidR="000C5E2B" w:rsidRPr="00C93A4A">
        <w:rPr>
          <w:lang w:val="en-GB"/>
        </w:rPr>
        <w:t>development in Timor-Leste.</w:t>
      </w:r>
    </w:p>
    <w:p w14:paraId="28A50C72" w14:textId="5D3B6E7B" w:rsidR="0024789F" w:rsidRPr="00C93A4A" w:rsidRDefault="00EA69E1" w:rsidP="0024789F">
      <w:pPr>
        <w:rPr>
          <w:lang w:val="en-GB"/>
        </w:rPr>
      </w:pPr>
      <w:r w:rsidRPr="00C93A4A">
        <w:rPr>
          <w:rStyle w:val="Strong"/>
          <w:lang w:val="en-GB"/>
        </w:rPr>
        <w:t>Rationale for</w:t>
      </w:r>
      <w:r w:rsidR="00E338D7" w:rsidRPr="00C93A4A">
        <w:rPr>
          <w:rStyle w:val="Strong"/>
          <w:lang w:val="en-GB"/>
        </w:rPr>
        <w:t xml:space="preserve"> continued</w:t>
      </w:r>
      <w:r w:rsidRPr="00C93A4A">
        <w:rPr>
          <w:rStyle w:val="Strong"/>
          <w:lang w:val="en-GB"/>
        </w:rPr>
        <w:t xml:space="preserve"> Australian aid investment.</w:t>
      </w:r>
      <w:r w:rsidR="00CD52CD" w:rsidRPr="00C93A4A">
        <w:rPr>
          <w:lang w:val="en-GB"/>
        </w:rPr>
        <w:t xml:space="preserve"> </w:t>
      </w:r>
      <w:r w:rsidR="0024789F" w:rsidRPr="00C93A4A">
        <w:rPr>
          <w:lang w:val="en-GB"/>
        </w:rPr>
        <w:t>R</w:t>
      </w:r>
      <w:r w:rsidR="00CD52CD" w:rsidRPr="00C93A4A">
        <w:rPr>
          <w:lang w:val="en-GB"/>
        </w:rPr>
        <w:t>ural roads remain</w:t>
      </w:r>
      <w:r w:rsidR="0024789F" w:rsidRPr="00C93A4A">
        <w:rPr>
          <w:lang w:val="en-GB"/>
        </w:rPr>
        <w:t xml:space="preserve"> a</w:t>
      </w:r>
      <w:r w:rsidR="007457E2">
        <w:rPr>
          <w:lang w:val="en-GB"/>
        </w:rPr>
        <w:t xml:space="preserve"> stated</w:t>
      </w:r>
      <w:r w:rsidR="0024789F" w:rsidRPr="00C93A4A">
        <w:rPr>
          <w:lang w:val="en-GB"/>
        </w:rPr>
        <w:t xml:space="preserve"> priority for GoTL. The Program of the VI Constitutional Government of Timor-Leste </w:t>
      </w:r>
      <w:r w:rsidR="00E338D7" w:rsidRPr="00C93A4A">
        <w:rPr>
          <w:lang w:val="en-GB"/>
        </w:rPr>
        <w:t>identifies</w:t>
      </w:r>
      <w:r w:rsidR="0024789F" w:rsidRPr="00C93A4A">
        <w:rPr>
          <w:lang w:val="en-GB"/>
        </w:rPr>
        <w:t xml:space="preserve"> rural road improvement and maintenance as an important area for investment</w:t>
      </w:r>
      <w:r w:rsidR="006A7140" w:rsidRPr="00C93A4A">
        <w:rPr>
          <w:lang w:val="en-GB"/>
        </w:rPr>
        <w:t xml:space="preserve"> and mentions</w:t>
      </w:r>
      <w:r w:rsidR="0024789F" w:rsidRPr="00C93A4A">
        <w:rPr>
          <w:lang w:val="en-GB"/>
        </w:rPr>
        <w:t xml:space="preserve"> R4D </w:t>
      </w:r>
      <w:r w:rsidR="00CD52CD" w:rsidRPr="00C93A4A">
        <w:rPr>
          <w:lang w:val="en-GB"/>
        </w:rPr>
        <w:t>explicitly</w:t>
      </w:r>
      <w:r w:rsidR="0024789F" w:rsidRPr="00C93A4A">
        <w:rPr>
          <w:lang w:val="en-GB"/>
        </w:rPr>
        <w:t xml:space="preserve"> as the means for addressing this priority. Improving rural roads is part of the GoTL Strategic Development Plan and falls within one of four priority areas</w:t>
      </w:r>
      <w:r w:rsidR="00E338D7" w:rsidRPr="00C93A4A">
        <w:rPr>
          <w:lang w:val="en-GB"/>
        </w:rPr>
        <w:t xml:space="preserve"> (basic infrastructure</w:t>
      </w:r>
      <w:r w:rsidR="0024789F" w:rsidRPr="00C93A4A">
        <w:rPr>
          <w:lang w:val="en-GB"/>
        </w:rPr>
        <w:t>) announced by the GoTL Prime Minister for the 2016 budget.</w:t>
      </w:r>
    </w:p>
    <w:p w14:paraId="5EDB3F1D" w14:textId="402117C8" w:rsidR="0024789F" w:rsidRPr="00C93A4A" w:rsidRDefault="00867CE2" w:rsidP="0024789F">
      <w:pPr>
        <w:rPr>
          <w:lang w:val="en-GB"/>
        </w:rPr>
      </w:pPr>
      <w:r w:rsidRPr="00C93A4A">
        <w:rPr>
          <w:lang w:val="en-GB"/>
        </w:rPr>
        <w:t>Supporting quality ru</w:t>
      </w:r>
      <w:r w:rsidR="0024789F" w:rsidRPr="00C93A4A">
        <w:rPr>
          <w:lang w:val="en-GB"/>
        </w:rPr>
        <w:t>ral road</w:t>
      </w:r>
      <w:r w:rsidRPr="00C93A4A">
        <w:rPr>
          <w:lang w:val="en-GB"/>
        </w:rPr>
        <w:t xml:space="preserve"> infrastructure </w:t>
      </w:r>
      <w:r w:rsidR="0024789F" w:rsidRPr="00C93A4A">
        <w:rPr>
          <w:lang w:val="en-GB"/>
        </w:rPr>
        <w:t xml:space="preserve">also </w:t>
      </w:r>
      <w:r w:rsidRPr="00C93A4A">
        <w:rPr>
          <w:lang w:val="en-GB"/>
        </w:rPr>
        <w:t xml:space="preserve">continues to </w:t>
      </w:r>
      <w:r w:rsidR="00CD52CD" w:rsidRPr="00C93A4A">
        <w:rPr>
          <w:lang w:val="en-GB"/>
        </w:rPr>
        <w:t>align with</w:t>
      </w:r>
      <w:r w:rsidR="0024789F" w:rsidRPr="00C93A4A">
        <w:rPr>
          <w:lang w:val="en-GB"/>
        </w:rPr>
        <w:t xml:space="preserve"> the priorities of the Government of Australia (GoA) </w:t>
      </w:r>
      <w:r w:rsidRPr="00C93A4A">
        <w:rPr>
          <w:lang w:val="en-GB"/>
        </w:rPr>
        <w:t xml:space="preserve">program </w:t>
      </w:r>
      <w:r w:rsidR="0024789F" w:rsidRPr="00C93A4A">
        <w:rPr>
          <w:lang w:val="en-GB"/>
        </w:rPr>
        <w:t>for Timor-Leste</w:t>
      </w:r>
      <w:r w:rsidRPr="00C93A4A">
        <w:rPr>
          <w:lang w:val="en-GB"/>
        </w:rPr>
        <w:t xml:space="preserve">. The </w:t>
      </w:r>
      <w:r w:rsidR="006A7140" w:rsidRPr="00C93A4A">
        <w:rPr>
          <w:lang w:val="en-GB"/>
        </w:rPr>
        <w:t xml:space="preserve">draft </w:t>
      </w:r>
      <w:r w:rsidRPr="00C93A4A">
        <w:rPr>
          <w:lang w:val="en-GB"/>
        </w:rPr>
        <w:t>GoA Aid Investment Plan (AIP)</w:t>
      </w:r>
      <w:r w:rsidR="006A7140" w:rsidRPr="00C93A4A">
        <w:rPr>
          <w:lang w:val="en-GB"/>
        </w:rPr>
        <w:t xml:space="preserve"> </w:t>
      </w:r>
      <w:r w:rsidR="0024789F" w:rsidRPr="00C93A4A">
        <w:rPr>
          <w:lang w:val="en-GB"/>
        </w:rPr>
        <w:t>co</w:t>
      </w:r>
      <w:r w:rsidRPr="00C93A4A">
        <w:rPr>
          <w:lang w:val="en-GB"/>
        </w:rPr>
        <w:t xml:space="preserve">ntinues a commitment </w:t>
      </w:r>
      <w:r w:rsidR="00200438" w:rsidRPr="00C93A4A">
        <w:rPr>
          <w:lang w:val="en-GB"/>
        </w:rPr>
        <w:t xml:space="preserve">to </w:t>
      </w:r>
      <w:r w:rsidR="0024789F" w:rsidRPr="00C93A4A">
        <w:rPr>
          <w:lang w:val="en-GB"/>
        </w:rPr>
        <w:t>rural development</w:t>
      </w:r>
      <w:r w:rsidRPr="00C93A4A">
        <w:rPr>
          <w:lang w:val="en-GB"/>
        </w:rPr>
        <w:t xml:space="preserve">. It notes that </w:t>
      </w:r>
      <w:r w:rsidR="0024789F" w:rsidRPr="00C93A4A">
        <w:rPr>
          <w:lang w:val="en-GB"/>
        </w:rPr>
        <w:t>invest</w:t>
      </w:r>
      <w:r w:rsidRPr="00C93A4A">
        <w:rPr>
          <w:lang w:val="en-GB"/>
        </w:rPr>
        <w:t xml:space="preserve">ing </w:t>
      </w:r>
      <w:r w:rsidR="0024789F" w:rsidRPr="00C93A4A">
        <w:rPr>
          <w:lang w:val="en-GB"/>
        </w:rPr>
        <w:t>in rural roads will contribute to the overall impact of the Australian aid program in Timor-Leste</w:t>
      </w:r>
      <w:r w:rsidRPr="00C93A4A">
        <w:rPr>
          <w:lang w:val="en-GB"/>
        </w:rPr>
        <w:t xml:space="preserve"> and underpin the achievement of other rural development activities such as the Market Development Facility, </w:t>
      </w:r>
      <w:r w:rsidR="00D62E7B" w:rsidRPr="00C93A4A">
        <w:rPr>
          <w:lang w:val="en-GB"/>
        </w:rPr>
        <w:t xml:space="preserve">TOMAK </w:t>
      </w:r>
      <w:r w:rsidR="00D62E7B">
        <w:rPr>
          <w:lang w:val="en-GB"/>
        </w:rPr>
        <w:t>(</w:t>
      </w:r>
      <w:r w:rsidRPr="00C93A4A">
        <w:rPr>
          <w:lang w:val="en-GB"/>
        </w:rPr>
        <w:t>Farming for Prosperity</w:t>
      </w:r>
      <w:r w:rsidR="00D62E7B">
        <w:rPr>
          <w:lang w:val="en-GB"/>
        </w:rPr>
        <w:t>)</w:t>
      </w:r>
      <w:r w:rsidRPr="00C93A4A">
        <w:rPr>
          <w:lang w:val="en-GB"/>
        </w:rPr>
        <w:t xml:space="preserve"> and BESIK. The AIP, </w:t>
      </w:r>
      <w:r w:rsidR="00CD52CD" w:rsidRPr="00C93A4A">
        <w:rPr>
          <w:lang w:val="en-GB"/>
        </w:rPr>
        <w:t xml:space="preserve">covering the period 2015/16 to 2018/19, envisages a </w:t>
      </w:r>
      <w:r w:rsidR="00D62E7B">
        <w:rPr>
          <w:lang w:val="en-GB"/>
        </w:rPr>
        <w:t xml:space="preserve">bilateral </w:t>
      </w:r>
      <w:r w:rsidR="00CD52CD" w:rsidRPr="00C93A4A">
        <w:rPr>
          <w:lang w:val="en-GB"/>
        </w:rPr>
        <w:t xml:space="preserve">program of approximately </w:t>
      </w:r>
      <w:r w:rsidR="00D62E7B" w:rsidRPr="00C93A4A">
        <w:rPr>
          <w:lang w:val="en-GB"/>
        </w:rPr>
        <w:t>AUD</w:t>
      </w:r>
      <w:r w:rsidR="00D62E7B">
        <w:rPr>
          <w:lang w:val="en-GB"/>
        </w:rPr>
        <w:t>6</w:t>
      </w:r>
      <w:r w:rsidR="00D62E7B" w:rsidRPr="00C93A4A">
        <w:rPr>
          <w:lang w:val="en-GB"/>
        </w:rPr>
        <w:t xml:space="preserve">0m </w:t>
      </w:r>
      <w:r w:rsidR="00CD52CD" w:rsidRPr="00C93A4A">
        <w:rPr>
          <w:lang w:val="en-GB"/>
        </w:rPr>
        <w:t>p.a. of which AUD</w:t>
      </w:r>
      <w:r w:rsidR="00F931E6" w:rsidRPr="00C93A4A">
        <w:rPr>
          <w:lang w:val="en-GB"/>
        </w:rPr>
        <w:t>15</w:t>
      </w:r>
      <w:r w:rsidR="00CD52CD" w:rsidRPr="00C93A4A">
        <w:rPr>
          <w:lang w:val="en-GB"/>
        </w:rPr>
        <w:t>m</w:t>
      </w:r>
      <w:r w:rsidR="00F931E6" w:rsidRPr="00C93A4A">
        <w:rPr>
          <w:lang w:val="en-GB"/>
        </w:rPr>
        <w:t xml:space="preserve"> p.a.</w:t>
      </w:r>
      <w:r w:rsidR="00CD52CD" w:rsidRPr="00C93A4A">
        <w:rPr>
          <w:lang w:val="en-GB"/>
        </w:rPr>
        <w:t xml:space="preserve"> would be directed to </w:t>
      </w:r>
      <w:r w:rsidR="00F931E6" w:rsidRPr="00C93A4A">
        <w:rPr>
          <w:lang w:val="en-GB"/>
        </w:rPr>
        <w:t xml:space="preserve">improving </w:t>
      </w:r>
      <w:r w:rsidR="00F839DE">
        <w:rPr>
          <w:lang w:val="en-GB"/>
        </w:rPr>
        <w:t xml:space="preserve">rural </w:t>
      </w:r>
      <w:r w:rsidR="00F931E6" w:rsidRPr="00C93A4A">
        <w:rPr>
          <w:lang w:val="en-GB"/>
        </w:rPr>
        <w:t xml:space="preserve">livelihoods including </w:t>
      </w:r>
      <w:r w:rsidR="00CD52CD" w:rsidRPr="00C93A4A">
        <w:rPr>
          <w:lang w:val="en-GB"/>
        </w:rPr>
        <w:t>AUD</w:t>
      </w:r>
      <w:r w:rsidR="00F931E6" w:rsidRPr="00C93A4A">
        <w:rPr>
          <w:lang w:val="en-GB"/>
        </w:rPr>
        <w:t>5-6</w:t>
      </w:r>
      <w:r w:rsidR="00CD52CD" w:rsidRPr="00C93A4A">
        <w:rPr>
          <w:lang w:val="en-GB"/>
        </w:rPr>
        <w:t xml:space="preserve">m p.a. </w:t>
      </w:r>
      <w:r w:rsidR="00F931E6" w:rsidRPr="00C93A4A">
        <w:rPr>
          <w:lang w:val="en-GB"/>
        </w:rPr>
        <w:t>for</w:t>
      </w:r>
      <w:r w:rsidR="00CD52CD" w:rsidRPr="00C93A4A">
        <w:rPr>
          <w:lang w:val="en-GB"/>
        </w:rPr>
        <w:t xml:space="preserve"> rural roads.</w:t>
      </w:r>
      <w:r w:rsidR="0024789F" w:rsidRPr="00C93A4A">
        <w:rPr>
          <w:lang w:val="en-GB"/>
        </w:rPr>
        <w:t xml:space="preserve"> </w:t>
      </w:r>
    </w:p>
    <w:p w14:paraId="1C11233D" w14:textId="11FDB625" w:rsidR="0024789F" w:rsidRPr="00C93A4A" w:rsidRDefault="0009448A" w:rsidP="0024789F">
      <w:pPr>
        <w:rPr>
          <w:lang w:val="en-GB"/>
        </w:rPr>
      </w:pPr>
      <w:r>
        <w:rPr>
          <w:lang w:val="en-GB"/>
        </w:rPr>
        <w:t>A</w:t>
      </w:r>
      <w:r w:rsidR="00677638" w:rsidRPr="00C93A4A">
        <w:rPr>
          <w:lang w:val="en-GB"/>
        </w:rPr>
        <w:t xml:space="preserve">ll stakeholders consulted during the ICM were supportive of GoA continuing to support rural road development. </w:t>
      </w:r>
      <w:r w:rsidR="00A05213">
        <w:rPr>
          <w:lang w:val="en-GB"/>
        </w:rPr>
        <w:t xml:space="preserve">Despite this verbal support, </w:t>
      </w:r>
      <w:r w:rsidR="00A05213" w:rsidRPr="00C93A4A">
        <w:rPr>
          <w:lang w:val="en-GB"/>
        </w:rPr>
        <w:t xml:space="preserve">GoTL engagement </w:t>
      </w:r>
      <w:r w:rsidR="00A05213">
        <w:rPr>
          <w:lang w:val="en-GB"/>
        </w:rPr>
        <w:t>during the first phase of</w:t>
      </w:r>
      <w:r w:rsidR="00A05213" w:rsidRPr="00C93A4A">
        <w:rPr>
          <w:lang w:val="en-GB"/>
        </w:rPr>
        <w:t xml:space="preserve"> R4D</w:t>
      </w:r>
      <w:r w:rsidR="00A05213">
        <w:rPr>
          <w:lang w:val="en-GB"/>
        </w:rPr>
        <w:t xml:space="preserve">—both with respect to financial contributions and strategic oversight—was much less than anticipated (or required for a successful second phase). This remains the significant risk to program. </w:t>
      </w:r>
      <w:r w:rsidR="00496A5F">
        <w:rPr>
          <w:lang w:val="en-GB"/>
        </w:rPr>
        <w:t xml:space="preserve">Offsetting this risk are: i) </w:t>
      </w:r>
      <w:r w:rsidR="00677638" w:rsidRPr="00C93A4A">
        <w:rPr>
          <w:lang w:val="en-GB"/>
        </w:rPr>
        <w:t>the high priority being placed on rural roads by GoTL political leaders</w:t>
      </w:r>
      <w:r w:rsidR="00F931E6" w:rsidRPr="00C93A4A">
        <w:rPr>
          <w:lang w:val="en-GB"/>
        </w:rPr>
        <w:t>,</w:t>
      </w:r>
      <w:r w:rsidR="00677638" w:rsidRPr="00C93A4A">
        <w:rPr>
          <w:lang w:val="en-GB"/>
        </w:rPr>
        <w:t xml:space="preserve"> </w:t>
      </w:r>
      <w:r w:rsidR="00496A5F">
        <w:rPr>
          <w:lang w:val="en-GB"/>
        </w:rPr>
        <w:t xml:space="preserve">ii) </w:t>
      </w:r>
      <w:r w:rsidR="00677638" w:rsidRPr="00C93A4A">
        <w:rPr>
          <w:lang w:val="en-GB"/>
        </w:rPr>
        <w:t>the synergies that exist between rural roads and other GoA development programs,</w:t>
      </w:r>
      <w:r w:rsidR="00F931E6" w:rsidRPr="00C93A4A">
        <w:rPr>
          <w:lang w:val="en-GB"/>
        </w:rPr>
        <w:t xml:space="preserve"> and </w:t>
      </w:r>
      <w:r w:rsidR="00496A5F">
        <w:rPr>
          <w:lang w:val="en-GB"/>
        </w:rPr>
        <w:t xml:space="preserve">iii) </w:t>
      </w:r>
      <w:r w:rsidR="00F931E6" w:rsidRPr="00C93A4A">
        <w:rPr>
          <w:lang w:val="en-GB"/>
        </w:rPr>
        <w:t>the platform established by the initial phase for long-term capacity development</w:t>
      </w:r>
      <w:r w:rsidR="00496A5F">
        <w:rPr>
          <w:lang w:val="en-GB"/>
        </w:rPr>
        <w:t>. On balance</w:t>
      </w:r>
      <w:r w:rsidR="00F931E6" w:rsidRPr="00C93A4A">
        <w:rPr>
          <w:lang w:val="en-GB"/>
        </w:rPr>
        <w:t xml:space="preserve">, </w:t>
      </w:r>
      <w:r w:rsidR="00677638" w:rsidRPr="00C93A4A">
        <w:rPr>
          <w:lang w:val="en-GB"/>
        </w:rPr>
        <w:t xml:space="preserve">the ICM supports </w:t>
      </w:r>
      <w:r w:rsidR="0024789F" w:rsidRPr="00C93A4A">
        <w:rPr>
          <w:lang w:val="en-GB"/>
        </w:rPr>
        <w:t xml:space="preserve">a follow-on phase of </w:t>
      </w:r>
      <w:r w:rsidR="00677638" w:rsidRPr="00C93A4A">
        <w:rPr>
          <w:lang w:val="en-GB"/>
        </w:rPr>
        <w:t xml:space="preserve">GoA </w:t>
      </w:r>
      <w:r w:rsidR="0024789F" w:rsidRPr="00C93A4A">
        <w:rPr>
          <w:lang w:val="en-GB"/>
        </w:rPr>
        <w:t>assistance in the rural road sector</w:t>
      </w:r>
      <w:r w:rsidR="00F931E6" w:rsidRPr="00C93A4A">
        <w:rPr>
          <w:lang w:val="en-GB"/>
        </w:rPr>
        <w:t>. The overarching condition is that adequate GoTL commitment can be secured to continuing the program</w:t>
      </w:r>
      <w:r w:rsidR="0024789F" w:rsidRPr="00C93A4A">
        <w:rPr>
          <w:lang w:val="en-GB"/>
        </w:rPr>
        <w:t>.</w:t>
      </w:r>
    </w:p>
    <w:p w14:paraId="58819D9F" w14:textId="77777777" w:rsidR="000D08D4" w:rsidRPr="00C93A4A" w:rsidRDefault="000D08D4" w:rsidP="000D08D4">
      <w:pPr>
        <w:pStyle w:val="Heading1"/>
      </w:pPr>
      <w:bookmarkStart w:id="3" w:name="_Toc424633116"/>
      <w:r w:rsidRPr="00C93A4A">
        <w:lastRenderedPageBreak/>
        <w:t>Proposed outcomes and investment options (What?)</w:t>
      </w:r>
      <w:bookmarkEnd w:id="3"/>
    </w:p>
    <w:p w14:paraId="7F88BB05" w14:textId="77777777" w:rsidR="00EE31EE" w:rsidRPr="00C93A4A" w:rsidRDefault="00A66881" w:rsidP="00841723">
      <w:pPr>
        <w:rPr>
          <w:szCs w:val="22"/>
          <w:lang w:val="en-GB"/>
        </w:rPr>
      </w:pPr>
      <w:r w:rsidRPr="00C93A4A">
        <w:rPr>
          <w:rStyle w:val="Strong"/>
          <w:lang w:val="en-GB"/>
        </w:rPr>
        <w:t>Outcomes.</w:t>
      </w:r>
      <w:r w:rsidRPr="00C93A4A">
        <w:rPr>
          <w:lang w:val="en-GB"/>
        </w:rPr>
        <w:t xml:space="preserve"> </w:t>
      </w:r>
      <w:r w:rsidR="00C367F1" w:rsidRPr="00C93A4A">
        <w:rPr>
          <w:szCs w:val="22"/>
          <w:lang w:val="en-GB"/>
        </w:rPr>
        <w:t>The current R4D program d</w:t>
      </w:r>
      <w:r w:rsidR="00EE31EE" w:rsidRPr="00C93A4A">
        <w:rPr>
          <w:szCs w:val="22"/>
          <w:lang w:val="en-GB"/>
        </w:rPr>
        <w:t>emonstrates the</w:t>
      </w:r>
      <w:r w:rsidR="00C367F1" w:rsidRPr="00C93A4A">
        <w:rPr>
          <w:szCs w:val="22"/>
          <w:lang w:val="en-GB"/>
        </w:rPr>
        <w:t xml:space="preserve"> outcomes that GoA </w:t>
      </w:r>
      <w:r w:rsidR="00EE31EE" w:rsidRPr="00C93A4A">
        <w:rPr>
          <w:szCs w:val="22"/>
          <w:lang w:val="en-GB"/>
        </w:rPr>
        <w:t xml:space="preserve">could </w:t>
      </w:r>
      <w:r w:rsidR="00C367F1" w:rsidRPr="00C93A4A">
        <w:rPr>
          <w:szCs w:val="22"/>
          <w:lang w:val="en-GB"/>
        </w:rPr>
        <w:t xml:space="preserve">support in </w:t>
      </w:r>
      <w:r w:rsidR="00167503" w:rsidRPr="00C93A4A">
        <w:rPr>
          <w:szCs w:val="22"/>
          <w:lang w:val="en-GB"/>
        </w:rPr>
        <w:t>a follow-on phase</w:t>
      </w:r>
      <w:r w:rsidR="00C367F1" w:rsidRPr="00C93A4A">
        <w:rPr>
          <w:szCs w:val="22"/>
          <w:lang w:val="en-GB"/>
        </w:rPr>
        <w:t xml:space="preserve">. </w:t>
      </w:r>
      <w:r w:rsidR="00167503" w:rsidRPr="00C93A4A">
        <w:rPr>
          <w:szCs w:val="22"/>
          <w:lang w:val="en-GB"/>
        </w:rPr>
        <w:t>The program has three outcomes directed towards an overall objective:</w:t>
      </w:r>
      <w:r w:rsidR="00EE31EE" w:rsidRPr="00C93A4A">
        <w:rPr>
          <w:szCs w:val="22"/>
          <w:lang w:val="en-GB"/>
        </w:rPr>
        <w:t xml:space="preserve"> </w:t>
      </w:r>
    </w:p>
    <w:p w14:paraId="3B7B9BFD" w14:textId="77777777" w:rsidR="00167503" w:rsidRPr="00C93A4A" w:rsidRDefault="00167503" w:rsidP="006A7140">
      <w:pPr>
        <w:ind w:left="284"/>
        <w:rPr>
          <w:rFonts w:cs="Calibri"/>
          <w:sz w:val="20"/>
          <w:lang w:val="en-GB"/>
        </w:rPr>
      </w:pPr>
      <w:r w:rsidRPr="00C93A4A">
        <w:rPr>
          <w:rFonts w:cs="Calibri"/>
          <w:b/>
          <w:sz w:val="20"/>
          <w:lang w:val="en-GB"/>
        </w:rPr>
        <w:t>Objective:</w:t>
      </w:r>
      <w:r w:rsidRPr="00C93A4A">
        <w:rPr>
          <w:rFonts w:cs="Calibri"/>
          <w:sz w:val="20"/>
          <w:lang w:val="en-GB"/>
        </w:rPr>
        <w:t xml:space="preserve"> The GoTL is effectively planning, budgeting and managing rural road works using labour-based methods, as appropriate</w:t>
      </w:r>
    </w:p>
    <w:p w14:paraId="101C056A" w14:textId="77777777" w:rsidR="00167503" w:rsidRPr="00C93A4A" w:rsidRDefault="00167503" w:rsidP="006A7140">
      <w:pPr>
        <w:ind w:left="284"/>
        <w:rPr>
          <w:rFonts w:cs="Calibri"/>
          <w:sz w:val="20"/>
          <w:lang w:val="en-GB"/>
        </w:rPr>
      </w:pPr>
      <w:r w:rsidRPr="00C93A4A">
        <w:rPr>
          <w:rFonts w:cs="Calibri"/>
          <w:b/>
          <w:sz w:val="20"/>
          <w:lang w:val="en-GB"/>
        </w:rPr>
        <w:t>Outcome 1:</w:t>
      </w:r>
      <w:r w:rsidRPr="00C93A4A">
        <w:rPr>
          <w:rFonts w:cs="Calibri"/>
          <w:sz w:val="20"/>
          <w:lang w:val="en-GB"/>
        </w:rPr>
        <w:t xml:space="preserve"> MPW is effectively planning, budgeting and delivering rural road works, using labour-based methods as appropriate</w:t>
      </w:r>
    </w:p>
    <w:p w14:paraId="1E087872" w14:textId="77777777" w:rsidR="00167503" w:rsidRPr="00C93A4A" w:rsidRDefault="00167503" w:rsidP="006A7140">
      <w:pPr>
        <w:ind w:left="284"/>
        <w:rPr>
          <w:rFonts w:cs="Calibri"/>
          <w:sz w:val="20"/>
          <w:lang w:val="en-GB"/>
        </w:rPr>
      </w:pPr>
      <w:r w:rsidRPr="00C93A4A">
        <w:rPr>
          <w:rFonts w:cs="Calibri"/>
          <w:b/>
          <w:sz w:val="20"/>
          <w:lang w:val="en-GB"/>
        </w:rPr>
        <w:t>Outcome 2:</w:t>
      </w:r>
      <w:r w:rsidRPr="00C93A4A">
        <w:rPr>
          <w:rFonts w:cs="Calibri"/>
          <w:sz w:val="20"/>
          <w:lang w:val="en-GB"/>
        </w:rPr>
        <w:t xml:space="preserve"> Local civil works contractors effectively implement investments in rural road works, using labour-based methods where appropriate</w:t>
      </w:r>
    </w:p>
    <w:p w14:paraId="46016516" w14:textId="77777777" w:rsidR="00167503" w:rsidRPr="00C93A4A" w:rsidRDefault="00167503" w:rsidP="006A7140">
      <w:pPr>
        <w:ind w:left="284"/>
        <w:rPr>
          <w:rFonts w:cs="Calibri"/>
          <w:sz w:val="20"/>
          <w:lang w:val="en-GB"/>
        </w:rPr>
      </w:pPr>
      <w:r w:rsidRPr="00C93A4A">
        <w:rPr>
          <w:rFonts w:cs="Calibri"/>
          <w:b/>
          <w:sz w:val="20"/>
          <w:lang w:val="en-GB"/>
        </w:rPr>
        <w:t>Outcome 3:</w:t>
      </w:r>
      <w:r w:rsidRPr="00C93A4A">
        <w:rPr>
          <w:rFonts w:cs="Calibri"/>
          <w:sz w:val="20"/>
          <w:lang w:val="en-GB"/>
        </w:rPr>
        <w:t xml:space="preserve"> Rural road development adequately resourced and planning and implementation of investments effectively coordinated between Government agencies and (donor) projects</w:t>
      </w:r>
    </w:p>
    <w:p w14:paraId="3E8FD542" w14:textId="2C2FDC33" w:rsidR="00FB6FA6" w:rsidRPr="00C93A4A" w:rsidRDefault="00EE31EE" w:rsidP="00F931E6">
      <w:pPr>
        <w:rPr>
          <w:lang w:val="en-GB"/>
        </w:rPr>
      </w:pPr>
      <w:r w:rsidRPr="00C93A4A">
        <w:rPr>
          <w:lang w:val="en-GB"/>
        </w:rPr>
        <w:t>These outcomes</w:t>
      </w:r>
      <w:r w:rsidR="00C60696" w:rsidRPr="00C93A4A">
        <w:rPr>
          <w:lang w:val="en-GB"/>
        </w:rPr>
        <w:t xml:space="preserve">—that work together to </w:t>
      </w:r>
      <w:r w:rsidR="00A9515B" w:rsidRPr="00C93A4A">
        <w:rPr>
          <w:lang w:val="en-GB"/>
        </w:rPr>
        <w:t>strengthen</w:t>
      </w:r>
      <w:r w:rsidR="00C60696" w:rsidRPr="00C93A4A">
        <w:rPr>
          <w:lang w:val="en-GB"/>
        </w:rPr>
        <w:t xml:space="preserve"> </w:t>
      </w:r>
      <w:r w:rsidR="00F839DE">
        <w:rPr>
          <w:lang w:val="en-GB"/>
        </w:rPr>
        <w:t>GoTL</w:t>
      </w:r>
      <w:r w:rsidR="006A7140" w:rsidRPr="00C93A4A">
        <w:rPr>
          <w:lang w:val="en-GB"/>
        </w:rPr>
        <w:t xml:space="preserve">’s capacity </w:t>
      </w:r>
      <w:r w:rsidR="00A9515B" w:rsidRPr="00C93A4A">
        <w:rPr>
          <w:lang w:val="en-GB"/>
        </w:rPr>
        <w:t>to sustain a quality rural road network</w:t>
      </w:r>
      <w:r w:rsidR="00C60696" w:rsidRPr="00C93A4A">
        <w:rPr>
          <w:lang w:val="en-GB"/>
        </w:rPr>
        <w:t>—</w:t>
      </w:r>
      <w:r w:rsidR="00A9515B" w:rsidRPr="00C93A4A">
        <w:rPr>
          <w:lang w:val="en-GB"/>
        </w:rPr>
        <w:t>remain</w:t>
      </w:r>
      <w:r w:rsidR="00C60696" w:rsidRPr="00C93A4A">
        <w:rPr>
          <w:lang w:val="en-GB"/>
        </w:rPr>
        <w:t xml:space="preserve"> </w:t>
      </w:r>
      <w:r w:rsidR="006A7140" w:rsidRPr="00C93A4A">
        <w:rPr>
          <w:lang w:val="en-GB"/>
        </w:rPr>
        <w:t>broad</w:t>
      </w:r>
      <w:r w:rsidR="00167503" w:rsidRPr="00C93A4A">
        <w:rPr>
          <w:lang w:val="en-GB"/>
        </w:rPr>
        <w:t xml:space="preserve">ly </w:t>
      </w:r>
      <w:r w:rsidR="00A9515B" w:rsidRPr="00C93A4A">
        <w:rPr>
          <w:lang w:val="en-GB"/>
        </w:rPr>
        <w:t>relevant for continued GoA support.</w:t>
      </w:r>
      <w:r w:rsidR="00C60696" w:rsidRPr="00C93A4A">
        <w:rPr>
          <w:lang w:val="en-GB"/>
        </w:rPr>
        <w:t xml:space="preserve"> </w:t>
      </w:r>
      <w:r w:rsidR="00B025D1" w:rsidRPr="00C93A4A">
        <w:rPr>
          <w:lang w:val="en-GB"/>
        </w:rPr>
        <w:t xml:space="preserve">R4D progress reports, Independent Monitoring Group reports and the Mid-Term Review </w:t>
      </w:r>
      <w:r w:rsidR="006878F4" w:rsidRPr="00C93A4A">
        <w:rPr>
          <w:lang w:val="en-GB"/>
        </w:rPr>
        <w:t>note a range</w:t>
      </w:r>
      <w:r w:rsidR="00F931E6" w:rsidRPr="00C93A4A">
        <w:rPr>
          <w:lang w:val="en-GB"/>
        </w:rPr>
        <w:t xml:space="preserve"> </w:t>
      </w:r>
      <w:r w:rsidR="006878F4" w:rsidRPr="00C93A4A">
        <w:rPr>
          <w:lang w:val="en-GB"/>
        </w:rPr>
        <w:t xml:space="preserve">of constraints which have prevented R4D </w:t>
      </w:r>
      <w:r w:rsidR="00FB6FA6" w:rsidRPr="00C93A4A">
        <w:rPr>
          <w:lang w:val="en-GB"/>
        </w:rPr>
        <w:t xml:space="preserve">from achieving all its targets in the initial phase (as discussed </w:t>
      </w:r>
      <w:r w:rsidR="006A7140" w:rsidRPr="00C93A4A">
        <w:rPr>
          <w:lang w:val="en-GB"/>
        </w:rPr>
        <w:t xml:space="preserve">in </w:t>
      </w:r>
      <w:r w:rsidR="00D36DA6">
        <w:rPr>
          <w:lang w:val="en-GB"/>
        </w:rPr>
        <w:t>Annex 5</w:t>
      </w:r>
      <w:r w:rsidR="00FB6FA6" w:rsidRPr="00C93A4A">
        <w:rPr>
          <w:lang w:val="en-GB"/>
        </w:rPr>
        <w:t xml:space="preserve">). </w:t>
      </w:r>
      <w:r w:rsidR="00F931E6" w:rsidRPr="00C93A4A">
        <w:rPr>
          <w:lang w:val="en-GB"/>
        </w:rPr>
        <w:t xml:space="preserve">In particular, challenges remain with securing GoTL leadership and budget for rural roads. </w:t>
      </w:r>
      <w:r w:rsidR="00FB6FA6" w:rsidRPr="00C93A4A">
        <w:rPr>
          <w:lang w:val="en-GB"/>
        </w:rPr>
        <w:t xml:space="preserve">Nevertheless, </w:t>
      </w:r>
      <w:r w:rsidR="00F931E6" w:rsidRPr="00C93A4A">
        <w:rPr>
          <w:lang w:val="en-GB"/>
        </w:rPr>
        <w:t xml:space="preserve">R4D </w:t>
      </w:r>
      <w:r w:rsidR="00FB6FA6" w:rsidRPr="00C93A4A">
        <w:rPr>
          <w:lang w:val="en-GB"/>
        </w:rPr>
        <w:t xml:space="preserve">reports </w:t>
      </w:r>
      <w:r w:rsidR="00B025D1" w:rsidRPr="00C93A4A">
        <w:rPr>
          <w:lang w:val="en-GB"/>
        </w:rPr>
        <w:t>affirm th</w:t>
      </w:r>
      <w:r w:rsidR="00FB6FA6" w:rsidRPr="00C93A4A">
        <w:rPr>
          <w:lang w:val="en-GB"/>
        </w:rPr>
        <w:t xml:space="preserve">at where work has been completed, </w:t>
      </w:r>
      <w:r w:rsidR="00B025D1" w:rsidRPr="00C93A4A">
        <w:rPr>
          <w:lang w:val="en-GB"/>
        </w:rPr>
        <w:t>benefits accru</w:t>
      </w:r>
      <w:r w:rsidR="00FB6FA6" w:rsidRPr="00C93A4A">
        <w:rPr>
          <w:lang w:val="en-GB"/>
        </w:rPr>
        <w:t>e</w:t>
      </w:r>
      <w:r w:rsidR="00B025D1" w:rsidRPr="00C93A4A">
        <w:rPr>
          <w:lang w:val="en-GB"/>
        </w:rPr>
        <w:t xml:space="preserve"> </w:t>
      </w:r>
      <w:r w:rsidR="00F505D5" w:rsidRPr="00C93A4A">
        <w:rPr>
          <w:lang w:val="en-GB"/>
        </w:rPr>
        <w:t>to rural communities</w:t>
      </w:r>
      <w:r w:rsidR="00FB6FA6" w:rsidRPr="00C93A4A">
        <w:rPr>
          <w:lang w:val="en-GB"/>
        </w:rPr>
        <w:t xml:space="preserve">. These benefits include both improved access to services arising from better roads and financial benefits through participation in construction activities. </w:t>
      </w:r>
    </w:p>
    <w:p w14:paraId="2EF51DC5" w14:textId="0E260160" w:rsidR="0010492F" w:rsidRPr="00C93A4A" w:rsidRDefault="00FB6FA6" w:rsidP="00841723">
      <w:pPr>
        <w:rPr>
          <w:szCs w:val="22"/>
          <w:lang w:val="en-GB"/>
        </w:rPr>
      </w:pPr>
      <w:r w:rsidRPr="00C93A4A">
        <w:rPr>
          <w:szCs w:val="22"/>
          <w:lang w:val="en-GB"/>
        </w:rPr>
        <w:t>R4D contracts for road rehabilitation and maintenance</w:t>
      </w:r>
      <w:r w:rsidR="00F931E6" w:rsidRPr="00C93A4A">
        <w:rPr>
          <w:szCs w:val="22"/>
          <w:lang w:val="en-GB"/>
        </w:rPr>
        <w:t xml:space="preserve"> </w:t>
      </w:r>
      <w:r w:rsidRPr="00C93A4A">
        <w:rPr>
          <w:szCs w:val="22"/>
          <w:lang w:val="en-GB"/>
        </w:rPr>
        <w:t xml:space="preserve">have directly benefitted </w:t>
      </w:r>
      <w:r w:rsidR="00E961F0">
        <w:rPr>
          <w:szCs w:val="22"/>
          <w:lang w:val="en-GB"/>
        </w:rPr>
        <w:t>50</w:t>
      </w:r>
      <w:r w:rsidRPr="00C93A4A">
        <w:rPr>
          <w:szCs w:val="22"/>
          <w:lang w:val="en-GB"/>
        </w:rPr>
        <w:t xml:space="preserve"> communities, with a total population of </w:t>
      </w:r>
      <w:r w:rsidR="00E961F0">
        <w:rPr>
          <w:szCs w:val="22"/>
          <w:lang w:val="en-GB"/>
        </w:rPr>
        <w:t>131,318</w:t>
      </w:r>
      <w:r w:rsidRPr="00C93A4A">
        <w:rPr>
          <w:szCs w:val="22"/>
          <w:lang w:val="en-GB"/>
        </w:rPr>
        <w:t xml:space="preserve"> (</w:t>
      </w:r>
      <w:r w:rsidR="00E961F0">
        <w:rPr>
          <w:szCs w:val="22"/>
          <w:lang w:val="en-GB"/>
        </w:rPr>
        <w:t>59,428</w:t>
      </w:r>
      <w:r w:rsidRPr="00C93A4A">
        <w:rPr>
          <w:szCs w:val="22"/>
          <w:lang w:val="en-GB"/>
        </w:rPr>
        <w:t xml:space="preserve"> women and </w:t>
      </w:r>
      <w:r w:rsidR="00E961F0">
        <w:rPr>
          <w:szCs w:val="22"/>
          <w:lang w:val="en-GB"/>
        </w:rPr>
        <w:t>58,757</w:t>
      </w:r>
      <w:r w:rsidRPr="00C93A4A">
        <w:rPr>
          <w:szCs w:val="22"/>
          <w:lang w:val="en-GB"/>
        </w:rPr>
        <w:t xml:space="preserve"> men). Direct participation by beneficiaries in rehabilitation and maintenance works total </w:t>
      </w:r>
      <w:r w:rsidR="00E961F0">
        <w:rPr>
          <w:szCs w:val="22"/>
          <w:lang w:val="en-GB"/>
        </w:rPr>
        <w:t>4</w:t>
      </w:r>
      <w:r w:rsidR="00BF38EA">
        <w:rPr>
          <w:szCs w:val="22"/>
          <w:lang w:val="en-GB"/>
        </w:rPr>
        <w:t>1</w:t>
      </w:r>
      <w:r w:rsidR="00E961F0">
        <w:rPr>
          <w:szCs w:val="22"/>
          <w:lang w:val="en-GB"/>
        </w:rPr>
        <w:t>2,</w:t>
      </w:r>
      <w:r w:rsidR="00BF38EA">
        <w:rPr>
          <w:szCs w:val="22"/>
          <w:lang w:val="en-GB"/>
        </w:rPr>
        <w:t>256</w:t>
      </w:r>
      <w:r w:rsidRPr="00C93A4A">
        <w:rPr>
          <w:szCs w:val="22"/>
          <w:lang w:val="en-GB"/>
        </w:rPr>
        <w:t xml:space="preserve"> person</w:t>
      </w:r>
      <w:r w:rsidR="00E961F0">
        <w:rPr>
          <w:szCs w:val="22"/>
          <w:lang w:val="en-GB"/>
        </w:rPr>
        <w:t>-</w:t>
      </w:r>
      <w:r w:rsidRPr="00C93A4A">
        <w:rPr>
          <w:szCs w:val="22"/>
          <w:lang w:val="en-GB"/>
        </w:rPr>
        <w:t xml:space="preserve">days </w:t>
      </w:r>
      <w:r w:rsidR="00E961F0">
        <w:rPr>
          <w:szCs w:val="22"/>
          <w:lang w:val="en-GB"/>
        </w:rPr>
        <w:t>(11</w:t>
      </w:r>
      <w:r w:rsidR="00BF38EA">
        <w:rPr>
          <w:szCs w:val="22"/>
          <w:lang w:val="en-GB"/>
        </w:rPr>
        <w:t>2</w:t>
      </w:r>
      <w:r w:rsidR="00E961F0">
        <w:rPr>
          <w:szCs w:val="22"/>
          <w:lang w:val="en-GB"/>
        </w:rPr>
        <w:t>,</w:t>
      </w:r>
      <w:r w:rsidR="00BF38EA">
        <w:rPr>
          <w:szCs w:val="22"/>
          <w:lang w:val="en-GB"/>
        </w:rPr>
        <w:t>877</w:t>
      </w:r>
      <w:r w:rsidR="00E961F0">
        <w:rPr>
          <w:szCs w:val="22"/>
          <w:lang w:val="en-GB"/>
        </w:rPr>
        <w:t xml:space="preserve"> for</w:t>
      </w:r>
      <w:r w:rsidRPr="00C93A4A">
        <w:rPr>
          <w:szCs w:val="22"/>
          <w:lang w:val="en-GB"/>
        </w:rPr>
        <w:t xml:space="preserve"> women and </w:t>
      </w:r>
      <w:r w:rsidR="00BF38EA">
        <w:rPr>
          <w:szCs w:val="22"/>
          <w:lang w:val="en-GB"/>
        </w:rPr>
        <w:t>299</w:t>
      </w:r>
      <w:r w:rsidR="00E961F0">
        <w:rPr>
          <w:szCs w:val="22"/>
          <w:lang w:val="en-GB"/>
        </w:rPr>
        <w:t>,</w:t>
      </w:r>
      <w:r w:rsidR="00BF38EA">
        <w:rPr>
          <w:szCs w:val="22"/>
          <w:lang w:val="en-GB"/>
        </w:rPr>
        <w:t>379</w:t>
      </w:r>
      <w:r w:rsidR="00E961F0">
        <w:rPr>
          <w:szCs w:val="22"/>
          <w:lang w:val="en-GB"/>
        </w:rPr>
        <w:t xml:space="preserve"> for</w:t>
      </w:r>
      <w:r w:rsidRPr="00C93A4A">
        <w:rPr>
          <w:szCs w:val="22"/>
          <w:lang w:val="en-GB"/>
        </w:rPr>
        <w:t xml:space="preserve"> men</w:t>
      </w:r>
      <w:r w:rsidR="00E961F0">
        <w:rPr>
          <w:szCs w:val="22"/>
          <w:lang w:val="en-GB"/>
        </w:rPr>
        <w:t>)</w:t>
      </w:r>
      <w:r w:rsidRPr="00C93A4A">
        <w:rPr>
          <w:szCs w:val="22"/>
          <w:lang w:val="en-GB"/>
        </w:rPr>
        <w:t>. Anecdotal reports, including during the ICM field visits, suggest that women in rural communities benefit strongly from better, lower</w:t>
      </w:r>
      <w:r w:rsidR="0076004E" w:rsidRPr="00C93A4A">
        <w:rPr>
          <w:szCs w:val="22"/>
          <w:lang w:val="en-GB"/>
        </w:rPr>
        <w:t>-</w:t>
      </w:r>
      <w:r w:rsidRPr="00C93A4A">
        <w:rPr>
          <w:szCs w:val="22"/>
          <w:lang w:val="en-GB"/>
        </w:rPr>
        <w:t xml:space="preserve">cost access to markets and services. </w:t>
      </w:r>
      <w:r w:rsidR="00D73D11">
        <w:rPr>
          <w:szCs w:val="22"/>
          <w:lang w:val="en-GB"/>
        </w:rPr>
        <w:t xml:space="preserve">A total of 47 women have </w:t>
      </w:r>
      <w:r w:rsidRPr="00C93A4A">
        <w:rPr>
          <w:szCs w:val="22"/>
          <w:lang w:val="en-GB"/>
        </w:rPr>
        <w:t xml:space="preserve">also </w:t>
      </w:r>
      <w:r w:rsidR="0076004E" w:rsidRPr="00C93A4A">
        <w:rPr>
          <w:szCs w:val="22"/>
          <w:lang w:val="en-GB"/>
        </w:rPr>
        <w:t>benefit</w:t>
      </w:r>
      <w:r w:rsidRPr="00C93A4A">
        <w:rPr>
          <w:szCs w:val="22"/>
          <w:lang w:val="en-GB"/>
        </w:rPr>
        <w:t>ed training</w:t>
      </w:r>
      <w:r w:rsidR="00D73D11">
        <w:rPr>
          <w:szCs w:val="22"/>
          <w:lang w:val="en-GB"/>
        </w:rPr>
        <w:t xml:space="preserve"> for company directors (27 women) and engineers/supervisors (20 women), representing 10</w:t>
      </w:r>
      <w:r w:rsidRPr="00C93A4A">
        <w:rPr>
          <w:szCs w:val="22"/>
          <w:lang w:val="en-GB"/>
        </w:rPr>
        <w:t xml:space="preserve">% of </w:t>
      </w:r>
      <w:r w:rsidR="00D73D11">
        <w:rPr>
          <w:szCs w:val="22"/>
          <w:lang w:val="en-GB"/>
        </w:rPr>
        <w:t>overall trainees from local contractors.</w:t>
      </w:r>
      <w:r w:rsidRPr="00C93A4A">
        <w:rPr>
          <w:szCs w:val="22"/>
          <w:lang w:val="en-GB"/>
        </w:rPr>
        <w:t xml:space="preserve"> Women report having increased opportunity to operate businesses, contributing both to leadership and economic empowerment outcomes. R4D is currently completing a women’s impact study that will describe and quantify these benefits.</w:t>
      </w:r>
    </w:p>
    <w:p w14:paraId="0C83CB69" w14:textId="5943A1C9" w:rsidR="0010492F" w:rsidRPr="00C93A4A" w:rsidRDefault="00A66881" w:rsidP="0010492F">
      <w:pPr>
        <w:rPr>
          <w:szCs w:val="22"/>
          <w:lang w:val="en-GB"/>
        </w:rPr>
      </w:pPr>
      <w:r w:rsidRPr="00C93A4A">
        <w:rPr>
          <w:rStyle w:val="Strong"/>
          <w:lang w:val="en-GB"/>
        </w:rPr>
        <w:t>Investment options</w:t>
      </w:r>
      <w:r w:rsidR="00841723" w:rsidRPr="00C93A4A">
        <w:rPr>
          <w:rStyle w:val="Strong"/>
          <w:lang w:val="en-GB"/>
        </w:rPr>
        <w:t>.</w:t>
      </w:r>
      <w:r w:rsidR="00841723" w:rsidRPr="00C93A4A">
        <w:rPr>
          <w:lang w:val="en-GB"/>
        </w:rPr>
        <w:t xml:space="preserve"> </w:t>
      </w:r>
      <w:r w:rsidR="0010492F" w:rsidRPr="00C93A4A">
        <w:rPr>
          <w:szCs w:val="22"/>
          <w:lang w:val="en-GB"/>
        </w:rPr>
        <w:t xml:space="preserve">The current R4D program reflects a number of appropriate choices about </w:t>
      </w:r>
      <w:r w:rsidR="006A7140" w:rsidRPr="00C93A4A">
        <w:rPr>
          <w:szCs w:val="22"/>
          <w:lang w:val="en-GB"/>
        </w:rPr>
        <w:t>how</w:t>
      </w:r>
      <w:r w:rsidR="0010492F" w:rsidRPr="00C93A4A">
        <w:rPr>
          <w:szCs w:val="22"/>
          <w:lang w:val="en-GB"/>
        </w:rPr>
        <w:t xml:space="preserve"> </w:t>
      </w:r>
      <w:r w:rsidR="00F931E6" w:rsidRPr="00C93A4A">
        <w:rPr>
          <w:szCs w:val="22"/>
          <w:lang w:val="en-GB"/>
        </w:rPr>
        <w:t xml:space="preserve">to </w:t>
      </w:r>
      <w:r w:rsidR="0010492F" w:rsidRPr="00C93A4A">
        <w:rPr>
          <w:szCs w:val="22"/>
          <w:lang w:val="en-GB"/>
        </w:rPr>
        <w:t>support the rural road sector. Firstly, the program works to build government capacity in the only GoTL department with a primary responsibility for roads—the Ministry of Public Works’ Directorate of Roads Bridges and Flood Control (</w:t>
      </w:r>
      <w:r w:rsidR="00D9153D" w:rsidRPr="00C93A4A">
        <w:rPr>
          <w:szCs w:val="22"/>
          <w:lang w:val="en-GB"/>
        </w:rPr>
        <w:t>DRBF</w:t>
      </w:r>
      <w:r w:rsidR="00F839DE">
        <w:rPr>
          <w:szCs w:val="22"/>
          <w:lang w:val="en-GB"/>
        </w:rPr>
        <w:t>C</w:t>
      </w:r>
      <w:r w:rsidR="0010492F" w:rsidRPr="00C93A4A">
        <w:rPr>
          <w:szCs w:val="22"/>
          <w:lang w:val="en-GB"/>
        </w:rPr>
        <w:t xml:space="preserve">). </w:t>
      </w:r>
      <w:r w:rsidR="00F931E6" w:rsidRPr="00C93A4A">
        <w:rPr>
          <w:szCs w:val="22"/>
          <w:lang w:val="en-GB"/>
        </w:rPr>
        <w:t xml:space="preserve">It also aims to strengthen the way </w:t>
      </w:r>
      <w:r w:rsidR="00D9153D" w:rsidRPr="00C93A4A">
        <w:rPr>
          <w:szCs w:val="22"/>
          <w:lang w:val="en-GB"/>
        </w:rPr>
        <w:t>DRBF</w:t>
      </w:r>
      <w:r w:rsidR="00F839DE">
        <w:rPr>
          <w:szCs w:val="22"/>
          <w:lang w:val="en-GB"/>
        </w:rPr>
        <w:t>C</w:t>
      </w:r>
      <w:r w:rsidR="00F931E6" w:rsidRPr="00C93A4A">
        <w:rPr>
          <w:szCs w:val="22"/>
          <w:lang w:val="en-GB"/>
        </w:rPr>
        <w:t xml:space="preserve"> engages with other ministries and government departments. </w:t>
      </w:r>
      <w:r w:rsidR="0010492F" w:rsidRPr="00C93A4A">
        <w:rPr>
          <w:szCs w:val="22"/>
          <w:lang w:val="en-GB"/>
        </w:rPr>
        <w:t xml:space="preserve">Secondly, </w:t>
      </w:r>
      <w:r w:rsidR="00F931E6" w:rsidRPr="00C93A4A">
        <w:rPr>
          <w:szCs w:val="22"/>
          <w:lang w:val="en-GB"/>
        </w:rPr>
        <w:t xml:space="preserve">rather than seeking to build new roads, </w:t>
      </w:r>
      <w:r w:rsidR="0010492F" w:rsidRPr="00C93A4A">
        <w:rPr>
          <w:szCs w:val="22"/>
          <w:lang w:val="en-GB"/>
        </w:rPr>
        <w:t xml:space="preserve">the program works to sustain and improve the existing rural road network. Given the poor condition of the current network, </w:t>
      </w:r>
      <w:r w:rsidR="00473D78" w:rsidRPr="00C93A4A">
        <w:rPr>
          <w:szCs w:val="22"/>
          <w:lang w:val="en-GB"/>
        </w:rPr>
        <w:t xml:space="preserve">and the weak commitment to maintenance, </w:t>
      </w:r>
      <w:r w:rsidR="0010492F" w:rsidRPr="00C93A4A">
        <w:rPr>
          <w:szCs w:val="22"/>
          <w:lang w:val="en-GB"/>
        </w:rPr>
        <w:t xml:space="preserve">the choice to focus instead on improving and maintaining existing, priority roads is appropriate. A conscious decision has been made to use local contractors for civil works and build their capacity to provide long-term support to the sector. Employment and income-generation for local communities have been maximised by adopting labour-based construction methods wherever possible. These elements of the current program provide a model for </w:t>
      </w:r>
      <w:r w:rsidR="006A7140" w:rsidRPr="00C93A4A">
        <w:rPr>
          <w:szCs w:val="22"/>
          <w:lang w:val="en-GB"/>
        </w:rPr>
        <w:t xml:space="preserve">future </w:t>
      </w:r>
      <w:r w:rsidR="0010492F" w:rsidRPr="00C93A4A">
        <w:rPr>
          <w:szCs w:val="22"/>
          <w:lang w:val="en-GB"/>
        </w:rPr>
        <w:t>GoA investment.</w:t>
      </w:r>
    </w:p>
    <w:p w14:paraId="371F4181" w14:textId="0F3608C7" w:rsidR="0010492F" w:rsidRPr="00C93A4A" w:rsidRDefault="0010492F" w:rsidP="000D08D4">
      <w:pPr>
        <w:rPr>
          <w:szCs w:val="22"/>
          <w:lang w:val="en-GB"/>
        </w:rPr>
      </w:pPr>
      <w:r w:rsidRPr="00C93A4A">
        <w:rPr>
          <w:lang w:val="en-GB"/>
        </w:rPr>
        <w:t xml:space="preserve">The ICM supports </w:t>
      </w:r>
      <w:r w:rsidR="00F931E6" w:rsidRPr="00C93A4A">
        <w:rPr>
          <w:lang w:val="en-GB"/>
        </w:rPr>
        <w:t>building on</w:t>
      </w:r>
      <w:r w:rsidRPr="00C93A4A">
        <w:rPr>
          <w:lang w:val="en-GB"/>
        </w:rPr>
        <w:t xml:space="preserve"> the overall approach of the current R4D program. </w:t>
      </w:r>
      <w:r w:rsidR="00F931E6" w:rsidRPr="00C93A4A">
        <w:rPr>
          <w:lang w:val="en-GB"/>
        </w:rPr>
        <w:t xml:space="preserve">The experience of the Australian aid program in other sectors, including agriculture (Seeds of Life) and rural water, </w:t>
      </w:r>
      <w:r w:rsidR="00F931E6" w:rsidRPr="00C93A4A">
        <w:rPr>
          <w:lang w:val="en-GB"/>
        </w:rPr>
        <w:lastRenderedPageBreak/>
        <w:t xml:space="preserve">sanitation and hygiene (BESIK), has been that 10-15 years </w:t>
      </w:r>
      <w:r w:rsidR="009B286C" w:rsidRPr="00C93A4A">
        <w:rPr>
          <w:lang w:val="en-GB"/>
        </w:rPr>
        <w:t xml:space="preserve">of concerted effort </w:t>
      </w:r>
      <w:r w:rsidR="00F931E6" w:rsidRPr="00C93A4A">
        <w:rPr>
          <w:lang w:val="en-GB"/>
        </w:rPr>
        <w:t xml:space="preserve">is required </w:t>
      </w:r>
      <w:r w:rsidR="009B286C" w:rsidRPr="00C93A4A">
        <w:rPr>
          <w:lang w:val="en-GB"/>
        </w:rPr>
        <w:t xml:space="preserve">to drive institutional change and </w:t>
      </w:r>
      <w:r w:rsidR="00F931E6" w:rsidRPr="00C93A4A">
        <w:rPr>
          <w:lang w:val="en-GB"/>
        </w:rPr>
        <w:t xml:space="preserve">for government to build its capacity </w:t>
      </w:r>
      <w:r w:rsidR="009B286C" w:rsidRPr="00C93A4A">
        <w:rPr>
          <w:lang w:val="en-GB"/>
        </w:rPr>
        <w:t>to</w:t>
      </w:r>
      <w:r w:rsidR="00F931E6" w:rsidRPr="00C93A4A">
        <w:rPr>
          <w:lang w:val="en-GB"/>
        </w:rPr>
        <w:t xml:space="preserve"> take on service delivery. </w:t>
      </w:r>
      <w:r w:rsidRPr="00C93A4A">
        <w:rPr>
          <w:szCs w:val="22"/>
          <w:lang w:val="en-GB"/>
        </w:rPr>
        <w:t>Experience from the first phase</w:t>
      </w:r>
      <w:r w:rsidR="009B286C" w:rsidRPr="00C93A4A">
        <w:rPr>
          <w:szCs w:val="22"/>
          <w:lang w:val="en-GB"/>
        </w:rPr>
        <w:t>, however,</w:t>
      </w:r>
      <w:r w:rsidRPr="00C93A4A">
        <w:rPr>
          <w:szCs w:val="22"/>
          <w:lang w:val="en-GB"/>
        </w:rPr>
        <w:t xml:space="preserve"> </w:t>
      </w:r>
      <w:r w:rsidR="009B286C" w:rsidRPr="00C93A4A">
        <w:rPr>
          <w:szCs w:val="22"/>
          <w:lang w:val="en-GB"/>
        </w:rPr>
        <w:t>points to a number of refinements to the current approach that could plausibly foster more impact. These</w:t>
      </w:r>
      <w:r w:rsidR="00167503" w:rsidRPr="00C93A4A">
        <w:rPr>
          <w:szCs w:val="22"/>
          <w:lang w:val="en-GB"/>
        </w:rPr>
        <w:t xml:space="preserve"> </w:t>
      </w:r>
      <w:r w:rsidRPr="00C93A4A">
        <w:rPr>
          <w:szCs w:val="22"/>
          <w:lang w:val="en-GB"/>
        </w:rPr>
        <w:t>include:</w:t>
      </w:r>
    </w:p>
    <w:p w14:paraId="4520BAD8" w14:textId="02EAB8D9" w:rsidR="0010492F" w:rsidRPr="00C93A4A" w:rsidRDefault="00167503" w:rsidP="0010492F">
      <w:pPr>
        <w:pStyle w:val="ListParagraph"/>
        <w:numPr>
          <w:ilvl w:val="0"/>
          <w:numId w:val="19"/>
        </w:numPr>
        <w:rPr>
          <w:szCs w:val="22"/>
          <w:lang w:val="en-GB"/>
        </w:rPr>
      </w:pPr>
      <w:r w:rsidRPr="00C93A4A">
        <w:rPr>
          <w:b/>
          <w:szCs w:val="22"/>
          <w:lang w:val="en-GB"/>
        </w:rPr>
        <w:t>Stronger g</w:t>
      </w:r>
      <w:r w:rsidR="0010492F" w:rsidRPr="00C93A4A">
        <w:rPr>
          <w:b/>
          <w:szCs w:val="22"/>
          <w:lang w:val="en-GB"/>
        </w:rPr>
        <w:t>overnment leadership.</w:t>
      </w:r>
      <w:r w:rsidR="0010492F" w:rsidRPr="00C93A4A">
        <w:rPr>
          <w:szCs w:val="22"/>
          <w:lang w:val="en-GB"/>
        </w:rPr>
        <w:t xml:space="preserve"> </w:t>
      </w:r>
      <w:r w:rsidR="00982656" w:rsidRPr="00C93A4A">
        <w:rPr>
          <w:szCs w:val="22"/>
          <w:lang w:val="en-GB"/>
        </w:rPr>
        <w:t xml:space="preserve">To achieve its targets for road rehabilitation, the current R4D program has involved significant amounts of ‘capacity substitution’ where R4D program staff carry out design, contracting, training and supervision roles that in the medium term must be </w:t>
      </w:r>
      <w:r w:rsidR="0076004E" w:rsidRPr="00C93A4A">
        <w:rPr>
          <w:szCs w:val="22"/>
          <w:lang w:val="en-GB"/>
        </w:rPr>
        <w:t>undertaken</w:t>
      </w:r>
      <w:r w:rsidR="00982656" w:rsidRPr="00C93A4A">
        <w:rPr>
          <w:szCs w:val="22"/>
          <w:lang w:val="en-GB"/>
        </w:rPr>
        <w:t xml:space="preserve"> by GoTL.</w:t>
      </w:r>
      <w:r w:rsidR="00FB6FA6" w:rsidRPr="00C93A4A">
        <w:rPr>
          <w:szCs w:val="22"/>
          <w:lang w:val="en-GB"/>
        </w:rPr>
        <w:t xml:space="preserve"> The MTR notes that,</w:t>
      </w:r>
      <w:r w:rsidR="00FB6FA6" w:rsidRPr="00C93A4A">
        <w:rPr>
          <w:rFonts w:asciiTheme="minorHAnsi" w:hAnsiTheme="minorHAnsi" w:cstheme="minorHAnsi"/>
          <w:szCs w:val="22"/>
          <w:lang w:val="en-GB"/>
        </w:rPr>
        <w:t xml:space="preserve"> ‘</w:t>
      </w:r>
      <w:r w:rsidR="00FB6FA6" w:rsidRPr="00C93A4A">
        <w:rPr>
          <w:rFonts w:asciiTheme="minorHAnsi" w:hAnsiTheme="minorHAnsi" w:cstheme="minorHAnsi"/>
          <w:i/>
          <w:szCs w:val="22"/>
          <w:lang w:val="en-GB"/>
        </w:rPr>
        <w:t xml:space="preserve">R4D is currently filling the role of a pseudo </w:t>
      </w:r>
      <w:r w:rsidR="000B3C56">
        <w:rPr>
          <w:rFonts w:asciiTheme="minorHAnsi" w:hAnsiTheme="minorHAnsi" w:cstheme="minorHAnsi"/>
          <w:i/>
          <w:szCs w:val="22"/>
          <w:lang w:val="en-GB"/>
        </w:rPr>
        <w:t>rural roads department within M</w:t>
      </w:r>
      <w:r w:rsidR="00FB6FA6" w:rsidRPr="00C93A4A">
        <w:rPr>
          <w:rFonts w:asciiTheme="minorHAnsi" w:hAnsiTheme="minorHAnsi" w:cstheme="minorHAnsi"/>
          <w:i/>
          <w:szCs w:val="22"/>
          <w:lang w:val="en-GB"/>
        </w:rPr>
        <w:t>PW</w:t>
      </w:r>
      <w:r w:rsidR="00FB6FA6" w:rsidRPr="00C93A4A">
        <w:rPr>
          <w:rFonts w:asciiTheme="minorHAnsi" w:hAnsiTheme="minorHAnsi" w:cstheme="minorHAnsi"/>
          <w:szCs w:val="22"/>
          <w:lang w:val="en-GB"/>
        </w:rPr>
        <w:t>’</w:t>
      </w:r>
      <w:r w:rsidR="0076004E" w:rsidRPr="00C93A4A">
        <w:rPr>
          <w:rFonts w:asciiTheme="minorHAnsi" w:hAnsiTheme="minorHAnsi" w:cstheme="minorHAnsi"/>
          <w:szCs w:val="22"/>
          <w:lang w:val="en-GB"/>
        </w:rPr>
        <w:t>, an observation shared by the ICM</w:t>
      </w:r>
      <w:r w:rsidR="00FB6FA6" w:rsidRPr="00C93A4A">
        <w:rPr>
          <w:rFonts w:asciiTheme="majorHAnsi" w:hAnsiTheme="majorHAnsi"/>
          <w:szCs w:val="22"/>
          <w:lang w:val="en-GB"/>
        </w:rPr>
        <w:t>.</w:t>
      </w:r>
      <w:r w:rsidR="00FB6FA6" w:rsidRPr="00C93A4A">
        <w:rPr>
          <w:rStyle w:val="FootnoteReference"/>
          <w:rFonts w:asciiTheme="majorHAnsi" w:hAnsiTheme="majorHAnsi"/>
          <w:szCs w:val="22"/>
          <w:lang w:val="en-GB"/>
        </w:rPr>
        <w:footnoteReference w:id="3"/>
      </w:r>
      <w:r w:rsidR="00982656" w:rsidRPr="00C93A4A">
        <w:rPr>
          <w:szCs w:val="22"/>
          <w:lang w:val="en-GB"/>
        </w:rPr>
        <w:t xml:space="preserve"> A second phase must </w:t>
      </w:r>
      <w:r w:rsidR="0069527E" w:rsidRPr="00C93A4A">
        <w:rPr>
          <w:szCs w:val="22"/>
          <w:lang w:val="en-GB"/>
        </w:rPr>
        <w:t>reflect</w:t>
      </w:r>
      <w:r w:rsidR="00982656" w:rsidRPr="00C93A4A">
        <w:rPr>
          <w:szCs w:val="22"/>
          <w:lang w:val="en-GB"/>
        </w:rPr>
        <w:t xml:space="preserve"> greater i</w:t>
      </w:r>
      <w:r w:rsidR="0010492F" w:rsidRPr="00C93A4A">
        <w:rPr>
          <w:szCs w:val="22"/>
          <w:lang w:val="en-GB"/>
        </w:rPr>
        <w:t>nstitutionalis</w:t>
      </w:r>
      <w:r w:rsidR="00982656" w:rsidRPr="00C93A4A">
        <w:rPr>
          <w:szCs w:val="22"/>
          <w:lang w:val="en-GB"/>
        </w:rPr>
        <w:t xml:space="preserve">ation of </w:t>
      </w:r>
      <w:r w:rsidR="0010492F" w:rsidRPr="00C93A4A">
        <w:rPr>
          <w:szCs w:val="22"/>
          <w:lang w:val="en-GB"/>
        </w:rPr>
        <w:t xml:space="preserve">rural roads services </w:t>
      </w:r>
      <w:r w:rsidR="00982656" w:rsidRPr="00C93A4A">
        <w:rPr>
          <w:szCs w:val="22"/>
          <w:lang w:val="en-GB"/>
        </w:rPr>
        <w:t xml:space="preserve">delivery </w:t>
      </w:r>
      <w:r w:rsidR="0010492F" w:rsidRPr="00C93A4A">
        <w:rPr>
          <w:szCs w:val="22"/>
          <w:lang w:val="en-GB"/>
        </w:rPr>
        <w:t xml:space="preserve">within </w:t>
      </w:r>
      <w:r w:rsidR="00D9153D" w:rsidRPr="00C93A4A">
        <w:rPr>
          <w:szCs w:val="22"/>
          <w:lang w:val="en-GB"/>
        </w:rPr>
        <w:t>DRB</w:t>
      </w:r>
      <w:r w:rsidR="00F839DE">
        <w:rPr>
          <w:szCs w:val="22"/>
          <w:lang w:val="en-GB"/>
        </w:rPr>
        <w:t>F</w:t>
      </w:r>
      <w:r w:rsidR="00D9153D" w:rsidRPr="00C93A4A">
        <w:rPr>
          <w:szCs w:val="22"/>
          <w:lang w:val="en-GB"/>
        </w:rPr>
        <w:t>C</w:t>
      </w:r>
      <w:r w:rsidR="0010492F" w:rsidRPr="00C93A4A">
        <w:rPr>
          <w:szCs w:val="22"/>
          <w:lang w:val="en-GB"/>
        </w:rPr>
        <w:t xml:space="preserve"> and </w:t>
      </w:r>
      <w:r w:rsidR="00982656" w:rsidRPr="00C93A4A">
        <w:rPr>
          <w:szCs w:val="22"/>
          <w:lang w:val="en-GB"/>
        </w:rPr>
        <w:t xml:space="preserve">a </w:t>
      </w:r>
      <w:r w:rsidR="0010492F" w:rsidRPr="00C93A4A">
        <w:rPr>
          <w:szCs w:val="22"/>
          <w:lang w:val="en-GB"/>
        </w:rPr>
        <w:t>stead</w:t>
      </w:r>
      <w:r w:rsidR="00982656" w:rsidRPr="00C93A4A">
        <w:rPr>
          <w:szCs w:val="22"/>
          <w:lang w:val="en-GB"/>
        </w:rPr>
        <w:t xml:space="preserve">y reduction in </w:t>
      </w:r>
      <w:r w:rsidR="0010492F" w:rsidRPr="00C93A4A">
        <w:rPr>
          <w:szCs w:val="22"/>
          <w:lang w:val="en-GB"/>
        </w:rPr>
        <w:t xml:space="preserve">capacity substitution by R4D. </w:t>
      </w:r>
    </w:p>
    <w:p w14:paraId="13ACC72A" w14:textId="182BD82D" w:rsidR="0010492F" w:rsidRPr="00C93A4A" w:rsidRDefault="0010492F" w:rsidP="0010492F">
      <w:pPr>
        <w:pStyle w:val="ListParagraph"/>
        <w:numPr>
          <w:ilvl w:val="0"/>
          <w:numId w:val="19"/>
        </w:numPr>
        <w:rPr>
          <w:szCs w:val="22"/>
          <w:lang w:val="en-GB"/>
        </w:rPr>
      </w:pPr>
      <w:r w:rsidRPr="00C93A4A">
        <w:rPr>
          <w:b/>
          <w:szCs w:val="22"/>
          <w:lang w:val="en-GB"/>
        </w:rPr>
        <w:t>Planning within MPW.</w:t>
      </w:r>
      <w:r w:rsidRPr="00C93A4A">
        <w:rPr>
          <w:szCs w:val="22"/>
          <w:lang w:val="en-GB"/>
        </w:rPr>
        <w:t xml:space="preserve"> </w:t>
      </w:r>
      <w:r w:rsidR="0069527E" w:rsidRPr="00C93A4A">
        <w:rPr>
          <w:szCs w:val="22"/>
          <w:lang w:val="en-GB"/>
        </w:rPr>
        <w:t xml:space="preserve">R4D was delivered largely in the absence of GoTL policy or strategy for rural roads. The recently completed </w:t>
      </w:r>
      <w:r w:rsidRPr="00C93A4A">
        <w:rPr>
          <w:szCs w:val="22"/>
          <w:lang w:val="en-GB"/>
        </w:rPr>
        <w:t>RRMP</w:t>
      </w:r>
      <w:r w:rsidR="0069527E" w:rsidRPr="00C93A4A">
        <w:rPr>
          <w:szCs w:val="22"/>
          <w:lang w:val="en-GB"/>
        </w:rPr>
        <w:t xml:space="preserve"> fills this gap. It offer</w:t>
      </w:r>
      <w:r w:rsidR="001B3B77">
        <w:rPr>
          <w:szCs w:val="22"/>
          <w:lang w:val="en-GB"/>
        </w:rPr>
        <w:t>s</w:t>
      </w:r>
      <w:r w:rsidR="0069527E" w:rsidRPr="00C93A4A">
        <w:rPr>
          <w:szCs w:val="22"/>
          <w:lang w:val="en-GB"/>
        </w:rPr>
        <w:t xml:space="preserve"> the basis for coherent </w:t>
      </w:r>
      <w:r w:rsidRPr="00C93A4A">
        <w:rPr>
          <w:szCs w:val="22"/>
          <w:lang w:val="en-GB"/>
        </w:rPr>
        <w:t xml:space="preserve">planning and budgeting for rural roads, at </w:t>
      </w:r>
      <w:r w:rsidR="0069527E" w:rsidRPr="00C93A4A">
        <w:rPr>
          <w:szCs w:val="22"/>
          <w:lang w:val="en-GB"/>
        </w:rPr>
        <w:t>national and municipal levels. A second R4D phase should involve much stronger GoTL planning, using the RRMP as the basis</w:t>
      </w:r>
      <w:r w:rsidR="001B3B77">
        <w:rPr>
          <w:szCs w:val="22"/>
          <w:lang w:val="en-GB"/>
        </w:rPr>
        <w:t xml:space="preserve"> (this assumes that the plan is endorsed by GoTL—refer discussion in </w:t>
      </w:r>
      <w:r w:rsidR="00D36DA6">
        <w:rPr>
          <w:szCs w:val="22"/>
          <w:lang w:val="en-GB"/>
        </w:rPr>
        <w:t>Annex 5</w:t>
      </w:r>
      <w:r w:rsidR="001B3B77">
        <w:rPr>
          <w:szCs w:val="22"/>
          <w:lang w:val="en-GB"/>
        </w:rPr>
        <w:t>)</w:t>
      </w:r>
      <w:r w:rsidRPr="00C93A4A">
        <w:rPr>
          <w:szCs w:val="22"/>
          <w:lang w:val="en-GB"/>
        </w:rPr>
        <w:t>.</w:t>
      </w:r>
    </w:p>
    <w:p w14:paraId="66614FCD" w14:textId="77777777" w:rsidR="0010492F" w:rsidRPr="00C93A4A" w:rsidRDefault="0010492F" w:rsidP="0010492F">
      <w:pPr>
        <w:pStyle w:val="ListParagraph"/>
        <w:numPr>
          <w:ilvl w:val="0"/>
          <w:numId w:val="19"/>
        </w:numPr>
        <w:rPr>
          <w:szCs w:val="22"/>
          <w:lang w:val="en-GB"/>
        </w:rPr>
      </w:pPr>
      <w:r w:rsidRPr="00C93A4A">
        <w:rPr>
          <w:b/>
          <w:szCs w:val="22"/>
          <w:lang w:val="en-GB"/>
        </w:rPr>
        <w:t>Municipal focus.</w:t>
      </w:r>
      <w:r w:rsidRPr="00C93A4A">
        <w:rPr>
          <w:szCs w:val="22"/>
          <w:lang w:val="en-GB"/>
        </w:rPr>
        <w:t xml:space="preserve"> </w:t>
      </w:r>
      <w:r w:rsidR="009D1079" w:rsidRPr="00C93A4A">
        <w:rPr>
          <w:szCs w:val="22"/>
          <w:lang w:val="en-GB"/>
        </w:rPr>
        <w:t>While R4D physical works have taken place in rural areas, much of the focus within government during the first phase has been on systems and capacity at a national level. There is opportunity in a second phase for great</w:t>
      </w:r>
      <w:r w:rsidR="006A7140" w:rsidRPr="00C93A4A">
        <w:rPr>
          <w:szCs w:val="22"/>
          <w:lang w:val="en-GB"/>
        </w:rPr>
        <w:t>er</w:t>
      </w:r>
      <w:r w:rsidR="009D1079" w:rsidRPr="00C93A4A">
        <w:rPr>
          <w:szCs w:val="22"/>
          <w:lang w:val="en-GB"/>
        </w:rPr>
        <w:t xml:space="preserve"> focus at the municipal level. This will certainly involve capacity building for MPW municipal staff, but could also include better coordination and collaboration with</w:t>
      </w:r>
      <w:r w:rsidRPr="00C93A4A">
        <w:rPr>
          <w:szCs w:val="22"/>
          <w:lang w:val="en-GB"/>
        </w:rPr>
        <w:t xml:space="preserve"> </w:t>
      </w:r>
      <w:r w:rsidR="009D1079" w:rsidRPr="00C93A4A">
        <w:rPr>
          <w:szCs w:val="22"/>
          <w:lang w:val="en-GB"/>
        </w:rPr>
        <w:t xml:space="preserve">municipal </w:t>
      </w:r>
      <w:r w:rsidRPr="00C93A4A">
        <w:rPr>
          <w:szCs w:val="22"/>
          <w:lang w:val="en-GB"/>
        </w:rPr>
        <w:t>stakeholders outside MPW</w:t>
      </w:r>
      <w:r w:rsidR="009D1079" w:rsidRPr="00C93A4A">
        <w:rPr>
          <w:szCs w:val="22"/>
          <w:lang w:val="en-GB"/>
        </w:rPr>
        <w:t xml:space="preserve"> and a much g</w:t>
      </w:r>
      <w:r w:rsidRPr="00C93A4A">
        <w:rPr>
          <w:szCs w:val="22"/>
          <w:lang w:val="en-GB"/>
        </w:rPr>
        <w:t>reater involvement of Municipal Administrations</w:t>
      </w:r>
      <w:r w:rsidR="009D1079" w:rsidRPr="00C93A4A">
        <w:rPr>
          <w:szCs w:val="22"/>
          <w:lang w:val="en-GB"/>
        </w:rPr>
        <w:t xml:space="preserve"> in planning and advocacy</w:t>
      </w:r>
      <w:r w:rsidRPr="00C93A4A">
        <w:rPr>
          <w:szCs w:val="22"/>
          <w:lang w:val="en-GB"/>
        </w:rPr>
        <w:t xml:space="preserve">. </w:t>
      </w:r>
    </w:p>
    <w:p w14:paraId="3E3F587E" w14:textId="2D5CCA5F" w:rsidR="0010492F" w:rsidRPr="00C93A4A" w:rsidRDefault="0010492F" w:rsidP="0010492F">
      <w:pPr>
        <w:pStyle w:val="ListParagraph"/>
        <w:numPr>
          <w:ilvl w:val="0"/>
          <w:numId w:val="19"/>
        </w:numPr>
        <w:rPr>
          <w:szCs w:val="22"/>
          <w:lang w:val="en-GB"/>
        </w:rPr>
      </w:pPr>
      <w:r w:rsidRPr="00C93A4A">
        <w:rPr>
          <w:b/>
          <w:szCs w:val="22"/>
          <w:lang w:val="en-GB"/>
        </w:rPr>
        <w:t>National expertise.</w:t>
      </w:r>
      <w:r w:rsidRPr="00C93A4A">
        <w:rPr>
          <w:szCs w:val="22"/>
          <w:lang w:val="en-GB"/>
        </w:rPr>
        <w:t xml:space="preserve"> </w:t>
      </w:r>
      <w:r w:rsidR="00243A12" w:rsidRPr="00C93A4A">
        <w:rPr>
          <w:szCs w:val="22"/>
          <w:lang w:val="en-GB"/>
        </w:rPr>
        <w:t>Consideration should be given to increasing the u</w:t>
      </w:r>
      <w:r w:rsidRPr="00C93A4A">
        <w:rPr>
          <w:szCs w:val="22"/>
          <w:lang w:val="en-GB"/>
        </w:rPr>
        <w:t xml:space="preserve">se of national consultants </w:t>
      </w:r>
      <w:r w:rsidR="00243A12" w:rsidRPr="00C93A4A">
        <w:rPr>
          <w:szCs w:val="22"/>
          <w:lang w:val="en-GB"/>
        </w:rPr>
        <w:t>within the program</w:t>
      </w:r>
      <w:r w:rsidRPr="00C93A4A">
        <w:rPr>
          <w:szCs w:val="22"/>
          <w:lang w:val="en-GB"/>
        </w:rPr>
        <w:t xml:space="preserve">. </w:t>
      </w:r>
      <w:r w:rsidR="00243A12" w:rsidRPr="00C93A4A">
        <w:rPr>
          <w:szCs w:val="22"/>
          <w:lang w:val="en-GB"/>
        </w:rPr>
        <w:t xml:space="preserve">MPW, particularly </w:t>
      </w:r>
      <w:r w:rsidR="00D9153D" w:rsidRPr="00C93A4A">
        <w:rPr>
          <w:szCs w:val="22"/>
          <w:lang w:val="en-GB"/>
        </w:rPr>
        <w:t>DRBF</w:t>
      </w:r>
      <w:r w:rsidR="00F839DE">
        <w:rPr>
          <w:szCs w:val="22"/>
          <w:lang w:val="en-GB"/>
        </w:rPr>
        <w:t>C</w:t>
      </w:r>
      <w:r w:rsidR="00243A12" w:rsidRPr="00C93A4A">
        <w:rPr>
          <w:szCs w:val="22"/>
          <w:lang w:val="en-GB"/>
        </w:rPr>
        <w:t>, may be able to fill critical staffing gaps with contractors</w:t>
      </w:r>
      <w:r w:rsidR="006A7140" w:rsidRPr="00C93A4A">
        <w:rPr>
          <w:szCs w:val="22"/>
          <w:lang w:val="en-GB"/>
        </w:rPr>
        <w:t>,</w:t>
      </w:r>
      <w:r w:rsidR="00243A12" w:rsidRPr="00C93A4A">
        <w:rPr>
          <w:szCs w:val="22"/>
          <w:lang w:val="en-GB"/>
        </w:rPr>
        <w:t xml:space="preserve"> some of whom may later be absorbed into the public service. </w:t>
      </w:r>
      <w:r w:rsidR="006A7140" w:rsidRPr="00C93A4A">
        <w:rPr>
          <w:szCs w:val="22"/>
          <w:lang w:val="en-GB"/>
        </w:rPr>
        <w:t>R4D should also c</w:t>
      </w:r>
      <w:r w:rsidRPr="00C93A4A">
        <w:rPr>
          <w:szCs w:val="22"/>
          <w:lang w:val="en-GB"/>
        </w:rPr>
        <w:t>onsider</w:t>
      </w:r>
      <w:r w:rsidR="006A7140" w:rsidRPr="00C93A4A">
        <w:rPr>
          <w:szCs w:val="22"/>
          <w:lang w:val="en-GB"/>
        </w:rPr>
        <w:t xml:space="preserve"> </w:t>
      </w:r>
      <w:r w:rsidR="00243A12" w:rsidRPr="00C93A4A">
        <w:rPr>
          <w:szCs w:val="22"/>
          <w:lang w:val="en-GB"/>
        </w:rPr>
        <w:t>recruit</w:t>
      </w:r>
      <w:r w:rsidRPr="00C93A4A">
        <w:rPr>
          <w:szCs w:val="22"/>
          <w:lang w:val="en-GB"/>
        </w:rPr>
        <w:t xml:space="preserve">ing senior </w:t>
      </w:r>
      <w:r w:rsidR="00243A12" w:rsidRPr="00C93A4A">
        <w:rPr>
          <w:szCs w:val="22"/>
          <w:lang w:val="en-GB"/>
        </w:rPr>
        <w:t xml:space="preserve">Timorese </w:t>
      </w:r>
      <w:r w:rsidRPr="00C93A4A">
        <w:rPr>
          <w:szCs w:val="22"/>
          <w:lang w:val="en-GB"/>
        </w:rPr>
        <w:t xml:space="preserve">staff </w:t>
      </w:r>
      <w:r w:rsidR="00243A12" w:rsidRPr="00C93A4A">
        <w:rPr>
          <w:szCs w:val="22"/>
          <w:lang w:val="en-GB"/>
        </w:rPr>
        <w:t>into</w:t>
      </w:r>
      <w:r w:rsidRPr="00C93A4A">
        <w:rPr>
          <w:szCs w:val="22"/>
          <w:lang w:val="en-GB"/>
        </w:rPr>
        <w:t xml:space="preserve"> </w:t>
      </w:r>
      <w:r w:rsidR="006A7140" w:rsidRPr="00C93A4A">
        <w:rPr>
          <w:szCs w:val="22"/>
          <w:lang w:val="en-GB"/>
        </w:rPr>
        <w:t>its</w:t>
      </w:r>
      <w:r w:rsidRPr="00C93A4A">
        <w:rPr>
          <w:szCs w:val="22"/>
          <w:lang w:val="en-GB"/>
        </w:rPr>
        <w:t xml:space="preserve"> team. </w:t>
      </w:r>
    </w:p>
    <w:p w14:paraId="1F32BEA1" w14:textId="77777777" w:rsidR="000D08D4" w:rsidRPr="00C93A4A" w:rsidRDefault="000D08D4" w:rsidP="000D08D4">
      <w:pPr>
        <w:pStyle w:val="Heading1"/>
      </w:pPr>
      <w:bookmarkStart w:id="4" w:name="_Toc424633117"/>
      <w:r w:rsidRPr="00C93A4A">
        <w:t>Implementation/delivery approach (How and with whom?)</w:t>
      </w:r>
      <w:bookmarkEnd w:id="4"/>
    </w:p>
    <w:p w14:paraId="78C7ECB1" w14:textId="3D7D96D7" w:rsidR="00816D1D" w:rsidRPr="00C93A4A" w:rsidRDefault="00FB6FA6" w:rsidP="00FB6FA6">
      <w:pPr>
        <w:rPr>
          <w:lang w:val="en-GB"/>
        </w:rPr>
      </w:pPr>
      <w:r w:rsidRPr="00C93A4A">
        <w:rPr>
          <w:b/>
          <w:lang w:val="en-GB"/>
        </w:rPr>
        <w:t xml:space="preserve">Delivery </w:t>
      </w:r>
      <w:r w:rsidR="00816D1D" w:rsidRPr="00C93A4A">
        <w:rPr>
          <w:b/>
          <w:lang w:val="en-GB"/>
        </w:rPr>
        <w:t xml:space="preserve">options. </w:t>
      </w:r>
      <w:r w:rsidRPr="00C93A4A">
        <w:rPr>
          <w:lang w:val="en-GB"/>
        </w:rPr>
        <w:t xml:space="preserve">Potential options for GoA support </w:t>
      </w:r>
      <w:r w:rsidR="006A7140" w:rsidRPr="00C93A4A">
        <w:rPr>
          <w:lang w:val="en-GB"/>
        </w:rPr>
        <w:t xml:space="preserve">of </w:t>
      </w:r>
      <w:r w:rsidRPr="00C93A4A">
        <w:rPr>
          <w:lang w:val="en-GB"/>
        </w:rPr>
        <w:t>rural road development include: budget support</w:t>
      </w:r>
      <w:r w:rsidR="00506671" w:rsidRPr="00C93A4A">
        <w:rPr>
          <w:lang w:val="en-GB"/>
        </w:rPr>
        <w:t>; direct investment in infrastructure</w:t>
      </w:r>
      <w:r w:rsidRPr="00C93A4A">
        <w:rPr>
          <w:lang w:val="en-GB"/>
        </w:rPr>
        <w:t xml:space="preserve">; co-funding </w:t>
      </w:r>
      <w:r w:rsidR="006A7140" w:rsidRPr="00C93A4A">
        <w:rPr>
          <w:lang w:val="en-GB"/>
        </w:rPr>
        <w:t xml:space="preserve">with another </w:t>
      </w:r>
      <w:r w:rsidRPr="00C93A4A">
        <w:rPr>
          <w:lang w:val="en-GB"/>
        </w:rPr>
        <w:t xml:space="preserve">development partner; and a bilateral program. </w:t>
      </w:r>
      <w:r w:rsidR="00816D1D" w:rsidRPr="00C93A4A">
        <w:rPr>
          <w:lang w:val="en-GB"/>
        </w:rPr>
        <w:t>While analysis of these options was not explicitly documented in the original R4D Concept Note, it is clear that a bilateral program was selected a</w:t>
      </w:r>
      <w:r w:rsidR="00E27D27" w:rsidRPr="00C93A4A">
        <w:rPr>
          <w:lang w:val="en-GB"/>
        </w:rPr>
        <w:t>s</w:t>
      </w:r>
      <w:r w:rsidR="00816D1D" w:rsidRPr="00C93A4A">
        <w:rPr>
          <w:lang w:val="en-GB"/>
        </w:rPr>
        <w:t xml:space="preserve"> the most appropriate implementation approach.</w:t>
      </w:r>
      <w:r w:rsidR="00816D1D" w:rsidRPr="00C93A4A">
        <w:rPr>
          <w:rStyle w:val="FootnoteReference"/>
          <w:lang w:val="en-GB"/>
        </w:rPr>
        <w:footnoteReference w:id="4"/>
      </w:r>
      <w:r w:rsidR="00ED2ED8">
        <w:rPr>
          <w:lang w:val="en-GB"/>
        </w:rPr>
        <w:t xml:space="preserve"> The context that led to that decision remains largely unchanged. </w:t>
      </w:r>
      <w:r w:rsidR="00816D1D" w:rsidRPr="00C93A4A">
        <w:rPr>
          <w:lang w:val="en-GB"/>
        </w:rPr>
        <w:t xml:space="preserve">Budget support is currently not </w:t>
      </w:r>
      <w:r w:rsidR="006A7140" w:rsidRPr="00C93A4A">
        <w:rPr>
          <w:lang w:val="en-GB"/>
        </w:rPr>
        <w:t>feasible</w:t>
      </w:r>
      <w:r w:rsidR="00816D1D" w:rsidRPr="00C93A4A">
        <w:rPr>
          <w:lang w:val="en-GB"/>
        </w:rPr>
        <w:t xml:space="preserve"> for GoA’s aid program in Timor-Leste, except</w:t>
      </w:r>
      <w:r w:rsidR="000073F9">
        <w:rPr>
          <w:lang w:val="en-GB"/>
        </w:rPr>
        <w:t xml:space="preserve"> </w:t>
      </w:r>
      <w:r w:rsidR="00816D1D" w:rsidRPr="00C93A4A">
        <w:rPr>
          <w:lang w:val="en-GB"/>
        </w:rPr>
        <w:t>within Ministry of Finance</w:t>
      </w:r>
      <w:r w:rsidR="000073F9">
        <w:rPr>
          <w:lang w:val="en-GB"/>
        </w:rPr>
        <w:t xml:space="preserve"> where some direct support is provided</w:t>
      </w:r>
      <w:r w:rsidR="00816D1D" w:rsidRPr="00C93A4A">
        <w:rPr>
          <w:lang w:val="en-GB"/>
        </w:rPr>
        <w:t xml:space="preserve">. </w:t>
      </w:r>
      <w:r w:rsidR="00506671">
        <w:rPr>
          <w:lang w:val="en-GB"/>
        </w:rPr>
        <w:t xml:space="preserve">In the absence of strong GoTL capacity to maintain the rural road network, direct investment in infrastructure will not be sustained and investment will be wasted. </w:t>
      </w:r>
      <w:r w:rsidR="009336BD" w:rsidRPr="00C93A4A">
        <w:rPr>
          <w:lang w:val="en-GB"/>
        </w:rPr>
        <w:t>Consultations with other development agencies during the ICM (</w:t>
      </w:r>
      <w:r w:rsidR="00D36DA6">
        <w:rPr>
          <w:lang w:val="en-GB"/>
        </w:rPr>
        <w:t>Annex 6</w:t>
      </w:r>
      <w:r w:rsidR="009336BD" w:rsidRPr="00C93A4A">
        <w:rPr>
          <w:lang w:val="en-GB"/>
        </w:rPr>
        <w:t>) indicate that n</w:t>
      </w:r>
      <w:r w:rsidR="00816D1D" w:rsidRPr="00C93A4A">
        <w:rPr>
          <w:lang w:val="en-GB"/>
        </w:rPr>
        <w:t xml:space="preserve">o </w:t>
      </w:r>
      <w:r w:rsidR="009336BD" w:rsidRPr="00C93A4A">
        <w:rPr>
          <w:lang w:val="en-GB"/>
        </w:rPr>
        <w:t>other agencies</w:t>
      </w:r>
      <w:r w:rsidR="00816D1D" w:rsidRPr="00C93A4A">
        <w:rPr>
          <w:lang w:val="en-GB"/>
        </w:rPr>
        <w:t xml:space="preserve"> have established rural road programs since R4D commenced</w:t>
      </w:r>
      <w:r w:rsidR="00506671">
        <w:rPr>
          <w:lang w:val="en-GB"/>
        </w:rPr>
        <w:t>.</w:t>
      </w:r>
      <w:r w:rsidR="00816D1D" w:rsidRPr="00C93A4A">
        <w:rPr>
          <w:rStyle w:val="FootnoteReference"/>
          <w:lang w:val="en-GB"/>
        </w:rPr>
        <w:footnoteReference w:id="5"/>
      </w:r>
      <w:r w:rsidR="00506671">
        <w:rPr>
          <w:lang w:val="en-GB"/>
        </w:rPr>
        <w:t xml:space="preserve"> </w:t>
      </w:r>
      <w:r w:rsidR="00506671">
        <w:rPr>
          <w:lang w:val="en-GB"/>
        </w:rPr>
        <w:lastRenderedPageBreak/>
        <w:t>ADB is reportedly considering a rural roads project, commencing in 2017, which may open opportunities for collaboration or joint programming.</w:t>
      </w:r>
      <w:r w:rsidR="00506671">
        <w:rPr>
          <w:rStyle w:val="FootnoteReference"/>
          <w:lang w:val="en-GB"/>
        </w:rPr>
        <w:footnoteReference w:id="6"/>
      </w:r>
      <w:r w:rsidR="00506671">
        <w:rPr>
          <w:lang w:val="en-GB"/>
        </w:rPr>
        <w:t xml:space="preserve"> </w:t>
      </w:r>
      <w:r w:rsidR="00816D1D" w:rsidRPr="00C93A4A">
        <w:rPr>
          <w:lang w:val="en-GB"/>
        </w:rPr>
        <w:t xml:space="preserve"> </w:t>
      </w:r>
    </w:p>
    <w:p w14:paraId="59B67379" w14:textId="33B16F0D" w:rsidR="005B6452" w:rsidRPr="00C93A4A" w:rsidRDefault="009336BD" w:rsidP="009336BD">
      <w:pPr>
        <w:rPr>
          <w:lang w:val="en-GB"/>
        </w:rPr>
      </w:pPr>
      <w:r w:rsidRPr="00C93A4A">
        <w:rPr>
          <w:lang w:val="en-GB"/>
        </w:rPr>
        <w:t>G</w:t>
      </w:r>
      <w:r w:rsidR="00816D1D" w:rsidRPr="00C93A4A">
        <w:rPr>
          <w:lang w:val="en-GB"/>
        </w:rPr>
        <w:t xml:space="preserve">iven the </w:t>
      </w:r>
      <w:r w:rsidR="00224673" w:rsidRPr="00C93A4A">
        <w:rPr>
          <w:lang w:val="en-GB"/>
        </w:rPr>
        <w:t xml:space="preserve">foundation created by </w:t>
      </w:r>
      <w:r w:rsidR="00816D1D" w:rsidRPr="00C93A4A">
        <w:rPr>
          <w:lang w:val="en-GB"/>
        </w:rPr>
        <w:t xml:space="preserve">the existing </w:t>
      </w:r>
      <w:r w:rsidR="00FB6FA6" w:rsidRPr="00C93A4A">
        <w:rPr>
          <w:lang w:val="en-GB"/>
        </w:rPr>
        <w:t>R4D program</w:t>
      </w:r>
      <w:r w:rsidRPr="00C93A4A">
        <w:rPr>
          <w:lang w:val="en-GB"/>
        </w:rPr>
        <w:t>, a second round of bilateral program support is recommended for a follow-on phase</w:t>
      </w:r>
      <w:r w:rsidR="00FC181A">
        <w:rPr>
          <w:lang w:val="en-GB"/>
        </w:rPr>
        <w:t>, but only if GoTL commits to providing adequate support (note Recommendation 1 at Section G)</w:t>
      </w:r>
      <w:r w:rsidR="00FB6FA6" w:rsidRPr="00C93A4A">
        <w:rPr>
          <w:lang w:val="en-GB"/>
        </w:rPr>
        <w:t>.</w:t>
      </w:r>
      <w:r w:rsidRPr="00C93A4A">
        <w:rPr>
          <w:lang w:val="en-GB"/>
        </w:rPr>
        <w:t xml:space="preserve"> This would build on the considerable momentum that has been generated </w:t>
      </w:r>
      <w:r w:rsidR="00224673" w:rsidRPr="00C93A4A">
        <w:rPr>
          <w:lang w:val="en-GB"/>
        </w:rPr>
        <w:t>to date</w:t>
      </w:r>
      <w:r w:rsidRPr="00C93A4A">
        <w:rPr>
          <w:lang w:val="en-GB"/>
        </w:rPr>
        <w:t>. Relations</w:t>
      </w:r>
      <w:r w:rsidR="006A7140" w:rsidRPr="00C93A4A">
        <w:rPr>
          <w:lang w:val="en-GB"/>
        </w:rPr>
        <w:t>hips</w:t>
      </w:r>
      <w:r w:rsidRPr="00C93A4A">
        <w:rPr>
          <w:lang w:val="en-GB"/>
        </w:rPr>
        <w:t xml:space="preserve"> have been established between the existing program and a wide range of staff within MPW, </w:t>
      </w:r>
      <w:r w:rsidR="00D9153D" w:rsidRPr="00C93A4A">
        <w:rPr>
          <w:lang w:val="en-GB"/>
        </w:rPr>
        <w:t>DRBF</w:t>
      </w:r>
      <w:r w:rsidR="00F839DE">
        <w:rPr>
          <w:lang w:val="en-GB"/>
        </w:rPr>
        <w:t>C</w:t>
      </w:r>
      <w:r w:rsidRPr="00C93A4A">
        <w:rPr>
          <w:lang w:val="en-GB"/>
        </w:rPr>
        <w:t xml:space="preserve"> and MPW’s Directorate of Corporate Services (DGCS). MPW </w:t>
      </w:r>
      <w:r w:rsidR="006A7140" w:rsidRPr="00C93A4A">
        <w:rPr>
          <w:lang w:val="en-GB"/>
        </w:rPr>
        <w:t xml:space="preserve">staff </w:t>
      </w:r>
      <w:r w:rsidRPr="00C93A4A">
        <w:rPr>
          <w:lang w:val="en-GB"/>
        </w:rPr>
        <w:t xml:space="preserve">at municipality level have been engaged in rehabilitation and maintenance work across 11 of Timor-Leste’s 13 municipalities. Systems for designing and contracting work packages have been developed and are being institutionalised in </w:t>
      </w:r>
      <w:r w:rsidR="00D9153D" w:rsidRPr="00C93A4A">
        <w:rPr>
          <w:lang w:val="en-GB"/>
        </w:rPr>
        <w:t>DRBF</w:t>
      </w:r>
      <w:r w:rsidR="00F839DE">
        <w:rPr>
          <w:lang w:val="en-GB"/>
        </w:rPr>
        <w:t>C</w:t>
      </w:r>
      <w:r w:rsidRPr="00C93A4A">
        <w:rPr>
          <w:lang w:val="en-GB"/>
        </w:rPr>
        <w:t xml:space="preserve"> and DGCS. Almost 100 local civil works contractors have been trained and contracted to carry out rural road works. </w:t>
      </w:r>
      <w:r w:rsidR="00F839DE">
        <w:rPr>
          <w:lang w:val="en-GB"/>
        </w:rPr>
        <w:t>Furthermore</w:t>
      </w:r>
      <w:r w:rsidRPr="00C93A4A">
        <w:rPr>
          <w:lang w:val="en-GB"/>
        </w:rPr>
        <w:t>, of great importance, the RRMP has now been drafted and provides a basis for rational planning and resource allocation to rural road improvement. It is appropriate to build on this foundation and momentum.</w:t>
      </w:r>
      <w:r w:rsidR="009B286C" w:rsidRPr="00C93A4A">
        <w:rPr>
          <w:lang w:val="en-GB"/>
        </w:rPr>
        <w:t xml:space="preserve"> </w:t>
      </w:r>
      <w:r w:rsidR="005B6452" w:rsidRPr="00C93A4A">
        <w:rPr>
          <w:lang w:val="en-GB"/>
        </w:rPr>
        <w:t>GoA and ILO</w:t>
      </w:r>
      <w:r w:rsidR="009B286C" w:rsidRPr="00C93A4A">
        <w:rPr>
          <w:lang w:val="en-GB"/>
        </w:rPr>
        <w:t>, with GoTL support,</w:t>
      </w:r>
      <w:r w:rsidR="005B6452" w:rsidRPr="00C93A4A">
        <w:rPr>
          <w:lang w:val="en-GB"/>
        </w:rPr>
        <w:t xml:space="preserve"> </w:t>
      </w:r>
      <w:r w:rsidR="009B286C" w:rsidRPr="00C93A4A">
        <w:rPr>
          <w:lang w:val="en-GB"/>
        </w:rPr>
        <w:t xml:space="preserve">have agreed in principle </w:t>
      </w:r>
      <w:r w:rsidR="005B6452" w:rsidRPr="00C93A4A">
        <w:rPr>
          <w:lang w:val="en-GB"/>
        </w:rPr>
        <w:t xml:space="preserve">to extend the </w:t>
      </w:r>
      <w:r w:rsidR="009B286C" w:rsidRPr="00C93A4A">
        <w:rPr>
          <w:lang w:val="en-GB"/>
        </w:rPr>
        <w:t xml:space="preserve">current </w:t>
      </w:r>
      <w:r w:rsidR="005B6452" w:rsidRPr="00C93A4A">
        <w:rPr>
          <w:lang w:val="en-GB"/>
        </w:rPr>
        <w:t>program until December 2016. Th</w:t>
      </w:r>
      <w:r w:rsidR="009B286C" w:rsidRPr="00C93A4A">
        <w:rPr>
          <w:lang w:val="en-GB"/>
        </w:rPr>
        <w:t xml:space="preserve">is will </w:t>
      </w:r>
      <w:r w:rsidR="005B6452" w:rsidRPr="00C93A4A">
        <w:rPr>
          <w:lang w:val="en-GB"/>
        </w:rPr>
        <w:t>en</w:t>
      </w:r>
      <w:r w:rsidR="009B286C" w:rsidRPr="00C93A4A">
        <w:rPr>
          <w:lang w:val="en-GB"/>
        </w:rPr>
        <w:t xml:space="preserve">able </w:t>
      </w:r>
      <w:r w:rsidR="005B6452" w:rsidRPr="00C93A4A">
        <w:rPr>
          <w:lang w:val="en-GB"/>
        </w:rPr>
        <w:t xml:space="preserve">a second phase </w:t>
      </w:r>
      <w:r w:rsidR="009B286C" w:rsidRPr="00C93A4A">
        <w:rPr>
          <w:lang w:val="en-GB"/>
        </w:rPr>
        <w:t xml:space="preserve">to follow on from existing </w:t>
      </w:r>
      <w:r w:rsidR="005B6452" w:rsidRPr="00C93A4A">
        <w:rPr>
          <w:lang w:val="en-GB"/>
        </w:rPr>
        <w:t>activities</w:t>
      </w:r>
      <w:r w:rsidR="009B286C" w:rsidRPr="00C93A4A">
        <w:rPr>
          <w:lang w:val="en-GB"/>
        </w:rPr>
        <w:t xml:space="preserve"> without interruption</w:t>
      </w:r>
      <w:r w:rsidR="005B6452" w:rsidRPr="00C93A4A">
        <w:rPr>
          <w:lang w:val="en-GB"/>
        </w:rPr>
        <w:t xml:space="preserve">. </w:t>
      </w:r>
    </w:p>
    <w:p w14:paraId="4778C81E" w14:textId="23C36CC0" w:rsidR="009336BD" w:rsidRPr="00C93A4A" w:rsidRDefault="005B6452" w:rsidP="005B6452">
      <w:pPr>
        <w:rPr>
          <w:szCs w:val="22"/>
          <w:lang w:val="en-GB"/>
        </w:rPr>
      </w:pPr>
      <w:r w:rsidRPr="00C93A4A">
        <w:rPr>
          <w:lang w:val="en-GB"/>
        </w:rPr>
        <w:t xml:space="preserve">One significant change to the delivery approach for a second phase is that GoA funding is likely to be directed </w:t>
      </w:r>
      <w:r w:rsidR="009B286C" w:rsidRPr="00C93A4A">
        <w:rPr>
          <w:lang w:val="en-GB"/>
        </w:rPr>
        <w:t xml:space="preserve">only </w:t>
      </w:r>
      <w:r w:rsidRPr="00C93A4A">
        <w:rPr>
          <w:lang w:val="en-GB"/>
        </w:rPr>
        <w:t>to</w:t>
      </w:r>
      <w:r w:rsidR="009336BD" w:rsidRPr="00C93A4A">
        <w:rPr>
          <w:szCs w:val="22"/>
          <w:lang w:val="en-GB"/>
        </w:rPr>
        <w:t xml:space="preserve"> technical assistance and capacity building of GoTL and local contractors. </w:t>
      </w:r>
      <w:r w:rsidRPr="00C93A4A">
        <w:rPr>
          <w:szCs w:val="22"/>
          <w:lang w:val="en-GB"/>
        </w:rPr>
        <w:t>In the first phase, GoA funds were used for a mix of physical works and capacity building.</w:t>
      </w:r>
      <w:r w:rsidR="000073F9">
        <w:rPr>
          <w:szCs w:val="22"/>
          <w:lang w:val="en-GB"/>
        </w:rPr>
        <w:t xml:space="preserve"> Phase 1 experience demonstrated that the cost of rehabilitation works is</w:t>
      </w:r>
      <w:r w:rsidR="00ED3ED8">
        <w:rPr>
          <w:szCs w:val="22"/>
          <w:lang w:val="en-GB"/>
        </w:rPr>
        <w:t xml:space="preserve"> three to four times that envisaged</w:t>
      </w:r>
      <w:r w:rsidR="000073F9">
        <w:rPr>
          <w:szCs w:val="22"/>
          <w:lang w:val="en-GB"/>
        </w:rPr>
        <w:t xml:space="preserve"> in the PDD</w:t>
      </w:r>
      <w:r w:rsidR="00ED3ED8">
        <w:rPr>
          <w:szCs w:val="22"/>
          <w:lang w:val="en-GB"/>
        </w:rPr>
        <w:t>.</w:t>
      </w:r>
      <w:r w:rsidR="000073F9">
        <w:rPr>
          <w:szCs w:val="22"/>
          <w:lang w:val="en-GB"/>
        </w:rPr>
        <w:t xml:space="preserve"> </w:t>
      </w:r>
      <w:r w:rsidR="00ED3ED8">
        <w:rPr>
          <w:szCs w:val="22"/>
          <w:lang w:val="en-GB"/>
        </w:rPr>
        <w:t xml:space="preserve">This revised cost, combined with the declining value of the Australian dollar, means that GoA </w:t>
      </w:r>
      <w:r w:rsidRPr="00C93A4A">
        <w:rPr>
          <w:szCs w:val="22"/>
          <w:lang w:val="en-GB"/>
        </w:rPr>
        <w:t>funding for a second phase will not be sufficient to contribute meaningfully to physical works</w:t>
      </w:r>
      <w:r w:rsidR="00ED3ED8">
        <w:rPr>
          <w:szCs w:val="22"/>
          <w:lang w:val="en-GB"/>
        </w:rPr>
        <w:t xml:space="preserve"> as well as meet the cost of TA</w:t>
      </w:r>
      <w:r w:rsidR="0048709C" w:rsidRPr="00C93A4A">
        <w:rPr>
          <w:szCs w:val="22"/>
          <w:lang w:val="en-GB"/>
        </w:rPr>
        <w:t xml:space="preserve">. Consequently, </w:t>
      </w:r>
      <w:r w:rsidRPr="00C93A4A">
        <w:rPr>
          <w:szCs w:val="22"/>
          <w:lang w:val="en-GB"/>
        </w:rPr>
        <w:t xml:space="preserve">it is recommended that within the overall program partnership, </w:t>
      </w:r>
      <w:r w:rsidR="009336BD" w:rsidRPr="00C93A4A">
        <w:rPr>
          <w:szCs w:val="22"/>
          <w:lang w:val="en-GB"/>
        </w:rPr>
        <w:t xml:space="preserve">GoTL funds would be allocated to </w:t>
      </w:r>
      <w:r w:rsidRPr="00C93A4A">
        <w:rPr>
          <w:szCs w:val="22"/>
          <w:lang w:val="en-GB"/>
        </w:rPr>
        <w:t xml:space="preserve">MPW operational costs and </w:t>
      </w:r>
      <w:r w:rsidR="009336BD" w:rsidRPr="00C93A4A">
        <w:rPr>
          <w:szCs w:val="22"/>
          <w:lang w:val="en-GB"/>
        </w:rPr>
        <w:t xml:space="preserve">civil works for road rehabilitation and maintenance, and </w:t>
      </w:r>
      <w:r w:rsidRPr="00C93A4A">
        <w:rPr>
          <w:szCs w:val="22"/>
          <w:lang w:val="en-GB"/>
        </w:rPr>
        <w:t xml:space="preserve">GoA funds </w:t>
      </w:r>
      <w:r w:rsidR="0048709C" w:rsidRPr="00C93A4A">
        <w:rPr>
          <w:szCs w:val="22"/>
          <w:lang w:val="en-GB"/>
        </w:rPr>
        <w:t>would provide</w:t>
      </w:r>
      <w:r w:rsidRPr="00C93A4A">
        <w:rPr>
          <w:szCs w:val="22"/>
          <w:lang w:val="en-GB"/>
        </w:rPr>
        <w:t xml:space="preserve"> technical assistance</w:t>
      </w:r>
      <w:r w:rsidR="0048709C" w:rsidRPr="00C93A4A">
        <w:rPr>
          <w:szCs w:val="22"/>
          <w:lang w:val="en-GB"/>
        </w:rPr>
        <w:t xml:space="preserve"> and focus on capacity building</w:t>
      </w:r>
      <w:r w:rsidRPr="00C93A4A">
        <w:rPr>
          <w:szCs w:val="22"/>
          <w:lang w:val="en-GB"/>
        </w:rPr>
        <w:t>.</w:t>
      </w:r>
      <w:r w:rsidR="009336BD" w:rsidRPr="00C93A4A">
        <w:rPr>
          <w:szCs w:val="22"/>
          <w:lang w:val="en-GB"/>
        </w:rPr>
        <w:t xml:space="preserve"> </w:t>
      </w:r>
    </w:p>
    <w:p w14:paraId="7FA1F498" w14:textId="77777777" w:rsidR="00D028E9" w:rsidRPr="00C93A4A" w:rsidRDefault="00D028E9" w:rsidP="00D028E9">
      <w:pPr>
        <w:rPr>
          <w:b/>
          <w:vanish/>
          <w:sz w:val="20"/>
          <w:szCs w:val="20"/>
          <w:lang w:val="en-GB"/>
        </w:rPr>
      </w:pPr>
      <w:r w:rsidRPr="00C93A4A">
        <w:rPr>
          <w:b/>
          <w:vanish/>
          <w:sz w:val="20"/>
          <w:szCs w:val="20"/>
          <w:lang w:val="en-GB"/>
        </w:rPr>
        <w:t>Outline feasible delivery options; consider GoTL obligation and commitments</w:t>
      </w:r>
    </w:p>
    <w:p w14:paraId="03317949" w14:textId="77777777" w:rsidR="00D028E9" w:rsidRPr="00C93A4A" w:rsidRDefault="00D028E9" w:rsidP="00D028E9">
      <w:pPr>
        <w:rPr>
          <w:b/>
          <w:vanish/>
          <w:sz w:val="20"/>
          <w:szCs w:val="20"/>
          <w:lang w:val="en-GB"/>
        </w:rPr>
      </w:pPr>
      <w:r w:rsidRPr="00C93A4A">
        <w:rPr>
          <w:b/>
          <w:vanish/>
          <w:sz w:val="20"/>
          <w:szCs w:val="20"/>
          <w:lang w:val="en-GB"/>
        </w:rPr>
        <w:t>Identify resource/capability implications</w:t>
      </w:r>
    </w:p>
    <w:p w14:paraId="1C06A7FC" w14:textId="77777777" w:rsidR="00D028E9" w:rsidRPr="00C93A4A" w:rsidRDefault="00D028E9" w:rsidP="00D028E9">
      <w:pPr>
        <w:rPr>
          <w:b/>
          <w:i/>
          <w:vanish/>
          <w:color w:val="676A55" w:themeColor="text2"/>
          <w:sz w:val="20"/>
          <w:szCs w:val="20"/>
          <w:lang w:val="en-GB"/>
        </w:rPr>
      </w:pPr>
      <w:r w:rsidRPr="00C93A4A">
        <w:rPr>
          <w:b/>
          <w:i/>
          <w:vanish/>
          <w:color w:val="676A55" w:themeColor="text2"/>
          <w:sz w:val="20"/>
          <w:szCs w:val="20"/>
          <w:lang w:val="en-GB"/>
        </w:rPr>
        <w:t>Q4. Who should the program delivery partner be? What are the factors that DFAT should consider when selecting a partner?</w:t>
      </w:r>
    </w:p>
    <w:p w14:paraId="46672672" w14:textId="77777777" w:rsidR="00130459" w:rsidRPr="00C93A4A" w:rsidRDefault="00D028E9" w:rsidP="00D028E9">
      <w:pPr>
        <w:rPr>
          <w:lang w:val="en-GB"/>
        </w:rPr>
      </w:pPr>
      <w:r w:rsidRPr="00C93A4A">
        <w:rPr>
          <w:b/>
          <w:lang w:val="en-GB"/>
        </w:rPr>
        <w:t>Delivery partner.</w:t>
      </w:r>
      <w:r w:rsidRPr="00C93A4A">
        <w:rPr>
          <w:lang w:val="en-GB"/>
        </w:rPr>
        <w:t xml:space="preserve"> </w:t>
      </w:r>
      <w:r w:rsidR="0048709C" w:rsidRPr="00C93A4A">
        <w:rPr>
          <w:lang w:val="en-GB"/>
        </w:rPr>
        <w:t>Selection of the delivery partner for a</w:t>
      </w:r>
      <w:r w:rsidRPr="00C93A4A">
        <w:rPr>
          <w:lang w:val="en-GB"/>
        </w:rPr>
        <w:t xml:space="preserve"> second phase of R4D could </w:t>
      </w:r>
      <w:r w:rsidR="0048709C" w:rsidRPr="00C93A4A">
        <w:rPr>
          <w:lang w:val="en-GB"/>
        </w:rPr>
        <w:t xml:space="preserve">involve </w:t>
      </w:r>
      <w:r w:rsidRPr="00C93A4A">
        <w:rPr>
          <w:lang w:val="en-GB"/>
        </w:rPr>
        <w:t xml:space="preserve">a new agreement with the current implementing agency (ILO) or open tender for a new managing contractor. ILO has expressed interest in delivering a follow-on phase of R4D. </w:t>
      </w:r>
      <w:r w:rsidR="00130459" w:rsidRPr="00C93A4A">
        <w:rPr>
          <w:lang w:val="en-GB"/>
        </w:rPr>
        <w:t>The principal advantages and disadvantages of continuing with ILO are summarised below</w:t>
      </w:r>
      <w:r w:rsidR="0048709C" w:rsidRPr="00C93A4A">
        <w:rPr>
          <w:lang w:val="en-GB"/>
        </w:rPr>
        <w:t>:</w:t>
      </w:r>
      <w:r w:rsidR="00130459" w:rsidRPr="00C93A4A">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54"/>
      </w:tblGrid>
      <w:tr w:rsidR="00130459" w:rsidRPr="00C93A4A" w14:paraId="1CBF0E31" w14:textId="77777777" w:rsidTr="009B286C">
        <w:tc>
          <w:tcPr>
            <w:tcW w:w="4414" w:type="dxa"/>
          </w:tcPr>
          <w:p w14:paraId="7E3AC139" w14:textId="77777777" w:rsidR="00130459" w:rsidRPr="00C93A4A" w:rsidRDefault="00130459" w:rsidP="00D028E9">
            <w:pPr>
              <w:rPr>
                <w:rStyle w:val="Strong"/>
                <w:lang w:val="en-GB"/>
              </w:rPr>
            </w:pPr>
            <w:r w:rsidRPr="00C93A4A">
              <w:rPr>
                <w:rStyle w:val="Strong"/>
                <w:lang w:val="en-GB"/>
              </w:rPr>
              <w:t>Advantages</w:t>
            </w:r>
          </w:p>
        </w:tc>
        <w:tc>
          <w:tcPr>
            <w:tcW w:w="4483" w:type="dxa"/>
          </w:tcPr>
          <w:p w14:paraId="2F13916F" w14:textId="77777777" w:rsidR="00130459" w:rsidRPr="00C93A4A" w:rsidRDefault="00130459" w:rsidP="00D028E9">
            <w:pPr>
              <w:rPr>
                <w:rStyle w:val="Strong"/>
                <w:lang w:val="en-GB"/>
              </w:rPr>
            </w:pPr>
            <w:r w:rsidRPr="00C93A4A">
              <w:rPr>
                <w:rStyle w:val="Strong"/>
                <w:lang w:val="en-GB"/>
              </w:rPr>
              <w:t>Disadvantages</w:t>
            </w:r>
          </w:p>
        </w:tc>
      </w:tr>
      <w:tr w:rsidR="00130459" w:rsidRPr="00C93A4A" w14:paraId="4258FA0B" w14:textId="77777777" w:rsidTr="009B286C">
        <w:tc>
          <w:tcPr>
            <w:tcW w:w="4414" w:type="dxa"/>
          </w:tcPr>
          <w:p w14:paraId="6890307C" w14:textId="77777777" w:rsidR="00130459" w:rsidRPr="00C93A4A" w:rsidRDefault="00130459" w:rsidP="00D028E9">
            <w:pPr>
              <w:rPr>
                <w:sz w:val="20"/>
                <w:szCs w:val="20"/>
                <w:lang w:val="en-GB"/>
              </w:rPr>
            </w:pPr>
            <w:r w:rsidRPr="00C93A4A">
              <w:rPr>
                <w:sz w:val="20"/>
                <w:szCs w:val="20"/>
                <w:lang w:val="en-GB"/>
              </w:rPr>
              <w:t>Opportunity to build on existing</w:t>
            </w:r>
            <w:r w:rsidR="00AF0BB0" w:rsidRPr="00C93A4A">
              <w:rPr>
                <w:sz w:val="20"/>
                <w:szCs w:val="20"/>
                <w:lang w:val="en-GB"/>
              </w:rPr>
              <w:t xml:space="preserve"> good</w:t>
            </w:r>
            <w:r w:rsidRPr="00C93A4A">
              <w:rPr>
                <w:sz w:val="20"/>
                <w:szCs w:val="20"/>
                <w:lang w:val="en-GB"/>
              </w:rPr>
              <w:t xml:space="preserve"> relationships that the program has with government and other stakeholders</w:t>
            </w:r>
          </w:p>
          <w:p w14:paraId="7EA0F835" w14:textId="77777777" w:rsidR="00130459" w:rsidRPr="00C93A4A" w:rsidRDefault="00130459" w:rsidP="00D028E9">
            <w:pPr>
              <w:rPr>
                <w:sz w:val="20"/>
                <w:szCs w:val="20"/>
                <w:lang w:val="en-GB"/>
              </w:rPr>
            </w:pPr>
            <w:r w:rsidRPr="00C93A4A">
              <w:rPr>
                <w:sz w:val="20"/>
                <w:szCs w:val="20"/>
                <w:lang w:val="en-GB"/>
              </w:rPr>
              <w:lastRenderedPageBreak/>
              <w:t>Potential for strong coordination with the EU ERA project, also being implemented by ILO</w:t>
            </w:r>
          </w:p>
          <w:p w14:paraId="005F106E" w14:textId="77777777" w:rsidR="00130459" w:rsidRPr="00C93A4A" w:rsidRDefault="00130459" w:rsidP="00130459">
            <w:pPr>
              <w:rPr>
                <w:sz w:val="20"/>
                <w:szCs w:val="20"/>
                <w:lang w:val="en-GB"/>
              </w:rPr>
            </w:pPr>
            <w:r w:rsidRPr="00C93A4A">
              <w:rPr>
                <w:sz w:val="20"/>
                <w:szCs w:val="20"/>
                <w:lang w:val="en-GB"/>
              </w:rPr>
              <w:t>No hand-over process required</w:t>
            </w:r>
            <w:r w:rsidR="00A51D7C" w:rsidRPr="00C93A4A">
              <w:rPr>
                <w:sz w:val="20"/>
                <w:szCs w:val="20"/>
                <w:lang w:val="en-GB"/>
              </w:rPr>
              <w:t>, minimising risk to program disruption</w:t>
            </w:r>
          </w:p>
          <w:p w14:paraId="5A05F326" w14:textId="4C2C3D53" w:rsidR="00A51D7C" w:rsidRPr="00C93A4A" w:rsidRDefault="00A51D7C" w:rsidP="009B286C">
            <w:pPr>
              <w:rPr>
                <w:sz w:val="20"/>
                <w:szCs w:val="20"/>
                <w:lang w:val="en-GB"/>
              </w:rPr>
            </w:pPr>
            <w:r w:rsidRPr="00C93A4A">
              <w:rPr>
                <w:sz w:val="20"/>
                <w:szCs w:val="20"/>
                <w:lang w:val="en-GB"/>
              </w:rPr>
              <w:t xml:space="preserve">Strong international sectoral experience </w:t>
            </w:r>
            <w:r w:rsidR="009B286C" w:rsidRPr="00C93A4A">
              <w:rPr>
                <w:sz w:val="20"/>
                <w:szCs w:val="20"/>
                <w:lang w:val="en-GB"/>
              </w:rPr>
              <w:t>sh</w:t>
            </w:r>
            <w:r w:rsidRPr="00C93A4A">
              <w:rPr>
                <w:sz w:val="20"/>
                <w:szCs w:val="20"/>
                <w:lang w:val="en-GB"/>
              </w:rPr>
              <w:t xml:space="preserve">ould contribute </w:t>
            </w:r>
            <w:r w:rsidR="009B286C" w:rsidRPr="00C93A4A">
              <w:rPr>
                <w:sz w:val="20"/>
                <w:szCs w:val="20"/>
                <w:lang w:val="en-GB"/>
              </w:rPr>
              <w:t xml:space="preserve">to </w:t>
            </w:r>
            <w:r w:rsidRPr="00C93A4A">
              <w:rPr>
                <w:sz w:val="20"/>
                <w:szCs w:val="20"/>
                <w:lang w:val="en-GB"/>
              </w:rPr>
              <w:t>approaches and program materials</w:t>
            </w:r>
          </w:p>
        </w:tc>
        <w:tc>
          <w:tcPr>
            <w:tcW w:w="4483" w:type="dxa"/>
          </w:tcPr>
          <w:p w14:paraId="314DD292" w14:textId="77777777" w:rsidR="00130459" w:rsidRPr="00C93A4A" w:rsidRDefault="00130459" w:rsidP="00D028E9">
            <w:pPr>
              <w:rPr>
                <w:sz w:val="20"/>
                <w:szCs w:val="20"/>
                <w:lang w:val="en-GB"/>
              </w:rPr>
            </w:pPr>
            <w:r w:rsidRPr="00C93A4A">
              <w:rPr>
                <w:sz w:val="20"/>
                <w:szCs w:val="20"/>
                <w:lang w:val="en-GB"/>
              </w:rPr>
              <w:lastRenderedPageBreak/>
              <w:t>ILO may follow</w:t>
            </w:r>
            <w:r w:rsidR="0076004E" w:rsidRPr="00C93A4A">
              <w:rPr>
                <w:sz w:val="20"/>
                <w:szCs w:val="20"/>
                <w:lang w:val="en-GB"/>
              </w:rPr>
              <w:t xml:space="preserve"> a</w:t>
            </w:r>
            <w:r w:rsidRPr="00C93A4A">
              <w:rPr>
                <w:sz w:val="20"/>
                <w:szCs w:val="20"/>
                <w:lang w:val="en-GB"/>
              </w:rPr>
              <w:t xml:space="preserve"> ‘business-as-usual’ approach and fail to adapt the program to </w:t>
            </w:r>
            <w:r w:rsidR="0076004E" w:rsidRPr="00C93A4A">
              <w:rPr>
                <w:sz w:val="20"/>
                <w:szCs w:val="20"/>
                <w:lang w:val="en-GB"/>
              </w:rPr>
              <w:t xml:space="preserve">the </w:t>
            </w:r>
            <w:r w:rsidRPr="00C93A4A">
              <w:rPr>
                <w:sz w:val="20"/>
                <w:szCs w:val="20"/>
                <w:lang w:val="en-GB"/>
              </w:rPr>
              <w:t>changing context</w:t>
            </w:r>
          </w:p>
          <w:p w14:paraId="11940422" w14:textId="34A0BEF9" w:rsidR="00130459" w:rsidRPr="00C93A4A" w:rsidRDefault="00130459" w:rsidP="00D028E9">
            <w:pPr>
              <w:rPr>
                <w:sz w:val="20"/>
                <w:szCs w:val="20"/>
                <w:lang w:val="en-GB"/>
              </w:rPr>
            </w:pPr>
            <w:r w:rsidRPr="00C93A4A">
              <w:rPr>
                <w:sz w:val="20"/>
                <w:szCs w:val="20"/>
                <w:lang w:val="en-GB"/>
              </w:rPr>
              <w:t xml:space="preserve">Current successful performance of ILO </w:t>
            </w:r>
            <w:r w:rsidR="0076004E" w:rsidRPr="00C93A4A">
              <w:rPr>
                <w:sz w:val="20"/>
                <w:szCs w:val="20"/>
                <w:lang w:val="en-GB"/>
              </w:rPr>
              <w:t xml:space="preserve">is </w:t>
            </w:r>
            <w:r w:rsidRPr="00C93A4A">
              <w:rPr>
                <w:sz w:val="20"/>
                <w:szCs w:val="20"/>
                <w:lang w:val="en-GB"/>
              </w:rPr>
              <w:t xml:space="preserve">heavily dependent on </w:t>
            </w:r>
            <w:r w:rsidR="0076004E" w:rsidRPr="00C93A4A">
              <w:rPr>
                <w:sz w:val="20"/>
                <w:szCs w:val="20"/>
                <w:lang w:val="en-GB"/>
              </w:rPr>
              <w:t xml:space="preserve">the existing </w:t>
            </w:r>
            <w:r w:rsidRPr="00C93A4A">
              <w:rPr>
                <w:sz w:val="20"/>
                <w:szCs w:val="20"/>
                <w:lang w:val="en-GB"/>
              </w:rPr>
              <w:t xml:space="preserve">project team, key </w:t>
            </w:r>
            <w:r w:rsidRPr="00C93A4A">
              <w:rPr>
                <w:sz w:val="20"/>
                <w:szCs w:val="20"/>
                <w:lang w:val="en-GB"/>
              </w:rPr>
              <w:lastRenderedPageBreak/>
              <w:t xml:space="preserve">members of which </w:t>
            </w:r>
            <w:r w:rsidR="009B286C" w:rsidRPr="00C93A4A">
              <w:rPr>
                <w:sz w:val="20"/>
                <w:szCs w:val="20"/>
                <w:lang w:val="en-GB"/>
              </w:rPr>
              <w:t>may</w:t>
            </w:r>
            <w:r w:rsidRPr="00C93A4A">
              <w:rPr>
                <w:sz w:val="20"/>
                <w:szCs w:val="20"/>
                <w:lang w:val="en-GB"/>
              </w:rPr>
              <w:t xml:space="preserve"> need </w:t>
            </w:r>
            <w:r w:rsidR="009B286C" w:rsidRPr="00C93A4A">
              <w:rPr>
                <w:sz w:val="20"/>
                <w:szCs w:val="20"/>
                <w:lang w:val="en-GB"/>
              </w:rPr>
              <w:t xml:space="preserve">to be </w:t>
            </w:r>
            <w:r w:rsidRPr="00C93A4A">
              <w:rPr>
                <w:sz w:val="20"/>
                <w:szCs w:val="20"/>
                <w:lang w:val="en-GB"/>
              </w:rPr>
              <w:t>replac</w:t>
            </w:r>
            <w:r w:rsidR="009B286C" w:rsidRPr="00C93A4A">
              <w:rPr>
                <w:sz w:val="20"/>
                <w:szCs w:val="20"/>
                <w:lang w:val="en-GB"/>
              </w:rPr>
              <w:t>ed</w:t>
            </w:r>
            <w:r w:rsidRPr="00C93A4A">
              <w:rPr>
                <w:sz w:val="20"/>
                <w:szCs w:val="20"/>
                <w:lang w:val="en-GB"/>
              </w:rPr>
              <w:t xml:space="preserve"> prior to a second phase</w:t>
            </w:r>
            <w:r w:rsidR="0076004E" w:rsidRPr="00C93A4A">
              <w:rPr>
                <w:sz w:val="20"/>
                <w:szCs w:val="20"/>
                <w:lang w:val="en-GB"/>
              </w:rPr>
              <w:t xml:space="preserve"> commencing</w:t>
            </w:r>
          </w:p>
          <w:p w14:paraId="766F3EB3" w14:textId="77777777" w:rsidR="00130459" w:rsidRPr="00C93A4A" w:rsidRDefault="00A51D7C" w:rsidP="00D028E9">
            <w:pPr>
              <w:rPr>
                <w:sz w:val="20"/>
                <w:szCs w:val="20"/>
                <w:lang w:val="en-GB"/>
              </w:rPr>
            </w:pPr>
            <w:r w:rsidRPr="00C93A4A">
              <w:rPr>
                <w:sz w:val="20"/>
                <w:szCs w:val="20"/>
                <w:lang w:val="en-GB"/>
              </w:rPr>
              <w:t>Weak provision of corporate support services to the ILO team during the initial phase</w:t>
            </w:r>
          </w:p>
          <w:p w14:paraId="24C55BA1" w14:textId="15CB2D3A" w:rsidR="00A51D7C" w:rsidRPr="00C93A4A" w:rsidRDefault="00A51D7C" w:rsidP="00D028E9">
            <w:pPr>
              <w:rPr>
                <w:sz w:val="20"/>
                <w:szCs w:val="20"/>
                <w:lang w:val="en-GB"/>
              </w:rPr>
            </w:pPr>
            <w:r w:rsidRPr="00C93A4A">
              <w:rPr>
                <w:sz w:val="20"/>
                <w:szCs w:val="20"/>
                <w:lang w:val="en-GB"/>
              </w:rPr>
              <w:t>Slow recruitment processes</w:t>
            </w:r>
            <w:r w:rsidR="009B286C" w:rsidRPr="00C93A4A">
              <w:rPr>
                <w:sz w:val="20"/>
                <w:szCs w:val="20"/>
                <w:lang w:val="en-GB"/>
              </w:rPr>
              <w:t xml:space="preserve"> delay staff replacement</w:t>
            </w:r>
            <w:r w:rsidRPr="00C93A4A">
              <w:rPr>
                <w:sz w:val="20"/>
                <w:szCs w:val="20"/>
                <w:lang w:val="en-GB"/>
              </w:rPr>
              <w:t xml:space="preserve"> </w:t>
            </w:r>
          </w:p>
        </w:tc>
      </w:tr>
    </w:tbl>
    <w:p w14:paraId="6A7D4791" w14:textId="1582FC2C" w:rsidR="00130459" w:rsidRPr="00C93A4A" w:rsidRDefault="00130459" w:rsidP="0048709C">
      <w:pPr>
        <w:spacing w:before="120"/>
        <w:rPr>
          <w:lang w:val="en-GB"/>
        </w:rPr>
      </w:pPr>
      <w:r w:rsidRPr="00C93A4A">
        <w:rPr>
          <w:lang w:val="en-GB"/>
        </w:rPr>
        <w:lastRenderedPageBreak/>
        <w:t xml:space="preserve">On balance, the ICM team </w:t>
      </w:r>
      <w:r w:rsidR="005766E7">
        <w:rPr>
          <w:lang w:val="en-GB"/>
        </w:rPr>
        <w:t>considers</w:t>
      </w:r>
      <w:r w:rsidR="005766E7" w:rsidRPr="00C93A4A">
        <w:rPr>
          <w:lang w:val="en-GB"/>
        </w:rPr>
        <w:t xml:space="preserve"> </w:t>
      </w:r>
      <w:r w:rsidRPr="00C93A4A">
        <w:rPr>
          <w:lang w:val="en-GB"/>
        </w:rPr>
        <w:t>that the advantages of continuing with ILO outweigh the potential disadvantages. A brief analysis of the financial costs of partnering with ILO compared to the use of commercial managing contractors by the Australian aid program (</w:t>
      </w:r>
      <w:r w:rsidR="00743B3F" w:rsidRPr="00C93A4A">
        <w:rPr>
          <w:lang w:val="en-GB"/>
        </w:rPr>
        <w:fldChar w:fldCharType="begin"/>
      </w:r>
      <w:r w:rsidR="006A7140" w:rsidRPr="00C93A4A">
        <w:rPr>
          <w:lang w:val="en-GB"/>
        </w:rPr>
        <w:instrText xml:space="preserve"> REF _Ref424167495 \r \h </w:instrText>
      </w:r>
      <w:r w:rsidR="00743B3F" w:rsidRPr="00C93A4A">
        <w:rPr>
          <w:lang w:val="en-GB"/>
        </w:rPr>
      </w:r>
      <w:r w:rsidR="00743B3F" w:rsidRPr="00C93A4A">
        <w:rPr>
          <w:lang w:val="en-GB"/>
        </w:rPr>
        <w:fldChar w:fldCharType="separate"/>
      </w:r>
      <w:r w:rsidR="00375FF2">
        <w:rPr>
          <w:b/>
          <w:bCs/>
        </w:rPr>
        <w:t>Error! Reference source not found.</w:t>
      </w:r>
      <w:r w:rsidR="00743B3F" w:rsidRPr="00C93A4A">
        <w:rPr>
          <w:lang w:val="en-GB"/>
        </w:rPr>
        <w:fldChar w:fldCharType="end"/>
      </w:r>
      <w:r w:rsidRPr="00C93A4A">
        <w:rPr>
          <w:lang w:val="en-GB"/>
        </w:rPr>
        <w:t xml:space="preserve">) suggests that </w:t>
      </w:r>
      <w:r w:rsidR="009B286C" w:rsidRPr="00C93A4A">
        <w:rPr>
          <w:lang w:val="en-GB"/>
        </w:rPr>
        <w:t xml:space="preserve">on current exchange rates, </w:t>
      </w:r>
      <w:r w:rsidRPr="00C93A4A">
        <w:rPr>
          <w:lang w:val="en-GB"/>
        </w:rPr>
        <w:t xml:space="preserve">the cost of using ILO would be </w:t>
      </w:r>
      <w:r w:rsidR="009B286C" w:rsidRPr="00C93A4A">
        <w:rPr>
          <w:lang w:val="en-GB"/>
        </w:rPr>
        <w:t>slightly</w:t>
      </w:r>
      <w:r w:rsidRPr="00C93A4A">
        <w:rPr>
          <w:lang w:val="en-GB"/>
        </w:rPr>
        <w:t xml:space="preserve"> greater than using a commercial contractor. </w:t>
      </w:r>
      <w:r w:rsidR="008C394C" w:rsidRPr="00C93A4A">
        <w:rPr>
          <w:lang w:val="en-GB"/>
        </w:rPr>
        <w:t>Considering the additional costs of preparing and managing a tender process</w:t>
      </w:r>
      <w:r w:rsidR="00A72542" w:rsidRPr="00C93A4A">
        <w:rPr>
          <w:lang w:val="en-GB"/>
        </w:rPr>
        <w:t xml:space="preserve">, </w:t>
      </w:r>
      <w:r w:rsidR="008C394C" w:rsidRPr="00C93A4A">
        <w:rPr>
          <w:lang w:val="en-GB"/>
        </w:rPr>
        <w:t>the resource constraints faced by DFAT</w:t>
      </w:r>
      <w:r w:rsidR="00A72542" w:rsidRPr="00C93A4A">
        <w:rPr>
          <w:lang w:val="en-GB"/>
        </w:rPr>
        <w:t xml:space="preserve">, and the significant risk of losing existing relationships and context knowledge, </w:t>
      </w:r>
      <w:r w:rsidR="008C394C" w:rsidRPr="00C93A4A">
        <w:rPr>
          <w:lang w:val="en-GB"/>
        </w:rPr>
        <w:t>the ICM recommends</w:t>
      </w:r>
      <w:r w:rsidRPr="00C93A4A">
        <w:rPr>
          <w:lang w:val="en-GB"/>
        </w:rPr>
        <w:t xml:space="preserve"> that</w:t>
      </w:r>
      <w:r w:rsidR="008C394C" w:rsidRPr="00C93A4A">
        <w:rPr>
          <w:lang w:val="en-GB"/>
        </w:rPr>
        <w:t xml:space="preserve"> DFAT consider negotiating a new contract with ILO for a second phase.</w:t>
      </w:r>
      <w:r w:rsidRPr="00C93A4A">
        <w:rPr>
          <w:lang w:val="en-GB"/>
        </w:rPr>
        <w:t xml:space="preserve"> </w:t>
      </w:r>
    </w:p>
    <w:p w14:paraId="632F8221" w14:textId="77777777" w:rsidR="00D028E9" w:rsidRPr="00C93A4A" w:rsidRDefault="00130459" w:rsidP="00D028E9">
      <w:pPr>
        <w:rPr>
          <w:lang w:val="en-GB"/>
        </w:rPr>
      </w:pPr>
      <w:r w:rsidRPr="00C93A4A">
        <w:rPr>
          <w:lang w:val="en-GB"/>
        </w:rPr>
        <w:t xml:space="preserve">A delivery agreement with ILO would need to provide flexibility regarding the extent and composition of the technical advisory team. </w:t>
      </w:r>
      <w:r w:rsidR="00D028E9" w:rsidRPr="00C93A4A">
        <w:rPr>
          <w:lang w:val="en-GB"/>
        </w:rPr>
        <w:t xml:space="preserve">Whether R4D continues to work across the whole country or is scaled back to a </w:t>
      </w:r>
      <w:r w:rsidRPr="00C93A4A">
        <w:rPr>
          <w:lang w:val="en-GB"/>
        </w:rPr>
        <w:t>limited</w:t>
      </w:r>
      <w:r w:rsidR="00D028E9" w:rsidRPr="00C93A4A">
        <w:rPr>
          <w:lang w:val="en-GB"/>
        </w:rPr>
        <w:t xml:space="preserve"> number of municipalities will depend on how much funding is made available </w:t>
      </w:r>
      <w:r w:rsidRPr="00C93A4A">
        <w:rPr>
          <w:lang w:val="en-GB"/>
        </w:rPr>
        <w:t>by</w:t>
      </w:r>
      <w:r w:rsidR="00D028E9" w:rsidRPr="00C93A4A">
        <w:rPr>
          <w:lang w:val="en-GB"/>
        </w:rPr>
        <w:t xml:space="preserve"> GoA and GoTL.</w:t>
      </w:r>
    </w:p>
    <w:p w14:paraId="30A020E1" w14:textId="77777777" w:rsidR="000D08D4" w:rsidRPr="00C93A4A" w:rsidRDefault="000D08D4" w:rsidP="000D08D4">
      <w:pPr>
        <w:pStyle w:val="Heading1"/>
      </w:pPr>
      <w:bookmarkStart w:id="5" w:name="_Toc424633118"/>
      <w:r w:rsidRPr="00C93A4A">
        <w:t>Risk assessment approach (What might go wrong?)</w:t>
      </w:r>
      <w:bookmarkEnd w:id="5"/>
    </w:p>
    <w:p w14:paraId="0A1A1901" w14:textId="34A548E5" w:rsidR="003A3441" w:rsidRPr="00C93A4A" w:rsidRDefault="003A3441" w:rsidP="000D08D4">
      <w:pPr>
        <w:rPr>
          <w:szCs w:val="20"/>
          <w:lang w:val="en-GB"/>
        </w:rPr>
      </w:pPr>
      <w:r w:rsidRPr="00C93A4A">
        <w:rPr>
          <w:szCs w:val="20"/>
          <w:lang w:val="en-GB"/>
        </w:rPr>
        <w:t>Experiences from the initial phase of R4D provide a practical basis for analysing the significant risks that need to be managed and the adequacy of the mitigation strategies previously proposed. DFAT’s risk assessment tool has been completed (</w:t>
      </w:r>
      <w:r w:rsidR="00743B3F" w:rsidRPr="00C93A4A">
        <w:rPr>
          <w:szCs w:val="20"/>
          <w:lang w:val="en-GB"/>
        </w:rPr>
        <w:fldChar w:fldCharType="begin"/>
      </w:r>
      <w:r w:rsidR="006A7140" w:rsidRPr="00C93A4A">
        <w:rPr>
          <w:szCs w:val="20"/>
          <w:lang w:val="en-GB"/>
        </w:rPr>
        <w:instrText xml:space="preserve"> REF _Ref424167511 \r \h </w:instrText>
      </w:r>
      <w:r w:rsidR="00743B3F" w:rsidRPr="00C93A4A">
        <w:rPr>
          <w:szCs w:val="20"/>
          <w:lang w:val="en-GB"/>
        </w:rPr>
      </w:r>
      <w:r w:rsidR="00743B3F" w:rsidRPr="00C93A4A">
        <w:rPr>
          <w:szCs w:val="20"/>
          <w:lang w:val="en-GB"/>
        </w:rPr>
        <w:fldChar w:fldCharType="separate"/>
      </w:r>
      <w:r w:rsidR="00375FF2">
        <w:rPr>
          <w:b/>
          <w:bCs/>
          <w:szCs w:val="20"/>
        </w:rPr>
        <w:t>Error! Reference source not found.</w:t>
      </w:r>
      <w:r w:rsidR="00743B3F" w:rsidRPr="00C93A4A">
        <w:rPr>
          <w:szCs w:val="20"/>
          <w:lang w:val="en-GB"/>
        </w:rPr>
        <w:fldChar w:fldCharType="end"/>
      </w:r>
      <w:r w:rsidRPr="00C93A4A">
        <w:rPr>
          <w:szCs w:val="20"/>
          <w:lang w:val="en-GB"/>
        </w:rPr>
        <w:t xml:space="preserve">). Principal risks </w:t>
      </w:r>
      <w:r w:rsidR="008775B4" w:rsidRPr="00C93A4A">
        <w:rPr>
          <w:szCs w:val="20"/>
          <w:lang w:val="en-GB"/>
        </w:rPr>
        <w:t>identified during the ICM include</w:t>
      </w:r>
      <w:r w:rsidRPr="00C93A4A">
        <w:rPr>
          <w:szCs w:val="20"/>
          <w:lang w:val="en-GB"/>
        </w:rPr>
        <w:t xml:space="preserve">: </w:t>
      </w:r>
    </w:p>
    <w:p w14:paraId="263DF6DC" w14:textId="77B7EB31" w:rsidR="003A3441" w:rsidRPr="00C93A4A" w:rsidRDefault="008775B4" w:rsidP="003A3441">
      <w:pPr>
        <w:pStyle w:val="ListParagraph"/>
        <w:numPr>
          <w:ilvl w:val="0"/>
          <w:numId w:val="28"/>
        </w:numPr>
        <w:rPr>
          <w:szCs w:val="20"/>
          <w:lang w:val="en-GB"/>
        </w:rPr>
      </w:pPr>
      <w:r w:rsidRPr="00C93A4A">
        <w:rPr>
          <w:szCs w:val="20"/>
          <w:lang w:val="en-GB"/>
        </w:rPr>
        <w:t xml:space="preserve">GoTL </w:t>
      </w:r>
      <w:r w:rsidR="00F22678" w:rsidRPr="00C93A4A">
        <w:rPr>
          <w:szCs w:val="20"/>
          <w:lang w:val="en-GB"/>
        </w:rPr>
        <w:t>does not prioritise rural roads</w:t>
      </w:r>
      <w:r w:rsidRPr="00C93A4A">
        <w:rPr>
          <w:szCs w:val="20"/>
          <w:lang w:val="en-GB"/>
        </w:rPr>
        <w:t xml:space="preserve">, reflected </w:t>
      </w:r>
      <w:r w:rsidR="0048709C" w:rsidRPr="00C93A4A">
        <w:rPr>
          <w:szCs w:val="20"/>
          <w:lang w:val="en-GB"/>
        </w:rPr>
        <w:t>by</w:t>
      </w:r>
      <w:r w:rsidRPr="00C93A4A">
        <w:rPr>
          <w:szCs w:val="20"/>
          <w:lang w:val="en-GB"/>
        </w:rPr>
        <w:t xml:space="preserve"> </w:t>
      </w:r>
      <w:r w:rsidR="00F22678" w:rsidRPr="00C93A4A">
        <w:rPr>
          <w:szCs w:val="20"/>
          <w:lang w:val="en-GB"/>
        </w:rPr>
        <w:t>low</w:t>
      </w:r>
      <w:r w:rsidRPr="00C93A4A">
        <w:rPr>
          <w:szCs w:val="20"/>
          <w:lang w:val="en-GB"/>
        </w:rPr>
        <w:t xml:space="preserve"> organisational</w:t>
      </w:r>
      <w:r w:rsidR="00F22678" w:rsidRPr="00C93A4A">
        <w:rPr>
          <w:szCs w:val="20"/>
          <w:lang w:val="en-GB"/>
        </w:rPr>
        <w:t xml:space="preserve"> commitment and insufficient </w:t>
      </w:r>
      <w:r w:rsidR="00EA5ED3" w:rsidRPr="00C93A4A">
        <w:rPr>
          <w:szCs w:val="20"/>
          <w:lang w:val="en-GB"/>
        </w:rPr>
        <w:t xml:space="preserve">allocation of funds </w:t>
      </w:r>
      <w:r w:rsidR="008C394C" w:rsidRPr="00C93A4A">
        <w:rPr>
          <w:szCs w:val="20"/>
          <w:lang w:val="en-GB"/>
        </w:rPr>
        <w:t xml:space="preserve">to MPW </w:t>
      </w:r>
      <w:r w:rsidR="00EA5ED3" w:rsidRPr="00C93A4A">
        <w:rPr>
          <w:szCs w:val="20"/>
          <w:lang w:val="en-GB"/>
        </w:rPr>
        <w:t>for rehabilitation, maintenance and operation</w:t>
      </w:r>
      <w:r w:rsidR="008C394C" w:rsidRPr="00C93A4A">
        <w:rPr>
          <w:szCs w:val="20"/>
          <w:lang w:val="en-GB"/>
        </w:rPr>
        <w:t>s</w:t>
      </w:r>
      <w:r w:rsidR="00EA5ED3" w:rsidRPr="00C93A4A">
        <w:rPr>
          <w:szCs w:val="20"/>
          <w:lang w:val="en-GB"/>
        </w:rPr>
        <w:t>.</w:t>
      </w:r>
    </w:p>
    <w:p w14:paraId="323411F1" w14:textId="77777777" w:rsidR="00C836BF" w:rsidRPr="00C93A4A" w:rsidRDefault="00C836BF" w:rsidP="003A3441">
      <w:pPr>
        <w:pStyle w:val="ListParagraph"/>
        <w:numPr>
          <w:ilvl w:val="0"/>
          <w:numId w:val="28"/>
        </w:numPr>
        <w:rPr>
          <w:szCs w:val="20"/>
          <w:lang w:val="en-GB"/>
        </w:rPr>
      </w:pPr>
      <w:r w:rsidRPr="00C93A4A">
        <w:rPr>
          <w:szCs w:val="20"/>
          <w:lang w:val="en-GB"/>
        </w:rPr>
        <w:t xml:space="preserve">Elections in Timor-Leste in 2017 result in a change </w:t>
      </w:r>
      <w:r w:rsidR="0048709C" w:rsidRPr="00C93A4A">
        <w:rPr>
          <w:szCs w:val="20"/>
          <w:lang w:val="en-GB"/>
        </w:rPr>
        <w:t>in</w:t>
      </w:r>
      <w:r w:rsidRPr="00C93A4A">
        <w:rPr>
          <w:szCs w:val="20"/>
          <w:lang w:val="en-GB"/>
        </w:rPr>
        <w:t xml:space="preserve"> government priorities that shifts resources away from rural roads.</w:t>
      </w:r>
    </w:p>
    <w:p w14:paraId="12A110FD" w14:textId="77777777" w:rsidR="003A3441" w:rsidRPr="00C93A4A" w:rsidRDefault="00C836BF" w:rsidP="003A3441">
      <w:pPr>
        <w:pStyle w:val="ListParagraph"/>
        <w:numPr>
          <w:ilvl w:val="0"/>
          <w:numId w:val="28"/>
        </w:numPr>
        <w:rPr>
          <w:szCs w:val="20"/>
          <w:lang w:val="en-GB"/>
        </w:rPr>
      </w:pPr>
      <w:r w:rsidRPr="00C93A4A">
        <w:rPr>
          <w:szCs w:val="20"/>
          <w:lang w:val="en-GB"/>
        </w:rPr>
        <w:t>Delayed payment of roads contractors caused by problems within the GoTL procurement system discourages private sector involvement.</w:t>
      </w:r>
    </w:p>
    <w:p w14:paraId="4815637F" w14:textId="32E6E45D" w:rsidR="003A3441" w:rsidRPr="00C93A4A" w:rsidRDefault="008775B4" w:rsidP="000D08D4">
      <w:pPr>
        <w:rPr>
          <w:szCs w:val="20"/>
          <w:lang w:val="en-GB"/>
        </w:rPr>
      </w:pPr>
      <w:r w:rsidRPr="00C93A4A">
        <w:rPr>
          <w:szCs w:val="20"/>
          <w:lang w:val="en-GB"/>
        </w:rPr>
        <w:t>A</w:t>
      </w:r>
      <w:r w:rsidR="003A3441" w:rsidRPr="00C93A4A">
        <w:rPr>
          <w:szCs w:val="20"/>
          <w:lang w:val="en-GB"/>
        </w:rPr>
        <w:t xml:space="preserve">s part of a design </w:t>
      </w:r>
      <w:r w:rsidRPr="00C93A4A">
        <w:rPr>
          <w:szCs w:val="20"/>
          <w:lang w:val="en-GB"/>
        </w:rPr>
        <w:t xml:space="preserve">update </w:t>
      </w:r>
      <w:r w:rsidR="003A3441" w:rsidRPr="00C93A4A">
        <w:rPr>
          <w:szCs w:val="20"/>
          <w:lang w:val="en-GB"/>
        </w:rPr>
        <w:t xml:space="preserve">process for </w:t>
      </w:r>
      <w:r w:rsidRPr="00C93A4A">
        <w:rPr>
          <w:szCs w:val="20"/>
          <w:lang w:val="en-GB"/>
        </w:rPr>
        <w:t>a</w:t>
      </w:r>
      <w:r w:rsidR="003A3441" w:rsidRPr="00C93A4A">
        <w:rPr>
          <w:szCs w:val="20"/>
          <w:lang w:val="en-GB"/>
        </w:rPr>
        <w:t xml:space="preserve"> second phase</w:t>
      </w:r>
      <w:r w:rsidR="0048709C" w:rsidRPr="00C93A4A">
        <w:rPr>
          <w:szCs w:val="20"/>
          <w:lang w:val="en-GB"/>
        </w:rPr>
        <w:t>,</w:t>
      </w:r>
      <w:r w:rsidRPr="00C93A4A">
        <w:rPr>
          <w:szCs w:val="20"/>
          <w:lang w:val="en-GB"/>
        </w:rPr>
        <w:t xml:space="preserve"> the ICM team suggest that </w:t>
      </w:r>
      <w:r w:rsidR="003A3441" w:rsidRPr="00C93A4A">
        <w:rPr>
          <w:szCs w:val="20"/>
          <w:lang w:val="en-GB"/>
        </w:rPr>
        <w:t xml:space="preserve">a detailed review </w:t>
      </w:r>
      <w:r w:rsidRPr="00C93A4A">
        <w:rPr>
          <w:szCs w:val="20"/>
          <w:lang w:val="en-GB"/>
        </w:rPr>
        <w:t xml:space="preserve">is completed </w:t>
      </w:r>
      <w:r w:rsidR="003A3441" w:rsidRPr="00C93A4A">
        <w:rPr>
          <w:szCs w:val="20"/>
          <w:lang w:val="en-GB"/>
        </w:rPr>
        <w:t>of risks</w:t>
      </w:r>
      <w:r w:rsidRPr="00C93A4A">
        <w:rPr>
          <w:szCs w:val="20"/>
          <w:lang w:val="en-GB"/>
        </w:rPr>
        <w:t xml:space="preserve"> from the first phase</w:t>
      </w:r>
      <w:r w:rsidR="003A3441" w:rsidRPr="00C93A4A">
        <w:rPr>
          <w:szCs w:val="20"/>
          <w:lang w:val="en-GB"/>
        </w:rPr>
        <w:t xml:space="preserve">—both envisaged and those that emerged—and the efficacy of the mitigation measures. This </w:t>
      </w:r>
      <w:r w:rsidRPr="00C93A4A">
        <w:rPr>
          <w:szCs w:val="20"/>
          <w:lang w:val="en-GB"/>
        </w:rPr>
        <w:t xml:space="preserve">should form the basis of a tailored </w:t>
      </w:r>
      <w:r w:rsidR="003A3441" w:rsidRPr="00C93A4A">
        <w:rPr>
          <w:szCs w:val="20"/>
          <w:lang w:val="en-GB"/>
        </w:rPr>
        <w:t xml:space="preserve">risk management strategy </w:t>
      </w:r>
      <w:r w:rsidRPr="00C93A4A">
        <w:rPr>
          <w:szCs w:val="20"/>
          <w:lang w:val="en-GB"/>
        </w:rPr>
        <w:t>for</w:t>
      </w:r>
      <w:r w:rsidR="003A3441" w:rsidRPr="00C93A4A">
        <w:rPr>
          <w:szCs w:val="20"/>
          <w:lang w:val="en-GB"/>
        </w:rPr>
        <w:t xml:space="preserve"> the second phase. </w:t>
      </w:r>
      <w:r w:rsidR="00224673" w:rsidRPr="00C93A4A">
        <w:rPr>
          <w:szCs w:val="20"/>
          <w:lang w:val="en-GB"/>
        </w:rPr>
        <w:t>In particular, this should consider DFAT’s capacity to influence policy dialogue and secure senior GoTL commitment to the program. These were critical risk mitigation measures in the first phase</w:t>
      </w:r>
      <w:r w:rsidR="00D05339" w:rsidRPr="00C93A4A">
        <w:rPr>
          <w:szCs w:val="20"/>
          <w:lang w:val="en-GB"/>
        </w:rPr>
        <w:t xml:space="preserve"> that</w:t>
      </w:r>
      <w:r w:rsidR="00224673" w:rsidRPr="00C93A4A">
        <w:rPr>
          <w:szCs w:val="20"/>
          <w:lang w:val="en-GB"/>
        </w:rPr>
        <w:t xml:space="preserve"> proved largely ineffectual.</w:t>
      </w:r>
    </w:p>
    <w:p w14:paraId="7796D1B4" w14:textId="053A5C33" w:rsidR="000C6219" w:rsidRPr="00C93A4A" w:rsidRDefault="000C6219" w:rsidP="000D08D4">
      <w:pPr>
        <w:rPr>
          <w:szCs w:val="20"/>
          <w:lang w:val="en-GB"/>
        </w:rPr>
      </w:pPr>
      <w:r w:rsidRPr="00C93A4A">
        <w:rPr>
          <w:lang w:val="en-GB"/>
        </w:rPr>
        <w:t xml:space="preserve">Safeguard issues, including child protection and environmental protection, appear to be well handled in the current program. Of note, R4D is perhaps the only roads project that secures environmental licences for all its activities. The Safeguards Screening Checklist is attached </w:t>
      </w:r>
      <w:r w:rsidR="001D472A" w:rsidRPr="00C93A4A">
        <w:rPr>
          <w:lang w:val="en-GB"/>
        </w:rPr>
        <w:t xml:space="preserve">as </w:t>
      </w:r>
      <w:r w:rsidR="00743B3F" w:rsidRPr="00C93A4A">
        <w:rPr>
          <w:lang w:val="en-GB"/>
        </w:rPr>
        <w:fldChar w:fldCharType="begin"/>
      </w:r>
      <w:r w:rsidR="006A7140" w:rsidRPr="00C93A4A">
        <w:rPr>
          <w:lang w:val="en-GB"/>
        </w:rPr>
        <w:instrText xml:space="preserve"> REF _Ref424167521 \r \h </w:instrText>
      </w:r>
      <w:r w:rsidR="00743B3F" w:rsidRPr="00C93A4A">
        <w:rPr>
          <w:lang w:val="en-GB"/>
        </w:rPr>
      </w:r>
      <w:r w:rsidR="00743B3F" w:rsidRPr="00C93A4A">
        <w:rPr>
          <w:lang w:val="en-GB"/>
        </w:rPr>
        <w:fldChar w:fldCharType="separate"/>
      </w:r>
      <w:r w:rsidR="00375FF2">
        <w:rPr>
          <w:b/>
          <w:bCs/>
        </w:rPr>
        <w:t>Error! Reference source not found.</w:t>
      </w:r>
      <w:r w:rsidR="00743B3F" w:rsidRPr="00C93A4A">
        <w:rPr>
          <w:lang w:val="en-GB"/>
        </w:rPr>
        <w:fldChar w:fldCharType="end"/>
      </w:r>
      <w:r w:rsidR="006A7140" w:rsidRPr="00C93A4A">
        <w:rPr>
          <w:lang w:val="en-GB"/>
        </w:rPr>
        <w:t>.</w:t>
      </w:r>
    </w:p>
    <w:p w14:paraId="6FF7ED09" w14:textId="77777777" w:rsidR="000D08D4" w:rsidRPr="00C93A4A" w:rsidRDefault="000D08D4" w:rsidP="000D08D4">
      <w:pPr>
        <w:pStyle w:val="Heading1"/>
      </w:pPr>
      <w:bookmarkStart w:id="6" w:name="_Toc424633119"/>
      <w:r w:rsidRPr="00C93A4A">
        <w:lastRenderedPageBreak/>
        <w:t>Proposed design and quality assurance process (What are the next steps?)</w:t>
      </w:r>
      <w:bookmarkEnd w:id="6"/>
    </w:p>
    <w:p w14:paraId="736AD693" w14:textId="46F1FADA" w:rsidR="00315D76" w:rsidRPr="00C93A4A" w:rsidRDefault="0004372E" w:rsidP="007660A2">
      <w:pPr>
        <w:rPr>
          <w:lang w:val="en-GB"/>
        </w:rPr>
      </w:pPr>
      <w:r w:rsidRPr="00C93A4A">
        <w:rPr>
          <w:rStyle w:val="Strong"/>
          <w:lang w:val="en-GB"/>
        </w:rPr>
        <w:t>Design update.</w:t>
      </w:r>
      <w:r w:rsidRPr="00C93A4A">
        <w:rPr>
          <w:lang w:val="en-GB"/>
        </w:rPr>
        <w:t xml:space="preserve"> </w:t>
      </w:r>
      <w:r w:rsidR="00752501" w:rsidRPr="00C93A4A">
        <w:rPr>
          <w:lang w:val="en-GB"/>
        </w:rPr>
        <w:t>As noted above, the existing R4D program remains relevant to the priorities and context in Timor-Leste and provides the basis for a second phase. Rather than a full re-design, the ICM team recommends that a design update is undertaken.</w:t>
      </w:r>
      <w:r w:rsidR="00C836BF" w:rsidRPr="00C93A4A">
        <w:rPr>
          <w:lang w:val="en-GB"/>
        </w:rPr>
        <w:t xml:space="preserve"> The main shifts proposed for a second phase are described in Section C (and discussed further in</w:t>
      </w:r>
      <w:r w:rsidR="00D36DA6">
        <w:rPr>
          <w:lang w:val="en-GB"/>
        </w:rPr>
        <w:t xml:space="preserve"> Annex 5</w:t>
      </w:r>
      <w:r w:rsidR="00C836BF" w:rsidRPr="00C93A4A">
        <w:rPr>
          <w:lang w:val="en-GB"/>
        </w:rPr>
        <w:t>).</w:t>
      </w:r>
      <w:r w:rsidR="00752501" w:rsidRPr="00C93A4A">
        <w:rPr>
          <w:lang w:val="en-GB"/>
        </w:rPr>
        <w:t xml:space="preserve"> </w:t>
      </w:r>
      <w:r w:rsidR="00C836BF" w:rsidRPr="00C93A4A">
        <w:rPr>
          <w:lang w:val="en-GB"/>
        </w:rPr>
        <w:t xml:space="preserve">Given that R4D is to be extended until December 2016, there is adequate time to complete the design update prior to a second phase commencing in 2017. </w:t>
      </w:r>
    </w:p>
    <w:p w14:paraId="02EAEF3C" w14:textId="58EF2133" w:rsidR="00315D76" w:rsidRPr="00C93A4A" w:rsidRDefault="0076004E" w:rsidP="007660A2">
      <w:pPr>
        <w:rPr>
          <w:lang w:val="en-GB"/>
        </w:rPr>
      </w:pPr>
      <w:r w:rsidRPr="00C93A4A">
        <w:rPr>
          <w:lang w:val="en-GB"/>
        </w:rPr>
        <w:t xml:space="preserve">It is recommended that </w:t>
      </w:r>
      <w:r w:rsidR="00C97407" w:rsidRPr="00C93A4A">
        <w:rPr>
          <w:lang w:val="en-GB"/>
        </w:rPr>
        <w:t xml:space="preserve">the </w:t>
      </w:r>
      <w:r w:rsidRPr="00C93A4A">
        <w:rPr>
          <w:lang w:val="en-GB"/>
        </w:rPr>
        <w:t>existing ILO</w:t>
      </w:r>
      <w:r w:rsidR="00ED3ED8">
        <w:rPr>
          <w:lang w:val="en-GB"/>
        </w:rPr>
        <w:t xml:space="preserve"> R4D </w:t>
      </w:r>
      <w:r w:rsidRPr="00C93A4A">
        <w:rPr>
          <w:lang w:val="en-GB"/>
        </w:rPr>
        <w:t>team are engaged to revise the PDD</w:t>
      </w:r>
      <w:r w:rsidR="00C97407" w:rsidRPr="00C93A4A">
        <w:rPr>
          <w:lang w:val="en-GB"/>
        </w:rPr>
        <w:t>,</w:t>
      </w:r>
      <w:r w:rsidRPr="00C93A4A">
        <w:rPr>
          <w:lang w:val="en-GB"/>
        </w:rPr>
        <w:t xml:space="preserve"> supported by independent </w:t>
      </w:r>
      <w:r w:rsidR="00C97407" w:rsidRPr="00C93A4A">
        <w:rPr>
          <w:lang w:val="en-GB"/>
        </w:rPr>
        <w:t xml:space="preserve">GoA-appointed </w:t>
      </w:r>
      <w:r w:rsidRPr="00C93A4A">
        <w:rPr>
          <w:lang w:val="en-GB"/>
        </w:rPr>
        <w:t xml:space="preserve">technical experts. To build stronger GoTL ownership of the next phase, GoTL stakeholders—particularly from MPW and </w:t>
      </w:r>
      <w:r w:rsidR="00D9153D" w:rsidRPr="00C93A4A">
        <w:rPr>
          <w:lang w:val="en-GB"/>
        </w:rPr>
        <w:t>DRBF</w:t>
      </w:r>
      <w:r w:rsidR="00F839DE">
        <w:rPr>
          <w:lang w:val="en-GB"/>
        </w:rPr>
        <w:t>C</w:t>
      </w:r>
      <w:r w:rsidRPr="00C93A4A">
        <w:rPr>
          <w:lang w:val="en-GB"/>
        </w:rPr>
        <w:t xml:space="preserve">—must play a strong role in the design update process. This should include activities specifically designed to </w:t>
      </w:r>
      <w:r w:rsidR="00C97753" w:rsidRPr="00C93A4A">
        <w:rPr>
          <w:lang w:val="en-GB"/>
        </w:rPr>
        <w:t>secure</w:t>
      </w:r>
      <w:r w:rsidR="00C97407" w:rsidRPr="00C93A4A">
        <w:rPr>
          <w:lang w:val="en-GB"/>
        </w:rPr>
        <w:t xml:space="preserve"> GoTL commitment to funding road works</w:t>
      </w:r>
      <w:r w:rsidR="001B2D93" w:rsidRPr="00C93A4A">
        <w:rPr>
          <w:lang w:val="en-GB"/>
        </w:rPr>
        <w:t>, and engaging meaningfully in capacity development investments</w:t>
      </w:r>
      <w:r w:rsidRPr="00C93A4A">
        <w:rPr>
          <w:lang w:val="en-GB"/>
        </w:rPr>
        <w:t xml:space="preserve">. </w:t>
      </w:r>
    </w:p>
    <w:p w14:paraId="154D5BD9" w14:textId="6ABCF4CC" w:rsidR="00752501" w:rsidRPr="00C93A4A" w:rsidRDefault="00C97407" w:rsidP="007660A2">
      <w:pPr>
        <w:rPr>
          <w:lang w:val="en-GB"/>
        </w:rPr>
      </w:pPr>
      <w:r w:rsidRPr="00C93A4A">
        <w:rPr>
          <w:lang w:val="en-GB"/>
        </w:rPr>
        <w:t xml:space="preserve">Key steps in </w:t>
      </w:r>
      <w:r w:rsidR="001B2D93" w:rsidRPr="00C93A4A">
        <w:rPr>
          <w:lang w:val="en-GB"/>
        </w:rPr>
        <w:t xml:space="preserve">preparing for a second phase </w:t>
      </w:r>
      <w:r w:rsidRPr="00C93A4A">
        <w:rPr>
          <w:lang w:val="en-GB"/>
        </w:rPr>
        <w:t xml:space="preserve">may include: i) </w:t>
      </w:r>
      <w:r w:rsidR="00475E9F" w:rsidRPr="00C93A4A">
        <w:rPr>
          <w:lang w:val="en-GB"/>
        </w:rPr>
        <w:t>a process of high-level engagement between the bilateral partners to reach agreement on the nature and extent of GoTL investment in a second phase</w:t>
      </w:r>
      <w:r w:rsidR="00475E9F">
        <w:rPr>
          <w:lang w:val="en-GB"/>
        </w:rPr>
        <w:t xml:space="preserve"> </w:t>
      </w:r>
      <w:r w:rsidR="00475E9F" w:rsidRPr="00C93A4A">
        <w:rPr>
          <w:lang w:val="en-GB"/>
        </w:rPr>
        <w:t>(by December 2015)</w:t>
      </w:r>
      <w:r w:rsidR="00475E9F">
        <w:rPr>
          <w:lang w:val="en-GB"/>
        </w:rPr>
        <w:t>;</w:t>
      </w:r>
      <w:r w:rsidR="00475E9F" w:rsidRPr="00C93A4A">
        <w:rPr>
          <w:lang w:val="en-GB"/>
        </w:rPr>
        <w:t xml:space="preserve"> ii) </w:t>
      </w:r>
      <w:r w:rsidR="001B3B77">
        <w:rPr>
          <w:lang w:val="en-GB"/>
        </w:rPr>
        <w:t xml:space="preserve">meetings with EU to coordinate the design processes for R4D and ERA (timed to fit with the ERA design timetable); iii) </w:t>
      </w:r>
      <w:r w:rsidRPr="00C93A4A">
        <w:rPr>
          <w:lang w:val="en-GB"/>
        </w:rPr>
        <w:t>a multi-stakeholder workshop to specify the key amendments to the original design</w:t>
      </w:r>
      <w:r w:rsidR="001B2D93" w:rsidRPr="00C93A4A">
        <w:rPr>
          <w:lang w:val="en-GB"/>
        </w:rPr>
        <w:t xml:space="preserve"> informed by </w:t>
      </w:r>
      <w:r w:rsidR="00C97753" w:rsidRPr="00C93A4A">
        <w:rPr>
          <w:lang w:val="en-GB"/>
        </w:rPr>
        <w:t xml:space="preserve">Phase 1 </w:t>
      </w:r>
      <w:r w:rsidR="001B2D93" w:rsidRPr="00C93A4A">
        <w:rPr>
          <w:lang w:val="en-GB"/>
        </w:rPr>
        <w:t>risks/challenges and achievements</w:t>
      </w:r>
      <w:r w:rsidR="00C97753" w:rsidRPr="00C93A4A">
        <w:rPr>
          <w:lang w:val="en-GB"/>
        </w:rPr>
        <w:t xml:space="preserve"> (by March 2016)</w:t>
      </w:r>
      <w:r w:rsidR="001B2D93" w:rsidRPr="00C93A4A">
        <w:rPr>
          <w:lang w:val="en-GB"/>
        </w:rPr>
        <w:t>; i</w:t>
      </w:r>
      <w:r w:rsidR="001B3B77">
        <w:rPr>
          <w:lang w:val="en-GB"/>
        </w:rPr>
        <w:t>v</w:t>
      </w:r>
      <w:r w:rsidR="001B2D93" w:rsidRPr="00C93A4A">
        <w:rPr>
          <w:lang w:val="en-GB"/>
        </w:rPr>
        <w:t xml:space="preserve">) drafting and peer review of </w:t>
      </w:r>
      <w:r w:rsidR="00C97753" w:rsidRPr="00C93A4A">
        <w:rPr>
          <w:lang w:val="en-GB"/>
        </w:rPr>
        <w:t xml:space="preserve">the </w:t>
      </w:r>
      <w:r w:rsidR="001B2D93" w:rsidRPr="00C93A4A">
        <w:rPr>
          <w:lang w:val="en-GB"/>
        </w:rPr>
        <w:t xml:space="preserve">design update document </w:t>
      </w:r>
      <w:r w:rsidR="00C97753" w:rsidRPr="00C93A4A">
        <w:rPr>
          <w:lang w:val="en-GB"/>
        </w:rPr>
        <w:t xml:space="preserve">(including M&amp;E plan) </w:t>
      </w:r>
      <w:r w:rsidR="001B2D93" w:rsidRPr="00C93A4A">
        <w:rPr>
          <w:lang w:val="en-GB"/>
        </w:rPr>
        <w:t>and amended scope of services</w:t>
      </w:r>
      <w:r w:rsidR="00C97753" w:rsidRPr="00C93A4A">
        <w:rPr>
          <w:lang w:val="en-GB"/>
        </w:rPr>
        <w:t xml:space="preserve"> (by June 2016); v) approval and finalisation of contracts (by September 201</w:t>
      </w:r>
      <w:r w:rsidR="00315D76" w:rsidRPr="00C93A4A">
        <w:rPr>
          <w:lang w:val="en-GB"/>
        </w:rPr>
        <w:t>6</w:t>
      </w:r>
      <w:r w:rsidR="00C97753" w:rsidRPr="00C93A4A">
        <w:rPr>
          <w:lang w:val="en-GB"/>
        </w:rPr>
        <w:t>); v</w:t>
      </w:r>
      <w:r w:rsidR="001B3B77">
        <w:rPr>
          <w:lang w:val="en-GB"/>
        </w:rPr>
        <w:t>i</w:t>
      </w:r>
      <w:r w:rsidR="00C97753" w:rsidRPr="00C93A4A">
        <w:rPr>
          <w:lang w:val="en-GB"/>
        </w:rPr>
        <w:t>) mobilisation of the Phase 2 team (by October 2016).</w:t>
      </w:r>
      <w:r w:rsidR="00475E9F">
        <w:rPr>
          <w:lang w:val="en-GB"/>
        </w:rPr>
        <w:t xml:space="preserve"> This timing is based on DFAT deciding to re-engage ILO as the implementing partner. If this is not the case and DFAT opts for a commercial contractor, then the timing would need to be condensed considerably.</w:t>
      </w:r>
    </w:p>
    <w:p w14:paraId="53C944C2" w14:textId="51D9A05F" w:rsidR="00752501" w:rsidRPr="00C93A4A" w:rsidRDefault="0004372E" w:rsidP="007660A2">
      <w:pPr>
        <w:rPr>
          <w:lang w:val="en-GB"/>
        </w:rPr>
      </w:pPr>
      <w:r w:rsidRPr="00C93A4A">
        <w:rPr>
          <w:rStyle w:val="Strong"/>
          <w:lang w:val="en-GB"/>
        </w:rPr>
        <w:t>Issues to address.</w:t>
      </w:r>
      <w:r w:rsidRPr="00C93A4A">
        <w:rPr>
          <w:lang w:val="en-GB"/>
        </w:rPr>
        <w:t xml:space="preserve"> </w:t>
      </w:r>
      <w:r w:rsidR="00EA5ED3" w:rsidRPr="00C93A4A">
        <w:rPr>
          <w:lang w:val="en-GB"/>
        </w:rPr>
        <w:t xml:space="preserve">The ICM identified a range of issues that have emerged during the </w:t>
      </w:r>
      <w:r w:rsidR="00752501" w:rsidRPr="00C93A4A">
        <w:rPr>
          <w:lang w:val="en-GB"/>
        </w:rPr>
        <w:t>R4D implementation (refer to</w:t>
      </w:r>
      <w:r w:rsidR="00D36DA6">
        <w:rPr>
          <w:lang w:val="en-GB"/>
        </w:rPr>
        <w:t xml:space="preserve"> Annex 5</w:t>
      </w:r>
      <w:r w:rsidR="00752501" w:rsidRPr="00C93A4A">
        <w:rPr>
          <w:lang w:val="en-GB"/>
        </w:rPr>
        <w:t xml:space="preserve">). Some of these need to be addressed before a final decision is taken on proceeding with a second phase. </w:t>
      </w:r>
      <w:r w:rsidR="00535B75" w:rsidRPr="00C93A4A">
        <w:rPr>
          <w:lang w:val="en-GB"/>
        </w:rPr>
        <w:t xml:space="preserve">Other issues should be considered as part of the design update. The </w:t>
      </w:r>
      <w:r w:rsidRPr="00C93A4A">
        <w:rPr>
          <w:lang w:val="en-GB"/>
        </w:rPr>
        <w:t xml:space="preserve">most </w:t>
      </w:r>
      <w:r w:rsidR="00535B75" w:rsidRPr="00C93A4A">
        <w:rPr>
          <w:lang w:val="en-GB"/>
        </w:rPr>
        <w:t>critical issue to address prior to committing to a second phase is securing GoTL commitment to a multi-year allocation of substantial funding for rural roads. If the second phase is to run for four years, the total investment required by GoTL is in the range $80-100m. Funds for civil works (road rehabilitation and maintenance) must be matched with adequate operational budget</w:t>
      </w:r>
      <w:r w:rsidR="009014E2" w:rsidRPr="00C93A4A">
        <w:rPr>
          <w:lang w:val="en-GB"/>
        </w:rPr>
        <w:t xml:space="preserve"> and staffing</w:t>
      </w:r>
      <w:r w:rsidR="00535B75" w:rsidRPr="00C93A4A">
        <w:rPr>
          <w:lang w:val="en-GB"/>
        </w:rPr>
        <w:t xml:space="preserve"> for the municipal MPW teams. If GoTL commitment to this investment cannot be secured then a second phase is not recommended</w:t>
      </w:r>
      <w:r w:rsidRPr="00C93A4A">
        <w:rPr>
          <w:lang w:val="en-GB"/>
        </w:rPr>
        <w:t xml:space="preserve"> or would require radical restructuring from the current R4D program</w:t>
      </w:r>
      <w:r w:rsidR="0076004E" w:rsidRPr="00C93A4A">
        <w:rPr>
          <w:lang w:val="en-GB"/>
        </w:rPr>
        <w:t xml:space="preserve"> (such as restricting the program to a few districts and modelling good practice). </w:t>
      </w:r>
      <w:r w:rsidR="00535B75" w:rsidRPr="00C93A4A">
        <w:rPr>
          <w:lang w:val="en-GB"/>
        </w:rPr>
        <w:t xml:space="preserve">Additionally, given the fluctuating budget allocated to MPW and to roads, it would be prudent </w:t>
      </w:r>
      <w:r w:rsidRPr="00C93A4A">
        <w:rPr>
          <w:lang w:val="en-GB"/>
        </w:rPr>
        <w:t xml:space="preserve">for GoA to </w:t>
      </w:r>
      <w:r w:rsidR="009014E2" w:rsidRPr="00C93A4A">
        <w:rPr>
          <w:lang w:val="en-GB"/>
        </w:rPr>
        <w:t>structure the proposed second phase of R4D</w:t>
      </w:r>
      <w:r w:rsidRPr="00C93A4A">
        <w:rPr>
          <w:lang w:val="en-GB"/>
        </w:rPr>
        <w:t xml:space="preserve"> in two </w:t>
      </w:r>
      <w:r w:rsidR="009014E2" w:rsidRPr="00C93A4A">
        <w:rPr>
          <w:lang w:val="en-GB"/>
        </w:rPr>
        <w:t>2</w:t>
      </w:r>
      <w:r w:rsidRPr="00C93A4A">
        <w:rPr>
          <w:lang w:val="en-GB"/>
        </w:rPr>
        <w:t xml:space="preserve">-year phases to facilitate reallocation of resources to other areas of rural development if </w:t>
      </w:r>
      <w:r w:rsidR="00535B75" w:rsidRPr="00C93A4A">
        <w:rPr>
          <w:lang w:val="en-GB"/>
        </w:rPr>
        <w:t xml:space="preserve">GoTL </w:t>
      </w:r>
      <w:r w:rsidR="00CC7D84" w:rsidRPr="00C93A4A">
        <w:rPr>
          <w:lang w:val="en-GB"/>
        </w:rPr>
        <w:t>fails to allocate sufficient resources</w:t>
      </w:r>
      <w:r w:rsidR="00535B75" w:rsidRPr="00C93A4A">
        <w:rPr>
          <w:lang w:val="en-GB"/>
        </w:rPr>
        <w:t xml:space="preserve"> to funding rural roads. </w:t>
      </w:r>
    </w:p>
    <w:p w14:paraId="2D16F69A" w14:textId="77777777" w:rsidR="001C1FFD" w:rsidRDefault="0076004E" w:rsidP="00911331">
      <w:pPr>
        <w:rPr>
          <w:lang w:val="en-GB"/>
        </w:rPr>
      </w:pPr>
      <w:r w:rsidRPr="00C93A4A">
        <w:rPr>
          <w:rStyle w:val="Strong"/>
          <w:lang w:val="en-GB"/>
        </w:rPr>
        <w:t>Quality assurance process.</w:t>
      </w:r>
      <w:r w:rsidRPr="00C93A4A">
        <w:rPr>
          <w:lang w:val="en-GB"/>
        </w:rPr>
        <w:t xml:space="preserve"> </w:t>
      </w:r>
      <w:r w:rsidR="001B2D93" w:rsidRPr="00C93A4A">
        <w:rPr>
          <w:lang w:val="en-GB"/>
        </w:rPr>
        <w:t xml:space="preserve">The design update process proposed in this ICN benefits from </w:t>
      </w:r>
      <w:r w:rsidR="000D4E74" w:rsidRPr="00C93A4A">
        <w:rPr>
          <w:lang w:val="en-GB"/>
        </w:rPr>
        <w:t xml:space="preserve">ILO’s </w:t>
      </w:r>
      <w:r w:rsidR="001B2D93" w:rsidRPr="00C93A4A">
        <w:rPr>
          <w:lang w:val="en-GB"/>
        </w:rPr>
        <w:t xml:space="preserve">accrued knowledge and experience. It </w:t>
      </w:r>
      <w:r w:rsidR="00C97753" w:rsidRPr="00C93A4A">
        <w:rPr>
          <w:lang w:val="en-GB"/>
        </w:rPr>
        <w:t xml:space="preserve">will be prudent </w:t>
      </w:r>
      <w:r w:rsidR="001B2D93" w:rsidRPr="00C93A4A">
        <w:rPr>
          <w:lang w:val="en-GB"/>
        </w:rPr>
        <w:t xml:space="preserve">to </w:t>
      </w:r>
      <w:r w:rsidR="00C97753" w:rsidRPr="00C93A4A">
        <w:rPr>
          <w:lang w:val="en-GB"/>
        </w:rPr>
        <w:t xml:space="preserve">also </w:t>
      </w:r>
      <w:r w:rsidR="001B2D93" w:rsidRPr="00C93A4A">
        <w:rPr>
          <w:lang w:val="en-GB"/>
        </w:rPr>
        <w:t>ensure independent perspectives are engaged</w:t>
      </w:r>
      <w:r w:rsidR="00C97753" w:rsidRPr="00C93A4A">
        <w:rPr>
          <w:lang w:val="en-GB"/>
        </w:rPr>
        <w:t>; internal DFAT quality assurance processes are employed; and a range of GoTL counterparts are meaningfully involved</w:t>
      </w:r>
      <w:r w:rsidR="001B2D93" w:rsidRPr="00C93A4A">
        <w:rPr>
          <w:lang w:val="en-GB"/>
        </w:rPr>
        <w:t xml:space="preserve">.  </w:t>
      </w:r>
      <w:r w:rsidR="00C97753" w:rsidRPr="00C93A4A">
        <w:rPr>
          <w:lang w:val="en-GB"/>
        </w:rPr>
        <w:t xml:space="preserve">Independent expertise </w:t>
      </w:r>
      <w:r w:rsidR="000D4E74" w:rsidRPr="00C93A4A">
        <w:rPr>
          <w:lang w:val="en-GB"/>
        </w:rPr>
        <w:t xml:space="preserve">may add value in facilitating the multi-stakeholder workshop referenced above. This support should extend to drafting the design update and M&amp;E plan (in consultation with ILO). These products should then be formally </w:t>
      </w:r>
      <w:r w:rsidR="000D4E74" w:rsidRPr="00C93A4A">
        <w:rPr>
          <w:lang w:val="en-GB"/>
        </w:rPr>
        <w:lastRenderedPageBreak/>
        <w:t>appraised against DFAT’s M&amp;E standards. Sufficient resources should be allocated to these processes to ensure that all approvals and contracting is concluded ahead of the extended Phase 1 deadline (December 2016) to avoid the obvious disruptions that would occur if there is significant slippage.</w:t>
      </w:r>
    </w:p>
    <w:p w14:paraId="5C59D497" w14:textId="77777777" w:rsidR="00D45671" w:rsidRDefault="00D45671" w:rsidP="00D45671">
      <w:pPr>
        <w:pStyle w:val="Heading1"/>
      </w:pPr>
      <w:r>
        <w:t>Summary of recommendations for DFAT</w:t>
      </w:r>
    </w:p>
    <w:p w14:paraId="7D3D794C" w14:textId="77777777" w:rsidR="00D45671" w:rsidRDefault="00D45671" w:rsidP="00D45671">
      <w:pPr>
        <w:rPr>
          <w:lang w:val="en-GB"/>
        </w:rPr>
      </w:pPr>
      <w:r>
        <w:rPr>
          <w:lang w:val="en-GB"/>
        </w:rPr>
        <w:t>Recommendation 1. Work with GoTL to secure firm commitment, across relevant ministries, to support a follow-on phase of R4D and to allocate adequate GoTL budget to fund road works.</w:t>
      </w:r>
    </w:p>
    <w:p w14:paraId="3A634DA6" w14:textId="77777777" w:rsidR="00D45671" w:rsidRDefault="00D45671" w:rsidP="00D45671">
      <w:pPr>
        <w:rPr>
          <w:lang w:val="en-GB"/>
        </w:rPr>
      </w:pPr>
      <w:r>
        <w:rPr>
          <w:lang w:val="en-GB"/>
        </w:rPr>
        <w:t>Recommendation 2. On the basis that GoTL agrees to commit funds, proceed with a second phase of R4D support.</w:t>
      </w:r>
    </w:p>
    <w:p w14:paraId="0EA6A8A8" w14:textId="77777777" w:rsidR="00D45671" w:rsidRDefault="00D45671" w:rsidP="00D45671">
      <w:pPr>
        <w:rPr>
          <w:lang w:val="en-GB"/>
        </w:rPr>
      </w:pPr>
      <w:r>
        <w:rPr>
          <w:lang w:val="en-GB"/>
        </w:rPr>
        <w:t>Recommendation 3. Negotiate with ILO to deliver the follow-on phase of R4D activities.</w:t>
      </w:r>
    </w:p>
    <w:p w14:paraId="2AA0F638" w14:textId="77777777" w:rsidR="00D45671" w:rsidRPr="001C1FFD" w:rsidRDefault="00D45671" w:rsidP="00D45671">
      <w:pPr>
        <w:rPr>
          <w:lang w:val="en-GB"/>
        </w:rPr>
      </w:pPr>
      <w:r>
        <w:rPr>
          <w:lang w:val="en-GB"/>
        </w:rPr>
        <w:t>Recommendation 4. Carry out a design update process to set the direction for a second phase, including addressing the issues raised in this ICN.</w:t>
      </w:r>
    </w:p>
    <w:p w14:paraId="5219CC9E" w14:textId="64FF4916" w:rsidR="00BA1D74" w:rsidRPr="00C93A4A" w:rsidRDefault="00BA1D74" w:rsidP="00911331">
      <w:pPr>
        <w:rPr>
          <w:lang w:val="en-GB"/>
        </w:rPr>
      </w:pPr>
      <w:r w:rsidRPr="00C93A4A">
        <w:rPr>
          <w:lang w:val="en-GB"/>
        </w:rPr>
        <w:br w:type="page"/>
      </w:r>
    </w:p>
    <w:p w14:paraId="42CBB153" w14:textId="77777777" w:rsidR="00BA1D74" w:rsidRPr="00C93A4A" w:rsidRDefault="00BA1D74" w:rsidP="00BA1D74">
      <w:pPr>
        <w:pStyle w:val="Heading1"/>
        <w:numPr>
          <w:ilvl w:val="0"/>
          <w:numId w:val="22"/>
        </w:numPr>
        <w:tabs>
          <w:tab w:val="left" w:pos="993"/>
        </w:tabs>
      </w:pPr>
      <w:bookmarkStart w:id="7" w:name="_Toc424633120"/>
      <w:r w:rsidRPr="00C93A4A">
        <w:lastRenderedPageBreak/>
        <w:t>Risk assessment tool</w:t>
      </w:r>
      <w:bookmarkEnd w:id="7"/>
    </w:p>
    <w:p w14:paraId="1B5E9485" w14:textId="77777777" w:rsidR="00BA1D74" w:rsidRPr="00C93A4A" w:rsidRDefault="00BA1D74" w:rsidP="00BA1D74">
      <w:pPr>
        <w:pStyle w:val="Heading4"/>
        <w:numPr>
          <w:ilvl w:val="3"/>
          <w:numId w:val="0"/>
        </w:numPr>
        <w:spacing w:before="320" w:after="0" w:line="240" w:lineRule="auto"/>
        <w:rPr>
          <w:rFonts w:ascii="Helvetica" w:hAnsi="Helvetica"/>
          <w:i/>
          <w:sz w:val="21"/>
          <w:szCs w:val="21"/>
          <w:lang w:val="en-GB"/>
        </w:rPr>
      </w:pPr>
      <w:r w:rsidRPr="00C93A4A">
        <w:rPr>
          <w:rFonts w:ascii="Helvetica" w:hAnsi="Helvetica"/>
          <w:sz w:val="21"/>
          <w:szCs w:val="21"/>
          <w:lang w:val="en-GB"/>
        </w:rPr>
        <w:t>Investment Concept Risk Assessment Tool</w:t>
      </w:r>
    </w:p>
    <w:p w14:paraId="16748437" w14:textId="77777777" w:rsidR="00BA1D74" w:rsidRPr="00C93A4A" w:rsidRDefault="00BA1D74" w:rsidP="00BA1D74">
      <w:pPr>
        <w:spacing w:before="120"/>
        <w:rPr>
          <w:rFonts w:ascii="Franklin Gothic Book" w:hAnsi="Franklin Gothic Book" w:cs="Arial"/>
          <w:b/>
          <w:szCs w:val="20"/>
          <w:lang w:val="en-GB"/>
        </w:rPr>
      </w:pPr>
      <w:r w:rsidRPr="00C93A4A">
        <w:rPr>
          <w:rFonts w:ascii="Franklin Gothic Book" w:hAnsi="Franklin Gothic Book" w:cs="Arial"/>
          <w:sz w:val="21"/>
          <w:szCs w:val="21"/>
          <w:lang w:val="en-GB"/>
        </w:rPr>
        <w:t xml:space="preserve">Descriptors of risk likelihood and consequence ratings can be found in the </w:t>
      </w:r>
      <w:hyperlink r:id="rId14" w:history="1">
        <w:r w:rsidRPr="00C93A4A">
          <w:rPr>
            <w:rStyle w:val="Hyperlink"/>
            <w:rFonts w:ascii="Franklin Gothic Book" w:hAnsi="Franklin Gothic Book" w:cs="Arial"/>
            <w:sz w:val="21"/>
            <w:szCs w:val="21"/>
            <w:lang w:val="en-GB"/>
          </w:rPr>
          <w:t>Risk Management for Aid Investment Better Practice Guide</w:t>
        </w:r>
      </w:hyperlink>
      <w:r w:rsidRPr="00C93A4A">
        <w:rPr>
          <w:rFonts w:ascii="Franklin Gothic Book" w:hAnsi="Franklin Gothic Book" w:cs="Arial"/>
          <w:sz w:val="21"/>
          <w:szCs w:val="21"/>
          <w:lang w:val="en-GB"/>
        </w:rPr>
        <w:t xml:space="preserve">. Note the risk rating for each category should be based on unmitigated risk. </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992"/>
        <w:gridCol w:w="167"/>
        <w:gridCol w:w="650"/>
        <w:gridCol w:w="175"/>
        <w:gridCol w:w="84"/>
        <w:gridCol w:w="909"/>
      </w:tblGrid>
      <w:tr w:rsidR="00BA1D74" w:rsidRPr="00C93A4A" w14:paraId="4945A7C7" w14:textId="77777777" w:rsidTr="004A02E0">
        <w:trPr>
          <w:cantSplit/>
          <w:trHeight w:val="1134"/>
        </w:trPr>
        <w:tc>
          <w:tcPr>
            <w:tcW w:w="6663" w:type="dxa"/>
            <w:tcBorders>
              <w:top w:val="nil"/>
              <w:left w:val="nil"/>
              <w:bottom w:val="single" w:sz="4" w:space="0" w:color="auto"/>
              <w:right w:val="single" w:sz="4" w:space="0" w:color="auto"/>
            </w:tcBorders>
            <w:shd w:val="clear" w:color="auto" w:fill="auto"/>
          </w:tcPr>
          <w:p w14:paraId="0F00F9EA" w14:textId="77777777" w:rsidR="00BA1D74" w:rsidRPr="00C93A4A" w:rsidRDefault="00BA1D74" w:rsidP="004A02E0">
            <w:pPr>
              <w:ind w:left="-709"/>
              <w:rPr>
                <w:rFonts w:asciiTheme="minorHAnsi" w:hAnsiTheme="minorHAnsi" w:cstheme="minorHAnsi"/>
                <w:b/>
                <w:sz w:val="20"/>
                <w:szCs w:val="20"/>
                <w:u w:val="single"/>
                <w:lang w:val="en-GB"/>
              </w:rPr>
            </w:pPr>
            <w:r w:rsidRPr="00C93A4A">
              <w:rPr>
                <w:rFonts w:asciiTheme="minorHAnsi" w:hAnsiTheme="minorHAnsi" w:cstheme="minorHAnsi"/>
                <w:b/>
                <w:sz w:val="20"/>
                <w:szCs w:val="20"/>
                <w:u w:val="single"/>
                <w:lang w:val="en-GB"/>
              </w:rPr>
              <w:t xml:space="preserve">Value </w:t>
            </w:r>
          </w:p>
          <w:p w14:paraId="338047DF" w14:textId="77777777" w:rsidR="00BA1D74" w:rsidRPr="00C93A4A" w:rsidRDefault="00BA1D74" w:rsidP="004A02E0">
            <w:pPr>
              <w:ind w:left="34"/>
              <w:rPr>
                <w:rFonts w:asciiTheme="minorHAnsi" w:hAnsiTheme="minorHAnsi" w:cstheme="minorHAnsi"/>
                <w:b/>
                <w:sz w:val="20"/>
                <w:szCs w:val="20"/>
                <w:lang w:val="en-GB"/>
              </w:rPr>
            </w:pPr>
          </w:p>
        </w:tc>
        <w:tc>
          <w:tcPr>
            <w:tcW w:w="992" w:type="dxa"/>
            <w:tcBorders>
              <w:left w:val="single" w:sz="4" w:space="0" w:color="auto"/>
              <w:right w:val="single" w:sz="4" w:space="0" w:color="auto"/>
            </w:tcBorders>
            <w:shd w:val="clear" w:color="auto" w:fill="D9D9D9" w:themeFill="background1" w:themeFillShade="D9"/>
            <w:textDirection w:val="btLr"/>
            <w:vAlign w:val="center"/>
          </w:tcPr>
          <w:p w14:paraId="5B5202E3" w14:textId="77777777" w:rsidR="00BA1D74" w:rsidRPr="00C93A4A" w:rsidRDefault="00BA1D74" w:rsidP="004A02E0">
            <w:pPr>
              <w:spacing w:after="0"/>
              <w:ind w:left="113" w:right="113"/>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Likelihood</w:t>
            </w:r>
          </w:p>
        </w:tc>
        <w:tc>
          <w:tcPr>
            <w:tcW w:w="992" w:type="dxa"/>
            <w:gridSpan w:val="3"/>
            <w:tcBorders>
              <w:left w:val="single" w:sz="4" w:space="0" w:color="auto"/>
              <w:right w:val="single" w:sz="4" w:space="0" w:color="auto"/>
            </w:tcBorders>
            <w:shd w:val="clear" w:color="auto" w:fill="D9D9D9" w:themeFill="background1" w:themeFillShade="D9"/>
            <w:textDirection w:val="btLr"/>
            <w:vAlign w:val="center"/>
          </w:tcPr>
          <w:p w14:paraId="7445A63D" w14:textId="77777777" w:rsidR="00BA1D74" w:rsidRPr="00C93A4A" w:rsidRDefault="00BA1D74" w:rsidP="004A02E0">
            <w:pPr>
              <w:spacing w:after="0"/>
              <w:ind w:left="-108" w:right="-108"/>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Consequence</w:t>
            </w:r>
          </w:p>
        </w:tc>
        <w:tc>
          <w:tcPr>
            <w:tcW w:w="993" w:type="dxa"/>
            <w:gridSpan w:val="2"/>
            <w:tcBorders>
              <w:left w:val="single" w:sz="4" w:space="0" w:color="auto"/>
            </w:tcBorders>
            <w:shd w:val="clear" w:color="auto" w:fill="D9D9D9" w:themeFill="background1" w:themeFillShade="D9"/>
            <w:textDirection w:val="btLr"/>
            <w:vAlign w:val="center"/>
          </w:tcPr>
          <w:p w14:paraId="2F0761F4" w14:textId="77777777" w:rsidR="00BA1D74" w:rsidRPr="00C93A4A" w:rsidRDefault="00BA1D74" w:rsidP="004A02E0">
            <w:pPr>
              <w:spacing w:after="0"/>
              <w:ind w:left="113" w:right="113"/>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Rating</w:t>
            </w:r>
          </w:p>
        </w:tc>
      </w:tr>
      <w:tr w:rsidR="00BA1D74" w:rsidRPr="00C93A4A" w14:paraId="0C096181" w14:textId="77777777" w:rsidTr="004A02E0">
        <w:tc>
          <w:tcPr>
            <w:tcW w:w="6663" w:type="dxa"/>
            <w:tcBorders>
              <w:top w:val="single" w:sz="4" w:space="0" w:color="auto"/>
            </w:tcBorders>
            <w:shd w:val="clear" w:color="auto" w:fill="D9D9D9" w:themeFill="background1" w:themeFillShade="D9"/>
          </w:tcPr>
          <w:p w14:paraId="10426AD7" w14:textId="77777777" w:rsidR="00BA1D74" w:rsidRPr="00C93A4A" w:rsidRDefault="00BA1D74" w:rsidP="004A02E0">
            <w:pPr>
              <w:numPr>
                <w:ilvl w:val="0"/>
                <w:numId w:val="32"/>
              </w:numPr>
              <w:spacing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Operating environment: </w:t>
            </w:r>
            <w:r w:rsidRPr="00C93A4A">
              <w:rPr>
                <w:rFonts w:asciiTheme="minorHAnsi" w:hAnsiTheme="minorHAnsi" w:cstheme="minorHAnsi"/>
                <w:sz w:val="20"/>
                <w:szCs w:val="20"/>
                <w:lang w:val="en-GB"/>
              </w:rPr>
              <w:t>What factors in the operational or physical environment (political instability, security, poor governance, lack of essential infrastructure etc.) might impact directly on achieving the objectives?</w:t>
            </w:r>
          </w:p>
        </w:tc>
        <w:tc>
          <w:tcPr>
            <w:tcW w:w="992" w:type="dxa"/>
            <w:shd w:val="clear" w:color="auto" w:fill="D9D9D9" w:themeFill="background1" w:themeFillShade="D9"/>
            <w:vAlign w:val="center"/>
          </w:tcPr>
          <w:p w14:paraId="5F098302" w14:textId="77777777" w:rsidR="00BA1D74" w:rsidRPr="00C93A4A" w:rsidRDefault="00BA1D74" w:rsidP="004A02E0">
            <w:pPr>
              <w:jc w:val="center"/>
              <w:rPr>
                <w:rFonts w:asciiTheme="minorHAnsi" w:hAnsiTheme="minorHAnsi" w:cstheme="minorHAnsi"/>
                <w:b/>
                <w:bCs/>
                <w:sz w:val="20"/>
                <w:szCs w:val="20"/>
                <w:lang w:val="en-GB"/>
              </w:rPr>
            </w:pPr>
            <w:r w:rsidRPr="00C93A4A">
              <w:rPr>
                <w:rFonts w:asciiTheme="minorHAnsi" w:hAnsiTheme="minorHAnsi" w:cstheme="minorHAnsi"/>
                <w:b/>
                <w:bCs/>
                <w:sz w:val="20"/>
                <w:szCs w:val="20"/>
                <w:lang w:val="en-GB"/>
              </w:rPr>
              <w:t>Unlikely</w:t>
            </w:r>
          </w:p>
        </w:tc>
        <w:tc>
          <w:tcPr>
            <w:tcW w:w="992" w:type="dxa"/>
            <w:gridSpan w:val="3"/>
            <w:shd w:val="clear" w:color="auto" w:fill="D9D9D9" w:themeFill="background1" w:themeFillShade="D9"/>
            <w:vAlign w:val="center"/>
          </w:tcPr>
          <w:p w14:paraId="0AF3D9D1" w14:textId="77777777" w:rsidR="00BA1D74" w:rsidRPr="00C93A4A" w:rsidRDefault="00BA1D74" w:rsidP="004A02E0">
            <w:pPr>
              <w:jc w:val="center"/>
              <w:rPr>
                <w:rFonts w:asciiTheme="minorHAnsi" w:hAnsiTheme="minorHAnsi" w:cstheme="minorHAnsi"/>
                <w:b/>
                <w:bCs/>
                <w:sz w:val="20"/>
                <w:szCs w:val="20"/>
                <w:lang w:val="en-GB"/>
              </w:rPr>
            </w:pPr>
            <w:r w:rsidRPr="00C93A4A">
              <w:rPr>
                <w:rFonts w:asciiTheme="minorHAnsi" w:hAnsiTheme="minorHAnsi" w:cstheme="minorHAnsi"/>
                <w:b/>
                <w:bCs/>
                <w:sz w:val="20"/>
                <w:szCs w:val="20"/>
                <w:lang w:val="en-GB"/>
              </w:rPr>
              <w:t>Major</w:t>
            </w:r>
          </w:p>
        </w:tc>
        <w:tc>
          <w:tcPr>
            <w:tcW w:w="993" w:type="dxa"/>
            <w:gridSpan w:val="2"/>
            <w:shd w:val="clear" w:color="auto" w:fill="FFFF00"/>
            <w:vAlign w:val="center"/>
          </w:tcPr>
          <w:p w14:paraId="47F7E497" w14:textId="77777777" w:rsidR="00BA1D74" w:rsidRPr="00C93A4A" w:rsidRDefault="00BA1D74" w:rsidP="004A02E0">
            <w:pPr>
              <w:ind w:left="-108" w:right="-108"/>
              <w:jc w:val="center"/>
              <w:rPr>
                <w:rFonts w:asciiTheme="minorHAnsi" w:hAnsiTheme="minorHAnsi" w:cstheme="minorHAnsi"/>
                <w:b/>
                <w:sz w:val="20"/>
                <w:szCs w:val="20"/>
                <w:lang w:val="en-GB"/>
              </w:rPr>
            </w:pPr>
            <w:r w:rsidRPr="00C93A4A">
              <w:rPr>
                <w:rFonts w:asciiTheme="minorHAnsi" w:hAnsiTheme="minorHAnsi" w:cstheme="minorHAnsi"/>
                <w:b/>
                <w:bCs/>
                <w:sz w:val="20"/>
                <w:szCs w:val="20"/>
                <w:lang w:val="en-GB"/>
              </w:rPr>
              <w:t>Moderate</w:t>
            </w:r>
          </w:p>
        </w:tc>
      </w:tr>
      <w:tr w:rsidR="00BA1D74" w:rsidRPr="00C93A4A" w14:paraId="118A55B7" w14:textId="77777777" w:rsidTr="004A02E0">
        <w:tblPrEx>
          <w:tblLook w:val="04A0" w:firstRow="1" w:lastRow="0" w:firstColumn="1" w:lastColumn="0" w:noHBand="0" w:noVBand="1"/>
        </w:tblPrEx>
        <w:tc>
          <w:tcPr>
            <w:tcW w:w="9640" w:type="dxa"/>
            <w:gridSpan w:val="7"/>
          </w:tcPr>
          <w:p w14:paraId="5EEE53E0"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Given the extensive financial contribution being invested by GoTL, ongoing political support for the program is critical for its success. A lack of political support would preclude adequate GoTL funds being allocated to program activities. </w:t>
            </w:r>
          </w:p>
          <w:p w14:paraId="7814932F"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The program aligns well with priorities of the current (and past) Timorese government. Elections in 2017, however, may change political leadership and affect that support. It is feasible that GoTL will look to ministries other than MPW to oversee the rural road network. </w:t>
            </w:r>
          </w:p>
          <w:p w14:paraId="485F77F9"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Impact </w:t>
            </w:r>
            <w:r w:rsidRPr="00C93A4A">
              <w:rPr>
                <w:rFonts w:asciiTheme="minorHAnsi" w:hAnsiTheme="minorHAnsi" w:cstheme="minorHAnsi"/>
                <w:sz w:val="20"/>
                <w:szCs w:val="20"/>
                <w:lang w:val="en-GB"/>
              </w:rPr>
              <w:t>(what is the impact on the objective if the event occurs): Program fails to deliver either improved rural roads or significantly improved GoTL capacity to improve rural roads.</w:t>
            </w:r>
          </w:p>
        </w:tc>
      </w:tr>
      <w:tr w:rsidR="00BA1D74" w:rsidRPr="00C93A4A" w14:paraId="3EC5284A" w14:textId="77777777" w:rsidTr="004A02E0">
        <w:tblPrEx>
          <w:tblLook w:val="04A0" w:firstRow="1" w:lastRow="0" w:firstColumn="1" w:lastColumn="0" w:noHBand="0" w:noVBand="1"/>
        </w:tblPrEx>
        <w:tc>
          <w:tcPr>
            <w:tcW w:w="9640" w:type="dxa"/>
            <w:gridSpan w:val="7"/>
          </w:tcPr>
          <w:p w14:paraId="0307012F"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There are limited opportunities for DFAT to mitigate this risk. Understanding shifts in political power and thinking will assist DFAT to direct its advocacy for rural roads to the most influential audiences. </w:t>
            </w:r>
          </w:p>
        </w:tc>
      </w:tr>
      <w:tr w:rsidR="00BA1D74" w:rsidRPr="00C93A4A" w14:paraId="49549EE2" w14:textId="77777777" w:rsidTr="004A02E0">
        <w:tc>
          <w:tcPr>
            <w:tcW w:w="6663" w:type="dxa"/>
            <w:shd w:val="clear" w:color="auto" w:fill="D9D9D9" w:themeFill="background1" w:themeFillShade="D9"/>
          </w:tcPr>
          <w:p w14:paraId="2CA76BEA" w14:textId="77777777" w:rsidR="00BA1D74" w:rsidRPr="00C93A4A" w:rsidRDefault="00BA1D74" w:rsidP="004A02E0">
            <w:pPr>
              <w:numPr>
                <w:ilvl w:val="0"/>
                <w:numId w:val="32"/>
              </w:numPr>
              <w:spacing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Results: </w:t>
            </w:r>
            <w:r w:rsidRPr="00C93A4A">
              <w:rPr>
                <w:rFonts w:asciiTheme="minorHAnsi" w:hAnsiTheme="minorHAnsi" w:cstheme="minorHAnsi"/>
                <w:sz w:val="20"/>
                <w:szCs w:val="20"/>
                <w:lang w:val="en-GB"/>
              </w:rPr>
              <w:t xml:space="preserve">How realistic are the objectives and can they be achieved within the timeframe? Are the objectives/results sustainable? Would the failure to achieve the results in the proposed timeframe, or at all, affect the targeted beneficiaries directly?  </w:t>
            </w:r>
          </w:p>
        </w:tc>
        <w:tc>
          <w:tcPr>
            <w:tcW w:w="1159" w:type="dxa"/>
            <w:gridSpan w:val="2"/>
            <w:shd w:val="clear" w:color="auto" w:fill="D9D9D9" w:themeFill="background1" w:themeFillShade="D9"/>
            <w:vAlign w:val="center"/>
          </w:tcPr>
          <w:p w14:paraId="2DE3AFFF"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Moderate</w:t>
            </w:r>
          </w:p>
        </w:tc>
        <w:tc>
          <w:tcPr>
            <w:tcW w:w="909" w:type="dxa"/>
            <w:gridSpan w:val="3"/>
            <w:shd w:val="clear" w:color="auto" w:fill="D9D9D9" w:themeFill="background1" w:themeFillShade="D9"/>
            <w:vAlign w:val="center"/>
          </w:tcPr>
          <w:p w14:paraId="12E3A820"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Possible</w:t>
            </w:r>
          </w:p>
        </w:tc>
        <w:tc>
          <w:tcPr>
            <w:tcW w:w="909" w:type="dxa"/>
            <w:shd w:val="clear" w:color="auto" w:fill="FFC000"/>
            <w:vAlign w:val="center"/>
          </w:tcPr>
          <w:p w14:paraId="42B588F9" w14:textId="77777777" w:rsidR="00BA1D74" w:rsidRPr="00C93A4A" w:rsidRDefault="00BA1D74" w:rsidP="004A02E0">
            <w:pPr>
              <w:jc w:val="center"/>
              <w:rPr>
                <w:rFonts w:asciiTheme="minorHAnsi" w:hAnsiTheme="minorHAnsi" w:cstheme="minorHAnsi"/>
                <w:sz w:val="20"/>
                <w:szCs w:val="20"/>
                <w:lang w:val="en-GB"/>
              </w:rPr>
            </w:pPr>
            <w:r w:rsidRPr="00C93A4A">
              <w:rPr>
                <w:rFonts w:asciiTheme="minorHAnsi" w:hAnsiTheme="minorHAnsi" w:cstheme="minorHAnsi"/>
                <w:b/>
                <w:bCs/>
                <w:sz w:val="20"/>
                <w:szCs w:val="20"/>
                <w:lang w:val="en-GB"/>
              </w:rPr>
              <w:t>High</w:t>
            </w:r>
          </w:p>
        </w:tc>
      </w:tr>
      <w:tr w:rsidR="00BA1D74" w:rsidRPr="00C93A4A" w14:paraId="6E49A8BC" w14:textId="77777777" w:rsidTr="004A02E0">
        <w:tblPrEx>
          <w:tblLook w:val="04A0" w:firstRow="1" w:lastRow="0" w:firstColumn="1" w:lastColumn="0" w:noHBand="0" w:noVBand="1"/>
        </w:tblPrEx>
        <w:tc>
          <w:tcPr>
            <w:tcW w:w="9640" w:type="dxa"/>
            <w:gridSpan w:val="7"/>
          </w:tcPr>
          <w:p w14:paraId="4E60298E"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The first phase of R4D provides the grounded understanding necessary to set realistic targets for a second phase. The greatest risk to targets being achieve are lack of funds or staffing being committed by GoTL; and unwillingness of local contractors to bid for work.</w:t>
            </w:r>
          </w:p>
          <w:p w14:paraId="5A27042D"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GoTL funding may be diverted to ‘emergency’ projects either within MPW, or within other ministries, and hence disrupt funding to rural roads prioritised in the RRMP. A failure to improve the contractor payment system within GoTL procurement processes may discourage local contractors to avoid bidding for rural road contracts and seek opportunities elsewhere.</w:t>
            </w:r>
          </w:p>
          <w:p w14:paraId="25D81927"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Impact</w:t>
            </w:r>
            <w:r w:rsidRPr="00C93A4A">
              <w:rPr>
                <w:rFonts w:asciiTheme="minorHAnsi" w:hAnsiTheme="minorHAnsi" w:cstheme="minorHAnsi"/>
                <w:sz w:val="20"/>
                <w:szCs w:val="20"/>
                <w:lang w:val="en-GB"/>
              </w:rPr>
              <w:t xml:space="preserve"> (what is the impact on the objective if the event occurs): R4D would be able to achieve targets for physical works in proportion to the funding made available for rehabilitation and maintenance. Low levels of resources—or low levels of engagement by MPW staffing—would result in lower achievement of targets. If local contractors do not bid, procurement systems established with R4D support would fail.</w:t>
            </w:r>
          </w:p>
        </w:tc>
      </w:tr>
      <w:tr w:rsidR="00BA1D74" w:rsidRPr="00C93A4A" w14:paraId="630D2BC4" w14:textId="77777777" w:rsidTr="004A02E0">
        <w:tblPrEx>
          <w:tblLook w:val="04A0" w:firstRow="1" w:lastRow="0" w:firstColumn="1" w:lastColumn="0" w:noHBand="0" w:noVBand="1"/>
        </w:tblPrEx>
        <w:tc>
          <w:tcPr>
            <w:tcW w:w="9640" w:type="dxa"/>
            <w:gridSpan w:val="7"/>
          </w:tcPr>
          <w:p w14:paraId="1ADB1DA6"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DFAT could leverage the support of its other programs, particularly G4D, to maximise the likelihood that adequate funds are allocated to rural roads. The program will strengthen planning, which should support the allocation of funding and </w:t>
            </w:r>
            <w:r w:rsidRPr="00C93A4A">
              <w:rPr>
                <w:rFonts w:asciiTheme="minorHAnsi" w:hAnsiTheme="minorHAnsi" w:cstheme="minorHAnsi"/>
                <w:sz w:val="20"/>
                <w:szCs w:val="20"/>
                <w:lang w:val="en-GB"/>
              </w:rPr>
              <w:lastRenderedPageBreak/>
              <w:t xml:space="preserve">staff. DFAT, through the R4D program, is well-placed to facilitate improvements to the contractor payment system and minimise the risk of contractors rejecting work under the program. </w:t>
            </w:r>
          </w:p>
        </w:tc>
      </w:tr>
      <w:tr w:rsidR="00BA1D74" w:rsidRPr="00C93A4A" w14:paraId="1976BF74" w14:textId="77777777" w:rsidTr="004A02E0">
        <w:tc>
          <w:tcPr>
            <w:tcW w:w="6663" w:type="dxa"/>
            <w:shd w:val="clear" w:color="auto" w:fill="D9D9D9" w:themeFill="background1" w:themeFillShade="D9"/>
          </w:tcPr>
          <w:p w14:paraId="0B54DC77" w14:textId="77777777" w:rsidR="00BA1D74" w:rsidRPr="00C93A4A" w:rsidRDefault="00BA1D74" w:rsidP="004A02E0">
            <w:pPr>
              <w:numPr>
                <w:ilvl w:val="0"/>
                <w:numId w:val="32"/>
              </w:numPr>
              <w:spacing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lastRenderedPageBreak/>
              <w:t xml:space="preserve">Safeguards </w:t>
            </w:r>
            <w:r w:rsidRPr="00C93A4A">
              <w:rPr>
                <w:rFonts w:asciiTheme="minorHAnsi" w:hAnsiTheme="minorHAnsi" w:cstheme="minorHAnsi"/>
                <w:sz w:val="20"/>
                <w:szCs w:val="20"/>
                <w:lang w:val="en-GB"/>
              </w:rPr>
              <w:t>(see the checklist below)</w:t>
            </w:r>
            <w:r w:rsidRPr="00C93A4A">
              <w:rPr>
                <w:rFonts w:asciiTheme="minorHAnsi" w:hAnsiTheme="minorHAnsi" w:cstheme="minorHAnsi"/>
                <w:b/>
                <w:sz w:val="20"/>
                <w:szCs w:val="20"/>
                <w:lang w:val="en-GB"/>
              </w:rPr>
              <w:t xml:space="preserve">: </w:t>
            </w:r>
            <w:r w:rsidRPr="00C93A4A">
              <w:rPr>
                <w:rFonts w:asciiTheme="minorHAnsi" w:hAnsiTheme="minorHAnsi" w:cstheme="minorHAnsi"/>
                <w:sz w:val="20"/>
                <w:szCs w:val="20"/>
                <w:lang w:val="en-GB"/>
              </w:rPr>
              <w:t xml:space="preserve">Do any of the activities involved in this investment have the potential to cause harm relative to safeguard issues (child protection, displacement and resettlement and environmental protection)?   </w:t>
            </w:r>
          </w:p>
        </w:tc>
        <w:tc>
          <w:tcPr>
            <w:tcW w:w="992" w:type="dxa"/>
            <w:shd w:val="clear" w:color="auto" w:fill="D9D9D9" w:themeFill="background1" w:themeFillShade="D9"/>
            <w:vAlign w:val="center"/>
          </w:tcPr>
          <w:p w14:paraId="519A8809"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Unlikely</w:t>
            </w:r>
          </w:p>
        </w:tc>
        <w:tc>
          <w:tcPr>
            <w:tcW w:w="992" w:type="dxa"/>
            <w:gridSpan w:val="3"/>
            <w:shd w:val="clear" w:color="auto" w:fill="D9D9D9" w:themeFill="background1" w:themeFillShade="D9"/>
            <w:vAlign w:val="center"/>
          </w:tcPr>
          <w:p w14:paraId="3061B410"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Minor</w:t>
            </w:r>
          </w:p>
        </w:tc>
        <w:tc>
          <w:tcPr>
            <w:tcW w:w="993" w:type="dxa"/>
            <w:gridSpan w:val="2"/>
            <w:shd w:val="clear" w:color="auto" w:fill="00B050"/>
            <w:vAlign w:val="center"/>
          </w:tcPr>
          <w:p w14:paraId="2F4587C8"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Low</w:t>
            </w:r>
          </w:p>
        </w:tc>
      </w:tr>
      <w:tr w:rsidR="00BA1D74" w:rsidRPr="00C93A4A" w14:paraId="32EBE16A" w14:textId="77777777" w:rsidTr="004A02E0">
        <w:tblPrEx>
          <w:tblLook w:val="04A0" w:firstRow="1" w:lastRow="0" w:firstColumn="1" w:lastColumn="0" w:noHBand="0" w:noVBand="1"/>
        </w:tblPrEx>
        <w:tc>
          <w:tcPr>
            <w:tcW w:w="9640" w:type="dxa"/>
            <w:gridSpan w:val="7"/>
          </w:tcPr>
          <w:p w14:paraId="7B9B76AA"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Disruption to traditional land use during or following construction; involvement of child labour in contravention to program safeguards; environmental damage during or following construction.</w:t>
            </w:r>
          </w:p>
          <w:p w14:paraId="16245A70"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Failure to apply existing social and environmental safeguards or to adequately train and supervise contractors and government in their application.</w:t>
            </w:r>
          </w:p>
          <w:p w14:paraId="0BAE25C6"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Impact </w:t>
            </w:r>
            <w:r w:rsidRPr="00C93A4A">
              <w:rPr>
                <w:rFonts w:asciiTheme="minorHAnsi" w:hAnsiTheme="minorHAnsi" w:cstheme="minorHAnsi"/>
                <w:sz w:val="20"/>
                <w:szCs w:val="20"/>
                <w:lang w:val="en-GB"/>
              </w:rPr>
              <w:t>(what is the impact on the objective if the event occurs): If contravention of the safeguards was prolonged, DFAT would not continue with the program.</w:t>
            </w:r>
          </w:p>
        </w:tc>
      </w:tr>
      <w:tr w:rsidR="00BA1D74" w:rsidRPr="00C93A4A" w14:paraId="37DFDBB6" w14:textId="77777777" w:rsidTr="004A02E0">
        <w:tblPrEx>
          <w:tblLook w:val="04A0" w:firstRow="1" w:lastRow="0" w:firstColumn="1" w:lastColumn="0" w:noHBand="0" w:noVBand="1"/>
        </w:tblPrEx>
        <w:tc>
          <w:tcPr>
            <w:tcW w:w="9640" w:type="dxa"/>
            <w:gridSpan w:val="7"/>
          </w:tcPr>
          <w:p w14:paraId="1E337A19"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Regular reporting by the Managing Contractor and DFAT’s regular review of the program, through the Independent Monitoring Group, provides appropriate mechanisms to ensure that safeguards are in place and continue to be followed by the Managing Contractor.</w:t>
            </w:r>
          </w:p>
        </w:tc>
      </w:tr>
      <w:tr w:rsidR="00BA1D74" w:rsidRPr="00C93A4A" w14:paraId="3781936E" w14:textId="77777777" w:rsidTr="004A02E0">
        <w:tc>
          <w:tcPr>
            <w:tcW w:w="6663" w:type="dxa"/>
            <w:shd w:val="clear" w:color="auto" w:fill="D9D9D9" w:themeFill="background1" w:themeFillShade="D9"/>
          </w:tcPr>
          <w:p w14:paraId="21FCABA9" w14:textId="77777777" w:rsidR="00BA1D74" w:rsidRPr="00C93A4A" w:rsidRDefault="00BA1D74" w:rsidP="004A02E0">
            <w:pPr>
              <w:numPr>
                <w:ilvl w:val="0"/>
                <w:numId w:val="32"/>
              </w:numPr>
              <w:spacing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Fraud/Fiduciary: </w:t>
            </w:r>
            <w:r w:rsidRPr="00C93A4A">
              <w:rPr>
                <w:rFonts w:asciiTheme="minorHAnsi" w:hAnsiTheme="minorHAnsi" w:cstheme="minorHAnsi"/>
                <w:sz w:val="20"/>
                <w:szCs w:val="20"/>
                <w:lang w:val="en-GB"/>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tc>
          <w:tcPr>
            <w:tcW w:w="992" w:type="dxa"/>
            <w:shd w:val="clear" w:color="auto" w:fill="D9D9D9" w:themeFill="background1" w:themeFillShade="D9"/>
            <w:vAlign w:val="center"/>
          </w:tcPr>
          <w:p w14:paraId="7552445D"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Unlikely</w:t>
            </w:r>
          </w:p>
        </w:tc>
        <w:tc>
          <w:tcPr>
            <w:tcW w:w="992" w:type="dxa"/>
            <w:gridSpan w:val="3"/>
            <w:shd w:val="clear" w:color="auto" w:fill="D9D9D9" w:themeFill="background1" w:themeFillShade="D9"/>
            <w:vAlign w:val="center"/>
          </w:tcPr>
          <w:p w14:paraId="7015990C"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Major</w:t>
            </w:r>
          </w:p>
        </w:tc>
        <w:tc>
          <w:tcPr>
            <w:tcW w:w="993" w:type="dxa"/>
            <w:gridSpan w:val="2"/>
            <w:shd w:val="clear" w:color="auto" w:fill="FFFF00"/>
            <w:vAlign w:val="center"/>
          </w:tcPr>
          <w:p w14:paraId="079D458B" w14:textId="77777777" w:rsidR="00BA1D74" w:rsidRPr="00C93A4A" w:rsidRDefault="00BA1D74" w:rsidP="004A02E0">
            <w:pPr>
              <w:ind w:left="-108" w:right="-108"/>
              <w:jc w:val="center"/>
              <w:rPr>
                <w:rFonts w:asciiTheme="minorHAnsi" w:hAnsiTheme="minorHAnsi" w:cstheme="minorHAnsi"/>
                <w:sz w:val="20"/>
                <w:szCs w:val="20"/>
                <w:lang w:val="en-GB"/>
              </w:rPr>
            </w:pPr>
            <w:r w:rsidRPr="00C93A4A">
              <w:rPr>
                <w:rFonts w:asciiTheme="minorHAnsi" w:hAnsiTheme="minorHAnsi" w:cstheme="minorHAnsi"/>
                <w:b/>
                <w:bCs/>
                <w:sz w:val="20"/>
                <w:szCs w:val="20"/>
                <w:lang w:val="en-GB"/>
              </w:rPr>
              <w:t>Moderate</w:t>
            </w:r>
          </w:p>
        </w:tc>
      </w:tr>
      <w:tr w:rsidR="00BA1D74" w:rsidRPr="00C93A4A" w14:paraId="1ED02B25" w14:textId="77777777" w:rsidTr="004A02E0">
        <w:tblPrEx>
          <w:tblLook w:val="04A0" w:firstRow="1" w:lastRow="0" w:firstColumn="1" w:lastColumn="0" w:noHBand="0" w:noVBand="1"/>
        </w:tblPrEx>
        <w:tc>
          <w:tcPr>
            <w:tcW w:w="9640" w:type="dxa"/>
            <w:gridSpan w:val="7"/>
          </w:tcPr>
          <w:p w14:paraId="0101A3B4"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Program funds are used fraudulently.</w:t>
            </w:r>
          </w:p>
          <w:p w14:paraId="36F1E178"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Failure to follow procurement guidelines by the Managing Contractor results in misuse of GoA funds.</w:t>
            </w:r>
          </w:p>
          <w:p w14:paraId="78639175"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Impact </w:t>
            </w:r>
            <w:r w:rsidRPr="00C93A4A">
              <w:rPr>
                <w:rFonts w:asciiTheme="minorHAnsi" w:hAnsiTheme="minorHAnsi" w:cstheme="minorHAnsi"/>
                <w:sz w:val="20"/>
                <w:szCs w:val="20"/>
                <w:lang w:val="en-GB"/>
              </w:rPr>
              <w:t xml:space="preserve">(what is the impact on the objective if the event occurs): Suspension or delay in activities while fraud is investigated and addressed. </w:t>
            </w:r>
          </w:p>
        </w:tc>
      </w:tr>
      <w:tr w:rsidR="00BA1D74" w:rsidRPr="00C93A4A" w14:paraId="1D3DC626" w14:textId="77777777" w:rsidTr="004A02E0">
        <w:tblPrEx>
          <w:tblLook w:val="04A0" w:firstRow="1" w:lastRow="0" w:firstColumn="1" w:lastColumn="0" w:noHBand="0" w:noVBand="1"/>
        </w:tblPrEx>
        <w:tc>
          <w:tcPr>
            <w:tcW w:w="9640" w:type="dxa"/>
            <w:gridSpan w:val="7"/>
          </w:tcPr>
          <w:p w14:paraId="3313E4D0"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During a second phase of the program, DFAT funds will only be used by the Managing Contractor to provide technical assistance. This minimises the risk of significant misuse of funds. </w:t>
            </w:r>
          </w:p>
        </w:tc>
      </w:tr>
      <w:tr w:rsidR="00BA1D74" w:rsidRPr="00C93A4A" w14:paraId="17A1925A" w14:textId="77777777" w:rsidTr="004A02E0">
        <w:tc>
          <w:tcPr>
            <w:tcW w:w="6663" w:type="dxa"/>
            <w:shd w:val="clear" w:color="auto" w:fill="D9D9D9" w:themeFill="background1" w:themeFillShade="D9"/>
          </w:tcPr>
          <w:p w14:paraId="65E75753" w14:textId="77777777" w:rsidR="00BA1D74" w:rsidRPr="00C93A4A" w:rsidRDefault="00BA1D74" w:rsidP="004A02E0">
            <w:pPr>
              <w:numPr>
                <w:ilvl w:val="0"/>
                <w:numId w:val="32"/>
              </w:numPr>
              <w:spacing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Reputation:   </w:t>
            </w:r>
            <w:r w:rsidRPr="00C93A4A">
              <w:rPr>
                <w:rFonts w:asciiTheme="minorHAnsi" w:hAnsiTheme="minorHAnsi" w:cstheme="minorHAnsi"/>
                <w:sz w:val="20"/>
                <w:szCs w:val="20"/>
                <w:lang w:val="en-GB"/>
              </w:rPr>
              <w:t>Could any of the risks, if they eventuated, cause damage to DFAT’s reputation?  Could any aspect of implementation damage bilateral relations?</w:t>
            </w:r>
          </w:p>
        </w:tc>
        <w:tc>
          <w:tcPr>
            <w:tcW w:w="992" w:type="dxa"/>
            <w:shd w:val="clear" w:color="auto" w:fill="D9D9D9" w:themeFill="background1" w:themeFillShade="D9"/>
            <w:vAlign w:val="center"/>
          </w:tcPr>
          <w:p w14:paraId="770DFBD7"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Unlikely</w:t>
            </w:r>
          </w:p>
        </w:tc>
        <w:tc>
          <w:tcPr>
            <w:tcW w:w="992" w:type="dxa"/>
            <w:gridSpan w:val="3"/>
            <w:shd w:val="clear" w:color="auto" w:fill="D9D9D9" w:themeFill="background1" w:themeFillShade="D9"/>
            <w:vAlign w:val="center"/>
          </w:tcPr>
          <w:p w14:paraId="6E836E80" w14:textId="77777777" w:rsidR="00BA1D74" w:rsidRPr="00C93A4A" w:rsidRDefault="00BA1D74" w:rsidP="004A02E0">
            <w:pPr>
              <w:ind w:left="-108" w:right="-108"/>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Moderate</w:t>
            </w:r>
          </w:p>
        </w:tc>
        <w:tc>
          <w:tcPr>
            <w:tcW w:w="993" w:type="dxa"/>
            <w:gridSpan w:val="2"/>
            <w:shd w:val="clear" w:color="auto" w:fill="FFFF00"/>
            <w:vAlign w:val="center"/>
          </w:tcPr>
          <w:p w14:paraId="43330708" w14:textId="77777777" w:rsidR="00BA1D74" w:rsidRPr="00C93A4A" w:rsidRDefault="00BA1D74" w:rsidP="004A02E0">
            <w:pPr>
              <w:ind w:left="-108" w:right="-108"/>
              <w:jc w:val="center"/>
              <w:rPr>
                <w:rFonts w:asciiTheme="minorHAnsi" w:hAnsiTheme="minorHAnsi" w:cstheme="minorHAnsi"/>
                <w:b/>
                <w:bCs/>
                <w:sz w:val="20"/>
                <w:szCs w:val="20"/>
                <w:lang w:val="en-GB"/>
              </w:rPr>
            </w:pPr>
            <w:r w:rsidRPr="00C93A4A">
              <w:rPr>
                <w:rFonts w:asciiTheme="minorHAnsi" w:hAnsiTheme="minorHAnsi" w:cstheme="minorHAnsi"/>
                <w:b/>
                <w:bCs/>
                <w:sz w:val="20"/>
                <w:szCs w:val="20"/>
                <w:lang w:val="en-GB"/>
              </w:rPr>
              <w:t>Moderate</w:t>
            </w:r>
          </w:p>
        </w:tc>
      </w:tr>
      <w:tr w:rsidR="00BA1D74" w:rsidRPr="00C93A4A" w14:paraId="51727810" w14:textId="77777777" w:rsidTr="004A02E0">
        <w:tblPrEx>
          <w:tblLook w:val="04A0" w:firstRow="1" w:lastRow="0" w:firstColumn="1" w:lastColumn="0" w:noHBand="0" w:noVBand="1"/>
        </w:tblPrEx>
        <w:tc>
          <w:tcPr>
            <w:tcW w:w="9640" w:type="dxa"/>
            <w:gridSpan w:val="7"/>
          </w:tcPr>
          <w:p w14:paraId="2C78555F"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Changes in the operating environment cause DFAT to terminate the program.</w:t>
            </w:r>
          </w:p>
          <w:p w14:paraId="1F6FECB7"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Disengagement by GoTL or redirecting of road funding away from rural roads or to agencies other than MPW (such as SEPFOPE or PDIM)</w:t>
            </w:r>
          </w:p>
          <w:p w14:paraId="23D8DBBC"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Impact </w:t>
            </w:r>
            <w:r w:rsidRPr="00C93A4A">
              <w:rPr>
                <w:rFonts w:asciiTheme="minorHAnsi" w:hAnsiTheme="minorHAnsi" w:cstheme="minorHAnsi"/>
                <w:sz w:val="20"/>
                <w:szCs w:val="20"/>
                <w:lang w:val="en-GB"/>
              </w:rPr>
              <w:t>(what is the impact on the objective if the event occurs): Potential damage to bilateral relations and GoTL engagement with other DFAT development assistance initiatives.</w:t>
            </w:r>
          </w:p>
        </w:tc>
      </w:tr>
      <w:tr w:rsidR="00BA1D74" w:rsidRPr="00C93A4A" w14:paraId="324AFEC7" w14:textId="77777777" w:rsidTr="004A02E0">
        <w:tblPrEx>
          <w:tblLook w:val="04A0" w:firstRow="1" w:lastRow="0" w:firstColumn="1" w:lastColumn="0" w:noHBand="0" w:noVBand="1"/>
        </w:tblPrEx>
        <w:tc>
          <w:tcPr>
            <w:tcW w:w="9640" w:type="dxa"/>
            <w:gridSpan w:val="7"/>
          </w:tcPr>
          <w:p w14:paraId="2F74E391"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DFAT to secure the strongest possible commitment from GoTL for the allocation of funding to rural roads as part of the agreement to proceed with a second phase; and to include provision in the agreement to adjust or terminate GoA support midway through the program if GoTL funding is not available. Ongoing communication with senior political leaders and advance notice of any required action would minimise reputational risk.</w:t>
            </w:r>
          </w:p>
        </w:tc>
      </w:tr>
      <w:tr w:rsidR="00BA1D74" w:rsidRPr="00C93A4A" w14:paraId="508C9869" w14:textId="77777777" w:rsidTr="004A02E0">
        <w:tc>
          <w:tcPr>
            <w:tcW w:w="6663" w:type="dxa"/>
            <w:shd w:val="clear" w:color="auto" w:fill="D9D9D9" w:themeFill="background1" w:themeFillShade="D9"/>
          </w:tcPr>
          <w:p w14:paraId="021CEE9D" w14:textId="77777777" w:rsidR="00BA1D74" w:rsidRPr="00C93A4A" w:rsidRDefault="00BA1D74" w:rsidP="004A02E0">
            <w:pPr>
              <w:numPr>
                <w:ilvl w:val="0"/>
                <w:numId w:val="32"/>
              </w:numPr>
              <w:spacing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lastRenderedPageBreak/>
              <w:t xml:space="preserve">Partner relations: </w:t>
            </w:r>
            <w:r w:rsidRPr="00C93A4A">
              <w:rPr>
                <w:rFonts w:asciiTheme="minorHAnsi" w:hAnsiTheme="minorHAnsi" w:cstheme="minorHAnsi"/>
                <w:sz w:val="20"/>
                <w:szCs w:val="20"/>
                <w:lang w:val="en-GB"/>
              </w:rPr>
              <w:t>Could a relationship breakdown occur with key partners/stakeholders and would this prevent the objectives/results from being achieved? Does the intended partner (if known) have the capacity to manage the risks involved with this investment? Could differing risk appetites affect the relationship?</w:t>
            </w:r>
          </w:p>
        </w:tc>
        <w:tc>
          <w:tcPr>
            <w:tcW w:w="992" w:type="dxa"/>
            <w:shd w:val="clear" w:color="auto" w:fill="D9D9D9" w:themeFill="background1" w:themeFillShade="D9"/>
            <w:vAlign w:val="center"/>
          </w:tcPr>
          <w:p w14:paraId="2AFABA1A"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Possible</w:t>
            </w:r>
          </w:p>
        </w:tc>
        <w:tc>
          <w:tcPr>
            <w:tcW w:w="992" w:type="dxa"/>
            <w:gridSpan w:val="3"/>
            <w:shd w:val="clear" w:color="auto" w:fill="D9D9D9" w:themeFill="background1" w:themeFillShade="D9"/>
            <w:vAlign w:val="center"/>
          </w:tcPr>
          <w:p w14:paraId="6FC252B5"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Severe</w:t>
            </w:r>
          </w:p>
        </w:tc>
        <w:tc>
          <w:tcPr>
            <w:tcW w:w="993" w:type="dxa"/>
            <w:gridSpan w:val="2"/>
            <w:shd w:val="clear" w:color="auto" w:fill="FFC000"/>
            <w:vAlign w:val="center"/>
          </w:tcPr>
          <w:p w14:paraId="0CEBE3BE"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High</w:t>
            </w:r>
          </w:p>
        </w:tc>
      </w:tr>
      <w:tr w:rsidR="00BA1D74" w:rsidRPr="00C93A4A" w14:paraId="53F1C796" w14:textId="77777777" w:rsidTr="004A02E0">
        <w:tblPrEx>
          <w:tblLook w:val="04A0" w:firstRow="1" w:lastRow="0" w:firstColumn="1" w:lastColumn="0" w:noHBand="0" w:noVBand="1"/>
        </w:tblPrEx>
        <w:tc>
          <w:tcPr>
            <w:tcW w:w="9640" w:type="dxa"/>
            <w:gridSpan w:val="7"/>
          </w:tcPr>
          <w:p w14:paraId="3CBFCA50"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GoTL stakeholders generally, and MPW in particular, become disillusioned with R4D as a means of improving the rural road network; or concerned that their role is not adequately recognised.</w:t>
            </w:r>
          </w:p>
          <w:p w14:paraId="24C1348F"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Given the significant amount of funding for civil works that GoTL will allocate to the program (approximately four times the GoA contribution), it will be important that the program demonstrates success. Poor or delayed implementation of the program, or a lack of credit being given to GoTL contributions, may lead to dissatisfaction among GoTL stakeholders.</w:t>
            </w:r>
          </w:p>
          <w:p w14:paraId="230A0F18"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Impact </w:t>
            </w:r>
            <w:r w:rsidRPr="00C93A4A">
              <w:rPr>
                <w:rFonts w:asciiTheme="minorHAnsi" w:hAnsiTheme="minorHAnsi" w:cstheme="minorHAnsi"/>
                <w:sz w:val="20"/>
                <w:szCs w:val="20"/>
                <w:lang w:val="en-GB"/>
              </w:rPr>
              <w:t>(what is the impact on the objective if the event occurs): GoTL withdraws, reduces or fails to prioritise its funding for R4D, preventing the program from being completed.</w:t>
            </w:r>
          </w:p>
        </w:tc>
      </w:tr>
      <w:tr w:rsidR="00BA1D74" w:rsidRPr="00C93A4A" w14:paraId="17E7E8E4" w14:textId="77777777" w:rsidTr="004A02E0">
        <w:tblPrEx>
          <w:tblLook w:val="04A0" w:firstRow="1" w:lastRow="0" w:firstColumn="1" w:lastColumn="0" w:noHBand="0" w:noVBand="1"/>
        </w:tblPrEx>
        <w:tc>
          <w:tcPr>
            <w:tcW w:w="9640" w:type="dxa"/>
            <w:gridSpan w:val="7"/>
          </w:tcPr>
          <w:p w14:paraId="7D82A459"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Ensure that the program demonstrates strong GoTL leadership and continuing promotes the value of the GoTL contribution, so that GoTL is identified with successes and feels increasing responsibility for the program’s performance.</w:t>
            </w:r>
          </w:p>
        </w:tc>
      </w:tr>
      <w:tr w:rsidR="00BA1D74" w:rsidRPr="00C93A4A" w14:paraId="4F41E044" w14:textId="77777777" w:rsidTr="004A02E0">
        <w:tc>
          <w:tcPr>
            <w:tcW w:w="6663" w:type="dxa"/>
            <w:shd w:val="clear" w:color="auto" w:fill="D9D9D9" w:themeFill="background1" w:themeFillShade="D9"/>
          </w:tcPr>
          <w:p w14:paraId="36DE1E5D" w14:textId="77777777" w:rsidR="00BA1D74" w:rsidRPr="00C93A4A" w:rsidRDefault="00BA1D74" w:rsidP="004A02E0">
            <w:pPr>
              <w:numPr>
                <w:ilvl w:val="0"/>
                <w:numId w:val="32"/>
              </w:numPr>
              <w:spacing w:before="120" w:line="240" w:lineRule="auto"/>
              <w:rPr>
                <w:rFonts w:asciiTheme="minorHAnsi" w:hAnsiTheme="minorHAnsi" w:cstheme="minorHAnsi"/>
                <w:sz w:val="20"/>
                <w:szCs w:val="20"/>
                <w:lang w:val="en-GB"/>
              </w:rPr>
            </w:pPr>
            <w:r w:rsidRPr="00C93A4A">
              <w:rPr>
                <w:rFonts w:asciiTheme="minorHAnsi" w:hAnsiTheme="minorHAnsi" w:cstheme="minorHAnsi"/>
                <w:b/>
                <w:sz w:val="20"/>
                <w:szCs w:val="20"/>
                <w:lang w:val="en-GB"/>
              </w:rPr>
              <w:t>Other:</w:t>
            </w:r>
            <w:r w:rsidRPr="00C93A4A">
              <w:rPr>
                <w:rFonts w:asciiTheme="minorHAnsi" w:hAnsiTheme="minorHAnsi" w:cstheme="minorHAnsi"/>
                <w:sz w:val="20"/>
                <w:szCs w:val="20"/>
                <w:lang w:val="en-GB"/>
              </w:rPr>
              <w:t xml:space="preserve">   Are there any other factors specific to this investment that would present a risk (e.g. this is a new area of activity or it is an innovative approach), including potential opportunities?  If yes, please describe and rate the risk.</w:t>
            </w:r>
          </w:p>
        </w:tc>
        <w:tc>
          <w:tcPr>
            <w:tcW w:w="992" w:type="dxa"/>
            <w:shd w:val="clear" w:color="auto" w:fill="D9D9D9" w:themeFill="background1" w:themeFillShade="D9"/>
            <w:vAlign w:val="center"/>
          </w:tcPr>
          <w:p w14:paraId="023F9DB8"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Unlikely</w:t>
            </w:r>
          </w:p>
        </w:tc>
        <w:tc>
          <w:tcPr>
            <w:tcW w:w="992" w:type="dxa"/>
            <w:gridSpan w:val="3"/>
            <w:shd w:val="clear" w:color="auto" w:fill="D9D9D9" w:themeFill="background1" w:themeFillShade="D9"/>
            <w:vAlign w:val="center"/>
          </w:tcPr>
          <w:p w14:paraId="5D925DB4"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Major</w:t>
            </w:r>
          </w:p>
        </w:tc>
        <w:tc>
          <w:tcPr>
            <w:tcW w:w="993" w:type="dxa"/>
            <w:gridSpan w:val="2"/>
            <w:shd w:val="clear" w:color="auto" w:fill="FFFF00"/>
            <w:vAlign w:val="center"/>
          </w:tcPr>
          <w:p w14:paraId="5321B5A2" w14:textId="77777777" w:rsidR="00BA1D74" w:rsidRPr="00C93A4A" w:rsidRDefault="00BA1D74" w:rsidP="004A02E0">
            <w:pPr>
              <w:ind w:left="-108" w:right="-108"/>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Moderate</w:t>
            </w:r>
          </w:p>
        </w:tc>
      </w:tr>
      <w:tr w:rsidR="00BA1D74" w:rsidRPr="00C93A4A" w14:paraId="7F9BCB30" w14:textId="77777777" w:rsidTr="004A02E0">
        <w:tblPrEx>
          <w:tblLook w:val="04A0" w:firstRow="1" w:lastRow="0" w:firstColumn="1" w:lastColumn="0" w:noHBand="0" w:noVBand="1"/>
        </w:tblPrEx>
        <w:tc>
          <w:tcPr>
            <w:tcW w:w="9640" w:type="dxa"/>
            <w:gridSpan w:val="7"/>
          </w:tcPr>
          <w:p w14:paraId="2D45776E"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Event/s</w:t>
            </w:r>
            <w:r w:rsidRPr="00C93A4A">
              <w:rPr>
                <w:rFonts w:asciiTheme="minorHAnsi" w:hAnsiTheme="minorHAnsi" w:cstheme="minorHAnsi"/>
                <w:sz w:val="20"/>
                <w:szCs w:val="20"/>
                <w:lang w:val="en-GB"/>
              </w:rPr>
              <w:t xml:space="preserve"> (what can happen): Decentralisation of GoTL responsibilities results in rural roads being removed from MPW and falling increasingly under the responsibility of the Municipal Administrations or another ministry. </w:t>
            </w:r>
          </w:p>
          <w:p w14:paraId="5D0391EC"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Source</w:t>
            </w:r>
            <w:r w:rsidRPr="00C93A4A">
              <w:rPr>
                <w:rFonts w:asciiTheme="minorHAnsi" w:hAnsiTheme="minorHAnsi" w:cstheme="minorHAnsi"/>
                <w:sz w:val="20"/>
                <w:szCs w:val="20"/>
                <w:lang w:val="en-GB"/>
              </w:rPr>
              <w:t xml:space="preserve"> (what can cause the event to occur): Policy decisions regarding decentralisation of public service functions.</w:t>
            </w:r>
          </w:p>
          <w:p w14:paraId="6D01F834"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b/>
                <w:sz w:val="20"/>
                <w:szCs w:val="20"/>
                <w:lang w:val="en-GB"/>
              </w:rPr>
              <w:t xml:space="preserve">Impact </w:t>
            </w:r>
            <w:r w:rsidRPr="00C93A4A">
              <w:rPr>
                <w:rFonts w:asciiTheme="minorHAnsi" w:hAnsiTheme="minorHAnsi" w:cstheme="minorHAnsi"/>
                <w:sz w:val="20"/>
                <w:szCs w:val="20"/>
                <w:lang w:val="en-GB"/>
              </w:rPr>
              <w:t>(what is the impact on the objective if the event occurs): Capacity established by the program up to that point may not be transferred to the new agency or agencies given responsibility for rural roads rendering much of the capacity building to that point ineffectual.</w:t>
            </w:r>
          </w:p>
        </w:tc>
      </w:tr>
      <w:tr w:rsidR="00BA1D74" w:rsidRPr="00C93A4A" w14:paraId="1B0C9FAC" w14:textId="77777777" w:rsidTr="004A02E0">
        <w:tblPrEx>
          <w:tblLook w:val="04A0" w:firstRow="1" w:lastRow="0" w:firstColumn="1" w:lastColumn="0" w:noHBand="0" w:noVBand="1"/>
        </w:tblPrEx>
        <w:tc>
          <w:tcPr>
            <w:tcW w:w="9640" w:type="dxa"/>
            <w:gridSpan w:val="7"/>
          </w:tcPr>
          <w:p w14:paraId="16CEEAA6" w14:textId="0575C826" w:rsidR="00BA1D74" w:rsidRPr="00C93A4A" w:rsidRDefault="00BA1D74" w:rsidP="00830FC2">
            <w:pPr>
              <w:rPr>
                <w:rFonts w:asciiTheme="minorHAnsi" w:hAnsiTheme="minorHAnsi" w:cstheme="minorHAnsi"/>
                <w:sz w:val="20"/>
                <w:szCs w:val="20"/>
                <w:lang w:val="en-GB"/>
              </w:rPr>
            </w:pPr>
            <w:r w:rsidRPr="00C93A4A">
              <w:rPr>
                <w:rFonts w:asciiTheme="minorHAnsi" w:hAnsiTheme="minorHAnsi" w:cstheme="minorHAnsi"/>
                <w:b/>
                <w:sz w:val="20"/>
                <w:szCs w:val="20"/>
                <w:lang w:val="en-GB"/>
              </w:rPr>
              <w:t>Mitigation</w:t>
            </w:r>
            <w:r w:rsidRPr="00C93A4A">
              <w:rPr>
                <w:rFonts w:asciiTheme="minorHAnsi" w:hAnsiTheme="minorHAnsi" w:cstheme="minorHAnsi"/>
                <w:sz w:val="20"/>
                <w:szCs w:val="20"/>
                <w:lang w:val="en-GB"/>
              </w:rPr>
              <w:t xml:space="preserve"> – what (if known) can DFAT do to decrease the likelihood and/or consequence of the risk? DFAT should work with the R4D team during the first phase extension and once a second phase commences to monitor plans for decentralisation and prepare the program to support decentralisation as it unfolds.  </w:t>
            </w:r>
          </w:p>
        </w:tc>
      </w:tr>
      <w:tr w:rsidR="00BA1D74" w:rsidRPr="00C93A4A" w14:paraId="39A1C346" w14:textId="77777777" w:rsidTr="004A02E0">
        <w:tblPrEx>
          <w:tblLook w:val="04A0" w:firstRow="1" w:lastRow="0" w:firstColumn="1" w:lastColumn="0" w:noHBand="0" w:noVBand="1"/>
        </w:tblPrEx>
        <w:tc>
          <w:tcPr>
            <w:tcW w:w="8472" w:type="dxa"/>
            <w:gridSpan w:val="4"/>
          </w:tcPr>
          <w:p w14:paraId="4E565A42" w14:textId="77777777" w:rsidR="00BA1D74" w:rsidRPr="00C93A4A" w:rsidRDefault="00BA1D74" w:rsidP="004A02E0">
            <w:pPr>
              <w:jc w:val="center"/>
              <w:rPr>
                <w:rFonts w:asciiTheme="minorHAnsi" w:hAnsiTheme="minorHAnsi" w:cstheme="minorHAnsi"/>
                <w:b/>
                <w:sz w:val="20"/>
                <w:szCs w:val="20"/>
                <w:lang w:val="en-GB"/>
              </w:rPr>
            </w:pPr>
            <w:r w:rsidRPr="00C93A4A">
              <w:rPr>
                <w:rFonts w:asciiTheme="minorHAnsi" w:hAnsiTheme="minorHAnsi" w:cstheme="minorHAnsi"/>
                <w:b/>
                <w:sz w:val="20"/>
                <w:szCs w:val="20"/>
                <w:lang w:val="en-GB"/>
              </w:rPr>
              <w:t>Overall Risk Rating:</w:t>
            </w:r>
          </w:p>
        </w:tc>
        <w:tc>
          <w:tcPr>
            <w:tcW w:w="1168" w:type="dxa"/>
            <w:gridSpan w:val="3"/>
            <w:shd w:val="clear" w:color="auto" w:fill="92D050"/>
          </w:tcPr>
          <w:p w14:paraId="61D16879" w14:textId="77777777" w:rsidR="00BA1D74" w:rsidRPr="00C93A4A" w:rsidRDefault="00BA1D74" w:rsidP="004A02E0">
            <w:pPr>
              <w:spacing w:before="120"/>
              <w:jc w:val="center"/>
              <w:rPr>
                <w:rFonts w:asciiTheme="minorHAnsi" w:hAnsiTheme="minorHAnsi" w:cstheme="minorHAnsi"/>
                <w:sz w:val="20"/>
                <w:szCs w:val="20"/>
                <w:lang w:val="en-GB"/>
              </w:rPr>
            </w:pPr>
            <w:r w:rsidRPr="00C93A4A">
              <w:rPr>
                <w:rFonts w:asciiTheme="minorHAnsi" w:hAnsiTheme="minorHAnsi" w:cstheme="minorHAnsi"/>
                <w:sz w:val="20"/>
                <w:szCs w:val="20"/>
                <w:lang w:val="en-GB"/>
              </w:rPr>
              <w:t>Low-risk</w:t>
            </w:r>
          </w:p>
        </w:tc>
      </w:tr>
    </w:tbl>
    <w:p w14:paraId="0DCD1BB1" w14:textId="77777777" w:rsidR="00BA1D74" w:rsidRPr="00C93A4A" w:rsidRDefault="00BA1D74" w:rsidP="00BA1D74">
      <w:pPr>
        <w:spacing w:after="200" w:line="276" w:lineRule="auto"/>
        <w:rPr>
          <w:rFonts w:ascii="Franklin Gothic Book" w:hAnsi="Franklin Gothic Book"/>
          <w:sz w:val="21"/>
          <w:lang w:val="en-GB"/>
        </w:rPr>
      </w:pPr>
    </w:p>
    <w:p w14:paraId="121D77F6" w14:textId="77777777" w:rsidR="00BA1D74" w:rsidRPr="00C93A4A" w:rsidRDefault="00BA1D74" w:rsidP="00BA1D74">
      <w:pPr>
        <w:spacing w:after="200" w:line="276" w:lineRule="auto"/>
        <w:rPr>
          <w:rFonts w:ascii="Franklin Gothic Book" w:hAnsi="Franklin Gothic Book"/>
          <w:sz w:val="21"/>
          <w:lang w:val="en-GB"/>
        </w:rPr>
      </w:pPr>
    </w:p>
    <w:p w14:paraId="0F8FCE78" w14:textId="77777777" w:rsidR="00BA1D74" w:rsidRPr="00C93A4A" w:rsidRDefault="00BA1D74" w:rsidP="00BA1D74">
      <w:pPr>
        <w:rPr>
          <w:lang w:val="en-GB"/>
        </w:rPr>
      </w:pPr>
    </w:p>
    <w:p w14:paraId="1AF08A9E" w14:textId="77777777" w:rsidR="00BA1D74" w:rsidRPr="00C93A4A" w:rsidRDefault="00BA1D74" w:rsidP="00BA1D74">
      <w:pPr>
        <w:spacing w:after="0" w:line="240" w:lineRule="auto"/>
        <w:rPr>
          <w:rFonts w:asciiTheme="minorHAnsi" w:hAnsiTheme="minorHAnsi"/>
          <w:b/>
          <w:bCs/>
          <w:color w:val="676A55" w:themeColor="text2"/>
          <w:sz w:val="24"/>
          <w:szCs w:val="26"/>
          <w:lang w:val="en-GB"/>
        </w:rPr>
      </w:pPr>
      <w:r w:rsidRPr="00C93A4A">
        <w:rPr>
          <w:lang w:val="en-GB"/>
        </w:rPr>
        <w:br w:type="page"/>
      </w:r>
    </w:p>
    <w:p w14:paraId="19028BA5" w14:textId="77777777" w:rsidR="00BA1D74" w:rsidRPr="00C93A4A" w:rsidRDefault="00BA1D74" w:rsidP="00BA1D74">
      <w:pPr>
        <w:pStyle w:val="Heading1"/>
        <w:numPr>
          <w:ilvl w:val="0"/>
          <w:numId w:val="22"/>
        </w:numPr>
        <w:tabs>
          <w:tab w:val="left" w:pos="993"/>
        </w:tabs>
      </w:pPr>
      <w:bookmarkStart w:id="8" w:name="_Toc424633121"/>
      <w:r w:rsidRPr="00C93A4A">
        <w:lastRenderedPageBreak/>
        <w:t>Safeguards screening checklist</w:t>
      </w:r>
      <w:bookmarkEnd w:id="8"/>
    </w:p>
    <w:p w14:paraId="11B3EDEB" w14:textId="77777777" w:rsidR="00BA1D74" w:rsidRPr="00C93A4A" w:rsidRDefault="00BA1D74" w:rsidP="00BA1D74">
      <w:pPr>
        <w:spacing w:after="0" w:line="240" w:lineRule="auto"/>
        <w:rPr>
          <w:lang w:val="en-GB"/>
        </w:rPr>
      </w:pPr>
    </w:p>
    <w:p w14:paraId="3EBB13F5" w14:textId="77777777" w:rsidR="00BA1D74" w:rsidRPr="00C93A4A" w:rsidRDefault="00BA1D74" w:rsidP="00BA1D74">
      <w:pPr>
        <w:spacing w:before="120"/>
        <w:rPr>
          <w:rFonts w:ascii="Franklin Gothic Book" w:hAnsi="Franklin Gothic Book"/>
          <w:sz w:val="21"/>
          <w:lang w:val="en-GB"/>
        </w:rPr>
      </w:pPr>
      <w:r w:rsidRPr="00C93A4A">
        <w:rPr>
          <w:rFonts w:ascii="Helvetica" w:hAnsi="Helvetica"/>
          <w:sz w:val="21"/>
          <w:szCs w:val="21"/>
          <w:lang w:val="en-GB"/>
        </w:rPr>
        <w:t>Safeguards Screening Checklist</w:t>
      </w:r>
    </w:p>
    <w:p w14:paraId="29F971B3" w14:textId="77777777" w:rsidR="00BA1D74" w:rsidRPr="00C93A4A" w:rsidRDefault="00BA1D74" w:rsidP="00BA1D74">
      <w:pPr>
        <w:rPr>
          <w:rFonts w:ascii="Franklin Gothic Book" w:hAnsi="Franklin Gothic Book"/>
          <w:b/>
          <w:bCs/>
          <w:sz w:val="21"/>
          <w:szCs w:val="21"/>
          <w:lang w:val="en-GB"/>
        </w:rPr>
      </w:pPr>
      <w:r w:rsidRPr="00C93A4A">
        <w:rPr>
          <w:rFonts w:ascii="Franklin Gothic Book" w:hAnsi="Franklin Gothic Book"/>
          <w:sz w:val="21"/>
          <w:szCs w:val="21"/>
          <w:lang w:val="en-GB"/>
        </w:rPr>
        <w:t xml:space="preserve">This tool provides a safeguard ‘checklist’ for you to consider at the early stages of investment development. It will help you determine the appropriate level of analysis that needs to be included in your Investment Design. This does not replace the need to further assess and manage safeguard risks throughout Investment Design and implementation in accordance with each of the Safeguard Policies and Guidelines. </w:t>
      </w:r>
    </w:p>
    <w:p w14:paraId="618BB5BE" w14:textId="77777777" w:rsidR="00BA1D74" w:rsidRPr="00C93A4A" w:rsidRDefault="00BA1D74" w:rsidP="00BA1D74">
      <w:pPr>
        <w:rPr>
          <w:rFonts w:ascii="Franklin Gothic Book" w:hAnsi="Franklin Gothic Book" w:cs="Calibri"/>
          <w:b/>
          <w:bCs/>
          <w:color w:val="000000"/>
          <w:sz w:val="21"/>
          <w:szCs w:val="21"/>
          <w:lang w:val="en-GB"/>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2"/>
        <w:gridCol w:w="6"/>
        <w:gridCol w:w="555"/>
        <w:gridCol w:w="6"/>
        <w:gridCol w:w="513"/>
        <w:gridCol w:w="6"/>
        <w:gridCol w:w="732"/>
        <w:gridCol w:w="6"/>
      </w:tblGrid>
      <w:tr w:rsidR="00BA1D74" w:rsidRPr="00C93A4A" w14:paraId="6D21AFAC" w14:textId="77777777" w:rsidTr="004A02E0">
        <w:tc>
          <w:tcPr>
            <w:tcW w:w="7788" w:type="dxa"/>
            <w:gridSpan w:val="2"/>
            <w:tcBorders>
              <w:bottom w:val="single" w:sz="4" w:space="0" w:color="auto"/>
              <w:right w:val="double" w:sz="4" w:space="0" w:color="auto"/>
            </w:tcBorders>
            <w:shd w:val="clear" w:color="auto" w:fill="D9D9D9" w:themeFill="background1" w:themeFillShade="D9"/>
          </w:tcPr>
          <w:p w14:paraId="47C8326F" w14:textId="77777777" w:rsidR="00BA1D74" w:rsidRPr="00C93A4A" w:rsidRDefault="00BA1D74" w:rsidP="004A02E0">
            <w:pPr>
              <w:rPr>
                <w:rFonts w:asciiTheme="minorHAnsi" w:hAnsiTheme="minorHAnsi" w:cstheme="minorHAnsi"/>
                <w:b/>
                <w:sz w:val="20"/>
                <w:szCs w:val="20"/>
                <w:lang w:val="en-GB"/>
              </w:rPr>
            </w:pPr>
          </w:p>
        </w:tc>
        <w:tc>
          <w:tcPr>
            <w:tcW w:w="561" w:type="dxa"/>
            <w:gridSpan w:val="2"/>
            <w:tcBorders>
              <w:left w:val="double" w:sz="4" w:space="0" w:color="auto"/>
              <w:bottom w:val="single" w:sz="4" w:space="0" w:color="auto"/>
            </w:tcBorders>
            <w:shd w:val="clear" w:color="auto" w:fill="D9D9D9" w:themeFill="background1" w:themeFillShade="D9"/>
          </w:tcPr>
          <w:p w14:paraId="6643A231" w14:textId="77777777" w:rsidR="00BA1D74" w:rsidRPr="00C93A4A" w:rsidRDefault="00BA1D74" w:rsidP="004A02E0">
            <w:pPr>
              <w:rPr>
                <w:rFonts w:asciiTheme="minorHAnsi" w:hAnsiTheme="minorHAnsi" w:cstheme="minorHAnsi"/>
                <w:b/>
                <w:sz w:val="20"/>
                <w:szCs w:val="20"/>
                <w:lang w:val="en-GB"/>
              </w:rPr>
            </w:pPr>
            <w:r w:rsidRPr="00C93A4A">
              <w:rPr>
                <w:rFonts w:asciiTheme="minorHAnsi" w:hAnsiTheme="minorHAnsi" w:cstheme="minorHAnsi"/>
                <w:b/>
                <w:sz w:val="20"/>
                <w:szCs w:val="20"/>
                <w:lang w:val="en-GB"/>
              </w:rPr>
              <w:t>Yes</w:t>
            </w:r>
          </w:p>
        </w:tc>
        <w:tc>
          <w:tcPr>
            <w:tcW w:w="519" w:type="dxa"/>
            <w:gridSpan w:val="2"/>
            <w:tcBorders>
              <w:bottom w:val="single" w:sz="4" w:space="0" w:color="auto"/>
            </w:tcBorders>
            <w:shd w:val="clear" w:color="auto" w:fill="D9D9D9" w:themeFill="background1" w:themeFillShade="D9"/>
          </w:tcPr>
          <w:p w14:paraId="4BB211C9" w14:textId="77777777" w:rsidR="00BA1D74" w:rsidRPr="00C93A4A" w:rsidRDefault="00BA1D74" w:rsidP="004A02E0">
            <w:pPr>
              <w:rPr>
                <w:rFonts w:asciiTheme="minorHAnsi" w:hAnsiTheme="minorHAnsi" w:cstheme="minorHAnsi"/>
                <w:b/>
                <w:sz w:val="20"/>
                <w:szCs w:val="20"/>
                <w:lang w:val="en-GB"/>
              </w:rPr>
            </w:pPr>
            <w:r w:rsidRPr="00C93A4A">
              <w:rPr>
                <w:rFonts w:asciiTheme="minorHAnsi" w:hAnsiTheme="minorHAnsi" w:cstheme="minorHAnsi"/>
                <w:b/>
                <w:sz w:val="20"/>
                <w:szCs w:val="20"/>
                <w:lang w:val="en-GB"/>
              </w:rPr>
              <w:t>No</w:t>
            </w:r>
          </w:p>
        </w:tc>
        <w:tc>
          <w:tcPr>
            <w:tcW w:w="738" w:type="dxa"/>
            <w:gridSpan w:val="2"/>
            <w:tcBorders>
              <w:bottom w:val="single" w:sz="4" w:space="0" w:color="auto"/>
            </w:tcBorders>
            <w:shd w:val="clear" w:color="auto" w:fill="D9D9D9" w:themeFill="background1" w:themeFillShade="D9"/>
          </w:tcPr>
          <w:p w14:paraId="096119A6" w14:textId="77777777" w:rsidR="00BA1D74" w:rsidRPr="00C93A4A" w:rsidRDefault="00BA1D74" w:rsidP="004A02E0">
            <w:pPr>
              <w:rPr>
                <w:rFonts w:asciiTheme="minorHAnsi" w:hAnsiTheme="minorHAnsi" w:cstheme="minorHAnsi"/>
                <w:b/>
                <w:sz w:val="20"/>
                <w:szCs w:val="20"/>
                <w:lang w:val="en-GB"/>
              </w:rPr>
            </w:pPr>
            <w:r w:rsidRPr="00C93A4A">
              <w:rPr>
                <w:rFonts w:asciiTheme="minorHAnsi" w:hAnsiTheme="minorHAnsi" w:cstheme="minorHAnsi"/>
                <w:b/>
                <w:sz w:val="20"/>
                <w:szCs w:val="20"/>
                <w:lang w:val="en-GB"/>
              </w:rPr>
              <w:t>Not Sure</w:t>
            </w:r>
          </w:p>
        </w:tc>
      </w:tr>
      <w:tr w:rsidR="00BA1D74" w:rsidRPr="00C93A4A" w14:paraId="28C0C209" w14:textId="77777777" w:rsidTr="00161F35">
        <w:tc>
          <w:tcPr>
            <w:tcW w:w="7788" w:type="dxa"/>
            <w:gridSpan w:val="2"/>
            <w:tcBorders>
              <w:right w:val="double" w:sz="4" w:space="0" w:color="auto"/>
            </w:tcBorders>
            <w:shd w:val="clear" w:color="auto" w:fill="D8DAC1" w:themeFill="background2" w:themeFillShade="E6"/>
          </w:tcPr>
          <w:p w14:paraId="405D466E" w14:textId="77777777" w:rsidR="00BA1D74" w:rsidRPr="00C93A4A" w:rsidRDefault="00BA1D74" w:rsidP="004A02E0">
            <w:pPr>
              <w:rPr>
                <w:rFonts w:asciiTheme="minorHAnsi" w:hAnsiTheme="minorHAnsi" w:cstheme="minorHAnsi"/>
                <w:b/>
                <w:sz w:val="20"/>
                <w:szCs w:val="20"/>
                <w:lang w:val="en-GB"/>
              </w:rPr>
            </w:pPr>
            <w:r w:rsidRPr="00C93A4A">
              <w:rPr>
                <w:rFonts w:asciiTheme="minorHAnsi" w:hAnsiTheme="minorHAnsi" w:cstheme="minorHAnsi"/>
                <w:b/>
                <w:sz w:val="20"/>
                <w:szCs w:val="20"/>
                <w:lang w:val="en-GB"/>
              </w:rPr>
              <w:t>Child protection</w:t>
            </w:r>
            <w:r w:rsidRPr="00C93A4A">
              <w:rPr>
                <w:rStyle w:val="FootnoteReference"/>
                <w:rFonts w:asciiTheme="minorHAnsi" w:hAnsiTheme="minorHAnsi" w:cstheme="minorHAnsi"/>
                <w:sz w:val="20"/>
                <w:szCs w:val="20"/>
                <w:lang w:val="en-GB"/>
              </w:rPr>
              <w:footnoteReference w:id="7"/>
            </w:r>
            <w:r w:rsidRPr="00C93A4A">
              <w:rPr>
                <w:rStyle w:val="FootnoteReference"/>
                <w:rFonts w:asciiTheme="minorHAnsi" w:hAnsiTheme="minorHAnsi" w:cstheme="minorHAnsi"/>
                <w:sz w:val="20"/>
                <w:szCs w:val="20"/>
                <w:lang w:val="en-GB"/>
              </w:rPr>
              <w:t xml:space="preserve"> </w:t>
            </w:r>
          </w:p>
        </w:tc>
        <w:tc>
          <w:tcPr>
            <w:tcW w:w="561" w:type="dxa"/>
            <w:gridSpan w:val="2"/>
            <w:tcBorders>
              <w:left w:val="double" w:sz="4" w:space="0" w:color="auto"/>
            </w:tcBorders>
            <w:shd w:val="clear" w:color="auto" w:fill="D8DAC1" w:themeFill="background2" w:themeFillShade="E6"/>
          </w:tcPr>
          <w:p w14:paraId="5563C7FF" w14:textId="77777777" w:rsidR="00BA1D74" w:rsidRPr="00C93A4A" w:rsidRDefault="00BA1D74" w:rsidP="004A02E0">
            <w:pPr>
              <w:rPr>
                <w:rFonts w:asciiTheme="minorHAnsi" w:hAnsiTheme="minorHAnsi" w:cstheme="minorHAnsi"/>
                <w:sz w:val="20"/>
                <w:szCs w:val="20"/>
                <w:lang w:val="en-GB"/>
              </w:rPr>
            </w:pPr>
          </w:p>
        </w:tc>
        <w:tc>
          <w:tcPr>
            <w:tcW w:w="519" w:type="dxa"/>
            <w:gridSpan w:val="2"/>
            <w:shd w:val="clear" w:color="auto" w:fill="D8DAC1" w:themeFill="background2" w:themeFillShade="E6"/>
          </w:tcPr>
          <w:p w14:paraId="6FFC59E6" w14:textId="77777777" w:rsidR="00BA1D74" w:rsidRPr="00C93A4A" w:rsidRDefault="00BA1D74" w:rsidP="004A02E0">
            <w:pPr>
              <w:rPr>
                <w:rFonts w:asciiTheme="minorHAnsi" w:hAnsiTheme="minorHAnsi" w:cstheme="minorHAnsi"/>
                <w:sz w:val="20"/>
                <w:szCs w:val="20"/>
                <w:lang w:val="en-GB"/>
              </w:rPr>
            </w:pPr>
          </w:p>
        </w:tc>
        <w:tc>
          <w:tcPr>
            <w:tcW w:w="738" w:type="dxa"/>
            <w:gridSpan w:val="2"/>
            <w:shd w:val="clear" w:color="auto" w:fill="D8DAC1" w:themeFill="background2" w:themeFillShade="E6"/>
          </w:tcPr>
          <w:p w14:paraId="3F11CBB5" w14:textId="77777777" w:rsidR="00BA1D74" w:rsidRPr="00C93A4A" w:rsidRDefault="00BA1D74" w:rsidP="004A02E0">
            <w:pPr>
              <w:rPr>
                <w:rFonts w:asciiTheme="minorHAnsi" w:hAnsiTheme="minorHAnsi" w:cstheme="minorHAnsi"/>
                <w:sz w:val="20"/>
                <w:szCs w:val="20"/>
                <w:lang w:val="en-GB"/>
              </w:rPr>
            </w:pPr>
          </w:p>
        </w:tc>
      </w:tr>
      <w:tr w:rsidR="00BA1D74" w:rsidRPr="00C93A4A" w14:paraId="50FB67EF" w14:textId="77777777" w:rsidTr="004A02E0">
        <w:tc>
          <w:tcPr>
            <w:tcW w:w="7788" w:type="dxa"/>
            <w:gridSpan w:val="2"/>
            <w:tcBorders>
              <w:right w:val="double" w:sz="4" w:space="0" w:color="auto"/>
            </w:tcBorders>
            <w:shd w:val="clear" w:color="auto" w:fill="auto"/>
          </w:tcPr>
          <w:p w14:paraId="05E0A099"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sz w:val="20"/>
                <w:szCs w:val="20"/>
                <w:lang w:val="en-GB"/>
              </w:rPr>
              <w:t>1.1 Did the outcome of the child protection risk context assessment indicate a full assessment is required?</w:t>
            </w:r>
            <w:r w:rsidRPr="00C93A4A">
              <w:rPr>
                <w:rStyle w:val="FootnoteReference"/>
                <w:rFonts w:asciiTheme="minorHAnsi" w:hAnsiTheme="minorHAnsi" w:cstheme="minorHAnsi"/>
                <w:sz w:val="20"/>
                <w:szCs w:val="20"/>
                <w:lang w:val="en-GB"/>
              </w:rPr>
              <w:t xml:space="preserve"> </w:t>
            </w:r>
            <w:r w:rsidRPr="00C93A4A">
              <w:rPr>
                <w:rStyle w:val="FootnoteReference"/>
                <w:rFonts w:asciiTheme="minorHAnsi" w:hAnsiTheme="minorHAnsi" w:cstheme="minorHAnsi"/>
                <w:sz w:val="20"/>
                <w:szCs w:val="20"/>
                <w:lang w:val="en-GB"/>
              </w:rPr>
              <w:footnoteReference w:id="8"/>
            </w:r>
          </w:p>
        </w:tc>
        <w:tc>
          <w:tcPr>
            <w:tcW w:w="561" w:type="dxa"/>
            <w:gridSpan w:val="2"/>
            <w:tcBorders>
              <w:left w:val="double" w:sz="4" w:space="0" w:color="auto"/>
            </w:tcBorders>
            <w:shd w:val="clear" w:color="auto" w:fill="auto"/>
          </w:tcPr>
          <w:p w14:paraId="157DD272" w14:textId="77777777" w:rsidR="00BA1D74" w:rsidRPr="00C93A4A" w:rsidRDefault="00BA1D74" w:rsidP="004A02E0">
            <w:pPr>
              <w:rPr>
                <w:rFonts w:asciiTheme="minorHAnsi" w:hAnsiTheme="minorHAnsi" w:cstheme="minorHAnsi"/>
                <w:sz w:val="20"/>
                <w:szCs w:val="20"/>
                <w:lang w:val="en-GB"/>
              </w:rPr>
            </w:pPr>
          </w:p>
        </w:tc>
        <w:tc>
          <w:tcPr>
            <w:tcW w:w="519" w:type="dxa"/>
            <w:gridSpan w:val="2"/>
            <w:shd w:val="clear" w:color="auto" w:fill="auto"/>
          </w:tcPr>
          <w:p w14:paraId="16FF101F"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tc>
        <w:tc>
          <w:tcPr>
            <w:tcW w:w="738" w:type="dxa"/>
            <w:gridSpan w:val="2"/>
            <w:shd w:val="clear" w:color="auto" w:fill="auto"/>
          </w:tcPr>
          <w:p w14:paraId="521A2B49" w14:textId="77777777" w:rsidR="00BA1D74" w:rsidRPr="00C93A4A" w:rsidRDefault="00BA1D74" w:rsidP="004A02E0">
            <w:pPr>
              <w:rPr>
                <w:rFonts w:asciiTheme="minorHAnsi" w:hAnsiTheme="minorHAnsi" w:cstheme="minorHAnsi"/>
                <w:sz w:val="20"/>
                <w:szCs w:val="20"/>
                <w:lang w:val="en-GB"/>
              </w:rPr>
            </w:pPr>
          </w:p>
        </w:tc>
      </w:tr>
      <w:tr w:rsidR="00BA1D74" w:rsidRPr="00C93A4A" w14:paraId="106D17F5" w14:textId="77777777" w:rsidTr="004A02E0">
        <w:tc>
          <w:tcPr>
            <w:tcW w:w="7788" w:type="dxa"/>
            <w:gridSpan w:val="2"/>
            <w:tcBorders>
              <w:right w:val="double" w:sz="4" w:space="0" w:color="auto"/>
            </w:tcBorders>
            <w:shd w:val="clear" w:color="auto" w:fill="auto"/>
          </w:tcPr>
          <w:p w14:paraId="57CF228D"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sz w:val="20"/>
                <w:szCs w:val="20"/>
                <w:lang w:val="en-GB"/>
              </w:rPr>
              <w:t>1.2 Is the investment likely to involve contact with or access to children (0-18 years old) due to the nature of the activity or the working environment?</w:t>
            </w:r>
          </w:p>
        </w:tc>
        <w:tc>
          <w:tcPr>
            <w:tcW w:w="561" w:type="dxa"/>
            <w:gridSpan w:val="2"/>
            <w:tcBorders>
              <w:left w:val="double" w:sz="4" w:space="0" w:color="auto"/>
            </w:tcBorders>
            <w:shd w:val="clear" w:color="auto" w:fill="auto"/>
          </w:tcPr>
          <w:p w14:paraId="406D5630"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sz w:val="20"/>
                <w:szCs w:val="20"/>
                <w:lang w:val="en-GB"/>
              </w:rPr>
              <w:t>Yes</w:t>
            </w:r>
          </w:p>
        </w:tc>
        <w:tc>
          <w:tcPr>
            <w:tcW w:w="519" w:type="dxa"/>
            <w:gridSpan w:val="2"/>
            <w:shd w:val="clear" w:color="auto" w:fill="auto"/>
          </w:tcPr>
          <w:p w14:paraId="3D90368C" w14:textId="77777777" w:rsidR="00BA1D74" w:rsidRPr="00C93A4A" w:rsidRDefault="00BA1D74" w:rsidP="004A02E0">
            <w:pPr>
              <w:rPr>
                <w:rFonts w:asciiTheme="minorHAnsi" w:hAnsiTheme="minorHAnsi" w:cstheme="minorHAnsi"/>
                <w:sz w:val="20"/>
                <w:szCs w:val="20"/>
                <w:lang w:val="en-GB"/>
              </w:rPr>
            </w:pPr>
          </w:p>
        </w:tc>
        <w:tc>
          <w:tcPr>
            <w:tcW w:w="738" w:type="dxa"/>
            <w:gridSpan w:val="2"/>
            <w:shd w:val="clear" w:color="auto" w:fill="auto"/>
          </w:tcPr>
          <w:p w14:paraId="60895ACB" w14:textId="77777777" w:rsidR="00BA1D74" w:rsidRPr="00C93A4A" w:rsidRDefault="00BA1D74" w:rsidP="004A02E0">
            <w:pPr>
              <w:rPr>
                <w:rFonts w:asciiTheme="minorHAnsi" w:hAnsiTheme="minorHAnsi" w:cstheme="minorHAnsi"/>
                <w:sz w:val="20"/>
                <w:szCs w:val="20"/>
                <w:lang w:val="en-GB"/>
              </w:rPr>
            </w:pPr>
          </w:p>
        </w:tc>
      </w:tr>
      <w:tr w:rsidR="00BA1D74" w:rsidRPr="00C93A4A" w14:paraId="22943A88" w14:textId="77777777" w:rsidTr="004A02E0">
        <w:tc>
          <w:tcPr>
            <w:tcW w:w="7788" w:type="dxa"/>
            <w:gridSpan w:val="2"/>
            <w:tcBorders>
              <w:bottom w:val="single" w:sz="4" w:space="0" w:color="auto"/>
              <w:right w:val="double" w:sz="4" w:space="0" w:color="auto"/>
            </w:tcBorders>
            <w:shd w:val="clear" w:color="auto" w:fill="auto"/>
          </w:tcPr>
          <w:p w14:paraId="443CCF4C"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sz w:val="20"/>
                <w:szCs w:val="20"/>
                <w:lang w:val="en-GB"/>
              </w:rPr>
              <w:t>1.3 Will the investment involve personnel working with children?</w:t>
            </w:r>
          </w:p>
        </w:tc>
        <w:tc>
          <w:tcPr>
            <w:tcW w:w="561" w:type="dxa"/>
            <w:gridSpan w:val="2"/>
            <w:tcBorders>
              <w:left w:val="double" w:sz="4" w:space="0" w:color="auto"/>
              <w:bottom w:val="single" w:sz="4" w:space="0" w:color="auto"/>
            </w:tcBorders>
            <w:shd w:val="clear" w:color="auto" w:fill="auto"/>
          </w:tcPr>
          <w:p w14:paraId="6BE96069" w14:textId="77777777" w:rsidR="00BA1D74" w:rsidRPr="00C93A4A" w:rsidRDefault="00BA1D74" w:rsidP="004A02E0">
            <w:pPr>
              <w:rPr>
                <w:rFonts w:asciiTheme="minorHAnsi" w:hAnsiTheme="minorHAnsi" w:cstheme="minorHAnsi"/>
                <w:sz w:val="20"/>
                <w:szCs w:val="20"/>
                <w:lang w:val="en-GB"/>
              </w:rPr>
            </w:pPr>
          </w:p>
        </w:tc>
        <w:tc>
          <w:tcPr>
            <w:tcW w:w="519" w:type="dxa"/>
            <w:gridSpan w:val="2"/>
            <w:tcBorders>
              <w:bottom w:val="single" w:sz="4" w:space="0" w:color="auto"/>
            </w:tcBorders>
            <w:shd w:val="clear" w:color="auto" w:fill="auto"/>
          </w:tcPr>
          <w:p w14:paraId="7324991F" w14:textId="77777777" w:rsidR="00BA1D74" w:rsidRPr="00C93A4A" w:rsidRDefault="00BA1D74" w:rsidP="004A02E0">
            <w:pPr>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tc>
        <w:tc>
          <w:tcPr>
            <w:tcW w:w="738" w:type="dxa"/>
            <w:gridSpan w:val="2"/>
            <w:tcBorders>
              <w:bottom w:val="single" w:sz="4" w:space="0" w:color="auto"/>
            </w:tcBorders>
            <w:shd w:val="clear" w:color="auto" w:fill="auto"/>
          </w:tcPr>
          <w:p w14:paraId="5E133990" w14:textId="77777777" w:rsidR="00BA1D74" w:rsidRPr="00C93A4A" w:rsidRDefault="00BA1D74" w:rsidP="004A02E0">
            <w:pPr>
              <w:rPr>
                <w:rFonts w:asciiTheme="minorHAnsi" w:hAnsiTheme="minorHAnsi" w:cstheme="minorHAnsi"/>
                <w:sz w:val="20"/>
                <w:szCs w:val="20"/>
                <w:lang w:val="en-GB"/>
              </w:rPr>
            </w:pPr>
          </w:p>
        </w:tc>
      </w:tr>
      <w:tr w:rsidR="00BA1D74" w:rsidRPr="00C93A4A" w14:paraId="3274AEEC" w14:textId="77777777" w:rsidTr="00161F35">
        <w:tc>
          <w:tcPr>
            <w:tcW w:w="7788" w:type="dxa"/>
            <w:gridSpan w:val="2"/>
            <w:tcBorders>
              <w:right w:val="double" w:sz="4" w:space="0" w:color="auto"/>
            </w:tcBorders>
            <w:shd w:val="clear" w:color="auto" w:fill="D8DAC1" w:themeFill="background2" w:themeFillShade="E6"/>
          </w:tcPr>
          <w:p w14:paraId="2B96387E" w14:textId="77777777" w:rsidR="00BA1D74" w:rsidRPr="00C93A4A" w:rsidRDefault="00BA1D74" w:rsidP="004A02E0">
            <w:pPr>
              <w:rPr>
                <w:rFonts w:asciiTheme="minorHAnsi" w:hAnsiTheme="minorHAnsi" w:cstheme="minorHAnsi"/>
                <w:b/>
                <w:sz w:val="20"/>
                <w:szCs w:val="20"/>
                <w:lang w:val="en-GB"/>
              </w:rPr>
            </w:pPr>
            <w:r w:rsidRPr="00C93A4A">
              <w:rPr>
                <w:rFonts w:asciiTheme="minorHAnsi" w:hAnsiTheme="minorHAnsi" w:cstheme="minorHAnsi"/>
                <w:b/>
                <w:sz w:val="20"/>
                <w:szCs w:val="20"/>
                <w:lang w:val="en-GB"/>
              </w:rPr>
              <w:t xml:space="preserve">Displacement and resettlement </w:t>
            </w:r>
          </w:p>
        </w:tc>
        <w:tc>
          <w:tcPr>
            <w:tcW w:w="561" w:type="dxa"/>
            <w:gridSpan w:val="2"/>
            <w:tcBorders>
              <w:left w:val="double" w:sz="4" w:space="0" w:color="auto"/>
            </w:tcBorders>
            <w:shd w:val="clear" w:color="auto" w:fill="D8DAC1" w:themeFill="background2" w:themeFillShade="E6"/>
          </w:tcPr>
          <w:p w14:paraId="3D01FF62" w14:textId="77777777" w:rsidR="00BA1D74" w:rsidRPr="00C93A4A" w:rsidRDefault="00BA1D74" w:rsidP="004A02E0">
            <w:pPr>
              <w:rPr>
                <w:rFonts w:asciiTheme="minorHAnsi" w:hAnsiTheme="minorHAnsi" w:cstheme="minorHAnsi"/>
                <w:sz w:val="20"/>
                <w:szCs w:val="20"/>
                <w:lang w:val="en-GB"/>
              </w:rPr>
            </w:pPr>
          </w:p>
        </w:tc>
        <w:tc>
          <w:tcPr>
            <w:tcW w:w="519" w:type="dxa"/>
            <w:gridSpan w:val="2"/>
            <w:shd w:val="clear" w:color="auto" w:fill="D8DAC1" w:themeFill="background2" w:themeFillShade="E6"/>
          </w:tcPr>
          <w:p w14:paraId="10AF22A1" w14:textId="77777777" w:rsidR="00BA1D74" w:rsidRPr="00C93A4A" w:rsidRDefault="00BA1D74" w:rsidP="004A02E0">
            <w:pPr>
              <w:rPr>
                <w:rFonts w:asciiTheme="minorHAnsi" w:hAnsiTheme="minorHAnsi" w:cstheme="minorHAnsi"/>
                <w:sz w:val="20"/>
                <w:szCs w:val="20"/>
                <w:lang w:val="en-GB"/>
              </w:rPr>
            </w:pPr>
          </w:p>
        </w:tc>
        <w:tc>
          <w:tcPr>
            <w:tcW w:w="738" w:type="dxa"/>
            <w:gridSpan w:val="2"/>
            <w:shd w:val="clear" w:color="auto" w:fill="D8DAC1" w:themeFill="background2" w:themeFillShade="E6"/>
          </w:tcPr>
          <w:p w14:paraId="29D02DAA" w14:textId="77777777" w:rsidR="00BA1D74" w:rsidRPr="00C93A4A" w:rsidRDefault="00BA1D74" w:rsidP="004A02E0">
            <w:pPr>
              <w:rPr>
                <w:rFonts w:asciiTheme="minorHAnsi" w:hAnsiTheme="minorHAnsi" w:cstheme="minorHAnsi"/>
                <w:sz w:val="20"/>
                <w:szCs w:val="20"/>
                <w:lang w:val="en-GB"/>
              </w:rPr>
            </w:pPr>
          </w:p>
        </w:tc>
      </w:tr>
      <w:tr w:rsidR="00BA1D74" w:rsidRPr="00C93A4A" w14:paraId="2F8034C0" w14:textId="77777777" w:rsidTr="004A02E0">
        <w:tc>
          <w:tcPr>
            <w:tcW w:w="7788" w:type="dxa"/>
            <w:gridSpan w:val="2"/>
            <w:tcBorders>
              <w:right w:val="double" w:sz="4" w:space="0" w:color="auto"/>
            </w:tcBorders>
            <w:shd w:val="clear" w:color="auto" w:fill="auto"/>
          </w:tcPr>
          <w:p w14:paraId="4167573F" w14:textId="77777777" w:rsidR="00BA1D74" w:rsidRPr="00C93A4A" w:rsidRDefault="00BA1D74" w:rsidP="004A02E0">
            <w:pPr>
              <w:rPr>
                <w:rFonts w:asciiTheme="minorHAnsi" w:hAnsiTheme="minorHAnsi" w:cstheme="minorHAnsi"/>
                <w:color w:val="000000"/>
                <w:sz w:val="20"/>
                <w:szCs w:val="20"/>
                <w:lang w:val="en-GB"/>
              </w:rPr>
            </w:pPr>
            <w:r w:rsidRPr="00C93A4A">
              <w:rPr>
                <w:rFonts w:asciiTheme="minorHAnsi" w:hAnsiTheme="minorHAnsi" w:cstheme="minorHAnsi"/>
                <w:color w:val="000000"/>
                <w:sz w:val="20"/>
                <w:szCs w:val="20"/>
                <w:lang w:val="en-GB"/>
              </w:rPr>
              <w:t>2.1 Does the investment involve construction on: exclusion from: or repurposing of land that is occupied, accessed to generate livelihoods or of cultural or traditional importance?</w:t>
            </w:r>
          </w:p>
        </w:tc>
        <w:tc>
          <w:tcPr>
            <w:tcW w:w="561" w:type="dxa"/>
            <w:gridSpan w:val="2"/>
            <w:tcBorders>
              <w:left w:val="double" w:sz="4" w:space="0" w:color="auto"/>
            </w:tcBorders>
            <w:shd w:val="clear" w:color="auto" w:fill="auto"/>
          </w:tcPr>
          <w:p w14:paraId="348AD89D" w14:textId="77777777" w:rsidR="00BA1D74" w:rsidRPr="00C93A4A" w:rsidRDefault="00BA1D74" w:rsidP="004A02E0">
            <w:pPr>
              <w:rPr>
                <w:rFonts w:asciiTheme="minorHAnsi" w:hAnsiTheme="minorHAnsi" w:cstheme="minorHAnsi"/>
                <w:color w:val="000000"/>
                <w:sz w:val="20"/>
                <w:szCs w:val="20"/>
                <w:lang w:val="en-GB"/>
              </w:rPr>
            </w:pPr>
          </w:p>
        </w:tc>
        <w:tc>
          <w:tcPr>
            <w:tcW w:w="519" w:type="dxa"/>
            <w:gridSpan w:val="2"/>
            <w:shd w:val="clear" w:color="auto" w:fill="auto"/>
          </w:tcPr>
          <w:p w14:paraId="4DA4D8E0" w14:textId="77777777" w:rsidR="00BA1D74" w:rsidRPr="00C93A4A" w:rsidRDefault="00BA1D74" w:rsidP="004A02E0">
            <w:pPr>
              <w:ind w:right="-38"/>
              <w:rPr>
                <w:rFonts w:asciiTheme="minorHAnsi" w:hAnsiTheme="minorHAnsi" w:cstheme="minorHAnsi"/>
                <w:color w:val="000000"/>
                <w:sz w:val="20"/>
                <w:szCs w:val="20"/>
                <w:lang w:val="en-GB"/>
              </w:rPr>
            </w:pPr>
            <w:r w:rsidRPr="00C93A4A">
              <w:rPr>
                <w:rFonts w:asciiTheme="minorHAnsi" w:hAnsiTheme="minorHAnsi" w:cstheme="minorHAnsi"/>
                <w:sz w:val="20"/>
                <w:szCs w:val="20"/>
                <w:lang w:val="en-GB"/>
              </w:rPr>
              <w:t>No</w:t>
            </w:r>
            <w:r w:rsidRPr="00C93A4A">
              <w:rPr>
                <w:rStyle w:val="FootnoteReference"/>
                <w:rFonts w:asciiTheme="minorHAnsi" w:hAnsiTheme="minorHAnsi" w:cstheme="minorHAnsi"/>
                <w:sz w:val="20"/>
                <w:szCs w:val="20"/>
                <w:lang w:val="en-GB"/>
              </w:rPr>
              <w:footnoteReference w:id="9"/>
            </w:r>
          </w:p>
        </w:tc>
        <w:tc>
          <w:tcPr>
            <w:tcW w:w="738" w:type="dxa"/>
            <w:gridSpan w:val="2"/>
            <w:shd w:val="clear" w:color="auto" w:fill="auto"/>
          </w:tcPr>
          <w:p w14:paraId="4820DB0C" w14:textId="77777777" w:rsidR="00BA1D74" w:rsidRPr="00C93A4A" w:rsidRDefault="00BA1D74" w:rsidP="004A02E0">
            <w:pPr>
              <w:rPr>
                <w:rFonts w:asciiTheme="minorHAnsi" w:hAnsiTheme="minorHAnsi" w:cstheme="minorHAnsi"/>
                <w:color w:val="000000"/>
                <w:sz w:val="20"/>
                <w:szCs w:val="20"/>
                <w:lang w:val="en-GB"/>
              </w:rPr>
            </w:pPr>
          </w:p>
        </w:tc>
      </w:tr>
      <w:tr w:rsidR="00BA1D74" w:rsidRPr="00C93A4A" w14:paraId="676317C7" w14:textId="77777777" w:rsidTr="004A02E0">
        <w:tc>
          <w:tcPr>
            <w:tcW w:w="7788" w:type="dxa"/>
            <w:gridSpan w:val="2"/>
            <w:tcBorders>
              <w:bottom w:val="single" w:sz="4" w:space="0" w:color="auto"/>
              <w:right w:val="double" w:sz="4" w:space="0" w:color="auto"/>
            </w:tcBorders>
            <w:shd w:val="clear" w:color="auto" w:fill="auto"/>
          </w:tcPr>
          <w:p w14:paraId="647477F9" w14:textId="77777777" w:rsidR="00BA1D74" w:rsidRPr="00C93A4A" w:rsidRDefault="00BA1D74" w:rsidP="004A02E0">
            <w:pPr>
              <w:rPr>
                <w:rFonts w:asciiTheme="minorHAnsi" w:hAnsiTheme="minorHAnsi" w:cstheme="minorHAnsi"/>
                <w:color w:val="000000"/>
                <w:sz w:val="20"/>
                <w:szCs w:val="20"/>
                <w:lang w:val="en-GB"/>
              </w:rPr>
            </w:pPr>
            <w:r w:rsidRPr="00C93A4A">
              <w:rPr>
                <w:rFonts w:asciiTheme="minorHAnsi" w:hAnsiTheme="minorHAnsi" w:cstheme="minorHAnsi"/>
                <w:color w:val="000000"/>
                <w:sz w:val="20"/>
                <w:szCs w:val="20"/>
                <w:lang w:val="en-GB"/>
              </w:rPr>
              <w:t xml:space="preserve">2.2 Does the investment’s success depend on other development activities that may involve construction on; exclusion from; or repurposing of land that is occupied, accessed to generate livelihoods; or of cultural or traditional importance? </w:t>
            </w:r>
          </w:p>
        </w:tc>
        <w:tc>
          <w:tcPr>
            <w:tcW w:w="561" w:type="dxa"/>
            <w:gridSpan w:val="2"/>
            <w:tcBorders>
              <w:left w:val="double" w:sz="4" w:space="0" w:color="auto"/>
              <w:bottom w:val="single" w:sz="4" w:space="0" w:color="auto"/>
            </w:tcBorders>
            <w:shd w:val="clear" w:color="auto" w:fill="auto"/>
          </w:tcPr>
          <w:p w14:paraId="632B7D92" w14:textId="77777777" w:rsidR="00BA1D74" w:rsidRPr="00C93A4A" w:rsidRDefault="00BA1D74" w:rsidP="004A02E0">
            <w:pPr>
              <w:rPr>
                <w:rFonts w:asciiTheme="minorHAnsi" w:hAnsiTheme="minorHAnsi" w:cstheme="minorHAnsi"/>
                <w:color w:val="000000"/>
                <w:sz w:val="20"/>
                <w:szCs w:val="20"/>
                <w:lang w:val="en-GB"/>
              </w:rPr>
            </w:pPr>
          </w:p>
        </w:tc>
        <w:tc>
          <w:tcPr>
            <w:tcW w:w="519" w:type="dxa"/>
            <w:gridSpan w:val="2"/>
            <w:tcBorders>
              <w:bottom w:val="single" w:sz="4" w:space="0" w:color="auto"/>
            </w:tcBorders>
            <w:shd w:val="clear" w:color="auto" w:fill="auto"/>
          </w:tcPr>
          <w:p w14:paraId="167D3C62" w14:textId="77777777" w:rsidR="00BA1D74" w:rsidRPr="00C93A4A" w:rsidRDefault="00BA1D74" w:rsidP="004A02E0">
            <w:pPr>
              <w:rPr>
                <w:rFonts w:asciiTheme="minorHAnsi" w:hAnsiTheme="minorHAnsi" w:cstheme="minorHAnsi"/>
                <w:color w:val="000000"/>
                <w:sz w:val="20"/>
                <w:szCs w:val="20"/>
                <w:lang w:val="en-GB"/>
              </w:rPr>
            </w:pPr>
            <w:r w:rsidRPr="00C93A4A">
              <w:rPr>
                <w:rFonts w:asciiTheme="minorHAnsi" w:hAnsiTheme="minorHAnsi" w:cstheme="minorHAnsi"/>
                <w:sz w:val="20"/>
                <w:szCs w:val="20"/>
                <w:lang w:val="en-GB"/>
              </w:rPr>
              <w:t>No</w:t>
            </w:r>
          </w:p>
        </w:tc>
        <w:tc>
          <w:tcPr>
            <w:tcW w:w="738" w:type="dxa"/>
            <w:gridSpan w:val="2"/>
            <w:tcBorders>
              <w:bottom w:val="single" w:sz="4" w:space="0" w:color="auto"/>
            </w:tcBorders>
            <w:shd w:val="clear" w:color="auto" w:fill="auto"/>
          </w:tcPr>
          <w:p w14:paraId="5D82361E" w14:textId="77777777" w:rsidR="00BA1D74" w:rsidRPr="00C93A4A" w:rsidRDefault="00BA1D74" w:rsidP="004A02E0">
            <w:pPr>
              <w:rPr>
                <w:rFonts w:asciiTheme="minorHAnsi" w:hAnsiTheme="minorHAnsi" w:cstheme="minorHAnsi"/>
                <w:color w:val="000000"/>
                <w:sz w:val="20"/>
                <w:szCs w:val="20"/>
                <w:lang w:val="en-GB"/>
              </w:rPr>
            </w:pPr>
          </w:p>
        </w:tc>
      </w:tr>
      <w:tr w:rsidR="00BA1D74" w:rsidRPr="00C93A4A" w14:paraId="2ACC6FB8" w14:textId="77777777" w:rsidTr="004A02E0">
        <w:tc>
          <w:tcPr>
            <w:tcW w:w="7788" w:type="dxa"/>
            <w:gridSpan w:val="2"/>
            <w:tcBorders>
              <w:bottom w:val="single" w:sz="4" w:space="0" w:color="auto"/>
              <w:right w:val="double" w:sz="4" w:space="0" w:color="auto"/>
            </w:tcBorders>
            <w:shd w:val="clear" w:color="auto" w:fill="auto"/>
          </w:tcPr>
          <w:p w14:paraId="5F94294C" w14:textId="77777777" w:rsidR="00BA1D74" w:rsidRPr="00C93A4A" w:rsidRDefault="00BA1D74" w:rsidP="004A02E0">
            <w:pPr>
              <w:rPr>
                <w:rFonts w:asciiTheme="minorHAnsi" w:hAnsiTheme="minorHAnsi" w:cstheme="minorHAnsi"/>
                <w:color w:val="000000"/>
                <w:sz w:val="20"/>
                <w:szCs w:val="20"/>
                <w:lang w:val="en-GB"/>
              </w:rPr>
            </w:pPr>
            <w:r w:rsidRPr="00C93A4A">
              <w:rPr>
                <w:rFonts w:asciiTheme="minorHAnsi" w:hAnsiTheme="minorHAnsi" w:cstheme="minorHAnsi"/>
                <w:color w:val="000000"/>
                <w:sz w:val="20"/>
                <w:szCs w:val="20"/>
                <w:lang w:val="en-GB"/>
              </w:rPr>
              <w:t>2.3 Does the investment involve planning for, advising on or designing the economic or physical displacement of people to make way for infrastructure development, disaster risk reduction or exclusion of the local population from land accessed to generate livelihoods?</w:t>
            </w:r>
          </w:p>
        </w:tc>
        <w:tc>
          <w:tcPr>
            <w:tcW w:w="561" w:type="dxa"/>
            <w:gridSpan w:val="2"/>
            <w:tcBorders>
              <w:left w:val="double" w:sz="4" w:space="0" w:color="auto"/>
              <w:bottom w:val="single" w:sz="4" w:space="0" w:color="auto"/>
            </w:tcBorders>
            <w:shd w:val="clear" w:color="auto" w:fill="auto"/>
          </w:tcPr>
          <w:p w14:paraId="52013A0D" w14:textId="77777777" w:rsidR="00BA1D74" w:rsidRPr="00C93A4A" w:rsidRDefault="00BA1D74" w:rsidP="004A02E0">
            <w:pPr>
              <w:rPr>
                <w:rFonts w:asciiTheme="minorHAnsi" w:hAnsiTheme="minorHAnsi" w:cstheme="minorHAnsi"/>
                <w:color w:val="000000"/>
                <w:sz w:val="20"/>
                <w:szCs w:val="20"/>
                <w:lang w:val="en-GB"/>
              </w:rPr>
            </w:pPr>
          </w:p>
        </w:tc>
        <w:tc>
          <w:tcPr>
            <w:tcW w:w="519" w:type="dxa"/>
            <w:gridSpan w:val="2"/>
            <w:tcBorders>
              <w:bottom w:val="single" w:sz="4" w:space="0" w:color="auto"/>
            </w:tcBorders>
            <w:shd w:val="clear" w:color="auto" w:fill="auto"/>
          </w:tcPr>
          <w:p w14:paraId="141CDEB7" w14:textId="77777777" w:rsidR="00BA1D74" w:rsidRPr="00C93A4A" w:rsidRDefault="00BA1D74" w:rsidP="004A02E0">
            <w:pPr>
              <w:rPr>
                <w:rFonts w:asciiTheme="minorHAnsi" w:hAnsiTheme="minorHAnsi" w:cstheme="minorHAnsi"/>
                <w:color w:val="000000"/>
                <w:sz w:val="20"/>
                <w:szCs w:val="20"/>
                <w:lang w:val="en-GB"/>
              </w:rPr>
            </w:pPr>
            <w:r w:rsidRPr="00C93A4A">
              <w:rPr>
                <w:rFonts w:asciiTheme="minorHAnsi" w:hAnsiTheme="minorHAnsi" w:cstheme="minorHAnsi"/>
                <w:sz w:val="20"/>
                <w:szCs w:val="20"/>
                <w:lang w:val="en-GB"/>
              </w:rPr>
              <w:t>No</w:t>
            </w:r>
          </w:p>
        </w:tc>
        <w:tc>
          <w:tcPr>
            <w:tcW w:w="738" w:type="dxa"/>
            <w:gridSpan w:val="2"/>
            <w:tcBorders>
              <w:bottom w:val="single" w:sz="4" w:space="0" w:color="auto"/>
            </w:tcBorders>
            <w:shd w:val="clear" w:color="auto" w:fill="auto"/>
          </w:tcPr>
          <w:p w14:paraId="3298CBBA" w14:textId="77777777" w:rsidR="00BA1D74" w:rsidRPr="00C93A4A" w:rsidRDefault="00BA1D74" w:rsidP="004A02E0">
            <w:pPr>
              <w:rPr>
                <w:rFonts w:asciiTheme="minorHAnsi" w:hAnsiTheme="minorHAnsi" w:cstheme="minorHAnsi"/>
                <w:color w:val="000000"/>
                <w:sz w:val="20"/>
                <w:szCs w:val="20"/>
                <w:lang w:val="en-GB"/>
              </w:rPr>
            </w:pPr>
          </w:p>
        </w:tc>
      </w:tr>
      <w:tr w:rsidR="00BA1D74" w:rsidRPr="00C93A4A" w14:paraId="4562A2F5" w14:textId="77777777" w:rsidTr="00161F35">
        <w:tc>
          <w:tcPr>
            <w:tcW w:w="7788" w:type="dxa"/>
            <w:gridSpan w:val="2"/>
            <w:tcBorders>
              <w:right w:val="double" w:sz="4" w:space="0" w:color="auto"/>
            </w:tcBorders>
            <w:shd w:val="clear" w:color="auto" w:fill="D8DAC1" w:themeFill="background2" w:themeFillShade="E6"/>
          </w:tcPr>
          <w:p w14:paraId="7FE6B4D1" w14:textId="77777777" w:rsidR="00BA1D74" w:rsidRPr="00C93A4A" w:rsidRDefault="00BA1D74" w:rsidP="004A02E0">
            <w:pPr>
              <w:rPr>
                <w:rFonts w:asciiTheme="minorHAnsi" w:hAnsiTheme="minorHAnsi" w:cstheme="minorHAnsi"/>
                <w:b/>
                <w:sz w:val="20"/>
                <w:szCs w:val="20"/>
                <w:highlight w:val="cyan"/>
                <w:lang w:val="en-GB"/>
              </w:rPr>
            </w:pPr>
            <w:r w:rsidRPr="00C93A4A">
              <w:rPr>
                <w:rFonts w:asciiTheme="minorHAnsi" w:hAnsiTheme="minorHAnsi" w:cstheme="minorHAnsi"/>
                <w:b/>
                <w:sz w:val="20"/>
                <w:szCs w:val="20"/>
                <w:lang w:val="en-GB"/>
              </w:rPr>
              <w:t xml:space="preserve">Environment </w:t>
            </w:r>
          </w:p>
        </w:tc>
        <w:tc>
          <w:tcPr>
            <w:tcW w:w="561" w:type="dxa"/>
            <w:gridSpan w:val="2"/>
            <w:tcBorders>
              <w:left w:val="double" w:sz="4" w:space="0" w:color="auto"/>
            </w:tcBorders>
            <w:shd w:val="clear" w:color="auto" w:fill="D8DAC1" w:themeFill="background2" w:themeFillShade="E6"/>
          </w:tcPr>
          <w:p w14:paraId="50B3A0FF" w14:textId="77777777" w:rsidR="00BA1D74" w:rsidRPr="00C93A4A" w:rsidRDefault="00BA1D74" w:rsidP="004A02E0">
            <w:pPr>
              <w:rPr>
                <w:rFonts w:asciiTheme="minorHAnsi" w:hAnsiTheme="minorHAnsi" w:cstheme="minorHAnsi"/>
                <w:sz w:val="20"/>
                <w:szCs w:val="20"/>
                <w:lang w:val="en-GB"/>
              </w:rPr>
            </w:pPr>
          </w:p>
        </w:tc>
        <w:tc>
          <w:tcPr>
            <w:tcW w:w="519" w:type="dxa"/>
            <w:gridSpan w:val="2"/>
            <w:shd w:val="clear" w:color="auto" w:fill="D8DAC1" w:themeFill="background2" w:themeFillShade="E6"/>
          </w:tcPr>
          <w:p w14:paraId="16344635" w14:textId="77777777" w:rsidR="00BA1D74" w:rsidRPr="00C93A4A" w:rsidRDefault="00BA1D74" w:rsidP="004A02E0">
            <w:pPr>
              <w:rPr>
                <w:rFonts w:asciiTheme="minorHAnsi" w:hAnsiTheme="minorHAnsi" w:cstheme="minorHAnsi"/>
                <w:sz w:val="20"/>
                <w:szCs w:val="20"/>
                <w:lang w:val="en-GB"/>
              </w:rPr>
            </w:pPr>
          </w:p>
        </w:tc>
        <w:tc>
          <w:tcPr>
            <w:tcW w:w="738" w:type="dxa"/>
            <w:gridSpan w:val="2"/>
            <w:shd w:val="clear" w:color="auto" w:fill="D8DAC1" w:themeFill="background2" w:themeFillShade="E6"/>
          </w:tcPr>
          <w:p w14:paraId="6E76247C" w14:textId="77777777" w:rsidR="00BA1D74" w:rsidRPr="00C93A4A" w:rsidRDefault="00BA1D74" w:rsidP="004A02E0">
            <w:pPr>
              <w:rPr>
                <w:rFonts w:asciiTheme="minorHAnsi" w:hAnsiTheme="minorHAnsi" w:cstheme="minorHAnsi"/>
                <w:sz w:val="20"/>
                <w:szCs w:val="20"/>
                <w:lang w:val="en-GB"/>
              </w:rPr>
            </w:pPr>
          </w:p>
        </w:tc>
      </w:tr>
      <w:tr w:rsidR="00BA1D74" w:rsidRPr="00C93A4A" w14:paraId="556A61BD" w14:textId="77777777" w:rsidTr="004A02E0">
        <w:trPr>
          <w:gridAfter w:val="1"/>
          <w:wAfter w:w="6" w:type="dxa"/>
        </w:trPr>
        <w:tc>
          <w:tcPr>
            <w:tcW w:w="7782" w:type="dxa"/>
            <w:tcBorders>
              <w:top w:val="single" w:sz="4" w:space="0" w:color="auto"/>
              <w:left w:val="single" w:sz="4" w:space="0" w:color="auto"/>
              <w:bottom w:val="single" w:sz="4" w:space="0" w:color="auto"/>
              <w:right w:val="double" w:sz="4" w:space="0" w:color="auto"/>
            </w:tcBorders>
            <w:hideMark/>
          </w:tcPr>
          <w:p w14:paraId="741258DB"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 xml:space="preserve">3.1 Will the investment support any of the following: </w:t>
            </w:r>
          </w:p>
          <w:p w14:paraId="7EE7D12D" w14:textId="77777777" w:rsidR="00BA1D74" w:rsidRPr="00C93A4A" w:rsidRDefault="00BA1D74" w:rsidP="004A02E0">
            <w:pPr>
              <w:pStyle w:val="ListParagraph"/>
              <w:numPr>
                <w:ilvl w:val="3"/>
                <w:numId w:val="33"/>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medium to large-scale infrastructure such as roads, bridges, railways, ports, infrastructure for energy generation; or</w:t>
            </w:r>
          </w:p>
          <w:p w14:paraId="1E50A2DC" w14:textId="77777777" w:rsidR="00BA1D74" w:rsidRPr="00C93A4A" w:rsidRDefault="00BA1D74" w:rsidP="004A02E0">
            <w:pPr>
              <w:pStyle w:val="ListParagraph"/>
              <w:numPr>
                <w:ilvl w:val="3"/>
                <w:numId w:val="33"/>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development of irrigation and drainage, diversion of water; or</w:t>
            </w:r>
          </w:p>
          <w:p w14:paraId="1684A0F9" w14:textId="77777777" w:rsidR="00BA1D74" w:rsidRPr="00C93A4A" w:rsidRDefault="00BA1D74" w:rsidP="004A02E0">
            <w:pPr>
              <w:pStyle w:val="ListParagraph"/>
              <w:numPr>
                <w:ilvl w:val="3"/>
                <w:numId w:val="33"/>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 xml:space="preserve">land clearing, intensification of land use; or </w:t>
            </w:r>
          </w:p>
          <w:p w14:paraId="79203C22" w14:textId="77777777" w:rsidR="00BA1D74" w:rsidRPr="00C93A4A" w:rsidRDefault="00BA1D74" w:rsidP="004A02E0">
            <w:pPr>
              <w:pStyle w:val="ListParagraph"/>
              <w:numPr>
                <w:ilvl w:val="3"/>
                <w:numId w:val="33"/>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 xml:space="preserve">hazardous materials and wastes; or </w:t>
            </w:r>
          </w:p>
          <w:p w14:paraId="64AFCFB9" w14:textId="77777777" w:rsidR="00BA1D74" w:rsidRPr="00C93A4A" w:rsidRDefault="00BA1D74" w:rsidP="004A02E0">
            <w:pPr>
              <w:pStyle w:val="ListParagraph"/>
              <w:numPr>
                <w:ilvl w:val="0"/>
                <w:numId w:val="33"/>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lastRenderedPageBreak/>
              <w:t>activity in mining, energy, forestry, fisheries, water supply, urban development, transport, tourism or manufacturing sectors?</w:t>
            </w:r>
          </w:p>
        </w:tc>
        <w:tc>
          <w:tcPr>
            <w:tcW w:w="561" w:type="dxa"/>
            <w:gridSpan w:val="2"/>
            <w:tcBorders>
              <w:top w:val="single" w:sz="4" w:space="0" w:color="auto"/>
              <w:left w:val="double" w:sz="4" w:space="0" w:color="auto"/>
              <w:bottom w:val="single" w:sz="4" w:space="0" w:color="auto"/>
              <w:right w:val="single" w:sz="4" w:space="0" w:color="auto"/>
            </w:tcBorders>
          </w:tcPr>
          <w:p w14:paraId="47C0D149" w14:textId="77777777" w:rsidR="00BA1D74" w:rsidRPr="00C93A4A" w:rsidRDefault="00BA1D74" w:rsidP="004A02E0">
            <w:pPr>
              <w:spacing w:line="276" w:lineRule="auto"/>
              <w:rPr>
                <w:rFonts w:asciiTheme="minorHAnsi" w:hAnsiTheme="minorHAnsi" w:cstheme="minorHAnsi"/>
                <w:sz w:val="20"/>
                <w:szCs w:val="20"/>
                <w:highlight w:val="cyan"/>
                <w:lang w:val="en-GB"/>
              </w:rPr>
            </w:pPr>
          </w:p>
        </w:tc>
        <w:tc>
          <w:tcPr>
            <w:tcW w:w="519" w:type="dxa"/>
            <w:gridSpan w:val="2"/>
            <w:tcBorders>
              <w:top w:val="single" w:sz="4" w:space="0" w:color="auto"/>
              <w:left w:val="single" w:sz="4" w:space="0" w:color="auto"/>
              <w:bottom w:val="single" w:sz="4" w:space="0" w:color="auto"/>
              <w:right w:val="single" w:sz="4" w:space="0" w:color="auto"/>
            </w:tcBorders>
          </w:tcPr>
          <w:p w14:paraId="4B29B8A2" w14:textId="77777777" w:rsidR="00BA1D74" w:rsidRPr="00C93A4A" w:rsidRDefault="00BA1D74" w:rsidP="004A02E0">
            <w:pPr>
              <w:spacing w:line="276" w:lineRule="auto"/>
              <w:rPr>
                <w:rFonts w:asciiTheme="minorHAnsi" w:hAnsiTheme="minorHAnsi" w:cstheme="minorHAnsi"/>
                <w:sz w:val="20"/>
                <w:szCs w:val="20"/>
                <w:lang w:val="en-GB"/>
              </w:rPr>
            </w:pPr>
          </w:p>
          <w:p w14:paraId="1A9CF3E6"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p w14:paraId="12457841" w14:textId="77777777" w:rsidR="00BA1D74" w:rsidRPr="00C93A4A" w:rsidRDefault="00BA1D74" w:rsidP="004A02E0">
            <w:pPr>
              <w:spacing w:before="240" w:after="0"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p w14:paraId="0E2303D9" w14:textId="77777777" w:rsidR="00BA1D74" w:rsidRPr="00C93A4A" w:rsidRDefault="00BA1D74" w:rsidP="004A02E0">
            <w:pPr>
              <w:spacing w:before="60" w:after="0"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p w14:paraId="70575214" w14:textId="77777777" w:rsidR="00BA1D74" w:rsidRPr="00C93A4A" w:rsidRDefault="00BA1D74" w:rsidP="004A02E0">
            <w:pPr>
              <w:spacing w:before="60" w:after="0"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p w14:paraId="60F4B696" w14:textId="77777777" w:rsidR="00BA1D74" w:rsidRPr="00C93A4A" w:rsidRDefault="00BA1D74" w:rsidP="004A02E0">
            <w:pPr>
              <w:spacing w:before="60" w:after="0"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p w14:paraId="270D72EF" w14:textId="77777777" w:rsidR="00BA1D74" w:rsidRPr="00C93A4A" w:rsidRDefault="00BA1D74" w:rsidP="004A02E0">
            <w:pPr>
              <w:spacing w:line="276" w:lineRule="auto"/>
              <w:rPr>
                <w:rFonts w:asciiTheme="minorHAnsi" w:hAnsiTheme="minorHAnsi" w:cstheme="minorHAnsi"/>
                <w:sz w:val="20"/>
                <w:szCs w:val="20"/>
                <w:lang w:val="en-GB"/>
              </w:rPr>
            </w:pPr>
          </w:p>
        </w:tc>
        <w:tc>
          <w:tcPr>
            <w:tcW w:w="738" w:type="dxa"/>
            <w:gridSpan w:val="2"/>
            <w:tcBorders>
              <w:top w:val="single" w:sz="4" w:space="0" w:color="auto"/>
              <w:left w:val="single" w:sz="4" w:space="0" w:color="auto"/>
              <w:bottom w:val="single" w:sz="4" w:space="0" w:color="auto"/>
              <w:right w:val="single" w:sz="4" w:space="0" w:color="auto"/>
            </w:tcBorders>
          </w:tcPr>
          <w:p w14:paraId="49FEF784" w14:textId="77777777" w:rsidR="00BA1D74" w:rsidRPr="00C93A4A" w:rsidRDefault="00BA1D74" w:rsidP="004A02E0">
            <w:pPr>
              <w:spacing w:line="276" w:lineRule="auto"/>
              <w:rPr>
                <w:rFonts w:asciiTheme="minorHAnsi" w:hAnsiTheme="minorHAnsi" w:cstheme="minorHAnsi"/>
                <w:sz w:val="20"/>
                <w:szCs w:val="20"/>
                <w:lang w:val="en-GB"/>
              </w:rPr>
            </w:pPr>
          </w:p>
        </w:tc>
      </w:tr>
      <w:tr w:rsidR="00BA1D74" w:rsidRPr="00C93A4A" w14:paraId="3E3B2194" w14:textId="77777777" w:rsidTr="004A02E0">
        <w:trPr>
          <w:gridAfter w:val="1"/>
          <w:wAfter w:w="6" w:type="dxa"/>
        </w:trPr>
        <w:tc>
          <w:tcPr>
            <w:tcW w:w="7782" w:type="dxa"/>
            <w:tcBorders>
              <w:top w:val="single" w:sz="4" w:space="0" w:color="auto"/>
              <w:left w:val="single" w:sz="4" w:space="0" w:color="auto"/>
              <w:bottom w:val="single" w:sz="4" w:space="0" w:color="auto"/>
              <w:right w:val="double" w:sz="4" w:space="0" w:color="auto"/>
            </w:tcBorders>
            <w:hideMark/>
          </w:tcPr>
          <w:p w14:paraId="6D3460E1"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 xml:space="preserve">3.2 Will the investment support any of the following: </w:t>
            </w:r>
          </w:p>
          <w:p w14:paraId="0D75940C" w14:textId="77777777" w:rsidR="00BA1D74" w:rsidRPr="00C93A4A" w:rsidRDefault="00BA1D74" w:rsidP="004A02E0">
            <w:pPr>
              <w:pStyle w:val="ListParagraph"/>
              <w:numPr>
                <w:ilvl w:val="3"/>
                <w:numId w:val="34"/>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small to medium scale infrastructure such as localised water supply and/or sanitation infrastructure; irrigation and drainage; rural electrification, rural roads; or</w:t>
            </w:r>
          </w:p>
          <w:p w14:paraId="72BD5105" w14:textId="77777777" w:rsidR="00BA1D74" w:rsidRPr="00C93A4A" w:rsidRDefault="00BA1D74" w:rsidP="004A02E0">
            <w:pPr>
              <w:pStyle w:val="ListParagraph"/>
              <w:numPr>
                <w:ilvl w:val="3"/>
                <w:numId w:val="34"/>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construction/renovation/refurbishment/demolition of any building for example: schools, hospitals or public buildings; or</w:t>
            </w:r>
          </w:p>
          <w:p w14:paraId="63DA23A7" w14:textId="77777777" w:rsidR="00BA1D74" w:rsidRPr="00C93A4A" w:rsidRDefault="00BA1D74" w:rsidP="004A02E0">
            <w:pPr>
              <w:pStyle w:val="ListParagraph"/>
              <w:numPr>
                <w:ilvl w:val="0"/>
                <w:numId w:val="34"/>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localised use of natural resources, including  small-scale water diversion, agriculture, or other types of land-use change?</w:t>
            </w:r>
          </w:p>
        </w:tc>
        <w:tc>
          <w:tcPr>
            <w:tcW w:w="561" w:type="dxa"/>
            <w:gridSpan w:val="2"/>
            <w:tcBorders>
              <w:top w:val="single" w:sz="4" w:space="0" w:color="auto"/>
              <w:left w:val="double" w:sz="4" w:space="0" w:color="auto"/>
              <w:bottom w:val="single" w:sz="4" w:space="0" w:color="auto"/>
              <w:right w:val="single" w:sz="4" w:space="0" w:color="auto"/>
            </w:tcBorders>
            <w:shd w:val="clear" w:color="auto" w:fill="auto"/>
          </w:tcPr>
          <w:p w14:paraId="42969ACE" w14:textId="77777777" w:rsidR="00BA1D74" w:rsidRPr="00C93A4A" w:rsidRDefault="00BA1D74" w:rsidP="004A02E0">
            <w:pPr>
              <w:spacing w:line="276" w:lineRule="auto"/>
              <w:jc w:val="center"/>
              <w:rPr>
                <w:rFonts w:asciiTheme="minorHAnsi" w:hAnsiTheme="minorHAnsi" w:cstheme="minorHAnsi"/>
                <w:sz w:val="20"/>
                <w:szCs w:val="20"/>
                <w:lang w:val="en-GB"/>
              </w:rPr>
            </w:pPr>
          </w:p>
          <w:p w14:paraId="26BDA236" w14:textId="77777777" w:rsidR="00BA1D74" w:rsidRPr="00C93A4A" w:rsidRDefault="00BA1D74" w:rsidP="004A02E0">
            <w:pPr>
              <w:spacing w:line="276" w:lineRule="auto"/>
              <w:jc w:val="center"/>
              <w:rPr>
                <w:rFonts w:asciiTheme="minorHAnsi" w:hAnsiTheme="minorHAnsi" w:cstheme="minorHAnsi"/>
                <w:sz w:val="20"/>
                <w:szCs w:val="20"/>
                <w:lang w:val="en-GB"/>
              </w:rPr>
            </w:pPr>
            <w:r w:rsidRPr="00C93A4A">
              <w:rPr>
                <w:rFonts w:asciiTheme="minorHAnsi" w:hAnsiTheme="minorHAnsi" w:cstheme="minorHAnsi"/>
                <w:sz w:val="20"/>
                <w:szCs w:val="20"/>
                <w:lang w:val="en-GB"/>
              </w:rPr>
              <w:t>Yes</w:t>
            </w:r>
          </w:p>
          <w:p w14:paraId="5404AF22" w14:textId="77777777" w:rsidR="00BA1D74" w:rsidRPr="00C93A4A" w:rsidRDefault="00BA1D74" w:rsidP="004A02E0">
            <w:pPr>
              <w:spacing w:line="276" w:lineRule="auto"/>
              <w:jc w:val="center"/>
              <w:rPr>
                <w:rFonts w:asciiTheme="minorHAnsi" w:hAnsiTheme="minorHAnsi" w:cstheme="minorHAnsi"/>
                <w:sz w:val="20"/>
                <w:szCs w:val="20"/>
                <w:lang w:val="en-GB"/>
              </w:rPr>
            </w:pPr>
          </w:p>
        </w:tc>
        <w:tc>
          <w:tcPr>
            <w:tcW w:w="519" w:type="dxa"/>
            <w:gridSpan w:val="2"/>
            <w:tcBorders>
              <w:top w:val="single" w:sz="4" w:space="0" w:color="auto"/>
              <w:left w:val="single" w:sz="4" w:space="0" w:color="auto"/>
              <w:bottom w:val="single" w:sz="4" w:space="0" w:color="auto"/>
              <w:right w:val="single" w:sz="4" w:space="0" w:color="auto"/>
            </w:tcBorders>
          </w:tcPr>
          <w:p w14:paraId="52BF8A0F" w14:textId="77777777" w:rsidR="00BA1D74" w:rsidRPr="00C93A4A" w:rsidRDefault="00BA1D74" w:rsidP="004A02E0">
            <w:pPr>
              <w:spacing w:line="276" w:lineRule="auto"/>
              <w:rPr>
                <w:rFonts w:asciiTheme="minorHAnsi" w:hAnsiTheme="minorHAnsi" w:cstheme="minorHAnsi"/>
                <w:sz w:val="20"/>
                <w:szCs w:val="20"/>
                <w:lang w:val="en-GB"/>
              </w:rPr>
            </w:pPr>
          </w:p>
          <w:p w14:paraId="19205212" w14:textId="77777777" w:rsidR="00BA1D74" w:rsidRPr="00C93A4A" w:rsidRDefault="00BA1D74" w:rsidP="004A02E0">
            <w:pPr>
              <w:spacing w:line="276" w:lineRule="auto"/>
              <w:rPr>
                <w:rFonts w:asciiTheme="minorHAnsi" w:hAnsiTheme="minorHAnsi" w:cstheme="minorHAnsi"/>
                <w:sz w:val="20"/>
                <w:szCs w:val="20"/>
                <w:lang w:val="en-GB"/>
              </w:rPr>
            </w:pPr>
          </w:p>
          <w:p w14:paraId="07F9303E" w14:textId="77777777" w:rsidR="00BA1D74" w:rsidRPr="00C93A4A" w:rsidRDefault="00BA1D74" w:rsidP="004A02E0">
            <w:pPr>
              <w:spacing w:line="276" w:lineRule="auto"/>
              <w:rPr>
                <w:rFonts w:asciiTheme="minorHAnsi" w:hAnsiTheme="minorHAnsi" w:cstheme="minorHAnsi"/>
                <w:sz w:val="20"/>
                <w:szCs w:val="20"/>
                <w:lang w:val="en-GB"/>
              </w:rPr>
            </w:pPr>
          </w:p>
          <w:p w14:paraId="7DBC7ABC"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p w14:paraId="42BD71B0" w14:textId="77777777" w:rsidR="00BA1D74" w:rsidRPr="00C93A4A" w:rsidRDefault="00BA1D74" w:rsidP="004A02E0">
            <w:pPr>
              <w:spacing w:after="0" w:line="276" w:lineRule="auto"/>
              <w:rPr>
                <w:rFonts w:asciiTheme="minorHAnsi" w:hAnsiTheme="minorHAnsi" w:cstheme="minorHAnsi"/>
                <w:sz w:val="20"/>
                <w:szCs w:val="20"/>
                <w:lang w:val="en-GB"/>
              </w:rPr>
            </w:pPr>
          </w:p>
          <w:p w14:paraId="78BF3C49"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tc>
        <w:tc>
          <w:tcPr>
            <w:tcW w:w="738" w:type="dxa"/>
            <w:gridSpan w:val="2"/>
            <w:tcBorders>
              <w:top w:val="single" w:sz="4" w:space="0" w:color="auto"/>
              <w:left w:val="single" w:sz="4" w:space="0" w:color="auto"/>
              <w:bottom w:val="single" w:sz="4" w:space="0" w:color="auto"/>
              <w:right w:val="single" w:sz="4" w:space="0" w:color="auto"/>
            </w:tcBorders>
          </w:tcPr>
          <w:p w14:paraId="5B78A412" w14:textId="77777777" w:rsidR="00BA1D74" w:rsidRPr="00C93A4A" w:rsidRDefault="00BA1D74" w:rsidP="004A02E0">
            <w:pPr>
              <w:spacing w:line="276" w:lineRule="auto"/>
              <w:rPr>
                <w:rFonts w:asciiTheme="minorHAnsi" w:hAnsiTheme="minorHAnsi" w:cstheme="minorHAnsi"/>
                <w:sz w:val="20"/>
                <w:szCs w:val="20"/>
                <w:lang w:val="en-GB"/>
              </w:rPr>
            </w:pPr>
          </w:p>
        </w:tc>
      </w:tr>
      <w:tr w:rsidR="00BA1D74" w:rsidRPr="00C93A4A" w14:paraId="0E16B986" w14:textId="77777777" w:rsidTr="004A02E0">
        <w:trPr>
          <w:gridAfter w:val="1"/>
          <w:wAfter w:w="6" w:type="dxa"/>
        </w:trPr>
        <w:tc>
          <w:tcPr>
            <w:tcW w:w="7782" w:type="dxa"/>
            <w:tcBorders>
              <w:top w:val="single" w:sz="4" w:space="0" w:color="auto"/>
              <w:left w:val="single" w:sz="4" w:space="0" w:color="auto"/>
              <w:bottom w:val="single" w:sz="4" w:space="0" w:color="auto"/>
              <w:right w:val="double" w:sz="4" w:space="0" w:color="auto"/>
            </w:tcBorders>
            <w:hideMark/>
          </w:tcPr>
          <w:p w14:paraId="7D83F8D6"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3.3 Will the investment contribute to, directly or indirectly, or facilitate, activities such as those listed above, including through:</w:t>
            </w:r>
          </w:p>
          <w:p w14:paraId="4AEE3449" w14:textId="77777777" w:rsidR="00BA1D74" w:rsidRPr="00C93A4A" w:rsidRDefault="00BA1D74" w:rsidP="004A02E0">
            <w:pPr>
              <w:pStyle w:val="ListParagraph"/>
              <w:numPr>
                <w:ilvl w:val="3"/>
                <w:numId w:val="35"/>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trust funds, procurement facilities; or</w:t>
            </w:r>
          </w:p>
          <w:p w14:paraId="2F58A8D1" w14:textId="77777777" w:rsidR="00BA1D74" w:rsidRPr="00C93A4A" w:rsidRDefault="00BA1D74" w:rsidP="004A02E0">
            <w:pPr>
              <w:pStyle w:val="ListParagraph"/>
              <w:numPr>
                <w:ilvl w:val="3"/>
                <w:numId w:val="35"/>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co-financing contributions; or</w:t>
            </w:r>
          </w:p>
          <w:p w14:paraId="77511AA9" w14:textId="77777777" w:rsidR="00BA1D74" w:rsidRPr="00C93A4A" w:rsidRDefault="00BA1D74" w:rsidP="004A02E0">
            <w:pPr>
              <w:pStyle w:val="ListParagraph"/>
              <w:numPr>
                <w:ilvl w:val="3"/>
                <w:numId w:val="35"/>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support for planning, change to regulatory frameworks, technical advice, training or;</w:t>
            </w:r>
          </w:p>
          <w:p w14:paraId="7D78C332" w14:textId="77777777" w:rsidR="00BA1D74" w:rsidRPr="00C93A4A" w:rsidRDefault="00BA1D74" w:rsidP="004A02E0">
            <w:pPr>
              <w:pStyle w:val="ListParagraph"/>
              <w:numPr>
                <w:ilvl w:val="0"/>
                <w:numId w:val="35"/>
              </w:numPr>
              <w:spacing w:after="0" w:line="276" w:lineRule="auto"/>
              <w:ind w:left="853" w:hanging="426"/>
              <w:rPr>
                <w:rFonts w:asciiTheme="minorHAnsi" w:hAnsiTheme="minorHAnsi" w:cstheme="minorHAnsi"/>
                <w:sz w:val="20"/>
                <w:szCs w:val="20"/>
                <w:lang w:val="en-GB"/>
              </w:rPr>
            </w:pPr>
            <w:r w:rsidRPr="00C93A4A">
              <w:rPr>
                <w:rFonts w:asciiTheme="minorHAnsi" w:hAnsiTheme="minorHAnsi" w:cstheme="minorHAnsi"/>
                <w:sz w:val="20"/>
                <w:szCs w:val="20"/>
                <w:lang w:val="en-GB"/>
              </w:rPr>
              <w:t>applied research?</w:t>
            </w:r>
          </w:p>
        </w:tc>
        <w:tc>
          <w:tcPr>
            <w:tcW w:w="561" w:type="dxa"/>
            <w:gridSpan w:val="2"/>
            <w:tcBorders>
              <w:top w:val="single" w:sz="4" w:space="0" w:color="auto"/>
              <w:left w:val="double" w:sz="4" w:space="0" w:color="auto"/>
              <w:bottom w:val="single" w:sz="4" w:space="0" w:color="auto"/>
              <w:right w:val="single" w:sz="4" w:space="0" w:color="auto"/>
            </w:tcBorders>
            <w:shd w:val="clear" w:color="auto" w:fill="auto"/>
          </w:tcPr>
          <w:p w14:paraId="1CE55478" w14:textId="77777777" w:rsidR="00BA1D74" w:rsidRPr="00C93A4A" w:rsidRDefault="00BA1D74" w:rsidP="004A02E0">
            <w:pPr>
              <w:spacing w:line="276" w:lineRule="auto"/>
              <w:rPr>
                <w:rFonts w:asciiTheme="minorHAnsi" w:hAnsiTheme="minorHAnsi" w:cstheme="minorHAnsi"/>
                <w:sz w:val="20"/>
                <w:szCs w:val="20"/>
                <w:lang w:val="en-GB"/>
              </w:rPr>
            </w:pPr>
          </w:p>
        </w:tc>
        <w:tc>
          <w:tcPr>
            <w:tcW w:w="519" w:type="dxa"/>
            <w:gridSpan w:val="2"/>
            <w:tcBorders>
              <w:top w:val="single" w:sz="4" w:space="0" w:color="auto"/>
              <w:left w:val="single" w:sz="4" w:space="0" w:color="auto"/>
              <w:bottom w:val="single" w:sz="4" w:space="0" w:color="auto"/>
              <w:right w:val="single" w:sz="4" w:space="0" w:color="auto"/>
            </w:tcBorders>
          </w:tcPr>
          <w:p w14:paraId="24E64A73" w14:textId="77777777" w:rsidR="00BA1D74" w:rsidRPr="00C93A4A" w:rsidRDefault="00BA1D74" w:rsidP="004A02E0">
            <w:pPr>
              <w:spacing w:line="276" w:lineRule="auto"/>
              <w:rPr>
                <w:rFonts w:asciiTheme="minorHAnsi" w:hAnsiTheme="minorHAnsi" w:cstheme="minorHAnsi"/>
                <w:sz w:val="20"/>
                <w:szCs w:val="20"/>
                <w:lang w:val="en-GB"/>
              </w:rPr>
            </w:pPr>
          </w:p>
          <w:p w14:paraId="31C2E2DD" w14:textId="77777777" w:rsidR="00BA1D74" w:rsidRPr="00C93A4A" w:rsidRDefault="00BA1D74" w:rsidP="004A02E0">
            <w:pPr>
              <w:spacing w:line="276" w:lineRule="auto"/>
              <w:rPr>
                <w:rFonts w:asciiTheme="minorHAnsi" w:hAnsiTheme="minorHAnsi" w:cstheme="minorHAnsi"/>
                <w:sz w:val="20"/>
                <w:szCs w:val="20"/>
                <w:lang w:val="en-GB"/>
              </w:rPr>
            </w:pPr>
          </w:p>
          <w:p w14:paraId="1C85FDE5"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No</w:t>
            </w:r>
          </w:p>
        </w:tc>
        <w:tc>
          <w:tcPr>
            <w:tcW w:w="738" w:type="dxa"/>
            <w:gridSpan w:val="2"/>
            <w:tcBorders>
              <w:top w:val="single" w:sz="4" w:space="0" w:color="auto"/>
              <w:left w:val="single" w:sz="4" w:space="0" w:color="auto"/>
              <w:bottom w:val="single" w:sz="4" w:space="0" w:color="auto"/>
              <w:right w:val="single" w:sz="4" w:space="0" w:color="auto"/>
            </w:tcBorders>
          </w:tcPr>
          <w:p w14:paraId="5B6A0A37" w14:textId="77777777" w:rsidR="00BA1D74" w:rsidRPr="00C93A4A" w:rsidRDefault="00BA1D74" w:rsidP="004A02E0">
            <w:pPr>
              <w:spacing w:line="276" w:lineRule="auto"/>
              <w:rPr>
                <w:rFonts w:asciiTheme="minorHAnsi" w:hAnsiTheme="minorHAnsi" w:cstheme="minorHAnsi"/>
                <w:sz w:val="20"/>
                <w:szCs w:val="20"/>
                <w:lang w:val="en-GB"/>
              </w:rPr>
            </w:pPr>
          </w:p>
        </w:tc>
      </w:tr>
      <w:tr w:rsidR="00BA1D74" w:rsidRPr="00C93A4A" w14:paraId="15FF28CC" w14:textId="77777777" w:rsidTr="004A02E0">
        <w:trPr>
          <w:gridAfter w:val="1"/>
          <w:wAfter w:w="6" w:type="dxa"/>
        </w:trPr>
        <w:tc>
          <w:tcPr>
            <w:tcW w:w="7782" w:type="dxa"/>
            <w:tcBorders>
              <w:top w:val="single" w:sz="4" w:space="0" w:color="auto"/>
              <w:left w:val="single" w:sz="4" w:space="0" w:color="auto"/>
              <w:bottom w:val="single" w:sz="4" w:space="0" w:color="auto"/>
              <w:right w:val="double" w:sz="4" w:space="0" w:color="auto"/>
            </w:tcBorders>
            <w:hideMark/>
          </w:tcPr>
          <w:p w14:paraId="18D7FF7B"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3.4 Has an environmental review of the proposed investment already been, or will be completed by an implementing partner or donor?</w:t>
            </w:r>
          </w:p>
        </w:tc>
        <w:tc>
          <w:tcPr>
            <w:tcW w:w="56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170D532" w14:textId="77777777" w:rsidR="00BA1D74" w:rsidRPr="00C93A4A" w:rsidRDefault="00BA1D74" w:rsidP="004A02E0">
            <w:pPr>
              <w:spacing w:line="276" w:lineRule="auto"/>
              <w:jc w:val="center"/>
              <w:rPr>
                <w:rFonts w:asciiTheme="minorHAnsi" w:hAnsiTheme="minorHAnsi" w:cstheme="minorHAnsi"/>
                <w:sz w:val="20"/>
                <w:szCs w:val="20"/>
                <w:lang w:val="en-GB"/>
              </w:rPr>
            </w:pPr>
            <w:r w:rsidRPr="00C93A4A">
              <w:rPr>
                <w:rFonts w:asciiTheme="minorHAnsi" w:hAnsiTheme="minorHAnsi" w:cstheme="minorHAnsi"/>
                <w:sz w:val="20"/>
                <w:szCs w:val="20"/>
                <w:lang w:val="en-GB"/>
              </w:rPr>
              <w:t>Yes</w:t>
            </w:r>
          </w:p>
        </w:tc>
        <w:tc>
          <w:tcPr>
            <w:tcW w:w="519" w:type="dxa"/>
            <w:gridSpan w:val="2"/>
            <w:tcBorders>
              <w:top w:val="single" w:sz="4" w:space="0" w:color="auto"/>
              <w:left w:val="single" w:sz="4" w:space="0" w:color="auto"/>
              <w:bottom w:val="single" w:sz="4" w:space="0" w:color="auto"/>
              <w:right w:val="single" w:sz="4" w:space="0" w:color="auto"/>
            </w:tcBorders>
          </w:tcPr>
          <w:p w14:paraId="50AFABE4" w14:textId="77777777" w:rsidR="00BA1D74" w:rsidRPr="00C93A4A" w:rsidRDefault="00BA1D74" w:rsidP="004A02E0">
            <w:pPr>
              <w:spacing w:line="276" w:lineRule="auto"/>
              <w:rPr>
                <w:rFonts w:asciiTheme="minorHAnsi" w:hAnsiTheme="minorHAnsi" w:cstheme="minorHAnsi"/>
                <w:sz w:val="20"/>
                <w:szCs w:val="20"/>
                <w:lang w:val="en-GB"/>
              </w:rPr>
            </w:pPr>
          </w:p>
        </w:tc>
        <w:tc>
          <w:tcPr>
            <w:tcW w:w="738" w:type="dxa"/>
            <w:gridSpan w:val="2"/>
            <w:tcBorders>
              <w:top w:val="single" w:sz="4" w:space="0" w:color="auto"/>
              <w:left w:val="single" w:sz="4" w:space="0" w:color="auto"/>
              <w:bottom w:val="single" w:sz="4" w:space="0" w:color="auto"/>
              <w:right w:val="single" w:sz="4" w:space="0" w:color="auto"/>
            </w:tcBorders>
          </w:tcPr>
          <w:p w14:paraId="7E6223AA" w14:textId="77777777" w:rsidR="00BA1D74" w:rsidRPr="00C93A4A" w:rsidRDefault="00BA1D74" w:rsidP="004A02E0">
            <w:pPr>
              <w:spacing w:line="276" w:lineRule="auto"/>
              <w:rPr>
                <w:rFonts w:asciiTheme="minorHAnsi" w:hAnsiTheme="minorHAnsi" w:cstheme="minorHAnsi"/>
                <w:sz w:val="20"/>
                <w:szCs w:val="20"/>
                <w:lang w:val="en-GB"/>
              </w:rPr>
            </w:pPr>
          </w:p>
        </w:tc>
      </w:tr>
      <w:tr w:rsidR="00BA1D74" w:rsidRPr="00C93A4A" w14:paraId="7608F69C" w14:textId="77777777" w:rsidTr="004A02E0">
        <w:trPr>
          <w:gridAfter w:val="1"/>
          <w:wAfter w:w="6" w:type="dxa"/>
        </w:trPr>
        <w:tc>
          <w:tcPr>
            <w:tcW w:w="7782" w:type="dxa"/>
            <w:tcBorders>
              <w:top w:val="single" w:sz="4" w:space="0" w:color="auto"/>
              <w:left w:val="single" w:sz="4" w:space="0" w:color="auto"/>
              <w:bottom w:val="single" w:sz="4" w:space="0" w:color="auto"/>
              <w:right w:val="double" w:sz="4" w:space="0" w:color="auto"/>
            </w:tcBorders>
            <w:hideMark/>
          </w:tcPr>
          <w:p w14:paraId="78CCCD48" w14:textId="77777777" w:rsidR="00BA1D74" w:rsidRPr="00C93A4A" w:rsidRDefault="00BA1D74" w:rsidP="004A02E0">
            <w:pPr>
              <w:spacing w:line="276" w:lineRule="auto"/>
              <w:rPr>
                <w:rFonts w:asciiTheme="minorHAnsi" w:hAnsiTheme="minorHAnsi" w:cstheme="minorHAnsi"/>
                <w:sz w:val="20"/>
                <w:szCs w:val="20"/>
                <w:lang w:val="en-GB"/>
              </w:rPr>
            </w:pPr>
            <w:r w:rsidRPr="00C93A4A">
              <w:rPr>
                <w:rFonts w:asciiTheme="minorHAnsi" w:hAnsiTheme="minorHAnsi" w:cstheme="minorHAnsi"/>
                <w:sz w:val="20"/>
                <w:szCs w:val="20"/>
                <w:lang w:val="en-GB"/>
              </w:rPr>
              <w:t>3.5 Does this investment need to meet any national environmental standards or requirements?</w:t>
            </w:r>
          </w:p>
        </w:tc>
        <w:tc>
          <w:tcPr>
            <w:tcW w:w="56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3EC45AE" w14:textId="77777777" w:rsidR="00BA1D74" w:rsidRPr="00C93A4A" w:rsidRDefault="00BA1D74" w:rsidP="004A02E0">
            <w:pPr>
              <w:spacing w:line="276" w:lineRule="auto"/>
              <w:jc w:val="center"/>
              <w:rPr>
                <w:rFonts w:asciiTheme="minorHAnsi" w:hAnsiTheme="minorHAnsi" w:cstheme="minorHAnsi"/>
                <w:sz w:val="20"/>
                <w:szCs w:val="20"/>
                <w:lang w:val="en-GB"/>
              </w:rPr>
            </w:pPr>
            <w:r w:rsidRPr="00C93A4A">
              <w:rPr>
                <w:rFonts w:asciiTheme="minorHAnsi" w:hAnsiTheme="minorHAnsi" w:cstheme="minorHAnsi"/>
                <w:sz w:val="20"/>
                <w:szCs w:val="20"/>
                <w:lang w:val="en-GB"/>
              </w:rPr>
              <w:t>Yes</w:t>
            </w:r>
          </w:p>
        </w:tc>
        <w:tc>
          <w:tcPr>
            <w:tcW w:w="519" w:type="dxa"/>
            <w:gridSpan w:val="2"/>
            <w:tcBorders>
              <w:top w:val="single" w:sz="4" w:space="0" w:color="auto"/>
              <w:left w:val="single" w:sz="4" w:space="0" w:color="auto"/>
              <w:bottom w:val="single" w:sz="4" w:space="0" w:color="auto"/>
              <w:right w:val="single" w:sz="4" w:space="0" w:color="auto"/>
            </w:tcBorders>
          </w:tcPr>
          <w:p w14:paraId="7A3A0E3B" w14:textId="77777777" w:rsidR="00BA1D74" w:rsidRPr="00C93A4A" w:rsidRDefault="00BA1D74" w:rsidP="004A02E0">
            <w:pPr>
              <w:spacing w:line="276" w:lineRule="auto"/>
              <w:rPr>
                <w:rFonts w:asciiTheme="minorHAnsi" w:hAnsiTheme="minorHAnsi" w:cstheme="minorHAnsi"/>
                <w:sz w:val="20"/>
                <w:szCs w:val="20"/>
                <w:lang w:val="en-GB"/>
              </w:rPr>
            </w:pPr>
          </w:p>
        </w:tc>
        <w:tc>
          <w:tcPr>
            <w:tcW w:w="738" w:type="dxa"/>
            <w:gridSpan w:val="2"/>
            <w:tcBorders>
              <w:top w:val="single" w:sz="4" w:space="0" w:color="auto"/>
              <w:left w:val="single" w:sz="4" w:space="0" w:color="auto"/>
              <w:bottom w:val="single" w:sz="4" w:space="0" w:color="auto"/>
              <w:right w:val="single" w:sz="4" w:space="0" w:color="auto"/>
            </w:tcBorders>
          </w:tcPr>
          <w:p w14:paraId="2040EE76" w14:textId="77777777" w:rsidR="00BA1D74" w:rsidRPr="00C93A4A" w:rsidRDefault="00BA1D74" w:rsidP="004A02E0">
            <w:pPr>
              <w:spacing w:line="276" w:lineRule="auto"/>
              <w:rPr>
                <w:rFonts w:asciiTheme="minorHAnsi" w:hAnsiTheme="minorHAnsi" w:cstheme="minorHAnsi"/>
                <w:sz w:val="20"/>
                <w:szCs w:val="20"/>
                <w:lang w:val="en-GB"/>
              </w:rPr>
            </w:pPr>
          </w:p>
        </w:tc>
      </w:tr>
    </w:tbl>
    <w:p w14:paraId="50E9C564" w14:textId="77777777" w:rsidR="00BA1D74" w:rsidRPr="00C93A4A" w:rsidRDefault="00BA1D74" w:rsidP="00BA1D74">
      <w:pPr>
        <w:rPr>
          <w:rFonts w:ascii="Franklin Gothic Book" w:hAnsi="Franklin Gothic Book"/>
          <w:b/>
          <w:bCs/>
          <w:color w:val="000000"/>
          <w:sz w:val="21"/>
          <w:szCs w:val="21"/>
          <w:highlight w:val="yellow"/>
          <w:lang w:val="en-GB"/>
        </w:rPr>
      </w:pPr>
    </w:p>
    <w:p w14:paraId="33467DF2" w14:textId="77777777" w:rsidR="00BA1D74" w:rsidRPr="00C93A4A" w:rsidRDefault="00BA1D74" w:rsidP="00BA1D74">
      <w:pPr>
        <w:rPr>
          <w:rFonts w:asciiTheme="minorHAnsi" w:hAnsiTheme="minorHAnsi" w:cstheme="minorHAnsi"/>
          <w:b/>
          <w:i/>
          <w:sz w:val="21"/>
          <w:szCs w:val="21"/>
          <w:lang w:val="en-GB"/>
        </w:rPr>
      </w:pPr>
      <w:r w:rsidRPr="00C93A4A">
        <w:rPr>
          <w:rFonts w:asciiTheme="minorHAnsi" w:hAnsiTheme="minorHAnsi" w:cstheme="minorHAnsi"/>
          <w:bCs/>
          <w:i/>
          <w:color w:val="000000"/>
          <w:sz w:val="21"/>
          <w:szCs w:val="21"/>
          <w:lang w:val="en-GB"/>
        </w:rPr>
        <w:t>Short description for each of the safeguard areas marked ‘yes’:</w:t>
      </w:r>
    </w:p>
    <w:p w14:paraId="325A86FB" w14:textId="77777777" w:rsidR="00BA1D74" w:rsidRPr="00C93A4A" w:rsidRDefault="00BA1D74" w:rsidP="00BA1D74">
      <w:pPr>
        <w:rPr>
          <w:rFonts w:asciiTheme="minorHAnsi" w:hAnsiTheme="minorHAnsi" w:cstheme="minorHAnsi"/>
          <w:szCs w:val="22"/>
          <w:lang w:val="en-GB"/>
        </w:rPr>
      </w:pPr>
      <w:r w:rsidRPr="00C93A4A">
        <w:rPr>
          <w:rFonts w:asciiTheme="minorHAnsi" w:hAnsiTheme="minorHAnsi" w:cstheme="minorHAnsi"/>
          <w:bCs/>
          <w:color w:val="000000"/>
          <w:szCs w:val="22"/>
          <w:lang w:val="en-GB"/>
        </w:rPr>
        <w:t xml:space="preserve">1.2 Given the requirement for contractors to engage the local community in construction works, it is feasible that children will accompany their parents to the works site. </w:t>
      </w:r>
      <w:r w:rsidRPr="00C93A4A">
        <w:rPr>
          <w:rFonts w:asciiTheme="minorHAnsi" w:hAnsiTheme="minorHAnsi" w:cstheme="minorHAnsi"/>
          <w:szCs w:val="22"/>
          <w:lang w:val="en-GB"/>
        </w:rPr>
        <w:t>ILO has strict policies that prohibit the use of child labour and implement appropriate safeguards for children who may accompany their parents or guardians to road works sites. If another implementing partner is selected for a second phase, similar safeguards will be required.</w:t>
      </w:r>
    </w:p>
    <w:p w14:paraId="55F90B65" w14:textId="77777777" w:rsidR="00BA1D74" w:rsidRPr="00C93A4A" w:rsidRDefault="00BA1D74" w:rsidP="00BA1D74">
      <w:pPr>
        <w:rPr>
          <w:rFonts w:asciiTheme="minorHAnsi" w:hAnsiTheme="minorHAnsi" w:cstheme="minorHAnsi"/>
          <w:szCs w:val="22"/>
          <w:lang w:val="en-GB"/>
        </w:rPr>
      </w:pPr>
      <w:r w:rsidRPr="00C93A4A">
        <w:rPr>
          <w:rFonts w:asciiTheme="minorHAnsi" w:hAnsiTheme="minorHAnsi" w:cstheme="minorHAnsi"/>
          <w:szCs w:val="22"/>
          <w:lang w:val="en-GB"/>
        </w:rPr>
        <w:t>3.2 The investment supports rural road construction. These are rehabilitation or maintenance of existing roads only and hence minimise rather than increase environmental risks.</w:t>
      </w:r>
    </w:p>
    <w:p w14:paraId="4E371515" w14:textId="77777777" w:rsidR="00BA1D74" w:rsidRPr="00C93A4A" w:rsidRDefault="00BA1D74" w:rsidP="00BA1D74">
      <w:pPr>
        <w:rPr>
          <w:rFonts w:asciiTheme="minorHAnsi" w:hAnsiTheme="minorHAnsi" w:cstheme="minorHAnsi"/>
          <w:szCs w:val="22"/>
          <w:lang w:val="en-GB"/>
        </w:rPr>
      </w:pPr>
      <w:r w:rsidRPr="00C93A4A">
        <w:rPr>
          <w:rFonts w:asciiTheme="minorHAnsi" w:hAnsiTheme="minorHAnsi" w:cstheme="minorHAnsi"/>
          <w:szCs w:val="22"/>
          <w:lang w:val="en-GB"/>
        </w:rPr>
        <w:t>3.4, 3.5 Environmental licences are obtained for each individual contract package in accordance with GoTL requirements and cover environmental and cultural considerations.</w:t>
      </w:r>
    </w:p>
    <w:p w14:paraId="323095FB" w14:textId="77777777" w:rsidR="00BA1D74" w:rsidRPr="00C93A4A" w:rsidRDefault="00BA1D74" w:rsidP="00BA1D74">
      <w:pPr>
        <w:spacing w:after="0" w:line="240" w:lineRule="auto"/>
        <w:rPr>
          <w:rFonts w:asciiTheme="minorHAnsi" w:hAnsiTheme="minorHAnsi"/>
          <w:b/>
          <w:bCs/>
          <w:color w:val="676A55" w:themeColor="text2"/>
          <w:sz w:val="24"/>
          <w:szCs w:val="26"/>
          <w:lang w:val="en-GB"/>
        </w:rPr>
      </w:pPr>
      <w:r w:rsidRPr="00C93A4A">
        <w:rPr>
          <w:lang w:val="en-GB"/>
        </w:rPr>
        <w:br w:type="page"/>
      </w:r>
    </w:p>
    <w:p w14:paraId="0CF67F60" w14:textId="10AF9301" w:rsidR="00BA1D74" w:rsidRDefault="00BA1D74" w:rsidP="00475E9F">
      <w:pPr>
        <w:pStyle w:val="Heading1"/>
        <w:numPr>
          <w:ilvl w:val="0"/>
          <w:numId w:val="22"/>
        </w:numPr>
        <w:tabs>
          <w:tab w:val="left" w:pos="993"/>
        </w:tabs>
        <w:spacing w:after="120"/>
      </w:pPr>
      <w:bookmarkStart w:id="9" w:name="_Toc424633122"/>
      <w:bookmarkStart w:id="10" w:name="_Ref426019009"/>
      <w:r w:rsidRPr="00C93A4A">
        <w:lastRenderedPageBreak/>
        <w:t>Program logic and M&amp;E framework</w:t>
      </w:r>
      <w:r w:rsidR="00475E9F">
        <w:t xml:space="preserve"> </w:t>
      </w:r>
      <w:r w:rsidRPr="00C93A4A">
        <w:t>critique</w:t>
      </w:r>
      <w:bookmarkEnd w:id="9"/>
      <w:bookmarkEnd w:id="10"/>
    </w:p>
    <w:p w14:paraId="6922B288" w14:textId="77777777" w:rsidR="00475E9F" w:rsidRDefault="00475E9F" w:rsidP="00475E9F">
      <w:r>
        <w:t>The R4D M&amp;E plan appropriately critiques, elaborates and extends the initial basis for M&amp;E provided in the design. The program theory is structured in line with DFAT norms and standards, with an overall goal supported by three outcomes which are to be realised through delivering seven outputs.</w:t>
      </w:r>
    </w:p>
    <w:p w14:paraId="7327FA5F" w14:textId="77777777" w:rsidR="00475E9F" w:rsidRDefault="00475E9F" w:rsidP="00475E9F">
      <w:pPr>
        <w:pStyle w:val="Heading2"/>
      </w:pPr>
      <w:r>
        <w:t>Goal</w:t>
      </w:r>
    </w:p>
    <w:p w14:paraId="5FBD0F16" w14:textId="77777777" w:rsidR="00475E9F" w:rsidRPr="00FF3F2C" w:rsidRDefault="00475E9F" w:rsidP="00475E9F">
      <w:pPr>
        <w:rPr>
          <w:i/>
        </w:rPr>
      </w:pPr>
      <w:r>
        <w:t xml:space="preserve">The goal of R4D is: </w:t>
      </w:r>
      <w:r w:rsidRPr="00FF3F2C">
        <w:rPr>
          <w:i/>
        </w:rPr>
        <w:t>Women and men in rural Timor-Leste are deriving social and economic benefits from improved road access</w:t>
      </w:r>
      <w:r>
        <w:rPr>
          <w:i/>
        </w:rPr>
        <w:t>.</w:t>
      </w:r>
    </w:p>
    <w:p w14:paraId="72F8B381" w14:textId="77777777" w:rsidR="00475E9F" w:rsidRDefault="00475E9F" w:rsidP="00475E9F">
      <w:r>
        <w:t xml:space="preserve">This goal appropriately frames the focus of the program on the ultimate beneficiaries, and defines lasting changes to which R4D is expected to contribute, if successful. This goal remains in alignment with DFAT’s strategic focus in Timor-Leste. The M&amp;E plan prescribes the basis for interpreting ‘economic and social’ impacts through implementation of four pairs of surveys: i) Community Snapshots; ii) Transport Surveys; iii) Local Business Surveys; iv) Workers’ Surveys. Each survey will involve a baseline and endline study scheduled throughout the life of the program. </w:t>
      </w:r>
      <w:r w:rsidRPr="00DC22FC">
        <w:rPr>
          <w:b/>
        </w:rPr>
        <w:t>This regime reflects good practice and should enable meaningful assessment of the key changes</w:t>
      </w:r>
      <w:r>
        <w:t xml:space="preserve"> to which R4D has plausibly contributed. These key changes are reflected in a selection of seven goal-level quantitative indicators. </w:t>
      </w:r>
    </w:p>
    <w:p w14:paraId="4A0B4703" w14:textId="77777777" w:rsidR="00475E9F" w:rsidRDefault="00475E9F" w:rsidP="00475E9F">
      <w:pPr>
        <w:pStyle w:val="Heading2"/>
      </w:pPr>
      <w:r>
        <w:t>Outcomes</w:t>
      </w:r>
    </w:p>
    <w:p w14:paraId="2DB00E57" w14:textId="77777777" w:rsidR="00475E9F" w:rsidRDefault="00475E9F" w:rsidP="00475E9F">
      <w:r>
        <w:t>The original design framed a broad outcome that appreciated the ambiguous and evolving context concerning rural road development within GoTL in general; and MPW in particular. The M&amp;E plan appropriately refined this broad outcome in terms of three more focussed outcomes; discussed in turn below.</w:t>
      </w:r>
    </w:p>
    <w:p w14:paraId="5622E7AF" w14:textId="77777777" w:rsidR="00475E9F" w:rsidRPr="00735473" w:rsidRDefault="00475E9F" w:rsidP="00475E9F">
      <w:r w:rsidRPr="00D93014">
        <w:rPr>
          <w:b/>
        </w:rPr>
        <w:t>Outcome 1:</w:t>
      </w:r>
      <w:r>
        <w:t xml:space="preserve"> </w:t>
      </w:r>
      <w:r w:rsidRPr="00E85F43">
        <w:rPr>
          <w:i/>
        </w:rPr>
        <w:t>MPW is effectively planning, budgeting and delivering rural road works using labour-based methods, as appropriate.</w:t>
      </w:r>
    </w:p>
    <w:p w14:paraId="141F1ABD" w14:textId="77777777" w:rsidR="00475E9F" w:rsidRDefault="00475E9F" w:rsidP="00475E9F">
      <w:r>
        <w:t xml:space="preserve">The first outcome defines the scope and focus of capacity building interventions within MPW. It was originally envisaged that a new unit within MPW would be formed with a mandate for rural road maintenance and development and that this unit would be the focus of capacity building efforts. But this institutional change never eventuated. As a consequence, the outcome remains broadly focused on the entire ministry. </w:t>
      </w:r>
      <w:r w:rsidRPr="00DC22FC">
        <w:rPr>
          <w:b/>
        </w:rPr>
        <w:t>A narrower focus on precisely which functions/roles within the ministry need to be strengthened would improve the utility of this outcome for M&amp;E purposes</w:t>
      </w:r>
      <w:r>
        <w:t xml:space="preserve">.  </w:t>
      </w:r>
    </w:p>
    <w:p w14:paraId="0851894C" w14:textId="77777777" w:rsidR="00475E9F" w:rsidRDefault="00475E9F" w:rsidP="00475E9F">
      <w:r>
        <w:t xml:space="preserve">Outcome 1 is arguably central to the R4D ‘program theory’. The central assumption of the design is that rural roads in Timor-Leste are inadequate because of weak institutional capacity within MPW; and by extension, sustaining a quality rural road network is best achieved by strengthening this capacity. </w:t>
      </w:r>
      <w:r w:rsidRPr="00DC22FC">
        <w:rPr>
          <w:b/>
        </w:rPr>
        <w:t>Such a central tenet of the design should be subject to routine and systematic monitoring</w:t>
      </w:r>
      <w:r>
        <w:t xml:space="preserve"> to ensure that adequate information is available to inform program improvement and management decision-making. </w:t>
      </w:r>
    </w:p>
    <w:p w14:paraId="3B0CEAC6" w14:textId="77777777" w:rsidR="00475E9F" w:rsidRDefault="00475E9F" w:rsidP="00475E9F">
      <w:r>
        <w:t xml:space="preserve">The M&amp;E plan defines six ‘indicators’ that elaborate the focus of MPW capacity building: i) functioning knowledge management systems; ii) involvement of relevant MPW staff in capacity building; iii) timely annual planning; iv) appropriate budgeting; v) completion of required technical processes; vi) appropriate and timely procurement. These dimensions of ‘capacity’ are intuitively relevant, but the phrasing of the ‘indicators’ is more akin to outcomes (i.e. preferred end-states) </w:t>
      </w:r>
      <w:r>
        <w:lastRenderedPageBreak/>
        <w:t>rather than neutral measures whose status can be routinely checked. Further, the methods/sources defined to deliver these indicators are open-ended and opportunistic</w:t>
      </w:r>
      <w:r>
        <w:rPr>
          <w:rStyle w:val="FootnoteReference"/>
        </w:rPr>
        <w:footnoteReference w:id="10"/>
      </w:r>
      <w:r>
        <w:t xml:space="preserve"> rather than systematic/structured. It is a fact that measuring ‘capacity’ is universally challenging from a methodological standpoint, but given the centrality of this to the R4D program theory, there would be merit in developing and </w:t>
      </w:r>
      <w:r w:rsidRPr="00DC22FC">
        <w:rPr>
          <w:b/>
        </w:rPr>
        <w:t>applying a more rigorous and systematic approach to ‘scoring’ changes in performance</w:t>
      </w:r>
      <w:r>
        <w:t xml:space="preserve"> in the key areas identified.  </w:t>
      </w:r>
    </w:p>
    <w:p w14:paraId="79977050" w14:textId="77777777" w:rsidR="00475E9F" w:rsidRPr="00735473" w:rsidRDefault="00475E9F" w:rsidP="00475E9F">
      <w:r w:rsidRPr="00D93014">
        <w:rPr>
          <w:b/>
        </w:rPr>
        <w:t>Outcome 2:</w:t>
      </w:r>
      <w:r>
        <w:t xml:space="preserve"> </w:t>
      </w:r>
      <w:r w:rsidRPr="00E85F43">
        <w:rPr>
          <w:i/>
        </w:rPr>
        <w:t>Local civil works contractors more effectively implement investments in rural road works, using labour-based methods, as appropriate</w:t>
      </w:r>
    </w:p>
    <w:p w14:paraId="41BCAAB8" w14:textId="77777777" w:rsidR="00475E9F" w:rsidRDefault="00475E9F" w:rsidP="00475E9F">
      <w:r>
        <w:t>The second outcome was added after R4D was designed to capture the important work of strengthening the local contractor market to implement rural road works. From a M&amp;E standpoint, the outcome is well focussed on local civil works contractors involved in rural road development. There are inevitable challenges associated with defining meaningful and practical criteria for ‘effective implementation’; but the M&amp;E plan attempts this through a range of measures and methods, including a Contractors’ Tracer Study. It is unclear if the range of measures and methods used are sufficient to enable a meaningful judgement of the developing private contractor market.</w:t>
      </w:r>
    </w:p>
    <w:p w14:paraId="7DEE1FD8" w14:textId="77777777" w:rsidR="00475E9F" w:rsidRDefault="00475E9F" w:rsidP="00475E9F">
      <w:r w:rsidRPr="00D93014">
        <w:rPr>
          <w:b/>
        </w:rPr>
        <w:t>Outcome 3:</w:t>
      </w:r>
      <w:r>
        <w:t xml:space="preserve"> </w:t>
      </w:r>
      <w:r w:rsidRPr="00735473">
        <w:rPr>
          <w:i/>
        </w:rPr>
        <w:t>Rural road development adequately resourced and planning and implementation of investments effectively coordinated between concerned Government agencies and (donor) projects</w:t>
      </w:r>
    </w:p>
    <w:p w14:paraId="33489ADB" w14:textId="77777777" w:rsidR="00475E9F" w:rsidRDefault="00475E9F" w:rsidP="00475E9F">
      <w:r>
        <w:t xml:space="preserve">The third outcome aims to differentiate between changes in performance within the MPW, and improvements in coordination and planning of rural road investments between MPW and other relevant government agencies and donors in the sector. Conceptually, </w:t>
      </w:r>
      <w:r w:rsidRPr="00DC22FC">
        <w:rPr>
          <w:b/>
        </w:rPr>
        <w:t>this outcome is difficult to distinguish from Outcome 1</w:t>
      </w:r>
      <w:r>
        <w:t xml:space="preserve"> because, in practice, the ‘</w:t>
      </w:r>
      <w:r w:rsidRPr="00DC22FC">
        <w:rPr>
          <w:i/>
        </w:rPr>
        <w:t>planning, resourcing and implementation</w:t>
      </w:r>
      <w:r>
        <w:t>’ of rural road developments is at the heart of the ‘capacity’ to be developed under Outcome 1. Further, the ‘evaluand’ implied in Outcome 3 (i.e. “</w:t>
      </w:r>
      <w:r w:rsidRPr="00DC22FC">
        <w:rPr>
          <w:i/>
        </w:rPr>
        <w:t>concerned Government agencies</w:t>
      </w:r>
      <w:r>
        <w:t xml:space="preserve">”) is ambiguous/abstract and so from a M&amp;E standpoint performance against this Outcome will be challenging (if not impossible) to measure. </w:t>
      </w:r>
    </w:p>
    <w:p w14:paraId="036980EE" w14:textId="77777777" w:rsidR="00475E9F" w:rsidRDefault="00475E9F" w:rsidP="00475E9F">
      <w:r>
        <w:t xml:space="preserve">As with the discussion above concerning Outcome 2, the proposed indicators for Outcome 3 are phrased as outcomes/end-states, and as such are </w:t>
      </w:r>
      <w:r w:rsidRPr="00DC22FC">
        <w:rPr>
          <w:b/>
        </w:rPr>
        <w:t>not amenable to routine measurement of trends</w:t>
      </w:r>
      <w:r>
        <w:t xml:space="preserve">. </w:t>
      </w:r>
    </w:p>
    <w:p w14:paraId="0183D4E0" w14:textId="77777777" w:rsidR="00475E9F" w:rsidRDefault="00475E9F" w:rsidP="00475E9F">
      <w:r>
        <w:t>The M&amp;E arrangements for a future design may consider conflating Outcome 1 and Outcome 3, and perhaps defining a new outcome concerned with subnational (i.e. municipal) GoTL capacity to manage rural road works.</w:t>
      </w:r>
    </w:p>
    <w:p w14:paraId="398A4182" w14:textId="77777777" w:rsidR="00475E9F" w:rsidRDefault="00475E9F" w:rsidP="00475E9F">
      <w:pPr>
        <w:pStyle w:val="Heading2"/>
      </w:pPr>
      <w:r>
        <w:t>Outputs</w:t>
      </w:r>
    </w:p>
    <w:p w14:paraId="07FFF18C" w14:textId="77777777" w:rsidR="00475E9F" w:rsidRDefault="00475E9F" w:rsidP="00475E9F">
      <w:r>
        <w:t>The M&amp;E plan defines seven outputs variously aligned under the three outcomes</w:t>
      </w:r>
      <w:r>
        <w:rPr>
          <w:rStyle w:val="FootnoteReference"/>
        </w:rPr>
        <w:footnoteReference w:id="11"/>
      </w:r>
      <w:r>
        <w:t>, and informed by 14 ‘output indicators’. As discussed above, there is some ambiguity in the focus of Outcome 1 vis-à-vis Outcome 3 which is also reflected in the underlying deliverables. There is also an asymmetry across the three outcomes, with only one output defined under Outcome 2.</w:t>
      </w:r>
    </w:p>
    <w:p w14:paraId="67813A66" w14:textId="77777777" w:rsidR="00BA1D74" w:rsidRPr="00C93A4A" w:rsidRDefault="00BA1D74" w:rsidP="00BA1D74">
      <w:pPr>
        <w:spacing w:after="0" w:line="240" w:lineRule="auto"/>
        <w:rPr>
          <w:rFonts w:asciiTheme="minorHAnsi" w:hAnsiTheme="minorHAnsi"/>
          <w:b/>
          <w:bCs/>
          <w:color w:val="676A55" w:themeColor="text2"/>
          <w:sz w:val="24"/>
          <w:szCs w:val="26"/>
          <w:lang w:val="en-GB"/>
        </w:rPr>
      </w:pPr>
      <w:r w:rsidRPr="00C93A4A">
        <w:rPr>
          <w:lang w:val="en-GB"/>
        </w:rPr>
        <w:br w:type="page"/>
      </w:r>
    </w:p>
    <w:p w14:paraId="63AA418E" w14:textId="77777777" w:rsidR="00BA1D74" w:rsidRPr="00C93A4A" w:rsidRDefault="00BA1D74" w:rsidP="00BA1D74">
      <w:pPr>
        <w:pStyle w:val="Heading1"/>
        <w:numPr>
          <w:ilvl w:val="0"/>
          <w:numId w:val="22"/>
        </w:numPr>
        <w:tabs>
          <w:tab w:val="left" w:pos="993"/>
        </w:tabs>
      </w:pPr>
      <w:bookmarkStart w:id="11" w:name="_Toc424633123"/>
      <w:r w:rsidRPr="00C93A4A">
        <w:lastRenderedPageBreak/>
        <w:t>Comparison of ILO and typical commercial contractor program delivery costs</w:t>
      </w:r>
      <w:bookmarkEnd w:id="11"/>
    </w:p>
    <w:p w14:paraId="7B27D14B" w14:textId="77777777" w:rsidR="00161F35" w:rsidRPr="00C93A4A" w:rsidRDefault="00161F35" w:rsidP="00161F35">
      <w:pPr>
        <w:rPr>
          <w:lang w:val="en-GB"/>
        </w:rPr>
      </w:pPr>
    </w:p>
    <w:p w14:paraId="41952E1F" w14:textId="77777777" w:rsidR="00161F35" w:rsidRPr="00C93A4A" w:rsidRDefault="00161F35" w:rsidP="00161F35">
      <w:pPr>
        <w:rPr>
          <w:lang w:val="en-GB"/>
        </w:rPr>
      </w:pPr>
      <w:r w:rsidRPr="00C93A4A">
        <w:rPr>
          <w:lang w:val="en-GB"/>
        </w:rPr>
        <w:t>No analysis of the comparative costs of program delivery by ILO or commercial contractors for the first phase of R4D was made available to the ICM. The two areas where costs might differ in a second phase depending on the implementing partner are staffing costs and management fee. Other costs, such as locally engaged staff, direct implementation costs and program activities would be expected to be similar irrespective of the implementing partner.</w:t>
      </w:r>
    </w:p>
    <w:p w14:paraId="1317291E" w14:textId="77777777" w:rsidR="00161F35" w:rsidRPr="00C93A4A" w:rsidRDefault="00161F35" w:rsidP="00161F35">
      <w:pPr>
        <w:pStyle w:val="Heading2"/>
      </w:pPr>
      <w:bookmarkStart w:id="12" w:name="_Toc424633124"/>
      <w:r w:rsidRPr="00C93A4A">
        <w:t>Staffing costs</w:t>
      </w:r>
      <w:bookmarkEnd w:id="12"/>
    </w:p>
    <w:p w14:paraId="7A910CCE" w14:textId="77777777" w:rsidR="00161F35" w:rsidRPr="00C93A4A" w:rsidRDefault="00161F35" w:rsidP="00161F35">
      <w:pPr>
        <w:rPr>
          <w:lang w:val="en-GB"/>
        </w:rPr>
      </w:pPr>
      <w:r w:rsidRPr="00C93A4A">
        <w:rPr>
          <w:lang w:val="en-GB"/>
        </w:rPr>
        <w:t xml:space="preserve">The costs for the current R4D team of international consultants was provided by ILO. ILO works within the United Nations remuneration structure which has set fee rates and allowances for differing grades of professional staff. Existing staff range from P2 to P5 and their total annual costs in USD are set out in </w:t>
      </w:r>
      <w:r w:rsidRPr="00C93A4A">
        <w:rPr>
          <w:lang w:val="en-GB"/>
        </w:rPr>
        <w:fldChar w:fldCharType="begin"/>
      </w:r>
      <w:r w:rsidRPr="00C93A4A">
        <w:rPr>
          <w:lang w:val="en-GB"/>
        </w:rPr>
        <w:instrText xml:space="preserve"> REF _Ref424566705 \h </w:instrText>
      </w:r>
      <w:r w:rsidRPr="00C93A4A">
        <w:rPr>
          <w:lang w:val="en-GB"/>
        </w:rPr>
      </w:r>
      <w:r w:rsidRPr="00C93A4A">
        <w:rPr>
          <w:lang w:val="en-GB"/>
        </w:rPr>
        <w:fldChar w:fldCharType="separate"/>
      </w:r>
      <w:r w:rsidR="00375FF2" w:rsidRPr="00C93A4A">
        <w:rPr>
          <w:rFonts w:asciiTheme="minorHAnsi" w:hAnsiTheme="minorHAnsi" w:cstheme="minorHAnsi"/>
        </w:rPr>
        <w:t xml:space="preserve">Table </w:t>
      </w:r>
      <w:r w:rsidR="00375FF2">
        <w:rPr>
          <w:rFonts w:asciiTheme="minorHAnsi" w:hAnsiTheme="minorHAnsi" w:cstheme="minorHAnsi"/>
          <w:noProof/>
        </w:rPr>
        <w:t>1</w:t>
      </w:r>
      <w:r w:rsidRPr="00C93A4A">
        <w:rPr>
          <w:lang w:val="en-GB"/>
        </w:rPr>
        <w:fldChar w:fldCharType="end"/>
      </w:r>
      <w:r w:rsidRPr="00C93A4A">
        <w:rPr>
          <w:lang w:val="en-GB"/>
        </w:rPr>
        <w:t xml:space="preserve">. As a UN agency, ILO would be required to use these remuneration rates.  </w:t>
      </w:r>
    </w:p>
    <w:p w14:paraId="29A541C9" w14:textId="77777777" w:rsidR="00161F35" w:rsidRPr="00C93A4A" w:rsidRDefault="00161F35" w:rsidP="00161F35">
      <w:pPr>
        <w:rPr>
          <w:lang w:val="en-GB"/>
        </w:rPr>
      </w:pPr>
      <w:r w:rsidRPr="00C93A4A">
        <w:rPr>
          <w:lang w:val="en-GB"/>
        </w:rPr>
        <w:t xml:space="preserve">If a commercial contractor was to implement the program, fee rates and allowances for each position would be set using the DFAT Adviser Remuneration Framework (ARF). </w:t>
      </w:r>
      <w:r w:rsidRPr="00C93A4A">
        <w:rPr>
          <w:lang w:val="en-GB"/>
        </w:rPr>
        <w:fldChar w:fldCharType="begin"/>
      </w:r>
      <w:r w:rsidRPr="00C93A4A">
        <w:rPr>
          <w:lang w:val="en-GB"/>
        </w:rPr>
        <w:instrText xml:space="preserve"> REF _Ref424566705 \h </w:instrText>
      </w:r>
      <w:r w:rsidRPr="00C93A4A">
        <w:rPr>
          <w:lang w:val="en-GB"/>
        </w:rPr>
      </w:r>
      <w:r w:rsidRPr="00C93A4A">
        <w:rPr>
          <w:lang w:val="en-GB"/>
        </w:rPr>
        <w:fldChar w:fldCharType="separate"/>
      </w:r>
      <w:r w:rsidR="00375FF2" w:rsidRPr="00C93A4A">
        <w:rPr>
          <w:rFonts w:asciiTheme="minorHAnsi" w:hAnsiTheme="minorHAnsi" w:cstheme="minorHAnsi"/>
        </w:rPr>
        <w:t xml:space="preserve">Table </w:t>
      </w:r>
      <w:r w:rsidR="00375FF2">
        <w:rPr>
          <w:rFonts w:asciiTheme="minorHAnsi" w:hAnsiTheme="minorHAnsi" w:cstheme="minorHAnsi"/>
          <w:noProof/>
        </w:rPr>
        <w:t>1</w:t>
      </w:r>
      <w:r w:rsidRPr="00C93A4A">
        <w:rPr>
          <w:lang w:val="en-GB"/>
        </w:rPr>
        <w:fldChar w:fldCharType="end"/>
      </w:r>
      <w:r w:rsidRPr="00C93A4A">
        <w:rPr>
          <w:lang w:val="en-GB"/>
        </w:rPr>
        <w:t xml:space="preserve"> shows ARF equivalent classifications for each of the current ILO positions and notes the market reference point fee rate for each position. </w:t>
      </w:r>
    </w:p>
    <w:p w14:paraId="43D974BE" w14:textId="77777777" w:rsidR="00161F35" w:rsidRPr="00C93A4A" w:rsidRDefault="00161F35" w:rsidP="00161F35">
      <w:pPr>
        <w:rPr>
          <w:lang w:val="en-GB"/>
        </w:rPr>
      </w:pPr>
      <w:r w:rsidRPr="00C93A4A">
        <w:rPr>
          <w:lang w:val="en-GB"/>
        </w:rPr>
        <w:t xml:space="preserve">The difference between the total annual cost for ILO and ARF rates is highly dependent on the exchange rate between Australian and US dollars. The exchange rate at the time of the ICM has been shown in </w:t>
      </w:r>
      <w:r w:rsidRPr="00C93A4A">
        <w:rPr>
          <w:lang w:val="en-GB"/>
        </w:rPr>
        <w:fldChar w:fldCharType="begin"/>
      </w:r>
      <w:r w:rsidRPr="00C93A4A">
        <w:rPr>
          <w:lang w:val="en-GB"/>
        </w:rPr>
        <w:instrText xml:space="preserve"> REF _Ref424566705 \h </w:instrText>
      </w:r>
      <w:r w:rsidRPr="00C93A4A">
        <w:rPr>
          <w:lang w:val="en-GB"/>
        </w:rPr>
      </w:r>
      <w:r w:rsidRPr="00C93A4A">
        <w:rPr>
          <w:lang w:val="en-GB"/>
        </w:rPr>
        <w:fldChar w:fldCharType="separate"/>
      </w:r>
      <w:r w:rsidR="00375FF2" w:rsidRPr="00C93A4A">
        <w:rPr>
          <w:rFonts w:asciiTheme="minorHAnsi" w:hAnsiTheme="minorHAnsi" w:cstheme="minorHAnsi"/>
        </w:rPr>
        <w:t xml:space="preserve">Table </w:t>
      </w:r>
      <w:r w:rsidR="00375FF2">
        <w:rPr>
          <w:rFonts w:asciiTheme="minorHAnsi" w:hAnsiTheme="minorHAnsi" w:cstheme="minorHAnsi"/>
          <w:noProof/>
        </w:rPr>
        <w:t>1</w:t>
      </w:r>
      <w:r w:rsidRPr="00C93A4A">
        <w:rPr>
          <w:lang w:val="en-GB"/>
        </w:rPr>
        <w:fldChar w:fldCharType="end"/>
      </w:r>
      <w:r w:rsidRPr="00C93A4A">
        <w:rPr>
          <w:lang w:val="en-GB"/>
        </w:rPr>
        <w:t>. On that basis, ILO personnel costs would be approximately 18% higher than ARF rates ($450,000 p.a.). For a total contract value of $30m, this would equate to 6% of the overall cost.</w:t>
      </w:r>
    </w:p>
    <w:p w14:paraId="086063C2" w14:textId="77777777" w:rsidR="00161F35" w:rsidRPr="00C93A4A" w:rsidRDefault="00161F35" w:rsidP="00161F35">
      <w:pPr>
        <w:rPr>
          <w:lang w:val="en-GB"/>
        </w:rPr>
      </w:pPr>
      <w:r w:rsidRPr="00C93A4A">
        <w:rPr>
          <w:lang w:val="en-GB"/>
        </w:rPr>
        <w:t xml:space="preserve">Clearly, the actual cost difference varies in proportion to the exchange rate and would be dependent on the average rate over the life of the contract. </w:t>
      </w:r>
      <w:r w:rsidRPr="00C93A4A">
        <w:rPr>
          <w:lang w:val="en-GB"/>
        </w:rPr>
        <w:fldChar w:fldCharType="begin"/>
      </w:r>
      <w:r w:rsidRPr="00C93A4A">
        <w:rPr>
          <w:lang w:val="en-GB"/>
        </w:rPr>
        <w:instrText xml:space="preserve"> REF _Ref424566724 \h </w:instrText>
      </w:r>
      <w:r w:rsidRPr="00C93A4A">
        <w:rPr>
          <w:lang w:val="en-GB"/>
        </w:rPr>
      </w:r>
      <w:r w:rsidRPr="00C93A4A">
        <w:rPr>
          <w:lang w:val="en-GB"/>
        </w:rPr>
        <w:fldChar w:fldCharType="separate"/>
      </w:r>
      <w:r w:rsidR="00375FF2" w:rsidRPr="00C93A4A">
        <w:rPr>
          <w:rFonts w:asciiTheme="minorHAnsi" w:hAnsiTheme="minorHAnsi" w:cstheme="minorHAnsi"/>
        </w:rPr>
        <w:t xml:space="preserve">Figure </w:t>
      </w:r>
      <w:r w:rsidR="00375FF2">
        <w:rPr>
          <w:rFonts w:asciiTheme="minorHAnsi" w:hAnsiTheme="minorHAnsi" w:cstheme="minorHAnsi"/>
          <w:noProof/>
        </w:rPr>
        <w:t>1</w:t>
      </w:r>
      <w:r w:rsidRPr="00C93A4A">
        <w:rPr>
          <w:lang w:val="en-GB"/>
        </w:rPr>
        <w:fldChar w:fldCharType="end"/>
      </w:r>
      <w:r w:rsidRPr="00C93A4A">
        <w:rPr>
          <w:lang w:val="en-GB"/>
        </w:rPr>
        <w:t xml:space="preserve"> illustrates that for exchange rate above 0.9 ARF rates become more expensive than ILO.</w:t>
      </w:r>
    </w:p>
    <w:p w14:paraId="74DFCEEF" w14:textId="77777777" w:rsidR="00161F35" w:rsidRPr="00C93A4A" w:rsidRDefault="00161F35" w:rsidP="00161F35">
      <w:pPr>
        <w:keepNext/>
        <w:jc w:val="center"/>
        <w:rPr>
          <w:lang w:val="en-GB"/>
        </w:rPr>
      </w:pPr>
      <w:r w:rsidRPr="00C93A4A">
        <w:rPr>
          <w:noProof/>
          <w:lang w:val="en-GB" w:eastAsia="en-GB"/>
        </w:rPr>
        <w:drawing>
          <wp:inline distT="0" distB="0" distL="0" distR="0" wp14:anchorId="3D0E74C0" wp14:editId="6EA1C53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128F46" w14:textId="77777777" w:rsidR="00161F35" w:rsidRPr="00C93A4A" w:rsidRDefault="00161F35" w:rsidP="00161F35">
      <w:pPr>
        <w:pStyle w:val="Caption"/>
        <w:numPr>
          <w:ilvl w:val="0"/>
          <w:numId w:val="0"/>
        </w:numPr>
        <w:jc w:val="center"/>
        <w:rPr>
          <w:rFonts w:asciiTheme="minorHAnsi" w:hAnsiTheme="minorHAnsi" w:cstheme="minorHAnsi"/>
        </w:rPr>
      </w:pPr>
      <w:bookmarkStart w:id="13" w:name="_Ref424566724"/>
      <w:r w:rsidRPr="00C93A4A">
        <w:rPr>
          <w:rFonts w:asciiTheme="minorHAnsi" w:hAnsiTheme="minorHAnsi" w:cstheme="minorHAnsi"/>
        </w:rPr>
        <w:t xml:space="preserve">Figure </w:t>
      </w:r>
      <w:r w:rsidRPr="00C93A4A">
        <w:rPr>
          <w:rFonts w:asciiTheme="minorHAnsi" w:hAnsiTheme="minorHAnsi" w:cstheme="minorHAnsi"/>
        </w:rPr>
        <w:fldChar w:fldCharType="begin"/>
      </w:r>
      <w:r w:rsidRPr="00C93A4A">
        <w:rPr>
          <w:rFonts w:asciiTheme="minorHAnsi" w:hAnsiTheme="minorHAnsi" w:cstheme="minorHAnsi"/>
        </w:rPr>
        <w:instrText xml:space="preserve"> SEQ Figure \* ARABIC </w:instrText>
      </w:r>
      <w:r w:rsidRPr="00C93A4A">
        <w:rPr>
          <w:rFonts w:asciiTheme="minorHAnsi" w:hAnsiTheme="minorHAnsi" w:cstheme="minorHAnsi"/>
        </w:rPr>
        <w:fldChar w:fldCharType="separate"/>
      </w:r>
      <w:r w:rsidR="00375FF2">
        <w:rPr>
          <w:rFonts w:asciiTheme="minorHAnsi" w:hAnsiTheme="minorHAnsi" w:cstheme="minorHAnsi"/>
          <w:noProof/>
        </w:rPr>
        <w:t>1</w:t>
      </w:r>
      <w:r w:rsidRPr="00C93A4A">
        <w:rPr>
          <w:rFonts w:asciiTheme="minorHAnsi" w:hAnsiTheme="minorHAnsi" w:cstheme="minorHAnsi"/>
        </w:rPr>
        <w:fldChar w:fldCharType="end"/>
      </w:r>
      <w:bookmarkEnd w:id="13"/>
      <w:r w:rsidRPr="00C93A4A">
        <w:rPr>
          <w:rFonts w:asciiTheme="minorHAnsi" w:hAnsiTheme="minorHAnsi" w:cstheme="minorHAnsi"/>
        </w:rPr>
        <w:t xml:space="preserve"> Personnel costs and exchange rate variation</w:t>
      </w:r>
    </w:p>
    <w:p w14:paraId="680F525C" w14:textId="77777777" w:rsidR="00161F35" w:rsidRPr="00C93A4A" w:rsidRDefault="00161F35" w:rsidP="00161F35">
      <w:pPr>
        <w:rPr>
          <w:lang w:val="en-GB"/>
        </w:rPr>
      </w:pPr>
    </w:p>
    <w:p w14:paraId="2ED77CC6" w14:textId="77777777" w:rsidR="00161F35" w:rsidRPr="00C93A4A" w:rsidRDefault="00161F35" w:rsidP="00161F35">
      <w:pPr>
        <w:pStyle w:val="Heading2"/>
      </w:pPr>
      <w:bookmarkStart w:id="14" w:name="_Toc424633125"/>
      <w:r w:rsidRPr="00C93A4A">
        <w:lastRenderedPageBreak/>
        <w:t>Management fee</w:t>
      </w:r>
      <w:bookmarkEnd w:id="14"/>
    </w:p>
    <w:p w14:paraId="1BDA7A3E" w14:textId="77777777" w:rsidR="00161F35" w:rsidRPr="00C93A4A" w:rsidRDefault="00161F35" w:rsidP="00161F35">
      <w:pPr>
        <w:rPr>
          <w:lang w:val="en-GB"/>
        </w:rPr>
      </w:pPr>
      <w:r w:rsidRPr="00C93A4A">
        <w:rPr>
          <w:lang w:val="en-GB"/>
        </w:rPr>
        <w:t>Both ILO and commercial contractors would charge a management fee against the overall value of the contract to cover their costs for delivering the program. DFAT has a standard list of costs that are covered by the management fee:</w:t>
      </w:r>
    </w:p>
    <w:p w14:paraId="27906CD9"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profits, including commercial margins and mark-up for personnel and project management;</w:t>
      </w:r>
    </w:p>
    <w:p w14:paraId="6AAC8FE1"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financial management costs; including the cost of financial charges;</w:t>
      </w:r>
    </w:p>
    <w:p w14:paraId="79189CC7"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costs of Contractor administrative and head office staff if any;</w:t>
      </w:r>
    </w:p>
    <w:p w14:paraId="404369AA"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insurance costs as required by this Contract, but exclusive of medical insurance costs for Advisers;</w:t>
      </w:r>
    </w:p>
    <w:p w14:paraId="753983D5"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taxation, as applicable;</w:t>
      </w:r>
    </w:p>
    <w:p w14:paraId="3A8383DB"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costs of complying with the Contractor’s reporting and liaison obligations under this Contract;</w:t>
      </w:r>
    </w:p>
    <w:p w14:paraId="62663D9A"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costs associated with all personnel briefings in Australia or in-country;</w:t>
      </w:r>
    </w:p>
    <w:p w14:paraId="07561D02"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costs associated with any subcontracting and procurement of goods and services;</w:t>
      </w:r>
    </w:p>
    <w:p w14:paraId="0DA383F6"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costs, including domestic and international travel, accommodation, per diems and local transport costs where required for Contractor Head Office personnel;</w:t>
      </w:r>
    </w:p>
    <w:p w14:paraId="550A2A9D"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any other overheads required to perform the Services in accordance with this Contract;</w:t>
      </w:r>
    </w:p>
    <w:p w14:paraId="0211B65C"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all escalators for the management fees for the term of this Contract; and</w:t>
      </w:r>
    </w:p>
    <w:p w14:paraId="7C8D9B6B" w14:textId="77777777" w:rsidR="00161F35" w:rsidRPr="00C93A4A" w:rsidRDefault="00161F35" w:rsidP="00161F35">
      <w:pPr>
        <w:pStyle w:val="Leveli"/>
        <w:numPr>
          <w:ilvl w:val="2"/>
          <w:numId w:val="37"/>
        </w:numPr>
        <w:spacing w:before="60"/>
        <w:rPr>
          <w:rFonts w:asciiTheme="minorHAnsi" w:hAnsiTheme="minorHAnsi" w:cstheme="minorHAnsi"/>
          <w:sz w:val="22"/>
          <w:lang w:val="en-GB"/>
        </w:rPr>
      </w:pPr>
      <w:r w:rsidRPr="00C93A4A">
        <w:rPr>
          <w:rFonts w:asciiTheme="minorHAnsi" w:hAnsiTheme="minorHAnsi" w:cstheme="minorHAnsi"/>
          <w:sz w:val="22"/>
          <w:lang w:val="en-GB"/>
        </w:rPr>
        <w:t xml:space="preserve">any allowance for risks and contingencies. </w:t>
      </w:r>
    </w:p>
    <w:p w14:paraId="5F905A52" w14:textId="77777777" w:rsidR="00161F35" w:rsidRPr="00C93A4A" w:rsidRDefault="00161F35" w:rsidP="00161F35">
      <w:pPr>
        <w:rPr>
          <w:lang w:val="en-GB"/>
        </w:rPr>
      </w:pPr>
    </w:p>
    <w:p w14:paraId="3FE5F5B3" w14:textId="77777777" w:rsidR="00161F35" w:rsidRPr="00C93A4A" w:rsidRDefault="00161F35" w:rsidP="00161F35">
      <w:pPr>
        <w:rPr>
          <w:lang w:val="en-GB"/>
        </w:rPr>
      </w:pPr>
      <w:r w:rsidRPr="00C93A4A">
        <w:rPr>
          <w:lang w:val="en-GB"/>
        </w:rPr>
        <w:t>Advice from DFAT to the ICM suggests that the management fee for a commercial contractor would be in the range of 10-15% of total contract value, tending towards the upper end of this range for infrastructure activities.</w:t>
      </w:r>
      <w:r w:rsidRPr="00C93A4A">
        <w:rPr>
          <w:rStyle w:val="FootnoteReference"/>
          <w:lang w:val="en-GB"/>
        </w:rPr>
        <w:footnoteReference w:id="12"/>
      </w:r>
      <w:r w:rsidRPr="00C93A4A">
        <w:rPr>
          <w:lang w:val="en-GB"/>
        </w:rPr>
        <w:t xml:space="preserve"> </w:t>
      </w:r>
    </w:p>
    <w:p w14:paraId="740F9BCE" w14:textId="3B79991B" w:rsidR="00161F35" w:rsidRPr="00C93A4A" w:rsidRDefault="00161F35" w:rsidP="00161F35">
      <w:pPr>
        <w:rPr>
          <w:lang w:val="en-GB"/>
        </w:rPr>
      </w:pPr>
      <w:r w:rsidRPr="00C93A4A">
        <w:rPr>
          <w:lang w:val="en-GB"/>
        </w:rPr>
        <w:t xml:space="preserve">ILO charge a similar fee, at </w:t>
      </w:r>
      <w:r w:rsidR="006873CD">
        <w:rPr>
          <w:lang w:val="en-GB"/>
        </w:rPr>
        <w:t>11.5</w:t>
      </w:r>
      <w:r w:rsidRPr="00C93A4A">
        <w:rPr>
          <w:lang w:val="en-GB"/>
        </w:rPr>
        <w:t xml:space="preserve">% of the contract value, to cover their management costs including support from their offices in Dili and Bangkok (ILO Regional Office). ILO noted that this is a fixed rate used for all their contracts. ILO advised the ICM that R4D is ILO’s largest single project. Consequently, it would be appropriate for DFAT to discuss negotiation of the fee rate given the potentially lower transaction costs for ILO associated with delivering a large program. </w:t>
      </w:r>
    </w:p>
    <w:p w14:paraId="15D92E7E" w14:textId="608F88F3" w:rsidR="00161F35" w:rsidRPr="00C93A4A" w:rsidRDefault="00161F35" w:rsidP="00161F35">
      <w:pPr>
        <w:rPr>
          <w:lang w:val="en-GB"/>
        </w:rPr>
      </w:pPr>
      <w:r w:rsidRPr="00C93A4A">
        <w:rPr>
          <w:lang w:val="en-GB"/>
        </w:rPr>
        <w:t xml:space="preserve">Subject to a reduction in ILO’s management fee, at current exchange rates ILO is likely to be </w:t>
      </w:r>
      <w:r w:rsidR="006873CD">
        <w:rPr>
          <w:lang w:val="en-GB"/>
        </w:rPr>
        <w:t>3-5</w:t>
      </w:r>
      <w:r w:rsidRPr="00C93A4A">
        <w:rPr>
          <w:lang w:val="en-GB"/>
        </w:rPr>
        <w:t xml:space="preserve">% more expensive than a commercial contractor. </w:t>
      </w:r>
    </w:p>
    <w:p w14:paraId="47D9469A" w14:textId="77777777" w:rsidR="00161F35" w:rsidRPr="00C93A4A" w:rsidRDefault="00161F35" w:rsidP="00161F35">
      <w:pPr>
        <w:rPr>
          <w:lang w:val="en-GB"/>
        </w:rPr>
      </w:pPr>
    </w:p>
    <w:p w14:paraId="75766FF0" w14:textId="77777777" w:rsidR="00161F35" w:rsidRPr="00C93A4A" w:rsidRDefault="00161F35" w:rsidP="00161F35">
      <w:pPr>
        <w:rPr>
          <w:lang w:val="en-GB"/>
        </w:rPr>
      </w:pPr>
    </w:p>
    <w:p w14:paraId="5BB13CE7" w14:textId="77777777" w:rsidR="00161F35" w:rsidRPr="00C93A4A" w:rsidRDefault="00161F35" w:rsidP="00161F35">
      <w:pPr>
        <w:rPr>
          <w:lang w:val="en-GB"/>
        </w:rPr>
        <w:sectPr w:rsidR="00161F35" w:rsidRPr="00C93A4A" w:rsidSect="00302BDD">
          <w:headerReference w:type="default" r:id="rId16"/>
          <w:footerReference w:type="default" r:id="rId17"/>
          <w:pgSz w:w="12240" w:h="15840"/>
          <w:pgMar w:top="1440" w:right="1701" w:bottom="1440" w:left="1701" w:header="709" w:footer="709" w:gutter="0"/>
          <w:pgNumType w:start="1"/>
          <w:cols w:space="708"/>
          <w:docGrid w:linePitch="360"/>
        </w:sectPr>
      </w:pPr>
    </w:p>
    <w:p w14:paraId="397A475B" w14:textId="77777777" w:rsidR="00161F35" w:rsidRPr="00C93A4A" w:rsidRDefault="00161F35" w:rsidP="00161F35">
      <w:pPr>
        <w:rPr>
          <w:lang w:val="en-GB"/>
        </w:rPr>
      </w:pPr>
    </w:p>
    <w:p w14:paraId="231034F1" w14:textId="77777777" w:rsidR="00161F35" w:rsidRPr="00C93A4A" w:rsidRDefault="00161F35" w:rsidP="00161F35">
      <w:pPr>
        <w:spacing w:after="0" w:line="240" w:lineRule="auto"/>
        <w:rPr>
          <w:lang w:val="en-GB"/>
        </w:rPr>
      </w:pPr>
    </w:p>
    <w:p w14:paraId="3FCBD4F2" w14:textId="77777777" w:rsidR="00161F35" w:rsidRPr="00C93A4A" w:rsidRDefault="00161F35" w:rsidP="00161F35">
      <w:pPr>
        <w:pStyle w:val="Caption"/>
        <w:numPr>
          <w:ilvl w:val="0"/>
          <w:numId w:val="0"/>
        </w:numPr>
        <w:rPr>
          <w:rFonts w:asciiTheme="minorHAnsi" w:hAnsiTheme="minorHAnsi" w:cstheme="minorHAnsi"/>
        </w:rPr>
      </w:pPr>
      <w:bookmarkStart w:id="15" w:name="_Ref424566705"/>
      <w:r w:rsidRPr="00C93A4A">
        <w:rPr>
          <w:rFonts w:asciiTheme="minorHAnsi" w:hAnsiTheme="minorHAnsi" w:cstheme="minorHAnsi"/>
        </w:rPr>
        <w:t xml:space="preserve">Table </w:t>
      </w:r>
      <w:r w:rsidRPr="00C93A4A">
        <w:rPr>
          <w:rFonts w:asciiTheme="minorHAnsi" w:hAnsiTheme="minorHAnsi" w:cstheme="minorHAnsi"/>
        </w:rPr>
        <w:fldChar w:fldCharType="begin"/>
      </w:r>
      <w:r w:rsidRPr="00C93A4A">
        <w:rPr>
          <w:rFonts w:asciiTheme="minorHAnsi" w:hAnsiTheme="minorHAnsi" w:cstheme="minorHAnsi"/>
        </w:rPr>
        <w:instrText xml:space="preserve"> SEQ Table \* ARABIC </w:instrText>
      </w:r>
      <w:r w:rsidRPr="00C93A4A">
        <w:rPr>
          <w:rFonts w:asciiTheme="minorHAnsi" w:hAnsiTheme="minorHAnsi" w:cstheme="minorHAnsi"/>
        </w:rPr>
        <w:fldChar w:fldCharType="separate"/>
      </w:r>
      <w:r w:rsidR="00375FF2">
        <w:rPr>
          <w:rFonts w:asciiTheme="minorHAnsi" w:hAnsiTheme="minorHAnsi" w:cstheme="minorHAnsi"/>
          <w:noProof/>
        </w:rPr>
        <w:t>1</w:t>
      </w:r>
      <w:r w:rsidRPr="00C93A4A">
        <w:rPr>
          <w:rFonts w:asciiTheme="minorHAnsi" w:hAnsiTheme="minorHAnsi" w:cstheme="minorHAnsi"/>
        </w:rPr>
        <w:fldChar w:fldCharType="end"/>
      </w:r>
      <w:bookmarkEnd w:id="15"/>
      <w:r w:rsidRPr="00C93A4A">
        <w:rPr>
          <w:rFonts w:asciiTheme="minorHAnsi" w:hAnsiTheme="minorHAnsi" w:cstheme="minorHAnsi"/>
        </w:rPr>
        <w:t xml:space="preserve"> Comparison of ILO and ARF staffing costs</w:t>
      </w:r>
    </w:p>
    <w:tbl>
      <w:tblPr>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297"/>
        <w:gridCol w:w="1414"/>
        <w:gridCol w:w="1272"/>
        <w:gridCol w:w="1186"/>
        <w:gridCol w:w="689"/>
        <w:gridCol w:w="923"/>
        <w:gridCol w:w="992"/>
        <w:gridCol w:w="995"/>
        <w:gridCol w:w="954"/>
        <w:gridCol w:w="1110"/>
      </w:tblGrid>
      <w:tr w:rsidR="00161F35" w:rsidRPr="00C93A4A" w14:paraId="7F7F4D9A" w14:textId="77777777" w:rsidTr="00161F35">
        <w:trPr>
          <w:trHeight w:val="290"/>
        </w:trPr>
        <w:tc>
          <w:tcPr>
            <w:tcW w:w="3100" w:type="dxa"/>
            <w:tcBorders>
              <w:bottom w:val="nil"/>
            </w:tcBorders>
            <w:shd w:val="clear" w:color="auto" w:fill="auto"/>
            <w:noWrap/>
            <w:vAlign w:val="center"/>
            <w:hideMark/>
          </w:tcPr>
          <w:p w14:paraId="09B52820"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 xml:space="preserve">Position Title  </w:t>
            </w:r>
          </w:p>
        </w:tc>
        <w:tc>
          <w:tcPr>
            <w:tcW w:w="5169" w:type="dxa"/>
            <w:gridSpan w:val="4"/>
            <w:shd w:val="clear" w:color="auto" w:fill="auto"/>
            <w:noWrap/>
            <w:vAlign w:val="center"/>
            <w:hideMark/>
          </w:tcPr>
          <w:p w14:paraId="05D10FCC"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ILO cost structure</w:t>
            </w:r>
          </w:p>
        </w:tc>
        <w:tc>
          <w:tcPr>
            <w:tcW w:w="5663" w:type="dxa"/>
            <w:gridSpan w:val="6"/>
            <w:shd w:val="clear" w:color="auto" w:fill="auto"/>
            <w:noWrap/>
            <w:vAlign w:val="bottom"/>
            <w:hideMark/>
          </w:tcPr>
          <w:p w14:paraId="4057B31E"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DFAT Adviser Remuneration Framework</w:t>
            </w:r>
          </w:p>
        </w:tc>
      </w:tr>
      <w:tr w:rsidR="00161F35" w:rsidRPr="00C93A4A" w14:paraId="41A9FEE7" w14:textId="77777777" w:rsidTr="00161F35">
        <w:trPr>
          <w:trHeight w:val="300"/>
        </w:trPr>
        <w:tc>
          <w:tcPr>
            <w:tcW w:w="3100" w:type="dxa"/>
            <w:tcBorders>
              <w:top w:val="nil"/>
            </w:tcBorders>
            <w:shd w:val="clear" w:color="auto" w:fill="auto"/>
            <w:noWrap/>
            <w:vAlign w:val="center"/>
            <w:hideMark/>
          </w:tcPr>
          <w:p w14:paraId="51D106A1"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 </w:t>
            </w:r>
          </w:p>
        </w:tc>
        <w:tc>
          <w:tcPr>
            <w:tcW w:w="1297" w:type="dxa"/>
            <w:shd w:val="clear" w:color="auto" w:fill="auto"/>
            <w:noWrap/>
            <w:vAlign w:val="center"/>
            <w:hideMark/>
          </w:tcPr>
          <w:p w14:paraId="5AF827BA"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 xml:space="preserve">Level </w:t>
            </w:r>
          </w:p>
        </w:tc>
        <w:tc>
          <w:tcPr>
            <w:tcW w:w="1414" w:type="dxa"/>
            <w:shd w:val="clear" w:color="auto" w:fill="auto"/>
            <w:vAlign w:val="center"/>
            <w:hideMark/>
          </w:tcPr>
          <w:p w14:paraId="7D18F138"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 xml:space="preserve">Step </w:t>
            </w:r>
          </w:p>
        </w:tc>
        <w:tc>
          <w:tcPr>
            <w:tcW w:w="1272" w:type="dxa"/>
            <w:shd w:val="clear" w:color="auto" w:fill="auto"/>
            <w:vAlign w:val="center"/>
            <w:hideMark/>
          </w:tcPr>
          <w:p w14:paraId="40EAEBB4"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Annual Cost USD</w:t>
            </w:r>
          </w:p>
        </w:tc>
        <w:tc>
          <w:tcPr>
            <w:tcW w:w="1186" w:type="dxa"/>
            <w:shd w:val="clear" w:color="auto" w:fill="auto"/>
            <w:vAlign w:val="center"/>
            <w:hideMark/>
          </w:tcPr>
          <w:p w14:paraId="0F6123B2" w14:textId="77777777" w:rsidR="00161F35" w:rsidRPr="00C93A4A" w:rsidRDefault="00161F35" w:rsidP="00161F35">
            <w:pPr>
              <w:spacing w:after="0" w:line="240" w:lineRule="auto"/>
              <w:jc w:val="center"/>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Equivalent AUD</w:t>
            </w:r>
          </w:p>
        </w:tc>
        <w:tc>
          <w:tcPr>
            <w:tcW w:w="689" w:type="dxa"/>
            <w:shd w:val="clear" w:color="auto" w:fill="auto"/>
            <w:noWrap/>
            <w:vAlign w:val="bottom"/>
            <w:hideMark/>
          </w:tcPr>
          <w:p w14:paraId="1CA32C32"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Level</w:t>
            </w:r>
          </w:p>
        </w:tc>
        <w:tc>
          <w:tcPr>
            <w:tcW w:w="923" w:type="dxa"/>
            <w:shd w:val="clear" w:color="auto" w:fill="auto"/>
            <w:noWrap/>
            <w:vAlign w:val="bottom"/>
            <w:hideMark/>
          </w:tcPr>
          <w:p w14:paraId="3AE34D69"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Fees</w:t>
            </w:r>
          </w:p>
        </w:tc>
        <w:tc>
          <w:tcPr>
            <w:tcW w:w="992" w:type="dxa"/>
            <w:shd w:val="clear" w:color="auto" w:fill="auto"/>
            <w:noWrap/>
            <w:vAlign w:val="bottom"/>
            <w:hideMark/>
          </w:tcPr>
          <w:p w14:paraId="3D1D876B"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Allow.</w:t>
            </w:r>
          </w:p>
        </w:tc>
        <w:tc>
          <w:tcPr>
            <w:tcW w:w="995" w:type="dxa"/>
            <w:shd w:val="clear" w:color="auto" w:fill="auto"/>
            <w:noWrap/>
            <w:vAlign w:val="bottom"/>
            <w:hideMark/>
          </w:tcPr>
          <w:p w14:paraId="30E0D848"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Special Location</w:t>
            </w:r>
          </w:p>
        </w:tc>
        <w:tc>
          <w:tcPr>
            <w:tcW w:w="954" w:type="dxa"/>
            <w:shd w:val="clear" w:color="auto" w:fill="auto"/>
            <w:noWrap/>
            <w:vAlign w:val="bottom"/>
            <w:hideMark/>
          </w:tcPr>
          <w:p w14:paraId="3CD615C7"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Mob/</w:t>
            </w:r>
          </w:p>
          <w:p w14:paraId="7C0E420A"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Demob</w:t>
            </w:r>
          </w:p>
        </w:tc>
        <w:tc>
          <w:tcPr>
            <w:tcW w:w="1110" w:type="dxa"/>
            <w:shd w:val="clear" w:color="auto" w:fill="auto"/>
            <w:noWrap/>
            <w:vAlign w:val="bottom"/>
            <w:hideMark/>
          </w:tcPr>
          <w:p w14:paraId="4A08762A"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Annual Cost</w:t>
            </w:r>
          </w:p>
        </w:tc>
      </w:tr>
      <w:tr w:rsidR="00161F35" w:rsidRPr="00C93A4A" w14:paraId="270B1FF8" w14:textId="77777777" w:rsidTr="00161F35">
        <w:trPr>
          <w:trHeight w:val="290"/>
        </w:trPr>
        <w:tc>
          <w:tcPr>
            <w:tcW w:w="3100" w:type="dxa"/>
            <w:shd w:val="clear" w:color="auto" w:fill="auto"/>
            <w:noWrap/>
            <w:vAlign w:val="bottom"/>
            <w:hideMark/>
          </w:tcPr>
          <w:p w14:paraId="31A4AEFF"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Chief Technical Advisor </w:t>
            </w:r>
          </w:p>
        </w:tc>
        <w:tc>
          <w:tcPr>
            <w:tcW w:w="1297" w:type="dxa"/>
            <w:shd w:val="clear" w:color="auto" w:fill="auto"/>
            <w:noWrap/>
            <w:vAlign w:val="bottom"/>
            <w:hideMark/>
          </w:tcPr>
          <w:p w14:paraId="15DA46A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P5 </w:t>
            </w:r>
          </w:p>
        </w:tc>
        <w:tc>
          <w:tcPr>
            <w:tcW w:w="1414" w:type="dxa"/>
            <w:shd w:val="clear" w:color="auto" w:fill="auto"/>
            <w:noWrap/>
            <w:vAlign w:val="bottom"/>
            <w:hideMark/>
          </w:tcPr>
          <w:p w14:paraId="71D447B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77D0C87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237,729 </w:t>
            </w:r>
          </w:p>
        </w:tc>
        <w:tc>
          <w:tcPr>
            <w:tcW w:w="1186" w:type="dxa"/>
            <w:shd w:val="clear" w:color="auto" w:fill="auto"/>
            <w:noWrap/>
            <w:vAlign w:val="bottom"/>
            <w:hideMark/>
          </w:tcPr>
          <w:p w14:paraId="1FA68C77"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311,600 </w:t>
            </w:r>
          </w:p>
        </w:tc>
        <w:tc>
          <w:tcPr>
            <w:tcW w:w="689" w:type="dxa"/>
            <w:shd w:val="clear" w:color="auto" w:fill="auto"/>
            <w:noWrap/>
            <w:vAlign w:val="bottom"/>
            <w:hideMark/>
          </w:tcPr>
          <w:p w14:paraId="53677CF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C4</w:t>
            </w:r>
          </w:p>
        </w:tc>
        <w:tc>
          <w:tcPr>
            <w:tcW w:w="923" w:type="dxa"/>
            <w:shd w:val="clear" w:color="auto" w:fill="auto"/>
            <w:noWrap/>
            <w:vAlign w:val="bottom"/>
            <w:hideMark/>
          </w:tcPr>
          <w:p w14:paraId="44329B86"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15,650</w:t>
            </w:r>
          </w:p>
        </w:tc>
        <w:tc>
          <w:tcPr>
            <w:tcW w:w="992" w:type="dxa"/>
            <w:shd w:val="clear" w:color="auto" w:fill="auto"/>
            <w:noWrap/>
            <w:vAlign w:val="bottom"/>
            <w:hideMark/>
          </w:tcPr>
          <w:p w14:paraId="6485448F"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3,000</w:t>
            </w:r>
          </w:p>
        </w:tc>
        <w:tc>
          <w:tcPr>
            <w:tcW w:w="995" w:type="dxa"/>
            <w:shd w:val="clear" w:color="auto" w:fill="auto"/>
            <w:noWrap/>
            <w:vAlign w:val="bottom"/>
            <w:hideMark/>
          </w:tcPr>
          <w:p w14:paraId="67A41CD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1DF2ED06"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0B7BCA43"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225050</w:t>
            </w:r>
          </w:p>
        </w:tc>
      </w:tr>
      <w:tr w:rsidR="00161F35" w:rsidRPr="00C93A4A" w14:paraId="0AC24CD7" w14:textId="77777777" w:rsidTr="00161F35">
        <w:trPr>
          <w:trHeight w:val="290"/>
        </w:trPr>
        <w:tc>
          <w:tcPr>
            <w:tcW w:w="3100" w:type="dxa"/>
            <w:shd w:val="clear" w:color="auto" w:fill="auto"/>
            <w:noWrap/>
            <w:vAlign w:val="bottom"/>
            <w:hideMark/>
          </w:tcPr>
          <w:p w14:paraId="70D62656"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Road Engineering Specialist </w:t>
            </w:r>
          </w:p>
        </w:tc>
        <w:tc>
          <w:tcPr>
            <w:tcW w:w="1297" w:type="dxa"/>
            <w:shd w:val="clear" w:color="auto" w:fill="auto"/>
            <w:noWrap/>
            <w:vAlign w:val="bottom"/>
            <w:hideMark/>
          </w:tcPr>
          <w:p w14:paraId="6289A8C0"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P4</w:t>
            </w:r>
          </w:p>
        </w:tc>
        <w:tc>
          <w:tcPr>
            <w:tcW w:w="1414" w:type="dxa"/>
            <w:shd w:val="clear" w:color="auto" w:fill="auto"/>
            <w:noWrap/>
            <w:vAlign w:val="bottom"/>
            <w:hideMark/>
          </w:tcPr>
          <w:p w14:paraId="561BC329"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021AEDF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206,995 </w:t>
            </w:r>
          </w:p>
        </w:tc>
        <w:tc>
          <w:tcPr>
            <w:tcW w:w="1186" w:type="dxa"/>
            <w:shd w:val="clear" w:color="auto" w:fill="auto"/>
            <w:noWrap/>
            <w:vAlign w:val="bottom"/>
            <w:hideMark/>
          </w:tcPr>
          <w:p w14:paraId="5E26D532"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271,300 </w:t>
            </w:r>
          </w:p>
        </w:tc>
        <w:tc>
          <w:tcPr>
            <w:tcW w:w="689" w:type="dxa"/>
            <w:shd w:val="clear" w:color="auto" w:fill="auto"/>
            <w:noWrap/>
            <w:vAlign w:val="bottom"/>
            <w:hideMark/>
          </w:tcPr>
          <w:p w14:paraId="12CDC42C"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C4</w:t>
            </w:r>
          </w:p>
        </w:tc>
        <w:tc>
          <w:tcPr>
            <w:tcW w:w="923" w:type="dxa"/>
            <w:shd w:val="clear" w:color="auto" w:fill="auto"/>
            <w:noWrap/>
            <w:vAlign w:val="bottom"/>
            <w:hideMark/>
          </w:tcPr>
          <w:p w14:paraId="7AEB90C4"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14,200</w:t>
            </w:r>
          </w:p>
        </w:tc>
        <w:tc>
          <w:tcPr>
            <w:tcW w:w="992" w:type="dxa"/>
            <w:shd w:val="clear" w:color="auto" w:fill="auto"/>
            <w:noWrap/>
            <w:vAlign w:val="bottom"/>
            <w:hideMark/>
          </w:tcPr>
          <w:p w14:paraId="3A1DA5AA"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2,850</w:t>
            </w:r>
          </w:p>
        </w:tc>
        <w:tc>
          <w:tcPr>
            <w:tcW w:w="995" w:type="dxa"/>
            <w:shd w:val="clear" w:color="auto" w:fill="auto"/>
            <w:noWrap/>
            <w:vAlign w:val="bottom"/>
            <w:hideMark/>
          </w:tcPr>
          <w:p w14:paraId="1E694B58"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487C279D"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5E089829"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205850</w:t>
            </w:r>
          </w:p>
        </w:tc>
      </w:tr>
      <w:tr w:rsidR="00161F35" w:rsidRPr="00C93A4A" w14:paraId="2382E5C7" w14:textId="77777777" w:rsidTr="00161F35">
        <w:trPr>
          <w:trHeight w:val="290"/>
        </w:trPr>
        <w:tc>
          <w:tcPr>
            <w:tcW w:w="3100" w:type="dxa"/>
            <w:shd w:val="clear" w:color="auto" w:fill="auto"/>
            <w:noWrap/>
            <w:vAlign w:val="bottom"/>
            <w:hideMark/>
          </w:tcPr>
          <w:p w14:paraId="5B0A95D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Database System Developer </w:t>
            </w:r>
          </w:p>
        </w:tc>
        <w:tc>
          <w:tcPr>
            <w:tcW w:w="1297" w:type="dxa"/>
            <w:shd w:val="clear" w:color="auto" w:fill="auto"/>
            <w:noWrap/>
            <w:vAlign w:val="bottom"/>
            <w:hideMark/>
          </w:tcPr>
          <w:p w14:paraId="4022583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P3 </w:t>
            </w:r>
          </w:p>
        </w:tc>
        <w:tc>
          <w:tcPr>
            <w:tcW w:w="1414" w:type="dxa"/>
            <w:shd w:val="clear" w:color="auto" w:fill="auto"/>
            <w:noWrap/>
            <w:vAlign w:val="bottom"/>
            <w:hideMark/>
          </w:tcPr>
          <w:p w14:paraId="009F9918"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05C0D00A"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179,877 </w:t>
            </w:r>
          </w:p>
        </w:tc>
        <w:tc>
          <w:tcPr>
            <w:tcW w:w="1186" w:type="dxa"/>
            <w:shd w:val="clear" w:color="auto" w:fill="auto"/>
            <w:noWrap/>
            <w:vAlign w:val="bottom"/>
            <w:hideMark/>
          </w:tcPr>
          <w:p w14:paraId="50F9CA7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235,700 </w:t>
            </w:r>
          </w:p>
        </w:tc>
        <w:tc>
          <w:tcPr>
            <w:tcW w:w="689" w:type="dxa"/>
            <w:shd w:val="clear" w:color="auto" w:fill="auto"/>
            <w:noWrap/>
            <w:vAlign w:val="bottom"/>
            <w:hideMark/>
          </w:tcPr>
          <w:p w14:paraId="19D899A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B3</w:t>
            </w:r>
          </w:p>
        </w:tc>
        <w:tc>
          <w:tcPr>
            <w:tcW w:w="923" w:type="dxa"/>
            <w:shd w:val="clear" w:color="auto" w:fill="auto"/>
            <w:noWrap/>
            <w:vAlign w:val="bottom"/>
            <w:hideMark/>
          </w:tcPr>
          <w:p w14:paraId="258C0153"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12,000</w:t>
            </w:r>
          </w:p>
        </w:tc>
        <w:tc>
          <w:tcPr>
            <w:tcW w:w="992" w:type="dxa"/>
            <w:shd w:val="clear" w:color="auto" w:fill="auto"/>
            <w:noWrap/>
            <w:vAlign w:val="bottom"/>
            <w:hideMark/>
          </w:tcPr>
          <w:p w14:paraId="071B9C95"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2,580</w:t>
            </w:r>
          </w:p>
        </w:tc>
        <w:tc>
          <w:tcPr>
            <w:tcW w:w="995" w:type="dxa"/>
            <w:shd w:val="clear" w:color="auto" w:fill="auto"/>
            <w:noWrap/>
            <w:vAlign w:val="bottom"/>
            <w:hideMark/>
          </w:tcPr>
          <w:p w14:paraId="4952A1EC"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021AB18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55186260"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176210</w:t>
            </w:r>
          </w:p>
        </w:tc>
      </w:tr>
      <w:tr w:rsidR="00161F35" w:rsidRPr="00C93A4A" w14:paraId="0EC86BBE" w14:textId="77777777" w:rsidTr="00161F35">
        <w:trPr>
          <w:trHeight w:val="290"/>
        </w:trPr>
        <w:tc>
          <w:tcPr>
            <w:tcW w:w="3100" w:type="dxa"/>
            <w:shd w:val="clear" w:color="auto" w:fill="auto"/>
            <w:noWrap/>
            <w:vAlign w:val="bottom"/>
            <w:hideMark/>
          </w:tcPr>
          <w:p w14:paraId="6FB5D929"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GIS Officer </w:t>
            </w:r>
          </w:p>
        </w:tc>
        <w:tc>
          <w:tcPr>
            <w:tcW w:w="1297" w:type="dxa"/>
            <w:shd w:val="clear" w:color="auto" w:fill="auto"/>
            <w:noWrap/>
            <w:vAlign w:val="bottom"/>
            <w:hideMark/>
          </w:tcPr>
          <w:p w14:paraId="2E58D9E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21AB5A7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45B96263"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740058C9"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4C5B1BA4"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B3</w:t>
            </w:r>
          </w:p>
        </w:tc>
        <w:tc>
          <w:tcPr>
            <w:tcW w:w="923" w:type="dxa"/>
            <w:shd w:val="clear" w:color="auto" w:fill="auto"/>
            <w:noWrap/>
            <w:vAlign w:val="bottom"/>
            <w:hideMark/>
          </w:tcPr>
          <w:p w14:paraId="5E404FE6"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12,000</w:t>
            </w:r>
          </w:p>
        </w:tc>
        <w:tc>
          <w:tcPr>
            <w:tcW w:w="992" w:type="dxa"/>
            <w:shd w:val="clear" w:color="auto" w:fill="auto"/>
            <w:noWrap/>
            <w:vAlign w:val="bottom"/>
            <w:hideMark/>
          </w:tcPr>
          <w:p w14:paraId="644604EB"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2,850</w:t>
            </w:r>
          </w:p>
        </w:tc>
        <w:tc>
          <w:tcPr>
            <w:tcW w:w="995" w:type="dxa"/>
            <w:shd w:val="clear" w:color="auto" w:fill="auto"/>
            <w:noWrap/>
            <w:vAlign w:val="bottom"/>
            <w:hideMark/>
          </w:tcPr>
          <w:p w14:paraId="6D378775"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0654766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714F6AFD"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179450</w:t>
            </w:r>
          </w:p>
        </w:tc>
      </w:tr>
      <w:tr w:rsidR="00161F35" w:rsidRPr="00C93A4A" w14:paraId="089F808A" w14:textId="77777777" w:rsidTr="00161F35">
        <w:trPr>
          <w:trHeight w:val="290"/>
        </w:trPr>
        <w:tc>
          <w:tcPr>
            <w:tcW w:w="3100" w:type="dxa"/>
            <w:shd w:val="clear" w:color="auto" w:fill="auto"/>
            <w:noWrap/>
            <w:vAlign w:val="bottom"/>
            <w:hideMark/>
          </w:tcPr>
          <w:p w14:paraId="39DA070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Monitoring and Evaluation </w:t>
            </w:r>
          </w:p>
        </w:tc>
        <w:tc>
          <w:tcPr>
            <w:tcW w:w="1297" w:type="dxa"/>
            <w:shd w:val="clear" w:color="auto" w:fill="auto"/>
            <w:noWrap/>
            <w:vAlign w:val="bottom"/>
            <w:hideMark/>
          </w:tcPr>
          <w:p w14:paraId="7C4B86EE"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P2 </w:t>
            </w:r>
          </w:p>
        </w:tc>
        <w:tc>
          <w:tcPr>
            <w:tcW w:w="1414" w:type="dxa"/>
            <w:shd w:val="clear" w:color="auto" w:fill="auto"/>
            <w:noWrap/>
            <w:vAlign w:val="bottom"/>
            <w:hideMark/>
          </w:tcPr>
          <w:p w14:paraId="788442EE"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0508A903"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3848980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53FC35E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0DABD893"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14A03F18"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62A13E5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5EE108B6"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7A18130B"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183050</w:t>
            </w:r>
          </w:p>
        </w:tc>
      </w:tr>
      <w:tr w:rsidR="00161F35" w:rsidRPr="00C93A4A" w14:paraId="1886B821" w14:textId="77777777" w:rsidTr="00161F35">
        <w:trPr>
          <w:trHeight w:val="290"/>
        </w:trPr>
        <w:tc>
          <w:tcPr>
            <w:tcW w:w="3100" w:type="dxa"/>
            <w:shd w:val="clear" w:color="auto" w:fill="auto"/>
            <w:noWrap/>
            <w:vAlign w:val="bottom"/>
            <w:hideMark/>
          </w:tcPr>
          <w:p w14:paraId="6A12E53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Contracts and Procurement </w:t>
            </w:r>
          </w:p>
        </w:tc>
        <w:tc>
          <w:tcPr>
            <w:tcW w:w="1297" w:type="dxa"/>
            <w:shd w:val="clear" w:color="auto" w:fill="auto"/>
            <w:noWrap/>
            <w:vAlign w:val="bottom"/>
            <w:hideMark/>
          </w:tcPr>
          <w:p w14:paraId="71EFE922"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P3 </w:t>
            </w:r>
          </w:p>
        </w:tc>
        <w:tc>
          <w:tcPr>
            <w:tcW w:w="1414" w:type="dxa"/>
            <w:shd w:val="clear" w:color="auto" w:fill="auto"/>
            <w:noWrap/>
            <w:vAlign w:val="bottom"/>
            <w:hideMark/>
          </w:tcPr>
          <w:p w14:paraId="1BCFB71D"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0AB08D75"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179,877 </w:t>
            </w:r>
          </w:p>
        </w:tc>
        <w:tc>
          <w:tcPr>
            <w:tcW w:w="1186" w:type="dxa"/>
            <w:shd w:val="clear" w:color="auto" w:fill="auto"/>
            <w:noWrap/>
            <w:vAlign w:val="bottom"/>
            <w:hideMark/>
          </w:tcPr>
          <w:p w14:paraId="322F84A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235,700 </w:t>
            </w:r>
          </w:p>
        </w:tc>
        <w:tc>
          <w:tcPr>
            <w:tcW w:w="689" w:type="dxa"/>
            <w:shd w:val="clear" w:color="auto" w:fill="auto"/>
            <w:noWrap/>
            <w:vAlign w:val="bottom"/>
            <w:hideMark/>
          </w:tcPr>
          <w:p w14:paraId="640057D3"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7C362818"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13,000</w:t>
            </w:r>
          </w:p>
        </w:tc>
        <w:tc>
          <w:tcPr>
            <w:tcW w:w="992" w:type="dxa"/>
            <w:shd w:val="clear" w:color="auto" w:fill="auto"/>
            <w:noWrap/>
            <w:vAlign w:val="bottom"/>
            <w:hideMark/>
          </w:tcPr>
          <w:p w14:paraId="44AD16E1"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2,700</w:t>
            </w:r>
          </w:p>
        </w:tc>
        <w:tc>
          <w:tcPr>
            <w:tcW w:w="995" w:type="dxa"/>
            <w:shd w:val="clear" w:color="auto" w:fill="auto"/>
            <w:noWrap/>
            <w:vAlign w:val="bottom"/>
            <w:hideMark/>
          </w:tcPr>
          <w:p w14:paraId="3F53A0D0"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064D14B2"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561FAEEE"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189650</w:t>
            </w:r>
          </w:p>
        </w:tc>
      </w:tr>
      <w:tr w:rsidR="00161F35" w:rsidRPr="00C93A4A" w14:paraId="11D8B8C6" w14:textId="77777777" w:rsidTr="00161F35">
        <w:trPr>
          <w:trHeight w:val="290"/>
        </w:trPr>
        <w:tc>
          <w:tcPr>
            <w:tcW w:w="3100" w:type="dxa"/>
            <w:shd w:val="clear" w:color="auto" w:fill="auto"/>
            <w:noWrap/>
            <w:vAlign w:val="bottom"/>
            <w:hideMark/>
          </w:tcPr>
          <w:p w14:paraId="03529166"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Social Safeguard Officer </w:t>
            </w:r>
          </w:p>
        </w:tc>
        <w:tc>
          <w:tcPr>
            <w:tcW w:w="1297" w:type="dxa"/>
            <w:shd w:val="clear" w:color="auto" w:fill="auto"/>
            <w:noWrap/>
            <w:vAlign w:val="bottom"/>
            <w:hideMark/>
          </w:tcPr>
          <w:p w14:paraId="11A0AD8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5C2CF13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432F13DD"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0019DE4E"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7B7201B7"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B3</w:t>
            </w:r>
          </w:p>
        </w:tc>
        <w:tc>
          <w:tcPr>
            <w:tcW w:w="923" w:type="dxa"/>
            <w:shd w:val="clear" w:color="auto" w:fill="auto"/>
            <w:noWrap/>
            <w:vAlign w:val="bottom"/>
            <w:hideMark/>
          </w:tcPr>
          <w:p w14:paraId="5FB8D034"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501832C8"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4B60FEF8"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6322418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343935FB"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183050</w:t>
            </w:r>
          </w:p>
        </w:tc>
      </w:tr>
      <w:tr w:rsidR="00161F35" w:rsidRPr="00C93A4A" w14:paraId="06F8B767" w14:textId="77777777" w:rsidTr="00161F35">
        <w:trPr>
          <w:trHeight w:val="290"/>
        </w:trPr>
        <w:tc>
          <w:tcPr>
            <w:tcW w:w="3100" w:type="dxa"/>
            <w:shd w:val="clear" w:color="auto" w:fill="auto"/>
            <w:noWrap/>
            <w:vAlign w:val="bottom"/>
            <w:hideMark/>
          </w:tcPr>
          <w:p w14:paraId="42354E8F"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Regional Engineer 1 </w:t>
            </w:r>
          </w:p>
        </w:tc>
        <w:tc>
          <w:tcPr>
            <w:tcW w:w="1297" w:type="dxa"/>
            <w:shd w:val="clear" w:color="auto" w:fill="auto"/>
            <w:noWrap/>
            <w:vAlign w:val="bottom"/>
            <w:hideMark/>
          </w:tcPr>
          <w:p w14:paraId="12139A7F"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151AA5BF"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3A555F49"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7835579F"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316F6261"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191DE135"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2A556A0C"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29D22640"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1,000</w:t>
            </w:r>
          </w:p>
        </w:tc>
        <w:tc>
          <w:tcPr>
            <w:tcW w:w="954" w:type="dxa"/>
            <w:shd w:val="clear" w:color="auto" w:fill="auto"/>
            <w:noWrap/>
            <w:vAlign w:val="bottom"/>
            <w:hideMark/>
          </w:tcPr>
          <w:p w14:paraId="7E12418F"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1D6A02C3"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195050</w:t>
            </w:r>
          </w:p>
        </w:tc>
      </w:tr>
      <w:tr w:rsidR="00161F35" w:rsidRPr="00C93A4A" w14:paraId="38FABDB6" w14:textId="77777777" w:rsidTr="00161F35">
        <w:trPr>
          <w:trHeight w:val="290"/>
        </w:trPr>
        <w:tc>
          <w:tcPr>
            <w:tcW w:w="3100" w:type="dxa"/>
            <w:shd w:val="clear" w:color="auto" w:fill="auto"/>
            <w:noWrap/>
            <w:vAlign w:val="bottom"/>
            <w:hideMark/>
          </w:tcPr>
          <w:p w14:paraId="0EA0A59D"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Regional Engineer 2</w:t>
            </w:r>
          </w:p>
        </w:tc>
        <w:tc>
          <w:tcPr>
            <w:tcW w:w="1297" w:type="dxa"/>
            <w:shd w:val="clear" w:color="auto" w:fill="auto"/>
            <w:noWrap/>
            <w:vAlign w:val="bottom"/>
            <w:hideMark/>
          </w:tcPr>
          <w:p w14:paraId="43FE3E8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0BB2316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4E1E7DF5"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02D300AA"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73CD395E"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231ED386"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70A57659"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16BA16C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1,000</w:t>
            </w:r>
          </w:p>
        </w:tc>
        <w:tc>
          <w:tcPr>
            <w:tcW w:w="954" w:type="dxa"/>
            <w:shd w:val="clear" w:color="auto" w:fill="auto"/>
            <w:noWrap/>
            <w:vAlign w:val="bottom"/>
            <w:hideMark/>
          </w:tcPr>
          <w:p w14:paraId="7C0910EE"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02DB7A98"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195050</w:t>
            </w:r>
          </w:p>
        </w:tc>
      </w:tr>
      <w:tr w:rsidR="00161F35" w:rsidRPr="00C93A4A" w14:paraId="380B6556" w14:textId="77777777" w:rsidTr="00161F35">
        <w:trPr>
          <w:trHeight w:val="290"/>
        </w:trPr>
        <w:tc>
          <w:tcPr>
            <w:tcW w:w="3100" w:type="dxa"/>
            <w:shd w:val="clear" w:color="auto" w:fill="auto"/>
            <w:noWrap/>
            <w:vAlign w:val="bottom"/>
            <w:hideMark/>
          </w:tcPr>
          <w:p w14:paraId="064CB435"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Regional Engineer 3</w:t>
            </w:r>
          </w:p>
        </w:tc>
        <w:tc>
          <w:tcPr>
            <w:tcW w:w="1297" w:type="dxa"/>
            <w:shd w:val="clear" w:color="auto" w:fill="auto"/>
            <w:noWrap/>
            <w:vAlign w:val="bottom"/>
            <w:hideMark/>
          </w:tcPr>
          <w:p w14:paraId="47AA0B80"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61881AD2"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3D79C4A7"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037A16C2"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7DC7CD04"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751109A9"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29AC984C"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5D5B77D8"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1,000</w:t>
            </w:r>
          </w:p>
        </w:tc>
        <w:tc>
          <w:tcPr>
            <w:tcW w:w="954" w:type="dxa"/>
            <w:shd w:val="clear" w:color="auto" w:fill="auto"/>
            <w:noWrap/>
            <w:vAlign w:val="bottom"/>
            <w:hideMark/>
          </w:tcPr>
          <w:p w14:paraId="19118A50"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50F3E7AB"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195050</w:t>
            </w:r>
          </w:p>
        </w:tc>
      </w:tr>
      <w:tr w:rsidR="00161F35" w:rsidRPr="00C93A4A" w14:paraId="53F16DE4" w14:textId="77777777" w:rsidTr="00161F35">
        <w:trPr>
          <w:trHeight w:val="290"/>
        </w:trPr>
        <w:tc>
          <w:tcPr>
            <w:tcW w:w="3100" w:type="dxa"/>
            <w:shd w:val="clear" w:color="auto" w:fill="auto"/>
            <w:noWrap/>
            <w:vAlign w:val="bottom"/>
            <w:hideMark/>
          </w:tcPr>
          <w:p w14:paraId="283B6265"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Regional Engineer 4</w:t>
            </w:r>
          </w:p>
        </w:tc>
        <w:tc>
          <w:tcPr>
            <w:tcW w:w="1297" w:type="dxa"/>
            <w:shd w:val="clear" w:color="auto" w:fill="auto"/>
            <w:noWrap/>
            <w:vAlign w:val="bottom"/>
            <w:hideMark/>
          </w:tcPr>
          <w:p w14:paraId="093A817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2485F56C"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4224EA6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1D406348"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4A2D850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4F55C033"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27BB5020"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57FDAF2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1,000</w:t>
            </w:r>
          </w:p>
        </w:tc>
        <w:tc>
          <w:tcPr>
            <w:tcW w:w="954" w:type="dxa"/>
            <w:shd w:val="clear" w:color="auto" w:fill="auto"/>
            <w:noWrap/>
            <w:vAlign w:val="bottom"/>
            <w:hideMark/>
          </w:tcPr>
          <w:p w14:paraId="3A35F2C4"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42AF237E"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195050</w:t>
            </w:r>
          </w:p>
        </w:tc>
      </w:tr>
      <w:tr w:rsidR="00161F35" w:rsidRPr="00C93A4A" w14:paraId="622E04A7" w14:textId="77777777" w:rsidTr="00161F35">
        <w:trPr>
          <w:trHeight w:val="290"/>
        </w:trPr>
        <w:tc>
          <w:tcPr>
            <w:tcW w:w="3100" w:type="dxa"/>
            <w:shd w:val="clear" w:color="auto" w:fill="auto"/>
            <w:noWrap/>
            <w:vAlign w:val="bottom"/>
            <w:hideMark/>
          </w:tcPr>
          <w:p w14:paraId="7011AADA"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Regional Engineer 5</w:t>
            </w:r>
          </w:p>
        </w:tc>
        <w:tc>
          <w:tcPr>
            <w:tcW w:w="1297" w:type="dxa"/>
            <w:shd w:val="clear" w:color="auto" w:fill="auto"/>
            <w:noWrap/>
            <w:vAlign w:val="bottom"/>
            <w:hideMark/>
          </w:tcPr>
          <w:p w14:paraId="70D46407"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P2</w:t>
            </w:r>
          </w:p>
        </w:tc>
        <w:tc>
          <w:tcPr>
            <w:tcW w:w="1414" w:type="dxa"/>
            <w:shd w:val="clear" w:color="auto" w:fill="auto"/>
            <w:noWrap/>
            <w:vAlign w:val="bottom"/>
            <w:hideMark/>
          </w:tcPr>
          <w:p w14:paraId="1F0E640B"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0620CB72"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156,919 </w:t>
            </w:r>
          </w:p>
        </w:tc>
        <w:tc>
          <w:tcPr>
            <w:tcW w:w="1186" w:type="dxa"/>
            <w:shd w:val="clear" w:color="auto" w:fill="auto"/>
            <w:noWrap/>
            <w:vAlign w:val="bottom"/>
            <w:hideMark/>
          </w:tcPr>
          <w:p w14:paraId="332998E6"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205,700 </w:t>
            </w:r>
          </w:p>
        </w:tc>
        <w:tc>
          <w:tcPr>
            <w:tcW w:w="689" w:type="dxa"/>
            <w:shd w:val="clear" w:color="auto" w:fill="auto"/>
            <w:noWrap/>
            <w:vAlign w:val="bottom"/>
            <w:hideMark/>
          </w:tcPr>
          <w:p w14:paraId="5DDB8A24"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C3</w:t>
            </w:r>
          </w:p>
        </w:tc>
        <w:tc>
          <w:tcPr>
            <w:tcW w:w="923" w:type="dxa"/>
            <w:shd w:val="clear" w:color="auto" w:fill="auto"/>
            <w:noWrap/>
            <w:vAlign w:val="bottom"/>
            <w:hideMark/>
          </w:tcPr>
          <w:p w14:paraId="4A4F7812"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12,500</w:t>
            </w:r>
          </w:p>
        </w:tc>
        <w:tc>
          <w:tcPr>
            <w:tcW w:w="992" w:type="dxa"/>
            <w:shd w:val="clear" w:color="auto" w:fill="auto"/>
            <w:noWrap/>
            <w:vAlign w:val="bottom"/>
            <w:hideMark/>
          </w:tcPr>
          <w:p w14:paraId="65BE2114"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2,650</w:t>
            </w:r>
          </w:p>
        </w:tc>
        <w:tc>
          <w:tcPr>
            <w:tcW w:w="995" w:type="dxa"/>
            <w:shd w:val="clear" w:color="auto" w:fill="auto"/>
            <w:noWrap/>
            <w:vAlign w:val="bottom"/>
            <w:hideMark/>
          </w:tcPr>
          <w:p w14:paraId="4A07F49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1,000</w:t>
            </w:r>
          </w:p>
        </w:tc>
        <w:tc>
          <w:tcPr>
            <w:tcW w:w="954" w:type="dxa"/>
            <w:shd w:val="clear" w:color="auto" w:fill="auto"/>
            <w:noWrap/>
            <w:vAlign w:val="bottom"/>
            <w:hideMark/>
          </w:tcPr>
          <w:p w14:paraId="2E3F86D9"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5624F092"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195050</w:t>
            </w:r>
          </w:p>
        </w:tc>
      </w:tr>
      <w:tr w:rsidR="00161F35" w:rsidRPr="00C93A4A" w14:paraId="2D22571D" w14:textId="77777777" w:rsidTr="00161F35">
        <w:trPr>
          <w:trHeight w:val="300"/>
        </w:trPr>
        <w:tc>
          <w:tcPr>
            <w:tcW w:w="3100" w:type="dxa"/>
            <w:shd w:val="clear" w:color="auto" w:fill="auto"/>
            <w:noWrap/>
            <w:vAlign w:val="bottom"/>
            <w:hideMark/>
          </w:tcPr>
          <w:p w14:paraId="1A755EED"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Planning and Training Specialist</w:t>
            </w:r>
          </w:p>
        </w:tc>
        <w:tc>
          <w:tcPr>
            <w:tcW w:w="1297" w:type="dxa"/>
            <w:shd w:val="clear" w:color="auto" w:fill="auto"/>
            <w:noWrap/>
            <w:vAlign w:val="bottom"/>
            <w:hideMark/>
          </w:tcPr>
          <w:p w14:paraId="23C75EED"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P4 </w:t>
            </w:r>
          </w:p>
        </w:tc>
        <w:tc>
          <w:tcPr>
            <w:tcW w:w="1414" w:type="dxa"/>
            <w:shd w:val="clear" w:color="auto" w:fill="auto"/>
            <w:noWrap/>
            <w:vAlign w:val="bottom"/>
            <w:hideMark/>
          </w:tcPr>
          <w:p w14:paraId="32915FBF"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7</w:t>
            </w:r>
          </w:p>
        </w:tc>
        <w:tc>
          <w:tcPr>
            <w:tcW w:w="1272" w:type="dxa"/>
            <w:shd w:val="clear" w:color="auto" w:fill="auto"/>
            <w:noWrap/>
            <w:vAlign w:val="bottom"/>
            <w:hideMark/>
          </w:tcPr>
          <w:p w14:paraId="0E12FE5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206,995 </w:t>
            </w:r>
          </w:p>
        </w:tc>
        <w:tc>
          <w:tcPr>
            <w:tcW w:w="1186" w:type="dxa"/>
            <w:shd w:val="clear" w:color="auto" w:fill="auto"/>
            <w:noWrap/>
            <w:vAlign w:val="bottom"/>
            <w:hideMark/>
          </w:tcPr>
          <w:p w14:paraId="09B38B20"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xml:space="preserve">271,300 </w:t>
            </w:r>
          </w:p>
        </w:tc>
        <w:tc>
          <w:tcPr>
            <w:tcW w:w="689" w:type="dxa"/>
            <w:shd w:val="clear" w:color="auto" w:fill="auto"/>
            <w:noWrap/>
            <w:vAlign w:val="bottom"/>
            <w:hideMark/>
          </w:tcPr>
          <w:p w14:paraId="47ECFD5A"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C4</w:t>
            </w:r>
          </w:p>
        </w:tc>
        <w:tc>
          <w:tcPr>
            <w:tcW w:w="923" w:type="dxa"/>
            <w:shd w:val="clear" w:color="auto" w:fill="auto"/>
            <w:noWrap/>
            <w:vAlign w:val="bottom"/>
            <w:hideMark/>
          </w:tcPr>
          <w:p w14:paraId="69C03E68"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14,200</w:t>
            </w:r>
          </w:p>
        </w:tc>
        <w:tc>
          <w:tcPr>
            <w:tcW w:w="992" w:type="dxa"/>
            <w:shd w:val="clear" w:color="auto" w:fill="auto"/>
            <w:noWrap/>
            <w:vAlign w:val="bottom"/>
            <w:hideMark/>
          </w:tcPr>
          <w:p w14:paraId="0F271E62"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2,850</w:t>
            </w:r>
          </w:p>
        </w:tc>
        <w:tc>
          <w:tcPr>
            <w:tcW w:w="995" w:type="dxa"/>
            <w:shd w:val="clear" w:color="auto" w:fill="auto"/>
            <w:noWrap/>
            <w:vAlign w:val="bottom"/>
            <w:hideMark/>
          </w:tcPr>
          <w:p w14:paraId="6AC56014"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3103CE3C" w14:textId="77777777" w:rsidR="00161F35" w:rsidRPr="00C93A4A" w:rsidRDefault="00161F35" w:rsidP="00161F35">
            <w:pPr>
              <w:spacing w:after="0" w:line="240" w:lineRule="auto"/>
              <w:jc w:val="center"/>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5,000</w:t>
            </w:r>
          </w:p>
        </w:tc>
        <w:tc>
          <w:tcPr>
            <w:tcW w:w="1110" w:type="dxa"/>
            <w:shd w:val="clear" w:color="auto" w:fill="auto"/>
            <w:noWrap/>
            <w:vAlign w:val="bottom"/>
            <w:hideMark/>
          </w:tcPr>
          <w:p w14:paraId="7A0BAE15" w14:textId="77777777" w:rsidR="00161F35" w:rsidRPr="00C93A4A" w:rsidRDefault="00161F35" w:rsidP="00161F35">
            <w:pPr>
              <w:spacing w:after="0" w:line="240" w:lineRule="auto"/>
              <w:jc w:val="right"/>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205850</w:t>
            </w:r>
          </w:p>
        </w:tc>
      </w:tr>
      <w:tr w:rsidR="00161F35" w:rsidRPr="00C93A4A" w14:paraId="20BB3CD1" w14:textId="77777777" w:rsidTr="00161F35">
        <w:trPr>
          <w:trHeight w:val="290"/>
        </w:trPr>
        <w:tc>
          <w:tcPr>
            <w:tcW w:w="5811" w:type="dxa"/>
            <w:gridSpan w:val="3"/>
            <w:shd w:val="clear" w:color="auto" w:fill="auto"/>
            <w:noWrap/>
            <w:vAlign w:val="center"/>
            <w:hideMark/>
          </w:tcPr>
          <w:p w14:paraId="1974B433" w14:textId="77777777" w:rsidR="00161F35" w:rsidRPr="00C93A4A" w:rsidRDefault="00161F35" w:rsidP="00161F35">
            <w:pPr>
              <w:spacing w:after="0" w:line="240" w:lineRule="auto"/>
              <w:jc w:val="right"/>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 xml:space="preserve">TOTAL Estimation for international staff annually </w:t>
            </w:r>
          </w:p>
        </w:tc>
        <w:tc>
          <w:tcPr>
            <w:tcW w:w="1272" w:type="dxa"/>
            <w:shd w:val="clear" w:color="auto" w:fill="auto"/>
            <w:noWrap/>
            <w:vAlign w:val="center"/>
          </w:tcPr>
          <w:p w14:paraId="2D31D900"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p>
        </w:tc>
        <w:tc>
          <w:tcPr>
            <w:tcW w:w="1186" w:type="dxa"/>
            <w:shd w:val="clear" w:color="auto" w:fill="auto"/>
            <w:noWrap/>
            <w:vAlign w:val="center"/>
            <w:hideMark/>
          </w:tcPr>
          <w:p w14:paraId="6C5EB1FC" w14:textId="77777777" w:rsidR="00161F35" w:rsidRPr="00C93A4A" w:rsidRDefault="00161F35" w:rsidP="00161F35">
            <w:pPr>
              <w:spacing w:after="0" w:line="240" w:lineRule="auto"/>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 xml:space="preserve">  2,971,200 </w:t>
            </w:r>
          </w:p>
        </w:tc>
        <w:tc>
          <w:tcPr>
            <w:tcW w:w="689" w:type="dxa"/>
            <w:shd w:val="clear" w:color="auto" w:fill="auto"/>
            <w:noWrap/>
            <w:vAlign w:val="bottom"/>
            <w:hideMark/>
          </w:tcPr>
          <w:p w14:paraId="07DEFA59"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23" w:type="dxa"/>
            <w:shd w:val="clear" w:color="auto" w:fill="auto"/>
            <w:noWrap/>
            <w:vAlign w:val="bottom"/>
            <w:hideMark/>
          </w:tcPr>
          <w:p w14:paraId="1036EE18"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92" w:type="dxa"/>
            <w:shd w:val="clear" w:color="auto" w:fill="auto"/>
            <w:noWrap/>
            <w:vAlign w:val="bottom"/>
            <w:hideMark/>
          </w:tcPr>
          <w:p w14:paraId="2658C651"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95" w:type="dxa"/>
            <w:shd w:val="clear" w:color="auto" w:fill="auto"/>
            <w:noWrap/>
            <w:vAlign w:val="bottom"/>
            <w:hideMark/>
          </w:tcPr>
          <w:p w14:paraId="36BCE2B9"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954" w:type="dxa"/>
            <w:shd w:val="clear" w:color="auto" w:fill="auto"/>
            <w:noWrap/>
            <w:vAlign w:val="bottom"/>
            <w:hideMark/>
          </w:tcPr>
          <w:p w14:paraId="0752B01F" w14:textId="77777777" w:rsidR="00161F35" w:rsidRPr="00C93A4A" w:rsidRDefault="00161F35" w:rsidP="00161F35">
            <w:pPr>
              <w:spacing w:after="0" w:line="240" w:lineRule="auto"/>
              <w:rPr>
                <w:rFonts w:asciiTheme="minorHAnsi" w:hAnsiTheme="minorHAnsi" w:cstheme="minorHAnsi"/>
                <w:color w:val="000000"/>
                <w:sz w:val="20"/>
                <w:szCs w:val="20"/>
                <w:lang w:val="en-GB" w:eastAsia="en-GB"/>
              </w:rPr>
            </w:pPr>
            <w:r w:rsidRPr="00C93A4A">
              <w:rPr>
                <w:rFonts w:asciiTheme="minorHAnsi" w:hAnsiTheme="minorHAnsi" w:cstheme="minorHAnsi"/>
                <w:color w:val="000000"/>
                <w:sz w:val="20"/>
                <w:szCs w:val="20"/>
                <w:lang w:val="en-GB" w:eastAsia="en-GB"/>
              </w:rPr>
              <w:t> </w:t>
            </w:r>
          </w:p>
        </w:tc>
        <w:tc>
          <w:tcPr>
            <w:tcW w:w="1110" w:type="dxa"/>
            <w:shd w:val="clear" w:color="auto" w:fill="auto"/>
            <w:noWrap/>
            <w:vAlign w:val="bottom"/>
            <w:hideMark/>
          </w:tcPr>
          <w:p w14:paraId="0A3B51BC" w14:textId="77777777" w:rsidR="00161F35" w:rsidRPr="00C93A4A" w:rsidRDefault="00161F35" w:rsidP="00161F35">
            <w:pPr>
              <w:spacing w:after="0" w:line="240" w:lineRule="auto"/>
              <w:jc w:val="right"/>
              <w:rPr>
                <w:rFonts w:asciiTheme="minorHAnsi" w:hAnsiTheme="minorHAnsi" w:cstheme="minorHAnsi"/>
                <w:b/>
                <w:bCs/>
                <w:color w:val="000000"/>
                <w:sz w:val="20"/>
                <w:szCs w:val="20"/>
                <w:lang w:val="en-GB" w:eastAsia="en-GB"/>
              </w:rPr>
            </w:pPr>
            <w:r w:rsidRPr="00C93A4A">
              <w:rPr>
                <w:rFonts w:asciiTheme="minorHAnsi" w:hAnsiTheme="minorHAnsi" w:cstheme="minorHAnsi"/>
                <w:b/>
                <w:bCs/>
                <w:color w:val="000000"/>
                <w:sz w:val="20"/>
                <w:szCs w:val="20"/>
                <w:lang w:val="en-GB" w:eastAsia="en-GB"/>
              </w:rPr>
              <w:t>2,523,410</w:t>
            </w:r>
          </w:p>
        </w:tc>
      </w:tr>
    </w:tbl>
    <w:p w14:paraId="4A18D526" w14:textId="77777777" w:rsidR="00161F35" w:rsidRPr="00C93A4A" w:rsidRDefault="00161F35" w:rsidP="00161F35">
      <w:pPr>
        <w:spacing w:after="0" w:line="240" w:lineRule="auto"/>
        <w:rPr>
          <w:lang w:val="en-GB"/>
        </w:rPr>
      </w:pPr>
    </w:p>
    <w:p w14:paraId="35B5E7A0" w14:textId="77777777" w:rsidR="00161F35" w:rsidRPr="00C93A4A" w:rsidRDefault="00161F35" w:rsidP="00161F35">
      <w:pPr>
        <w:spacing w:after="0" w:line="240" w:lineRule="auto"/>
        <w:rPr>
          <w:lang w:val="en-GB"/>
        </w:rPr>
        <w:sectPr w:rsidR="00161F35" w:rsidRPr="00C93A4A" w:rsidSect="00161F35">
          <w:pgSz w:w="15840" w:h="12240" w:orient="landscape"/>
          <w:pgMar w:top="1701" w:right="1440" w:bottom="1701" w:left="1440" w:header="709" w:footer="709" w:gutter="0"/>
          <w:cols w:space="708"/>
          <w:docGrid w:linePitch="360"/>
        </w:sectPr>
      </w:pPr>
    </w:p>
    <w:p w14:paraId="1E83B048" w14:textId="77777777" w:rsidR="00161F35" w:rsidRPr="00C93A4A" w:rsidRDefault="00161F35" w:rsidP="00161F35">
      <w:pPr>
        <w:pStyle w:val="Heading1"/>
        <w:numPr>
          <w:ilvl w:val="0"/>
          <w:numId w:val="22"/>
        </w:numPr>
        <w:tabs>
          <w:tab w:val="left" w:pos="993"/>
        </w:tabs>
      </w:pPr>
      <w:bookmarkStart w:id="16" w:name="_Toc424633126"/>
      <w:r w:rsidRPr="00C93A4A">
        <w:lastRenderedPageBreak/>
        <w:t>Issues to address in a second phase</w:t>
      </w:r>
      <w:bookmarkEnd w:id="16"/>
      <w:r w:rsidRPr="00C93A4A">
        <w:t xml:space="preserve">   </w:t>
      </w:r>
    </w:p>
    <w:p w14:paraId="43F31E57" w14:textId="77777777" w:rsidR="00BA1D74" w:rsidRPr="00C93A4A" w:rsidRDefault="00BA1D74" w:rsidP="00BA1D74">
      <w:pPr>
        <w:pStyle w:val="Heading2"/>
      </w:pPr>
      <w:bookmarkStart w:id="17" w:name="_Toc424633127"/>
      <w:r w:rsidRPr="00C93A4A">
        <w:t>Principal lessons from the first phase</w:t>
      </w:r>
      <w:bookmarkEnd w:id="17"/>
    </w:p>
    <w:p w14:paraId="60DFCE17" w14:textId="77777777" w:rsidR="00BA1D74" w:rsidRPr="00C93A4A" w:rsidRDefault="00BA1D74" w:rsidP="00BA1D74">
      <w:pPr>
        <w:pStyle w:val="Heading3"/>
      </w:pPr>
      <w:bookmarkStart w:id="18" w:name="_Toc424633128"/>
      <w:r w:rsidRPr="00C93A4A">
        <w:t>Weak engagement by GoTL</w:t>
      </w:r>
      <w:bookmarkEnd w:id="18"/>
      <w:r w:rsidRPr="00C93A4A">
        <w:t xml:space="preserve"> </w:t>
      </w:r>
    </w:p>
    <w:p w14:paraId="04F22412" w14:textId="039B220C" w:rsidR="00BA1D74" w:rsidRPr="00C93A4A" w:rsidRDefault="00BA1D74" w:rsidP="00BA1D74">
      <w:pPr>
        <w:rPr>
          <w:lang w:val="en-GB"/>
        </w:rPr>
      </w:pPr>
      <w:r w:rsidRPr="00C93A4A">
        <w:rPr>
          <w:lang w:val="en-GB"/>
        </w:rPr>
        <w:t xml:space="preserve">GoTL stakeholders are supportive of R4D but there is a very low level of ownership of the program. It has not been possible to establish a Steering Committee to oversee strategic direction and this has left the program being directed by ILO and, to a lesser extent, DFAT. Given that the ILO team is highly skilled and well resourced, it is a challenge to create opportunities for </w:t>
      </w:r>
      <w:r w:rsidR="00D9153D" w:rsidRPr="00C93A4A">
        <w:rPr>
          <w:lang w:val="en-GB"/>
        </w:rPr>
        <w:t>DRB</w:t>
      </w:r>
      <w:r w:rsidR="00F839DE">
        <w:rPr>
          <w:lang w:val="en-GB"/>
        </w:rPr>
        <w:t>C</w:t>
      </w:r>
      <w:r w:rsidR="00D9153D" w:rsidRPr="00C93A4A">
        <w:rPr>
          <w:lang w:val="en-GB"/>
        </w:rPr>
        <w:t>F</w:t>
      </w:r>
      <w:r w:rsidRPr="00C93A4A">
        <w:rPr>
          <w:lang w:val="en-GB"/>
        </w:rPr>
        <w:t xml:space="preserve"> and senior MPW staff to exert influence. </w:t>
      </w:r>
      <w:r w:rsidR="00911331" w:rsidRPr="00C93A4A">
        <w:rPr>
          <w:lang w:val="en-GB"/>
        </w:rPr>
        <w:t>Heighten</w:t>
      </w:r>
      <w:r w:rsidRPr="00C93A4A">
        <w:rPr>
          <w:lang w:val="en-GB"/>
        </w:rPr>
        <w:t>ing this challenge is the priority MPW places on national and district roads.</w:t>
      </w:r>
    </w:p>
    <w:p w14:paraId="585E869A" w14:textId="555CB41B" w:rsidR="00BA1D74" w:rsidRPr="00C93A4A" w:rsidRDefault="00BA1D74" w:rsidP="00BA1D74">
      <w:pPr>
        <w:rPr>
          <w:lang w:val="en-GB"/>
        </w:rPr>
      </w:pPr>
      <w:r w:rsidRPr="00C93A4A">
        <w:rPr>
          <w:lang w:val="en-GB"/>
        </w:rPr>
        <w:t xml:space="preserve">Addressing this issue in a second phase will be particularly important given that GoTL will be the primary source of funds for rehabilitation and maintenance activities. If political support is to be retained for that funding it will be critical that GoTL feels it has control over the R4D program. R4D must create a relationship with MPW and </w:t>
      </w:r>
      <w:r w:rsidR="00D9153D" w:rsidRPr="00C93A4A">
        <w:rPr>
          <w:lang w:val="en-GB"/>
        </w:rPr>
        <w:t>DRBF</w:t>
      </w:r>
      <w:r w:rsidR="00F839DE">
        <w:rPr>
          <w:lang w:val="en-GB"/>
        </w:rPr>
        <w:t>C</w:t>
      </w:r>
      <w:r w:rsidRPr="00C93A4A">
        <w:rPr>
          <w:lang w:val="en-GB"/>
        </w:rPr>
        <w:t xml:space="preserve"> whereby GoTL stakeholders </w:t>
      </w:r>
      <w:r w:rsidR="00911331" w:rsidRPr="00C93A4A">
        <w:rPr>
          <w:lang w:val="en-GB"/>
        </w:rPr>
        <w:t>perceive</w:t>
      </w:r>
      <w:r w:rsidRPr="00C93A4A">
        <w:rPr>
          <w:lang w:val="en-GB"/>
        </w:rPr>
        <w:t xml:space="preserve"> that R4D is supporting the GoTL rural roads program. The ICM observed the outcomes of weak engagement by GoTL, including a low level of input into the ICM activities and allocation of substantial amounts of GoTL funding to poorly planned, non-priority rural roads through ‘emergency’ contracts. The real challenge for a second phase is in understanding the conflicting motivations and incentives of GoTL with respect to rural roads and then developing a strategy that addresses these. This is an area for consideration during a design update. </w:t>
      </w:r>
    </w:p>
    <w:p w14:paraId="3D5EA766" w14:textId="673199E2" w:rsidR="00BA1D74" w:rsidRPr="00C93A4A" w:rsidRDefault="00BA1D74" w:rsidP="00BA1D74">
      <w:pPr>
        <w:rPr>
          <w:lang w:val="en-GB"/>
        </w:rPr>
      </w:pPr>
      <w:r w:rsidRPr="00C93A4A">
        <w:rPr>
          <w:lang w:val="en-GB"/>
        </w:rPr>
        <w:t xml:space="preserve">Discussions around mutual obligation should cover measures to strengthen GoTL inputs into strategic direction. Not only do both parties, GoTL and GoA, need to commit resources but also to provide input from senior level staff to setting direction, </w:t>
      </w:r>
      <w:r w:rsidR="00911331" w:rsidRPr="00C93A4A">
        <w:rPr>
          <w:lang w:val="en-GB"/>
        </w:rPr>
        <w:t>manag</w:t>
      </w:r>
      <w:r w:rsidRPr="00C93A4A">
        <w:rPr>
          <w:lang w:val="en-GB"/>
        </w:rPr>
        <w:t xml:space="preserve">ing </w:t>
      </w:r>
      <w:r w:rsidR="00911331" w:rsidRPr="00C93A4A">
        <w:rPr>
          <w:lang w:val="en-GB"/>
        </w:rPr>
        <w:t>inputs</w:t>
      </w:r>
      <w:r w:rsidRPr="00C93A4A">
        <w:rPr>
          <w:lang w:val="en-GB"/>
        </w:rPr>
        <w:t xml:space="preserve"> and monitoring progress. Creation of the Rural Roads Working Group, while an appropriate coordinating body for sector actors, is not a substitute for the Steering Committee. Alternatives to the Steering Committee model should be considered for a second phase. This failed to operate effectively in the first phase and other DFAT programs, such as BESIK, have had similar problems with establishing a steering committee to provide strategic oversight. Alternatives might include greater use of existing GoTL decision making forums; at the ministerial level, combining R4D and BESIK into a regular broader review of DFAT assistance to the ministry; creating a lower level review forum within MPW (such as the ‘Council of Directors’ used in the Ministry of Health) to oversee R4D. Creating and facilitating these mechanisms should not be left to the R4D implementing team but be the responsibility of DFAT and given the highest priority in their oversight of the program. </w:t>
      </w:r>
    </w:p>
    <w:p w14:paraId="7348CBA5" w14:textId="59FCE236" w:rsidR="00BA1D74" w:rsidRPr="00C93A4A" w:rsidRDefault="00BA1D74" w:rsidP="00BA1D74">
      <w:pPr>
        <w:rPr>
          <w:lang w:val="en-GB"/>
        </w:rPr>
      </w:pPr>
      <w:r w:rsidRPr="00C93A4A">
        <w:rPr>
          <w:lang w:val="en-GB"/>
        </w:rPr>
        <w:t xml:space="preserve">The ICM noted two specific measures where a second phase might strengthen GoTL ownership. The first involves making sure GoTL is centrally involved in the design update. MPW stakeholders must be engaged in ways that work for them. This is likely to include workshops tailored to the needs of senior MPW staff that are facilitated in Tetun and give participants sufficient opportunity to analyse the experience of the first phase. Consideration should be given to holding these events outside Dili to lock in the engagement of senior MPW staff. The other measure is including within the R4D budget annual funding to improve </w:t>
      </w:r>
      <w:r w:rsidR="00D9153D" w:rsidRPr="00C93A4A">
        <w:rPr>
          <w:lang w:val="en-GB"/>
        </w:rPr>
        <w:t>DRBF</w:t>
      </w:r>
      <w:r w:rsidR="00F839DE">
        <w:rPr>
          <w:lang w:val="en-GB"/>
        </w:rPr>
        <w:t>C</w:t>
      </w:r>
      <w:r w:rsidRPr="00C93A4A">
        <w:rPr>
          <w:lang w:val="en-GB"/>
        </w:rPr>
        <w:t xml:space="preserve"> resources, linked to capacity building. This would provide a concrete item for joint planning between </w:t>
      </w:r>
      <w:r w:rsidR="00D9153D" w:rsidRPr="00C93A4A">
        <w:rPr>
          <w:lang w:val="en-GB"/>
        </w:rPr>
        <w:t>DRBF</w:t>
      </w:r>
      <w:r w:rsidR="00F839DE">
        <w:rPr>
          <w:lang w:val="en-GB"/>
        </w:rPr>
        <w:t>C</w:t>
      </w:r>
      <w:r w:rsidRPr="00C93A4A">
        <w:rPr>
          <w:lang w:val="en-GB"/>
        </w:rPr>
        <w:t xml:space="preserve"> staff and the R4D team, </w:t>
      </w:r>
      <w:r w:rsidRPr="00C93A4A">
        <w:rPr>
          <w:lang w:val="en-GB"/>
        </w:rPr>
        <w:lastRenderedPageBreak/>
        <w:t xml:space="preserve">strengthen the idea of R4D being a partnership and diminish the perception that the R4D team is heavily resourced through the program but </w:t>
      </w:r>
      <w:r w:rsidR="00911331" w:rsidRPr="00C93A4A">
        <w:rPr>
          <w:lang w:val="en-GB"/>
        </w:rPr>
        <w:t xml:space="preserve">that </w:t>
      </w:r>
      <w:r w:rsidRPr="00C93A4A">
        <w:rPr>
          <w:lang w:val="en-GB"/>
        </w:rPr>
        <w:t xml:space="preserve">their GoTL counterparts are not. </w:t>
      </w:r>
    </w:p>
    <w:p w14:paraId="4AB95FBE" w14:textId="77777777" w:rsidR="00BA1D74" w:rsidRPr="00C93A4A" w:rsidRDefault="00BA1D74" w:rsidP="00BA1D74">
      <w:pPr>
        <w:pStyle w:val="Heading3"/>
      </w:pPr>
      <w:bookmarkStart w:id="19" w:name="_Toc424633129"/>
      <w:r w:rsidRPr="00C93A4A">
        <w:t>A stronger role for DFAT</w:t>
      </w:r>
      <w:bookmarkEnd w:id="19"/>
    </w:p>
    <w:p w14:paraId="449ADDF4" w14:textId="5B66D366" w:rsidR="00BA1D74" w:rsidRPr="00C93A4A" w:rsidRDefault="00BA1D74" w:rsidP="00BA1D74">
      <w:pPr>
        <w:rPr>
          <w:lang w:val="en-GB"/>
        </w:rPr>
      </w:pPr>
      <w:r w:rsidRPr="00C93A4A">
        <w:rPr>
          <w:lang w:val="en-GB"/>
        </w:rPr>
        <w:t xml:space="preserve">The ICM noted a range of areas in which the ILO implementing team has struggled to engage GoTL decision makers. The best example is securing MPW funding for rural roads. While the R4D team was able to help </w:t>
      </w:r>
      <w:r w:rsidR="00D9153D" w:rsidRPr="00C93A4A">
        <w:rPr>
          <w:lang w:val="en-GB"/>
        </w:rPr>
        <w:t>DRBF</w:t>
      </w:r>
      <w:r w:rsidR="00F839DE">
        <w:rPr>
          <w:lang w:val="en-GB"/>
        </w:rPr>
        <w:t>C</w:t>
      </w:r>
      <w:r w:rsidRPr="00C93A4A">
        <w:rPr>
          <w:lang w:val="en-GB"/>
        </w:rPr>
        <w:t xml:space="preserve"> prepare a competent budget submission, building broad political support for that submission is beyond their reach. To some extent, the ILO team currently acts as an interface between DFAT and GoTL. DFAT needs to strengthen the direct bilateral relationships so that it can directly facilitate GoTL engagement. During a second phase, it would be helpful for the DFAT team to have a strategy for influencing GoTL decision makers. This should reflect a thorough analysis of the political context. </w:t>
      </w:r>
      <w:r w:rsidR="00C93A4A">
        <w:rPr>
          <w:lang w:val="en-GB"/>
        </w:rPr>
        <w:t>P</w:t>
      </w:r>
      <w:r w:rsidRPr="00C93A4A">
        <w:rPr>
          <w:lang w:val="en-GB"/>
        </w:rPr>
        <w:t>rincipal aim</w:t>
      </w:r>
      <w:r w:rsidR="00C93A4A">
        <w:rPr>
          <w:lang w:val="en-GB"/>
        </w:rPr>
        <w:t>s</w:t>
      </w:r>
      <w:r w:rsidRPr="00C93A4A">
        <w:rPr>
          <w:lang w:val="en-GB"/>
        </w:rPr>
        <w:t xml:space="preserve"> would be to generate </w:t>
      </w:r>
      <w:r w:rsidR="00C93A4A">
        <w:rPr>
          <w:lang w:val="en-GB"/>
        </w:rPr>
        <w:t xml:space="preserve">ongoing </w:t>
      </w:r>
      <w:r w:rsidRPr="00C93A4A">
        <w:rPr>
          <w:lang w:val="en-GB"/>
        </w:rPr>
        <w:t>dialogue and create the relationships that would underpin GoTL ownership of R4D</w:t>
      </w:r>
      <w:r w:rsidR="00C93A4A">
        <w:rPr>
          <w:lang w:val="en-GB"/>
        </w:rPr>
        <w:t>,</w:t>
      </w:r>
      <w:r w:rsidRPr="00C93A4A">
        <w:rPr>
          <w:lang w:val="en-GB"/>
        </w:rPr>
        <w:t xml:space="preserve"> and to ensure that GoTL contribute to strategic decisions.</w:t>
      </w:r>
    </w:p>
    <w:p w14:paraId="0441C2FE" w14:textId="77777777" w:rsidR="00BA1D74" w:rsidRPr="00C93A4A" w:rsidRDefault="00BA1D74" w:rsidP="00BA1D74">
      <w:pPr>
        <w:pStyle w:val="Heading3"/>
      </w:pPr>
      <w:bookmarkStart w:id="20" w:name="_Toc424633130"/>
      <w:r w:rsidRPr="00C93A4A">
        <w:t>Capacity building</w:t>
      </w:r>
      <w:bookmarkEnd w:id="20"/>
    </w:p>
    <w:p w14:paraId="69E24C95" w14:textId="0031A3A2" w:rsidR="00BA1D74" w:rsidRPr="00C93A4A" w:rsidRDefault="00BA1D74" w:rsidP="00BA1D74">
      <w:pPr>
        <w:rPr>
          <w:lang w:val="en-GB"/>
        </w:rPr>
      </w:pPr>
      <w:r w:rsidRPr="00C93A4A">
        <w:rPr>
          <w:lang w:val="en-GB"/>
        </w:rPr>
        <w:t>DFAT understands that it will take time to build GoTL capacity to sustain a qua</w:t>
      </w:r>
      <w:r w:rsidR="00C93A4A">
        <w:rPr>
          <w:lang w:val="en-GB"/>
        </w:rPr>
        <w:t>lity rural road network. A long-</w:t>
      </w:r>
      <w:r w:rsidRPr="00C93A4A">
        <w:rPr>
          <w:lang w:val="en-GB"/>
        </w:rPr>
        <w:t>term commitment is required, involving a partnership of 10 to 15</w:t>
      </w:r>
      <w:r w:rsidR="00C93A4A">
        <w:rPr>
          <w:lang w:val="en-GB"/>
        </w:rPr>
        <w:t xml:space="preserve"> years</w:t>
      </w:r>
      <w:r w:rsidRPr="00C93A4A">
        <w:rPr>
          <w:lang w:val="en-GB"/>
        </w:rPr>
        <w:t xml:space="preserve">, such as has been the timeframe for other rural development programs such as Seeds of Life and BESIK. R4D’s first phase commenced the capacity building process. Significant gains were made in creating the RRMP, developing the procurement system and capacity of local contractors, trialling an approach to maintenance, and developing the standards, specifications and guidelines for rural road rehabilitation. Without a further phase of support, these capacity gains from the first phase are unlikely to be sustained or built upon. </w:t>
      </w:r>
    </w:p>
    <w:p w14:paraId="29A0E6D1" w14:textId="63EC721E" w:rsidR="00BA1D74" w:rsidRPr="00C93A4A" w:rsidRDefault="00BA1D74" w:rsidP="00BA1D74">
      <w:pPr>
        <w:rPr>
          <w:lang w:val="en-GB"/>
        </w:rPr>
      </w:pPr>
      <w:r w:rsidRPr="00C93A4A">
        <w:rPr>
          <w:lang w:val="en-GB"/>
        </w:rPr>
        <w:t xml:space="preserve">Building capacity, however, has been very challenging for the R4D team. The original PDD assumed that there would be a Rural Roads Department within </w:t>
      </w:r>
      <w:r w:rsidR="00D9153D" w:rsidRPr="00C93A4A">
        <w:rPr>
          <w:lang w:val="en-GB"/>
        </w:rPr>
        <w:t>DRBF</w:t>
      </w:r>
      <w:r w:rsidR="00F839DE">
        <w:rPr>
          <w:lang w:val="en-GB"/>
        </w:rPr>
        <w:t>C</w:t>
      </w:r>
      <w:r w:rsidRPr="00C93A4A">
        <w:rPr>
          <w:lang w:val="en-GB"/>
        </w:rPr>
        <w:t xml:space="preserve"> and that this department would be central to government service delivery. This did not eventuate and R4D has become the de facto Rural Roads Department</w:t>
      </w:r>
      <w:r w:rsidR="00C93A4A">
        <w:rPr>
          <w:lang w:val="en-GB"/>
        </w:rPr>
        <w:t>—</w:t>
      </w:r>
      <w:r w:rsidRPr="00C93A4A">
        <w:rPr>
          <w:lang w:val="en-GB"/>
        </w:rPr>
        <w:t xml:space="preserve">an observation made in the MTR and also by </w:t>
      </w:r>
      <w:r w:rsidR="00D9153D" w:rsidRPr="00C93A4A">
        <w:rPr>
          <w:lang w:val="en-GB"/>
        </w:rPr>
        <w:t>DRBF</w:t>
      </w:r>
      <w:r w:rsidR="00F839DE">
        <w:rPr>
          <w:lang w:val="en-GB"/>
        </w:rPr>
        <w:t>C</w:t>
      </w:r>
      <w:r w:rsidRPr="00C93A4A">
        <w:rPr>
          <w:lang w:val="en-GB"/>
        </w:rPr>
        <w:t xml:space="preserve"> staff themselves during discussions with the ICM. R4D has responded to the lack of counterparts in two ways. Firstly, the team has adopted a ‘capacity substitution’ approach where R4D staff carry out the major steps in planning, designing, contracting and supervising the rehabilitation and maintenance of rural roads. </w:t>
      </w:r>
      <w:r w:rsidR="00D9153D" w:rsidRPr="00C93A4A">
        <w:rPr>
          <w:lang w:val="en-GB"/>
        </w:rPr>
        <w:t>DRBF</w:t>
      </w:r>
      <w:r w:rsidR="00F839DE">
        <w:rPr>
          <w:lang w:val="en-GB"/>
        </w:rPr>
        <w:t>C</w:t>
      </w:r>
      <w:r w:rsidRPr="00C93A4A">
        <w:rPr>
          <w:lang w:val="en-GB"/>
        </w:rPr>
        <w:t xml:space="preserve"> staff are involved wherever possible, including at the municipal level, but progress is entirely dependent on the actions of R4D staff. This has resulted in quality road rehabilitation works but is not a long-term solution. The other approach has been to contract 10 ‘counterpart’ staff. These Timorese contractors are intended to be seen as </w:t>
      </w:r>
      <w:r w:rsidR="00D9153D" w:rsidRPr="00C93A4A">
        <w:rPr>
          <w:lang w:val="en-GB"/>
        </w:rPr>
        <w:t>DRBF</w:t>
      </w:r>
      <w:r w:rsidR="00F839DE">
        <w:rPr>
          <w:lang w:val="en-GB"/>
        </w:rPr>
        <w:t>C</w:t>
      </w:r>
      <w:r w:rsidRPr="00C93A4A">
        <w:rPr>
          <w:lang w:val="en-GB"/>
        </w:rPr>
        <w:t xml:space="preserve"> staff and there is a hope that in time they will be hired permanently by MPW. This does not seem to have been effective. The ICM observed that both </w:t>
      </w:r>
      <w:r w:rsidR="00D9153D" w:rsidRPr="00C93A4A">
        <w:rPr>
          <w:lang w:val="en-GB"/>
        </w:rPr>
        <w:t>DRBF</w:t>
      </w:r>
      <w:r w:rsidR="00F839DE">
        <w:rPr>
          <w:lang w:val="en-GB"/>
        </w:rPr>
        <w:t>C</w:t>
      </w:r>
      <w:r w:rsidRPr="00C93A4A">
        <w:rPr>
          <w:lang w:val="en-GB"/>
        </w:rPr>
        <w:t xml:space="preserve"> and R4D see these contractors as more closely aligned to R4D than to the government. </w:t>
      </w:r>
    </w:p>
    <w:p w14:paraId="1CC3AEFA" w14:textId="7F70444C" w:rsidR="00BA1D74" w:rsidRPr="00C93A4A" w:rsidRDefault="00BA1D74" w:rsidP="00BA1D74">
      <w:pPr>
        <w:rPr>
          <w:lang w:val="en-GB"/>
        </w:rPr>
      </w:pPr>
      <w:r w:rsidRPr="00C93A4A">
        <w:rPr>
          <w:lang w:val="en-GB"/>
        </w:rPr>
        <w:t xml:space="preserve">The capacity substitution approach was appropriate for the first phase in that it </w:t>
      </w:r>
      <w:r w:rsidR="00C93A4A">
        <w:rPr>
          <w:lang w:val="en-GB"/>
        </w:rPr>
        <w:t xml:space="preserve">enabled the program to </w:t>
      </w:r>
      <w:r w:rsidRPr="00C93A4A">
        <w:rPr>
          <w:lang w:val="en-GB"/>
        </w:rPr>
        <w:t xml:space="preserve">demonstrate what could be achieved and generated momentum and a strong profile for the R4D program. A second phase, however, will need to consciously transition from capacity substitution to capacity development. This will be challenging, particularly if GoTL increases its annual investment in rural road rehabilitation to  $20-25m, as </w:t>
      </w:r>
      <w:r w:rsidR="00C93A4A">
        <w:rPr>
          <w:lang w:val="en-GB"/>
        </w:rPr>
        <w:t>called for</w:t>
      </w:r>
      <w:r w:rsidRPr="00C93A4A">
        <w:rPr>
          <w:lang w:val="en-GB"/>
        </w:rPr>
        <w:t xml:space="preserve"> in the RRMP. The capacity development approach, should be reviewed in detail during the design update. This should include </w:t>
      </w:r>
      <w:r w:rsidRPr="00C93A4A">
        <w:rPr>
          <w:lang w:val="en-GB"/>
        </w:rPr>
        <w:lastRenderedPageBreak/>
        <w:t>analysis of the strengths and weaknesses of the Capacity Development Framework, the capacity development responsibilities for each R4D team member, and the targets and monitoring needed to demonstrate where progress has been achieved. Each R4D staff member has a role to play in capacity development and need</w:t>
      </w:r>
      <w:r w:rsidR="00C93A4A">
        <w:rPr>
          <w:lang w:val="en-GB"/>
        </w:rPr>
        <w:t>s</w:t>
      </w:r>
      <w:r w:rsidRPr="00C93A4A">
        <w:rPr>
          <w:lang w:val="en-GB"/>
        </w:rPr>
        <w:t xml:space="preserve"> support and guidance to make those efforts effective. Either short or long-term inputs from a capacity development </w:t>
      </w:r>
      <w:r w:rsidR="00C93A4A">
        <w:rPr>
          <w:lang w:val="en-GB"/>
        </w:rPr>
        <w:t>adviser</w:t>
      </w:r>
      <w:r w:rsidRPr="00C93A4A">
        <w:rPr>
          <w:lang w:val="en-GB"/>
        </w:rPr>
        <w:t xml:space="preserve"> is recommended for the second phase. The inputs from this specialist should be highly practical and pragmatic rather than academic or aspirational. </w:t>
      </w:r>
    </w:p>
    <w:p w14:paraId="1A1C7880" w14:textId="74EA23D3" w:rsidR="00BA1D74" w:rsidRPr="00C93A4A" w:rsidRDefault="00BA1D74" w:rsidP="00BA1D74">
      <w:pPr>
        <w:rPr>
          <w:lang w:val="en-GB"/>
        </w:rPr>
      </w:pPr>
      <w:r w:rsidRPr="00C93A4A">
        <w:rPr>
          <w:lang w:val="en-GB"/>
        </w:rPr>
        <w:t xml:space="preserve">As part of the capacity development approach careful consideration should be given to the use of local consultants and the extent to which they are deployed within government or are part of the R4D team. While it is challenging to find qualified staff who are willing to work within the public sector, using R4D as a mechanism to build up the resources of </w:t>
      </w:r>
      <w:r w:rsidR="00D9153D" w:rsidRPr="00C93A4A">
        <w:rPr>
          <w:lang w:val="en-GB"/>
        </w:rPr>
        <w:t>DRBF</w:t>
      </w:r>
      <w:r w:rsidR="00F839DE">
        <w:rPr>
          <w:lang w:val="en-GB"/>
        </w:rPr>
        <w:t>C</w:t>
      </w:r>
      <w:r w:rsidRPr="00C93A4A">
        <w:rPr>
          <w:lang w:val="en-GB"/>
        </w:rPr>
        <w:t xml:space="preserve">, rather than R4D itself, will create better GoTL ownership of the program and reduce the likelihood that R4D operates in parallel to GoTL systems. Even if these contract staff are never offered permanent positions in the public service, this may still be the best approach. In addition, a second phase should give consideration to recruiting highly-skilled Timorese consultants into the R4D team, particularly to work at a senior level supporting R4D engagement with </w:t>
      </w:r>
      <w:r w:rsidR="00D9153D" w:rsidRPr="00C93A4A">
        <w:rPr>
          <w:lang w:val="en-GB"/>
        </w:rPr>
        <w:t>DRBF</w:t>
      </w:r>
      <w:r w:rsidR="00F839DE">
        <w:rPr>
          <w:lang w:val="en-GB"/>
        </w:rPr>
        <w:t>C</w:t>
      </w:r>
      <w:r w:rsidRPr="00C93A4A">
        <w:rPr>
          <w:lang w:val="en-GB"/>
        </w:rPr>
        <w:t xml:space="preserve"> and MPW staff</w:t>
      </w:r>
      <w:r w:rsidR="00C93A4A">
        <w:rPr>
          <w:lang w:val="en-GB"/>
        </w:rPr>
        <w:t xml:space="preserve"> at </w:t>
      </w:r>
      <w:r w:rsidR="00C93A4A" w:rsidRPr="00C93A4A">
        <w:rPr>
          <w:lang w:val="en-GB"/>
        </w:rPr>
        <w:t>director</w:t>
      </w:r>
      <w:r w:rsidR="00C93A4A">
        <w:rPr>
          <w:lang w:val="en-GB"/>
        </w:rPr>
        <w:t xml:space="preserve"> </w:t>
      </w:r>
      <w:r w:rsidR="00C93A4A" w:rsidRPr="00C93A4A">
        <w:rPr>
          <w:lang w:val="en-GB"/>
        </w:rPr>
        <w:t>level</w:t>
      </w:r>
      <w:r w:rsidRPr="00C93A4A">
        <w:rPr>
          <w:lang w:val="en-GB"/>
        </w:rPr>
        <w:t xml:space="preserve">.   </w:t>
      </w:r>
    </w:p>
    <w:p w14:paraId="51478B82" w14:textId="77777777" w:rsidR="00BA1D74" w:rsidRPr="00C93A4A" w:rsidRDefault="00BA1D74" w:rsidP="00BA1D74">
      <w:pPr>
        <w:pStyle w:val="Heading3"/>
      </w:pPr>
      <w:bookmarkStart w:id="21" w:name="_Toc424633131"/>
      <w:r w:rsidRPr="00C93A4A">
        <w:t>Decentralisation</w:t>
      </w:r>
      <w:bookmarkEnd w:id="21"/>
    </w:p>
    <w:p w14:paraId="40BFDF3B" w14:textId="7FA53657" w:rsidR="00BA1D74" w:rsidRPr="00C93A4A" w:rsidRDefault="00BA1D74" w:rsidP="00BA1D74">
      <w:pPr>
        <w:rPr>
          <w:lang w:val="en-GB"/>
        </w:rPr>
      </w:pPr>
      <w:r w:rsidRPr="00C93A4A">
        <w:rPr>
          <w:lang w:val="en-GB"/>
        </w:rPr>
        <w:t>Plans to decentralise national government functions to the municipal</w:t>
      </w:r>
      <w:r w:rsidR="00C93A4A">
        <w:rPr>
          <w:lang w:val="en-GB"/>
        </w:rPr>
        <w:t>ity</w:t>
      </w:r>
      <w:r w:rsidRPr="00C93A4A">
        <w:rPr>
          <w:lang w:val="en-GB"/>
        </w:rPr>
        <w:t xml:space="preserve"> (formerly district) level has been slowly taking shape since about 2008. It is likely, although not certain, that steps towards decentralisation will continue during the course of a second phase of R4D. Because the timing and process of decentralisation is uncertain, R4D will require a flexible approach that seeks to build capacity at municipal level to take on service delivery as responsibility is devolved. This should be a significant element of R4D’s second phase. </w:t>
      </w:r>
    </w:p>
    <w:p w14:paraId="1BE3AE95" w14:textId="7E80278C" w:rsidR="00BA1D74" w:rsidRPr="00C93A4A" w:rsidRDefault="00BA1D74" w:rsidP="00BA1D74">
      <w:pPr>
        <w:rPr>
          <w:lang w:val="en-GB"/>
        </w:rPr>
      </w:pPr>
      <w:r w:rsidRPr="00C93A4A">
        <w:rPr>
          <w:lang w:val="en-GB"/>
        </w:rPr>
        <w:t>R4D’s current program works at municipal</w:t>
      </w:r>
      <w:r w:rsidR="00C93A4A">
        <w:rPr>
          <w:lang w:val="en-GB"/>
        </w:rPr>
        <w:t>ity</w:t>
      </w:r>
      <w:r w:rsidRPr="00C93A4A">
        <w:rPr>
          <w:lang w:val="en-GB"/>
        </w:rPr>
        <w:t xml:space="preserve"> level but </w:t>
      </w:r>
      <w:r w:rsidR="00C93A4A">
        <w:rPr>
          <w:lang w:val="en-GB"/>
        </w:rPr>
        <w:t>entirel</w:t>
      </w:r>
      <w:r w:rsidRPr="00C93A4A">
        <w:rPr>
          <w:lang w:val="en-GB"/>
        </w:rPr>
        <w:t>y through MPW. A greater emphasis on preparation for decentralisation would involve at least two aspects. Firstly, there remain several different government stakeholders working on rural roads at the municipal</w:t>
      </w:r>
      <w:r w:rsidR="00C93A4A">
        <w:rPr>
          <w:lang w:val="en-GB"/>
        </w:rPr>
        <w:t>ity</w:t>
      </w:r>
      <w:r w:rsidRPr="00C93A4A">
        <w:rPr>
          <w:lang w:val="en-GB"/>
        </w:rPr>
        <w:t xml:space="preserve"> level. Most significant of these are PDID (reportedly to become PDIM as of 2016) and SEPFOPE which both receive national level GoTL funding for rural road rehabilitation. PNDS, which is also funding minor rural road activities, also has its own engineering and technical staff in each municipality, as does ADN. As the R4D team pointed out to the ICM, there are already sufficient engineers and technicians working on rural roads </w:t>
      </w:r>
      <w:r w:rsidR="00C93A4A">
        <w:rPr>
          <w:lang w:val="en-GB"/>
        </w:rPr>
        <w:t xml:space="preserve">in the </w:t>
      </w:r>
      <w:r w:rsidRPr="00C93A4A">
        <w:rPr>
          <w:lang w:val="en-GB"/>
        </w:rPr>
        <w:t>municipal</w:t>
      </w:r>
      <w:r w:rsidR="00C93A4A">
        <w:rPr>
          <w:lang w:val="en-GB"/>
        </w:rPr>
        <w:t>ities</w:t>
      </w:r>
      <w:r w:rsidRPr="00C93A4A">
        <w:rPr>
          <w:lang w:val="en-GB"/>
        </w:rPr>
        <w:t>—the problem is that their efforts are not coordinated, there are no common standards, and there is no pool or roads specialists being built up.</w:t>
      </w:r>
    </w:p>
    <w:p w14:paraId="08AD3CEF" w14:textId="09B709B4" w:rsidR="00BA1D74" w:rsidRPr="00C93A4A" w:rsidRDefault="00BA1D74" w:rsidP="00BA1D74">
      <w:pPr>
        <w:rPr>
          <w:lang w:val="en-GB"/>
        </w:rPr>
      </w:pPr>
      <w:r w:rsidRPr="00C93A4A">
        <w:rPr>
          <w:lang w:val="en-GB"/>
        </w:rPr>
        <w:t>While it is appropriate that R4D continues to work predominantly through MPW, attention could be given at the municipal</w:t>
      </w:r>
      <w:r w:rsidR="00C93A4A">
        <w:rPr>
          <w:lang w:val="en-GB"/>
        </w:rPr>
        <w:t>ity</w:t>
      </w:r>
      <w:r w:rsidRPr="00C93A4A">
        <w:rPr>
          <w:lang w:val="en-GB"/>
        </w:rPr>
        <w:t xml:space="preserve"> level to improving the coordination and capacity of all agencies working on rural roads, particularly PDID, SEPFOPE and ADN. Training the sector on a new set of national standards and guidelines—currently being documented by R4D—would provide the R4D Regional Engineers with a mechanism to collaborate with actors outside MPW. Facilitating the municipal</w:t>
      </w:r>
      <w:r w:rsidR="00C93A4A">
        <w:rPr>
          <w:lang w:val="en-GB"/>
        </w:rPr>
        <w:t>ity</w:t>
      </w:r>
      <w:r w:rsidRPr="00C93A4A">
        <w:rPr>
          <w:lang w:val="en-GB"/>
        </w:rPr>
        <w:t xml:space="preserve">-level actors to work more collaboratively will establish the foundation for future decentralised service delivery. </w:t>
      </w:r>
    </w:p>
    <w:p w14:paraId="79075624" w14:textId="5CCB4C7B" w:rsidR="00BA1D74" w:rsidRPr="00C93A4A" w:rsidRDefault="00BA1D74" w:rsidP="00BA1D74">
      <w:pPr>
        <w:rPr>
          <w:lang w:val="en-GB"/>
        </w:rPr>
      </w:pPr>
      <w:r w:rsidRPr="00C93A4A">
        <w:rPr>
          <w:lang w:val="en-GB"/>
        </w:rPr>
        <w:t xml:space="preserve">The other area where a second phase of R4D could prepare for decentralisation is facilitating greater involvement of Municipal Administrators in planning and advocating for improvement of rural roads in their municipality. Where Municipal Managers are most engaged (for example, in </w:t>
      </w:r>
      <w:r w:rsidRPr="00C93A4A">
        <w:rPr>
          <w:lang w:val="en-GB"/>
        </w:rPr>
        <w:lastRenderedPageBreak/>
        <w:t xml:space="preserve">Bobonaro), it would be appropriate to ensure that the Manager oversees development and annual updating of a rural roads plan for their municipality, using the RRMP as the basis. This process could start with activities to promote, analyse and fine-tune the RRMP for each municipality. Strong advocacy on the part of Municipal Managers may increase the likelihood that adequate funding is given to rural roads in the national budget and reduce </w:t>
      </w:r>
      <w:r w:rsidR="00C93A4A">
        <w:rPr>
          <w:lang w:val="en-GB"/>
        </w:rPr>
        <w:t xml:space="preserve">central </w:t>
      </w:r>
      <w:r w:rsidRPr="00C93A4A">
        <w:rPr>
          <w:lang w:val="en-GB"/>
        </w:rPr>
        <w:t>allocation of funds to poorly planned or low priority projects (as has often been the case to date).</w:t>
      </w:r>
    </w:p>
    <w:p w14:paraId="2980A18F" w14:textId="2689C14B" w:rsidR="00BA1D74" w:rsidRPr="00C93A4A" w:rsidRDefault="00BA1D74" w:rsidP="00BA1D74">
      <w:pPr>
        <w:rPr>
          <w:lang w:val="en-GB"/>
        </w:rPr>
      </w:pPr>
      <w:r w:rsidRPr="00C93A4A">
        <w:rPr>
          <w:lang w:val="en-GB"/>
        </w:rPr>
        <w:t xml:space="preserve">The Oecussi Special Administrative Region (SAR) may provide an opportunity to model good practice under decentralised conditions. R4D currently works in Oecussi in the same manner as other municipalities. With creation of the SAR, all GoTL line ministry staff based in Oecussi have been transferred to SAR, including the MPW team. SAR will have responsibility for its own budget and it is unlikely that MPW will allocate any funds for rural roads in Oecussi. R4D in a second phase could only continue operating in Oecussi if the SAR administrators decide to allocate their own budget and staff to rural roads. If that does happen, then it would be useful for R4D to design their program </w:t>
      </w:r>
      <w:r w:rsidR="00C72B7A">
        <w:rPr>
          <w:lang w:val="en-GB"/>
        </w:rPr>
        <w:t xml:space="preserve">in Oecussi </w:t>
      </w:r>
      <w:r w:rsidRPr="00C93A4A">
        <w:rPr>
          <w:lang w:val="en-GB"/>
        </w:rPr>
        <w:t xml:space="preserve">as a demonstration of what could be achieved in other parts of Timor-Leste when service delivery responsibilities are handed over to municipalities. </w:t>
      </w:r>
    </w:p>
    <w:p w14:paraId="46C2B5CD" w14:textId="77777777" w:rsidR="00BA1D74" w:rsidRPr="00C93A4A" w:rsidRDefault="00BA1D74" w:rsidP="00BA1D74">
      <w:pPr>
        <w:pStyle w:val="Heading3"/>
      </w:pPr>
      <w:bookmarkStart w:id="22" w:name="_Toc424633132"/>
      <w:r w:rsidRPr="00C93A4A">
        <w:t>Planning</w:t>
      </w:r>
      <w:bookmarkEnd w:id="22"/>
    </w:p>
    <w:p w14:paraId="36C564EC" w14:textId="2B25E1EB" w:rsidR="00BA1D74" w:rsidRPr="00C93A4A" w:rsidRDefault="00BA1D74" w:rsidP="00BA1D74">
      <w:pPr>
        <w:rPr>
          <w:lang w:val="en-GB"/>
        </w:rPr>
      </w:pPr>
      <w:r w:rsidRPr="00C93A4A">
        <w:rPr>
          <w:lang w:val="en-GB"/>
        </w:rPr>
        <w:t xml:space="preserve">The RRMP provides an evidence base for rational allocation of resources within the rural road sector. There is now credible information on the extent of the challenge and the level of investment required to produce a quality rural road network. Importantly, the RRMP also shifts the focus from construction to service delivery, emphasising that investing in routine and periodic maintenance results in the lowest overall expenditure. A second phase of R4D will benefit from having the RRMP to underpin planning. It will enable the program to work much more intensively with </w:t>
      </w:r>
      <w:r w:rsidR="00D9153D" w:rsidRPr="00C93A4A">
        <w:rPr>
          <w:lang w:val="en-GB"/>
        </w:rPr>
        <w:t>DRBF</w:t>
      </w:r>
      <w:r w:rsidR="00F839DE">
        <w:rPr>
          <w:lang w:val="en-GB"/>
        </w:rPr>
        <w:t>C</w:t>
      </w:r>
      <w:r w:rsidRPr="00C93A4A">
        <w:rPr>
          <w:lang w:val="en-GB"/>
        </w:rPr>
        <w:t xml:space="preserve"> on preparing annual budget submissions and work plans for rural roads. The section on institutional arrangement provides a blueprint for organisational development. </w:t>
      </w:r>
    </w:p>
    <w:p w14:paraId="4DBD7758" w14:textId="79985067" w:rsidR="00BA1D74" w:rsidRPr="00C93A4A" w:rsidRDefault="00BA1D74" w:rsidP="00BA1D74">
      <w:pPr>
        <w:rPr>
          <w:lang w:val="en-GB"/>
        </w:rPr>
      </w:pPr>
      <w:r w:rsidRPr="00C93A4A">
        <w:rPr>
          <w:lang w:val="en-GB"/>
        </w:rPr>
        <w:t>The RRMP, however, has not yet been endorsed by GoTL. The R4D team has found a number of problems with the data used to generate the plan and intends to update the plan, district-by-district before it is publically released. There are also significant assumptions in the plan that are not yet owned by government. Most notably, the plan creates categories of ‘core’ and ‘non-core’ rural roads and allocates responsibility for core roads to national-level MPW. GoTL needs to be given an opportunity to affirm the thinking in the RRMP before it can be used as a planning tool. It is anticipated that this will occur in 2016, so that a second phase could commence with the RRMP fully accepted a</w:t>
      </w:r>
      <w:r w:rsidR="00C72B7A">
        <w:rPr>
          <w:lang w:val="en-GB"/>
        </w:rPr>
        <w:t>s</w:t>
      </w:r>
      <w:r w:rsidRPr="00C93A4A">
        <w:rPr>
          <w:lang w:val="en-GB"/>
        </w:rPr>
        <w:t xml:space="preserve"> the overall guide for investment in the sector. The plan also notes that the sector lacks a policy and legal framework. This is unlikely to be resolved prior to a second phase commencing and should be included as a priority area for capacity development.</w:t>
      </w:r>
    </w:p>
    <w:p w14:paraId="78983AFD" w14:textId="77777777" w:rsidR="00BA1D74" w:rsidRPr="00C93A4A" w:rsidRDefault="00BA1D74" w:rsidP="00BA1D74">
      <w:pPr>
        <w:pStyle w:val="Heading3"/>
      </w:pPr>
      <w:bookmarkStart w:id="23" w:name="_Toc424633133"/>
      <w:r w:rsidRPr="00C93A4A">
        <w:t>Stronger collaboration with ERA</w:t>
      </w:r>
      <w:bookmarkEnd w:id="23"/>
    </w:p>
    <w:p w14:paraId="031BFBD1" w14:textId="77777777" w:rsidR="00BA1D74" w:rsidRPr="00C93A4A" w:rsidRDefault="00BA1D74" w:rsidP="00BA1D74">
      <w:pPr>
        <w:rPr>
          <w:lang w:val="en-GB"/>
        </w:rPr>
      </w:pPr>
      <w:r w:rsidRPr="00C93A4A">
        <w:rPr>
          <w:lang w:val="en-GB"/>
        </w:rPr>
        <w:t xml:space="preserve">The EU-funded Enhancing Rural Access (ERA) program builds the capacity of local contractors for rural road construction. It is also being implemented by ILO and, as with R4D, is being redesigned for a second phase. ERA has trained a pool of contractors, each of which is then given a contract to rehabilitate a section of road. These contracts are similar in scale to the work overseen by R4D. ERA has a focus on the private sector only and in general is complementary, rather than overlapping, with R4D. </w:t>
      </w:r>
    </w:p>
    <w:p w14:paraId="639836CC" w14:textId="0263E71C" w:rsidR="00BA1D74" w:rsidRPr="00C93A4A" w:rsidRDefault="00BA1D74" w:rsidP="00BA1D74">
      <w:pPr>
        <w:rPr>
          <w:lang w:val="en-GB"/>
        </w:rPr>
      </w:pPr>
      <w:r w:rsidRPr="00C93A4A">
        <w:rPr>
          <w:lang w:val="en-GB"/>
        </w:rPr>
        <w:lastRenderedPageBreak/>
        <w:t xml:space="preserve">The level of strategic coordination between R4D and ERA was unclear during the ICM. Certainly, R4D uses ERA training providers to train some of it local contractors. R4D has also taken on maintenance of some of the roads rehabilitated with ERA funding. There are a number of areas where it appears that the two programs could work together more purposefully. Most importantly, ERA and R4D treat their pools of contractors separately. R4D and ERA do not appear to have a shared strategy about how to build up the pool of contractors that GoTL will need to rehabilitate and maintain rural roads. ERA does not specifically train contractors to work on R4D-type contracts (which operate under GoTL procurement system) so R4D needs to provide supplementary training to </w:t>
      </w:r>
      <w:r w:rsidR="00C72B7A">
        <w:rPr>
          <w:lang w:val="en-GB"/>
        </w:rPr>
        <w:t>that</w:t>
      </w:r>
      <w:r w:rsidRPr="00C93A4A">
        <w:rPr>
          <w:lang w:val="en-GB"/>
        </w:rPr>
        <w:t xml:space="preserve"> provide</w:t>
      </w:r>
      <w:r w:rsidR="00C72B7A">
        <w:rPr>
          <w:lang w:val="en-GB"/>
        </w:rPr>
        <w:t xml:space="preserve">d </w:t>
      </w:r>
      <w:r w:rsidRPr="00C93A4A">
        <w:rPr>
          <w:lang w:val="en-GB"/>
        </w:rPr>
        <w:t xml:space="preserve">through </w:t>
      </w:r>
      <w:r w:rsidR="00C72B7A">
        <w:rPr>
          <w:lang w:val="en-GB"/>
        </w:rPr>
        <w:t>the ERA</w:t>
      </w:r>
      <w:r w:rsidRPr="00C93A4A">
        <w:rPr>
          <w:lang w:val="en-GB"/>
        </w:rPr>
        <w:t xml:space="preserve"> program. ERA does not have any mechanism to ensure the maintenance of the roads it rehabilitates and relies on an informal undertaking by R4D to include ERA-funded roads in its maintenance program. </w:t>
      </w:r>
    </w:p>
    <w:p w14:paraId="617B20F4" w14:textId="616F7828" w:rsidR="00BA1D74" w:rsidRDefault="00BA1D74" w:rsidP="00BA1D74">
      <w:pPr>
        <w:rPr>
          <w:lang w:val="en-GB"/>
        </w:rPr>
      </w:pPr>
      <w:r w:rsidRPr="00C93A4A">
        <w:rPr>
          <w:lang w:val="en-GB"/>
        </w:rPr>
        <w:t>Given that both programs are to be redesigned at the same time, there is a significant opportunity to ensure that the second phases of each program are better integrated and work more holistically to create an enabling environment for rural road service delivery</w:t>
      </w:r>
      <w:r w:rsidR="00C72B7A">
        <w:rPr>
          <w:lang w:val="en-GB"/>
        </w:rPr>
        <w:t xml:space="preserve">. </w:t>
      </w:r>
      <w:r w:rsidR="008E3BD1">
        <w:rPr>
          <w:lang w:val="en-GB"/>
        </w:rPr>
        <w:t xml:space="preserve">This should include consideration of allocating ERA full responsibility for building the capacity of private sector contractors to </w:t>
      </w:r>
      <w:r w:rsidR="005C3D27">
        <w:rPr>
          <w:lang w:val="en-GB"/>
        </w:rPr>
        <w:t xml:space="preserve">deliver </w:t>
      </w:r>
      <w:r w:rsidR="008E3BD1">
        <w:rPr>
          <w:lang w:val="en-GB"/>
        </w:rPr>
        <w:t xml:space="preserve">GoTL-funded rural roads work (i.e. complete responsibility for the current Outcome 2 of the PDD). </w:t>
      </w:r>
      <w:r w:rsidR="00C72B7A">
        <w:rPr>
          <w:lang w:val="en-GB"/>
        </w:rPr>
        <w:t xml:space="preserve">During the ICM, the EU Delegation </w:t>
      </w:r>
      <w:r w:rsidRPr="00C93A4A">
        <w:rPr>
          <w:lang w:val="en-GB"/>
        </w:rPr>
        <w:t>was very supportive of collaborating with DFAT during the design processes to achieve this outcome.</w:t>
      </w:r>
    </w:p>
    <w:p w14:paraId="0BB7AA07" w14:textId="052F5315" w:rsidR="005C3D27" w:rsidRDefault="005C3D27" w:rsidP="00BA1D74">
      <w:pPr>
        <w:rPr>
          <w:lang w:val="en-GB"/>
        </w:rPr>
      </w:pPr>
      <w:r>
        <w:rPr>
          <w:lang w:val="en-GB"/>
        </w:rPr>
        <w:t xml:space="preserve">Providing coherent, efficient and integrated capacity building for rural roads contractors is the highest priority for collaboration between R4D and ERA. </w:t>
      </w:r>
      <w:r w:rsidR="00635B8D">
        <w:rPr>
          <w:lang w:val="en-GB"/>
        </w:rPr>
        <w:t>If ERA does not take on full responsibility for the current Outcome 2, then o</w:t>
      </w:r>
      <w:r>
        <w:rPr>
          <w:lang w:val="en-GB"/>
        </w:rPr>
        <w:t xml:space="preserve">ther areas </w:t>
      </w:r>
      <w:r w:rsidR="00635B8D">
        <w:rPr>
          <w:lang w:val="en-GB"/>
        </w:rPr>
        <w:t>for greater collaboration could</w:t>
      </w:r>
      <w:r>
        <w:rPr>
          <w:lang w:val="en-GB"/>
        </w:rPr>
        <w:t xml:space="preserve"> include:</w:t>
      </w:r>
    </w:p>
    <w:p w14:paraId="3EB91757" w14:textId="3C5433CE" w:rsidR="005C3D27" w:rsidRPr="00506671" w:rsidRDefault="00635B8D" w:rsidP="00506671">
      <w:pPr>
        <w:pStyle w:val="ListParagraph"/>
        <w:numPr>
          <w:ilvl w:val="0"/>
          <w:numId w:val="38"/>
        </w:numPr>
        <w:rPr>
          <w:lang w:val="en-GB"/>
        </w:rPr>
      </w:pPr>
      <w:r w:rsidRPr="00506671">
        <w:rPr>
          <w:lang w:val="en-GB"/>
        </w:rPr>
        <w:t>I</w:t>
      </w:r>
      <w:r w:rsidR="005C3D27" w:rsidRPr="00506671">
        <w:rPr>
          <w:lang w:val="en-GB"/>
        </w:rPr>
        <w:t>ntegrated planning for civil works, including selection of roads for rehabilitation under ERA contracts and for maintenance of ERA-funded road work</w:t>
      </w:r>
    </w:p>
    <w:p w14:paraId="089DEAA8" w14:textId="0CB9BA69" w:rsidR="00635B8D" w:rsidRPr="00506671" w:rsidRDefault="00635B8D" w:rsidP="00506671">
      <w:pPr>
        <w:pStyle w:val="ListParagraph"/>
        <w:numPr>
          <w:ilvl w:val="0"/>
          <w:numId w:val="38"/>
        </w:numPr>
        <w:rPr>
          <w:lang w:val="en-GB"/>
        </w:rPr>
      </w:pPr>
      <w:r w:rsidRPr="00506671">
        <w:rPr>
          <w:lang w:val="en-GB"/>
        </w:rPr>
        <w:t>Developing a common set of training materials and trainers guides for contractor training</w:t>
      </w:r>
    </w:p>
    <w:p w14:paraId="3B2104D5" w14:textId="1FEBC864" w:rsidR="005C3D27" w:rsidRDefault="00635B8D" w:rsidP="00506671">
      <w:pPr>
        <w:pStyle w:val="ListParagraph"/>
        <w:numPr>
          <w:ilvl w:val="0"/>
          <w:numId w:val="38"/>
        </w:numPr>
      </w:pPr>
      <w:r w:rsidRPr="00506671">
        <w:rPr>
          <w:lang w:val="en-GB"/>
        </w:rPr>
        <w:t>Joint planning for contractor development (analysis, selection, mentoring of contractors) in new ERA districts</w:t>
      </w:r>
    </w:p>
    <w:p w14:paraId="4BAC1040" w14:textId="77777777" w:rsidR="00BA1D74" w:rsidRPr="00C93A4A" w:rsidRDefault="00BA1D74" w:rsidP="00BA1D74">
      <w:pPr>
        <w:pStyle w:val="Heading3"/>
      </w:pPr>
      <w:bookmarkStart w:id="24" w:name="_Toc424633134"/>
      <w:r w:rsidRPr="00C93A4A">
        <w:t>Private sector engagement</w:t>
      </w:r>
      <w:bookmarkEnd w:id="24"/>
    </w:p>
    <w:p w14:paraId="22F83866" w14:textId="29BC4AA6" w:rsidR="00BA1D74" w:rsidRPr="00C93A4A" w:rsidRDefault="00BA1D74" w:rsidP="00BA1D74">
      <w:pPr>
        <w:rPr>
          <w:lang w:val="en-GB"/>
        </w:rPr>
      </w:pPr>
      <w:r w:rsidRPr="00C93A4A">
        <w:rPr>
          <w:lang w:val="en-GB"/>
        </w:rPr>
        <w:t>The issue of most concern to the R4D team raised during the ICM was delayed contractor payments. Processing of contractor payments involves three different ministries—MPW, M</w:t>
      </w:r>
      <w:r w:rsidR="00C72B7A">
        <w:rPr>
          <w:lang w:val="en-GB"/>
        </w:rPr>
        <w:t>oF</w:t>
      </w:r>
      <w:r w:rsidRPr="00C93A4A">
        <w:rPr>
          <w:lang w:val="en-GB"/>
        </w:rPr>
        <w:t xml:space="preserve"> and ADN</w:t>
      </w:r>
      <w:r w:rsidR="00C72B7A">
        <w:rPr>
          <w:lang w:val="en-GB"/>
        </w:rPr>
        <w:t xml:space="preserve"> (overseen by the Ministry of Strategic Planning and Investment)</w:t>
      </w:r>
      <w:r w:rsidRPr="00C93A4A">
        <w:rPr>
          <w:lang w:val="en-GB"/>
        </w:rPr>
        <w:t xml:space="preserve">. The duration between the submission of an invoice and receipt of payment can take up to nine months. For local contractors involved in R4D-supported contracts, this causes acute cash flow difficulties. During the first year of contracting, GoA funds were used for construction activities which avoided this problem. As contracting has moved to GoTL systems, R4D has found that fewer contractors are willing to bid for work. They are concerned that if this issue is not </w:t>
      </w:r>
      <w:r w:rsidR="00C72B7A">
        <w:rPr>
          <w:lang w:val="en-GB"/>
        </w:rPr>
        <w:t>addressed</w:t>
      </w:r>
      <w:r w:rsidRPr="00C93A4A">
        <w:rPr>
          <w:lang w:val="en-GB"/>
        </w:rPr>
        <w:t xml:space="preserve">, contractor interest will dry up completely and it will not be possible to operate a competitive tendering system, which is the essence of the </w:t>
      </w:r>
      <w:r w:rsidR="00C72B7A">
        <w:rPr>
          <w:lang w:val="en-GB"/>
        </w:rPr>
        <w:t xml:space="preserve">R4D </w:t>
      </w:r>
      <w:r w:rsidRPr="00C93A4A">
        <w:rPr>
          <w:lang w:val="en-GB"/>
        </w:rPr>
        <w:t>program.</w:t>
      </w:r>
    </w:p>
    <w:p w14:paraId="27987008" w14:textId="77777777" w:rsidR="00BA1D74" w:rsidRPr="00C93A4A" w:rsidRDefault="00BA1D74" w:rsidP="00BA1D74">
      <w:pPr>
        <w:rPr>
          <w:lang w:val="en-GB"/>
        </w:rPr>
      </w:pPr>
      <w:r w:rsidRPr="00C93A4A">
        <w:rPr>
          <w:lang w:val="en-GB"/>
        </w:rPr>
        <w:t xml:space="preserve">R4D is working to resolve the delays. The inter-ministerial nature of the approval process makes this a difficult task. A resolution to this issue in 2016 should be a precondition for a second phase commencing. </w:t>
      </w:r>
    </w:p>
    <w:p w14:paraId="1E0EA79E" w14:textId="77777777" w:rsidR="00BA1D74" w:rsidRPr="00C93A4A" w:rsidRDefault="00BA1D74" w:rsidP="00BA1D74">
      <w:pPr>
        <w:pStyle w:val="Heading2"/>
      </w:pPr>
      <w:bookmarkStart w:id="25" w:name="_Toc424633135"/>
      <w:r w:rsidRPr="00C93A4A">
        <w:t>Priority issues to address during the design update</w:t>
      </w:r>
      <w:bookmarkEnd w:id="25"/>
    </w:p>
    <w:p w14:paraId="33412188" w14:textId="4F87633D" w:rsidR="00BA1D74" w:rsidRPr="00C93A4A" w:rsidRDefault="00BA1D74" w:rsidP="00BA1D74">
      <w:pPr>
        <w:rPr>
          <w:lang w:val="en-GB"/>
        </w:rPr>
      </w:pPr>
      <w:r w:rsidRPr="00C93A4A">
        <w:rPr>
          <w:lang w:val="en-GB"/>
        </w:rPr>
        <w:lastRenderedPageBreak/>
        <w:t>Responses to the issues noted above will help shape the design of a follow</w:t>
      </w:r>
      <w:r w:rsidR="00C72B7A">
        <w:rPr>
          <w:lang w:val="en-GB"/>
        </w:rPr>
        <w:t>-</w:t>
      </w:r>
      <w:r w:rsidRPr="00C93A4A">
        <w:rPr>
          <w:lang w:val="en-GB"/>
        </w:rPr>
        <w:t>on phase of support. A number of decisions will need to be addressed as a precursor to a second phase being approved. These include:</w:t>
      </w:r>
    </w:p>
    <w:p w14:paraId="64B01CAB" w14:textId="17F6F1DB" w:rsidR="00BA1D74" w:rsidRPr="00C93A4A" w:rsidRDefault="00BA1D74" w:rsidP="00BA1D74">
      <w:pPr>
        <w:pStyle w:val="ListParagraph"/>
        <w:numPr>
          <w:ilvl w:val="0"/>
          <w:numId w:val="20"/>
        </w:numPr>
        <w:ind w:left="357" w:hanging="357"/>
        <w:contextualSpacing w:val="0"/>
        <w:rPr>
          <w:lang w:val="en-GB"/>
        </w:rPr>
      </w:pPr>
      <w:r w:rsidRPr="00C93A4A">
        <w:rPr>
          <w:lang w:val="en-GB"/>
        </w:rPr>
        <w:t xml:space="preserve">GoTL and GoA agree on mutual obligations, particularly the levels of funding to be contributed by both parties. This will require securing political commitment from other relevant ministries, in addition to MPW, reflected in a clear bilateral agreement with broad ownership within GoTL. The agreement for the current phase was signed just by MPW. MoF officials reported not having a copy of the agreement and suggested that they should be directly involved as a party to any future agreement.   </w:t>
      </w:r>
    </w:p>
    <w:p w14:paraId="5348CA26" w14:textId="77777777" w:rsidR="00BA1D74" w:rsidRPr="00C93A4A" w:rsidRDefault="00BA1D74" w:rsidP="00BA1D74">
      <w:pPr>
        <w:pStyle w:val="ListParagraph"/>
        <w:numPr>
          <w:ilvl w:val="0"/>
          <w:numId w:val="20"/>
        </w:numPr>
        <w:ind w:left="357" w:hanging="357"/>
        <w:contextualSpacing w:val="0"/>
        <w:rPr>
          <w:lang w:val="en-GB"/>
        </w:rPr>
      </w:pPr>
      <w:r w:rsidRPr="00C93A4A">
        <w:rPr>
          <w:lang w:val="en-GB"/>
        </w:rPr>
        <w:t xml:space="preserve">Program scale. The level of funding both GoA and GoTL allocate to a second phase will determine whether R4D has a national coverage or works only in selected municipalities. These commitments are required before a design update can be undertaken and is an area that DFAT should address with GoTL.   </w:t>
      </w:r>
    </w:p>
    <w:p w14:paraId="2A800194" w14:textId="1724DE13" w:rsidR="00BA1D74" w:rsidRPr="00C93A4A" w:rsidRDefault="00BA1D74" w:rsidP="00BA1D74">
      <w:pPr>
        <w:pStyle w:val="ListParagraph"/>
        <w:numPr>
          <w:ilvl w:val="0"/>
          <w:numId w:val="20"/>
        </w:numPr>
        <w:ind w:left="357" w:hanging="357"/>
        <w:contextualSpacing w:val="0"/>
        <w:rPr>
          <w:lang w:val="en-GB"/>
        </w:rPr>
      </w:pPr>
      <w:r w:rsidRPr="00C93A4A">
        <w:rPr>
          <w:lang w:val="en-GB"/>
        </w:rPr>
        <w:t xml:space="preserve">GoTL financing mechanism. The current phase seeks allocations of funds for rural roads on an annual basis through </w:t>
      </w:r>
      <w:r w:rsidR="00C72B7A">
        <w:rPr>
          <w:lang w:val="en-GB"/>
        </w:rPr>
        <w:t xml:space="preserve">MPW </w:t>
      </w:r>
      <w:r w:rsidRPr="00C93A4A">
        <w:rPr>
          <w:lang w:val="en-GB"/>
        </w:rPr>
        <w:t xml:space="preserve">budget appropriations. Under this system, each year there is a risk that insufficient funds will be made available. An alternative financing option should be sought that minimises the risk of program funds being delayed or cut back. Options </w:t>
      </w:r>
      <w:r w:rsidR="00C72B7A">
        <w:rPr>
          <w:lang w:val="en-GB"/>
        </w:rPr>
        <w:t>discussed by the ICM with MoF</w:t>
      </w:r>
      <w:r w:rsidRPr="00C93A4A">
        <w:rPr>
          <w:lang w:val="en-GB"/>
        </w:rPr>
        <w:t>, and which could be explored further, included nominating the GoTL contribution as ‘counterpart’ funding within the MPW budget and using the Infrastructure Fund.</w:t>
      </w:r>
    </w:p>
    <w:p w14:paraId="0BC94237" w14:textId="642ECC2B" w:rsidR="00BA1D74" w:rsidRPr="00C93A4A" w:rsidRDefault="00D9153D" w:rsidP="00BA1D74">
      <w:pPr>
        <w:pStyle w:val="ListParagraph"/>
        <w:numPr>
          <w:ilvl w:val="0"/>
          <w:numId w:val="20"/>
        </w:numPr>
        <w:ind w:left="357" w:hanging="357"/>
        <w:contextualSpacing w:val="0"/>
        <w:rPr>
          <w:lang w:val="en-GB"/>
        </w:rPr>
      </w:pPr>
      <w:r w:rsidRPr="00C93A4A">
        <w:rPr>
          <w:lang w:val="en-GB"/>
        </w:rPr>
        <w:t>DRBF</w:t>
      </w:r>
      <w:r w:rsidR="00F839DE">
        <w:rPr>
          <w:lang w:val="en-GB"/>
        </w:rPr>
        <w:t>C</w:t>
      </w:r>
      <w:r w:rsidR="00BA1D74" w:rsidRPr="00C93A4A">
        <w:rPr>
          <w:lang w:val="en-GB"/>
        </w:rPr>
        <w:t xml:space="preserve"> staffing allocations to rural roads functions need to be confirmed. R4D cannot build capacity unless there are </w:t>
      </w:r>
      <w:r w:rsidRPr="00C93A4A">
        <w:rPr>
          <w:lang w:val="en-GB"/>
        </w:rPr>
        <w:t>DRBF</w:t>
      </w:r>
      <w:r w:rsidR="00F839DE">
        <w:rPr>
          <w:lang w:val="en-GB"/>
        </w:rPr>
        <w:t>C</w:t>
      </w:r>
      <w:r w:rsidR="00BA1D74" w:rsidRPr="00C93A4A">
        <w:rPr>
          <w:lang w:val="en-GB"/>
        </w:rPr>
        <w:t xml:space="preserve"> staff whose responsibilities include rural roads. At present, very few staff, if any, see rural roads as their primary responsibility. Staff who are dedicated to rural roads are required at both the national and municipal level. </w:t>
      </w:r>
      <w:r w:rsidRPr="00C93A4A">
        <w:rPr>
          <w:lang w:val="en-GB"/>
        </w:rPr>
        <w:t>DRBF</w:t>
      </w:r>
      <w:r w:rsidR="00F839DE">
        <w:rPr>
          <w:lang w:val="en-GB"/>
        </w:rPr>
        <w:t>C</w:t>
      </w:r>
      <w:r w:rsidR="00BA1D74" w:rsidRPr="00C93A4A">
        <w:rPr>
          <w:lang w:val="en-GB"/>
        </w:rPr>
        <w:t xml:space="preserve"> has a number of unfilled positions within its staffing establishment. The potential to use the funding associated with these unfilled positions to hire contractors </w:t>
      </w:r>
      <w:r w:rsidR="00C72B7A">
        <w:rPr>
          <w:lang w:val="en-GB"/>
        </w:rPr>
        <w:t>for</w:t>
      </w:r>
      <w:r w:rsidR="00BA1D74" w:rsidRPr="00C93A4A">
        <w:rPr>
          <w:lang w:val="en-GB"/>
        </w:rPr>
        <w:t xml:space="preserve"> critical staffing gaps should be clarified.</w:t>
      </w:r>
    </w:p>
    <w:p w14:paraId="42FDFB57" w14:textId="701FDA80" w:rsidR="00BA1D74" w:rsidRPr="00C93A4A" w:rsidRDefault="00BA1D74" w:rsidP="00BA1D74">
      <w:pPr>
        <w:pStyle w:val="ListParagraph"/>
        <w:numPr>
          <w:ilvl w:val="0"/>
          <w:numId w:val="20"/>
        </w:numPr>
        <w:ind w:left="357" w:hanging="357"/>
        <w:contextualSpacing w:val="0"/>
        <w:rPr>
          <w:lang w:val="en-GB"/>
        </w:rPr>
      </w:pPr>
      <w:r w:rsidRPr="00C93A4A">
        <w:rPr>
          <w:lang w:val="en-GB"/>
        </w:rPr>
        <w:t xml:space="preserve">RRMP. While the RRMP provides a sound evidence base for planning, the document has not yet been endorsed by GoTL stakeholders. In particular, the proposal that MPW retain responsibility for ‘core’ rural roads needs to be presented to GoTL for </w:t>
      </w:r>
      <w:r w:rsidR="00C72B7A">
        <w:rPr>
          <w:lang w:val="en-GB"/>
        </w:rPr>
        <w:t>endorsement</w:t>
      </w:r>
      <w:r w:rsidRPr="00C93A4A">
        <w:rPr>
          <w:lang w:val="en-GB"/>
        </w:rPr>
        <w:t>. The status of the plan and the principles it proposes should be clarified before the design update is completed.</w:t>
      </w:r>
    </w:p>
    <w:p w14:paraId="24A01DC3" w14:textId="77777777" w:rsidR="00BA1D74" w:rsidRPr="00C93A4A" w:rsidRDefault="00BA1D74" w:rsidP="00BA1D74">
      <w:pPr>
        <w:pStyle w:val="ListParagraph"/>
        <w:numPr>
          <w:ilvl w:val="0"/>
          <w:numId w:val="20"/>
        </w:numPr>
        <w:ind w:left="357" w:hanging="357"/>
        <w:contextualSpacing w:val="0"/>
        <w:rPr>
          <w:lang w:val="en-GB"/>
        </w:rPr>
      </w:pPr>
      <w:r w:rsidRPr="00C93A4A">
        <w:rPr>
          <w:lang w:val="en-GB"/>
        </w:rPr>
        <w:t>Oecussi SAR. DFAT should work with MPW and R4D to clarify with SAR whether they will make available their own budget to fund rural road development in Oecussi. R4D could only continue work in Oecussi if SAR make available adequate staff and budget.</w:t>
      </w:r>
    </w:p>
    <w:p w14:paraId="2DA27D8F" w14:textId="77777777" w:rsidR="00BA1D74" w:rsidRPr="00C93A4A" w:rsidRDefault="00BA1D74" w:rsidP="00BA1D74">
      <w:pPr>
        <w:rPr>
          <w:lang w:val="en-GB"/>
        </w:rPr>
      </w:pPr>
    </w:p>
    <w:p w14:paraId="4DB7A7DF" w14:textId="77777777" w:rsidR="00BA1D74" w:rsidRPr="00C93A4A" w:rsidRDefault="00BA1D74" w:rsidP="00BA1D74">
      <w:pPr>
        <w:spacing w:after="0" w:line="240" w:lineRule="auto"/>
        <w:rPr>
          <w:rFonts w:asciiTheme="minorHAnsi" w:hAnsiTheme="minorHAnsi"/>
          <w:b/>
          <w:bCs/>
          <w:color w:val="676A55" w:themeColor="text2"/>
          <w:sz w:val="24"/>
          <w:szCs w:val="26"/>
          <w:lang w:val="en-GB"/>
        </w:rPr>
      </w:pPr>
      <w:r w:rsidRPr="00C93A4A">
        <w:rPr>
          <w:lang w:val="en-GB"/>
        </w:rPr>
        <w:br w:type="page"/>
      </w:r>
    </w:p>
    <w:p w14:paraId="19AFF672" w14:textId="77777777" w:rsidR="00BA1D74" w:rsidRPr="00C93A4A" w:rsidRDefault="00BA1D74" w:rsidP="00BA1D74">
      <w:pPr>
        <w:pStyle w:val="Heading1"/>
        <w:numPr>
          <w:ilvl w:val="0"/>
          <w:numId w:val="22"/>
        </w:numPr>
        <w:tabs>
          <w:tab w:val="left" w:pos="993"/>
        </w:tabs>
      </w:pPr>
      <w:bookmarkStart w:id="26" w:name="_Toc424633136"/>
      <w:r w:rsidRPr="00C93A4A">
        <w:lastRenderedPageBreak/>
        <w:t>Stakeholders consulted</w:t>
      </w:r>
      <w:bookmarkEnd w:id="26"/>
    </w:p>
    <w:p w14:paraId="0E8E447D" w14:textId="77777777" w:rsidR="00BA1D74" w:rsidRPr="00C93A4A" w:rsidRDefault="00BA1D74" w:rsidP="00BA1D74">
      <w:pPr>
        <w:spacing w:after="0" w:line="240" w:lineRule="auto"/>
        <w:rPr>
          <w:lang w:val="en-GB"/>
        </w:rPr>
      </w:pPr>
    </w:p>
    <w:tbl>
      <w:tblPr>
        <w:tblStyle w:val="CoffeyGrey"/>
        <w:tblW w:w="5537" w:type="pct"/>
        <w:tblInd w:w="-176" w:type="dxa"/>
        <w:shd w:val="clear" w:color="auto" w:fill="F2F2F2" w:themeFill="background1" w:themeFillShade="F2"/>
        <w:tblLook w:val="04A0" w:firstRow="1" w:lastRow="0" w:firstColumn="1" w:lastColumn="0" w:noHBand="0" w:noVBand="1"/>
      </w:tblPr>
      <w:tblGrid>
        <w:gridCol w:w="2581"/>
        <w:gridCol w:w="7195"/>
      </w:tblGrid>
      <w:tr w:rsidR="00161F35" w:rsidRPr="00C93A4A" w14:paraId="3724ED74" w14:textId="77777777" w:rsidTr="00161F35">
        <w:tc>
          <w:tcPr>
            <w:tcW w:w="5000" w:type="pct"/>
            <w:gridSpan w:val="2"/>
            <w:shd w:val="clear" w:color="auto" w:fill="D8DAC1" w:themeFill="background2" w:themeFillShade="E6"/>
          </w:tcPr>
          <w:p w14:paraId="2E275CE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Australian Embassy</w:t>
            </w:r>
          </w:p>
        </w:tc>
      </w:tr>
      <w:tr w:rsidR="00161F35" w:rsidRPr="00C93A4A" w14:paraId="73C52D65" w14:textId="77777777" w:rsidTr="00161F35">
        <w:tc>
          <w:tcPr>
            <w:tcW w:w="1320" w:type="pct"/>
            <w:shd w:val="clear" w:color="auto" w:fill="auto"/>
          </w:tcPr>
          <w:p w14:paraId="1EB6509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Peter Doyle</w:t>
            </w:r>
          </w:p>
        </w:tc>
        <w:tc>
          <w:tcPr>
            <w:tcW w:w="3680" w:type="pct"/>
            <w:shd w:val="clear" w:color="auto" w:fill="auto"/>
          </w:tcPr>
          <w:p w14:paraId="533D5A7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Head of Mission, Australian Embassy</w:t>
            </w:r>
          </w:p>
        </w:tc>
      </w:tr>
      <w:tr w:rsidR="00161F35" w:rsidRPr="00C93A4A" w14:paraId="009C69D8" w14:textId="77777777" w:rsidTr="00161F35">
        <w:tc>
          <w:tcPr>
            <w:tcW w:w="1320" w:type="pct"/>
            <w:shd w:val="clear" w:color="auto" w:fill="auto"/>
          </w:tcPr>
          <w:p w14:paraId="6E6B808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Neryl Lewis</w:t>
            </w:r>
          </w:p>
        </w:tc>
        <w:tc>
          <w:tcPr>
            <w:tcW w:w="3680" w:type="pct"/>
            <w:shd w:val="clear" w:color="auto" w:fill="auto"/>
          </w:tcPr>
          <w:p w14:paraId="2D2F09E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Counsellor, Rural Development &amp; Aid Management</w:t>
            </w:r>
          </w:p>
        </w:tc>
      </w:tr>
      <w:tr w:rsidR="00161F35" w:rsidRPr="00C93A4A" w14:paraId="73313B47" w14:textId="77777777" w:rsidTr="00161F35">
        <w:tc>
          <w:tcPr>
            <w:tcW w:w="1320" w:type="pct"/>
            <w:shd w:val="clear" w:color="auto" w:fill="auto"/>
          </w:tcPr>
          <w:p w14:paraId="0B95456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Paul Regnault</w:t>
            </w:r>
          </w:p>
        </w:tc>
        <w:tc>
          <w:tcPr>
            <w:tcW w:w="3680" w:type="pct"/>
            <w:shd w:val="clear" w:color="auto" w:fill="auto"/>
          </w:tcPr>
          <w:p w14:paraId="78947AA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Second Secretary, Rural Development</w:t>
            </w:r>
          </w:p>
        </w:tc>
      </w:tr>
      <w:tr w:rsidR="00161F35" w:rsidRPr="00C93A4A" w14:paraId="7BD627ED" w14:textId="77777777" w:rsidTr="00161F35">
        <w:tc>
          <w:tcPr>
            <w:tcW w:w="1320" w:type="pct"/>
            <w:shd w:val="clear" w:color="auto" w:fill="auto"/>
          </w:tcPr>
          <w:p w14:paraId="42BC11A6"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Horacio Barreto</w:t>
            </w:r>
          </w:p>
        </w:tc>
        <w:tc>
          <w:tcPr>
            <w:tcW w:w="3680" w:type="pct"/>
            <w:shd w:val="clear" w:color="auto" w:fill="auto"/>
          </w:tcPr>
          <w:p w14:paraId="43FDD4B6" w14:textId="725B71F3"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Coordinator, Infrastructure and Rural Development, DFAT Dili</w:t>
            </w:r>
          </w:p>
        </w:tc>
      </w:tr>
      <w:tr w:rsidR="00161F35" w:rsidRPr="00C93A4A" w14:paraId="5B31D200" w14:textId="77777777" w:rsidTr="00161F35">
        <w:tc>
          <w:tcPr>
            <w:tcW w:w="1320" w:type="pct"/>
            <w:shd w:val="clear" w:color="auto" w:fill="auto"/>
          </w:tcPr>
          <w:p w14:paraId="61C698D2"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Gerard Cheong</w:t>
            </w:r>
          </w:p>
        </w:tc>
        <w:tc>
          <w:tcPr>
            <w:tcW w:w="3680" w:type="pct"/>
            <w:shd w:val="clear" w:color="auto" w:fill="auto"/>
          </w:tcPr>
          <w:p w14:paraId="1AE1958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former First Secretary, Rural Development</w:t>
            </w:r>
          </w:p>
        </w:tc>
      </w:tr>
      <w:tr w:rsidR="00161F35" w:rsidRPr="00C93A4A" w14:paraId="2D293ABA" w14:textId="77777777" w:rsidTr="00161F35">
        <w:tc>
          <w:tcPr>
            <w:tcW w:w="1320" w:type="pct"/>
            <w:shd w:val="clear" w:color="auto" w:fill="auto"/>
          </w:tcPr>
          <w:p w14:paraId="21523D2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David Green</w:t>
            </w:r>
          </w:p>
        </w:tc>
        <w:tc>
          <w:tcPr>
            <w:tcW w:w="3680" w:type="pct"/>
            <w:shd w:val="clear" w:color="auto" w:fill="auto"/>
          </w:tcPr>
          <w:p w14:paraId="6B01551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First Secretary, Aid Management</w:t>
            </w:r>
          </w:p>
        </w:tc>
      </w:tr>
      <w:tr w:rsidR="00161F35" w:rsidRPr="00C93A4A" w14:paraId="0125C752" w14:textId="77777777" w:rsidTr="00161F35">
        <w:tc>
          <w:tcPr>
            <w:tcW w:w="1320" w:type="pct"/>
            <w:shd w:val="clear" w:color="auto" w:fill="auto"/>
          </w:tcPr>
          <w:p w14:paraId="21BECB6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Faviula Monteiro</w:t>
            </w:r>
          </w:p>
        </w:tc>
        <w:tc>
          <w:tcPr>
            <w:tcW w:w="3680" w:type="pct"/>
            <w:shd w:val="clear" w:color="auto" w:fill="auto"/>
          </w:tcPr>
          <w:p w14:paraId="2F8E4CD1"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Senior Coordinator, Rural Development, RWASH</w:t>
            </w:r>
          </w:p>
        </w:tc>
      </w:tr>
      <w:tr w:rsidR="00161F35" w:rsidRPr="00C93A4A" w14:paraId="22BD6CB7" w14:textId="77777777" w:rsidTr="00161F35">
        <w:tc>
          <w:tcPr>
            <w:tcW w:w="1320" w:type="pct"/>
            <w:shd w:val="clear" w:color="auto" w:fill="auto"/>
          </w:tcPr>
          <w:p w14:paraId="215C3CA7"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Francisco Soares, Tim Cadogan-Cowper</w:t>
            </w:r>
          </w:p>
        </w:tc>
        <w:tc>
          <w:tcPr>
            <w:tcW w:w="3680" w:type="pct"/>
            <w:shd w:val="clear" w:color="auto" w:fill="auto"/>
          </w:tcPr>
          <w:p w14:paraId="6A8F9E6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Governance for Development Program</w:t>
            </w:r>
          </w:p>
        </w:tc>
      </w:tr>
      <w:tr w:rsidR="00161F35" w:rsidRPr="00C93A4A" w14:paraId="14492BA4" w14:textId="77777777" w:rsidTr="00161F35">
        <w:tc>
          <w:tcPr>
            <w:tcW w:w="1320" w:type="pct"/>
            <w:shd w:val="clear" w:color="auto" w:fill="auto"/>
          </w:tcPr>
          <w:p w14:paraId="5800719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Anita dos Santos</w:t>
            </w:r>
          </w:p>
        </w:tc>
        <w:tc>
          <w:tcPr>
            <w:tcW w:w="3680" w:type="pct"/>
            <w:shd w:val="clear" w:color="auto" w:fill="auto"/>
          </w:tcPr>
          <w:p w14:paraId="2413524D"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National Suco Development Program (PNDS) Program</w:t>
            </w:r>
          </w:p>
        </w:tc>
      </w:tr>
      <w:tr w:rsidR="00161F35" w:rsidRPr="00C93A4A" w14:paraId="0A52165C" w14:textId="77777777" w:rsidTr="00161F35">
        <w:tc>
          <w:tcPr>
            <w:tcW w:w="5000" w:type="pct"/>
            <w:gridSpan w:val="2"/>
            <w:shd w:val="clear" w:color="auto" w:fill="D8DAC1" w:themeFill="background2" w:themeFillShade="E6"/>
          </w:tcPr>
          <w:p w14:paraId="561BF9F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GoTL, Ministry of Public Works, Transport and Communications</w:t>
            </w:r>
          </w:p>
        </w:tc>
      </w:tr>
      <w:tr w:rsidR="00161F35" w:rsidRPr="00C93A4A" w14:paraId="228A8A48" w14:textId="77777777" w:rsidTr="00161F35">
        <w:tc>
          <w:tcPr>
            <w:tcW w:w="1320" w:type="pct"/>
            <w:shd w:val="clear" w:color="auto" w:fill="auto"/>
          </w:tcPr>
          <w:p w14:paraId="0A308AC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Gastao de Sousa</w:t>
            </w:r>
          </w:p>
        </w:tc>
        <w:tc>
          <w:tcPr>
            <w:tcW w:w="3680" w:type="pct"/>
            <w:shd w:val="clear" w:color="auto" w:fill="auto"/>
          </w:tcPr>
          <w:p w14:paraId="0348FFD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Minister, Public Works, Transport and Communications</w:t>
            </w:r>
          </w:p>
        </w:tc>
      </w:tr>
      <w:tr w:rsidR="00161F35" w:rsidRPr="00C93A4A" w14:paraId="4CF48465" w14:textId="77777777" w:rsidTr="00161F35">
        <w:tc>
          <w:tcPr>
            <w:tcW w:w="1320" w:type="pct"/>
            <w:shd w:val="clear" w:color="auto" w:fill="auto"/>
          </w:tcPr>
          <w:p w14:paraId="37E7BD1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Jose Gaspar Piedade</w:t>
            </w:r>
          </w:p>
        </w:tc>
        <w:tc>
          <w:tcPr>
            <w:tcW w:w="3680" w:type="pct"/>
            <w:shd w:val="clear" w:color="auto" w:fill="auto"/>
          </w:tcPr>
          <w:p w14:paraId="504D9FB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General, Public Works, MPW</w:t>
            </w:r>
          </w:p>
        </w:tc>
      </w:tr>
      <w:tr w:rsidR="00161F35" w:rsidRPr="00C93A4A" w14:paraId="7200B27E" w14:textId="77777777" w:rsidTr="00161F35">
        <w:tc>
          <w:tcPr>
            <w:tcW w:w="1320" w:type="pct"/>
            <w:shd w:val="clear" w:color="auto" w:fill="auto"/>
          </w:tcPr>
          <w:p w14:paraId="5B8805E2"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Jose Mestre</w:t>
            </w:r>
          </w:p>
        </w:tc>
        <w:tc>
          <w:tcPr>
            <w:tcW w:w="3680" w:type="pct"/>
            <w:shd w:val="clear" w:color="auto" w:fill="auto"/>
          </w:tcPr>
          <w:p w14:paraId="0C569E3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General, Corporate Services, MPW</w:t>
            </w:r>
          </w:p>
        </w:tc>
      </w:tr>
      <w:tr w:rsidR="00161F35" w:rsidRPr="00C93A4A" w14:paraId="0D24DF1F" w14:textId="77777777" w:rsidTr="00161F35">
        <w:tc>
          <w:tcPr>
            <w:tcW w:w="1320" w:type="pct"/>
            <w:shd w:val="clear" w:color="auto" w:fill="auto"/>
          </w:tcPr>
          <w:p w14:paraId="1FCC780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Rui Hernani</w:t>
            </w:r>
          </w:p>
        </w:tc>
        <w:tc>
          <w:tcPr>
            <w:tcW w:w="3680" w:type="pct"/>
            <w:shd w:val="clear" w:color="auto" w:fill="auto"/>
          </w:tcPr>
          <w:p w14:paraId="022629F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Roads, Bridges and Flood Control, MPW</w:t>
            </w:r>
          </w:p>
        </w:tc>
      </w:tr>
      <w:tr w:rsidR="00161F35" w:rsidRPr="00C93A4A" w14:paraId="724291FD" w14:textId="77777777" w:rsidTr="00161F35">
        <w:tc>
          <w:tcPr>
            <w:tcW w:w="1320" w:type="pct"/>
            <w:shd w:val="clear" w:color="auto" w:fill="auto"/>
          </w:tcPr>
          <w:p w14:paraId="5A905B7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Joao Pedro Amaral</w:t>
            </w:r>
          </w:p>
        </w:tc>
        <w:tc>
          <w:tcPr>
            <w:tcW w:w="3680" w:type="pct"/>
            <w:shd w:val="clear" w:color="auto" w:fill="auto"/>
          </w:tcPr>
          <w:p w14:paraId="6F10CAD7" w14:textId="392F596F"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 xml:space="preserve">Head, Department of Maintenance, </w:t>
            </w:r>
            <w:r w:rsidR="00D9153D" w:rsidRPr="00C93A4A">
              <w:rPr>
                <w:rFonts w:asciiTheme="minorHAnsi" w:hAnsiTheme="minorHAnsi" w:cstheme="minorHAnsi"/>
                <w:szCs w:val="22"/>
                <w:lang w:val="en-GB"/>
              </w:rPr>
              <w:t>DRBF</w:t>
            </w:r>
            <w:r w:rsidR="00F839DE">
              <w:rPr>
                <w:rFonts w:asciiTheme="minorHAnsi" w:hAnsiTheme="minorHAnsi" w:cstheme="minorHAnsi"/>
                <w:szCs w:val="22"/>
                <w:lang w:val="en-GB"/>
              </w:rPr>
              <w:t>C</w:t>
            </w:r>
            <w:r w:rsidRPr="00C93A4A">
              <w:rPr>
                <w:rFonts w:asciiTheme="minorHAnsi" w:hAnsiTheme="minorHAnsi" w:cstheme="minorHAnsi"/>
                <w:szCs w:val="22"/>
                <w:lang w:val="en-GB"/>
              </w:rPr>
              <w:t>, MoPW</w:t>
            </w:r>
          </w:p>
        </w:tc>
      </w:tr>
      <w:tr w:rsidR="00161F35" w:rsidRPr="00C93A4A" w14:paraId="0F111096" w14:textId="77777777" w:rsidTr="00161F35">
        <w:tc>
          <w:tcPr>
            <w:tcW w:w="1320" w:type="pct"/>
            <w:shd w:val="clear" w:color="auto" w:fill="auto"/>
          </w:tcPr>
          <w:p w14:paraId="7EE788B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Joao Gama de Sousa</w:t>
            </w:r>
          </w:p>
        </w:tc>
        <w:tc>
          <w:tcPr>
            <w:tcW w:w="3680" w:type="pct"/>
            <w:shd w:val="clear" w:color="auto" w:fill="auto"/>
          </w:tcPr>
          <w:p w14:paraId="13751E1E" w14:textId="6886CF5D"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 xml:space="preserve">Head, Department of Projects, Budgeting and Planning, </w:t>
            </w:r>
            <w:r w:rsidR="00D9153D" w:rsidRPr="00C93A4A">
              <w:rPr>
                <w:rFonts w:asciiTheme="minorHAnsi" w:hAnsiTheme="minorHAnsi" w:cstheme="minorHAnsi"/>
                <w:szCs w:val="22"/>
                <w:lang w:val="en-GB"/>
              </w:rPr>
              <w:t>DRBF</w:t>
            </w:r>
            <w:r w:rsidR="00F839DE">
              <w:rPr>
                <w:rFonts w:asciiTheme="minorHAnsi" w:hAnsiTheme="minorHAnsi" w:cstheme="minorHAnsi"/>
                <w:szCs w:val="22"/>
                <w:lang w:val="en-GB"/>
              </w:rPr>
              <w:t>C</w:t>
            </w:r>
            <w:r w:rsidRPr="00C93A4A">
              <w:rPr>
                <w:rFonts w:asciiTheme="minorHAnsi" w:hAnsiTheme="minorHAnsi" w:cstheme="minorHAnsi"/>
                <w:szCs w:val="22"/>
                <w:lang w:val="en-GB"/>
              </w:rPr>
              <w:t>, MPW</w:t>
            </w:r>
          </w:p>
        </w:tc>
      </w:tr>
      <w:tr w:rsidR="00161F35" w:rsidRPr="00C93A4A" w14:paraId="3CAD2063" w14:textId="77777777" w:rsidTr="00161F35">
        <w:tc>
          <w:tcPr>
            <w:tcW w:w="1320" w:type="pct"/>
            <w:shd w:val="clear" w:color="auto" w:fill="auto"/>
          </w:tcPr>
          <w:p w14:paraId="1CB5FA0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Isabel Lay Guterres</w:t>
            </w:r>
          </w:p>
        </w:tc>
        <w:tc>
          <w:tcPr>
            <w:tcW w:w="3680" w:type="pct"/>
            <w:shd w:val="clear" w:color="auto" w:fill="auto"/>
          </w:tcPr>
          <w:p w14:paraId="0C448BA0" w14:textId="16CE0D09"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 xml:space="preserve">Head, Department of Analysis and Evaluation, </w:t>
            </w:r>
            <w:r w:rsidR="00D9153D" w:rsidRPr="00C93A4A">
              <w:rPr>
                <w:rFonts w:asciiTheme="minorHAnsi" w:hAnsiTheme="minorHAnsi" w:cstheme="minorHAnsi"/>
                <w:szCs w:val="22"/>
                <w:lang w:val="en-GB"/>
              </w:rPr>
              <w:t>DRBF</w:t>
            </w:r>
            <w:r w:rsidR="00F839DE">
              <w:rPr>
                <w:rFonts w:asciiTheme="minorHAnsi" w:hAnsiTheme="minorHAnsi" w:cstheme="minorHAnsi"/>
                <w:szCs w:val="22"/>
                <w:lang w:val="en-GB"/>
              </w:rPr>
              <w:t>C</w:t>
            </w:r>
            <w:r w:rsidRPr="00C93A4A">
              <w:rPr>
                <w:rFonts w:asciiTheme="minorHAnsi" w:hAnsiTheme="minorHAnsi" w:cstheme="minorHAnsi"/>
                <w:szCs w:val="22"/>
                <w:lang w:val="en-GB"/>
              </w:rPr>
              <w:t>, MPW</w:t>
            </w:r>
          </w:p>
        </w:tc>
      </w:tr>
      <w:tr w:rsidR="00161F35" w:rsidRPr="00C93A4A" w14:paraId="31BE598F" w14:textId="77777777" w:rsidTr="00161F35">
        <w:tc>
          <w:tcPr>
            <w:tcW w:w="1320" w:type="pct"/>
            <w:shd w:val="clear" w:color="auto" w:fill="auto"/>
          </w:tcPr>
          <w:p w14:paraId="58C056B2"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Ana Vicenta Duka</w:t>
            </w:r>
          </w:p>
        </w:tc>
        <w:tc>
          <w:tcPr>
            <w:tcW w:w="3680" w:type="pct"/>
            <w:shd w:val="clear" w:color="auto" w:fill="auto"/>
          </w:tcPr>
          <w:p w14:paraId="65CAD79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Head, Department of Procurement, DGCS, MPW</w:t>
            </w:r>
          </w:p>
        </w:tc>
      </w:tr>
      <w:tr w:rsidR="00161F35" w:rsidRPr="00C93A4A" w14:paraId="52C52A2F" w14:textId="77777777" w:rsidTr="00161F35">
        <w:tc>
          <w:tcPr>
            <w:tcW w:w="1320" w:type="pct"/>
            <w:shd w:val="clear" w:color="auto" w:fill="auto"/>
          </w:tcPr>
          <w:p w14:paraId="6E7E8D47" w14:textId="703434B0" w:rsidR="00161F35" w:rsidRPr="00C93A4A" w:rsidRDefault="00161F35" w:rsidP="007D559A">
            <w:pPr>
              <w:rPr>
                <w:rFonts w:asciiTheme="minorHAnsi" w:hAnsiTheme="minorHAnsi" w:cstheme="minorHAnsi"/>
                <w:szCs w:val="22"/>
                <w:lang w:val="en-GB"/>
              </w:rPr>
            </w:pPr>
            <w:r w:rsidRPr="00C93A4A">
              <w:rPr>
                <w:rFonts w:asciiTheme="minorHAnsi" w:hAnsiTheme="minorHAnsi" w:cstheme="minorHAnsi"/>
                <w:szCs w:val="22"/>
                <w:lang w:val="en-GB"/>
              </w:rPr>
              <w:t>Antoni</w:t>
            </w:r>
            <w:r w:rsidR="007D559A">
              <w:rPr>
                <w:rFonts w:asciiTheme="minorHAnsi" w:hAnsiTheme="minorHAnsi" w:cstheme="minorHAnsi"/>
                <w:szCs w:val="22"/>
                <w:lang w:val="en-GB"/>
              </w:rPr>
              <w:t>o</w:t>
            </w:r>
            <w:r w:rsidRPr="00C93A4A">
              <w:rPr>
                <w:rFonts w:asciiTheme="minorHAnsi" w:hAnsiTheme="minorHAnsi" w:cstheme="minorHAnsi"/>
                <w:szCs w:val="22"/>
                <w:lang w:val="en-GB"/>
              </w:rPr>
              <w:t xml:space="preserve"> </w:t>
            </w:r>
            <w:r w:rsidR="007D559A">
              <w:rPr>
                <w:rFonts w:asciiTheme="minorHAnsi" w:hAnsiTheme="minorHAnsi" w:cstheme="minorHAnsi"/>
                <w:szCs w:val="22"/>
                <w:lang w:val="en-GB"/>
              </w:rPr>
              <w:t>Soares</w:t>
            </w:r>
          </w:p>
        </w:tc>
        <w:tc>
          <w:tcPr>
            <w:tcW w:w="3680" w:type="pct"/>
            <w:shd w:val="clear" w:color="auto" w:fill="auto"/>
          </w:tcPr>
          <w:p w14:paraId="07FEBDD4"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Engineer, Department of Roads, Bobonaro Municipality, MPW</w:t>
            </w:r>
          </w:p>
        </w:tc>
      </w:tr>
      <w:tr w:rsidR="00161F35" w:rsidRPr="00C93A4A" w14:paraId="779FAAA7" w14:textId="77777777" w:rsidTr="00161F35">
        <w:tc>
          <w:tcPr>
            <w:tcW w:w="1320" w:type="pct"/>
            <w:shd w:val="clear" w:color="auto" w:fill="auto"/>
          </w:tcPr>
          <w:p w14:paraId="70F02171" w14:textId="3B7BA258" w:rsidR="00161F35" w:rsidRPr="00C93A4A" w:rsidRDefault="00161F35" w:rsidP="007D559A">
            <w:pPr>
              <w:rPr>
                <w:rFonts w:asciiTheme="minorHAnsi" w:hAnsiTheme="minorHAnsi" w:cstheme="minorHAnsi"/>
                <w:szCs w:val="22"/>
                <w:lang w:val="en-GB"/>
              </w:rPr>
            </w:pPr>
            <w:r w:rsidRPr="00C93A4A">
              <w:rPr>
                <w:rFonts w:asciiTheme="minorHAnsi" w:hAnsiTheme="minorHAnsi" w:cstheme="minorHAnsi"/>
                <w:szCs w:val="22"/>
                <w:lang w:val="en-GB"/>
              </w:rPr>
              <w:t xml:space="preserve">Domingos </w:t>
            </w:r>
            <w:r w:rsidR="007D559A">
              <w:rPr>
                <w:rFonts w:asciiTheme="minorHAnsi" w:hAnsiTheme="minorHAnsi" w:cstheme="minorHAnsi"/>
                <w:szCs w:val="22"/>
                <w:lang w:val="en-GB"/>
              </w:rPr>
              <w:t>Barreto</w:t>
            </w:r>
          </w:p>
        </w:tc>
        <w:tc>
          <w:tcPr>
            <w:tcW w:w="3680" w:type="pct"/>
            <w:shd w:val="clear" w:color="auto" w:fill="auto"/>
          </w:tcPr>
          <w:p w14:paraId="473FDA1F"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Engineer, Department of Roads, Covalima Municipality, MPW</w:t>
            </w:r>
          </w:p>
        </w:tc>
      </w:tr>
      <w:tr w:rsidR="00161F35" w:rsidRPr="00C93A4A" w14:paraId="40B539B1" w14:textId="77777777" w:rsidTr="00161F35">
        <w:tc>
          <w:tcPr>
            <w:tcW w:w="5000" w:type="pct"/>
            <w:gridSpan w:val="2"/>
            <w:shd w:val="clear" w:color="auto" w:fill="D8DAC1" w:themeFill="background2" w:themeFillShade="E6"/>
          </w:tcPr>
          <w:p w14:paraId="4362CF3D"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GoTL, Other</w:t>
            </w:r>
          </w:p>
        </w:tc>
      </w:tr>
      <w:tr w:rsidR="00161F35" w:rsidRPr="00C93A4A" w14:paraId="09938820" w14:textId="77777777" w:rsidTr="00161F35">
        <w:tc>
          <w:tcPr>
            <w:tcW w:w="1320" w:type="pct"/>
            <w:shd w:val="clear" w:color="auto" w:fill="auto"/>
          </w:tcPr>
          <w:p w14:paraId="03730FAD"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Alex Sarmento</w:t>
            </w:r>
          </w:p>
        </w:tc>
        <w:tc>
          <w:tcPr>
            <w:tcW w:w="3680" w:type="pct"/>
            <w:shd w:val="clear" w:color="auto" w:fill="auto"/>
          </w:tcPr>
          <w:p w14:paraId="702D013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Vice DG, Agencia de Desenvolvimento Nacional (ADN)</w:t>
            </w:r>
          </w:p>
        </w:tc>
      </w:tr>
      <w:tr w:rsidR="00161F35" w:rsidRPr="00C93A4A" w14:paraId="6FBBE34F" w14:textId="77777777" w:rsidTr="00161F35">
        <w:tc>
          <w:tcPr>
            <w:tcW w:w="1320" w:type="pct"/>
            <w:shd w:val="clear" w:color="auto" w:fill="auto"/>
          </w:tcPr>
          <w:p w14:paraId="7BD9E67F"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Rui da Costa</w:t>
            </w:r>
          </w:p>
        </w:tc>
        <w:tc>
          <w:tcPr>
            <w:tcW w:w="3680" w:type="pct"/>
            <w:shd w:val="clear" w:color="auto" w:fill="auto"/>
          </w:tcPr>
          <w:p w14:paraId="716CA326"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Vice DG, Agencia de Desenvolvimento Nacional (ADN)</w:t>
            </w:r>
          </w:p>
        </w:tc>
      </w:tr>
      <w:tr w:rsidR="00161F35" w:rsidRPr="00C93A4A" w14:paraId="6B29D2FD" w14:textId="77777777" w:rsidTr="00161F35">
        <w:tc>
          <w:tcPr>
            <w:tcW w:w="1320" w:type="pct"/>
            <w:shd w:val="clear" w:color="auto" w:fill="auto"/>
          </w:tcPr>
          <w:p w14:paraId="160C4D4E" w14:textId="295EB638" w:rsidR="00161F35" w:rsidRPr="00C93A4A" w:rsidRDefault="00E63D85" w:rsidP="00161F35">
            <w:pPr>
              <w:rPr>
                <w:rFonts w:asciiTheme="minorHAnsi" w:hAnsiTheme="minorHAnsi" w:cstheme="minorHAnsi"/>
                <w:szCs w:val="22"/>
                <w:lang w:val="en-GB"/>
              </w:rPr>
            </w:pPr>
            <w:r>
              <w:rPr>
                <w:rFonts w:asciiTheme="minorHAnsi" w:hAnsiTheme="minorHAnsi" w:cstheme="minorHAnsi"/>
                <w:szCs w:val="22"/>
                <w:lang w:val="en-GB"/>
              </w:rPr>
              <w:t>Arsenio Bano</w:t>
            </w:r>
          </w:p>
        </w:tc>
        <w:tc>
          <w:tcPr>
            <w:tcW w:w="3680" w:type="pct"/>
            <w:shd w:val="clear" w:color="auto" w:fill="auto"/>
          </w:tcPr>
          <w:p w14:paraId="70FE69B2" w14:textId="2068BC1A" w:rsidR="00161F35" w:rsidRPr="00C93A4A" w:rsidRDefault="00E63D85" w:rsidP="00161F35">
            <w:pPr>
              <w:rPr>
                <w:rFonts w:asciiTheme="minorHAnsi" w:hAnsiTheme="minorHAnsi" w:cstheme="minorHAnsi"/>
                <w:szCs w:val="22"/>
                <w:lang w:val="en-GB"/>
              </w:rPr>
            </w:pPr>
            <w:r>
              <w:rPr>
                <w:rFonts w:asciiTheme="minorHAnsi" w:hAnsiTheme="minorHAnsi" w:cstheme="minorHAnsi"/>
                <w:szCs w:val="22"/>
                <w:lang w:val="en-GB"/>
              </w:rPr>
              <w:t>ZEESM Technical Team Coordinator</w:t>
            </w:r>
          </w:p>
        </w:tc>
      </w:tr>
      <w:tr w:rsidR="00161F35" w:rsidRPr="00C93A4A" w14:paraId="09F62BA2" w14:textId="77777777" w:rsidTr="00161F35">
        <w:tc>
          <w:tcPr>
            <w:tcW w:w="1320" w:type="pct"/>
            <w:shd w:val="clear" w:color="auto" w:fill="auto"/>
          </w:tcPr>
          <w:p w14:paraId="3E902188"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Candido ??</w:t>
            </w:r>
          </w:p>
        </w:tc>
        <w:tc>
          <w:tcPr>
            <w:tcW w:w="3680" w:type="pct"/>
            <w:shd w:val="clear" w:color="auto" w:fill="auto"/>
          </w:tcPr>
          <w:p w14:paraId="3A632E5B" w14:textId="26DA6DF2" w:rsidR="00161F35" w:rsidRPr="00C93A4A" w:rsidRDefault="00161F35" w:rsidP="007D559A">
            <w:pPr>
              <w:rPr>
                <w:rFonts w:asciiTheme="minorHAnsi" w:hAnsiTheme="minorHAnsi" w:cstheme="minorHAnsi"/>
                <w:szCs w:val="22"/>
                <w:lang w:val="en-GB"/>
              </w:rPr>
            </w:pPr>
            <w:r w:rsidRPr="00C93A4A">
              <w:rPr>
                <w:rFonts w:asciiTheme="minorHAnsi" w:hAnsiTheme="minorHAnsi" w:cstheme="minorHAnsi"/>
                <w:szCs w:val="22"/>
                <w:lang w:val="en-GB"/>
              </w:rPr>
              <w:t>Head</w:t>
            </w:r>
            <w:r w:rsidR="007D559A">
              <w:rPr>
                <w:rFonts w:asciiTheme="minorHAnsi" w:hAnsiTheme="minorHAnsi" w:cstheme="minorHAnsi"/>
                <w:szCs w:val="22"/>
                <w:lang w:val="en-GB"/>
              </w:rPr>
              <w:t xml:space="preserve"> of Public Works Regional Office</w:t>
            </w:r>
            <w:r w:rsidRPr="00C93A4A">
              <w:rPr>
                <w:rFonts w:asciiTheme="minorHAnsi" w:hAnsiTheme="minorHAnsi" w:cstheme="minorHAnsi"/>
                <w:szCs w:val="22"/>
                <w:lang w:val="en-GB"/>
              </w:rPr>
              <w:t>, Oecussi</w:t>
            </w:r>
          </w:p>
        </w:tc>
      </w:tr>
      <w:tr w:rsidR="00161F35" w:rsidRPr="00C93A4A" w14:paraId="5B67866C" w14:textId="77777777" w:rsidTr="00161F35">
        <w:tc>
          <w:tcPr>
            <w:tcW w:w="1320" w:type="pct"/>
            <w:shd w:val="clear" w:color="auto" w:fill="auto"/>
          </w:tcPr>
          <w:p w14:paraId="43F49FC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Januario da Gama</w:t>
            </w:r>
          </w:p>
        </w:tc>
        <w:tc>
          <w:tcPr>
            <w:tcW w:w="3680" w:type="pct"/>
            <w:shd w:val="clear" w:color="auto" w:fill="auto"/>
          </w:tcPr>
          <w:p w14:paraId="1AA23211"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General, State Finance, Ministry of Finance</w:t>
            </w:r>
          </w:p>
        </w:tc>
      </w:tr>
      <w:tr w:rsidR="00161F35" w:rsidRPr="00C93A4A" w14:paraId="44DA11B9" w14:textId="77777777" w:rsidTr="00161F35">
        <w:tc>
          <w:tcPr>
            <w:tcW w:w="1320" w:type="pct"/>
            <w:shd w:val="clear" w:color="auto" w:fill="auto"/>
          </w:tcPr>
          <w:p w14:paraId="2D9CCBA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Yoaquim Salamao</w:t>
            </w:r>
          </w:p>
        </w:tc>
        <w:tc>
          <w:tcPr>
            <w:tcW w:w="3680" w:type="pct"/>
            <w:shd w:val="clear" w:color="auto" w:fill="auto"/>
          </w:tcPr>
          <w:p w14:paraId="733EA202"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National Directorate for Budget, Ministry of Finance</w:t>
            </w:r>
          </w:p>
        </w:tc>
      </w:tr>
      <w:tr w:rsidR="00161F35" w:rsidRPr="00C93A4A" w14:paraId="35A74504" w14:textId="77777777" w:rsidTr="00161F35">
        <w:tc>
          <w:tcPr>
            <w:tcW w:w="1320" w:type="pct"/>
            <w:shd w:val="clear" w:color="auto" w:fill="auto"/>
          </w:tcPr>
          <w:p w14:paraId="7CE6CEBB" w14:textId="3B3813BF" w:rsidR="00161F35" w:rsidRPr="00C93A4A" w:rsidRDefault="00161F35" w:rsidP="00EA43FA">
            <w:pPr>
              <w:rPr>
                <w:rFonts w:asciiTheme="minorHAnsi" w:hAnsiTheme="minorHAnsi" w:cstheme="minorHAnsi"/>
                <w:szCs w:val="22"/>
                <w:lang w:val="en-GB"/>
              </w:rPr>
            </w:pPr>
            <w:r w:rsidRPr="00C93A4A">
              <w:rPr>
                <w:rFonts w:asciiTheme="minorHAnsi" w:hAnsiTheme="minorHAnsi" w:cstheme="minorHAnsi"/>
                <w:szCs w:val="22"/>
                <w:lang w:val="en-GB"/>
              </w:rPr>
              <w:t xml:space="preserve">Agostinho </w:t>
            </w:r>
            <w:r w:rsidR="00EA43FA">
              <w:rPr>
                <w:rFonts w:asciiTheme="minorHAnsi" w:hAnsiTheme="minorHAnsi" w:cstheme="minorHAnsi"/>
                <w:szCs w:val="22"/>
                <w:lang w:val="en-GB"/>
              </w:rPr>
              <w:t>Castro</w:t>
            </w:r>
          </w:p>
        </w:tc>
        <w:tc>
          <w:tcPr>
            <w:tcW w:w="3680" w:type="pct"/>
            <w:shd w:val="clear" w:color="auto" w:fill="auto"/>
          </w:tcPr>
          <w:p w14:paraId="3D95C4AF"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General, Treasury, Ministry of Finance</w:t>
            </w:r>
          </w:p>
        </w:tc>
      </w:tr>
      <w:tr w:rsidR="00161F35" w:rsidRPr="00C93A4A" w14:paraId="7D106A41" w14:textId="77777777" w:rsidTr="00161F35">
        <w:tc>
          <w:tcPr>
            <w:tcW w:w="1320" w:type="pct"/>
            <w:shd w:val="clear" w:color="auto" w:fill="auto"/>
          </w:tcPr>
          <w:p w14:paraId="6D0F8351"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lastRenderedPageBreak/>
              <w:t>Antonio Goncalves</w:t>
            </w:r>
          </w:p>
        </w:tc>
        <w:tc>
          <w:tcPr>
            <w:tcW w:w="3680" w:type="pct"/>
            <w:shd w:val="clear" w:color="auto" w:fill="auto"/>
          </w:tcPr>
          <w:p w14:paraId="072DA49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National Directorate for Deconcentration, Ministry of Finance</w:t>
            </w:r>
          </w:p>
        </w:tc>
      </w:tr>
      <w:tr w:rsidR="00161F35" w:rsidRPr="00C93A4A" w14:paraId="05F56CF0" w14:textId="77777777" w:rsidTr="00161F35">
        <w:tc>
          <w:tcPr>
            <w:tcW w:w="1320" w:type="pct"/>
            <w:shd w:val="clear" w:color="auto" w:fill="auto"/>
          </w:tcPr>
          <w:p w14:paraId="79C9364C" w14:textId="715A62EC" w:rsidR="00161F35" w:rsidRPr="00C93A4A" w:rsidRDefault="00112799" w:rsidP="00161F35">
            <w:pPr>
              <w:rPr>
                <w:rFonts w:asciiTheme="minorHAnsi" w:hAnsiTheme="minorHAnsi" w:cstheme="minorHAnsi"/>
                <w:szCs w:val="22"/>
                <w:lang w:val="en-GB"/>
              </w:rPr>
            </w:pPr>
            <w:r>
              <w:rPr>
                <w:rFonts w:asciiTheme="minorHAnsi" w:hAnsiTheme="minorHAnsi" w:cstheme="minorHAnsi"/>
                <w:szCs w:val="22"/>
                <w:lang w:val="en-GB"/>
              </w:rPr>
              <w:t>Aguido da Silva</w:t>
            </w:r>
          </w:p>
        </w:tc>
        <w:tc>
          <w:tcPr>
            <w:tcW w:w="3680" w:type="pct"/>
            <w:shd w:val="clear" w:color="auto" w:fill="auto"/>
          </w:tcPr>
          <w:p w14:paraId="3734F706" w14:textId="16A56F9E" w:rsidR="00161F35" w:rsidRPr="00C93A4A" w:rsidRDefault="00112799" w:rsidP="00161F35">
            <w:pPr>
              <w:rPr>
                <w:rFonts w:asciiTheme="minorHAnsi" w:hAnsiTheme="minorHAnsi" w:cstheme="minorHAnsi"/>
                <w:szCs w:val="22"/>
                <w:lang w:val="en-GB"/>
              </w:rPr>
            </w:pPr>
            <w:r>
              <w:rPr>
                <w:rFonts w:asciiTheme="minorHAnsi" w:hAnsiTheme="minorHAnsi" w:cstheme="minorHAnsi"/>
                <w:szCs w:val="22"/>
                <w:lang w:val="en-GB"/>
              </w:rPr>
              <w:t>National Adviser</w:t>
            </w:r>
            <w:r w:rsidR="00161F35" w:rsidRPr="00C93A4A">
              <w:rPr>
                <w:rFonts w:asciiTheme="minorHAnsi" w:hAnsiTheme="minorHAnsi" w:cstheme="minorHAnsi"/>
                <w:szCs w:val="22"/>
                <w:lang w:val="en-GB"/>
              </w:rPr>
              <w:t>, National Directorate for Payments, Ministry of Finance</w:t>
            </w:r>
          </w:p>
        </w:tc>
      </w:tr>
      <w:tr w:rsidR="00161F35" w:rsidRPr="00C93A4A" w14:paraId="7128A493" w14:textId="77777777" w:rsidTr="00161F35">
        <w:tc>
          <w:tcPr>
            <w:tcW w:w="1320" w:type="pct"/>
            <w:shd w:val="clear" w:color="auto" w:fill="auto"/>
          </w:tcPr>
          <w:p w14:paraId="3360D8CD" w14:textId="5FC40DED" w:rsidR="00161F35" w:rsidRPr="00C93A4A" w:rsidRDefault="00161F35" w:rsidP="00EA43FA">
            <w:pPr>
              <w:rPr>
                <w:rFonts w:asciiTheme="minorHAnsi" w:hAnsiTheme="minorHAnsi" w:cstheme="minorHAnsi"/>
                <w:szCs w:val="22"/>
                <w:lang w:val="en-GB"/>
              </w:rPr>
            </w:pPr>
            <w:r w:rsidRPr="00C93A4A">
              <w:rPr>
                <w:rFonts w:asciiTheme="minorHAnsi" w:hAnsiTheme="minorHAnsi" w:cstheme="minorHAnsi"/>
                <w:szCs w:val="22"/>
                <w:lang w:val="en-GB"/>
              </w:rPr>
              <w:t xml:space="preserve">Cancio </w:t>
            </w:r>
            <w:r w:rsidR="00EA43FA">
              <w:rPr>
                <w:rFonts w:asciiTheme="minorHAnsi" w:hAnsiTheme="minorHAnsi" w:cstheme="minorHAnsi"/>
                <w:szCs w:val="22"/>
                <w:lang w:val="en-GB"/>
              </w:rPr>
              <w:t>de Oliveira</w:t>
            </w:r>
          </w:p>
        </w:tc>
        <w:tc>
          <w:tcPr>
            <w:tcW w:w="3680" w:type="pct"/>
            <w:shd w:val="clear" w:color="auto" w:fill="auto"/>
          </w:tcPr>
          <w:p w14:paraId="256A115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Director General, Development Partnership Management Unit, MoF</w:t>
            </w:r>
          </w:p>
        </w:tc>
      </w:tr>
      <w:tr w:rsidR="00161F35" w:rsidRPr="00C93A4A" w14:paraId="371EDE91" w14:textId="77777777" w:rsidTr="00161F35">
        <w:tc>
          <w:tcPr>
            <w:tcW w:w="1320" w:type="pct"/>
            <w:shd w:val="clear" w:color="auto" w:fill="auto"/>
          </w:tcPr>
          <w:p w14:paraId="3F3E976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Hernani da C Soares</w:t>
            </w:r>
          </w:p>
        </w:tc>
        <w:tc>
          <w:tcPr>
            <w:tcW w:w="3680" w:type="pct"/>
            <w:shd w:val="clear" w:color="auto" w:fill="auto"/>
          </w:tcPr>
          <w:p w14:paraId="5F43624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Executive Director, Institute for Business Support and Development (IADE)</w:t>
            </w:r>
          </w:p>
        </w:tc>
      </w:tr>
      <w:tr w:rsidR="00161F35" w:rsidRPr="00C93A4A" w14:paraId="33340C1C" w14:textId="77777777" w:rsidTr="00161F35">
        <w:tc>
          <w:tcPr>
            <w:tcW w:w="1320" w:type="pct"/>
            <w:shd w:val="clear" w:color="auto" w:fill="auto"/>
          </w:tcPr>
          <w:p w14:paraId="364D3C2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various</w:t>
            </w:r>
          </w:p>
        </w:tc>
        <w:tc>
          <w:tcPr>
            <w:tcW w:w="3680" w:type="pct"/>
            <w:shd w:val="clear" w:color="auto" w:fill="auto"/>
          </w:tcPr>
          <w:p w14:paraId="4C09E8C8"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Engineering advisory staff, PNDS</w:t>
            </w:r>
          </w:p>
        </w:tc>
      </w:tr>
      <w:tr w:rsidR="00161F35" w:rsidRPr="00C93A4A" w14:paraId="5C55D139" w14:textId="77777777" w:rsidTr="00161F35">
        <w:tc>
          <w:tcPr>
            <w:tcW w:w="1320" w:type="pct"/>
            <w:shd w:val="clear" w:color="auto" w:fill="auto"/>
          </w:tcPr>
          <w:p w14:paraId="6EC164A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Domingos Martins</w:t>
            </w:r>
          </w:p>
        </w:tc>
        <w:tc>
          <w:tcPr>
            <w:tcW w:w="3680" w:type="pct"/>
            <w:shd w:val="clear" w:color="auto" w:fill="auto"/>
          </w:tcPr>
          <w:p w14:paraId="0C3EB296"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Municipal Administrator, Bobonaro Municipality</w:t>
            </w:r>
          </w:p>
        </w:tc>
      </w:tr>
      <w:tr w:rsidR="00161F35" w:rsidRPr="00C93A4A" w14:paraId="2D280132" w14:textId="77777777" w:rsidTr="00161F35">
        <w:tc>
          <w:tcPr>
            <w:tcW w:w="1320" w:type="pct"/>
            <w:shd w:val="clear" w:color="auto" w:fill="auto"/>
          </w:tcPr>
          <w:p w14:paraId="63486267" w14:textId="28090096" w:rsidR="00161F35" w:rsidRPr="00C93A4A" w:rsidRDefault="00EA43FA" w:rsidP="00161F35">
            <w:pPr>
              <w:rPr>
                <w:rFonts w:asciiTheme="minorHAnsi" w:hAnsiTheme="minorHAnsi" w:cstheme="minorHAnsi"/>
                <w:szCs w:val="22"/>
                <w:lang w:val="en-GB"/>
              </w:rPr>
            </w:pPr>
            <w:r>
              <w:rPr>
                <w:rFonts w:asciiTheme="minorHAnsi" w:hAnsiTheme="minorHAnsi" w:cstheme="minorHAnsi"/>
                <w:szCs w:val="22"/>
                <w:lang w:val="en-GB"/>
              </w:rPr>
              <w:t>Martinho S. Matos</w:t>
            </w:r>
          </w:p>
        </w:tc>
        <w:tc>
          <w:tcPr>
            <w:tcW w:w="3680" w:type="pct"/>
            <w:shd w:val="clear" w:color="auto" w:fill="auto"/>
          </w:tcPr>
          <w:p w14:paraId="6AF3FC6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Municipal Administrator, Aileu Municipality</w:t>
            </w:r>
          </w:p>
        </w:tc>
      </w:tr>
      <w:tr w:rsidR="00161F35" w:rsidRPr="00C93A4A" w14:paraId="5AC7E57E" w14:textId="77777777" w:rsidTr="00161F35">
        <w:tc>
          <w:tcPr>
            <w:tcW w:w="1320" w:type="pct"/>
            <w:shd w:val="clear" w:color="auto" w:fill="auto"/>
          </w:tcPr>
          <w:p w14:paraId="72C2B11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Mario Antonio Soares</w:t>
            </w:r>
          </w:p>
        </w:tc>
        <w:tc>
          <w:tcPr>
            <w:tcW w:w="3680" w:type="pct"/>
            <w:shd w:val="clear" w:color="auto" w:fill="auto"/>
          </w:tcPr>
          <w:p w14:paraId="32113FC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Head, Department of Planning and Development, Aileu Municipality</w:t>
            </w:r>
          </w:p>
        </w:tc>
      </w:tr>
      <w:tr w:rsidR="00161F35" w:rsidRPr="00C93A4A" w14:paraId="320B4C34" w14:textId="77777777" w:rsidTr="00161F35">
        <w:tc>
          <w:tcPr>
            <w:tcW w:w="1320" w:type="pct"/>
            <w:shd w:val="clear" w:color="auto" w:fill="auto"/>
          </w:tcPr>
          <w:p w14:paraId="41BC01D1"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Pedro Martires da Costa</w:t>
            </w:r>
          </w:p>
        </w:tc>
        <w:tc>
          <w:tcPr>
            <w:tcW w:w="3680" w:type="pct"/>
            <w:shd w:val="clear" w:color="auto" w:fill="auto"/>
          </w:tcPr>
          <w:p w14:paraId="649E901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President, Parliamentary Commission E (Infrastructure)</w:t>
            </w:r>
          </w:p>
        </w:tc>
      </w:tr>
      <w:tr w:rsidR="00161F35" w:rsidRPr="00C93A4A" w14:paraId="72DB4506" w14:textId="77777777" w:rsidTr="00161F35">
        <w:tc>
          <w:tcPr>
            <w:tcW w:w="1320" w:type="pct"/>
            <w:shd w:val="clear" w:color="auto" w:fill="auto"/>
          </w:tcPr>
          <w:p w14:paraId="76772C0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Jose da Silva</w:t>
            </w:r>
          </w:p>
        </w:tc>
        <w:tc>
          <w:tcPr>
            <w:tcW w:w="3680" w:type="pct"/>
            <w:shd w:val="clear" w:color="auto" w:fill="auto"/>
          </w:tcPr>
          <w:p w14:paraId="54E1BB4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Vice-President, Parliamentary Commission E (Infrastructure)</w:t>
            </w:r>
          </w:p>
        </w:tc>
      </w:tr>
      <w:tr w:rsidR="00161F35" w:rsidRPr="00C93A4A" w14:paraId="06C00675" w14:textId="77777777" w:rsidTr="00161F35">
        <w:tc>
          <w:tcPr>
            <w:tcW w:w="5000" w:type="pct"/>
            <w:gridSpan w:val="2"/>
            <w:shd w:val="clear" w:color="auto" w:fill="D8DAC1" w:themeFill="background2" w:themeFillShade="E6"/>
          </w:tcPr>
          <w:p w14:paraId="60F3DF07"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ILO R4D Team</w:t>
            </w:r>
          </w:p>
        </w:tc>
      </w:tr>
      <w:tr w:rsidR="00161F35" w:rsidRPr="00C93A4A" w14:paraId="59B0E930" w14:textId="77777777" w:rsidTr="00161F35">
        <w:tc>
          <w:tcPr>
            <w:tcW w:w="1320" w:type="pct"/>
            <w:shd w:val="clear" w:color="auto" w:fill="auto"/>
          </w:tcPr>
          <w:p w14:paraId="0FC4741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Bas Athmer</w:t>
            </w:r>
          </w:p>
        </w:tc>
        <w:tc>
          <w:tcPr>
            <w:tcW w:w="3680" w:type="pct"/>
            <w:shd w:val="clear" w:color="auto" w:fill="auto"/>
          </w:tcPr>
          <w:p w14:paraId="7EA6A26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Chief Technical Adviser, Roads for Development Program (R4D)</w:t>
            </w:r>
          </w:p>
        </w:tc>
      </w:tr>
      <w:tr w:rsidR="00161F35" w:rsidRPr="00C93A4A" w14:paraId="258DAEE6" w14:textId="77777777" w:rsidTr="00161F35">
        <w:tc>
          <w:tcPr>
            <w:tcW w:w="1320" w:type="pct"/>
            <w:shd w:val="clear" w:color="auto" w:fill="auto"/>
          </w:tcPr>
          <w:p w14:paraId="72EEB0E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Simon Done</w:t>
            </w:r>
          </w:p>
        </w:tc>
        <w:tc>
          <w:tcPr>
            <w:tcW w:w="3680" w:type="pct"/>
            <w:shd w:val="clear" w:color="auto" w:fill="auto"/>
          </w:tcPr>
          <w:p w14:paraId="4A04646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Road Engineering Specialist, R4D</w:t>
            </w:r>
          </w:p>
        </w:tc>
      </w:tr>
      <w:tr w:rsidR="00161F35" w:rsidRPr="00C93A4A" w14:paraId="2ED60265" w14:textId="77777777" w:rsidTr="00161F35">
        <w:tc>
          <w:tcPr>
            <w:tcW w:w="1320" w:type="pct"/>
            <w:shd w:val="clear" w:color="auto" w:fill="auto"/>
          </w:tcPr>
          <w:p w14:paraId="477B665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Collins Makoriwa</w:t>
            </w:r>
          </w:p>
        </w:tc>
        <w:tc>
          <w:tcPr>
            <w:tcW w:w="3680" w:type="pct"/>
            <w:shd w:val="clear" w:color="auto" w:fill="auto"/>
          </w:tcPr>
          <w:p w14:paraId="6412586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Planning and Training Engineer, R4D</w:t>
            </w:r>
          </w:p>
        </w:tc>
      </w:tr>
      <w:tr w:rsidR="00161F35" w:rsidRPr="00C93A4A" w14:paraId="35A337C5" w14:textId="77777777" w:rsidTr="00161F35">
        <w:tc>
          <w:tcPr>
            <w:tcW w:w="1320" w:type="pct"/>
            <w:shd w:val="clear" w:color="auto" w:fill="auto"/>
          </w:tcPr>
          <w:p w14:paraId="63269F27"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Giulia Secondini</w:t>
            </w:r>
          </w:p>
        </w:tc>
        <w:tc>
          <w:tcPr>
            <w:tcW w:w="3680" w:type="pct"/>
            <w:shd w:val="clear" w:color="auto" w:fill="auto"/>
          </w:tcPr>
          <w:p w14:paraId="5BB4796D"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M&amp;E Officer, R4D</w:t>
            </w:r>
          </w:p>
        </w:tc>
      </w:tr>
      <w:tr w:rsidR="00161F35" w:rsidRPr="00C93A4A" w14:paraId="720D4619" w14:textId="77777777" w:rsidTr="00161F35">
        <w:tc>
          <w:tcPr>
            <w:tcW w:w="1320" w:type="pct"/>
            <w:shd w:val="clear" w:color="auto" w:fill="auto"/>
          </w:tcPr>
          <w:p w14:paraId="519F4CF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Sayed Faheem Eqbali</w:t>
            </w:r>
          </w:p>
        </w:tc>
        <w:tc>
          <w:tcPr>
            <w:tcW w:w="3680" w:type="pct"/>
            <w:shd w:val="clear" w:color="auto" w:fill="auto"/>
          </w:tcPr>
          <w:p w14:paraId="6759909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GIS Specialist, R4D</w:t>
            </w:r>
          </w:p>
        </w:tc>
      </w:tr>
      <w:tr w:rsidR="00161F35" w:rsidRPr="00C93A4A" w14:paraId="2F791EE8" w14:textId="77777777" w:rsidTr="00161F35">
        <w:tc>
          <w:tcPr>
            <w:tcW w:w="1320" w:type="pct"/>
            <w:shd w:val="clear" w:color="auto" w:fill="auto"/>
          </w:tcPr>
          <w:p w14:paraId="02472B57" w14:textId="19802418" w:rsidR="00161F35" w:rsidRPr="00C93A4A" w:rsidRDefault="007D52C2" w:rsidP="007D52C2">
            <w:pPr>
              <w:rPr>
                <w:rFonts w:asciiTheme="minorHAnsi" w:hAnsiTheme="minorHAnsi" w:cstheme="minorHAnsi"/>
                <w:szCs w:val="22"/>
                <w:lang w:val="en-GB"/>
              </w:rPr>
            </w:pPr>
            <w:r>
              <w:rPr>
                <w:rFonts w:asciiTheme="minorHAnsi" w:hAnsiTheme="minorHAnsi" w:cstheme="minorHAnsi"/>
                <w:szCs w:val="22"/>
                <w:lang w:val="en-GB"/>
              </w:rPr>
              <w:t xml:space="preserve">Antonio </w:t>
            </w:r>
            <w:r w:rsidR="00161F35" w:rsidRPr="00C93A4A">
              <w:rPr>
                <w:rFonts w:asciiTheme="minorHAnsi" w:hAnsiTheme="minorHAnsi" w:cstheme="minorHAnsi"/>
                <w:szCs w:val="22"/>
                <w:lang w:val="en-GB"/>
              </w:rPr>
              <w:t xml:space="preserve">Junior </w:t>
            </w:r>
            <w:r>
              <w:rPr>
                <w:rFonts w:asciiTheme="minorHAnsi" w:hAnsiTheme="minorHAnsi" w:cstheme="minorHAnsi"/>
                <w:szCs w:val="22"/>
                <w:lang w:val="en-GB"/>
              </w:rPr>
              <w:t>Indart</w:t>
            </w:r>
          </w:p>
        </w:tc>
        <w:tc>
          <w:tcPr>
            <w:tcW w:w="3680" w:type="pct"/>
            <w:shd w:val="clear" w:color="auto" w:fill="auto"/>
          </w:tcPr>
          <w:p w14:paraId="7F565EA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Database Specialist, R4D</w:t>
            </w:r>
          </w:p>
        </w:tc>
      </w:tr>
      <w:tr w:rsidR="00161F35" w:rsidRPr="00C93A4A" w14:paraId="6815EFB6" w14:textId="77777777" w:rsidTr="00161F35">
        <w:tc>
          <w:tcPr>
            <w:tcW w:w="1320" w:type="pct"/>
            <w:shd w:val="clear" w:color="auto" w:fill="auto"/>
          </w:tcPr>
          <w:p w14:paraId="54A381B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Vanda Day</w:t>
            </w:r>
          </w:p>
        </w:tc>
        <w:tc>
          <w:tcPr>
            <w:tcW w:w="3680" w:type="pct"/>
            <w:shd w:val="clear" w:color="auto" w:fill="auto"/>
          </w:tcPr>
          <w:p w14:paraId="1FB46F1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Procurement Officer, R4D</w:t>
            </w:r>
          </w:p>
        </w:tc>
      </w:tr>
      <w:tr w:rsidR="00161F35" w:rsidRPr="00C93A4A" w14:paraId="6D0DACB2" w14:textId="77777777" w:rsidTr="00161F35">
        <w:tc>
          <w:tcPr>
            <w:tcW w:w="1320" w:type="pct"/>
            <w:shd w:val="clear" w:color="auto" w:fill="auto"/>
          </w:tcPr>
          <w:p w14:paraId="2C9A01B8" w14:textId="6C5950E6" w:rsidR="00161F35" w:rsidRPr="00C93A4A" w:rsidRDefault="00C72B7A" w:rsidP="00161F35">
            <w:pPr>
              <w:rPr>
                <w:rFonts w:asciiTheme="minorHAnsi" w:hAnsiTheme="minorHAnsi" w:cstheme="minorHAnsi"/>
                <w:szCs w:val="22"/>
                <w:lang w:val="en-GB"/>
              </w:rPr>
            </w:pPr>
            <w:r>
              <w:rPr>
                <w:rFonts w:asciiTheme="minorHAnsi" w:hAnsiTheme="minorHAnsi" w:cstheme="minorHAnsi"/>
                <w:szCs w:val="22"/>
                <w:lang w:val="en-GB"/>
              </w:rPr>
              <w:t>Tim Lawther</w:t>
            </w:r>
          </w:p>
        </w:tc>
        <w:tc>
          <w:tcPr>
            <w:tcW w:w="3680" w:type="pct"/>
            <w:shd w:val="clear" w:color="auto" w:fill="auto"/>
          </w:tcPr>
          <w:p w14:paraId="2B40B93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Social Safeguards Officer, R4D/MoPW</w:t>
            </w:r>
          </w:p>
        </w:tc>
      </w:tr>
      <w:tr w:rsidR="00161F35" w:rsidRPr="00C93A4A" w14:paraId="44882A43" w14:textId="77777777" w:rsidTr="00161F35">
        <w:tc>
          <w:tcPr>
            <w:tcW w:w="1320" w:type="pct"/>
            <w:shd w:val="clear" w:color="auto" w:fill="auto"/>
          </w:tcPr>
          <w:p w14:paraId="40A71A5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Laxman Chand Thakuri</w:t>
            </w:r>
          </w:p>
        </w:tc>
        <w:tc>
          <w:tcPr>
            <w:tcW w:w="3680" w:type="pct"/>
            <w:shd w:val="clear" w:color="auto" w:fill="auto"/>
          </w:tcPr>
          <w:p w14:paraId="65A9F77C"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Regional Engineer, Dili, R4D</w:t>
            </w:r>
          </w:p>
        </w:tc>
      </w:tr>
      <w:tr w:rsidR="00161F35" w:rsidRPr="00C93A4A" w14:paraId="4825F60C" w14:textId="77777777" w:rsidTr="00161F35">
        <w:tc>
          <w:tcPr>
            <w:tcW w:w="1320" w:type="pct"/>
            <w:shd w:val="clear" w:color="auto" w:fill="auto"/>
          </w:tcPr>
          <w:p w14:paraId="36CA1A7E" w14:textId="40C46ED0" w:rsidR="00161F35" w:rsidRPr="00C93A4A" w:rsidRDefault="00161F35" w:rsidP="00EA43FA">
            <w:pPr>
              <w:rPr>
                <w:rFonts w:asciiTheme="minorHAnsi" w:hAnsiTheme="minorHAnsi" w:cstheme="minorHAnsi"/>
                <w:szCs w:val="22"/>
                <w:lang w:val="en-GB"/>
              </w:rPr>
            </w:pPr>
            <w:r w:rsidRPr="00C93A4A">
              <w:rPr>
                <w:rFonts w:asciiTheme="minorHAnsi" w:hAnsiTheme="minorHAnsi" w:cstheme="minorHAnsi"/>
                <w:szCs w:val="22"/>
                <w:lang w:val="en-GB"/>
              </w:rPr>
              <w:t xml:space="preserve">Vanda </w:t>
            </w:r>
            <w:r w:rsidR="00EA43FA">
              <w:rPr>
                <w:rFonts w:asciiTheme="minorHAnsi" w:hAnsiTheme="minorHAnsi" w:cstheme="minorHAnsi"/>
                <w:szCs w:val="22"/>
                <w:lang w:val="en-GB"/>
              </w:rPr>
              <w:t>Sam</w:t>
            </w:r>
          </w:p>
        </w:tc>
        <w:tc>
          <w:tcPr>
            <w:tcW w:w="3680" w:type="pct"/>
            <w:shd w:val="clear" w:color="auto" w:fill="auto"/>
          </w:tcPr>
          <w:p w14:paraId="0267189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Regional Engineer, Maliana, R4D</w:t>
            </w:r>
          </w:p>
        </w:tc>
      </w:tr>
      <w:tr w:rsidR="00161F35" w:rsidRPr="00C93A4A" w14:paraId="5376D5B1" w14:textId="77777777" w:rsidTr="00161F35">
        <w:tc>
          <w:tcPr>
            <w:tcW w:w="5000" w:type="pct"/>
            <w:gridSpan w:val="2"/>
            <w:shd w:val="clear" w:color="auto" w:fill="D8DAC1" w:themeFill="background2" w:themeFillShade="E6"/>
          </w:tcPr>
          <w:p w14:paraId="735D0AD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Development partners</w:t>
            </w:r>
          </w:p>
        </w:tc>
      </w:tr>
      <w:tr w:rsidR="00161F35" w:rsidRPr="00C93A4A" w14:paraId="42D12335" w14:textId="77777777" w:rsidTr="00161F35">
        <w:tc>
          <w:tcPr>
            <w:tcW w:w="1320" w:type="pct"/>
            <w:shd w:val="clear" w:color="auto" w:fill="auto"/>
          </w:tcPr>
          <w:p w14:paraId="10F0C8A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Roberto Pes</w:t>
            </w:r>
          </w:p>
        </w:tc>
        <w:tc>
          <w:tcPr>
            <w:tcW w:w="3680" w:type="pct"/>
            <w:shd w:val="clear" w:color="auto" w:fill="auto"/>
          </w:tcPr>
          <w:p w14:paraId="004DC6D2"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Head of Mission and Chief Technical Adviser, ILO Liaison Office in Timor-Leste</w:t>
            </w:r>
          </w:p>
        </w:tc>
      </w:tr>
      <w:tr w:rsidR="00161F35" w:rsidRPr="00C93A4A" w14:paraId="0EA73D39" w14:textId="77777777" w:rsidTr="00161F35">
        <w:tc>
          <w:tcPr>
            <w:tcW w:w="1320" w:type="pct"/>
            <w:shd w:val="clear" w:color="auto" w:fill="auto"/>
          </w:tcPr>
          <w:p w14:paraId="6C407594"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Chris Donges</w:t>
            </w:r>
          </w:p>
        </w:tc>
        <w:tc>
          <w:tcPr>
            <w:tcW w:w="3680" w:type="pct"/>
            <w:shd w:val="clear" w:color="auto" w:fill="auto"/>
          </w:tcPr>
          <w:p w14:paraId="7FEBA85F"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Specialist and Technical Backstopping, ILO Bangkok</w:t>
            </w:r>
          </w:p>
        </w:tc>
      </w:tr>
      <w:tr w:rsidR="00161F35" w:rsidRPr="00C93A4A" w14:paraId="286CA0CA" w14:textId="77777777" w:rsidTr="00161F35">
        <w:tc>
          <w:tcPr>
            <w:tcW w:w="1320" w:type="pct"/>
            <w:shd w:val="clear" w:color="auto" w:fill="auto"/>
          </w:tcPr>
          <w:p w14:paraId="40E47F2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Eav Kong</w:t>
            </w:r>
          </w:p>
        </w:tc>
        <w:tc>
          <w:tcPr>
            <w:tcW w:w="3680" w:type="pct"/>
            <w:shd w:val="clear" w:color="auto" w:fill="auto"/>
          </w:tcPr>
          <w:p w14:paraId="18EF1E5D"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Labour-Based Training Specialist, ERA Project</w:t>
            </w:r>
          </w:p>
        </w:tc>
      </w:tr>
      <w:tr w:rsidR="00161F35" w:rsidRPr="00C93A4A" w14:paraId="3D5BA194" w14:textId="77777777" w:rsidTr="00161F35">
        <w:tc>
          <w:tcPr>
            <w:tcW w:w="1320" w:type="pct"/>
            <w:shd w:val="clear" w:color="auto" w:fill="auto"/>
          </w:tcPr>
          <w:p w14:paraId="6A613867"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Antonio Vitor</w:t>
            </w:r>
          </w:p>
        </w:tc>
        <w:tc>
          <w:tcPr>
            <w:tcW w:w="3680" w:type="pct"/>
            <w:shd w:val="clear" w:color="auto" w:fill="auto"/>
          </w:tcPr>
          <w:p w14:paraId="2EBDAB26"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Team Leader, Infrastructure Management TA, Asian Development Bank</w:t>
            </w:r>
          </w:p>
        </w:tc>
      </w:tr>
      <w:tr w:rsidR="00161F35" w:rsidRPr="00C93A4A" w14:paraId="79359049" w14:textId="77777777" w:rsidTr="00161F35">
        <w:tc>
          <w:tcPr>
            <w:tcW w:w="1320" w:type="pct"/>
            <w:shd w:val="clear" w:color="auto" w:fill="auto"/>
          </w:tcPr>
          <w:p w14:paraId="7F527D42"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Eileen Sullivan</w:t>
            </w:r>
          </w:p>
        </w:tc>
        <w:tc>
          <w:tcPr>
            <w:tcW w:w="3680" w:type="pct"/>
            <w:shd w:val="clear" w:color="auto" w:fill="auto"/>
          </w:tcPr>
          <w:p w14:paraId="1A9C4CA8"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Acting Country Director, World Bank</w:t>
            </w:r>
          </w:p>
        </w:tc>
      </w:tr>
      <w:tr w:rsidR="00161F35" w:rsidRPr="00C93A4A" w14:paraId="1B5CAF6A" w14:textId="77777777" w:rsidTr="00161F35">
        <w:tc>
          <w:tcPr>
            <w:tcW w:w="1320" w:type="pct"/>
            <w:shd w:val="clear" w:color="auto" w:fill="auto"/>
          </w:tcPr>
          <w:p w14:paraId="16ED36C2" w14:textId="4ADBEAFE" w:rsidR="00161F35" w:rsidRPr="00C93A4A" w:rsidRDefault="00EA43FA" w:rsidP="00161F35">
            <w:pPr>
              <w:rPr>
                <w:rFonts w:asciiTheme="minorHAnsi" w:hAnsiTheme="minorHAnsi" w:cstheme="minorHAnsi"/>
                <w:szCs w:val="22"/>
                <w:lang w:val="en-GB"/>
              </w:rPr>
            </w:pPr>
            <w:r>
              <w:rPr>
                <w:rFonts w:asciiTheme="minorHAnsi" w:hAnsiTheme="minorHAnsi" w:cstheme="minorHAnsi"/>
                <w:szCs w:val="22"/>
                <w:lang w:val="en-GB"/>
              </w:rPr>
              <w:t xml:space="preserve"> Olivio dos Santos</w:t>
            </w:r>
          </w:p>
        </w:tc>
        <w:tc>
          <w:tcPr>
            <w:tcW w:w="3680" w:type="pct"/>
            <w:shd w:val="clear" w:color="auto" w:fill="auto"/>
          </w:tcPr>
          <w:p w14:paraId="255A7C3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World Bank Infrastructure team</w:t>
            </w:r>
          </w:p>
        </w:tc>
      </w:tr>
      <w:tr w:rsidR="00161F35" w:rsidRPr="00C93A4A" w14:paraId="3967A875" w14:textId="77777777" w:rsidTr="00161F35">
        <w:tc>
          <w:tcPr>
            <w:tcW w:w="1320" w:type="pct"/>
            <w:shd w:val="clear" w:color="auto" w:fill="auto"/>
          </w:tcPr>
          <w:p w14:paraId="4DC23007"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Paolo Toselli</w:t>
            </w:r>
          </w:p>
        </w:tc>
        <w:tc>
          <w:tcPr>
            <w:tcW w:w="3680" w:type="pct"/>
            <w:shd w:val="clear" w:color="auto" w:fill="auto"/>
          </w:tcPr>
          <w:p w14:paraId="2DB9511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Cooperation Attache, Rural Development, European Union Delegation</w:t>
            </w:r>
          </w:p>
        </w:tc>
      </w:tr>
      <w:tr w:rsidR="00161F35" w:rsidRPr="00C93A4A" w14:paraId="5D098781" w14:textId="77777777" w:rsidTr="00161F35">
        <w:tc>
          <w:tcPr>
            <w:tcW w:w="1320" w:type="pct"/>
            <w:shd w:val="clear" w:color="auto" w:fill="auto"/>
          </w:tcPr>
          <w:p w14:paraId="58B65B9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Dulce Gastano</w:t>
            </w:r>
          </w:p>
        </w:tc>
        <w:tc>
          <w:tcPr>
            <w:tcW w:w="3680" w:type="pct"/>
            <w:shd w:val="clear" w:color="auto" w:fill="auto"/>
          </w:tcPr>
          <w:p w14:paraId="66E43D1E"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Program Manager, Rural Development, European Union Delegation</w:t>
            </w:r>
          </w:p>
        </w:tc>
      </w:tr>
      <w:tr w:rsidR="00161F35" w:rsidRPr="00C93A4A" w14:paraId="5D738BE7" w14:textId="77777777" w:rsidTr="00161F35">
        <w:tc>
          <w:tcPr>
            <w:tcW w:w="1320" w:type="pct"/>
            <w:shd w:val="clear" w:color="auto" w:fill="auto"/>
          </w:tcPr>
          <w:p w14:paraId="51A05760" w14:textId="69E9566E" w:rsidR="00161F35" w:rsidRPr="00C93A4A" w:rsidRDefault="00161F35" w:rsidP="00EA43FA">
            <w:pPr>
              <w:rPr>
                <w:rFonts w:asciiTheme="minorHAnsi" w:hAnsiTheme="minorHAnsi" w:cstheme="minorHAnsi"/>
                <w:szCs w:val="22"/>
                <w:lang w:val="en-GB"/>
              </w:rPr>
            </w:pPr>
            <w:r w:rsidRPr="00C93A4A">
              <w:rPr>
                <w:rFonts w:asciiTheme="minorHAnsi" w:hAnsiTheme="minorHAnsi" w:cstheme="minorHAnsi"/>
                <w:szCs w:val="22"/>
                <w:lang w:val="en-GB"/>
              </w:rPr>
              <w:t>Hideaki Matsumoto</w:t>
            </w:r>
          </w:p>
        </w:tc>
        <w:tc>
          <w:tcPr>
            <w:tcW w:w="3680" w:type="pct"/>
            <w:shd w:val="clear" w:color="auto" w:fill="auto"/>
          </w:tcPr>
          <w:p w14:paraId="0F44CCDA" w14:textId="34463BD3"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JICA</w:t>
            </w:r>
            <w:r w:rsidR="00EA43FA">
              <w:rPr>
                <w:rFonts w:asciiTheme="minorHAnsi" w:hAnsiTheme="minorHAnsi" w:cstheme="minorHAnsi"/>
                <w:szCs w:val="22"/>
                <w:lang w:val="en-GB"/>
              </w:rPr>
              <w:t xml:space="preserve"> Representative</w:t>
            </w:r>
          </w:p>
        </w:tc>
      </w:tr>
      <w:tr w:rsidR="00161F35" w:rsidRPr="00C93A4A" w14:paraId="03990F9A" w14:textId="77777777" w:rsidTr="00161F35">
        <w:tc>
          <w:tcPr>
            <w:tcW w:w="1320" w:type="pct"/>
            <w:shd w:val="clear" w:color="auto" w:fill="auto"/>
          </w:tcPr>
          <w:p w14:paraId="34CB0C6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lastRenderedPageBreak/>
              <w:t>Rolly Damayanti</w:t>
            </w:r>
          </w:p>
        </w:tc>
        <w:tc>
          <w:tcPr>
            <w:tcW w:w="3680" w:type="pct"/>
            <w:shd w:val="clear" w:color="auto" w:fill="auto"/>
          </w:tcPr>
          <w:p w14:paraId="6CA7FCC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Enterprise Development Expert, Business Opportunities and Support Services</w:t>
            </w:r>
          </w:p>
        </w:tc>
      </w:tr>
      <w:tr w:rsidR="00161F35" w:rsidRPr="00C93A4A" w14:paraId="4828B276" w14:textId="77777777" w:rsidTr="00161F35">
        <w:tc>
          <w:tcPr>
            <w:tcW w:w="5000" w:type="pct"/>
            <w:gridSpan w:val="2"/>
            <w:shd w:val="clear" w:color="auto" w:fill="D8DAC1" w:themeFill="background2" w:themeFillShade="E6"/>
          </w:tcPr>
          <w:p w14:paraId="21F82824"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DFAT program staff</w:t>
            </w:r>
          </w:p>
        </w:tc>
      </w:tr>
      <w:tr w:rsidR="00161F35" w:rsidRPr="00C93A4A" w14:paraId="0DB02ED7" w14:textId="77777777" w:rsidTr="00161F35">
        <w:tc>
          <w:tcPr>
            <w:tcW w:w="1320" w:type="pct"/>
            <w:shd w:val="clear" w:color="auto" w:fill="auto"/>
          </w:tcPr>
          <w:p w14:paraId="5C533A59"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John Dalton</w:t>
            </w:r>
          </w:p>
        </w:tc>
        <w:tc>
          <w:tcPr>
            <w:tcW w:w="3680" w:type="pct"/>
            <w:shd w:val="clear" w:color="auto" w:fill="auto"/>
          </w:tcPr>
          <w:p w14:paraId="7FF24E3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Team Leader, Seed of Life Program</w:t>
            </w:r>
          </w:p>
        </w:tc>
      </w:tr>
      <w:tr w:rsidR="00161F35" w:rsidRPr="00C93A4A" w14:paraId="22A9E4EC" w14:textId="77777777" w:rsidTr="00161F35">
        <w:tc>
          <w:tcPr>
            <w:tcW w:w="1320" w:type="pct"/>
            <w:shd w:val="clear" w:color="auto" w:fill="auto"/>
          </w:tcPr>
          <w:p w14:paraId="3B0195E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Shariful Islam</w:t>
            </w:r>
          </w:p>
        </w:tc>
        <w:tc>
          <w:tcPr>
            <w:tcW w:w="3680" w:type="pct"/>
            <w:shd w:val="clear" w:color="auto" w:fill="auto"/>
          </w:tcPr>
          <w:p w14:paraId="46E036F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Senior Market Development Adviser, Market Development Facility</w:t>
            </w:r>
          </w:p>
        </w:tc>
      </w:tr>
      <w:tr w:rsidR="00161F35" w:rsidRPr="00C93A4A" w14:paraId="3A7D328B" w14:textId="77777777" w:rsidTr="00161F35">
        <w:tc>
          <w:tcPr>
            <w:tcW w:w="1320" w:type="pct"/>
            <w:shd w:val="clear" w:color="auto" w:fill="auto"/>
          </w:tcPr>
          <w:p w14:paraId="6ABFEBE0"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Roger Guinery</w:t>
            </w:r>
          </w:p>
        </w:tc>
        <w:tc>
          <w:tcPr>
            <w:tcW w:w="3680" w:type="pct"/>
            <w:shd w:val="clear" w:color="auto" w:fill="auto"/>
          </w:tcPr>
          <w:p w14:paraId="5FC8EEC7"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Program Director, BESIK</w:t>
            </w:r>
          </w:p>
        </w:tc>
      </w:tr>
      <w:tr w:rsidR="00161F35" w:rsidRPr="00C93A4A" w14:paraId="1BE209A0" w14:textId="77777777" w:rsidTr="00161F35">
        <w:tc>
          <w:tcPr>
            <w:tcW w:w="5000" w:type="pct"/>
            <w:gridSpan w:val="2"/>
            <w:shd w:val="clear" w:color="auto" w:fill="D8DAC1" w:themeFill="background2" w:themeFillShade="E6"/>
          </w:tcPr>
          <w:p w14:paraId="7008C7B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Field visits, Bobonaro and Aileu Municipalities</w:t>
            </w:r>
          </w:p>
        </w:tc>
      </w:tr>
      <w:tr w:rsidR="00161F35" w:rsidRPr="00C93A4A" w14:paraId="2CDCC2FE" w14:textId="77777777" w:rsidTr="00161F35">
        <w:tc>
          <w:tcPr>
            <w:tcW w:w="1320" w:type="pct"/>
            <w:shd w:val="clear" w:color="auto" w:fill="auto"/>
          </w:tcPr>
          <w:p w14:paraId="499812AB"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Community members</w:t>
            </w:r>
          </w:p>
        </w:tc>
        <w:tc>
          <w:tcPr>
            <w:tcW w:w="3680" w:type="pct"/>
            <w:shd w:val="clear" w:color="auto" w:fill="auto"/>
          </w:tcPr>
          <w:p w14:paraId="6A111843"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Saburai, Cova, and Balibo; Bobonaro Municipality</w:t>
            </w:r>
          </w:p>
        </w:tc>
      </w:tr>
      <w:tr w:rsidR="00161F35" w:rsidRPr="00C93A4A" w14:paraId="1ED48189" w14:textId="77777777" w:rsidTr="00161F35">
        <w:tc>
          <w:tcPr>
            <w:tcW w:w="1320" w:type="pct"/>
            <w:shd w:val="clear" w:color="auto" w:fill="auto"/>
          </w:tcPr>
          <w:p w14:paraId="2C315F65"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Community members</w:t>
            </w:r>
          </w:p>
        </w:tc>
        <w:tc>
          <w:tcPr>
            <w:tcW w:w="3680" w:type="pct"/>
            <w:shd w:val="clear" w:color="auto" w:fill="auto"/>
          </w:tcPr>
          <w:p w14:paraId="7D25665A" w14:textId="77777777" w:rsidR="00161F35" w:rsidRPr="00C93A4A" w:rsidRDefault="00161F35" w:rsidP="00161F35">
            <w:pPr>
              <w:rPr>
                <w:rFonts w:asciiTheme="minorHAnsi" w:hAnsiTheme="minorHAnsi" w:cstheme="minorHAnsi"/>
                <w:szCs w:val="22"/>
                <w:lang w:val="en-GB"/>
              </w:rPr>
            </w:pPr>
            <w:r w:rsidRPr="00C93A4A">
              <w:rPr>
                <w:rFonts w:asciiTheme="minorHAnsi" w:hAnsiTheme="minorHAnsi" w:cstheme="minorHAnsi"/>
                <w:szCs w:val="22"/>
                <w:lang w:val="en-GB"/>
              </w:rPr>
              <w:t>Ornai Suco, Laulara; Aileu Municipality</w:t>
            </w:r>
          </w:p>
        </w:tc>
      </w:tr>
      <w:tr w:rsidR="00161F35" w:rsidRPr="00C93A4A" w14:paraId="00B34C88" w14:textId="77777777" w:rsidTr="00161F35">
        <w:tblPrEx>
          <w:shd w:val="clear" w:color="auto" w:fill="auto"/>
        </w:tblPrEx>
        <w:tc>
          <w:tcPr>
            <w:tcW w:w="1320" w:type="pct"/>
            <w:shd w:val="clear" w:color="auto" w:fill="auto"/>
          </w:tcPr>
          <w:p w14:paraId="597A1B8A" w14:textId="37A5B84A" w:rsidR="00161F35" w:rsidRPr="00C93A4A" w:rsidRDefault="00EA43FA" w:rsidP="00161F35">
            <w:pPr>
              <w:rPr>
                <w:rFonts w:asciiTheme="minorHAnsi" w:hAnsiTheme="minorHAnsi" w:cstheme="minorHAnsi"/>
                <w:szCs w:val="22"/>
                <w:lang w:val="en-GB"/>
              </w:rPr>
            </w:pPr>
            <w:r>
              <w:rPr>
                <w:rFonts w:asciiTheme="minorHAnsi" w:hAnsiTheme="minorHAnsi" w:cstheme="minorHAnsi"/>
                <w:szCs w:val="22"/>
                <w:lang w:val="en-GB"/>
              </w:rPr>
              <w:t xml:space="preserve"> Egas Reis</w:t>
            </w:r>
          </w:p>
        </w:tc>
        <w:tc>
          <w:tcPr>
            <w:tcW w:w="3680" w:type="pct"/>
            <w:shd w:val="clear" w:color="auto" w:fill="auto"/>
          </w:tcPr>
          <w:p w14:paraId="3C7F74DE" w14:textId="36787860" w:rsidR="00161F35" w:rsidRPr="00C93A4A" w:rsidRDefault="00161F35" w:rsidP="00EA43FA">
            <w:pPr>
              <w:rPr>
                <w:rFonts w:asciiTheme="minorHAnsi" w:hAnsiTheme="minorHAnsi" w:cstheme="minorHAnsi"/>
                <w:szCs w:val="22"/>
                <w:lang w:val="en-GB"/>
              </w:rPr>
            </w:pPr>
            <w:r w:rsidRPr="00C93A4A">
              <w:rPr>
                <w:rFonts w:asciiTheme="minorHAnsi" w:hAnsiTheme="minorHAnsi" w:cstheme="minorHAnsi"/>
                <w:szCs w:val="22"/>
                <w:lang w:val="en-GB"/>
              </w:rPr>
              <w:t xml:space="preserve">Director, </w:t>
            </w:r>
            <w:r w:rsidR="00EA43FA">
              <w:rPr>
                <w:rFonts w:asciiTheme="minorHAnsi" w:hAnsiTheme="minorHAnsi" w:cstheme="minorHAnsi"/>
                <w:szCs w:val="22"/>
                <w:lang w:val="en-GB"/>
              </w:rPr>
              <w:t xml:space="preserve">Marvermehlo </w:t>
            </w:r>
            <w:r w:rsidRPr="00C93A4A">
              <w:rPr>
                <w:rFonts w:asciiTheme="minorHAnsi" w:hAnsiTheme="minorHAnsi" w:cstheme="minorHAnsi"/>
                <w:szCs w:val="22"/>
                <w:lang w:val="en-GB"/>
              </w:rPr>
              <w:t>Construction</w:t>
            </w:r>
          </w:p>
        </w:tc>
      </w:tr>
    </w:tbl>
    <w:p w14:paraId="509803A1" w14:textId="77777777" w:rsidR="00BA1D74" w:rsidRPr="00C93A4A" w:rsidRDefault="00BA1D74" w:rsidP="00BA1D74">
      <w:pPr>
        <w:spacing w:after="0" w:line="240" w:lineRule="auto"/>
        <w:rPr>
          <w:rFonts w:asciiTheme="minorHAnsi" w:hAnsiTheme="minorHAnsi"/>
          <w:b/>
          <w:bCs/>
          <w:color w:val="676A55" w:themeColor="text2"/>
          <w:sz w:val="24"/>
          <w:szCs w:val="26"/>
          <w:lang w:val="en-GB"/>
        </w:rPr>
      </w:pPr>
      <w:r w:rsidRPr="00C93A4A">
        <w:rPr>
          <w:lang w:val="en-GB"/>
        </w:rPr>
        <w:br w:type="page"/>
      </w:r>
    </w:p>
    <w:p w14:paraId="72D01C7D" w14:textId="77777777" w:rsidR="00BA1D74" w:rsidRPr="00C93A4A" w:rsidRDefault="00BA1D74" w:rsidP="00BA1D74">
      <w:pPr>
        <w:pStyle w:val="Heading1"/>
        <w:numPr>
          <w:ilvl w:val="0"/>
          <w:numId w:val="22"/>
        </w:numPr>
        <w:tabs>
          <w:tab w:val="left" w:pos="993"/>
        </w:tabs>
      </w:pPr>
      <w:bookmarkStart w:id="27" w:name="_Toc424633137"/>
      <w:r w:rsidRPr="00C93A4A">
        <w:lastRenderedPageBreak/>
        <w:t>ICM terms of reference</w:t>
      </w:r>
      <w:bookmarkEnd w:id="27"/>
    </w:p>
    <w:p w14:paraId="34E1E1EB" w14:textId="77777777" w:rsidR="00BA1D74" w:rsidRPr="00C93A4A" w:rsidRDefault="00BA1D74" w:rsidP="00BA1D74">
      <w:pPr>
        <w:spacing w:after="0" w:line="240" w:lineRule="auto"/>
        <w:rPr>
          <w:lang w:val="en-GB"/>
        </w:rPr>
      </w:pPr>
    </w:p>
    <w:p w14:paraId="58A4CD9C" w14:textId="77777777" w:rsidR="00BA1D74" w:rsidRPr="00C93A4A" w:rsidRDefault="00BA1D74" w:rsidP="00BA1D74">
      <w:pPr>
        <w:spacing w:after="0" w:line="240" w:lineRule="auto"/>
        <w:rPr>
          <w:lang w:val="en-GB"/>
        </w:rPr>
      </w:pPr>
    </w:p>
    <w:sectPr w:rsidR="00BA1D74" w:rsidRPr="00C93A4A" w:rsidSect="00F926F8">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1E1DE" w14:textId="77777777" w:rsidR="00F54138" w:rsidRDefault="00F54138">
      <w:r>
        <w:separator/>
      </w:r>
    </w:p>
  </w:endnote>
  <w:endnote w:type="continuationSeparator" w:id="0">
    <w:p w14:paraId="6B38A809" w14:textId="77777777" w:rsidR="00F54138" w:rsidRDefault="00F5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DB654" w14:textId="77777777" w:rsidR="00375FF2" w:rsidRDefault="00375FF2">
    <w:pPr>
      <w:pStyle w:val="Footer"/>
    </w:pPr>
    <w:r w:rsidRPr="00CD52CD">
      <w:rPr>
        <w:color w:val="7F7F7F" w:themeColor="background1" w:themeShade="7F"/>
        <w:spacing w:val="30"/>
        <w:sz w:val="18"/>
        <w:szCs w:val="18"/>
      </w:rPr>
      <w:t>Draft, July 2015</w:t>
    </w:r>
    <w:r w:rsidRPr="00CD52CD">
      <w:rPr>
        <w:color w:val="7F7F7F" w:themeColor="background1" w:themeShade="7F"/>
        <w:spacing w:val="60"/>
        <w:sz w:val="18"/>
        <w:szCs w:val="18"/>
      </w:rPr>
      <w:tab/>
    </w:r>
    <w:r w:rsidRPr="00CD52CD">
      <w:rPr>
        <w:color w:val="7F7F7F" w:themeColor="background1" w:themeShade="7F"/>
        <w:spacing w:val="60"/>
        <w:sz w:val="18"/>
        <w:szCs w:val="18"/>
      </w:rPr>
      <w:tab/>
      <w:t xml:space="preserve">Page | </w:t>
    </w:r>
    <w:r w:rsidRPr="00CD52CD">
      <w:rPr>
        <w:color w:val="7F7F7F" w:themeColor="background1" w:themeShade="7F"/>
        <w:spacing w:val="60"/>
        <w:sz w:val="18"/>
        <w:szCs w:val="18"/>
      </w:rPr>
      <w:fldChar w:fldCharType="begin"/>
    </w:r>
    <w:r w:rsidRPr="00CD52CD">
      <w:rPr>
        <w:color w:val="7F7F7F" w:themeColor="background1" w:themeShade="7F"/>
        <w:spacing w:val="60"/>
        <w:sz w:val="18"/>
        <w:szCs w:val="18"/>
      </w:rPr>
      <w:instrText xml:space="preserve"> PAGE   \* MERGEFORMAT </w:instrText>
    </w:r>
    <w:r w:rsidRPr="00CD52CD">
      <w:rPr>
        <w:color w:val="7F7F7F" w:themeColor="background1" w:themeShade="7F"/>
        <w:spacing w:val="60"/>
        <w:sz w:val="18"/>
        <w:szCs w:val="18"/>
      </w:rPr>
      <w:fldChar w:fldCharType="separate"/>
    </w:r>
    <w:r w:rsidR="004B7DDA">
      <w:rPr>
        <w:noProof/>
        <w:color w:val="7F7F7F" w:themeColor="background1" w:themeShade="7F"/>
        <w:spacing w:val="60"/>
        <w:sz w:val="18"/>
        <w:szCs w:val="18"/>
      </w:rPr>
      <w:t>ii</w:t>
    </w:r>
    <w:r w:rsidRPr="00CD52CD">
      <w:rPr>
        <w:color w:val="7F7F7F" w:themeColor="background1" w:themeShade="7F"/>
        <w:spacing w:val="6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D39F" w14:textId="77777777" w:rsidR="00375FF2" w:rsidRDefault="00375FF2">
    <w:pPr>
      <w:pStyle w:val="Footer"/>
    </w:pPr>
    <w:r w:rsidRPr="00CD52CD">
      <w:rPr>
        <w:color w:val="7F7F7F" w:themeColor="background1" w:themeShade="7F"/>
        <w:spacing w:val="30"/>
        <w:sz w:val="18"/>
        <w:szCs w:val="18"/>
      </w:rPr>
      <w:t>Draft, July 2015</w:t>
    </w:r>
    <w:r w:rsidRPr="00CD52CD">
      <w:rPr>
        <w:color w:val="7F7F7F" w:themeColor="background1" w:themeShade="7F"/>
        <w:spacing w:val="60"/>
        <w:sz w:val="18"/>
        <w:szCs w:val="18"/>
      </w:rPr>
      <w:tab/>
    </w:r>
    <w:r w:rsidRPr="00CD52CD">
      <w:rPr>
        <w:color w:val="7F7F7F" w:themeColor="background1" w:themeShade="7F"/>
        <w:spacing w:val="60"/>
        <w:sz w:val="18"/>
        <w:szCs w:val="18"/>
      </w:rPr>
      <w:tab/>
      <w:t xml:space="preserve">Page | </w:t>
    </w:r>
    <w:r w:rsidRPr="00CD52CD">
      <w:rPr>
        <w:color w:val="7F7F7F" w:themeColor="background1" w:themeShade="7F"/>
        <w:spacing w:val="60"/>
        <w:sz w:val="18"/>
        <w:szCs w:val="18"/>
      </w:rPr>
      <w:fldChar w:fldCharType="begin"/>
    </w:r>
    <w:r w:rsidRPr="00CD52CD">
      <w:rPr>
        <w:color w:val="7F7F7F" w:themeColor="background1" w:themeShade="7F"/>
        <w:spacing w:val="60"/>
        <w:sz w:val="18"/>
        <w:szCs w:val="18"/>
      </w:rPr>
      <w:instrText xml:space="preserve"> PAGE   \* MERGEFORMAT </w:instrText>
    </w:r>
    <w:r w:rsidRPr="00CD52CD">
      <w:rPr>
        <w:color w:val="7F7F7F" w:themeColor="background1" w:themeShade="7F"/>
        <w:spacing w:val="60"/>
        <w:sz w:val="18"/>
        <w:szCs w:val="18"/>
      </w:rPr>
      <w:fldChar w:fldCharType="separate"/>
    </w:r>
    <w:r w:rsidR="004B7DDA">
      <w:rPr>
        <w:noProof/>
        <w:color w:val="7F7F7F" w:themeColor="background1" w:themeShade="7F"/>
        <w:spacing w:val="60"/>
        <w:sz w:val="18"/>
        <w:szCs w:val="18"/>
      </w:rPr>
      <w:t>28</w:t>
    </w:r>
    <w:r w:rsidRPr="00CD52CD">
      <w:rPr>
        <w:color w:val="7F7F7F" w:themeColor="background1" w:themeShade="7F"/>
        <w:spacing w:val="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AB861" w14:textId="77777777" w:rsidR="00F54138" w:rsidRDefault="00F54138">
      <w:r>
        <w:separator/>
      </w:r>
    </w:p>
  </w:footnote>
  <w:footnote w:type="continuationSeparator" w:id="0">
    <w:p w14:paraId="6D5CBF5C" w14:textId="77777777" w:rsidR="00F54138" w:rsidRDefault="00F54138">
      <w:r>
        <w:continuationSeparator/>
      </w:r>
    </w:p>
  </w:footnote>
  <w:footnote w:id="1">
    <w:p w14:paraId="2ED29B26" w14:textId="77777777" w:rsidR="00375FF2" w:rsidRPr="007A555A" w:rsidRDefault="00375FF2">
      <w:pPr>
        <w:pStyle w:val="FootnoteText"/>
        <w:rPr>
          <w:sz w:val="18"/>
          <w:szCs w:val="18"/>
        </w:rPr>
      </w:pPr>
      <w:r w:rsidRPr="007A555A">
        <w:rPr>
          <w:rStyle w:val="FootnoteReference"/>
          <w:sz w:val="18"/>
          <w:szCs w:val="18"/>
        </w:rPr>
        <w:footnoteRef/>
      </w:r>
      <w:r w:rsidRPr="007A555A">
        <w:rPr>
          <w:sz w:val="18"/>
          <w:szCs w:val="18"/>
        </w:rPr>
        <w:t xml:space="preserve"> AusAID/ILO, 2011, Roads for Development Project Document</w:t>
      </w:r>
    </w:p>
  </w:footnote>
  <w:footnote w:id="2">
    <w:p w14:paraId="1297486C" w14:textId="2AB4C628" w:rsidR="00375FF2" w:rsidRPr="007A555A" w:rsidRDefault="00375FF2">
      <w:pPr>
        <w:pStyle w:val="FootnoteText"/>
        <w:rPr>
          <w:sz w:val="18"/>
          <w:szCs w:val="18"/>
          <w:lang w:val="en-PH"/>
        </w:rPr>
      </w:pPr>
      <w:r w:rsidRPr="007A555A">
        <w:rPr>
          <w:rStyle w:val="FootnoteReference"/>
          <w:sz w:val="18"/>
          <w:szCs w:val="18"/>
        </w:rPr>
        <w:footnoteRef/>
      </w:r>
      <w:r w:rsidRPr="007A555A">
        <w:rPr>
          <w:sz w:val="18"/>
          <w:szCs w:val="18"/>
        </w:rPr>
        <w:t xml:space="preserve"> </w:t>
      </w:r>
      <w:r w:rsidRPr="007A555A">
        <w:rPr>
          <w:sz w:val="18"/>
          <w:szCs w:val="18"/>
          <w:lang w:val="en-PH"/>
        </w:rPr>
        <w:t>Hettige,</w:t>
      </w:r>
      <w:r>
        <w:rPr>
          <w:sz w:val="18"/>
          <w:szCs w:val="18"/>
          <w:lang w:val="en-PH"/>
        </w:rPr>
        <w:t xml:space="preserve"> H</w:t>
      </w:r>
      <w:r w:rsidRPr="007A555A">
        <w:rPr>
          <w:sz w:val="18"/>
          <w:szCs w:val="18"/>
          <w:lang w:val="en-PH"/>
        </w:rPr>
        <w:t xml:space="preserve"> 2006</w:t>
      </w:r>
      <w:r>
        <w:rPr>
          <w:sz w:val="18"/>
          <w:szCs w:val="18"/>
          <w:lang w:val="en-PH"/>
        </w:rPr>
        <w:t xml:space="preserve">. </w:t>
      </w:r>
      <w:r w:rsidRPr="007A555A">
        <w:rPr>
          <w:sz w:val="18"/>
          <w:szCs w:val="18"/>
          <w:lang w:val="en-PH"/>
        </w:rPr>
        <w:t>When Do Rural Roads Benefit the Poor and How? An In-depth Analysis Based on Case Studies.</w:t>
      </w:r>
      <w:r>
        <w:rPr>
          <w:sz w:val="18"/>
          <w:szCs w:val="18"/>
          <w:lang w:val="en-PH"/>
        </w:rPr>
        <w:t xml:space="preserve"> Asian Development Bank. </w:t>
      </w:r>
      <w:r w:rsidRPr="007A555A">
        <w:rPr>
          <w:sz w:val="18"/>
          <w:szCs w:val="18"/>
          <w:lang w:val="en-PH"/>
        </w:rPr>
        <w:t>Pankaj,</w:t>
      </w:r>
      <w:r>
        <w:rPr>
          <w:sz w:val="18"/>
          <w:szCs w:val="18"/>
          <w:lang w:val="en-PH"/>
        </w:rPr>
        <w:t xml:space="preserve"> T 2000. </w:t>
      </w:r>
      <w:r w:rsidRPr="007A555A">
        <w:rPr>
          <w:sz w:val="18"/>
          <w:szCs w:val="18"/>
          <w:lang w:val="en-PH"/>
        </w:rPr>
        <w:t>Framework for Quantifying Social and Economic Benefits from Rural Road Development: Some Thoughts and Practical Insights.</w:t>
      </w:r>
      <w:r>
        <w:rPr>
          <w:sz w:val="18"/>
          <w:szCs w:val="18"/>
          <w:lang w:val="en-PH"/>
        </w:rPr>
        <w:t xml:space="preserve"> </w:t>
      </w:r>
      <w:r w:rsidRPr="007A555A">
        <w:rPr>
          <w:sz w:val="18"/>
          <w:szCs w:val="18"/>
          <w:lang w:val="en-PH"/>
        </w:rPr>
        <w:t>World Bank</w:t>
      </w:r>
    </w:p>
  </w:footnote>
  <w:footnote w:id="3">
    <w:p w14:paraId="50C21F9D" w14:textId="77777777" w:rsidR="00375FF2" w:rsidRPr="00FB6FA6" w:rsidRDefault="00375FF2">
      <w:pPr>
        <w:pStyle w:val="FootnoteText"/>
        <w:rPr>
          <w:sz w:val="18"/>
          <w:szCs w:val="18"/>
        </w:rPr>
      </w:pPr>
      <w:r w:rsidRPr="00FB6FA6">
        <w:rPr>
          <w:rStyle w:val="FootnoteReference"/>
          <w:sz w:val="18"/>
          <w:szCs w:val="18"/>
        </w:rPr>
        <w:footnoteRef/>
      </w:r>
      <w:r w:rsidRPr="00FB6FA6">
        <w:rPr>
          <w:sz w:val="18"/>
          <w:szCs w:val="18"/>
        </w:rPr>
        <w:t xml:space="preserve"> Roads for Development</w:t>
      </w:r>
      <w:r>
        <w:rPr>
          <w:sz w:val="18"/>
          <w:szCs w:val="18"/>
        </w:rPr>
        <w:t xml:space="preserve"> (R4D)</w:t>
      </w:r>
      <w:r w:rsidRPr="00FB6FA6">
        <w:rPr>
          <w:sz w:val="18"/>
          <w:szCs w:val="18"/>
        </w:rPr>
        <w:t xml:space="preserve"> Mid-term Evaluation Report, October 2014, p 21. </w:t>
      </w:r>
    </w:p>
  </w:footnote>
  <w:footnote w:id="4">
    <w:p w14:paraId="4243B5B5" w14:textId="77777777" w:rsidR="00375FF2" w:rsidRPr="00816D1D" w:rsidRDefault="00375FF2">
      <w:pPr>
        <w:pStyle w:val="FootnoteText"/>
        <w:rPr>
          <w:sz w:val="18"/>
        </w:rPr>
      </w:pPr>
      <w:r w:rsidRPr="00816D1D">
        <w:rPr>
          <w:rStyle w:val="FootnoteReference"/>
          <w:sz w:val="18"/>
        </w:rPr>
        <w:footnoteRef/>
      </w:r>
      <w:r w:rsidRPr="00816D1D">
        <w:rPr>
          <w:sz w:val="18"/>
        </w:rPr>
        <w:t xml:space="preserve"> AusAID/ILO, Concept Note May 2011 – Roads for Development</w:t>
      </w:r>
    </w:p>
  </w:footnote>
  <w:footnote w:id="5">
    <w:p w14:paraId="3A9EBB45" w14:textId="05E270FD" w:rsidR="00375FF2" w:rsidRPr="00816D1D" w:rsidRDefault="00375FF2">
      <w:pPr>
        <w:pStyle w:val="FootnoteText"/>
        <w:rPr>
          <w:sz w:val="18"/>
        </w:rPr>
      </w:pPr>
      <w:r w:rsidRPr="00816D1D">
        <w:rPr>
          <w:rStyle w:val="FootnoteReference"/>
          <w:sz w:val="18"/>
        </w:rPr>
        <w:footnoteRef/>
      </w:r>
      <w:r w:rsidRPr="00816D1D">
        <w:rPr>
          <w:sz w:val="18"/>
        </w:rPr>
        <w:t xml:space="preserve"> </w:t>
      </w:r>
      <w:r>
        <w:rPr>
          <w:sz w:val="18"/>
        </w:rPr>
        <w:t>ADB is understood to be considering a rural roads project that may commence in 2017. T</w:t>
      </w:r>
      <w:r w:rsidRPr="00816D1D">
        <w:rPr>
          <w:sz w:val="18"/>
        </w:rPr>
        <w:t xml:space="preserve">he European Union’s Enhancing Rural Access program complements R4D </w:t>
      </w:r>
      <w:r>
        <w:rPr>
          <w:sz w:val="18"/>
        </w:rPr>
        <w:t xml:space="preserve">by building private sector capacity </w:t>
      </w:r>
      <w:r w:rsidRPr="00816D1D">
        <w:rPr>
          <w:sz w:val="18"/>
        </w:rPr>
        <w:t xml:space="preserve">but does not work </w:t>
      </w:r>
      <w:r>
        <w:rPr>
          <w:sz w:val="18"/>
        </w:rPr>
        <w:t>through</w:t>
      </w:r>
      <w:r w:rsidRPr="00816D1D">
        <w:rPr>
          <w:sz w:val="18"/>
        </w:rPr>
        <w:t xml:space="preserve"> MPW and </w:t>
      </w:r>
      <w:r>
        <w:rPr>
          <w:sz w:val="18"/>
        </w:rPr>
        <w:t xml:space="preserve">therefore </w:t>
      </w:r>
      <w:r w:rsidRPr="00816D1D">
        <w:rPr>
          <w:sz w:val="18"/>
        </w:rPr>
        <w:t>is not an alternative delivery mechanism</w:t>
      </w:r>
      <w:r>
        <w:rPr>
          <w:sz w:val="18"/>
        </w:rPr>
        <w:t xml:space="preserve"> for GoA support</w:t>
      </w:r>
      <w:r w:rsidRPr="00816D1D">
        <w:rPr>
          <w:sz w:val="18"/>
        </w:rPr>
        <w:t xml:space="preserve">. </w:t>
      </w:r>
    </w:p>
  </w:footnote>
  <w:footnote w:id="6">
    <w:p w14:paraId="302094B0" w14:textId="48D6F124" w:rsidR="00375FF2" w:rsidRPr="00506671" w:rsidRDefault="00375FF2">
      <w:pPr>
        <w:pStyle w:val="FootnoteText"/>
        <w:rPr>
          <w:sz w:val="18"/>
        </w:rPr>
      </w:pPr>
      <w:r w:rsidRPr="00506671">
        <w:rPr>
          <w:rStyle w:val="FootnoteReference"/>
          <w:sz w:val="18"/>
        </w:rPr>
        <w:footnoteRef/>
      </w:r>
      <w:r w:rsidRPr="00506671">
        <w:rPr>
          <w:sz w:val="18"/>
        </w:rPr>
        <w:t xml:space="preserve"> Personal communication, Peter Kelly, </w:t>
      </w:r>
      <w:r w:rsidRPr="00506671">
        <w:rPr>
          <w:rFonts w:ascii="Calibri" w:eastAsiaTheme="minorHAnsi" w:hAnsi="Calibri" w:cs="Calibri"/>
          <w:sz w:val="18"/>
          <w:szCs w:val="22"/>
        </w:rPr>
        <w:t>Direct</w:t>
      </w:r>
      <w:r w:rsidRPr="00506671">
        <w:rPr>
          <w:rFonts w:ascii="Calibri" w:eastAsiaTheme="minorHAnsi" w:hAnsi="Calibri" w:cs="Calibri"/>
          <w:sz w:val="18"/>
          <w:szCs w:val="18"/>
        </w:rPr>
        <w:t xml:space="preserve">or Pacific Infrastructure Advice, DFAT. </w:t>
      </w:r>
      <w:r w:rsidRPr="00506671">
        <w:rPr>
          <w:sz w:val="18"/>
          <w:szCs w:val="18"/>
          <w:lang w:val="en-GB"/>
        </w:rPr>
        <w:t xml:space="preserve">This was not </w:t>
      </w:r>
      <w:r>
        <w:rPr>
          <w:sz w:val="18"/>
          <w:szCs w:val="18"/>
          <w:lang w:val="en-GB"/>
        </w:rPr>
        <w:t>raised</w:t>
      </w:r>
      <w:r w:rsidRPr="00506671">
        <w:rPr>
          <w:sz w:val="18"/>
          <w:szCs w:val="18"/>
          <w:lang w:val="en-GB"/>
        </w:rPr>
        <w:t xml:space="preserve"> during the ICM </w:t>
      </w:r>
      <w:r>
        <w:rPr>
          <w:sz w:val="18"/>
          <w:szCs w:val="18"/>
          <w:lang w:val="en-GB"/>
        </w:rPr>
        <w:t xml:space="preserve">meeting with ADB </w:t>
      </w:r>
      <w:r w:rsidRPr="00506671">
        <w:rPr>
          <w:sz w:val="18"/>
          <w:szCs w:val="18"/>
          <w:lang w:val="en-GB"/>
        </w:rPr>
        <w:t xml:space="preserve">and </w:t>
      </w:r>
      <w:r>
        <w:rPr>
          <w:sz w:val="18"/>
          <w:szCs w:val="18"/>
          <w:lang w:val="en-GB"/>
        </w:rPr>
        <w:t xml:space="preserve">is a topic for </w:t>
      </w:r>
      <w:r w:rsidRPr="00506671">
        <w:rPr>
          <w:sz w:val="18"/>
          <w:szCs w:val="18"/>
          <w:lang w:val="en-GB"/>
        </w:rPr>
        <w:t>follow up by DFAT.</w:t>
      </w:r>
    </w:p>
  </w:footnote>
  <w:footnote w:id="7">
    <w:p w14:paraId="768309B9" w14:textId="77777777" w:rsidR="00375FF2" w:rsidRPr="003336E6" w:rsidRDefault="00375FF2" w:rsidP="00BA1D74">
      <w:pPr>
        <w:pStyle w:val="FootnoteText"/>
        <w:rPr>
          <w:szCs w:val="16"/>
        </w:rPr>
      </w:pPr>
      <w:r w:rsidRPr="009C6F0A">
        <w:rPr>
          <w:rStyle w:val="FootnoteReference"/>
          <w:rFonts w:ascii="Franklin Gothic Book" w:hAnsi="Franklin Gothic Book" w:cs="Arial"/>
        </w:rPr>
        <w:footnoteRef/>
      </w:r>
      <w:r w:rsidRPr="003336E6">
        <w:rPr>
          <w:szCs w:val="16"/>
        </w:rPr>
        <w:t xml:space="preserve"> Answers to these questions will need to be logged in AidWorks under the policy marker questions</w:t>
      </w:r>
      <w:r>
        <w:rPr>
          <w:szCs w:val="16"/>
        </w:rPr>
        <w:t xml:space="preserve">. </w:t>
      </w:r>
    </w:p>
  </w:footnote>
  <w:footnote w:id="8">
    <w:p w14:paraId="1C18FF3C" w14:textId="77777777" w:rsidR="00375FF2" w:rsidRDefault="00375FF2" w:rsidP="00BA1D74">
      <w:pPr>
        <w:pStyle w:val="FootnoteText"/>
      </w:pPr>
      <w:r w:rsidRPr="009C6F0A">
        <w:rPr>
          <w:rStyle w:val="FootnoteReference"/>
          <w:rFonts w:ascii="Franklin Gothic Book" w:hAnsi="Franklin Gothic Book" w:cs="Arial"/>
        </w:rPr>
        <w:footnoteRef/>
      </w:r>
      <w:r w:rsidRPr="009C6F0A">
        <w:rPr>
          <w:rStyle w:val="FootnoteReference"/>
          <w:rFonts w:ascii="Franklin Gothic Book" w:hAnsi="Franklin Gothic Book" w:cs="Arial"/>
        </w:rPr>
        <w:t xml:space="preserve"> </w:t>
      </w:r>
      <w:r>
        <w:rPr>
          <w:szCs w:val="16"/>
        </w:rPr>
        <w:t xml:space="preserve">The Child Protection risk assessment guidance can be found </w:t>
      </w:r>
      <w:hyperlink r:id="rId1" w:history="1">
        <w:r w:rsidRPr="004D073F">
          <w:rPr>
            <w:rStyle w:val="Hyperlink"/>
            <w:sz w:val="16"/>
            <w:szCs w:val="16"/>
          </w:rPr>
          <w:t>here</w:t>
        </w:r>
      </w:hyperlink>
      <w:r>
        <w:rPr>
          <w:rStyle w:val="Hyperlink"/>
          <w:sz w:val="16"/>
          <w:szCs w:val="16"/>
        </w:rPr>
        <w:t>.</w:t>
      </w:r>
    </w:p>
  </w:footnote>
  <w:footnote w:id="9">
    <w:p w14:paraId="0604728C" w14:textId="77777777" w:rsidR="00375FF2" w:rsidRDefault="00375FF2" w:rsidP="00BA1D74">
      <w:pPr>
        <w:pStyle w:val="FootnoteText"/>
      </w:pPr>
      <w:r>
        <w:rPr>
          <w:rStyle w:val="FootnoteReference"/>
        </w:rPr>
        <w:footnoteRef/>
      </w:r>
      <w:r>
        <w:t xml:space="preserve"> No new roads are being constructed and hence all civil work is occurring on land already allocated to roads. Some short-term interruption to access on small parcels of land may occur during civil works associated with road rehabilitation.</w:t>
      </w:r>
    </w:p>
  </w:footnote>
  <w:footnote w:id="10">
    <w:p w14:paraId="00E23439" w14:textId="77777777" w:rsidR="00375FF2" w:rsidRDefault="00375FF2" w:rsidP="00475E9F">
      <w:pPr>
        <w:pStyle w:val="FootnoteText"/>
      </w:pPr>
      <w:r>
        <w:rPr>
          <w:rStyle w:val="FootnoteReference"/>
        </w:rPr>
        <w:footnoteRef/>
      </w:r>
      <w:r>
        <w:t xml:space="preserve"> E.g. “</w:t>
      </w:r>
      <w:r w:rsidRPr="00DC22FC">
        <w:rPr>
          <w:i/>
        </w:rPr>
        <w:t>through informal and formal i</w:t>
      </w:r>
      <w:r>
        <w:rPr>
          <w:i/>
        </w:rPr>
        <w:t>nformation exchange mechanisms,</w:t>
      </w:r>
      <w:r w:rsidRPr="00DC22FC">
        <w:rPr>
          <w:i/>
        </w:rPr>
        <w:t xml:space="preserve"> meetings, data available in MPW information (management) systems</w:t>
      </w:r>
      <w:r>
        <w:t>”.</w:t>
      </w:r>
    </w:p>
  </w:footnote>
  <w:footnote w:id="11">
    <w:p w14:paraId="00FA1034" w14:textId="77777777" w:rsidR="00375FF2" w:rsidRDefault="00375FF2" w:rsidP="00475E9F">
      <w:pPr>
        <w:pStyle w:val="FootnoteText"/>
      </w:pPr>
      <w:r>
        <w:rPr>
          <w:rStyle w:val="FootnoteReference"/>
        </w:rPr>
        <w:footnoteRef/>
      </w:r>
      <w:r>
        <w:t xml:space="preserve"> Three indicators aligned with Outcome 1; one with Outcome 2; three with Outcome 3.</w:t>
      </w:r>
    </w:p>
  </w:footnote>
  <w:footnote w:id="12">
    <w:p w14:paraId="4F1886AE" w14:textId="77777777" w:rsidR="00375FF2" w:rsidRPr="006E0F82" w:rsidRDefault="00375FF2" w:rsidP="00161F35">
      <w:pPr>
        <w:pStyle w:val="FootnoteText"/>
        <w:rPr>
          <w:sz w:val="18"/>
          <w:szCs w:val="18"/>
        </w:rPr>
      </w:pPr>
      <w:r w:rsidRPr="006E0F82">
        <w:rPr>
          <w:rStyle w:val="FootnoteReference"/>
          <w:sz w:val="18"/>
          <w:szCs w:val="18"/>
        </w:rPr>
        <w:footnoteRef/>
      </w:r>
      <w:r w:rsidRPr="006E0F82">
        <w:rPr>
          <w:sz w:val="18"/>
          <w:szCs w:val="18"/>
        </w:rPr>
        <w:t xml:space="preserve"> Personal communication, DFAT Contracts Branch, 7 July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28FF" w14:textId="77777777" w:rsidR="00375FF2" w:rsidRDefault="00375FF2" w:rsidP="00302BDD">
    <w:pPr>
      <w:pStyle w:val="Header"/>
      <w:jc w:val="right"/>
    </w:pPr>
    <w:r>
      <w:rPr>
        <w:sz w:val="18"/>
        <w:szCs w:val="18"/>
      </w:rPr>
      <w:t xml:space="preserve">R4D Phase 2 </w:t>
    </w:r>
    <w:r w:rsidRPr="00F17F5C">
      <w:rPr>
        <w:sz w:val="18"/>
        <w:szCs w:val="18"/>
      </w:rPr>
      <w:t xml:space="preserve">Investment Concept </w:t>
    </w:r>
    <w:r>
      <w:rPr>
        <w:sz w:val="18"/>
        <w:szCs w:val="18"/>
      </w:rPr>
      <w:t>Note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2F73" w14:textId="77777777" w:rsidR="00375FF2" w:rsidRDefault="00375FF2" w:rsidP="00302BDD">
    <w:pPr>
      <w:pStyle w:val="Header"/>
      <w:jc w:val="right"/>
    </w:pPr>
    <w:r>
      <w:rPr>
        <w:sz w:val="18"/>
        <w:szCs w:val="18"/>
      </w:rPr>
      <w:t xml:space="preserve">R4D Phase 2 </w:t>
    </w:r>
    <w:r w:rsidRPr="00F17F5C">
      <w:rPr>
        <w:sz w:val="18"/>
        <w:szCs w:val="18"/>
      </w:rPr>
      <w:t xml:space="preserve">Investment Concept </w:t>
    </w:r>
    <w:r>
      <w:rPr>
        <w:sz w:val="18"/>
        <w:szCs w:val="18"/>
      </w:rPr>
      <w:t>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376F"/>
    <w:multiLevelType w:val="hybridMultilevel"/>
    <w:tmpl w:val="D1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22E41"/>
    <w:multiLevelType w:val="hybridMultilevel"/>
    <w:tmpl w:val="7FDC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57BCC"/>
    <w:multiLevelType w:val="hybridMultilevel"/>
    <w:tmpl w:val="967E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739B5"/>
    <w:multiLevelType w:val="hybridMultilevel"/>
    <w:tmpl w:val="CBB8103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04F5DFA"/>
    <w:multiLevelType w:val="hybridMultilevel"/>
    <w:tmpl w:val="1DD6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43811"/>
    <w:multiLevelType w:val="hybridMultilevel"/>
    <w:tmpl w:val="5136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9E10A2"/>
    <w:multiLevelType w:val="singleLevel"/>
    <w:tmpl w:val="9E92DC8E"/>
    <w:lvl w:ilvl="0">
      <w:start w:val="1"/>
      <w:numFmt w:val="bullet"/>
      <w:pStyle w:val="Caption"/>
      <w:lvlText w:val=""/>
      <w:lvlJc w:val="left"/>
      <w:pPr>
        <w:tabs>
          <w:tab w:val="num" w:pos="397"/>
        </w:tabs>
        <w:ind w:left="397" w:hanging="397"/>
      </w:pPr>
      <w:rPr>
        <w:rFonts w:ascii="Wingdings" w:hAnsi="Wingdings" w:hint="default"/>
        <w:sz w:val="12"/>
      </w:rPr>
    </w:lvl>
  </w:abstractNum>
  <w:abstractNum w:abstractNumId="9" w15:restartNumberingAfterBreak="0">
    <w:nsid w:val="208709E8"/>
    <w:multiLevelType w:val="hybridMultilevel"/>
    <w:tmpl w:val="5010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4470C"/>
    <w:multiLevelType w:val="hybridMultilevel"/>
    <w:tmpl w:val="0EF05DD0"/>
    <w:lvl w:ilvl="0" w:tplc="D3B2090E">
      <w:start w:val="1"/>
      <w:numFmt w:val="decimal"/>
      <w:lvlText w:val="%1."/>
      <w:lvlJc w:val="left"/>
      <w:pPr>
        <w:tabs>
          <w:tab w:val="num" w:pos="737"/>
        </w:tabs>
        <w:ind w:left="0" w:firstLine="0"/>
      </w:pPr>
      <w:rPr>
        <w:rFonts w:ascii="Times New Roman" w:hAnsi="Times New Roman" w:hint="default"/>
        <w:b w:val="0"/>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6369BC"/>
    <w:multiLevelType w:val="hybridMultilevel"/>
    <w:tmpl w:val="5CA24288"/>
    <w:lvl w:ilvl="0" w:tplc="5886630E">
      <w:start w:val="1"/>
      <w:numFmt w:val="decimal"/>
      <w:lvlText w:val="Anne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264A5A"/>
    <w:multiLevelType w:val="hybridMultilevel"/>
    <w:tmpl w:val="D466F466"/>
    <w:lvl w:ilvl="0" w:tplc="0C090001">
      <w:start w:val="1"/>
      <w:numFmt w:val="bullet"/>
      <w:pStyle w:val="List-bullet-1"/>
      <w:lvlText w:val=""/>
      <w:lvlJc w:val="left"/>
      <w:pPr>
        <w:tabs>
          <w:tab w:val="num" w:pos="720"/>
        </w:tabs>
        <w:ind w:left="720" w:hanging="363"/>
      </w:pPr>
      <w:rPr>
        <w:rFonts w:ascii="Symbol" w:hAnsi="Symbol" w:hint="default"/>
        <w:color w:val="auto"/>
        <w:sz w:val="20"/>
      </w:rPr>
    </w:lvl>
    <w:lvl w:ilvl="1" w:tplc="0C090003">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FBD11B4"/>
    <w:multiLevelType w:val="multilevel"/>
    <w:tmpl w:val="B9B0373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FF91118"/>
    <w:multiLevelType w:val="hybridMultilevel"/>
    <w:tmpl w:val="0020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A4450"/>
    <w:multiLevelType w:val="hybridMultilevel"/>
    <w:tmpl w:val="FA4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6764F"/>
    <w:multiLevelType w:val="hybridMultilevel"/>
    <w:tmpl w:val="59B847E4"/>
    <w:lvl w:ilvl="0" w:tplc="0C0C7E8A">
      <w:start w:val="1"/>
      <w:numFmt w:val="decimal"/>
      <w:pStyle w:val="BodyText"/>
      <w:lvlText w:val="%1."/>
      <w:lvlJc w:val="left"/>
      <w:pPr>
        <w:tabs>
          <w:tab w:val="num" w:pos="567"/>
        </w:tabs>
        <w:ind w:left="567" w:hanging="567"/>
      </w:pPr>
      <w:rPr>
        <w:rFonts w:cs="Times New Roman" w:hint="default"/>
      </w:rPr>
    </w:lvl>
    <w:lvl w:ilvl="1" w:tplc="03A05D7C">
      <w:start w:val="1"/>
      <w:numFmt w:val="bullet"/>
      <w:lvlText w:val=""/>
      <w:lvlJc w:val="left"/>
      <w:pPr>
        <w:tabs>
          <w:tab w:val="num" w:pos="1440"/>
        </w:tabs>
        <w:ind w:left="1440" w:hanging="360"/>
      </w:pPr>
      <w:rPr>
        <w:rFonts w:ascii="Symbol" w:hAnsi="Symbol" w:hint="default"/>
      </w:rPr>
    </w:lvl>
    <w:lvl w:ilvl="2" w:tplc="E2ACA554">
      <w:start w:val="1"/>
      <w:numFmt w:val="lowerLetter"/>
      <w:lvlText w:val="%3."/>
      <w:lvlJc w:val="left"/>
      <w:pPr>
        <w:tabs>
          <w:tab w:val="num" w:pos="2160"/>
        </w:tabs>
        <w:ind w:left="2160" w:hanging="180"/>
      </w:pPr>
    </w:lvl>
    <w:lvl w:ilvl="3" w:tplc="0B4E2EB4" w:tentative="1">
      <w:start w:val="1"/>
      <w:numFmt w:val="decimal"/>
      <w:lvlText w:val="%4."/>
      <w:lvlJc w:val="left"/>
      <w:pPr>
        <w:tabs>
          <w:tab w:val="num" w:pos="2880"/>
        </w:tabs>
        <w:ind w:left="2880" w:hanging="360"/>
      </w:pPr>
      <w:rPr>
        <w:rFonts w:cs="Times New Roman"/>
      </w:rPr>
    </w:lvl>
    <w:lvl w:ilvl="4" w:tplc="2BDCF4F8" w:tentative="1">
      <w:start w:val="1"/>
      <w:numFmt w:val="lowerLetter"/>
      <w:lvlText w:val="%5."/>
      <w:lvlJc w:val="left"/>
      <w:pPr>
        <w:tabs>
          <w:tab w:val="num" w:pos="3600"/>
        </w:tabs>
        <w:ind w:left="3600" w:hanging="360"/>
      </w:pPr>
      <w:rPr>
        <w:rFonts w:cs="Times New Roman"/>
      </w:rPr>
    </w:lvl>
    <w:lvl w:ilvl="5" w:tplc="84A4240A" w:tentative="1">
      <w:start w:val="1"/>
      <w:numFmt w:val="lowerRoman"/>
      <w:lvlText w:val="%6."/>
      <w:lvlJc w:val="right"/>
      <w:pPr>
        <w:tabs>
          <w:tab w:val="num" w:pos="4320"/>
        </w:tabs>
        <w:ind w:left="4320" w:hanging="180"/>
      </w:pPr>
      <w:rPr>
        <w:rFonts w:cs="Times New Roman"/>
      </w:rPr>
    </w:lvl>
    <w:lvl w:ilvl="6" w:tplc="1444B9CE" w:tentative="1">
      <w:start w:val="1"/>
      <w:numFmt w:val="decimal"/>
      <w:lvlText w:val="%7."/>
      <w:lvlJc w:val="left"/>
      <w:pPr>
        <w:tabs>
          <w:tab w:val="num" w:pos="5040"/>
        </w:tabs>
        <w:ind w:left="5040" w:hanging="360"/>
      </w:pPr>
      <w:rPr>
        <w:rFonts w:cs="Times New Roman"/>
      </w:rPr>
    </w:lvl>
    <w:lvl w:ilvl="7" w:tplc="A28C4150" w:tentative="1">
      <w:start w:val="1"/>
      <w:numFmt w:val="lowerLetter"/>
      <w:lvlText w:val="%8."/>
      <w:lvlJc w:val="left"/>
      <w:pPr>
        <w:tabs>
          <w:tab w:val="num" w:pos="5760"/>
        </w:tabs>
        <w:ind w:left="5760" w:hanging="360"/>
      </w:pPr>
      <w:rPr>
        <w:rFonts w:cs="Times New Roman"/>
      </w:rPr>
    </w:lvl>
    <w:lvl w:ilvl="8" w:tplc="0BB8DCF0"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E62D1A"/>
    <w:multiLevelType w:val="hybridMultilevel"/>
    <w:tmpl w:val="176A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614B3"/>
    <w:multiLevelType w:val="hybridMultilevel"/>
    <w:tmpl w:val="B3CC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092B"/>
    <w:multiLevelType w:val="hybridMultilevel"/>
    <w:tmpl w:val="C3DC40FE"/>
    <w:lvl w:ilvl="0" w:tplc="34090015">
      <w:start w:val="3"/>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0686DAB"/>
    <w:multiLevelType w:val="hybridMultilevel"/>
    <w:tmpl w:val="0E40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70414"/>
    <w:multiLevelType w:val="hybridMultilevel"/>
    <w:tmpl w:val="4650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56B3AAE"/>
    <w:multiLevelType w:val="hybridMultilevel"/>
    <w:tmpl w:val="8D1CDFD8"/>
    <w:lvl w:ilvl="0" w:tplc="010435B4">
      <w:start w:val="1"/>
      <w:numFmt w:val="upperLetter"/>
      <w:pStyle w:val="Heading1"/>
      <w:lvlText w:val="%1."/>
      <w:lvlJc w:val="left"/>
      <w:pPr>
        <w:ind w:left="360" w:hanging="360"/>
      </w:pPr>
      <w:rPr>
        <w:rFonts w:cs="Times New Roman" w:hint="default"/>
      </w:rPr>
    </w:lvl>
    <w:lvl w:ilvl="1" w:tplc="04090017" w:tentative="1">
      <w:start w:val="1"/>
      <w:numFmt w:val="lowerLetter"/>
      <w:lvlText w:val="%2."/>
      <w:lvlJc w:val="left"/>
      <w:pPr>
        <w:ind w:left="1080" w:hanging="360"/>
      </w:pPr>
      <w:rPr>
        <w:rFonts w:cs="Times New Roman"/>
      </w:rPr>
    </w:lvl>
    <w:lvl w:ilvl="2" w:tplc="E392FB56"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772688D"/>
    <w:multiLevelType w:val="hybridMultilevel"/>
    <w:tmpl w:val="5388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B0ABC"/>
    <w:multiLevelType w:val="hybridMultilevel"/>
    <w:tmpl w:val="D0B2C682"/>
    <w:lvl w:ilvl="0" w:tplc="CD025CA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886E07"/>
    <w:multiLevelType w:val="multilevel"/>
    <w:tmpl w:val="06C62F34"/>
    <w:lvl w:ilvl="0">
      <w:start w:val="2"/>
      <w:numFmt w:val="decimal"/>
      <w:lvlText w:val="%1"/>
      <w:lvlJc w:val="left"/>
      <w:pPr>
        <w:tabs>
          <w:tab w:val="num" w:pos="540"/>
        </w:tabs>
        <w:ind w:left="540" w:hanging="540"/>
      </w:pPr>
      <w:rPr>
        <w:rFonts w:cs="Times New Roman" w:hint="default"/>
      </w:rPr>
    </w:lvl>
    <w:lvl w:ilvl="1">
      <w:start w:val="23"/>
      <w:numFmt w:val="decimal"/>
      <w:pStyle w:val="Style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9" w15:restartNumberingAfterBreak="0">
    <w:nsid w:val="7383306D"/>
    <w:multiLevelType w:val="hybridMultilevel"/>
    <w:tmpl w:val="45FEB2B8"/>
    <w:lvl w:ilvl="0" w:tplc="01380FE4">
      <w:start w:val="1"/>
      <w:numFmt w:val="lowerRoman"/>
      <w:pStyle w:val="Para0Roman"/>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707634"/>
    <w:multiLevelType w:val="multilevel"/>
    <w:tmpl w:val="CF8A966E"/>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bullet"/>
      <w:lvlText w:val=""/>
      <w:lvlJc w:val="left"/>
      <w:pPr>
        <w:tabs>
          <w:tab w:val="num" w:pos="720"/>
        </w:tabs>
        <w:ind w:left="720" w:hanging="706"/>
      </w:pPr>
      <w:rPr>
        <w:rFonts w:ascii="Symbol" w:hAnsi="Symbol" w:hint="default"/>
        <w:b w:val="0"/>
        <w:i w:val="0"/>
        <w:sz w:val="24"/>
      </w:rPr>
    </w:lvl>
    <w:lvl w:ilvl="2">
      <w:start w:val="1"/>
      <w:numFmt w:val="bullet"/>
      <w:lvlText w:val=""/>
      <w:lvlJc w:val="left"/>
      <w:pPr>
        <w:tabs>
          <w:tab w:val="num" w:pos="1440"/>
        </w:tabs>
        <w:ind w:left="1440" w:hanging="720"/>
      </w:pPr>
      <w:rPr>
        <w:rFonts w:ascii="Symbol" w:hAnsi="Symbol"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7D271F82"/>
    <w:multiLevelType w:val="hybridMultilevel"/>
    <w:tmpl w:val="0138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41DA2"/>
    <w:multiLevelType w:val="hybridMultilevel"/>
    <w:tmpl w:val="23E6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1"/>
  </w:num>
  <w:num w:numId="4">
    <w:abstractNumId w:val="8"/>
  </w:num>
  <w:num w:numId="5">
    <w:abstractNumId w:val="29"/>
  </w:num>
  <w:num w:numId="6">
    <w:abstractNumId w:val="12"/>
  </w:num>
  <w:num w:numId="7">
    <w:abstractNumId w:val="13"/>
  </w:num>
  <w:num w:numId="8">
    <w:abstractNumId w:val="23"/>
  </w:num>
  <w:num w:numId="9">
    <w:abstractNumId w:val="9"/>
  </w:num>
  <w:num w:numId="10">
    <w:abstractNumId w:val="18"/>
  </w:num>
  <w:num w:numId="11">
    <w:abstractNumId w:val="15"/>
  </w:num>
  <w:num w:numId="12">
    <w:abstractNumId w:val="33"/>
  </w:num>
  <w:num w:numId="13">
    <w:abstractNumId w:val="0"/>
  </w:num>
  <w:num w:numId="14">
    <w:abstractNumId w:val="5"/>
  </w:num>
  <w:num w:numId="15">
    <w:abstractNumId w:val="17"/>
  </w:num>
  <w:num w:numId="16">
    <w:abstractNumId w:val="25"/>
  </w:num>
  <w:num w:numId="17">
    <w:abstractNumId w:val="14"/>
  </w:num>
  <w:num w:numId="18">
    <w:abstractNumId w:val="32"/>
  </w:num>
  <w:num w:numId="19">
    <w:abstractNumId w:val="4"/>
  </w:num>
  <w:num w:numId="20">
    <w:abstractNumId w:val="2"/>
  </w:num>
  <w:num w:numId="21">
    <w:abstractNumId w:val="23"/>
  </w:num>
  <w:num w:numId="22">
    <w:abstractNumId w:val="11"/>
  </w:num>
  <w:num w:numId="23">
    <w:abstractNumId w:val="23"/>
  </w:num>
  <w:num w:numId="24">
    <w:abstractNumId w:val="23"/>
  </w:num>
  <w:num w:numId="25">
    <w:abstractNumId w:val="23"/>
  </w:num>
  <w:num w:numId="26">
    <w:abstractNumId w:val="10"/>
  </w:num>
  <w:num w:numId="27">
    <w:abstractNumId w:val="24"/>
  </w:num>
  <w:num w:numId="28">
    <w:abstractNumId w:val="21"/>
  </w:num>
  <w:num w:numId="29">
    <w:abstractNumId w:val="3"/>
  </w:num>
  <w:num w:numId="30">
    <w:abstractNumId w:val="19"/>
  </w:num>
  <w:num w:numId="31">
    <w:abstractNumId w:val="26"/>
  </w:num>
  <w:num w:numId="32">
    <w:abstractNumId w:val="28"/>
  </w:num>
  <w:num w:numId="33">
    <w:abstractNumId w:val="6"/>
  </w:num>
  <w:num w:numId="34">
    <w:abstractNumId w:val="22"/>
  </w:num>
  <w:num w:numId="35">
    <w:abstractNumId w:val="7"/>
  </w:num>
  <w:num w:numId="36">
    <w:abstractNumId w:val="1"/>
  </w:num>
  <w:num w:numId="37">
    <w:abstractNumId w:val="30"/>
  </w:num>
  <w:num w:numId="3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97"/>
    <w:rsid w:val="00000C90"/>
    <w:rsid w:val="00000F7D"/>
    <w:rsid w:val="00003482"/>
    <w:rsid w:val="0000359E"/>
    <w:rsid w:val="000058A2"/>
    <w:rsid w:val="0000615A"/>
    <w:rsid w:val="000073F9"/>
    <w:rsid w:val="0002019A"/>
    <w:rsid w:val="00020872"/>
    <w:rsid w:val="0004372E"/>
    <w:rsid w:val="0004383D"/>
    <w:rsid w:val="00045BDC"/>
    <w:rsid w:val="000470C4"/>
    <w:rsid w:val="000525D7"/>
    <w:rsid w:val="0005272E"/>
    <w:rsid w:val="00055BA1"/>
    <w:rsid w:val="000732D1"/>
    <w:rsid w:val="00075201"/>
    <w:rsid w:val="00080ADE"/>
    <w:rsid w:val="000812D0"/>
    <w:rsid w:val="00085362"/>
    <w:rsid w:val="00085687"/>
    <w:rsid w:val="00085D2D"/>
    <w:rsid w:val="00087B02"/>
    <w:rsid w:val="00092166"/>
    <w:rsid w:val="000925E2"/>
    <w:rsid w:val="000936C5"/>
    <w:rsid w:val="0009448A"/>
    <w:rsid w:val="00097F71"/>
    <w:rsid w:val="000A4440"/>
    <w:rsid w:val="000B3C56"/>
    <w:rsid w:val="000B4FA0"/>
    <w:rsid w:val="000C0249"/>
    <w:rsid w:val="000C274A"/>
    <w:rsid w:val="000C5E2B"/>
    <w:rsid w:val="000C6219"/>
    <w:rsid w:val="000C6406"/>
    <w:rsid w:val="000D08B7"/>
    <w:rsid w:val="000D08D4"/>
    <w:rsid w:val="000D45AA"/>
    <w:rsid w:val="000D4E74"/>
    <w:rsid w:val="000D6EE2"/>
    <w:rsid w:val="000D7AFC"/>
    <w:rsid w:val="000E0475"/>
    <w:rsid w:val="000E06FB"/>
    <w:rsid w:val="000E0B71"/>
    <w:rsid w:val="000E6BCE"/>
    <w:rsid w:val="000F20A3"/>
    <w:rsid w:val="000F323D"/>
    <w:rsid w:val="000F362A"/>
    <w:rsid w:val="000F57A2"/>
    <w:rsid w:val="000F70B7"/>
    <w:rsid w:val="000F7A55"/>
    <w:rsid w:val="001042B3"/>
    <w:rsid w:val="0010492F"/>
    <w:rsid w:val="001052CF"/>
    <w:rsid w:val="00112799"/>
    <w:rsid w:val="00121DC5"/>
    <w:rsid w:val="00127229"/>
    <w:rsid w:val="00130459"/>
    <w:rsid w:val="001332B7"/>
    <w:rsid w:val="0013782E"/>
    <w:rsid w:val="00140F24"/>
    <w:rsid w:val="001423F5"/>
    <w:rsid w:val="00144ACB"/>
    <w:rsid w:val="00144DD4"/>
    <w:rsid w:val="00145197"/>
    <w:rsid w:val="00146566"/>
    <w:rsid w:val="00146EB7"/>
    <w:rsid w:val="00150C4A"/>
    <w:rsid w:val="001543D3"/>
    <w:rsid w:val="00155801"/>
    <w:rsid w:val="00161F35"/>
    <w:rsid w:val="001644BD"/>
    <w:rsid w:val="00164BB5"/>
    <w:rsid w:val="00167503"/>
    <w:rsid w:val="0017100D"/>
    <w:rsid w:val="001723D7"/>
    <w:rsid w:val="00175D26"/>
    <w:rsid w:val="00177502"/>
    <w:rsid w:val="001816C9"/>
    <w:rsid w:val="00183C74"/>
    <w:rsid w:val="0018711B"/>
    <w:rsid w:val="0018740B"/>
    <w:rsid w:val="00193F7C"/>
    <w:rsid w:val="001973C4"/>
    <w:rsid w:val="001A4A74"/>
    <w:rsid w:val="001B2D93"/>
    <w:rsid w:val="001B3B77"/>
    <w:rsid w:val="001B64AC"/>
    <w:rsid w:val="001B7BF3"/>
    <w:rsid w:val="001C1FFD"/>
    <w:rsid w:val="001C66E2"/>
    <w:rsid w:val="001D206F"/>
    <w:rsid w:val="001D472A"/>
    <w:rsid w:val="001D5530"/>
    <w:rsid w:val="001D6226"/>
    <w:rsid w:val="001D7BA7"/>
    <w:rsid w:val="001E011C"/>
    <w:rsid w:val="001E412A"/>
    <w:rsid w:val="001E4B49"/>
    <w:rsid w:val="001F17E0"/>
    <w:rsid w:val="001F355C"/>
    <w:rsid w:val="001F38B2"/>
    <w:rsid w:val="00200438"/>
    <w:rsid w:val="00204CE2"/>
    <w:rsid w:val="002062CE"/>
    <w:rsid w:val="00210FE3"/>
    <w:rsid w:val="002133D9"/>
    <w:rsid w:val="00223626"/>
    <w:rsid w:val="00223B9D"/>
    <w:rsid w:val="00224673"/>
    <w:rsid w:val="00230A0B"/>
    <w:rsid w:val="0023624B"/>
    <w:rsid w:val="00240ED9"/>
    <w:rsid w:val="00243A12"/>
    <w:rsid w:val="002468EE"/>
    <w:rsid w:val="0024789F"/>
    <w:rsid w:val="00272B6F"/>
    <w:rsid w:val="00272FD5"/>
    <w:rsid w:val="00274CAB"/>
    <w:rsid w:val="00275F69"/>
    <w:rsid w:val="00276757"/>
    <w:rsid w:val="00277957"/>
    <w:rsid w:val="00281FC6"/>
    <w:rsid w:val="002903EB"/>
    <w:rsid w:val="00290B91"/>
    <w:rsid w:val="00291FD0"/>
    <w:rsid w:val="002936BA"/>
    <w:rsid w:val="002A2841"/>
    <w:rsid w:val="002A3F30"/>
    <w:rsid w:val="002A5C17"/>
    <w:rsid w:val="002A6326"/>
    <w:rsid w:val="002A67CE"/>
    <w:rsid w:val="002B15A7"/>
    <w:rsid w:val="002B5DEC"/>
    <w:rsid w:val="002B5E4B"/>
    <w:rsid w:val="002B71EF"/>
    <w:rsid w:val="002C250C"/>
    <w:rsid w:val="002D30E4"/>
    <w:rsid w:val="002D4B38"/>
    <w:rsid w:val="002D791A"/>
    <w:rsid w:val="002E0AC3"/>
    <w:rsid w:val="002E5B34"/>
    <w:rsid w:val="002E6356"/>
    <w:rsid w:val="002F049D"/>
    <w:rsid w:val="002F0F0D"/>
    <w:rsid w:val="002F151D"/>
    <w:rsid w:val="002F1549"/>
    <w:rsid w:val="002F4902"/>
    <w:rsid w:val="002F4E3E"/>
    <w:rsid w:val="0030019A"/>
    <w:rsid w:val="003014C6"/>
    <w:rsid w:val="00302BDD"/>
    <w:rsid w:val="00306E56"/>
    <w:rsid w:val="0030776D"/>
    <w:rsid w:val="003109C0"/>
    <w:rsid w:val="00310C90"/>
    <w:rsid w:val="003124A1"/>
    <w:rsid w:val="00313861"/>
    <w:rsid w:val="00315D76"/>
    <w:rsid w:val="00320A66"/>
    <w:rsid w:val="0032303E"/>
    <w:rsid w:val="00323FC4"/>
    <w:rsid w:val="0032476F"/>
    <w:rsid w:val="00326291"/>
    <w:rsid w:val="00335F3C"/>
    <w:rsid w:val="00336768"/>
    <w:rsid w:val="00346507"/>
    <w:rsid w:val="003510A1"/>
    <w:rsid w:val="0035139E"/>
    <w:rsid w:val="00352697"/>
    <w:rsid w:val="00360360"/>
    <w:rsid w:val="00362CCA"/>
    <w:rsid w:val="00370C13"/>
    <w:rsid w:val="00374D59"/>
    <w:rsid w:val="00375FF2"/>
    <w:rsid w:val="00377B96"/>
    <w:rsid w:val="003825BF"/>
    <w:rsid w:val="0038500F"/>
    <w:rsid w:val="00390646"/>
    <w:rsid w:val="00395847"/>
    <w:rsid w:val="00395D94"/>
    <w:rsid w:val="00396E81"/>
    <w:rsid w:val="00396FAE"/>
    <w:rsid w:val="003A3441"/>
    <w:rsid w:val="003A6E33"/>
    <w:rsid w:val="003B0FEF"/>
    <w:rsid w:val="003B4C7A"/>
    <w:rsid w:val="003B5488"/>
    <w:rsid w:val="003C082B"/>
    <w:rsid w:val="003C663B"/>
    <w:rsid w:val="003C6FB6"/>
    <w:rsid w:val="003C79A9"/>
    <w:rsid w:val="003D3510"/>
    <w:rsid w:val="003E0F4E"/>
    <w:rsid w:val="003E2B6C"/>
    <w:rsid w:val="003F0CA8"/>
    <w:rsid w:val="003F2DEB"/>
    <w:rsid w:val="003F4A0A"/>
    <w:rsid w:val="003F6C04"/>
    <w:rsid w:val="003F7551"/>
    <w:rsid w:val="00402FEE"/>
    <w:rsid w:val="00404D1F"/>
    <w:rsid w:val="004061B7"/>
    <w:rsid w:val="00407533"/>
    <w:rsid w:val="00427298"/>
    <w:rsid w:val="004335FA"/>
    <w:rsid w:val="004356C6"/>
    <w:rsid w:val="00444F22"/>
    <w:rsid w:val="004456B7"/>
    <w:rsid w:val="00450A1D"/>
    <w:rsid w:val="00450F84"/>
    <w:rsid w:val="00453D42"/>
    <w:rsid w:val="00473D78"/>
    <w:rsid w:val="004759A3"/>
    <w:rsid w:val="00475E9F"/>
    <w:rsid w:val="00475FB4"/>
    <w:rsid w:val="0047753D"/>
    <w:rsid w:val="00477E1A"/>
    <w:rsid w:val="00485F71"/>
    <w:rsid w:val="0048709C"/>
    <w:rsid w:val="00491728"/>
    <w:rsid w:val="00492711"/>
    <w:rsid w:val="004960F4"/>
    <w:rsid w:val="00496A5F"/>
    <w:rsid w:val="004A02E0"/>
    <w:rsid w:val="004A03E5"/>
    <w:rsid w:val="004A323C"/>
    <w:rsid w:val="004A759A"/>
    <w:rsid w:val="004A7C96"/>
    <w:rsid w:val="004B2BB3"/>
    <w:rsid w:val="004B448F"/>
    <w:rsid w:val="004B6F19"/>
    <w:rsid w:val="004B7DDA"/>
    <w:rsid w:val="004C0942"/>
    <w:rsid w:val="004C2429"/>
    <w:rsid w:val="004C27B2"/>
    <w:rsid w:val="004C2D06"/>
    <w:rsid w:val="004C354B"/>
    <w:rsid w:val="004C35FD"/>
    <w:rsid w:val="004D12BE"/>
    <w:rsid w:val="004D1E1C"/>
    <w:rsid w:val="004D1FE2"/>
    <w:rsid w:val="004D3A50"/>
    <w:rsid w:val="004D74E9"/>
    <w:rsid w:val="004E0118"/>
    <w:rsid w:val="004E16A6"/>
    <w:rsid w:val="004E491C"/>
    <w:rsid w:val="004E6F62"/>
    <w:rsid w:val="004E7497"/>
    <w:rsid w:val="004F04A7"/>
    <w:rsid w:val="004F2D3F"/>
    <w:rsid w:val="004F2FDC"/>
    <w:rsid w:val="004F5BD1"/>
    <w:rsid w:val="00501214"/>
    <w:rsid w:val="00503CBE"/>
    <w:rsid w:val="005047C0"/>
    <w:rsid w:val="00506671"/>
    <w:rsid w:val="0050669A"/>
    <w:rsid w:val="00520D4F"/>
    <w:rsid w:val="0052253D"/>
    <w:rsid w:val="00522B04"/>
    <w:rsid w:val="00522C67"/>
    <w:rsid w:val="0052721E"/>
    <w:rsid w:val="00530678"/>
    <w:rsid w:val="00532C38"/>
    <w:rsid w:val="00535B75"/>
    <w:rsid w:val="0054194D"/>
    <w:rsid w:val="0054199D"/>
    <w:rsid w:val="00547FEF"/>
    <w:rsid w:val="00553F8A"/>
    <w:rsid w:val="00565613"/>
    <w:rsid w:val="005676E2"/>
    <w:rsid w:val="005703D8"/>
    <w:rsid w:val="00571F5B"/>
    <w:rsid w:val="005766E7"/>
    <w:rsid w:val="0057736D"/>
    <w:rsid w:val="005813C2"/>
    <w:rsid w:val="005864C2"/>
    <w:rsid w:val="00591BA3"/>
    <w:rsid w:val="005A2BCD"/>
    <w:rsid w:val="005B28FC"/>
    <w:rsid w:val="005B3F55"/>
    <w:rsid w:val="005B634E"/>
    <w:rsid w:val="005B6452"/>
    <w:rsid w:val="005B7C1C"/>
    <w:rsid w:val="005C10F0"/>
    <w:rsid w:val="005C3D27"/>
    <w:rsid w:val="005C52F4"/>
    <w:rsid w:val="005D08DE"/>
    <w:rsid w:val="005D113C"/>
    <w:rsid w:val="005D2DA0"/>
    <w:rsid w:val="005D4C67"/>
    <w:rsid w:val="005D67F0"/>
    <w:rsid w:val="005E1264"/>
    <w:rsid w:val="005E1D99"/>
    <w:rsid w:val="005E33C6"/>
    <w:rsid w:val="0060006E"/>
    <w:rsid w:val="006053AC"/>
    <w:rsid w:val="00605544"/>
    <w:rsid w:val="0060592E"/>
    <w:rsid w:val="00605F22"/>
    <w:rsid w:val="006066A5"/>
    <w:rsid w:val="00606C76"/>
    <w:rsid w:val="00607E42"/>
    <w:rsid w:val="006114BF"/>
    <w:rsid w:val="00613591"/>
    <w:rsid w:val="00615938"/>
    <w:rsid w:val="0062188E"/>
    <w:rsid w:val="00622A94"/>
    <w:rsid w:val="006259A7"/>
    <w:rsid w:val="00625C16"/>
    <w:rsid w:val="00630FCB"/>
    <w:rsid w:val="00631708"/>
    <w:rsid w:val="00634BEE"/>
    <w:rsid w:val="00635B8D"/>
    <w:rsid w:val="00636803"/>
    <w:rsid w:val="006463FC"/>
    <w:rsid w:val="0064720F"/>
    <w:rsid w:val="00656CE8"/>
    <w:rsid w:val="006610D8"/>
    <w:rsid w:val="00661EC4"/>
    <w:rsid w:val="0066257D"/>
    <w:rsid w:val="00662EF3"/>
    <w:rsid w:val="006638F9"/>
    <w:rsid w:val="00663959"/>
    <w:rsid w:val="00664EA8"/>
    <w:rsid w:val="00671355"/>
    <w:rsid w:val="00671C3F"/>
    <w:rsid w:val="00677638"/>
    <w:rsid w:val="00680A64"/>
    <w:rsid w:val="00681941"/>
    <w:rsid w:val="006821DE"/>
    <w:rsid w:val="006847B8"/>
    <w:rsid w:val="006873CD"/>
    <w:rsid w:val="006878F4"/>
    <w:rsid w:val="006916CA"/>
    <w:rsid w:val="00693103"/>
    <w:rsid w:val="00693C38"/>
    <w:rsid w:val="0069527E"/>
    <w:rsid w:val="00695513"/>
    <w:rsid w:val="0069705B"/>
    <w:rsid w:val="006A0B8E"/>
    <w:rsid w:val="006A1B89"/>
    <w:rsid w:val="006A3218"/>
    <w:rsid w:val="006A6366"/>
    <w:rsid w:val="006A7140"/>
    <w:rsid w:val="006A71CF"/>
    <w:rsid w:val="006B118C"/>
    <w:rsid w:val="006B49E4"/>
    <w:rsid w:val="006B5905"/>
    <w:rsid w:val="006C01A3"/>
    <w:rsid w:val="006C4CCB"/>
    <w:rsid w:val="006D0E21"/>
    <w:rsid w:val="006D2EB5"/>
    <w:rsid w:val="006D47D2"/>
    <w:rsid w:val="006D6E0C"/>
    <w:rsid w:val="006E0773"/>
    <w:rsid w:val="006E6F9F"/>
    <w:rsid w:val="006E74AB"/>
    <w:rsid w:val="006F2F4F"/>
    <w:rsid w:val="006F4941"/>
    <w:rsid w:val="007060ED"/>
    <w:rsid w:val="00707238"/>
    <w:rsid w:val="00712209"/>
    <w:rsid w:val="0071405E"/>
    <w:rsid w:val="00716E46"/>
    <w:rsid w:val="007203F7"/>
    <w:rsid w:val="00720D6A"/>
    <w:rsid w:val="007366D1"/>
    <w:rsid w:val="00737877"/>
    <w:rsid w:val="00743B3F"/>
    <w:rsid w:val="007457E2"/>
    <w:rsid w:val="007506D0"/>
    <w:rsid w:val="00752501"/>
    <w:rsid w:val="00755BB8"/>
    <w:rsid w:val="00757019"/>
    <w:rsid w:val="0076004E"/>
    <w:rsid w:val="00760B88"/>
    <w:rsid w:val="00764B5D"/>
    <w:rsid w:val="00764E05"/>
    <w:rsid w:val="0076575D"/>
    <w:rsid w:val="007660A2"/>
    <w:rsid w:val="0077157A"/>
    <w:rsid w:val="0077258C"/>
    <w:rsid w:val="00777416"/>
    <w:rsid w:val="007814EF"/>
    <w:rsid w:val="00781AEF"/>
    <w:rsid w:val="0078391D"/>
    <w:rsid w:val="00784A80"/>
    <w:rsid w:val="007865BF"/>
    <w:rsid w:val="00793208"/>
    <w:rsid w:val="0079628C"/>
    <w:rsid w:val="007A555A"/>
    <w:rsid w:val="007B124B"/>
    <w:rsid w:val="007B25D6"/>
    <w:rsid w:val="007B65AD"/>
    <w:rsid w:val="007C02C4"/>
    <w:rsid w:val="007C12C4"/>
    <w:rsid w:val="007C52ED"/>
    <w:rsid w:val="007C6978"/>
    <w:rsid w:val="007D52C2"/>
    <w:rsid w:val="007D559A"/>
    <w:rsid w:val="007D5821"/>
    <w:rsid w:val="007D7779"/>
    <w:rsid w:val="007E1AC1"/>
    <w:rsid w:val="007E1AD6"/>
    <w:rsid w:val="007E306E"/>
    <w:rsid w:val="007E4D48"/>
    <w:rsid w:val="007E7C3F"/>
    <w:rsid w:val="007F0214"/>
    <w:rsid w:val="007F4885"/>
    <w:rsid w:val="007F6084"/>
    <w:rsid w:val="00804077"/>
    <w:rsid w:val="008056EF"/>
    <w:rsid w:val="00811850"/>
    <w:rsid w:val="00812A26"/>
    <w:rsid w:val="0081360E"/>
    <w:rsid w:val="008144A4"/>
    <w:rsid w:val="00815A59"/>
    <w:rsid w:val="00816D1D"/>
    <w:rsid w:val="0082060A"/>
    <w:rsid w:val="00830FC2"/>
    <w:rsid w:val="00833186"/>
    <w:rsid w:val="00841723"/>
    <w:rsid w:val="008478C1"/>
    <w:rsid w:val="00853C9D"/>
    <w:rsid w:val="00854D90"/>
    <w:rsid w:val="0086197C"/>
    <w:rsid w:val="00863203"/>
    <w:rsid w:val="008657ED"/>
    <w:rsid w:val="00865B45"/>
    <w:rsid w:val="00867CE2"/>
    <w:rsid w:val="00867F22"/>
    <w:rsid w:val="0087048A"/>
    <w:rsid w:val="00872BE7"/>
    <w:rsid w:val="00874488"/>
    <w:rsid w:val="008775B4"/>
    <w:rsid w:val="0088070A"/>
    <w:rsid w:val="00883035"/>
    <w:rsid w:val="00886E90"/>
    <w:rsid w:val="00890732"/>
    <w:rsid w:val="00896346"/>
    <w:rsid w:val="008A08D5"/>
    <w:rsid w:val="008A601B"/>
    <w:rsid w:val="008B0CE1"/>
    <w:rsid w:val="008B3A79"/>
    <w:rsid w:val="008B3F7A"/>
    <w:rsid w:val="008C1D27"/>
    <w:rsid w:val="008C1E86"/>
    <w:rsid w:val="008C1E96"/>
    <w:rsid w:val="008C394C"/>
    <w:rsid w:val="008C4CD2"/>
    <w:rsid w:val="008D0973"/>
    <w:rsid w:val="008D1165"/>
    <w:rsid w:val="008D4465"/>
    <w:rsid w:val="008D4FFA"/>
    <w:rsid w:val="008D55A1"/>
    <w:rsid w:val="008E35E6"/>
    <w:rsid w:val="008E3BD1"/>
    <w:rsid w:val="008E3DDB"/>
    <w:rsid w:val="008E644D"/>
    <w:rsid w:val="009014E2"/>
    <w:rsid w:val="00904D74"/>
    <w:rsid w:val="00907B6B"/>
    <w:rsid w:val="00911331"/>
    <w:rsid w:val="009115D5"/>
    <w:rsid w:val="0092226A"/>
    <w:rsid w:val="009228EA"/>
    <w:rsid w:val="00926E8C"/>
    <w:rsid w:val="009336BD"/>
    <w:rsid w:val="0093707A"/>
    <w:rsid w:val="00942D3C"/>
    <w:rsid w:val="00943710"/>
    <w:rsid w:val="00950163"/>
    <w:rsid w:val="0095019F"/>
    <w:rsid w:val="00951D85"/>
    <w:rsid w:val="00956AAF"/>
    <w:rsid w:val="0096326F"/>
    <w:rsid w:val="009673FC"/>
    <w:rsid w:val="0097736E"/>
    <w:rsid w:val="00982656"/>
    <w:rsid w:val="00982E87"/>
    <w:rsid w:val="00985433"/>
    <w:rsid w:val="00986676"/>
    <w:rsid w:val="00990934"/>
    <w:rsid w:val="00990FED"/>
    <w:rsid w:val="00990FF8"/>
    <w:rsid w:val="00991192"/>
    <w:rsid w:val="009931FD"/>
    <w:rsid w:val="009A3178"/>
    <w:rsid w:val="009A3B77"/>
    <w:rsid w:val="009B0647"/>
    <w:rsid w:val="009B0B6A"/>
    <w:rsid w:val="009B286C"/>
    <w:rsid w:val="009B461C"/>
    <w:rsid w:val="009B496F"/>
    <w:rsid w:val="009C0472"/>
    <w:rsid w:val="009C47DD"/>
    <w:rsid w:val="009C78B4"/>
    <w:rsid w:val="009D1079"/>
    <w:rsid w:val="009D6B4C"/>
    <w:rsid w:val="009D78BF"/>
    <w:rsid w:val="009D7F15"/>
    <w:rsid w:val="009E2BCE"/>
    <w:rsid w:val="009E65E2"/>
    <w:rsid w:val="009E6ECA"/>
    <w:rsid w:val="009F0147"/>
    <w:rsid w:val="009F13DE"/>
    <w:rsid w:val="009F15F4"/>
    <w:rsid w:val="009F3758"/>
    <w:rsid w:val="00A023BB"/>
    <w:rsid w:val="00A05213"/>
    <w:rsid w:val="00A11994"/>
    <w:rsid w:val="00A12598"/>
    <w:rsid w:val="00A1265E"/>
    <w:rsid w:val="00A20D63"/>
    <w:rsid w:val="00A3003F"/>
    <w:rsid w:val="00A32582"/>
    <w:rsid w:val="00A3401E"/>
    <w:rsid w:val="00A3626D"/>
    <w:rsid w:val="00A41340"/>
    <w:rsid w:val="00A47FE8"/>
    <w:rsid w:val="00A51D7C"/>
    <w:rsid w:val="00A55CB8"/>
    <w:rsid w:val="00A55DB2"/>
    <w:rsid w:val="00A56861"/>
    <w:rsid w:val="00A6091E"/>
    <w:rsid w:val="00A66881"/>
    <w:rsid w:val="00A72542"/>
    <w:rsid w:val="00A73819"/>
    <w:rsid w:val="00A8330F"/>
    <w:rsid w:val="00A84EC7"/>
    <w:rsid w:val="00A90C5D"/>
    <w:rsid w:val="00A9515B"/>
    <w:rsid w:val="00A97365"/>
    <w:rsid w:val="00A97537"/>
    <w:rsid w:val="00AA202F"/>
    <w:rsid w:val="00AA3177"/>
    <w:rsid w:val="00AA7892"/>
    <w:rsid w:val="00AB130C"/>
    <w:rsid w:val="00AB2A4A"/>
    <w:rsid w:val="00AC2C7B"/>
    <w:rsid w:val="00AD162C"/>
    <w:rsid w:val="00AD3FC0"/>
    <w:rsid w:val="00AD446D"/>
    <w:rsid w:val="00AD7401"/>
    <w:rsid w:val="00AE15E4"/>
    <w:rsid w:val="00AE345F"/>
    <w:rsid w:val="00AE58ED"/>
    <w:rsid w:val="00AE6777"/>
    <w:rsid w:val="00AF0BB0"/>
    <w:rsid w:val="00AF1286"/>
    <w:rsid w:val="00AF3BC3"/>
    <w:rsid w:val="00AF4EEE"/>
    <w:rsid w:val="00AF5C52"/>
    <w:rsid w:val="00AF6AB2"/>
    <w:rsid w:val="00AF6AF1"/>
    <w:rsid w:val="00B014C6"/>
    <w:rsid w:val="00B025D1"/>
    <w:rsid w:val="00B0531C"/>
    <w:rsid w:val="00B05C24"/>
    <w:rsid w:val="00B1023C"/>
    <w:rsid w:val="00B129B7"/>
    <w:rsid w:val="00B21C20"/>
    <w:rsid w:val="00B253D8"/>
    <w:rsid w:val="00B31559"/>
    <w:rsid w:val="00B36D22"/>
    <w:rsid w:val="00B425A2"/>
    <w:rsid w:val="00B44577"/>
    <w:rsid w:val="00B451A0"/>
    <w:rsid w:val="00B474AC"/>
    <w:rsid w:val="00B5087B"/>
    <w:rsid w:val="00B515A5"/>
    <w:rsid w:val="00B51A84"/>
    <w:rsid w:val="00B546CB"/>
    <w:rsid w:val="00B549BB"/>
    <w:rsid w:val="00B552F2"/>
    <w:rsid w:val="00B556E3"/>
    <w:rsid w:val="00B67D71"/>
    <w:rsid w:val="00B7271D"/>
    <w:rsid w:val="00B84523"/>
    <w:rsid w:val="00B85379"/>
    <w:rsid w:val="00B86185"/>
    <w:rsid w:val="00B87BA3"/>
    <w:rsid w:val="00B950BD"/>
    <w:rsid w:val="00B97713"/>
    <w:rsid w:val="00B9796B"/>
    <w:rsid w:val="00BA1D74"/>
    <w:rsid w:val="00BB096D"/>
    <w:rsid w:val="00BB5F98"/>
    <w:rsid w:val="00BC1BDA"/>
    <w:rsid w:val="00BC2FC6"/>
    <w:rsid w:val="00BD0E18"/>
    <w:rsid w:val="00BD237E"/>
    <w:rsid w:val="00BE7116"/>
    <w:rsid w:val="00BF0B24"/>
    <w:rsid w:val="00BF0CF1"/>
    <w:rsid w:val="00BF194C"/>
    <w:rsid w:val="00BF38EA"/>
    <w:rsid w:val="00BF50C4"/>
    <w:rsid w:val="00C0269A"/>
    <w:rsid w:val="00C105D0"/>
    <w:rsid w:val="00C11BB2"/>
    <w:rsid w:val="00C14A56"/>
    <w:rsid w:val="00C14E60"/>
    <w:rsid w:val="00C24538"/>
    <w:rsid w:val="00C2612E"/>
    <w:rsid w:val="00C2653E"/>
    <w:rsid w:val="00C32D00"/>
    <w:rsid w:val="00C367F1"/>
    <w:rsid w:val="00C36D8A"/>
    <w:rsid w:val="00C417BE"/>
    <w:rsid w:val="00C51B83"/>
    <w:rsid w:val="00C55A3A"/>
    <w:rsid w:val="00C6023D"/>
    <w:rsid w:val="00C6033F"/>
    <w:rsid w:val="00C60696"/>
    <w:rsid w:val="00C62B39"/>
    <w:rsid w:val="00C66919"/>
    <w:rsid w:val="00C7262D"/>
    <w:rsid w:val="00C72B7A"/>
    <w:rsid w:val="00C759DC"/>
    <w:rsid w:val="00C836BF"/>
    <w:rsid w:val="00C84712"/>
    <w:rsid w:val="00C86303"/>
    <w:rsid w:val="00C86747"/>
    <w:rsid w:val="00C86AF5"/>
    <w:rsid w:val="00C93A4A"/>
    <w:rsid w:val="00C97407"/>
    <w:rsid w:val="00C97753"/>
    <w:rsid w:val="00CA059C"/>
    <w:rsid w:val="00CA4B1B"/>
    <w:rsid w:val="00CA4E83"/>
    <w:rsid w:val="00CA6929"/>
    <w:rsid w:val="00CA7147"/>
    <w:rsid w:val="00CA7347"/>
    <w:rsid w:val="00CA7B17"/>
    <w:rsid w:val="00CB3DE1"/>
    <w:rsid w:val="00CB5A2E"/>
    <w:rsid w:val="00CC3493"/>
    <w:rsid w:val="00CC3A0F"/>
    <w:rsid w:val="00CC7D84"/>
    <w:rsid w:val="00CD07FA"/>
    <w:rsid w:val="00CD31A8"/>
    <w:rsid w:val="00CD52CD"/>
    <w:rsid w:val="00CD53A1"/>
    <w:rsid w:val="00CD6CAA"/>
    <w:rsid w:val="00CE1112"/>
    <w:rsid w:val="00CE2A2F"/>
    <w:rsid w:val="00CE47E0"/>
    <w:rsid w:val="00CE4D62"/>
    <w:rsid w:val="00CE4EC4"/>
    <w:rsid w:val="00CE5F75"/>
    <w:rsid w:val="00CF2E7A"/>
    <w:rsid w:val="00CF4164"/>
    <w:rsid w:val="00D028E9"/>
    <w:rsid w:val="00D02AB5"/>
    <w:rsid w:val="00D05339"/>
    <w:rsid w:val="00D0568B"/>
    <w:rsid w:val="00D0699F"/>
    <w:rsid w:val="00D074A5"/>
    <w:rsid w:val="00D134FD"/>
    <w:rsid w:val="00D148D1"/>
    <w:rsid w:val="00D15D09"/>
    <w:rsid w:val="00D15F2E"/>
    <w:rsid w:val="00D21A31"/>
    <w:rsid w:val="00D22BDD"/>
    <w:rsid w:val="00D237D7"/>
    <w:rsid w:val="00D3196B"/>
    <w:rsid w:val="00D31D3F"/>
    <w:rsid w:val="00D333B7"/>
    <w:rsid w:val="00D35D0A"/>
    <w:rsid w:val="00D36DA6"/>
    <w:rsid w:val="00D45671"/>
    <w:rsid w:val="00D50812"/>
    <w:rsid w:val="00D50833"/>
    <w:rsid w:val="00D508AD"/>
    <w:rsid w:val="00D51B09"/>
    <w:rsid w:val="00D54BB1"/>
    <w:rsid w:val="00D604BA"/>
    <w:rsid w:val="00D61E88"/>
    <w:rsid w:val="00D621DA"/>
    <w:rsid w:val="00D62E7B"/>
    <w:rsid w:val="00D63955"/>
    <w:rsid w:val="00D6611B"/>
    <w:rsid w:val="00D706C5"/>
    <w:rsid w:val="00D732E1"/>
    <w:rsid w:val="00D73D11"/>
    <w:rsid w:val="00D77D06"/>
    <w:rsid w:val="00D82BEB"/>
    <w:rsid w:val="00D84CA8"/>
    <w:rsid w:val="00D9153D"/>
    <w:rsid w:val="00D9435F"/>
    <w:rsid w:val="00D96887"/>
    <w:rsid w:val="00DA4070"/>
    <w:rsid w:val="00DA41FE"/>
    <w:rsid w:val="00DA50FB"/>
    <w:rsid w:val="00DA5A0C"/>
    <w:rsid w:val="00DB262C"/>
    <w:rsid w:val="00DC08D4"/>
    <w:rsid w:val="00DC2E70"/>
    <w:rsid w:val="00DD6314"/>
    <w:rsid w:val="00DE411A"/>
    <w:rsid w:val="00DE7E57"/>
    <w:rsid w:val="00DF64CF"/>
    <w:rsid w:val="00E062F5"/>
    <w:rsid w:val="00E06BC1"/>
    <w:rsid w:val="00E104F8"/>
    <w:rsid w:val="00E12F12"/>
    <w:rsid w:val="00E13160"/>
    <w:rsid w:val="00E151A3"/>
    <w:rsid w:val="00E27D27"/>
    <w:rsid w:val="00E338D7"/>
    <w:rsid w:val="00E34C22"/>
    <w:rsid w:val="00E34CEA"/>
    <w:rsid w:val="00E45A99"/>
    <w:rsid w:val="00E507D9"/>
    <w:rsid w:val="00E54F12"/>
    <w:rsid w:val="00E56E61"/>
    <w:rsid w:val="00E6143A"/>
    <w:rsid w:val="00E63D85"/>
    <w:rsid w:val="00E662DB"/>
    <w:rsid w:val="00E67379"/>
    <w:rsid w:val="00E7144B"/>
    <w:rsid w:val="00E722C9"/>
    <w:rsid w:val="00E7276B"/>
    <w:rsid w:val="00E87043"/>
    <w:rsid w:val="00E87A79"/>
    <w:rsid w:val="00E93832"/>
    <w:rsid w:val="00E94AD4"/>
    <w:rsid w:val="00E961F0"/>
    <w:rsid w:val="00EA12D7"/>
    <w:rsid w:val="00EA43FA"/>
    <w:rsid w:val="00EA5ED3"/>
    <w:rsid w:val="00EA69E1"/>
    <w:rsid w:val="00EB407A"/>
    <w:rsid w:val="00EB492A"/>
    <w:rsid w:val="00EB7557"/>
    <w:rsid w:val="00EC2BFF"/>
    <w:rsid w:val="00EC34E1"/>
    <w:rsid w:val="00EC4C36"/>
    <w:rsid w:val="00EC799B"/>
    <w:rsid w:val="00EC7D5C"/>
    <w:rsid w:val="00ED2ED8"/>
    <w:rsid w:val="00ED3ED8"/>
    <w:rsid w:val="00ED6365"/>
    <w:rsid w:val="00ED6FAF"/>
    <w:rsid w:val="00ED7017"/>
    <w:rsid w:val="00EE31EE"/>
    <w:rsid w:val="00EF0DA8"/>
    <w:rsid w:val="00EF1980"/>
    <w:rsid w:val="00EF3844"/>
    <w:rsid w:val="00F019F1"/>
    <w:rsid w:val="00F05039"/>
    <w:rsid w:val="00F07474"/>
    <w:rsid w:val="00F10EB2"/>
    <w:rsid w:val="00F1420F"/>
    <w:rsid w:val="00F14C05"/>
    <w:rsid w:val="00F17F5C"/>
    <w:rsid w:val="00F20914"/>
    <w:rsid w:val="00F21942"/>
    <w:rsid w:val="00F22678"/>
    <w:rsid w:val="00F251F5"/>
    <w:rsid w:val="00F34B70"/>
    <w:rsid w:val="00F3548A"/>
    <w:rsid w:val="00F3588E"/>
    <w:rsid w:val="00F36DEA"/>
    <w:rsid w:val="00F372BB"/>
    <w:rsid w:val="00F47DDE"/>
    <w:rsid w:val="00F505D5"/>
    <w:rsid w:val="00F5076B"/>
    <w:rsid w:val="00F514CF"/>
    <w:rsid w:val="00F54138"/>
    <w:rsid w:val="00F54318"/>
    <w:rsid w:val="00F56B62"/>
    <w:rsid w:val="00F656C3"/>
    <w:rsid w:val="00F667E6"/>
    <w:rsid w:val="00F75B59"/>
    <w:rsid w:val="00F839DE"/>
    <w:rsid w:val="00F9137D"/>
    <w:rsid w:val="00F926F8"/>
    <w:rsid w:val="00F931E6"/>
    <w:rsid w:val="00F93209"/>
    <w:rsid w:val="00FA0B26"/>
    <w:rsid w:val="00FA5B06"/>
    <w:rsid w:val="00FB0D53"/>
    <w:rsid w:val="00FB5FB3"/>
    <w:rsid w:val="00FB6FA6"/>
    <w:rsid w:val="00FC181A"/>
    <w:rsid w:val="00FC4DAF"/>
    <w:rsid w:val="00FC607A"/>
    <w:rsid w:val="00FD46F8"/>
    <w:rsid w:val="00FD4E28"/>
    <w:rsid w:val="00FD4E9E"/>
    <w:rsid w:val="00FE2181"/>
    <w:rsid w:val="00FE2F8A"/>
    <w:rsid w:val="00FE39FF"/>
    <w:rsid w:val="00FE4B48"/>
    <w:rsid w:val="00FE5D99"/>
    <w:rsid w:val="00FF08B8"/>
    <w:rsid w:val="00FF3BD1"/>
    <w:rsid w:val="00FF52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2C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C9"/>
    <w:pPr>
      <w:spacing w:after="120" w:line="252" w:lineRule="auto"/>
    </w:pPr>
    <w:rPr>
      <w:rFonts w:ascii="Calibri" w:hAnsi="Calibri"/>
      <w:sz w:val="22"/>
      <w:szCs w:val="24"/>
      <w:lang w:val="en-US" w:eastAsia="en-US"/>
    </w:rPr>
  </w:style>
  <w:style w:type="paragraph" w:styleId="Heading1">
    <w:name w:val="heading 1"/>
    <w:basedOn w:val="Normal"/>
    <w:next w:val="Normal"/>
    <w:link w:val="Heading1Char"/>
    <w:uiPriority w:val="99"/>
    <w:qFormat/>
    <w:rsid w:val="00C0269A"/>
    <w:pPr>
      <w:keepNext/>
      <w:numPr>
        <w:numId w:val="8"/>
      </w:numPr>
      <w:spacing w:before="240" w:after="0"/>
      <w:outlineLvl w:val="0"/>
    </w:pPr>
    <w:rPr>
      <w:rFonts w:asciiTheme="minorHAnsi" w:hAnsiTheme="minorHAnsi"/>
      <w:b/>
      <w:bCs/>
      <w:color w:val="676A55" w:themeColor="text2"/>
      <w:sz w:val="24"/>
      <w:szCs w:val="26"/>
      <w:lang w:val="en-GB"/>
    </w:rPr>
  </w:style>
  <w:style w:type="paragraph" w:styleId="Heading2">
    <w:name w:val="heading 2"/>
    <w:basedOn w:val="Normal"/>
    <w:next w:val="Normal"/>
    <w:link w:val="Heading2Char"/>
    <w:uiPriority w:val="99"/>
    <w:qFormat/>
    <w:rsid w:val="00CD52CD"/>
    <w:pPr>
      <w:spacing w:before="120" w:after="0"/>
      <w:outlineLvl w:val="1"/>
    </w:pPr>
    <w:rPr>
      <w:b/>
      <w:smallCaps/>
      <w:color w:val="676A55" w:themeColor="text2"/>
      <w:lang w:val="en-GB"/>
    </w:rPr>
  </w:style>
  <w:style w:type="paragraph" w:styleId="Heading3">
    <w:name w:val="heading 3"/>
    <w:basedOn w:val="Normal"/>
    <w:next w:val="Normal"/>
    <w:link w:val="Heading3Char"/>
    <w:uiPriority w:val="99"/>
    <w:qFormat/>
    <w:rsid w:val="00E722C9"/>
    <w:pPr>
      <w:keepNext/>
      <w:tabs>
        <w:tab w:val="num" w:pos="720"/>
      </w:tabs>
      <w:spacing w:before="240" w:after="60"/>
      <w:ind w:left="720" w:hanging="720"/>
      <w:outlineLvl w:val="2"/>
    </w:pPr>
    <w:rPr>
      <w:rFonts w:asciiTheme="minorHAnsi" w:hAnsiTheme="minorHAnsi" w:cstheme="minorHAnsi"/>
      <w:b/>
      <w:bCs/>
      <w:sz w:val="24"/>
      <w:lang w:val="en-GB"/>
    </w:rPr>
  </w:style>
  <w:style w:type="paragraph" w:styleId="Heading4">
    <w:name w:val="heading 4"/>
    <w:basedOn w:val="Normal"/>
    <w:next w:val="Normal"/>
    <w:link w:val="Heading4Char"/>
    <w:uiPriority w:val="99"/>
    <w:qFormat/>
    <w:rsid w:val="007C12C4"/>
    <w:pPr>
      <w:keepNext/>
      <w:tabs>
        <w:tab w:val="num" w:pos="1080"/>
      </w:tabs>
      <w:spacing w:before="240" w:after="60"/>
      <w:ind w:left="864" w:hanging="864"/>
      <w:outlineLvl w:val="3"/>
    </w:pPr>
    <w:rPr>
      <w:b/>
      <w:bCs/>
      <w:sz w:val="28"/>
      <w:szCs w:val="28"/>
      <w:lang w:val="en-AU"/>
    </w:rPr>
  </w:style>
  <w:style w:type="paragraph" w:styleId="Heading5">
    <w:name w:val="heading 5"/>
    <w:basedOn w:val="Normal"/>
    <w:next w:val="Normal"/>
    <w:link w:val="Heading5Char"/>
    <w:uiPriority w:val="99"/>
    <w:qFormat/>
    <w:rsid w:val="007C12C4"/>
    <w:pPr>
      <w:tabs>
        <w:tab w:val="num" w:pos="1440"/>
      </w:tabs>
      <w:spacing w:before="240" w:after="60"/>
      <w:ind w:left="1008" w:hanging="1008"/>
      <w:outlineLvl w:val="4"/>
    </w:pPr>
    <w:rPr>
      <w:rFonts w:ascii="Arial" w:hAnsi="Arial"/>
      <w:b/>
      <w:bCs/>
      <w:i/>
      <w:iCs/>
      <w:sz w:val="26"/>
      <w:szCs w:val="26"/>
      <w:lang w:val="en-AU"/>
    </w:rPr>
  </w:style>
  <w:style w:type="paragraph" w:styleId="Heading6">
    <w:name w:val="heading 6"/>
    <w:basedOn w:val="Normal"/>
    <w:next w:val="Normal"/>
    <w:link w:val="Heading6Char"/>
    <w:uiPriority w:val="99"/>
    <w:qFormat/>
    <w:rsid w:val="007C12C4"/>
    <w:pPr>
      <w:tabs>
        <w:tab w:val="num" w:pos="1152"/>
      </w:tabs>
      <w:spacing w:before="240" w:after="60"/>
      <w:ind w:left="1152" w:hanging="1152"/>
      <w:outlineLvl w:val="5"/>
    </w:pPr>
    <w:rPr>
      <w:b/>
      <w:bCs/>
      <w:szCs w:val="22"/>
      <w:lang w:val="en-AU"/>
    </w:rPr>
  </w:style>
  <w:style w:type="paragraph" w:styleId="Heading7">
    <w:name w:val="heading 7"/>
    <w:basedOn w:val="Normal"/>
    <w:next w:val="Normal"/>
    <w:link w:val="Heading7Char"/>
    <w:uiPriority w:val="99"/>
    <w:qFormat/>
    <w:rsid w:val="007C12C4"/>
    <w:pPr>
      <w:tabs>
        <w:tab w:val="num" w:pos="1800"/>
      </w:tabs>
      <w:spacing w:before="240" w:after="60"/>
      <w:ind w:left="1296" w:hanging="1296"/>
      <w:outlineLvl w:val="6"/>
    </w:pPr>
    <w:rPr>
      <w:lang w:val="en-AU"/>
    </w:rPr>
  </w:style>
  <w:style w:type="paragraph" w:styleId="Heading8">
    <w:name w:val="heading 8"/>
    <w:basedOn w:val="Normal"/>
    <w:next w:val="Normal"/>
    <w:link w:val="Heading8Char"/>
    <w:uiPriority w:val="99"/>
    <w:qFormat/>
    <w:rsid w:val="007C12C4"/>
    <w:pPr>
      <w:tabs>
        <w:tab w:val="num" w:pos="1440"/>
      </w:tabs>
      <w:spacing w:before="240" w:after="60"/>
      <w:ind w:left="1440" w:hanging="1440"/>
      <w:outlineLvl w:val="7"/>
    </w:pPr>
    <w:rPr>
      <w:i/>
      <w:iCs/>
      <w:lang w:val="en-AU"/>
    </w:rPr>
  </w:style>
  <w:style w:type="paragraph" w:styleId="Heading9">
    <w:name w:val="heading 9"/>
    <w:basedOn w:val="Normal"/>
    <w:next w:val="Normal"/>
    <w:link w:val="Heading9Char"/>
    <w:uiPriority w:val="99"/>
    <w:qFormat/>
    <w:rsid w:val="007C12C4"/>
    <w:pPr>
      <w:tabs>
        <w:tab w:val="num" w:pos="1584"/>
      </w:tabs>
      <w:spacing w:before="240" w:after="60"/>
      <w:ind w:left="1584" w:hanging="1584"/>
      <w:outlineLvl w:val="8"/>
    </w:pPr>
    <w:rPr>
      <w:rFonts w:ascii="Arial" w:hAnsi="Arial" w:cs="Arial"/>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69A"/>
    <w:rPr>
      <w:rFonts w:asciiTheme="minorHAnsi" w:hAnsiTheme="minorHAnsi"/>
      <w:b/>
      <w:bCs/>
      <w:color w:val="676A55" w:themeColor="text2"/>
      <w:sz w:val="24"/>
      <w:szCs w:val="26"/>
      <w:lang w:val="en-GB" w:eastAsia="en-US"/>
    </w:rPr>
  </w:style>
  <w:style w:type="character" w:customStyle="1" w:styleId="Heading2Char">
    <w:name w:val="Heading 2 Char"/>
    <w:basedOn w:val="DefaultParagraphFont"/>
    <w:link w:val="Heading2"/>
    <w:uiPriority w:val="99"/>
    <w:locked/>
    <w:rsid w:val="00CD52CD"/>
    <w:rPr>
      <w:rFonts w:ascii="Calibri" w:hAnsi="Calibri"/>
      <w:b/>
      <w:smallCaps/>
      <w:color w:val="676A55" w:themeColor="text2"/>
      <w:sz w:val="22"/>
      <w:szCs w:val="24"/>
      <w:lang w:val="en-GB" w:eastAsia="en-US"/>
    </w:rPr>
  </w:style>
  <w:style w:type="character" w:customStyle="1" w:styleId="Heading3Char">
    <w:name w:val="Heading 3 Char"/>
    <w:basedOn w:val="DefaultParagraphFont"/>
    <w:link w:val="Heading3"/>
    <w:uiPriority w:val="99"/>
    <w:locked/>
    <w:rsid w:val="00E722C9"/>
    <w:rPr>
      <w:rFonts w:asciiTheme="minorHAnsi" w:hAnsiTheme="minorHAnsi" w:cstheme="minorHAnsi"/>
      <w:b/>
      <w:bCs/>
      <w:sz w:val="24"/>
      <w:szCs w:val="24"/>
      <w:lang w:val="en-GB" w:eastAsia="en-US"/>
    </w:rPr>
  </w:style>
  <w:style w:type="character" w:customStyle="1" w:styleId="Heading4Char">
    <w:name w:val="Heading 4 Char"/>
    <w:basedOn w:val="DefaultParagraphFont"/>
    <w:link w:val="Heading4"/>
    <w:uiPriority w:val="99"/>
    <w:semiHidden/>
    <w:locked/>
    <w:rsid w:val="00943710"/>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943710"/>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943710"/>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943710"/>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943710"/>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943710"/>
    <w:rPr>
      <w:rFonts w:ascii="Cambria" w:hAnsi="Cambria" w:cs="Times New Roman"/>
      <w:lang w:val="en-US" w:eastAsia="en-US"/>
    </w:rPr>
  </w:style>
  <w:style w:type="paragraph" w:customStyle="1" w:styleId="Style3">
    <w:name w:val="Style3"/>
    <w:basedOn w:val="Heading2"/>
    <w:autoRedefine/>
    <w:uiPriority w:val="99"/>
    <w:rsid w:val="00E6143A"/>
    <w:pPr>
      <w:numPr>
        <w:ilvl w:val="1"/>
        <w:numId w:val="1"/>
      </w:numPr>
    </w:pPr>
    <w:rPr>
      <w:rFonts w:ascii="Arial Narrow" w:hAnsi="Arial Narrow"/>
      <w:lang w:val="en-AU" w:eastAsia="en-AU"/>
    </w:rPr>
  </w:style>
  <w:style w:type="paragraph" w:styleId="Header">
    <w:name w:val="header"/>
    <w:basedOn w:val="Normal"/>
    <w:link w:val="HeaderChar"/>
    <w:uiPriority w:val="99"/>
    <w:rsid w:val="004E7497"/>
    <w:pPr>
      <w:tabs>
        <w:tab w:val="center" w:pos="4320"/>
        <w:tab w:val="right" w:pos="8640"/>
      </w:tabs>
    </w:pPr>
  </w:style>
  <w:style w:type="character" w:customStyle="1" w:styleId="HeaderChar">
    <w:name w:val="Header Char"/>
    <w:basedOn w:val="DefaultParagraphFont"/>
    <w:link w:val="Header"/>
    <w:uiPriority w:val="99"/>
    <w:semiHidden/>
    <w:locked/>
    <w:rsid w:val="00943710"/>
    <w:rPr>
      <w:rFonts w:cs="Times New Roman"/>
      <w:sz w:val="24"/>
      <w:szCs w:val="24"/>
      <w:lang w:val="en-US" w:eastAsia="en-US"/>
    </w:rPr>
  </w:style>
  <w:style w:type="paragraph" w:styleId="Footer">
    <w:name w:val="footer"/>
    <w:basedOn w:val="Normal"/>
    <w:link w:val="FooterChar"/>
    <w:uiPriority w:val="99"/>
    <w:rsid w:val="004E7497"/>
    <w:pPr>
      <w:tabs>
        <w:tab w:val="center" w:pos="4320"/>
        <w:tab w:val="right" w:pos="8640"/>
      </w:tabs>
    </w:pPr>
  </w:style>
  <w:style w:type="character" w:customStyle="1" w:styleId="FooterChar">
    <w:name w:val="Footer Char"/>
    <w:basedOn w:val="DefaultParagraphFont"/>
    <w:link w:val="Footer"/>
    <w:uiPriority w:val="99"/>
    <w:locked/>
    <w:rsid w:val="00943710"/>
    <w:rPr>
      <w:rFonts w:cs="Times New Roman"/>
      <w:sz w:val="24"/>
      <w:szCs w:val="24"/>
      <w:lang w:val="en-US" w:eastAsia="en-US"/>
    </w:rPr>
  </w:style>
  <w:style w:type="character" w:styleId="PageNumber">
    <w:name w:val="page number"/>
    <w:basedOn w:val="DefaultParagraphFont"/>
    <w:uiPriority w:val="99"/>
    <w:rsid w:val="004E7497"/>
    <w:rPr>
      <w:rFonts w:cs="Times New Roman"/>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uiPriority w:val="99"/>
    <w:rsid w:val="009B286C"/>
    <w:pPr>
      <w:spacing w:after="60"/>
    </w:pPr>
    <w:rPr>
      <w:rFonts w:asciiTheme="minorHAnsi" w:hAnsiTheme="minorHAnsi"/>
      <w:sz w:val="20"/>
      <w:szCs w:val="20"/>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uiPriority w:val="99"/>
    <w:locked/>
    <w:rsid w:val="009B286C"/>
    <w:rPr>
      <w:rFonts w:asciiTheme="minorHAnsi" w:hAnsiTheme="minorHAnsi"/>
      <w:lang w:val="en-US" w:eastAsia="en-US"/>
    </w:rPr>
  </w:style>
  <w:style w:type="character" w:styleId="FootnoteReference">
    <w:name w:val="footnote reference"/>
    <w:aliases w:val="ftref,(NECG) Footnote Reference,Ref,de nota al pie,Normal + Font:9 Point,Superscript 3 Point Times,fr,Used by Word for Help footnote symbols,Footnote Reference Number,16 Point,Superscript 6 Point"/>
    <w:basedOn w:val="DefaultParagraphFont"/>
    <w:uiPriority w:val="99"/>
    <w:rsid w:val="00193F7C"/>
    <w:rPr>
      <w:rFonts w:cs="Times New Roman"/>
      <w:vertAlign w:val="superscript"/>
    </w:rPr>
  </w:style>
  <w:style w:type="paragraph" w:styleId="BalloonText">
    <w:name w:val="Balloon Text"/>
    <w:basedOn w:val="Normal"/>
    <w:link w:val="BalloonTextChar"/>
    <w:uiPriority w:val="99"/>
    <w:semiHidden/>
    <w:rsid w:val="000438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10"/>
    <w:rPr>
      <w:rFonts w:cs="Times New Roman"/>
      <w:sz w:val="2"/>
      <w:lang w:val="en-US" w:eastAsia="en-US"/>
    </w:rPr>
  </w:style>
  <w:style w:type="paragraph" w:customStyle="1" w:styleId="CONLevel1">
    <w:name w:val=".CON  Level   1."/>
    <w:basedOn w:val="Normal"/>
    <w:next w:val="Normal"/>
    <w:uiPriority w:val="99"/>
    <w:rsid w:val="00D50833"/>
    <w:pPr>
      <w:keepNext/>
      <w:numPr>
        <w:numId w:val="3"/>
      </w:numPr>
      <w:spacing w:before="240"/>
      <w:outlineLvl w:val="1"/>
    </w:pPr>
    <w:rPr>
      <w:b/>
      <w:szCs w:val="22"/>
      <w:lang w:val="en-AU"/>
    </w:rPr>
  </w:style>
  <w:style w:type="paragraph" w:customStyle="1" w:styleId="CONLevel11">
    <w:name w:val=".CON  Level   1.1"/>
    <w:basedOn w:val="Normal"/>
    <w:next w:val="Normal"/>
    <w:link w:val="CONLevel11Char"/>
    <w:rsid w:val="00D50833"/>
    <w:pPr>
      <w:numPr>
        <w:ilvl w:val="1"/>
        <w:numId w:val="3"/>
      </w:numPr>
      <w:spacing w:before="240"/>
      <w:outlineLvl w:val="2"/>
    </w:pPr>
    <w:rPr>
      <w:szCs w:val="22"/>
      <w:lang w:val="en-AU"/>
    </w:rPr>
  </w:style>
  <w:style w:type="paragraph" w:customStyle="1" w:styleId="CONLevela">
    <w:name w:val=".CON  Level  (a)"/>
    <w:basedOn w:val="Normal"/>
    <w:next w:val="Normal"/>
    <w:uiPriority w:val="99"/>
    <w:rsid w:val="00D50833"/>
    <w:pPr>
      <w:numPr>
        <w:ilvl w:val="2"/>
        <w:numId w:val="3"/>
      </w:numPr>
      <w:spacing w:before="240"/>
      <w:outlineLvl w:val="3"/>
    </w:pPr>
    <w:rPr>
      <w:szCs w:val="22"/>
      <w:lang w:val="en-AU"/>
    </w:rPr>
  </w:style>
  <w:style w:type="paragraph" w:customStyle="1" w:styleId="CONLeveli">
    <w:name w:val=".CON  Level  (i)"/>
    <w:basedOn w:val="Normal"/>
    <w:next w:val="Normal"/>
    <w:uiPriority w:val="99"/>
    <w:rsid w:val="00D50833"/>
    <w:pPr>
      <w:numPr>
        <w:ilvl w:val="3"/>
        <w:numId w:val="3"/>
      </w:numPr>
      <w:spacing w:before="240"/>
      <w:outlineLvl w:val="4"/>
    </w:pPr>
    <w:rPr>
      <w:szCs w:val="22"/>
      <w:lang w:val="en-AU"/>
    </w:rPr>
  </w:style>
  <w:style w:type="paragraph" w:customStyle="1" w:styleId="CONLevelA0">
    <w:name w:val=".CON  Level (A)"/>
    <w:basedOn w:val="Normal"/>
    <w:next w:val="Normal"/>
    <w:uiPriority w:val="99"/>
    <w:rsid w:val="00D50833"/>
    <w:pPr>
      <w:numPr>
        <w:ilvl w:val="4"/>
        <w:numId w:val="3"/>
      </w:numPr>
      <w:spacing w:before="240"/>
      <w:outlineLvl w:val="5"/>
    </w:pPr>
    <w:rPr>
      <w:szCs w:val="22"/>
      <w:lang w:val="en-AU"/>
    </w:rPr>
  </w:style>
  <w:style w:type="paragraph" w:customStyle="1" w:styleId="CONLevelI0">
    <w:name w:val=".CON  Level (I)"/>
    <w:basedOn w:val="Normal"/>
    <w:next w:val="Normal"/>
    <w:uiPriority w:val="99"/>
    <w:rsid w:val="00D50833"/>
    <w:pPr>
      <w:numPr>
        <w:ilvl w:val="5"/>
        <w:numId w:val="3"/>
      </w:numPr>
      <w:spacing w:before="240"/>
      <w:outlineLvl w:val="6"/>
    </w:pPr>
    <w:rPr>
      <w:szCs w:val="22"/>
      <w:lang w:val="en-AU"/>
    </w:rPr>
  </w:style>
  <w:style w:type="character" w:styleId="CommentReference">
    <w:name w:val="annotation reference"/>
    <w:basedOn w:val="DefaultParagraphFont"/>
    <w:uiPriority w:val="99"/>
    <w:semiHidden/>
    <w:rsid w:val="00D50833"/>
    <w:rPr>
      <w:rFonts w:cs="Times New Roman"/>
      <w:sz w:val="16"/>
      <w:szCs w:val="16"/>
    </w:rPr>
  </w:style>
  <w:style w:type="paragraph" w:styleId="CommentText">
    <w:name w:val="annotation text"/>
    <w:basedOn w:val="Normal"/>
    <w:link w:val="CommentTextChar"/>
    <w:uiPriority w:val="99"/>
    <w:rsid w:val="00D50833"/>
    <w:rPr>
      <w:sz w:val="20"/>
      <w:szCs w:val="20"/>
    </w:rPr>
  </w:style>
  <w:style w:type="character" w:customStyle="1" w:styleId="CommentTextChar">
    <w:name w:val="Comment Text Char"/>
    <w:basedOn w:val="DefaultParagraphFont"/>
    <w:link w:val="CommentText"/>
    <w:uiPriority w:val="99"/>
    <w:locked/>
    <w:rsid w:val="006D6E0C"/>
    <w:rPr>
      <w:rFonts w:cs="Times New Roman"/>
      <w:lang w:val="en-US" w:eastAsia="en-US"/>
    </w:rPr>
  </w:style>
  <w:style w:type="paragraph" w:styleId="BodyText">
    <w:name w:val="Body Text"/>
    <w:basedOn w:val="Normal"/>
    <w:link w:val="BodyTextChar"/>
    <w:uiPriority w:val="99"/>
    <w:rsid w:val="00272B6F"/>
    <w:pPr>
      <w:numPr>
        <w:numId w:val="2"/>
      </w:numPr>
      <w:spacing w:before="120" w:line="276" w:lineRule="auto"/>
    </w:pPr>
  </w:style>
  <w:style w:type="character" w:customStyle="1" w:styleId="BodyTextChar">
    <w:name w:val="Body Text Char"/>
    <w:basedOn w:val="DefaultParagraphFont"/>
    <w:link w:val="BodyText"/>
    <w:uiPriority w:val="99"/>
    <w:locked/>
    <w:rsid w:val="00272B6F"/>
    <w:rPr>
      <w:rFonts w:ascii="Calibri" w:hAnsi="Calibri"/>
      <w:sz w:val="22"/>
      <w:szCs w:val="24"/>
      <w:lang w:val="en-US" w:eastAsia="en-US"/>
    </w:rPr>
  </w:style>
  <w:style w:type="paragraph" w:styleId="CommentSubject">
    <w:name w:val="annotation subject"/>
    <w:basedOn w:val="CommentText"/>
    <w:next w:val="CommentText"/>
    <w:link w:val="CommentSubjectChar"/>
    <w:uiPriority w:val="99"/>
    <w:rsid w:val="006D6E0C"/>
    <w:rPr>
      <w:b/>
      <w:bCs/>
    </w:rPr>
  </w:style>
  <w:style w:type="character" w:customStyle="1" w:styleId="CommentSubjectChar">
    <w:name w:val="Comment Subject Char"/>
    <w:basedOn w:val="CommentTextChar"/>
    <w:link w:val="CommentSubject"/>
    <w:uiPriority w:val="99"/>
    <w:locked/>
    <w:rsid w:val="006D6E0C"/>
    <w:rPr>
      <w:rFonts w:cs="Times New Roman"/>
      <w:lang w:val="en-US" w:eastAsia="en-US"/>
    </w:rPr>
  </w:style>
  <w:style w:type="paragraph" w:customStyle="1" w:styleId="Heading1nonumber">
    <w:name w:val="Heading 1 no number"/>
    <w:basedOn w:val="Heading1"/>
    <w:next w:val="Normal"/>
    <w:uiPriority w:val="99"/>
    <w:rsid w:val="00625C16"/>
    <w:pPr>
      <w:pageBreakBefore/>
      <w:spacing w:after="240"/>
      <w:ind w:left="0" w:firstLine="0"/>
    </w:pPr>
    <w:rPr>
      <w:rFonts w:ascii="Arial" w:hAnsi="Arial"/>
      <w:bCs w:val="0"/>
      <w:color w:val="000000"/>
      <w:sz w:val="36"/>
      <w:szCs w:val="20"/>
    </w:rPr>
  </w:style>
  <w:style w:type="paragraph" w:customStyle="1" w:styleId="Para0nospaceafter">
    <w:name w:val="Para 0 no space after"/>
    <w:basedOn w:val="Normal"/>
    <w:uiPriority w:val="99"/>
    <w:rsid w:val="00625C16"/>
    <w:pPr>
      <w:spacing w:line="300" w:lineRule="auto"/>
    </w:pPr>
    <w:rPr>
      <w:color w:val="000000"/>
      <w:szCs w:val="20"/>
      <w:lang w:val="en-AU"/>
    </w:rPr>
  </w:style>
  <w:style w:type="table" w:styleId="TableGrid">
    <w:name w:val="Table Grid"/>
    <w:basedOn w:val="TableNormal"/>
    <w:uiPriority w:val="59"/>
    <w:rsid w:val="0062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link w:val="Para0Char"/>
    <w:uiPriority w:val="99"/>
    <w:rsid w:val="0032476F"/>
    <w:pPr>
      <w:spacing w:after="220" w:line="300" w:lineRule="auto"/>
    </w:pPr>
    <w:rPr>
      <w:color w:val="000000"/>
      <w:szCs w:val="20"/>
      <w:lang w:val="en-GB"/>
    </w:rPr>
  </w:style>
  <w:style w:type="paragraph" w:styleId="Caption">
    <w:name w:val="caption"/>
    <w:basedOn w:val="Para0"/>
    <w:next w:val="Para0"/>
    <w:uiPriority w:val="99"/>
    <w:qFormat/>
    <w:rsid w:val="0032476F"/>
    <w:pPr>
      <w:keepNext/>
      <w:keepLines/>
      <w:numPr>
        <w:numId w:val="4"/>
      </w:numPr>
      <w:tabs>
        <w:tab w:val="left" w:pos="397"/>
        <w:tab w:val="num" w:pos="540"/>
      </w:tabs>
      <w:spacing w:after="120" w:line="240" w:lineRule="auto"/>
      <w:ind w:left="540" w:hanging="540"/>
    </w:pPr>
    <w:rPr>
      <w:rFonts w:ascii="Arial" w:hAnsi="Arial"/>
      <w:b/>
      <w:color w:val="808000"/>
      <w:sz w:val="20"/>
    </w:rPr>
  </w:style>
  <w:style w:type="character" w:customStyle="1" w:styleId="Para0Char">
    <w:name w:val="Para 0 Char"/>
    <w:link w:val="Para0"/>
    <w:uiPriority w:val="99"/>
    <w:locked/>
    <w:rsid w:val="0032476F"/>
    <w:rPr>
      <w:color w:val="000000"/>
      <w:sz w:val="22"/>
      <w:lang w:val="en-GB" w:eastAsia="en-US"/>
    </w:rPr>
  </w:style>
  <w:style w:type="paragraph" w:customStyle="1" w:styleId="Para0Roman">
    <w:name w:val="Para 0 Roman"/>
    <w:basedOn w:val="Para0"/>
    <w:uiPriority w:val="99"/>
    <w:rsid w:val="0032476F"/>
    <w:pPr>
      <w:numPr>
        <w:numId w:val="5"/>
      </w:numPr>
      <w:spacing w:after="60"/>
    </w:pPr>
  </w:style>
  <w:style w:type="character" w:customStyle="1" w:styleId="MajorHeadin">
    <w:name w:val="Major Headin"/>
    <w:basedOn w:val="DefaultParagraphFont"/>
    <w:uiPriority w:val="99"/>
    <w:rsid w:val="00085D2D"/>
    <w:rPr>
      <w:rFonts w:cs="Times New Roman"/>
    </w:rPr>
  </w:style>
  <w:style w:type="paragraph" w:customStyle="1" w:styleId="List-bullet-1">
    <w:name w:val="List-bullet-1"/>
    <w:basedOn w:val="Normal"/>
    <w:link w:val="List-bullet-1Char"/>
    <w:uiPriority w:val="99"/>
    <w:rsid w:val="0018740B"/>
    <w:pPr>
      <w:numPr>
        <w:numId w:val="6"/>
      </w:numPr>
      <w:spacing w:before="120"/>
    </w:pPr>
    <w:rPr>
      <w:rFonts w:ascii="Arial" w:hAnsi="Arial"/>
      <w:szCs w:val="20"/>
    </w:rPr>
  </w:style>
  <w:style w:type="character" w:customStyle="1" w:styleId="List-bullet-1Char">
    <w:name w:val="List-bullet-1 Char"/>
    <w:link w:val="List-bullet-1"/>
    <w:uiPriority w:val="99"/>
    <w:locked/>
    <w:rsid w:val="0018740B"/>
    <w:rPr>
      <w:rFonts w:ascii="Arial" w:hAnsi="Arial"/>
      <w:sz w:val="22"/>
      <w:lang w:val="en-US" w:eastAsia="en-US"/>
    </w:rPr>
  </w:style>
  <w:style w:type="paragraph" w:styleId="ListParagraph">
    <w:name w:val="List Paragraph"/>
    <w:basedOn w:val="Normal"/>
    <w:link w:val="ListParagraphChar"/>
    <w:uiPriority w:val="34"/>
    <w:qFormat/>
    <w:rsid w:val="0018740B"/>
    <w:pPr>
      <w:ind w:left="720"/>
      <w:contextualSpacing/>
    </w:pPr>
    <w:rPr>
      <w:lang w:val="en-AU" w:eastAsia="en-AU"/>
    </w:rPr>
  </w:style>
  <w:style w:type="character" w:customStyle="1" w:styleId="FootnoteTextChar1">
    <w:name w:val="Footnote Text Char1"/>
    <w:aliases w:val="single space Char1,Footnote Text Char Char Char Char Char2,Footnote Text Char Char Char Char Char Char1,Footnote Text Char Char Char Char Char Char Char Char Char Char1,Footnote Text Char Char Char Char Char Char Char Char Char2"/>
    <w:semiHidden/>
    <w:locked/>
    <w:rsid w:val="0018740B"/>
    <w:rPr>
      <w:rFonts w:ascii="Arial Narrow" w:hAnsi="Arial Narrow"/>
      <w:sz w:val="20"/>
      <w:lang w:val="pt-PT" w:eastAsia="en-US"/>
    </w:rPr>
  </w:style>
  <w:style w:type="paragraph" w:styleId="TOC1">
    <w:name w:val="toc 1"/>
    <w:basedOn w:val="Normal"/>
    <w:next w:val="Normal"/>
    <w:autoRedefine/>
    <w:uiPriority w:val="39"/>
    <w:rsid w:val="008B3A79"/>
    <w:pPr>
      <w:tabs>
        <w:tab w:val="left" w:pos="426"/>
        <w:tab w:val="right" w:leader="dot" w:pos="8828"/>
      </w:tabs>
      <w:spacing w:after="100"/>
    </w:pPr>
    <w:rPr>
      <w:rFonts w:asciiTheme="minorHAnsi" w:hAnsiTheme="minorHAnsi"/>
      <w:sz w:val="26"/>
    </w:rPr>
  </w:style>
  <w:style w:type="character" w:styleId="Hyperlink">
    <w:name w:val="Hyperlink"/>
    <w:basedOn w:val="DefaultParagraphFont"/>
    <w:uiPriority w:val="99"/>
    <w:rsid w:val="002903EB"/>
    <w:rPr>
      <w:rFonts w:cs="Times New Roman"/>
      <w:color w:val="0000FF"/>
      <w:u w:val="single"/>
    </w:rPr>
  </w:style>
  <w:style w:type="paragraph" w:styleId="Title">
    <w:name w:val="Title"/>
    <w:basedOn w:val="Normal"/>
    <w:next w:val="Normal"/>
    <w:link w:val="TitleChar"/>
    <w:uiPriority w:val="99"/>
    <w:qFormat/>
    <w:rsid w:val="00DF64CF"/>
    <w:pPr>
      <w:pBdr>
        <w:bottom w:val="single" w:sz="8" w:space="4" w:color="4F81BD"/>
      </w:pBdr>
      <w:spacing w:after="300"/>
      <w:contextualSpacing/>
    </w:pPr>
    <w:rPr>
      <w:rFonts w:ascii="Cambria" w:hAnsi="Cambria"/>
      <w:color w:val="17365D"/>
      <w:spacing w:val="5"/>
      <w:kern w:val="28"/>
      <w:sz w:val="48"/>
      <w:szCs w:val="48"/>
    </w:rPr>
  </w:style>
  <w:style w:type="character" w:customStyle="1" w:styleId="TitleChar">
    <w:name w:val="Title Char"/>
    <w:basedOn w:val="DefaultParagraphFont"/>
    <w:link w:val="Title"/>
    <w:uiPriority w:val="99"/>
    <w:locked/>
    <w:rsid w:val="00DF64CF"/>
    <w:rPr>
      <w:rFonts w:ascii="Cambria" w:hAnsi="Cambria"/>
      <w:color w:val="17365D"/>
      <w:spacing w:val="5"/>
      <w:kern w:val="28"/>
      <w:sz w:val="48"/>
      <w:szCs w:val="48"/>
      <w:lang w:val="en-US" w:eastAsia="en-US"/>
    </w:rPr>
  </w:style>
  <w:style w:type="paragraph" w:customStyle="1" w:styleId="List-number-2">
    <w:name w:val="List-number-2"/>
    <w:basedOn w:val="Normal"/>
    <w:uiPriority w:val="99"/>
    <w:rsid w:val="00D148D1"/>
    <w:pPr>
      <w:numPr>
        <w:ilvl w:val="1"/>
        <w:numId w:val="7"/>
      </w:numPr>
      <w:spacing w:before="120"/>
    </w:pPr>
    <w:rPr>
      <w:rFonts w:ascii="Arial" w:hAnsi="Arial"/>
      <w:sz w:val="20"/>
      <w:lang w:val="en-AU"/>
    </w:rPr>
  </w:style>
  <w:style w:type="paragraph" w:customStyle="1" w:styleId="List-number-1">
    <w:name w:val="List-number-1"/>
    <w:basedOn w:val="Normal"/>
    <w:link w:val="List-number-1Char"/>
    <w:uiPriority w:val="99"/>
    <w:rsid w:val="00D148D1"/>
    <w:pPr>
      <w:numPr>
        <w:numId w:val="7"/>
      </w:numPr>
      <w:spacing w:before="120"/>
    </w:pPr>
    <w:rPr>
      <w:rFonts w:ascii="Arial" w:hAnsi="Arial"/>
      <w:sz w:val="20"/>
      <w:lang w:val="en-AU"/>
    </w:rPr>
  </w:style>
  <w:style w:type="character" w:customStyle="1" w:styleId="List-number-1Char">
    <w:name w:val="List-number-1 Char"/>
    <w:basedOn w:val="DefaultParagraphFont"/>
    <w:link w:val="List-number-1"/>
    <w:uiPriority w:val="99"/>
    <w:locked/>
    <w:rsid w:val="00D148D1"/>
    <w:rPr>
      <w:rFonts w:ascii="Arial" w:hAnsi="Arial"/>
      <w:szCs w:val="24"/>
      <w:lang w:eastAsia="en-US"/>
    </w:rPr>
  </w:style>
  <w:style w:type="paragraph" w:customStyle="1" w:styleId="Default">
    <w:name w:val="Default"/>
    <w:uiPriority w:val="99"/>
    <w:rsid w:val="001D6226"/>
    <w:pPr>
      <w:autoSpaceDE w:val="0"/>
      <w:autoSpaceDN w:val="0"/>
      <w:adjustRightInd w:val="0"/>
    </w:pPr>
    <w:rPr>
      <w:color w:val="000000"/>
      <w:sz w:val="24"/>
      <w:szCs w:val="24"/>
      <w:lang w:val="en-US"/>
    </w:rPr>
  </w:style>
  <w:style w:type="paragraph" w:styleId="NoSpacing">
    <w:name w:val="No Spacing"/>
    <w:uiPriority w:val="1"/>
    <w:qFormat/>
    <w:rsid w:val="00CA6929"/>
    <w:rPr>
      <w:rFonts w:asciiTheme="minorHAnsi" w:eastAsiaTheme="minorHAnsi" w:hAnsiTheme="minorHAnsi" w:cstheme="minorBidi"/>
      <w:sz w:val="22"/>
      <w:szCs w:val="22"/>
      <w:lang w:eastAsia="en-US"/>
    </w:rPr>
  </w:style>
  <w:style w:type="character" w:customStyle="1" w:styleId="CONLevel11Char">
    <w:name w:val=".CON  Level   1.1 Char"/>
    <w:link w:val="CONLevel11"/>
    <w:locked/>
    <w:rsid w:val="00DC2E70"/>
    <w:rPr>
      <w:rFonts w:ascii="Calibri" w:hAnsi="Calibri"/>
      <w:sz w:val="22"/>
      <w:szCs w:val="22"/>
      <w:lang w:eastAsia="en-US"/>
    </w:rPr>
  </w:style>
  <w:style w:type="paragraph" w:customStyle="1" w:styleId="Bodytxt">
    <w:name w:val="Bodytxt"/>
    <w:basedOn w:val="Normal"/>
    <w:link w:val="BodytxtChar"/>
    <w:rsid w:val="001973C4"/>
    <w:pPr>
      <w:ind w:left="720"/>
      <w:jc w:val="both"/>
    </w:pPr>
    <w:rPr>
      <w:lang w:val="en-AU"/>
    </w:rPr>
  </w:style>
  <w:style w:type="character" w:customStyle="1" w:styleId="BodytxtChar">
    <w:name w:val="Bodytxt Char"/>
    <w:link w:val="Bodytxt"/>
    <w:rsid w:val="001973C4"/>
    <w:rPr>
      <w:rFonts w:ascii="Calibri" w:hAnsi="Calibri"/>
      <w:sz w:val="22"/>
      <w:szCs w:val="24"/>
      <w:lang w:eastAsia="en-US"/>
    </w:rPr>
  </w:style>
  <w:style w:type="character" w:customStyle="1" w:styleId="ListParagraphChar">
    <w:name w:val="List Paragraph Char"/>
    <w:basedOn w:val="DefaultParagraphFont"/>
    <w:link w:val="ListParagraph"/>
    <w:uiPriority w:val="34"/>
    <w:rsid w:val="00D028E9"/>
    <w:rPr>
      <w:rFonts w:ascii="Calibri" w:hAnsi="Calibri"/>
      <w:sz w:val="22"/>
      <w:szCs w:val="24"/>
    </w:rPr>
  </w:style>
  <w:style w:type="character" w:styleId="IntenseReference">
    <w:name w:val="Intense Reference"/>
    <w:basedOn w:val="DefaultParagraphFont"/>
    <w:uiPriority w:val="32"/>
    <w:qFormat/>
    <w:rsid w:val="00CD52CD"/>
    <w:rPr>
      <w:b/>
      <w:bCs/>
      <w:smallCaps/>
      <w:color w:val="72A376" w:themeColor="accent1"/>
      <w:spacing w:val="5"/>
    </w:rPr>
  </w:style>
  <w:style w:type="character" w:styleId="Strong">
    <w:name w:val="Strong"/>
    <w:basedOn w:val="IntenseReference"/>
    <w:qFormat/>
    <w:locked/>
    <w:rsid w:val="00CD52CD"/>
    <w:rPr>
      <w:b/>
      <w:bCs/>
      <w:smallCaps/>
      <w:color w:val="676A55" w:themeColor="text2"/>
      <w:spacing w:val="5"/>
    </w:rPr>
  </w:style>
  <w:style w:type="character" w:styleId="FollowedHyperlink">
    <w:name w:val="FollowedHyperlink"/>
    <w:basedOn w:val="DefaultParagraphFont"/>
    <w:uiPriority w:val="99"/>
    <w:semiHidden/>
    <w:unhideWhenUsed/>
    <w:rsid w:val="00571F5B"/>
    <w:rPr>
      <w:color w:val="903638" w:themeColor="followedHyperlink"/>
      <w:u w:val="single"/>
    </w:rPr>
  </w:style>
  <w:style w:type="table" w:customStyle="1" w:styleId="CoffeyGrey">
    <w:name w:val="Coffey Grey"/>
    <w:basedOn w:val="TableGrid"/>
    <w:uiPriority w:val="99"/>
    <w:rsid w:val="00BA1D74"/>
    <w:rPr>
      <w:rFonts w:asciiTheme="minorHAnsi" w:eastAsiaTheme="minorEastAsia" w:hAnsiTheme="minorHAnsi" w:cstheme="minorBidi"/>
      <w:sz w:val="24"/>
      <w:szCs w:val="24"/>
      <w:lang w:val="en-US" w:eastAsia="en-US"/>
    </w:rPr>
    <w:tblPr/>
  </w:style>
  <w:style w:type="paragraph" w:customStyle="1" w:styleId="Leveli">
    <w:name w:val="Level (i)"/>
    <w:basedOn w:val="Normal"/>
    <w:rsid w:val="00161F35"/>
    <w:pPr>
      <w:tabs>
        <w:tab w:val="num" w:pos="2160"/>
      </w:tabs>
      <w:spacing w:before="240" w:after="0" w:line="240" w:lineRule="auto"/>
      <w:ind w:left="2160" w:hanging="720"/>
    </w:pPr>
    <w:rPr>
      <w:rFonts w:ascii="Times New Roman" w:hAnsi="Times New Roman"/>
      <w:sz w:val="24"/>
      <w:szCs w:val="22"/>
      <w:lang w:val="en-AU"/>
    </w:rPr>
  </w:style>
  <w:style w:type="character" w:styleId="Emphasis">
    <w:name w:val="Emphasis"/>
    <w:basedOn w:val="DefaultParagraphFont"/>
    <w:uiPriority w:val="20"/>
    <w:qFormat/>
    <w:locked/>
    <w:rsid w:val="00161F35"/>
    <w:rPr>
      <w:b/>
      <w:bCs/>
      <w:i w:val="0"/>
      <w:iCs w:val="0"/>
    </w:rPr>
  </w:style>
  <w:style w:type="paragraph" w:styleId="TOCHeading">
    <w:name w:val="TOC Heading"/>
    <w:basedOn w:val="Heading1"/>
    <w:next w:val="Normal"/>
    <w:uiPriority w:val="39"/>
    <w:unhideWhenUsed/>
    <w:qFormat/>
    <w:rsid w:val="00781AEF"/>
    <w:pPr>
      <w:keepLines/>
      <w:numPr>
        <w:numId w:val="0"/>
      </w:numPr>
      <w:spacing w:line="259" w:lineRule="auto"/>
      <w:outlineLvl w:val="9"/>
    </w:pPr>
    <w:rPr>
      <w:rFonts w:asciiTheme="majorHAnsi" w:eastAsiaTheme="majorEastAsia" w:hAnsiTheme="majorHAnsi" w:cstheme="majorBidi"/>
      <w:b w:val="0"/>
      <w:bCs w:val="0"/>
      <w:color w:val="527D55" w:themeColor="accent1" w:themeShade="BF"/>
      <w:sz w:val="32"/>
      <w:szCs w:val="32"/>
      <w:lang w:val="en-US"/>
    </w:rPr>
  </w:style>
  <w:style w:type="paragraph" w:styleId="TOC2">
    <w:name w:val="toc 2"/>
    <w:basedOn w:val="Normal"/>
    <w:next w:val="Normal"/>
    <w:autoRedefine/>
    <w:uiPriority w:val="39"/>
    <w:unhideWhenUsed/>
    <w:locked/>
    <w:rsid w:val="00781AEF"/>
    <w:pPr>
      <w:spacing w:after="100"/>
      <w:ind w:left="220"/>
    </w:pPr>
  </w:style>
  <w:style w:type="paragraph" w:styleId="TOC3">
    <w:name w:val="toc 3"/>
    <w:basedOn w:val="Normal"/>
    <w:next w:val="Normal"/>
    <w:autoRedefine/>
    <w:uiPriority w:val="39"/>
    <w:unhideWhenUsed/>
    <w:locked/>
    <w:rsid w:val="00781AEF"/>
    <w:pPr>
      <w:spacing w:after="100"/>
      <w:ind w:left="440"/>
    </w:pPr>
  </w:style>
  <w:style w:type="paragraph" w:styleId="Revision">
    <w:name w:val="Revision"/>
    <w:hidden/>
    <w:uiPriority w:val="99"/>
    <w:semiHidden/>
    <w:rsid w:val="002A3F30"/>
    <w:rPr>
      <w:rFonts w:ascii="Calibri" w:hAnsi="Calibri"/>
      <w:sz w:val="22"/>
      <w:szCs w:val="24"/>
      <w:lang w:val="en-US" w:eastAsia="en-US"/>
    </w:rPr>
  </w:style>
  <w:style w:type="paragraph" w:styleId="EndnoteText">
    <w:name w:val="endnote text"/>
    <w:basedOn w:val="Normal"/>
    <w:link w:val="EndnoteTextChar"/>
    <w:uiPriority w:val="99"/>
    <w:semiHidden/>
    <w:unhideWhenUsed/>
    <w:rsid w:val="005066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671"/>
    <w:rPr>
      <w:rFonts w:ascii="Calibri" w:hAnsi="Calibri"/>
      <w:lang w:val="en-US" w:eastAsia="en-US"/>
    </w:rPr>
  </w:style>
  <w:style w:type="character" w:styleId="EndnoteReference">
    <w:name w:val="endnote reference"/>
    <w:basedOn w:val="DefaultParagraphFont"/>
    <w:uiPriority w:val="99"/>
    <w:semiHidden/>
    <w:unhideWhenUsed/>
    <w:rsid w:val="00506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592">
      <w:bodyDiv w:val="1"/>
      <w:marLeft w:val="0"/>
      <w:marRight w:val="0"/>
      <w:marTop w:val="0"/>
      <w:marBottom w:val="0"/>
      <w:divBdr>
        <w:top w:val="none" w:sz="0" w:space="0" w:color="auto"/>
        <w:left w:val="none" w:sz="0" w:space="0" w:color="auto"/>
        <w:bottom w:val="none" w:sz="0" w:space="0" w:color="auto"/>
        <w:right w:val="none" w:sz="0" w:space="0" w:color="auto"/>
      </w:divBdr>
    </w:div>
    <w:div w:id="407578791">
      <w:bodyDiv w:val="1"/>
      <w:marLeft w:val="0"/>
      <w:marRight w:val="0"/>
      <w:marTop w:val="0"/>
      <w:marBottom w:val="0"/>
      <w:divBdr>
        <w:top w:val="none" w:sz="0" w:space="0" w:color="auto"/>
        <w:left w:val="none" w:sz="0" w:space="0" w:color="auto"/>
        <w:bottom w:val="none" w:sz="0" w:space="0" w:color="auto"/>
        <w:right w:val="none" w:sz="0" w:space="0" w:color="auto"/>
      </w:divBdr>
    </w:div>
    <w:div w:id="497964438">
      <w:bodyDiv w:val="1"/>
      <w:marLeft w:val="0"/>
      <w:marRight w:val="0"/>
      <w:marTop w:val="0"/>
      <w:marBottom w:val="0"/>
      <w:divBdr>
        <w:top w:val="none" w:sz="0" w:space="0" w:color="auto"/>
        <w:left w:val="none" w:sz="0" w:space="0" w:color="auto"/>
        <w:bottom w:val="none" w:sz="0" w:space="0" w:color="auto"/>
        <w:right w:val="none" w:sz="0" w:space="0" w:color="auto"/>
      </w:divBdr>
    </w:div>
    <w:div w:id="1057245869">
      <w:bodyDiv w:val="1"/>
      <w:marLeft w:val="0"/>
      <w:marRight w:val="0"/>
      <w:marTop w:val="0"/>
      <w:marBottom w:val="0"/>
      <w:divBdr>
        <w:top w:val="none" w:sz="0" w:space="0" w:color="auto"/>
        <w:left w:val="none" w:sz="0" w:space="0" w:color="auto"/>
        <w:bottom w:val="none" w:sz="0" w:space="0" w:color="auto"/>
        <w:right w:val="none" w:sz="0" w:space="0" w:color="auto"/>
      </w:divBdr>
    </w:div>
    <w:div w:id="1686707148">
      <w:marLeft w:val="0"/>
      <w:marRight w:val="0"/>
      <w:marTop w:val="0"/>
      <w:marBottom w:val="0"/>
      <w:divBdr>
        <w:top w:val="none" w:sz="0" w:space="0" w:color="auto"/>
        <w:left w:val="none" w:sz="0" w:space="0" w:color="auto"/>
        <w:bottom w:val="none" w:sz="0" w:space="0" w:color="auto"/>
        <w:right w:val="none" w:sz="0" w:space="0" w:color="auto"/>
      </w:divBdr>
    </w:div>
    <w:div w:id="19168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fatintranet.titan.satin.lo/managing-aid/other-aid-management-risk-policies/Documents/aid-risk-management/Risk%20Management%20for%20Aid%20Investments%20Better%20Practice%20Guide.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fatintranet.titan.satin.lo/managing-aid/other-aid-management-risk-policies/Pages/child-protection-etc.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t%20Bond\AppData\Local\Microsoft\Windows\Temporary%20Internet%20Files\Content.Outlook\PSUXOZLJ\Annex%204%20Cost%20Compari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Personnel</a:t>
            </a:r>
            <a:r>
              <a:rPr lang="en-US" baseline="0"/>
              <a:t> cost r</a:t>
            </a:r>
            <a:r>
              <a:rPr lang="en-US"/>
              <a:t>atio and exchange rate</a:t>
            </a:r>
          </a:p>
        </c:rich>
      </c:tx>
      <c:overlay val="0"/>
      <c:spPr>
        <a:noFill/>
        <a:ln>
          <a:noFill/>
        </a:ln>
        <a:effectLst/>
      </c:spPr>
    </c:title>
    <c:autoTitleDeleted val="0"/>
    <c:plotArea>
      <c:layout/>
      <c:lineChart>
        <c:grouping val="standard"/>
        <c:varyColors val="0"/>
        <c:ser>
          <c:idx val="0"/>
          <c:order val="0"/>
          <c:tx>
            <c:strRef>
              <c:f>'[Annex 4 Cost Comparison.xlsx]Comparison'!$N$20</c:f>
              <c:strCache>
                <c:ptCount val="1"/>
                <c:pt idx="0">
                  <c:v>Ratio ILO/ARF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'[Annex 4 Cost Comparison.xlsx]Comparison'!$O$19:$W$19</c:f>
              <c:numCache>
                <c:formatCode>General</c:formatCode>
                <c:ptCount val="9"/>
                <c:pt idx="0">
                  <c:v>0.7</c:v>
                </c:pt>
                <c:pt idx="1">
                  <c:v>0.75</c:v>
                </c:pt>
                <c:pt idx="2">
                  <c:v>0.8</c:v>
                </c:pt>
                <c:pt idx="3">
                  <c:v>0.85</c:v>
                </c:pt>
                <c:pt idx="4">
                  <c:v>0.9</c:v>
                </c:pt>
                <c:pt idx="5">
                  <c:v>0.95</c:v>
                </c:pt>
                <c:pt idx="6">
                  <c:v>1</c:v>
                </c:pt>
                <c:pt idx="7">
                  <c:v>1.05</c:v>
                </c:pt>
                <c:pt idx="8">
                  <c:v>1.1000000000000001</c:v>
                </c:pt>
              </c:numCache>
            </c:numRef>
          </c:cat>
          <c:val>
            <c:numRef>
              <c:f>'[Annex 4 Cost Comparison.xlsx]Comparison'!$O$20:$W$20</c:f>
              <c:numCache>
                <c:formatCode>_(* #,##0.00_);_(* \(#,##0.00\);_(* "-"??_);_(@_)</c:formatCode>
                <c:ptCount val="9"/>
                <c:pt idx="0">
                  <c:v>1.2833116412201857</c:v>
                </c:pt>
                <c:pt idx="1">
                  <c:v>1.1977575318055065</c:v>
                </c:pt>
                <c:pt idx="2">
                  <c:v>1.1228976860676625</c:v>
                </c:pt>
                <c:pt idx="3">
                  <c:v>1.0568448810048587</c:v>
                </c:pt>
                <c:pt idx="4">
                  <c:v>0.99813127650458888</c:v>
                </c:pt>
                <c:pt idx="5">
                  <c:v>0.94559805142539977</c:v>
                </c:pt>
                <c:pt idx="6">
                  <c:v>0.89831814885412997</c:v>
                </c:pt>
                <c:pt idx="7">
                  <c:v>0.85554109414679047</c:v>
                </c:pt>
                <c:pt idx="8">
                  <c:v>0.81665286259466352</c:v>
                </c:pt>
              </c:numCache>
            </c:numRef>
          </c:val>
          <c:smooth val="0"/>
          <c:extLst>
            <c:ext xmlns:c16="http://schemas.microsoft.com/office/drawing/2014/chart" uri="{C3380CC4-5D6E-409C-BE32-E72D297353CC}">
              <c16:uniqueId val="{00000000-6FA0-4D2B-AB58-5B64EFB163A0}"/>
            </c:ext>
          </c:extLst>
        </c:ser>
        <c:dLbls>
          <c:showLegendKey val="0"/>
          <c:showVal val="0"/>
          <c:showCatName val="0"/>
          <c:showSerName val="0"/>
          <c:showPercent val="0"/>
          <c:showBubbleSize val="0"/>
        </c:dLbls>
        <c:marker val="1"/>
        <c:smooth val="0"/>
        <c:axId val="644862512"/>
        <c:axId val="642100848"/>
      </c:lineChart>
      <c:catAx>
        <c:axId val="644862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Exchange rate AUD:USD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100848"/>
        <c:crosses val="autoZero"/>
        <c:auto val="1"/>
        <c:lblAlgn val="ctr"/>
        <c:lblOffset val="100"/>
        <c:noMultiLvlLbl val="0"/>
      </c:catAx>
      <c:valAx>
        <c:axId val="642100848"/>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Relative cost ILO:ARF</a:t>
                </a:r>
              </a:p>
            </c:rich>
          </c:tx>
          <c:overlay val="0"/>
          <c:spPr>
            <a:noFill/>
            <a:ln>
              <a:noFill/>
            </a:ln>
            <a:effectLst/>
          </c:sp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6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FH Designs">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8C457-AACC-4B93-B495-336AE2E8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11526</Words>
  <Characters>65699</Characters>
  <Application>Microsoft Office Word</Application>
  <DocSecurity>0</DocSecurity>
  <Lines>547</Lines>
  <Paragraphs>154</Paragraphs>
  <ScaleCrop>false</ScaleCrop>
  <Company/>
  <LinksUpToDate>false</LinksUpToDate>
  <CharactersWithSpaces>77071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Roads for Development (R4D) – Phase II Investment Concept Note</dc:title>
  <dc:creator/>
  <cp:lastModifiedBy/>
  <cp:revision>1</cp:revision>
  <dcterms:created xsi:type="dcterms:W3CDTF">2021-03-29T00:14:00Z</dcterms:created>
  <dcterms:modified xsi:type="dcterms:W3CDTF">2021-03-29T00:14:00Z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500bb2c9-3f09-450e-91ca-c4c7be096526</vt:lpwstr>
  </property>
  <property fmtid="{D5CDD505-2E9C-101B-9397-08002B2CF9AE}" pid="3" name="SEC">
    <vt:lpwstr>OFFICIAL</vt:lpwstr>
  </property>
</Properties>
</file>