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0777" w:rsidRPr="00867443" w:rsidRDefault="00230777" w:rsidP="00230777">
      <w:pPr>
        <w:pStyle w:val="Title"/>
        <w:rPr>
          <w:sz w:val="16"/>
          <w:szCs w:val="16"/>
        </w:rPr>
      </w:pPr>
    </w:p>
    <w:p w:rsidR="00494F98" w:rsidRDefault="00494F98" w:rsidP="00EB398C">
      <w:pPr>
        <w:pStyle w:val="Title"/>
        <w:rPr>
          <w:sz w:val="36"/>
          <w:szCs w:val="36"/>
        </w:rPr>
      </w:pPr>
    </w:p>
    <w:p w:rsidR="00EB398C" w:rsidRDefault="00494F98" w:rsidP="00EB398C">
      <w:pPr>
        <w:pStyle w:val="Title"/>
        <w:rPr>
          <w:sz w:val="36"/>
          <w:szCs w:val="36"/>
        </w:rPr>
      </w:pPr>
      <w:r>
        <w:rPr>
          <w:sz w:val="36"/>
          <w:szCs w:val="36"/>
        </w:rPr>
        <w:t xml:space="preserve">2019-20 </w:t>
      </w:r>
      <w:r w:rsidR="006D630F">
        <w:rPr>
          <w:sz w:val="36"/>
          <w:szCs w:val="36"/>
        </w:rPr>
        <w:t>TIMor-Leste</w:t>
      </w:r>
      <w:r w:rsidR="00235EAB">
        <w:rPr>
          <w:sz w:val="36"/>
          <w:szCs w:val="36"/>
        </w:rPr>
        <w:t xml:space="preserve"> </w:t>
      </w:r>
      <w:r w:rsidR="004C5598">
        <w:rPr>
          <w:sz w:val="36"/>
          <w:szCs w:val="36"/>
        </w:rPr>
        <w:t>development program progress report</w:t>
      </w:r>
      <w:r w:rsidR="00660121">
        <w:rPr>
          <w:sz w:val="36"/>
          <w:szCs w:val="36"/>
        </w:rPr>
        <w:t xml:space="preserve">  </w:t>
      </w:r>
    </w:p>
    <w:p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266"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73.0&#10;Regional – 11.1&#10;Global – 14.3&#10;Other Government Departments – 2.3&#10;Total Australian ODA – 100.7&#10;Note. Actual expenditure is expected to be available in December 2020&#10;"/>
      </w:tblPr>
      <w:tblGrid>
        <w:gridCol w:w="3715"/>
        <w:gridCol w:w="1551"/>
      </w:tblGrid>
      <w:tr w:rsidR="00020C9F" w:rsidTr="00F857E7">
        <w:trPr>
          <w:trHeight w:hRule="exact" w:val="851"/>
        </w:trPr>
        <w:tc>
          <w:tcPr>
            <w:tcW w:w="3715" w:type="dxa"/>
            <w:shd w:val="clear" w:color="auto" w:fill="C1E7E0" w:themeFill="accent1" w:themeFillTint="66"/>
            <w:vAlign w:val="center"/>
          </w:tcPr>
          <w:p w:rsidR="00020C9F" w:rsidRPr="00790965" w:rsidRDefault="00020C9F" w:rsidP="00F857E7">
            <w:pPr>
              <w:pStyle w:val="NormalWeb"/>
              <w:spacing w:before="120" w:beforeAutospacing="0" w:after="60" w:afterAutospacing="0" w:line="200" w:lineRule="exact"/>
              <w:jc w:val="center"/>
              <w:rPr>
                <w:rFonts w:asciiTheme="minorHAnsi" w:hAnsiTheme="minorHAnsi" w:cstheme="majorHAnsi"/>
                <w:b/>
                <w:bCs/>
                <w:kern w:val="24"/>
                <w:sz w:val="20"/>
                <w:szCs w:val="20"/>
              </w:rPr>
            </w:pPr>
            <w:r w:rsidRPr="00790965">
              <w:rPr>
                <w:rFonts w:asciiTheme="minorHAnsi" w:hAnsiTheme="minorHAnsi" w:cstheme="majorHAnsi"/>
                <w:b/>
              </w:rPr>
              <w:t>Program Budget</w:t>
            </w:r>
          </w:p>
        </w:tc>
        <w:tc>
          <w:tcPr>
            <w:tcW w:w="1551" w:type="dxa"/>
            <w:shd w:val="clear" w:color="auto" w:fill="C1E7E0" w:themeFill="accent1" w:themeFillTint="66"/>
            <w:vAlign w:val="center"/>
          </w:tcPr>
          <w:p w:rsidR="00020C9F" w:rsidRPr="0097421D" w:rsidRDefault="00020C9F" w:rsidP="00F857E7">
            <w:pPr>
              <w:pStyle w:val="NormalWeb"/>
              <w:spacing w:before="120" w:beforeAutospacing="0" w:after="60" w:afterAutospacing="0" w:line="200" w:lineRule="exact"/>
              <w:jc w:val="center"/>
              <w:rPr>
                <w:rFonts w:ascii="Arial" w:hAnsi="Arial" w:cs="Arial"/>
                <w:b/>
                <w:sz w:val="36"/>
                <w:szCs w:val="36"/>
              </w:rPr>
            </w:pPr>
            <w:r w:rsidRPr="002F73E7">
              <w:rPr>
                <w:rFonts w:asciiTheme="minorHAnsi" w:hAnsiTheme="minorHAnsi" w:cs="Calibri"/>
                <w:b/>
                <w:bCs/>
                <w:kern w:val="24"/>
                <w:sz w:val="20"/>
                <w:szCs w:val="20"/>
              </w:rPr>
              <w:t>2019-20 Budget Estimate ($m)</w:t>
            </w:r>
            <w:r w:rsidRPr="00034B40">
              <w:rPr>
                <w:rFonts w:asciiTheme="minorHAnsi" w:hAnsiTheme="minorHAnsi" w:cs="Calibri"/>
                <w:b/>
                <w:bCs/>
                <w:kern w:val="24"/>
                <w:sz w:val="20"/>
                <w:szCs w:val="20"/>
                <w:vertAlign w:val="superscript"/>
              </w:rPr>
              <w:t>*</w:t>
            </w:r>
          </w:p>
        </w:tc>
      </w:tr>
      <w:tr w:rsidR="00020C9F" w:rsidTr="00F857E7">
        <w:trPr>
          <w:trHeight w:hRule="exact" w:val="454"/>
        </w:trPr>
        <w:tc>
          <w:tcPr>
            <w:tcW w:w="3715" w:type="dxa"/>
            <w:shd w:val="clear" w:color="auto" w:fill="auto"/>
            <w:vAlign w:val="bottom"/>
          </w:tcPr>
          <w:p w:rsidR="00020C9F" w:rsidRDefault="00020C9F"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Bilateral</w:t>
            </w:r>
          </w:p>
        </w:tc>
        <w:tc>
          <w:tcPr>
            <w:tcW w:w="1551" w:type="dxa"/>
            <w:vAlign w:val="bottom"/>
          </w:tcPr>
          <w:p w:rsidR="00020C9F" w:rsidRDefault="00020C9F"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73.0</w:t>
            </w:r>
          </w:p>
        </w:tc>
      </w:tr>
      <w:tr w:rsidR="00020C9F" w:rsidTr="00F857E7">
        <w:trPr>
          <w:trHeight w:hRule="exact" w:val="454"/>
        </w:trPr>
        <w:tc>
          <w:tcPr>
            <w:tcW w:w="3715" w:type="dxa"/>
            <w:shd w:val="clear" w:color="auto" w:fill="auto"/>
            <w:vAlign w:val="bottom"/>
          </w:tcPr>
          <w:p w:rsidR="00020C9F" w:rsidRDefault="00020C9F"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Regional</w:t>
            </w:r>
          </w:p>
        </w:tc>
        <w:tc>
          <w:tcPr>
            <w:tcW w:w="1551" w:type="dxa"/>
            <w:vAlign w:val="bottom"/>
          </w:tcPr>
          <w:p w:rsidR="00020C9F" w:rsidRDefault="00020C9F"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11.1</w:t>
            </w:r>
          </w:p>
        </w:tc>
      </w:tr>
      <w:tr w:rsidR="00020C9F" w:rsidTr="00F857E7">
        <w:trPr>
          <w:trHeight w:hRule="exact" w:val="454"/>
        </w:trPr>
        <w:tc>
          <w:tcPr>
            <w:tcW w:w="3715" w:type="dxa"/>
            <w:shd w:val="clear" w:color="auto" w:fill="auto"/>
            <w:vAlign w:val="bottom"/>
          </w:tcPr>
          <w:p w:rsidR="00020C9F" w:rsidRDefault="00020C9F"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Global</w:t>
            </w:r>
          </w:p>
        </w:tc>
        <w:tc>
          <w:tcPr>
            <w:tcW w:w="1551" w:type="dxa"/>
            <w:vAlign w:val="bottom"/>
          </w:tcPr>
          <w:p w:rsidR="00020C9F" w:rsidRDefault="00020C9F"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14.3</w:t>
            </w:r>
          </w:p>
        </w:tc>
      </w:tr>
      <w:tr w:rsidR="00020C9F" w:rsidTr="00F857E7">
        <w:trPr>
          <w:trHeight w:hRule="exact" w:val="454"/>
        </w:trPr>
        <w:tc>
          <w:tcPr>
            <w:tcW w:w="3715" w:type="dxa"/>
            <w:shd w:val="clear" w:color="auto" w:fill="auto"/>
            <w:vAlign w:val="bottom"/>
          </w:tcPr>
          <w:p w:rsidR="00020C9F" w:rsidRDefault="00020C9F"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1" w:type="dxa"/>
            <w:vAlign w:val="bottom"/>
          </w:tcPr>
          <w:p w:rsidR="00020C9F" w:rsidRDefault="00020C9F"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2.3</w:t>
            </w:r>
          </w:p>
        </w:tc>
      </w:tr>
      <w:tr w:rsidR="00020C9F" w:rsidTr="00F857E7">
        <w:trPr>
          <w:trHeight w:hRule="exact" w:val="454"/>
        </w:trPr>
        <w:tc>
          <w:tcPr>
            <w:tcW w:w="3715" w:type="dxa"/>
            <w:tcBorders>
              <w:bottom w:val="single" w:sz="2" w:space="0" w:color="65C5B4" w:themeColor="accent1"/>
            </w:tcBorders>
            <w:shd w:val="clear" w:color="auto" w:fill="auto"/>
            <w:vAlign w:val="bottom"/>
          </w:tcPr>
          <w:p w:rsidR="00020C9F" w:rsidRDefault="00020C9F" w:rsidP="00F857E7">
            <w:pPr>
              <w:pStyle w:val="NormalWeb"/>
              <w:spacing w:before="20" w:beforeAutospacing="0" w:after="20" w:afterAutospacing="0"/>
              <w:rPr>
                <w:rFonts w:ascii="Arial" w:hAnsi="Arial" w:cs="Arial"/>
                <w:sz w:val="36"/>
                <w:szCs w:val="36"/>
              </w:rPr>
            </w:pPr>
            <w:r>
              <w:rPr>
                <w:rFonts w:ascii="Calibri" w:hAnsi="Calibri" w:cs="Calibri"/>
                <w:b/>
                <w:bCs/>
                <w:color w:val="000000" w:themeColor="dark1"/>
                <w:kern w:val="24"/>
                <w:sz w:val="20"/>
                <w:szCs w:val="20"/>
              </w:rPr>
              <w:t>Total Australian ODA to Timor-Leste</w:t>
            </w:r>
          </w:p>
        </w:tc>
        <w:tc>
          <w:tcPr>
            <w:tcW w:w="1551" w:type="dxa"/>
            <w:tcBorders>
              <w:bottom w:val="single" w:sz="2" w:space="0" w:color="65C5B4" w:themeColor="accent1"/>
            </w:tcBorders>
            <w:vAlign w:val="bottom"/>
          </w:tcPr>
          <w:p w:rsidR="00020C9F" w:rsidRPr="00790965" w:rsidRDefault="00020C9F" w:rsidP="00F857E7">
            <w:pPr>
              <w:pStyle w:val="NormalWeb"/>
              <w:spacing w:before="20" w:beforeAutospacing="0" w:after="20" w:afterAutospacing="0"/>
              <w:jc w:val="right"/>
              <w:rPr>
                <w:rFonts w:ascii="Calibri" w:hAnsi="Calibri" w:cs="Calibri"/>
                <w:b/>
                <w:bCs/>
                <w:color w:val="000000" w:themeColor="dark1"/>
                <w:kern w:val="24"/>
                <w:sz w:val="20"/>
                <w:szCs w:val="20"/>
              </w:rPr>
            </w:pPr>
            <w:r w:rsidRPr="00790965">
              <w:rPr>
                <w:rFonts w:ascii="Calibri" w:hAnsi="Calibri" w:cs="Calibri"/>
                <w:b/>
                <w:bCs/>
                <w:color w:val="000000" w:themeColor="dark1"/>
                <w:kern w:val="24"/>
                <w:sz w:val="20"/>
                <w:szCs w:val="20"/>
              </w:rPr>
              <w:t>100.7</w:t>
            </w:r>
          </w:p>
        </w:tc>
      </w:tr>
    </w:tbl>
    <w:p w:rsidR="00020C9F" w:rsidRPr="002050A7" w:rsidRDefault="00020C9F" w:rsidP="00020C9F">
      <w:pPr>
        <w:spacing w:before="0" w:line="240" w:lineRule="auto"/>
        <w:rPr>
          <w:sz w:val="20"/>
        </w:rPr>
      </w:pPr>
      <w:r w:rsidRPr="002050A7">
        <w:rPr>
          <w:rFonts w:ascii="Calibri Light" w:eastAsia="Calibri Light" w:hAnsi="Calibri Light"/>
          <w:bCs/>
          <w:kern w:val="24"/>
          <w:sz w:val="16"/>
          <w:szCs w:val="20"/>
        </w:rPr>
        <w:t>*Actual expenditure is expected to be available in December 2020</w:t>
      </w:r>
    </w:p>
    <w:p w:rsidR="00452298" w:rsidRDefault="00020C9F" w:rsidP="00494F98">
      <w:pPr>
        <w:spacing w:before="0" w:after="0"/>
      </w:pPr>
      <w:r>
        <w:rPr>
          <w:noProof/>
          <w:lang w:val="en-AU" w:eastAsia="en-AU"/>
        </w:rPr>
        <w:drawing>
          <wp:inline distT="0" distB="0" distL="0" distR="0" wp14:anchorId="56FE49EA" wp14:editId="7466862C">
            <wp:extent cx="3422650" cy="1987070"/>
            <wp:effectExtent l="0" t="0" r="6350" b="0"/>
            <wp:docPr id="3" name="Picture 3" descr="Infrastructure and trade – 16%&#10;Agriculture, fisheries and water – 12%&#10;Governance – 30%&#10;Education – 14%&#10;Health – 23%&#10;Building resilience – 0.2%&#10;General development support – 5%&#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29990" cy="1991331"/>
                    </a:xfrm>
                    <a:prstGeom prst="rect">
                      <a:avLst/>
                    </a:prstGeom>
                    <a:noFill/>
                  </pic:spPr>
                </pic:pic>
              </a:graphicData>
            </a:graphic>
          </wp:inline>
        </w:drawing>
      </w:r>
    </w:p>
    <w:p w:rsidR="00020C9F" w:rsidRDefault="00020C9F" w:rsidP="00494F98">
      <w:pPr>
        <w:spacing w:before="0" w:after="0"/>
      </w:pPr>
    </w:p>
    <w:p w:rsidR="00020C9F" w:rsidRDefault="00020C9F" w:rsidP="00494F98">
      <w:pPr>
        <w:spacing w:before="0" w:after="0"/>
      </w:pPr>
    </w:p>
    <w:p w:rsidR="00020C9F" w:rsidRPr="00452298" w:rsidRDefault="00020C9F" w:rsidP="00494F98">
      <w:pPr>
        <w:spacing w:before="0" w:after="0"/>
        <w:sectPr w:rsidR="00020C9F" w:rsidRPr="00452298" w:rsidSect="00020C9F">
          <w:type w:val="continuous"/>
          <w:pgSz w:w="11906" w:h="16838" w:code="9"/>
          <w:pgMar w:top="1701" w:right="140" w:bottom="1418" w:left="709" w:header="142" w:footer="493" w:gutter="0"/>
          <w:cols w:num="2" w:space="397"/>
          <w:titlePg/>
          <w:docGrid w:linePitch="360"/>
        </w:sectPr>
      </w:pPr>
    </w:p>
    <w:p w:rsidR="003500CF" w:rsidRDefault="00651213" w:rsidP="002F73E7">
      <w:pPr>
        <w:spacing w:before="0"/>
        <w:ind w:left="284"/>
        <w:rPr>
          <w:b/>
        </w:rPr>
      </w:pPr>
      <w:r>
        <w:rPr>
          <w:b/>
          <w:sz w:val="24"/>
        </w:rPr>
        <w:t>COVID-19 Development Response</w:t>
      </w:r>
      <w:r w:rsidR="003500CF">
        <w:rPr>
          <w:b/>
        </w:rPr>
        <w:tab/>
      </w:r>
    </w:p>
    <w:p w:rsidR="00776EA1" w:rsidRPr="00776EA1" w:rsidRDefault="00342D6B" w:rsidP="00776EA1">
      <w:pPr>
        <w:pStyle w:val="ListParagraph"/>
        <w:numPr>
          <w:ilvl w:val="0"/>
          <w:numId w:val="39"/>
        </w:numPr>
      </w:pPr>
      <w:r>
        <w:t xml:space="preserve">Working with </w:t>
      </w:r>
      <w:r w:rsidR="005012AA">
        <w:t xml:space="preserve">the </w:t>
      </w:r>
      <w:r w:rsidRPr="00776EA1">
        <w:t>National Health Laboratory</w:t>
      </w:r>
      <w:r>
        <w:t xml:space="preserve"> (NHL) and </w:t>
      </w:r>
      <w:r w:rsidR="00331F13">
        <w:t xml:space="preserve">the </w:t>
      </w:r>
      <w:r w:rsidR="005012AA">
        <w:t>Menzies School of Health Research</w:t>
      </w:r>
      <w:r w:rsidR="00331F13">
        <w:t xml:space="preserve">, Australia has played a critical role in </w:t>
      </w:r>
      <w:r>
        <w:t>help</w:t>
      </w:r>
      <w:r w:rsidR="00331F13">
        <w:t>ing</w:t>
      </w:r>
      <w:r>
        <w:t xml:space="preserve"> </w:t>
      </w:r>
      <w:r w:rsidR="002B01DB">
        <w:t xml:space="preserve">establish </w:t>
      </w:r>
      <w:r w:rsidR="00776EA1" w:rsidRPr="00776EA1">
        <w:t>COVID-19 testing</w:t>
      </w:r>
      <w:r w:rsidR="002B01DB">
        <w:t xml:space="preserve"> in Timor-Leste</w:t>
      </w:r>
      <w:r w:rsidR="00AD2F4D">
        <w:t>.</w:t>
      </w:r>
      <w:r>
        <w:t xml:space="preserve"> The NHL can now </w:t>
      </w:r>
      <w:r w:rsidR="00DB1CF1">
        <w:t xml:space="preserve">run </w:t>
      </w:r>
      <w:r>
        <w:t>more than 100 tests per day</w:t>
      </w:r>
      <w:r w:rsidR="00DB1CF1">
        <w:t>.</w:t>
      </w:r>
    </w:p>
    <w:p w:rsidR="00776EA1" w:rsidRDefault="00331F13" w:rsidP="003500CF">
      <w:pPr>
        <w:pStyle w:val="ListParagraph"/>
        <w:numPr>
          <w:ilvl w:val="0"/>
          <w:numId w:val="39"/>
        </w:numPr>
      </w:pPr>
      <w:r>
        <w:t xml:space="preserve">Australia has </w:t>
      </w:r>
      <w:r w:rsidR="00776EA1">
        <w:t>upgrad</w:t>
      </w:r>
      <w:r w:rsidR="005012AA">
        <w:t>e</w:t>
      </w:r>
      <w:r w:rsidR="00342D6B">
        <w:t xml:space="preserve">d infrastructure </w:t>
      </w:r>
      <w:r w:rsidR="005012AA">
        <w:t>to</w:t>
      </w:r>
      <w:r w:rsidR="00AD2F4D">
        <w:t xml:space="preserve"> </w:t>
      </w:r>
      <w:r w:rsidR="002B01DB">
        <w:t xml:space="preserve">establish Timor-Leste’s only </w:t>
      </w:r>
      <w:r w:rsidR="005012AA">
        <w:t>isolation facilities</w:t>
      </w:r>
      <w:r w:rsidR="00342D6B">
        <w:t>. They can now hold up to 300</w:t>
      </w:r>
      <w:r w:rsidR="002F5B94">
        <w:t xml:space="preserve"> COVID-19 patients</w:t>
      </w:r>
      <w:r w:rsidR="00AD2F4D">
        <w:t>.</w:t>
      </w:r>
    </w:p>
    <w:p w:rsidR="00776EA1" w:rsidRDefault="002B01DB" w:rsidP="00776EA1">
      <w:pPr>
        <w:pStyle w:val="ListParagraph"/>
        <w:numPr>
          <w:ilvl w:val="0"/>
          <w:numId w:val="39"/>
        </w:numPr>
        <w:rPr>
          <w:lang w:val="en-AU"/>
        </w:rPr>
      </w:pPr>
      <w:r>
        <w:rPr>
          <w:lang w:val="en-AU"/>
        </w:rPr>
        <w:t>Through NGOs</w:t>
      </w:r>
      <w:r w:rsidR="005012AA">
        <w:rPr>
          <w:lang w:val="en-AU"/>
        </w:rPr>
        <w:t xml:space="preserve"> </w:t>
      </w:r>
      <w:r w:rsidR="00317CEB">
        <w:rPr>
          <w:lang w:val="en-AU"/>
        </w:rPr>
        <w:t xml:space="preserve">including </w:t>
      </w:r>
      <w:proofErr w:type="spellStart"/>
      <w:r w:rsidR="005012AA">
        <w:rPr>
          <w:lang w:val="en-AU"/>
        </w:rPr>
        <w:t>Maluk</w:t>
      </w:r>
      <w:proofErr w:type="spellEnd"/>
      <w:r w:rsidR="005012AA">
        <w:rPr>
          <w:lang w:val="en-AU"/>
        </w:rPr>
        <w:t xml:space="preserve"> Timor, </w:t>
      </w:r>
      <w:r w:rsidR="00331F13">
        <w:rPr>
          <w:lang w:val="en-AU"/>
        </w:rPr>
        <w:t xml:space="preserve">Australia </w:t>
      </w:r>
      <w:r>
        <w:rPr>
          <w:lang w:val="en-AU"/>
        </w:rPr>
        <w:t xml:space="preserve">delivered </w:t>
      </w:r>
      <w:r w:rsidR="005012AA">
        <w:rPr>
          <w:lang w:val="en-AU"/>
        </w:rPr>
        <w:t>t</w:t>
      </w:r>
      <w:r w:rsidR="00776EA1" w:rsidRPr="00776EA1">
        <w:rPr>
          <w:lang w:val="en-AU"/>
        </w:rPr>
        <w:t xml:space="preserve">raining in infection </w:t>
      </w:r>
      <w:r>
        <w:rPr>
          <w:lang w:val="en-AU"/>
        </w:rPr>
        <w:t xml:space="preserve">prevention and </w:t>
      </w:r>
      <w:r w:rsidR="00776EA1" w:rsidRPr="00776EA1">
        <w:rPr>
          <w:lang w:val="en-AU"/>
        </w:rPr>
        <w:t>control to more than 1,600</w:t>
      </w:r>
      <w:r w:rsidR="00AD2F4D">
        <w:rPr>
          <w:lang w:val="en-AU"/>
        </w:rPr>
        <w:t xml:space="preserve"> frontline</w:t>
      </w:r>
      <w:r w:rsidR="00776EA1" w:rsidRPr="00776EA1">
        <w:rPr>
          <w:lang w:val="en-AU"/>
        </w:rPr>
        <w:t xml:space="preserve"> workers</w:t>
      </w:r>
      <w:r w:rsidR="002F5B94">
        <w:rPr>
          <w:lang w:val="en-AU"/>
        </w:rPr>
        <w:t xml:space="preserve"> at over 80 health centres</w:t>
      </w:r>
      <w:r w:rsidR="00AD2F4D">
        <w:rPr>
          <w:lang w:val="en-AU"/>
        </w:rPr>
        <w:t>.</w:t>
      </w:r>
    </w:p>
    <w:p w:rsidR="00E956C9" w:rsidRPr="00E956C9" w:rsidRDefault="00331F13" w:rsidP="00E956C9">
      <w:pPr>
        <w:pStyle w:val="ListParagraph"/>
        <w:numPr>
          <w:ilvl w:val="0"/>
          <w:numId w:val="39"/>
        </w:numPr>
      </w:pPr>
      <w:r>
        <w:t xml:space="preserve">Australia </w:t>
      </w:r>
      <w:r w:rsidR="00F5567E">
        <w:t>provided the lead technical and logistics support to f</w:t>
      </w:r>
      <w:r w:rsidR="00B97DAA">
        <w:t>a</w:t>
      </w:r>
      <w:r w:rsidR="005012AA">
        <w:t>cilitat</w:t>
      </w:r>
      <w:r w:rsidR="008F6176">
        <w:t>e</w:t>
      </w:r>
      <w:r w:rsidR="00F5567E">
        <w:t xml:space="preserve"> emergency</w:t>
      </w:r>
      <w:r w:rsidR="005012AA">
        <w:t xml:space="preserve"> cash payment</w:t>
      </w:r>
      <w:r w:rsidR="00B97DAA">
        <w:t>s</w:t>
      </w:r>
      <w:r w:rsidR="005012AA">
        <w:t xml:space="preserve"> to</w:t>
      </w:r>
      <w:r w:rsidR="0067029E">
        <w:t xml:space="preserve"> more than</w:t>
      </w:r>
      <w:r w:rsidR="005012AA">
        <w:t xml:space="preserve"> </w:t>
      </w:r>
      <w:r w:rsidR="0067029E">
        <w:t>298</w:t>
      </w:r>
      <w:r w:rsidR="00F5567E">
        <w:t xml:space="preserve">,000 </w:t>
      </w:r>
      <w:r w:rsidR="005012AA">
        <w:t xml:space="preserve">families </w:t>
      </w:r>
      <w:r w:rsidR="00342D6B">
        <w:t>across Timor-Leste</w:t>
      </w:r>
      <w:r w:rsidR="008F6176">
        <w:t>.</w:t>
      </w:r>
      <w:r w:rsidR="005012AA">
        <w:t xml:space="preserve"> </w:t>
      </w:r>
    </w:p>
    <w:p w:rsidR="008F6176" w:rsidRDefault="00331F13" w:rsidP="008F6176">
      <w:pPr>
        <w:pStyle w:val="ListParagraph"/>
        <w:numPr>
          <w:ilvl w:val="0"/>
          <w:numId w:val="39"/>
        </w:numPr>
        <w:rPr>
          <w:lang w:val="en-AU"/>
        </w:rPr>
      </w:pPr>
      <w:r>
        <w:rPr>
          <w:lang w:val="en-AU"/>
        </w:rPr>
        <w:t xml:space="preserve">Australia </w:t>
      </w:r>
      <w:r w:rsidR="00317CEB">
        <w:rPr>
          <w:lang w:val="en-AU"/>
        </w:rPr>
        <w:t>p</w:t>
      </w:r>
      <w:r w:rsidR="00676886">
        <w:rPr>
          <w:lang w:val="en-AU"/>
        </w:rPr>
        <w:t xml:space="preserve">rovided </w:t>
      </w:r>
      <w:r w:rsidR="00317CEB">
        <w:rPr>
          <w:lang w:val="en-AU"/>
        </w:rPr>
        <w:t xml:space="preserve">$7 million </w:t>
      </w:r>
      <w:r w:rsidR="008F6176">
        <w:rPr>
          <w:lang w:val="en-AU"/>
        </w:rPr>
        <w:t>for community infrastructure</w:t>
      </w:r>
      <w:r w:rsidR="00676886">
        <w:rPr>
          <w:lang w:val="en-AU"/>
        </w:rPr>
        <w:t xml:space="preserve"> </w:t>
      </w:r>
      <w:r w:rsidR="00317CEB">
        <w:rPr>
          <w:lang w:val="en-AU"/>
        </w:rPr>
        <w:t>projects</w:t>
      </w:r>
      <w:r w:rsidR="00F5567E">
        <w:rPr>
          <w:lang w:val="en-AU"/>
        </w:rPr>
        <w:t xml:space="preserve"> in one-third of communities across Timor-Leste</w:t>
      </w:r>
      <w:r w:rsidR="008F6176">
        <w:rPr>
          <w:lang w:val="en-AU"/>
        </w:rPr>
        <w:t xml:space="preserve"> </w:t>
      </w:r>
      <w:r w:rsidR="0067029E">
        <w:rPr>
          <w:lang w:val="en-AU"/>
        </w:rPr>
        <w:t xml:space="preserve">to </w:t>
      </w:r>
      <w:r w:rsidR="00676886">
        <w:rPr>
          <w:lang w:val="en-AU"/>
        </w:rPr>
        <w:t>help</w:t>
      </w:r>
      <w:r w:rsidR="008F6176">
        <w:rPr>
          <w:lang w:val="en-AU"/>
        </w:rPr>
        <w:t xml:space="preserve"> creat</w:t>
      </w:r>
      <w:r w:rsidR="00676886">
        <w:rPr>
          <w:lang w:val="en-AU"/>
        </w:rPr>
        <w:t>e</w:t>
      </w:r>
      <w:r w:rsidR="008F6176">
        <w:rPr>
          <w:lang w:val="en-AU"/>
        </w:rPr>
        <w:t xml:space="preserve"> jobs and stimulat</w:t>
      </w:r>
      <w:r w:rsidR="00676886">
        <w:rPr>
          <w:lang w:val="en-AU"/>
        </w:rPr>
        <w:t>e</w:t>
      </w:r>
      <w:r w:rsidR="008F6176">
        <w:rPr>
          <w:lang w:val="en-AU"/>
        </w:rPr>
        <w:t xml:space="preserve"> economic activity.</w:t>
      </w:r>
    </w:p>
    <w:p w:rsidR="00E956C9" w:rsidRPr="00E956C9" w:rsidRDefault="00331F13" w:rsidP="00DB1CF1">
      <w:pPr>
        <w:pStyle w:val="ListParagraph"/>
        <w:numPr>
          <w:ilvl w:val="0"/>
          <w:numId w:val="39"/>
        </w:numPr>
        <w:rPr>
          <w:lang w:val="en-AU"/>
        </w:rPr>
      </w:pPr>
      <w:r>
        <w:rPr>
          <w:lang w:val="en-AU"/>
        </w:rPr>
        <w:t xml:space="preserve">Australia’s </w:t>
      </w:r>
      <w:r w:rsidR="00DB1CF1" w:rsidRPr="00DB1CF1">
        <w:rPr>
          <w:lang w:val="en-AU"/>
        </w:rPr>
        <w:t>funding</w:t>
      </w:r>
      <w:r>
        <w:rPr>
          <w:lang w:val="en-AU"/>
        </w:rPr>
        <w:t xml:space="preserve"> enabled </w:t>
      </w:r>
      <w:r w:rsidR="00DB1CF1">
        <w:rPr>
          <w:lang w:val="en-AU"/>
        </w:rPr>
        <w:t xml:space="preserve">Catalpa international </w:t>
      </w:r>
      <w:r w:rsidR="00DB1CF1" w:rsidRPr="00DB1CF1">
        <w:rPr>
          <w:lang w:val="en-AU"/>
        </w:rPr>
        <w:t>negotiate</w:t>
      </w:r>
      <w:r>
        <w:rPr>
          <w:lang w:val="en-AU"/>
        </w:rPr>
        <w:t xml:space="preserve"> a free text message service </w:t>
      </w:r>
      <w:r w:rsidR="00DB1CF1" w:rsidRPr="00DB1CF1">
        <w:rPr>
          <w:lang w:val="en-AU"/>
        </w:rPr>
        <w:t>with telecom</w:t>
      </w:r>
      <w:r w:rsidR="00AC6996">
        <w:rPr>
          <w:lang w:val="en-AU"/>
        </w:rPr>
        <w:t>munication</w:t>
      </w:r>
      <w:r w:rsidR="00DB1CF1" w:rsidRPr="00DB1CF1">
        <w:rPr>
          <w:lang w:val="en-AU"/>
        </w:rPr>
        <w:t xml:space="preserve"> companies to </w:t>
      </w:r>
      <w:r>
        <w:rPr>
          <w:lang w:val="en-AU"/>
        </w:rPr>
        <w:t xml:space="preserve">allow </w:t>
      </w:r>
      <w:r w:rsidR="00DB1CF1" w:rsidRPr="00DB1CF1">
        <w:rPr>
          <w:lang w:val="en-AU"/>
        </w:rPr>
        <w:t xml:space="preserve">COVID-19 messages </w:t>
      </w:r>
      <w:r>
        <w:rPr>
          <w:lang w:val="en-AU"/>
        </w:rPr>
        <w:t xml:space="preserve">to be sent out to </w:t>
      </w:r>
      <w:r w:rsidR="00DB1CF1" w:rsidRPr="00DB1CF1">
        <w:rPr>
          <w:lang w:val="en-AU"/>
        </w:rPr>
        <w:t>around 800,000 people per day.</w:t>
      </w:r>
      <w:r w:rsidR="00E956C9" w:rsidRPr="00E956C9">
        <w:rPr>
          <w:rFonts w:eastAsia="Times New Roman" w:cstheme="minorHAnsi"/>
          <w:iCs/>
          <w:szCs w:val="17"/>
        </w:rPr>
        <w:t xml:space="preserve"> </w:t>
      </w:r>
    </w:p>
    <w:p w:rsidR="00DB1CF1" w:rsidRPr="0018396B" w:rsidRDefault="00A95D7E" w:rsidP="00DB1CF1">
      <w:pPr>
        <w:pStyle w:val="ListParagraph"/>
        <w:numPr>
          <w:ilvl w:val="0"/>
          <w:numId w:val="39"/>
        </w:numPr>
        <w:rPr>
          <w:lang w:val="en-AU"/>
        </w:rPr>
      </w:pPr>
      <w:r>
        <w:rPr>
          <w:rFonts w:eastAsia="Times New Roman" w:cstheme="minorHAnsi"/>
          <w:iCs/>
          <w:szCs w:val="17"/>
        </w:rPr>
        <w:t>T</w:t>
      </w:r>
      <w:r w:rsidRPr="00E956C9">
        <w:rPr>
          <w:rFonts w:eastAsia="Times New Roman" w:cstheme="minorHAnsi"/>
          <w:iCs/>
          <w:szCs w:val="17"/>
        </w:rPr>
        <w:t xml:space="preserve">o manage </w:t>
      </w:r>
      <w:r w:rsidR="000168E4">
        <w:rPr>
          <w:rFonts w:eastAsia="Times New Roman" w:cstheme="minorHAnsi"/>
          <w:iCs/>
          <w:szCs w:val="17"/>
        </w:rPr>
        <w:t xml:space="preserve">COVID-19 </w:t>
      </w:r>
      <w:r w:rsidRPr="00E956C9">
        <w:rPr>
          <w:rFonts w:eastAsia="Times New Roman" w:cstheme="minorHAnsi"/>
          <w:iCs/>
          <w:szCs w:val="17"/>
        </w:rPr>
        <w:t xml:space="preserve">risks </w:t>
      </w:r>
      <w:r>
        <w:rPr>
          <w:rFonts w:eastAsia="Times New Roman" w:cstheme="minorHAnsi"/>
          <w:iCs/>
          <w:szCs w:val="17"/>
        </w:rPr>
        <w:t>in women</w:t>
      </w:r>
      <w:r w:rsidR="00331F13">
        <w:rPr>
          <w:rFonts w:eastAsia="Times New Roman" w:cstheme="minorHAnsi"/>
          <w:iCs/>
          <w:szCs w:val="17"/>
        </w:rPr>
        <w:t>’</w:t>
      </w:r>
      <w:r>
        <w:rPr>
          <w:rFonts w:eastAsia="Times New Roman" w:cstheme="minorHAnsi"/>
          <w:iCs/>
          <w:szCs w:val="17"/>
        </w:rPr>
        <w:t xml:space="preserve">s shelters, </w:t>
      </w:r>
      <w:r w:rsidR="00331F13">
        <w:rPr>
          <w:rFonts w:eastAsia="Times New Roman" w:cstheme="minorHAnsi"/>
          <w:iCs/>
          <w:szCs w:val="17"/>
        </w:rPr>
        <w:t xml:space="preserve">Australia </w:t>
      </w:r>
      <w:r w:rsidRPr="00E956C9">
        <w:rPr>
          <w:rFonts w:eastAsia="Times New Roman" w:cstheme="minorHAnsi"/>
          <w:iCs/>
          <w:szCs w:val="17"/>
        </w:rPr>
        <w:t>support</w:t>
      </w:r>
      <w:r>
        <w:rPr>
          <w:rFonts w:eastAsia="Times New Roman" w:cstheme="minorHAnsi"/>
          <w:iCs/>
          <w:szCs w:val="17"/>
        </w:rPr>
        <w:t>ed the</w:t>
      </w:r>
      <w:r w:rsidRPr="00E956C9">
        <w:rPr>
          <w:rFonts w:eastAsia="Times New Roman" w:cstheme="minorHAnsi"/>
          <w:iCs/>
          <w:szCs w:val="17"/>
        </w:rPr>
        <w:t xml:space="preserve"> opening</w:t>
      </w:r>
      <w:r>
        <w:rPr>
          <w:rFonts w:eastAsia="Times New Roman" w:cstheme="minorHAnsi"/>
          <w:iCs/>
          <w:szCs w:val="17"/>
        </w:rPr>
        <w:t xml:space="preserve"> of </w:t>
      </w:r>
      <w:r w:rsidRPr="00E956C9">
        <w:rPr>
          <w:rFonts w:eastAsia="Times New Roman" w:cstheme="minorHAnsi"/>
          <w:iCs/>
          <w:szCs w:val="17"/>
        </w:rPr>
        <w:t>new centres to quarantine clients before integration into shelters</w:t>
      </w:r>
      <w:r>
        <w:rPr>
          <w:rFonts w:eastAsia="Times New Roman" w:cstheme="minorHAnsi"/>
          <w:iCs/>
          <w:szCs w:val="17"/>
        </w:rPr>
        <w:t>.</w:t>
      </w:r>
      <w:r w:rsidR="00E956C9" w:rsidRPr="00E956C9">
        <w:rPr>
          <w:rFonts w:eastAsia="Times New Roman" w:cstheme="minorHAnsi"/>
          <w:iCs/>
          <w:szCs w:val="17"/>
        </w:rPr>
        <w:t xml:space="preserve"> </w:t>
      </w:r>
    </w:p>
    <w:p w:rsidR="000168E4" w:rsidRPr="00DB1CF1" w:rsidRDefault="000168E4" w:rsidP="00DB1CF1">
      <w:pPr>
        <w:pStyle w:val="ListParagraph"/>
        <w:numPr>
          <w:ilvl w:val="0"/>
          <w:numId w:val="39"/>
        </w:numPr>
        <w:rPr>
          <w:lang w:val="en-AU"/>
        </w:rPr>
      </w:pPr>
      <w:r>
        <w:rPr>
          <w:rFonts w:eastAsia="Times New Roman" w:cstheme="minorHAnsi"/>
          <w:iCs/>
          <w:szCs w:val="17"/>
        </w:rPr>
        <w:t xml:space="preserve">Australian-funded advisors played a key role in supporting </w:t>
      </w:r>
      <w:r w:rsidR="007D2751">
        <w:rPr>
          <w:rFonts w:eastAsia="Times New Roman" w:cstheme="minorHAnsi"/>
          <w:iCs/>
          <w:szCs w:val="17"/>
        </w:rPr>
        <w:t xml:space="preserve">the development of </w:t>
      </w:r>
      <w:r>
        <w:rPr>
          <w:rFonts w:eastAsia="Times New Roman" w:cstheme="minorHAnsi"/>
          <w:iCs/>
          <w:szCs w:val="17"/>
        </w:rPr>
        <w:t>Timor-Leste’s Economic Recovery Plan.</w:t>
      </w:r>
    </w:p>
    <w:p w:rsidR="00E956C9" w:rsidRPr="00981C39" w:rsidRDefault="008F6176" w:rsidP="00981C39">
      <w:pPr>
        <w:pStyle w:val="ListParagraph"/>
        <w:numPr>
          <w:ilvl w:val="0"/>
          <w:numId w:val="39"/>
        </w:numPr>
        <w:rPr>
          <w:rFonts w:eastAsia="Times New Roman" w:cstheme="minorHAnsi"/>
          <w:iCs/>
          <w:szCs w:val="17"/>
        </w:rPr>
      </w:pPr>
      <w:r w:rsidRPr="00981C39">
        <w:rPr>
          <w:rFonts w:eastAsia="Times New Roman" w:cstheme="minorHAnsi"/>
          <w:iCs/>
          <w:szCs w:val="17"/>
        </w:rPr>
        <w:t>A</w:t>
      </w:r>
      <w:r w:rsidR="00676886" w:rsidRPr="00981C39">
        <w:rPr>
          <w:rFonts w:eastAsia="Times New Roman" w:cstheme="minorHAnsi"/>
          <w:iCs/>
          <w:szCs w:val="17"/>
        </w:rPr>
        <w:t xml:space="preserve">ustralian </w:t>
      </w:r>
      <w:r w:rsidRPr="00981C39">
        <w:rPr>
          <w:rFonts w:eastAsia="Times New Roman" w:cstheme="minorHAnsi"/>
          <w:iCs/>
          <w:szCs w:val="17"/>
        </w:rPr>
        <w:t>F</w:t>
      </w:r>
      <w:r w:rsidR="00676886" w:rsidRPr="00981C39">
        <w:rPr>
          <w:rFonts w:eastAsia="Times New Roman" w:cstheme="minorHAnsi"/>
          <w:iCs/>
          <w:szCs w:val="17"/>
        </w:rPr>
        <w:t xml:space="preserve">ederal </w:t>
      </w:r>
      <w:r w:rsidRPr="00981C39">
        <w:rPr>
          <w:rFonts w:eastAsia="Times New Roman" w:cstheme="minorHAnsi"/>
          <w:iCs/>
          <w:szCs w:val="17"/>
        </w:rPr>
        <w:t>P</w:t>
      </w:r>
      <w:r w:rsidR="00676886" w:rsidRPr="00981C39">
        <w:rPr>
          <w:rFonts w:eastAsia="Times New Roman" w:cstheme="minorHAnsi"/>
          <w:iCs/>
          <w:szCs w:val="17"/>
        </w:rPr>
        <w:t>olice</w:t>
      </w:r>
      <w:r w:rsidRPr="00981C39">
        <w:rPr>
          <w:rFonts w:eastAsia="Times New Roman" w:cstheme="minorHAnsi"/>
          <w:iCs/>
          <w:szCs w:val="17"/>
        </w:rPr>
        <w:t xml:space="preserve"> s</w:t>
      </w:r>
      <w:r w:rsidR="00776EA1" w:rsidRPr="00981C39">
        <w:rPr>
          <w:rFonts w:eastAsia="Times New Roman" w:cstheme="minorHAnsi"/>
          <w:iCs/>
          <w:szCs w:val="17"/>
        </w:rPr>
        <w:t>upport</w:t>
      </w:r>
      <w:r w:rsidRPr="00981C39">
        <w:rPr>
          <w:rFonts w:eastAsia="Times New Roman" w:cstheme="minorHAnsi"/>
          <w:iCs/>
          <w:szCs w:val="17"/>
        </w:rPr>
        <w:t>ed</w:t>
      </w:r>
      <w:r w:rsidR="00776EA1" w:rsidRPr="00981C39">
        <w:rPr>
          <w:rFonts w:eastAsia="Times New Roman" w:cstheme="minorHAnsi"/>
          <w:iCs/>
          <w:szCs w:val="17"/>
        </w:rPr>
        <w:t xml:space="preserve"> </w:t>
      </w:r>
      <w:r w:rsidRPr="00981C39">
        <w:rPr>
          <w:rFonts w:eastAsia="Times New Roman" w:cstheme="minorHAnsi"/>
          <w:iCs/>
          <w:szCs w:val="17"/>
        </w:rPr>
        <w:t xml:space="preserve">the Timorese police </w:t>
      </w:r>
      <w:r w:rsidR="002B01DB" w:rsidRPr="00981C39">
        <w:rPr>
          <w:rFonts w:eastAsia="Times New Roman" w:cstheme="minorHAnsi"/>
          <w:iCs/>
          <w:szCs w:val="17"/>
        </w:rPr>
        <w:t>respond to COVID-19</w:t>
      </w:r>
      <w:r w:rsidR="00317CEB" w:rsidRPr="00981C39">
        <w:rPr>
          <w:rFonts w:eastAsia="Times New Roman" w:cstheme="minorHAnsi"/>
          <w:iCs/>
          <w:szCs w:val="17"/>
        </w:rPr>
        <w:t>, including by helping establish border posts</w:t>
      </w:r>
      <w:r w:rsidR="00276A54" w:rsidRPr="00981C39">
        <w:rPr>
          <w:rFonts w:eastAsia="Times New Roman" w:cstheme="minorHAnsi"/>
          <w:iCs/>
          <w:szCs w:val="17"/>
        </w:rPr>
        <w:t xml:space="preserve">. </w:t>
      </w:r>
    </w:p>
    <w:p w:rsidR="003500CF" w:rsidRPr="00452298" w:rsidRDefault="00651213" w:rsidP="002F73E7">
      <w:pPr>
        <w:ind w:left="284"/>
        <w:rPr>
          <w:b/>
          <w:sz w:val="24"/>
        </w:rPr>
      </w:pPr>
      <w:r>
        <w:rPr>
          <w:b/>
          <w:sz w:val="24"/>
        </w:rPr>
        <w:t>Other program highlights</w:t>
      </w:r>
    </w:p>
    <w:p w:rsidR="00E558EE" w:rsidRPr="00E558EE" w:rsidRDefault="000168E4" w:rsidP="00E558EE">
      <w:pPr>
        <w:pStyle w:val="ListParagraph"/>
        <w:numPr>
          <w:ilvl w:val="0"/>
          <w:numId w:val="41"/>
        </w:numPr>
        <w:rPr>
          <w:color w:val="auto"/>
          <w:lang w:val="en-AU"/>
        </w:rPr>
      </w:pPr>
      <w:r>
        <w:t xml:space="preserve">Australia </w:t>
      </w:r>
      <w:r w:rsidR="00E558EE" w:rsidRPr="00306916">
        <w:t>support</w:t>
      </w:r>
      <w:r w:rsidR="00E558EE">
        <w:t xml:space="preserve">ed </w:t>
      </w:r>
      <w:r w:rsidR="00DB1CF1">
        <w:t xml:space="preserve">the Liga </w:t>
      </w:r>
      <w:proofErr w:type="spellStart"/>
      <w:r w:rsidR="00DB1CF1">
        <w:t>Inan</w:t>
      </w:r>
      <w:proofErr w:type="spellEnd"/>
      <w:r w:rsidR="00DB1CF1">
        <w:t xml:space="preserve"> program which uses simple </w:t>
      </w:r>
      <w:r w:rsidR="00E558EE" w:rsidRPr="00306916">
        <w:t>mobile phone</w:t>
      </w:r>
      <w:r w:rsidR="00DB1CF1">
        <w:t xml:space="preserve"> technology to connect</w:t>
      </w:r>
      <w:r w:rsidR="00E558EE" w:rsidRPr="00306916">
        <w:t xml:space="preserve"> </w:t>
      </w:r>
      <w:r w:rsidR="00DB1CF1">
        <w:t xml:space="preserve">midwives </w:t>
      </w:r>
      <w:r w:rsidR="00E93EAC">
        <w:t>and pregnant women.</w:t>
      </w:r>
      <w:r>
        <w:t xml:space="preserve"> </w:t>
      </w:r>
      <w:r w:rsidR="00A614DE">
        <w:t>With more than 15,000 women enrolled, t</w:t>
      </w:r>
      <w:r w:rsidR="00E93EAC">
        <w:t>his</w:t>
      </w:r>
      <w:r w:rsidR="00E558EE">
        <w:t xml:space="preserve"> has almost doubled the likelihood of women </w:t>
      </w:r>
      <w:r w:rsidR="00E558EE" w:rsidRPr="00306916">
        <w:t>deliver</w:t>
      </w:r>
      <w:r w:rsidR="00E558EE">
        <w:t>ing</w:t>
      </w:r>
      <w:r w:rsidR="00E558EE" w:rsidRPr="00306916">
        <w:t xml:space="preserve"> their babies with healthcare professionals</w:t>
      </w:r>
      <w:r w:rsidR="00E558EE">
        <w:t>.</w:t>
      </w:r>
    </w:p>
    <w:p w:rsidR="00E93EAC" w:rsidRDefault="000168E4" w:rsidP="00E93EAC">
      <w:pPr>
        <w:pStyle w:val="ListParagraph"/>
        <w:numPr>
          <w:ilvl w:val="0"/>
          <w:numId w:val="41"/>
        </w:numPr>
      </w:pPr>
      <w:r>
        <w:t>As a result of Australia’s support for the implementation of gender sensitive policies and systems</w:t>
      </w:r>
      <w:r w:rsidR="002F5B94">
        <w:t>,</w:t>
      </w:r>
      <w:r w:rsidR="00E93EAC">
        <w:t xml:space="preserve"> the recruitment and promotion of women in the civil service almost reached parity with men</w:t>
      </w:r>
      <w:r>
        <w:t xml:space="preserve"> in 2019.</w:t>
      </w:r>
      <w:r w:rsidR="00E93EAC">
        <w:t xml:space="preserve"> </w:t>
      </w:r>
    </w:p>
    <w:p w:rsidR="00942FD9" w:rsidRPr="00942FD9" w:rsidRDefault="002F5B94" w:rsidP="00942FD9">
      <w:pPr>
        <w:pStyle w:val="ListParagraph"/>
        <w:numPr>
          <w:ilvl w:val="0"/>
          <w:numId w:val="41"/>
        </w:numPr>
        <w:rPr>
          <w:rFonts w:ascii="Arial" w:hAnsi="Arial" w:cs="Arial"/>
          <w:color w:val="000000"/>
          <w:sz w:val="20"/>
          <w:szCs w:val="20"/>
          <w:lang w:val="en-AU"/>
        </w:rPr>
      </w:pPr>
      <w:r>
        <w:t xml:space="preserve">Following </w:t>
      </w:r>
      <w:r w:rsidR="003D7914">
        <w:t>the announcement of our support for a fibre optic submarine cable by Australian and Timor-Leste prime ministers in August 2019</w:t>
      </w:r>
      <w:r w:rsidR="00942FD9">
        <w:t xml:space="preserve">, </w:t>
      </w:r>
      <w:r w:rsidR="000168E4">
        <w:t xml:space="preserve">Australia </w:t>
      </w:r>
      <w:r w:rsidR="000A7C36">
        <w:t>undertook</w:t>
      </w:r>
      <w:r w:rsidR="00942FD9">
        <w:t xml:space="preserve"> the Front End Engineering Design </w:t>
      </w:r>
      <w:r w:rsidR="000168E4">
        <w:t>for</w:t>
      </w:r>
      <w:r w:rsidR="0018396B">
        <w:t xml:space="preserve"> the</w:t>
      </w:r>
      <w:r w:rsidR="000168E4">
        <w:t xml:space="preserve"> cable.</w:t>
      </w:r>
    </w:p>
    <w:p w:rsidR="00942FD9" w:rsidRDefault="006D3069" w:rsidP="004918A2">
      <w:pPr>
        <w:pStyle w:val="ListParagraph"/>
        <w:numPr>
          <w:ilvl w:val="0"/>
          <w:numId w:val="41"/>
        </w:numPr>
      </w:pPr>
      <w:r>
        <w:t>Timorese participation in Australian labour mobility initiatives continue</w:t>
      </w:r>
      <w:r w:rsidR="000168E4">
        <w:t>d</w:t>
      </w:r>
      <w:r>
        <w:t xml:space="preserve"> to increase, with a</w:t>
      </w:r>
      <w:r w:rsidR="00942FD9">
        <w:t xml:space="preserve">round 1,500 </w:t>
      </w:r>
      <w:r>
        <w:t>workers arriving</w:t>
      </w:r>
      <w:r w:rsidR="00942FD9">
        <w:t xml:space="preserve"> before travel restrictions were imposed in March</w:t>
      </w:r>
      <w:r>
        <w:t>.</w:t>
      </w:r>
    </w:p>
    <w:p w:rsidR="00E956C9" w:rsidRDefault="00E956C9" w:rsidP="00E956C9">
      <w:pPr>
        <w:pStyle w:val="ListParagraph"/>
        <w:numPr>
          <w:ilvl w:val="0"/>
          <w:numId w:val="41"/>
        </w:numPr>
        <w:sectPr w:rsidR="00E956C9" w:rsidSect="002F73E7">
          <w:headerReference w:type="default" r:id="rId16"/>
          <w:footerReference w:type="default" r:id="rId17"/>
          <w:headerReference w:type="first" r:id="rId18"/>
          <w:footerReference w:type="first" r:id="rId19"/>
          <w:type w:val="continuous"/>
          <w:pgSz w:w="11906" w:h="16838" w:code="9"/>
          <w:pgMar w:top="1701" w:right="707" w:bottom="1418" w:left="426" w:header="425" w:footer="493" w:gutter="0"/>
          <w:cols w:num="2" w:space="397"/>
          <w:titlePg/>
          <w:docGrid w:linePitch="360"/>
        </w:sectPr>
      </w:pPr>
    </w:p>
    <w:p w:rsidR="004C5598" w:rsidRDefault="00D00153" w:rsidP="004C5598">
      <w:pPr>
        <w:pStyle w:val="Heading2"/>
        <w:spacing w:before="360" w:line="300" w:lineRule="exact"/>
        <w:contextualSpacing w:val="0"/>
        <w:rPr>
          <w:sz w:val="24"/>
          <w:szCs w:val="24"/>
        </w:rPr>
      </w:pPr>
      <w:r>
        <w:lastRenderedPageBreak/>
        <w:t>P</w:t>
      </w:r>
      <w:r w:rsidR="004C5598">
        <w:t xml:space="preserve">rogress against 2019-20 performance </w:t>
      </w:r>
      <w:r w:rsidR="00461BAD">
        <w:t xml:space="preserve">INDICATORS </w:t>
      </w:r>
      <w:r w:rsidR="00C32299">
        <w:br/>
      </w:r>
    </w:p>
    <w:tbl>
      <w:tblPr>
        <w:tblStyle w:val="TableGrid"/>
        <w:tblW w:w="10201" w:type="dxa"/>
        <w:tblLook w:val="04A0" w:firstRow="1" w:lastRow="0" w:firstColumn="1" w:lastColumn="0" w:noHBand="0" w:noVBand="1"/>
        <w:tblCaption w:val="Performance Assessment Framework"/>
        <w:tblDescription w:val="This program has three strategic objectives and ten performance benchmark, indicators that are used to measure progress."/>
      </w:tblPr>
      <w:tblGrid>
        <w:gridCol w:w="1696"/>
        <w:gridCol w:w="1985"/>
        <w:gridCol w:w="6520"/>
      </w:tblGrid>
      <w:tr w:rsidR="004C5598" w:rsidRPr="00ED593B" w:rsidTr="00DF028E">
        <w:trPr>
          <w:tblHeader/>
        </w:trPr>
        <w:tc>
          <w:tcPr>
            <w:tcW w:w="1696" w:type="dxa"/>
            <w:shd w:val="clear" w:color="auto" w:fill="C1E7E0" w:themeFill="accent1" w:themeFillTint="66"/>
          </w:tcPr>
          <w:p w:rsidR="004C5598" w:rsidRPr="00ED593B" w:rsidRDefault="004C5598" w:rsidP="008C160B">
            <w:pPr>
              <w:pStyle w:val="BodyText"/>
              <w:spacing w:before="40" w:after="40" w:line="240" w:lineRule="auto"/>
              <w:rPr>
                <w:rFonts w:asciiTheme="majorHAnsi" w:eastAsiaTheme="majorEastAsia" w:hAnsiTheme="majorHAnsi" w:cstheme="majorHAnsi"/>
                <w:b/>
                <w:caps/>
                <w:sz w:val="20"/>
                <w:szCs w:val="20"/>
              </w:rPr>
            </w:pPr>
            <w:r w:rsidRPr="00ED593B">
              <w:rPr>
                <w:rFonts w:asciiTheme="majorHAnsi" w:eastAsiaTheme="majorEastAsia" w:hAnsiTheme="majorHAnsi" w:cstheme="majorHAnsi"/>
                <w:b/>
                <w:caps/>
                <w:sz w:val="20"/>
                <w:szCs w:val="20"/>
              </w:rPr>
              <w:t>title of strategic OBJECTIVE</w:t>
            </w:r>
          </w:p>
        </w:tc>
        <w:tc>
          <w:tcPr>
            <w:tcW w:w="1985" w:type="dxa"/>
            <w:shd w:val="clear" w:color="auto" w:fill="C1E7E0" w:themeFill="accent1" w:themeFillTint="66"/>
          </w:tcPr>
          <w:p w:rsidR="004C5598" w:rsidRPr="00ED593B" w:rsidRDefault="004C5598" w:rsidP="00C352DF">
            <w:pPr>
              <w:pStyle w:val="BodyText"/>
              <w:spacing w:before="40" w:after="40" w:line="240" w:lineRule="auto"/>
              <w:rPr>
                <w:rFonts w:asciiTheme="majorHAnsi" w:eastAsiaTheme="majorEastAsia" w:hAnsiTheme="majorHAnsi" w:cstheme="majorHAnsi"/>
                <w:b/>
                <w:caps/>
                <w:sz w:val="20"/>
                <w:szCs w:val="20"/>
              </w:rPr>
            </w:pPr>
            <w:r w:rsidRPr="00ED593B">
              <w:rPr>
                <w:rFonts w:asciiTheme="majorHAnsi" w:eastAsiaTheme="majorEastAsia" w:hAnsiTheme="majorHAnsi" w:cstheme="majorHAnsi"/>
                <w:b/>
                <w:caps/>
                <w:sz w:val="20"/>
                <w:szCs w:val="20"/>
              </w:rPr>
              <w:t>Performance assessment framework benchmark</w:t>
            </w:r>
          </w:p>
        </w:tc>
        <w:tc>
          <w:tcPr>
            <w:tcW w:w="6520" w:type="dxa"/>
            <w:shd w:val="clear" w:color="auto" w:fill="C1E7E0" w:themeFill="accent1" w:themeFillTint="66"/>
          </w:tcPr>
          <w:p w:rsidR="004C5598" w:rsidRPr="00ED593B" w:rsidRDefault="004C5598" w:rsidP="001A7ED5">
            <w:pPr>
              <w:pStyle w:val="BodyText"/>
              <w:spacing w:before="40" w:after="40" w:line="240" w:lineRule="auto"/>
              <w:rPr>
                <w:rFonts w:asciiTheme="majorHAnsi" w:eastAsiaTheme="majorEastAsia" w:hAnsiTheme="majorHAnsi" w:cstheme="majorHAnsi"/>
                <w:b/>
                <w:caps/>
                <w:sz w:val="20"/>
                <w:szCs w:val="20"/>
              </w:rPr>
            </w:pPr>
            <w:r w:rsidRPr="00ED593B">
              <w:rPr>
                <w:rFonts w:asciiTheme="majorHAnsi" w:eastAsiaTheme="majorEastAsia" w:hAnsiTheme="majorHAnsi" w:cstheme="majorHAnsi"/>
                <w:b/>
                <w:caps/>
                <w:sz w:val="20"/>
                <w:szCs w:val="20"/>
              </w:rPr>
              <w:t>Brief summary of progress against indicator/ben</w:t>
            </w:r>
            <w:r w:rsidR="001A7ED5" w:rsidRPr="00ED593B">
              <w:rPr>
                <w:rFonts w:asciiTheme="majorHAnsi" w:eastAsiaTheme="majorEastAsia" w:hAnsiTheme="majorHAnsi" w:cstheme="majorHAnsi"/>
                <w:b/>
                <w:caps/>
                <w:sz w:val="20"/>
                <w:szCs w:val="20"/>
              </w:rPr>
              <w:t>ch</w:t>
            </w:r>
            <w:r w:rsidRPr="00ED593B">
              <w:rPr>
                <w:rFonts w:asciiTheme="majorHAnsi" w:eastAsiaTheme="majorEastAsia" w:hAnsiTheme="majorHAnsi" w:cstheme="majorHAnsi"/>
                <w:b/>
                <w:caps/>
                <w:sz w:val="20"/>
                <w:szCs w:val="20"/>
              </w:rPr>
              <w:t>mark</w:t>
            </w:r>
          </w:p>
        </w:tc>
      </w:tr>
      <w:tr w:rsidR="00171A79" w:rsidRPr="00ED593B" w:rsidTr="002F2416">
        <w:tc>
          <w:tcPr>
            <w:tcW w:w="1696" w:type="dxa"/>
          </w:tcPr>
          <w:p w:rsidR="002F2416" w:rsidRDefault="00171A79" w:rsidP="001A7ED5">
            <w:pPr>
              <w:pStyle w:val="BodyText"/>
              <w:spacing w:before="40" w:after="40" w:line="240" w:lineRule="auto"/>
              <w:rPr>
                <w:rFonts w:eastAsiaTheme="majorEastAsia" w:cstheme="minorHAnsi"/>
                <w:sz w:val="20"/>
                <w:szCs w:val="20"/>
              </w:rPr>
            </w:pPr>
            <w:r w:rsidRPr="00ED593B">
              <w:rPr>
                <w:rFonts w:eastAsiaTheme="majorEastAsia" w:cstheme="minorHAnsi"/>
                <w:sz w:val="20"/>
                <w:szCs w:val="20"/>
              </w:rPr>
              <w:t>Objective 1</w:t>
            </w:r>
            <w:r w:rsidR="002F2416">
              <w:rPr>
                <w:rFonts w:eastAsiaTheme="majorEastAsia" w:cstheme="minorHAnsi"/>
                <w:sz w:val="20"/>
                <w:szCs w:val="20"/>
              </w:rPr>
              <w:t>.</w:t>
            </w:r>
            <w:r w:rsidRPr="00ED593B">
              <w:rPr>
                <w:rFonts w:eastAsiaTheme="majorEastAsia" w:cstheme="minorHAnsi"/>
                <w:sz w:val="20"/>
                <w:szCs w:val="20"/>
              </w:rPr>
              <w:t xml:space="preserve"> </w:t>
            </w:r>
          </w:p>
          <w:p w:rsidR="00171A79" w:rsidRPr="00ED593B" w:rsidRDefault="00171A79" w:rsidP="001A7ED5">
            <w:pPr>
              <w:pStyle w:val="BodyText"/>
              <w:spacing w:before="40" w:after="40" w:line="240" w:lineRule="auto"/>
              <w:rPr>
                <w:rFonts w:eastAsiaTheme="majorEastAsia" w:cstheme="minorHAnsi"/>
                <w:caps/>
                <w:sz w:val="20"/>
                <w:szCs w:val="20"/>
              </w:rPr>
            </w:pPr>
            <w:r w:rsidRPr="00ED593B">
              <w:rPr>
                <w:rFonts w:cstheme="minorHAnsi"/>
                <w:sz w:val="20"/>
                <w:szCs w:val="20"/>
              </w:rPr>
              <w:t>Improved Livelihoods and Economic Development</w:t>
            </w:r>
          </w:p>
        </w:tc>
        <w:tc>
          <w:tcPr>
            <w:tcW w:w="1985" w:type="dxa"/>
          </w:tcPr>
          <w:p w:rsidR="00171A79" w:rsidRDefault="002F2416" w:rsidP="0067029E">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1.1</w:t>
            </w:r>
            <w:r>
              <w:rPr>
                <w:rFonts w:eastAsia="Times New Roman" w:cstheme="minorHAnsi"/>
                <w:iCs/>
                <w:sz w:val="20"/>
                <w:szCs w:val="20"/>
              </w:rPr>
              <w:t xml:space="preserve"> </w:t>
            </w:r>
            <w:r w:rsidR="00C41AC4" w:rsidRPr="00ED593B">
              <w:rPr>
                <w:rFonts w:eastAsia="Times New Roman" w:cstheme="minorHAnsi"/>
                <w:iCs/>
                <w:sz w:val="20"/>
                <w:szCs w:val="20"/>
              </w:rPr>
              <w:t>8</w:t>
            </w:r>
            <w:r w:rsidR="00171A79" w:rsidRPr="00ED593B">
              <w:rPr>
                <w:rFonts w:eastAsia="Times New Roman" w:cstheme="minorHAnsi"/>
                <w:iCs/>
                <w:sz w:val="20"/>
                <w:szCs w:val="20"/>
              </w:rPr>
              <w:t>,</w:t>
            </w:r>
            <w:r w:rsidR="00C41AC4" w:rsidRPr="00ED593B">
              <w:rPr>
                <w:rFonts w:eastAsia="Times New Roman" w:cstheme="minorHAnsi"/>
                <w:iCs/>
                <w:sz w:val="20"/>
                <w:szCs w:val="20"/>
              </w:rPr>
              <w:t>1</w:t>
            </w:r>
            <w:r w:rsidR="00171A79" w:rsidRPr="00ED593B">
              <w:rPr>
                <w:rFonts w:eastAsia="Times New Roman" w:cstheme="minorHAnsi"/>
                <w:iCs/>
                <w:sz w:val="20"/>
                <w:szCs w:val="20"/>
              </w:rPr>
              <w:t xml:space="preserve">00 new </w:t>
            </w:r>
            <w:r w:rsidR="0067029E" w:rsidRPr="00ED593B">
              <w:rPr>
                <w:rFonts w:eastAsia="Times New Roman" w:cstheme="minorHAnsi"/>
                <w:iCs/>
                <w:sz w:val="20"/>
                <w:szCs w:val="20"/>
              </w:rPr>
              <w:t>work opportunities</w:t>
            </w:r>
            <w:r w:rsidR="00171A79" w:rsidRPr="00ED593B">
              <w:rPr>
                <w:rFonts w:eastAsia="Times New Roman" w:cstheme="minorHAnsi"/>
                <w:iCs/>
                <w:sz w:val="20"/>
                <w:szCs w:val="20"/>
              </w:rPr>
              <w:t xml:space="preserve"> created</w:t>
            </w:r>
            <w:r>
              <w:rPr>
                <w:rFonts w:eastAsia="Times New Roman" w:cstheme="minorHAnsi"/>
                <w:iCs/>
                <w:sz w:val="20"/>
                <w:szCs w:val="20"/>
              </w:rPr>
              <w:t>.</w:t>
            </w:r>
          </w:p>
          <w:p w:rsidR="002F2416" w:rsidRDefault="002F2416" w:rsidP="0067029E">
            <w:pPr>
              <w:pStyle w:val="BodyText"/>
              <w:spacing w:before="40" w:after="40" w:line="240" w:lineRule="auto"/>
              <w:rPr>
                <w:rFonts w:eastAsia="Times New Roman" w:cstheme="minorHAnsi"/>
                <w:iCs/>
                <w:sz w:val="20"/>
                <w:szCs w:val="20"/>
              </w:rPr>
            </w:pPr>
          </w:p>
          <w:p w:rsidR="002F2416" w:rsidRDefault="002F2416" w:rsidP="002F2416">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1.2</w:t>
            </w:r>
            <w:r>
              <w:rPr>
                <w:rFonts w:eastAsia="Times New Roman" w:cstheme="minorHAnsi"/>
                <w:iCs/>
                <w:sz w:val="20"/>
                <w:szCs w:val="20"/>
              </w:rPr>
              <w:t xml:space="preserve"> </w:t>
            </w:r>
            <w:r w:rsidRPr="00ED593B">
              <w:rPr>
                <w:rFonts w:eastAsia="Times New Roman" w:cstheme="minorHAnsi"/>
                <w:iCs/>
                <w:sz w:val="20"/>
                <w:szCs w:val="20"/>
              </w:rPr>
              <w:t>8,600 people with increased income</w:t>
            </w:r>
            <w:r>
              <w:rPr>
                <w:rFonts w:eastAsia="Times New Roman" w:cstheme="minorHAnsi"/>
                <w:iCs/>
                <w:sz w:val="20"/>
                <w:szCs w:val="20"/>
              </w:rPr>
              <w:t>.</w:t>
            </w:r>
          </w:p>
          <w:p w:rsidR="002F2416" w:rsidRDefault="002F2416" w:rsidP="002F2416">
            <w:pPr>
              <w:pStyle w:val="BodyText"/>
              <w:spacing w:before="40" w:after="40" w:line="240" w:lineRule="auto"/>
              <w:rPr>
                <w:rFonts w:eastAsia="Times New Roman" w:cstheme="minorHAnsi"/>
                <w:iCs/>
                <w:sz w:val="20"/>
                <w:szCs w:val="20"/>
              </w:rPr>
            </w:pPr>
          </w:p>
          <w:p w:rsidR="002F2416" w:rsidRPr="00ED593B" w:rsidRDefault="002F2416" w:rsidP="0067029E">
            <w:pPr>
              <w:pStyle w:val="BodyText"/>
              <w:spacing w:before="40" w:after="40" w:line="240" w:lineRule="auto"/>
              <w:rPr>
                <w:rFonts w:eastAsiaTheme="majorEastAsia" w:cstheme="minorHAnsi"/>
                <w:caps/>
                <w:sz w:val="20"/>
                <w:szCs w:val="20"/>
              </w:rPr>
            </w:pPr>
            <w:r w:rsidRPr="002F2416">
              <w:rPr>
                <w:rFonts w:asciiTheme="majorHAnsi" w:eastAsia="Times New Roman" w:hAnsiTheme="majorHAnsi" w:cstheme="majorHAnsi"/>
                <w:iCs/>
                <w:sz w:val="20"/>
                <w:szCs w:val="20"/>
              </w:rPr>
              <w:t>1.3</w:t>
            </w:r>
            <w:r>
              <w:rPr>
                <w:rFonts w:eastAsia="Times New Roman" w:cstheme="minorHAnsi"/>
                <w:iCs/>
                <w:sz w:val="20"/>
                <w:szCs w:val="20"/>
              </w:rPr>
              <w:t xml:space="preserve"> </w:t>
            </w:r>
            <w:r w:rsidRPr="00ED593B">
              <w:rPr>
                <w:rFonts w:eastAsia="Times New Roman" w:cstheme="minorHAnsi"/>
                <w:iCs/>
                <w:sz w:val="20"/>
                <w:szCs w:val="20"/>
              </w:rPr>
              <w:t>3,100 people with work-ready skills</w:t>
            </w:r>
          </w:p>
        </w:tc>
        <w:tc>
          <w:tcPr>
            <w:tcW w:w="6520" w:type="dxa"/>
          </w:tcPr>
          <w:p w:rsidR="00171A79" w:rsidRDefault="002F2416" w:rsidP="00FD235F">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00C41AC4" w:rsidRPr="00ED593B">
              <w:rPr>
                <w:rFonts w:eastAsia="Times New Roman" w:cstheme="minorHAnsi"/>
                <w:iCs/>
                <w:sz w:val="20"/>
                <w:szCs w:val="20"/>
              </w:rPr>
              <w:t xml:space="preserve">13,577 </w:t>
            </w:r>
            <w:r w:rsidR="0067029E" w:rsidRPr="00ED593B">
              <w:rPr>
                <w:rFonts w:eastAsia="Times New Roman" w:cstheme="minorHAnsi"/>
                <w:iCs/>
                <w:sz w:val="20"/>
                <w:szCs w:val="20"/>
              </w:rPr>
              <w:t xml:space="preserve">new work opportunities </w:t>
            </w:r>
            <w:r w:rsidR="00C41AC4" w:rsidRPr="00ED593B">
              <w:rPr>
                <w:rFonts w:eastAsia="Times New Roman" w:cstheme="minorHAnsi"/>
                <w:iCs/>
                <w:sz w:val="20"/>
                <w:szCs w:val="20"/>
              </w:rPr>
              <w:t xml:space="preserve">(28% </w:t>
            </w:r>
            <w:r w:rsidR="005D5CB2" w:rsidRPr="00ED593B">
              <w:rPr>
                <w:rFonts w:eastAsia="Times New Roman" w:cstheme="minorHAnsi"/>
                <w:iCs/>
                <w:sz w:val="20"/>
                <w:szCs w:val="20"/>
              </w:rPr>
              <w:t>women</w:t>
            </w:r>
            <w:r w:rsidR="00C41AC4" w:rsidRPr="00ED593B">
              <w:rPr>
                <w:rFonts w:eastAsia="Times New Roman" w:cstheme="minorHAnsi"/>
                <w:iCs/>
                <w:sz w:val="20"/>
                <w:szCs w:val="20"/>
              </w:rPr>
              <w:t xml:space="preserve">) </w:t>
            </w:r>
            <w:r w:rsidR="003D7914" w:rsidRPr="00ED593B">
              <w:rPr>
                <w:rFonts w:eastAsia="Times New Roman" w:cstheme="minorHAnsi"/>
                <w:iCs/>
                <w:sz w:val="20"/>
                <w:szCs w:val="20"/>
              </w:rPr>
              <w:t xml:space="preserve">were </w:t>
            </w:r>
            <w:r w:rsidR="00855257" w:rsidRPr="00ED593B">
              <w:rPr>
                <w:rFonts w:eastAsia="Times New Roman" w:cstheme="minorHAnsi"/>
                <w:iCs/>
                <w:sz w:val="20"/>
                <w:szCs w:val="20"/>
              </w:rPr>
              <w:t>created</w:t>
            </w:r>
            <w:r w:rsidR="00C352DF" w:rsidRPr="00ED593B">
              <w:rPr>
                <w:rFonts w:eastAsia="Times New Roman" w:cstheme="minorHAnsi"/>
                <w:iCs/>
                <w:sz w:val="20"/>
                <w:szCs w:val="20"/>
              </w:rPr>
              <w:t xml:space="preserve">. 65% were </w:t>
            </w:r>
            <w:r w:rsidR="00814579" w:rsidRPr="00ED593B">
              <w:rPr>
                <w:rFonts w:eastAsia="Times New Roman" w:cstheme="minorHAnsi"/>
                <w:iCs/>
                <w:sz w:val="20"/>
                <w:szCs w:val="20"/>
              </w:rPr>
              <w:t>through</w:t>
            </w:r>
            <w:r w:rsidR="00C352DF" w:rsidRPr="00ED593B">
              <w:rPr>
                <w:rFonts w:eastAsia="Times New Roman" w:cstheme="minorHAnsi"/>
                <w:iCs/>
                <w:sz w:val="20"/>
                <w:szCs w:val="20"/>
              </w:rPr>
              <w:t xml:space="preserve"> the </w:t>
            </w:r>
            <w:r w:rsidR="00461BAD" w:rsidRPr="00ED593B">
              <w:rPr>
                <w:rFonts w:eastAsia="Times New Roman" w:cstheme="minorHAnsi"/>
                <w:iCs/>
                <w:sz w:val="20"/>
                <w:szCs w:val="20"/>
              </w:rPr>
              <w:t>N</w:t>
            </w:r>
            <w:r w:rsidR="00C352DF" w:rsidRPr="00ED593B">
              <w:rPr>
                <w:rFonts w:eastAsia="Times New Roman" w:cstheme="minorHAnsi"/>
                <w:iCs/>
                <w:sz w:val="20"/>
                <w:szCs w:val="20"/>
              </w:rPr>
              <w:t xml:space="preserve">ational </w:t>
            </w:r>
            <w:r w:rsidR="00461BAD" w:rsidRPr="00ED593B">
              <w:rPr>
                <w:rFonts w:eastAsia="Times New Roman" w:cstheme="minorHAnsi"/>
                <w:iCs/>
                <w:sz w:val="20"/>
                <w:szCs w:val="20"/>
              </w:rPr>
              <w:t>V</w:t>
            </w:r>
            <w:r w:rsidR="00C352DF" w:rsidRPr="00ED593B">
              <w:rPr>
                <w:rFonts w:eastAsia="Times New Roman" w:cstheme="minorHAnsi"/>
                <w:iCs/>
                <w:sz w:val="20"/>
                <w:szCs w:val="20"/>
              </w:rPr>
              <w:t xml:space="preserve">illage </w:t>
            </w:r>
            <w:r w:rsidR="00461BAD" w:rsidRPr="00ED593B">
              <w:rPr>
                <w:rFonts w:eastAsia="Times New Roman" w:cstheme="minorHAnsi"/>
                <w:iCs/>
                <w:sz w:val="20"/>
                <w:szCs w:val="20"/>
              </w:rPr>
              <w:t>D</w:t>
            </w:r>
            <w:r w:rsidR="00C352DF" w:rsidRPr="00ED593B">
              <w:rPr>
                <w:rFonts w:eastAsia="Times New Roman" w:cstheme="minorHAnsi"/>
                <w:iCs/>
                <w:sz w:val="20"/>
                <w:szCs w:val="20"/>
              </w:rPr>
              <w:t xml:space="preserve">evelopment </w:t>
            </w:r>
            <w:r w:rsidR="00461BAD" w:rsidRPr="00ED593B">
              <w:rPr>
                <w:rFonts w:eastAsia="Times New Roman" w:cstheme="minorHAnsi"/>
                <w:iCs/>
                <w:sz w:val="20"/>
                <w:szCs w:val="20"/>
              </w:rPr>
              <w:t>P</w:t>
            </w:r>
            <w:r w:rsidR="00C352DF" w:rsidRPr="00ED593B">
              <w:rPr>
                <w:rFonts w:eastAsia="Times New Roman" w:cstheme="minorHAnsi"/>
                <w:iCs/>
                <w:sz w:val="20"/>
                <w:szCs w:val="20"/>
              </w:rPr>
              <w:t>rogram (</w:t>
            </w:r>
            <w:r w:rsidR="00F5567E" w:rsidRPr="00ED593B">
              <w:rPr>
                <w:rFonts w:eastAsia="Times New Roman" w:cstheme="minorHAnsi"/>
                <w:iCs/>
                <w:sz w:val="20"/>
                <w:szCs w:val="20"/>
              </w:rPr>
              <w:t xml:space="preserve">PNDS, supported by </w:t>
            </w:r>
            <w:r w:rsidR="007D2751" w:rsidRPr="00ED593B">
              <w:rPr>
                <w:rFonts w:eastAsia="Times New Roman" w:cstheme="minorHAnsi"/>
                <w:iCs/>
                <w:sz w:val="20"/>
                <w:szCs w:val="20"/>
              </w:rPr>
              <w:t xml:space="preserve">Australia’s </w:t>
            </w:r>
            <w:r w:rsidR="00C352DF" w:rsidRPr="00ED593B">
              <w:rPr>
                <w:rFonts w:eastAsia="Times New Roman" w:cstheme="minorHAnsi"/>
                <w:iCs/>
                <w:sz w:val="20"/>
                <w:szCs w:val="20"/>
              </w:rPr>
              <w:t>P</w:t>
            </w:r>
            <w:r w:rsidR="00C41AC4" w:rsidRPr="00ED593B">
              <w:rPr>
                <w:rFonts w:eastAsia="Times New Roman" w:cstheme="minorHAnsi"/>
                <w:iCs/>
                <w:sz w:val="20"/>
                <w:szCs w:val="20"/>
              </w:rPr>
              <w:t>ARTISIPA</w:t>
            </w:r>
            <w:r w:rsidR="00F5567E" w:rsidRPr="00ED593B">
              <w:rPr>
                <w:rFonts w:eastAsia="Times New Roman" w:cstheme="minorHAnsi"/>
                <w:iCs/>
                <w:sz w:val="20"/>
                <w:szCs w:val="20"/>
              </w:rPr>
              <w:t xml:space="preserve"> program</w:t>
            </w:r>
            <w:r w:rsidR="00C352DF" w:rsidRPr="00ED593B">
              <w:rPr>
                <w:rFonts w:eastAsia="Times New Roman" w:cstheme="minorHAnsi"/>
                <w:iCs/>
                <w:sz w:val="20"/>
                <w:szCs w:val="20"/>
              </w:rPr>
              <w:t>) and</w:t>
            </w:r>
            <w:r w:rsidR="00C41AC4" w:rsidRPr="00ED593B">
              <w:rPr>
                <w:rFonts w:eastAsia="Times New Roman" w:cstheme="minorHAnsi"/>
                <w:iCs/>
                <w:sz w:val="20"/>
                <w:szCs w:val="20"/>
              </w:rPr>
              <w:t xml:space="preserve"> </w:t>
            </w:r>
            <w:r w:rsidR="00C352DF" w:rsidRPr="00ED593B">
              <w:rPr>
                <w:rFonts w:eastAsia="Times New Roman" w:cstheme="minorHAnsi"/>
                <w:iCs/>
                <w:sz w:val="20"/>
                <w:szCs w:val="20"/>
              </w:rPr>
              <w:t xml:space="preserve">35% </w:t>
            </w:r>
            <w:r w:rsidR="00814579" w:rsidRPr="00ED593B">
              <w:rPr>
                <w:rFonts w:eastAsia="Times New Roman" w:cstheme="minorHAnsi"/>
                <w:iCs/>
                <w:sz w:val="20"/>
                <w:szCs w:val="20"/>
              </w:rPr>
              <w:t>through</w:t>
            </w:r>
            <w:r w:rsidR="00C352DF" w:rsidRPr="00ED593B">
              <w:rPr>
                <w:rFonts w:eastAsia="Times New Roman" w:cstheme="minorHAnsi"/>
                <w:iCs/>
                <w:sz w:val="20"/>
                <w:szCs w:val="20"/>
              </w:rPr>
              <w:t xml:space="preserve"> </w:t>
            </w:r>
            <w:r w:rsidR="00814579" w:rsidRPr="00ED593B">
              <w:rPr>
                <w:rFonts w:eastAsia="Times New Roman" w:cstheme="minorHAnsi"/>
                <w:iCs/>
                <w:sz w:val="20"/>
                <w:szCs w:val="20"/>
              </w:rPr>
              <w:t xml:space="preserve">rural </w:t>
            </w:r>
            <w:r w:rsidR="00C352DF" w:rsidRPr="00ED593B">
              <w:rPr>
                <w:rFonts w:eastAsia="Times New Roman" w:cstheme="minorHAnsi"/>
                <w:iCs/>
                <w:sz w:val="20"/>
                <w:szCs w:val="20"/>
              </w:rPr>
              <w:t xml:space="preserve">roads rehabilitation </w:t>
            </w:r>
            <w:r w:rsidR="005D5CB2" w:rsidRPr="00ED593B">
              <w:rPr>
                <w:rFonts w:eastAsia="Times New Roman" w:cstheme="minorHAnsi"/>
                <w:iCs/>
                <w:sz w:val="20"/>
                <w:szCs w:val="20"/>
              </w:rPr>
              <w:t xml:space="preserve">and maintenance </w:t>
            </w:r>
            <w:r w:rsidR="00C352DF" w:rsidRPr="00ED593B">
              <w:rPr>
                <w:rFonts w:eastAsia="Times New Roman" w:cstheme="minorHAnsi"/>
                <w:iCs/>
                <w:sz w:val="20"/>
                <w:szCs w:val="20"/>
              </w:rPr>
              <w:t>(</w:t>
            </w:r>
            <w:r w:rsidR="00D338B0" w:rsidRPr="00ED593B">
              <w:rPr>
                <w:rFonts w:eastAsia="Times New Roman" w:cstheme="minorHAnsi"/>
                <w:iCs/>
                <w:sz w:val="20"/>
                <w:szCs w:val="20"/>
              </w:rPr>
              <w:t xml:space="preserve">through </w:t>
            </w:r>
            <w:r w:rsidR="007D2751" w:rsidRPr="00ED593B">
              <w:rPr>
                <w:rFonts w:eastAsia="Times New Roman" w:cstheme="minorHAnsi"/>
                <w:iCs/>
                <w:sz w:val="20"/>
                <w:szCs w:val="20"/>
              </w:rPr>
              <w:t xml:space="preserve">Australia’s </w:t>
            </w:r>
            <w:r w:rsidR="00D338B0" w:rsidRPr="00ED593B">
              <w:rPr>
                <w:rFonts w:eastAsia="Times New Roman" w:cstheme="minorHAnsi"/>
                <w:iCs/>
                <w:sz w:val="20"/>
                <w:szCs w:val="20"/>
              </w:rPr>
              <w:t>support for</w:t>
            </w:r>
            <w:r w:rsidR="005D5CB2" w:rsidRPr="00ED593B">
              <w:rPr>
                <w:rFonts w:eastAsia="Times New Roman" w:cstheme="minorHAnsi"/>
                <w:iCs/>
                <w:sz w:val="20"/>
                <w:szCs w:val="20"/>
              </w:rPr>
              <w:t xml:space="preserve"> </w:t>
            </w:r>
            <w:r w:rsidR="00D338B0" w:rsidRPr="00ED593B">
              <w:rPr>
                <w:rFonts w:eastAsia="Times New Roman" w:cstheme="minorHAnsi"/>
                <w:iCs/>
                <w:sz w:val="20"/>
                <w:szCs w:val="20"/>
              </w:rPr>
              <w:t xml:space="preserve">the </w:t>
            </w:r>
            <w:r w:rsidR="005D5CB2" w:rsidRPr="00ED593B">
              <w:rPr>
                <w:rFonts w:eastAsia="Times New Roman" w:cstheme="minorHAnsi"/>
                <w:iCs/>
                <w:sz w:val="20"/>
                <w:szCs w:val="20"/>
              </w:rPr>
              <w:t>R</w:t>
            </w:r>
            <w:r w:rsidR="00D338B0" w:rsidRPr="00ED593B">
              <w:rPr>
                <w:rFonts w:eastAsia="Times New Roman" w:cstheme="minorHAnsi"/>
                <w:iCs/>
                <w:sz w:val="20"/>
                <w:szCs w:val="20"/>
              </w:rPr>
              <w:t xml:space="preserve">oads for </w:t>
            </w:r>
            <w:r w:rsidR="005D5CB2" w:rsidRPr="00ED593B">
              <w:rPr>
                <w:rFonts w:eastAsia="Times New Roman" w:cstheme="minorHAnsi"/>
                <w:iCs/>
                <w:sz w:val="20"/>
                <w:szCs w:val="20"/>
              </w:rPr>
              <w:t>D</w:t>
            </w:r>
            <w:r w:rsidR="00D338B0" w:rsidRPr="00ED593B">
              <w:rPr>
                <w:rFonts w:eastAsia="Times New Roman" w:cstheme="minorHAnsi"/>
                <w:iCs/>
                <w:sz w:val="20"/>
                <w:szCs w:val="20"/>
              </w:rPr>
              <w:t>evelopment Program</w:t>
            </w:r>
            <w:r w:rsidR="007D2751" w:rsidRPr="00ED593B">
              <w:rPr>
                <w:rFonts w:eastAsia="Times New Roman" w:cstheme="minorHAnsi"/>
                <w:iCs/>
                <w:sz w:val="20"/>
                <w:szCs w:val="20"/>
              </w:rPr>
              <w:t>, R4D</w:t>
            </w:r>
            <w:r w:rsidR="00C352DF" w:rsidRPr="00ED593B">
              <w:rPr>
                <w:rFonts w:eastAsia="Times New Roman" w:cstheme="minorHAnsi"/>
                <w:iCs/>
                <w:sz w:val="20"/>
                <w:szCs w:val="20"/>
              </w:rPr>
              <w:t>)</w:t>
            </w:r>
            <w:r w:rsidR="00C41AC4" w:rsidRPr="00ED593B">
              <w:rPr>
                <w:rFonts w:eastAsia="Times New Roman" w:cstheme="minorHAnsi"/>
                <w:iCs/>
                <w:sz w:val="20"/>
                <w:szCs w:val="20"/>
              </w:rPr>
              <w:t xml:space="preserve">. </w:t>
            </w:r>
            <w:r w:rsidR="0053351C" w:rsidRPr="00ED593B">
              <w:rPr>
                <w:rFonts w:eastAsia="Times New Roman" w:cstheme="minorHAnsi"/>
                <w:iCs/>
                <w:sz w:val="20"/>
                <w:szCs w:val="20"/>
              </w:rPr>
              <w:t xml:space="preserve">This was a substantial increase on </w:t>
            </w:r>
            <w:r w:rsidR="00814579" w:rsidRPr="00ED593B">
              <w:rPr>
                <w:rFonts w:eastAsia="Times New Roman" w:cstheme="minorHAnsi"/>
                <w:iCs/>
                <w:sz w:val="20"/>
                <w:szCs w:val="20"/>
              </w:rPr>
              <w:t>the 116</w:t>
            </w:r>
            <w:r w:rsidR="0053351C" w:rsidRPr="00ED593B">
              <w:rPr>
                <w:rFonts w:eastAsia="Times New Roman" w:cstheme="minorHAnsi"/>
                <w:iCs/>
                <w:sz w:val="20"/>
                <w:szCs w:val="20"/>
              </w:rPr>
              <w:t xml:space="preserve"> </w:t>
            </w:r>
            <w:r w:rsidR="00D338B0" w:rsidRPr="00ED593B">
              <w:rPr>
                <w:rFonts w:eastAsia="Times New Roman" w:cstheme="minorHAnsi"/>
                <w:iCs/>
                <w:sz w:val="20"/>
                <w:szCs w:val="20"/>
              </w:rPr>
              <w:t>work opportunities</w:t>
            </w:r>
            <w:r w:rsidR="007D2751" w:rsidRPr="00ED593B">
              <w:rPr>
                <w:rFonts w:eastAsia="Times New Roman" w:cstheme="minorHAnsi"/>
                <w:iCs/>
                <w:sz w:val="20"/>
                <w:szCs w:val="20"/>
              </w:rPr>
              <w:t xml:space="preserve"> created</w:t>
            </w:r>
            <w:r w:rsidR="00D338B0" w:rsidRPr="00ED593B">
              <w:rPr>
                <w:rFonts w:eastAsia="Times New Roman" w:cstheme="minorHAnsi"/>
                <w:iCs/>
                <w:sz w:val="20"/>
                <w:szCs w:val="20"/>
              </w:rPr>
              <w:t xml:space="preserve"> </w:t>
            </w:r>
            <w:r w:rsidR="0053351C" w:rsidRPr="00ED593B">
              <w:rPr>
                <w:rFonts w:eastAsia="Times New Roman" w:cstheme="minorHAnsi"/>
                <w:iCs/>
                <w:sz w:val="20"/>
                <w:szCs w:val="20"/>
              </w:rPr>
              <w:t>in 2018-19 and reflects the</w:t>
            </w:r>
            <w:r w:rsidR="00FD235F" w:rsidRPr="00ED593B">
              <w:rPr>
                <w:rFonts w:eastAsia="Times New Roman" w:cstheme="minorHAnsi"/>
                <w:iCs/>
                <w:sz w:val="20"/>
                <w:szCs w:val="20"/>
              </w:rPr>
              <w:t xml:space="preserve"> Government of</w:t>
            </w:r>
            <w:r w:rsidR="0053351C" w:rsidRPr="00ED593B">
              <w:rPr>
                <w:rFonts w:eastAsia="Times New Roman" w:cstheme="minorHAnsi"/>
                <w:iCs/>
                <w:sz w:val="20"/>
                <w:szCs w:val="20"/>
              </w:rPr>
              <w:t xml:space="preserve"> </w:t>
            </w:r>
            <w:r w:rsidR="003D7914" w:rsidRPr="00ED593B">
              <w:rPr>
                <w:rFonts w:eastAsia="Times New Roman" w:cstheme="minorHAnsi"/>
                <w:iCs/>
                <w:sz w:val="20"/>
                <w:szCs w:val="20"/>
              </w:rPr>
              <w:t>Timor-Leste</w:t>
            </w:r>
            <w:r w:rsidR="00FD235F" w:rsidRPr="00ED593B">
              <w:rPr>
                <w:rFonts w:eastAsia="Times New Roman" w:cstheme="minorHAnsi"/>
                <w:iCs/>
                <w:sz w:val="20"/>
                <w:szCs w:val="20"/>
              </w:rPr>
              <w:t>’s</w:t>
            </w:r>
            <w:r w:rsidR="003D7914" w:rsidRPr="00ED593B">
              <w:rPr>
                <w:rFonts w:eastAsia="Times New Roman" w:cstheme="minorHAnsi"/>
                <w:iCs/>
                <w:sz w:val="20"/>
                <w:szCs w:val="20"/>
              </w:rPr>
              <w:t xml:space="preserve"> </w:t>
            </w:r>
            <w:r w:rsidR="00814579" w:rsidRPr="00ED593B">
              <w:rPr>
                <w:rFonts w:eastAsia="Times New Roman" w:cstheme="minorHAnsi"/>
                <w:iCs/>
                <w:sz w:val="20"/>
                <w:szCs w:val="20"/>
              </w:rPr>
              <w:t>work</w:t>
            </w:r>
            <w:r w:rsidR="0053351C" w:rsidRPr="00ED593B">
              <w:rPr>
                <w:rFonts w:eastAsia="Times New Roman" w:cstheme="minorHAnsi"/>
                <w:iCs/>
                <w:sz w:val="20"/>
                <w:szCs w:val="20"/>
              </w:rPr>
              <w:t xml:space="preserve"> </w:t>
            </w:r>
            <w:r w:rsidR="00814579" w:rsidRPr="00ED593B">
              <w:rPr>
                <w:rFonts w:eastAsia="Times New Roman" w:cstheme="minorHAnsi"/>
                <w:iCs/>
                <w:sz w:val="20"/>
                <w:szCs w:val="20"/>
              </w:rPr>
              <w:t>to overcome ongoing budget impasses.</w:t>
            </w:r>
            <w:r w:rsidR="0053351C" w:rsidRPr="00ED593B">
              <w:rPr>
                <w:rFonts w:eastAsia="Times New Roman" w:cstheme="minorHAnsi"/>
                <w:iCs/>
                <w:sz w:val="20"/>
                <w:szCs w:val="20"/>
              </w:rPr>
              <w:t xml:space="preserve"> </w:t>
            </w:r>
            <w:r w:rsidR="00C41AC4" w:rsidRPr="00ED593B">
              <w:rPr>
                <w:rFonts w:eastAsia="Times New Roman" w:cstheme="minorHAnsi"/>
                <w:iCs/>
                <w:sz w:val="20"/>
                <w:szCs w:val="20"/>
              </w:rPr>
              <w:t xml:space="preserve">This figure does not include </w:t>
            </w:r>
            <w:r w:rsidR="00F5567E" w:rsidRPr="00ED593B">
              <w:rPr>
                <w:rFonts w:eastAsia="Times New Roman" w:cstheme="minorHAnsi"/>
                <w:iCs/>
                <w:sz w:val="20"/>
                <w:szCs w:val="20"/>
              </w:rPr>
              <w:t xml:space="preserve">more than </w:t>
            </w:r>
            <w:r w:rsidR="007423A4" w:rsidRPr="00ED593B">
              <w:rPr>
                <w:rFonts w:eastAsia="Times New Roman" w:cstheme="minorHAnsi"/>
                <w:iCs/>
                <w:sz w:val="20"/>
                <w:szCs w:val="20"/>
              </w:rPr>
              <w:t>1,</w:t>
            </w:r>
            <w:r w:rsidR="00C352DF" w:rsidRPr="00ED593B">
              <w:rPr>
                <w:rFonts w:eastAsia="Times New Roman" w:cstheme="minorHAnsi"/>
                <w:iCs/>
                <w:sz w:val="20"/>
                <w:szCs w:val="20"/>
              </w:rPr>
              <w:t>5</w:t>
            </w:r>
            <w:r w:rsidR="007423A4" w:rsidRPr="00ED593B">
              <w:rPr>
                <w:rFonts w:eastAsia="Times New Roman" w:cstheme="minorHAnsi"/>
                <w:iCs/>
                <w:sz w:val="20"/>
                <w:szCs w:val="20"/>
              </w:rPr>
              <w:t xml:space="preserve">00 </w:t>
            </w:r>
            <w:r w:rsidR="00D338B0" w:rsidRPr="00ED593B">
              <w:rPr>
                <w:rFonts w:eastAsia="Times New Roman" w:cstheme="minorHAnsi"/>
                <w:iCs/>
                <w:sz w:val="20"/>
                <w:szCs w:val="20"/>
              </w:rPr>
              <w:t>work</w:t>
            </w:r>
            <w:r w:rsidR="00C41AC4" w:rsidRPr="00ED593B">
              <w:rPr>
                <w:rFonts w:eastAsia="Times New Roman" w:cstheme="minorHAnsi"/>
                <w:iCs/>
                <w:sz w:val="20"/>
                <w:szCs w:val="20"/>
              </w:rPr>
              <w:t xml:space="preserve"> opportunities </w:t>
            </w:r>
            <w:r w:rsidR="007D2751" w:rsidRPr="00ED593B">
              <w:rPr>
                <w:rFonts w:eastAsia="Times New Roman" w:cstheme="minorHAnsi"/>
                <w:iCs/>
                <w:sz w:val="20"/>
                <w:szCs w:val="20"/>
              </w:rPr>
              <w:t xml:space="preserve">in Australia </w:t>
            </w:r>
            <w:r w:rsidR="00C41AC4" w:rsidRPr="00ED593B">
              <w:rPr>
                <w:rFonts w:eastAsia="Times New Roman" w:cstheme="minorHAnsi"/>
                <w:iCs/>
                <w:sz w:val="20"/>
                <w:szCs w:val="20"/>
              </w:rPr>
              <w:t xml:space="preserve">delivered through </w:t>
            </w:r>
            <w:r w:rsidR="00855257" w:rsidRPr="00ED593B">
              <w:rPr>
                <w:rFonts w:eastAsia="Times New Roman" w:cstheme="minorHAnsi"/>
                <w:iCs/>
                <w:sz w:val="20"/>
                <w:szCs w:val="20"/>
              </w:rPr>
              <w:t>labour mobility initiatives</w:t>
            </w:r>
            <w:r w:rsidR="00C41AC4" w:rsidRPr="00ED593B">
              <w:rPr>
                <w:rFonts w:eastAsia="Times New Roman" w:cstheme="minorHAnsi"/>
                <w:iCs/>
                <w:sz w:val="20"/>
                <w:szCs w:val="20"/>
              </w:rPr>
              <w:t>.</w:t>
            </w:r>
            <w:r w:rsidR="0053351C" w:rsidRPr="00ED593B">
              <w:rPr>
                <w:rFonts w:eastAsia="Times New Roman" w:cstheme="minorHAnsi"/>
                <w:iCs/>
                <w:sz w:val="20"/>
                <w:szCs w:val="20"/>
              </w:rPr>
              <w:t xml:space="preserve"> </w:t>
            </w:r>
          </w:p>
          <w:p w:rsidR="002F2416" w:rsidRDefault="002F2416" w:rsidP="00FD235F">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Pr="00ED593B">
              <w:rPr>
                <w:rFonts w:eastAsia="Times New Roman" w:cstheme="minorHAnsi"/>
                <w:iCs/>
                <w:sz w:val="20"/>
                <w:szCs w:val="20"/>
              </w:rPr>
              <w:t>8,036 people (30% women) increased their incomes. Of these 20% (half of which were women) were supported by Australia’s Market Development Facility, 60% (a quarter women) by R4D, and 20% were seasonal workers (a quarter women). The target was not met mainly because of delays in the approval of the Government of Timor-Leste’s budget, as well as slow procurement which delayed the start of new R4D road works</w:t>
            </w:r>
            <w:r>
              <w:rPr>
                <w:rFonts w:eastAsia="Times New Roman" w:cstheme="minorHAnsi"/>
                <w:iCs/>
                <w:sz w:val="20"/>
                <w:szCs w:val="20"/>
              </w:rPr>
              <w:t>.</w:t>
            </w:r>
          </w:p>
          <w:p w:rsidR="002F2416" w:rsidRPr="00ED593B" w:rsidRDefault="002F2416" w:rsidP="00FD235F">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Pr="00ED593B">
              <w:rPr>
                <w:rFonts w:eastAsia="Times New Roman" w:cstheme="minorHAnsi"/>
                <w:iCs/>
                <w:sz w:val="20"/>
                <w:szCs w:val="20"/>
              </w:rPr>
              <w:t>2,036 people (38% women) developed work-ready skills through formal education or training. This figure includes Australia Awards scholarships, teacher training, preparing workers for labour mobility opportunities, training for communities in the management of small infrastructure projects, and training local industry to manage road rehabilitation and maintenance. The target was not achieved because of delays in the delivery of some training caused by COVID-19.</w:t>
            </w:r>
          </w:p>
        </w:tc>
      </w:tr>
      <w:tr w:rsidR="00C41AC4" w:rsidRPr="00ED593B" w:rsidTr="002F2416">
        <w:tc>
          <w:tcPr>
            <w:tcW w:w="1696" w:type="dxa"/>
          </w:tcPr>
          <w:p w:rsidR="002F2416" w:rsidRDefault="00C41AC4" w:rsidP="00C41AC4">
            <w:pPr>
              <w:pStyle w:val="BodyText"/>
              <w:spacing w:before="40" w:after="40" w:line="240" w:lineRule="auto"/>
              <w:rPr>
                <w:rFonts w:eastAsiaTheme="majorEastAsia" w:cstheme="minorHAnsi"/>
                <w:sz w:val="20"/>
                <w:szCs w:val="20"/>
              </w:rPr>
            </w:pPr>
            <w:r w:rsidRPr="00ED593B">
              <w:rPr>
                <w:rFonts w:eastAsiaTheme="majorEastAsia" w:cstheme="minorHAnsi"/>
                <w:sz w:val="20"/>
                <w:szCs w:val="20"/>
              </w:rPr>
              <w:t>Objective 2</w:t>
            </w:r>
            <w:r w:rsidR="002F2416">
              <w:rPr>
                <w:rFonts w:eastAsiaTheme="majorEastAsia" w:cstheme="minorHAnsi"/>
                <w:sz w:val="20"/>
                <w:szCs w:val="20"/>
              </w:rPr>
              <w:t>.</w:t>
            </w:r>
          </w:p>
          <w:p w:rsidR="00C41AC4" w:rsidRPr="00ED593B" w:rsidRDefault="00C41AC4" w:rsidP="00C41AC4">
            <w:pPr>
              <w:pStyle w:val="BodyText"/>
              <w:spacing w:before="40" w:after="40" w:line="240" w:lineRule="auto"/>
              <w:rPr>
                <w:rFonts w:eastAsiaTheme="majorEastAsia" w:cstheme="minorHAnsi"/>
                <w:caps/>
                <w:sz w:val="20"/>
                <w:szCs w:val="20"/>
              </w:rPr>
            </w:pPr>
            <w:r w:rsidRPr="00ED593B">
              <w:rPr>
                <w:rFonts w:cstheme="minorHAnsi"/>
                <w:sz w:val="20"/>
                <w:szCs w:val="20"/>
              </w:rPr>
              <w:t>Enhancing Human Development</w:t>
            </w:r>
          </w:p>
        </w:tc>
        <w:tc>
          <w:tcPr>
            <w:tcW w:w="1985" w:type="dxa"/>
          </w:tcPr>
          <w:p w:rsidR="00C41AC4" w:rsidRDefault="002F2416" w:rsidP="00C41AC4">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2.1</w:t>
            </w:r>
            <w:r>
              <w:rPr>
                <w:rFonts w:eastAsia="Times New Roman" w:cstheme="minorHAnsi"/>
                <w:iCs/>
                <w:sz w:val="20"/>
                <w:szCs w:val="20"/>
              </w:rPr>
              <w:t xml:space="preserve"> </w:t>
            </w:r>
            <w:r w:rsidR="00C41AC4" w:rsidRPr="00ED593B">
              <w:rPr>
                <w:rFonts w:eastAsia="Times New Roman" w:cstheme="minorHAnsi"/>
                <w:iCs/>
                <w:sz w:val="20"/>
                <w:szCs w:val="20"/>
              </w:rPr>
              <w:t>2,200 people who use improved skills to deliver better quality services</w:t>
            </w:r>
            <w:r>
              <w:rPr>
                <w:rFonts w:eastAsia="Times New Roman" w:cstheme="minorHAnsi"/>
                <w:iCs/>
                <w:sz w:val="20"/>
                <w:szCs w:val="20"/>
              </w:rPr>
              <w:t>.</w:t>
            </w:r>
          </w:p>
          <w:p w:rsidR="002F2416" w:rsidRDefault="002F2416" w:rsidP="002F2416">
            <w:pPr>
              <w:pStyle w:val="BodyText"/>
              <w:spacing w:before="40" w:after="40" w:line="240" w:lineRule="auto"/>
              <w:rPr>
                <w:rFonts w:asciiTheme="majorHAnsi" w:eastAsia="Times New Roman" w:hAnsiTheme="majorHAnsi" w:cstheme="majorHAnsi"/>
                <w:iCs/>
                <w:sz w:val="20"/>
                <w:szCs w:val="20"/>
              </w:rPr>
            </w:pPr>
          </w:p>
          <w:p w:rsidR="002F2416" w:rsidRDefault="002F2416" w:rsidP="002F2416">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2.2</w:t>
            </w:r>
            <w:r>
              <w:rPr>
                <w:rFonts w:eastAsia="Times New Roman" w:cstheme="minorHAnsi"/>
                <w:iCs/>
                <w:sz w:val="20"/>
                <w:szCs w:val="20"/>
              </w:rPr>
              <w:t xml:space="preserve"> </w:t>
            </w:r>
            <w:r w:rsidRPr="00ED593B">
              <w:rPr>
                <w:rFonts w:eastAsia="Times New Roman" w:cstheme="minorHAnsi"/>
                <w:iCs/>
                <w:sz w:val="20"/>
                <w:szCs w:val="20"/>
              </w:rPr>
              <w:t>100,000 services provided</w:t>
            </w:r>
            <w:r>
              <w:rPr>
                <w:rFonts w:eastAsia="Times New Roman" w:cstheme="minorHAnsi"/>
                <w:iCs/>
                <w:sz w:val="20"/>
                <w:szCs w:val="20"/>
              </w:rPr>
              <w:t>.</w:t>
            </w:r>
          </w:p>
          <w:p w:rsidR="002F2416" w:rsidRDefault="002F2416" w:rsidP="002F2416">
            <w:pPr>
              <w:pStyle w:val="BodyText"/>
              <w:spacing w:before="40" w:after="40" w:line="240" w:lineRule="auto"/>
              <w:rPr>
                <w:rFonts w:asciiTheme="majorHAnsi" w:eastAsia="Times New Roman" w:hAnsiTheme="majorHAnsi" w:cstheme="majorHAnsi"/>
                <w:iCs/>
                <w:sz w:val="20"/>
                <w:szCs w:val="20"/>
              </w:rPr>
            </w:pPr>
          </w:p>
          <w:p w:rsidR="002F2416" w:rsidRDefault="002F2416" w:rsidP="002F2416">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2.3</w:t>
            </w:r>
            <w:r>
              <w:rPr>
                <w:rFonts w:eastAsia="Times New Roman" w:cstheme="minorHAnsi"/>
                <w:iCs/>
                <w:sz w:val="20"/>
                <w:szCs w:val="20"/>
              </w:rPr>
              <w:t xml:space="preserve"> </w:t>
            </w:r>
            <w:r w:rsidRPr="00ED593B">
              <w:rPr>
                <w:rFonts w:eastAsia="Times New Roman" w:cstheme="minorHAnsi"/>
                <w:iCs/>
                <w:sz w:val="20"/>
                <w:szCs w:val="20"/>
              </w:rPr>
              <w:t>1,000 women and girls who experience violence access essential services</w:t>
            </w:r>
            <w:r>
              <w:rPr>
                <w:rFonts w:eastAsia="Times New Roman" w:cstheme="minorHAnsi"/>
                <w:iCs/>
                <w:sz w:val="20"/>
                <w:szCs w:val="20"/>
              </w:rPr>
              <w:t>.</w:t>
            </w:r>
          </w:p>
          <w:p w:rsidR="002F2416" w:rsidRDefault="002F2416" w:rsidP="002F2416">
            <w:pPr>
              <w:pStyle w:val="BodyText"/>
              <w:spacing w:before="40" w:after="40" w:line="240" w:lineRule="auto"/>
              <w:rPr>
                <w:rFonts w:eastAsia="Times New Roman" w:cstheme="minorHAnsi"/>
                <w:iCs/>
                <w:sz w:val="20"/>
                <w:szCs w:val="20"/>
              </w:rPr>
            </w:pPr>
          </w:p>
          <w:p w:rsidR="002F2416" w:rsidRPr="00ED593B" w:rsidRDefault="002F2416" w:rsidP="00C41AC4">
            <w:pPr>
              <w:pStyle w:val="BodyText"/>
              <w:spacing w:before="40" w:after="40" w:line="240" w:lineRule="auto"/>
              <w:rPr>
                <w:rFonts w:eastAsiaTheme="majorEastAsia" w:cstheme="minorHAnsi"/>
                <w:caps/>
                <w:sz w:val="20"/>
                <w:szCs w:val="20"/>
              </w:rPr>
            </w:pPr>
          </w:p>
        </w:tc>
        <w:tc>
          <w:tcPr>
            <w:tcW w:w="6520" w:type="dxa"/>
          </w:tcPr>
          <w:p w:rsidR="002653EC" w:rsidRDefault="002F2416" w:rsidP="000E782A">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00C41AC4" w:rsidRPr="00ED593B">
              <w:rPr>
                <w:rFonts w:eastAsia="Times New Roman" w:cstheme="minorHAnsi"/>
                <w:iCs/>
                <w:sz w:val="20"/>
                <w:szCs w:val="20"/>
              </w:rPr>
              <w:t>4,418 people (52</w:t>
            </w:r>
            <w:r w:rsidR="002653EC" w:rsidRPr="00ED593B">
              <w:rPr>
                <w:rFonts w:eastAsia="Times New Roman" w:cstheme="minorHAnsi"/>
                <w:iCs/>
                <w:sz w:val="20"/>
                <w:szCs w:val="20"/>
              </w:rPr>
              <w:t>%</w:t>
            </w:r>
            <w:r w:rsidR="00C41AC4" w:rsidRPr="00ED593B">
              <w:rPr>
                <w:rFonts w:eastAsia="Times New Roman" w:cstheme="minorHAnsi"/>
                <w:iCs/>
                <w:sz w:val="20"/>
                <w:szCs w:val="20"/>
              </w:rPr>
              <w:t xml:space="preserve"> women) applied improved skills</w:t>
            </w:r>
            <w:r w:rsidR="005C56CF" w:rsidRPr="00ED593B">
              <w:rPr>
                <w:rFonts w:eastAsia="Times New Roman" w:cstheme="minorHAnsi"/>
                <w:iCs/>
                <w:sz w:val="20"/>
                <w:szCs w:val="20"/>
              </w:rPr>
              <w:t xml:space="preserve"> (through informal and on the job training)</w:t>
            </w:r>
            <w:r w:rsidR="00C41AC4" w:rsidRPr="00ED593B">
              <w:rPr>
                <w:rFonts w:eastAsia="Times New Roman" w:cstheme="minorHAnsi"/>
                <w:iCs/>
                <w:sz w:val="20"/>
                <w:szCs w:val="20"/>
              </w:rPr>
              <w:t xml:space="preserve"> to deliver better quality services. This includes </w:t>
            </w:r>
            <w:r w:rsidR="005C56CF" w:rsidRPr="00ED593B">
              <w:rPr>
                <w:rFonts w:eastAsia="Times New Roman" w:cstheme="minorHAnsi"/>
                <w:iCs/>
                <w:sz w:val="20"/>
                <w:szCs w:val="20"/>
              </w:rPr>
              <w:t xml:space="preserve">teachers, </w:t>
            </w:r>
            <w:r w:rsidR="00C41AC4" w:rsidRPr="00ED593B">
              <w:rPr>
                <w:rFonts w:eastAsia="Times New Roman" w:cstheme="minorHAnsi"/>
                <w:iCs/>
                <w:sz w:val="20"/>
                <w:szCs w:val="20"/>
              </w:rPr>
              <w:t>water</w:t>
            </w:r>
            <w:r w:rsidR="00F5567E" w:rsidRPr="00ED593B">
              <w:rPr>
                <w:rFonts w:eastAsia="Times New Roman" w:cstheme="minorHAnsi"/>
                <w:iCs/>
                <w:sz w:val="20"/>
                <w:szCs w:val="20"/>
              </w:rPr>
              <w:t xml:space="preserve"> and</w:t>
            </w:r>
            <w:r w:rsidR="00C41AC4" w:rsidRPr="00ED593B">
              <w:rPr>
                <w:rFonts w:eastAsia="Times New Roman" w:cstheme="minorHAnsi"/>
                <w:iCs/>
                <w:sz w:val="20"/>
                <w:szCs w:val="20"/>
              </w:rPr>
              <w:t xml:space="preserve"> sanitation </w:t>
            </w:r>
            <w:r w:rsidR="00F5567E" w:rsidRPr="00ED593B">
              <w:rPr>
                <w:rFonts w:eastAsia="Times New Roman" w:cstheme="minorHAnsi"/>
                <w:iCs/>
                <w:sz w:val="20"/>
                <w:szCs w:val="20"/>
              </w:rPr>
              <w:t xml:space="preserve">providers, </w:t>
            </w:r>
            <w:r w:rsidR="005D5CB2" w:rsidRPr="00ED593B">
              <w:rPr>
                <w:rFonts w:eastAsia="Times New Roman" w:cstheme="minorHAnsi"/>
                <w:iCs/>
                <w:sz w:val="20"/>
                <w:szCs w:val="20"/>
              </w:rPr>
              <w:t xml:space="preserve">road management officials, </w:t>
            </w:r>
            <w:r w:rsidR="00F5567E" w:rsidRPr="00ED593B">
              <w:rPr>
                <w:rFonts w:eastAsia="Times New Roman" w:cstheme="minorHAnsi"/>
                <w:iCs/>
                <w:sz w:val="20"/>
                <w:szCs w:val="20"/>
              </w:rPr>
              <w:t>frontline health workers and</w:t>
            </w:r>
            <w:r w:rsidR="00C41AC4" w:rsidRPr="00ED593B">
              <w:rPr>
                <w:rFonts w:eastAsia="Times New Roman" w:cstheme="minorHAnsi"/>
                <w:iCs/>
                <w:sz w:val="20"/>
                <w:szCs w:val="20"/>
              </w:rPr>
              <w:t xml:space="preserve"> hospitality </w:t>
            </w:r>
            <w:r w:rsidR="00F5567E" w:rsidRPr="00ED593B">
              <w:rPr>
                <w:rFonts w:eastAsia="Times New Roman" w:cstheme="minorHAnsi"/>
                <w:iCs/>
                <w:sz w:val="20"/>
                <w:szCs w:val="20"/>
              </w:rPr>
              <w:t>staff</w:t>
            </w:r>
            <w:r w:rsidR="00C41AC4" w:rsidRPr="00ED593B">
              <w:rPr>
                <w:rFonts w:eastAsia="Times New Roman" w:cstheme="minorHAnsi"/>
                <w:iCs/>
                <w:sz w:val="20"/>
                <w:szCs w:val="20"/>
              </w:rPr>
              <w:t xml:space="preserve">. </w:t>
            </w:r>
            <w:r w:rsidR="00C2456B" w:rsidRPr="00ED593B">
              <w:rPr>
                <w:rFonts w:eastAsia="Times New Roman" w:cstheme="minorHAnsi"/>
                <w:iCs/>
                <w:sz w:val="20"/>
                <w:szCs w:val="20"/>
              </w:rPr>
              <w:t>E</w:t>
            </w:r>
            <w:r w:rsidR="002653EC" w:rsidRPr="00ED593B">
              <w:rPr>
                <w:rFonts w:eastAsia="Times New Roman" w:cstheme="minorHAnsi"/>
                <w:iCs/>
                <w:sz w:val="20"/>
                <w:szCs w:val="20"/>
              </w:rPr>
              <w:t>vidence</w:t>
            </w:r>
            <w:r w:rsidR="0051003E" w:rsidRPr="00ED593B">
              <w:rPr>
                <w:rFonts w:eastAsia="Times New Roman" w:cstheme="minorHAnsi"/>
                <w:iCs/>
                <w:sz w:val="20"/>
                <w:szCs w:val="20"/>
              </w:rPr>
              <w:t xml:space="preserve">, gained through </w:t>
            </w:r>
            <w:r w:rsidR="000E782A" w:rsidRPr="00ED593B">
              <w:rPr>
                <w:rFonts w:eastAsia="Times New Roman" w:cstheme="minorHAnsi"/>
                <w:iCs/>
                <w:sz w:val="20"/>
                <w:szCs w:val="20"/>
              </w:rPr>
              <w:t xml:space="preserve">classroom </w:t>
            </w:r>
            <w:r w:rsidR="0051003E" w:rsidRPr="00ED593B">
              <w:rPr>
                <w:rFonts w:eastAsia="Times New Roman" w:cstheme="minorHAnsi"/>
                <w:iCs/>
                <w:sz w:val="20"/>
                <w:szCs w:val="20"/>
              </w:rPr>
              <w:t>observations</w:t>
            </w:r>
            <w:r w:rsidR="000E782A" w:rsidRPr="00ED593B">
              <w:rPr>
                <w:rFonts w:eastAsia="Times New Roman" w:cstheme="minorHAnsi"/>
                <w:iCs/>
                <w:sz w:val="20"/>
                <w:szCs w:val="20"/>
              </w:rPr>
              <w:t xml:space="preserve"> of teaching practices</w:t>
            </w:r>
            <w:r w:rsidR="0051003E" w:rsidRPr="00ED593B">
              <w:rPr>
                <w:rFonts w:eastAsia="Times New Roman" w:cstheme="minorHAnsi"/>
                <w:iCs/>
                <w:sz w:val="20"/>
                <w:szCs w:val="20"/>
              </w:rPr>
              <w:t xml:space="preserve"> by school leaders,</w:t>
            </w:r>
            <w:r w:rsidR="00C2456B" w:rsidRPr="00ED593B">
              <w:rPr>
                <w:rFonts w:eastAsia="Times New Roman" w:cstheme="minorHAnsi"/>
                <w:iCs/>
                <w:sz w:val="20"/>
                <w:szCs w:val="20"/>
              </w:rPr>
              <w:t xml:space="preserve"> shows</w:t>
            </w:r>
            <w:r w:rsidR="002653EC" w:rsidRPr="00ED593B">
              <w:rPr>
                <w:rFonts w:eastAsia="Times New Roman" w:cstheme="minorHAnsi"/>
                <w:iCs/>
                <w:sz w:val="20"/>
                <w:szCs w:val="20"/>
              </w:rPr>
              <w:t xml:space="preserve"> that</w:t>
            </w:r>
            <w:r w:rsidR="00C2456B" w:rsidRPr="00ED593B">
              <w:rPr>
                <w:rFonts w:eastAsia="Times New Roman" w:cstheme="minorHAnsi"/>
                <w:iCs/>
                <w:sz w:val="20"/>
                <w:szCs w:val="20"/>
              </w:rPr>
              <w:t xml:space="preserve"> the capacity and performance of </w:t>
            </w:r>
            <w:r w:rsidR="0051003E" w:rsidRPr="00ED593B">
              <w:rPr>
                <w:rFonts w:eastAsia="Times New Roman" w:cstheme="minorHAnsi"/>
                <w:iCs/>
                <w:sz w:val="20"/>
                <w:szCs w:val="20"/>
              </w:rPr>
              <w:t>teacher</w:t>
            </w:r>
            <w:r w:rsidR="000E782A" w:rsidRPr="00ED593B">
              <w:rPr>
                <w:rFonts w:eastAsia="Times New Roman" w:cstheme="minorHAnsi"/>
                <w:iCs/>
                <w:sz w:val="20"/>
                <w:szCs w:val="20"/>
              </w:rPr>
              <w:t>s</w:t>
            </w:r>
            <w:r w:rsidR="00C2456B" w:rsidRPr="00ED593B">
              <w:rPr>
                <w:rFonts w:eastAsia="Times New Roman" w:cstheme="minorHAnsi"/>
                <w:iCs/>
                <w:sz w:val="20"/>
                <w:szCs w:val="20"/>
              </w:rPr>
              <w:t xml:space="preserve"> has improved as a result of training and that </w:t>
            </w:r>
            <w:r w:rsidR="002653EC" w:rsidRPr="00ED593B">
              <w:rPr>
                <w:rFonts w:eastAsia="Times New Roman" w:cstheme="minorHAnsi"/>
                <w:iCs/>
                <w:sz w:val="20"/>
                <w:szCs w:val="20"/>
              </w:rPr>
              <w:t xml:space="preserve">a </w:t>
            </w:r>
            <w:r w:rsidR="00C2456B" w:rsidRPr="00ED593B">
              <w:rPr>
                <w:rFonts w:eastAsia="Times New Roman" w:cstheme="minorHAnsi"/>
                <w:iCs/>
                <w:sz w:val="20"/>
                <w:szCs w:val="20"/>
              </w:rPr>
              <w:t xml:space="preserve">significant </w:t>
            </w:r>
            <w:r w:rsidR="00C41AC4" w:rsidRPr="00ED593B">
              <w:rPr>
                <w:rFonts w:eastAsia="Times New Roman" w:cstheme="minorHAnsi"/>
                <w:iCs/>
                <w:sz w:val="20"/>
                <w:szCs w:val="20"/>
              </w:rPr>
              <w:t xml:space="preserve">number of teachers </w:t>
            </w:r>
            <w:r w:rsidR="002653EC" w:rsidRPr="00ED593B">
              <w:rPr>
                <w:rFonts w:eastAsia="Times New Roman" w:cstheme="minorHAnsi"/>
                <w:iCs/>
                <w:sz w:val="20"/>
                <w:szCs w:val="20"/>
              </w:rPr>
              <w:t>are</w:t>
            </w:r>
            <w:r w:rsidR="00C41AC4" w:rsidRPr="00ED593B">
              <w:rPr>
                <w:rFonts w:eastAsia="Times New Roman" w:cstheme="minorHAnsi"/>
                <w:iCs/>
                <w:sz w:val="20"/>
                <w:szCs w:val="20"/>
              </w:rPr>
              <w:t xml:space="preserve"> </w:t>
            </w:r>
            <w:r w:rsidR="00C2456B" w:rsidRPr="00ED593B">
              <w:rPr>
                <w:rFonts w:eastAsia="Times New Roman" w:cstheme="minorHAnsi"/>
                <w:iCs/>
                <w:sz w:val="20"/>
                <w:szCs w:val="20"/>
              </w:rPr>
              <w:t xml:space="preserve">now </w:t>
            </w:r>
            <w:r w:rsidR="00C41AC4" w:rsidRPr="00ED593B">
              <w:rPr>
                <w:rFonts w:eastAsia="Times New Roman" w:cstheme="minorHAnsi"/>
                <w:iCs/>
                <w:sz w:val="20"/>
                <w:szCs w:val="20"/>
              </w:rPr>
              <w:t xml:space="preserve">implementing child-centred </w:t>
            </w:r>
            <w:r w:rsidR="00C2456B" w:rsidRPr="00ED593B">
              <w:rPr>
                <w:rFonts w:eastAsia="Times New Roman" w:cstheme="minorHAnsi"/>
                <w:iCs/>
                <w:sz w:val="20"/>
                <w:szCs w:val="20"/>
              </w:rPr>
              <w:t>learning</w:t>
            </w:r>
            <w:r w:rsidR="00C41AC4" w:rsidRPr="00ED593B">
              <w:rPr>
                <w:rFonts w:eastAsia="Times New Roman" w:cstheme="minorHAnsi"/>
                <w:iCs/>
                <w:sz w:val="20"/>
                <w:szCs w:val="20"/>
              </w:rPr>
              <w:t>.</w:t>
            </w:r>
          </w:p>
          <w:p w:rsidR="002F2416" w:rsidRDefault="002F2416" w:rsidP="000E782A">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Pr="00ED593B">
              <w:rPr>
                <w:rFonts w:eastAsia="Times New Roman" w:cstheme="minorHAnsi"/>
                <w:iCs/>
                <w:sz w:val="20"/>
                <w:szCs w:val="20"/>
              </w:rPr>
              <w:t>101,240 services were provided, particularly in support of better health outcomes.  These included counselling services, legal assistance, ambulance care, skilled birth attendance, family planning services, National Youth Hotline counselling calls, nutrition-sensitive agriculture services, mental health services for individuals and families with disabilities, and improved rural roads</w:t>
            </w:r>
            <w:r>
              <w:rPr>
                <w:rFonts w:eastAsia="Times New Roman" w:cstheme="minorHAnsi"/>
                <w:iCs/>
                <w:sz w:val="20"/>
                <w:szCs w:val="20"/>
              </w:rPr>
              <w:t>.</w:t>
            </w:r>
          </w:p>
          <w:p w:rsidR="002F2416" w:rsidRPr="00ED593B" w:rsidRDefault="002F2416" w:rsidP="000E782A">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Pr="00ED593B">
              <w:rPr>
                <w:rFonts w:eastAsia="Times New Roman" w:cstheme="minorHAnsi"/>
                <w:iCs/>
                <w:sz w:val="20"/>
                <w:szCs w:val="20"/>
              </w:rPr>
              <w:t xml:space="preserve">1,631 women and girls who experienced violence accessed essential services, including emergency and long-term shelter, medical treatment and legal assistance. To manage the risks associated with COVID-19, we provided additional support by opening new centres to </w:t>
            </w:r>
            <w:r w:rsidRPr="00ED593B">
              <w:rPr>
                <w:rFonts w:cstheme="minorHAnsi"/>
                <w:sz w:val="20"/>
                <w:szCs w:val="20"/>
              </w:rPr>
              <w:t>quarantine clients before integration into shelters. We also worked with the Timorese Government to develop guidelines to prevent COVID-19 transmission in shelters and crisis centres</w:t>
            </w:r>
            <w:r>
              <w:rPr>
                <w:rFonts w:cstheme="minorHAnsi"/>
                <w:sz w:val="20"/>
                <w:szCs w:val="20"/>
              </w:rPr>
              <w:t>.</w:t>
            </w:r>
          </w:p>
        </w:tc>
      </w:tr>
      <w:tr w:rsidR="000B5B0C" w:rsidRPr="00ED593B" w:rsidTr="002F2416">
        <w:tc>
          <w:tcPr>
            <w:tcW w:w="1696" w:type="dxa"/>
          </w:tcPr>
          <w:p w:rsidR="000B5B0C" w:rsidRPr="00ED593B" w:rsidRDefault="002F2416" w:rsidP="002F2416">
            <w:pPr>
              <w:pStyle w:val="BodyText"/>
              <w:spacing w:before="40" w:after="40" w:line="240" w:lineRule="auto"/>
              <w:rPr>
                <w:rFonts w:eastAsiaTheme="majorEastAsia" w:cstheme="minorHAnsi"/>
                <w:caps/>
                <w:sz w:val="20"/>
                <w:szCs w:val="20"/>
              </w:rPr>
            </w:pPr>
            <w:r>
              <w:rPr>
                <w:rFonts w:eastAsiaTheme="majorEastAsia" w:cstheme="minorHAnsi"/>
                <w:sz w:val="20"/>
                <w:szCs w:val="20"/>
              </w:rPr>
              <w:t>Objective 3.</w:t>
            </w:r>
            <w:r w:rsidR="000B5B0C" w:rsidRPr="00ED593B">
              <w:rPr>
                <w:rFonts w:eastAsiaTheme="majorEastAsia" w:cstheme="minorHAnsi"/>
                <w:sz w:val="20"/>
                <w:szCs w:val="20"/>
              </w:rPr>
              <w:t xml:space="preserve"> </w:t>
            </w:r>
            <w:r w:rsidR="000B5B0C" w:rsidRPr="00ED593B">
              <w:rPr>
                <w:rFonts w:cstheme="minorHAnsi"/>
                <w:sz w:val="20"/>
                <w:szCs w:val="20"/>
              </w:rPr>
              <w:t>Strengthening Governance and Institutions</w:t>
            </w:r>
          </w:p>
        </w:tc>
        <w:tc>
          <w:tcPr>
            <w:tcW w:w="1985" w:type="dxa"/>
          </w:tcPr>
          <w:p w:rsidR="000B5B0C" w:rsidRDefault="002F2416" w:rsidP="000B5B0C">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3.1</w:t>
            </w:r>
            <w:r>
              <w:rPr>
                <w:rFonts w:eastAsia="Times New Roman" w:cstheme="minorHAnsi"/>
                <w:iCs/>
                <w:sz w:val="20"/>
                <w:szCs w:val="20"/>
              </w:rPr>
              <w:t xml:space="preserve"> </w:t>
            </w:r>
            <w:r w:rsidR="000B5B0C" w:rsidRPr="00ED593B">
              <w:rPr>
                <w:rFonts w:eastAsia="Times New Roman" w:cstheme="minorHAnsi"/>
                <w:iCs/>
                <w:sz w:val="20"/>
                <w:szCs w:val="20"/>
              </w:rPr>
              <w:t>Instances of inclusive policy development</w:t>
            </w:r>
            <w:r>
              <w:rPr>
                <w:rFonts w:eastAsia="Times New Roman" w:cstheme="minorHAnsi"/>
                <w:iCs/>
                <w:sz w:val="20"/>
                <w:szCs w:val="20"/>
              </w:rPr>
              <w:t>.</w:t>
            </w:r>
          </w:p>
          <w:p w:rsidR="002F2416" w:rsidRDefault="002F2416" w:rsidP="002F2416">
            <w:pPr>
              <w:keepLines/>
              <w:spacing w:before="40" w:after="40" w:line="200" w:lineRule="atLeast"/>
              <w:rPr>
                <w:rFonts w:eastAsia="Times New Roman" w:cstheme="minorHAnsi"/>
                <w:iCs/>
                <w:sz w:val="20"/>
                <w:szCs w:val="20"/>
              </w:rPr>
            </w:pPr>
            <w:r w:rsidRPr="002F2416">
              <w:rPr>
                <w:rFonts w:asciiTheme="majorHAnsi" w:hAnsiTheme="majorHAnsi" w:cstheme="majorHAnsi"/>
                <w:sz w:val="20"/>
                <w:szCs w:val="20"/>
              </w:rPr>
              <w:lastRenderedPageBreak/>
              <w:t>3.2</w:t>
            </w:r>
            <w:r>
              <w:rPr>
                <w:rFonts w:cstheme="minorHAnsi"/>
                <w:sz w:val="20"/>
                <w:szCs w:val="20"/>
              </w:rPr>
              <w:t xml:space="preserve"> </w:t>
            </w:r>
            <w:r w:rsidRPr="00ED593B">
              <w:rPr>
                <w:rFonts w:cstheme="minorHAnsi"/>
                <w:sz w:val="20"/>
                <w:szCs w:val="20"/>
              </w:rPr>
              <w:t xml:space="preserve">13,300 </w:t>
            </w:r>
            <w:r w:rsidRPr="00ED593B">
              <w:rPr>
                <w:rFonts w:eastAsia="Times New Roman" w:cstheme="minorHAnsi"/>
                <w:iCs/>
                <w:sz w:val="20"/>
                <w:szCs w:val="20"/>
              </w:rPr>
              <w:t>people who contributed to community level decision-making</w:t>
            </w:r>
            <w:r>
              <w:rPr>
                <w:rFonts w:eastAsia="Times New Roman" w:cstheme="minorHAnsi"/>
                <w:iCs/>
                <w:sz w:val="20"/>
                <w:szCs w:val="20"/>
              </w:rPr>
              <w:t>.</w:t>
            </w:r>
          </w:p>
          <w:p w:rsidR="002F2416" w:rsidRDefault="002F2416" w:rsidP="002F2416">
            <w:pPr>
              <w:keepLines/>
              <w:spacing w:before="40" w:after="40" w:line="200" w:lineRule="atLeast"/>
              <w:rPr>
                <w:rFonts w:eastAsia="Times New Roman" w:cstheme="minorHAnsi"/>
                <w:iCs/>
                <w:sz w:val="20"/>
                <w:szCs w:val="20"/>
              </w:rPr>
            </w:pPr>
          </w:p>
          <w:p w:rsidR="002F2416" w:rsidRDefault="002F2416" w:rsidP="002F2416">
            <w:pPr>
              <w:pStyle w:val="BodyText"/>
              <w:spacing w:before="40" w:after="40" w:line="240" w:lineRule="auto"/>
              <w:rPr>
                <w:rFonts w:eastAsia="Times New Roman" w:cstheme="minorHAnsi"/>
                <w:iCs/>
                <w:sz w:val="20"/>
                <w:szCs w:val="20"/>
              </w:rPr>
            </w:pPr>
            <w:r w:rsidRPr="002F2416">
              <w:rPr>
                <w:rFonts w:asciiTheme="majorHAnsi" w:eastAsia="Times New Roman" w:hAnsiTheme="majorHAnsi" w:cstheme="majorHAnsi"/>
                <w:iCs/>
                <w:sz w:val="20"/>
                <w:szCs w:val="20"/>
              </w:rPr>
              <w:t>3.3</w:t>
            </w:r>
            <w:r>
              <w:rPr>
                <w:rFonts w:eastAsia="Times New Roman" w:cstheme="minorHAnsi"/>
                <w:iCs/>
                <w:sz w:val="20"/>
                <w:szCs w:val="20"/>
              </w:rPr>
              <w:t xml:space="preserve"> </w:t>
            </w:r>
            <w:r w:rsidRPr="00ED593B">
              <w:rPr>
                <w:rFonts w:eastAsia="Times New Roman" w:cstheme="minorHAnsi"/>
                <w:iCs/>
                <w:sz w:val="20"/>
                <w:szCs w:val="20"/>
              </w:rPr>
              <w:t>Instances of improved policy and implementation</w:t>
            </w:r>
            <w:r>
              <w:rPr>
                <w:rFonts w:eastAsia="Times New Roman" w:cstheme="minorHAnsi"/>
                <w:iCs/>
                <w:sz w:val="20"/>
                <w:szCs w:val="20"/>
              </w:rPr>
              <w:t>.</w:t>
            </w:r>
          </w:p>
          <w:p w:rsidR="002F2416" w:rsidRDefault="002F2416" w:rsidP="002F2416">
            <w:pPr>
              <w:keepLines/>
              <w:spacing w:before="40" w:after="40" w:line="200" w:lineRule="atLeast"/>
              <w:rPr>
                <w:rFonts w:eastAsia="Times New Roman" w:cstheme="minorHAnsi"/>
                <w:iCs/>
                <w:sz w:val="20"/>
                <w:szCs w:val="20"/>
              </w:rPr>
            </w:pPr>
          </w:p>
          <w:p w:rsidR="002F2416" w:rsidRPr="00ED593B" w:rsidRDefault="002F2416" w:rsidP="000B5B0C">
            <w:pPr>
              <w:pStyle w:val="BodyText"/>
              <w:spacing w:before="40" w:after="40" w:line="240" w:lineRule="auto"/>
              <w:rPr>
                <w:rFonts w:eastAsiaTheme="majorEastAsia" w:cstheme="minorHAnsi"/>
                <w:caps/>
                <w:sz w:val="20"/>
                <w:szCs w:val="20"/>
              </w:rPr>
            </w:pPr>
            <w:r w:rsidRPr="002F2416">
              <w:rPr>
                <w:rFonts w:asciiTheme="majorHAnsi" w:eastAsia="Times New Roman" w:hAnsiTheme="majorHAnsi" w:cstheme="majorHAnsi"/>
                <w:iCs/>
                <w:sz w:val="20"/>
                <w:szCs w:val="20"/>
              </w:rPr>
              <w:t>3.4</w:t>
            </w:r>
            <w:r>
              <w:rPr>
                <w:rFonts w:eastAsia="Times New Roman" w:cstheme="minorHAnsi"/>
                <w:iCs/>
                <w:sz w:val="20"/>
                <w:szCs w:val="20"/>
              </w:rPr>
              <w:t xml:space="preserve"> I</w:t>
            </w:r>
            <w:r w:rsidRPr="00ED593B">
              <w:rPr>
                <w:rFonts w:eastAsia="Times New Roman" w:cstheme="minorHAnsi"/>
                <w:iCs/>
                <w:sz w:val="20"/>
                <w:szCs w:val="20"/>
              </w:rPr>
              <w:t>nstances of evidence available for decision-making</w:t>
            </w:r>
            <w:r>
              <w:rPr>
                <w:rFonts w:eastAsia="Times New Roman" w:cstheme="minorHAnsi"/>
                <w:iCs/>
                <w:sz w:val="20"/>
                <w:szCs w:val="20"/>
              </w:rPr>
              <w:t>.</w:t>
            </w:r>
          </w:p>
        </w:tc>
        <w:tc>
          <w:tcPr>
            <w:tcW w:w="6520" w:type="dxa"/>
          </w:tcPr>
          <w:p w:rsidR="000B5B0C" w:rsidRDefault="002F2416" w:rsidP="004910E7">
            <w:pPr>
              <w:pStyle w:val="BodyText"/>
              <w:spacing w:before="40" w:after="40" w:line="240" w:lineRule="auto"/>
              <w:rPr>
                <w:rFonts w:eastAsia="Times New Roman" w:cstheme="minorHAnsi"/>
                <w:iCs/>
                <w:sz w:val="20"/>
                <w:szCs w:val="20"/>
              </w:rPr>
            </w:pPr>
            <w:r>
              <w:rPr>
                <w:rFonts w:eastAsia="Times New Roman" w:cstheme="minorHAnsi"/>
                <w:iCs/>
                <w:sz w:val="20"/>
                <w:szCs w:val="20"/>
              </w:rPr>
              <w:lastRenderedPageBreak/>
              <w:t xml:space="preserve">~ </w:t>
            </w:r>
            <w:r w:rsidR="000B5B0C" w:rsidRPr="00ED593B">
              <w:rPr>
                <w:rFonts w:eastAsia="Times New Roman" w:cstheme="minorHAnsi"/>
                <w:iCs/>
                <w:sz w:val="20"/>
                <w:szCs w:val="20"/>
              </w:rPr>
              <w:t>An example of our contribution to inclusive policy development is our work to improve Timor-Leste’s business registration and licencing system. Through closer engagement with the community, including through the T</w:t>
            </w:r>
            <w:r w:rsidR="004910E7" w:rsidRPr="00ED593B">
              <w:rPr>
                <w:rFonts w:eastAsia="Times New Roman" w:cstheme="minorHAnsi"/>
                <w:iCs/>
                <w:sz w:val="20"/>
                <w:szCs w:val="20"/>
              </w:rPr>
              <w:t>imor-</w:t>
            </w:r>
            <w:r w:rsidR="000B5B0C" w:rsidRPr="00ED593B">
              <w:rPr>
                <w:rFonts w:eastAsia="Times New Roman" w:cstheme="minorHAnsi"/>
                <w:iCs/>
                <w:sz w:val="20"/>
                <w:szCs w:val="20"/>
              </w:rPr>
              <w:t>L</w:t>
            </w:r>
            <w:r w:rsidR="004910E7" w:rsidRPr="00ED593B">
              <w:rPr>
                <w:rFonts w:eastAsia="Times New Roman" w:cstheme="minorHAnsi"/>
                <w:iCs/>
                <w:sz w:val="20"/>
                <w:szCs w:val="20"/>
              </w:rPr>
              <w:t>este</w:t>
            </w:r>
            <w:r w:rsidR="000B5B0C" w:rsidRPr="00ED593B">
              <w:rPr>
                <w:rFonts w:eastAsia="Times New Roman" w:cstheme="minorHAnsi"/>
                <w:iCs/>
                <w:sz w:val="20"/>
                <w:szCs w:val="20"/>
              </w:rPr>
              <w:t xml:space="preserve"> NGO forum, reforms have been agreed to make the system more fit</w:t>
            </w:r>
            <w:r w:rsidR="00461BAD" w:rsidRPr="00ED593B">
              <w:rPr>
                <w:rFonts w:eastAsia="Times New Roman" w:cstheme="minorHAnsi"/>
                <w:iCs/>
                <w:sz w:val="20"/>
                <w:szCs w:val="20"/>
              </w:rPr>
              <w:t>-</w:t>
            </w:r>
            <w:r w:rsidR="000B5B0C" w:rsidRPr="00ED593B">
              <w:rPr>
                <w:rFonts w:eastAsia="Times New Roman" w:cstheme="minorHAnsi"/>
                <w:iCs/>
                <w:sz w:val="20"/>
                <w:szCs w:val="20"/>
              </w:rPr>
              <w:t>for</w:t>
            </w:r>
            <w:r w:rsidR="00461BAD" w:rsidRPr="00ED593B">
              <w:rPr>
                <w:rFonts w:eastAsia="Times New Roman" w:cstheme="minorHAnsi"/>
                <w:iCs/>
                <w:sz w:val="20"/>
                <w:szCs w:val="20"/>
              </w:rPr>
              <w:t>-</w:t>
            </w:r>
            <w:r w:rsidR="000B5B0C" w:rsidRPr="00ED593B">
              <w:rPr>
                <w:rFonts w:eastAsia="Times New Roman" w:cstheme="minorHAnsi"/>
                <w:iCs/>
                <w:sz w:val="20"/>
                <w:szCs w:val="20"/>
              </w:rPr>
              <w:lastRenderedPageBreak/>
              <w:t>purpose, including a reduction in the number of licences required and streamlining of the licencing process.</w:t>
            </w:r>
          </w:p>
          <w:p w:rsidR="002F2416" w:rsidRDefault="002F2416" w:rsidP="002F2416">
            <w:pPr>
              <w:pStyle w:val="BodyText"/>
              <w:spacing w:before="40" w:after="40" w:line="240" w:lineRule="auto"/>
              <w:rPr>
                <w:rFonts w:cstheme="minorHAnsi"/>
                <w:sz w:val="20"/>
                <w:szCs w:val="20"/>
              </w:rPr>
            </w:pPr>
            <w:r>
              <w:rPr>
                <w:rFonts w:cstheme="minorHAnsi"/>
                <w:sz w:val="20"/>
                <w:szCs w:val="20"/>
              </w:rPr>
              <w:t xml:space="preserve">~ </w:t>
            </w:r>
            <w:r w:rsidRPr="00ED593B">
              <w:rPr>
                <w:rFonts w:cstheme="minorHAnsi"/>
                <w:sz w:val="20"/>
                <w:szCs w:val="20"/>
              </w:rPr>
              <w:t xml:space="preserve">In 2019, 7,097 participants (33% women) </w:t>
            </w:r>
            <w:r w:rsidRPr="00ED593B">
              <w:rPr>
                <w:rFonts w:eastAsia="Times New Roman" w:cstheme="minorHAnsi"/>
                <w:iCs/>
                <w:sz w:val="20"/>
                <w:szCs w:val="20"/>
              </w:rPr>
              <w:t xml:space="preserve">contributed to community level decision-making about infrastructure projects. The target was not achieved due to delays in approval of the Government of Timor-Leste’s budget which impacted the commencement of projects. </w:t>
            </w:r>
            <w:r w:rsidRPr="00ED593B">
              <w:rPr>
                <w:rFonts w:cstheme="minorHAnsi"/>
                <w:sz w:val="20"/>
                <w:szCs w:val="20"/>
              </w:rPr>
              <w:t xml:space="preserve">Data for this indicator is presented for the 2019 calendar year due to the time lags associated with data collection at the village and municipal level, and analysis at the national level. </w:t>
            </w:r>
          </w:p>
          <w:p w:rsidR="002F2416" w:rsidRDefault="002F2416" w:rsidP="002F2416">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Pr="00ED593B">
              <w:rPr>
                <w:rFonts w:eastAsia="Times New Roman" w:cstheme="minorHAnsi"/>
                <w:iCs/>
                <w:sz w:val="20"/>
                <w:szCs w:val="20"/>
              </w:rPr>
              <w:t>An example of our contribution to improved policy and implementation is our support to the Government of Timor-Leste to implement gender responsive budgeting reforms. Gender is now an integral element of the government’s planning and budgeting process, with nearly 40% of program funds identified as having a gender related component. The government now also includes analysis of gender planning and budgeting in its annual and quarterly reports.</w:t>
            </w:r>
          </w:p>
          <w:p w:rsidR="002F2416" w:rsidRPr="00ED593B" w:rsidRDefault="002F2416" w:rsidP="002F2416">
            <w:pPr>
              <w:pStyle w:val="BodyText"/>
              <w:spacing w:before="40" w:after="40" w:line="240" w:lineRule="auto"/>
              <w:rPr>
                <w:rFonts w:eastAsia="Times New Roman" w:cstheme="minorHAnsi"/>
                <w:iCs/>
                <w:sz w:val="20"/>
                <w:szCs w:val="20"/>
              </w:rPr>
            </w:pPr>
            <w:r>
              <w:rPr>
                <w:rFonts w:eastAsia="Times New Roman" w:cstheme="minorHAnsi"/>
                <w:iCs/>
                <w:sz w:val="20"/>
                <w:szCs w:val="20"/>
              </w:rPr>
              <w:t xml:space="preserve">~ </w:t>
            </w:r>
            <w:r w:rsidRPr="00ED593B">
              <w:rPr>
                <w:rFonts w:eastAsia="Times New Roman" w:cstheme="minorHAnsi"/>
                <w:iCs/>
                <w:sz w:val="20"/>
                <w:szCs w:val="20"/>
              </w:rPr>
              <w:t>An example of our support to ensure evidence is available in a timely manner for decision-making is the improved timeliness of the release of GDP figures by 25%. Timely figures help support consistent comparison and analysis by international organisations, and informed preparation of the country’s budget. The IMF will upgrade Timor-Leste’s economic statistics rating as part of the next Article IV review, in part due to Australia’s support for improving the timeliness of the release of statistical data.</w:t>
            </w:r>
          </w:p>
        </w:tc>
      </w:tr>
    </w:tbl>
    <w:p w:rsidR="00FF4990" w:rsidRDefault="004C5598" w:rsidP="004C5598">
      <w:pPr>
        <w:pStyle w:val="Heading2"/>
        <w:spacing w:before="360" w:line="300" w:lineRule="exact"/>
        <w:contextualSpacing w:val="0"/>
      </w:pPr>
      <w:r w:rsidRPr="002A51CA">
        <w:lastRenderedPageBreak/>
        <w:tab/>
      </w:r>
    </w:p>
    <w:p w:rsidR="00276A54" w:rsidRDefault="00276A54" w:rsidP="00276A54"/>
    <w:p w:rsidR="00276A54" w:rsidRDefault="00276A54" w:rsidP="00276A54"/>
    <w:p w:rsidR="00276A54" w:rsidRDefault="00276A54" w:rsidP="00276A54"/>
    <w:p w:rsidR="00276A54" w:rsidRDefault="00276A54" w:rsidP="00276A54"/>
    <w:p w:rsidR="00276A54" w:rsidRDefault="00276A54" w:rsidP="00276A54"/>
    <w:p w:rsidR="00276A54" w:rsidRDefault="00276A54" w:rsidP="00276A54"/>
    <w:p w:rsidR="00276A54" w:rsidRDefault="00276A54" w:rsidP="00276A54"/>
    <w:p w:rsidR="00276A54" w:rsidRDefault="00276A54" w:rsidP="00276A54"/>
    <w:p w:rsidR="00276A54" w:rsidRDefault="00276A54" w:rsidP="00276A54"/>
    <w:p w:rsidR="00276A54" w:rsidRDefault="00276A54" w:rsidP="00276A54"/>
    <w:p w:rsidR="00276A54" w:rsidRDefault="00276A54" w:rsidP="00276A54">
      <w:pPr>
        <w:sectPr w:rsidR="00276A54" w:rsidSect="00494F98">
          <w:headerReference w:type="default" r:id="rId20"/>
          <w:pgSz w:w="11906" w:h="16838" w:code="9"/>
          <w:pgMar w:top="1701" w:right="1134" w:bottom="1418" w:left="1134" w:header="425" w:footer="493" w:gutter="0"/>
          <w:cols w:space="397"/>
          <w:docGrid w:linePitch="360"/>
        </w:sectPr>
      </w:pPr>
    </w:p>
    <w:p w:rsidR="00390828" w:rsidRPr="00B927C4" w:rsidRDefault="00390828" w:rsidP="00390828">
      <w:pPr>
        <w:pStyle w:val="Heading2Numbered"/>
        <w:numPr>
          <w:ilvl w:val="0"/>
          <w:numId w:val="0"/>
        </w:numPr>
        <w:spacing w:before="240" w:after="240"/>
        <w:rPr>
          <w:sz w:val="28"/>
          <w:szCs w:val="28"/>
        </w:rPr>
      </w:pPr>
      <w:r w:rsidRPr="00B927C4">
        <w:rPr>
          <w:sz w:val="28"/>
          <w:szCs w:val="28"/>
        </w:rPr>
        <w:lastRenderedPageBreak/>
        <w:t>ANNEX A: Program Quality</w:t>
      </w:r>
    </w:p>
    <w:p w:rsidR="00390828" w:rsidRDefault="00B927C4" w:rsidP="00390828">
      <w:pPr>
        <w:pStyle w:val="Heading3"/>
      </w:pPr>
      <w:r>
        <w:t>Investment Monitoring Report</w:t>
      </w:r>
      <w:r w:rsidR="00390828">
        <w:t xml:space="preserve"> ratings</w:t>
      </w:r>
    </w:p>
    <w:tbl>
      <w:tblPr>
        <w:tblStyle w:val="APPR"/>
        <w:tblW w:w="4835" w:type="pct"/>
        <w:tblInd w:w="5" w:type="dxa"/>
        <w:tblBorders>
          <w:top w:val="none" w:sz="0" w:space="0" w:color="auto"/>
          <w:bottom w:val="none" w:sz="0" w:space="0" w:color="auto"/>
        </w:tblBorders>
        <w:tblLook w:val="0020" w:firstRow="1" w:lastRow="0" w:firstColumn="0" w:lastColumn="0" w:noHBand="0" w:noVBand="0"/>
      </w:tblPr>
      <w:tblGrid>
        <w:gridCol w:w="5233"/>
        <w:gridCol w:w="959"/>
        <w:gridCol w:w="1245"/>
        <w:gridCol w:w="623"/>
        <w:gridCol w:w="623"/>
        <w:gridCol w:w="637"/>
      </w:tblGrid>
      <w:tr w:rsidR="006D630F" w:rsidRPr="00812509" w:rsidTr="000D5CC6">
        <w:trPr>
          <w:cnfStyle w:val="100000000000" w:firstRow="1" w:lastRow="0" w:firstColumn="0" w:lastColumn="0" w:oddVBand="0" w:evenVBand="0" w:oddHBand="0" w:evenHBand="0" w:firstRowFirstColumn="0" w:firstRowLastColumn="0" w:lastRowFirstColumn="0" w:lastRowLastColumn="0"/>
          <w:trHeight w:val="1413"/>
        </w:trPr>
        <w:tc>
          <w:tcPr>
            <w:tcW w:w="2785" w:type="pct"/>
            <w:tcBorders>
              <w:top w:val="single" w:sz="12" w:space="0" w:color="auto"/>
              <w:bottom w:val="none" w:sz="0" w:space="0" w:color="auto"/>
            </w:tcBorders>
          </w:tcPr>
          <w:p w:rsidR="006D630F" w:rsidRPr="00812509" w:rsidRDefault="006D630F"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0528" behindDoc="0" locked="0" layoutInCell="1" allowOverlap="1" wp14:anchorId="6C907522" wp14:editId="7CEA85B2">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ED593B">
              <w:rPr>
                <w:rFonts w:asciiTheme="minorHAnsi" w:eastAsia="Times New Roman" w:hAnsiTheme="minorHAnsi"/>
                <w:iCs/>
                <w:szCs w:val="17"/>
                <w:lang w:eastAsia="en-US"/>
              </w:rPr>
              <w:t>Investment name</w:t>
            </w:r>
          </w:p>
        </w:tc>
        <w:tc>
          <w:tcPr>
            <w:tcW w:w="499" w:type="pct"/>
            <w:tcBorders>
              <w:top w:val="single" w:sz="12" w:space="0" w:color="auto"/>
              <w:bottom w:val="none" w:sz="0" w:space="0" w:color="auto"/>
            </w:tcBorders>
            <w:textDirection w:val="btLr"/>
          </w:tcPr>
          <w:p w:rsidR="006D630F" w:rsidRPr="00812509" w:rsidRDefault="006D630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653" w:type="pct"/>
            <w:tcBorders>
              <w:top w:val="single" w:sz="12" w:space="0" w:color="auto"/>
              <w:bottom w:val="none" w:sz="0" w:space="0" w:color="auto"/>
            </w:tcBorders>
            <w:textDirection w:val="btLr"/>
          </w:tcPr>
          <w:p w:rsidR="006D630F" w:rsidRPr="00812509" w:rsidRDefault="006D630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19" w:type="pct"/>
            <w:tcBorders>
              <w:top w:val="single" w:sz="12" w:space="0" w:color="auto"/>
              <w:bottom w:val="none" w:sz="0" w:space="0" w:color="auto"/>
            </w:tcBorders>
            <w:textDirection w:val="btLr"/>
          </w:tcPr>
          <w:p w:rsidR="006D630F" w:rsidRPr="00812509" w:rsidRDefault="006D630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19" w:type="pct"/>
            <w:tcBorders>
              <w:top w:val="single" w:sz="12" w:space="0" w:color="auto"/>
              <w:bottom w:val="none" w:sz="0" w:space="0" w:color="auto"/>
            </w:tcBorders>
            <w:textDirection w:val="btLr"/>
          </w:tcPr>
          <w:p w:rsidR="006D630F" w:rsidRPr="00812509" w:rsidRDefault="006D630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19" w:type="pct"/>
            <w:tcBorders>
              <w:top w:val="single" w:sz="12" w:space="0" w:color="auto"/>
              <w:bottom w:val="none" w:sz="0" w:space="0" w:color="auto"/>
            </w:tcBorders>
            <w:textDirection w:val="btLr"/>
          </w:tcPr>
          <w:p w:rsidR="006D630F" w:rsidRPr="00812509" w:rsidRDefault="006D630F"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 xml:space="preserve">INK211 – Roads for Development – </w:t>
            </w:r>
            <w:r w:rsidRPr="00125BA3">
              <w:rPr>
                <w:rFonts w:asciiTheme="minorHAnsi" w:eastAsia="Times New Roman" w:hAnsiTheme="minorHAnsi"/>
                <w:i/>
                <w:iCs/>
                <w:sz w:val="20"/>
                <w:szCs w:val="20"/>
                <w:lang w:eastAsia="en-US"/>
              </w:rPr>
              <w:t>R4D</w:t>
            </w:r>
          </w:p>
        </w:tc>
        <w:tc>
          <w:tcPr>
            <w:tcW w:w="499" w:type="pct"/>
            <w:tcBorders>
              <w:top w:val="single" w:sz="2" w:space="0" w:color="65C5B4" w:themeColor="accent1"/>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iCs/>
                <w:sz w:val="20"/>
                <w:szCs w:val="20"/>
                <w:lang w:eastAsia="en-US"/>
              </w:rPr>
            </w:pPr>
            <w:r w:rsidRPr="00125BA3">
              <w:rPr>
                <w:rFonts w:asciiTheme="minorHAnsi" w:hAnsiTheme="minorHAnsi" w:cs="Franklin Gothic Book"/>
                <w:sz w:val="20"/>
                <w:szCs w:val="20"/>
              </w:rPr>
              <w:t>$62</w:t>
            </w:r>
            <w:r>
              <w:rPr>
                <w:rFonts w:asciiTheme="minorHAnsi" w:hAnsiTheme="minorHAnsi" w:cs="Franklin Gothic Book"/>
                <w:sz w:val="20"/>
                <w:szCs w:val="20"/>
              </w:rPr>
              <w:t>.3</w:t>
            </w:r>
            <w:r w:rsidRPr="00125BA3">
              <w:rPr>
                <w:rFonts w:asciiTheme="minorHAnsi" w:hAnsiTheme="minorHAnsi" w:cs="Franklin Gothic Book"/>
                <w:sz w:val="20"/>
                <w:szCs w:val="20"/>
              </w:rPr>
              <w:t>m</w:t>
            </w:r>
          </w:p>
        </w:tc>
        <w:tc>
          <w:tcPr>
            <w:tcW w:w="653"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w:t>
            </w:r>
            <w:r>
              <w:rPr>
                <w:rFonts w:asciiTheme="minorHAnsi" w:eastAsia="Times New Roman" w:hAnsiTheme="minorHAnsi"/>
                <w:iCs/>
                <w:sz w:val="20"/>
                <w:szCs w:val="20"/>
                <w:lang w:eastAsia="en-US"/>
              </w:rPr>
              <w:t>20</w:t>
            </w:r>
            <w:r w:rsidRPr="00125BA3">
              <w:rPr>
                <w:rFonts w:asciiTheme="minorHAnsi" w:eastAsia="Times New Roman" w:hAnsiTheme="minorHAnsi"/>
                <w:iCs/>
                <w:sz w:val="20"/>
                <w:szCs w:val="20"/>
                <w:lang w:eastAsia="en-US"/>
              </w:rPr>
              <w:t xml:space="preserve"> AQC</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single" w:sz="2" w:space="0" w:color="65C5B4" w:themeColor="accent1"/>
            </w:tcBorders>
          </w:tcPr>
          <w:p w:rsidR="006D630F" w:rsidRPr="00812509" w:rsidRDefault="006D630F" w:rsidP="006D630F">
            <w:pPr>
              <w:keepLines/>
              <w:spacing w:before="40" w:after="40" w:line="200" w:lineRule="atLeast"/>
              <w:rPr>
                <w:rFonts w:asciiTheme="minorHAnsi" w:eastAsia="Times New Roman" w:hAnsiTheme="minorHAnsi"/>
                <w:iCs/>
                <w:szCs w:val="17"/>
                <w:lang w:eastAsia="en-US"/>
              </w:rPr>
            </w:pPr>
          </w:p>
        </w:tc>
        <w:tc>
          <w:tcPr>
            <w:tcW w:w="499" w:type="pct"/>
            <w:tcBorders>
              <w:bottom w:val="single" w:sz="2" w:space="0" w:color="65C5B4" w:themeColor="accent1"/>
            </w:tcBorders>
          </w:tcPr>
          <w:p w:rsidR="006D630F" w:rsidRPr="00812509" w:rsidRDefault="000D5CC6" w:rsidP="006D630F">
            <w:pPr>
              <w:keepLines/>
              <w:spacing w:before="40" w:after="40" w:line="240" w:lineRule="auto"/>
              <w:rPr>
                <w:rFonts w:asciiTheme="minorHAnsi" w:eastAsia="Times New Roman" w:hAnsiTheme="minorHAnsi"/>
                <w:iCs/>
                <w:szCs w:val="17"/>
                <w:lang w:eastAsia="en-US"/>
              </w:rPr>
            </w:pPr>
            <w:r w:rsidRPr="00125BA3">
              <w:rPr>
                <w:rFonts w:asciiTheme="minorHAnsi" w:hAnsiTheme="minorHAnsi" w:cs="Franklin Gothic Book"/>
                <w:sz w:val="20"/>
                <w:szCs w:val="20"/>
              </w:rPr>
              <w:t>201</w:t>
            </w:r>
            <w:r>
              <w:rPr>
                <w:rFonts w:asciiTheme="minorHAnsi" w:hAnsiTheme="minorHAnsi" w:cs="Franklin Gothic Book"/>
                <w:sz w:val="20"/>
                <w:szCs w:val="20"/>
              </w:rPr>
              <w:t>1</w:t>
            </w:r>
            <w:r w:rsidRPr="00125BA3">
              <w:rPr>
                <w:rFonts w:asciiTheme="minorHAnsi" w:hAnsiTheme="minorHAnsi" w:cs="Franklin Gothic Book"/>
                <w:sz w:val="20"/>
                <w:szCs w:val="20"/>
              </w:rPr>
              <w:t>-21</w:t>
            </w:r>
          </w:p>
        </w:tc>
        <w:tc>
          <w:tcPr>
            <w:tcW w:w="653" w:type="pct"/>
            <w:tcBorders>
              <w:bottom w:val="single" w:sz="2" w:space="0" w:color="65C5B4" w:themeColor="accent1"/>
            </w:tcBorders>
          </w:tcPr>
          <w:p w:rsidR="006D630F" w:rsidRPr="00812509" w:rsidRDefault="006D630F" w:rsidP="006D630F">
            <w:pPr>
              <w:keepLines/>
              <w:spacing w:before="40" w:after="40" w:line="200" w:lineRule="atLeast"/>
              <w:rPr>
                <w:rFonts w:asciiTheme="minorHAnsi" w:eastAsia="Times New Roman" w:hAnsiTheme="minorHAnsi"/>
                <w:iCs/>
                <w:szCs w:val="17"/>
                <w:lang w:eastAsia="en-US"/>
              </w:rPr>
            </w:pPr>
            <w:r w:rsidRPr="00125BA3">
              <w:rPr>
                <w:rFonts w:asciiTheme="minorHAnsi" w:eastAsia="Times New Roman" w:hAnsiTheme="minorHAnsi"/>
                <w:iCs/>
                <w:sz w:val="20"/>
                <w:szCs w:val="20"/>
                <w:lang w:eastAsia="en-US"/>
              </w:rPr>
              <w:t>2019 AQC</w:t>
            </w:r>
          </w:p>
        </w:tc>
        <w:tc>
          <w:tcPr>
            <w:tcW w:w="319" w:type="pct"/>
            <w:tcBorders>
              <w:bottom w:val="single" w:sz="2" w:space="0" w:color="65C5B4" w:themeColor="accent1"/>
            </w:tcBorders>
            <w:shd w:val="clear" w:color="auto" w:fill="auto"/>
            <w:noWrap/>
          </w:tcPr>
          <w:p w:rsidR="006D630F" w:rsidRPr="00812509" w:rsidRDefault="006D630F" w:rsidP="006D630F">
            <w:pPr>
              <w:keepLines/>
              <w:spacing w:before="40" w:after="40" w:line="200" w:lineRule="atLeast"/>
              <w:jc w:val="center"/>
              <w:rPr>
                <w:rFonts w:asciiTheme="minorHAnsi" w:eastAsia="Times New Roman" w:hAnsiTheme="minorHAnsi"/>
                <w:iCs/>
                <w:szCs w:val="17"/>
                <w:lang w:eastAsia="en-US"/>
              </w:rPr>
            </w:pPr>
            <w:r w:rsidRPr="00125BA3">
              <w:rPr>
                <w:rFonts w:asciiTheme="minorHAnsi" w:eastAsia="Times New Roman" w:hAnsiTheme="minorHAnsi"/>
                <w:iCs/>
                <w:sz w:val="20"/>
                <w:szCs w:val="20"/>
                <w:lang w:eastAsia="en-US"/>
              </w:rPr>
              <w:t>4</w:t>
            </w:r>
          </w:p>
        </w:tc>
        <w:tc>
          <w:tcPr>
            <w:tcW w:w="319" w:type="pct"/>
            <w:tcBorders>
              <w:bottom w:val="single" w:sz="2" w:space="0" w:color="65C5B4" w:themeColor="accent1"/>
            </w:tcBorders>
            <w:shd w:val="clear" w:color="auto" w:fill="auto"/>
            <w:noWrap/>
          </w:tcPr>
          <w:p w:rsidR="006D630F" w:rsidRPr="00812509" w:rsidRDefault="006D630F" w:rsidP="006D630F">
            <w:pPr>
              <w:keepLines/>
              <w:spacing w:before="40" w:after="40" w:line="200" w:lineRule="atLeast"/>
              <w:jc w:val="center"/>
              <w:rPr>
                <w:rFonts w:asciiTheme="minorHAnsi" w:eastAsia="Times New Roman" w:hAnsiTheme="minorHAnsi"/>
                <w:iCs/>
                <w:szCs w:val="17"/>
                <w:lang w:eastAsia="en-US"/>
              </w:rPr>
            </w:pPr>
            <w:r w:rsidRPr="00125BA3">
              <w:rPr>
                <w:rFonts w:asciiTheme="minorHAnsi" w:eastAsia="Times New Roman" w:hAnsiTheme="minorHAnsi"/>
                <w:iCs/>
                <w:sz w:val="20"/>
                <w:szCs w:val="20"/>
                <w:lang w:eastAsia="en-US"/>
              </w:rPr>
              <w:t>4</w:t>
            </w:r>
          </w:p>
        </w:tc>
        <w:tc>
          <w:tcPr>
            <w:tcW w:w="319" w:type="pct"/>
            <w:tcBorders>
              <w:bottom w:val="single" w:sz="2" w:space="0" w:color="65C5B4" w:themeColor="accent1"/>
            </w:tcBorders>
            <w:shd w:val="clear" w:color="auto" w:fill="auto"/>
            <w:noWrap/>
          </w:tcPr>
          <w:p w:rsidR="006D630F" w:rsidRPr="00812509" w:rsidRDefault="006D630F" w:rsidP="006D630F">
            <w:pPr>
              <w:keepLines/>
              <w:spacing w:before="40" w:after="40" w:line="200" w:lineRule="atLeast"/>
              <w:jc w:val="center"/>
              <w:rPr>
                <w:rFonts w:asciiTheme="minorHAnsi" w:eastAsia="Times New Roman" w:hAnsiTheme="minorHAnsi"/>
                <w:iCs/>
                <w:szCs w:val="17"/>
                <w:lang w:eastAsia="en-US"/>
              </w:rPr>
            </w:pPr>
            <w:r w:rsidRPr="00125BA3">
              <w:rPr>
                <w:rFonts w:asciiTheme="minorHAnsi" w:eastAsia="Times New Roman" w:hAnsiTheme="minorHAnsi"/>
                <w:iCs/>
                <w:sz w:val="20"/>
                <w:szCs w:val="20"/>
                <w:lang w:eastAsia="en-US"/>
              </w:rPr>
              <w:t>5</w:t>
            </w:r>
          </w:p>
        </w:tc>
      </w:tr>
      <w:tr w:rsidR="00C003F4"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Pr>
          <w:p w:rsidR="00C003F4" w:rsidRPr="00125BA3" w:rsidRDefault="00C003F4"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 xml:space="preserve">INL676 – Farming for Prosperity – </w:t>
            </w:r>
            <w:r w:rsidRPr="00125BA3">
              <w:rPr>
                <w:rFonts w:asciiTheme="minorHAnsi" w:eastAsia="Times New Roman" w:hAnsiTheme="minorHAnsi"/>
                <w:i/>
                <w:iCs/>
                <w:sz w:val="20"/>
                <w:szCs w:val="20"/>
                <w:lang w:eastAsia="en-US"/>
              </w:rPr>
              <w:t>TOMAK</w:t>
            </w:r>
          </w:p>
        </w:tc>
        <w:tc>
          <w:tcPr>
            <w:tcW w:w="499" w:type="pct"/>
          </w:tcPr>
          <w:p w:rsidR="00C003F4" w:rsidRPr="00125BA3" w:rsidRDefault="00C003F4" w:rsidP="000D5CC6">
            <w:pPr>
              <w:keepLines/>
              <w:spacing w:before="40" w:after="40" w:line="200" w:lineRule="atLeast"/>
              <w:rPr>
                <w:rFonts w:asciiTheme="minorHAnsi" w:eastAsia="Times New Roman" w:hAnsiTheme="minorHAnsi"/>
                <w:iCs/>
                <w:sz w:val="20"/>
                <w:szCs w:val="20"/>
                <w:lang w:eastAsia="en-US"/>
              </w:rPr>
            </w:pPr>
            <w:r w:rsidRPr="00125BA3">
              <w:rPr>
                <w:rFonts w:asciiTheme="minorHAnsi" w:hAnsiTheme="minorHAnsi" w:cs="Franklin Gothic Book"/>
                <w:sz w:val="20"/>
                <w:szCs w:val="20"/>
              </w:rPr>
              <w:t>$</w:t>
            </w:r>
            <w:r w:rsidRPr="00112939">
              <w:rPr>
                <w:rFonts w:asciiTheme="minorHAnsi" w:eastAsia="Times New Roman" w:hAnsiTheme="minorHAnsi"/>
                <w:iCs/>
                <w:sz w:val="20"/>
                <w:szCs w:val="20"/>
                <w:lang w:eastAsia="en-US"/>
              </w:rPr>
              <w:t>28</w:t>
            </w:r>
            <w:r>
              <w:rPr>
                <w:rFonts w:asciiTheme="minorHAnsi" w:eastAsia="Times New Roman" w:hAnsiTheme="minorHAnsi"/>
                <w:iCs/>
                <w:sz w:val="20"/>
                <w:szCs w:val="20"/>
                <w:lang w:eastAsia="en-US"/>
              </w:rPr>
              <w:t>.2</w:t>
            </w:r>
            <w:r w:rsidRPr="00112939">
              <w:rPr>
                <w:rFonts w:asciiTheme="minorHAnsi" w:eastAsia="Times New Roman" w:hAnsiTheme="minorHAnsi"/>
                <w:iCs/>
                <w:sz w:val="20"/>
                <w:szCs w:val="20"/>
                <w:lang w:eastAsia="en-US"/>
              </w:rPr>
              <w:t xml:space="preserve">m </w:t>
            </w:r>
          </w:p>
        </w:tc>
        <w:tc>
          <w:tcPr>
            <w:tcW w:w="653" w:type="pct"/>
          </w:tcPr>
          <w:p w:rsidR="00C003F4" w:rsidRPr="00125BA3" w:rsidRDefault="00C003F4"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w:t>
            </w:r>
            <w:r>
              <w:rPr>
                <w:rFonts w:asciiTheme="minorHAnsi" w:eastAsia="Times New Roman" w:hAnsiTheme="minorHAnsi"/>
                <w:iCs/>
                <w:sz w:val="20"/>
                <w:szCs w:val="20"/>
                <w:lang w:eastAsia="en-US"/>
              </w:rPr>
              <w:t>20</w:t>
            </w:r>
            <w:r w:rsidRPr="00125BA3">
              <w:rPr>
                <w:rFonts w:asciiTheme="minorHAnsi" w:eastAsia="Times New Roman" w:hAnsiTheme="minorHAnsi"/>
                <w:iCs/>
                <w:sz w:val="20"/>
                <w:szCs w:val="20"/>
                <w:lang w:eastAsia="en-US"/>
              </w:rPr>
              <w:t xml:space="preserve"> AQC</w:t>
            </w:r>
          </w:p>
        </w:tc>
        <w:tc>
          <w:tcPr>
            <w:tcW w:w="319" w:type="pct"/>
            <w:shd w:val="clear" w:color="auto" w:fill="auto"/>
            <w:noWrap/>
          </w:tcPr>
          <w:p w:rsidR="00C003F4" w:rsidRPr="00125BA3" w:rsidRDefault="00C003F4"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c>
          <w:tcPr>
            <w:tcW w:w="319" w:type="pct"/>
            <w:shd w:val="clear" w:color="auto" w:fill="auto"/>
            <w:noWrap/>
          </w:tcPr>
          <w:p w:rsidR="00C003F4" w:rsidRPr="00125BA3" w:rsidRDefault="00C003F4"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c>
          <w:tcPr>
            <w:tcW w:w="319" w:type="pct"/>
            <w:shd w:val="clear" w:color="auto" w:fill="auto"/>
            <w:noWrap/>
          </w:tcPr>
          <w:p w:rsidR="00C003F4" w:rsidRPr="00125BA3" w:rsidRDefault="00C003F4"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5</w:t>
            </w:r>
          </w:p>
        </w:tc>
      </w:tr>
      <w:tr w:rsidR="00C003F4"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Pr>
          <w:p w:rsidR="00C003F4" w:rsidRPr="00125BA3" w:rsidRDefault="00C003F4" w:rsidP="006D630F">
            <w:pPr>
              <w:keepLines/>
              <w:spacing w:before="40" w:after="40" w:line="200" w:lineRule="atLeast"/>
              <w:rPr>
                <w:rFonts w:asciiTheme="minorHAnsi" w:eastAsia="Times New Roman" w:hAnsiTheme="minorHAnsi"/>
                <w:iCs/>
                <w:sz w:val="20"/>
                <w:szCs w:val="20"/>
                <w:lang w:eastAsia="en-US"/>
              </w:rPr>
            </w:pPr>
          </w:p>
        </w:tc>
        <w:tc>
          <w:tcPr>
            <w:tcW w:w="499" w:type="pct"/>
          </w:tcPr>
          <w:p w:rsidR="00C003F4" w:rsidRPr="00125BA3" w:rsidRDefault="000D5CC6"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201</w:t>
            </w:r>
            <w:r>
              <w:rPr>
                <w:rFonts w:asciiTheme="minorHAnsi" w:eastAsia="Times New Roman" w:hAnsiTheme="minorHAnsi"/>
                <w:iCs/>
                <w:sz w:val="20"/>
                <w:szCs w:val="20"/>
                <w:lang w:eastAsia="en-US"/>
              </w:rPr>
              <w:t>5</w:t>
            </w:r>
            <w:r w:rsidRPr="00125BA3">
              <w:rPr>
                <w:rFonts w:asciiTheme="minorHAnsi" w:eastAsia="Times New Roman" w:hAnsiTheme="minorHAnsi"/>
                <w:iCs/>
                <w:sz w:val="20"/>
                <w:szCs w:val="20"/>
                <w:lang w:eastAsia="en-US"/>
              </w:rPr>
              <w:t>-21</w:t>
            </w:r>
          </w:p>
        </w:tc>
        <w:tc>
          <w:tcPr>
            <w:tcW w:w="653" w:type="pct"/>
          </w:tcPr>
          <w:p w:rsidR="00C003F4" w:rsidRPr="00125BA3" w:rsidRDefault="00C003F4"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2019 AQC</w:t>
            </w:r>
          </w:p>
        </w:tc>
        <w:tc>
          <w:tcPr>
            <w:tcW w:w="319" w:type="pct"/>
            <w:shd w:val="clear" w:color="auto" w:fill="auto"/>
            <w:noWrap/>
          </w:tcPr>
          <w:p w:rsidR="00C003F4" w:rsidRPr="00125BA3" w:rsidRDefault="00C003F4" w:rsidP="006D630F">
            <w:pPr>
              <w:keepLines/>
              <w:spacing w:before="40" w:after="40" w:line="200" w:lineRule="atLeast"/>
              <w:jc w:val="center"/>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5</w:t>
            </w:r>
          </w:p>
        </w:tc>
        <w:tc>
          <w:tcPr>
            <w:tcW w:w="319" w:type="pct"/>
            <w:shd w:val="clear" w:color="auto" w:fill="auto"/>
            <w:noWrap/>
          </w:tcPr>
          <w:p w:rsidR="00C003F4" w:rsidRPr="00125BA3" w:rsidRDefault="00C003F4" w:rsidP="006D630F">
            <w:pPr>
              <w:keepLines/>
              <w:spacing w:before="40" w:after="40" w:line="200" w:lineRule="atLeast"/>
              <w:jc w:val="center"/>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5</w:t>
            </w:r>
          </w:p>
        </w:tc>
        <w:tc>
          <w:tcPr>
            <w:tcW w:w="319" w:type="pct"/>
            <w:shd w:val="clear" w:color="auto" w:fill="auto"/>
            <w:noWrap/>
          </w:tcPr>
          <w:p w:rsidR="00C003F4" w:rsidRPr="00125BA3" w:rsidRDefault="00C003F4" w:rsidP="006D630F">
            <w:pPr>
              <w:keepLines/>
              <w:spacing w:before="40" w:after="40" w:line="200" w:lineRule="atLeast"/>
              <w:jc w:val="center"/>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5</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 xml:space="preserve">INL910 – Partnership for Human Development – </w:t>
            </w:r>
            <w:r w:rsidRPr="00125BA3">
              <w:rPr>
                <w:rFonts w:asciiTheme="minorHAnsi" w:eastAsia="Times New Roman" w:hAnsiTheme="minorHAnsi"/>
                <w:i/>
                <w:iCs/>
                <w:sz w:val="20"/>
                <w:szCs w:val="20"/>
                <w:lang w:eastAsia="en-US"/>
              </w:rPr>
              <w:t>PHD</w:t>
            </w:r>
          </w:p>
        </w:tc>
        <w:tc>
          <w:tcPr>
            <w:tcW w:w="499" w:type="pct"/>
            <w:tcBorders>
              <w:top w:val="single" w:sz="2" w:space="0" w:color="65C5B4" w:themeColor="accent1"/>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$120</w:t>
            </w:r>
            <w:r>
              <w:rPr>
                <w:rFonts w:asciiTheme="minorHAnsi" w:eastAsia="Times New Roman" w:hAnsiTheme="minorHAnsi"/>
                <w:iCs/>
                <w:sz w:val="20"/>
                <w:szCs w:val="20"/>
                <w:lang w:eastAsia="en-US"/>
              </w:rPr>
              <w:t>.1</w:t>
            </w:r>
            <w:r w:rsidRPr="00125BA3">
              <w:rPr>
                <w:rFonts w:asciiTheme="minorHAnsi" w:eastAsia="Times New Roman" w:hAnsiTheme="minorHAnsi"/>
                <w:iCs/>
                <w:sz w:val="20"/>
                <w:szCs w:val="20"/>
                <w:lang w:eastAsia="en-US"/>
              </w:rPr>
              <w:t>m</w:t>
            </w:r>
          </w:p>
        </w:tc>
        <w:tc>
          <w:tcPr>
            <w:tcW w:w="653"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iCs/>
                <w:sz w:val="20"/>
                <w:szCs w:val="20"/>
                <w:lang w:eastAsia="en-US"/>
              </w:rPr>
            </w:pPr>
          </w:p>
        </w:tc>
        <w:tc>
          <w:tcPr>
            <w:tcW w:w="499" w:type="pct"/>
            <w:tcBorders>
              <w:bottom w:val="single" w:sz="2" w:space="0" w:color="65C5B4" w:themeColor="accent1"/>
            </w:tcBorders>
          </w:tcPr>
          <w:p w:rsidR="006D630F" w:rsidRPr="00125BA3" w:rsidRDefault="000D5CC6"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2016-21</w:t>
            </w:r>
          </w:p>
        </w:tc>
        <w:tc>
          <w:tcPr>
            <w:tcW w:w="653"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3</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none" w:sz="0" w:space="0" w:color="auto"/>
            </w:tcBorders>
          </w:tcPr>
          <w:p w:rsidR="006D630F" w:rsidRPr="00125BA3" w:rsidRDefault="006D630F" w:rsidP="00600A1A">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 xml:space="preserve">INK784 </w:t>
            </w:r>
            <w:r w:rsidR="00C003F4">
              <w:rPr>
                <w:rFonts w:asciiTheme="minorHAnsi" w:eastAsia="Times New Roman" w:hAnsiTheme="minorHAnsi"/>
                <w:iCs/>
                <w:sz w:val="20"/>
                <w:szCs w:val="20"/>
                <w:lang w:eastAsia="en-US"/>
              </w:rPr>
              <w:t xml:space="preserve">- </w:t>
            </w:r>
            <w:r w:rsidR="00600A1A">
              <w:rPr>
                <w:rFonts w:asciiTheme="minorHAnsi" w:eastAsia="Times New Roman" w:hAnsiTheme="minorHAnsi"/>
                <w:iCs/>
                <w:sz w:val="20"/>
                <w:szCs w:val="20"/>
                <w:lang w:eastAsia="en-US"/>
              </w:rPr>
              <w:t>Partnership for municipal strengthening and village development</w:t>
            </w:r>
            <w:r w:rsidRPr="00125BA3">
              <w:rPr>
                <w:rFonts w:asciiTheme="minorHAnsi" w:eastAsia="Times New Roman" w:hAnsiTheme="minorHAnsi"/>
                <w:iCs/>
                <w:sz w:val="20"/>
                <w:szCs w:val="20"/>
                <w:lang w:eastAsia="en-US"/>
              </w:rPr>
              <w:t xml:space="preserve"> </w:t>
            </w:r>
            <w:r w:rsidR="00C003F4" w:rsidRPr="00125BA3">
              <w:rPr>
                <w:rFonts w:asciiTheme="minorHAnsi" w:eastAsia="Times New Roman" w:hAnsiTheme="minorHAnsi"/>
                <w:iCs/>
                <w:sz w:val="20"/>
                <w:szCs w:val="20"/>
                <w:lang w:eastAsia="en-US"/>
              </w:rPr>
              <w:t xml:space="preserve">– </w:t>
            </w:r>
            <w:proofErr w:type="spellStart"/>
            <w:r w:rsidR="00C003F4" w:rsidRPr="00302C4B">
              <w:rPr>
                <w:rFonts w:asciiTheme="minorHAnsi" w:eastAsia="Times New Roman" w:hAnsiTheme="minorHAnsi"/>
                <w:i/>
                <w:iCs/>
                <w:sz w:val="20"/>
                <w:szCs w:val="20"/>
                <w:lang w:eastAsia="en-US"/>
              </w:rPr>
              <w:t>Partisipa</w:t>
            </w:r>
            <w:proofErr w:type="spellEnd"/>
          </w:p>
        </w:tc>
        <w:tc>
          <w:tcPr>
            <w:tcW w:w="499" w:type="pct"/>
            <w:tcBorders>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b w:val="0"/>
                <w:iCs/>
                <w:sz w:val="20"/>
                <w:szCs w:val="20"/>
                <w:lang w:eastAsia="en-US"/>
              </w:rPr>
            </w:pPr>
            <w:r w:rsidRPr="0055071E">
              <w:rPr>
                <w:rFonts w:asciiTheme="minorHAnsi" w:eastAsia="Times New Roman" w:hAnsiTheme="minorHAnsi"/>
                <w:iCs/>
                <w:sz w:val="20"/>
                <w:szCs w:val="20"/>
                <w:lang w:eastAsia="en-US"/>
              </w:rPr>
              <w:t>$</w:t>
            </w:r>
            <w:r>
              <w:rPr>
                <w:rFonts w:asciiTheme="minorHAnsi" w:eastAsia="Times New Roman" w:hAnsiTheme="minorHAnsi"/>
                <w:iCs/>
                <w:sz w:val="20"/>
                <w:szCs w:val="20"/>
                <w:lang w:eastAsia="en-US"/>
              </w:rPr>
              <w:t>70</w:t>
            </w:r>
            <w:r w:rsidRPr="0055071E">
              <w:rPr>
                <w:rFonts w:asciiTheme="minorHAnsi" w:eastAsia="Times New Roman" w:hAnsiTheme="minorHAnsi"/>
                <w:iCs/>
                <w:sz w:val="20"/>
                <w:szCs w:val="20"/>
                <w:lang w:eastAsia="en-US"/>
              </w:rPr>
              <w:t>.</w:t>
            </w:r>
            <w:r>
              <w:rPr>
                <w:rFonts w:asciiTheme="minorHAnsi" w:eastAsia="Times New Roman" w:hAnsiTheme="minorHAnsi"/>
                <w:iCs/>
                <w:sz w:val="20"/>
                <w:szCs w:val="20"/>
                <w:lang w:eastAsia="en-US"/>
              </w:rPr>
              <w:t>9</w:t>
            </w:r>
            <w:r w:rsidRPr="0055071E">
              <w:rPr>
                <w:rFonts w:asciiTheme="minorHAnsi" w:eastAsia="Times New Roman" w:hAnsiTheme="minorHAnsi"/>
                <w:iCs/>
                <w:sz w:val="20"/>
                <w:szCs w:val="20"/>
                <w:lang w:eastAsia="en-US"/>
              </w:rPr>
              <w:t>m</w:t>
            </w:r>
          </w:p>
        </w:tc>
        <w:tc>
          <w:tcPr>
            <w:tcW w:w="653"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5</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5</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p>
        </w:tc>
        <w:tc>
          <w:tcPr>
            <w:tcW w:w="499" w:type="pct"/>
            <w:tcBorders>
              <w:bottom w:val="none" w:sz="0" w:space="0" w:color="auto"/>
            </w:tcBorders>
          </w:tcPr>
          <w:p w:rsidR="006D630F" w:rsidRPr="00125BA3" w:rsidRDefault="000D5CC6"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w:t>
            </w:r>
            <w:r>
              <w:rPr>
                <w:rFonts w:asciiTheme="minorHAnsi" w:eastAsia="Times New Roman" w:hAnsiTheme="minorHAnsi"/>
                <w:iCs/>
                <w:sz w:val="20"/>
                <w:szCs w:val="20"/>
                <w:lang w:eastAsia="en-US"/>
              </w:rPr>
              <w:t>2</w:t>
            </w:r>
            <w:r w:rsidRPr="00125BA3">
              <w:rPr>
                <w:rFonts w:asciiTheme="minorHAnsi" w:eastAsia="Times New Roman" w:hAnsiTheme="minorHAnsi"/>
                <w:iCs/>
                <w:sz w:val="20"/>
                <w:szCs w:val="20"/>
                <w:lang w:eastAsia="en-US"/>
              </w:rPr>
              <w:t>-21</w:t>
            </w:r>
          </w:p>
        </w:tc>
        <w:tc>
          <w:tcPr>
            <w:tcW w:w="653"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 xml:space="preserve">INK815 – Ending Violence Against Women – </w:t>
            </w:r>
            <w:r w:rsidRPr="00125BA3">
              <w:rPr>
                <w:rFonts w:asciiTheme="minorHAnsi" w:eastAsia="Times New Roman" w:hAnsiTheme="minorHAnsi"/>
                <w:i/>
                <w:iCs/>
                <w:sz w:val="20"/>
                <w:szCs w:val="20"/>
                <w:lang w:eastAsia="en-US"/>
              </w:rPr>
              <w:t>Nabilan</w:t>
            </w:r>
          </w:p>
        </w:tc>
        <w:tc>
          <w:tcPr>
            <w:tcW w:w="499" w:type="pct"/>
            <w:tcBorders>
              <w:top w:val="single" w:sz="2" w:space="0" w:color="65C5B4" w:themeColor="accent1"/>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b w:val="0"/>
                <w:iCs/>
                <w:sz w:val="20"/>
                <w:szCs w:val="20"/>
                <w:lang w:eastAsia="en-US"/>
              </w:rPr>
            </w:pPr>
            <w:r w:rsidRPr="00125BA3">
              <w:rPr>
                <w:rFonts w:asciiTheme="minorHAnsi" w:hAnsiTheme="minorHAnsi" w:cs="Franklin Gothic Book"/>
                <w:sz w:val="20"/>
                <w:szCs w:val="20"/>
              </w:rPr>
              <w:t>$</w:t>
            </w:r>
            <w:r w:rsidRPr="0055071E">
              <w:rPr>
                <w:rFonts w:asciiTheme="minorHAnsi" w:eastAsia="Times New Roman" w:hAnsiTheme="minorHAnsi"/>
                <w:iCs/>
                <w:sz w:val="20"/>
                <w:szCs w:val="20"/>
                <w:lang w:eastAsia="en-US"/>
              </w:rPr>
              <w:t>3</w:t>
            </w:r>
            <w:r>
              <w:rPr>
                <w:rFonts w:asciiTheme="minorHAnsi" w:eastAsia="Times New Roman" w:hAnsiTheme="minorHAnsi"/>
                <w:iCs/>
                <w:sz w:val="20"/>
                <w:szCs w:val="20"/>
                <w:lang w:eastAsia="en-US"/>
              </w:rPr>
              <w:t>7.5</w:t>
            </w:r>
            <w:r w:rsidRPr="0055071E">
              <w:rPr>
                <w:rFonts w:asciiTheme="minorHAnsi" w:eastAsia="Times New Roman" w:hAnsiTheme="minorHAnsi"/>
                <w:iCs/>
                <w:sz w:val="20"/>
                <w:szCs w:val="20"/>
                <w:lang w:eastAsia="en-US"/>
              </w:rPr>
              <w:t>m</w:t>
            </w:r>
          </w:p>
        </w:tc>
        <w:tc>
          <w:tcPr>
            <w:tcW w:w="653"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5</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5</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6</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p>
        </w:tc>
        <w:tc>
          <w:tcPr>
            <w:tcW w:w="499" w:type="pct"/>
            <w:tcBorders>
              <w:bottom w:val="single" w:sz="2" w:space="0" w:color="65C5B4" w:themeColor="accent1"/>
            </w:tcBorders>
          </w:tcPr>
          <w:p w:rsidR="006D630F" w:rsidRPr="00125BA3" w:rsidRDefault="000D5CC6"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w:t>
            </w:r>
            <w:r>
              <w:rPr>
                <w:rFonts w:asciiTheme="minorHAnsi" w:eastAsia="Times New Roman" w:hAnsiTheme="minorHAnsi"/>
                <w:iCs/>
                <w:sz w:val="20"/>
                <w:szCs w:val="20"/>
                <w:lang w:eastAsia="en-US"/>
              </w:rPr>
              <w:t>2</w:t>
            </w:r>
            <w:r w:rsidRPr="00125BA3">
              <w:rPr>
                <w:rFonts w:asciiTheme="minorHAnsi" w:eastAsia="Times New Roman" w:hAnsiTheme="minorHAnsi"/>
                <w:iCs/>
                <w:sz w:val="20"/>
                <w:szCs w:val="20"/>
                <w:lang w:eastAsia="en-US"/>
              </w:rPr>
              <w:t>-22</w:t>
            </w:r>
          </w:p>
        </w:tc>
        <w:tc>
          <w:tcPr>
            <w:tcW w:w="653"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6</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 xml:space="preserve">INL073 – Governance for Development – </w:t>
            </w:r>
            <w:proofErr w:type="spellStart"/>
            <w:r w:rsidRPr="00125BA3">
              <w:rPr>
                <w:rFonts w:asciiTheme="minorHAnsi" w:eastAsia="Times New Roman" w:hAnsiTheme="minorHAnsi"/>
                <w:i/>
                <w:iCs/>
                <w:sz w:val="20"/>
                <w:szCs w:val="20"/>
                <w:lang w:eastAsia="en-US"/>
              </w:rPr>
              <w:t>GfD</w:t>
            </w:r>
            <w:proofErr w:type="spellEnd"/>
          </w:p>
        </w:tc>
        <w:tc>
          <w:tcPr>
            <w:tcW w:w="499" w:type="pct"/>
            <w:tcBorders>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b w:val="0"/>
                <w:iCs/>
                <w:sz w:val="20"/>
                <w:szCs w:val="20"/>
                <w:lang w:eastAsia="en-US"/>
              </w:rPr>
            </w:pPr>
            <w:r w:rsidRPr="0055071E">
              <w:rPr>
                <w:rFonts w:asciiTheme="minorHAnsi" w:eastAsia="Times New Roman" w:hAnsiTheme="minorHAnsi"/>
                <w:iCs/>
                <w:sz w:val="20"/>
                <w:szCs w:val="20"/>
                <w:lang w:eastAsia="en-US"/>
              </w:rPr>
              <w:t>$</w:t>
            </w:r>
            <w:r>
              <w:rPr>
                <w:rFonts w:asciiTheme="minorHAnsi" w:eastAsia="Times New Roman" w:hAnsiTheme="minorHAnsi"/>
                <w:iCs/>
                <w:sz w:val="20"/>
                <w:szCs w:val="20"/>
                <w:lang w:eastAsia="en-US"/>
              </w:rPr>
              <w:t>69</w:t>
            </w:r>
            <w:r w:rsidRPr="0055071E">
              <w:rPr>
                <w:rFonts w:asciiTheme="minorHAnsi" w:eastAsia="Times New Roman" w:hAnsiTheme="minorHAnsi"/>
                <w:iCs/>
                <w:sz w:val="20"/>
                <w:szCs w:val="20"/>
                <w:lang w:eastAsia="en-US"/>
              </w:rPr>
              <w:t>.</w:t>
            </w:r>
            <w:r>
              <w:rPr>
                <w:rFonts w:asciiTheme="minorHAnsi" w:eastAsia="Times New Roman" w:hAnsiTheme="minorHAnsi"/>
                <w:iCs/>
                <w:sz w:val="20"/>
                <w:szCs w:val="20"/>
                <w:lang w:eastAsia="en-US"/>
              </w:rPr>
              <w:t>3</w:t>
            </w:r>
            <w:r w:rsidRPr="0055071E">
              <w:rPr>
                <w:rFonts w:asciiTheme="minorHAnsi" w:eastAsia="Times New Roman" w:hAnsiTheme="minorHAnsi"/>
                <w:iCs/>
                <w:sz w:val="20"/>
                <w:szCs w:val="20"/>
                <w:lang w:eastAsia="en-US"/>
              </w:rPr>
              <w:t>m</w:t>
            </w:r>
          </w:p>
        </w:tc>
        <w:tc>
          <w:tcPr>
            <w:tcW w:w="653"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4</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4</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p>
        </w:tc>
        <w:tc>
          <w:tcPr>
            <w:tcW w:w="499" w:type="pct"/>
            <w:tcBorders>
              <w:bottom w:val="none" w:sz="0" w:space="0" w:color="auto"/>
            </w:tcBorders>
          </w:tcPr>
          <w:p w:rsidR="006D630F" w:rsidRPr="00125BA3" w:rsidRDefault="000D5CC6"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w:t>
            </w:r>
            <w:r>
              <w:rPr>
                <w:rFonts w:asciiTheme="minorHAnsi" w:eastAsia="Times New Roman" w:hAnsiTheme="minorHAnsi"/>
                <w:iCs/>
                <w:sz w:val="20"/>
                <w:szCs w:val="20"/>
                <w:lang w:eastAsia="en-US"/>
              </w:rPr>
              <w:t>3</w:t>
            </w:r>
            <w:r w:rsidRPr="00125BA3">
              <w:rPr>
                <w:rFonts w:asciiTheme="minorHAnsi" w:eastAsia="Times New Roman" w:hAnsiTheme="minorHAnsi"/>
                <w:iCs/>
                <w:sz w:val="20"/>
                <w:szCs w:val="20"/>
                <w:lang w:eastAsia="en-US"/>
              </w:rPr>
              <w:t>-21</w:t>
            </w:r>
          </w:p>
        </w:tc>
        <w:tc>
          <w:tcPr>
            <w:tcW w:w="653"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 xml:space="preserve">INL092 – Workforce Development Program – </w:t>
            </w:r>
            <w:r w:rsidRPr="006D630F">
              <w:rPr>
                <w:rFonts w:asciiTheme="minorHAnsi" w:eastAsia="Times New Roman" w:hAnsiTheme="minorHAnsi"/>
                <w:i/>
                <w:iCs/>
                <w:sz w:val="20"/>
                <w:szCs w:val="20"/>
                <w:lang w:eastAsia="en-US"/>
              </w:rPr>
              <w:t>WDPTL</w:t>
            </w:r>
            <w:r w:rsidRPr="00125BA3">
              <w:rPr>
                <w:rFonts w:asciiTheme="minorHAnsi" w:eastAsia="Times New Roman" w:hAnsiTheme="minorHAnsi"/>
                <w:iCs/>
                <w:sz w:val="20"/>
                <w:szCs w:val="20"/>
                <w:lang w:eastAsia="en-US"/>
              </w:rPr>
              <w:t xml:space="preserve"> </w:t>
            </w:r>
          </w:p>
        </w:tc>
        <w:tc>
          <w:tcPr>
            <w:tcW w:w="499" w:type="pct"/>
            <w:tcBorders>
              <w:top w:val="single" w:sz="2" w:space="0" w:color="65C5B4" w:themeColor="accent1"/>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b w:val="0"/>
                <w:iCs/>
                <w:sz w:val="20"/>
                <w:szCs w:val="20"/>
                <w:lang w:eastAsia="en-US"/>
              </w:rPr>
            </w:pPr>
            <w:r w:rsidRPr="0055071E">
              <w:rPr>
                <w:rFonts w:asciiTheme="minorHAnsi" w:eastAsia="Times New Roman" w:hAnsiTheme="minorHAnsi"/>
                <w:iCs/>
                <w:sz w:val="20"/>
                <w:szCs w:val="20"/>
                <w:lang w:eastAsia="en-US"/>
              </w:rPr>
              <w:t>$</w:t>
            </w:r>
            <w:r>
              <w:rPr>
                <w:rFonts w:asciiTheme="minorHAnsi" w:eastAsia="Times New Roman" w:hAnsiTheme="minorHAnsi"/>
                <w:iCs/>
                <w:sz w:val="20"/>
                <w:szCs w:val="20"/>
                <w:lang w:eastAsia="en-US"/>
              </w:rPr>
              <w:t>22.5</w:t>
            </w:r>
            <w:r w:rsidRPr="0055071E">
              <w:rPr>
                <w:rFonts w:asciiTheme="minorHAnsi" w:eastAsia="Times New Roman" w:hAnsiTheme="minorHAnsi"/>
                <w:iCs/>
                <w:sz w:val="20"/>
                <w:szCs w:val="20"/>
                <w:lang w:eastAsia="en-US"/>
              </w:rPr>
              <w:t>m</w:t>
            </w:r>
          </w:p>
        </w:tc>
        <w:tc>
          <w:tcPr>
            <w:tcW w:w="653"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5</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4</w:t>
            </w:r>
          </w:p>
        </w:tc>
        <w:tc>
          <w:tcPr>
            <w:tcW w:w="319" w:type="pct"/>
            <w:tcBorders>
              <w:top w:val="single" w:sz="2" w:space="0" w:color="65C5B4" w:themeColor="accent1"/>
              <w:bottom w:val="none" w:sz="0" w:space="0" w:color="auto"/>
            </w:tcBorders>
            <w:shd w:val="clear" w:color="auto" w:fill="auto"/>
            <w:noWrap/>
          </w:tcPr>
          <w:p w:rsidR="006D630F" w:rsidRPr="00125BA3" w:rsidRDefault="006D630F" w:rsidP="006D630F">
            <w:pPr>
              <w:keepLines/>
              <w:tabs>
                <w:tab w:val="left" w:pos="225"/>
                <w:tab w:val="center" w:pos="338"/>
              </w:tabs>
              <w:spacing w:before="40" w:after="40" w:line="200" w:lineRule="atLeast"/>
              <w:jc w:val="center"/>
              <w:rPr>
                <w:rFonts w:asciiTheme="minorHAnsi" w:eastAsia="Times New Roman" w:hAnsiTheme="minorHAnsi"/>
                <w:b w:val="0"/>
                <w:iCs/>
                <w:sz w:val="20"/>
                <w:szCs w:val="20"/>
                <w:lang w:eastAsia="en-US"/>
              </w:rPr>
            </w:pPr>
            <w:r>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p>
        </w:tc>
        <w:tc>
          <w:tcPr>
            <w:tcW w:w="499" w:type="pct"/>
            <w:tcBorders>
              <w:bottom w:val="single" w:sz="2" w:space="0" w:color="65C5B4" w:themeColor="accent1"/>
            </w:tcBorders>
          </w:tcPr>
          <w:p w:rsidR="006D630F" w:rsidRPr="00125BA3" w:rsidRDefault="000D5CC6"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2014-2</w:t>
            </w:r>
            <w:r>
              <w:rPr>
                <w:rFonts w:asciiTheme="minorHAnsi" w:eastAsia="Times New Roman" w:hAnsiTheme="minorHAnsi"/>
                <w:iCs/>
                <w:sz w:val="20"/>
                <w:szCs w:val="20"/>
                <w:lang w:eastAsia="en-US"/>
              </w:rPr>
              <w:t>1</w:t>
            </w:r>
          </w:p>
        </w:tc>
        <w:tc>
          <w:tcPr>
            <w:tcW w:w="653"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 xml:space="preserve">INL911 – Monitoring and Evaluation House – </w:t>
            </w:r>
            <w:r w:rsidRPr="006D630F">
              <w:rPr>
                <w:rFonts w:asciiTheme="minorHAnsi" w:eastAsia="Times New Roman" w:hAnsiTheme="minorHAnsi"/>
                <w:i/>
                <w:iCs/>
                <w:sz w:val="20"/>
                <w:szCs w:val="20"/>
                <w:lang w:eastAsia="en-US"/>
              </w:rPr>
              <w:t xml:space="preserve">Buka </w:t>
            </w:r>
            <w:proofErr w:type="spellStart"/>
            <w:r w:rsidRPr="006D630F">
              <w:rPr>
                <w:rFonts w:asciiTheme="minorHAnsi" w:eastAsia="Times New Roman" w:hAnsiTheme="minorHAnsi"/>
                <w:i/>
                <w:iCs/>
                <w:sz w:val="20"/>
                <w:szCs w:val="20"/>
                <w:lang w:eastAsia="en-US"/>
              </w:rPr>
              <w:t>Hatene</w:t>
            </w:r>
            <w:proofErr w:type="spellEnd"/>
          </w:p>
        </w:tc>
        <w:tc>
          <w:tcPr>
            <w:tcW w:w="499" w:type="pct"/>
            <w:tcBorders>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b w:val="0"/>
                <w:iCs/>
                <w:sz w:val="20"/>
                <w:szCs w:val="20"/>
                <w:lang w:eastAsia="en-US"/>
              </w:rPr>
            </w:pPr>
            <w:r w:rsidRPr="0055071E">
              <w:rPr>
                <w:rFonts w:asciiTheme="minorHAnsi" w:eastAsia="Times New Roman" w:hAnsiTheme="minorHAnsi"/>
                <w:iCs/>
                <w:sz w:val="20"/>
                <w:szCs w:val="20"/>
                <w:lang w:eastAsia="en-US"/>
              </w:rPr>
              <w:t>$9.8m</w:t>
            </w:r>
          </w:p>
        </w:tc>
        <w:tc>
          <w:tcPr>
            <w:tcW w:w="653"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3</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3</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p>
        </w:tc>
        <w:tc>
          <w:tcPr>
            <w:tcW w:w="499" w:type="pct"/>
            <w:tcBorders>
              <w:bottom w:val="none" w:sz="0" w:space="0" w:color="auto"/>
            </w:tcBorders>
          </w:tcPr>
          <w:p w:rsidR="006D630F" w:rsidRPr="00125BA3" w:rsidRDefault="000D5CC6"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2016-21</w:t>
            </w:r>
          </w:p>
        </w:tc>
        <w:tc>
          <w:tcPr>
            <w:tcW w:w="653" w:type="pct"/>
            <w:tcBorders>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none" w:sz="0" w:space="0" w:color="auto"/>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 xml:space="preserve">INL113 – Market Development Facility – </w:t>
            </w:r>
            <w:r w:rsidRPr="00125BA3">
              <w:rPr>
                <w:rFonts w:asciiTheme="minorHAnsi" w:eastAsia="Times New Roman" w:hAnsiTheme="minorHAnsi"/>
                <w:i/>
                <w:iCs/>
                <w:sz w:val="20"/>
                <w:szCs w:val="20"/>
                <w:lang w:eastAsia="en-US"/>
              </w:rPr>
              <w:t>MDF</w:t>
            </w:r>
          </w:p>
        </w:tc>
        <w:tc>
          <w:tcPr>
            <w:tcW w:w="499" w:type="pct"/>
            <w:tcBorders>
              <w:top w:val="single" w:sz="2" w:space="0" w:color="65C5B4" w:themeColor="accent1"/>
              <w:bottom w:val="none" w:sz="0" w:space="0" w:color="auto"/>
            </w:tcBorders>
          </w:tcPr>
          <w:p w:rsidR="006D630F" w:rsidRPr="00125BA3" w:rsidRDefault="006D630F" w:rsidP="000D5CC6">
            <w:pPr>
              <w:keepLines/>
              <w:spacing w:before="40" w:after="40" w:line="200" w:lineRule="atLeast"/>
              <w:rPr>
                <w:rFonts w:asciiTheme="minorHAnsi" w:eastAsia="Times New Roman" w:hAnsiTheme="minorHAnsi"/>
                <w:b w:val="0"/>
                <w:iCs/>
                <w:sz w:val="20"/>
                <w:szCs w:val="20"/>
                <w:lang w:eastAsia="en-US"/>
              </w:rPr>
            </w:pPr>
            <w:r w:rsidRPr="0055071E">
              <w:rPr>
                <w:rFonts w:asciiTheme="minorHAnsi" w:eastAsia="Times New Roman" w:hAnsiTheme="minorHAnsi"/>
                <w:iCs/>
                <w:sz w:val="20"/>
                <w:szCs w:val="20"/>
                <w:lang w:eastAsia="en-US"/>
              </w:rPr>
              <w:t>$16.3m</w:t>
            </w:r>
          </w:p>
        </w:tc>
        <w:tc>
          <w:tcPr>
            <w:tcW w:w="653" w:type="pct"/>
            <w:tcBorders>
              <w:top w:val="single" w:sz="2" w:space="0" w:color="65C5B4" w:themeColor="accent1"/>
              <w:bottom w:val="none" w:sz="0" w:space="0" w:color="auto"/>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2020 AQC</w:t>
            </w:r>
          </w:p>
        </w:tc>
        <w:tc>
          <w:tcPr>
            <w:tcW w:w="319" w:type="pct"/>
            <w:tcBorders>
              <w:top w:val="single" w:sz="2" w:space="0" w:color="65C5B4" w:themeColor="accent1"/>
              <w:bottom w:val="none" w:sz="0" w:space="0" w:color="auto"/>
            </w:tcBorders>
            <w:shd w:val="clear" w:color="auto" w:fill="auto"/>
            <w:noWrap/>
          </w:tcPr>
          <w:p w:rsidR="006D630F" w:rsidRPr="006D630F" w:rsidRDefault="006D630F" w:rsidP="006D630F">
            <w:pPr>
              <w:keepLines/>
              <w:spacing w:before="40" w:after="40" w:line="200" w:lineRule="atLeast"/>
              <w:jc w:val="center"/>
              <w:rPr>
                <w:rFonts w:asciiTheme="minorHAnsi" w:eastAsia="Times New Roman" w:hAnsiTheme="minorHAnsi"/>
                <w:iCs/>
                <w:sz w:val="20"/>
                <w:szCs w:val="20"/>
                <w:lang w:eastAsia="en-US"/>
              </w:rPr>
            </w:pPr>
            <w:r w:rsidRPr="006D630F">
              <w:rPr>
                <w:rFonts w:asciiTheme="minorHAnsi" w:eastAsia="Times New Roman" w:hAnsiTheme="minorHAnsi"/>
                <w:iCs/>
                <w:sz w:val="20"/>
                <w:szCs w:val="20"/>
                <w:lang w:eastAsia="en-US"/>
              </w:rPr>
              <w:t>5</w:t>
            </w:r>
          </w:p>
        </w:tc>
        <w:tc>
          <w:tcPr>
            <w:tcW w:w="319" w:type="pct"/>
            <w:tcBorders>
              <w:top w:val="single" w:sz="2" w:space="0" w:color="65C5B4" w:themeColor="accent1"/>
              <w:bottom w:val="none" w:sz="0" w:space="0" w:color="auto"/>
            </w:tcBorders>
            <w:shd w:val="clear" w:color="auto" w:fill="auto"/>
            <w:noWrap/>
          </w:tcPr>
          <w:p w:rsidR="006D630F" w:rsidRPr="006D630F" w:rsidRDefault="006D630F" w:rsidP="006D630F">
            <w:pPr>
              <w:keepLines/>
              <w:spacing w:before="40" w:after="40" w:line="200" w:lineRule="atLeast"/>
              <w:jc w:val="center"/>
              <w:rPr>
                <w:rFonts w:asciiTheme="minorHAnsi" w:eastAsia="Times New Roman" w:hAnsiTheme="minorHAnsi"/>
                <w:iCs/>
                <w:sz w:val="20"/>
                <w:szCs w:val="20"/>
                <w:lang w:eastAsia="en-US"/>
              </w:rPr>
            </w:pPr>
            <w:r w:rsidRPr="006D630F">
              <w:rPr>
                <w:rFonts w:asciiTheme="minorHAnsi" w:eastAsia="Times New Roman" w:hAnsiTheme="minorHAnsi"/>
                <w:iCs/>
                <w:sz w:val="20"/>
                <w:szCs w:val="20"/>
                <w:lang w:eastAsia="en-US"/>
              </w:rPr>
              <w:t>5</w:t>
            </w:r>
          </w:p>
        </w:tc>
        <w:tc>
          <w:tcPr>
            <w:tcW w:w="319" w:type="pct"/>
            <w:tcBorders>
              <w:top w:val="single" w:sz="2" w:space="0" w:color="65C5B4" w:themeColor="accent1"/>
              <w:bottom w:val="none" w:sz="0" w:space="0" w:color="auto"/>
            </w:tcBorders>
            <w:shd w:val="clear" w:color="auto" w:fill="auto"/>
            <w:noWrap/>
          </w:tcPr>
          <w:p w:rsidR="006D630F" w:rsidRPr="006D630F" w:rsidRDefault="006D630F" w:rsidP="006D630F">
            <w:pPr>
              <w:keepLines/>
              <w:spacing w:before="40" w:after="40" w:line="200" w:lineRule="atLeast"/>
              <w:jc w:val="center"/>
              <w:rPr>
                <w:rFonts w:asciiTheme="minorHAnsi" w:eastAsia="Times New Roman" w:hAnsiTheme="minorHAnsi"/>
                <w:iCs/>
                <w:sz w:val="20"/>
                <w:szCs w:val="20"/>
                <w:lang w:eastAsia="en-US"/>
              </w:rPr>
            </w:pPr>
            <w:r w:rsidRPr="006D630F">
              <w:rPr>
                <w:rFonts w:asciiTheme="minorHAnsi" w:eastAsia="Times New Roman" w:hAnsiTheme="minorHAnsi"/>
                <w:iCs/>
                <w:sz w:val="20"/>
                <w:szCs w:val="20"/>
                <w:lang w:eastAsia="en-US"/>
              </w:rPr>
              <w:t>5</w:t>
            </w:r>
          </w:p>
        </w:tc>
      </w:tr>
      <w:tr w:rsidR="006D630F" w:rsidRPr="00812509" w:rsidTr="000D5CC6">
        <w:trPr>
          <w:cnfStyle w:val="100000000000" w:firstRow="1" w:lastRow="0" w:firstColumn="0" w:lastColumn="0" w:oddVBand="0" w:evenVBand="0" w:oddHBand="0" w:evenHBand="0" w:firstRowFirstColumn="0" w:firstRowLastColumn="0" w:lastRowFirstColumn="0" w:lastRowLastColumn="0"/>
          <w:trHeight w:val="284"/>
        </w:trPr>
        <w:tc>
          <w:tcPr>
            <w:tcW w:w="2785"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p>
        </w:tc>
        <w:tc>
          <w:tcPr>
            <w:tcW w:w="499" w:type="pct"/>
            <w:tcBorders>
              <w:bottom w:val="single" w:sz="2" w:space="0" w:color="65C5B4" w:themeColor="accent1"/>
            </w:tcBorders>
          </w:tcPr>
          <w:p w:rsidR="006D630F" w:rsidRPr="00125BA3" w:rsidRDefault="000D5CC6"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2013-22</w:t>
            </w:r>
          </w:p>
        </w:tc>
        <w:tc>
          <w:tcPr>
            <w:tcW w:w="653" w:type="pct"/>
            <w:tcBorders>
              <w:bottom w:val="single" w:sz="2" w:space="0" w:color="65C5B4" w:themeColor="accent1"/>
            </w:tcBorders>
          </w:tcPr>
          <w:p w:rsidR="006D630F" w:rsidRPr="00125BA3" w:rsidRDefault="006D630F" w:rsidP="006D630F">
            <w:pPr>
              <w:keepLines/>
              <w:spacing w:before="40" w:after="40" w:line="200" w:lineRule="atLeast"/>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2019 AQC</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5</w:t>
            </w:r>
          </w:p>
        </w:tc>
        <w:tc>
          <w:tcPr>
            <w:tcW w:w="319" w:type="pct"/>
            <w:tcBorders>
              <w:bottom w:val="single" w:sz="2" w:space="0" w:color="65C5B4" w:themeColor="accent1"/>
            </w:tcBorders>
            <w:shd w:val="clear" w:color="auto" w:fill="auto"/>
            <w:noWrap/>
          </w:tcPr>
          <w:p w:rsidR="006D630F" w:rsidRPr="00125BA3" w:rsidRDefault="006D630F" w:rsidP="006D630F">
            <w:pPr>
              <w:keepLines/>
              <w:spacing w:before="40" w:after="40" w:line="200" w:lineRule="atLeast"/>
              <w:jc w:val="center"/>
              <w:rPr>
                <w:rFonts w:asciiTheme="minorHAnsi" w:eastAsia="Times New Roman" w:hAnsiTheme="minorHAnsi"/>
                <w:b w:val="0"/>
                <w:iCs/>
                <w:sz w:val="20"/>
                <w:szCs w:val="20"/>
                <w:lang w:eastAsia="en-US"/>
              </w:rPr>
            </w:pPr>
            <w:r w:rsidRPr="00125BA3">
              <w:rPr>
                <w:rFonts w:asciiTheme="minorHAnsi" w:eastAsia="Times New Roman" w:hAnsiTheme="minorHAnsi"/>
                <w:iCs/>
                <w:sz w:val="20"/>
                <w:szCs w:val="20"/>
                <w:lang w:eastAsia="en-US"/>
              </w:rPr>
              <w:t>4</w:t>
            </w:r>
          </w:p>
        </w:tc>
      </w:tr>
      <w:tr w:rsidR="000D5CC6" w:rsidRPr="00812509" w:rsidTr="000D5CC6">
        <w:trPr>
          <w:cnfStyle w:val="100000000000" w:firstRow="1" w:lastRow="0" w:firstColumn="0" w:lastColumn="0" w:oddVBand="0" w:evenVBand="0" w:oddHBand="0" w:evenHBand="0" w:firstRowFirstColumn="0" w:firstRowLastColumn="0" w:lastRowFirstColumn="0" w:lastRowLastColumn="0"/>
          <w:trHeight w:val="150"/>
        </w:trPr>
        <w:tc>
          <w:tcPr>
            <w:tcW w:w="2785" w:type="pct"/>
          </w:tcPr>
          <w:p w:rsidR="000D5CC6" w:rsidRPr="00125BA3" w:rsidRDefault="000D5CC6" w:rsidP="006D630F">
            <w:pPr>
              <w:keepLines/>
              <w:spacing w:before="40" w:after="40" w:line="200" w:lineRule="atLeast"/>
              <w:rPr>
                <w:rFonts w:eastAsia="Times New Roman"/>
                <w:iCs/>
                <w:sz w:val="20"/>
                <w:szCs w:val="20"/>
              </w:rPr>
            </w:pPr>
            <w:r w:rsidRPr="00125BA3">
              <w:rPr>
                <w:rFonts w:asciiTheme="minorHAnsi" w:eastAsia="Times New Roman" w:hAnsiTheme="minorHAnsi"/>
                <w:iCs/>
                <w:sz w:val="20"/>
                <w:szCs w:val="20"/>
                <w:lang w:eastAsia="en-US"/>
              </w:rPr>
              <w:t>INN260 - Timor-Leste Police Development Program</w:t>
            </w:r>
            <w:r>
              <w:rPr>
                <w:rFonts w:asciiTheme="minorHAnsi" w:eastAsia="Times New Roman" w:hAnsiTheme="minorHAnsi"/>
                <w:iCs/>
                <w:sz w:val="20"/>
                <w:szCs w:val="20"/>
                <w:lang w:eastAsia="en-US"/>
              </w:rPr>
              <w:t xml:space="preserve"> - </w:t>
            </w:r>
            <w:r w:rsidRPr="006D630F">
              <w:rPr>
                <w:rFonts w:asciiTheme="minorHAnsi" w:eastAsia="Times New Roman" w:hAnsiTheme="minorHAnsi"/>
                <w:i/>
                <w:iCs/>
                <w:sz w:val="20"/>
                <w:szCs w:val="20"/>
                <w:lang w:eastAsia="en-US"/>
              </w:rPr>
              <w:t>TLPDP</w:t>
            </w:r>
          </w:p>
        </w:tc>
        <w:tc>
          <w:tcPr>
            <w:tcW w:w="499" w:type="pct"/>
          </w:tcPr>
          <w:p w:rsidR="000D5CC6" w:rsidRPr="00112939" w:rsidRDefault="000D5CC6" w:rsidP="000D5CC6">
            <w:pPr>
              <w:keepLines/>
              <w:spacing w:before="40" w:after="40" w:line="200" w:lineRule="atLeast"/>
              <w:rPr>
                <w:rFonts w:asciiTheme="minorHAnsi" w:eastAsia="Times New Roman" w:hAnsiTheme="minorHAnsi"/>
                <w:iCs/>
                <w:sz w:val="20"/>
                <w:szCs w:val="20"/>
                <w:lang w:eastAsia="en-US"/>
              </w:rPr>
            </w:pPr>
            <w:r w:rsidRPr="00112939">
              <w:rPr>
                <w:rFonts w:asciiTheme="minorHAnsi" w:eastAsia="Times New Roman" w:hAnsiTheme="minorHAnsi"/>
                <w:iCs/>
                <w:sz w:val="20"/>
                <w:szCs w:val="20"/>
                <w:lang w:eastAsia="en-US"/>
              </w:rPr>
              <w:t>$22m</w:t>
            </w:r>
          </w:p>
        </w:tc>
        <w:tc>
          <w:tcPr>
            <w:tcW w:w="653" w:type="pct"/>
          </w:tcPr>
          <w:p w:rsidR="000D5CC6" w:rsidRPr="000D5CC6" w:rsidRDefault="000D5CC6" w:rsidP="006D630F">
            <w:pPr>
              <w:keepLines/>
              <w:spacing w:before="40" w:after="40" w:line="200" w:lineRule="atLeast"/>
              <w:rPr>
                <w:rFonts w:asciiTheme="minorHAnsi" w:eastAsia="Times New Roman" w:hAnsiTheme="minorHAnsi"/>
                <w:iCs/>
                <w:sz w:val="20"/>
                <w:szCs w:val="20"/>
                <w:lang w:eastAsia="en-US"/>
              </w:rPr>
            </w:pPr>
            <w:r w:rsidRPr="00125BA3">
              <w:rPr>
                <w:rFonts w:asciiTheme="minorHAnsi" w:eastAsia="Times New Roman" w:hAnsiTheme="minorHAnsi"/>
                <w:iCs/>
                <w:sz w:val="20"/>
                <w:szCs w:val="20"/>
                <w:lang w:eastAsia="en-US"/>
              </w:rPr>
              <w:t>20</w:t>
            </w:r>
            <w:r>
              <w:rPr>
                <w:rFonts w:asciiTheme="minorHAnsi" w:eastAsia="Times New Roman" w:hAnsiTheme="minorHAnsi"/>
                <w:iCs/>
                <w:sz w:val="20"/>
                <w:szCs w:val="20"/>
                <w:lang w:eastAsia="en-US"/>
              </w:rPr>
              <w:t>20</w:t>
            </w:r>
            <w:r w:rsidRPr="00125BA3">
              <w:rPr>
                <w:rFonts w:asciiTheme="minorHAnsi" w:eastAsia="Times New Roman" w:hAnsiTheme="minorHAnsi"/>
                <w:iCs/>
                <w:sz w:val="20"/>
                <w:szCs w:val="20"/>
                <w:lang w:eastAsia="en-US"/>
              </w:rPr>
              <w:t xml:space="preserve"> AQC</w:t>
            </w:r>
          </w:p>
        </w:tc>
        <w:tc>
          <w:tcPr>
            <w:tcW w:w="319" w:type="pct"/>
            <w:shd w:val="clear" w:color="auto" w:fill="auto"/>
            <w:noWrap/>
          </w:tcPr>
          <w:p w:rsidR="000D5CC6" w:rsidRPr="00112939" w:rsidRDefault="000D5CC6" w:rsidP="006D630F">
            <w:pPr>
              <w:keepLines/>
              <w:spacing w:before="40" w:after="40" w:line="200" w:lineRule="atLeast"/>
              <w:jc w:val="center"/>
              <w:rPr>
                <w:rFonts w:asciiTheme="minorHAnsi" w:eastAsia="Times New Roman" w:hAnsiTheme="minorHAnsi"/>
                <w:iCs/>
                <w:sz w:val="20"/>
                <w:szCs w:val="20"/>
                <w:lang w:eastAsia="en-US"/>
              </w:rPr>
            </w:pPr>
            <w:r w:rsidRPr="00112939">
              <w:rPr>
                <w:rFonts w:asciiTheme="minorHAnsi" w:eastAsia="Times New Roman" w:hAnsiTheme="minorHAnsi"/>
                <w:iCs/>
                <w:sz w:val="20"/>
                <w:szCs w:val="20"/>
                <w:lang w:eastAsia="en-US"/>
              </w:rPr>
              <w:t>3</w:t>
            </w:r>
          </w:p>
        </w:tc>
        <w:tc>
          <w:tcPr>
            <w:tcW w:w="319" w:type="pct"/>
            <w:shd w:val="clear" w:color="auto" w:fill="auto"/>
            <w:noWrap/>
          </w:tcPr>
          <w:p w:rsidR="000D5CC6" w:rsidRPr="00112939" w:rsidRDefault="000D5CC6" w:rsidP="006D630F">
            <w:pPr>
              <w:keepLines/>
              <w:spacing w:before="40" w:after="40" w:line="200" w:lineRule="atLeast"/>
              <w:jc w:val="center"/>
              <w:rPr>
                <w:rFonts w:asciiTheme="minorHAnsi" w:eastAsia="Times New Roman" w:hAnsiTheme="minorHAnsi"/>
                <w:iCs/>
                <w:sz w:val="20"/>
                <w:szCs w:val="20"/>
                <w:lang w:eastAsia="en-US"/>
              </w:rPr>
            </w:pPr>
            <w:r w:rsidRPr="00112939">
              <w:rPr>
                <w:rFonts w:asciiTheme="minorHAnsi" w:eastAsia="Times New Roman" w:hAnsiTheme="minorHAnsi"/>
                <w:iCs/>
                <w:sz w:val="20"/>
                <w:szCs w:val="20"/>
                <w:lang w:eastAsia="en-US"/>
              </w:rPr>
              <w:t>3</w:t>
            </w:r>
          </w:p>
        </w:tc>
        <w:tc>
          <w:tcPr>
            <w:tcW w:w="319" w:type="pct"/>
            <w:shd w:val="clear" w:color="auto" w:fill="auto"/>
            <w:noWrap/>
          </w:tcPr>
          <w:p w:rsidR="000D5CC6" w:rsidRPr="00112939" w:rsidRDefault="000D5CC6" w:rsidP="006D630F">
            <w:pPr>
              <w:keepLines/>
              <w:tabs>
                <w:tab w:val="left" w:pos="240"/>
                <w:tab w:val="center" w:pos="338"/>
              </w:tabs>
              <w:spacing w:before="40" w:after="40" w:line="200" w:lineRule="atLeast"/>
              <w:jc w:val="center"/>
              <w:rPr>
                <w:rFonts w:asciiTheme="minorHAnsi" w:eastAsia="Times New Roman" w:hAnsiTheme="minorHAnsi"/>
                <w:iCs/>
                <w:sz w:val="20"/>
                <w:szCs w:val="20"/>
                <w:lang w:eastAsia="en-US"/>
              </w:rPr>
            </w:pPr>
            <w:r w:rsidRPr="00112939">
              <w:rPr>
                <w:rFonts w:asciiTheme="minorHAnsi" w:eastAsia="Times New Roman" w:hAnsiTheme="minorHAnsi"/>
                <w:iCs/>
                <w:sz w:val="20"/>
                <w:szCs w:val="20"/>
                <w:lang w:eastAsia="en-US"/>
              </w:rPr>
              <w:t>4</w:t>
            </w:r>
          </w:p>
        </w:tc>
      </w:tr>
      <w:tr w:rsidR="000D5CC6" w:rsidRPr="00812509" w:rsidTr="000D5CC6">
        <w:trPr>
          <w:cnfStyle w:val="100000000000" w:firstRow="1" w:lastRow="0" w:firstColumn="0" w:lastColumn="0" w:oddVBand="0" w:evenVBand="0" w:oddHBand="0" w:evenHBand="0" w:firstRowFirstColumn="0" w:firstRowLastColumn="0" w:lastRowFirstColumn="0" w:lastRowLastColumn="0"/>
          <w:trHeight w:val="307"/>
        </w:trPr>
        <w:tc>
          <w:tcPr>
            <w:tcW w:w="2785" w:type="pct"/>
            <w:tcBorders>
              <w:bottom w:val="single" w:sz="12" w:space="0" w:color="auto"/>
            </w:tcBorders>
          </w:tcPr>
          <w:p w:rsidR="000D5CC6" w:rsidRPr="00125BA3" w:rsidRDefault="000D5CC6" w:rsidP="006D630F">
            <w:pPr>
              <w:keepLines/>
              <w:spacing w:before="40" w:after="40" w:line="200" w:lineRule="atLeast"/>
              <w:rPr>
                <w:rFonts w:eastAsia="Times New Roman"/>
                <w:iCs/>
                <w:sz w:val="20"/>
                <w:szCs w:val="20"/>
              </w:rPr>
            </w:pPr>
          </w:p>
        </w:tc>
        <w:tc>
          <w:tcPr>
            <w:tcW w:w="499" w:type="pct"/>
            <w:tcBorders>
              <w:bottom w:val="single" w:sz="12" w:space="0" w:color="auto"/>
            </w:tcBorders>
          </w:tcPr>
          <w:p w:rsidR="000D5CC6" w:rsidRPr="00112939" w:rsidRDefault="000D5CC6" w:rsidP="006D630F">
            <w:pPr>
              <w:keepLines/>
              <w:spacing w:before="40" w:after="40" w:line="200" w:lineRule="atLeast"/>
              <w:rPr>
                <w:rFonts w:eastAsia="Times New Roman"/>
                <w:iCs/>
                <w:sz w:val="20"/>
                <w:szCs w:val="20"/>
              </w:rPr>
            </w:pPr>
            <w:r w:rsidRPr="00112939">
              <w:rPr>
                <w:rFonts w:asciiTheme="minorHAnsi" w:eastAsia="Times New Roman" w:hAnsiTheme="minorHAnsi"/>
                <w:iCs/>
                <w:sz w:val="20"/>
                <w:szCs w:val="20"/>
                <w:lang w:eastAsia="en-US"/>
              </w:rPr>
              <w:t>2018-22</w:t>
            </w:r>
          </w:p>
        </w:tc>
        <w:tc>
          <w:tcPr>
            <w:tcW w:w="653" w:type="pct"/>
            <w:tcBorders>
              <w:bottom w:val="single" w:sz="12" w:space="0" w:color="auto"/>
            </w:tcBorders>
          </w:tcPr>
          <w:p w:rsidR="000D5CC6" w:rsidRPr="00125BA3" w:rsidRDefault="000D5CC6" w:rsidP="006D630F">
            <w:pPr>
              <w:keepLines/>
              <w:spacing w:before="40" w:after="40" w:line="200" w:lineRule="atLeast"/>
              <w:rPr>
                <w:rFonts w:eastAsia="Times New Roman"/>
                <w:iCs/>
                <w:sz w:val="20"/>
                <w:szCs w:val="20"/>
              </w:rPr>
            </w:pPr>
          </w:p>
        </w:tc>
        <w:tc>
          <w:tcPr>
            <w:tcW w:w="319" w:type="pct"/>
            <w:tcBorders>
              <w:bottom w:val="single" w:sz="12" w:space="0" w:color="auto"/>
            </w:tcBorders>
            <w:shd w:val="clear" w:color="auto" w:fill="auto"/>
            <w:noWrap/>
          </w:tcPr>
          <w:p w:rsidR="000D5CC6" w:rsidRPr="00112939" w:rsidRDefault="000D5CC6" w:rsidP="006D630F">
            <w:pPr>
              <w:keepLines/>
              <w:spacing w:before="40" w:after="40" w:line="200" w:lineRule="atLeast"/>
              <w:jc w:val="center"/>
              <w:rPr>
                <w:rFonts w:eastAsia="Times New Roman"/>
                <w:iCs/>
                <w:sz w:val="20"/>
                <w:szCs w:val="20"/>
              </w:rPr>
            </w:pPr>
          </w:p>
        </w:tc>
        <w:tc>
          <w:tcPr>
            <w:tcW w:w="319" w:type="pct"/>
            <w:tcBorders>
              <w:bottom w:val="single" w:sz="12" w:space="0" w:color="auto"/>
            </w:tcBorders>
            <w:shd w:val="clear" w:color="auto" w:fill="auto"/>
            <w:noWrap/>
          </w:tcPr>
          <w:p w:rsidR="000D5CC6" w:rsidRPr="00112939" w:rsidRDefault="000D5CC6" w:rsidP="006D630F">
            <w:pPr>
              <w:keepLines/>
              <w:spacing w:before="40" w:after="40" w:line="200" w:lineRule="atLeast"/>
              <w:jc w:val="center"/>
              <w:rPr>
                <w:rFonts w:eastAsia="Times New Roman"/>
                <w:iCs/>
                <w:sz w:val="20"/>
                <w:szCs w:val="20"/>
              </w:rPr>
            </w:pPr>
          </w:p>
        </w:tc>
        <w:tc>
          <w:tcPr>
            <w:tcW w:w="319" w:type="pct"/>
            <w:tcBorders>
              <w:bottom w:val="single" w:sz="12" w:space="0" w:color="auto"/>
            </w:tcBorders>
            <w:shd w:val="clear" w:color="auto" w:fill="auto"/>
            <w:noWrap/>
          </w:tcPr>
          <w:p w:rsidR="000D5CC6" w:rsidRPr="00112939" w:rsidRDefault="000D5CC6" w:rsidP="006D630F">
            <w:pPr>
              <w:keepLines/>
              <w:tabs>
                <w:tab w:val="left" w:pos="240"/>
                <w:tab w:val="center" w:pos="338"/>
              </w:tabs>
              <w:spacing w:before="40" w:after="40" w:line="200" w:lineRule="atLeast"/>
              <w:jc w:val="center"/>
              <w:rPr>
                <w:rFonts w:eastAsia="Times New Roman"/>
                <w:iCs/>
                <w:sz w:val="20"/>
                <w:szCs w:val="20"/>
              </w:rPr>
            </w:pPr>
          </w:p>
        </w:tc>
      </w:tr>
    </w:tbl>
    <w:p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bookmarkStart w:id="0" w:name="_GoBack"/>
      <w:bookmarkEnd w:id="0"/>
    </w:p>
    <w:p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rsidR="00390828" w:rsidRPr="00812509" w:rsidRDefault="00390828" w:rsidP="00390828">
      <w:pPr>
        <w:spacing w:before="20" w:after="20" w:line="180" w:lineRule="atLeast"/>
        <w:rPr>
          <w:sz w:val="24"/>
        </w:rPr>
      </w:pPr>
      <w:r w:rsidRPr="00812509">
        <w:rPr>
          <w:rFonts w:eastAsia="Times New Roman"/>
          <w:b/>
          <w:sz w:val="16"/>
          <w:szCs w:val="14"/>
        </w:rPr>
        <w:t xml:space="preserve"> 2 = Poor; does not satisfy criteria in major areas.  1 = Very poor; does not satisfy criteria in many major area.</w:t>
      </w:r>
    </w:p>
    <w:sectPr w:rsidR="00390828" w:rsidRPr="00812509" w:rsidSect="00EC3C2D">
      <w:headerReference w:type="even" r:id="rId22"/>
      <w:headerReference w:type="default" r:id="rId23"/>
      <w:headerReference w:type="first" r:id="rId24"/>
      <w:footerReference w:type="first" r:id="rId25"/>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048C" w:rsidRDefault="00AB048C" w:rsidP="00D37B04">
      <w:r>
        <w:separator/>
      </w:r>
    </w:p>
  </w:endnote>
  <w:endnote w:type="continuationSeparator" w:id="0">
    <w:p w:rsidR="00AB048C" w:rsidRDefault="00AB048C"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77" w:rsidRPr="00FC322F" w:rsidRDefault="00230777" w:rsidP="00FC322F">
    <w:pPr>
      <w:pStyle w:val="Footer"/>
      <w:rPr>
        <w:b/>
      </w:rPr>
    </w:pPr>
    <w:r w:rsidRPr="00FC322F">
      <w:rPr>
        <w:b/>
        <w:noProof/>
        <w:lang w:val="en-AU" w:eastAsia="en-AU"/>
      </w:rPr>
      <w:drawing>
        <wp:inline distT="0" distB="0" distL="0" distR="0" wp14:anchorId="05E2E31F" wp14:editId="6C2FBDD4">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2680946"/>
      <w:docPartObj>
        <w:docPartGallery w:val="Page Numbers (Bottom of Page)"/>
        <w:docPartUnique/>
      </w:docPartObj>
    </w:sdtPr>
    <w:sdtEndPr>
      <w:rPr>
        <w:noProof/>
      </w:rPr>
    </w:sdtEndPr>
    <w:sdtContent>
      <w:p w:rsidR="00551A00" w:rsidRDefault="00551A00">
        <w:pPr>
          <w:pStyle w:val="Footer"/>
          <w:jc w:val="center"/>
        </w:pPr>
        <w:r>
          <w:fldChar w:fldCharType="begin"/>
        </w:r>
        <w:r>
          <w:instrText xml:space="preserve"> PAGE   \* MERGEFORMAT </w:instrText>
        </w:r>
        <w:r>
          <w:fldChar w:fldCharType="separate"/>
        </w:r>
        <w:r w:rsidR="00DF028E">
          <w:rPr>
            <w:noProof/>
          </w:rPr>
          <w:t>1</w:t>
        </w:r>
        <w:r>
          <w:rPr>
            <w:noProof/>
          </w:rPr>
          <w:fldChar w:fldCharType="end"/>
        </w:r>
      </w:p>
    </w:sdtContent>
  </w:sdt>
  <w:p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97976166"/>
      <w:docPartObj>
        <w:docPartGallery w:val="Page Numbers (Bottom of Page)"/>
        <w:docPartUnique/>
      </w:docPartObj>
    </w:sdtPr>
    <w:sdtEndPr>
      <w:rPr>
        <w:noProof/>
      </w:rPr>
    </w:sdtEndPr>
    <w:sdtContent>
      <w:p w:rsidR="00551A00" w:rsidRDefault="00551A00">
        <w:pPr>
          <w:pStyle w:val="Footer"/>
          <w:jc w:val="center"/>
        </w:pPr>
        <w:r>
          <w:fldChar w:fldCharType="begin"/>
        </w:r>
        <w:r>
          <w:instrText xml:space="preserve"> PAGE   \* MERGEFORMAT </w:instrText>
        </w:r>
        <w:r>
          <w:fldChar w:fldCharType="separate"/>
        </w:r>
        <w:r w:rsidR="00DF028E">
          <w:rPr>
            <w:noProof/>
          </w:rPr>
          <w:t>2</w:t>
        </w:r>
        <w:r>
          <w:rPr>
            <w:noProof/>
          </w:rPr>
          <w:fldChar w:fldCharType="end"/>
        </w:r>
      </w:p>
    </w:sdtContent>
  </w:sdt>
  <w:p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C322F" w:rsidRPr="00FC322F" w:rsidRDefault="00FC322F" w:rsidP="00FC322F">
    <w:pPr>
      <w:pStyle w:val="Footer"/>
      <w:rPr>
        <w:b/>
      </w:rPr>
    </w:pPr>
    <w:r w:rsidRPr="00FC322F">
      <w:rPr>
        <w:b/>
        <w:noProof/>
        <w:lang w:val="en-AU" w:eastAsia="en-AU"/>
      </w:rPr>
      <w:drawing>
        <wp:inline distT="0" distB="0" distL="0" distR="0" wp14:anchorId="7777CDA1" wp14:editId="4A189E90">
          <wp:extent cx="108000" cy="87480"/>
          <wp:effectExtent l="0" t="0" r="6350" b="8255"/>
          <wp:docPr id="55" name="Picture 5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42847687"/>
      <w:docPartObj>
        <w:docPartGallery w:val="Page Numbers (Bottom of Page)"/>
        <w:docPartUnique/>
      </w:docPartObj>
    </w:sdtPr>
    <w:sdtEndPr>
      <w:rPr>
        <w:noProof/>
      </w:rPr>
    </w:sdtEndPr>
    <w:sdtContent>
      <w:p w:rsidR="00551A00" w:rsidRDefault="00551A00">
        <w:pPr>
          <w:pStyle w:val="Footer"/>
          <w:jc w:val="center"/>
        </w:pPr>
        <w:r>
          <w:fldChar w:fldCharType="begin"/>
        </w:r>
        <w:r>
          <w:instrText xml:space="preserve"> PAGE   \* MERGEFORMAT </w:instrText>
        </w:r>
        <w:r>
          <w:fldChar w:fldCharType="separate"/>
        </w:r>
        <w:r w:rsidR="00DF028E">
          <w:rPr>
            <w:noProof/>
          </w:rPr>
          <w:t>4</w:t>
        </w:r>
        <w:r>
          <w:rPr>
            <w:noProof/>
          </w:rPr>
          <w:fldChar w:fldCharType="end"/>
        </w:r>
      </w:p>
    </w:sdtContent>
  </w:sdt>
  <w:p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048C" w:rsidRPr="008C5A0E" w:rsidRDefault="00AB048C" w:rsidP="00D37B04">
      <w:pPr>
        <w:pStyle w:val="Footer"/>
      </w:pPr>
    </w:p>
  </w:footnote>
  <w:footnote w:type="continuationSeparator" w:id="0">
    <w:p w:rsidR="00AB048C" w:rsidRDefault="00AB048C"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61E98081" wp14:editId="55F3D298">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7E92563D" wp14:editId="4F035579">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4DF2F1C7" wp14:editId="7C322B91">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2BBE566F" wp14:editId="4006A46F">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03EAD39F" wp14:editId="62C537FA">
          <wp:simplePos x="0" y="0"/>
          <wp:positionH relativeFrom="page">
            <wp:posOffset>12700</wp:posOffset>
          </wp:positionH>
          <wp:positionV relativeFrom="page">
            <wp:posOffset>0</wp:posOffset>
          </wp:positionV>
          <wp:extent cx="7559040" cy="10692765"/>
          <wp:effectExtent l="0" t="0" r="3810" b="0"/>
          <wp:wrapNone/>
          <wp:docPr id="50" name="Picture 5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0D5CC6">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752E8526" wp14:editId="14B6F779">
          <wp:simplePos x="0" y="0"/>
          <wp:positionH relativeFrom="page">
            <wp:posOffset>5724525</wp:posOffset>
          </wp:positionH>
          <wp:positionV relativeFrom="page">
            <wp:posOffset>720090</wp:posOffset>
          </wp:positionV>
          <wp:extent cx="1115060" cy="512445"/>
          <wp:effectExtent l="0" t="0" r="8890" b="1905"/>
          <wp:wrapNone/>
          <wp:docPr id="52" name="Picture 5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4A408964" wp14:editId="28E39028">
          <wp:simplePos x="0" y="0"/>
          <wp:positionH relativeFrom="page">
            <wp:posOffset>720090</wp:posOffset>
          </wp:positionH>
          <wp:positionV relativeFrom="page">
            <wp:posOffset>683895</wp:posOffset>
          </wp:positionV>
          <wp:extent cx="3166745" cy="554355"/>
          <wp:effectExtent l="0" t="0" r="0" b="0"/>
          <wp:wrapNone/>
          <wp:docPr id="53" name="Picture 5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3D1E054E" wp14:editId="43BE52B5">
          <wp:simplePos x="0" y="0"/>
          <wp:positionH relativeFrom="page">
            <wp:posOffset>12700</wp:posOffset>
          </wp:positionH>
          <wp:positionV relativeFrom="page">
            <wp:posOffset>-69850</wp:posOffset>
          </wp:positionV>
          <wp:extent cx="10585450" cy="10692130"/>
          <wp:effectExtent l="0" t="0" r="6350" b="0"/>
          <wp:wrapNone/>
          <wp:docPr id="54" name="Picture 5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94F98" w:rsidRPr="000854FD" w:rsidRDefault="00494F98" w:rsidP="002D5B25">
    <w:pPr>
      <w:pStyle w:val="Header"/>
    </w:pPr>
    <w:r w:rsidRPr="00943730">
      <w:rPr>
        <w:noProof/>
        <w:lang w:val="en-AU" w:eastAsia="en-AU"/>
      </w:rPr>
      <w:drawing>
        <wp:anchor distT="0" distB="0" distL="114300" distR="114300" simplePos="0" relativeHeight="251674624" behindDoc="1" locked="1" layoutInCell="1" allowOverlap="1" wp14:anchorId="2D87C491" wp14:editId="4C8CC8BD">
          <wp:simplePos x="0" y="0"/>
          <wp:positionH relativeFrom="page">
            <wp:posOffset>12700</wp:posOffset>
          </wp:positionH>
          <wp:positionV relativeFrom="page">
            <wp:posOffset>0</wp:posOffset>
          </wp:positionV>
          <wp:extent cx="7559040" cy="10692765"/>
          <wp:effectExtent l="0" t="0" r="3810" b="0"/>
          <wp:wrapNone/>
          <wp:docPr id="21" name="Picture 2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DD" w:rsidRDefault="00B637DD">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4FFDE13D" wp14:editId="59B6AE2F">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504536C9" wp14:editId="0A53A493">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5"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6"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8" w15:restartNumberingAfterBreak="0">
    <w:nsid w:val="2C5F7049"/>
    <w:multiLevelType w:val="hybridMultilevel"/>
    <w:tmpl w:val="CFB6F27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402512C0"/>
    <w:multiLevelType w:val="hybridMultilevel"/>
    <w:tmpl w:val="FDE01AFC"/>
    <w:lvl w:ilvl="0" w:tplc="799CEFE0">
      <w:start w:val="1"/>
      <w:numFmt w:val="bullet"/>
      <w:lvlText w:val=""/>
      <w:lvlJc w:val="left"/>
      <w:pPr>
        <w:ind w:left="720" w:hanging="360"/>
      </w:pPr>
      <w:rPr>
        <w:rFonts w:ascii="Symbol" w:hAnsi="Symbol" w:hint="default"/>
        <w:color w:val="495965" w:themeColor="text2"/>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5" w15:restartNumberingAfterBreak="0">
    <w:nsid w:val="52553D9F"/>
    <w:multiLevelType w:val="multilevel"/>
    <w:tmpl w:val="A6FA45D0"/>
    <w:numStyleLink w:val="BulletsList"/>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A6FA45D0"/>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7"/>
  </w:num>
  <w:num w:numId="23">
    <w:abstractNumId w:val="17"/>
  </w:num>
  <w:num w:numId="24">
    <w:abstractNumId w:val="27"/>
  </w:num>
  <w:num w:numId="25">
    <w:abstractNumId w:val="27"/>
  </w:num>
  <w:num w:numId="26">
    <w:abstractNumId w:val="27"/>
  </w:num>
  <w:num w:numId="27">
    <w:abstractNumId w:val="26"/>
  </w:num>
  <w:num w:numId="28">
    <w:abstractNumId w:val="11"/>
  </w:num>
  <w:num w:numId="29">
    <w:abstractNumId w:val="11"/>
  </w:num>
  <w:num w:numId="30">
    <w:abstractNumId w:val="11"/>
  </w:num>
  <w:num w:numId="31">
    <w:abstractNumId w:val="14"/>
  </w:num>
  <w:num w:numId="32">
    <w:abstractNumId w:val="32"/>
  </w:num>
  <w:num w:numId="33">
    <w:abstractNumId w:val="2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9"/>
  </w:num>
  <w:num w:numId="37">
    <w:abstractNumId w:val="23"/>
  </w:num>
  <w:num w:numId="38">
    <w:abstractNumId w:val="22"/>
  </w:num>
  <w:num w:numId="39">
    <w:abstractNumId w:val="16"/>
  </w:num>
  <w:num w:numId="40">
    <w:abstractNumId w:val="12"/>
  </w:num>
  <w:num w:numId="41">
    <w:abstractNumId w:val="19"/>
  </w:num>
  <w:num w:numId="42">
    <w:abstractNumId w:val="15"/>
  </w:num>
  <w:num w:numId="43">
    <w:abstractNumId w:val="24"/>
  </w:num>
  <w:num w:numId="44">
    <w:abstractNumId w:val="21"/>
  </w:num>
  <w:num w:numId="45">
    <w:abstractNumId w:val="31"/>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5783"/>
    <w:rsid w:val="000168E4"/>
    <w:rsid w:val="0002080A"/>
    <w:rsid w:val="00020C9F"/>
    <w:rsid w:val="0002782F"/>
    <w:rsid w:val="00034B40"/>
    <w:rsid w:val="00035BBF"/>
    <w:rsid w:val="00040DF1"/>
    <w:rsid w:val="00050806"/>
    <w:rsid w:val="000546D9"/>
    <w:rsid w:val="00054AAA"/>
    <w:rsid w:val="00054E4D"/>
    <w:rsid w:val="00060073"/>
    <w:rsid w:val="000616C6"/>
    <w:rsid w:val="00071788"/>
    <w:rsid w:val="000854FD"/>
    <w:rsid w:val="000A3256"/>
    <w:rsid w:val="000A4393"/>
    <w:rsid w:val="000A7C36"/>
    <w:rsid w:val="000B37F5"/>
    <w:rsid w:val="000B5B0C"/>
    <w:rsid w:val="000C5205"/>
    <w:rsid w:val="000D5CC6"/>
    <w:rsid w:val="000D66D6"/>
    <w:rsid w:val="000E01F9"/>
    <w:rsid w:val="000E5EBA"/>
    <w:rsid w:val="000E782A"/>
    <w:rsid w:val="0011051F"/>
    <w:rsid w:val="00110C81"/>
    <w:rsid w:val="00113288"/>
    <w:rsid w:val="001214BE"/>
    <w:rsid w:val="0013101C"/>
    <w:rsid w:val="001461D6"/>
    <w:rsid w:val="00150056"/>
    <w:rsid w:val="001541EA"/>
    <w:rsid w:val="00154523"/>
    <w:rsid w:val="001616D0"/>
    <w:rsid w:val="00163118"/>
    <w:rsid w:val="00171A79"/>
    <w:rsid w:val="0018396B"/>
    <w:rsid w:val="001907AA"/>
    <w:rsid w:val="001962F2"/>
    <w:rsid w:val="001A7ED5"/>
    <w:rsid w:val="001C0925"/>
    <w:rsid w:val="001C50B3"/>
    <w:rsid w:val="001D663E"/>
    <w:rsid w:val="001E1DC0"/>
    <w:rsid w:val="00203277"/>
    <w:rsid w:val="00205B2E"/>
    <w:rsid w:val="002068B7"/>
    <w:rsid w:val="00213A46"/>
    <w:rsid w:val="00216442"/>
    <w:rsid w:val="0022631C"/>
    <w:rsid w:val="00230777"/>
    <w:rsid w:val="00235EAB"/>
    <w:rsid w:val="002379AF"/>
    <w:rsid w:val="00252C04"/>
    <w:rsid w:val="00256F2C"/>
    <w:rsid w:val="002646C3"/>
    <w:rsid w:val="002653EC"/>
    <w:rsid w:val="00265DDB"/>
    <w:rsid w:val="00267519"/>
    <w:rsid w:val="00276A54"/>
    <w:rsid w:val="0028368E"/>
    <w:rsid w:val="0028602A"/>
    <w:rsid w:val="002A7F56"/>
    <w:rsid w:val="002B01DB"/>
    <w:rsid w:val="002B5E10"/>
    <w:rsid w:val="002C793D"/>
    <w:rsid w:val="002D48EF"/>
    <w:rsid w:val="002D5844"/>
    <w:rsid w:val="002D5B25"/>
    <w:rsid w:val="002E2BAE"/>
    <w:rsid w:val="002F2416"/>
    <w:rsid w:val="002F4F2B"/>
    <w:rsid w:val="002F5B94"/>
    <w:rsid w:val="002F73E7"/>
    <w:rsid w:val="003002C0"/>
    <w:rsid w:val="00301144"/>
    <w:rsid w:val="00302C4B"/>
    <w:rsid w:val="003031C6"/>
    <w:rsid w:val="00304984"/>
    <w:rsid w:val="00312BF8"/>
    <w:rsid w:val="003148B7"/>
    <w:rsid w:val="003158C3"/>
    <w:rsid w:val="00317CEB"/>
    <w:rsid w:val="0032541D"/>
    <w:rsid w:val="003274CD"/>
    <w:rsid w:val="00330E12"/>
    <w:rsid w:val="00331F13"/>
    <w:rsid w:val="00333501"/>
    <w:rsid w:val="003365E4"/>
    <w:rsid w:val="00337087"/>
    <w:rsid w:val="0033744E"/>
    <w:rsid w:val="00342D6B"/>
    <w:rsid w:val="003457C4"/>
    <w:rsid w:val="003500CF"/>
    <w:rsid w:val="0035119D"/>
    <w:rsid w:val="00365569"/>
    <w:rsid w:val="00372FC5"/>
    <w:rsid w:val="003753EF"/>
    <w:rsid w:val="00383405"/>
    <w:rsid w:val="00384D40"/>
    <w:rsid w:val="00390828"/>
    <w:rsid w:val="0039344A"/>
    <w:rsid w:val="00395163"/>
    <w:rsid w:val="003B4F12"/>
    <w:rsid w:val="003C3A62"/>
    <w:rsid w:val="003D4C6F"/>
    <w:rsid w:val="003D7914"/>
    <w:rsid w:val="003F03A3"/>
    <w:rsid w:val="003F2041"/>
    <w:rsid w:val="003F4C3A"/>
    <w:rsid w:val="00402ACC"/>
    <w:rsid w:val="004120EC"/>
    <w:rsid w:val="00413670"/>
    <w:rsid w:val="00423F31"/>
    <w:rsid w:val="00431899"/>
    <w:rsid w:val="00442055"/>
    <w:rsid w:val="00452298"/>
    <w:rsid w:val="00461BAD"/>
    <w:rsid w:val="00474072"/>
    <w:rsid w:val="00482AE8"/>
    <w:rsid w:val="0048492D"/>
    <w:rsid w:val="00486804"/>
    <w:rsid w:val="004910E7"/>
    <w:rsid w:val="004939C4"/>
    <w:rsid w:val="00494F98"/>
    <w:rsid w:val="00497007"/>
    <w:rsid w:val="004A258D"/>
    <w:rsid w:val="004A6315"/>
    <w:rsid w:val="004B09DF"/>
    <w:rsid w:val="004B1618"/>
    <w:rsid w:val="004B2091"/>
    <w:rsid w:val="004B223C"/>
    <w:rsid w:val="004B3775"/>
    <w:rsid w:val="004C5598"/>
    <w:rsid w:val="004C6342"/>
    <w:rsid w:val="004D0BA0"/>
    <w:rsid w:val="004E058F"/>
    <w:rsid w:val="004E3B87"/>
    <w:rsid w:val="005012AA"/>
    <w:rsid w:val="00505577"/>
    <w:rsid w:val="0051003E"/>
    <w:rsid w:val="00510921"/>
    <w:rsid w:val="00510AD3"/>
    <w:rsid w:val="00513348"/>
    <w:rsid w:val="00513AD8"/>
    <w:rsid w:val="005204D2"/>
    <w:rsid w:val="00522396"/>
    <w:rsid w:val="0053351C"/>
    <w:rsid w:val="00533B5D"/>
    <w:rsid w:val="0054782C"/>
    <w:rsid w:val="00551A00"/>
    <w:rsid w:val="00591B5F"/>
    <w:rsid w:val="005A20F6"/>
    <w:rsid w:val="005B55E8"/>
    <w:rsid w:val="005B7E64"/>
    <w:rsid w:val="005C24D1"/>
    <w:rsid w:val="005C56CF"/>
    <w:rsid w:val="005D3655"/>
    <w:rsid w:val="005D5CB2"/>
    <w:rsid w:val="005E3B69"/>
    <w:rsid w:val="005E4830"/>
    <w:rsid w:val="005F42E6"/>
    <w:rsid w:val="00600A1A"/>
    <w:rsid w:val="00613A23"/>
    <w:rsid w:val="00615A93"/>
    <w:rsid w:val="00622B86"/>
    <w:rsid w:val="00623BA1"/>
    <w:rsid w:val="00624C16"/>
    <w:rsid w:val="006346BC"/>
    <w:rsid w:val="00651213"/>
    <w:rsid w:val="00660121"/>
    <w:rsid w:val="0066652A"/>
    <w:rsid w:val="00667907"/>
    <w:rsid w:val="0067029E"/>
    <w:rsid w:val="006719C3"/>
    <w:rsid w:val="00676886"/>
    <w:rsid w:val="0067788C"/>
    <w:rsid w:val="00677944"/>
    <w:rsid w:val="00680522"/>
    <w:rsid w:val="00682167"/>
    <w:rsid w:val="0068580C"/>
    <w:rsid w:val="006A2D60"/>
    <w:rsid w:val="006A49EF"/>
    <w:rsid w:val="006C42AF"/>
    <w:rsid w:val="006D3069"/>
    <w:rsid w:val="006D628E"/>
    <w:rsid w:val="006D630F"/>
    <w:rsid w:val="006E716D"/>
    <w:rsid w:val="007031B5"/>
    <w:rsid w:val="00705AB6"/>
    <w:rsid w:val="00711163"/>
    <w:rsid w:val="00711D8E"/>
    <w:rsid w:val="00712672"/>
    <w:rsid w:val="00712C4E"/>
    <w:rsid w:val="00715351"/>
    <w:rsid w:val="00716AD8"/>
    <w:rsid w:val="00720E58"/>
    <w:rsid w:val="0072723E"/>
    <w:rsid w:val="00733231"/>
    <w:rsid w:val="00734E3F"/>
    <w:rsid w:val="00736985"/>
    <w:rsid w:val="00740BF9"/>
    <w:rsid w:val="007423A4"/>
    <w:rsid w:val="00745DF5"/>
    <w:rsid w:val="0076250F"/>
    <w:rsid w:val="007706B8"/>
    <w:rsid w:val="00774EE4"/>
    <w:rsid w:val="00776EA1"/>
    <w:rsid w:val="00780FA5"/>
    <w:rsid w:val="00785361"/>
    <w:rsid w:val="00790171"/>
    <w:rsid w:val="00790965"/>
    <w:rsid w:val="007A5328"/>
    <w:rsid w:val="007A6663"/>
    <w:rsid w:val="007B06DC"/>
    <w:rsid w:val="007B08E8"/>
    <w:rsid w:val="007B59BC"/>
    <w:rsid w:val="007B6200"/>
    <w:rsid w:val="007C43B9"/>
    <w:rsid w:val="007C4629"/>
    <w:rsid w:val="007D2751"/>
    <w:rsid w:val="007D63DF"/>
    <w:rsid w:val="007E1F62"/>
    <w:rsid w:val="007E3FF9"/>
    <w:rsid w:val="007E4969"/>
    <w:rsid w:val="007F1185"/>
    <w:rsid w:val="007F3395"/>
    <w:rsid w:val="00800260"/>
    <w:rsid w:val="00801B9F"/>
    <w:rsid w:val="0080204D"/>
    <w:rsid w:val="00805B9C"/>
    <w:rsid w:val="00810213"/>
    <w:rsid w:val="00814579"/>
    <w:rsid w:val="00817DE6"/>
    <w:rsid w:val="00823B7F"/>
    <w:rsid w:val="0083052F"/>
    <w:rsid w:val="008329B4"/>
    <w:rsid w:val="008475F0"/>
    <w:rsid w:val="00854659"/>
    <w:rsid w:val="00854DB7"/>
    <w:rsid w:val="00855257"/>
    <w:rsid w:val="008557A7"/>
    <w:rsid w:val="00870928"/>
    <w:rsid w:val="00880AFF"/>
    <w:rsid w:val="00885A62"/>
    <w:rsid w:val="0089405C"/>
    <w:rsid w:val="00897FA2"/>
    <w:rsid w:val="008A5AFE"/>
    <w:rsid w:val="008A7439"/>
    <w:rsid w:val="008C0D73"/>
    <w:rsid w:val="008C48F9"/>
    <w:rsid w:val="008C5A0E"/>
    <w:rsid w:val="008D0005"/>
    <w:rsid w:val="008D74C9"/>
    <w:rsid w:val="008F6176"/>
    <w:rsid w:val="009066F9"/>
    <w:rsid w:val="00917E55"/>
    <w:rsid w:val="009225E9"/>
    <w:rsid w:val="00927172"/>
    <w:rsid w:val="009278D2"/>
    <w:rsid w:val="00935ABC"/>
    <w:rsid w:val="00942FD9"/>
    <w:rsid w:val="00943730"/>
    <w:rsid w:val="0095053A"/>
    <w:rsid w:val="00952195"/>
    <w:rsid w:val="00961E72"/>
    <w:rsid w:val="0097421D"/>
    <w:rsid w:val="00975CA5"/>
    <w:rsid w:val="00977676"/>
    <w:rsid w:val="00980574"/>
    <w:rsid w:val="00981C39"/>
    <w:rsid w:val="00983AED"/>
    <w:rsid w:val="00986590"/>
    <w:rsid w:val="00992C76"/>
    <w:rsid w:val="009969D6"/>
    <w:rsid w:val="009A0908"/>
    <w:rsid w:val="009A3DD2"/>
    <w:rsid w:val="009B4D3B"/>
    <w:rsid w:val="009B5CD6"/>
    <w:rsid w:val="009B7942"/>
    <w:rsid w:val="009D57C0"/>
    <w:rsid w:val="009D7407"/>
    <w:rsid w:val="009E0866"/>
    <w:rsid w:val="009E273C"/>
    <w:rsid w:val="009F1350"/>
    <w:rsid w:val="009F6423"/>
    <w:rsid w:val="009F713D"/>
    <w:rsid w:val="00A10497"/>
    <w:rsid w:val="00A11AE0"/>
    <w:rsid w:val="00A16856"/>
    <w:rsid w:val="00A175B3"/>
    <w:rsid w:val="00A24A62"/>
    <w:rsid w:val="00A31C9F"/>
    <w:rsid w:val="00A35285"/>
    <w:rsid w:val="00A4144F"/>
    <w:rsid w:val="00A614DE"/>
    <w:rsid w:val="00A61B4D"/>
    <w:rsid w:val="00A63917"/>
    <w:rsid w:val="00A80F95"/>
    <w:rsid w:val="00A91795"/>
    <w:rsid w:val="00A940CA"/>
    <w:rsid w:val="00A95D7E"/>
    <w:rsid w:val="00A97BF1"/>
    <w:rsid w:val="00AA14F8"/>
    <w:rsid w:val="00AA298A"/>
    <w:rsid w:val="00AA315B"/>
    <w:rsid w:val="00AB048C"/>
    <w:rsid w:val="00AB376E"/>
    <w:rsid w:val="00AB4389"/>
    <w:rsid w:val="00AC164A"/>
    <w:rsid w:val="00AC68FC"/>
    <w:rsid w:val="00AC6996"/>
    <w:rsid w:val="00AD09FE"/>
    <w:rsid w:val="00AD2F4D"/>
    <w:rsid w:val="00AE448A"/>
    <w:rsid w:val="00AE609F"/>
    <w:rsid w:val="00AF2050"/>
    <w:rsid w:val="00AF26E2"/>
    <w:rsid w:val="00B0385D"/>
    <w:rsid w:val="00B03CA8"/>
    <w:rsid w:val="00B05089"/>
    <w:rsid w:val="00B1070B"/>
    <w:rsid w:val="00B120ED"/>
    <w:rsid w:val="00B16FE3"/>
    <w:rsid w:val="00B33C0A"/>
    <w:rsid w:val="00B55E19"/>
    <w:rsid w:val="00B637DD"/>
    <w:rsid w:val="00B6495A"/>
    <w:rsid w:val="00B66722"/>
    <w:rsid w:val="00B70B50"/>
    <w:rsid w:val="00B75023"/>
    <w:rsid w:val="00B77180"/>
    <w:rsid w:val="00B927C4"/>
    <w:rsid w:val="00B94758"/>
    <w:rsid w:val="00B97DAA"/>
    <w:rsid w:val="00BA0538"/>
    <w:rsid w:val="00BA4B6D"/>
    <w:rsid w:val="00BB26C5"/>
    <w:rsid w:val="00BC0926"/>
    <w:rsid w:val="00BC31BD"/>
    <w:rsid w:val="00BD2CB3"/>
    <w:rsid w:val="00BD2E69"/>
    <w:rsid w:val="00BF4DE6"/>
    <w:rsid w:val="00C003F4"/>
    <w:rsid w:val="00C04EC3"/>
    <w:rsid w:val="00C06B13"/>
    <w:rsid w:val="00C167B0"/>
    <w:rsid w:val="00C2456B"/>
    <w:rsid w:val="00C27D25"/>
    <w:rsid w:val="00C32299"/>
    <w:rsid w:val="00C325DC"/>
    <w:rsid w:val="00C33FB2"/>
    <w:rsid w:val="00C352DF"/>
    <w:rsid w:val="00C41AC4"/>
    <w:rsid w:val="00C42541"/>
    <w:rsid w:val="00C42CDE"/>
    <w:rsid w:val="00C4353A"/>
    <w:rsid w:val="00C453F8"/>
    <w:rsid w:val="00C5182A"/>
    <w:rsid w:val="00C63C51"/>
    <w:rsid w:val="00C63EE9"/>
    <w:rsid w:val="00C660CB"/>
    <w:rsid w:val="00C763DA"/>
    <w:rsid w:val="00CA16F3"/>
    <w:rsid w:val="00CA37B1"/>
    <w:rsid w:val="00CB068B"/>
    <w:rsid w:val="00CB1959"/>
    <w:rsid w:val="00CC741B"/>
    <w:rsid w:val="00CD0E4B"/>
    <w:rsid w:val="00CE4C89"/>
    <w:rsid w:val="00CE7C4C"/>
    <w:rsid w:val="00CF07BA"/>
    <w:rsid w:val="00CF6C83"/>
    <w:rsid w:val="00D00153"/>
    <w:rsid w:val="00D0296C"/>
    <w:rsid w:val="00D17A29"/>
    <w:rsid w:val="00D23666"/>
    <w:rsid w:val="00D32D6F"/>
    <w:rsid w:val="00D338B0"/>
    <w:rsid w:val="00D37560"/>
    <w:rsid w:val="00D37B04"/>
    <w:rsid w:val="00D464AE"/>
    <w:rsid w:val="00D540C6"/>
    <w:rsid w:val="00D64BD1"/>
    <w:rsid w:val="00D65749"/>
    <w:rsid w:val="00D75D4C"/>
    <w:rsid w:val="00D813DF"/>
    <w:rsid w:val="00D92254"/>
    <w:rsid w:val="00D93BC6"/>
    <w:rsid w:val="00DB1CF1"/>
    <w:rsid w:val="00DB249D"/>
    <w:rsid w:val="00DE084C"/>
    <w:rsid w:val="00DE439D"/>
    <w:rsid w:val="00DF028E"/>
    <w:rsid w:val="00E14F51"/>
    <w:rsid w:val="00E357B7"/>
    <w:rsid w:val="00E53800"/>
    <w:rsid w:val="00E558EE"/>
    <w:rsid w:val="00E6081F"/>
    <w:rsid w:val="00E655FE"/>
    <w:rsid w:val="00E8296D"/>
    <w:rsid w:val="00E8457B"/>
    <w:rsid w:val="00E9094E"/>
    <w:rsid w:val="00E93EAC"/>
    <w:rsid w:val="00E956C9"/>
    <w:rsid w:val="00EA04B2"/>
    <w:rsid w:val="00EA20F3"/>
    <w:rsid w:val="00EB2D18"/>
    <w:rsid w:val="00EB398C"/>
    <w:rsid w:val="00EB43D4"/>
    <w:rsid w:val="00EC3C2D"/>
    <w:rsid w:val="00EC53BA"/>
    <w:rsid w:val="00ED2831"/>
    <w:rsid w:val="00ED43D1"/>
    <w:rsid w:val="00ED593B"/>
    <w:rsid w:val="00EE1027"/>
    <w:rsid w:val="00EE25F4"/>
    <w:rsid w:val="00EE4EE1"/>
    <w:rsid w:val="00EE6EED"/>
    <w:rsid w:val="00EF2C69"/>
    <w:rsid w:val="00EF4574"/>
    <w:rsid w:val="00EF5FB3"/>
    <w:rsid w:val="00F074B8"/>
    <w:rsid w:val="00F22E64"/>
    <w:rsid w:val="00F25A93"/>
    <w:rsid w:val="00F2684E"/>
    <w:rsid w:val="00F30087"/>
    <w:rsid w:val="00F344FD"/>
    <w:rsid w:val="00F366DB"/>
    <w:rsid w:val="00F36D55"/>
    <w:rsid w:val="00F5404C"/>
    <w:rsid w:val="00F5567E"/>
    <w:rsid w:val="00F617F9"/>
    <w:rsid w:val="00F729EF"/>
    <w:rsid w:val="00F744A2"/>
    <w:rsid w:val="00F74546"/>
    <w:rsid w:val="00F77CAE"/>
    <w:rsid w:val="00F82271"/>
    <w:rsid w:val="00F83428"/>
    <w:rsid w:val="00F950F7"/>
    <w:rsid w:val="00F96BB9"/>
    <w:rsid w:val="00FA019A"/>
    <w:rsid w:val="00FA2389"/>
    <w:rsid w:val="00FA26C3"/>
    <w:rsid w:val="00FA5B57"/>
    <w:rsid w:val="00FA69AF"/>
    <w:rsid w:val="00FA7833"/>
    <w:rsid w:val="00FB6919"/>
    <w:rsid w:val="00FB6D8C"/>
    <w:rsid w:val="00FC322F"/>
    <w:rsid w:val="00FD235F"/>
    <w:rsid w:val="00FD4F88"/>
    <w:rsid w:val="00FE49E6"/>
    <w:rsid w:val="00FE6D51"/>
    <w:rsid w:val="00FE6F2A"/>
    <w:rsid w:val="00FF228F"/>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7105"/>
    <o:shapelayout v:ext="edit">
      <o:idmap v:ext="edit" data="1"/>
    </o:shapelayout>
  </w:shapeDefaults>
  <w:decimalSymbol w:val="."/>
  <w:listSeparator w:val=","/>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0A4393"/>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0A4393"/>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0A4393"/>
    <w:pPr>
      <w:spacing w:before="0" w:after="0" w:line="240" w:lineRule="exact"/>
      <w:ind w:left="284" w:right="284"/>
    </w:pPr>
    <w:rPr>
      <w:color w:val="auto"/>
    </w:rPr>
  </w:style>
  <w:style w:type="character" w:customStyle="1" w:styleId="FooterChar">
    <w:name w:val="Footer Char"/>
    <w:basedOn w:val="DefaultParagraphFont"/>
    <w:link w:val="Footer"/>
    <w:uiPriority w:val="99"/>
    <w:rsid w:val="000A4393"/>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0A4393"/>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 w:type="paragraph" w:customStyle="1" w:styleId="Tablenormalleft">
    <w:name w:val="Table normal left"/>
    <w:qFormat/>
    <w:rsid w:val="00C41AC4"/>
    <w:pPr>
      <w:keepLines/>
      <w:widowControl w:val="0"/>
      <w:spacing w:before="40" w:after="40" w:line="240" w:lineRule="auto"/>
    </w:pPr>
    <w:rPr>
      <w:rFonts w:ascii="Arial" w:hAnsi="Arial"/>
      <w:bCs/>
      <w:sz w:val="18"/>
    </w:rPr>
  </w:style>
  <w:style w:type="paragraph" w:customStyle="1" w:styleId="SSCnormal">
    <w:name w:val="SSC normal"/>
    <w:basedOn w:val="Normal"/>
    <w:qFormat/>
    <w:rsid w:val="00EE6EED"/>
    <w:pPr>
      <w:suppressAutoHyphens w:val="0"/>
      <w:spacing w:after="240" w:line="276" w:lineRule="auto"/>
    </w:pPr>
    <w:rPr>
      <w:rFonts w:ascii="Arial" w:hAnsi="Arial"/>
      <w:color w:val="000000" w:themeColor="text1"/>
      <w:sz w:val="20"/>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74446788">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562717897">
      <w:bodyDiv w:val="1"/>
      <w:marLeft w:val="0"/>
      <w:marRight w:val="0"/>
      <w:marTop w:val="0"/>
      <w:marBottom w:val="0"/>
      <w:divBdr>
        <w:top w:val="none" w:sz="0" w:space="0" w:color="auto"/>
        <w:left w:val="none" w:sz="0" w:space="0" w:color="auto"/>
        <w:bottom w:val="none" w:sz="0" w:space="0" w:color="auto"/>
        <w:right w:val="none" w:sz="0" w:space="0" w:color="auto"/>
      </w:divBdr>
    </w:div>
    <w:div w:id="681664332">
      <w:bodyDiv w:val="1"/>
      <w:marLeft w:val="0"/>
      <w:marRight w:val="0"/>
      <w:marTop w:val="0"/>
      <w:marBottom w:val="0"/>
      <w:divBdr>
        <w:top w:val="none" w:sz="0" w:space="0" w:color="auto"/>
        <w:left w:val="none" w:sz="0" w:space="0" w:color="auto"/>
        <w:bottom w:val="none" w:sz="0" w:space="0" w:color="auto"/>
        <w:right w:val="none" w:sz="0" w:space="0" w:color="auto"/>
      </w:divBdr>
    </w:div>
    <w:div w:id="802693257">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26879630">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1756979459">
      <w:bodyDiv w:val="1"/>
      <w:marLeft w:val="0"/>
      <w:marRight w:val="0"/>
      <w:marTop w:val="0"/>
      <w:marBottom w:val="0"/>
      <w:divBdr>
        <w:top w:val="none" w:sz="0" w:space="0" w:color="auto"/>
        <w:left w:val="none" w:sz="0" w:space="0" w:color="auto"/>
        <w:bottom w:val="none" w:sz="0" w:space="0" w:color="auto"/>
        <w:right w:val="none" w:sz="0" w:space="0" w:color="auto"/>
      </w:divBdr>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6.wmf"/><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8.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_rels/header8.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E693D3678C94CB8EEFC711F5CF666" ma:contentTypeVersion="4" ma:contentTypeDescription="Create a new document." ma:contentTypeScope="" ma:versionID="1b171b88e130cc792a0fd66ce8e9f58a">
  <xsd:schema xmlns:xsd="http://www.w3.org/2001/XMLSchema" xmlns:xs="http://www.w3.org/2001/XMLSchema" xmlns:p="http://schemas.microsoft.com/office/2006/metadata/properties" xmlns:ns3="69dde7e3-3707-4dc6-894e-213b60222617" targetNamespace="http://schemas.microsoft.com/office/2006/metadata/properties" ma:root="true" ma:fieldsID="3cb584e5cd371fcc76ff3d41c442cbbe" ns3:_="">
    <xsd:import namespace="69dde7e3-3707-4dc6-894e-213b6022261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dde7e3-3707-4dc6-894e-213b602226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2.xml><?xml version="1.0" encoding="utf-8"?>
<ds:datastoreItem xmlns:ds="http://schemas.openxmlformats.org/officeDocument/2006/customXml" ds:itemID="{8E44B631-7640-4A17-8550-BEE8955DE750}">
  <ds:schemaRefs>
    <ds:schemaRef ds:uri="69dde7e3-3707-4dc6-894e-213b60222617"/>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www.w3.org/XML/1998/namespace"/>
  </ds:schemaRefs>
</ds:datastoreItem>
</file>

<file path=customXml/itemProps3.xml><?xml version="1.0" encoding="utf-8"?>
<ds:datastoreItem xmlns:ds="http://schemas.openxmlformats.org/officeDocument/2006/customXml" ds:itemID="{2BE12A1F-D03C-4C23-AB32-9C23FA81FF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dde7e3-3707-4dc6-894e-213b602226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7D31783-62AE-42E7-BD4E-9CDEBCFE1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1463</Words>
  <Characters>8342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9786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10</cp:revision>
  <cp:lastPrinted>2020-09-15T23:06:00Z</cp:lastPrinted>
  <dcterms:created xsi:type="dcterms:W3CDTF">2020-11-03T06:35:00Z</dcterms:created>
  <dcterms:modified xsi:type="dcterms:W3CDTF">2020-11-17T23:15:00Z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ec023387-e3fe-4b82-b3b4-42583e3cbd08</vt:lpwstr>
  </property>
  <property fmtid="{D5CDD505-2E9C-101B-9397-08002B2CF9AE}" pid="3" name="ContentTypeId">
    <vt:lpwstr>0x010100C19E693D3678C94CB8EEFC711F5CF666</vt:lpwstr>
  </property>
  <property fmtid="{D5CDD505-2E9C-101B-9397-08002B2CF9AE}" pid="4" name="SEC">
    <vt:lpwstr>OFFICIAL</vt:lpwstr>
  </property>
  <property fmtid="{D5CDD505-2E9C-101B-9397-08002B2CF9AE}" pid="5" name="DLM">
    <vt:lpwstr>No DLM</vt:lpwstr>
  </property>
</Properties>
</file>