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3A6D5" w14:textId="77777777" w:rsidR="002F5187" w:rsidRPr="002D2E7F" w:rsidRDefault="002F5187" w:rsidP="002F5187">
      <w:pPr>
        <w:ind w:left="482"/>
        <w:jc w:val="right"/>
        <w:rPr>
          <w:b/>
          <w:sz w:val="48"/>
          <w:szCs w:val="48"/>
        </w:rPr>
      </w:pPr>
      <w:r w:rsidRPr="002D2E7F">
        <w:rPr>
          <w:b/>
          <w:sz w:val="48"/>
          <w:szCs w:val="48"/>
        </w:rPr>
        <w:t>Timor-Leste Police</w:t>
      </w:r>
    </w:p>
    <w:p w14:paraId="5012BD32" w14:textId="41E40CD9" w:rsidR="002F5187" w:rsidRPr="002D2E7F" w:rsidRDefault="002F5187" w:rsidP="002F5187">
      <w:pPr>
        <w:ind w:left="482"/>
        <w:jc w:val="right"/>
        <w:rPr>
          <w:b/>
          <w:sz w:val="48"/>
          <w:szCs w:val="48"/>
        </w:rPr>
      </w:pPr>
      <w:r w:rsidRPr="002D2E7F">
        <w:rPr>
          <w:b/>
          <w:sz w:val="48"/>
          <w:szCs w:val="48"/>
        </w:rPr>
        <w:t>Development Program 2018-2022</w:t>
      </w:r>
    </w:p>
    <w:p w14:paraId="79F10CD7" w14:textId="77777777" w:rsidR="002F5187" w:rsidRPr="002D2E7F" w:rsidRDefault="002F5187" w:rsidP="002F5187">
      <w:pPr>
        <w:pBdr>
          <w:bottom w:val="single" w:sz="4" w:space="1" w:color="auto"/>
        </w:pBdr>
        <w:ind w:left="482"/>
        <w:jc w:val="right"/>
        <w:rPr>
          <w:b/>
          <w:sz w:val="48"/>
          <w:szCs w:val="48"/>
        </w:rPr>
      </w:pPr>
      <w:r w:rsidRPr="002D2E7F">
        <w:rPr>
          <w:b/>
          <w:sz w:val="48"/>
          <w:szCs w:val="48"/>
        </w:rPr>
        <w:t>Design Document</w:t>
      </w:r>
    </w:p>
    <w:p w14:paraId="18EDB4BA" w14:textId="377B0760" w:rsidR="002F5187" w:rsidRPr="002C27B2" w:rsidRDefault="002F5187" w:rsidP="002F5187">
      <w:pPr>
        <w:rPr>
          <w:rFonts w:asciiTheme="majorHAnsi" w:hAnsiTheme="majorHAnsi"/>
          <w:b/>
          <w:sz w:val="36"/>
          <w:szCs w:val="36"/>
        </w:rPr>
      </w:pPr>
    </w:p>
    <w:p w14:paraId="6A369618" w14:textId="05D6CF10" w:rsidR="0082162F" w:rsidRPr="002C27B2" w:rsidRDefault="002F5187" w:rsidP="002F5187">
      <w:pPr>
        <w:rPr>
          <w:rFonts w:asciiTheme="majorHAnsi" w:hAnsiTheme="majorHAnsi"/>
          <w:b/>
          <w:sz w:val="36"/>
          <w:szCs w:val="36"/>
        </w:rPr>
        <w:sectPr w:rsidR="0082162F" w:rsidRPr="002C27B2" w:rsidSect="00206ADB">
          <w:headerReference w:type="even" r:id="rId8"/>
          <w:footerReference w:type="default" r:id="rId9"/>
          <w:pgSz w:w="11907" w:h="16839" w:code="9"/>
          <w:pgMar w:top="4678" w:right="1440" w:bottom="1440" w:left="1440" w:header="720" w:footer="720" w:gutter="0"/>
          <w:pgNumType w:start="0"/>
          <w:cols w:space="720"/>
          <w:titlePg/>
          <w:docGrid w:linePitch="360"/>
        </w:sectPr>
      </w:pPr>
      <w:r w:rsidRPr="002C27B2">
        <w:rPr>
          <w:rFonts w:asciiTheme="majorHAnsi" w:hAnsiTheme="majorHAnsi"/>
          <w:b/>
          <w:noProof/>
          <w:sz w:val="36"/>
          <w:szCs w:val="36"/>
          <w:lang w:eastAsia="en-AU"/>
        </w:rPr>
        <mc:AlternateContent>
          <mc:Choice Requires="wps">
            <w:drawing>
              <wp:inline distT="0" distB="0" distL="0" distR="0" wp14:anchorId="0BAE392D" wp14:editId="7454C5EA">
                <wp:extent cx="5133975" cy="514350"/>
                <wp:effectExtent l="0" t="0" r="9525" b="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975" cy="514350"/>
                        </a:xfrm>
                        <a:prstGeom prst="rect">
                          <a:avLst/>
                        </a:prstGeom>
                        <a:solidFill>
                          <a:srgbClr val="FFFFFF"/>
                        </a:solidFill>
                        <a:ln w="9525">
                          <a:noFill/>
                          <a:miter lim="800000"/>
                          <a:headEnd/>
                          <a:tailEnd/>
                        </a:ln>
                      </wps:spPr>
                      <wps:txbx>
                        <w:txbxContent>
                          <w:p w14:paraId="16FD965B" w14:textId="785E9466" w:rsidR="00167A66" w:rsidRPr="002D2E7F" w:rsidRDefault="00167A66" w:rsidP="00E55D6C">
                            <w:pPr>
                              <w:jc w:val="right"/>
                              <w:rPr>
                                <w:rFonts w:ascii="Calibri" w:hAnsi="Calibri"/>
                                <w:color w:val="7F7F7F" w:themeColor="text1" w:themeTint="80"/>
                                <w:sz w:val="20"/>
                                <w:szCs w:val="20"/>
                              </w:rPr>
                            </w:pPr>
                            <w:r w:rsidRPr="00E55D6C">
                              <w:rPr>
                                <w:rFonts w:ascii="Calibri" w:hAnsi="Calibri"/>
                                <w:sz w:val="20"/>
                                <w:szCs w:val="20"/>
                              </w:rPr>
                              <w:t>This document outlines the proposed program design for the Australian Federal Police development program in Timor-Leste from 01 July 2018 to 30 June 2022.</w:t>
                            </w:r>
                          </w:p>
                        </w:txbxContent>
                      </wps:txbx>
                      <wps:bodyPr rot="0" vert="horz" wrap="square" lIns="91440" tIns="45720" rIns="91440" bIns="45720" anchor="t" anchorCtr="0">
                        <a:noAutofit/>
                      </wps:bodyPr>
                    </wps:wsp>
                  </a:graphicData>
                </a:graphic>
              </wp:inline>
            </w:drawing>
          </mc:Choice>
          <mc:Fallback>
            <w:pict>
              <v:shapetype w14:anchorId="0BAE392D" id="_x0000_t202" coordsize="21600,21600" o:spt="202" path="m,l,21600r21600,l21600,xe">
                <v:stroke joinstyle="miter"/>
                <v:path gradientshapeok="t" o:connecttype="rect"/>
              </v:shapetype>
              <v:shape id="Text Box 2" o:spid="_x0000_s1026" type="#_x0000_t202" style="width:404.25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" stroked="f">
                <v:textbox>
                  <w:txbxContent>
                    <w:p w14:paraId="16FD965B" w14:textId="785E9466" w:rsidR="00167A66" w:rsidRPr="002D2E7F" w:rsidRDefault="00167A66" w:rsidP="00E55D6C">
                      <w:pPr>
                        <w:jc w:val="right"/>
                        <w:rPr>
                          <w:rFonts w:ascii="Calibri" w:hAnsi="Calibri"/>
                          <w:color w:val="7F7F7F" w:themeColor="text1" w:themeTint="80"/>
                          <w:sz w:val="20"/>
                          <w:szCs w:val="20"/>
                        </w:rPr>
                      </w:pPr>
                      <w:r w:rsidRPr="00E55D6C">
                        <w:rPr>
                          <w:rFonts w:ascii="Calibri" w:hAnsi="Calibri"/>
                          <w:sz w:val="20"/>
                          <w:szCs w:val="20"/>
                        </w:rPr>
                        <w:t>This document outlines the proposed program design for the Australian Federal Police development program in Timor-Leste from 01 July 2018 to 30 June 2022.</w:t>
                      </w:r>
                    </w:p>
                  </w:txbxContent>
                </v:textbox>
                <w10:anchorlock/>
              </v:shape>
            </w:pict>
          </mc:Fallback>
        </mc:AlternateContent>
      </w:r>
    </w:p>
    <w:tbl>
      <w:tblPr>
        <w:tblStyle w:val="LightShading-Accent5"/>
        <w:tblW w:w="0" w:type="auto"/>
        <w:tblLook w:val="04A0" w:firstRow="1" w:lastRow="0" w:firstColumn="1" w:lastColumn="0" w:noHBand="0" w:noVBand="1"/>
      </w:tblPr>
      <w:tblGrid>
        <w:gridCol w:w="9027"/>
      </w:tblGrid>
      <w:tr w:rsidR="002F5187" w:rsidRPr="002D2E7F" w14:paraId="1C92B140" w14:textId="77777777" w:rsidTr="00026A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Borders>
              <w:bottom w:val="single" w:sz="8" w:space="0" w:color="95B3D7" w:themeColor="accent1" w:themeTint="99"/>
            </w:tcBorders>
            <w:shd w:val="clear" w:color="auto" w:fill="DBE5F1" w:themeFill="accent1" w:themeFillTint="33"/>
          </w:tcPr>
          <w:p w14:paraId="2D291837" w14:textId="77777777" w:rsidR="002F5187" w:rsidRPr="00563322" w:rsidRDefault="002F5187" w:rsidP="00563322">
            <w:pPr>
              <w:spacing w:before="120" w:after="120"/>
              <w:rPr>
                <w:rStyle w:val="Strong"/>
                <w:b/>
                <w:sz w:val="32"/>
                <w:szCs w:val="32"/>
              </w:rPr>
            </w:pPr>
            <w:bookmarkStart w:id="0" w:name="_Toc512951677"/>
            <w:r w:rsidRPr="00563322">
              <w:rPr>
                <w:rStyle w:val="Strong"/>
                <w:b/>
                <w:color w:val="215868" w:themeColor="accent5" w:themeShade="80"/>
                <w:sz w:val="32"/>
                <w:szCs w:val="32"/>
              </w:rPr>
              <w:lastRenderedPageBreak/>
              <w:t>Timor-Leste Police Development Program 2018-2022</w:t>
            </w:r>
            <w:bookmarkEnd w:id="0"/>
          </w:p>
        </w:tc>
      </w:tr>
      <w:tr w:rsidR="002F5187" w:rsidRPr="002D2E7F" w14:paraId="0FFCFF5F" w14:textId="77777777" w:rsidTr="00026A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Borders>
              <w:top w:val="single" w:sz="8" w:space="0" w:color="95B3D7" w:themeColor="accent1" w:themeTint="99"/>
              <w:bottom w:val="single" w:sz="8" w:space="0" w:color="95B3D7" w:themeColor="accent1" w:themeTint="99"/>
            </w:tcBorders>
            <w:shd w:val="clear" w:color="auto" w:fill="auto"/>
          </w:tcPr>
          <w:p w14:paraId="42A6B1BA" w14:textId="77777777" w:rsidR="002F5187" w:rsidRPr="002D2E7F" w:rsidRDefault="002F5187" w:rsidP="00026A06">
            <w:pPr>
              <w:spacing w:before="60" w:after="60"/>
              <w:rPr>
                <w:b w:val="0"/>
                <w:color w:val="auto"/>
                <w:sz w:val="24"/>
                <w:szCs w:val="24"/>
              </w:rPr>
            </w:pPr>
            <w:r w:rsidRPr="002D2E7F">
              <w:rPr>
                <w:color w:val="auto"/>
                <w:sz w:val="24"/>
                <w:szCs w:val="24"/>
              </w:rPr>
              <w:t>Start date:</w:t>
            </w:r>
            <w:r w:rsidRPr="002D2E7F">
              <w:rPr>
                <w:b w:val="0"/>
                <w:color w:val="auto"/>
                <w:sz w:val="24"/>
                <w:szCs w:val="24"/>
              </w:rPr>
              <w:t xml:space="preserve"> 01 July 2018, End date: 30 June 2022</w:t>
            </w:r>
          </w:p>
        </w:tc>
      </w:tr>
      <w:tr w:rsidR="002F5187" w:rsidRPr="002D2E7F" w14:paraId="08B63899" w14:textId="77777777" w:rsidTr="00026A06">
        <w:tc>
          <w:tcPr>
            <w:cnfStyle w:val="001000000000" w:firstRow="0" w:lastRow="0" w:firstColumn="1" w:lastColumn="0" w:oddVBand="0" w:evenVBand="0" w:oddHBand="0" w:evenHBand="0" w:firstRowFirstColumn="0" w:firstRowLastColumn="0" w:lastRowFirstColumn="0" w:lastRowLastColumn="0"/>
            <w:tcW w:w="9576" w:type="dxa"/>
            <w:tcBorders>
              <w:top w:val="single" w:sz="8" w:space="0" w:color="95B3D7" w:themeColor="accent1" w:themeTint="99"/>
              <w:bottom w:val="single" w:sz="8" w:space="0" w:color="95B3D7" w:themeColor="accent1" w:themeTint="99"/>
            </w:tcBorders>
            <w:shd w:val="clear" w:color="auto" w:fill="auto"/>
          </w:tcPr>
          <w:p w14:paraId="77DD87F8" w14:textId="5FBEBF11" w:rsidR="002F5187" w:rsidRPr="002D2E7F" w:rsidRDefault="002F5187" w:rsidP="00026A06">
            <w:pPr>
              <w:spacing w:before="60" w:after="60"/>
              <w:rPr>
                <w:b w:val="0"/>
                <w:color w:val="auto"/>
                <w:sz w:val="24"/>
                <w:szCs w:val="24"/>
              </w:rPr>
            </w:pPr>
            <w:r w:rsidRPr="002D2E7F">
              <w:rPr>
                <w:color w:val="auto"/>
                <w:sz w:val="24"/>
                <w:szCs w:val="24"/>
              </w:rPr>
              <w:t>Total proposed funding allocation:</w:t>
            </w:r>
            <w:r w:rsidR="001B7BD4">
              <w:rPr>
                <w:b w:val="0"/>
                <w:color w:val="auto"/>
                <w:sz w:val="24"/>
                <w:szCs w:val="24"/>
              </w:rPr>
              <w:t xml:space="preserve"> AUD $24.3</w:t>
            </w:r>
            <w:r w:rsidRPr="002D2E7F">
              <w:rPr>
                <w:b w:val="0"/>
                <w:color w:val="auto"/>
                <w:sz w:val="24"/>
                <w:szCs w:val="24"/>
              </w:rPr>
              <w:t xml:space="preserve"> million</w:t>
            </w:r>
          </w:p>
        </w:tc>
      </w:tr>
      <w:tr w:rsidR="002F5187" w:rsidRPr="002D2E7F" w14:paraId="660E949B" w14:textId="77777777" w:rsidTr="00026A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Borders>
              <w:top w:val="single" w:sz="8" w:space="0" w:color="95B3D7" w:themeColor="accent1" w:themeTint="99"/>
              <w:bottom w:val="single" w:sz="8" w:space="0" w:color="95B3D7" w:themeColor="accent1" w:themeTint="99"/>
            </w:tcBorders>
            <w:shd w:val="clear" w:color="auto" w:fill="auto"/>
          </w:tcPr>
          <w:p w14:paraId="51A5F0AA" w14:textId="77777777" w:rsidR="002F5187" w:rsidRPr="002D2E7F" w:rsidRDefault="002F5187" w:rsidP="00026A06">
            <w:pPr>
              <w:spacing w:before="60" w:after="60"/>
              <w:rPr>
                <w:b w:val="0"/>
                <w:color w:val="auto"/>
                <w:sz w:val="24"/>
                <w:szCs w:val="24"/>
              </w:rPr>
            </w:pPr>
            <w:r w:rsidRPr="002D2E7F">
              <w:rPr>
                <w:color w:val="auto"/>
                <w:sz w:val="24"/>
                <w:szCs w:val="24"/>
              </w:rPr>
              <w:t>Investment Concept (IC) approved by:</w:t>
            </w:r>
            <w:r w:rsidRPr="002D2E7F">
              <w:rPr>
                <w:b w:val="0"/>
                <w:color w:val="auto"/>
                <w:sz w:val="24"/>
                <w:szCs w:val="24"/>
              </w:rPr>
              <w:t xml:space="preserve"> Australian Federal Police, National Manager International Operations Assistant Commissioner Scott Lee</w:t>
            </w:r>
          </w:p>
        </w:tc>
      </w:tr>
      <w:tr w:rsidR="002F5187" w:rsidRPr="002D2E7F" w14:paraId="22F8BA2F" w14:textId="77777777" w:rsidTr="00026A06">
        <w:tc>
          <w:tcPr>
            <w:cnfStyle w:val="001000000000" w:firstRow="0" w:lastRow="0" w:firstColumn="1" w:lastColumn="0" w:oddVBand="0" w:evenVBand="0" w:oddHBand="0" w:evenHBand="0" w:firstRowFirstColumn="0" w:firstRowLastColumn="0" w:lastRowFirstColumn="0" w:lastRowLastColumn="0"/>
            <w:tcW w:w="9576" w:type="dxa"/>
            <w:tcBorders>
              <w:top w:val="single" w:sz="8" w:space="0" w:color="95B3D7" w:themeColor="accent1" w:themeTint="99"/>
              <w:bottom w:val="single" w:sz="8" w:space="0" w:color="95B3D7" w:themeColor="accent1" w:themeTint="99"/>
            </w:tcBorders>
            <w:shd w:val="clear" w:color="auto" w:fill="auto"/>
          </w:tcPr>
          <w:p w14:paraId="5867D8E5" w14:textId="77777777" w:rsidR="002F5187" w:rsidRPr="002D2E7F" w:rsidRDefault="002F5187" w:rsidP="00026A06">
            <w:pPr>
              <w:spacing w:before="60" w:after="60"/>
              <w:rPr>
                <w:b w:val="0"/>
                <w:color w:val="auto"/>
                <w:sz w:val="24"/>
                <w:szCs w:val="24"/>
              </w:rPr>
            </w:pPr>
            <w:r w:rsidRPr="002D2E7F">
              <w:rPr>
                <w:color w:val="auto"/>
                <w:sz w:val="24"/>
                <w:szCs w:val="24"/>
              </w:rPr>
              <w:t>IC Endorsed by Aid Investment Committee</w:t>
            </w:r>
            <w:r w:rsidRPr="002D2E7F">
              <w:rPr>
                <w:b w:val="0"/>
                <w:color w:val="auto"/>
                <w:sz w:val="24"/>
                <w:szCs w:val="24"/>
              </w:rPr>
              <w:t>: NA</w:t>
            </w:r>
          </w:p>
        </w:tc>
      </w:tr>
      <w:tr w:rsidR="002F5187" w:rsidRPr="002D2E7F" w14:paraId="415F465F" w14:textId="77777777" w:rsidTr="00026A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Borders>
              <w:top w:val="single" w:sz="8" w:space="0" w:color="95B3D7" w:themeColor="accent1" w:themeTint="99"/>
              <w:bottom w:val="single" w:sz="8" w:space="0" w:color="4BACC6" w:themeColor="accent5"/>
            </w:tcBorders>
            <w:shd w:val="clear" w:color="auto" w:fill="auto"/>
          </w:tcPr>
          <w:p w14:paraId="3B0B739E" w14:textId="1A8EE5AF" w:rsidR="002F5187" w:rsidRPr="002D2E7F" w:rsidRDefault="002F5187" w:rsidP="008A3863">
            <w:pPr>
              <w:spacing w:before="60" w:after="60"/>
              <w:rPr>
                <w:b w:val="0"/>
                <w:color w:val="auto"/>
                <w:sz w:val="24"/>
                <w:szCs w:val="24"/>
              </w:rPr>
            </w:pPr>
            <w:r w:rsidRPr="002D2E7F">
              <w:rPr>
                <w:color w:val="auto"/>
                <w:sz w:val="24"/>
                <w:szCs w:val="24"/>
              </w:rPr>
              <w:t>Quality Assurance (QA) Completed:</w:t>
            </w:r>
            <w:r w:rsidRPr="002D2E7F">
              <w:rPr>
                <w:b w:val="0"/>
                <w:color w:val="auto"/>
                <w:sz w:val="24"/>
                <w:szCs w:val="24"/>
              </w:rPr>
              <w:t xml:space="preserve"> Peer </w:t>
            </w:r>
            <w:r w:rsidRPr="008A3863">
              <w:rPr>
                <w:b w:val="0"/>
                <w:color w:val="000000" w:themeColor="text1"/>
                <w:sz w:val="24"/>
                <w:szCs w:val="24"/>
              </w:rPr>
              <w:t xml:space="preserve">reviewed on </w:t>
            </w:r>
            <w:r w:rsidR="008B0E38" w:rsidRPr="008A3863">
              <w:rPr>
                <w:b w:val="0"/>
                <w:color w:val="000000" w:themeColor="text1"/>
                <w:sz w:val="24"/>
                <w:szCs w:val="24"/>
              </w:rPr>
              <w:t xml:space="preserve">3 – 16 May </w:t>
            </w:r>
            <w:r w:rsidRPr="008A3863">
              <w:rPr>
                <w:b w:val="0"/>
                <w:color w:val="000000" w:themeColor="text1"/>
                <w:sz w:val="24"/>
                <w:szCs w:val="24"/>
              </w:rPr>
              <w:t>2018.</w:t>
            </w:r>
          </w:p>
        </w:tc>
      </w:tr>
    </w:tbl>
    <w:p w14:paraId="57026F44" w14:textId="5D8013D4" w:rsidR="00610901" w:rsidRPr="00BD43BA" w:rsidRDefault="002F5187" w:rsidP="006E26CD">
      <w:pPr>
        <w:pStyle w:val="Heading1"/>
        <w:spacing w:after="240"/>
      </w:pPr>
      <w:r w:rsidRPr="002C27B2">
        <w:br w:type="page"/>
      </w:r>
      <w:bookmarkStart w:id="1" w:name="_Toc466470940"/>
      <w:bookmarkStart w:id="2" w:name="_Toc516189324"/>
      <w:r w:rsidR="002D2E7F" w:rsidRPr="002D2E7F">
        <w:lastRenderedPageBreak/>
        <w:t>Acronyms</w:t>
      </w:r>
      <w:bookmarkEnd w:id="1"/>
      <w:bookmarkEnd w:id="2"/>
    </w:p>
    <w:tbl>
      <w:tblPr>
        <w:tblStyle w:val="TableGrid"/>
        <w:tblW w:w="9067" w:type="dxa"/>
        <w:tblLook w:val="04A0" w:firstRow="1" w:lastRow="0" w:firstColumn="1" w:lastColumn="0" w:noHBand="0" w:noVBand="1"/>
      </w:tblPr>
      <w:tblGrid>
        <w:gridCol w:w="1271"/>
        <w:gridCol w:w="7796"/>
      </w:tblGrid>
      <w:tr w:rsidR="00610901" w:rsidRPr="002C27B2" w14:paraId="5503A098" w14:textId="77777777" w:rsidTr="00026A06">
        <w:tc>
          <w:tcPr>
            <w:tcW w:w="1271" w:type="dxa"/>
          </w:tcPr>
          <w:p w14:paraId="43C84F14" w14:textId="77777777" w:rsidR="00610901" w:rsidRPr="00CE4A02" w:rsidRDefault="00610901" w:rsidP="00CE4A02">
            <w:pPr>
              <w:spacing w:beforeLines="30" w:before="72" w:afterLines="30" w:after="72"/>
              <w:rPr>
                <w:b/>
              </w:rPr>
            </w:pPr>
            <w:r w:rsidRPr="00CE4A02">
              <w:rPr>
                <w:b/>
              </w:rPr>
              <w:t>ADB</w:t>
            </w:r>
          </w:p>
        </w:tc>
        <w:tc>
          <w:tcPr>
            <w:tcW w:w="7796" w:type="dxa"/>
          </w:tcPr>
          <w:p w14:paraId="768E87FB" w14:textId="77777777" w:rsidR="00610901" w:rsidRPr="002C27B2" w:rsidRDefault="00610901" w:rsidP="00CE4A02">
            <w:pPr>
              <w:spacing w:beforeLines="30" w:before="72" w:afterLines="30" w:after="72"/>
            </w:pPr>
            <w:r w:rsidRPr="002C27B2">
              <w:t>Asian Development Bank</w:t>
            </w:r>
          </w:p>
        </w:tc>
      </w:tr>
      <w:tr w:rsidR="00844593" w:rsidRPr="002C27B2" w14:paraId="70EDC50D" w14:textId="77777777" w:rsidTr="00026A06">
        <w:tc>
          <w:tcPr>
            <w:tcW w:w="1271" w:type="dxa"/>
          </w:tcPr>
          <w:p w14:paraId="1C1B7837" w14:textId="2920C9E6" w:rsidR="00844593" w:rsidRPr="00CE4A02" w:rsidRDefault="00844593" w:rsidP="00CE4A02">
            <w:pPr>
              <w:spacing w:beforeLines="30" w:before="72" w:afterLines="30" w:after="72"/>
              <w:rPr>
                <w:b/>
              </w:rPr>
            </w:pPr>
            <w:r w:rsidRPr="00CE4A02">
              <w:rPr>
                <w:b/>
              </w:rPr>
              <w:t>ADF</w:t>
            </w:r>
          </w:p>
        </w:tc>
        <w:tc>
          <w:tcPr>
            <w:tcW w:w="7796" w:type="dxa"/>
          </w:tcPr>
          <w:p w14:paraId="64DF9897" w14:textId="1E1F88B9" w:rsidR="00844593" w:rsidRPr="002C27B2" w:rsidRDefault="00844593" w:rsidP="00CE4A02">
            <w:pPr>
              <w:spacing w:beforeLines="30" w:before="72" w:afterLines="30" w:after="72"/>
            </w:pPr>
            <w:r>
              <w:t>Australian Defence Force</w:t>
            </w:r>
          </w:p>
        </w:tc>
      </w:tr>
      <w:tr w:rsidR="00610901" w:rsidRPr="002C27B2" w14:paraId="5FABB256" w14:textId="77777777" w:rsidTr="00026A06">
        <w:tc>
          <w:tcPr>
            <w:tcW w:w="1271" w:type="dxa"/>
          </w:tcPr>
          <w:p w14:paraId="0734BD2A" w14:textId="77777777" w:rsidR="00610901" w:rsidRPr="00CE4A02" w:rsidRDefault="00610901" w:rsidP="00CE4A02">
            <w:pPr>
              <w:spacing w:beforeLines="30" w:before="72" w:afterLines="30" w:after="72"/>
              <w:rPr>
                <w:b/>
              </w:rPr>
            </w:pPr>
            <w:r w:rsidRPr="00CE4A02">
              <w:rPr>
                <w:b/>
              </w:rPr>
              <w:t>AFP</w:t>
            </w:r>
          </w:p>
        </w:tc>
        <w:tc>
          <w:tcPr>
            <w:tcW w:w="7796" w:type="dxa"/>
          </w:tcPr>
          <w:p w14:paraId="0D49B4D9" w14:textId="77777777" w:rsidR="00610901" w:rsidRPr="002C27B2" w:rsidRDefault="00610901" w:rsidP="00CE4A02">
            <w:pPr>
              <w:spacing w:beforeLines="30" w:before="72" w:afterLines="30" w:after="72"/>
            </w:pPr>
            <w:r w:rsidRPr="002C27B2">
              <w:t>Australian Federal Police</w:t>
            </w:r>
          </w:p>
        </w:tc>
      </w:tr>
      <w:tr w:rsidR="00610901" w:rsidRPr="002C27B2" w14:paraId="19661CC2" w14:textId="77777777" w:rsidTr="00026A06">
        <w:tc>
          <w:tcPr>
            <w:tcW w:w="1271" w:type="dxa"/>
          </w:tcPr>
          <w:p w14:paraId="58E56E59" w14:textId="77777777" w:rsidR="00610901" w:rsidRPr="00CE4A02" w:rsidRDefault="00610901" w:rsidP="00CE4A02">
            <w:pPr>
              <w:spacing w:beforeLines="30" w:before="72" w:afterLines="30" w:after="72"/>
              <w:rPr>
                <w:b/>
              </w:rPr>
            </w:pPr>
            <w:r w:rsidRPr="00CE4A02">
              <w:rPr>
                <w:b/>
              </w:rPr>
              <w:t>AHC</w:t>
            </w:r>
          </w:p>
        </w:tc>
        <w:tc>
          <w:tcPr>
            <w:tcW w:w="7796" w:type="dxa"/>
          </w:tcPr>
          <w:p w14:paraId="74C735C1" w14:textId="77777777" w:rsidR="00610901" w:rsidRPr="002C27B2" w:rsidRDefault="00610901" w:rsidP="00CE4A02">
            <w:pPr>
              <w:spacing w:beforeLines="30" w:before="72" w:afterLines="30" w:after="72"/>
            </w:pPr>
            <w:r w:rsidRPr="002C27B2">
              <w:t>Australian High Commission</w:t>
            </w:r>
          </w:p>
        </w:tc>
      </w:tr>
      <w:tr w:rsidR="00610901" w:rsidRPr="002C27B2" w14:paraId="5201FD4D" w14:textId="77777777" w:rsidTr="00026A06">
        <w:tc>
          <w:tcPr>
            <w:tcW w:w="1271" w:type="dxa"/>
          </w:tcPr>
          <w:p w14:paraId="7D6A0AD3" w14:textId="4411FAD8" w:rsidR="00610901" w:rsidRPr="00CE4A02" w:rsidRDefault="0077547C" w:rsidP="00CE4A02">
            <w:pPr>
              <w:spacing w:beforeLines="30" w:before="72" w:afterLines="30" w:after="72"/>
              <w:rPr>
                <w:b/>
              </w:rPr>
            </w:pPr>
            <w:r w:rsidRPr="00CE4A02">
              <w:rPr>
                <w:b/>
              </w:rPr>
              <w:t>APPR</w:t>
            </w:r>
          </w:p>
        </w:tc>
        <w:tc>
          <w:tcPr>
            <w:tcW w:w="7796" w:type="dxa"/>
          </w:tcPr>
          <w:p w14:paraId="682E4460" w14:textId="7D9622BF" w:rsidR="00610901" w:rsidRPr="002C27B2" w:rsidRDefault="0077547C" w:rsidP="00CE4A02">
            <w:pPr>
              <w:spacing w:beforeLines="30" w:before="72" w:afterLines="30" w:after="72"/>
            </w:pPr>
            <w:r>
              <w:t>Aid Program Performance Report</w:t>
            </w:r>
          </w:p>
        </w:tc>
      </w:tr>
      <w:tr w:rsidR="00610901" w:rsidRPr="002C27B2" w14:paraId="192F893E" w14:textId="77777777" w:rsidTr="00026A06">
        <w:tc>
          <w:tcPr>
            <w:tcW w:w="1271" w:type="dxa"/>
          </w:tcPr>
          <w:p w14:paraId="315F586D" w14:textId="107E41A2" w:rsidR="00610901" w:rsidRPr="00CE4A02" w:rsidRDefault="00340BCE" w:rsidP="00CE4A02">
            <w:pPr>
              <w:spacing w:beforeLines="30" w:before="72" w:afterLines="30" w:after="72"/>
              <w:rPr>
                <w:b/>
              </w:rPr>
            </w:pPr>
            <w:r w:rsidRPr="00CE4A02">
              <w:rPr>
                <w:b/>
              </w:rPr>
              <w:t>DAP</w:t>
            </w:r>
          </w:p>
        </w:tc>
        <w:tc>
          <w:tcPr>
            <w:tcW w:w="7796" w:type="dxa"/>
          </w:tcPr>
          <w:p w14:paraId="31D02531" w14:textId="0ECF8FDE" w:rsidR="00610901" w:rsidRPr="002C27B2" w:rsidRDefault="00340BCE" w:rsidP="00CE4A02">
            <w:pPr>
              <w:spacing w:beforeLines="30" w:before="72" w:afterLines="30" w:after="72"/>
            </w:pPr>
            <w:r>
              <w:t>Department of Administration and Planning</w:t>
            </w:r>
          </w:p>
        </w:tc>
      </w:tr>
      <w:tr w:rsidR="002B09D2" w:rsidRPr="002C27B2" w14:paraId="3DD11ABC" w14:textId="77777777" w:rsidTr="00026A06">
        <w:tc>
          <w:tcPr>
            <w:tcW w:w="1271" w:type="dxa"/>
          </w:tcPr>
          <w:p w14:paraId="4960889E" w14:textId="276B3345" w:rsidR="002B09D2" w:rsidRPr="00CE4A02" w:rsidRDefault="002B09D2" w:rsidP="00CE4A02">
            <w:pPr>
              <w:spacing w:beforeLines="30" w:before="72" w:afterLines="30" w:after="72"/>
              <w:rPr>
                <w:b/>
              </w:rPr>
            </w:pPr>
            <w:r w:rsidRPr="00CE4A02">
              <w:rPr>
                <w:b/>
              </w:rPr>
              <w:t>DFAT</w:t>
            </w:r>
          </w:p>
        </w:tc>
        <w:tc>
          <w:tcPr>
            <w:tcW w:w="7796" w:type="dxa"/>
          </w:tcPr>
          <w:p w14:paraId="1765F768" w14:textId="6CFE4E51" w:rsidR="002B09D2" w:rsidRDefault="002B09D2" w:rsidP="00CE4A02">
            <w:pPr>
              <w:spacing w:beforeLines="30" w:before="72" w:afterLines="30" w:after="72"/>
            </w:pPr>
            <w:r>
              <w:t>Department of Foreign Affairs and Trade</w:t>
            </w:r>
          </w:p>
        </w:tc>
      </w:tr>
      <w:tr w:rsidR="00610901" w:rsidRPr="0005060E" w14:paraId="6A495410" w14:textId="77777777" w:rsidTr="00026A06">
        <w:tc>
          <w:tcPr>
            <w:tcW w:w="1271" w:type="dxa"/>
          </w:tcPr>
          <w:p w14:paraId="4FB0CB17" w14:textId="1A90324C" w:rsidR="00610901" w:rsidRPr="00CE4A02" w:rsidRDefault="00844593" w:rsidP="00CE4A02">
            <w:pPr>
              <w:spacing w:beforeLines="30" w:before="72" w:afterLines="30" w:after="72"/>
              <w:rPr>
                <w:b/>
              </w:rPr>
            </w:pPr>
            <w:r w:rsidRPr="00CE4A02">
              <w:rPr>
                <w:b/>
              </w:rPr>
              <w:t>F</w:t>
            </w:r>
            <w:r w:rsidR="005028E9" w:rsidRPr="00CE4A02">
              <w:rPr>
                <w:b/>
              </w:rPr>
              <w:t>-</w:t>
            </w:r>
            <w:r w:rsidRPr="00CE4A02">
              <w:rPr>
                <w:b/>
              </w:rPr>
              <w:t>FDT</w:t>
            </w:r>
            <w:r w:rsidR="00A120DD" w:rsidRPr="00CE4A02">
              <w:rPr>
                <w:b/>
              </w:rPr>
              <w:t>L</w:t>
            </w:r>
          </w:p>
        </w:tc>
        <w:tc>
          <w:tcPr>
            <w:tcW w:w="7796" w:type="dxa"/>
          </w:tcPr>
          <w:p w14:paraId="4C6C1AB4" w14:textId="6FBEDF38" w:rsidR="00610901" w:rsidRPr="004F2DB6" w:rsidRDefault="005028E9" w:rsidP="00CE4A02">
            <w:pPr>
              <w:spacing w:beforeLines="30" w:before="72" w:afterLines="30" w:after="72"/>
              <w:rPr>
                <w:lang w:val="pt-PT"/>
              </w:rPr>
            </w:pPr>
            <w:r w:rsidRPr="004F2DB6">
              <w:rPr>
                <w:lang w:val="pt-PT"/>
              </w:rPr>
              <w:t>Falintil-Forças da Defesa de Timor-Leste</w:t>
            </w:r>
          </w:p>
        </w:tc>
      </w:tr>
      <w:tr w:rsidR="00610901" w:rsidRPr="002C27B2" w14:paraId="0858B5E7" w14:textId="77777777" w:rsidTr="00026A06">
        <w:tc>
          <w:tcPr>
            <w:tcW w:w="1271" w:type="dxa"/>
          </w:tcPr>
          <w:p w14:paraId="1A2AE080" w14:textId="17F283E8" w:rsidR="00610901" w:rsidRPr="00CE4A02" w:rsidRDefault="00ED0BD1" w:rsidP="00CE4A02">
            <w:pPr>
              <w:spacing w:beforeLines="30" w:before="72" w:afterLines="30" w:after="72"/>
              <w:rPr>
                <w:b/>
              </w:rPr>
            </w:pPr>
            <w:proofErr w:type="spellStart"/>
            <w:r w:rsidRPr="00CE4A02">
              <w:rPr>
                <w:b/>
              </w:rPr>
              <w:t>GoDRTL</w:t>
            </w:r>
            <w:proofErr w:type="spellEnd"/>
          </w:p>
        </w:tc>
        <w:tc>
          <w:tcPr>
            <w:tcW w:w="7796" w:type="dxa"/>
          </w:tcPr>
          <w:p w14:paraId="79F35D8C" w14:textId="01864196" w:rsidR="00610901" w:rsidRPr="002C27B2" w:rsidRDefault="00ED0BD1" w:rsidP="00CE4A02">
            <w:pPr>
              <w:spacing w:beforeLines="30" w:before="72" w:afterLines="30" w:after="72"/>
            </w:pPr>
            <w:r w:rsidRPr="002C27B2">
              <w:t>Government of the Democratic Republic of Timor-Leste</w:t>
            </w:r>
          </w:p>
        </w:tc>
      </w:tr>
      <w:tr w:rsidR="00610901" w:rsidRPr="002C27B2" w14:paraId="1F7B2D60" w14:textId="77777777" w:rsidTr="00026A06">
        <w:tc>
          <w:tcPr>
            <w:tcW w:w="1271" w:type="dxa"/>
          </w:tcPr>
          <w:p w14:paraId="4E472414" w14:textId="1302F455" w:rsidR="00610901" w:rsidRPr="00CE4A02" w:rsidRDefault="00DB6426" w:rsidP="00CE4A02">
            <w:pPr>
              <w:spacing w:beforeLines="30" w:before="72" w:afterLines="30" w:after="72"/>
              <w:rPr>
                <w:b/>
              </w:rPr>
            </w:pPr>
            <w:r w:rsidRPr="00CE4A02">
              <w:rPr>
                <w:b/>
              </w:rPr>
              <w:t>GNR</w:t>
            </w:r>
          </w:p>
        </w:tc>
        <w:tc>
          <w:tcPr>
            <w:tcW w:w="7796" w:type="dxa"/>
          </w:tcPr>
          <w:p w14:paraId="1A3FDFD8" w14:textId="3481A7B0" w:rsidR="00610901" w:rsidRPr="004F2DB6" w:rsidRDefault="00DB6426" w:rsidP="00CE4A02">
            <w:pPr>
              <w:spacing w:beforeLines="30" w:before="72" w:afterLines="30" w:after="72"/>
              <w:rPr>
                <w:lang w:val="pt-PT"/>
              </w:rPr>
            </w:pPr>
            <w:r w:rsidRPr="004F2DB6">
              <w:rPr>
                <w:lang w:val="pt-PT"/>
              </w:rPr>
              <w:t xml:space="preserve">Guarda Nacional Republicana </w:t>
            </w:r>
          </w:p>
        </w:tc>
      </w:tr>
      <w:tr w:rsidR="00807155" w:rsidRPr="002C27B2" w14:paraId="4988224C" w14:textId="77777777" w:rsidTr="00026A06">
        <w:tc>
          <w:tcPr>
            <w:tcW w:w="1271" w:type="dxa"/>
          </w:tcPr>
          <w:p w14:paraId="28C378A1" w14:textId="646080C3" w:rsidR="00807155" w:rsidRPr="00CE4A02" w:rsidRDefault="00807155" w:rsidP="00CE4A02">
            <w:pPr>
              <w:spacing w:beforeLines="30" w:before="72" w:afterLines="30" w:after="72"/>
              <w:rPr>
                <w:b/>
              </w:rPr>
            </w:pPr>
            <w:r w:rsidRPr="00CE4A02">
              <w:rPr>
                <w:b/>
              </w:rPr>
              <w:t>ICT</w:t>
            </w:r>
          </w:p>
        </w:tc>
        <w:tc>
          <w:tcPr>
            <w:tcW w:w="7796" w:type="dxa"/>
          </w:tcPr>
          <w:p w14:paraId="6DF77674" w14:textId="6264397A" w:rsidR="00807155" w:rsidRDefault="00807155" w:rsidP="00CE4A02">
            <w:pPr>
              <w:spacing w:beforeLines="30" w:before="72" w:afterLines="30" w:after="72"/>
            </w:pPr>
            <w:r>
              <w:t>Information Communication Technology</w:t>
            </w:r>
          </w:p>
        </w:tc>
      </w:tr>
      <w:tr w:rsidR="00610901" w:rsidRPr="002C27B2" w14:paraId="6A95D66D" w14:textId="77777777" w:rsidTr="00026A06">
        <w:tc>
          <w:tcPr>
            <w:tcW w:w="1271" w:type="dxa"/>
          </w:tcPr>
          <w:p w14:paraId="53886F6D" w14:textId="414626A2" w:rsidR="00610901" w:rsidRPr="00CE4A02" w:rsidRDefault="00561DA3" w:rsidP="00CE4A02">
            <w:pPr>
              <w:spacing w:beforeLines="30" w:before="72" w:afterLines="30" w:after="72"/>
              <w:rPr>
                <w:b/>
              </w:rPr>
            </w:pPr>
            <w:r w:rsidRPr="00CE4A02">
              <w:rPr>
                <w:b/>
              </w:rPr>
              <w:t>JSSP</w:t>
            </w:r>
          </w:p>
        </w:tc>
        <w:tc>
          <w:tcPr>
            <w:tcW w:w="7796" w:type="dxa"/>
          </w:tcPr>
          <w:p w14:paraId="3427813D" w14:textId="35104DB2" w:rsidR="00610901" w:rsidRPr="00561DA3" w:rsidRDefault="00561DA3" w:rsidP="00CE4A02">
            <w:pPr>
              <w:spacing w:beforeLines="30" w:before="72" w:afterLines="30" w:after="72"/>
            </w:pPr>
            <w:r w:rsidRPr="004F2DB6">
              <w:rPr>
                <w:rFonts w:cs="Arial"/>
                <w:szCs w:val="20"/>
              </w:rPr>
              <w:t xml:space="preserve">Justice Sector Strategic Plan </w:t>
            </w:r>
          </w:p>
        </w:tc>
      </w:tr>
      <w:tr w:rsidR="00610901" w:rsidRPr="002C27B2" w14:paraId="3603663B" w14:textId="77777777" w:rsidTr="00026A06">
        <w:tc>
          <w:tcPr>
            <w:tcW w:w="1271" w:type="dxa"/>
          </w:tcPr>
          <w:p w14:paraId="11500890" w14:textId="07F5ACE9" w:rsidR="00610901" w:rsidRPr="00CE4A02" w:rsidRDefault="00633747" w:rsidP="00CE4A02">
            <w:pPr>
              <w:spacing w:beforeLines="30" w:before="72" w:afterLines="30" w:after="72"/>
              <w:rPr>
                <w:b/>
              </w:rPr>
            </w:pPr>
            <w:r w:rsidRPr="00CE4A02">
              <w:rPr>
                <w:b/>
              </w:rPr>
              <w:t>LES</w:t>
            </w:r>
          </w:p>
        </w:tc>
        <w:tc>
          <w:tcPr>
            <w:tcW w:w="7796" w:type="dxa"/>
          </w:tcPr>
          <w:p w14:paraId="4665448B" w14:textId="213E0A15" w:rsidR="00610901" w:rsidRPr="002C27B2" w:rsidRDefault="00633747" w:rsidP="00CE4A02">
            <w:pPr>
              <w:spacing w:beforeLines="30" w:before="72" w:afterLines="30" w:after="72"/>
            </w:pPr>
            <w:r>
              <w:t>Locally Engaged Staff</w:t>
            </w:r>
          </w:p>
        </w:tc>
      </w:tr>
      <w:tr w:rsidR="00610901" w:rsidRPr="002C27B2" w14:paraId="4973A1D3" w14:textId="77777777" w:rsidTr="00026A06">
        <w:tc>
          <w:tcPr>
            <w:tcW w:w="1271" w:type="dxa"/>
          </w:tcPr>
          <w:p w14:paraId="3B75C831" w14:textId="0D5D2D34" w:rsidR="00610901" w:rsidRPr="00CE4A02" w:rsidRDefault="006349F5" w:rsidP="00CE4A02">
            <w:pPr>
              <w:spacing w:beforeLines="30" w:before="72" w:afterLines="30" w:after="72"/>
              <w:rPr>
                <w:b/>
              </w:rPr>
            </w:pPr>
            <w:r w:rsidRPr="00CE4A02">
              <w:rPr>
                <w:b/>
              </w:rPr>
              <w:t>MAG</w:t>
            </w:r>
          </w:p>
        </w:tc>
        <w:tc>
          <w:tcPr>
            <w:tcW w:w="7796" w:type="dxa"/>
          </w:tcPr>
          <w:p w14:paraId="308DC2B7" w14:textId="7ED7B044" w:rsidR="00610901" w:rsidRPr="002C27B2" w:rsidRDefault="006349F5" w:rsidP="00CE4A02">
            <w:pPr>
              <w:spacing w:beforeLines="30" w:before="72" w:afterLines="30" w:after="72"/>
            </w:pPr>
            <w:r w:rsidRPr="002C27B2">
              <w:rPr>
                <w:rFonts w:cs="Arial"/>
              </w:rPr>
              <w:t xml:space="preserve">Martial Arts Groups </w:t>
            </w:r>
          </w:p>
        </w:tc>
      </w:tr>
      <w:tr w:rsidR="00610901" w:rsidRPr="002C27B2" w14:paraId="50F28AD3" w14:textId="77777777" w:rsidTr="00026A06">
        <w:tc>
          <w:tcPr>
            <w:tcW w:w="1271" w:type="dxa"/>
          </w:tcPr>
          <w:p w14:paraId="7413F018" w14:textId="46B54228" w:rsidR="00610901" w:rsidRPr="00CE4A02" w:rsidRDefault="00344A70" w:rsidP="00CE4A02">
            <w:pPr>
              <w:spacing w:beforeLines="30" w:before="72" w:afterLines="30" w:after="72"/>
              <w:rPr>
                <w:b/>
              </w:rPr>
            </w:pPr>
            <w:r w:rsidRPr="00CE4A02">
              <w:rPr>
                <w:b/>
              </w:rPr>
              <w:t>MEL</w:t>
            </w:r>
          </w:p>
        </w:tc>
        <w:tc>
          <w:tcPr>
            <w:tcW w:w="7796" w:type="dxa"/>
          </w:tcPr>
          <w:p w14:paraId="3BEEBDC2" w14:textId="225DBCCC" w:rsidR="00610901" w:rsidRPr="002C27B2" w:rsidRDefault="00344A70" w:rsidP="00CE4A02">
            <w:pPr>
              <w:spacing w:beforeLines="30" w:before="72" w:afterLines="30" w:after="72"/>
            </w:pPr>
            <w:r w:rsidRPr="002C27B2">
              <w:t>Monitoring Evaluation and Learning</w:t>
            </w:r>
          </w:p>
        </w:tc>
      </w:tr>
      <w:tr w:rsidR="00AA0B66" w:rsidRPr="002C27B2" w14:paraId="56F5AFFF" w14:textId="77777777" w:rsidTr="00026A06">
        <w:tc>
          <w:tcPr>
            <w:tcW w:w="1271" w:type="dxa"/>
          </w:tcPr>
          <w:p w14:paraId="2E2FB279" w14:textId="78F31959" w:rsidR="00AA0B66" w:rsidRPr="00CE4A02" w:rsidRDefault="00AA0B66" w:rsidP="00CE4A02">
            <w:pPr>
              <w:spacing w:beforeLines="30" w:before="72" w:afterLines="30" w:after="72"/>
              <w:rPr>
                <w:b/>
              </w:rPr>
            </w:pPr>
            <w:r w:rsidRPr="00CE4A02">
              <w:rPr>
                <w:b/>
              </w:rPr>
              <w:t>NOP</w:t>
            </w:r>
          </w:p>
        </w:tc>
        <w:tc>
          <w:tcPr>
            <w:tcW w:w="7796" w:type="dxa"/>
          </w:tcPr>
          <w:p w14:paraId="76DEA891" w14:textId="2FD3AC17" w:rsidR="00AA0B66" w:rsidRPr="002C27B2" w:rsidRDefault="00AA0B66" w:rsidP="00CE4A02">
            <w:pPr>
              <w:spacing w:beforeLines="30" w:before="72" w:afterLines="30" w:after="72"/>
            </w:pPr>
            <w:r>
              <w:t>Norms of Procedure</w:t>
            </w:r>
          </w:p>
        </w:tc>
      </w:tr>
      <w:tr w:rsidR="0064719A" w:rsidRPr="002C27B2" w14:paraId="74677D48" w14:textId="77777777" w:rsidTr="00026A06">
        <w:tc>
          <w:tcPr>
            <w:tcW w:w="1271" w:type="dxa"/>
          </w:tcPr>
          <w:p w14:paraId="0369B36A" w14:textId="67FBD3EB" w:rsidR="0064719A" w:rsidRPr="00CE4A02" w:rsidRDefault="0064719A" w:rsidP="00CE4A02">
            <w:pPr>
              <w:spacing w:beforeLines="30" w:before="72" w:afterLines="30" w:after="72"/>
              <w:rPr>
                <w:b/>
              </w:rPr>
            </w:pPr>
            <w:r w:rsidRPr="00CE4A02">
              <w:rPr>
                <w:b/>
              </w:rPr>
              <w:t>ODA</w:t>
            </w:r>
          </w:p>
        </w:tc>
        <w:tc>
          <w:tcPr>
            <w:tcW w:w="7796" w:type="dxa"/>
          </w:tcPr>
          <w:p w14:paraId="09148CBA" w14:textId="3B51FA2B" w:rsidR="0064719A" w:rsidRDefault="0064719A" w:rsidP="00CE4A02">
            <w:pPr>
              <w:spacing w:beforeLines="30" w:before="72" w:afterLines="30" w:after="72"/>
            </w:pPr>
            <w:r>
              <w:t>Office of Development Assistance</w:t>
            </w:r>
          </w:p>
        </w:tc>
      </w:tr>
      <w:tr w:rsidR="002D497F" w:rsidRPr="002C27B2" w14:paraId="241E27B6" w14:textId="77777777" w:rsidTr="00026A06">
        <w:tc>
          <w:tcPr>
            <w:tcW w:w="1271" w:type="dxa"/>
          </w:tcPr>
          <w:p w14:paraId="7D35D688" w14:textId="2EAC27C5" w:rsidR="002D497F" w:rsidRPr="00CE4A02" w:rsidRDefault="002D497F" w:rsidP="00CE4A02">
            <w:pPr>
              <w:spacing w:beforeLines="30" w:before="72" w:afterLines="30" w:after="72"/>
              <w:rPr>
                <w:b/>
              </w:rPr>
            </w:pPr>
            <w:r w:rsidRPr="00CE4A02">
              <w:rPr>
                <w:b/>
              </w:rPr>
              <w:t>OECD - DAC</w:t>
            </w:r>
          </w:p>
        </w:tc>
        <w:tc>
          <w:tcPr>
            <w:tcW w:w="7796" w:type="dxa"/>
          </w:tcPr>
          <w:p w14:paraId="1574278E" w14:textId="46842560" w:rsidR="002D497F" w:rsidRPr="002C27B2" w:rsidRDefault="006E26CD" w:rsidP="00CE4A02">
            <w:pPr>
              <w:spacing w:beforeLines="30" w:before="72" w:afterLines="30" w:after="72"/>
            </w:pPr>
            <w:r>
              <w:t>Organisation for Economic Co</w:t>
            </w:r>
            <w:r w:rsidR="002D497F" w:rsidRPr="002C27B2">
              <w:t>operation and Development – Development Assistance Committee</w:t>
            </w:r>
          </w:p>
        </w:tc>
      </w:tr>
      <w:tr w:rsidR="00610901" w:rsidRPr="002C27B2" w14:paraId="7F9891CB" w14:textId="77777777" w:rsidTr="00026A06">
        <w:tc>
          <w:tcPr>
            <w:tcW w:w="1271" w:type="dxa"/>
          </w:tcPr>
          <w:p w14:paraId="03C4A835" w14:textId="4E6A4DB2" w:rsidR="00610901" w:rsidRPr="00CE4A02" w:rsidRDefault="006C7A71" w:rsidP="00CE4A02">
            <w:pPr>
              <w:spacing w:beforeLines="30" w:before="72" w:afterLines="30" w:after="72"/>
              <w:rPr>
                <w:b/>
              </w:rPr>
            </w:pPr>
            <w:r w:rsidRPr="00CE4A02">
              <w:rPr>
                <w:b/>
              </w:rPr>
              <w:t>PCB</w:t>
            </w:r>
          </w:p>
        </w:tc>
        <w:tc>
          <w:tcPr>
            <w:tcW w:w="7796" w:type="dxa"/>
          </w:tcPr>
          <w:p w14:paraId="2A75ADC8" w14:textId="54DE015A" w:rsidR="00610901" w:rsidRPr="002C27B2" w:rsidRDefault="006C7A71" w:rsidP="00CE4A02">
            <w:pPr>
              <w:spacing w:beforeLines="30" w:before="72" w:afterLines="30" w:after="72"/>
            </w:pPr>
            <w:r w:rsidRPr="002C27B2">
              <w:t>Program Coordination Board</w:t>
            </w:r>
          </w:p>
        </w:tc>
      </w:tr>
      <w:tr w:rsidR="002D497F" w:rsidRPr="0005060E" w14:paraId="4A9EECE4" w14:textId="77777777" w:rsidTr="00026A06">
        <w:tc>
          <w:tcPr>
            <w:tcW w:w="1271" w:type="dxa"/>
          </w:tcPr>
          <w:p w14:paraId="14A13336" w14:textId="06BD1036" w:rsidR="002D497F" w:rsidRPr="00CE4A02" w:rsidRDefault="009576BC" w:rsidP="00CE4A02">
            <w:pPr>
              <w:spacing w:beforeLines="30" w:before="72" w:afterLines="30" w:after="72"/>
              <w:rPr>
                <w:b/>
              </w:rPr>
            </w:pPr>
            <w:r w:rsidRPr="00CE4A02">
              <w:rPr>
                <w:b/>
              </w:rPr>
              <w:t>PNTL</w:t>
            </w:r>
          </w:p>
        </w:tc>
        <w:tc>
          <w:tcPr>
            <w:tcW w:w="7796" w:type="dxa"/>
          </w:tcPr>
          <w:p w14:paraId="07365671" w14:textId="2AFC727C" w:rsidR="002D497F" w:rsidRPr="004F2DB6" w:rsidRDefault="00FC4572" w:rsidP="00CE4A02">
            <w:pPr>
              <w:spacing w:beforeLines="30" w:before="72" w:afterLines="30" w:after="72"/>
              <w:rPr>
                <w:lang w:val="pt-PT"/>
              </w:rPr>
            </w:pPr>
            <w:r w:rsidRPr="004F2DB6">
              <w:rPr>
                <w:lang w:val="pt-PT"/>
              </w:rPr>
              <w:t>Polícia Nacional de Timor-Leste</w:t>
            </w:r>
          </w:p>
        </w:tc>
      </w:tr>
      <w:tr w:rsidR="00610901" w:rsidRPr="002C27B2" w14:paraId="7C943766" w14:textId="77777777" w:rsidTr="00026A06">
        <w:tc>
          <w:tcPr>
            <w:tcW w:w="1271" w:type="dxa"/>
          </w:tcPr>
          <w:p w14:paraId="1B1E052B" w14:textId="488B648F" w:rsidR="00610901" w:rsidRPr="00CE4A02" w:rsidRDefault="00965F95" w:rsidP="00CE4A02">
            <w:pPr>
              <w:spacing w:beforeLines="30" w:before="72" w:afterLines="30" w:after="72"/>
              <w:rPr>
                <w:b/>
              </w:rPr>
            </w:pPr>
            <w:r w:rsidRPr="00CE4A02">
              <w:rPr>
                <w:b/>
              </w:rPr>
              <w:t>PTC</w:t>
            </w:r>
          </w:p>
        </w:tc>
        <w:tc>
          <w:tcPr>
            <w:tcW w:w="7796" w:type="dxa"/>
          </w:tcPr>
          <w:p w14:paraId="69B9162A" w14:textId="7DC29FF3" w:rsidR="00610901" w:rsidRPr="002C27B2" w:rsidRDefault="00965F95" w:rsidP="00CE4A02">
            <w:pPr>
              <w:spacing w:beforeLines="30" w:before="72" w:afterLines="30" w:after="72"/>
            </w:pPr>
            <w:r>
              <w:t>Police Training Centre</w:t>
            </w:r>
          </w:p>
        </w:tc>
      </w:tr>
      <w:tr w:rsidR="00610901" w:rsidRPr="0005060E" w14:paraId="47817447" w14:textId="77777777" w:rsidTr="00026A06">
        <w:tc>
          <w:tcPr>
            <w:tcW w:w="1271" w:type="dxa"/>
          </w:tcPr>
          <w:p w14:paraId="54844208" w14:textId="12EC609A" w:rsidR="00610901" w:rsidRPr="00CE4A02" w:rsidRDefault="002C27B2" w:rsidP="00CE4A02">
            <w:pPr>
              <w:spacing w:beforeLines="30" w:before="72" w:afterLines="30" w:after="72"/>
              <w:rPr>
                <w:b/>
              </w:rPr>
            </w:pPr>
            <w:r w:rsidRPr="00CE4A02">
              <w:rPr>
                <w:b/>
              </w:rPr>
              <w:t>RDTL</w:t>
            </w:r>
          </w:p>
        </w:tc>
        <w:tc>
          <w:tcPr>
            <w:tcW w:w="7796" w:type="dxa"/>
          </w:tcPr>
          <w:p w14:paraId="70E620B3" w14:textId="2C74ABB7" w:rsidR="00610901" w:rsidRPr="002C27B2" w:rsidRDefault="002C27B2" w:rsidP="00CE4A02">
            <w:pPr>
              <w:spacing w:beforeLines="30" w:before="72" w:afterLines="30" w:after="72"/>
              <w:rPr>
                <w:lang w:val="pt-PT"/>
              </w:rPr>
            </w:pPr>
            <w:r w:rsidRPr="002C27B2">
              <w:rPr>
                <w:lang w:val="pt-PT"/>
              </w:rPr>
              <w:t>República Democrática de Timor-Leste</w:t>
            </w:r>
          </w:p>
        </w:tc>
      </w:tr>
      <w:tr w:rsidR="00610901" w:rsidRPr="002C27B2" w14:paraId="26BDE3FA" w14:textId="77777777" w:rsidTr="00026A06">
        <w:tc>
          <w:tcPr>
            <w:tcW w:w="1271" w:type="dxa"/>
          </w:tcPr>
          <w:p w14:paraId="7148E0AF" w14:textId="77777777" w:rsidR="00610901" w:rsidRPr="00CE4A02" w:rsidRDefault="00610901" w:rsidP="00CE4A02">
            <w:pPr>
              <w:spacing w:beforeLines="30" w:before="72" w:afterLines="30" w:after="72"/>
              <w:rPr>
                <w:b/>
              </w:rPr>
            </w:pPr>
            <w:r w:rsidRPr="00CE4A02">
              <w:rPr>
                <w:b/>
              </w:rPr>
              <w:t>STA</w:t>
            </w:r>
          </w:p>
        </w:tc>
        <w:tc>
          <w:tcPr>
            <w:tcW w:w="7796" w:type="dxa"/>
          </w:tcPr>
          <w:p w14:paraId="13E080E7" w14:textId="77777777" w:rsidR="00610901" w:rsidRPr="002C27B2" w:rsidRDefault="00610901" w:rsidP="00CE4A02">
            <w:pPr>
              <w:spacing w:beforeLines="30" w:before="72" w:afterLines="30" w:after="72"/>
            </w:pPr>
            <w:r w:rsidRPr="002C27B2">
              <w:t>Short-term assistance</w:t>
            </w:r>
          </w:p>
        </w:tc>
      </w:tr>
      <w:tr w:rsidR="00610901" w:rsidRPr="002C27B2" w14:paraId="67A5ECDB" w14:textId="77777777" w:rsidTr="00026A06">
        <w:tc>
          <w:tcPr>
            <w:tcW w:w="1271" w:type="dxa"/>
          </w:tcPr>
          <w:p w14:paraId="5DDFC14A" w14:textId="77777777" w:rsidR="00610901" w:rsidRPr="00CE4A02" w:rsidRDefault="00610901" w:rsidP="00CE4A02">
            <w:pPr>
              <w:spacing w:beforeLines="30" w:before="72" w:afterLines="30" w:after="72"/>
              <w:rPr>
                <w:b/>
              </w:rPr>
            </w:pPr>
            <w:r w:rsidRPr="00CE4A02">
              <w:rPr>
                <w:b/>
              </w:rPr>
              <w:t>TA</w:t>
            </w:r>
          </w:p>
        </w:tc>
        <w:tc>
          <w:tcPr>
            <w:tcW w:w="7796" w:type="dxa"/>
          </w:tcPr>
          <w:p w14:paraId="6C071B0F" w14:textId="77777777" w:rsidR="00610901" w:rsidRPr="002C27B2" w:rsidRDefault="00610901" w:rsidP="00CE4A02">
            <w:pPr>
              <w:spacing w:beforeLines="30" w:before="72" w:afterLines="30" w:after="72"/>
            </w:pPr>
            <w:r w:rsidRPr="002C27B2">
              <w:t>Technical assistance</w:t>
            </w:r>
          </w:p>
        </w:tc>
      </w:tr>
      <w:tr w:rsidR="00610901" w:rsidRPr="002C27B2" w14:paraId="3011B16A" w14:textId="77777777" w:rsidTr="00026A06">
        <w:tc>
          <w:tcPr>
            <w:tcW w:w="1271" w:type="dxa"/>
          </w:tcPr>
          <w:p w14:paraId="637C88AA" w14:textId="77777777" w:rsidR="00610901" w:rsidRPr="00CE4A02" w:rsidRDefault="00610901" w:rsidP="00CE4A02">
            <w:pPr>
              <w:spacing w:beforeLines="30" w:before="72" w:afterLines="30" w:after="72"/>
              <w:rPr>
                <w:b/>
              </w:rPr>
            </w:pPr>
            <w:r w:rsidRPr="00CE4A02">
              <w:rPr>
                <w:b/>
              </w:rPr>
              <w:t>TOR</w:t>
            </w:r>
          </w:p>
        </w:tc>
        <w:tc>
          <w:tcPr>
            <w:tcW w:w="7796" w:type="dxa"/>
          </w:tcPr>
          <w:p w14:paraId="3B93CC4E" w14:textId="77777777" w:rsidR="00610901" w:rsidRPr="002C27B2" w:rsidRDefault="00610901" w:rsidP="00CE4A02">
            <w:pPr>
              <w:spacing w:beforeLines="30" w:before="72" w:afterLines="30" w:after="72"/>
            </w:pPr>
            <w:r w:rsidRPr="002C27B2">
              <w:t>Terms of reference</w:t>
            </w:r>
          </w:p>
        </w:tc>
      </w:tr>
      <w:tr w:rsidR="00340BCE" w:rsidRPr="002C27B2" w14:paraId="76B4DAE8" w14:textId="77777777" w:rsidTr="00026A06">
        <w:tc>
          <w:tcPr>
            <w:tcW w:w="1271" w:type="dxa"/>
          </w:tcPr>
          <w:p w14:paraId="70A58990" w14:textId="4288A09E" w:rsidR="00340BCE" w:rsidRPr="00CE4A02" w:rsidRDefault="00340BCE" w:rsidP="00CE4A02">
            <w:pPr>
              <w:spacing w:beforeLines="30" w:before="72" w:afterLines="30" w:after="72"/>
              <w:rPr>
                <w:b/>
              </w:rPr>
            </w:pPr>
            <w:r w:rsidRPr="00CE4A02">
              <w:rPr>
                <w:b/>
              </w:rPr>
              <w:t>TLCCP</w:t>
            </w:r>
          </w:p>
        </w:tc>
        <w:tc>
          <w:tcPr>
            <w:tcW w:w="7796" w:type="dxa"/>
          </w:tcPr>
          <w:p w14:paraId="199B5266" w14:textId="5564A48C" w:rsidR="00340BCE" w:rsidRPr="002C27B2" w:rsidRDefault="00340BCE" w:rsidP="00CE4A02">
            <w:pPr>
              <w:spacing w:beforeLines="30" w:before="72" w:afterLines="30" w:after="72"/>
            </w:pPr>
            <w:r>
              <w:t>Timor-Leste Community Policing Program</w:t>
            </w:r>
            <w:r w:rsidR="00C00402">
              <w:t xml:space="preserve"> (New Zealand Police)</w:t>
            </w:r>
          </w:p>
        </w:tc>
      </w:tr>
      <w:tr w:rsidR="008C3D65" w:rsidRPr="002C27B2" w14:paraId="16B59708" w14:textId="77777777" w:rsidTr="00026A06">
        <w:tc>
          <w:tcPr>
            <w:tcW w:w="1271" w:type="dxa"/>
          </w:tcPr>
          <w:p w14:paraId="57AE6A45" w14:textId="23B88ABE" w:rsidR="008C3D65" w:rsidRPr="00CE4A02" w:rsidRDefault="008C3D65" w:rsidP="00CE4A02">
            <w:pPr>
              <w:spacing w:beforeLines="30" w:before="72" w:afterLines="30" w:after="72"/>
              <w:rPr>
                <w:b/>
              </w:rPr>
            </w:pPr>
            <w:r w:rsidRPr="00CE4A02">
              <w:rPr>
                <w:b/>
              </w:rPr>
              <w:t>UNODC</w:t>
            </w:r>
          </w:p>
        </w:tc>
        <w:tc>
          <w:tcPr>
            <w:tcW w:w="7796" w:type="dxa"/>
          </w:tcPr>
          <w:p w14:paraId="592FB813" w14:textId="294C7D9F" w:rsidR="008C3D65" w:rsidRPr="002C27B2" w:rsidRDefault="008C3D65" w:rsidP="00CE4A02">
            <w:pPr>
              <w:spacing w:beforeLines="30" w:before="72" w:afterLines="30" w:after="72"/>
            </w:pPr>
            <w:r w:rsidRPr="002C27B2">
              <w:rPr>
                <w:rFonts w:cs="Arial"/>
              </w:rPr>
              <w:t xml:space="preserve">United Nations Office on Drugs and Crime </w:t>
            </w:r>
          </w:p>
        </w:tc>
      </w:tr>
      <w:tr w:rsidR="00610901" w:rsidRPr="002C27B2" w14:paraId="1226A0E6" w14:textId="77777777" w:rsidTr="00026A06">
        <w:tc>
          <w:tcPr>
            <w:tcW w:w="1271" w:type="dxa"/>
          </w:tcPr>
          <w:p w14:paraId="31D00A9F" w14:textId="42109581" w:rsidR="00610901" w:rsidRPr="00CE4A02" w:rsidRDefault="00571545" w:rsidP="00CE4A02">
            <w:pPr>
              <w:spacing w:beforeLines="30" w:before="72" w:afterLines="30" w:after="72"/>
              <w:rPr>
                <w:b/>
              </w:rPr>
            </w:pPr>
            <w:r w:rsidRPr="00CE4A02">
              <w:rPr>
                <w:b/>
              </w:rPr>
              <w:t>UNMIT</w:t>
            </w:r>
          </w:p>
        </w:tc>
        <w:tc>
          <w:tcPr>
            <w:tcW w:w="7796" w:type="dxa"/>
          </w:tcPr>
          <w:p w14:paraId="15344ACF" w14:textId="4B866E9A" w:rsidR="00610901" w:rsidRPr="002C27B2" w:rsidRDefault="00571545" w:rsidP="00CE4A02">
            <w:pPr>
              <w:spacing w:beforeLines="30" w:before="72" w:afterLines="30" w:after="72"/>
            </w:pPr>
            <w:r w:rsidRPr="002C27B2">
              <w:rPr>
                <w:rFonts w:cs="Arial"/>
                <w:szCs w:val="20"/>
              </w:rPr>
              <w:t>United Nations Integrated Mission in Timor-Leste</w:t>
            </w:r>
          </w:p>
        </w:tc>
      </w:tr>
      <w:tr w:rsidR="00340BCE" w:rsidRPr="002C27B2" w14:paraId="6B026523" w14:textId="77777777" w:rsidTr="00026A06">
        <w:tc>
          <w:tcPr>
            <w:tcW w:w="1271" w:type="dxa"/>
          </w:tcPr>
          <w:p w14:paraId="12E3AB74" w14:textId="74DBD63B" w:rsidR="00340BCE" w:rsidRPr="00CE4A02" w:rsidRDefault="00340BCE" w:rsidP="00CE4A02">
            <w:pPr>
              <w:spacing w:beforeLines="30" w:before="72" w:afterLines="30" w:after="72"/>
              <w:rPr>
                <w:b/>
              </w:rPr>
            </w:pPr>
            <w:r w:rsidRPr="00CE4A02">
              <w:rPr>
                <w:b/>
              </w:rPr>
              <w:t>VPU</w:t>
            </w:r>
          </w:p>
        </w:tc>
        <w:tc>
          <w:tcPr>
            <w:tcW w:w="7796" w:type="dxa"/>
          </w:tcPr>
          <w:p w14:paraId="4335336B" w14:textId="5D23F067" w:rsidR="00340BCE" w:rsidRPr="002C27B2" w:rsidRDefault="00340BCE" w:rsidP="00CE4A02">
            <w:pPr>
              <w:spacing w:beforeLines="30" w:before="72" w:afterLines="30" w:after="72"/>
              <w:rPr>
                <w:rFonts w:cs="Arial"/>
                <w:szCs w:val="20"/>
              </w:rPr>
            </w:pPr>
            <w:r>
              <w:rPr>
                <w:rFonts w:cs="Arial"/>
                <w:szCs w:val="20"/>
              </w:rPr>
              <w:t>Vulnerable Persons Unit</w:t>
            </w:r>
          </w:p>
        </w:tc>
      </w:tr>
    </w:tbl>
    <w:p w14:paraId="7F1B7968" w14:textId="3A645EB0" w:rsidR="00610901" w:rsidRPr="002C27B2" w:rsidRDefault="00610901">
      <w:r w:rsidRPr="002C27B2">
        <w:br w:type="page"/>
      </w:r>
    </w:p>
    <w:sdt>
      <w:sdtPr>
        <w:rPr>
          <w:rFonts w:asciiTheme="minorHAnsi" w:eastAsiaTheme="minorEastAsia" w:hAnsiTheme="minorHAnsi" w:cstheme="minorBidi"/>
          <w:b w:val="0"/>
          <w:bCs w:val="0"/>
          <w:color w:val="auto"/>
          <w:sz w:val="22"/>
          <w:szCs w:val="22"/>
          <w:lang w:eastAsia="zh-CN"/>
        </w:rPr>
        <w:id w:val="1063683136"/>
        <w:docPartObj>
          <w:docPartGallery w:val="Table of Contents"/>
          <w:docPartUnique/>
        </w:docPartObj>
      </w:sdtPr>
      <w:sdtEndPr>
        <w:rPr>
          <w:rFonts w:ascii="Cambria" w:hAnsi="Cambria"/>
          <w:noProof/>
        </w:rPr>
      </w:sdtEndPr>
      <w:sdtContent>
        <w:p w14:paraId="2583882B" w14:textId="77777777" w:rsidR="00FD1A55" w:rsidRDefault="00CA36AE" w:rsidP="00454F38">
          <w:pPr>
            <w:pStyle w:val="TOCHeading"/>
            <w:spacing w:after="240"/>
            <w:rPr>
              <w:noProof/>
            </w:rPr>
          </w:pPr>
          <w:r w:rsidRPr="00454F38">
            <w:rPr>
              <w:sz w:val="32"/>
              <w:szCs w:val="32"/>
            </w:rPr>
            <w:t>Contents</w:t>
          </w:r>
          <w:r w:rsidRPr="002C27B2">
            <w:fldChar w:fldCharType="begin"/>
          </w:r>
          <w:r w:rsidRPr="002C27B2">
            <w:instrText xml:space="preserve"> TOC \o "1-3" \h \z \u </w:instrText>
          </w:r>
          <w:r w:rsidRPr="002C27B2">
            <w:fldChar w:fldCharType="separate"/>
          </w:r>
        </w:p>
        <w:p w14:paraId="420BA812" w14:textId="77777777" w:rsidR="00FD1A55" w:rsidRDefault="002B3FCD">
          <w:pPr>
            <w:pStyle w:val="TOC1"/>
            <w:rPr>
              <w:rFonts w:asciiTheme="minorHAnsi" w:hAnsiTheme="minorHAnsi"/>
              <w:noProof/>
              <w:lang w:eastAsia="en-AU"/>
            </w:rPr>
          </w:pPr>
          <w:hyperlink w:anchor="_Toc516189324" w:history="1">
            <w:r w:rsidR="00FD1A55" w:rsidRPr="003656AC">
              <w:rPr>
                <w:rStyle w:val="Hyperlink"/>
                <w:noProof/>
              </w:rPr>
              <w:t>Acronyms</w:t>
            </w:r>
            <w:r w:rsidR="00FD1A55">
              <w:rPr>
                <w:noProof/>
                <w:webHidden/>
              </w:rPr>
              <w:tab/>
            </w:r>
            <w:r w:rsidR="00FD1A55">
              <w:rPr>
                <w:noProof/>
                <w:webHidden/>
              </w:rPr>
              <w:fldChar w:fldCharType="begin"/>
            </w:r>
            <w:r w:rsidR="00FD1A55">
              <w:rPr>
                <w:noProof/>
                <w:webHidden/>
              </w:rPr>
              <w:instrText xml:space="preserve"> PAGEREF _Toc516189324 \h </w:instrText>
            </w:r>
            <w:r w:rsidR="00FD1A55">
              <w:rPr>
                <w:noProof/>
                <w:webHidden/>
              </w:rPr>
            </w:r>
            <w:r w:rsidR="00FD1A55">
              <w:rPr>
                <w:noProof/>
                <w:webHidden/>
              </w:rPr>
              <w:fldChar w:fldCharType="separate"/>
            </w:r>
            <w:r w:rsidR="00FD1A55">
              <w:rPr>
                <w:noProof/>
                <w:webHidden/>
              </w:rPr>
              <w:t>2</w:t>
            </w:r>
            <w:r w:rsidR="00FD1A55">
              <w:rPr>
                <w:noProof/>
                <w:webHidden/>
              </w:rPr>
              <w:fldChar w:fldCharType="end"/>
            </w:r>
          </w:hyperlink>
        </w:p>
        <w:p w14:paraId="543B9B32" w14:textId="77777777" w:rsidR="00FD1A55" w:rsidRDefault="002B3FCD">
          <w:pPr>
            <w:pStyle w:val="TOC1"/>
            <w:rPr>
              <w:rFonts w:asciiTheme="minorHAnsi" w:hAnsiTheme="minorHAnsi"/>
              <w:noProof/>
              <w:lang w:eastAsia="en-AU"/>
            </w:rPr>
          </w:pPr>
          <w:hyperlink w:anchor="_Toc516189325" w:history="1">
            <w:r w:rsidR="00FD1A55" w:rsidRPr="003656AC">
              <w:rPr>
                <w:rStyle w:val="Hyperlink"/>
                <w:noProof/>
              </w:rPr>
              <w:t>1.</w:t>
            </w:r>
            <w:r w:rsidR="00FD1A55">
              <w:rPr>
                <w:rFonts w:asciiTheme="minorHAnsi" w:hAnsiTheme="minorHAnsi"/>
                <w:noProof/>
                <w:lang w:eastAsia="en-AU"/>
              </w:rPr>
              <w:tab/>
            </w:r>
            <w:r w:rsidR="00FD1A55" w:rsidRPr="003656AC">
              <w:rPr>
                <w:rStyle w:val="Hyperlink"/>
                <w:noProof/>
              </w:rPr>
              <w:t>Executive Summary</w:t>
            </w:r>
            <w:r w:rsidR="00FD1A55">
              <w:rPr>
                <w:noProof/>
                <w:webHidden/>
              </w:rPr>
              <w:tab/>
            </w:r>
            <w:r w:rsidR="00FD1A55">
              <w:rPr>
                <w:noProof/>
                <w:webHidden/>
              </w:rPr>
              <w:fldChar w:fldCharType="begin"/>
            </w:r>
            <w:r w:rsidR="00FD1A55">
              <w:rPr>
                <w:noProof/>
                <w:webHidden/>
              </w:rPr>
              <w:instrText xml:space="preserve"> PAGEREF _Toc516189325 \h </w:instrText>
            </w:r>
            <w:r w:rsidR="00FD1A55">
              <w:rPr>
                <w:noProof/>
                <w:webHidden/>
              </w:rPr>
            </w:r>
            <w:r w:rsidR="00FD1A55">
              <w:rPr>
                <w:noProof/>
                <w:webHidden/>
              </w:rPr>
              <w:fldChar w:fldCharType="separate"/>
            </w:r>
            <w:r w:rsidR="00FD1A55">
              <w:rPr>
                <w:noProof/>
                <w:webHidden/>
              </w:rPr>
              <w:t>6</w:t>
            </w:r>
            <w:r w:rsidR="00FD1A55">
              <w:rPr>
                <w:noProof/>
                <w:webHidden/>
              </w:rPr>
              <w:fldChar w:fldCharType="end"/>
            </w:r>
          </w:hyperlink>
        </w:p>
        <w:p w14:paraId="0DBDB325" w14:textId="77777777" w:rsidR="00FD1A55" w:rsidRDefault="002B3FCD">
          <w:pPr>
            <w:pStyle w:val="TOC2"/>
            <w:rPr>
              <w:rFonts w:asciiTheme="minorHAnsi" w:hAnsiTheme="minorHAnsi"/>
              <w:noProof/>
              <w:lang w:eastAsia="en-AU"/>
            </w:rPr>
          </w:pPr>
          <w:hyperlink w:anchor="_Toc516189326" w:history="1">
            <w:r w:rsidR="00FD1A55" w:rsidRPr="003656AC">
              <w:rPr>
                <w:rStyle w:val="Hyperlink"/>
                <w:noProof/>
              </w:rPr>
              <w:t>1.1.</w:t>
            </w:r>
            <w:r w:rsidR="00FD1A55">
              <w:rPr>
                <w:rFonts w:asciiTheme="minorHAnsi" w:hAnsiTheme="minorHAnsi"/>
                <w:noProof/>
                <w:lang w:eastAsia="en-AU"/>
              </w:rPr>
              <w:tab/>
            </w:r>
            <w:r w:rsidR="00FD1A55" w:rsidRPr="003656AC">
              <w:rPr>
                <w:rStyle w:val="Hyperlink"/>
                <w:noProof/>
              </w:rPr>
              <w:t>Purpose of Design</w:t>
            </w:r>
            <w:r w:rsidR="00FD1A55">
              <w:rPr>
                <w:noProof/>
                <w:webHidden/>
              </w:rPr>
              <w:tab/>
            </w:r>
            <w:r w:rsidR="00FD1A55">
              <w:rPr>
                <w:noProof/>
                <w:webHidden/>
              </w:rPr>
              <w:fldChar w:fldCharType="begin"/>
            </w:r>
            <w:r w:rsidR="00FD1A55">
              <w:rPr>
                <w:noProof/>
                <w:webHidden/>
              </w:rPr>
              <w:instrText xml:space="preserve"> PAGEREF _Toc516189326 \h </w:instrText>
            </w:r>
            <w:r w:rsidR="00FD1A55">
              <w:rPr>
                <w:noProof/>
                <w:webHidden/>
              </w:rPr>
            </w:r>
            <w:r w:rsidR="00FD1A55">
              <w:rPr>
                <w:noProof/>
                <w:webHidden/>
              </w:rPr>
              <w:fldChar w:fldCharType="separate"/>
            </w:r>
            <w:r w:rsidR="00FD1A55">
              <w:rPr>
                <w:noProof/>
                <w:webHidden/>
              </w:rPr>
              <w:t>6</w:t>
            </w:r>
            <w:r w:rsidR="00FD1A55">
              <w:rPr>
                <w:noProof/>
                <w:webHidden/>
              </w:rPr>
              <w:fldChar w:fldCharType="end"/>
            </w:r>
          </w:hyperlink>
        </w:p>
        <w:p w14:paraId="418E4E16" w14:textId="77777777" w:rsidR="00FD1A55" w:rsidRDefault="002B3FCD">
          <w:pPr>
            <w:pStyle w:val="TOC2"/>
            <w:rPr>
              <w:rFonts w:asciiTheme="minorHAnsi" w:hAnsiTheme="minorHAnsi"/>
              <w:noProof/>
              <w:lang w:eastAsia="en-AU"/>
            </w:rPr>
          </w:pPr>
          <w:hyperlink w:anchor="_Toc516189327" w:history="1">
            <w:r w:rsidR="00FD1A55" w:rsidRPr="003656AC">
              <w:rPr>
                <w:rStyle w:val="Hyperlink"/>
                <w:noProof/>
              </w:rPr>
              <w:t>1.2.</w:t>
            </w:r>
            <w:r w:rsidR="00FD1A55">
              <w:rPr>
                <w:rFonts w:asciiTheme="minorHAnsi" w:hAnsiTheme="minorHAnsi"/>
                <w:noProof/>
                <w:lang w:eastAsia="en-AU"/>
              </w:rPr>
              <w:tab/>
            </w:r>
            <w:r w:rsidR="00FD1A55" w:rsidRPr="003656AC">
              <w:rPr>
                <w:rStyle w:val="Hyperlink"/>
                <w:noProof/>
              </w:rPr>
              <w:t>Background</w:t>
            </w:r>
            <w:r w:rsidR="00FD1A55">
              <w:rPr>
                <w:noProof/>
                <w:webHidden/>
              </w:rPr>
              <w:tab/>
            </w:r>
            <w:r w:rsidR="00FD1A55">
              <w:rPr>
                <w:noProof/>
                <w:webHidden/>
              </w:rPr>
              <w:fldChar w:fldCharType="begin"/>
            </w:r>
            <w:r w:rsidR="00FD1A55">
              <w:rPr>
                <w:noProof/>
                <w:webHidden/>
              </w:rPr>
              <w:instrText xml:space="preserve"> PAGEREF _Toc516189327 \h </w:instrText>
            </w:r>
            <w:r w:rsidR="00FD1A55">
              <w:rPr>
                <w:noProof/>
                <w:webHidden/>
              </w:rPr>
            </w:r>
            <w:r w:rsidR="00FD1A55">
              <w:rPr>
                <w:noProof/>
                <w:webHidden/>
              </w:rPr>
              <w:fldChar w:fldCharType="separate"/>
            </w:r>
            <w:r w:rsidR="00FD1A55">
              <w:rPr>
                <w:noProof/>
                <w:webHidden/>
              </w:rPr>
              <w:t>6</w:t>
            </w:r>
            <w:r w:rsidR="00FD1A55">
              <w:rPr>
                <w:noProof/>
                <w:webHidden/>
              </w:rPr>
              <w:fldChar w:fldCharType="end"/>
            </w:r>
          </w:hyperlink>
        </w:p>
        <w:p w14:paraId="0B566BF3" w14:textId="77777777" w:rsidR="00FD1A55" w:rsidRDefault="002B3FCD">
          <w:pPr>
            <w:pStyle w:val="TOC2"/>
            <w:rPr>
              <w:rFonts w:asciiTheme="minorHAnsi" w:hAnsiTheme="minorHAnsi"/>
              <w:noProof/>
              <w:lang w:eastAsia="en-AU"/>
            </w:rPr>
          </w:pPr>
          <w:hyperlink w:anchor="_Toc516189328" w:history="1">
            <w:r w:rsidR="00FD1A55" w:rsidRPr="003656AC">
              <w:rPr>
                <w:rStyle w:val="Hyperlink"/>
                <w:noProof/>
              </w:rPr>
              <w:t>1.3.</w:t>
            </w:r>
            <w:r w:rsidR="00FD1A55">
              <w:rPr>
                <w:rFonts w:asciiTheme="minorHAnsi" w:hAnsiTheme="minorHAnsi"/>
                <w:noProof/>
                <w:lang w:eastAsia="en-AU"/>
              </w:rPr>
              <w:tab/>
            </w:r>
            <w:r w:rsidR="00FD1A55" w:rsidRPr="003656AC">
              <w:rPr>
                <w:rStyle w:val="Hyperlink"/>
                <w:noProof/>
              </w:rPr>
              <w:t>Program Strategy</w:t>
            </w:r>
            <w:r w:rsidR="00FD1A55">
              <w:rPr>
                <w:noProof/>
                <w:webHidden/>
              </w:rPr>
              <w:tab/>
            </w:r>
            <w:r w:rsidR="00FD1A55">
              <w:rPr>
                <w:noProof/>
                <w:webHidden/>
              </w:rPr>
              <w:fldChar w:fldCharType="begin"/>
            </w:r>
            <w:r w:rsidR="00FD1A55">
              <w:rPr>
                <w:noProof/>
                <w:webHidden/>
              </w:rPr>
              <w:instrText xml:space="preserve"> PAGEREF _Toc516189328 \h </w:instrText>
            </w:r>
            <w:r w:rsidR="00FD1A55">
              <w:rPr>
                <w:noProof/>
                <w:webHidden/>
              </w:rPr>
            </w:r>
            <w:r w:rsidR="00FD1A55">
              <w:rPr>
                <w:noProof/>
                <w:webHidden/>
              </w:rPr>
              <w:fldChar w:fldCharType="separate"/>
            </w:r>
            <w:r w:rsidR="00FD1A55">
              <w:rPr>
                <w:noProof/>
                <w:webHidden/>
              </w:rPr>
              <w:t>6</w:t>
            </w:r>
            <w:r w:rsidR="00FD1A55">
              <w:rPr>
                <w:noProof/>
                <w:webHidden/>
              </w:rPr>
              <w:fldChar w:fldCharType="end"/>
            </w:r>
          </w:hyperlink>
        </w:p>
        <w:p w14:paraId="0D780779" w14:textId="77777777" w:rsidR="00FD1A55" w:rsidRDefault="002B3FCD">
          <w:pPr>
            <w:pStyle w:val="TOC2"/>
            <w:rPr>
              <w:rFonts w:asciiTheme="minorHAnsi" w:hAnsiTheme="minorHAnsi"/>
              <w:noProof/>
              <w:lang w:eastAsia="en-AU"/>
            </w:rPr>
          </w:pPr>
          <w:hyperlink w:anchor="_Toc516189329" w:history="1">
            <w:r w:rsidR="00FD1A55" w:rsidRPr="003656AC">
              <w:rPr>
                <w:rStyle w:val="Hyperlink"/>
                <w:noProof/>
              </w:rPr>
              <w:t>1.4.</w:t>
            </w:r>
            <w:r w:rsidR="00FD1A55">
              <w:rPr>
                <w:rFonts w:asciiTheme="minorHAnsi" w:hAnsiTheme="minorHAnsi"/>
                <w:noProof/>
                <w:lang w:eastAsia="en-AU"/>
              </w:rPr>
              <w:tab/>
            </w:r>
            <w:r w:rsidR="00FD1A55" w:rsidRPr="003656AC">
              <w:rPr>
                <w:rStyle w:val="Hyperlink"/>
                <w:noProof/>
              </w:rPr>
              <w:t>Program Delivery</w:t>
            </w:r>
            <w:r w:rsidR="00FD1A55">
              <w:rPr>
                <w:noProof/>
                <w:webHidden/>
              </w:rPr>
              <w:tab/>
            </w:r>
            <w:r w:rsidR="00FD1A55">
              <w:rPr>
                <w:noProof/>
                <w:webHidden/>
              </w:rPr>
              <w:fldChar w:fldCharType="begin"/>
            </w:r>
            <w:r w:rsidR="00FD1A55">
              <w:rPr>
                <w:noProof/>
                <w:webHidden/>
              </w:rPr>
              <w:instrText xml:space="preserve"> PAGEREF _Toc516189329 \h </w:instrText>
            </w:r>
            <w:r w:rsidR="00FD1A55">
              <w:rPr>
                <w:noProof/>
                <w:webHidden/>
              </w:rPr>
            </w:r>
            <w:r w:rsidR="00FD1A55">
              <w:rPr>
                <w:noProof/>
                <w:webHidden/>
              </w:rPr>
              <w:fldChar w:fldCharType="separate"/>
            </w:r>
            <w:r w:rsidR="00FD1A55">
              <w:rPr>
                <w:noProof/>
                <w:webHidden/>
              </w:rPr>
              <w:t>7</w:t>
            </w:r>
            <w:r w:rsidR="00FD1A55">
              <w:rPr>
                <w:noProof/>
                <w:webHidden/>
              </w:rPr>
              <w:fldChar w:fldCharType="end"/>
            </w:r>
          </w:hyperlink>
        </w:p>
        <w:p w14:paraId="50C3574A" w14:textId="77777777" w:rsidR="00FD1A55" w:rsidRDefault="002B3FCD">
          <w:pPr>
            <w:pStyle w:val="TOC2"/>
            <w:rPr>
              <w:rFonts w:asciiTheme="minorHAnsi" w:hAnsiTheme="minorHAnsi"/>
              <w:noProof/>
              <w:lang w:eastAsia="en-AU"/>
            </w:rPr>
          </w:pPr>
          <w:hyperlink w:anchor="_Toc516189330" w:history="1">
            <w:r w:rsidR="00FD1A55" w:rsidRPr="003656AC">
              <w:rPr>
                <w:rStyle w:val="Hyperlink"/>
                <w:noProof/>
              </w:rPr>
              <w:t>1.5.</w:t>
            </w:r>
            <w:r w:rsidR="00FD1A55">
              <w:rPr>
                <w:rFonts w:asciiTheme="minorHAnsi" w:hAnsiTheme="minorHAnsi"/>
                <w:noProof/>
                <w:lang w:eastAsia="en-AU"/>
              </w:rPr>
              <w:tab/>
            </w:r>
            <w:r w:rsidR="00FD1A55" w:rsidRPr="003656AC">
              <w:rPr>
                <w:rStyle w:val="Hyperlink"/>
                <w:noProof/>
              </w:rPr>
              <w:t>Measuring Progress</w:t>
            </w:r>
            <w:r w:rsidR="00FD1A55">
              <w:rPr>
                <w:noProof/>
                <w:webHidden/>
              </w:rPr>
              <w:tab/>
            </w:r>
            <w:r w:rsidR="00FD1A55">
              <w:rPr>
                <w:noProof/>
                <w:webHidden/>
              </w:rPr>
              <w:fldChar w:fldCharType="begin"/>
            </w:r>
            <w:r w:rsidR="00FD1A55">
              <w:rPr>
                <w:noProof/>
                <w:webHidden/>
              </w:rPr>
              <w:instrText xml:space="preserve"> PAGEREF _Toc516189330 \h </w:instrText>
            </w:r>
            <w:r w:rsidR="00FD1A55">
              <w:rPr>
                <w:noProof/>
                <w:webHidden/>
              </w:rPr>
            </w:r>
            <w:r w:rsidR="00FD1A55">
              <w:rPr>
                <w:noProof/>
                <w:webHidden/>
              </w:rPr>
              <w:fldChar w:fldCharType="separate"/>
            </w:r>
            <w:r w:rsidR="00FD1A55">
              <w:rPr>
                <w:noProof/>
                <w:webHidden/>
              </w:rPr>
              <w:t>7</w:t>
            </w:r>
            <w:r w:rsidR="00FD1A55">
              <w:rPr>
                <w:noProof/>
                <w:webHidden/>
              </w:rPr>
              <w:fldChar w:fldCharType="end"/>
            </w:r>
          </w:hyperlink>
        </w:p>
        <w:p w14:paraId="70F8A3C5" w14:textId="77777777" w:rsidR="00FD1A55" w:rsidRDefault="002B3FCD">
          <w:pPr>
            <w:pStyle w:val="TOC2"/>
            <w:rPr>
              <w:rFonts w:asciiTheme="minorHAnsi" w:hAnsiTheme="minorHAnsi"/>
              <w:noProof/>
              <w:lang w:eastAsia="en-AU"/>
            </w:rPr>
          </w:pPr>
          <w:hyperlink w:anchor="_Toc516189331" w:history="1">
            <w:r w:rsidR="00FD1A55" w:rsidRPr="003656AC">
              <w:rPr>
                <w:rStyle w:val="Hyperlink"/>
                <w:noProof/>
              </w:rPr>
              <w:t>1.6.</w:t>
            </w:r>
            <w:r w:rsidR="00FD1A55">
              <w:rPr>
                <w:rFonts w:asciiTheme="minorHAnsi" w:hAnsiTheme="minorHAnsi"/>
                <w:noProof/>
                <w:lang w:eastAsia="en-AU"/>
              </w:rPr>
              <w:tab/>
            </w:r>
            <w:r w:rsidR="00FD1A55" w:rsidRPr="003656AC">
              <w:rPr>
                <w:rStyle w:val="Hyperlink"/>
                <w:noProof/>
              </w:rPr>
              <w:t>Resourcing</w:t>
            </w:r>
            <w:r w:rsidR="00FD1A55">
              <w:rPr>
                <w:noProof/>
                <w:webHidden/>
              </w:rPr>
              <w:tab/>
            </w:r>
            <w:r w:rsidR="00FD1A55">
              <w:rPr>
                <w:noProof/>
                <w:webHidden/>
              </w:rPr>
              <w:fldChar w:fldCharType="begin"/>
            </w:r>
            <w:r w:rsidR="00FD1A55">
              <w:rPr>
                <w:noProof/>
                <w:webHidden/>
              </w:rPr>
              <w:instrText xml:space="preserve"> PAGEREF _Toc516189331 \h </w:instrText>
            </w:r>
            <w:r w:rsidR="00FD1A55">
              <w:rPr>
                <w:noProof/>
                <w:webHidden/>
              </w:rPr>
            </w:r>
            <w:r w:rsidR="00FD1A55">
              <w:rPr>
                <w:noProof/>
                <w:webHidden/>
              </w:rPr>
              <w:fldChar w:fldCharType="separate"/>
            </w:r>
            <w:r w:rsidR="00FD1A55">
              <w:rPr>
                <w:noProof/>
                <w:webHidden/>
              </w:rPr>
              <w:t>8</w:t>
            </w:r>
            <w:r w:rsidR="00FD1A55">
              <w:rPr>
                <w:noProof/>
                <w:webHidden/>
              </w:rPr>
              <w:fldChar w:fldCharType="end"/>
            </w:r>
          </w:hyperlink>
        </w:p>
        <w:p w14:paraId="0DAFC05E" w14:textId="77777777" w:rsidR="00FD1A55" w:rsidRDefault="002B3FCD">
          <w:pPr>
            <w:pStyle w:val="TOC1"/>
            <w:rPr>
              <w:rFonts w:asciiTheme="minorHAnsi" w:hAnsiTheme="minorHAnsi"/>
              <w:noProof/>
              <w:lang w:eastAsia="en-AU"/>
            </w:rPr>
          </w:pPr>
          <w:hyperlink w:anchor="_Toc516189332" w:history="1">
            <w:r w:rsidR="00FD1A55" w:rsidRPr="003656AC">
              <w:rPr>
                <w:rStyle w:val="Hyperlink"/>
                <w:noProof/>
              </w:rPr>
              <w:t>2.</w:t>
            </w:r>
            <w:r w:rsidR="00FD1A55">
              <w:rPr>
                <w:rFonts w:asciiTheme="minorHAnsi" w:hAnsiTheme="minorHAnsi"/>
                <w:noProof/>
                <w:lang w:eastAsia="en-AU"/>
              </w:rPr>
              <w:tab/>
            </w:r>
            <w:r w:rsidR="00FD1A55" w:rsidRPr="003656AC">
              <w:rPr>
                <w:rStyle w:val="Hyperlink"/>
                <w:noProof/>
              </w:rPr>
              <w:t>Analysis and Strategic Context</w:t>
            </w:r>
            <w:r w:rsidR="00FD1A55">
              <w:rPr>
                <w:noProof/>
                <w:webHidden/>
              </w:rPr>
              <w:tab/>
            </w:r>
            <w:r w:rsidR="00FD1A55">
              <w:rPr>
                <w:noProof/>
                <w:webHidden/>
              </w:rPr>
              <w:fldChar w:fldCharType="begin"/>
            </w:r>
            <w:r w:rsidR="00FD1A55">
              <w:rPr>
                <w:noProof/>
                <w:webHidden/>
              </w:rPr>
              <w:instrText xml:space="preserve"> PAGEREF _Toc516189332 \h </w:instrText>
            </w:r>
            <w:r w:rsidR="00FD1A55">
              <w:rPr>
                <w:noProof/>
                <w:webHidden/>
              </w:rPr>
            </w:r>
            <w:r w:rsidR="00FD1A55">
              <w:rPr>
                <w:noProof/>
                <w:webHidden/>
              </w:rPr>
              <w:fldChar w:fldCharType="separate"/>
            </w:r>
            <w:r w:rsidR="00FD1A55">
              <w:rPr>
                <w:noProof/>
                <w:webHidden/>
              </w:rPr>
              <w:t>9</w:t>
            </w:r>
            <w:r w:rsidR="00FD1A55">
              <w:rPr>
                <w:noProof/>
                <w:webHidden/>
              </w:rPr>
              <w:fldChar w:fldCharType="end"/>
            </w:r>
          </w:hyperlink>
        </w:p>
        <w:p w14:paraId="2A739D1B" w14:textId="77777777" w:rsidR="00FD1A55" w:rsidRDefault="002B3FCD">
          <w:pPr>
            <w:pStyle w:val="TOC2"/>
            <w:rPr>
              <w:rFonts w:asciiTheme="minorHAnsi" w:hAnsiTheme="minorHAnsi"/>
              <w:noProof/>
              <w:lang w:eastAsia="en-AU"/>
            </w:rPr>
          </w:pPr>
          <w:hyperlink w:anchor="_Toc516189333" w:history="1">
            <w:r w:rsidR="00FD1A55" w:rsidRPr="003656AC">
              <w:rPr>
                <w:rStyle w:val="Hyperlink"/>
                <w:noProof/>
              </w:rPr>
              <w:t>2.1.</w:t>
            </w:r>
            <w:r w:rsidR="00FD1A55">
              <w:rPr>
                <w:rFonts w:asciiTheme="minorHAnsi" w:hAnsiTheme="minorHAnsi"/>
                <w:noProof/>
                <w:lang w:eastAsia="en-AU"/>
              </w:rPr>
              <w:tab/>
            </w:r>
            <w:r w:rsidR="00FD1A55" w:rsidRPr="003656AC">
              <w:rPr>
                <w:rStyle w:val="Hyperlink"/>
                <w:noProof/>
              </w:rPr>
              <w:t>Country/Regional and Sector Issues</w:t>
            </w:r>
            <w:r w:rsidR="00FD1A55">
              <w:rPr>
                <w:noProof/>
                <w:webHidden/>
              </w:rPr>
              <w:tab/>
            </w:r>
            <w:r w:rsidR="00FD1A55">
              <w:rPr>
                <w:noProof/>
                <w:webHidden/>
              </w:rPr>
              <w:fldChar w:fldCharType="begin"/>
            </w:r>
            <w:r w:rsidR="00FD1A55">
              <w:rPr>
                <w:noProof/>
                <w:webHidden/>
              </w:rPr>
              <w:instrText xml:space="preserve"> PAGEREF _Toc516189333 \h </w:instrText>
            </w:r>
            <w:r w:rsidR="00FD1A55">
              <w:rPr>
                <w:noProof/>
                <w:webHidden/>
              </w:rPr>
            </w:r>
            <w:r w:rsidR="00FD1A55">
              <w:rPr>
                <w:noProof/>
                <w:webHidden/>
              </w:rPr>
              <w:fldChar w:fldCharType="separate"/>
            </w:r>
            <w:r w:rsidR="00FD1A55">
              <w:rPr>
                <w:noProof/>
                <w:webHidden/>
              </w:rPr>
              <w:t>9</w:t>
            </w:r>
            <w:r w:rsidR="00FD1A55">
              <w:rPr>
                <w:noProof/>
                <w:webHidden/>
              </w:rPr>
              <w:fldChar w:fldCharType="end"/>
            </w:r>
          </w:hyperlink>
        </w:p>
        <w:p w14:paraId="305EEF2C" w14:textId="77777777" w:rsidR="00FD1A55" w:rsidRDefault="002B3FCD">
          <w:pPr>
            <w:pStyle w:val="TOC3"/>
            <w:rPr>
              <w:rFonts w:asciiTheme="minorHAnsi" w:hAnsiTheme="minorHAnsi"/>
              <w:noProof/>
              <w:lang w:eastAsia="en-AU"/>
            </w:rPr>
          </w:pPr>
          <w:hyperlink w:anchor="_Toc516189334" w:history="1">
            <w:r w:rsidR="00FD1A55" w:rsidRPr="003656AC">
              <w:rPr>
                <w:rStyle w:val="Hyperlink"/>
                <w:noProof/>
              </w:rPr>
              <w:t>2.1.1.</w:t>
            </w:r>
            <w:r w:rsidR="00FD1A55">
              <w:rPr>
                <w:rFonts w:asciiTheme="minorHAnsi" w:hAnsiTheme="minorHAnsi"/>
                <w:noProof/>
                <w:lang w:eastAsia="en-AU"/>
              </w:rPr>
              <w:tab/>
            </w:r>
            <w:r w:rsidR="00FD1A55" w:rsidRPr="003656AC">
              <w:rPr>
                <w:rStyle w:val="Hyperlink"/>
                <w:noProof/>
              </w:rPr>
              <w:t>Country Context</w:t>
            </w:r>
            <w:r w:rsidR="00FD1A55">
              <w:rPr>
                <w:noProof/>
                <w:webHidden/>
              </w:rPr>
              <w:tab/>
            </w:r>
            <w:r w:rsidR="00FD1A55">
              <w:rPr>
                <w:noProof/>
                <w:webHidden/>
              </w:rPr>
              <w:fldChar w:fldCharType="begin"/>
            </w:r>
            <w:r w:rsidR="00FD1A55">
              <w:rPr>
                <w:noProof/>
                <w:webHidden/>
              </w:rPr>
              <w:instrText xml:space="preserve"> PAGEREF _Toc516189334 \h </w:instrText>
            </w:r>
            <w:r w:rsidR="00FD1A55">
              <w:rPr>
                <w:noProof/>
                <w:webHidden/>
              </w:rPr>
            </w:r>
            <w:r w:rsidR="00FD1A55">
              <w:rPr>
                <w:noProof/>
                <w:webHidden/>
              </w:rPr>
              <w:fldChar w:fldCharType="separate"/>
            </w:r>
            <w:r w:rsidR="00FD1A55">
              <w:rPr>
                <w:noProof/>
                <w:webHidden/>
              </w:rPr>
              <w:t>9</w:t>
            </w:r>
            <w:r w:rsidR="00FD1A55">
              <w:rPr>
                <w:noProof/>
                <w:webHidden/>
              </w:rPr>
              <w:fldChar w:fldCharType="end"/>
            </w:r>
          </w:hyperlink>
        </w:p>
        <w:p w14:paraId="450A4712" w14:textId="77777777" w:rsidR="00FD1A55" w:rsidRDefault="002B3FCD">
          <w:pPr>
            <w:pStyle w:val="TOC3"/>
            <w:rPr>
              <w:rFonts w:asciiTheme="minorHAnsi" w:hAnsiTheme="minorHAnsi"/>
              <w:noProof/>
              <w:lang w:eastAsia="en-AU"/>
            </w:rPr>
          </w:pPr>
          <w:hyperlink w:anchor="_Toc516189335" w:history="1">
            <w:r w:rsidR="00FD1A55" w:rsidRPr="003656AC">
              <w:rPr>
                <w:rStyle w:val="Hyperlink"/>
                <w:noProof/>
              </w:rPr>
              <w:t>2.1.2.</w:t>
            </w:r>
            <w:r w:rsidR="00FD1A55">
              <w:rPr>
                <w:rFonts w:asciiTheme="minorHAnsi" w:hAnsiTheme="minorHAnsi"/>
                <w:noProof/>
                <w:lang w:eastAsia="en-AU"/>
              </w:rPr>
              <w:tab/>
            </w:r>
            <w:r w:rsidR="00FD1A55" w:rsidRPr="003656AC">
              <w:rPr>
                <w:rStyle w:val="Hyperlink"/>
                <w:noProof/>
              </w:rPr>
              <w:t>Law &amp; Justice Sector Context</w:t>
            </w:r>
            <w:r w:rsidR="00FD1A55">
              <w:rPr>
                <w:noProof/>
                <w:webHidden/>
              </w:rPr>
              <w:tab/>
            </w:r>
            <w:r w:rsidR="00FD1A55">
              <w:rPr>
                <w:noProof/>
                <w:webHidden/>
              </w:rPr>
              <w:fldChar w:fldCharType="begin"/>
            </w:r>
            <w:r w:rsidR="00FD1A55">
              <w:rPr>
                <w:noProof/>
                <w:webHidden/>
              </w:rPr>
              <w:instrText xml:space="preserve"> PAGEREF _Toc516189335 \h </w:instrText>
            </w:r>
            <w:r w:rsidR="00FD1A55">
              <w:rPr>
                <w:noProof/>
                <w:webHidden/>
              </w:rPr>
            </w:r>
            <w:r w:rsidR="00FD1A55">
              <w:rPr>
                <w:noProof/>
                <w:webHidden/>
              </w:rPr>
              <w:fldChar w:fldCharType="separate"/>
            </w:r>
            <w:r w:rsidR="00FD1A55">
              <w:rPr>
                <w:noProof/>
                <w:webHidden/>
              </w:rPr>
              <w:t>9</w:t>
            </w:r>
            <w:r w:rsidR="00FD1A55">
              <w:rPr>
                <w:noProof/>
                <w:webHidden/>
              </w:rPr>
              <w:fldChar w:fldCharType="end"/>
            </w:r>
          </w:hyperlink>
        </w:p>
        <w:p w14:paraId="36556072" w14:textId="77777777" w:rsidR="00FD1A55" w:rsidRDefault="002B3FCD">
          <w:pPr>
            <w:pStyle w:val="TOC3"/>
            <w:rPr>
              <w:rFonts w:asciiTheme="minorHAnsi" w:hAnsiTheme="minorHAnsi"/>
              <w:noProof/>
              <w:lang w:eastAsia="en-AU"/>
            </w:rPr>
          </w:pPr>
          <w:hyperlink w:anchor="_Toc516189336" w:history="1">
            <w:r w:rsidR="00FD1A55" w:rsidRPr="003656AC">
              <w:rPr>
                <w:rStyle w:val="Hyperlink"/>
                <w:noProof/>
              </w:rPr>
              <w:t>2.1.3.</w:t>
            </w:r>
            <w:r w:rsidR="00FD1A55">
              <w:rPr>
                <w:rFonts w:asciiTheme="minorHAnsi" w:hAnsiTheme="minorHAnsi"/>
                <w:noProof/>
                <w:lang w:eastAsia="en-AU"/>
              </w:rPr>
              <w:tab/>
            </w:r>
            <w:r w:rsidR="00FD1A55" w:rsidRPr="003656AC">
              <w:rPr>
                <w:rStyle w:val="Hyperlink"/>
                <w:noProof/>
              </w:rPr>
              <w:t>Policing Context</w:t>
            </w:r>
            <w:r w:rsidR="00FD1A55">
              <w:rPr>
                <w:noProof/>
                <w:webHidden/>
              </w:rPr>
              <w:tab/>
            </w:r>
            <w:r w:rsidR="00FD1A55">
              <w:rPr>
                <w:noProof/>
                <w:webHidden/>
              </w:rPr>
              <w:fldChar w:fldCharType="begin"/>
            </w:r>
            <w:r w:rsidR="00FD1A55">
              <w:rPr>
                <w:noProof/>
                <w:webHidden/>
              </w:rPr>
              <w:instrText xml:space="preserve"> PAGEREF _Toc516189336 \h </w:instrText>
            </w:r>
            <w:r w:rsidR="00FD1A55">
              <w:rPr>
                <w:noProof/>
                <w:webHidden/>
              </w:rPr>
            </w:r>
            <w:r w:rsidR="00FD1A55">
              <w:rPr>
                <w:noProof/>
                <w:webHidden/>
              </w:rPr>
              <w:fldChar w:fldCharType="separate"/>
            </w:r>
            <w:r w:rsidR="00FD1A55">
              <w:rPr>
                <w:noProof/>
                <w:webHidden/>
              </w:rPr>
              <w:t>11</w:t>
            </w:r>
            <w:r w:rsidR="00FD1A55">
              <w:rPr>
                <w:noProof/>
                <w:webHidden/>
              </w:rPr>
              <w:fldChar w:fldCharType="end"/>
            </w:r>
          </w:hyperlink>
        </w:p>
        <w:p w14:paraId="0461C644" w14:textId="77777777" w:rsidR="00FD1A55" w:rsidRDefault="002B3FCD">
          <w:pPr>
            <w:pStyle w:val="TOC3"/>
            <w:rPr>
              <w:rFonts w:asciiTheme="minorHAnsi" w:hAnsiTheme="minorHAnsi"/>
              <w:noProof/>
              <w:lang w:eastAsia="en-AU"/>
            </w:rPr>
          </w:pPr>
          <w:hyperlink w:anchor="_Toc516189337" w:history="1">
            <w:r w:rsidR="00FD1A55" w:rsidRPr="003656AC">
              <w:rPr>
                <w:rStyle w:val="Hyperlink"/>
                <w:noProof/>
              </w:rPr>
              <w:t>2.1.4.</w:t>
            </w:r>
            <w:r w:rsidR="00FD1A55">
              <w:rPr>
                <w:rFonts w:asciiTheme="minorHAnsi" w:hAnsiTheme="minorHAnsi"/>
                <w:noProof/>
                <w:lang w:eastAsia="en-AU"/>
              </w:rPr>
              <w:tab/>
            </w:r>
            <w:r w:rsidR="00FD1A55" w:rsidRPr="003656AC">
              <w:rPr>
                <w:rStyle w:val="Hyperlink"/>
                <w:noProof/>
              </w:rPr>
              <w:t>Governance across the GoDRTL and PNTL</w:t>
            </w:r>
            <w:r w:rsidR="00FD1A55">
              <w:rPr>
                <w:noProof/>
                <w:webHidden/>
              </w:rPr>
              <w:tab/>
            </w:r>
            <w:r w:rsidR="00FD1A55">
              <w:rPr>
                <w:noProof/>
                <w:webHidden/>
              </w:rPr>
              <w:fldChar w:fldCharType="begin"/>
            </w:r>
            <w:r w:rsidR="00FD1A55">
              <w:rPr>
                <w:noProof/>
                <w:webHidden/>
              </w:rPr>
              <w:instrText xml:space="preserve"> PAGEREF _Toc516189337 \h </w:instrText>
            </w:r>
            <w:r w:rsidR="00FD1A55">
              <w:rPr>
                <w:noProof/>
                <w:webHidden/>
              </w:rPr>
            </w:r>
            <w:r w:rsidR="00FD1A55">
              <w:rPr>
                <w:noProof/>
                <w:webHidden/>
              </w:rPr>
              <w:fldChar w:fldCharType="separate"/>
            </w:r>
            <w:r w:rsidR="00FD1A55">
              <w:rPr>
                <w:noProof/>
                <w:webHidden/>
              </w:rPr>
              <w:t>11</w:t>
            </w:r>
            <w:r w:rsidR="00FD1A55">
              <w:rPr>
                <w:noProof/>
                <w:webHidden/>
              </w:rPr>
              <w:fldChar w:fldCharType="end"/>
            </w:r>
          </w:hyperlink>
        </w:p>
        <w:p w14:paraId="35FFD1CE" w14:textId="77777777" w:rsidR="00FD1A55" w:rsidRDefault="002B3FCD">
          <w:pPr>
            <w:pStyle w:val="TOC2"/>
            <w:rPr>
              <w:rFonts w:asciiTheme="minorHAnsi" w:hAnsiTheme="minorHAnsi"/>
              <w:noProof/>
              <w:lang w:eastAsia="en-AU"/>
            </w:rPr>
          </w:pPr>
          <w:hyperlink w:anchor="_Toc516189338" w:history="1">
            <w:r w:rsidR="00FD1A55" w:rsidRPr="003656AC">
              <w:rPr>
                <w:rStyle w:val="Hyperlink"/>
                <w:noProof/>
              </w:rPr>
              <w:t>2.2.</w:t>
            </w:r>
            <w:r w:rsidR="00FD1A55">
              <w:rPr>
                <w:rFonts w:asciiTheme="minorHAnsi" w:hAnsiTheme="minorHAnsi"/>
                <w:noProof/>
                <w:lang w:eastAsia="en-AU"/>
              </w:rPr>
              <w:tab/>
            </w:r>
            <w:r w:rsidR="00FD1A55" w:rsidRPr="003656AC">
              <w:rPr>
                <w:rStyle w:val="Hyperlink"/>
                <w:noProof/>
              </w:rPr>
              <w:t>Evidence-base/Lessons Learned</w:t>
            </w:r>
            <w:r w:rsidR="00FD1A55">
              <w:rPr>
                <w:noProof/>
                <w:webHidden/>
              </w:rPr>
              <w:tab/>
            </w:r>
            <w:r w:rsidR="00FD1A55">
              <w:rPr>
                <w:noProof/>
                <w:webHidden/>
              </w:rPr>
              <w:fldChar w:fldCharType="begin"/>
            </w:r>
            <w:r w:rsidR="00FD1A55">
              <w:rPr>
                <w:noProof/>
                <w:webHidden/>
              </w:rPr>
              <w:instrText xml:space="preserve"> PAGEREF _Toc516189338 \h </w:instrText>
            </w:r>
            <w:r w:rsidR="00FD1A55">
              <w:rPr>
                <w:noProof/>
                <w:webHidden/>
              </w:rPr>
            </w:r>
            <w:r w:rsidR="00FD1A55">
              <w:rPr>
                <w:noProof/>
                <w:webHidden/>
              </w:rPr>
              <w:fldChar w:fldCharType="separate"/>
            </w:r>
            <w:r w:rsidR="00FD1A55">
              <w:rPr>
                <w:noProof/>
                <w:webHidden/>
              </w:rPr>
              <w:t>12</w:t>
            </w:r>
            <w:r w:rsidR="00FD1A55">
              <w:rPr>
                <w:noProof/>
                <w:webHidden/>
              </w:rPr>
              <w:fldChar w:fldCharType="end"/>
            </w:r>
          </w:hyperlink>
        </w:p>
        <w:p w14:paraId="3220A108" w14:textId="77777777" w:rsidR="00FD1A55" w:rsidRDefault="002B3FCD">
          <w:pPr>
            <w:pStyle w:val="TOC3"/>
            <w:rPr>
              <w:rFonts w:asciiTheme="minorHAnsi" w:hAnsiTheme="minorHAnsi"/>
              <w:noProof/>
              <w:lang w:eastAsia="en-AU"/>
            </w:rPr>
          </w:pPr>
          <w:hyperlink w:anchor="_Toc516189339" w:history="1">
            <w:r w:rsidR="00FD1A55" w:rsidRPr="003656AC">
              <w:rPr>
                <w:rStyle w:val="Hyperlink"/>
                <w:noProof/>
              </w:rPr>
              <w:t>2.2.1.</w:t>
            </w:r>
            <w:r w:rsidR="00FD1A55">
              <w:rPr>
                <w:rFonts w:asciiTheme="minorHAnsi" w:hAnsiTheme="minorHAnsi"/>
                <w:noProof/>
                <w:lang w:eastAsia="en-AU"/>
              </w:rPr>
              <w:tab/>
            </w:r>
            <w:r w:rsidR="00FD1A55" w:rsidRPr="003656AC">
              <w:rPr>
                <w:rStyle w:val="Hyperlink"/>
                <w:noProof/>
              </w:rPr>
              <w:t>Partnership and Joint Program Management</w:t>
            </w:r>
            <w:r w:rsidR="00FD1A55">
              <w:rPr>
                <w:noProof/>
                <w:webHidden/>
              </w:rPr>
              <w:tab/>
            </w:r>
            <w:r w:rsidR="00FD1A55">
              <w:rPr>
                <w:noProof/>
                <w:webHidden/>
              </w:rPr>
              <w:fldChar w:fldCharType="begin"/>
            </w:r>
            <w:r w:rsidR="00FD1A55">
              <w:rPr>
                <w:noProof/>
                <w:webHidden/>
              </w:rPr>
              <w:instrText xml:space="preserve"> PAGEREF _Toc516189339 \h </w:instrText>
            </w:r>
            <w:r w:rsidR="00FD1A55">
              <w:rPr>
                <w:noProof/>
                <w:webHidden/>
              </w:rPr>
            </w:r>
            <w:r w:rsidR="00FD1A55">
              <w:rPr>
                <w:noProof/>
                <w:webHidden/>
              </w:rPr>
              <w:fldChar w:fldCharType="separate"/>
            </w:r>
            <w:r w:rsidR="00FD1A55">
              <w:rPr>
                <w:noProof/>
                <w:webHidden/>
              </w:rPr>
              <w:t>13</w:t>
            </w:r>
            <w:r w:rsidR="00FD1A55">
              <w:rPr>
                <w:noProof/>
                <w:webHidden/>
              </w:rPr>
              <w:fldChar w:fldCharType="end"/>
            </w:r>
          </w:hyperlink>
        </w:p>
        <w:p w14:paraId="28CE778A" w14:textId="77777777" w:rsidR="00FD1A55" w:rsidRDefault="002B3FCD">
          <w:pPr>
            <w:pStyle w:val="TOC3"/>
            <w:rPr>
              <w:rFonts w:asciiTheme="minorHAnsi" w:hAnsiTheme="minorHAnsi"/>
              <w:noProof/>
              <w:lang w:eastAsia="en-AU"/>
            </w:rPr>
          </w:pPr>
          <w:hyperlink w:anchor="_Toc516189340" w:history="1">
            <w:r w:rsidR="00FD1A55" w:rsidRPr="003656AC">
              <w:rPr>
                <w:rStyle w:val="Hyperlink"/>
                <w:noProof/>
              </w:rPr>
              <w:t>2.2.2.</w:t>
            </w:r>
            <w:r w:rsidR="00FD1A55">
              <w:rPr>
                <w:rFonts w:asciiTheme="minorHAnsi" w:hAnsiTheme="minorHAnsi"/>
                <w:noProof/>
                <w:lang w:eastAsia="en-AU"/>
              </w:rPr>
              <w:tab/>
            </w:r>
            <w:r w:rsidR="00FD1A55" w:rsidRPr="003656AC">
              <w:rPr>
                <w:rStyle w:val="Hyperlink"/>
                <w:noProof/>
              </w:rPr>
              <w:t>Long-term but Flexible Planning</w:t>
            </w:r>
            <w:r w:rsidR="00FD1A55">
              <w:rPr>
                <w:noProof/>
                <w:webHidden/>
              </w:rPr>
              <w:tab/>
            </w:r>
            <w:r w:rsidR="00FD1A55">
              <w:rPr>
                <w:noProof/>
                <w:webHidden/>
              </w:rPr>
              <w:fldChar w:fldCharType="begin"/>
            </w:r>
            <w:r w:rsidR="00FD1A55">
              <w:rPr>
                <w:noProof/>
                <w:webHidden/>
              </w:rPr>
              <w:instrText xml:space="preserve"> PAGEREF _Toc516189340 \h </w:instrText>
            </w:r>
            <w:r w:rsidR="00FD1A55">
              <w:rPr>
                <w:noProof/>
                <w:webHidden/>
              </w:rPr>
            </w:r>
            <w:r w:rsidR="00FD1A55">
              <w:rPr>
                <w:noProof/>
                <w:webHidden/>
              </w:rPr>
              <w:fldChar w:fldCharType="separate"/>
            </w:r>
            <w:r w:rsidR="00FD1A55">
              <w:rPr>
                <w:noProof/>
                <w:webHidden/>
              </w:rPr>
              <w:t>13</w:t>
            </w:r>
            <w:r w:rsidR="00FD1A55">
              <w:rPr>
                <w:noProof/>
                <w:webHidden/>
              </w:rPr>
              <w:fldChar w:fldCharType="end"/>
            </w:r>
          </w:hyperlink>
        </w:p>
        <w:p w14:paraId="13CCB57D" w14:textId="77777777" w:rsidR="00FD1A55" w:rsidRDefault="002B3FCD">
          <w:pPr>
            <w:pStyle w:val="TOC3"/>
            <w:rPr>
              <w:rFonts w:asciiTheme="minorHAnsi" w:hAnsiTheme="minorHAnsi"/>
              <w:noProof/>
              <w:lang w:eastAsia="en-AU"/>
            </w:rPr>
          </w:pPr>
          <w:hyperlink w:anchor="_Toc516189341" w:history="1">
            <w:r w:rsidR="00FD1A55" w:rsidRPr="003656AC">
              <w:rPr>
                <w:rStyle w:val="Hyperlink"/>
                <w:noProof/>
              </w:rPr>
              <w:t>2.2.3.</w:t>
            </w:r>
            <w:r w:rsidR="00FD1A55">
              <w:rPr>
                <w:rFonts w:asciiTheme="minorHAnsi" w:hAnsiTheme="minorHAnsi"/>
                <w:noProof/>
                <w:lang w:eastAsia="en-AU"/>
              </w:rPr>
              <w:tab/>
            </w:r>
            <w:r w:rsidR="00FD1A55" w:rsidRPr="003656AC">
              <w:rPr>
                <w:rStyle w:val="Hyperlink"/>
                <w:noProof/>
              </w:rPr>
              <w:t>Importance of Integrated Monitoring, Evaluation and Learning</w:t>
            </w:r>
            <w:r w:rsidR="00FD1A55">
              <w:rPr>
                <w:noProof/>
                <w:webHidden/>
              </w:rPr>
              <w:tab/>
            </w:r>
            <w:r w:rsidR="00FD1A55">
              <w:rPr>
                <w:noProof/>
                <w:webHidden/>
              </w:rPr>
              <w:fldChar w:fldCharType="begin"/>
            </w:r>
            <w:r w:rsidR="00FD1A55">
              <w:rPr>
                <w:noProof/>
                <w:webHidden/>
              </w:rPr>
              <w:instrText xml:space="preserve"> PAGEREF _Toc516189341 \h </w:instrText>
            </w:r>
            <w:r w:rsidR="00FD1A55">
              <w:rPr>
                <w:noProof/>
                <w:webHidden/>
              </w:rPr>
            </w:r>
            <w:r w:rsidR="00FD1A55">
              <w:rPr>
                <w:noProof/>
                <w:webHidden/>
              </w:rPr>
              <w:fldChar w:fldCharType="separate"/>
            </w:r>
            <w:r w:rsidR="00FD1A55">
              <w:rPr>
                <w:noProof/>
                <w:webHidden/>
              </w:rPr>
              <w:t>13</w:t>
            </w:r>
            <w:r w:rsidR="00FD1A55">
              <w:rPr>
                <w:noProof/>
                <w:webHidden/>
              </w:rPr>
              <w:fldChar w:fldCharType="end"/>
            </w:r>
          </w:hyperlink>
        </w:p>
        <w:p w14:paraId="2F5B3369" w14:textId="77777777" w:rsidR="00FD1A55" w:rsidRDefault="002B3FCD">
          <w:pPr>
            <w:pStyle w:val="TOC3"/>
            <w:rPr>
              <w:rFonts w:asciiTheme="minorHAnsi" w:hAnsiTheme="minorHAnsi"/>
              <w:noProof/>
              <w:lang w:eastAsia="en-AU"/>
            </w:rPr>
          </w:pPr>
          <w:hyperlink w:anchor="_Toc516189342" w:history="1">
            <w:r w:rsidR="00FD1A55" w:rsidRPr="003656AC">
              <w:rPr>
                <w:rStyle w:val="Hyperlink"/>
                <w:noProof/>
              </w:rPr>
              <w:t>2.2.4.</w:t>
            </w:r>
            <w:r w:rsidR="00FD1A55">
              <w:rPr>
                <w:rFonts w:asciiTheme="minorHAnsi" w:hAnsiTheme="minorHAnsi"/>
                <w:noProof/>
                <w:lang w:eastAsia="en-AU"/>
              </w:rPr>
              <w:tab/>
            </w:r>
            <w:r w:rsidR="00FD1A55" w:rsidRPr="003656AC">
              <w:rPr>
                <w:rStyle w:val="Hyperlink"/>
                <w:noProof/>
              </w:rPr>
              <w:t>Importance of Individuals and Effective Adviser Management</w:t>
            </w:r>
            <w:r w:rsidR="00FD1A55">
              <w:rPr>
                <w:noProof/>
                <w:webHidden/>
              </w:rPr>
              <w:tab/>
            </w:r>
            <w:r w:rsidR="00FD1A55">
              <w:rPr>
                <w:noProof/>
                <w:webHidden/>
              </w:rPr>
              <w:fldChar w:fldCharType="begin"/>
            </w:r>
            <w:r w:rsidR="00FD1A55">
              <w:rPr>
                <w:noProof/>
                <w:webHidden/>
              </w:rPr>
              <w:instrText xml:space="preserve"> PAGEREF _Toc516189342 \h </w:instrText>
            </w:r>
            <w:r w:rsidR="00FD1A55">
              <w:rPr>
                <w:noProof/>
                <w:webHidden/>
              </w:rPr>
            </w:r>
            <w:r w:rsidR="00FD1A55">
              <w:rPr>
                <w:noProof/>
                <w:webHidden/>
              </w:rPr>
              <w:fldChar w:fldCharType="separate"/>
            </w:r>
            <w:r w:rsidR="00FD1A55">
              <w:rPr>
                <w:noProof/>
                <w:webHidden/>
              </w:rPr>
              <w:t>13</w:t>
            </w:r>
            <w:r w:rsidR="00FD1A55">
              <w:rPr>
                <w:noProof/>
                <w:webHidden/>
              </w:rPr>
              <w:fldChar w:fldCharType="end"/>
            </w:r>
          </w:hyperlink>
        </w:p>
        <w:p w14:paraId="58D0030F" w14:textId="77777777" w:rsidR="00FD1A55" w:rsidRDefault="002B3FCD">
          <w:pPr>
            <w:pStyle w:val="TOC3"/>
            <w:rPr>
              <w:rFonts w:asciiTheme="minorHAnsi" w:hAnsiTheme="minorHAnsi"/>
              <w:noProof/>
              <w:lang w:eastAsia="en-AU"/>
            </w:rPr>
          </w:pPr>
          <w:hyperlink w:anchor="_Toc516189343" w:history="1">
            <w:r w:rsidR="00FD1A55" w:rsidRPr="003656AC">
              <w:rPr>
                <w:rStyle w:val="Hyperlink"/>
                <w:noProof/>
              </w:rPr>
              <w:t>2.2.5.</w:t>
            </w:r>
            <w:r w:rsidR="00FD1A55">
              <w:rPr>
                <w:rFonts w:asciiTheme="minorHAnsi" w:hAnsiTheme="minorHAnsi"/>
                <w:noProof/>
                <w:lang w:eastAsia="en-AU"/>
              </w:rPr>
              <w:tab/>
            </w:r>
            <w:r w:rsidR="00FD1A55" w:rsidRPr="003656AC">
              <w:rPr>
                <w:rStyle w:val="Hyperlink"/>
                <w:noProof/>
              </w:rPr>
              <w:t>Key Vulnerability: Transnational Crime</w:t>
            </w:r>
            <w:r w:rsidR="00FD1A55">
              <w:rPr>
                <w:noProof/>
                <w:webHidden/>
              </w:rPr>
              <w:tab/>
            </w:r>
            <w:r w:rsidR="00FD1A55">
              <w:rPr>
                <w:noProof/>
                <w:webHidden/>
              </w:rPr>
              <w:fldChar w:fldCharType="begin"/>
            </w:r>
            <w:r w:rsidR="00FD1A55">
              <w:rPr>
                <w:noProof/>
                <w:webHidden/>
              </w:rPr>
              <w:instrText xml:space="preserve"> PAGEREF _Toc516189343 \h </w:instrText>
            </w:r>
            <w:r w:rsidR="00FD1A55">
              <w:rPr>
                <w:noProof/>
                <w:webHidden/>
              </w:rPr>
            </w:r>
            <w:r w:rsidR="00FD1A55">
              <w:rPr>
                <w:noProof/>
                <w:webHidden/>
              </w:rPr>
              <w:fldChar w:fldCharType="separate"/>
            </w:r>
            <w:r w:rsidR="00FD1A55">
              <w:rPr>
                <w:noProof/>
                <w:webHidden/>
              </w:rPr>
              <w:t>13</w:t>
            </w:r>
            <w:r w:rsidR="00FD1A55">
              <w:rPr>
                <w:noProof/>
                <w:webHidden/>
              </w:rPr>
              <w:fldChar w:fldCharType="end"/>
            </w:r>
          </w:hyperlink>
        </w:p>
        <w:p w14:paraId="3F122DF7" w14:textId="77777777" w:rsidR="00FD1A55" w:rsidRDefault="002B3FCD">
          <w:pPr>
            <w:pStyle w:val="TOC3"/>
            <w:rPr>
              <w:rFonts w:asciiTheme="minorHAnsi" w:hAnsiTheme="minorHAnsi"/>
              <w:noProof/>
              <w:lang w:eastAsia="en-AU"/>
            </w:rPr>
          </w:pPr>
          <w:hyperlink w:anchor="_Toc516189344" w:history="1">
            <w:r w:rsidR="00FD1A55" w:rsidRPr="003656AC">
              <w:rPr>
                <w:rStyle w:val="Hyperlink"/>
                <w:noProof/>
              </w:rPr>
              <w:t>2.2.6.</w:t>
            </w:r>
            <w:r w:rsidR="00FD1A55">
              <w:rPr>
                <w:rFonts w:asciiTheme="minorHAnsi" w:hAnsiTheme="minorHAnsi"/>
                <w:noProof/>
                <w:lang w:eastAsia="en-AU"/>
              </w:rPr>
              <w:tab/>
            </w:r>
            <w:r w:rsidR="00FD1A55" w:rsidRPr="003656AC">
              <w:rPr>
                <w:rStyle w:val="Hyperlink"/>
                <w:noProof/>
              </w:rPr>
              <w:t>Mid-Term Review</w:t>
            </w:r>
            <w:r w:rsidR="00FD1A55">
              <w:rPr>
                <w:noProof/>
                <w:webHidden/>
              </w:rPr>
              <w:tab/>
            </w:r>
            <w:r w:rsidR="00FD1A55">
              <w:rPr>
                <w:noProof/>
                <w:webHidden/>
              </w:rPr>
              <w:fldChar w:fldCharType="begin"/>
            </w:r>
            <w:r w:rsidR="00FD1A55">
              <w:rPr>
                <w:noProof/>
                <w:webHidden/>
              </w:rPr>
              <w:instrText xml:space="preserve"> PAGEREF _Toc516189344 \h </w:instrText>
            </w:r>
            <w:r w:rsidR="00FD1A55">
              <w:rPr>
                <w:noProof/>
                <w:webHidden/>
              </w:rPr>
            </w:r>
            <w:r w:rsidR="00FD1A55">
              <w:rPr>
                <w:noProof/>
                <w:webHidden/>
              </w:rPr>
              <w:fldChar w:fldCharType="separate"/>
            </w:r>
            <w:r w:rsidR="00FD1A55">
              <w:rPr>
                <w:noProof/>
                <w:webHidden/>
              </w:rPr>
              <w:t>13</w:t>
            </w:r>
            <w:r w:rsidR="00FD1A55">
              <w:rPr>
                <w:noProof/>
                <w:webHidden/>
              </w:rPr>
              <w:fldChar w:fldCharType="end"/>
            </w:r>
          </w:hyperlink>
        </w:p>
        <w:p w14:paraId="377A3C91" w14:textId="77777777" w:rsidR="00FD1A55" w:rsidRDefault="002B3FCD">
          <w:pPr>
            <w:pStyle w:val="TOC2"/>
            <w:rPr>
              <w:rFonts w:asciiTheme="minorHAnsi" w:hAnsiTheme="minorHAnsi"/>
              <w:noProof/>
              <w:lang w:eastAsia="en-AU"/>
            </w:rPr>
          </w:pPr>
          <w:hyperlink w:anchor="_Toc516189345" w:history="1">
            <w:r w:rsidR="00FD1A55" w:rsidRPr="003656AC">
              <w:rPr>
                <w:rStyle w:val="Hyperlink"/>
                <w:noProof/>
              </w:rPr>
              <w:t>2.3.</w:t>
            </w:r>
            <w:r w:rsidR="00FD1A55">
              <w:rPr>
                <w:rFonts w:asciiTheme="minorHAnsi" w:hAnsiTheme="minorHAnsi"/>
                <w:noProof/>
                <w:lang w:eastAsia="en-AU"/>
              </w:rPr>
              <w:tab/>
            </w:r>
            <w:r w:rsidR="00FD1A55" w:rsidRPr="003656AC">
              <w:rPr>
                <w:rStyle w:val="Hyperlink"/>
                <w:noProof/>
              </w:rPr>
              <w:t>Strategic Rationale for Australian Government Engagement</w:t>
            </w:r>
            <w:r w:rsidR="00FD1A55">
              <w:rPr>
                <w:noProof/>
                <w:webHidden/>
              </w:rPr>
              <w:tab/>
            </w:r>
            <w:r w:rsidR="00FD1A55">
              <w:rPr>
                <w:noProof/>
                <w:webHidden/>
              </w:rPr>
              <w:fldChar w:fldCharType="begin"/>
            </w:r>
            <w:r w:rsidR="00FD1A55">
              <w:rPr>
                <w:noProof/>
                <w:webHidden/>
              </w:rPr>
              <w:instrText xml:space="preserve"> PAGEREF _Toc516189345 \h </w:instrText>
            </w:r>
            <w:r w:rsidR="00FD1A55">
              <w:rPr>
                <w:noProof/>
                <w:webHidden/>
              </w:rPr>
            </w:r>
            <w:r w:rsidR="00FD1A55">
              <w:rPr>
                <w:noProof/>
                <w:webHidden/>
              </w:rPr>
              <w:fldChar w:fldCharType="separate"/>
            </w:r>
            <w:r w:rsidR="00FD1A55">
              <w:rPr>
                <w:noProof/>
                <w:webHidden/>
              </w:rPr>
              <w:t>14</w:t>
            </w:r>
            <w:r w:rsidR="00FD1A55">
              <w:rPr>
                <w:noProof/>
                <w:webHidden/>
              </w:rPr>
              <w:fldChar w:fldCharType="end"/>
            </w:r>
          </w:hyperlink>
        </w:p>
        <w:p w14:paraId="6772465D" w14:textId="77777777" w:rsidR="00FD1A55" w:rsidRDefault="002B3FCD">
          <w:pPr>
            <w:pStyle w:val="TOC3"/>
            <w:rPr>
              <w:rFonts w:asciiTheme="minorHAnsi" w:hAnsiTheme="minorHAnsi"/>
              <w:noProof/>
              <w:lang w:eastAsia="en-AU"/>
            </w:rPr>
          </w:pPr>
          <w:hyperlink w:anchor="_Toc516189346" w:history="1">
            <w:r w:rsidR="00FD1A55" w:rsidRPr="003656AC">
              <w:rPr>
                <w:rStyle w:val="Hyperlink"/>
                <w:noProof/>
              </w:rPr>
              <w:t>2.3.1.</w:t>
            </w:r>
            <w:r w:rsidR="00FD1A55">
              <w:rPr>
                <w:rFonts w:asciiTheme="minorHAnsi" w:hAnsiTheme="minorHAnsi"/>
                <w:noProof/>
                <w:lang w:eastAsia="en-AU"/>
              </w:rPr>
              <w:tab/>
            </w:r>
            <w:r w:rsidR="00FD1A55" w:rsidRPr="003656AC">
              <w:rPr>
                <w:rStyle w:val="Hyperlink"/>
                <w:noProof/>
              </w:rPr>
              <w:t>Rationale for Investment</w:t>
            </w:r>
            <w:r w:rsidR="00FD1A55">
              <w:rPr>
                <w:noProof/>
                <w:webHidden/>
              </w:rPr>
              <w:tab/>
            </w:r>
            <w:r w:rsidR="00FD1A55">
              <w:rPr>
                <w:noProof/>
                <w:webHidden/>
              </w:rPr>
              <w:fldChar w:fldCharType="begin"/>
            </w:r>
            <w:r w:rsidR="00FD1A55">
              <w:rPr>
                <w:noProof/>
                <w:webHidden/>
              </w:rPr>
              <w:instrText xml:space="preserve"> PAGEREF _Toc516189346 \h </w:instrText>
            </w:r>
            <w:r w:rsidR="00FD1A55">
              <w:rPr>
                <w:noProof/>
                <w:webHidden/>
              </w:rPr>
            </w:r>
            <w:r w:rsidR="00FD1A55">
              <w:rPr>
                <w:noProof/>
                <w:webHidden/>
              </w:rPr>
              <w:fldChar w:fldCharType="separate"/>
            </w:r>
            <w:r w:rsidR="00FD1A55">
              <w:rPr>
                <w:noProof/>
                <w:webHidden/>
              </w:rPr>
              <w:t>14</w:t>
            </w:r>
            <w:r w:rsidR="00FD1A55">
              <w:rPr>
                <w:noProof/>
                <w:webHidden/>
              </w:rPr>
              <w:fldChar w:fldCharType="end"/>
            </w:r>
          </w:hyperlink>
        </w:p>
        <w:p w14:paraId="260246C3" w14:textId="77777777" w:rsidR="00FD1A55" w:rsidRDefault="002B3FCD">
          <w:pPr>
            <w:pStyle w:val="TOC3"/>
            <w:rPr>
              <w:rFonts w:asciiTheme="minorHAnsi" w:hAnsiTheme="minorHAnsi"/>
              <w:noProof/>
              <w:lang w:eastAsia="en-AU"/>
            </w:rPr>
          </w:pPr>
          <w:hyperlink w:anchor="_Toc516189347" w:history="1">
            <w:r w:rsidR="00FD1A55" w:rsidRPr="003656AC">
              <w:rPr>
                <w:rStyle w:val="Hyperlink"/>
                <w:noProof/>
              </w:rPr>
              <w:t>2.3.2.</w:t>
            </w:r>
            <w:r w:rsidR="00FD1A55">
              <w:rPr>
                <w:rFonts w:asciiTheme="minorHAnsi" w:hAnsiTheme="minorHAnsi"/>
                <w:noProof/>
                <w:lang w:eastAsia="en-AU"/>
              </w:rPr>
              <w:tab/>
            </w:r>
            <w:r w:rsidR="00FD1A55" w:rsidRPr="003656AC">
              <w:rPr>
                <w:rStyle w:val="Hyperlink"/>
                <w:noProof/>
              </w:rPr>
              <w:t>Current AFP Assistance</w:t>
            </w:r>
            <w:r w:rsidR="00FD1A55">
              <w:rPr>
                <w:noProof/>
                <w:webHidden/>
              </w:rPr>
              <w:tab/>
            </w:r>
            <w:r w:rsidR="00FD1A55">
              <w:rPr>
                <w:noProof/>
                <w:webHidden/>
              </w:rPr>
              <w:fldChar w:fldCharType="begin"/>
            </w:r>
            <w:r w:rsidR="00FD1A55">
              <w:rPr>
                <w:noProof/>
                <w:webHidden/>
              </w:rPr>
              <w:instrText xml:space="preserve"> PAGEREF _Toc516189347 \h </w:instrText>
            </w:r>
            <w:r w:rsidR="00FD1A55">
              <w:rPr>
                <w:noProof/>
                <w:webHidden/>
              </w:rPr>
            </w:r>
            <w:r w:rsidR="00FD1A55">
              <w:rPr>
                <w:noProof/>
                <w:webHidden/>
              </w:rPr>
              <w:fldChar w:fldCharType="separate"/>
            </w:r>
            <w:r w:rsidR="00FD1A55">
              <w:rPr>
                <w:noProof/>
                <w:webHidden/>
              </w:rPr>
              <w:t>16</w:t>
            </w:r>
            <w:r w:rsidR="00FD1A55">
              <w:rPr>
                <w:noProof/>
                <w:webHidden/>
              </w:rPr>
              <w:fldChar w:fldCharType="end"/>
            </w:r>
          </w:hyperlink>
        </w:p>
        <w:p w14:paraId="40616CAC" w14:textId="77777777" w:rsidR="00FD1A55" w:rsidRDefault="002B3FCD">
          <w:pPr>
            <w:pStyle w:val="TOC1"/>
            <w:rPr>
              <w:rFonts w:asciiTheme="minorHAnsi" w:hAnsiTheme="minorHAnsi"/>
              <w:noProof/>
              <w:lang w:eastAsia="en-AU"/>
            </w:rPr>
          </w:pPr>
          <w:hyperlink w:anchor="_Toc516189348" w:history="1">
            <w:r w:rsidR="00FD1A55" w:rsidRPr="003656AC">
              <w:rPr>
                <w:rStyle w:val="Hyperlink"/>
                <w:noProof/>
              </w:rPr>
              <w:t>3.</w:t>
            </w:r>
            <w:r w:rsidR="00FD1A55">
              <w:rPr>
                <w:rFonts w:asciiTheme="minorHAnsi" w:hAnsiTheme="minorHAnsi"/>
                <w:noProof/>
                <w:lang w:eastAsia="en-AU"/>
              </w:rPr>
              <w:tab/>
            </w:r>
            <w:r w:rsidR="00FD1A55" w:rsidRPr="003656AC">
              <w:rPr>
                <w:rStyle w:val="Hyperlink"/>
                <w:noProof/>
              </w:rPr>
              <w:t>Investment Description</w:t>
            </w:r>
            <w:r w:rsidR="00FD1A55">
              <w:rPr>
                <w:noProof/>
                <w:webHidden/>
              </w:rPr>
              <w:tab/>
            </w:r>
            <w:r w:rsidR="00FD1A55">
              <w:rPr>
                <w:noProof/>
                <w:webHidden/>
              </w:rPr>
              <w:fldChar w:fldCharType="begin"/>
            </w:r>
            <w:r w:rsidR="00FD1A55">
              <w:rPr>
                <w:noProof/>
                <w:webHidden/>
              </w:rPr>
              <w:instrText xml:space="preserve"> PAGEREF _Toc516189348 \h </w:instrText>
            </w:r>
            <w:r w:rsidR="00FD1A55">
              <w:rPr>
                <w:noProof/>
                <w:webHidden/>
              </w:rPr>
            </w:r>
            <w:r w:rsidR="00FD1A55">
              <w:rPr>
                <w:noProof/>
                <w:webHidden/>
              </w:rPr>
              <w:fldChar w:fldCharType="separate"/>
            </w:r>
            <w:r w:rsidR="00FD1A55">
              <w:rPr>
                <w:noProof/>
                <w:webHidden/>
              </w:rPr>
              <w:t>17</w:t>
            </w:r>
            <w:r w:rsidR="00FD1A55">
              <w:rPr>
                <w:noProof/>
                <w:webHidden/>
              </w:rPr>
              <w:fldChar w:fldCharType="end"/>
            </w:r>
          </w:hyperlink>
        </w:p>
        <w:p w14:paraId="7492E769" w14:textId="77777777" w:rsidR="00FD1A55" w:rsidRDefault="002B3FCD">
          <w:pPr>
            <w:pStyle w:val="TOC2"/>
            <w:rPr>
              <w:rFonts w:asciiTheme="minorHAnsi" w:hAnsiTheme="minorHAnsi"/>
              <w:noProof/>
              <w:lang w:eastAsia="en-AU"/>
            </w:rPr>
          </w:pPr>
          <w:hyperlink w:anchor="_Toc516189349" w:history="1">
            <w:r w:rsidR="00FD1A55" w:rsidRPr="003656AC">
              <w:rPr>
                <w:rStyle w:val="Hyperlink"/>
                <w:noProof/>
              </w:rPr>
              <w:t>3.1.</w:t>
            </w:r>
            <w:r w:rsidR="00FD1A55">
              <w:rPr>
                <w:rFonts w:asciiTheme="minorHAnsi" w:hAnsiTheme="minorHAnsi"/>
                <w:noProof/>
                <w:lang w:eastAsia="en-AU"/>
              </w:rPr>
              <w:tab/>
            </w:r>
            <w:r w:rsidR="00FD1A55" w:rsidRPr="003656AC">
              <w:rPr>
                <w:rStyle w:val="Hyperlink"/>
                <w:noProof/>
              </w:rPr>
              <w:t>Program Logic and Outcomes</w:t>
            </w:r>
            <w:r w:rsidR="00FD1A55">
              <w:rPr>
                <w:noProof/>
                <w:webHidden/>
              </w:rPr>
              <w:tab/>
            </w:r>
            <w:r w:rsidR="00FD1A55">
              <w:rPr>
                <w:noProof/>
                <w:webHidden/>
              </w:rPr>
              <w:fldChar w:fldCharType="begin"/>
            </w:r>
            <w:r w:rsidR="00FD1A55">
              <w:rPr>
                <w:noProof/>
                <w:webHidden/>
              </w:rPr>
              <w:instrText xml:space="preserve"> PAGEREF _Toc516189349 \h </w:instrText>
            </w:r>
            <w:r w:rsidR="00FD1A55">
              <w:rPr>
                <w:noProof/>
                <w:webHidden/>
              </w:rPr>
            </w:r>
            <w:r w:rsidR="00FD1A55">
              <w:rPr>
                <w:noProof/>
                <w:webHidden/>
              </w:rPr>
              <w:fldChar w:fldCharType="separate"/>
            </w:r>
            <w:r w:rsidR="00FD1A55">
              <w:rPr>
                <w:noProof/>
                <w:webHidden/>
              </w:rPr>
              <w:t>17</w:t>
            </w:r>
            <w:r w:rsidR="00FD1A55">
              <w:rPr>
                <w:noProof/>
                <w:webHidden/>
              </w:rPr>
              <w:fldChar w:fldCharType="end"/>
            </w:r>
          </w:hyperlink>
        </w:p>
        <w:p w14:paraId="42C49AAF" w14:textId="77777777" w:rsidR="00FD1A55" w:rsidRDefault="002B3FCD">
          <w:pPr>
            <w:pStyle w:val="TOC3"/>
            <w:rPr>
              <w:rFonts w:asciiTheme="minorHAnsi" w:hAnsiTheme="minorHAnsi"/>
              <w:noProof/>
              <w:lang w:eastAsia="en-AU"/>
            </w:rPr>
          </w:pPr>
          <w:hyperlink w:anchor="_Toc516189350" w:history="1">
            <w:r w:rsidR="00FD1A55" w:rsidRPr="003656AC">
              <w:rPr>
                <w:rStyle w:val="Hyperlink"/>
                <w:noProof/>
              </w:rPr>
              <w:t>3.1.1.</w:t>
            </w:r>
            <w:r w:rsidR="00FD1A55">
              <w:rPr>
                <w:rFonts w:asciiTheme="minorHAnsi" w:hAnsiTheme="minorHAnsi"/>
                <w:noProof/>
                <w:lang w:eastAsia="en-AU"/>
              </w:rPr>
              <w:tab/>
            </w:r>
            <w:r w:rsidR="00FD1A55" w:rsidRPr="003656AC">
              <w:rPr>
                <w:rStyle w:val="Hyperlink"/>
                <w:noProof/>
              </w:rPr>
              <w:t>Principles</w:t>
            </w:r>
            <w:r w:rsidR="00FD1A55">
              <w:rPr>
                <w:noProof/>
                <w:webHidden/>
              </w:rPr>
              <w:tab/>
            </w:r>
            <w:r w:rsidR="00FD1A55">
              <w:rPr>
                <w:noProof/>
                <w:webHidden/>
              </w:rPr>
              <w:fldChar w:fldCharType="begin"/>
            </w:r>
            <w:r w:rsidR="00FD1A55">
              <w:rPr>
                <w:noProof/>
                <w:webHidden/>
              </w:rPr>
              <w:instrText xml:space="preserve"> PAGEREF _Toc516189350 \h </w:instrText>
            </w:r>
            <w:r w:rsidR="00FD1A55">
              <w:rPr>
                <w:noProof/>
                <w:webHidden/>
              </w:rPr>
            </w:r>
            <w:r w:rsidR="00FD1A55">
              <w:rPr>
                <w:noProof/>
                <w:webHidden/>
              </w:rPr>
              <w:fldChar w:fldCharType="separate"/>
            </w:r>
            <w:r w:rsidR="00FD1A55">
              <w:rPr>
                <w:noProof/>
                <w:webHidden/>
              </w:rPr>
              <w:t>17</w:t>
            </w:r>
            <w:r w:rsidR="00FD1A55">
              <w:rPr>
                <w:noProof/>
                <w:webHidden/>
              </w:rPr>
              <w:fldChar w:fldCharType="end"/>
            </w:r>
          </w:hyperlink>
        </w:p>
        <w:p w14:paraId="0B6F08DD" w14:textId="77777777" w:rsidR="00FD1A55" w:rsidRDefault="002B3FCD">
          <w:pPr>
            <w:pStyle w:val="TOC2"/>
            <w:rPr>
              <w:rFonts w:asciiTheme="minorHAnsi" w:hAnsiTheme="minorHAnsi"/>
              <w:noProof/>
              <w:lang w:eastAsia="en-AU"/>
            </w:rPr>
          </w:pPr>
          <w:hyperlink w:anchor="_Toc516189351" w:history="1">
            <w:r w:rsidR="00FD1A55" w:rsidRPr="003656AC">
              <w:rPr>
                <w:rStyle w:val="Hyperlink"/>
                <w:noProof/>
              </w:rPr>
              <w:t>3.2.</w:t>
            </w:r>
            <w:r w:rsidR="00FD1A55">
              <w:rPr>
                <w:rFonts w:asciiTheme="minorHAnsi" w:hAnsiTheme="minorHAnsi"/>
                <w:noProof/>
                <w:lang w:eastAsia="en-AU"/>
              </w:rPr>
              <w:tab/>
            </w:r>
            <w:r w:rsidR="00FD1A55" w:rsidRPr="003656AC">
              <w:rPr>
                <w:rStyle w:val="Hyperlink"/>
                <w:noProof/>
              </w:rPr>
              <w:t>Program Logic Assumptions</w:t>
            </w:r>
            <w:r w:rsidR="00FD1A55">
              <w:rPr>
                <w:noProof/>
                <w:webHidden/>
              </w:rPr>
              <w:tab/>
            </w:r>
            <w:r w:rsidR="00FD1A55">
              <w:rPr>
                <w:noProof/>
                <w:webHidden/>
              </w:rPr>
              <w:fldChar w:fldCharType="begin"/>
            </w:r>
            <w:r w:rsidR="00FD1A55">
              <w:rPr>
                <w:noProof/>
                <w:webHidden/>
              </w:rPr>
              <w:instrText xml:space="preserve"> PAGEREF _Toc516189351 \h </w:instrText>
            </w:r>
            <w:r w:rsidR="00FD1A55">
              <w:rPr>
                <w:noProof/>
                <w:webHidden/>
              </w:rPr>
            </w:r>
            <w:r w:rsidR="00FD1A55">
              <w:rPr>
                <w:noProof/>
                <w:webHidden/>
              </w:rPr>
              <w:fldChar w:fldCharType="separate"/>
            </w:r>
            <w:r w:rsidR="00FD1A55">
              <w:rPr>
                <w:noProof/>
                <w:webHidden/>
              </w:rPr>
              <w:t>18</w:t>
            </w:r>
            <w:r w:rsidR="00FD1A55">
              <w:rPr>
                <w:noProof/>
                <w:webHidden/>
              </w:rPr>
              <w:fldChar w:fldCharType="end"/>
            </w:r>
          </w:hyperlink>
        </w:p>
        <w:p w14:paraId="3DB3BF3B" w14:textId="77777777" w:rsidR="00FD1A55" w:rsidRDefault="002B3FCD">
          <w:pPr>
            <w:pStyle w:val="TOC1"/>
            <w:rPr>
              <w:rFonts w:asciiTheme="minorHAnsi" w:hAnsiTheme="minorHAnsi"/>
              <w:noProof/>
              <w:lang w:eastAsia="en-AU"/>
            </w:rPr>
          </w:pPr>
          <w:hyperlink w:anchor="_Toc516189352" w:history="1">
            <w:r w:rsidR="00FD1A55" w:rsidRPr="003656AC">
              <w:rPr>
                <w:rStyle w:val="Hyperlink"/>
                <w:noProof/>
              </w:rPr>
              <w:t>4.</w:t>
            </w:r>
            <w:r w:rsidR="00FD1A55">
              <w:rPr>
                <w:rFonts w:asciiTheme="minorHAnsi" w:hAnsiTheme="minorHAnsi"/>
                <w:noProof/>
                <w:lang w:eastAsia="en-AU"/>
              </w:rPr>
              <w:tab/>
            </w:r>
            <w:r w:rsidR="00FD1A55" w:rsidRPr="003656AC">
              <w:rPr>
                <w:rStyle w:val="Hyperlink"/>
                <w:noProof/>
              </w:rPr>
              <w:t>Implementation Arrangements</w:t>
            </w:r>
            <w:r w:rsidR="00FD1A55">
              <w:rPr>
                <w:noProof/>
                <w:webHidden/>
              </w:rPr>
              <w:tab/>
            </w:r>
            <w:r w:rsidR="00FD1A55">
              <w:rPr>
                <w:noProof/>
                <w:webHidden/>
              </w:rPr>
              <w:fldChar w:fldCharType="begin"/>
            </w:r>
            <w:r w:rsidR="00FD1A55">
              <w:rPr>
                <w:noProof/>
                <w:webHidden/>
              </w:rPr>
              <w:instrText xml:space="preserve"> PAGEREF _Toc516189352 \h </w:instrText>
            </w:r>
            <w:r w:rsidR="00FD1A55">
              <w:rPr>
                <w:noProof/>
                <w:webHidden/>
              </w:rPr>
            </w:r>
            <w:r w:rsidR="00FD1A55">
              <w:rPr>
                <w:noProof/>
                <w:webHidden/>
              </w:rPr>
              <w:fldChar w:fldCharType="separate"/>
            </w:r>
            <w:r w:rsidR="00FD1A55">
              <w:rPr>
                <w:noProof/>
                <w:webHidden/>
              </w:rPr>
              <w:t>19</w:t>
            </w:r>
            <w:r w:rsidR="00FD1A55">
              <w:rPr>
                <w:noProof/>
                <w:webHidden/>
              </w:rPr>
              <w:fldChar w:fldCharType="end"/>
            </w:r>
          </w:hyperlink>
        </w:p>
        <w:p w14:paraId="33BC1612" w14:textId="77777777" w:rsidR="00FD1A55" w:rsidRDefault="002B3FCD">
          <w:pPr>
            <w:pStyle w:val="TOC2"/>
            <w:rPr>
              <w:rFonts w:asciiTheme="minorHAnsi" w:hAnsiTheme="minorHAnsi"/>
              <w:noProof/>
              <w:lang w:eastAsia="en-AU"/>
            </w:rPr>
          </w:pPr>
          <w:hyperlink w:anchor="_Toc516189353" w:history="1">
            <w:r w:rsidR="00FD1A55" w:rsidRPr="003656AC">
              <w:rPr>
                <w:rStyle w:val="Hyperlink"/>
                <w:noProof/>
              </w:rPr>
              <w:t>4.1.</w:t>
            </w:r>
            <w:r w:rsidR="00FD1A55">
              <w:rPr>
                <w:rFonts w:asciiTheme="minorHAnsi" w:hAnsiTheme="minorHAnsi"/>
                <w:noProof/>
                <w:lang w:eastAsia="en-AU"/>
              </w:rPr>
              <w:tab/>
            </w:r>
            <w:r w:rsidR="00FD1A55" w:rsidRPr="003656AC">
              <w:rPr>
                <w:rStyle w:val="Hyperlink"/>
                <w:noProof/>
              </w:rPr>
              <w:t>Delivery approach</w:t>
            </w:r>
            <w:r w:rsidR="00FD1A55">
              <w:rPr>
                <w:noProof/>
                <w:webHidden/>
              </w:rPr>
              <w:tab/>
            </w:r>
            <w:r w:rsidR="00FD1A55">
              <w:rPr>
                <w:noProof/>
                <w:webHidden/>
              </w:rPr>
              <w:fldChar w:fldCharType="begin"/>
            </w:r>
            <w:r w:rsidR="00FD1A55">
              <w:rPr>
                <w:noProof/>
                <w:webHidden/>
              </w:rPr>
              <w:instrText xml:space="preserve"> PAGEREF _Toc516189353 \h </w:instrText>
            </w:r>
            <w:r w:rsidR="00FD1A55">
              <w:rPr>
                <w:noProof/>
                <w:webHidden/>
              </w:rPr>
            </w:r>
            <w:r w:rsidR="00FD1A55">
              <w:rPr>
                <w:noProof/>
                <w:webHidden/>
              </w:rPr>
              <w:fldChar w:fldCharType="separate"/>
            </w:r>
            <w:r w:rsidR="00FD1A55">
              <w:rPr>
                <w:noProof/>
                <w:webHidden/>
              </w:rPr>
              <w:t>19</w:t>
            </w:r>
            <w:r w:rsidR="00FD1A55">
              <w:rPr>
                <w:noProof/>
                <w:webHidden/>
              </w:rPr>
              <w:fldChar w:fldCharType="end"/>
            </w:r>
          </w:hyperlink>
        </w:p>
        <w:p w14:paraId="51A78FFF" w14:textId="77777777" w:rsidR="00FD1A55" w:rsidRDefault="002B3FCD">
          <w:pPr>
            <w:pStyle w:val="TOC2"/>
            <w:rPr>
              <w:rFonts w:asciiTheme="minorHAnsi" w:hAnsiTheme="minorHAnsi"/>
              <w:noProof/>
              <w:lang w:eastAsia="en-AU"/>
            </w:rPr>
          </w:pPr>
          <w:hyperlink w:anchor="_Toc516189354" w:history="1">
            <w:r w:rsidR="00FD1A55" w:rsidRPr="003656AC">
              <w:rPr>
                <w:rStyle w:val="Hyperlink"/>
                <w:noProof/>
              </w:rPr>
              <w:t>4.2.</w:t>
            </w:r>
            <w:r w:rsidR="00FD1A55">
              <w:rPr>
                <w:rFonts w:asciiTheme="minorHAnsi" w:hAnsiTheme="minorHAnsi"/>
                <w:noProof/>
                <w:lang w:eastAsia="en-AU"/>
              </w:rPr>
              <w:tab/>
            </w:r>
            <w:r w:rsidR="00FD1A55" w:rsidRPr="003656AC">
              <w:rPr>
                <w:rStyle w:val="Hyperlink"/>
                <w:noProof/>
              </w:rPr>
              <w:t>Aid Modalities</w:t>
            </w:r>
            <w:r w:rsidR="00FD1A55">
              <w:rPr>
                <w:noProof/>
                <w:webHidden/>
              </w:rPr>
              <w:tab/>
            </w:r>
            <w:r w:rsidR="00FD1A55">
              <w:rPr>
                <w:noProof/>
                <w:webHidden/>
              </w:rPr>
              <w:fldChar w:fldCharType="begin"/>
            </w:r>
            <w:r w:rsidR="00FD1A55">
              <w:rPr>
                <w:noProof/>
                <w:webHidden/>
              </w:rPr>
              <w:instrText xml:space="preserve"> PAGEREF _Toc516189354 \h </w:instrText>
            </w:r>
            <w:r w:rsidR="00FD1A55">
              <w:rPr>
                <w:noProof/>
                <w:webHidden/>
              </w:rPr>
            </w:r>
            <w:r w:rsidR="00FD1A55">
              <w:rPr>
                <w:noProof/>
                <w:webHidden/>
              </w:rPr>
              <w:fldChar w:fldCharType="separate"/>
            </w:r>
            <w:r w:rsidR="00FD1A55">
              <w:rPr>
                <w:noProof/>
                <w:webHidden/>
              </w:rPr>
              <w:t>19</w:t>
            </w:r>
            <w:r w:rsidR="00FD1A55">
              <w:rPr>
                <w:noProof/>
                <w:webHidden/>
              </w:rPr>
              <w:fldChar w:fldCharType="end"/>
            </w:r>
          </w:hyperlink>
        </w:p>
        <w:p w14:paraId="244C1336" w14:textId="77777777" w:rsidR="00FD1A55" w:rsidRDefault="002B3FCD">
          <w:pPr>
            <w:pStyle w:val="TOC2"/>
            <w:rPr>
              <w:rFonts w:asciiTheme="minorHAnsi" w:hAnsiTheme="minorHAnsi"/>
              <w:noProof/>
              <w:lang w:eastAsia="en-AU"/>
            </w:rPr>
          </w:pPr>
          <w:hyperlink w:anchor="_Toc516189355" w:history="1">
            <w:r w:rsidR="00FD1A55" w:rsidRPr="003656AC">
              <w:rPr>
                <w:rStyle w:val="Hyperlink"/>
                <w:noProof/>
              </w:rPr>
              <w:t>4.3.</w:t>
            </w:r>
            <w:r w:rsidR="00FD1A55">
              <w:rPr>
                <w:rFonts w:asciiTheme="minorHAnsi" w:hAnsiTheme="minorHAnsi"/>
                <w:noProof/>
                <w:lang w:eastAsia="en-AU"/>
              </w:rPr>
              <w:tab/>
            </w:r>
            <w:r w:rsidR="00FD1A55" w:rsidRPr="003656AC">
              <w:rPr>
                <w:rStyle w:val="Hyperlink"/>
                <w:noProof/>
              </w:rPr>
              <w:t>Cross Program Collaborations</w:t>
            </w:r>
            <w:r w:rsidR="00FD1A55">
              <w:rPr>
                <w:noProof/>
                <w:webHidden/>
              </w:rPr>
              <w:tab/>
            </w:r>
            <w:r w:rsidR="00FD1A55">
              <w:rPr>
                <w:noProof/>
                <w:webHidden/>
              </w:rPr>
              <w:fldChar w:fldCharType="begin"/>
            </w:r>
            <w:r w:rsidR="00FD1A55">
              <w:rPr>
                <w:noProof/>
                <w:webHidden/>
              </w:rPr>
              <w:instrText xml:space="preserve"> PAGEREF _Toc516189355 \h </w:instrText>
            </w:r>
            <w:r w:rsidR="00FD1A55">
              <w:rPr>
                <w:noProof/>
                <w:webHidden/>
              </w:rPr>
            </w:r>
            <w:r w:rsidR="00FD1A55">
              <w:rPr>
                <w:noProof/>
                <w:webHidden/>
              </w:rPr>
              <w:fldChar w:fldCharType="separate"/>
            </w:r>
            <w:r w:rsidR="00FD1A55">
              <w:rPr>
                <w:noProof/>
                <w:webHidden/>
              </w:rPr>
              <w:t>20</w:t>
            </w:r>
            <w:r w:rsidR="00FD1A55">
              <w:rPr>
                <w:noProof/>
                <w:webHidden/>
              </w:rPr>
              <w:fldChar w:fldCharType="end"/>
            </w:r>
          </w:hyperlink>
        </w:p>
        <w:p w14:paraId="1589D5D6" w14:textId="77777777" w:rsidR="00FD1A55" w:rsidRDefault="002B3FCD">
          <w:pPr>
            <w:pStyle w:val="TOC2"/>
            <w:rPr>
              <w:rFonts w:asciiTheme="minorHAnsi" w:hAnsiTheme="minorHAnsi"/>
              <w:noProof/>
              <w:lang w:eastAsia="en-AU"/>
            </w:rPr>
          </w:pPr>
          <w:hyperlink w:anchor="_Toc516189356" w:history="1">
            <w:r w:rsidR="00FD1A55" w:rsidRPr="003656AC">
              <w:rPr>
                <w:rStyle w:val="Hyperlink"/>
                <w:noProof/>
              </w:rPr>
              <w:t>4.4.</w:t>
            </w:r>
            <w:r w:rsidR="00FD1A55">
              <w:rPr>
                <w:rFonts w:asciiTheme="minorHAnsi" w:hAnsiTheme="minorHAnsi"/>
                <w:noProof/>
                <w:lang w:eastAsia="en-AU"/>
              </w:rPr>
              <w:tab/>
            </w:r>
            <w:r w:rsidR="00FD1A55" w:rsidRPr="003656AC">
              <w:rPr>
                <w:rStyle w:val="Hyperlink"/>
                <w:noProof/>
              </w:rPr>
              <w:t>Value for money</w:t>
            </w:r>
            <w:r w:rsidR="00FD1A55">
              <w:rPr>
                <w:noProof/>
                <w:webHidden/>
              </w:rPr>
              <w:tab/>
            </w:r>
            <w:r w:rsidR="00FD1A55">
              <w:rPr>
                <w:noProof/>
                <w:webHidden/>
              </w:rPr>
              <w:fldChar w:fldCharType="begin"/>
            </w:r>
            <w:r w:rsidR="00FD1A55">
              <w:rPr>
                <w:noProof/>
                <w:webHidden/>
              </w:rPr>
              <w:instrText xml:space="preserve"> PAGEREF _Toc516189356 \h </w:instrText>
            </w:r>
            <w:r w:rsidR="00FD1A55">
              <w:rPr>
                <w:noProof/>
                <w:webHidden/>
              </w:rPr>
            </w:r>
            <w:r w:rsidR="00FD1A55">
              <w:rPr>
                <w:noProof/>
                <w:webHidden/>
              </w:rPr>
              <w:fldChar w:fldCharType="separate"/>
            </w:r>
            <w:r w:rsidR="00FD1A55">
              <w:rPr>
                <w:noProof/>
                <w:webHidden/>
              </w:rPr>
              <w:t>20</w:t>
            </w:r>
            <w:r w:rsidR="00FD1A55">
              <w:rPr>
                <w:noProof/>
                <w:webHidden/>
              </w:rPr>
              <w:fldChar w:fldCharType="end"/>
            </w:r>
          </w:hyperlink>
        </w:p>
        <w:p w14:paraId="63DD36B3" w14:textId="77777777" w:rsidR="00FD1A55" w:rsidRDefault="002B3FCD">
          <w:pPr>
            <w:pStyle w:val="TOC2"/>
            <w:rPr>
              <w:rFonts w:asciiTheme="minorHAnsi" w:hAnsiTheme="minorHAnsi"/>
              <w:noProof/>
              <w:lang w:eastAsia="en-AU"/>
            </w:rPr>
          </w:pPr>
          <w:hyperlink w:anchor="_Toc516189357" w:history="1">
            <w:r w:rsidR="00FD1A55" w:rsidRPr="003656AC">
              <w:rPr>
                <w:rStyle w:val="Hyperlink"/>
                <w:noProof/>
              </w:rPr>
              <w:t>4.5.</w:t>
            </w:r>
            <w:r w:rsidR="00FD1A55">
              <w:rPr>
                <w:rFonts w:asciiTheme="minorHAnsi" w:hAnsiTheme="minorHAnsi"/>
                <w:noProof/>
                <w:lang w:eastAsia="en-AU"/>
              </w:rPr>
              <w:tab/>
            </w:r>
            <w:r w:rsidR="00FD1A55" w:rsidRPr="003656AC">
              <w:rPr>
                <w:rStyle w:val="Hyperlink"/>
                <w:noProof/>
              </w:rPr>
              <w:t>Innovation and Private Sector Engagement</w:t>
            </w:r>
            <w:r w:rsidR="00FD1A55">
              <w:rPr>
                <w:noProof/>
                <w:webHidden/>
              </w:rPr>
              <w:tab/>
            </w:r>
            <w:r w:rsidR="00FD1A55">
              <w:rPr>
                <w:noProof/>
                <w:webHidden/>
              </w:rPr>
              <w:fldChar w:fldCharType="begin"/>
            </w:r>
            <w:r w:rsidR="00FD1A55">
              <w:rPr>
                <w:noProof/>
                <w:webHidden/>
              </w:rPr>
              <w:instrText xml:space="preserve"> PAGEREF _Toc516189357 \h </w:instrText>
            </w:r>
            <w:r w:rsidR="00FD1A55">
              <w:rPr>
                <w:noProof/>
                <w:webHidden/>
              </w:rPr>
            </w:r>
            <w:r w:rsidR="00FD1A55">
              <w:rPr>
                <w:noProof/>
                <w:webHidden/>
              </w:rPr>
              <w:fldChar w:fldCharType="separate"/>
            </w:r>
            <w:r w:rsidR="00FD1A55">
              <w:rPr>
                <w:noProof/>
                <w:webHidden/>
              </w:rPr>
              <w:t>20</w:t>
            </w:r>
            <w:r w:rsidR="00FD1A55">
              <w:rPr>
                <w:noProof/>
                <w:webHidden/>
              </w:rPr>
              <w:fldChar w:fldCharType="end"/>
            </w:r>
          </w:hyperlink>
        </w:p>
        <w:p w14:paraId="38886791" w14:textId="77777777" w:rsidR="00FD1A55" w:rsidRDefault="002B3FCD">
          <w:pPr>
            <w:pStyle w:val="TOC1"/>
            <w:rPr>
              <w:rFonts w:asciiTheme="minorHAnsi" w:hAnsiTheme="minorHAnsi"/>
              <w:noProof/>
              <w:lang w:eastAsia="en-AU"/>
            </w:rPr>
          </w:pPr>
          <w:hyperlink w:anchor="_Toc516189358" w:history="1">
            <w:r w:rsidR="00FD1A55" w:rsidRPr="003656AC">
              <w:rPr>
                <w:rStyle w:val="Hyperlink"/>
                <w:noProof/>
              </w:rPr>
              <w:t>Program Logic: TLPDP 2018-2022</w:t>
            </w:r>
            <w:r w:rsidR="00FD1A55">
              <w:rPr>
                <w:noProof/>
                <w:webHidden/>
              </w:rPr>
              <w:tab/>
            </w:r>
            <w:r w:rsidR="00FD1A55">
              <w:rPr>
                <w:noProof/>
                <w:webHidden/>
              </w:rPr>
              <w:fldChar w:fldCharType="begin"/>
            </w:r>
            <w:r w:rsidR="00FD1A55">
              <w:rPr>
                <w:noProof/>
                <w:webHidden/>
              </w:rPr>
              <w:instrText xml:space="preserve"> PAGEREF _Toc516189358 \h </w:instrText>
            </w:r>
            <w:r w:rsidR="00FD1A55">
              <w:rPr>
                <w:noProof/>
                <w:webHidden/>
              </w:rPr>
            </w:r>
            <w:r w:rsidR="00FD1A55">
              <w:rPr>
                <w:noProof/>
                <w:webHidden/>
              </w:rPr>
              <w:fldChar w:fldCharType="separate"/>
            </w:r>
            <w:r w:rsidR="00FD1A55">
              <w:rPr>
                <w:noProof/>
                <w:webHidden/>
              </w:rPr>
              <w:t>22</w:t>
            </w:r>
            <w:r w:rsidR="00FD1A55">
              <w:rPr>
                <w:noProof/>
                <w:webHidden/>
              </w:rPr>
              <w:fldChar w:fldCharType="end"/>
            </w:r>
          </w:hyperlink>
        </w:p>
        <w:p w14:paraId="63F9E6C9" w14:textId="77777777" w:rsidR="00FD1A55" w:rsidRDefault="002B3FCD">
          <w:pPr>
            <w:pStyle w:val="TOC2"/>
            <w:rPr>
              <w:rFonts w:asciiTheme="minorHAnsi" w:hAnsiTheme="minorHAnsi"/>
              <w:noProof/>
              <w:lang w:eastAsia="en-AU"/>
            </w:rPr>
          </w:pPr>
          <w:hyperlink w:anchor="_Toc516189359" w:history="1">
            <w:r w:rsidR="00FD1A55" w:rsidRPr="003656AC">
              <w:rPr>
                <w:rStyle w:val="Hyperlink"/>
                <w:noProof/>
              </w:rPr>
              <w:t>4.6.</w:t>
            </w:r>
            <w:r w:rsidR="00FD1A55">
              <w:rPr>
                <w:rFonts w:asciiTheme="minorHAnsi" w:hAnsiTheme="minorHAnsi"/>
                <w:noProof/>
                <w:lang w:eastAsia="en-AU"/>
              </w:rPr>
              <w:tab/>
            </w:r>
            <w:r w:rsidR="00FD1A55" w:rsidRPr="003656AC">
              <w:rPr>
                <w:rStyle w:val="Hyperlink"/>
                <w:noProof/>
              </w:rPr>
              <w:t>Program Components</w:t>
            </w:r>
            <w:r w:rsidR="00FD1A55">
              <w:rPr>
                <w:noProof/>
                <w:webHidden/>
              </w:rPr>
              <w:tab/>
            </w:r>
            <w:r w:rsidR="00FD1A55">
              <w:rPr>
                <w:noProof/>
                <w:webHidden/>
              </w:rPr>
              <w:fldChar w:fldCharType="begin"/>
            </w:r>
            <w:r w:rsidR="00FD1A55">
              <w:rPr>
                <w:noProof/>
                <w:webHidden/>
              </w:rPr>
              <w:instrText xml:space="preserve"> PAGEREF _Toc516189359 \h </w:instrText>
            </w:r>
            <w:r w:rsidR="00FD1A55">
              <w:rPr>
                <w:noProof/>
                <w:webHidden/>
              </w:rPr>
            </w:r>
            <w:r w:rsidR="00FD1A55">
              <w:rPr>
                <w:noProof/>
                <w:webHidden/>
              </w:rPr>
              <w:fldChar w:fldCharType="separate"/>
            </w:r>
            <w:r w:rsidR="00FD1A55">
              <w:rPr>
                <w:noProof/>
                <w:webHidden/>
              </w:rPr>
              <w:t>23</w:t>
            </w:r>
            <w:r w:rsidR="00FD1A55">
              <w:rPr>
                <w:noProof/>
                <w:webHidden/>
              </w:rPr>
              <w:fldChar w:fldCharType="end"/>
            </w:r>
          </w:hyperlink>
        </w:p>
        <w:p w14:paraId="0517A74E" w14:textId="77777777" w:rsidR="00FD1A55" w:rsidRDefault="002B3FCD">
          <w:pPr>
            <w:pStyle w:val="TOC3"/>
            <w:rPr>
              <w:rFonts w:asciiTheme="minorHAnsi" w:hAnsiTheme="minorHAnsi"/>
              <w:noProof/>
              <w:lang w:eastAsia="en-AU"/>
            </w:rPr>
          </w:pPr>
          <w:hyperlink w:anchor="_Toc516189360" w:history="1">
            <w:r w:rsidR="00FD1A55" w:rsidRPr="003656AC">
              <w:rPr>
                <w:rStyle w:val="Hyperlink"/>
                <w:noProof/>
              </w:rPr>
              <w:t>4.6.1.</w:t>
            </w:r>
            <w:r w:rsidR="00FD1A55">
              <w:rPr>
                <w:rFonts w:asciiTheme="minorHAnsi" w:hAnsiTheme="minorHAnsi"/>
                <w:noProof/>
                <w:lang w:eastAsia="en-AU"/>
              </w:rPr>
              <w:tab/>
            </w:r>
            <w:r w:rsidR="00FD1A55" w:rsidRPr="003656AC">
              <w:rPr>
                <w:rStyle w:val="Hyperlink"/>
                <w:noProof/>
              </w:rPr>
              <w:t>Component Pathway 1: Sustainability, Self-Improvement and Leadership</w:t>
            </w:r>
            <w:r w:rsidR="00FD1A55">
              <w:rPr>
                <w:noProof/>
                <w:webHidden/>
              </w:rPr>
              <w:tab/>
            </w:r>
            <w:r w:rsidR="00FD1A55">
              <w:rPr>
                <w:noProof/>
                <w:webHidden/>
              </w:rPr>
              <w:fldChar w:fldCharType="begin"/>
            </w:r>
            <w:r w:rsidR="00FD1A55">
              <w:rPr>
                <w:noProof/>
                <w:webHidden/>
              </w:rPr>
              <w:instrText xml:space="preserve"> PAGEREF _Toc516189360 \h </w:instrText>
            </w:r>
            <w:r w:rsidR="00FD1A55">
              <w:rPr>
                <w:noProof/>
                <w:webHidden/>
              </w:rPr>
            </w:r>
            <w:r w:rsidR="00FD1A55">
              <w:rPr>
                <w:noProof/>
                <w:webHidden/>
              </w:rPr>
              <w:fldChar w:fldCharType="separate"/>
            </w:r>
            <w:r w:rsidR="00FD1A55">
              <w:rPr>
                <w:noProof/>
                <w:webHidden/>
              </w:rPr>
              <w:t>23</w:t>
            </w:r>
            <w:r w:rsidR="00FD1A55">
              <w:rPr>
                <w:noProof/>
                <w:webHidden/>
              </w:rPr>
              <w:fldChar w:fldCharType="end"/>
            </w:r>
          </w:hyperlink>
        </w:p>
        <w:p w14:paraId="777A1F98" w14:textId="77777777" w:rsidR="00FD1A55" w:rsidRDefault="002B3FCD">
          <w:pPr>
            <w:pStyle w:val="TOC3"/>
            <w:rPr>
              <w:rFonts w:asciiTheme="minorHAnsi" w:hAnsiTheme="minorHAnsi"/>
              <w:noProof/>
              <w:lang w:eastAsia="en-AU"/>
            </w:rPr>
          </w:pPr>
          <w:hyperlink w:anchor="_Toc516189361" w:history="1">
            <w:r w:rsidR="00FD1A55" w:rsidRPr="003656AC">
              <w:rPr>
                <w:rStyle w:val="Hyperlink"/>
                <w:noProof/>
              </w:rPr>
              <w:t>4.6.2.</w:t>
            </w:r>
            <w:r w:rsidR="00FD1A55">
              <w:rPr>
                <w:rFonts w:asciiTheme="minorHAnsi" w:hAnsiTheme="minorHAnsi"/>
                <w:noProof/>
                <w:lang w:eastAsia="en-AU"/>
              </w:rPr>
              <w:tab/>
            </w:r>
            <w:r w:rsidR="00FD1A55" w:rsidRPr="003656AC">
              <w:rPr>
                <w:rStyle w:val="Hyperlink"/>
                <w:noProof/>
              </w:rPr>
              <w:t>Component Pathway 2: Operational Effectiveness</w:t>
            </w:r>
            <w:r w:rsidR="00FD1A55">
              <w:rPr>
                <w:noProof/>
                <w:webHidden/>
              </w:rPr>
              <w:tab/>
            </w:r>
            <w:r w:rsidR="00FD1A55">
              <w:rPr>
                <w:noProof/>
                <w:webHidden/>
              </w:rPr>
              <w:fldChar w:fldCharType="begin"/>
            </w:r>
            <w:r w:rsidR="00FD1A55">
              <w:rPr>
                <w:noProof/>
                <w:webHidden/>
              </w:rPr>
              <w:instrText xml:space="preserve"> PAGEREF _Toc516189361 \h </w:instrText>
            </w:r>
            <w:r w:rsidR="00FD1A55">
              <w:rPr>
                <w:noProof/>
                <w:webHidden/>
              </w:rPr>
            </w:r>
            <w:r w:rsidR="00FD1A55">
              <w:rPr>
                <w:noProof/>
                <w:webHidden/>
              </w:rPr>
              <w:fldChar w:fldCharType="separate"/>
            </w:r>
            <w:r w:rsidR="00FD1A55">
              <w:rPr>
                <w:noProof/>
                <w:webHidden/>
              </w:rPr>
              <w:t>26</w:t>
            </w:r>
            <w:r w:rsidR="00FD1A55">
              <w:rPr>
                <w:noProof/>
                <w:webHidden/>
              </w:rPr>
              <w:fldChar w:fldCharType="end"/>
            </w:r>
          </w:hyperlink>
        </w:p>
        <w:p w14:paraId="231AF644" w14:textId="77777777" w:rsidR="00FD1A55" w:rsidRDefault="002B3FCD">
          <w:pPr>
            <w:pStyle w:val="TOC3"/>
            <w:rPr>
              <w:rFonts w:asciiTheme="minorHAnsi" w:hAnsiTheme="minorHAnsi"/>
              <w:noProof/>
              <w:lang w:eastAsia="en-AU"/>
            </w:rPr>
          </w:pPr>
          <w:hyperlink w:anchor="_Toc516189362" w:history="1">
            <w:r w:rsidR="00FD1A55" w:rsidRPr="003656AC">
              <w:rPr>
                <w:rStyle w:val="Hyperlink"/>
                <w:noProof/>
              </w:rPr>
              <w:t>4.6.3.</w:t>
            </w:r>
            <w:r w:rsidR="00FD1A55">
              <w:rPr>
                <w:rFonts w:asciiTheme="minorHAnsi" w:hAnsiTheme="minorHAnsi"/>
                <w:noProof/>
                <w:lang w:eastAsia="en-AU"/>
              </w:rPr>
              <w:tab/>
            </w:r>
            <w:r w:rsidR="00FD1A55" w:rsidRPr="003656AC">
              <w:rPr>
                <w:rStyle w:val="Hyperlink"/>
                <w:noProof/>
              </w:rPr>
              <w:t>Component Pathway 3: Responsive Policing Services</w:t>
            </w:r>
            <w:r w:rsidR="00FD1A55">
              <w:rPr>
                <w:noProof/>
                <w:webHidden/>
              </w:rPr>
              <w:tab/>
            </w:r>
            <w:r w:rsidR="00FD1A55">
              <w:rPr>
                <w:noProof/>
                <w:webHidden/>
              </w:rPr>
              <w:fldChar w:fldCharType="begin"/>
            </w:r>
            <w:r w:rsidR="00FD1A55">
              <w:rPr>
                <w:noProof/>
                <w:webHidden/>
              </w:rPr>
              <w:instrText xml:space="preserve"> PAGEREF _Toc516189362 \h </w:instrText>
            </w:r>
            <w:r w:rsidR="00FD1A55">
              <w:rPr>
                <w:noProof/>
                <w:webHidden/>
              </w:rPr>
            </w:r>
            <w:r w:rsidR="00FD1A55">
              <w:rPr>
                <w:noProof/>
                <w:webHidden/>
              </w:rPr>
              <w:fldChar w:fldCharType="separate"/>
            </w:r>
            <w:r w:rsidR="00FD1A55">
              <w:rPr>
                <w:noProof/>
                <w:webHidden/>
              </w:rPr>
              <w:t>28</w:t>
            </w:r>
            <w:r w:rsidR="00FD1A55">
              <w:rPr>
                <w:noProof/>
                <w:webHidden/>
              </w:rPr>
              <w:fldChar w:fldCharType="end"/>
            </w:r>
          </w:hyperlink>
        </w:p>
        <w:p w14:paraId="5C6665B2" w14:textId="77777777" w:rsidR="00FD1A55" w:rsidRDefault="002B3FCD">
          <w:pPr>
            <w:pStyle w:val="TOC3"/>
            <w:rPr>
              <w:rFonts w:asciiTheme="minorHAnsi" w:hAnsiTheme="minorHAnsi"/>
              <w:noProof/>
              <w:lang w:eastAsia="en-AU"/>
            </w:rPr>
          </w:pPr>
          <w:hyperlink w:anchor="_Toc516189363" w:history="1">
            <w:r w:rsidR="00FD1A55" w:rsidRPr="003656AC">
              <w:rPr>
                <w:rStyle w:val="Hyperlink"/>
                <w:noProof/>
              </w:rPr>
              <w:t>4.6.4.</w:t>
            </w:r>
            <w:r w:rsidR="00FD1A55">
              <w:rPr>
                <w:rFonts w:asciiTheme="minorHAnsi" w:hAnsiTheme="minorHAnsi"/>
                <w:noProof/>
                <w:lang w:eastAsia="en-AU"/>
              </w:rPr>
              <w:tab/>
            </w:r>
            <w:r w:rsidR="00FD1A55" w:rsidRPr="003656AC">
              <w:rPr>
                <w:rStyle w:val="Hyperlink"/>
                <w:noProof/>
              </w:rPr>
              <w:t>Activity-Program Logic Linkages</w:t>
            </w:r>
            <w:r w:rsidR="00FD1A55">
              <w:rPr>
                <w:noProof/>
                <w:webHidden/>
              </w:rPr>
              <w:tab/>
            </w:r>
            <w:r w:rsidR="00FD1A55">
              <w:rPr>
                <w:noProof/>
                <w:webHidden/>
              </w:rPr>
              <w:fldChar w:fldCharType="begin"/>
            </w:r>
            <w:r w:rsidR="00FD1A55">
              <w:rPr>
                <w:noProof/>
                <w:webHidden/>
              </w:rPr>
              <w:instrText xml:space="preserve"> PAGEREF _Toc516189363 \h </w:instrText>
            </w:r>
            <w:r w:rsidR="00FD1A55">
              <w:rPr>
                <w:noProof/>
                <w:webHidden/>
              </w:rPr>
            </w:r>
            <w:r w:rsidR="00FD1A55">
              <w:rPr>
                <w:noProof/>
                <w:webHidden/>
              </w:rPr>
              <w:fldChar w:fldCharType="separate"/>
            </w:r>
            <w:r w:rsidR="00FD1A55">
              <w:rPr>
                <w:noProof/>
                <w:webHidden/>
              </w:rPr>
              <w:t>31</w:t>
            </w:r>
            <w:r w:rsidR="00FD1A55">
              <w:rPr>
                <w:noProof/>
                <w:webHidden/>
              </w:rPr>
              <w:fldChar w:fldCharType="end"/>
            </w:r>
          </w:hyperlink>
        </w:p>
        <w:p w14:paraId="5F583315" w14:textId="77777777" w:rsidR="00FD1A55" w:rsidRDefault="002B3FCD">
          <w:pPr>
            <w:pStyle w:val="TOC2"/>
            <w:rPr>
              <w:rFonts w:asciiTheme="minorHAnsi" w:hAnsiTheme="minorHAnsi"/>
              <w:noProof/>
              <w:lang w:eastAsia="en-AU"/>
            </w:rPr>
          </w:pPr>
          <w:hyperlink w:anchor="_Toc516189364" w:history="1">
            <w:r w:rsidR="00FD1A55" w:rsidRPr="003656AC">
              <w:rPr>
                <w:rStyle w:val="Hyperlink"/>
                <w:noProof/>
              </w:rPr>
              <w:t>4.7.</w:t>
            </w:r>
            <w:r w:rsidR="00FD1A55">
              <w:rPr>
                <w:rFonts w:asciiTheme="minorHAnsi" w:hAnsiTheme="minorHAnsi"/>
                <w:noProof/>
                <w:lang w:eastAsia="en-AU"/>
              </w:rPr>
              <w:tab/>
            </w:r>
            <w:r w:rsidR="00FD1A55" w:rsidRPr="003656AC">
              <w:rPr>
                <w:rStyle w:val="Hyperlink"/>
                <w:noProof/>
              </w:rPr>
              <w:t>Program Management Structure</w:t>
            </w:r>
            <w:r w:rsidR="00FD1A55">
              <w:rPr>
                <w:noProof/>
                <w:webHidden/>
              </w:rPr>
              <w:tab/>
            </w:r>
            <w:r w:rsidR="00FD1A55">
              <w:rPr>
                <w:noProof/>
                <w:webHidden/>
              </w:rPr>
              <w:fldChar w:fldCharType="begin"/>
            </w:r>
            <w:r w:rsidR="00FD1A55">
              <w:rPr>
                <w:noProof/>
                <w:webHidden/>
              </w:rPr>
              <w:instrText xml:space="preserve"> PAGEREF _Toc516189364 \h </w:instrText>
            </w:r>
            <w:r w:rsidR="00FD1A55">
              <w:rPr>
                <w:noProof/>
                <w:webHidden/>
              </w:rPr>
            </w:r>
            <w:r w:rsidR="00FD1A55">
              <w:rPr>
                <w:noProof/>
                <w:webHidden/>
              </w:rPr>
              <w:fldChar w:fldCharType="separate"/>
            </w:r>
            <w:r w:rsidR="00FD1A55">
              <w:rPr>
                <w:noProof/>
                <w:webHidden/>
              </w:rPr>
              <w:t>31</w:t>
            </w:r>
            <w:r w:rsidR="00FD1A55">
              <w:rPr>
                <w:noProof/>
                <w:webHidden/>
              </w:rPr>
              <w:fldChar w:fldCharType="end"/>
            </w:r>
          </w:hyperlink>
        </w:p>
        <w:p w14:paraId="55AC892A" w14:textId="77777777" w:rsidR="00FD1A55" w:rsidRDefault="002B3FCD">
          <w:pPr>
            <w:pStyle w:val="TOC3"/>
            <w:rPr>
              <w:rFonts w:asciiTheme="minorHAnsi" w:hAnsiTheme="minorHAnsi"/>
              <w:noProof/>
              <w:lang w:eastAsia="en-AU"/>
            </w:rPr>
          </w:pPr>
          <w:hyperlink w:anchor="_Toc516189365" w:history="1">
            <w:r w:rsidR="00FD1A55" w:rsidRPr="003656AC">
              <w:rPr>
                <w:rStyle w:val="Hyperlink"/>
                <w:noProof/>
              </w:rPr>
              <w:t>4.7.1.</w:t>
            </w:r>
            <w:r w:rsidR="00FD1A55">
              <w:rPr>
                <w:rFonts w:asciiTheme="minorHAnsi" w:hAnsiTheme="minorHAnsi"/>
                <w:noProof/>
                <w:lang w:eastAsia="en-AU"/>
              </w:rPr>
              <w:tab/>
            </w:r>
            <w:r w:rsidR="00FD1A55" w:rsidRPr="003656AC">
              <w:rPr>
                <w:rStyle w:val="Hyperlink"/>
                <w:noProof/>
              </w:rPr>
              <w:t>Program management structure</w:t>
            </w:r>
            <w:r w:rsidR="00FD1A55">
              <w:rPr>
                <w:noProof/>
                <w:webHidden/>
              </w:rPr>
              <w:tab/>
            </w:r>
            <w:r w:rsidR="00FD1A55">
              <w:rPr>
                <w:noProof/>
                <w:webHidden/>
              </w:rPr>
              <w:fldChar w:fldCharType="begin"/>
            </w:r>
            <w:r w:rsidR="00FD1A55">
              <w:rPr>
                <w:noProof/>
                <w:webHidden/>
              </w:rPr>
              <w:instrText xml:space="preserve"> PAGEREF _Toc516189365 \h </w:instrText>
            </w:r>
            <w:r w:rsidR="00FD1A55">
              <w:rPr>
                <w:noProof/>
                <w:webHidden/>
              </w:rPr>
            </w:r>
            <w:r w:rsidR="00FD1A55">
              <w:rPr>
                <w:noProof/>
                <w:webHidden/>
              </w:rPr>
              <w:fldChar w:fldCharType="separate"/>
            </w:r>
            <w:r w:rsidR="00FD1A55">
              <w:rPr>
                <w:noProof/>
                <w:webHidden/>
              </w:rPr>
              <w:t>31</w:t>
            </w:r>
            <w:r w:rsidR="00FD1A55">
              <w:rPr>
                <w:noProof/>
                <w:webHidden/>
              </w:rPr>
              <w:fldChar w:fldCharType="end"/>
            </w:r>
          </w:hyperlink>
        </w:p>
        <w:p w14:paraId="5716F69C" w14:textId="77777777" w:rsidR="00FD1A55" w:rsidRDefault="002B3FCD">
          <w:pPr>
            <w:pStyle w:val="TOC3"/>
            <w:rPr>
              <w:rFonts w:asciiTheme="minorHAnsi" w:hAnsiTheme="minorHAnsi"/>
              <w:noProof/>
              <w:lang w:eastAsia="en-AU"/>
            </w:rPr>
          </w:pPr>
          <w:hyperlink w:anchor="_Toc516189366" w:history="1">
            <w:r w:rsidR="00FD1A55" w:rsidRPr="003656AC">
              <w:rPr>
                <w:rStyle w:val="Hyperlink"/>
                <w:noProof/>
              </w:rPr>
              <w:t>4.7.2.</w:t>
            </w:r>
            <w:r w:rsidR="00FD1A55">
              <w:rPr>
                <w:rFonts w:asciiTheme="minorHAnsi" w:hAnsiTheme="minorHAnsi"/>
                <w:noProof/>
                <w:lang w:eastAsia="en-AU"/>
              </w:rPr>
              <w:tab/>
            </w:r>
            <w:r w:rsidR="00FD1A55" w:rsidRPr="003656AC">
              <w:rPr>
                <w:rStyle w:val="Hyperlink"/>
                <w:noProof/>
              </w:rPr>
              <w:t>Joint Steering Committee</w:t>
            </w:r>
            <w:r w:rsidR="00FD1A55">
              <w:rPr>
                <w:noProof/>
                <w:webHidden/>
              </w:rPr>
              <w:tab/>
            </w:r>
            <w:r w:rsidR="00FD1A55">
              <w:rPr>
                <w:noProof/>
                <w:webHidden/>
              </w:rPr>
              <w:fldChar w:fldCharType="begin"/>
            </w:r>
            <w:r w:rsidR="00FD1A55">
              <w:rPr>
                <w:noProof/>
                <w:webHidden/>
              </w:rPr>
              <w:instrText xml:space="preserve"> PAGEREF _Toc516189366 \h </w:instrText>
            </w:r>
            <w:r w:rsidR="00FD1A55">
              <w:rPr>
                <w:noProof/>
                <w:webHidden/>
              </w:rPr>
            </w:r>
            <w:r w:rsidR="00FD1A55">
              <w:rPr>
                <w:noProof/>
                <w:webHidden/>
              </w:rPr>
              <w:fldChar w:fldCharType="separate"/>
            </w:r>
            <w:r w:rsidR="00FD1A55">
              <w:rPr>
                <w:noProof/>
                <w:webHidden/>
              </w:rPr>
              <w:t>32</w:t>
            </w:r>
            <w:r w:rsidR="00FD1A55">
              <w:rPr>
                <w:noProof/>
                <w:webHidden/>
              </w:rPr>
              <w:fldChar w:fldCharType="end"/>
            </w:r>
          </w:hyperlink>
        </w:p>
        <w:p w14:paraId="26FF9D29" w14:textId="77777777" w:rsidR="00FD1A55" w:rsidRDefault="002B3FCD">
          <w:pPr>
            <w:pStyle w:val="TOC3"/>
            <w:rPr>
              <w:rFonts w:asciiTheme="minorHAnsi" w:hAnsiTheme="minorHAnsi"/>
              <w:noProof/>
              <w:lang w:eastAsia="en-AU"/>
            </w:rPr>
          </w:pPr>
          <w:hyperlink w:anchor="_Toc516189367" w:history="1">
            <w:r w:rsidR="00FD1A55" w:rsidRPr="003656AC">
              <w:rPr>
                <w:rStyle w:val="Hyperlink"/>
                <w:noProof/>
              </w:rPr>
              <w:t>4.7.3.</w:t>
            </w:r>
            <w:r w:rsidR="00FD1A55">
              <w:rPr>
                <w:rFonts w:asciiTheme="minorHAnsi" w:hAnsiTheme="minorHAnsi"/>
                <w:noProof/>
                <w:lang w:eastAsia="en-AU"/>
              </w:rPr>
              <w:tab/>
            </w:r>
            <w:r w:rsidR="00FD1A55" w:rsidRPr="003656AC">
              <w:rPr>
                <w:rStyle w:val="Hyperlink"/>
                <w:noProof/>
              </w:rPr>
              <w:t>AFP roles and responsibilities</w:t>
            </w:r>
            <w:r w:rsidR="00FD1A55">
              <w:rPr>
                <w:noProof/>
                <w:webHidden/>
              </w:rPr>
              <w:tab/>
            </w:r>
            <w:r w:rsidR="00FD1A55">
              <w:rPr>
                <w:noProof/>
                <w:webHidden/>
              </w:rPr>
              <w:fldChar w:fldCharType="begin"/>
            </w:r>
            <w:r w:rsidR="00FD1A55">
              <w:rPr>
                <w:noProof/>
                <w:webHidden/>
              </w:rPr>
              <w:instrText xml:space="preserve"> PAGEREF _Toc516189367 \h </w:instrText>
            </w:r>
            <w:r w:rsidR="00FD1A55">
              <w:rPr>
                <w:noProof/>
                <w:webHidden/>
              </w:rPr>
            </w:r>
            <w:r w:rsidR="00FD1A55">
              <w:rPr>
                <w:noProof/>
                <w:webHidden/>
              </w:rPr>
              <w:fldChar w:fldCharType="separate"/>
            </w:r>
            <w:r w:rsidR="00FD1A55">
              <w:rPr>
                <w:noProof/>
                <w:webHidden/>
              </w:rPr>
              <w:t>33</w:t>
            </w:r>
            <w:r w:rsidR="00FD1A55">
              <w:rPr>
                <w:noProof/>
                <w:webHidden/>
              </w:rPr>
              <w:fldChar w:fldCharType="end"/>
            </w:r>
          </w:hyperlink>
        </w:p>
        <w:p w14:paraId="373CE33F" w14:textId="77777777" w:rsidR="00FD1A55" w:rsidRDefault="002B3FCD">
          <w:pPr>
            <w:pStyle w:val="TOC3"/>
            <w:rPr>
              <w:rFonts w:asciiTheme="minorHAnsi" w:hAnsiTheme="minorHAnsi"/>
              <w:noProof/>
              <w:lang w:eastAsia="en-AU"/>
            </w:rPr>
          </w:pPr>
          <w:hyperlink w:anchor="_Toc516189368" w:history="1">
            <w:r w:rsidR="00FD1A55" w:rsidRPr="003656AC">
              <w:rPr>
                <w:rStyle w:val="Hyperlink"/>
                <w:noProof/>
              </w:rPr>
              <w:t>4.7.4.</w:t>
            </w:r>
            <w:r w:rsidR="00FD1A55">
              <w:rPr>
                <w:rFonts w:asciiTheme="minorHAnsi" w:hAnsiTheme="minorHAnsi"/>
                <w:noProof/>
                <w:lang w:eastAsia="en-AU"/>
              </w:rPr>
              <w:tab/>
            </w:r>
            <w:r w:rsidR="00FD1A55" w:rsidRPr="003656AC">
              <w:rPr>
                <w:rStyle w:val="Hyperlink"/>
                <w:noProof/>
              </w:rPr>
              <w:t>Program staffing</w:t>
            </w:r>
            <w:r w:rsidR="00FD1A55">
              <w:rPr>
                <w:noProof/>
                <w:webHidden/>
              </w:rPr>
              <w:tab/>
            </w:r>
            <w:r w:rsidR="00FD1A55">
              <w:rPr>
                <w:noProof/>
                <w:webHidden/>
              </w:rPr>
              <w:fldChar w:fldCharType="begin"/>
            </w:r>
            <w:r w:rsidR="00FD1A55">
              <w:rPr>
                <w:noProof/>
                <w:webHidden/>
              </w:rPr>
              <w:instrText xml:space="preserve"> PAGEREF _Toc516189368 \h </w:instrText>
            </w:r>
            <w:r w:rsidR="00FD1A55">
              <w:rPr>
                <w:noProof/>
                <w:webHidden/>
              </w:rPr>
            </w:r>
            <w:r w:rsidR="00FD1A55">
              <w:rPr>
                <w:noProof/>
                <w:webHidden/>
              </w:rPr>
              <w:fldChar w:fldCharType="separate"/>
            </w:r>
            <w:r w:rsidR="00FD1A55">
              <w:rPr>
                <w:noProof/>
                <w:webHidden/>
              </w:rPr>
              <w:t>33</w:t>
            </w:r>
            <w:r w:rsidR="00FD1A55">
              <w:rPr>
                <w:noProof/>
                <w:webHidden/>
              </w:rPr>
              <w:fldChar w:fldCharType="end"/>
            </w:r>
          </w:hyperlink>
        </w:p>
        <w:p w14:paraId="35E6A7F4" w14:textId="77777777" w:rsidR="00FD1A55" w:rsidRDefault="002B3FCD">
          <w:pPr>
            <w:pStyle w:val="TOC2"/>
            <w:rPr>
              <w:rFonts w:asciiTheme="minorHAnsi" w:hAnsiTheme="minorHAnsi"/>
              <w:noProof/>
              <w:lang w:eastAsia="en-AU"/>
            </w:rPr>
          </w:pPr>
          <w:hyperlink w:anchor="_Toc516189369" w:history="1">
            <w:r w:rsidR="00FD1A55" w:rsidRPr="003656AC">
              <w:rPr>
                <w:rStyle w:val="Hyperlink"/>
                <w:noProof/>
                <w:lang w:eastAsia="en-US"/>
              </w:rPr>
              <w:t>4.8.</w:t>
            </w:r>
            <w:r w:rsidR="00FD1A55">
              <w:rPr>
                <w:rFonts w:asciiTheme="minorHAnsi" w:hAnsiTheme="minorHAnsi"/>
                <w:noProof/>
                <w:lang w:eastAsia="en-AU"/>
              </w:rPr>
              <w:tab/>
            </w:r>
            <w:r w:rsidR="00FD1A55" w:rsidRPr="003656AC">
              <w:rPr>
                <w:rStyle w:val="Hyperlink"/>
                <w:noProof/>
              </w:rPr>
              <w:t>Reporting</w:t>
            </w:r>
            <w:r w:rsidR="00FD1A55">
              <w:rPr>
                <w:noProof/>
                <w:webHidden/>
              </w:rPr>
              <w:tab/>
            </w:r>
            <w:r w:rsidR="00FD1A55">
              <w:rPr>
                <w:noProof/>
                <w:webHidden/>
              </w:rPr>
              <w:fldChar w:fldCharType="begin"/>
            </w:r>
            <w:r w:rsidR="00FD1A55">
              <w:rPr>
                <w:noProof/>
                <w:webHidden/>
              </w:rPr>
              <w:instrText xml:space="preserve"> PAGEREF _Toc516189369 \h </w:instrText>
            </w:r>
            <w:r w:rsidR="00FD1A55">
              <w:rPr>
                <w:noProof/>
                <w:webHidden/>
              </w:rPr>
            </w:r>
            <w:r w:rsidR="00FD1A55">
              <w:rPr>
                <w:noProof/>
                <w:webHidden/>
              </w:rPr>
              <w:fldChar w:fldCharType="separate"/>
            </w:r>
            <w:r w:rsidR="00FD1A55">
              <w:rPr>
                <w:noProof/>
                <w:webHidden/>
              </w:rPr>
              <w:t>34</w:t>
            </w:r>
            <w:r w:rsidR="00FD1A55">
              <w:rPr>
                <w:noProof/>
                <w:webHidden/>
              </w:rPr>
              <w:fldChar w:fldCharType="end"/>
            </w:r>
          </w:hyperlink>
        </w:p>
        <w:p w14:paraId="6CC5FABA" w14:textId="77777777" w:rsidR="00FD1A55" w:rsidRDefault="002B3FCD">
          <w:pPr>
            <w:pStyle w:val="TOC3"/>
            <w:rPr>
              <w:rFonts w:asciiTheme="minorHAnsi" w:hAnsiTheme="minorHAnsi"/>
              <w:noProof/>
              <w:lang w:eastAsia="en-AU"/>
            </w:rPr>
          </w:pPr>
          <w:hyperlink w:anchor="_Toc516189370" w:history="1">
            <w:r w:rsidR="00FD1A55" w:rsidRPr="003656AC">
              <w:rPr>
                <w:rStyle w:val="Hyperlink"/>
                <w:noProof/>
              </w:rPr>
              <w:t>4.8.1.</w:t>
            </w:r>
            <w:r w:rsidR="00FD1A55">
              <w:rPr>
                <w:rFonts w:asciiTheme="minorHAnsi" w:hAnsiTheme="minorHAnsi"/>
                <w:noProof/>
                <w:lang w:eastAsia="en-AU"/>
              </w:rPr>
              <w:tab/>
            </w:r>
            <w:r w:rsidR="00FD1A55" w:rsidRPr="003656AC">
              <w:rPr>
                <w:rStyle w:val="Hyperlink"/>
                <w:noProof/>
              </w:rPr>
              <w:t>Adviser Reporting</w:t>
            </w:r>
            <w:r w:rsidR="00FD1A55">
              <w:rPr>
                <w:noProof/>
                <w:webHidden/>
              </w:rPr>
              <w:tab/>
            </w:r>
            <w:r w:rsidR="00FD1A55">
              <w:rPr>
                <w:noProof/>
                <w:webHidden/>
              </w:rPr>
              <w:fldChar w:fldCharType="begin"/>
            </w:r>
            <w:r w:rsidR="00FD1A55">
              <w:rPr>
                <w:noProof/>
                <w:webHidden/>
              </w:rPr>
              <w:instrText xml:space="preserve"> PAGEREF _Toc516189370 \h </w:instrText>
            </w:r>
            <w:r w:rsidR="00FD1A55">
              <w:rPr>
                <w:noProof/>
                <w:webHidden/>
              </w:rPr>
            </w:r>
            <w:r w:rsidR="00FD1A55">
              <w:rPr>
                <w:noProof/>
                <w:webHidden/>
              </w:rPr>
              <w:fldChar w:fldCharType="separate"/>
            </w:r>
            <w:r w:rsidR="00FD1A55">
              <w:rPr>
                <w:noProof/>
                <w:webHidden/>
              </w:rPr>
              <w:t>34</w:t>
            </w:r>
            <w:r w:rsidR="00FD1A55">
              <w:rPr>
                <w:noProof/>
                <w:webHidden/>
              </w:rPr>
              <w:fldChar w:fldCharType="end"/>
            </w:r>
          </w:hyperlink>
        </w:p>
        <w:p w14:paraId="0230AF87" w14:textId="77777777" w:rsidR="00FD1A55" w:rsidRDefault="002B3FCD">
          <w:pPr>
            <w:pStyle w:val="TOC2"/>
            <w:rPr>
              <w:rFonts w:asciiTheme="minorHAnsi" w:hAnsiTheme="minorHAnsi"/>
              <w:noProof/>
              <w:lang w:eastAsia="en-AU"/>
            </w:rPr>
          </w:pPr>
          <w:hyperlink w:anchor="_Toc516189371" w:history="1">
            <w:r w:rsidR="00FD1A55" w:rsidRPr="003656AC">
              <w:rPr>
                <w:rStyle w:val="Hyperlink"/>
                <w:noProof/>
              </w:rPr>
              <w:t>4.9.</w:t>
            </w:r>
            <w:r w:rsidR="00FD1A55">
              <w:rPr>
                <w:rFonts w:asciiTheme="minorHAnsi" w:hAnsiTheme="minorHAnsi"/>
                <w:noProof/>
                <w:lang w:eastAsia="en-AU"/>
              </w:rPr>
              <w:tab/>
            </w:r>
            <w:r w:rsidR="00FD1A55" w:rsidRPr="003656AC">
              <w:rPr>
                <w:rStyle w:val="Hyperlink"/>
                <w:noProof/>
              </w:rPr>
              <w:t>Monitoring, Evaluation and Learning (MEL) Framework</w:t>
            </w:r>
            <w:r w:rsidR="00FD1A55">
              <w:rPr>
                <w:noProof/>
                <w:webHidden/>
              </w:rPr>
              <w:tab/>
            </w:r>
            <w:r w:rsidR="00FD1A55">
              <w:rPr>
                <w:noProof/>
                <w:webHidden/>
              </w:rPr>
              <w:fldChar w:fldCharType="begin"/>
            </w:r>
            <w:r w:rsidR="00FD1A55">
              <w:rPr>
                <w:noProof/>
                <w:webHidden/>
              </w:rPr>
              <w:instrText xml:space="preserve"> PAGEREF _Toc516189371 \h </w:instrText>
            </w:r>
            <w:r w:rsidR="00FD1A55">
              <w:rPr>
                <w:noProof/>
                <w:webHidden/>
              </w:rPr>
            </w:r>
            <w:r w:rsidR="00FD1A55">
              <w:rPr>
                <w:noProof/>
                <w:webHidden/>
              </w:rPr>
              <w:fldChar w:fldCharType="separate"/>
            </w:r>
            <w:r w:rsidR="00FD1A55">
              <w:rPr>
                <w:noProof/>
                <w:webHidden/>
              </w:rPr>
              <w:t>34</w:t>
            </w:r>
            <w:r w:rsidR="00FD1A55">
              <w:rPr>
                <w:noProof/>
                <w:webHidden/>
              </w:rPr>
              <w:fldChar w:fldCharType="end"/>
            </w:r>
          </w:hyperlink>
        </w:p>
        <w:p w14:paraId="20CA8E8F" w14:textId="77777777" w:rsidR="00FD1A55" w:rsidRDefault="002B3FCD">
          <w:pPr>
            <w:pStyle w:val="TOC3"/>
            <w:rPr>
              <w:rFonts w:asciiTheme="minorHAnsi" w:hAnsiTheme="minorHAnsi"/>
              <w:noProof/>
              <w:lang w:eastAsia="en-AU"/>
            </w:rPr>
          </w:pPr>
          <w:hyperlink w:anchor="_Toc516189372" w:history="1">
            <w:r w:rsidR="00FD1A55" w:rsidRPr="003656AC">
              <w:rPr>
                <w:rStyle w:val="Hyperlink"/>
                <w:noProof/>
              </w:rPr>
              <w:t>4.9.1.</w:t>
            </w:r>
            <w:r w:rsidR="00FD1A55">
              <w:rPr>
                <w:rFonts w:asciiTheme="minorHAnsi" w:hAnsiTheme="minorHAnsi"/>
                <w:noProof/>
                <w:lang w:eastAsia="en-AU"/>
              </w:rPr>
              <w:tab/>
            </w:r>
            <w:r w:rsidR="00FD1A55" w:rsidRPr="003656AC">
              <w:rPr>
                <w:rStyle w:val="Hyperlink"/>
                <w:noProof/>
              </w:rPr>
              <w:t>Purpose of the MEL Framework</w:t>
            </w:r>
            <w:r w:rsidR="00FD1A55">
              <w:rPr>
                <w:noProof/>
                <w:webHidden/>
              </w:rPr>
              <w:tab/>
            </w:r>
            <w:r w:rsidR="00FD1A55">
              <w:rPr>
                <w:noProof/>
                <w:webHidden/>
              </w:rPr>
              <w:fldChar w:fldCharType="begin"/>
            </w:r>
            <w:r w:rsidR="00FD1A55">
              <w:rPr>
                <w:noProof/>
                <w:webHidden/>
              </w:rPr>
              <w:instrText xml:space="preserve"> PAGEREF _Toc516189372 \h </w:instrText>
            </w:r>
            <w:r w:rsidR="00FD1A55">
              <w:rPr>
                <w:noProof/>
                <w:webHidden/>
              </w:rPr>
            </w:r>
            <w:r w:rsidR="00FD1A55">
              <w:rPr>
                <w:noProof/>
                <w:webHidden/>
              </w:rPr>
              <w:fldChar w:fldCharType="separate"/>
            </w:r>
            <w:r w:rsidR="00FD1A55">
              <w:rPr>
                <w:noProof/>
                <w:webHidden/>
              </w:rPr>
              <w:t>35</w:t>
            </w:r>
            <w:r w:rsidR="00FD1A55">
              <w:rPr>
                <w:noProof/>
                <w:webHidden/>
              </w:rPr>
              <w:fldChar w:fldCharType="end"/>
            </w:r>
          </w:hyperlink>
        </w:p>
        <w:p w14:paraId="15CBC67E" w14:textId="77777777" w:rsidR="00FD1A55" w:rsidRDefault="002B3FCD">
          <w:pPr>
            <w:pStyle w:val="TOC3"/>
            <w:rPr>
              <w:rFonts w:asciiTheme="minorHAnsi" w:hAnsiTheme="minorHAnsi"/>
              <w:noProof/>
              <w:lang w:eastAsia="en-AU"/>
            </w:rPr>
          </w:pPr>
          <w:hyperlink w:anchor="_Toc516189373" w:history="1">
            <w:r w:rsidR="00FD1A55" w:rsidRPr="003656AC">
              <w:rPr>
                <w:rStyle w:val="Hyperlink"/>
                <w:noProof/>
              </w:rPr>
              <w:t>4.9.2.</w:t>
            </w:r>
            <w:r w:rsidR="00FD1A55">
              <w:rPr>
                <w:rFonts w:asciiTheme="minorHAnsi" w:hAnsiTheme="minorHAnsi"/>
                <w:noProof/>
                <w:lang w:eastAsia="en-AU"/>
              </w:rPr>
              <w:tab/>
            </w:r>
            <w:r w:rsidR="00FD1A55" w:rsidRPr="003656AC">
              <w:rPr>
                <w:rStyle w:val="Hyperlink"/>
                <w:noProof/>
              </w:rPr>
              <w:t>Scope</w:t>
            </w:r>
            <w:r w:rsidR="00FD1A55">
              <w:rPr>
                <w:noProof/>
                <w:webHidden/>
              </w:rPr>
              <w:tab/>
            </w:r>
            <w:r w:rsidR="00FD1A55">
              <w:rPr>
                <w:noProof/>
                <w:webHidden/>
              </w:rPr>
              <w:fldChar w:fldCharType="begin"/>
            </w:r>
            <w:r w:rsidR="00FD1A55">
              <w:rPr>
                <w:noProof/>
                <w:webHidden/>
              </w:rPr>
              <w:instrText xml:space="preserve"> PAGEREF _Toc516189373 \h </w:instrText>
            </w:r>
            <w:r w:rsidR="00FD1A55">
              <w:rPr>
                <w:noProof/>
                <w:webHidden/>
              </w:rPr>
            </w:r>
            <w:r w:rsidR="00FD1A55">
              <w:rPr>
                <w:noProof/>
                <w:webHidden/>
              </w:rPr>
              <w:fldChar w:fldCharType="separate"/>
            </w:r>
            <w:r w:rsidR="00FD1A55">
              <w:rPr>
                <w:noProof/>
                <w:webHidden/>
              </w:rPr>
              <w:t>35</w:t>
            </w:r>
            <w:r w:rsidR="00FD1A55">
              <w:rPr>
                <w:noProof/>
                <w:webHidden/>
              </w:rPr>
              <w:fldChar w:fldCharType="end"/>
            </w:r>
          </w:hyperlink>
        </w:p>
        <w:p w14:paraId="458A7F47" w14:textId="77777777" w:rsidR="00FD1A55" w:rsidRDefault="002B3FCD">
          <w:pPr>
            <w:pStyle w:val="TOC3"/>
            <w:rPr>
              <w:rFonts w:asciiTheme="minorHAnsi" w:hAnsiTheme="minorHAnsi"/>
              <w:noProof/>
              <w:lang w:eastAsia="en-AU"/>
            </w:rPr>
          </w:pPr>
          <w:hyperlink w:anchor="_Toc516189374" w:history="1">
            <w:r w:rsidR="00FD1A55" w:rsidRPr="003656AC">
              <w:rPr>
                <w:rStyle w:val="Hyperlink"/>
                <w:noProof/>
              </w:rPr>
              <w:t>4.9.3.</w:t>
            </w:r>
            <w:r w:rsidR="00FD1A55">
              <w:rPr>
                <w:rFonts w:asciiTheme="minorHAnsi" w:hAnsiTheme="minorHAnsi"/>
                <w:noProof/>
                <w:lang w:eastAsia="en-AU"/>
              </w:rPr>
              <w:tab/>
            </w:r>
            <w:r w:rsidR="00FD1A55" w:rsidRPr="003656AC">
              <w:rPr>
                <w:rStyle w:val="Hyperlink"/>
                <w:noProof/>
              </w:rPr>
              <w:t>Audience for MEL data and products</w:t>
            </w:r>
            <w:r w:rsidR="00FD1A55">
              <w:rPr>
                <w:noProof/>
                <w:webHidden/>
              </w:rPr>
              <w:tab/>
            </w:r>
            <w:r w:rsidR="00FD1A55">
              <w:rPr>
                <w:noProof/>
                <w:webHidden/>
              </w:rPr>
              <w:fldChar w:fldCharType="begin"/>
            </w:r>
            <w:r w:rsidR="00FD1A55">
              <w:rPr>
                <w:noProof/>
                <w:webHidden/>
              </w:rPr>
              <w:instrText xml:space="preserve"> PAGEREF _Toc516189374 \h </w:instrText>
            </w:r>
            <w:r w:rsidR="00FD1A55">
              <w:rPr>
                <w:noProof/>
                <w:webHidden/>
              </w:rPr>
            </w:r>
            <w:r w:rsidR="00FD1A55">
              <w:rPr>
                <w:noProof/>
                <w:webHidden/>
              </w:rPr>
              <w:fldChar w:fldCharType="separate"/>
            </w:r>
            <w:r w:rsidR="00FD1A55">
              <w:rPr>
                <w:noProof/>
                <w:webHidden/>
              </w:rPr>
              <w:t>35</w:t>
            </w:r>
            <w:r w:rsidR="00FD1A55">
              <w:rPr>
                <w:noProof/>
                <w:webHidden/>
              </w:rPr>
              <w:fldChar w:fldCharType="end"/>
            </w:r>
          </w:hyperlink>
        </w:p>
        <w:p w14:paraId="6D41A6C6" w14:textId="77777777" w:rsidR="00FD1A55" w:rsidRDefault="002B3FCD">
          <w:pPr>
            <w:pStyle w:val="TOC3"/>
            <w:rPr>
              <w:rFonts w:asciiTheme="minorHAnsi" w:hAnsiTheme="minorHAnsi"/>
              <w:noProof/>
              <w:lang w:eastAsia="en-AU"/>
            </w:rPr>
          </w:pPr>
          <w:hyperlink w:anchor="_Toc516189375" w:history="1">
            <w:r w:rsidR="00FD1A55" w:rsidRPr="003656AC">
              <w:rPr>
                <w:rStyle w:val="Hyperlink"/>
                <w:noProof/>
              </w:rPr>
              <w:t>4.9.4.</w:t>
            </w:r>
            <w:r w:rsidR="00FD1A55">
              <w:rPr>
                <w:rFonts w:asciiTheme="minorHAnsi" w:hAnsiTheme="minorHAnsi"/>
                <w:noProof/>
                <w:lang w:eastAsia="en-AU"/>
              </w:rPr>
              <w:tab/>
            </w:r>
            <w:r w:rsidR="00FD1A55" w:rsidRPr="003656AC">
              <w:rPr>
                <w:rStyle w:val="Hyperlink"/>
                <w:noProof/>
              </w:rPr>
              <w:t>Approach to MEL</w:t>
            </w:r>
            <w:r w:rsidR="00FD1A55">
              <w:rPr>
                <w:noProof/>
                <w:webHidden/>
              </w:rPr>
              <w:tab/>
            </w:r>
            <w:r w:rsidR="00FD1A55">
              <w:rPr>
                <w:noProof/>
                <w:webHidden/>
              </w:rPr>
              <w:fldChar w:fldCharType="begin"/>
            </w:r>
            <w:r w:rsidR="00FD1A55">
              <w:rPr>
                <w:noProof/>
                <w:webHidden/>
              </w:rPr>
              <w:instrText xml:space="preserve"> PAGEREF _Toc516189375 \h </w:instrText>
            </w:r>
            <w:r w:rsidR="00FD1A55">
              <w:rPr>
                <w:noProof/>
                <w:webHidden/>
              </w:rPr>
            </w:r>
            <w:r w:rsidR="00FD1A55">
              <w:rPr>
                <w:noProof/>
                <w:webHidden/>
              </w:rPr>
              <w:fldChar w:fldCharType="separate"/>
            </w:r>
            <w:r w:rsidR="00FD1A55">
              <w:rPr>
                <w:noProof/>
                <w:webHidden/>
              </w:rPr>
              <w:t>35</w:t>
            </w:r>
            <w:r w:rsidR="00FD1A55">
              <w:rPr>
                <w:noProof/>
                <w:webHidden/>
              </w:rPr>
              <w:fldChar w:fldCharType="end"/>
            </w:r>
          </w:hyperlink>
        </w:p>
        <w:p w14:paraId="0AA7EDEC" w14:textId="77777777" w:rsidR="00FD1A55" w:rsidRDefault="002B3FCD">
          <w:pPr>
            <w:pStyle w:val="TOC2"/>
            <w:tabs>
              <w:tab w:val="left" w:pos="1320"/>
            </w:tabs>
            <w:rPr>
              <w:rFonts w:asciiTheme="minorHAnsi" w:hAnsiTheme="minorHAnsi"/>
              <w:noProof/>
              <w:lang w:eastAsia="en-AU"/>
            </w:rPr>
          </w:pPr>
          <w:hyperlink w:anchor="_Toc516189376" w:history="1">
            <w:r w:rsidR="00FD1A55" w:rsidRPr="003656AC">
              <w:rPr>
                <w:rStyle w:val="Hyperlink"/>
                <w:noProof/>
              </w:rPr>
              <w:t>4.10.</w:t>
            </w:r>
            <w:r w:rsidR="00FD1A55">
              <w:rPr>
                <w:rFonts w:asciiTheme="minorHAnsi" w:hAnsiTheme="minorHAnsi"/>
                <w:noProof/>
                <w:lang w:eastAsia="en-AU"/>
              </w:rPr>
              <w:tab/>
            </w:r>
            <w:r w:rsidR="00FD1A55" w:rsidRPr="003656AC">
              <w:rPr>
                <w:rStyle w:val="Hyperlink"/>
                <w:noProof/>
              </w:rPr>
              <w:t>Sustainability</w:t>
            </w:r>
            <w:r w:rsidR="00FD1A55">
              <w:rPr>
                <w:noProof/>
                <w:webHidden/>
              </w:rPr>
              <w:tab/>
            </w:r>
            <w:r w:rsidR="00FD1A55">
              <w:rPr>
                <w:noProof/>
                <w:webHidden/>
              </w:rPr>
              <w:fldChar w:fldCharType="begin"/>
            </w:r>
            <w:r w:rsidR="00FD1A55">
              <w:rPr>
                <w:noProof/>
                <w:webHidden/>
              </w:rPr>
              <w:instrText xml:space="preserve"> PAGEREF _Toc516189376 \h </w:instrText>
            </w:r>
            <w:r w:rsidR="00FD1A55">
              <w:rPr>
                <w:noProof/>
                <w:webHidden/>
              </w:rPr>
            </w:r>
            <w:r w:rsidR="00FD1A55">
              <w:rPr>
                <w:noProof/>
                <w:webHidden/>
              </w:rPr>
              <w:fldChar w:fldCharType="separate"/>
            </w:r>
            <w:r w:rsidR="00FD1A55">
              <w:rPr>
                <w:noProof/>
                <w:webHidden/>
              </w:rPr>
              <w:t>36</w:t>
            </w:r>
            <w:r w:rsidR="00FD1A55">
              <w:rPr>
                <w:noProof/>
                <w:webHidden/>
              </w:rPr>
              <w:fldChar w:fldCharType="end"/>
            </w:r>
          </w:hyperlink>
        </w:p>
        <w:p w14:paraId="675F311A" w14:textId="77777777" w:rsidR="00FD1A55" w:rsidRDefault="002B3FCD">
          <w:pPr>
            <w:pStyle w:val="TOC2"/>
            <w:tabs>
              <w:tab w:val="left" w:pos="1320"/>
            </w:tabs>
            <w:rPr>
              <w:rFonts w:asciiTheme="minorHAnsi" w:hAnsiTheme="minorHAnsi"/>
              <w:noProof/>
              <w:lang w:eastAsia="en-AU"/>
            </w:rPr>
          </w:pPr>
          <w:hyperlink w:anchor="_Toc516189377" w:history="1">
            <w:r w:rsidR="00FD1A55" w:rsidRPr="003656AC">
              <w:rPr>
                <w:rStyle w:val="Hyperlink"/>
                <w:noProof/>
              </w:rPr>
              <w:t>4.11.</w:t>
            </w:r>
            <w:r w:rsidR="00FD1A55">
              <w:rPr>
                <w:rFonts w:asciiTheme="minorHAnsi" w:hAnsiTheme="minorHAnsi"/>
                <w:noProof/>
                <w:lang w:eastAsia="en-AU"/>
              </w:rPr>
              <w:tab/>
            </w:r>
            <w:r w:rsidR="00FD1A55" w:rsidRPr="003656AC">
              <w:rPr>
                <w:rStyle w:val="Hyperlink"/>
                <w:noProof/>
              </w:rPr>
              <w:t>Gender Equality and Women’s Empowerment</w:t>
            </w:r>
            <w:r w:rsidR="00FD1A55">
              <w:rPr>
                <w:noProof/>
                <w:webHidden/>
              </w:rPr>
              <w:tab/>
            </w:r>
            <w:r w:rsidR="00FD1A55">
              <w:rPr>
                <w:noProof/>
                <w:webHidden/>
              </w:rPr>
              <w:fldChar w:fldCharType="begin"/>
            </w:r>
            <w:r w:rsidR="00FD1A55">
              <w:rPr>
                <w:noProof/>
                <w:webHidden/>
              </w:rPr>
              <w:instrText xml:space="preserve"> PAGEREF _Toc516189377 \h </w:instrText>
            </w:r>
            <w:r w:rsidR="00FD1A55">
              <w:rPr>
                <w:noProof/>
                <w:webHidden/>
              </w:rPr>
            </w:r>
            <w:r w:rsidR="00FD1A55">
              <w:rPr>
                <w:noProof/>
                <w:webHidden/>
              </w:rPr>
              <w:fldChar w:fldCharType="separate"/>
            </w:r>
            <w:r w:rsidR="00FD1A55">
              <w:rPr>
                <w:noProof/>
                <w:webHidden/>
              </w:rPr>
              <w:t>37</w:t>
            </w:r>
            <w:r w:rsidR="00FD1A55">
              <w:rPr>
                <w:noProof/>
                <w:webHidden/>
              </w:rPr>
              <w:fldChar w:fldCharType="end"/>
            </w:r>
          </w:hyperlink>
        </w:p>
        <w:p w14:paraId="49EB9F64" w14:textId="77777777" w:rsidR="00FD1A55" w:rsidRDefault="002B3FCD">
          <w:pPr>
            <w:pStyle w:val="TOC3"/>
            <w:rPr>
              <w:rFonts w:asciiTheme="minorHAnsi" w:hAnsiTheme="minorHAnsi"/>
              <w:noProof/>
              <w:lang w:eastAsia="en-AU"/>
            </w:rPr>
          </w:pPr>
          <w:hyperlink w:anchor="_Toc516189378" w:history="1">
            <w:r w:rsidR="00FD1A55" w:rsidRPr="003656AC">
              <w:rPr>
                <w:rStyle w:val="Hyperlink"/>
                <w:noProof/>
              </w:rPr>
              <w:t>4.11.1.</w:t>
            </w:r>
            <w:r w:rsidR="00FD1A55">
              <w:rPr>
                <w:rFonts w:asciiTheme="minorHAnsi" w:hAnsiTheme="minorHAnsi"/>
                <w:noProof/>
                <w:lang w:eastAsia="en-AU"/>
              </w:rPr>
              <w:tab/>
            </w:r>
            <w:r w:rsidR="00FD1A55" w:rsidRPr="003656AC">
              <w:rPr>
                <w:rStyle w:val="Hyperlink"/>
                <w:noProof/>
              </w:rPr>
              <w:t>Violence against women</w:t>
            </w:r>
            <w:r w:rsidR="00FD1A55">
              <w:rPr>
                <w:noProof/>
                <w:webHidden/>
              </w:rPr>
              <w:tab/>
            </w:r>
            <w:r w:rsidR="00FD1A55">
              <w:rPr>
                <w:noProof/>
                <w:webHidden/>
              </w:rPr>
              <w:fldChar w:fldCharType="begin"/>
            </w:r>
            <w:r w:rsidR="00FD1A55">
              <w:rPr>
                <w:noProof/>
                <w:webHidden/>
              </w:rPr>
              <w:instrText xml:space="preserve"> PAGEREF _Toc516189378 \h </w:instrText>
            </w:r>
            <w:r w:rsidR="00FD1A55">
              <w:rPr>
                <w:noProof/>
                <w:webHidden/>
              </w:rPr>
            </w:r>
            <w:r w:rsidR="00FD1A55">
              <w:rPr>
                <w:noProof/>
                <w:webHidden/>
              </w:rPr>
              <w:fldChar w:fldCharType="separate"/>
            </w:r>
            <w:r w:rsidR="00FD1A55">
              <w:rPr>
                <w:noProof/>
                <w:webHidden/>
              </w:rPr>
              <w:t>38</w:t>
            </w:r>
            <w:r w:rsidR="00FD1A55">
              <w:rPr>
                <w:noProof/>
                <w:webHidden/>
              </w:rPr>
              <w:fldChar w:fldCharType="end"/>
            </w:r>
          </w:hyperlink>
        </w:p>
        <w:p w14:paraId="6F4E9D36" w14:textId="77777777" w:rsidR="00FD1A55" w:rsidRDefault="002B3FCD">
          <w:pPr>
            <w:pStyle w:val="TOC3"/>
            <w:rPr>
              <w:rFonts w:asciiTheme="minorHAnsi" w:hAnsiTheme="minorHAnsi"/>
              <w:noProof/>
              <w:lang w:eastAsia="en-AU"/>
            </w:rPr>
          </w:pPr>
          <w:hyperlink w:anchor="_Toc516189379" w:history="1">
            <w:r w:rsidR="00FD1A55" w:rsidRPr="003656AC">
              <w:rPr>
                <w:rStyle w:val="Hyperlink"/>
                <w:noProof/>
              </w:rPr>
              <w:t>4.11.2.</w:t>
            </w:r>
            <w:r w:rsidR="00FD1A55">
              <w:rPr>
                <w:rFonts w:asciiTheme="minorHAnsi" w:hAnsiTheme="minorHAnsi"/>
                <w:noProof/>
                <w:lang w:eastAsia="en-AU"/>
              </w:rPr>
              <w:tab/>
            </w:r>
            <w:r w:rsidR="00FD1A55" w:rsidRPr="003656AC">
              <w:rPr>
                <w:rStyle w:val="Hyperlink"/>
                <w:noProof/>
              </w:rPr>
              <w:t>Empowering women in the PNTL</w:t>
            </w:r>
            <w:r w:rsidR="00FD1A55">
              <w:rPr>
                <w:noProof/>
                <w:webHidden/>
              </w:rPr>
              <w:tab/>
            </w:r>
            <w:r w:rsidR="00FD1A55">
              <w:rPr>
                <w:noProof/>
                <w:webHidden/>
              </w:rPr>
              <w:fldChar w:fldCharType="begin"/>
            </w:r>
            <w:r w:rsidR="00FD1A55">
              <w:rPr>
                <w:noProof/>
                <w:webHidden/>
              </w:rPr>
              <w:instrText xml:space="preserve"> PAGEREF _Toc516189379 \h </w:instrText>
            </w:r>
            <w:r w:rsidR="00FD1A55">
              <w:rPr>
                <w:noProof/>
                <w:webHidden/>
              </w:rPr>
            </w:r>
            <w:r w:rsidR="00FD1A55">
              <w:rPr>
                <w:noProof/>
                <w:webHidden/>
              </w:rPr>
              <w:fldChar w:fldCharType="separate"/>
            </w:r>
            <w:r w:rsidR="00FD1A55">
              <w:rPr>
                <w:noProof/>
                <w:webHidden/>
              </w:rPr>
              <w:t>39</w:t>
            </w:r>
            <w:r w:rsidR="00FD1A55">
              <w:rPr>
                <w:noProof/>
                <w:webHidden/>
              </w:rPr>
              <w:fldChar w:fldCharType="end"/>
            </w:r>
          </w:hyperlink>
        </w:p>
        <w:p w14:paraId="35F2114F" w14:textId="77777777" w:rsidR="00FD1A55" w:rsidRDefault="002B3FCD">
          <w:pPr>
            <w:pStyle w:val="TOC2"/>
            <w:tabs>
              <w:tab w:val="left" w:pos="1320"/>
            </w:tabs>
            <w:rPr>
              <w:rFonts w:asciiTheme="minorHAnsi" w:hAnsiTheme="minorHAnsi"/>
              <w:noProof/>
              <w:lang w:eastAsia="en-AU"/>
            </w:rPr>
          </w:pPr>
          <w:hyperlink w:anchor="_Toc516189380" w:history="1">
            <w:r w:rsidR="00FD1A55" w:rsidRPr="003656AC">
              <w:rPr>
                <w:rStyle w:val="Hyperlink"/>
                <w:noProof/>
              </w:rPr>
              <w:t>4.12.</w:t>
            </w:r>
            <w:r w:rsidR="00FD1A55">
              <w:rPr>
                <w:rFonts w:asciiTheme="minorHAnsi" w:hAnsiTheme="minorHAnsi"/>
                <w:noProof/>
                <w:lang w:eastAsia="en-AU"/>
              </w:rPr>
              <w:tab/>
            </w:r>
            <w:r w:rsidR="00FD1A55" w:rsidRPr="003656AC">
              <w:rPr>
                <w:rStyle w:val="Hyperlink"/>
                <w:noProof/>
              </w:rPr>
              <w:t>Vulnerable Groups - inclusive police development</w:t>
            </w:r>
            <w:r w:rsidR="00FD1A55">
              <w:rPr>
                <w:noProof/>
                <w:webHidden/>
              </w:rPr>
              <w:tab/>
            </w:r>
            <w:r w:rsidR="00FD1A55">
              <w:rPr>
                <w:noProof/>
                <w:webHidden/>
              </w:rPr>
              <w:fldChar w:fldCharType="begin"/>
            </w:r>
            <w:r w:rsidR="00FD1A55">
              <w:rPr>
                <w:noProof/>
                <w:webHidden/>
              </w:rPr>
              <w:instrText xml:space="preserve"> PAGEREF _Toc516189380 \h </w:instrText>
            </w:r>
            <w:r w:rsidR="00FD1A55">
              <w:rPr>
                <w:noProof/>
                <w:webHidden/>
              </w:rPr>
            </w:r>
            <w:r w:rsidR="00FD1A55">
              <w:rPr>
                <w:noProof/>
                <w:webHidden/>
              </w:rPr>
              <w:fldChar w:fldCharType="separate"/>
            </w:r>
            <w:r w:rsidR="00FD1A55">
              <w:rPr>
                <w:noProof/>
                <w:webHidden/>
              </w:rPr>
              <w:t>41</w:t>
            </w:r>
            <w:r w:rsidR="00FD1A55">
              <w:rPr>
                <w:noProof/>
                <w:webHidden/>
              </w:rPr>
              <w:fldChar w:fldCharType="end"/>
            </w:r>
          </w:hyperlink>
        </w:p>
        <w:p w14:paraId="228EE4BC" w14:textId="77777777" w:rsidR="00FD1A55" w:rsidRDefault="002B3FCD">
          <w:pPr>
            <w:pStyle w:val="TOC2"/>
            <w:tabs>
              <w:tab w:val="left" w:pos="1320"/>
            </w:tabs>
            <w:rPr>
              <w:rFonts w:asciiTheme="minorHAnsi" w:hAnsiTheme="minorHAnsi"/>
              <w:noProof/>
              <w:lang w:eastAsia="en-AU"/>
            </w:rPr>
          </w:pPr>
          <w:hyperlink w:anchor="_Toc516189381" w:history="1">
            <w:r w:rsidR="00FD1A55" w:rsidRPr="003656AC">
              <w:rPr>
                <w:rStyle w:val="Hyperlink"/>
                <w:noProof/>
              </w:rPr>
              <w:t>4.13.</w:t>
            </w:r>
            <w:r w:rsidR="00FD1A55">
              <w:rPr>
                <w:rFonts w:asciiTheme="minorHAnsi" w:hAnsiTheme="minorHAnsi"/>
                <w:noProof/>
                <w:lang w:eastAsia="en-AU"/>
              </w:rPr>
              <w:tab/>
            </w:r>
            <w:r w:rsidR="00FD1A55" w:rsidRPr="003656AC">
              <w:rPr>
                <w:rStyle w:val="Hyperlink"/>
                <w:noProof/>
              </w:rPr>
              <w:t>Risk Management</w:t>
            </w:r>
            <w:r w:rsidR="00FD1A55">
              <w:rPr>
                <w:noProof/>
                <w:webHidden/>
              </w:rPr>
              <w:tab/>
            </w:r>
            <w:r w:rsidR="00FD1A55">
              <w:rPr>
                <w:noProof/>
                <w:webHidden/>
              </w:rPr>
              <w:fldChar w:fldCharType="begin"/>
            </w:r>
            <w:r w:rsidR="00FD1A55">
              <w:rPr>
                <w:noProof/>
                <w:webHidden/>
              </w:rPr>
              <w:instrText xml:space="preserve"> PAGEREF _Toc516189381 \h </w:instrText>
            </w:r>
            <w:r w:rsidR="00FD1A55">
              <w:rPr>
                <w:noProof/>
                <w:webHidden/>
              </w:rPr>
            </w:r>
            <w:r w:rsidR="00FD1A55">
              <w:rPr>
                <w:noProof/>
                <w:webHidden/>
              </w:rPr>
              <w:fldChar w:fldCharType="separate"/>
            </w:r>
            <w:r w:rsidR="00FD1A55">
              <w:rPr>
                <w:noProof/>
                <w:webHidden/>
              </w:rPr>
              <w:t>41</w:t>
            </w:r>
            <w:r w:rsidR="00FD1A55">
              <w:rPr>
                <w:noProof/>
                <w:webHidden/>
              </w:rPr>
              <w:fldChar w:fldCharType="end"/>
            </w:r>
          </w:hyperlink>
        </w:p>
        <w:p w14:paraId="5EE9BC63" w14:textId="77777777" w:rsidR="00FD1A55" w:rsidRDefault="002B3FCD">
          <w:pPr>
            <w:pStyle w:val="TOC3"/>
            <w:rPr>
              <w:rFonts w:asciiTheme="minorHAnsi" w:hAnsiTheme="minorHAnsi"/>
              <w:noProof/>
              <w:lang w:eastAsia="en-AU"/>
            </w:rPr>
          </w:pPr>
          <w:hyperlink w:anchor="_Toc516189382" w:history="1">
            <w:r w:rsidR="00FD1A55" w:rsidRPr="003656AC">
              <w:rPr>
                <w:rStyle w:val="Hyperlink"/>
                <w:noProof/>
              </w:rPr>
              <w:t>4.13.1.</w:t>
            </w:r>
            <w:r w:rsidR="00FD1A55">
              <w:rPr>
                <w:rFonts w:asciiTheme="minorHAnsi" w:hAnsiTheme="minorHAnsi"/>
                <w:noProof/>
                <w:lang w:eastAsia="en-AU"/>
              </w:rPr>
              <w:tab/>
            </w:r>
            <w:r w:rsidR="00FD1A55" w:rsidRPr="003656AC">
              <w:rPr>
                <w:rStyle w:val="Hyperlink"/>
                <w:noProof/>
              </w:rPr>
              <w:t>Contextual Risks</w:t>
            </w:r>
            <w:r w:rsidR="00FD1A55">
              <w:rPr>
                <w:noProof/>
                <w:webHidden/>
              </w:rPr>
              <w:tab/>
            </w:r>
            <w:r w:rsidR="00FD1A55">
              <w:rPr>
                <w:noProof/>
                <w:webHidden/>
              </w:rPr>
              <w:fldChar w:fldCharType="begin"/>
            </w:r>
            <w:r w:rsidR="00FD1A55">
              <w:rPr>
                <w:noProof/>
                <w:webHidden/>
              </w:rPr>
              <w:instrText xml:space="preserve"> PAGEREF _Toc516189382 \h </w:instrText>
            </w:r>
            <w:r w:rsidR="00FD1A55">
              <w:rPr>
                <w:noProof/>
                <w:webHidden/>
              </w:rPr>
            </w:r>
            <w:r w:rsidR="00FD1A55">
              <w:rPr>
                <w:noProof/>
                <w:webHidden/>
              </w:rPr>
              <w:fldChar w:fldCharType="separate"/>
            </w:r>
            <w:r w:rsidR="00FD1A55">
              <w:rPr>
                <w:noProof/>
                <w:webHidden/>
              </w:rPr>
              <w:t>41</w:t>
            </w:r>
            <w:r w:rsidR="00FD1A55">
              <w:rPr>
                <w:noProof/>
                <w:webHidden/>
              </w:rPr>
              <w:fldChar w:fldCharType="end"/>
            </w:r>
          </w:hyperlink>
        </w:p>
        <w:p w14:paraId="47ED15BB" w14:textId="77777777" w:rsidR="00FD1A55" w:rsidRDefault="002B3FCD">
          <w:pPr>
            <w:pStyle w:val="TOC3"/>
            <w:rPr>
              <w:rFonts w:asciiTheme="minorHAnsi" w:hAnsiTheme="minorHAnsi"/>
              <w:noProof/>
              <w:lang w:eastAsia="en-AU"/>
            </w:rPr>
          </w:pPr>
          <w:hyperlink w:anchor="_Toc516189383" w:history="1">
            <w:r w:rsidR="00FD1A55" w:rsidRPr="003656AC">
              <w:rPr>
                <w:rStyle w:val="Hyperlink"/>
                <w:noProof/>
              </w:rPr>
              <w:t>4.13.2.</w:t>
            </w:r>
            <w:r w:rsidR="00FD1A55">
              <w:rPr>
                <w:rFonts w:asciiTheme="minorHAnsi" w:hAnsiTheme="minorHAnsi"/>
                <w:noProof/>
                <w:lang w:eastAsia="en-AU"/>
              </w:rPr>
              <w:tab/>
            </w:r>
            <w:r w:rsidR="00FD1A55" w:rsidRPr="003656AC">
              <w:rPr>
                <w:rStyle w:val="Hyperlink"/>
                <w:noProof/>
              </w:rPr>
              <w:t>Program Risks</w:t>
            </w:r>
            <w:r w:rsidR="00FD1A55">
              <w:rPr>
                <w:noProof/>
                <w:webHidden/>
              </w:rPr>
              <w:tab/>
            </w:r>
            <w:r w:rsidR="00FD1A55">
              <w:rPr>
                <w:noProof/>
                <w:webHidden/>
              </w:rPr>
              <w:fldChar w:fldCharType="begin"/>
            </w:r>
            <w:r w:rsidR="00FD1A55">
              <w:rPr>
                <w:noProof/>
                <w:webHidden/>
              </w:rPr>
              <w:instrText xml:space="preserve"> PAGEREF _Toc516189383 \h </w:instrText>
            </w:r>
            <w:r w:rsidR="00FD1A55">
              <w:rPr>
                <w:noProof/>
                <w:webHidden/>
              </w:rPr>
            </w:r>
            <w:r w:rsidR="00FD1A55">
              <w:rPr>
                <w:noProof/>
                <w:webHidden/>
              </w:rPr>
              <w:fldChar w:fldCharType="separate"/>
            </w:r>
            <w:r w:rsidR="00FD1A55">
              <w:rPr>
                <w:noProof/>
                <w:webHidden/>
              </w:rPr>
              <w:t>41</w:t>
            </w:r>
            <w:r w:rsidR="00FD1A55">
              <w:rPr>
                <w:noProof/>
                <w:webHidden/>
              </w:rPr>
              <w:fldChar w:fldCharType="end"/>
            </w:r>
          </w:hyperlink>
        </w:p>
        <w:p w14:paraId="6D6772C2" w14:textId="77777777" w:rsidR="00FD1A55" w:rsidRDefault="002B3FCD">
          <w:pPr>
            <w:pStyle w:val="TOC3"/>
            <w:rPr>
              <w:rFonts w:asciiTheme="minorHAnsi" w:hAnsiTheme="minorHAnsi"/>
              <w:noProof/>
              <w:lang w:eastAsia="en-AU"/>
            </w:rPr>
          </w:pPr>
          <w:hyperlink w:anchor="_Toc516189384" w:history="1">
            <w:r w:rsidR="00FD1A55" w:rsidRPr="003656AC">
              <w:rPr>
                <w:rStyle w:val="Hyperlink"/>
                <w:noProof/>
              </w:rPr>
              <w:t>4.13.3.</w:t>
            </w:r>
            <w:r w:rsidR="00FD1A55">
              <w:rPr>
                <w:rFonts w:asciiTheme="minorHAnsi" w:hAnsiTheme="minorHAnsi"/>
                <w:noProof/>
                <w:lang w:eastAsia="en-AU"/>
              </w:rPr>
              <w:tab/>
            </w:r>
            <w:r w:rsidR="00FD1A55" w:rsidRPr="003656AC">
              <w:rPr>
                <w:rStyle w:val="Hyperlink"/>
                <w:noProof/>
              </w:rPr>
              <w:t>Institutional risks</w:t>
            </w:r>
            <w:r w:rsidR="00FD1A55">
              <w:rPr>
                <w:noProof/>
                <w:webHidden/>
              </w:rPr>
              <w:tab/>
            </w:r>
            <w:r w:rsidR="00FD1A55">
              <w:rPr>
                <w:noProof/>
                <w:webHidden/>
              </w:rPr>
              <w:fldChar w:fldCharType="begin"/>
            </w:r>
            <w:r w:rsidR="00FD1A55">
              <w:rPr>
                <w:noProof/>
                <w:webHidden/>
              </w:rPr>
              <w:instrText xml:space="preserve"> PAGEREF _Toc516189384 \h </w:instrText>
            </w:r>
            <w:r w:rsidR="00FD1A55">
              <w:rPr>
                <w:noProof/>
                <w:webHidden/>
              </w:rPr>
            </w:r>
            <w:r w:rsidR="00FD1A55">
              <w:rPr>
                <w:noProof/>
                <w:webHidden/>
              </w:rPr>
              <w:fldChar w:fldCharType="separate"/>
            </w:r>
            <w:r w:rsidR="00FD1A55">
              <w:rPr>
                <w:noProof/>
                <w:webHidden/>
              </w:rPr>
              <w:t>42</w:t>
            </w:r>
            <w:r w:rsidR="00FD1A55">
              <w:rPr>
                <w:noProof/>
                <w:webHidden/>
              </w:rPr>
              <w:fldChar w:fldCharType="end"/>
            </w:r>
          </w:hyperlink>
        </w:p>
        <w:p w14:paraId="34AA75C9" w14:textId="77777777" w:rsidR="00FD1A55" w:rsidRDefault="002B3FCD">
          <w:pPr>
            <w:pStyle w:val="TOC2"/>
            <w:tabs>
              <w:tab w:val="left" w:pos="1320"/>
            </w:tabs>
            <w:rPr>
              <w:rFonts w:asciiTheme="minorHAnsi" w:hAnsiTheme="minorHAnsi"/>
              <w:noProof/>
              <w:lang w:eastAsia="en-AU"/>
            </w:rPr>
          </w:pPr>
          <w:hyperlink w:anchor="_Toc516189385" w:history="1">
            <w:r w:rsidR="00FD1A55" w:rsidRPr="003656AC">
              <w:rPr>
                <w:rStyle w:val="Hyperlink"/>
                <w:noProof/>
              </w:rPr>
              <w:t>4.14.</w:t>
            </w:r>
            <w:r w:rsidR="00FD1A55">
              <w:rPr>
                <w:rFonts w:asciiTheme="minorHAnsi" w:hAnsiTheme="minorHAnsi"/>
                <w:noProof/>
                <w:lang w:eastAsia="en-AU"/>
              </w:rPr>
              <w:tab/>
            </w:r>
            <w:r w:rsidR="00FD1A55" w:rsidRPr="003656AC">
              <w:rPr>
                <w:rStyle w:val="Hyperlink"/>
                <w:noProof/>
              </w:rPr>
              <w:t>Safeguards</w:t>
            </w:r>
            <w:r w:rsidR="00FD1A55">
              <w:rPr>
                <w:noProof/>
                <w:webHidden/>
              </w:rPr>
              <w:tab/>
            </w:r>
            <w:r w:rsidR="00FD1A55">
              <w:rPr>
                <w:noProof/>
                <w:webHidden/>
              </w:rPr>
              <w:fldChar w:fldCharType="begin"/>
            </w:r>
            <w:r w:rsidR="00FD1A55">
              <w:rPr>
                <w:noProof/>
                <w:webHidden/>
              </w:rPr>
              <w:instrText xml:space="preserve"> PAGEREF _Toc516189385 \h </w:instrText>
            </w:r>
            <w:r w:rsidR="00FD1A55">
              <w:rPr>
                <w:noProof/>
                <w:webHidden/>
              </w:rPr>
            </w:r>
            <w:r w:rsidR="00FD1A55">
              <w:rPr>
                <w:noProof/>
                <w:webHidden/>
              </w:rPr>
              <w:fldChar w:fldCharType="separate"/>
            </w:r>
            <w:r w:rsidR="00FD1A55">
              <w:rPr>
                <w:noProof/>
                <w:webHidden/>
              </w:rPr>
              <w:t>42</w:t>
            </w:r>
            <w:r w:rsidR="00FD1A55">
              <w:rPr>
                <w:noProof/>
                <w:webHidden/>
              </w:rPr>
              <w:fldChar w:fldCharType="end"/>
            </w:r>
          </w:hyperlink>
        </w:p>
        <w:p w14:paraId="0A757CDC" w14:textId="77777777" w:rsidR="00FD1A55" w:rsidRDefault="002B3FCD">
          <w:pPr>
            <w:pStyle w:val="TOC3"/>
            <w:rPr>
              <w:rFonts w:asciiTheme="minorHAnsi" w:hAnsiTheme="minorHAnsi"/>
              <w:noProof/>
              <w:lang w:eastAsia="en-AU"/>
            </w:rPr>
          </w:pPr>
          <w:hyperlink w:anchor="_Toc516189386" w:history="1">
            <w:r w:rsidR="00FD1A55" w:rsidRPr="003656AC">
              <w:rPr>
                <w:rStyle w:val="Hyperlink"/>
                <w:noProof/>
              </w:rPr>
              <w:t>4.14.1.</w:t>
            </w:r>
            <w:r w:rsidR="00FD1A55">
              <w:rPr>
                <w:rFonts w:asciiTheme="minorHAnsi" w:hAnsiTheme="minorHAnsi"/>
                <w:noProof/>
                <w:lang w:eastAsia="en-AU"/>
              </w:rPr>
              <w:tab/>
            </w:r>
            <w:r w:rsidR="00FD1A55" w:rsidRPr="003656AC">
              <w:rPr>
                <w:rStyle w:val="Hyperlink"/>
                <w:noProof/>
              </w:rPr>
              <w:t>Environmental and Social Protection</w:t>
            </w:r>
            <w:r w:rsidR="00FD1A55">
              <w:rPr>
                <w:noProof/>
                <w:webHidden/>
              </w:rPr>
              <w:tab/>
            </w:r>
            <w:r w:rsidR="00FD1A55">
              <w:rPr>
                <w:noProof/>
                <w:webHidden/>
              </w:rPr>
              <w:fldChar w:fldCharType="begin"/>
            </w:r>
            <w:r w:rsidR="00FD1A55">
              <w:rPr>
                <w:noProof/>
                <w:webHidden/>
              </w:rPr>
              <w:instrText xml:space="preserve"> PAGEREF _Toc516189386 \h </w:instrText>
            </w:r>
            <w:r w:rsidR="00FD1A55">
              <w:rPr>
                <w:noProof/>
                <w:webHidden/>
              </w:rPr>
            </w:r>
            <w:r w:rsidR="00FD1A55">
              <w:rPr>
                <w:noProof/>
                <w:webHidden/>
              </w:rPr>
              <w:fldChar w:fldCharType="separate"/>
            </w:r>
            <w:r w:rsidR="00FD1A55">
              <w:rPr>
                <w:noProof/>
                <w:webHidden/>
              </w:rPr>
              <w:t>42</w:t>
            </w:r>
            <w:r w:rsidR="00FD1A55">
              <w:rPr>
                <w:noProof/>
                <w:webHidden/>
              </w:rPr>
              <w:fldChar w:fldCharType="end"/>
            </w:r>
          </w:hyperlink>
        </w:p>
        <w:p w14:paraId="5843B96B" w14:textId="77777777" w:rsidR="00FD1A55" w:rsidRDefault="002B3FCD">
          <w:pPr>
            <w:pStyle w:val="TOC3"/>
            <w:rPr>
              <w:rFonts w:asciiTheme="minorHAnsi" w:hAnsiTheme="minorHAnsi"/>
              <w:noProof/>
              <w:lang w:eastAsia="en-AU"/>
            </w:rPr>
          </w:pPr>
          <w:hyperlink w:anchor="_Toc516189387" w:history="1">
            <w:r w:rsidR="00FD1A55" w:rsidRPr="003656AC">
              <w:rPr>
                <w:rStyle w:val="Hyperlink"/>
                <w:noProof/>
              </w:rPr>
              <w:t>4.14.2.</w:t>
            </w:r>
            <w:r w:rsidR="00FD1A55">
              <w:rPr>
                <w:rFonts w:asciiTheme="minorHAnsi" w:hAnsiTheme="minorHAnsi"/>
                <w:noProof/>
                <w:lang w:eastAsia="en-AU"/>
              </w:rPr>
              <w:tab/>
            </w:r>
            <w:r w:rsidR="00FD1A55" w:rsidRPr="003656AC">
              <w:rPr>
                <w:rStyle w:val="Hyperlink"/>
                <w:noProof/>
              </w:rPr>
              <w:t>Child Protection</w:t>
            </w:r>
            <w:r w:rsidR="00FD1A55">
              <w:rPr>
                <w:noProof/>
                <w:webHidden/>
              </w:rPr>
              <w:tab/>
            </w:r>
            <w:r w:rsidR="00FD1A55">
              <w:rPr>
                <w:noProof/>
                <w:webHidden/>
              </w:rPr>
              <w:fldChar w:fldCharType="begin"/>
            </w:r>
            <w:r w:rsidR="00FD1A55">
              <w:rPr>
                <w:noProof/>
                <w:webHidden/>
              </w:rPr>
              <w:instrText xml:space="preserve"> PAGEREF _Toc516189387 \h </w:instrText>
            </w:r>
            <w:r w:rsidR="00FD1A55">
              <w:rPr>
                <w:noProof/>
                <w:webHidden/>
              </w:rPr>
            </w:r>
            <w:r w:rsidR="00FD1A55">
              <w:rPr>
                <w:noProof/>
                <w:webHidden/>
              </w:rPr>
              <w:fldChar w:fldCharType="separate"/>
            </w:r>
            <w:r w:rsidR="00FD1A55">
              <w:rPr>
                <w:noProof/>
                <w:webHidden/>
              </w:rPr>
              <w:t>43</w:t>
            </w:r>
            <w:r w:rsidR="00FD1A55">
              <w:rPr>
                <w:noProof/>
                <w:webHidden/>
              </w:rPr>
              <w:fldChar w:fldCharType="end"/>
            </w:r>
          </w:hyperlink>
        </w:p>
        <w:p w14:paraId="392D323C" w14:textId="77777777" w:rsidR="00FD1A55" w:rsidRDefault="002B3FCD">
          <w:pPr>
            <w:pStyle w:val="TOC3"/>
            <w:rPr>
              <w:rFonts w:asciiTheme="minorHAnsi" w:hAnsiTheme="minorHAnsi"/>
              <w:noProof/>
              <w:lang w:eastAsia="en-AU"/>
            </w:rPr>
          </w:pPr>
          <w:hyperlink w:anchor="_Toc516189388" w:history="1">
            <w:r w:rsidR="00FD1A55" w:rsidRPr="003656AC">
              <w:rPr>
                <w:rStyle w:val="Hyperlink"/>
                <w:noProof/>
              </w:rPr>
              <w:t>4.14.3.</w:t>
            </w:r>
            <w:r w:rsidR="00FD1A55">
              <w:rPr>
                <w:rFonts w:asciiTheme="minorHAnsi" w:hAnsiTheme="minorHAnsi"/>
                <w:noProof/>
                <w:lang w:eastAsia="en-AU"/>
              </w:rPr>
              <w:tab/>
            </w:r>
            <w:r w:rsidR="00FD1A55" w:rsidRPr="003656AC">
              <w:rPr>
                <w:rStyle w:val="Hyperlink"/>
                <w:noProof/>
              </w:rPr>
              <w:t>Fraud Control</w:t>
            </w:r>
            <w:r w:rsidR="00FD1A55">
              <w:rPr>
                <w:noProof/>
                <w:webHidden/>
              </w:rPr>
              <w:tab/>
            </w:r>
            <w:r w:rsidR="00FD1A55">
              <w:rPr>
                <w:noProof/>
                <w:webHidden/>
              </w:rPr>
              <w:fldChar w:fldCharType="begin"/>
            </w:r>
            <w:r w:rsidR="00FD1A55">
              <w:rPr>
                <w:noProof/>
                <w:webHidden/>
              </w:rPr>
              <w:instrText xml:space="preserve"> PAGEREF _Toc516189388 \h </w:instrText>
            </w:r>
            <w:r w:rsidR="00FD1A55">
              <w:rPr>
                <w:noProof/>
                <w:webHidden/>
              </w:rPr>
            </w:r>
            <w:r w:rsidR="00FD1A55">
              <w:rPr>
                <w:noProof/>
                <w:webHidden/>
              </w:rPr>
              <w:fldChar w:fldCharType="separate"/>
            </w:r>
            <w:r w:rsidR="00FD1A55">
              <w:rPr>
                <w:noProof/>
                <w:webHidden/>
              </w:rPr>
              <w:t>43</w:t>
            </w:r>
            <w:r w:rsidR="00FD1A55">
              <w:rPr>
                <w:noProof/>
                <w:webHidden/>
              </w:rPr>
              <w:fldChar w:fldCharType="end"/>
            </w:r>
          </w:hyperlink>
        </w:p>
        <w:p w14:paraId="15ED0503" w14:textId="77777777" w:rsidR="00FD1A55" w:rsidRDefault="002B3FCD">
          <w:pPr>
            <w:pStyle w:val="TOC1"/>
            <w:rPr>
              <w:rFonts w:asciiTheme="minorHAnsi" w:hAnsiTheme="minorHAnsi"/>
              <w:noProof/>
              <w:lang w:eastAsia="en-AU"/>
            </w:rPr>
          </w:pPr>
          <w:hyperlink w:anchor="_Toc516189389" w:history="1">
            <w:r w:rsidR="00FD1A55" w:rsidRPr="003656AC">
              <w:rPr>
                <w:rStyle w:val="Hyperlink"/>
                <w:noProof/>
              </w:rPr>
              <w:t>5.</w:t>
            </w:r>
            <w:r w:rsidR="00FD1A55">
              <w:rPr>
                <w:rFonts w:asciiTheme="minorHAnsi" w:hAnsiTheme="minorHAnsi"/>
                <w:noProof/>
                <w:lang w:eastAsia="en-AU"/>
              </w:rPr>
              <w:tab/>
            </w:r>
            <w:r w:rsidR="00FD1A55" w:rsidRPr="003656AC">
              <w:rPr>
                <w:rStyle w:val="Hyperlink"/>
                <w:noProof/>
              </w:rPr>
              <w:t>Annexes</w:t>
            </w:r>
            <w:r w:rsidR="00FD1A55">
              <w:rPr>
                <w:noProof/>
                <w:webHidden/>
              </w:rPr>
              <w:tab/>
            </w:r>
            <w:r w:rsidR="00FD1A55">
              <w:rPr>
                <w:noProof/>
                <w:webHidden/>
              </w:rPr>
              <w:fldChar w:fldCharType="begin"/>
            </w:r>
            <w:r w:rsidR="00FD1A55">
              <w:rPr>
                <w:noProof/>
                <w:webHidden/>
              </w:rPr>
              <w:instrText xml:space="preserve"> PAGEREF _Toc516189389 \h </w:instrText>
            </w:r>
            <w:r w:rsidR="00FD1A55">
              <w:rPr>
                <w:noProof/>
                <w:webHidden/>
              </w:rPr>
            </w:r>
            <w:r w:rsidR="00FD1A55">
              <w:rPr>
                <w:noProof/>
                <w:webHidden/>
              </w:rPr>
              <w:fldChar w:fldCharType="separate"/>
            </w:r>
            <w:r w:rsidR="00FD1A55">
              <w:rPr>
                <w:noProof/>
                <w:webHidden/>
              </w:rPr>
              <w:t>44</w:t>
            </w:r>
            <w:r w:rsidR="00FD1A55">
              <w:rPr>
                <w:noProof/>
                <w:webHidden/>
              </w:rPr>
              <w:fldChar w:fldCharType="end"/>
            </w:r>
          </w:hyperlink>
        </w:p>
        <w:p w14:paraId="40E5F611" w14:textId="77777777" w:rsidR="00FD1A55" w:rsidRDefault="002B3FCD">
          <w:pPr>
            <w:pStyle w:val="TOC1"/>
            <w:rPr>
              <w:rFonts w:asciiTheme="minorHAnsi" w:hAnsiTheme="minorHAnsi"/>
              <w:noProof/>
              <w:lang w:eastAsia="en-AU"/>
            </w:rPr>
          </w:pPr>
          <w:hyperlink w:anchor="_Toc516189390" w:history="1">
            <w:r w:rsidR="00FD1A55" w:rsidRPr="003656AC">
              <w:rPr>
                <w:rStyle w:val="Hyperlink"/>
                <w:noProof/>
              </w:rPr>
              <w:t>Annex A – Monitoring, Evaluation and Learning Framework</w:t>
            </w:r>
            <w:r w:rsidR="00FD1A55">
              <w:rPr>
                <w:noProof/>
                <w:webHidden/>
              </w:rPr>
              <w:tab/>
            </w:r>
            <w:r w:rsidR="00FD1A55">
              <w:rPr>
                <w:noProof/>
                <w:webHidden/>
              </w:rPr>
              <w:fldChar w:fldCharType="begin"/>
            </w:r>
            <w:r w:rsidR="00FD1A55">
              <w:rPr>
                <w:noProof/>
                <w:webHidden/>
              </w:rPr>
              <w:instrText xml:space="preserve"> PAGEREF _Toc516189390 \h </w:instrText>
            </w:r>
            <w:r w:rsidR="00FD1A55">
              <w:rPr>
                <w:noProof/>
                <w:webHidden/>
              </w:rPr>
            </w:r>
            <w:r w:rsidR="00FD1A55">
              <w:rPr>
                <w:noProof/>
                <w:webHidden/>
              </w:rPr>
              <w:fldChar w:fldCharType="separate"/>
            </w:r>
            <w:r w:rsidR="00FD1A55">
              <w:rPr>
                <w:noProof/>
                <w:webHidden/>
              </w:rPr>
              <w:t>45</w:t>
            </w:r>
            <w:r w:rsidR="00FD1A55">
              <w:rPr>
                <w:noProof/>
                <w:webHidden/>
              </w:rPr>
              <w:fldChar w:fldCharType="end"/>
            </w:r>
          </w:hyperlink>
        </w:p>
        <w:p w14:paraId="70BDEFB2" w14:textId="77777777" w:rsidR="00FD1A55" w:rsidRDefault="002B3FCD">
          <w:pPr>
            <w:pStyle w:val="TOC1"/>
            <w:rPr>
              <w:rFonts w:asciiTheme="minorHAnsi" w:hAnsiTheme="minorHAnsi"/>
              <w:noProof/>
              <w:lang w:eastAsia="en-AU"/>
            </w:rPr>
          </w:pPr>
          <w:hyperlink w:anchor="_Toc516189394" w:history="1">
            <w:r w:rsidR="00FD1A55" w:rsidRPr="003656AC">
              <w:rPr>
                <w:rStyle w:val="Hyperlink"/>
                <w:noProof/>
              </w:rPr>
              <w:t>Annex B – Cross Program Collaboration</w:t>
            </w:r>
            <w:r w:rsidR="00FD1A55">
              <w:rPr>
                <w:noProof/>
                <w:webHidden/>
              </w:rPr>
              <w:tab/>
            </w:r>
            <w:r w:rsidR="00FD1A55">
              <w:rPr>
                <w:noProof/>
                <w:webHidden/>
              </w:rPr>
              <w:fldChar w:fldCharType="begin"/>
            </w:r>
            <w:r w:rsidR="00FD1A55">
              <w:rPr>
                <w:noProof/>
                <w:webHidden/>
              </w:rPr>
              <w:instrText xml:space="preserve"> PAGEREF _Toc516189394 \h </w:instrText>
            </w:r>
            <w:r w:rsidR="00FD1A55">
              <w:rPr>
                <w:noProof/>
                <w:webHidden/>
              </w:rPr>
            </w:r>
            <w:r w:rsidR="00FD1A55">
              <w:rPr>
                <w:noProof/>
                <w:webHidden/>
              </w:rPr>
              <w:fldChar w:fldCharType="separate"/>
            </w:r>
            <w:r w:rsidR="00FD1A55">
              <w:rPr>
                <w:noProof/>
                <w:webHidden/>
              </w:rPr>
              <w:t>54</w:t>
            </w:r>
            <w:r w:rsidR="00FD1A55">
              <w:rPr>
                <w:noProof/>
                <w:webHidden/>
              </w:rPr>
              <w:fldChar w:fldCharType="end"/>
            </w:r>
          </w:hyperlink>
        </w:p>
        <w:p w14:paraId="7B28AD70" w14:textId="77777777" w:rsidR="00FD1A55" w:rsidRDefault="002B3FCD">
          <w:pPr>
            <w:pStyle w:val="TOC1"/>
            <w:rPr>
              <w:rFonts w:asciiTheme="minorHAnsi" w:hAnsiTheme="minorHAnsi"/>
              <w:noProof/>
              <w:lang w:eastAsia="en-AU"/>
            </w:rPr>
          </w:pPr>
          <w:hyperlink w:anchor="_Toc516189404" w:history="1">
            <w:r w:rsidR="00FD1A55" w:rsidRPr="003656AC">
              <w:rPr>
                <w:rStyle w:val="Hyperlink"/>
                <w:noProof/>
              </w:rPr>
              <w:t>Annex C – Indicative Critical Path Activities</w:t>
            </w:r>
            <w:r w:rsidR="00FD1A55">
              <w:rPr>
                <w:noProof/>
                <w:webHidden/>
              </w:rPr>
              <w:tab/>
            </w:r>
            <w:r w:rsidR="00FD1A55">
              <w:rPr>
                <w:noProof/>
                <w:webHidden/>
              </w:rPr>
              <w:fldChar w:fldCharType="begin"/>
            </w:r>
            <w:r w:rsidR="00FD1A55">
              <w:rPr>
                <w:noProof/>
                <w:webHidden/>
              </w:rPr>
              <w:instrText xml:space="preserve"> PAGEREF _Toc516189404 \h </w:instrText>
            </w:r>
            <w:r w:rsidR="00FD1A55">
              <w:rPr>
                <w:noProof/>
                <w:webHidden/>
              </w:rPr>
            </w:r>
            <w:r w:rsidR="00FD1A55">
              <w:rPr>
                <w:noProof/>
                <w:webHidden/>
              </w:rPr>
              <w:fldChar w:fldCharType="separate"/>
            </w:r>
            <w:r w:rsidR="00FD1A55">
              <w:rPr>
                <w:noProof/>
                <w:webHidden/>
              </w:rPr>
              <w:t>57</w:t>
            </w:r>
            <w:r w:rsidR="00FD1A55">
              <w:rPr>
                <w:noProof/>
                <w:webHidden/>
              </w:rPr>
              <w:fldChar w:fldCharType="end"/>
            </w:r>
          </w:hyperlink>
        </w:p>
        <w:p w14:paraId="62928B2F" w14:textId="77777777" w:rsidR="00FD1A55" w:rsidRDefault="002B3FCD">
          <w:pPr>
            <w:pStyle w:val="TOC1"/>
            <w:rPr>
              <w:rFonts w:asciiTheme="minorHAnsi" w:hAnsiTheme="minorHAnsi"/>
              <w:noProof/>
              <w:lang w:eastAsia="en-AU"/>
            </w:rPr>
          </w:pPr>
          <w:hyperlink w:anchor="_Toc516189405" w:history="1">
            <w:r w:rsidR="00FD1A55" w:rsidRPr="003656AC">
              <w:rPr>
                <w:rStyle w:val="Hyperlink"/>
                <w:noProof/>
              </w:rPr>
              <w:t>Annex D – Risk Register</w:t>
            </w:r>
            <w:r w:rsidR="00FD1A55">
              <w:rPr>
                <w:noProof/>
                <w:webHidden/>
              </w:rPr>
              <w:tab/>
            </w:r>
            <w:r w:rsidR="00FD1A55">
              <w:rPr>
                <w:noProof/>
                <w:webHidden/>
              </w:rPr>
              <w:fldChar w:fldCharType="begin"/>
            </w:r>
            <w:r w:rsidR="00FD1A55">
              <w:rPr>
                <w:noProof/>
                <w:webHidden/>
              </w:rPr>
              <w:instrText xml:space="preserve"> PAGEREF _Toc516189405 \h </w:instrText>
            </w:r>
            <w:r w:rsidR="00FD1A55">
              <w:rPr>
                <w:noProof/>
                <w:webHidden/>
              </w:rPr>
            </w:r>
            <w:r w:rsidR="00FD1A55">
              <w:rPr>
                <w:noProof/>
                <w:webHidden/>
              </w:rPr>
              <w:fldChar w:fldCharType="separate"/>
            </w:r>
            <w:r w:rsidR="00FD1A55">
              <w:rPr>
                <w:noProof/>
                <w:webHidden/>
              </w:rPr>
              <w:t>59</w:t>
            </w:r>
            <w:r w:rsidR="00FD1A55">
              <w:rPr>
                <w:noProof/>
                <w:webHidden/>
              </w:rPr>
              <w:fldChar w:fldCharType="end"/>
            </w:r>
          </w:hyperlink>
        </w:p>
        <w:p w14:paraId="2AF280B0" w14:textId="77777777" w:rsidR="00FD1A55" w:rsidRDefault="002B3FCD">
          <w:pPr>
            <w:pStyle w:val="TOC1"/>
            <w:rPr>
              <w:rFonts w:asciiTheme="minorHAnsi" w:hAnsiTheme="minorHAnsi"/>
              <w:noProof/>
              <w:lang w:eastAsia="en-AU"/>
            </w:rPr>
          </w:pPr>
          <w:hyperlink w:anchor="_Toc516189406" w:history="1">
            <w:r w:rsidR="00FD1A55" w:rsidRPr="003656AC">
              <w:rPr>
                <w:rStyle w:val="Hyperlink"/>
                <w:noProof/>
              </w:rPr>
              <w:t>Annex E – Literature Consulted</w:t>
            </w:r>
            <w:r w:rsidR="00FD1A55">
              <w:rPr>
                <w:noProof/>
                <w:webHidden/>
              </w:rPr>
              <w:tab/>
            </w:r>
            <w:r w:rsidR="00FD1A55">
              <w:rPr>
                <w:noProof/>
                <w:webHidden/>
              </w:rPr>
              <w:fldChar w:fldCharType="begin"/>
            </w:r>
            <w:r w:rsidR="00FD1A55">
              <w:rPr>
                <w:noProof/>
                <w:webHidden/>
              </w:rPr>
              <w:instrText xml:space="preserve"> PAGEREF _Toc516189406 \h </w:instrText>
            </w:r>
            <w:r w:rsidR="00FD1A55">
              <w:rPr>
                <w:noProof/>
                <w:webHidden/>
              </w:rPr>
            </w:r>
            <w:r w:rsidR="00FD1A55">
              <w:rPr>
                <w:noProof/>
                <w:webHidden/>
              </w:rPr>
              <w:fldChar w:fldCharType="separate"/>
            </w:r>
            <w:r w:rsidR="00FD1A55">
              <w:rPr>
                <w:noProof/>
                <w:webHidden/>
              </w:rPr>
              <w:t>64</w:t>
            </w:r>
            <w:r w:rsidR="00FD1A55">
              <w:rPr>
                <w:noProof/>
                <w:webHidden/>
              </w:rPr>
              <w:fldChar w:fldCharType="end"/>
            </w:r>
          </w:hyperlink>
        </w:p>
        <w:p w14:paraId="492FF264" w14:textId="49E4FC78" w:rsidR="00CA36AE" w:rsidRPr="002C27B2" w:rsidRDefault="00CA36AE">
          <w:pPr>
            <w:rPr>
              <w:rFonts w:asciiTheme="majorHAnsi" w:hAnsiTheme="majorHAnsi"/>
            </w:rPr>
          </w:pPr>
          <w:r w:rsidRPr="002C27B2">
            <w:rPr>
              <w:rFonts w:asciiTheme="majorHAnsi" w:hAnsiTheme="majorHAnsi"/>
              <w:b/>
              <w:bCs/>
              <w:noProof/>
            </w:rPr>
            <w:fldChar w:fldCharType="end"/>
          </w:r>
        </w:p>
      </w:sdtContent>
    </w:sdt>
    <w:p w14:paraId="333078B4" w14:textId="180670DA" w:rsidR="00D400E3" w:rsidRPr="002C27B2" w:rsidRDefault="00D400E3" w:rsidP="00D400E3">
      <w:pPr>
        <w:rPr>
          <w:rFonts w:asciiTheme="majorHAnsi" w:hAnsiTheme="majorHAnsi"/>
        </w:rPr>
      </w:pPr>
    </w:p>
    <w:p w14:paraId="7C31A7FC" w14:textId="4CF5A581" w:rsidR="00D400E3" w:rsidRPr="002C27B2" w:rsidRDefault="00D400E3" w:rsidP="00D400E3">
      <w:pPr>
        <w:rPr>
          <w:rFonts w:asciiTheme="majorHAnsi" w:hAnsiTheme="majorHAnsi"/>
        </w:rPr>
      </w:pPr>
      <w:r w:rsidRPr="002C27B2">
        <w:rPr>
          <w:rFonts w:asciiTheme="majorHAnsi" w:hAnsiTheme="majorHAnsi"/>
        </w:rPr>
        <w:br w:type="page"/>
      </w:r>
    </w:p>
    <w:p w14:paraId="43E16BFC" w14:textId="2BA7ADD7" w:rsidR="002F5187" w:rsidRPr="00BD767B" w:rsidRDefault="002F5187" w:rsidP="00FD1A55">
      <w:pPr>
        <w:pStyle w:val="Heading1"/>
        <w:numPr>
          <w:ilvl w:val="0"/>
          <w:numId w:val="61"/>
        </w:numPr>
        <w:spacing w:before="0" w:after="120" w:line="240" w:lineRule="auto"/>
      </w:pPr>
      <w:bookmarkStart w:id="3" w:name="_Toc516189325"/>
      <w:r w:rsidRPr="00BD767B">
        <w:lastRenderedPageBreak/>
        <w:t>Executive Summary</w:t>
      </w:r>
      <w:bookmarkEnd w:id="3"/>
    </w:p>
    <w:p w14:paraId="4D042FAE" w14:textId="232773ED" w:rsidR="001E4D95" w:rsidRPr="00AE209B" w:rsidRDefault="001E4D95" w:rsidP="00FD1A55">
      <w:pPr>
        <w:pStyle w:val="Heading2"/>
        <w:numPr>
          <w:ilvl w:val="1"/>
          <w:numId w:val="61"/>
        </w:numPr>
        <w:spacing w:before="0" w:after="120" w:line="240" w:lineRule="auto"/>
        <w:ind w:left="426"/>
      </w:pPr>
      <w:bookmarkStart w:id="4" w:name="_Toc462332038"/>
      <w:bookmarkStart w:id="5" w:name="_Toc462399792"/>
      <w:bookmarkStart w:id="6" w:name="_Toc465247347"/>
      <w:bookmarkStart w:id="7" w:name="_Toc466470943"/>
      <w:bookmarkStart w:id="8" w:name="_Toc516189326"/>
      <w:r w:rsidRPr="00AE209B">
        <w:t>Purpose of Design</w:t>
      </w:r>
      <w:bookmarkEnd w:id="4"/>
      <w:bookmarkEnd w:id="5"/>
      <w:bookmarkEnd w:id="6"/>
      <w:bookmarkEnd w:id="7"/>
      <w:bookmarkEnd w:id="8"/>
    </w:p>
    <w:p w14:paraId="488B4E4E" w14:textId="5E6362AF" w:rsidR="00452D06" w:rsidRPr="004A078C" w:rsidRDefault="00452D06" w:rsidP="007701F5">
      <w:pPr>
        <w:spacing w:after="120" w:line="240" w:lineRule="auto"/>
        <w:rPr>
          <w:rFonts w:eastAsia="Calibri"/>
        </w:rPr>
      </w:pPr>
      <w:r w:rsidRPr="004A078C">
        <w:rPr>
          <w:rFonts w:eastAsia="Calibri"/>
        </w:rPr>
        <w:t xml:space="preserve">This design assists </w:t>
      </w:r>
      <w:r w:rsidR="004F2DB6" w:rsidRPr="004A078C">
        <w:rPr>
          <w:rFonts w:eastAsia="Calibri"/>
        </w:rPr>
        <w:t xml:space="preserve">the </w:t>
      </w:r>
      <w:r w:rsidR="004F2DB6" w:rsidRPr="004A078C">
        <w:rPr>
          <w:rFonts w:eastAsia="Calibri"/>
          <w:i/>
        </w:rPr>
        <w:t>Timor-Leste Police Development Program</w:t>
      </w:r>
      <w:r w:rsidR="004F2DB6" w:rsidRPr="004A078C">
        <w:rPr>
          <w:rFonts w:eastAsia="Calibri"/>
        </w:rPr>
        <w:t xml:space="preserve"> (TLPDP)</w:t>
      </w:r>
      <w:r w:rsidRPr="004A078C">
        <w:rPr>
          <w:rFonts w:eastAsia="Calibri"/>
        </w:rPr>
        <w:t xml:space="preserve"> implementers and development partners </w:t>
      </w:r>
      <w:proofErr w:type="gramStart"/>
      <w:r w:rsidRPr="004A078C">
        <w:rPr>
          <w:rFonts w:eastAsia="Calibri"/>
        </w:rPr>
        <w:t>by:</w:t>
      </w:r>
      <w:proofErr w:type="gramEnd"/>
      <w:r w:rsidRPr="004A078C">
        <w:rPr>
          <w:rFonts w:eastAsia="Calibri"/>
        </w:rPr>
        <w:t xml:space="preserve"> refreshing the strategic context of the program; identifying end of program outcomes and indicative activity areas; advising how progress towards these outcomes could be monitored and evaluated; and informing planning and decision making. The design sets out a rationale for the investment, </w:t>
      </w:r>
      <w:r w:rsidR="00495CB4">
        <w:rPr>
          <w:rFonts w:eastAsia="Calibri"/>
        </w:rPr>
        <w:t>three</w:t>
      </w:r>
      <w:r w:rsidR="00495CB4" w:rsidRPr="004A078C">
        <w:rPr>
          <w:rFonts w:eastAsia="Calibri"/>
        </w:rPr>
        <w:t xml:space="preserve"> </w:t>
      </w:r>
      <w:r w:rsidRPr="004A078C">
        <w:rPr>
          <w:rFonts w:eastAsia="Calibri"/>
        </w:rPr>
        <w:t xml:space="preserve">component areas for investment and points towards possible activities. It is not prescriptive in its allocation of activities to component areas as this will be done through the planning phases of program preparation and implementation.  </w:t>
      </w:r>
    </w:p>
    <w:p w14:paraId="2323E518" w14:textId="6E6EF52E" w:rsidR="00140895" w:rsidRPr="00FD1A55" w:rsidRDefault="00452D06" w:rsidP="00FD1A55">
      <w:pPr>
        <w:spacing w:after="120" w:line="240" w:lineRule="auto"/>
        <w:rPr>
          <w:rFonts w:eastAsia="Calibri"/>
        </w:rPr>
      </w:pPr>
      <w:r w:rsidRPr="004A078C">
        <w:t xml:space="preserve">The </w:t>
      </w:r>
      <w:r w:rsidR="004F2DB6" w:rsidRPr="004A078C">
        <w:t>TLPDP</w:t>
      </w:r>
      <w:r w:rsidRPr="004A078C">
        <w:t xml:space="preserve"> (</w:t>
      </w:r>
      <w:r w:rsidR="004F2DB6" w:rsidRPr="004A078C">
        <w:t>or</w:t>
      </w:r>
      <w:r w:rsidR="001836C0" w:rsidRPr="004A078C">
        <w:t xml:space="preserve"> the </w:t>
      </w:r>
      <w:r w:rsidRPr="004A078C">
        <w:t xml:space="preserve">Program) </w:t>
      </w:r>
      <w:r w:rsidRPr="004A078C">
        <w:rPr>
          <w:rFonts w:eastAsia="Calibri"/>
        </w:rPr>
        <w:t xml:space="preserve">Program Logic provides a foundation for annual planning activities, such as project initiation documentation, action and/or work plans. These will be formed around specific outcomes to be achieved by </w:t>
      </w:r>
      <w:r w:rsidR="001836C0" w:rsidRPr="004A078C">
        <w:rPr>
          <w:rFonts w:eastAsia="Calibri"/>
        </w:rPr>
        <w:t>TLPDP</w:t>
      </w:r>
      <w:r w:rsidRPr="004A078C">
        <w:rPr>
          <w:rFonts w:eastAsia="Calibri"/>
        </w:rPr>
        <w:t xml:space="preserve"> </w:t>
      </w:r>
      <w:r w:rsidR="001836C0" w:rsidRPr="004A078C">
        <w:rPr>
          <w:rFonts w:eastAsia="Calibri"/>
        </w:rPr>
        <w:t xml:space="preserve">in collaboration with its key partner </w:t>
      </w:r>
      <w:r w:rsidR="004A078C">
        <w:rPr>
          <w:i/>
        </w:rPr>
        <w:t>Polícia </w:t>
      </w:r>
      <w:r w:rsidR="00906274" w:rsidRPr="004A078C">
        <w:rPr>
          <w:i/>
        </w:rPr>
        <w:t>Nacional de Timor-Leste</w:t>
      </w:r>
      <w:r w:rsidR="00906274" w:rsidRPr="004A078C">
        <w:t xml:space="preserve"> </w:t>
      </w:r>
      <w:r w:rsidR="004F2DB6" w:rsidRPr="004A078C">
        <w:t>(</w:t>
      </w:r>
      <w:r w:rsidR="001836C0" w:rsidRPr="004A078C">
        <w:rPr>
          <w:rFonts w:eastAsia="Calibri"/>
        </w:rPr>
        <w:t>PNTL</w:t>
      </w:r>
      <w:r w:rsidR="004F2DB6" w:rsidRPr="004A078C">
        <w:rPr>
          <w:rFonts w:eastAsia="Calibri"/>
        </w:rPr>
        <w:t>)</w:t>
      </w:r>
      <w:r w:rsidRPr="004A078C">
        <w:rPr>
          <w:rFonts w:eastAsia="Calibri"/>
        </w:rPr>
        <w:t>.</w:t>
      </w:r>
    </w:p>
    <w:p w14:paraId="0B9C9C6E" w14:textId="3B9705FE" w:rsidR="006B443E" w:rsidRPr="00AE209B" w:rsidRDefault="006B443E" w:rsidP="00FD1A55">
      <w:pPr>
        <w:pStyle w:val="Heading2"/>
        <w:numPr>
          <w:ilvl w:val="1"/>
          <w:numId w:val="61"/>
        </w:numPr>
        <w:spacing w:before="0" w:after="120" w:line="240" w:lineRule="auto"/>
        <w:ind w:left="426"/>
      </w:pPr>
      <w:bookmarkStart w:id="9" w:name="_Toc462332039"/>
      <w:bookmarkStart w:id="10" w:name="_Toc462399793"/>
      <w:bookmarkStart w:id="11" w:name="_Toc465247348"/>
      <w:bookmarkStart w:id="12" w:name="_Toc466470944"/>
      <w:bookmarkStart w:id="13" w:name="_Toc516189327"/>
      <w:r w:rsidRPr="00AE209B">
        <w:t>Background</w:t>
      </w:r>
      <w:bookmarkEnd w:id="9"/>
      <w:bookmarkEnd w:id="10"/>
      <w:bookmarkEnd w:id="11"/>
      <w:bookmarkEnd w:id="12"/>
      <w:bookmarkEnd w:id="13"/>
    </w:p>
    <w:p w14:paraId="2DEB6810" w14:textId="6C01FD55" w:rsidR="005A3CA2" w:rsidRPr="004A078C" w:rsidRDefault="005A3CA2" w:rsidP="007701F5">
      <w:pPr>
        <w:spacing w:after="120" w:line="240" w:lineRule="auto"/>
      </w:pPr>
      <w:r w:rsidRPr="004A078C">
        <w:t xml:space="preserve">Timor-Leste has made significant progress since its citizens voted for independence in 1999. The Timor-Leste security sector is relatively stable compared with pre-2006 crisis years, however concerns remain. The </w:t>
      </w:r>
      <w:r w:rsidRPr="004A078C">
        <w:rPr>
          <w:i/>
        </w:rPr>
        <w:t xml:space="preserve">Government </w:t>
      </w:r>
      <w:r w:rsidRPr="004A078C">
        <w:rPr>
          <w:i/>
          <w:lang w:val="pt-PT"/>
        </w:rPr>
        <w:t xml:space="preserve">of República Democrática de Timor-Leste </w:t>
      </w:r>
      <w:r w:rsidRPr="004A078C">
        <w:rPr>
          <w:lang w:val="pt-PT"/>
        </w:rPr>
        <w:t>(</w:t>
      </w:r>
      <w:proofErr w:type="spellStart"/>
      <w:r w:rsidRPr="004A078C">
        <w:t>GoRDTL</w:t>
      </w:r>
      <w:proofErr w:type="spellEnd"/>
      <w:r w:rsidRPr="004A078C">
        <w:t>) recognises that stability and security are necessary preconditions for economic and social development and that the security sector has a crucial role to play in consolidating efforts to: ensure stability; guarantee the rule of law; and promote accountability and transparency.</w:t>
      </w:r>
    </w:p>
    <w:p w14:paraId="033FC63E" w14:textId="3E4D1FA2" w:rsidR="005A3CA2" w:rsidRPr="004A078C" w:rsidRDefault="005A3CA2" w:rsidP="007701F5">
      <w:pPr>
        <w:spacing w:after="120" w:line="240" w:lineRule="auto"/>
      </w:pPr>
      <w:r w:rsidRPr="004A078C">
        <w:t xml:space="preserve">The TLPDP is a bilateral capacity building program of assistance to the PNTL supported through agreement between the </w:t>
      </w:r>
      <w:proofErr w:type="spellStart"/>
      <w:r w:rsidRPr="004A078C">
        <w:t>GoRDTL</w:t>
      </w:r>
      <w:proofErr w:type="spellEnd"/>
      <w:r w:rsidRPr="004A078C">
        <w:t xml:space="preserve"> and the Government of Australia. The objective of the TLPDP has been to assist the PNTL to build the foundations of an effective and accountable police </w:t>
      </w:r>
      <w:r w:rsidR="004A078C">
        <w:t>service</w:t>
      </w:r>
      <w:r w:rsidRPr="004A078C">
        <w:t xml:space="preserve">. </w:t>
      </w:r>
      <w:r w:rsidR="0093091A" w:rsidRPr="004A078C">
        <w:t>This design builds on three previous phases of support to developing the PNTL. From 2004 to 2008, AusAID and the Australian Federal Police (AFP) joi</w:t>
      </w:r>
      <w:r w:rsidR="00555A3E">
        <w:t>ntly managed and delivered the P</w:t>
      </w:r>
      <w:r w:rsidR="0093091A" w:rsidRPr="004A078C">
        <w:t>rogram. From 2008 to 2</w:t>
      </w:r>
      <w:r w:rsidR="00555A3E">
        <w:t>018, the AFP has delivered the P</w:t>
      </w:r>
      <w:r w:rsidR="0093091A" w:rsidRPr="004A078C">
        <w:t xml:space="preserve">rogram. The AFP is delivering the fourth phase which </w:t>
      </w:r>
      <w:r w:rsidR="004A078C">
        <w:t>will run</w:t>
      </w:r>
      <w:r w:rsidR="0093091A" w:rsidRPr="004A078C">
        <w:t xml:space="preserve"> from 2018 to 2022. </w:t>
      </w:r>
    </w:p>
    <w:p w14:paraId="2DA4E36F" w14:textId="2857FC2E" w:rsidR="004B4A56" w:rsidRDefault="004B4A56" w:rsidP="007701F5">
      <w:pPr>
        <w:spacing w:after="120" w:line="240" w:lineRule="auto"/>
        <w:rPr>
          <w:rFonts w:cs="Arial"/>
          <w:szCs w:val="20"/>
        </w:rPr>
      </w:pPr>
      <w:r w:rsidRPr="004A078C">
        <w:rPr>
          <w:rFonts w:cs="Arial"/>
          <w:szCs w:val="20"/>
        </w:rPr>
        <w:t>Continued</w:t>
      </w:r>
      <w:r w:rsidRPr="004A078C">
        <w:rPr>
          <w:rFonts w:cs="Arial"/>
          <w:b/>
          <w:i/>
          <w:szCs w:val="20"/>
        </w:rPr>
        <w:t xml:space="preserve"> </w:t>
      </w:r>
      <w:r w:rsidRPr="004A078C">
        <w:rPr>
          <w:rFonts w:cs="Arial"/>
          <w:szCs w:val="20"/>
        </w:rPr>
        <w:t xml:space="preserve">TLPDP support reflects the need for an effective PNTL capable of providing services for Timorese citizens, managing transnational, serious and organised crime and responding to issues that lead to instability. </w:t>
      </w:r>
    </w:p>
    <w:p w14:paraId="3060A5CA" w14:textId="2BCDB246" w:rsidR="006B443E" w:rsidRPr="00FD1A55" w:rsidRDefault="006B443E" w:rsidP="00FD1A55">
      <w:pPr>
        <w:pStyle w:val="Heading2"/>
        <w:numPr>
          <w:ilvl w:val="1"/>
          <w:numId w:val="61"/>
        </w:numPr>
        <w:spacing w:before="0" w:after="120" w:line="240" w:lineRule="auto"/>
        <w:ind w:left="426"/>
      </w:pPr>
      <w:bookmarkStart w:id="14" w:name="_Toc462332040"/>
      <w:bookmarkStart w:id="15" w:name="_Toc462399794"/>
      <w:bookmarkStart w:id="16" w:name="_Toc465247349"/>
      <w:bookmarkStart w:id="17" w:name="_Toc466470945"/>
      <w:bookmarkStart w:id="18" w:name="_Toc516189328"/>
      <w:r w:rsidRPr="00FD1A55">
        <w:t>Program Strategy</w:t>
      </w:r>
      <w:bookmarkEnd w:id="14"/>
      <w:bookmarkEnd w:id="15"/>
      <w:bookmarkEnd w:id="16"/>
      <w:bookmarkEnd w:id="17"/>
      <w:bookmarkEnd w:id="18"/>
    </w:p>
    <w:p w14:paraId="3407E56B" w14:textId="165F9A37" w:rsidR="00CB2E58" w:rsidRPr="00904896" w:rsidRDefault="00FA3386" w:rsidP="007701F5">
      <w:pPr>
        <w:spacing w:after="120" w:line="240" w:lineRule="auto"/>
        <w:rPr>
          <w:rFonts w:eastAsia="Calibri"/>
        </w:rPr>
      </w:pPr>
      <w:r w:rsidRPr="00904896">
        <w:rPr>
          <w:rFonts w:eastAsia="Calibri"/>
        </w:rPr>
        <w:t>The</w:t>
      </w:r>
      <w:r w:rsidR="00805DFE" w:rsidRPr="00904896">
        <w:rPr>
          <w:rFonts w:eastAsia="Calibri"/>
        </w:rPr>
        <w:t xml:space="preserve"> AFP </w:t>
      </w:r>
      <w:r w:rsidRPr="00904896">
        <w:rPr>
          <w:rFonts w:eastAsia="Calibri"/>
        </w:rPr>
        <w:t>has the primary responsibility</w:t>
      </w:r>
      <w:r w:rsidR="00805DFE" w:rsidRPr="00904896">
        <w:rPr>
          <w:rFonts w:eastAsia="Calibri"/>
        </w:rPr>
        <w:t xml:space="preserve"> for the implementation of this design</w:t>
      </w:r>
      <w:r w:rsidRPr="00904896">
        <w:rPr>
          <w:rFonts w:eastAsia="Calibri"/>
        </w:rPr>
        <w:t xml:space="preserve"> through the provision of advice and support to the PNTL</w:t>
      </w:r>
      <w:r w:rsidR="00805DFE" w:rsidRPr="00904896">
        <w:rPr>
          <w:rFonts w:eastAsia="Calibri"/>
        </w:rPr>
        <w:t xml:space="preserve">. Program implementers will </w:t>
      </w:r>
      <w:r w:rsidR="00D45373" w:rsidRPr="00904896">
        <w:rPr>
          <w:rFonts w:eastAsia="Calibri"/>
        </w:rPr>
        <w:t>work</w:t>
      </w:r>
      <w:r w:rsidR="00805DFE" w:rsidRPr="00904896">
        <w:rPr>
          <w:rFonts w:eastAsia="Calibri"/>
        </w:rPr>
        <w:t xml:space="preserve"> in partnership with the PNTL and other key stakeholders to identify specific activities consistent with this design, during the Program mobilisation phase, prior to P</w:t>
      </w:r>
      <w:r w:rsidR="008A7790" w:rsidRPr="00904896">
        <w:rPr>
          <w:rFonts w:eastAsia="Calibri"/>
        </w:rPr>
        <w:t xml:space="preserve">rogram implementation commencement on </w:t>
      </w:r>
      <w:r w:rsidR="00805DFE" w:rsidRPr="00904896">
        <w:rPr>
          <w:rFonts w:eastAsia="Calibri"/>
        </w:rPr>
        <w:t>1 July 2018.</w:t>
      </w:r>
    </w:p>
    <w:p w14:paraId="3314A54A" w14:textId="77777777" w:rsidR="003A4442" w:rsidRPr="00904896" w:rsidRDefault="00CB2E58" w:rsidP="007701F5">
      <w:pPr>
        <w:spacing w:after="120" w:line="240" w:lineRule="auto"/>
        <w:rPr>
          <w:rFonts w:eastAsia="Calibri"/>
        </w:rPr>
      </w:pPr>
      <w:r w:rsidRPr="00904896">
        <w:rPr>
          <w:rFonts w:eastAsia="Calibri"/>
        </w:rPr>
        <w:t xml:space="preserve">The </w:t>
      </w:r>
      <w:r w:rsidR="00992EB9" w:rsidRPr="00904896">
        <w:rPr>
          <w:rFonts w:eastAsia="Calibri"/>
        </w:rPr>
        <w:t xml:space="preserve">overarching objective of the Program is for the PNTL to deliver skilled and professional policing services, which respond effectively to community needs and contribute to a stable and secure Timor-Leste. </w:t>
      </w:r>
    </w:p>
    <w:p w14:paraId="442A70D2" w14:textId="13490919" w:rsidR="003A4442" w:rsidRPr="00904896" w:rsidRDefault="005B5E1A" w:rsidP="007701F5">
      <w:pPr>
        <w:spacing w:after="120" w:line="240" w:lineRule="auto"/>
      </w:pPr>
      <w:r w:rsidRPr="00904896">
        <w:t xml:space="preserve">Three </w:t>
      </w:r>
      <w:r w:rsidR="003A4442" w:rsidRPr="00904896">
        <w:t>core components have been identified to achieve that broad goal:</w:t>
      </w:r>
    </w:p>
    <w:p w14:paraId="2B3701AE" w14:textId="5D3B091B" w:rsidR="003A4442" w:rsidRPr="00904896" w:rsidRDefault="005B5E1A" w:rsidP="007701F5">
      <w:pPr>
        <w:pStyle w:val="ListParagraph"/>
        <w:numPr>
          <w:ilvl w:val="0"/>
          <w:numId w:val="49"/>
        </w:numPr>
        <w:spacing w:after="120" w:line="240" w:lineRule="auto"/>
      </w:pPr>
      <w:r w:rsidRPr="00904896">
        <w:t>Sustainability,</w:t>
      </w:r>
      <w:r w:rsidR="008F3760" w:rsidRPr="00904896">
        <w:t xml:space="preserve"> Self-Improvement</w:t>
      </w:r>
      <w:r w:rsidRPr="00904896">
        <w:t xml:space="preserve"> and</w:t>
      </w:r>
      <w:r w:rsidR="00A52B14">
        <w:t xml:space="preserve"> Organisational</w:t>
      </w:r>
      <w:r w:rsidRPr="00904896">
        <w:t xml:space="preserve"> </w:t>
      </w:r>
      <w:proofErr w:type="gramStart"/>
      <w:r w:rsidRPr="00904896">
        <w:t>Leadership</w:t>
      </w:r>
      <w:r w:rsidR="00D05BA1" w:rsidRPr="00904896">
        <w:t>;</w:t>
      </w:r>
      <w:proofErr w:type="gramEnd"/>
    </w:p>
    <w:p w14:paraId="78483E6F" w14:textId="6E6BA8D8" w:rsidR="003A4442" w:rsidRPr="00904896" w:rsidRDefault="00D05BA1" w:rsidP="007701F5">
      <w:pPr>
        <w:pStyle w:val="ListParagraph"/>
        <w:numPr>
          <w:ilvl w:val="0"/>
          <w:numId w:val="49"/>
        </w:numPr>
        <w:spacing w:after="120" w:line="240" w:lineRule="auto"/>
      </w:pPr>
      <w:r w:rsidRPr="00904896">
        <w:t>Operational Effectiveness;</w:t>
      </w:r>
      <w:r w:rsidR="005B5E1A" w:rsidRPr="00904896">
        <w:t xml:space="preserve"> and</w:t>
      </w:r>
    </w:p>
    <w:p w14:paraId="06901A72" w14:textId="6203AA8D" w:rsidR="003A4442" w:rsidRPr="00904896" w:rsidRDefault="00D05BA1" w:rsidP="007701F5">
      <w:pPr>
        <w:pStyle w:val="ListParagraph"/>
        <w:numPr>
          <w:ilvl w:val="0"/>
          <w:numId w:val="49"/>
        </w:numPr>
        <w:spacing w:after="120" w:line="240" w:lineRule="auto"/>
      </w:pPr>
      <w:r w:rsidRPr="00904896">
        <w:t>Responsive Policing Services</w:t>
      </w:r>
      <w:r w:rsidR="005B5E1A" w:rsidRPr="00904896">
        <w:t>.</w:t>
      </w:r>
    </w:p>
    <w:p w14:paraId="61532D1A" w14:textId="2B78F65B" w:rsidR="003A4442" w:rsidRDefault="003A4442" w:rsidP="007701F5">
      <w:pPr>
        <w:spacing w:after="120" w:line="240" w:lineRule="auto"/>
        <w:rPr>
          <w:rFonts w:eastAsia="Calibri"/>
        </w:rPr>
      </w:pPr>
      <w:r w:rsidRPr="00904896">
        <w:rPr>
          <w:rFonts w:cs="Franklin Gothic Book"/>
        </w:rPr>
        <w:t xml:space="preserve">Under each component, a series of activities will be undertaken. </w:t>
      </w:r>
      <w:r w:rsidRPr="00904896">
        <w:rPr>
          <w:rFonts w:eastAsia="Calibri"/>
        </w:rPr>
        <w:t xml:space="preserve">Section </w:t>
      </w:r>
      <w:r w:rsidR="00D05BA1" w:rsidRPr="00904896">
        <w:rPr>
          <w:rFonts w:eastAsia="Calibri"/>
        </w:rPr>
        <w:t>2</w:t>
      </w:r>
      <w:r w:rsidRPr="00904896">
        <w:rPr>
          <w:rFonts w:eastAsia="Calibri"/>
        </w:rPr>
        <w:t xml:space="preserve"> in this design (</w:t>
      </w:r>
      <w:r w:rsidRPr="00904896">
        <w:rPr>
          <w:rFonts w:eastAsia="Calibri"/>
          <w:i/>
        </w:rPr>
        <w:t>Program Logic and Outcomes</w:t>
      </w:r>
      <w:r w:rsidRPr="00904896">
        <w:rPr>
          <w:rFonts w:eastAsia="Calibri"/>
        </w:rPr>
        <w:t>) describes the links between all goals, outcomes’ areas, core components and indicative activity areas in more detail.</w:t>
      </w:r>
    </w:p>
    <w:p w14:paraId="7E1EFE7C" w14:textId="0D3CE879" w:rsidR="006B443E" w:rsidRPr="00AE209B" w:rsidRDefault="006B443E" w:rsidP="00FD1A55">
      <w:pPr>
        <w:pStyle w:val="Heading2"/>
        <w:numPr>
          <w:ilvl w:val="1"/>
          <w:numId w:val="61"/>
        </w:numPr>
        <w:spacing w:before="0" w:after="120" w:line="240" w:lineRule="auto"/>
        <w:ind w:left="426"/>
      </w:pPr>
      <w:bookmarkStart w:id="19" w:name="_Toc462332041"/>
      <w:bookmarkStart w:id="20" w:name="_Toc462399795"/>
      <w:bookmarkStart w:id="21" w:name="_Toc465247350"/>
      <w:bookmarkStart w:id="22" w:name="_Toc466470946"/>
      <w:bookmarkStart w:id="23" w:name="_Toc516189329"/>
      <w:r w:rsidRPr="00AE209B">
        <w:lastRenderedPageBreak/>
        <w:t>Program Delivery</w:t>
      </w:r>
      <w:bookmarkEnd w:id="19"/>
      <w:bookmarkEnd w:id="20"/>
      <w:bookmarkEnd w:id="21"/>
      <w:bookmarkEnd w:id="22"/>
      <w:bookmarkEnd w:id="23"/>
    </w:p>
    <w:p w14:paraId="52364C45" w14:textId="7220C60B" w:rsidR="008A5136" w:rsidRPr="00904896" w:rsidRDefault="0052766B" w:rsidP="007701F5">
      <w:pPr>
        <w:spacing w:after="120" w:line="240" w:lineRule="auto"/>
      </w:pPr>
      <w:r w:rsidRPr="00904896">
        <w:t>This Program uses a bilateral, direct delivery style that continues the institutional partnership and joint-management approach between AFP and PNTL. It will primarily be delivered using the modality of technical assistance</w:t>
      </w:r>
      <w:r w:rsidR="001C0CF5" w:rsidRPr="00904896">
        <w:t>,</w:t>
      </w:r>
      <w:r w:rsidRPr="00904896">
        <w:t xml:space="preserve"> mentoring</w:t>
      </w:r>
      <w:r w:rsidR="001C0CF5" w:rsidRPr="00904896">
        <w:t xml:space="preserve"> and support</w:t>
      </w:r>
      <w:r w:rsidRPr="00904896">
        <w:t xml:space="preserve"> in the form of advisers work</w:t>
      </w:r>
      <w:r w:rsidR="008D4467" w:rsidRPr="00904896">
        <w:t>ing</w:t>
      </w:r>
      <w:r w:rsidRPr="00904896">
        <w:t xml:space="preserve"> jointly with PNTL counterparts on agreed activities under components of TLPDP’s design. </w:t>
      </w:r>
      <w:r w:rsidR="0015067D" w:rsidRPr="00904896">
        <w:t>K</w:t>
      </w:r>
      <w:r w:rsidR="00DD7784" w:rsidRPr="00904896">
        <w:t>ey consideration</w:t>
      </w:r>
      <w:r w:rsidR="0015067D" w:rsidRPr="00904896">
        <w:t>s</w:t>
      </w:r>
      <w:r w:rsidR="00DD7784" w:rsidRPr="00904896">
        <w:t xml:space="preserve"> of this program design </w:t>
      </w:r>
      <w:r w:rsidR="0015067D" w:rsidRPr="00904896">
        <w:t>were</w:t>
      </w:r>
      <w:r w:rsidR="00DD7784" w:rsidRPr="00904896">
        <w:t xml:space="preserve"> </w:t>
      </w:r>
      <w:r w:rsidR="008D4467" w:rsidRPr="00904896">
        <w:t>the</w:t>
      </w:r>
      <w:r w:rsidR="00DD7784" w:rsidRPr="00904896">
        <w:t xml:space="preserve"> reduction in resources</w:t>
      </w:r>
      <w:r w:rsidR="008D4467" w:rsidRPr="00904896">
        <w:t xml:space="preserve"> </w:t>
      </w:r>
      <w:r w:rsidR="00E76058" w:rsidRPr="00904896">
        <w:t>compared with</w:t>
      </w:r>
      <w:r w:rsidR="008D4467" w:rsidRPr="00904896">
        <w:t xml:space="preserve"> the previous phase, combined with the need for continuity </w:t>
      </w:r>
      <w:r w:rsidR="0015067D" w:rsidRPr="00904896">
        <w:t xml:space="preserve">with some initiatives </w:t>
      </w:r>
      <w:r w:rsidR="00DD7784" w:rsidRPr="00904896">
        <w:t>and a continued emphasis on</w:t>
      </w:r>
      <w:r w:rsidR="00FA3386" w:rsidRPr="00904896">
        <w:t xml:space="preserve"> a partnership approach to</w:t>
      </w:r>
      <w:r w:rsidR="00DD7784" w:rsidRPr="00904896">
        <w:t xml:space="preserve"> capacity development.</w:t>
      </w:r>
    </w:p>
    <w:p w14:paraId="61D5237B" w14:textId="771EEC72" w:rsidR="006077CD" w:rsidRDefault="008A5136" w:rsidP="007701F5">
      <w:pPr>
        <w:spacing w:after="120" w:line="240" w:lineRule="auto"/>
      </w:pPr>
      <w:r w:rsidRPr="00904896">
        <w:t xml:space="preserve">The </w:t>
      </w:r>
      <w:r w:rsidR="0015067D" w:rsidRPr="00904896">
        <w:t>P</w:t>
      </w:r>
      <w:r w:rsidRPr="00904896">
        <w:t>rogram’s</w:t>
      </w:r>
      <w:r w:rsidR="0015067D" w:rsidRPr="00904896">
        <w:t xml:space="preserve"> personnel</w:t>
      </w:r>
      <w:r w:rsidRPr="00904896">
        <w:t xml:space="preserve"> will be collectively responsible for implementation and management in partnership with PNTL. This means the Program will need to consolidate internal core management and program governance functions to enable technical advisers to focus on development activities.</w:t>
      </w:r>
      <w:r w:rsidR="0015067D" w:rsidRPr="00904896">
        <w:t xml:space="preserve"> </w:t>
      </w:r>
      <w:r w:rsidR="006077CD" w:rsidRPr="00904896">
        <w:t>Initial inception phase activities will focus on the development of annual action plans</w:t>
      </w:r>
      <w:r w:rsidR="0015067D" w:rsidRPr="00904896">
        <w:t xml:space="preserve"> to </w:t>
      </w:r>
      <w:r w:rsidR="006077CD" w:rsidRPr="00904896">
        <w:t xml:space="preserve">guide project implementation consistent with this design. </w:t>
      </w:r>
    </w:p>
    <w:p w14:paraId="67EE5F70" w14:textId="74AF108B" w:rsidR="006B443E" w:rsidRPr="00AE209B" w:rsidRDefault="00372176" w:rsidP="00FD1A55">
      <w:pPr>
        <w:pStyle w:val="Heading2"/>
        <w:numPr>
          <w:ilvl w:val="1"/>
          <w:numId w:val="61"/>
        </w:numPr>
        <w:spacing w:before="0" w:after="120" w:line="240" w:lineRule="auto"/>
        <w:ind w:left="426"/>
      </w:pPr>
      <w:bookmarkStart w:id="24" w:name="_Toc516189330"/>
      <w:r>
        <w:t>Measuring Progress</w:t>
      </w:r>
      <w:bookmarkEnd w:id="24"/>
    </w:p>
    <w:p w14:paraId="7AFFA91B" w14:textId="3F639B24" w:rsidR="006714CE" w:rsidRPr="00904896" w:rsidRDefault="006714CE" w:rsidP="007701F5">
      <w:pPr>
        <w:spacing w:after="120" w:line="240" w:lineRule="auto"/>
      </w:pPr>
      <w:r w:rsidRPr="00904896">
        <w:t>Progress will be measured against a range of key performance indicators, which are described in this design’s Monitoring, Evaluation &amp; Learning (MEL) Framework.</w:t>
      </w:r>
      <w:r w:rsidRPr="00904896">
        <w:rPr>
          <w:rStyle w:val="FootnoteReference"/>
          <w:rFonts w:cs="Franklin Gothic Book"/>
        </w:rPr>
        <w:footnoteReference w:id="2"/>
      </w:r>
      <w:r w:rsidRPr="00904896">
        <w:t xml:space="preserve"> Thes</w:t>
      </w:r>
      <w:r w:rsidR="00555A3E" w:rsidRPr="00904896">
        <w:t>e frameworks are informed by a P</w:t>
      </w:r>
      <w:r w:rsidRPr="00904896">
        <w:t xml:space="preserve">rogram </w:t>
      </w:r>
      <w:r w:rsidR="00555A3E" w:rsidRPr="00904896">
        <w:t>L</w:t>
      </w:r>
      <w:r w:rsidRPr="00904896">
        <w:t>ogic, which describes how change will occur over</w:t>
      </w:r>
      <w:r w:rsidR="0022708C" w:rsidRPr="00904896">
        <w:t xml:space="preserve"> </w:t>
      </w:r>
      <w:r w:rsidRPr="00904896">
        <w:t>time as a result of achieving certain outcomes.</w:t>
      </w:r>
    </w:p>
    <w:p w14:paraId="7735EF3B" w14:textId="5A13EC67" w:rsidR="00421A8F" w:rsidRPr="00904896" w:rsidRDefault="00421A8F" w:rsidP="007701F5">
      <w:pPr>
        <w:pStyle w:val="BodyText"/>
        <w:spacing w:before="0" w:after="120" w:line="240" w:lineRule="auto"/>
        <w:rPr>
          <w:color w:val="auto"/>
          <w:lang w:val="en-AU"/>
        </w:rPr>
      </w:pPr>
      <w:r w:rsidRPr="00904896">
        <w:rPr>
          <w:color w:val="auto"/>
          <w:lang w:val="en-AU"/>
        </w:rPr>
        <w:t xml:space="preserve">The MEL Framework </w:t>
      </w:r>
      <w:r w:rsidR="00FA3386" w:rsidRPr="00904896">
        <w:rPr>
          <w:color w:val="auto"/>
          <w:lang w:val="en-AU"/>
        </w:rPr>
        <w:t>for</w:t>
      </w:r>
      <w:r w:rsidRPr="00904896">
        <w:rPr>
          <w:color w:val="auto"/>
          <w:lang w:val="en-AU"/>
        </w:rPr>
        <w:t xml:space="preserve"> the TLPDP will address the challenges of aggregating data, achieve an appropriate balance between quantitative and qualitative data that does not overly burden program staff, and use information as evidence for ongoing program improvement. </w:t>
      </w:r>
    </w:p>
    <w:p w14:paraId="7240A95B" w14:textId="50BA3A0F" w:rsidR="00482735" w:rsidRPr="00904896" w:rsidRDefault="00482735" w:rsidP="007701F5">
      <w:pPr>
        <w:pStyle w:val="BodyText"/>
        <w:spacing w:before="0" w:after="120" w:line="240" w:lineRule="auto"/>
        <w:rPr>
          <w:color w:val="auto"/>
        </w:rPr>
      </w:pPr>
      <w:r w:rsidRPr="00904896">
        <w:rPr>
          <w:color w:val="auto"/>
        </w:rPr>
        <w:t>The following principles underpinning the MEL Framework build on the lessons learned from previous iterations of Australian investment in</w:t>
      </w:r>
      <w:r w:rsidR="00BD5C41" w:rsidRPr="00904896">
        <w:rPr>
          <w:color w:val="auto"/>
        </w:rPr>
        <w:t xml:space="preserve"> the </w:t>
      </w:r>
      <w:r w:rsidRPr="00904896">
        <w:rPr>
          <w:color w:val="auto"/>
        </w:rPr>
        <w:t xml:space="preserve">TLPDP: </w:t>
      </w:r>
    </w:p>
    <w:p w14:paraId="35ADF767" w14:textId="770E234B" w:rsidR="00482735" w:rsidRPr="00904896" w:rsidRDefault="00482735" w:rsidP="007701F5">
      <w:pPr>
        <w:pStyle w:val="Bullet1"/>
        <w:spacing w:before="0" w:after="120" w:line="240" w:lineRule="auto"/>
        <w:rPr>
          <w:color w:val="auto"/>
        </w:rPr>
      </w:pPr>
      <w:r w:rsidRPr="00904896">
        <w:rPr>
          <w:color w:val="auto"/>
          <w:lang w:val="en-AU"/>
        </w:rPr>
        <w:t xml:space="preserve">Focus on criteria – MEL will </w:t>
      </w:r>
      <w:r w:rsidR="00620A70">
        <w:rPr>
          <w:color w:val="auto"/>
          <w:lang w:val="en-AU"/>
        </w:rPr>
        <w:t xml:space="preserve">inform direction of resources based on priorities evaluation criteria </w:t>
      </w:r>
      <w:r w:rsidRPr="00904896">
        <w:rPr>
          <w:color w:val="auto"/>
          <w:lang w:val="en-AU"/>
        </w:rPr>
        <w:t>and not seek to comprehensively address everything to the same degree (fo</w:t>
      </w:r>
      <w:r w:rsidR="00555A3E" w:rsidRPr="00904896">
        <w:rPr>
          <w:color w:val="auto"/>
          <w:lang w:val="en-AU"/>
        </w:rPr>
        <w:t>r example, all outcomes in the Program L</w:t>
      </w:r>
      <w:r w:rsidRPr="00904896">
        <w:rPr>
          <w:color w:val="auto"/>
          <w:lang w:val="en-AU"/>
        </w:rPr>
        <w:t xml:space="preserve">ogic). </w:t>
      </w:r>
    </w:p>
    <w:p w14:paraId="6DF90142" w14:textId="77777777" w:rsidR="00482735" w:rsidRPr="00904896" w:rsidRDefault="00482735" w:rsidP="007701F5">
      <w:pPr>
        <w:pStyle w:val="Bullet1"/>
        <w:spacing w:before="0" w:after="120" w:line="240" w:lineRule="auto"/>
        <w:rPr>
          <w:color w:val="auto"/>
        </w:rPr>
      </w:pPr>
      <w:r w:rsidRPr="00904896">
        <w:rPr>
          <w:color w:val="auto"/>
          <w:lang w:val="en-AU"/>
        </w:rPr>
        <w:t xml:space="preserve">Mutual accountability – MEL will generate information that allows for mutual assessment of progress against agreed outcomes. </w:t>
      </w:r>
    </w:p>
    <w:p w14:paraId="04B22ED3" w14:textId="164C9279" w:rsidR="00482735" w:rsidRPr="00904896" w:rsidRDefault="00482735" w:rsidP="007701F5">
      <w:pPr>
        <w:pStyle w:val="Bullet1"/>
        <w:spacing w:before="0" w:after="120" w:line="240" w:lineRule="auto"/>
        <w:rPr>
          <w:color w:val="auto"/>
        </w:rPr>
      </w:pPr>
      <w:r w:rsidRPr="00904896">
        <w:rPr>
          <w:color w:val="auto"/>
          <w:lang w:val="en-AU"/>
        </w:rPr>
        <w:t>Learning – there will be a focus on undertaking MEL for learning purposes, which will result in better utilisation</w:t>
      </w:r>
      <w:r w:rsidR="00555A3E" w:rsidRPr="00904896">
        <w:rPr>
          <w:color w:val="auto"/>
          <w:lang w:val="en-AU"/>
        </w:rPr>
        <w:t xml:space="preserve"> of MEL information within the P</w:t>
      </w:r>
      <w:r w:rsidRPr="00904896">
        <w:rPr>
          <w:color w:val="auto"/>
          <w:lang w:val="en-AU"/>
        </w:rPr>
        <w:t xml:space="preserve">rogram team and with partners. </w:t>
      </w:r>
    </w:p>
    <w:p w14:paraId="42BB1338" w14:textId="29ABCE0C" w:rsidR="00482735" w:rsidRPr="00904896" w:rsidRDefault="00482735" w:rsidP="007701F5">
      <w:pPr>
        <w:pStyle w:val="Bullet1"/>
        <w:spacing w:before="0" w:after="120" w:line="240" w:lineRule="auto"/>
        <w:rPr>
          <w:color w:val="auto"/>
        </w:rPr>
      </w:pPr>
      <w:r w:rsidRPr="00904896">
        <w:rPr>
          <w:color w:val="auto"/>
          <w:lang w:val="en-AU"/>
        </w:rPr>
        <w:t xml:space="preserve">Promoting equality and inclusion – with a focus on gender equality, and the inclusion of people from </w:t>
      </w:r>
      <w:r w:rsidR="00461B62">
        <w:rPr>
          <w:color w:val="auto"/>
          <w:lang w:val="en-AU"/>
        </w:rPr>
        <w:t>vulnerable groups</w:t>
      </w:r>
      <w:r w:rsidRPr="00904896">
        <w:rPr>
          <w:color w:val="auto"/>
          <w:lang w:val="en-AU"/>
        </w:rPr>
        <w:t xml:space="preserve"> (such as</w:t>
      </w:r>
      <w:r w:rsidR="00BD5C41" w:rsidRPr="00904896">
        <w:rPr>
          <w:color w:val="auto"/>
          <w:lang w:val="en-AU"/>
        </w:rPr>
        <w:t xml:space="preserve"> those with disabilities), the P</w:t>
      </w:r>
      <w:r w:rsidRPr="00904896">
        <w:rPr>
          <w:color w:val="auto"/>
          <w:lang w:val="en-AU"/>
        </w:rPr>
        <w:t xml:space="preserve">rogram’s contribution to equality and inclusion will be mainstreamed throughout the investment’s </w:t>
      </w:r>
      <w:r w:rsidR="003A0268" w:rsidRPr="00904896">
        <w:rPr>
          <w:color w:val="auto"/>
          <w:lang w:val="en-AU"/>
        </w:rPr>
        <w:t>MEL</w:t>
      </w:r>
      <w:r w:rsidRPr="00904896">
        <w:rPr>
          <w:color w:val="auto"/>
          <w:lang w:val="en-AU"/>
        </w:rPr>
        <w:t xml:space="preserve"> system.</w:t>
      </w:r>
    </w:p>
    <w:p w14:paraId="1DDD1886" w14:textId="5889C7D8" w:rsidR="00482735" w:rsidRPr="00904896" w:rsidRDefault="00482735" w:rsidP="007701F5">
      <w:pPr>
        <w:pStyle w:val="Bullet1"/>
        <w:spacing w:before="0" w:after="120" w:line="240" w:lineRule="auto"/>
        <w:rPr>
          <w:color w:val="auto"/>
        </w:rPr>
      </w:pPr>
      <w:r w:rsidRPr="00904896">
        <w:rPr>
          <w:color w:val="auto"/>
          <w:lang w:val="en-AU"/>
        </w:rPr>
        <w:t xml:space="preserve">Adherence to </w:t>
      </w:r>
      <w:r w:rsidR="003A0268" w:rsidRPr="00904896">
        <w:rPr>
          <w:color w:val="auto"/>
          <w:lang w:val="en-AU"/>
        </w:rPr>
        <w:t>MEL</w:t>
      </w:r>
      <w:r w:rsidRPr="00904896">
        <w:rPr>
          <w:color w:val="auto"/>
          <w:lang w:val="en-AU"/>
        </w:rPr>
        <w:t xml:space="preserve"> quality standards – in particular, the framework will adhere to </w:t>
      </w:r>
      <w:r w:rsidR="00BD5C41" w:rsidRPr="00904896">
        <w:rPr>
          <w:color w:val="auto"/>
          <w:lang w:val="en-AU"/>
        </w:rPr>
        <w:t>the Department of Foreign Affairs and Trade (</w:t>
      </w:r>
      <w:r w:rsidRPr="00904896">
        <w:rPr>
          <w:color w:val="auto"/>
          <w:lang w:val="en-AU"/>
        </w:rPr>
        <w:t>DFAT</w:t>
      </w:r>
      <w:r w:rsidR="00BD5C41" w:rsidRPr="00904896">
        <w:rPr>
          <w:color w:val="auto"/>
          <w:lang w:val="en-AU"/>
        </w:rPr>
        <w:t>)</w:t>
      </w:r>
      <w:r w:rsidRPr="00904896">
        <w:rPr>
          <w:color w:val="auto"/>
          <w:lang w:val="en-AU"/>
        </w:rPr>
        <w:t xml:space="preserve"> Monitoring and Evaluation Standards 2 and 3 (April 2017).</w:t>
      </w:r>
    </w:p>
    <w:p w14:paraId="61DCED13" w14:textId="77777777" w:rsidR="007F58C7" w:rsidRPr="00904896" w:rsidRDefault="007F58C7" w:rsidP="007701F5">
      <w:pPr>
        <w:spacing w:after="120" w:line="240" w:lineRule="auto"/>
      </w:pPr>
      <w:r w:rsidRPr="00904896">
        <w:t>The MEL framework has four interrelated elements:</w:t>
      </w:r>
    </w:p>
    <w:p w14:paraId="737FCE49" w14:textId="6BB1DFC8" w:rsidR="007F58C7" w:rsidRPr="00904896" w:rsidRDefault="007F58C7" w:rsidP="007701F5">
      <w:pPr>
        <w:pStyle w:val="ListParagraph"/>
        <w:numPr>
          <w:ilvl w:val="0"/>
          <w:numId w:val="30"/>
        </w:numPr>
        <w:spacing w:after="120" w:line="240" w:lineRule="auto"/>
        <w:ind w:left="360"/>
      </w:pPr>
      <w:r w:rsidRPr="00904896">
        <w:t xml:space="preserve">A detailed </w:t>
      </w:r>
      <w:r w:rsidR="00555A3E" w:rsidRPr="00904896">
        <w:rPr>
          <w:b/>
        </w:rPr>
        <w:t>Program L</w:t>
      </w:r>
      <w:r w:rsidRPr="00904896">
        <w:rPr>
          <w:b/>
        </w:rPr>
        <w:t>ogic</w:t>
      </w:r>
      <w:r w:rsidRPr="00904896">
        <w:t xml:space="preserve"> diagram that articulates the end of program outcomes expect</w:t>
      </w:r>
      <w:r w:rsidR="00BD5C41" w:rsidRPr="00904896">
        <w:t>ed</w:t>
      </w:r>
      <w:r w:rsidRPr="00904896">
        <w:t xml:space="preserve"> to </w:t>
      </w:r>
      <w:r w:rsidR="00BD5C41" w:rsidRPr="00904896">
        <w:t xml:space="preserve">be </w:t>
      </w:r>
      <w:r w:rsidRPr="00904896">
        <w:t>realise</w:t>
      </w:r>
      <w:r w:rsidR="00BD5C41" w:rsidRPr="00904896">
        <w:t>d</w:t>
      </w:r>
      <w:r w:rsidRPr="00904896">
        <w:t xml:space="preserve"> by the end of TLPDP, if </w:t>
      </w:r>
      <w:proofErr w:type="gramStart"/>
      <w:r w:rsidRPr="00904896">
        <w:t>all of</w:t>
      </w:r>
      <w:proofErr w:type="gramEnd"/>
      <w:r w:rsidRPr="00904896">
        <w:t xml:space="preserve"> the assumptions hold true.</w:t>
      </w:r>
    </w:p>
    <w:p w14:paraId="22F79B3D" w14:textId="158536D7" w:rsidR="00EE2C0F" w:rsidRPr="00904896" w:rsidRDefault="00EE2C0F" w:rsidP="007701F5">
      <w:pPr>
        <w:pStyle w:val="ListParagraph"/>
        <w:numPr>
          <w:ilvl w:val="0"/>
          <w:numId w:val="30"/>
        </w:numPr>
        <w:spacing w:after="120" w:line="240" w:lineRule="auto"/>
        <w:ind w:left="360"/>
      </w:pPr>
      <w:r w:rsidRPr="00904896">
        <w:t xml:space="preserve">A set of interdependent evaluation criteria based on the Organisation for Economic Co-operation and Development – Development Assistance Committee’s </w:t>
      </w:r>
      <w:r w:rsidRPr="00904896">
        <w:rPr>
          <w:b/>
        </w:rPr>
        <w:t>(OECD – DAC) criteria</w:t>
      </w:r>
      <w:r w:rsidRPr="00904896">
        <w:t xml:space="preserve">, designed to enable an overall </w:t>
      </w:r>
      <w:r w:rsidR="00555A3E" w:rsidRPr="00904896">
        <w:t>judgement to be made about the P</w:t>
      </w:r>
      <w:r w:rsidRPr="00904896">
        <w:t xml:space="preserve">rogram’s worth. </w:t>
      </w:r>
    </w:p>
    <w:p w14:paraId="0919C54D" w14:textId="77777777" w:rsidR="007F58C7" w:rsidRPr="00904896" w:rsidRDefault="007F58C7" w:rsidP="007701F5">
      <w:pPr>
        <w:pStyle w:val="ListParagraph"/>
        <w:numPr>
          <w:ilvl w:val="0"/>
          <w:numId w:val="30"/>
        </w:numPr>
        <w:spacing w:after="120" w:line="240" w:lineRule="auto"/>
        <w:ind w:left="360"/>
      </w:pPr>
      <w:r w:rsidRPr="00904896">
        <w:t>A set of</w:t>
      </w:r>
      <w:r w:rsidRPr="00904896">
        <w:rPr>
          <w:b/>
        </w:rPr>
        <w:t xml:space="preserve"> key evaluation questions </w:t>
      </w:r>
      <w:r w:rsidRPr="00904896">
        <w:t>that provide the overarching conceptual framework for MEL. These questions ultimately need to be answered by comparing expected performance to actual performance.</w:t>
      </w:r>
    </w:p>
    <w:p w14:paraId="3CB2DB56" w14:textId="76522D19" w:rsidR="007F58C7" w:rsidRDefault="007F58C7" w:rsidP="007701F5">
      <w:pPr>
        <w:pStyle w:val="ListParagraph"/>
        <w:numPr>
          <w:ilvl w:val="0"/>
          <w:numId w:val="30"/>
        </w:numPr>
        <w:spacing w:after="120" w:line="240" w:lineRule="auto"/>
        <w:ind w:left="360"/>
      </w:pPr>
      <w:r w:rsidRPr="00904896">
        <w:lastRenderedPageBreak/>
        <w:t xml:space="preserve">A </w:t>
      </w:r>
      <w:r w:rsidR="0089735C" w:rsidRPr="00904896">
        <w:t>Program Results Framework that provides program outcomes, indicative</w:t>
      </w:r>
      <w:r w:rsidRPr="00904896">
        <w:t xml:space="preserve"> </w:t>
      </w:r>
      <w:r w:rsidRPr="00904896">
        <w:rPr>
          <w:b/>
        </w:rPr>
        <w:t>key indicators</w:t>
      </w:r>
      <w:r w:rsidR="0089735C" w:rsidRPr="00904896">
        <w:rPr>
          <w:b/>
        </w:rPr>
        <w:t xml:space="preserve">, </w:t>
      </w:r>
      <w:r w:rsidR="0089735C" w:rsidRPr="00904896">
        <w:t>areas of possible alignment with</w:t>
      </w:r>
      <w:r w:rsidRPr="00904896">
        <w:t xml:space="preserve"> </w:t>
      </w:r>
      <w:r w:rsidR="0089735C" w:rsidRPr="00904896">
        <w:t>the Timor-Leste Performance Assessment Framework (PAF)</w:t>
      </w:r>
      <w:r w:rsidR="00BD5C41" w:rsidRPr="00904896">
        <w:t>,</w:t>
      </w:r>
      <w:r w:rsidR="0089735C" w:rsidRPr="00904896">
        <w:t xml:space="preserve"> DFAT </w:t>
      </w:r>
      <w:r w:rsidR="00FA3386" w:rsidRPr="00904896">
        <w:t>Aid Program Performance Report (</w:t>
      </w:r>
      <w:r w:rsidR="0089735C" w:rsidRPr="00904896">
        <w:t>APPR</w:t>
      </w:r>
      <w:r w:rsidR="00FA3386" w:rsidRPr="00904896">
        <w:t xml:space="preserve">) </w:t>
      </w:r>
      <w:r w:rsidR="0089735C" w:rsidRPr="00904896">
        <w:t xml:space="preserve">pillars, possible measures of success and data sources/collection methods. </w:t>
      </w:r>
    </w:p>
    <w:p w14:paraId="41CDCB41" w14:textId="7B1A933D" w:rsidR="006B443E" w:rsidRPr="00AE209B" w:rsidRDefault="006B443E" w:rsidP="00FD1A55">
      <w:pPr>
        <w:pStyle w:val="Heading2"/>
        <w:numPr>
          <w:ilvl w:val="1"/>
          <w:numId w:val="61"/>
        </w:numPr>
        <w:spacing w:before="0" w:after="120" w:line="240" w:lineRule="auto"/>
        <w:ind w:left="426"/>
      </w:pPr>
      <w:bookmarkStart w:id="25" w:name="_Toc516189331"/>
      <w:r w:rsidRPr="00AE209B">
        <w:t>Resourcing</w:t>
      </w:r>
      <w:bookmarkEnd w:id="25"/>
    </w:p>
    <w:p w14:paraId="79ECE85A" w14:textId="5848E41A" w:rsidR="00C76711" w:rsidRPr="00904896" w:rsidRDefault="004A333A" w:rsidP="007701F5">
      <w:pPr>
        <w:spacing w:after="120" w:line="240" w:lineRule="auto"/>
      </w:pPr>
      <w:r w:rsidRPr="00904896">
        <w:t xml:space="preserve">Detailed activity planning and associated budget development was not part of this design process. Full activity, resource and budget planning will be undertaken by </w:t>
      </w:r>
      <w:r w:rsidR="00FA3386" w:rsidRPr="00904896">
        <w:t xml:space="preserve">the </w:t>
      </w:r>
      <w:r w:rsidRPr="00904896">
        <w:t xml:space="preserve">AFP during the planning phase of </w:t>
      </w:r>
      <w:r w:rsidR="00FA3386" w:rsidRPr="00904896">
        <w:t>the</w:t>
      </w:r>
      <w:r w:rsidRPr="00904896">
        <w:t xml:space="preserve"> Program. </w:t>
      </w:r>
      <w:r w:rsidR="00C76711" w:rsidRPr="00904896">
        <w:rPr>
          <w:rFonts w:cs="Arial"/>
        </w:rPr>
        <w:t xml:space="preserve">It is anticipated that the </w:t>
      </w:r>
      <w:r w:rsidRPr="00904896">
        <w:rPr>
          <w:rFonts w:cs="Arial"/>
        </w:rPr>
        <w:t>Program</w:t>
      </w:r>
      <w:r w:rsidR="001B7BD4">
        <w:rPr>
          <w:rFonts w:cs="Arial"/>
        </w:rPr>
        <w:t xml:space="preserve"> will have a budget of $24.3</w:t>
      </w:r>
      <w:r w:rsidR="00C76711" w:rsidRPr="00904896">
        <w:rPr>
          <w:rFonts w:cs="Arial"/>
        </w:rPr>
        <w:t xml:space="preserve"> million (from 1 July 2018 – 30 June 2022).</w:t>
      </w:r>
    </w:p>
    <w:p w14:paraId="73A8D57F" w14:textId="77777777" w:rsidR="00347774" w:rsidRPr="00820243" w:rsidRDefault="00347774" w:rsidP="007701F5">
      <w:pPr>
        <w:autoSpaceDE w:val="0"/>
        <w:autoSpaceDN w:val="0"/>
        <w:adjustRightInd w:val="0"/>
        <w:spacing w:after="120" w:line="240" w:lineRule="auto"/>
        <w:rPr>
          <w:rFonts w:asciiTheme="majorHAnsi" w:hAnsiTheme="majorHAnsi"/>
        </w:rPr>
      </w:pPr>
    </w:p>
    <w:p w14:paraId="5C123E0C" w14:textId="076715EB" w:rsidR="002133DB" w:rsidRDefault="002133DB">
      <w:pPr>
        <w:rPr>
          <w:rFonts w:asciiTheme="majorHAnsi" w:hAnsiTheme="majorHAnsi"/>
        </w:rPr>
      </w:pPr>
      <w:r>
        <w:rPr>
          <w:rFonts w:asciiTheme="majorHAnsi" w:hAnsiTheme="majorHAnsi"/>
        </w:rPr>
        <w:br w:type="page"/>
      </w:r>
    </w:p>
    <w:p w14:paraId="7C84079A" w14:textId="71E55E7F" w:rsidR="00896F78" w:rsidRPr="005A3CA2" w:rsidRDefault="008660F8" w:rsidP="00A42C1F">
      <w:pPr>
        <w:pStyle w:val="Heading1"/>
        <w:numPr>
          <w:ilvl w:val="0"/>
          <w:numId w:val="61"/>
        </w:numPr>
        <w:spacing w:before="0" w:after="120" w:line="240" w:lineRule="auto"/>
      </w:pPr>
      <w:r w:rsidRPr="00AE209B">
        <w:lastRenderedPageBreak/>
        <w:t xml:space="preserve"> </w:t>
      </w:r>
      <w:bookmarkStart w:id="26" w:name="_Toc516189332"/>
      <w:r w:rsidR="000B01C4" w:rsidRPr="005A3CA2">
        <w:t>Analysis and Strategic Context</w:t>
      </w:r>
      <w:bookmarkEnd w:id="26"/>
    </w:p>
    <w:p w14:paraId="5FDEE816" w14:textId="329623A2" w:rsidR="00AC2CA3" w:rsidRPr="00904896" w:rsidRDefault="00AC2CA3" w:rsidP="007701F5">
      <w:pPr>
        <w:spacing w:after="120" w:line="240" w:lineRule="auto"/>
      </w:pPr>
      <w:r w:rsidRPr="00904896">
        <w:t xml:space="preserve">This section provides background on Australian assistance to Timor-Leste, and an overview of the strategic context relevant to </w:t>
      </w:r>
      <w:r w:rsidR="00EA121D" w:rsidRPr="00904896">
        <w:t xml:space="preserve">the </w:t>
      </w:r>
      <w:r w:rsidRPr="00904896">
        <w:t>Program. Analysis in this section forms the basis for how strategic and Program goals have been established for this design.</w:t>
      </w:r>
    </w:p>
    <w:p w14:paraId="1395A8BD" w14:textId="57B5037D" w:rsidR="000B01C4" w:rsidRPr="00820243" w:rsidRDefault="00A42C1F" w:rsidP="00A42C1F">
      <w:pPr>
        <w:pStyle w:val="Heading2"/>
        <w:numPr>
          <w:ilvl w:val="1"/>
          <w:numId w:val="61"/>
        </w:numPr>
        <w:spacing w:before="0" w:after="120" w:line="240" w:lineRule="auto"/>
        <w:ind w:left="426"/>
      </w:pPr>
      <w:r>
        <w:t xml:space="preserve"> </w:t>
      </w:r>
      <w:bookmarkStart w:id="27" w:name="_Toc516189333"/>
      <w:r w:rsidR="000B01C4" w:rsidRPr="00820243">
        <w:t>Country/Regional and Sector Issues</w:t>
      </w:r>
      <w:bookmarkEnd w:id="27"/>
      <w:r w:rsidR="000C16DA" w:rsidRPr="00820243">
        <w:t xml:space="preserve"> </w:t>
      </w:r>
    </w:p>
    <w:p w14:paraId="2232F8FD" w14:textId="58311741" w:rsidR="00922C9D" w:rsidRPr="00820243" w:rsidRDefault="00D6523B" w:rsidP="00D6523B">
      <w:pPr>
        <w:pStyle w:val="Heading3"/>
        <w:numPr>
          <w:ilvl w:val="2"/>
          <w:numId w:val="61"/>
        </w:numPr>
        <w:spacing w:before="0" w:after="120" w:line="240" w:lineRule="auto"/>
        <w:ind w:left="567" w:hanging="567"/>
      </w:pPr>
      <w:r>
        <w:t xml:space="preserve"> </w:t>
      </w:r>
      <w:bookmarkStart w:id="28" w:name="_Toc516189334"/>
      <w:r w:rsidR="00922C9D" w:rsidRPr="00820243">
        <w:t>Country Context</w:t>
      </w:r>
      <w:bookmarkEnd w:id="28"/>
    </w:p>
    <w:p w14:paraId="1886B7C9" w14:textId="1A503F10" w:rsidR="00922C9D" w:rsidRPr="00904896" w:rsidRDefault="00922C9D" w:rsidP="007701F5">
      <w:pPr>
        <w:spacing w:after="120" w:line="240" w:lineRule="auto"/>
        <w:rPr>
          <w:rFonts w:cs="Arial"/>
          <w:b/>
          <w:i/>
          <w:szCs w:val="20"/>
        </w:rPr>
      </w:pPr>
      <w:r w:rsidRPr="00904896">
        <w:t>Timor-Leste has made significant progress since its citizens voted for independence in 1999. However, as with any young nation, challenges remain. Timor-Leste is ranked 133 out of 186 countries on the Human Development Index</w:t>
      </w:r>
      <w:r w:rsidR="00F05023" w:rsidRPr="00904896">
        <w:t>,</w:t>
      </w:r>
      <w:r w:rsidRPr="00904896">
        <w:t xml:space="preserve"> and high rates of unemployment, malnutrition and poverty persist.</w:t>
      </w:r>
      <w:r w:rsidRPr="00904896">
        <w:rPr>
          <w:rStyle w:val="FootnoteReference"/>
          <w:rFonts w:cs="Arial"/>
          <w:szCs w:val="20"/>
        </w:rPr>
        <w:footnoteReference w:id="3"/>
      </w:r>
    </w:p>
    <w:p w14:paraId="03456481" w14:textId="3B773AF8" w:rsidR="00922C9D" w:rsidRPr="00904896" w:rsidRDefault="00922C9D" w:rsidP="007701F5">
      <w:pPr>
        <w:spacing w:after="120" w:line="240" w:lineRule="auto"/>
      </w:pPr>
      <w:r w:rsidRPr="00904896">
        <w:t xml:space="preserve">The main driver of growth in Timor-Leste is </w:t>
      </w:r>
      <w:proofErr w:type="spellStart"/>
      <w:r w:rsidR="00242CD1" w:rsidRPr="00904896">
        <w:t>Go</w:t>
      </w:r>
      <w:r w:rsidRPr="00904896">
        <w:t>RDTL</w:t>
      </w:r>
      <w:proofErr w:type="spellEnd"/>
      <w:r w:rsidRPr="00904896">
        <w:t xml:space="preserve"> spending supported by oil and gas revenues. Some observers note that without drastic changes, oil and gas revenues could be </w:t>
      </w:r>
      <w:r w:rsidR="00EA121D" w:rsidRPr="00904896">
        <w:t>depleted</w:t>
      </w:r>
      <w:r w:rsidR="00F05023" w:rsidRPr="00904896">
        <w:t xml:space="preserve"> as soon as 2023</w:t>
      </w:r>
      <w:r w:rsidRPr="00904896">
        <w:t>, which has serious implications for development progress, economic sustainability and the stability of Timor-Leste.</w:t>
      </w:r>
      <w:r w:rsidRPr="00904896">
        <w:rPr>
          <w:rStyle w:val="FootnoteReference"/>
          <w:rFonts w:cs="Arial"/>
          <w:szCs w:val="20"/>
        </w:rPr>
        <w:footnoteReference w:id="4"/>
      </w:r>
      <w:r w:rsidRPr="00904896">
        <w:t xml:space="preserve"> </w:t>
      </w:r>
    </w:p>
    <w:p w14:paraId="15FB9843" w14:textId="2A60A1EF" w:rsidR="00242FA2" w:rsidRPr="00AE209B" w:rsidRDefault="00D6523B" w:rsidP="00D6523B">
      <w:pPr>
        <w:pStyle w:val="Heading3"/>
        <w:numPr>
          <w:ilvl w:val="2"/>
          <w:numId w:val="61"/>
        </w:numPr>
        <w:spacing w:before="0" w:after="120" w:line="240" w:lineRule="auto"/>
        <w:ind w:left="567" w:hanging="567"/>
      </w:pPr>
      <w:r>
        <w:t xml:space="preserve"> </w:t>
      </w:r>
      <w:bookmarkStart w:id="31" w:name="_Toc516189335"/>
      <w:r w:rsidR="00242FA2" w:rsidRPr="00820243">
        <w:t>Law &amp; Justice Sector Context</w:t>
      </w:r>
      <w:bookmarkEnd w:id="31"/>
    </w:p>
    <w:p w14:paraId="63E5B083" w14:textId="26650675" w:rsidR="00922C9D" w:rsidRPr="00904896" w:rsidRDefault="00242FA2" w:rsidP="007701F5">
      <w:pPr>
        <w:spacing w:after="120" w:line="240" w:lineRule="auto"/>
      </w:pPr>
      <w:r w:rsidRPr="00904896">
        <w:t xml:space="preserve">In the last eighteen years, Timor-Leste has experienced significant events </w:t>
      </w:r>
      <w:r w:rsidR="00F05023" w:rsidRPr="00904896">
        <w:t>which</w:t>
      </w:r>
      <w:r w:rsidRPr="00904896">
        <w:t xml:space="preserve"> have affected both the security sector and the course of national development. The 2006 crisis saw a complete breakdown of</w:t>
      </w:r>
      <w:r w:rsidR="00FA7740" w:rsidRPr="00904896">
        <w:t xml:space="preserve"> relation</w:t>
      </w:r>
      <w:r w:rsidR="00557203" w:rsidRPr="00904896">
        <w:t>s</w:t>
      </w:r>
      <w:r w:rsidR="00FA7740" w:rsidRPr="00904896">
        <w:t xml:space="preserve"> between</w:t>
      </w:r>
      <w:r w:rsidRPr="00904896">
        <w:t xml:space="preserve"> the PNTL</w:t>
      </w:r>
      <w:r w:rsidR="00EA121D" w:rsidRPr="00904896">
        <w:rPr>
          <w:i/>
        </w:rPr>
        <w:t xml:space="preserve"> </w:t>
      </w:r>
      <w:r w:rsidRPr="00904896">
        <w:t xml:space="preserve">and military resulting in 150,000 people being displaced. Following the crisis, the United Nations Integrated Mission in Timor-Leste (UNMIT) arrived with an official mandate to restore and maintain public security until the PNTL was reconstituted. A municipality-by-municipality handover of executive policing responsibility </w:t>
      </w:r>
      <w:r w:rsidR="00EA121D" w:rsidRPr="00904896">
        <w:t xml:space="preserve">to the PNTL </w:t>
      </w:r>
      <w:r w:rsidRPr="00904896">
        <w:t>commenced in 2009 and UNMIT officially ended and withdrew in December 2012.</w:t>
      </w:r>
      <w:r w:rsidRPr="00904896">
        <w:rPr>
          <w:rStyle w:val="FootnoteReference"/>
          <w:rFonts w:cs="Arial"/>
          <w:szCs w:val="20"/>
        </w:rPr>
        <w:footnoteReference w:id="5"/>
      </w:r>
    </w:p>
    <w:p w14:paraId="422C5CFE" w14:textId="4E5BEC44" w:rsidR="004C2E96" w:rsidRPr="00904896" w:rsidRDefault="004C2E96" w:rsidP="007701F5">
      <w:pPr>
        <w:spacing w:after="120" w:line="240" w:lineRule="auto"/>
      </w:pPr>
      <w:r w:rsidRPr="00904896">
        <w:t xml:space="preserve">The Timor-Leste security sector is relatively stable </w:t>
      </w:r>
      <w:r w:rsidR="00EA121D" w:rsidRPr="00904896">
        <w:t>since UNMT withdrew in 2012</w:t>
      </w:r>
      <w:r w:rsidR="000D4188" w:rsidRPr="00904896">
        <w:t>,</w:t>
      </w:r>
      <w:r w:rsidRPr="00904896">
        <w:t xml:space="preserve"> however</w:t>
      </w:r>
      <w:r w:rsidR="000D4188" w:rsidRPr="00904896">
        <w:t xml:space="preserve"> </w:t>
      </w:r>
      <w:r w:rsidRPr="00904896">
        <w:t xml:space="preserve">concerns remain. Some of the ongoing </w:t>
      </w:r>
      <w:r w:rsidR="00EA121D" w:rsidRPr="00904896">
        <w:t>security risks</w:t>
      </w:r>
      <w:r w:rsidRPr="00904896">
        <w:t xml:space="preserve"> include:</w:t>
      </w:r>
    </w:p>
    <w:p w14:paraId="3AF84CAC" w14:textId="21602380" w:rsidR="004C2E96" w:rsidRPr="00904896" w:rsidRDefault="004C2E96" w:rsidP="007701F5">
      <w:pPr>
        <w:pStyle w:val="ListParagraph"/>
        <w:numPr>
          <w:ilvl w:val="0"/>
          <w:numId w:val="9"/>
        </w:numPr>
        <w:spacing w:after="120" w:line="240" w:lineRule="auto"/>
        <w:rPr>
          <w:rFonts w:cs="Arial"/>
        </w:rPr>
      </w:pPr>
      <w:r w:rsidRPr="00904896">
        <w:rPr>
          <w:rFonts w:cs="Arial"/>
          <w:b/>
        </w:rPr>
        <w:t>Transnational, serious and organised crime</w:t>
      </w:r>
      <w:r w:rsidRPr="00904896">
        <w:rPr>
          <w:rFonts w:cs="Arial"/>
        </w:rPr>
        <w:t xml:space="preserve"> – a range of Timorese, regional and Government of Australia stakeholders have increasingly expressed concerns about transnational, serious and organised crime and the potential for serious problems in the future.</w:t>
      </w:r>
      <w:r w:rsidRPr="00904896">
        <w:rPr>
          <w:rStyle w:val="FootnoteReference"/>
          <w:rFonts w:cs="Arial"/>
        </w:rPr>
        <w:footnoteReference w:id="6"/>
      </w:r>
      <w:r w:rsidRPr="00904896">
        <w:rPr>
          <w:rFonts w:cs="Arial"/>
        </w:rPr>
        <w:t xml:space="preserve"> Porous borders make Timor-Leste an attractive transit point and location for transnational, serious and organised crime and illicit activity. For example, Timor-Leste is a ‘source and destination country for men, women, and children subjected to forced labour and sex trafficking’</w:t>
      </w:r>
      <w:r w:rsidR="00B10F2F" w:rsidRPr="00904896">
        <w:rPr>
          <w:rStyle w:val="FootnoteReference"/>
          <w:rFonts w:cs="Arial"/>
        </w:rPr>
        <w:footnoteReference w:id="7"/>
      </w:r>
      <w:r w:rsidRPr="00904896">
        <w:rPr>
          <w:rFonts w:cs="Arial"/>
        </w:rPr>
        <w:t xml:space="preserve"> and there have been local reports of young girls ‘disappearing’ from villages.</w:t>
      </w:r>
      <w:r w:rsidRPr="00904896">
        <w:rPr>
          <w:rStyle w:val="FootnoteReference"/>
          <w:rFonts w:cs="Arial"/>
        </w:rPr>
        <w:footnoteReference w:id="8"/>
      </w:r>
      <w:r w:rsidRPr="00904896">
        <w:rPr>
          <w:rFonts w:cs="ITC Giovanni Std Book"/>
          <w:color w:val="000000"/>
        </w:rPr>
        <w:t xml:space="preserve"> </w:t>
      </w:r>
      <w:r w:rsidRPr="00904896">
        <w:rPr>
          <w:rFonts w:cs="Arial"/>
        </w:rPr>
        <w:t xml:space="preserve">The United Nations Office on Drugs and Crime (UNODC) also cite Timor-Leste as a likely target destination for criminal activity. </w:t>
      </w:r>
      <w:r w:rsidR="00AE209B" w:rsidRPr="00904896">
        <w:rPr>
          <w:rFonts w:cs="Arial"/>
        </w:rPr>
        <w:t>P</w:t>
      </w:r>
      <w:r w:rsidRPr="00904896">
        <w:rPr>
          <w:rFonts w:cs="Arial"/>
        </w:rPr>
        <w:t xml:space="preserve">orous borders </w:t>
      </w:r>
      <w:r w:rsidR="00AE209B" w:rsidRPr="00904896">
        <w:rPr>
          <w:rFonts w:cs="Arial"/>
        </w:rPr>
        <w:t xml:space="preserve">also </w:t>
      </w:r>
      <w:r w:rsidRPr="00904896">
        <w:rPr>
          <w:rFonts w:cs="Arial"/>
        </w:rPr>
        <w:t xml:space="preserve">present </w:t>
      </w:r>
      <w:r w:rsidR="00AE209B" w:rsidRPr="00904896">
        <w:rPr>
          <w:rFonts w:cs="Arial"/>
        </w:rPr>
        <w:t>the</w:t>
      </w:r>
      <w:r w:rsidRPr="00904896">
        <w:rPr>
          <w:rFonts w:cs="Arial"/>
        </w:rPr>
        <w:t xml:space="preserve"> threat </w:t>
      </w:r>
      <w:r w:rsidR="00AE209B" w:rsidRPr="00904896">
        <w:rPr>
          <w:rFonts w:cs="Arial"/>
        </w:rPr>
        <w:t xml:space="preserve">of </w:t>
      </w:r>
      <w:r w:rsidRPr="00904896">
        <w:rPr>
          <w:rFonts w:cs="Arial"/>
        </w:rPr>
        <w:t xml:space="preserve">terrorist activity and unmonitored returned foreign fighters. This is especially significant noting neighbouring Indonesia has previously experienced </w:t>
      </w:r>
      <w:r w:rsidR="00AE209B" w:rsidRPr="00904896">
        <w:rPr>
          <w:rFonts w:cs="Arial"/>
        </w:rPr>
        <w:t xml:space="preserve">significant </w:t>
      </w:r>
      <w:r w:rsidRPr="00904896">
        <w:rPr>
          <w:rFonts w:cs="Arial"/>
        </w:rPr>
        <w:t>terrorist activity.</w:t>
      </w:r>
    </w:p>
    <w:p w14:paraId="2F3C6C0E" w14:textId="77777777" w:rsidR="004C2E96" w:rsidRPr="00904896" w:rsidRDefault="004C2E96" w:rsidP="007701F5">
      <w:pPr>
        <w:pStyle w:val="ListParagraph"/>
        <w:spacing w:after="120" w:line="240" w:lineRule="auto"/>
        <w:ind w:left="360"/>
        <w:rPr>
          <w:rFonts w:cs="Arial"/>
        </w:rPr>
      </w:pPr>
    </w:p>
    <w:p w14:paraId="1AF681A4" w14:textId="77777777" w:rsidR="004C2E96" w:rsidRPr="00904896" w:rsidRDefault="004C2E96" w:rsidP="007701F5">
      <w:pPr>
        <w:pStyle w:val="ListParagraph"/>
        <w:numPr>
          <w:ilvl w:val="0"/>
          <w:numId w:val="9"/>
        </w:numPr>
        <w:spacing w:after="120" w:line="240" w:lineRule="auto"/>
        <w:rPr>
          <w:rFonts w:cs="Arial"/>
        </w:rPr>
      </w:pPr>
      <w:r w:rsidRPr="00904896">
        <w:rPr>
          <w:rFonts w:cs="Arial"/>
          <w:b/>
        </w:rPr>
        <w:t>Martial Arts Groups</w:t>
      </w:r>
      <w:r w:rsidRPr="00904896">
        <w:rPr>
          <w:rFonts w:cs="Arial"/>
        </w:rPr>
        <w:t xml:space="preserve"> (MAG) – a youth bulge coupled with high rates of unemployment has left </w:t>
      </w:r>
      <w:proofErr w:type="gramStart"/>
      <w:r w:rsidRPr="00904896">
        <w:rPr>
          <w:rFonts w:cs="Arial"/>
        </w:rPr>
        <w:t>a large number of</w:t>
      </w:r>
      <w:proofErr w:type="gramEnd"/>
      <w:r w:rsidRPr="00904896">
        <w:rPr>
          <w:rFonts w:cs="Arial"/>
        </w:rPr>
        <w:t xml:space="preserve"> Timorese citizens, particularly males, with few opportunities to engage meaningfully within society. The result has been the rise of MAGs, who are known to </w:t>
      </w:r>
      <w:r w:rsidRPr="00904896">
        <w:rPr>
          <w:rFonts w:cs="Arial"/>
        </w:rPr>
        <w:lastRenderedPageBreak/>
        <w:t xml:space="preserve">regularly engage in, often violent, criminal activity. This is a problem that has </w:t>
      </w:r>
      <w:proofErr w:type="gramStart"/>
      <w:r w:rsidRPr="00904896">
        <w:rPr>
          <w:rFonts w:cs="Arial"/>
        </w:rPr>
        <w:t>persisted</w:t>
      </w:r>
      <w:proofErr w:type="gramEnd"/>
      <w:r w:rsidRPr="00904896">
        <w:rPr>
          <w:rFonts w:cs="Arial"/>
        </w:rPr>
        <w:t xml:space="preserve"> and incidences of MAG related violence continue.</w:t>
      </w:r>
      <w:r w:rsidRPr="00904896">
        <w:rPr>
          <w:rStyle w:val="FootnoteReference"/>
          <w:rFonts w:cs="Arial"/>
        </w:rPr>
        <w:footnoteReference w:id="9"/>
      </w:r>
    </w:p>
    <w:p w14:paraId="7DD8331C" w14:textId="77777777" w:rsidR="004C2E96" w:rsidRPr="00904896" w:rsidRDefault="004C2E96" w:rsidP="007701F5">
      <w:pPr>
        <w:pStyle w:val="ListParagraph"/>
        <w:spacing w:after="120" w:line="240" w:lineRule="auto"/>
        <w:ind w:left="360"/>
        <w:rPr>
          <w:rFonts w:cs="Arial"/>
        </w:rPr>
      </w:pPr>
    </w:p>
    <w:p w14:paraId="6A2DC4C3" w14:textId="0926AFBF" w:rsidR="004C2E96" w:rsidRPr="00904896" w:rsidRDefault="004C2E96" w:rsidP="007701F5">
      <w:pPr>
        <w:pStyle w:val="ListParagraph"/>
        <w:numPr>
          <w:ilvl w:val="0"/>
          <w:numId w:val="9"/>
        </w:numPr>
        <w:spacing w:after="120" w:line="240" w:lineRule="auto"/>
        <w:rPr>
          <w:rFonts w:cs="Arial"/>
        </w:rPr>
      </w:pPr>
      <w:r w:rsidRPr="00904896">
        <w:rPr>
          <w:rFonts w:cs="Arial"/>
          <w:b/>
        </w:rPr>
        <w:t>Violence against women</w:t>
      </w:r>
      <w:r w:rsidRPr="00904896">
        <w:rPr>
          <w:rFonts w:cs="Arial"/>
        </w:rPr>
        <w:t xml:space="preserve"> – 59 per</w:t>
      </w:r>
      <w:r w:rsidR="00AE209B" w:rsidRPr="00904896">
        <w:rPr>
          <w:rFonts w:cs="Arial"/>
        </w:rPr>
        <w:t xml:space="preserve"> </w:t>
      </w:r>
      <w:r w:rsidRPr="00904896">
        <w:rPr>
          <w:rFonts w:cs="Arial"/>
        </w:rPr>
        <w:t>cent of women aged 15-49 years, who have ever been in a relationship reported having experienced some form of physical or sexual partner violence by a male partner in their lifetime.</w:t>
      </w:r>
      <w:r w:rsidRPr="00904896">
        <w:rPr>
          <w:rStyle w:val="FootnoteReference"/>
          <w:rFonts w:cs="Arial"/>
        </w:rPr>
        <w:footnoteReference w:id="10"/>
      </w:r>
    </w:p>
    <w:p w14:paraId="78E255F6" w14:textId="77777777" w:rsidR="004C2E96" w:rsidRPr="00904896" w:rsidRDefault="004C2E96" w:rsidP="007701F5">
      <w:pPr>
        <w:pStyle w:val="ListParagraph"/>
        <w:spacing w:after="120" w:line="240" w:lineRule="auto"/>
        <w:ind w:left="360"/>
        <w:rPr>
          <w:rFonts w:cs="Arial"/>
        </w:rPr>
      </w:pPr>
    </w:p>
    <w:p w14:paraId="1E08B881" w14:textId="31780DC3" w:rsidR="004C2E96" w:rsidRPr="00904896" w:rsidRDefault="004C2E96" w:rsidP="007701F5">
      <w:pPr>
        <w:pStyle w:val="ListParagraph"/>
        <w:numPr>
          <w:ilvl w:val="0"/>
          <w:numId w:val="9"/>
        </w:numPr>
        <w:spacing w:after="120" w:line="240" w:lineRule="auto"/>
        <w:rPr>
          <w:rFonts w:cs="Arial"/>
        </w:rPr>
      </w:pPr>
      <w:r w:rsidRPr="00904896">
        <w:rPr>
          <w:rFonts w:cs="Arial"/>
          <w:b/>
        </w:rPr>
        <w:t>Dissident groups</w:t>
      </w:r>
      <w:r w:rsidRPr="00904896">
        <w:rPr>
          <w:rFonts w:cs="Arial"/>
        </w:rPr>
        <w:t xml:space="preserve"> – in a young state, with emerging institutions, it is relatively easy to establish competing centres of power. While </w:t>
      </w:r>
      <w:proofErr w:type="gramStart"/>
      <w:r w:rsidRPr="00904896">
        <w:rPr>
          <w:rFonts w:cs="Arial"/>
        </w:rPr>
        <w:t>the majority of</w:t>
      </w:r>
      <w:proofErr w:type="gramEnd"/>
      <w:r w:rsidRPr="00904896">
        <w:rPr>
          <w:rFonts w:cs="Arial"/>
        </w:rPr>
        <w:t xml:space="preserve"> groups only pose a limited threat of direct violence, they continue to be ‘a very public test of the rule of law’</w:t>
      </w:r>
      <w:r w:rsidRPr="00904896">
        <w:rPr>
          <w:rStyle w:val="FootnoteReference"/>
          <w:rFonts w:cs="Arial"/>
        </w:rPr>
        <w:footnoteReference w:id="11"/>
      </w:r>
      <w:r w:rsidRPr="00904896">
        <w:rPr>
          <w:rFonts w:cs="Arial"/>
        </w:rPr>
        <w:t>. Examples of this include formal and informal public rallies and the Popular Council for the Defence of the Democratic Republic of Timor-Leste (CPD-RDTL) whose leaders continue to voice challenges to the legitimacy of law enforcement and security agencies.</w:t>
      </w:r>
    </w:p>
    <w:p w14:paraId="29707904" w14:textId="77777777" w:rsidR="004C2E96" w:rsidRPr="00904896" w:rsidRDefault="004C2E96" w:rsidP="007701F5">
      <w:pPr>
        <w:pStyle w:val="ListParagraph"/>
        <w:spacing w:after="120" w:line="240" w:lineRule="auto"/>
        <w:rPr>
          <w:rFonts w:cs="Arial"/>
          <w:sz w:val="20"/>
          <w:szCs w:val="20"/>
        </w:rPr>
      </w:pPr>
    </w:p>
    <w:p w14:paraId="6F2C02C5" w14:textId="1BB3986B" w:rsidR="004C2E96" w:rsidRPr="00904896" w:rsidRDefault="004C2E96" w:rsidP="007701F5">
      <w:pPr>
        <w:pStyle w:val="ListParagraph"/>
        <w:numPr>
          <w:ilvl w:val="0"/>
          <w:numId w:val="9"/>
        </w:numPr>
        <w:spacing w:after="120" w:line="240" w:lineRule="auto"/>
      </w:pPr>
      <w:r w:rsidRPr="00904896">
        <w:rPr>
          <w:rFonts w:cs="Arial"/>
          <w:b/>
        </w:rPr>
        <w:t>Emerging institutions and chains of command</w:t>
      </w:r>
      <w:r w:rsidRPr="00904896">
        <w:rPr>
          <w:rFonts w:cs="Arial"/>
        </w:rPr>
        <w:t xml:space="preserve"> – since the departure</w:t>
      </w:r>
      <w:r w:rsidR="00B10F2F" w:rsidRPr="00904896">
        <w:rPr>
          <w:rFonts w:cs="Arial"/>
        </w:rPr>
        <w:t xml:space="preserve"> of</w:t>
      </w:r>
      <w:r w:rsidRPr="00904896">
        <w:rPr>
          <w:rFonts w:cs="Arial"/>
        </w:rPr>
        <w:t xml:space="preserve"> </w:t>
      </w:r>
      <w:r w:rsidR="00B10F2F" w:rsidRPr="00904896">
        <w:rPr>
          <w:rFonts w:cs="Arial"/>
        </w:rPr>
        <w:t xml:space="preserve">the </w:t>
      </w:r>
      <w:r w:rsidRPr="00904896">
        <w:rPr>
          <w:rFonts w:cs="Arial"/>
        </w:rPr>
        <w:t xml:space="preserve">UNMIT (including a 1000 strong UN Police contingent) in 2012 and the International Stabilisation Force in 2013, the PNTL, </w:t>
      </w:r>
      <w:r w:rsidR="00AE209B" w:rsidRPr="00904896">
        <w:rPr>
          <w:rFonts w:cs="Arial"/>
        </w:rPr>
        <w:t xml:space="preserve">FFDTL </w:t>
      </w:r>
      <w:r w:rsidRPr="00904896">
        <w:rPr>
          <w:rFonts w:cs="Arial"/>
        </w:rPr>
        <w:t>and other agencies have had to fulfil security mandates. While a range of donors have supported the security sector in Timor-Leste, these institutions are still relatively young and their capabilities still emerging. There is also a steady undercurrent of ongoing conflict between security sector personnel. Some specific issues include:</w:t>
      </w:r>
    </w:p>
    <w:p w14:paraId="0673270C" w14:textId="4277F0BE" w:rsidR="004C2E96" w:rsidRPr="00904896" w:rsidRDefault="004C2E96" w:rsidP="007701F5">
      <w:pPr>
        <w:pStyle w:val="ListParagraph"/>
        <w:numPr>
          <w:ilvl w:val="1"/>
          <w:numId w:val="50"/>
        </w:numPr>
        <w:spacing w:after="120" w:line="240" w:lineRule="auto"/>
      </w:pPr>
      <w:r w:rsidRPr="00904896">
        <w:t xml:space="preserve">Cross-agency coordination: sector agencies, like other Timor-Leste government agencies, lack a whole-of-government approach. This </w:t>
      </w:r>
      <w:r w:rsidR="00EC6970">
        <w:t xml:space="preserve">is </w:t>
      </w:r>
      <w:r w:rsidRPr="00904896">
        <w:t>particularly evident in the maritime sector and combatting transnational, serious and organised crime.</w:t>
      </w:r>
    </w:p>
    <w:p w14:paraId="0AADA4FF" w14:textId="77777777" w:rsidR="004C2E96" w:rsidRPr="00904896" w:rsidRDefault="004C2E96" w:rsidP="007701F5">
      <w:pPr>
        <w:pStyle w:val="ListParagraph"/>
        <w:numPr>
          <w:ilvl w:val="1"/>
          <w:numId w:val="50"/>
        </w:numPr>
        <w:spacing w:after="120" w:line="240" w:lineRule="auto"/>
      </w:pPr>
      <w:r w:rsidRPr="00904896">
        <w:t>Community outreach: the PNTL are feared by some in the community and seen as ineffective by others. This lack of community trust leads to barriers to accessing justice.</w:t>
      </w:r>
    </w:p>
    <w:p w14:paraId="429F6F80" w14:textId="5DACD40C" w:rsidR="004C2E96" w:rsidRPr="00904896" w:rsidRDefault="004C2E96" w:rsidP="007701F5">
      <w:pPr>
        <w:pStyle w:val="ListParagraph"/>
        <w:numPr>
          <w:ilvl w:val="1"/>
          <w:numId w:val="50"/>
        </w:numPr>
        <w:spacing w:after="120" w:line="240" w:lineRule="auto"/>
      </w:pPr>
      <w:r w:rsidRPr="00904896">
        <w:t>Next generation of leaders: there is a lack of longer-term mentoring and skills development to facilitate the next generation of leaders in Timor-Leste</w:t>
      </w:r>
      <w:r w:rsidR="00EC6970">
        <w:t xml:space="preserve">, </w:t>
      </w:r>
      <w:r w:rsidRPr="00904896">
        <w:t xml:space="preserve">particularly in the security sector. </w:t>
      </w:r>
    </w:p>
    <w:p w14:paraId="7985696C" w14:textId="01A53011" w:rsidR="004C2E96" w:rsidRPr="00904896" w:rsidRDefault="004C2E96" w:rsidP="007701F5">
      <w:pPr>
        <w:pStyle w:val="ListParagraph"/>
        <w:numPr>
          <w:ilvl w:val="1"/>
          <w:numId w:val="50"/>
        </w:numPr>
        <w:spacing w:after="120" w:line="240" w:lineRule="auto"/>
        <w:rPr>
          <w:sz w:val="20"/>
        </w:rPr>
      </w:pPr>
      <w:r w:rsidRPr="00904896">
        <w:t>Limited regional engagement: many regional law enforcement agencies engage through exchanges, conferences and regional training exercises. This lack of regional engagement and exchanges is limiting the sector’s exposure to best practice and building links with regional countries.</w:t>
      </w:r>
      <w:r w:rsidRPr="00904896">
        <w:rPr>
          <w:sz w:val="20"/>
        </w:rPr>
        <w:t xml:space="preserve"> </w:t>
      </w:r>
    </w:p>
    <w:p w14:paraId="28436E4E" w14:textId="77C98AB5" w:rsidR="004C2E96" w:rsidRPr="00904896" w:rsidRDefault="004C2E96" w:rsidP="007701F5">
      <w:pPr>
        <w:spacing w:after="120" w:line="240" w:lineRule="auto"/>
        <w:rPr>
          <w:rFonts w:cs="Arial"/>
          <w:szCs w:val="20"/>
        </w:rPr>
      </w:pPr>
      <w:r w:rsidRPr="00904896">
        <w:t xml:space="preserve">The </w:t>
      </w:r>
      <w:proofErr w:type="spellStart"/>
      <w:r w:rsidR="00557203" w:rsidRPr="00904896">
        <w:t>Go</w:t>
      </w:r>
      <w:r w:rsidRPr="00904896">
        <w:t>RDTL</w:t>
      </w:r>
      <w:proofErr w:type="spellEnd"/>
      <w:r w:rsidRPr="00904896">
        <w:t xml:space="preserve"> recognises that stability and security are necessary preconditions for economic and social development</w:t>
      </w:r>
      <w:r w:rsidR="00B10F2F" w:rsidRPr="00904896">
        <w:t>,</w:t>
      </w:r>
      <w:r w:rsidRPr="00904896">
        <w:t xml:space="preserve"> and the security sector has a crucial role to play in consolidating efforts to: ensure stability; guarantee the rule of law; and promote accountability and transparency. The sector is recognised as a national priority</w:t>
      </w:r>
      <w:r w:rsidRPr="00904896">
        <w:rPr>
          <w:rFonts w:cs="Arial"/>
          <w:szCs w:val="20"/>
        </w:rPr>
        <w:t xml:space="preserve"> in the </w:t>
      </w:r>
      <w:r w:rsidRPr="00904896">
        <w:rPr>
          <w:rFonts w:cs="Arial"/>
          <w:i/>
          <w:szCs w:val="20"/>
        </w:rPr>
        <w:t xml:space="preserve">Strategic Development Plan 2011-2030 </w:t>
      </w:r>
      <w:r w:rsidRPr="00904896">
        <w:rPr>
          <w:rFonts w:cs="Arial"/>
          <w:szCs w:val="20"/>
        </w:rPr>
        <w:t xml:space="preserve">(SDP) and security and justice are two of the five pillars of the Peacebuilding and </w:t>
      </w:r>
      <w:proofErr w:type="spellStart"/>
      <w:r w:rsidRPr="00904896">
        <w:rPr>
          <w:rFonts w:cs="Arial"/>
          <w:szCs w:val="20"/>
        </w:rPr>
        <w:t>Statebuilding</w:t>
      </w:r>
      <w:proofErr w:type="spellEnd"/>
      <w:r w:rsidRPr="00904896">
        <w:rPr>
          <w:rFonts w:cs="Arial"/>
          <w:szCs w:val="20"/>
        </w:rPr>
        <w:t xml:space="preserve"> Goals under the </w:t>
      </w:r>
      <w:r w:rsidRPr="00904896">
        <w:rPr>
          <w:rFonts w:cs="Arial"/>
          <w:i/>
          <w:szCs w:val="20"/>
        </w:rPr>
        <w:t>New Deal</w:t>
      </w:r>
      <w:r w:rsidRPr="00904896">
        <w:rPr>
          <w:rFonts w:cs="Arial"/>
          <w:szCs w:val="20"/>
        </w:rPr>
        <w:t xml:space="preserve"> adopted by the G7+ fragile states.</w:t>
      </w:r>
      <w:r w:rsidRPr="00904896">
        <w:rPr>
          <w:rStyle w:val="FootnoteReference"/>
          <w:rFonts w:cs="Arial"/>
          <w:szCs w:val="20"/>
        </w:rPr>
        <w:footnoteReference w:id="12"/>
      </w:r>
      <w:r w:rsidRPr="00904896">
        <w:rPr>
          <w:rFonts w:cs="Arial"/>
          <w:szCs w:val="20"/>
        </w:rPr>
        <w:t xml:space="preserve"> The </w:t>
      </w:r>
      <w:r w:rsidRPr="00904896">
        <w:rPr>
          <w:rFonts w:cs="Arial"/>
          <w:i/>
          <w:szCs w:val="20"/>
        </w:rPr>
        <w:t>Justice Sector Strategic Plan 2011 – 2030</w:t>
      </w:r>
      <w:r w:rsidRPr="00904896">
        <w:rPr>
          <w:rFonts w:cs="Arial"/>
          <w:szCs w:val="20"/>
        </w:rPr>
        <w:t xml:space="preserve"> (JSSP) and goals of the Security Reform Sub-Sector also set out visions to build a justice system that: ensures the rights and freedoms of citizens; serves the values and culture of Timor-Leste; and enjoys the confidence of the Timorese people.</w:t>
      </w:r>
      <w:r w:rsidRPr="00904896">
        <w:rPr>
          <w:rStyle w:val="FootnoteReference"/>
          <w:rFonts w:cs="Arial"/>
          <w:szCs w:val="20"/>
        </w:rPr>
        <w:footnoteReference w:id="13"/>
      </w:r>
    </w:p>
    <w:p w14:paraId="0CE15872" w14:textId="07FDB049" w:rsidR="00A01F08" w:rsidRPr="00AE209B" w:rsidRDefault="00D6523B" w:rsidP="00D6523B">
      <w:pPr>
        <w:pStyle w:val="Heading3"/>
        <w:numPr>
          <w:ilvl w:val="2"/>
          <w:numId w:val="61"/>
        </w:numPr>
        <w:spacing w:before="0" w:after="120" w:line="240" w:lineRule="auto"/>
        <w:ind w:left="567" w:hanging="567"/>
      </w:pPr>
      <w:r>
        <w:lastRenderedPageBreak/>
        <w:t xml:space="preserve"> </w:t>
      </w:r>
      <w:bookmarkStart w:id="35" w:name="_Toc516189336"/>
      <w:r w:rsidR="00372176">
        <w:t>Policing C</w:t>
      </w:r>
      <w:r w:rsidR="00A01F08" w:rsidRPr="00AE209B">
        <w:t>ontext</w:t>
      </w:r>
      <w:bookmarkEnd w:id="35"/>
    </w:p>
    <w:p w14:paraId="3C0AC636" w14:textId="0345967E" w:rsidR="00A01F08" w:rsidRPr="00904896" w:rsidRDefault="00A01F08" w:rsidP="007701F5">
      <w:pPr>
        <w:spacing w:after="120" w:line="240" w:lineRule="auto"/>
        <w:rPr>
          <w:rFonts w:asciiTheme="majorHAnsi" w:eastAsiaTheme="minorHAnsi" w:hAnsiTheme="majorHAnsi"/>
        </w:rPr>
      </w:pPr>
      <w:r w:rsidRPr="00904896">
        <w:rPr>
          <w:rFonts w:asciiTheme="majorHAnsi" w:hAnsiTheme="majorHAnsi"/>
        </w:rPr>
        <w:t>The PNTL was established in 200</w:t>
      </w:r>
      <w:r w:rsidR="00557203" w:rsidRPr="00904896">
        <w:rPr>
          <w:rFonts w:asciiTheme="majorHAnsi" w:hAnsiTheme="majorHAnsi"/>
        </w:rPr>
        <w:t>2</w:t>
      </w:r>
      <w:r w:rsidRPr="00904896">
        <w:rPr>
          <w:rFonts w:asciiTheme="majorHAnsi" w:hAnsiTheme="majorHAnsi"/>
        </w:rPr>
        <w:t xml:space="preserve"> with the support of the </w:t>
      </w:r>
      <w:r w:rsidR="00AE209B" w:rsidRPr="00904896">
        <w:rPr>
          <w:rFonts w:asciiTheme="majorHAnsi" w:hAnsiTheme="majorHAnsi"/>
          <w:i/>
        </w:rPr>
        <w:t>United Nations Transitional Administration in East Timor</w:t>
      </w:r>
      <w:r w:rsidR="00AE209B" w:rsidRPr="00904896">
        <w:rPr>
          <w:rFonts w:asciiTheme="majorHAnsi" w:hAnsiTheme="majorHAnsi"/>
        </w:rPr>
        <w:t xml:space="preserve"> (</w:t>
      </w:r>
      <w:r w:rsidRPr="00904896">
        <w:rPr>
          <w:rFonts w:asciiTheme="majorHAnsi" w:hAnsiTheme="majorHAnsi"/>
        </w:rPr>
        <w:t>UNTAET</w:t>
      </w:r>
      <w:r w:rsidR="00AE209B" w:rsidRPr="00904896">
        <w:rPr>
          <w:rFonts w:asciiTheme="majorHAnsi" w:hAnsiTheme="majorHAnsi"/>
        </w:rPr>
        <w:t>)</w:t>
      </w:r>
      <w:r w:rsidRPr="00904896">
        <w:rPr>
          <w:rFonts w:asciiTheme="majorHAnsi" w:hAnsiTheme="majorHAnsi"/>
        </w:rPr>
        <w:t>. The development of the PNTL since 2006, led largely by the international community, has centred on: building institutional structures; vetting potential officers and leaders; and developing individual capacity through training and mentoring</w:t>
      </w:r>
      <w:r w:rsidRPr="00904896">
        <w:rPr>
          <w:rStyle w:val="A3"/>
          <w:rFonts w:asciiTheme="majorHAnsi" w:hAnsiTheme="majorHAnsi"/>
          <w:sz w:val="22"/>
          <w:szCs w:val="22"/>
        </w:rPr>
        <w:t>.</w:t>
      </w:r>
      <w:r w:rsidRPr="00904896">
        <w:rPr>
          <w:rStyle w:val="FootnoteReference"/>
          <w:rFonts w:asciiTheme="majorHAnsi" w:hAnsiTheme="majorHAnsi" w:cs="Source Sans Pro"/>
          <w:color w:val="000000"/>
        </w:rPr>
        <w:footnoteReference w:id="14"/>
      </w:r>
      <w:r w:rsidRPr="00904896">
        <w:rPr>
          <w:rStyle w:val="A3"/>
          <w:rFonts w:asciiTheme="majorHAnsi" w:hAnsiTheme="majorHAnsi"/>
          <w:sz w:val="22"/>
          <w:szCs w:val="22"/>
        </w:rPr>
        <w:t xml:space="preserve"> </w:t>
      </w:r>
      <w:r w:rsidRPr="00904896">
        <w:rPr>
          <w:rFonts w:asciiTheme="majorHAnsi" w:hAnsiTheme="majorHAnsi"/>
        </w:rPr>
        <w:t>T</w:t>
      </w:r>
      <w:r w:rsidRPr="00904896">
        <w:rPr>
          <w:rFonts w:asciiTheme="majorHAnsi" w:eastAsiaTheme="minorHAnsi" w:hAnsiTheme="majorHAnsi"/>
        </w:rPr>
        <w:t xml:space="preserve">he PNTL has faced significant internal and operational challenges, particularly given the legacy of community mistrust of uniformed personnel in Timor-Leste.  </w:t>
      </w:r>
    </w:p>
    <w:p w14:paraId="0462D352" w14:textId="24F21950" w:rsidR="00A01F08" w:rsidRPr="00904896" w:rsidRDefault="00A01F08" w:rsidP="007701F5">
      <w:pPr>
        <w:spacing w:after="120" w:line="240" w:lineRule="auto"/>
        <w:rPr>
          <w:rFonts w:asciiTheme="majorHAnsi" w:hAnsiTheme="majorHAnsi" w:cs="Arial"/>
        </w:rPr>
      </w:pPr>
      <w:proofErr w:type="gramStart"/>
      <w:r w:rsidRPr="00904896">
        <w:rPr>
          <w:rFonts w:asciiTheme="majorHAnsi" w:hAnsiTheme="majorHAnsi"/>
        </w:rPr>
        <w:t>A number of</w:t>
      </w:r>
      <w:proofErr w:type="gramEnd"/>
      <w:r w:rsidRPr="00904896">
        <w:rPr>
          <w:rFonts w:asciiTheme="majorHAnsi" w:hAnsiTheme="majorHAnsi"/>
        </w:rPr>
        <w:t xml:space="preserve"> stakeholders suggest the </w:t>
      </w:r>
      <w:r w:rsidRPr="00904896">
        <w:rPr>
          <w:rFonts w:asciiTheme="majorHAnsi" w:hAnsiTheme="majorHAnsi" w:cs="Arial"/>
        </w:rPr>
        <w:t>PNTL is still limited in their ability to deliver professional policing services that meet community needs.</w:t>
      </w:r>
      <w:r w:rsidRPr="00904896">
        <w:rPr>
          <w:rStyle w:val="FootnoteReference"/>
          <w:rFonts w:asciiTheme="majorHAnsi" w:hAnsiTheme="majorHAnsi" w:cs="Arial"/>
        </w:rPr>
        <w:footnoteReference w:id="15"/>
      </w:r>
      <w:r w:rsidRPr="00904896">
        <w:rPr>
          <w:rFonts w:asciiTheme="majorHAnsi" w:hAnsiTheme="majorHAnsi" w:cs="Arial"/>
        </w:rPr>
        <w:t xml:space="preserve"> A recent report by the Asia Foundation stated the ‘PNTL is still a nascent institution with limited experience, resources, institutional systems, and procedures to adequately address local security needs.’</w:t>
      </w:r>
      <w:r w:rsidRPr="00904896">
        <w:rPr>
          <w:rFonts w:asciiTheme="majorHAnsi" w:hAnsiTheme="majorHAnsi" w:cs="Arial"/>
          <w:vertAlign w:val="superscript"/>
        </w:rPr>
        <w:footnoteReference w:id="16"/>
      </w:r>
      <w:r w:rsidRPr="00904896">
        <w:rPr>
          <w:rFonts w:asciiTheme="majorHAnsi" w:hAnsiTheme="majorHAnsi" w:cs="Arial"/>
        </w:rPr>
        <w:t xml:space="preserve"> </w:t>
      </w:r>
    </w:p>
    <w:p w14:paraId="7288CD57" w14:textId="3E9A0517" w:rsidR="00AE209B" w:rsidRPr="00904896" w:rsidRDefault="00AE209B" w:rsidP="007701F5">
      <w:pPr>
        <w:spacing w:after="120" w:line="240" w:lineRule="auto"/>
        <w:rPr>
          <w:rFonts w:asciiTheme="majorHAnsi" w:hAnsiTheme="majorHAnsi" w:cs="Arial"/>
        </w:rPr>
      </w:pPr>
      <w:r w:rsidRPr="00904896">
        <w:rPr>
          <w:rFonts w:asciiTheme="majorHAnsi" w:hAnsiTheme="majorHAnsi"/>
        </w:rPr>
        <w:t xml:space="preserve">According to the 2015 survey of community-police perceptions, </w:t>
      </w:r>
      <w:r w:rsidRPr="00904896">
        <w:rPr>
          <w:rFonts w:asciiTheme="majorHAnsi" w:eastAsiaTheme="minorHAnsi" w:hAnsiTheme="majorHAnsi"/>
        </w:rPr>
        <w:t>citizens have little confidence in the PNTL’s capacity to prevent crimes from escalating from minor to more serious incidents. Furthermore, a third of citizens do not trust PNTL officers will not abuse their position of power to serve their own interests and almost one in five citizens does not trust the PNTL will not physically abuse them.</w:t>
      </w:r>
      <w:r w:rsidRPr="00904896">
        <w:rPr>
          <w:rStyle w:val="FootnoteReference"/>
          <w:rFonts w:asciiTheme="majorHAnsi" w:eastAsiaTheme="minorHAnsi" w:hAnsiTheme="majorHAnsi"/>
        </w:rPr>
        <w:footnoteReference w:id="17"/>
      </w:r>
    </w:p>
    <w:p w14:paraId="2DC7F2D5" w14:textId="77777777" w:rsidR="00AE209B" w:rsidRPr="00904896" w:rsidRDefault="00A01F08" w:rsidP="007701F5">
      <w:pPr>
        <w:spacing w:after="120" w:line="240" w:lineRule="auto"/>
        <w:rPr>
          <w:rFonts w:asciiTheme="majorHAnsi" w:hAnsiTheme="majorHAnsi" w:cs="Arial"/>
        </w:rPr>
      </w:pPr>
      <w:r w:rsidRPr="00904896">
        <w:rPr>
          <w:rFonts w:asciiTheme="majorHAnsi" w:hAnsiTheme="majorHAnsi"/>
        </w:rPr>
        <w:t>Some internal challenges for the PNTL include:</w:t>
      </w:r>
      <w:r w:rsidRPr="00904896">
        <w:rPr>
          <w:rFonts w:asciiTheme="majorHAnsi" w:hAnsiTheme="majorHAnsi" w:cs="Arial"/>
        </w:rPr>
        <w:t xml:space="preserve"> </w:t>
      </w:r>
    </w:p>
    <w:p w14:paraId="734395DA" w14:textId="188CC7D8" w:rsidR="00AE209B" w:rsidRPr="00904896" w:rsidRDefault="00AE209B" w:rsidP="007701F5">
      <w:pPr>
        <w:pStyle w:val="ListParagraph"/>
        <w:numPr>
          <w:ilvl w:val="0"/>
          <w:numId w:val="51"/>
        </w:numPr>
        <w:spacing w:after="120" w:line="240" w:lineRule="auto"/>
        <w:rPr>
          <w:rFonts w:asciiTheme="majorHAnsi" w:hAnsiTheme="majorHAnsi" w:cs="Arial"/>
        </w:rPr>
      </w:pPr>
      <w:r w:rsidRPr="00904896">
        <w:rPr>
          <w:rFonts w:asciiTheme="majorHAnsi" w:hAnsiTheme="majorHAnsi" w:cs="Arial"/>
        </w:rPr>
        <w:t>A</w:t>
      </w:r>
      <w:r w:rsidR="00A01F08" w:rsidRPr="00904896">
        <w:rPr>
          <w:rFonts w:asciiTheme="majorHAnsi" w:hAnsiTheme="majorHAnsi" w:cs="Arial"/>
        </w:rPr>
        <w:t xml:space="preserve"> </w:t>
      </w:r>
      <w:r w:rsidR="001458B4">
        <w:rPr>
          <w:rFonts w:asciiTheme="majorHAnsi" w:hAnsiTheme="majorHAnsi" w:cs="Arial"/>
        </w:rPr>
        <w:t>disjointed</w:t>
      </w:r>
      <w:r w:rsidR="00A2714E">
        <w:rPr>
          <w:rFonts w:asciiTheme="majorHAnsi" w:hAnsiTheme="majorHAnsi" w:cs="Arial"/>
        </w:rPr>
        <w:t xml:space="preserve"> </w:t>
      </w:r>
      <w:r w:rsidR="00A01F08" w:rsidRPr="00904896">
        <w:rPr>
          <w:rFonts w:asciiTheme="majorHAnsi" w:hAnsiTheme="majorHAnsi" w:cs="Arial"/>
        </w:rPr>
        <w:t>command structure</w:t>
      </w:r>
      <w:r w:rsidRPr="00904896">
        <w:rPr>
          <w:rFonts w:asciiTheme="majorHAnsi" w:hAnsiTheme="majorHAnsi" w:cs="Arial"/>
        </w:rPr>
        <w:t xml:space="preserve"> and blurred reporting lines leading to poor management practices and lack of </w:t>
      </w:r>
      <w:proofErr w:type="gramStart"/>
      <w:r w:rsidRPr="00904896">
        <w:rPr>
          <w:rFonts w:asciiTheme="majorHAnsi" w:hAnsiTheme="majorHAnsi" w:cs="Arial"/>
        </w:rPr>
        <w:t>cooperation;</w:t>
      </w:r>
      <w:proofErr w:type="gramEnd"/>
    </w:p>
    <w:p w14:paraId="50BC0719" w14:textId="47CDA96C" w:rsidR="00AE209B" w:rsidRPr="00904896" w:rsidRDefault="00AE209B" w:rsidP="007701F5">
      <w:pPr>
        <w:pStyle w:val="ListParagraph"/>
        <w:numPr>
          <w:ilvl w:val="0"/>
          <w:numId w:val="51"/>
        </w:numPr>
        <w:spacing w:after="120" w:line="240" w:lineRule="auto"/>
        <w:rPr>
          <w:rFonts w:asciiTheme="majorHAnsi" w:hAnsiTheme="majorHAnsi" w:cs="Arial"/>
        </w:rPr>
      </w:pPr>
      <w:r w:rsidRPr="00904896">
        <w:rPr>
          <w:rFonts w:asciiTheme="majorHAnsi" w:hAnsiTheme="majorHAnsi" w:cs="Arial"/>
        </w:rPr>
        <w:t>I</w:t>
      </w:r>
      <w:r w:rsidR="00A01F08" w:rsidRPr="00904896">
        <w:rPr>
          <w:rFonts w:asciiTheme="majorHAnsi" w:hAnsiTheme="majorHAnsi" w:cs="Arial"/>
        </w:rPr>
        <w:t xml:space="preserve">ncomplete linking of budget and </w:t>
      </w:r>
      <w:proofErr w:type="gramStart"/>
      <w:r w:rsidR="00A01F08" w:rsidRPr="00904896">
        <w:rPr>
          <w:rFonts w:asciiTheme="majorHAnsi" w:hAnsiTheme="majorHAnsi" w:cs="Arial"/>
        </w:rPr>
        <w:t>expenditure</w:t>
      </w:r>
      <w:r w:rsidR="00E867E7" w:rsidRPr="00904896">
        <w:rPr>
          <w:rFonts w:asciiTheme="majorHAnsi" w:hAnsiTheme="majorHAnsi" w:cs="Arial"/>
        </w:rPr>
        <w:t>;</w:t>
      </w:r>
      <w:proofErr w:type="gramEnd"/>
      <w:r w:rsidR="00E867E7" w:rsidRPr="00904896">
        <w:rPr>
          <w:rFonts w:asciiTheme="majorHAnsi" w:hAnsiTheme="majorHAnsi" w:cs="Arial"/>
        </w:rPr>
        <w:t xml:space="preserve"> </w:t>
      </w:r>
    </w:p>
    <w:p w14:paraId="40E4FFFA" w14:textId="37E96E60" w:rsidR="00AE209B" w:rsidRPr="00904896" w:rsidRDefault="00E867E7" w:rsidP="007701F5">
      <w:pPr>
        <w:pStyle w:val="ListParagraph"/>
        <w:numPr>
          <w:ilvl w:val="0"/>
          <w:numId w:val="51"/>
        </w:numPr>
        <w:spacing w:after="120" w:line="240" w:lineRule="auto"/>
        <w:rPr>
          <w:rFonts w:asciiTheme="majorHAnsi" w:hAnsiTheme="majorHAnsi" w:cs="Arial"/>
        </w:rPr>
      </w:pPr>
      <w:r w:rsidRPr="00904896">
        <w:rPr>
          <w:rFonts w:asciiTheme="majorHAnsi" w:hAnsiTheme="majorHAnsi" w:cs="Arial"/>
        </w:rPr>
        <w:t>N</w:t>
      </w:r>
      <w:r w:rsidR="00A01F08" w:rsidRPr="00904896">
        <w:rPr>
          <w:rFonts w:asciiTheme="majorHAnsi" w:hAnsiTheme="majorHAnsi" w:cs="Arial"/>
        </w:rPr>
        <w:t>on-competitive tendering</w:t>
      </w:r>
      <w:r w:rsidR="00AE209B" w:rsidRPr="00904896">
        <w:rPr>
          <w:rFonts w:asciiTheme="majorHAnsi" w:hAnsiTheme="majorHAnsi" w:cs="Arial"/>
        </w:rPr>
        <w:t>;</w:t>
      </w:r>
      <w:r w:rsidR="00A01F08" w:rsidRPr="00904896">
        <w:rPr>
          <w:rFonts w:asciiTheme="majorHAnsi" w:hAnsiTheme="majorHAnsi" w:cs="Arial"/>
        </w:rPr>
        <w:t xml:space="preserve"> and </w:t>
      </w:r>
    </w:p>
    <w:p w14:paraId="5E51B220" w14:textId="7D0231C5" w:rsidR="00A01F08" w:rsidRPr="00904896" w:rsidRDefault="00E867E7" w:rsidP="007701F5">
      <w:pPr>
        <w:pStyle w:val="ListParagraph"/>
        <w:numPr>
          <w:ilvl w:val="0"/>
          <w:numId w:val="51"/>
        </w:numPr>
        <w:spacing w:after="120" w:line="240" w:lineRule="auto"/>
        <w:rPr>
          <w:rFonts w:asciiTheme="majorHAnsi" w:hAnsiTheme="majorHAnsi" w:cs="Arial"/>
        </w:rPr>
      </w:pPr>
      <w:r w:rsidRPr="00904896">
        <w:rPr>
          <w:rFonts w:asciiTheme="majorHAnsi" w:hAnsiTheme="majorHAnsi" w:cs="Arial"/>
        </w:rPr>
        <w:t>A</w:t>
      </w:r>
      <w:r w:rsidR="00A01F08" w:rsidRPr="00904896">
        <w:rPr>
          <w:rFonts w:asciiTheme="majorHAnsi" w:hAnsiTheme="majorHAnsi" w:cs="Arial"/>
        </w:rPr>
        <w:t xml:space="preserve"> lack of systems and personal accountability</w:t>
      </w:r>
      <w:r w:rsidR="00AE209B" w:rsidRPr="00904896">
        <w:rPr>
          <w:rFonts w:asciiTheme="majorHAnsi" w:hAnsiTheme="majorHAnsi" w:cs="Arial"/>
        </w:rPr>
        <w:t xml:space="preserve"> that leads to </w:t>
      </w:r>
      <w:r w:rsidR="00A2714E">
        <w:rPr>
          <w:rFonts w:asciiTheme="majorHAnsi" w:hAnsiTheme="majorHAnsi" w:cs="Arial"/>
        </w:rPr>
        <w:t>reduced</w:t>
      </w:r>
      <w:r w:rsidRPr="00904896">
        <w:rPr>
          <w:rFonts w:asciiTheme="majorHAnsi" w:hAnsiTheme="majorHAnsi" w:cs="Arial"/>
        </w:rPr>
        <w:t xml:space="preserve"> transparency and reputational damage. </w:t>
      </w:r>
    </w:p>
    <w:p w14:paraId="3DD3400A" w14:textId="43ACD586" w:rsidR="00A01F08" w:rsidRPr="00904896" w:rsidRDefault="00A01F08" w:rsidP="007701F5">
      <w:pPr>
        <w:spacing w:after="120" w:line="240" w:lineRule="auto"/>
        <w:rPr>
          <w:rFonts w:asciiTheme="majorHAnsi" w:eastAsiaTheme="minorHAnsi" w:hAnsiTheme="majorHAnsi" w:cs="LucidaSans"/>
        </w:rPr>
      </w:pPr>
      <w:r w:rsidRPr="00904896">
        <w:rPr>
          <w:rFonts w:asciiTheme="majorHAnsi" w:eastAsiaTheme="minorHAnsi" w:hAnsiTheme="majorHAnsi"/>
        </w:rPr>
        <w:t>While these challenges continue to hamper the effectiveness of the organisation progress has been</w:t>
      </w:r>
      <w:r w:rsidRPr="00904896">
        <w:rPr>
          <w:rStyle w:val="A3"/>
          <w:rFonts w:asciiTheme="majorHAnsi" w:hAnsiTheme="majorHAnsi"/>
          <w:sz w:val="22"/>
          <w:szCs w:val="22"/>
        </w:rPr>
        <w:t xml:space="preserve"> made</w:t>
      </w:r>
      <w:r w:rsidRPr="00904896">
        <w:rPr>
          <w:rFonts w:asciiTheme="majorHAnsi" w:eastAsiaTheme="minorHAnsi" w:hAnsiTheme="majorHAnsi" w:cs="LucidaSans"/>
        </w:rPr>
        <w:t>.</w:t>
      </w:r>
      <w:r w:rsidRPr="00904896">
        <w:rPr>
          <w:rStyle w:val="FootnoteReference"/>
          <w:rFonts w:asciiTheme="majorHAnsi" w:eastAsiaTheme="minorHAnsi" w:hAnsiTheme="majorHAnsi" w:cs="LucidaSans"/>
        </w:rPr>
        <w:footnoteReference w:id="18"/>
      </w:r>
      <w:r w:rsidRPr="00904896">
        <w:rPr>
          <w:rFonts w:asciiTheme="majorHAnsi" w:eastAsiaTheme="minorHAnsi" w:hAnsiTheme="majorHAnsi" w:cs="LucidaSans"/>
        </w:rPr>
        <w:t xml:space="preserve"> </w:t>
      </w:r>
      <w:r w:rsidR="005A3CA2" w:rsidRPr="00904896">
        <w:rPr>
          <w:rFonts w:asciiTheme="majorHAnsi" w:eastAsiaTheme="minorHAnsi" w:hAnsiTheme="majorHAnsi" w:cs="LucidaSans"/>
        </w:rPr>
        <w:t>The PNTL has demonstrated increased capacity to lead its own development and operate without external assistance</w:t>
      </w:r>
      <w:r w:rsidR="00682E1A" w:rsidRPr="00904896">
        <w:rPr>
          <w:rFonts w:asciiTheme="majorHAnsi" w:eastAsiaTheme="minorHAnsi" w:hAnsiTheme="majorHAnsi" w:cs="LucidaSans"/>
        </w:rPr>
        <w:t>.</w:t>
      </w:r>
      <w:r w:rsidR="00682E1A" w:rsidRPr="00904896">
        <w:rPr>
          <w:rStyle w:val="FootnoteReference"/>
          <w:rFonts w:asciiTheme="majorHAnsi" w:eastAsiaTheme="minorHAnsi" w:hAnsiTheme="majorHAnsi" w:cs="LucidaSans"/>
        </w:rPr>
        <w:footnoteReference w:id="19"/>
      </w:r>
      <w:r w:rsidR="00682E1A" w:rsidRPr="00904896">
        <w:rPr>
          <w:rFonts w:asciiTheme="majorHAnsi" w:eastAsiaTheme="minorHAnsi" w:hAnsiTheme="majorHAnsi" w:cs="LucidaSans"/>
        </w:rPr>
        <w:t xml:space="preserve"> </w:t>
      </w:r>
      <w:r w:rsidRPr="00904896">
        <w:rPr>
          <w:rFonts w:asciiTheme="majorHAnsi" w:hAnsiTheme="majorHAnsi" w:cs="Arial"/>
        </w:rPr>
        <w:t>The PNTL is developing a new strategic plan for 2019 to 2030. The plan will focus on effective operational capacity (such as investigations), encouraging a community policing model and institutional strengthening. There are also some improvements in community-police perceptions when compared to 2013 survey results.</w:t>
      </w:r>
      <w:r w:rsidRPr="00904896">
        <w:rPr>
          <w:rStyle w:val="FootnoteReference"/>
          <w:rFonts w:asciiTheme="majorHAnsi" w:hAnsiTheme="majorHAnsi" w:cs="Arial"/>
        </w:rPr>
        <w:footnoteReference w:id="20"/>
      </w:r>
    </w:p>
    <w:p w14:paraId="385279C2" w14:textId="724E9D4B" w:rsidR="00DE57BB" w:rsidRPr="00904896" w:rsidRDefault="00D6523B" w:rsidP="00D6523B">
      <w:pPr>
        <w:pStyle w:val="Heading3"/>
        <w:numPr>
          <w:ilvl w:val="2"/>
          <w:numId w:val="61"/>
        </w:numPr>
        <w:spacing w:before="0" w:after="120" w:line="240" w:lineRule="auto"/>
        <w:ind w:left="567" w:hanging="567"/>
      </w:pPr>
      <w:r>
        <w:t xml:space="preserve"> </w:t>
      </w:r>
      <w:bookmarkStart w:id="36" w:name="_Toc516189337"/>
      <w:r w:rsidR="00DE57BB" w:rsidRPr="00904896">
        <w:t xml:space="preserve">Governance across the </w:t>
      </w:r>
      <w:proofErr w:type="spellStart"/>
      <w:r w:rsidR="00DE57BB" w:rsidRPr="00904896">
        <w:t>GoDRTL</w:t>
      </w:r>
      <w:proofErr w:type="spellEnd"/>
      <w:r w:rsidR="00DE57BB" w:rsidRPr="00904896">
        <w:t xml:space="preserve"> and PNTL</w:t>
      </w:r>
      <w:bookmarkEnd w:id="36"/>
    </w:p>
    <w:p w14:paraId="139A474F" w14:textId="77777777" w:rsidR="00DE57BB" w:rsidRPr="00904896" w:rsidRDefault="00DE57BB" w:rsidP="007701F5">
      <w:pPr>
        <w:spacing w:after="120" w:line="240" w:lineRule="auto"/>
        <w:rPr>
          <w:rFonts w:asciiTheme="majorHAnsi" w:hAnsiTheme="majorHAnsi"/>
        </w:rPr>
      </w:pPr>
      <w:r w:rsidRPr="00904896">
        <w:rPr>
          <w:rFonts w:asciiTheme="majorHAnsi" w:hAnsiTheme="majorHAnsi"/>
        </w:rPr>
        <w:t xml:space="preserve">Although the </w:t>
      </w:r>
      <w:bookmarkStart w:id="37" w:name="_Hlk511299432"/>
      <w:proofErr w:type="spellStart"/>
      <w:r w:rsidRPr="00904896">
        <w:rPr>
          <w:rFonts w:asciiTheme="majorHAnsi" w:hAnsiTheme="majorHAnsi"/>
        </w:rPr>
        <w:t>GoDRTL</w:t>
      </w:r>
      <w:bookmarkEnd w:id="37"/>
      <w:proofErr w:type="spellEnd"/>
      <w:r w:rsidRPr="00904896">
        <w:rPr>
          <w:rFonts w:asciiTheme="majorHAnsi" w:hAnsiTheme="majorHAnsi"/>
        </w:rPr>
        <w:t xml:space="preserve"> has made progress in strengthening its public sector, broad governance and capacity constraints continue to limit their institutions’ ability to deliver services, including the PNTL. The </w:t>
      </w:r>
      <w:proofErr w:type="spellStart"/>
      <w:r w:rsidRPr="00904896">
        <w:rPr>
          <w:rFonts w:asciiTheme="majorHAnsi" w:hAnsiTheme="majorHAnsi"/>
        </w:rPr>
        <w:t>GoDRTL</w:t>
      </w:r>
      <w:proofErr w:type="spellEnd"/>
      <w:r w:rsidRPr="00904896">
        <w:rPr>
          <w:rFonts w:asciiTheme="majorHAnsi" w:hAnsiTheme="majorHAnsi"/>
        </w:rPr>
        <w:t xml:space="preserve"> has a centralised system for core functions, including financial management and budget determination, managing the workforce and construction of infrastructure. </w:t>
      </w:r>
    </w:p>
    <w:p w14:paraId="20AE6C68" w14:textId="2C24AD74" w:rsidR="00DE57BB" w:rsidRPr="00904896" w:rsidRDefault="00DE57BB" w:rsidP="007701F5">
      <w:pPr>
        <w:spacing w:after="120" w:line="240" w:lineRule="auto"/>
        <w:rPr>
          <w:rFonts w:asciiTheme="majorHAnsi" w:hAnsiTheme="majorHAnsi"/>
        </w:rPr>
      </w:pPr>
      <w:r w:rsidRPr="00904896">
        <w:rPr>
          <w:rFonts w:asciiTheme="majorHAnsi" w:hAnsiTheme="majorHAnsi"/>
        </w:rPr>
        <w:t xml:space="preserve">The </w:t>
      </w:r>
      <w:proofErr w:type="spellStart"/>
      <w:r w:rsidRPr="00904896">
        <w:rPr>
          <w:rFonts w:asciiTheme="majorHAnsi" w:hAnsiTheme="majorHAnsi"/>
        </w:rPr>
        <w:t>GoDRTL</w:t>
      </w:r>
      <w:proofErr w:type="spellEnd"/>
      <w:r w:rsidRPr="00904896">
        <w:rPr>
          <w:rFonts w:asciiTheme="majorHAnsi" w:hAnsiTheme="majorHAnsi"/>
        </w:rPr>
        <w:t xml:space="preserve"> is committed to reforming governance across the public service, acknowledging that </w:t>
      </w:r>
      <w:r w:rsidR="00E867E7" w:rsidRPr="00904896">
        <w:rPr>
          <w:rFonts w:asciiTheme="majorHAnsi" w:hAnsiTheme="majorHAnsi"/>
        </w:rPr>
        <w:t>‘</w:t>
      </w:r>
      <w:r w:rsidRPr="00904896">
        <w:rPr>
          <w:rFonts w:asciiTheme="majorHAnsi" w:hAnsiTheme="majorHAnsi"/>
        </w:rPr>
        <w:t xml:space="preserve">good governance and a professional, capable and responsive public sector are essential for the delivery of government services and the implementation of the Strategic Development </w:t>
      </w:r>
      <w:r w:rsidRPr="00904896">
        <w:rPr>
          <w:rFonts w:asciiTheme="majorHAnsi" w:hAnsiTheme="majorHAnsi"/>
        </w:rPr>
        <w:lastRenderedPageBreak/>
        <w:t>Plan.</w:t>
      </w:r>
      <w:r w:rsidR="00E867E7" w:rsidRPr="00904896">
        <w:rPr>
          <w:rFonts w:asciiTheme="majorHAnsi" w:hAnsiTheme="majorHAnsi"/>
        </w:rPr>
        <w:t>’</w:t>
      </w:r>
      <w:r w:rsidRPr="00904896">
        <w:rPr>
          <w:rStyle w:val="FootnoteReference"/>
          <w:rFonts w:asciiTheme="majorHAnsi" w:hAnsiTheme="majorHAnsi"/>
        </w:rPr>
        <w:footnoteReference w:id="21"/>
      </w:r>
      <w:r w:rsidRPr="00904896">
        <w:rPr>
          <w:rFonts w:asciiTheme="majorHAnsi" w:hAnsiTheme="majorHAnsi"/>
        </w:rPr>
        <w:t xml:space="preserve">  These functions require further development across the </w:t>
      </w:r>
      <w:proofErr w:type="spellStart"/>
      <w:r w:rsidRPr="00904896">
        <w:rPr>
          <w:rFonts w:asciiTheme="majorHAnsi" w:hAnsiTheme="majorHAnsi"/>
        </w:rPr>
        <w:t>GoDRTL</w:t>
      </w:r>
      <w:proofErr w:type="spellEnd"/>
      <w:r w:rsidRPr="00904896">
        <w:rPr>
          <w:rFonts w:asciiTheme="majorHAnsi" w:hAnsiTheme="majorHAnsi"/>
        </w:rPr>
        <w:t xml:space="preserve"> to ensure Timor-Leste remains on their path to development.</w:t>
      </w:r>
      <w:r w:rsidRPr="00904896">
        <w:rPr>
          <w:rStyle w:val="FootnoteReference"/>
          <w:rFonts w:asciiTheme="majorHAnsi" w:hAnsiTheme="majorHAnsi"/>
        </w:rPr>
        <w:t xml:space="preserve"> </w:t>
      </w:r>
      <w:r w:rsidRPr="00904896">
        <w:rPr>
          <w:rStyle w:val="FootnoteReference"/>
          <w:rFonts w:asciiTheme="majorHAnsi" w:hAnsiTheme="majorHAnsi"/>
        </w:rPr>
        <w:footnoteReference w:id="22"/>
      </w:r>
      <w:r w:rsidRPr="00904896">
        <w:rPr>
          <w:rFonts w:asciiTheme="majorHAnsi" w:hAnsiTheme="majorHAnsi"/>
        </w:rPr>
        <w:t xml:space="preserve">  </w:t>
      </w:r>
    </w:p>
    <w:p w14:paraId="5E8188ED" w14:textId="77777777" w:rsidR="00DE57BB" w:rsidRPr="00904896" w:rsidRDefault="00DE57BB" w:rsidP="007701F5">
      <w:pPr>
        <w:autoSpaceDE w:val="0"/>
        <w:autoSpaceDN w:val="0"/>
        <w:adjustRightInd w:val="0"/>
        <w:spacing w:after="120" w:line="240" w:lineRule="auto"/>
        <w:rPr>
          <w:rFonts w:asciiTheme="majorHAnsi" w:hAnsiTheme="majorHAnsi"/>
        </w:rPr>
      </w:pPr>
      <w:r w:rsidRPr="00904896">
        <w:rPr>
          <w:rFonts w:asciiTheme="majorHAnsi" w:hAnsiTheme="majorHAnsi"/>
        </w:rPr>
        <w:t xml:space="preserve">The PNTL relies on the effectiveness of central </w:t>
      </w:r>
      <w:proofErr w:type="spellStart"/>
      <w:r w:rsidRPr="00904896">
        <w:rPr>
          <w:rFonts w:asciiTheme="majorHAnsi" w:hAnsiTheme="majorHAnsi"/>
        </w:rPr>
        <w:t>GoDRTL</w:t>
      </w:r>
      <w:proofErr w:type="spellEnd"/>
      <w:r w:rsidRPr="00904896">
        <w:rPr>
          <w:rFonts w:asciiTheme="majorHAnsi" w:hAnsiTheme="majorHAnsi"/>
        </w:rPr>
        <w:t xml:space="preserve"> systems to meet their own service delivery aspirations. The TLPDP will benefit from DFAT and other partner agencies assistance to the broader </w:t>
      </w:r>
      <w:proofErr w:type="spellStart"/>
      <w:r w:rsidRPr="00904896">
        <w:rPr>
          <w:rFonts w:asciiTheme="majorHAnsi" w:hAnsiTheme="majorHAnsi"/>
        </w:rPr>
        <w:t>GoDRTL</w:t>
      </w:r>
      <w:proofErr w:type="spellEnd"/>
      <w:r w:rsidRPr="00904896">
        <w:rPr>
          <w:rFonts w:asciiTheme="majorHAnsi" w:hAnsiTheme="majorHAnsi"/>
        </w:rPr>
        <w:t xml:space="preserve"> reforms across the public sector. These activities include strengthening management and leadership, systems and procedures, administration, accounting and finance, budget execution and procurement, knowledge and document management, and strategic planning and monitoring.</w:t>
      </w:r>
      <w:r w:rsidRPr="00904896">
        <w:rPr>
          <w:rStyle w:val="FootnoteReference"/>
          <w:rFonts w:asciiTheme="majorHAnsi" w:hAnsiTheme="majorHAnsi"/>
        </w:rPr>
        <w:footnoteReference w:id="23"/>
      </w:r>
      <w:r w:rsidRPr="00904896">
        <w:rPr>
          <w:rFonts w:asciiTheme="majorHAnsi" w:hAnsiTheme="majorHAnsi"/>
        </w:rPr>
        <w:t xml:space="preserve"> </w:t>
      </w:r>
    </w:p>
    <w:p w14:paraId="2A6EE050" w14:textId="6767706E" w:rsidR="00DE57BB" w:rsidRPr="00904896" w:rsidRDefault="00DE57BB" w:rsidP="007701F5">
      <w:pPr>
        <w:spacing w:after="120" w:line="240" w:lineRule="auto"/>
        <w:rPr>
          <w:rFonts w:asciiTheme="majorHAnsi" w:hAnsiTheme="majorHAnsi"/>
        </w:rPr>
      </w:pPr>
      <w:r w:rsidRPr="00904896">
        <w:rPr>
          <w:rFonts w:asciiTheme="majorHAnsi" w:hAnsiTheme="majorHAnsi"/>
        </w:rPr>
        <w:t xml:space="preserve">Internally, the PNTL require support </w:t>
      </w:r>
      <w:r w:rsidR="00340BA5" w:rsidRPr="00904896">
        <w:rPr>
          <w:rFonts w:asciiTheme="majorHAnsi" w:hAnsiTheme="majorHAnsi"/>
        </w:rPr>
        <w:t xml:space="preserve">from </w:t>
      </w:r>
      <w:r w:rsidRPr="00904896">
        <w:rPr>
          <w:rFonts w:asciiTheme="majorHAnsi" w:hAnsiTheme="majorHAnsi"/>
        </w:rPr>
        <w:t xml:space="preserve">the TLPDP to build its own capacity in three key areas which will need to be considered holistically and within each TLPDP activity:  </w:t>
      </w:r>
    </w:p>
    <w:p w14:paraId="7AA02C55" w14:textId="07DE9905" w:rsidR="00DE57BB" w:rsidRPr="00904896" w:rsidRDefault="00DE57BB" w:rsidP="007701F5">
      <w:pPr>
        <w:pStyle w:val="ListParagraph"/>
        <w:numPr>
          <w:ilvl w:val="0"/>
          <w:numId w:val="20"/>
        </w:numPr>
        <w:spacing w:after="120" w:line="240" w:lineRule="auto"/>
        <w:rPr>
          <w:rFonts w:asciiTheme="majorHAnsi" w:hAnsiTheme="majorHAnsi"/>
        </w:rPr>
      </w:pPr>
      <w:r w:rsidRPr="00904896">
        <w:rPr>
          <w:rFonts w:asciiTheme="majorHAnsi" w:hAnsiTheme="majorHAnsi"/>
        </w:rPr>
        <w:t xml:space="preserve">Strategic and workforce </w:t>
      </w:r>
      <w:proofErr w:type="gramStart"/>
      <w:r w:rsidRPr="00904896">
        <w:rPr>
          <w:rFonts w:asciiTheme="majorHAnsi" w:hAnsiTheme="majorHAnsi"/>
        </w:rPr>
        <w:t>planning</w:t>
      </w:r>
      <w:r w:rsidR="00E867E7" w:rsidRPr="00904896">
        <w:rPr>
          <w:rFonts w:asciiTheme="majorHAnsi" w:hAnsiTheme="majorHAnsi"/>
        </w:rPr>
        <w:t>;</w:t>
      </w:r>
      <w:proofErr w:type="gramEnd"/>
      <w:r w:rsidRPr="00904896">
        <w:rPr>
          <w:rFonts w:asciiTheme="majorHAnsi" w:hAnsiTheme="majorHAnsi"/>
        </w:rPr>
        <w:t xml:space="preserve"> </w:t>
      </w:r>
    </w:p>
    <w:p w14:paraId="6DD1BFD3" w14:textId="14142F5A" w:rsidR="00DE57BB" w:rsidRPr="00904896" w:rsidRDefault="00DE57BB" w:rsidP="007701F5">
      <w:pPr>
        <w:pStyle w:val="ListParagraph"/>
        <w:numPr>
          <w:ilvl w:val="0"/>
          <w:numId w:val="20"/>
        </w:numPr>
        <w:spacing w:after="120" w:line="240" w:lineRule="auto"/>
        <w:rPr>
          <w:rFonts w:asciiTheme="majorHAnsi" w:hAnsiTheme="majorHAnsi"/>
        </w:rPr>
      </w:pPr>
      <w:r w:rsidRPr="00904896">
        <w:rPr>
          <w:rFonts w:asciiTheme="majorHAnsi" w:hAnsiTheme="majorHAnsi"/>
        </w:rPr>
        <w:t>Effective budgeting and resource allocation</w:t>
      </w:r>
      <w:r w:rsidR="00E867E7" w:rsidRPr="00904896">
        <w:rPr>
          <w:rFonts w:asciiTheme="majorHAnsi" w:hAnsiTheme="majorHAnsi"/>
        </w:rPr>
        <w:t>;</w:t>
      </w:r>
      <w:r w:rsidRPr="00904896">
        <w:rPr>
          <w:rFonts w:asciiTheme="majorHAnsi" w:hAnsiTheme="majorHAnsi"/>
        </w:rPr>
        <w:t xml:space="preserve"> and </w:t>
      </w:r>
    </w:p>
    <w:p w14:paraId="22B8E0BD" w14:textId="746CE157" w:rsidR="00DE57BB" w:rsidRPr="00904896" w:rsidRDefault="00DE57BB" w:rsidP="007701F5">
      <w:pPr>
        <w:pStyle w:val="ListParagraph"/>
        <w:numPr>
          <w:ilvl w:val="0"/>
          <w:numId w:val="20"/>
        </w:numPr>
        <w:spacing w:after="120" w:line="240" w:lineRule="auto"/>
        <w:rPr>
          <w:rFonts w:asciiTheme="majorHAnsi" w:hAnsiTheme="majorHAnsi"/>
        </w:rPr>
      </w:pPr>
      <w:r w:rsidRPr="00904896">
        <w:rPr>
          <w:rFonts w:asciiTheme="majorHAnsi" w:hAnsiTheme="majorHAnsi"/>
        </w:rPr>
        <w:t>Legislative reform to meet transformation objectives</w:t>
      </w:r>
      <w:r w:rsidR="00F7323C">
        <w:rPr>
          <w:rFonts w:asciiTheme="majorHAnsi" w:hAnsiTheme="majorHAnsi"/>
        </w:rPr>
        <w:t xml:space="preserve">, for example identifying changes that will be required to the organic law to implement the Transnational Crime </w:t>
      </w:r>
      <w:r w:rsidR="00332FA2">
        <w:rPr>
          <w:rFonts w:asciiTheme="majorHAnsi" w:hAnsiTheme="majorHAnsi"/>
        </w:rPr>
        <w:t>Unit.</w:t>
      </w:r>
      <w:r w:rsidR="00332FA2" w:rsidRPr="00904896">
        <w:rPr>
          <w:rFonts w:asciiTheme="majorHAnsi" w:hAnsiTheme="majorHAnsi"/>
        </w:rPr>
        <w:t xml:space="preserve"> </w:t>
      </w:r>
    </w:p>
    <w:p w14:paraId="29927978" w14:textId="3FB8BA0A" w:rsidR="00DE57BB" w:rsidRPr="00904896" w:rsidRDefault="00DE57BB" w:rsidP="007701F5">
      <w:pPr>
        <w:spacing w:after="120" w:line="240" w:lineRule="auto"/>
        <w:rPr>
          <w:rFonts w:asciiTheme="majorHAnsi" w:hAnsiTheme="majorHAnsi"/>
        </w:rPr>
      </w:pPr>
      <w:r w:rsidRPr="00904896">
        <w:rPr>
          <w:rFonts w:asciiTheme="majorHAnsi" w:hAnsiTheme="majorHAnsi"/>
        </w:rPr>
        <w:t xml:space="preserve">Timor-Leste’s </w:t>
      </w:r>
      <w:r w:rsidR="00F53EC5" w:rsidRPr="00904896">
        <w:rPr>
          <w:rFonts w:asciiTheme="majorHAnsi" w:hAnsiTheme="majorHAnsi"/>
        </w:rPr>
        <w:t xml:space="preserve">recent </w:t>
      </w:r>
      <w:r w:rsidRPr="00904896">
        <w:rPr>
          <w:rFonts w:asciiTheme="majorHAnsi" w:hAnsiTheme="majorHAnsi"/>
        </w:rPr>
        <w:t xml:space="preserve">minority government and multiple elections have stalled progress on some governance reform within the PNTL. The absence of a government mandate or approved budget has limited the resource allocation and legislative reforms required to implement </w:t>
      </w:r>
      <w:r w:rsidR="00372176" w:rsidRPr="00904896">
        <w:rPr>
          <w:rFonts w:asciiTheme="majorHAnsi" w:hAnsiTheme="majorHAnsi"/>
        </w:rPr>
        <w:t>TLPDP activities. There remains a</w:t>
      </w:r>
      <w:r w:rsidRPr="00904896">
        <w:rPr>
          <w:rFonts w:asciiTheme="majorHAnsi" w:hAnsiTheme="majorHAnsi"/>
        </w:rPr>
        <w:t xml:space="preserve"> risk that a subsequent minority government or </w:t>
      </w:r>
      <w:r w:rsidR="00372176" w:rsidRPr="00904896">
        <w:rPr>
          <w:rFonts w:asciiTheme="majorHAnsi" w:hAnsiTheme="majorHAnsi"/>
        </w:rPr>
        <w:t xml:space="preserve">a significant </w:t>
      </w:r>
      <w:r w:rsidRPr="00904896">
        <w:rPr>
          <w:rFonts w:asciiTheme="majorHAnsi" w:hAnsiTheme="majorHAnsi"/>
        </w:rPr>
        <w:t xml:space="preserve">change in government policy could negatively impact on the TLPDP. In addition, broader economic issues facing Timor-Leste could also stall PNTL governance initiatives. </w:t>
      </w:r>
    </w:p>
    <w:p w14:paraId="734ABD05" w14:textId="687C3284" w:rsidR="00DE57BB" w:rsidRPr="00904896" w:rsidRDefault="00DE57BB" w:rsidP="007701F5">
      <w:pPr>
        <w:autoSpaceDE w:val="0"/>
        <w:autoSpaceDN w:val="0"/>
        <w:adjustRightInd w:val="0"/>
        <w:spacing w:after="120" w:line="240" w:lineRule="auto"/>
        <w:rPr>
          <w:rFonts w:asciiTheme="majorHAnsi" w:hAnsiTheme="majorHAnsi"/>
        </w:rPr>
      </w:pPr>
      <w:r w:rsidRPr="00904896">
        <w:rPr>
          <w:rFonts w:asciiTheme="majorHAnsi" w:hAnsiTheme="majorHAnsi"/>
        </w:rPr>
        <w:t xml:space="preserve">The </w:t>
      </w:r>
      <w:r w:rsidR="00E867E7" w:rsidRPr="00904896">
        <w:rPr>
          <w:rFonts w:asciiTheme="majorHAnsi" w:hAnsiTheme="majorHAnsi"/>
        </w:rPr>
        <w:t xml:space="preserve">JSSP </w:t>
      </w:r>
      <w:r w:rsidRPr="00904896">
        <w:rPr>
          <w:rFonts w:asciiTheme="majorHAnsi" w:hAnsiTheme="majorHAnsi"/>
        </w:rPr>
        <w:t xml:space="preserve">sets out the </w:t>
      </w:r>
      <w:proofErr w:type="spellStart"/>
      <w:r w:rsidRPr="00904896">
        <w:rPr>
          <w:rFonts w:asciiTheme="majorHAnsi" w:hAnsiTheme="majorHAnsi"/>
        </w:rPr>
        <w:t>GoDRTL</w:t>
      </w:r>
      <w:proofErr w:type="spellEnd"/>
      <w:r w:rsidRPr="00904896">
        <w:rPr>
          <w:rFonts w:asciiTheme="majorHAnsi" w:hAnsiTheme="majorHAnsi"/>
        </w:rPr>
        <w:t xml:space="preserve"> plan for reforming the Justice Sector. This document sets out five key strategic goals which the TLPDP must align with:</w:t>
      </w:r>
    </w:p>
    <w:p w14:paraId="15424D26" w14:textId="7866EE9B" w:rsidR="00DE57BB" w:rsidRPr="00904896" w:rsidRDefault="00DE57BB" w:rsidP="007701F5">
      <w:pPr>
        <w:pStyle w:val="ListParagraph"/>
        <w:numPr>
          <w:ilvl w:val="0"/>
          <w:numId w:val="21"/>
        </w:numPr>
        <w:autoSpaceDE w:val="0"/>
        <w:autoSpaceDN w:val="0"/>
        <w:adjustRightInd w:val="0"/>
        <w:spacing w:after="120" w:line="240" w:lineRule="auto"/>
        <w:rPr>
          <w:rFonts w:asciiTheme="majorHAnsi" w:hAnsiTheme="majorHAnsi"/>
        </w:rPr>
      </w:pPr>
      <w:r w:rsidRPr="00904896">
        <w:rPr>
          <w:rFonts w:asciiTheme="majorHAnsi" w:hAnsiTheme="majorHAnsi"/>
        </w:rPr>
        <w:t xml:space="preserve">Strengthening the administration of justice, improving the capacity of institutions and the coordination between </w:t>
      </w:r>
      <w:proofErr w:type="gramStart"/>
      <w:r w:rsidRPr="00904896">
        <w:rPr>
          <w:rFonts w:asciiTheme="majorHAnsi" w:hAnsiTheme="majorHAnsi"/>
        </w:rPr>
        <w:t>them</w:t>
      </w:r>
      <w:r w:rsidR="0099002A" w:rsidRPr="00904896">
        <w:rPr>
          <w:rFonts w:asciiTheme="majorHAnsi" w:hAnsiTheme="majorHAnsi"/>
        </w:rPr>
        <w:t>;</w:t>
      </w:r>
      <w:proofErr w:type="gramEnd"/>
    </w:p>
    <w:p w14:paraId="2B9666AD" w14:textId="2CC5EA20" w:rsidR="00DE57BB" w:rsidRPr="00904896" w:rsidRDefault="00DE57BB" w:rsidP="007701F5">
      <w:pPr>
        <w:pStyle w:val="ListParagraph"/>
        <w:numPr>
          <w:ilvl w:val="0"/>
          <w:numId w:val="21"/>
        </w:numPr>
        <w:autoSpaceDE w:val="0"/>
        <w:autoSpaceDN w:val="0"/>
        <w:adjustRightInd w:val="0"/>
        <w:spacing w:after="120" w:line="240" w:lineRule="auto"/>
        <w:rPr>
          <w:rFonts w:asciiTheme="majorHAnsi" w:hAnsiTheme="majorHAnsi"/>
        </w:rPr>
      </w:pPr>
      <w:r w:rsidRPr="00904896">
        <w:rPr>
          <w:rFonts w:asciiTheme="majorHAnsi" w:hAnsiTheme="majorHAnsi"/>
        </w:rPr>
        <w:t xml:space="preserve">Strengthening and harmonizing the legal framework of the justice system and the </w:t>
      </w:r>
      <w:proofErr w:type="gramStart"/>
      <w:r w:rsidRPr="00904896">
        <w:rPr>
          <w:rFonts w:asciiTheme="majorHAnsi" w:hAnsiTheme="majorHAnsi"/>
        </w:rPr>
        <w:t>law</w:t>
      </w:r>
      <w:r w:rsidR="00372176" w:rsidRPr="00904896">
        <w:rPr>
          <w:rFonts w:asciiTheme="majorHAnsi" w:hAnsiTheme="majorHAnsi"/>
        </w:rPr>
        <w:t>;</w:t>
      </w:r>
      <w:proofErr w:type="gramEnd"/>
    </w:p>
    <w:p w14:paraId="43EDB358" w14:textId="66CE35C8" w:rsidR="00DE57BB" w:rsidRPr="00904896" w:rsidRDefault="00DE57BB" w:rsidP="007701F5">
      <w:pPr>
        <w:pStyle w:val="ListParagraph"/>
        <w:numPr>
          <w:ilvl w:val="0"/>
          <w:numId w:val="21"/>
        </w:numPr>
        <w:autoSpaceDE w:val="0"/>
        <w:autoSpaceDN w:val="0"/>
        <w:adjustRightInd w:val="0"/>
        <w:spacing w:after="120" w:line="240" w:lineRule="auto"/>
        <w:rPr>
          <w:rFonts w:asciiTheme="majorHAnsi" w:hAnsiTheme="majorHAnsi"/>
        </w:rPr>
      </w:pPr>
      <w:r w:rsidRPr="00904896">
        <w:rPr>
          <w:rFonts w:asciiTheme="majorHAnsi" w:hAnsiTheme="majorHAnsi"/>
        </w:rPr>
        <w:t xml:space="preserve">Building the capacities and skills of the justice sector professionals, including providing institutions with the necessary and sufficient human resources to carry out their mandate, meeting training needs and ensuring performance </w:t>
      </w:r>
      <w:proofErr w:type="gramStart"/>
      <w:r w:rsidRPr="00904896">
        <w:rPr>
          <w:rFonts w:asciiTheme="majorHAnsi" w:hAnsiTheme="majorHAnsi"/>
        </w:rPr>
        <w:t>evaluation</w:t>
      </w:r>
      <w:r w:rsidR="0099002A" w:rsidRPr="00904896">
        <w:rPr>
          <w:rFonts w:asciiTheme="majorHAnsi" w:hAnsiTheme="majorHAnsi"/>
        </w:rPr>
        <w:t>;</w:t>
      </w:r>
      <w:proofErr w:type="gramEnd"/>
      <w:r w:rsidRPr="00904896">
        <w:rPr>
          <w:rFonts w:asciiTheme="majorHAnsi" w:hAnsiTheme="majorHAnsi"/>
        </w:rPr>
        <w:t xml:space="preserve"> </w:t>
      </w:r>
    </w:p>
    <w:p w14:paraId="11060F2A" w14:textId="2EE30B3A" w:rsidR="00DE57BB" w:rsidRPr="00904896" w:rsidRDefault="00DE57BB" w:rsidP="007701F5">
      <w:pPr>
        <w:pStyle w:val="ListParagraph"/>
        <w:numPr>
          <w:ilvl w:val="0"/>
          <w:numId w:val="21"/>
        </w:numPr>
        <w:autoSpaceDE w:val="0"/>
        <w:autoSpaceDN w:val="0"/>
        <w:adjustRightInd w:val="0"/>
        <w:spacing w:after="120" w:line="240" w:lineRule="auto"/>
        <w:rPr>
          <w:rFonts w:asciiTheme="majorHAnsi" w:hAnsiTheme="majorHAnsi"/>
        </w:rPr>
      </w:pPr>
      <w:r w:rsidRPr="00904896">
        <w:rPr>
          <w:rFonts w:asciiTheme="majorHAnsi" w:hAnsiTheme="majorHAnsi"/>
        </w:rPr>
        <w:t>Establishing the necessary infrastructure for the justice institutions throughout the country, in respect to building, housing transportation, communication and ICT</w:t>
      </w:r>
      <w:r w:rsidR="0099002A" w:rsidRPr="00904896">
        <w:rPr>
          <w:rFonts w:asciiTheme="majorHAnsi" w:hAnsiTheme="majorHAnsi"/>
        </w:rPr>
        <w:t xml:space="preserve">; and </w:t>
      </w:r>
    </w:p>
    <w:p w14:paraId="308069B8" w14:textId="5B5EB950" w:rsidR="00DE57BB" w:rsidRPr="00AE209B" w:rsidRDefault="00372176" w:rsidP="007701F5">
      <w:pPr>
        <w:pStyle w:val="ListParagraph"/>
        <w:numPr>
          <w:ilvl w:val="0"/>
          <w:numId w:val="21"/>
        </w:numPr>
        <w:autoSpaceDE w:val="0"/>
        <w:autoSpaceDN w:val="0"/>
        <w:adjustRightInd w:val="0"/>
        <w:spacing w:after="120" w:line="240" w:lineRule="auto"/>
        <w:rPr>
          <w:rFonts w:asciiTheme="majorHAnsi" w:hAnsiTheme="majorHAnsi"/>
        </w:rPr>
      </w:pPr>
      <w:r w:rsidRPr="00904896">
        <w:rPr>
          <w:rFonts w:asciiTheme="majorHAnsi" w:hAnsiTheme="majorHAnsi"/>
        </w:rPr>
        <w:t>Bringing j</w:t>
      </w:r>
      <w:r w:rsidR="00DE57BB" w:rsidRPr="00904896">
        <w:rPr>
          <w:rFonts w:asciiTheme="majorHAnsi" w:hAnsiTheme="majorHAnsi"/>
        </w:rPr>
        <w:t>ustice closer to the people, offering them access to justice, particularly in the districts, including raising the awareness of the population regarding laws, rights and available justice services, and guaranteeing the interaction between the formal and informal justice systems.</w:t>
      </w:r>
      <w:r w:rsidR="00DE57BB" w:rsidRPr="00904896">
        <w:rPr>
          <w:rStyle w:val="FootnoteReference"/>
          <w:rFonts w:asciiTheme="majorHAnsi" w:hAnsiTheme="majorHAnsi"/>
        </w:rPr>
        <w:footnoteReference w:id="24"/>
      </w:r>
      <w:r w:rsidR="00DE57BB" w:rsidRPr="00AE209B">
        <w:rPr>
          <w:rFonts w:asciiTheme="majorHAnsi" w:hAnsiTheme="majorHAnsi"/>
        </w:rPr>
        <w:t xml:space="preserve"> </w:t>
      </w:r>
    </w:p>
    <w:p w14:paraId="73BE8081" w14:textId="4F8DA6B2" w:rsidR="004470B4" w:rsidRPr="00AE209B" w:rsidRDefault="00A42C1F" w:rsidP="00A42C1F">
      <w:pPr>
        <w:pStyle w:val="Heading2"/>
        <w:numPr>
          <w:ilvl w:val="1"/>
          <w:numId w:val="61"/>
        </w:numPr>
        <w:spacing w:before="0" w:after="120" w:line="240" w:lineRule="auto"/>
        <w:ind w:left="426"/>
      </w:pPr>
      <w:r>
        <w:t xml:space="preserve"> </w:t>
      </w:r>
      <w:bookmarkStart w:id="43" w:name="_Toc516189338"/>
      <w:r w:rsidR="000B01C4" w:rsidRPr="00AE209B">
        <w:t>Evidence-base/Lessons Learned</w:t>
      </w:r>
      <w:bookmarkEnd w:id="43"/>
      <w:r w:rsidR="000C16DA" w:rsidRPr="00AE209B">
        <w:t xml:space="preserve"> </w:t>
      </w:r>
    </w:p>
    <w:p w14:paraId="0E32EB0C" w14:textId="77B4B240" w:rsidR="00ED51E2" w:rsidRPr="00904896" w:rsidRDefault="002739C9" w:rsidP="007701F5">
      <w:pPr>
        <w:spacing w:after="120" w:line="240" w:lineRule="auto"/>
      </w:pPr>
      <w:r w:rsidRPr="00904896">
        <w:t>P</w:t>
      </w:r>
      <w:r w:rsidR="0099002A" w:rsidRPr="00904896">
        <w:t>revious</w:t>
      </w:r>
      <w:r w:rsidR="00557629" w:rsidRPr="00904896">
        <w:t xml:space="preserve"> TLPDP</w:t>
      </w:r>
      <w:r w:rsidR="00ED51E2" w:rsidRPr="00904896">
        <w:t xml:space="preserve"> evaluations and program designs and </w:t>
      </w:r>
      <w:r w:rsidR="00557629" w:rsidRPr="00904896">
        <w:t xml:space="preserve">a range of </w:t>
      </w:r>
      <w:r w:rsidR="00ED51E2" w:rsidRPr="00904896">
        <w:t xml:space="preserve">other AFP development activities </w:t>
      </w:r>
      <w:r w:rsidR="00557629" w:rsidRPr="00904896">
        <w:t>have</w:t>
      </w:r>
      <w:r w:rsidR="00ED51E2" w:rsidRPr="00904896">
        <w:t xml:space="preserve"> identified lessons in</w:t>
      </w:r>
      <w:r w:rsidR="00557629" w:rsidRPr="00904896">
        <w:t xml:space="preserve"> how to operate in complex</w:t>
      </w:r>
      <w:r w:rsidR="00ED51E2" w:rsidRPr="00904896">
        <w:t xml:space="preserve"> capacity development</w:t>
      </w:r>
      <w:r w:rsidR="00557629" w:rsidRPr="00904896">
        <w:t xml:space="preserve"> environments</w:t>
      </w:r>
      <w:r w:rsidR="00ED51E2" w:rsidRPr="00904896">
        <w:t>. To assist the design of TLPDP 2018-2022, the Design Team examined documents to better understand the key lessons learned. Documents include:</w:t>
      </w:r>
    </w:p>
    <w:p w14:paraId="526FEE6B" w14:textId="046C554E" w:rsidR="00ED51E2" w:rsidRPr="00904896" w:rsidRDefault="00E867E7" w:rsidP="007701F5">
      <w:pPr>
        <w:pStyle w:val="ListParagraph"/>
        <w:numPr>
          <w:ilvl w:val="0"/>
          <w:numId w:val="22"/>
        </w:numPr>
        <w:spacing w:after="120" w:line="240" w:lineRule="auto"/>
      </w:pPr>
      <w:r w:rsidRPr="00904896">
        <w:t xml:space="preserve">Previous </w:t>
      </w:r>
      <w:r w:rsidR="00ED51E2" w:rsidRPr="00904896">
        <w:t xml:space="preserve">TLPDP planning, reporting and guiding </w:t>
      </w:r>
      <w:proofErr w:type="gramStart"/>
      <w:r w:rsidR="00ED51E2" w:rsidRPr="00904896">
        <w:t>documentation</w:t>
      </w:r>
      <w:r w:rsidR="00557629" w:rsidRPr="00904896">
        <w:t>;</w:t>
      </w:r>
      <w:proofErr w:type="gramEnd"/>
    </w:p>
    <w:p w14:paraId="2B1A6E84" w14:textId="4B114CD4" w:rsidR="00ED51E2" w:rsidRPr="00904896" w:rsidRDefault="00ED51E2" w:rsidP="007701F5">
      <w:pPr>
        <w:pStyle w:val="ListParagraph"/>
        <w:numPr>
          <w:ilvl w:val="0"/>
          <w:numId w:val="22"/>
        </w:numPr>
        <w:spacing w:after="120" w:line="240" w:lineRule="auto"/>
      </w:pPr>
      <w:r w:rsidRPr="00904896">
        <w:t>PNTL planning and strategic direction, such as the PNTL Strategic Plan 2014-2018</w:t>
      </w:r>
      <w:r w:rsidR="00557629" w:rsidRPr="00904896">
        <w:t>; and</w:t>
      </w:r>
    </w:p>
    <w:p w14:paraId="300E8A28" w14:textId="6EC5DD12" w:rsidR="00ED51E2" w:rsidRPr="00904896" w:rsidRDefault="00ED51E2" w:rsidP="007701F5">
      <w:pPr>
        <w:pStyle w:val="ListParagraph"/>
        <w:numPr>
          <w:ilvl w:val="0"/>
          <w:numId w:val="22"/>
        </w:numPr>
        <w:spacing w:after="120" w:line="240" w:lineRule="auto"/>
      </w:pPr>
      <w:r w:rsidRPr="00904896">
        <w:lastRenderedPageBreak/>
        <w:t xml:space="preserve">Current </w:t>
      </w:r>
      <w:proofErr w:type="spellStart"/>
      <w:r w:rsidRPr="00904896">
        <w:t>GoDRTL</w:t>
      </w:r>
      <w:proofErr w:type="spellEnd"/>
      <w:r w:rsidRPr="00904896">
        <w:t xml:space="preserve"> planning and strategic objectives, as contained within </w:t>
      </w:r>
      <w:r w:rsidR="00E867E7" w:rsidRPr="00904896">
        <w:t>the JSSR and</w:t>
      </w:r>
      <w:r w:rsidRPr="00904896">
        <w:t xml:space="preserve"> the </w:t>
      </w:r>
      <w:r w:rsidR="00E867E7" w:rsidRPr="00904896">
        <w:t>SDP.</w:t>
      </w:r>
    </w:p>
    <w:p w14:paraId="38D6EFF5" w14:textId="77777777" w:rsidR="00ED51E2" w:rsidRPr="00904896" w:rsidRDefault="00ED51E2" w:rsidP="007701F5">
      <w:pPr>
        <w:spacing w:after="120" w:line="240" w:lineRule="auto"/>
      </w:pPr>
      <w:r w:rsidRPr="00904896">
        <w:t>These lessons also take account of the policy imperative to consolidate PNTL gains and TLPDP investments to date, the feasibility and sustainability of programming with a smaller TLPDP footprint, and risks at the political and programming levels.</w:t>
      </w:r>
    </w:p>
    <w:p w14:paraId="28C05229" w14:textId="7612D8C0" w:rsidR="00ED51E2" w:rsidRPr="00AE209B" w:rsidRDefault="00D6523B" w:rsidP="00D6523B">
      <w:pPr>
        <w:pStyle w:val="Heading3"/>
        <w:numPr>
          <w:ilvl w:val="2"/>
          <w:numId w:val="61"/>
        </w:numPr>
        <w:spacing w:before="0" w:after="120" w:line="240" w:lineRule="auto"/>
        <w:ind w:left="567" w:hanging="567"/>
      </w:pPr>
      <w:r>
        <w:t xml:space="preserve"> </w:t>
      </w:r>
      <w:bookmarkStart w:id="44" w:name="_Toc516189339"/>
      <w:r w:rsidR="00372176">
        <w:t>Partnership and Joint P</w:t>
      </w:r>
      <w:r w:rsidR="00ED51E2" w:rsidRPr="00AE209B">
        <w:t xml:space="preserve">rogram </w:t>
      </w:r>
      <w:r w:rsidR="00372176">
        <w:t>M</w:t>
      </w:r>
      <w:r w:rsidR="00ED51E2" w:rsidRPr="00AE209B">
        <w:t>anagement</w:t>
      </w:r>
      <w:bookmarkEnd w:id="44"/>
    </w:p>
    <w:p w14:paraId="751CC5A9" w14:textId="4D91A888" w:rsidR="00ED51E2" w:rsidRPr="00904896" w:rsidRDefault="00ED51E2" w:rsidP="007701F5">
      <w:pPr>
        <w:spacing w:after="120" w:line="240" w:lineRule="auto"/>
      </w:pPr>
      <w:r w:rsidRPr="00904896">
        <w:t xml:space="preserve">A key lesson cited by TLPDP stakeholders </w:t>
      </w:r>
      <w:r w:rsidR="00063554" w:rsidRPr="00904896">
        <w:t xml:space="preserve">was </w:t>
      </w:r>
      <w:r w:rsidRPr="00904896">
        <w:t xml:space="preserve">to take a partnership approach to development programs with </w:t>
      </w:r>
      <w:proofErr w:type="spellStart"/>
      <w:r w:rsidRPr="00904896">
        <w:t>GoDRTL</w:t>
      </w:r>
      <w:proofErr w:type="spellEnd"/>
      <w:r w:rsidRPr="00904896">
        <w:t xml:space="preserve"> and </w:t>
      </w:r>
      <w:r w:rsidR="00063554" w:rsidRPr="00904896">
        <w:t xml:space="preserve">to </w:t>
      </w:r>
      <w:r w:rsidRPr="00904896">
        <w:t>encourage them to take ownership of their development objectives.</w:t>
      </w:r>
      <w:r w:rsidRPr="00904896">
        <w:rPr>
          <w:rStyle w:val="FootnoteReference"/>
        </w:rPr>
        <w:footnoteReference w:id="25"/>
      </w:r>
      <w:r w:rsidRPr="00904896">
        <w:t xml:space="preserve"> It is clear strong relationships exist between the TLPDP members and the PNTL. The TLPDP will continue to be implemented in partnership between the TLPDP and PNTL. This includes the joint Program Coordination Board (PCB) and continuous engagement and joint problem solving between TLPDP advisers and PNTL staff.</w:t>
      </w:r>
    </w:p>
    <w:p w14:paraId="6BD7CB45" w14:textId="65CFDD86" w:rsidR="00ED51E2" w:rsidRPr="00AE209B" w:rsidRDefault="00D6523B" w:rsidP="00D6523B">
      <w:pPr>
        <w:pStyle w:val="Heading3"/>
        <w:numPr>
          <w:ilvl w:val="2"/>
          <w:numId w:val="61"/>
        </w:numPr>
        <w:spacing w:before="0" w:after="120" w:line="240" w:lineRule="auto"/>
        <w:ind w:left="567" w:hanging="567"/>
      </w:pPr>
      <w:r>
        <w:t xml:space="preserve"> </w:t>
      </w:r>
      <w:bookmarkStart w:id="45" w:name="_Toc516189340"/>
      <w:r w:rsidR="00ED51E2" w:rsidRPr="00AE209B">
        <w:t xml:space="preserve">Long-term but </w:t>
      </w:r>
      <w:r w:rsidR="00372176">
        <w:t>Flexible P</w:t>
      </w:r>
      <w:r w:rsidR="00ED51E2" w:rsidRPr="00AE209B">
        <w:t>lanning</w:t>
      </w:r>
      <w:bookmarkEnd w:id="45"/>
    </w:p>
    <w:p w14:paraId="509DFF0A" w14:textId="7B0D5D32" w:rsidR="00ED51E2" w:rsidRPr="00904896" w:rsidRDefault="00ED51E2" w:rsidP="007701F5">
      <w:pPr>
        <w:spacing w:after="120" w:line="240" w:lineRule="auto"/>
      </w:pPr>
      <w:r w:rsidRPr="00904896">
        <w:t xml:space="preserve">Over four years there is the potential for change in the political and operating environment of the </w:t>
      </w:r>
      <w:r w:rsidR="00372176" w:rsidRPr="00904896">
        <w:t>P</w:t>
      </w:r>
      <w:r w:rsidRPr="00904896">
        <w:t>rogram. There are also unknowns in terms of costs and viab</w:t>
      </w:r>
      <w:r w:rsidR="00372176" w:rsidRPr="00904896">
        <w:t>ility for some elements of the P</w:t>
      </w:r>
      <w:r w:rsidRPr="00904896">
        <w:t>rogram. Therefore, the Program will allow for flexibility to re-allocate resources, re-prioritise or switch-off activities, and to capitalise on opportunities that arise.</w:t>
      </w:r>
    </w:p>
    <w:p w14:paraId="584E0EE7" w14:textId="72725410" w:rsidR="00ED51E2" w:rsidRPr="00AE209B" w:rsidRDefault="00B71EFA" w:rsidP="00D6523B">
      <w:pPr>
        <w:pStyle w:val="Heading3"/>
        <w:numPr>
          <w:ilvl w:val="2"/>
          <w:numId w:val="61"/>
        </w:numPr>
        <w:spacing w:before="0" w:after="120" w:line="240" w:lineRule="auto"/>
        <w:ind w:left="567" w:hanging="567"/>
      </w:pPr>
      <w:bookmarkStart w:id="46" w:name="_Toc516189341"/>
      <w:r>
        <w:t>Importance of I</w:t>
      </w:r>
      <w:r w:rsidR="00ED51E2" w:rsidRPr="00AE209B">
        <w:t>ntegrated Monitoring, Evaluation and Learning</w:t>
      </w:r>
      <w:bookmarkEnd w:id="46"/>
    </w:p>
    <w:p w14:paraId="459E9FD1" w14:textId="163EB6B8" w:rsidR="00ED51E2" w:rsidRPr="00904896" w:rsidRDefault="00ED51E2" w:rsidP="007701F5">
      <w:pPr>
        <w:spacing w:after="120" w:line="240" w:lineRule="auto"/>
      </w:pPr>
      <w:r w:rsidRPr="00904896">
        <w:t>Well-resourced and effective monitoring, evaluation and learning structures along with a focus on tangible outcomes, rather than outputs, is essential to makin</w:t>
      </w:r>
      <w:r w:rsidR="00555A3E" w:rsidRPr="00904896">
        <w:t>g evidenced-based decisions by P</w:t>
      </w:r>
      <w:r w:rsidRPr="00904896">
        <w:t>rogram management</w:t>
      </w:r>
      <w:r w:rsidR="00557629" w:rsidRPr="00904896">
        <w:t>.</w:t>
      </w:r>
      <w:r w:rsidRPr="00904896">
        <w:t xml:space="preserve"> </w:t>
      </w:r>
      <w:r w:rsidR="00557629" w:rsidRPr="00904896">
        <w:t>The Program must u</w:t>
      </w:r>
      <w:r w:rsidRPr="00904896">
        <w:t>ndertak</w:t>
      </w:r>
      <w:r w:rsidR="00557629" w:rsidRPr="00904896">
        <w:t>e</w:t>
      </w:r>
      <w:r w:rsidRPr="00904896">
        <w:t xml:space="preserve"> regular health checks to ensure </w:t>
      </w:r>
      <w:r w:rsidR="00557629" w:rsidRPr="00904896">
        <w:t>it</w:t>
      </w:r>
      <w:r w:rsidRPr="00904896">
        <w:t xml:space="preserve"> remains responsive and relevant in the context of Timor-Leste policing dynamics.</w:t>
      </w:r>
    </w:p>
    <w:p w14:paraId="7165DDFA" w14:textId="270FE9B8" w:rsidR="00ED51E2" w:rsidRPr="00AE209B" w:rsidRDefault="00B71EFA" w:rsidP="00D6523B">
      <w:pPr>
        <w:pStyle w:val="Heading3"/>
        <w:numPr>
          <w:ilvl w:val="2"/>
          <w:numId w:val="61"/>
        </w:numPr>
        <w:spacing w:before="0" w:after="120" w:line="240" w:lineRule="auto"/>
        <w:ind w:left="567" w:hanging="567"/>
      </w:pPr>
      <w:bookmarkStart w:id="47" w:name="_Toc516189342"/>
      <w:r>
        <w:t>Importance of Individuals and Effective Adviser M</w:t>
      </w:r>
      <w:r w:rsidR="00ED51E2" w:rsidRPr="00AE209B">
        <w:t>anagement</w:t>
      </w:r>
      <w:bookmarkEnd w:id="47"/>
      <w:r w:rsidR="00ED51E2" w:rsidRPr="00AE209B">
        <w:t xml:space="preserve"> </w:t>
      </w:r>
    </w:p>
    <w:p w14:paraId="6C01C3D7" w14:textId="47B03121" w:rsidR="00ED51E2" w:rsidRPr="00904896" w:rsidRDefault="00ED51E2" w:rsidP="007701F5">
      <w:pPr>
        <w:spacing w:after="120" w:line="240" w:lineRule="auto"/>
      </w:pPr>
      <w:r w:rsidRPr="00904896">
        <w:t xml:space="preserve">A recurring theme identified by the Design Team is the major impact </w:t>
      </w:r>
      <w:r w:rsidR="00E867E7" w:rsidRPr="00904896">
        <w:t>a</w:t>
      </w:r>
      <w:r w:rsidRPr="00904896">
        <w:t>dvisers with the right skills and technical capabilities can have. Several PNTL counterparts and other stakeholders gave significant praise to specific TLPDP members.</w:t>
      </w:r>
      <w:r w:rsidRPr="00904896">
        <w:rPr>
          <w:rStyle w:val="FootnoteReference"/>
        </w:rPr>
        <w:footnoteReference w:id="26"/>
      </w:r>
      <w:r w:rsidRPr="00904896">
        <w:t xml:space="preserve"> It is clear major steps forward have resulted from the approach taken by these individuals leading to greater effectiveness of support, as well as opening opportunities that were not previously available. With fewer staff members going forward, close attention will need to be taken in matching skills, knowledge and performance. </w:t>
      </w:r>
    </w:p>
    <w:p w14:paraId="1AC31169" w14:textId="2885EDB8" w:rsidR="00ED51E2" w:rsidRPr="00AE209B" w:rsidRDefault="00ED51E2" w:rsidP="00D6523B">
      <w:pPr>
        <w:pStyle w:val="Heading3"/>
        <w:numPr>
          <w:ilvl w:val="2"/>
          <w:numId w:val="61"/>
        </w:numPr>
        <w:spacing w:before="0" w:after="120" w:line="240" w:lineRule="auto"/>
        <w:ind w:left="567" w:hanging="567"/>
      </w:pPr>
      <w:bookmarkStart w:id="48" w:name="_Toc516189343"/>
      <w:r w:rsidRPr="00AE209B">
        <w:t>Key Vulnerability: Transnational Crime</w:t>
      </w:r>
      <w:bookmarkEnd w:id="48"/>
    </w:p>
    <w:p w14:paraId="487F97D3" w14:textId="63FB8A2B" w:rsidR="00ED51E2" w:rsidRPr="00904896" w:rsidRDefault="00ED51E2" w:rsidP="007701F5">
      <w:pPr>
        <w:spacing w:after="120" w:line="240" w:lineRule="auto"/>
      </w:pPr>
      <w:r w:rsidRPr="00904896">
        <w:t xml:space="preserve">Transnational crime is recognised as a major threat by </w:t>
      </w:r>
      <w:r w:rsidR="00B71EFA" w:rsidRPr="00904896">
        <w:t xml:space="preserve">the </w:t>
      </w:r>
      <w:proofErr w:type="gramStart"/>
      <w:r w:rsidRPr="00904896">
        <w:t>PNTL,</w:t>
      </w:r>
      <w:proofErr w:type="gramEnd"/>
      <w:r w:rsidRPr="00904896">
        <w:t xml:space="preserve"> however they currently have very limited capability to address vulnerabilities. Timor-Leste has a long and porous border with Indonesia and an extensive and largely unpatrolled coastline. Furthermore, authorities at the airport in Dili have had insufficient exposure to contemporary methods </w:t>
      </w:r>
      <w:r w:rsidR="00820243" w:rsidRPr="00904896">
        <w:t>to detect</w:t>
      </w:r>
      <w:r w:rsidRPr="00904896">
        <w:t xml:space="preserve"> criminals operating across borders. In order to address this threat, </w:t>
      </w:r>
      <w:r w:rsidR="00B71EFA" w:rsidRPr="00904896">
        <w:t xml:space="preserve">the </w:t>
      </w:r>
      <w:r w:rsidRPr="00904896">
        <w:t>PNTL requires an investigative function which is trained in complex crime investigations. This finding is supported by the Mid-Term Review.</w:t>
      </w:r>
    </w:p>
    <w:p w14:paraId="61F059B5" w14:textId="34FD7653" w:rsidR="00ED51E2" w:rsidRPr="00E867E7" w:rsidRDefault="00ED51E2" w:rsidP="00D6523B">
      <w:pPr>
        <w:pStyle w:val="Heading3"/>
        <w:numPr>
          <w:ilvl w:val="2"/>
          <w:numId w:val="61"/>
        </w:numPr>
        <w:spacing w:before="0" w:after="120" w:line="240" w:lineRule="auto"/>
        <w:ind w:left="567" w:hanging="567"/>
      </w:pPr>
      <w:bookmarkStart w:id="49" w:name="_Toc516189344"/>
      <w:r w:rsidRPr="00D6523B">
        <w:t>Mid-Term Review</w:t>
      </w:r>
      <w:bookmarkEnd w:id="49"/>
    </w:p>
    <w:p w14:paraId="5CAE6FB6" w14:textId="62463AEA" w:rsidR="00ED51E2" w:rsidRPr="00904896" w:rsidRDefault="00ED51E2" w:rsidP="007701F5">
      <w:pPr>
        <w:spacing w:after="120" w:line="240" w:lineRule="auto"/>
      </w:pPr>
      <w:r w:rsidRPr="00904896">
        <w:t xml:space="preserve">The design recognises the findings of the recent Mid-Term Review. </w:t>
      </w:r>
      <w:r w:rsidR="00182F77" w:rsidRPr="00904896">
        <w:t>Specifically, t</w:t>
      </w:r>
      <w:r w:rsidRPr="00904896">
        <w:t xml:space="preserve">he 2018-2022 TLPDP Design </w:t>
      </w:r>
      <w:r w:rsidR="00182F77" w:rsidRPr="00904896">
        <w:t>paid special attention to the following recommendations</w:t>
      </w:r>
      <w:r w:rsidRPr="00904896">
        <w:t xml:space="preserve">: </w:t>
      </w:r>
    </w:p>
    <w:p w14:paraId="2227FF0A" w14:textId="52A024A4" w:rsidR="00413B3E" w:rsidRPr="00904896" w:rsidRDefault="00413B3E" w:rsidP="007701F5">
      <w:pPr>
        <w:pStyle w:val="ListParagraph"/>
        <w:numPr>
          <w:ilvl w:val="0"/>
          <w:numId w:val="22"/>
        </w:numPr>
        <w:spacing w:after="120" w:line="240" w:lineRule="auto"/>
      </w:pPr>
      <w:r w:rsidRPr="00904896">
        <w:t xml:space="preserve">Develop </w:t>
      </w:r>
      <w:r w:rsidR="00ED51E2" w:rsidRPr="00904896">
        <w:t>substantive roles for locally engaged staff (LES</w:t>
      </w:r>
      <w:proofErr w:type="gramStart"/>
      <w:r w:rsidR="00ED51E2" w:rsidRPr="00904896">
        <w:t>);</w:t>
      </w:r>
      <w:proofErr w:type="gramEnd"/>
      <w:r w:rsidRPr="00904896">
        <w:t xml:space="preserve"> </w:t>
      </w:r>
    </w:p>
    <w:p w14:paraId="2AEE6E74" w14:textId="1A34A322" w:rsidR="00B61327" w:rsidRPr="00904896" w:rsidRDefault="00B61327" w:rsidP="007701F5">
      <w:pPr>
        <w:pStyle w:val="ListParagraph"/>
        <w:numPr>
          <w:ilvl w:val="1"/>
          <w:numId w:val="22"/>
        </w:numPr>
        <w:spacing w:after="120" w:line="240" w:lineRule="auto"/>
      </w:pPr>
      <w:r w:rsidRPr="00904896">
        <w:lastRenderedPageBreak/>
        <w:t xml:space="preserve">The design team’s observations confirmed the review’s finding. LES </w:t>
      </w:r>
      <w:proofErr w:type="gramStart"/>
      <w:r w:rsidRPr="00904896">
        <w:t>in mission</w:t>
      </w:r>
      <w:proofErr w:type="gramEnd"/>
      <w:r w:rsidRPr="00904896">
        <w:t xml:space="preserve"> show aptitude for further development.</w:t>
      </w:r>
    </w:p>
    <w:p w14:paraId="2B0075BB" w14:textId="57689366" w:rsidR="00ED51E2" w:rsidRPr="00904896" w:rsidRDefault="00413B3E" w:rsidP="007701F5">
      <w:pPr>
        <w:pStyle w:val="ListParagraph"/>
        <w:numPr>
          <w:ilvl w:val="0"/>
          <w:numId w:val="22"/>
        </w:numPr>
        <w:spacing w:after="120" w:line="240" w:lineRule="auto"/>
      </w:pPr>
      <w:r w:rsidRPr="00904896">
        <w:t>Continue</w:t>
      </w:r>
      <w:r w:rsidR="003B342B" w:rsidRPr="00904896">
        <w:t xml:space="preserve"> to use creative approaches to P</w:t>
      </w:r>
      <w:r w:rsidRPr="00904896">
        <w:t xml:space="preserve">rogram </w:t>
      </w:r>
      <w:proofErr w:type="gramStart"/>
      <w:r w:rsidRPr="00904896">
        <w:t>delivery</w:t>
      </w:r>
      <w:r w:rsidR="00182F77" w:rsidRPr="00904896">
        <w:t>;</w:t>
      </w:r>
      <w:proofErr w:type="gramEnd"/>
    </w:p>
    <w:p w14:paraId="70631DCD" w14:textId="431E564C" w:rsidR="00363FCD" w:rsidRPr="00904896" w:rsidRDefault="00363FCD" w:rsidP="007701F5">
      <w:pPr>
        <w:pStyle w:val="ListParagraph"/>
        <w:numPr>
          <w:ilvl w:val="1"/>
          <w:numId w:val="22"/>
        </w:numPr>
        <w:spacing w:after="120" w:line="240" w:lineRule="auto"/>
      </w:pPr>
      <w:r w:rsidRPr="00904896">
        <w:t>The next phase of TLPDP will be required to do more with less, making this recommendation a significant consideration for the design.</w:t>
      </w:r>
    </w:p>
    <w:p w14:paraId="4BB14DE4" w14:textId="64AA8D41" w:rsidR="00ED51E2" w:rsidRPr="00904896" w:rsidRDefault="00413B3E" w:rsidP="007701F5">
      <w:pPr>
        <w:pStyle w:val="ListParagraph"/>
        <w:numPr>
          <w:ilvl w:val="0"/>
          <w:numId w:val="22"/>
        </w:numPr>
        <w:spacing w:after="120" w:line="240" w:lineRule="auto"/>
      </w:pPr>
      <w:r w:rsidRPr="00904896">
        <w:t xml:space="preserve">Increase </w:t>
      </w:r>
      <w:r w:rsidR="00ED51E2" w:rsidRPr="00904896">
        <w:t xml:space="preserve">TLPDP’s focus on service delivery </w:t>
      </w:r>
      <w:proofErr w:type="gramStart"/>
      <w:r w:rsidR="00ED51E2" w:rsidRPr="00904896">
        <w:t>results;</w:t>
      </w:r>
      <w:proofErr w:type="gramEnd"/>
    </w:p>
    <w:p w14:paraId="7DE184BC" w14:textId="7C08238F" w:rsidR="00363FCD" w:rsidRPr="00904896" w:rsidRDefault="00A805BD" w:rsidP="007701F5">
      <w:pPr>
        <w:pStyle w:val="ListParagraph"/>
        <w:numPr>
          <w:ilvl w:val="1"/>
          <w:numId w:val="22"/>
        </w:numPr>
        <w:spacing w:after="120" w:line="240" w:lineRule="auto"/>
      </w:pPr>
      <w:r w:rsidRPr="00904896">
        <w:t xml:space="preserve">There is a need, recognised by the PNTL, to </w:t>
      </w:r>
      <w:r w:rsidR="008A4DBC" w:rsidRPr="00904896">
        <w:t>focus efforts on achieving outcomes for Timorese citizens accessing policing services.</w:t>
      </w:r>
    </w:p>
    <w:p w14:paraId="64EE2147" w14:textId="77777777" w:rsidR="00E867E7" w:rsidRPr="00904896" w:rsidRDefault="00E867E7" w:rsidP="007701F5">
      <w:pPr>
        <w:pStyle w:val="ListParagraph"/>
        <w:numPr>
          <w:ilvl w:val="0"/>
          <w:numId w:val="22"/>
        </w:numPr>
        <w:spacing w:after="120" w:line="240" w:lineRule="auto"/>
      </w:pPr>
      <w:r w:rsidRPr="00904896">
        <w:t xml:space="preserve">Increase engagement with Government of Australia, donor and Civil Society Organisation </w:t>
      </w:r>
      <w:proofErr w:type="gramStart"/>
      <w:r w:rsidRPr="00904896">
        <w:t>stakeholders;</w:t>
      </w:r>
      <w:proofErr w:type="gramEnd"/>
    </w:p>
    <w:p w14:paraId="56E7BC6B" w14:textId="64634B6C" w:rsidR="00E867E7" w:rsidRPr="00904896" w:rsidRDefault="00E867E7" w:rsidP="007701F5">
      <w:pPr>
        <w:pStyle w:val="ListParagraph"/>
        <w:numPr>
          <w:ilvl w:val="1"/>
          <w:numId w:val="22"/>
        </w:numPr>
        <w:spacing w:after="120" w:line="240" w:lineRule="auto"/>
      </w:pPr>
      <w:r w:rsidRPr="00904896">
        <w:t xml:space="preserve">The need for increased donor coordination and cooperation will be vital to achieve the ambitious aims of the Program. </w:t>
      </w:r>
    </w:p>
    <w:p w14:paraId="6319841C" w14:textId="59804FFD" w:rsidR="00E867E7" w:rsidRPr="00904896" w:rsidRDefault="00E867E7" w:rsidP="007701F5">
      <w:pPr>
        <w:pStyle w:val="ListParagraph"/>
        <w:numPr>
          <w:ilvl w:val="0"/>
          <w:numId w:val="22"/>
        </w:numPr>
        <w:spacing w:after="120" w:line="240" w:lineRule="auto"/>
      </w:pPr>
      <w:r w:rsidRPr="00904896">
        <w:t xml:space="preserve">Determine an approach for extending investigations and continued development of transnational crime support to relevant </w:t>
      </w:r>
      <w:proofErr w:type="gramStart"/>
      <w:r w:rsidRPr="00904896">
        <w:t>agencies;</w:t>
      </w:r>
      <w:proofErr w:type="gramEnd"/>
    </w:p>
    <w:p w14:paraId="0816DE8B" w14:textId="2E515D52" w:rsidR="008E6445" w:rsidRPr="008E6445" w:rsidRDefault="00E867E7" w:rsidP="007701F5">
      <w:pPr>
        <w:pStyle w:val="ListParagraph"/>
        <w:numPr>
          <w:ilvl w:val="1"/>
          <w:numId w:val="22"/>
        </w:numPr>
        <w:spacing w:after="120" w:line="240" w:lineRule="auto"/>
      </w:pPr>
      <w:r w:rsidRPr="00904896">
        <w:t xml:space="preserve">The Program will need to work with key donors, such as </w:t>
      </w:r>
      <w:proofErr w:type="spellStart"/>
      <w:r w:rsidRPr="00904896">
        <w:t>USAid</w:t>
      </w:r>
      <w:proofErr w:type="spellEnd"/>
      <w:r w:rsidRPr="00904896">
        <w:t xml:space="preserve"> and ABF to ensure the success of the multi-agency Transnational Crime Unit (TCU). </w:t>
      </w:r>
    </w:p>
    <w:p w14:paraId="1CA9D858" w14:textId="1EF4FD29" w:rsidR="004470B4" w:rsidRPr="00904896" w:rsidRDefault="00182F77" w:rsidP="007701F5">
      <w:pPr>
        <w:spacing w:after="120" w:line="240" w:lineRule="auto"/>
      </w:pPr>
      <w:r w:rsidRPr="00904896">
        <w:t xml:space="preserve">The design also </w:t>
      </w:r>
      <w:r w:rsidR="00B61327" w:rsidRPr="00904896">
        <w:t>considered the remaining management supported recommendations of the review:</w:t>
      </w:r>
    </w:p>
    <w:p w14:paraId="56B4893A" w14:textId="43F0922D" w:rsidR="00E867E7" w:rsidRPr="00904896" w:rsidRDefault="00E867E7" w:rsidP="007701F5">
      <w:pPr>
        <w:pStyle w:val="ListParagraph"/>
        <w:numPr>
          <w:ilvl w:val="0"/>
          <w:numId w:val="22"/>
        </w:numPr>
        <w:spacing w:after="120" w:line="240" w:lineRule="auto"/>
      </w:pPr>
      <w:r w:rsidRPr="00904896">
        <w:t xml:space="preserve">Provide AFP members with opportunities to complete language </w:t>
      </w:r>
      <w:proofErr w:type="gramStart"/>
      <w:r w:rsidRPr="00904896">
        <w:t>training</w:t>
      </w:r>
      <w:r w:rsidR="00B71EFA" w:rsidRPr="00904896">
        <w:t>;</w:t>
      </w:r>
      <w:proofErr w:type="gramEnd"/>
    </w:p>
    <w:p w14:paraId="07EAE872" w14:textId="15D73914" w:rsidR="00413B3E" w:rsidRPr="00904896" w:rsidRDefault="00413B3E" w:rsidP="007701F5">
      <w:pPr>
        <w:pStyle w:val="ListParagraph"/>
        <w:numPr>
          <w:ilvl w:val="0"/>
          <w:numId w:val="22"/>
        </w:numPr>
        <w:spacing w:after="120" w:line="240" w:lineRule="auto"/>
      </w:pPr>
      <w:r w:rsidRPr="00904896">
        <w:t>Complete the partially reconstructed baseline and continue support for monit</w:t>
      </w:r>
      <w:r w:rsidR="00182F77" w:rsidRPr="00904896">
        <w:t>oring and evaluation activities;</w:t>
      </w:r>
      <w:r w:rsidR="00E867E7" w:rsidRPr="00904896">
        <w:t xml:space="preserve"> and</w:t>
      </w:r>
    </w:p>
    <w:p w14:paraId="5365EABB" w14:textId="130EE065" w:rsidR="00413B3E" w:rsidRPr="00904896" w:rsidRDefault="00413B3E" w:rsidP="007701F5">
      <w:pPr>
        <w:pStyle w:val="ListParagraph"/>
        <w:numPr>
          <w:ilvl w:val="0"/>
          <w:numId w:val="22"/>
        </w:numPr>
        <w:spacing w:after="120" w:line="240" w:lineRule="auto"/>
      </w:pPr>
      <w:r w:rsidRPr="00904896">
        <w:t>Increase the standard deployment length of AFP members (already actioned by AFP).</w:t>
      </w:r>
    </w:p>
    <w:p w14:paraId="4688292A" w14:textId="252C8AF4" w:rsidR="00063554" w:rsidRPr="00AE209B" w:rsidRDefault="00F22E49" w:rsidP="00A42C1F">
      <w:pPr>
        <w:pStyle w:val="Heading2"/>
        <w:numPr>
          <w:ilvl w:val="1"/>
          <w:numId w:val="61"/>
        </w:numPr>
        <w:spacing w:before="0" w:after="120" w:line="240" w:lineRule="auto"/>
        <w:ind w:left="426"/>
      </w:pPr>
      <w:r>
        <w:t xml:space="preserve"> </w:t>
      </w:r>
      <w:bookmarkStart w:id="50" w:name="_Toc516189345"/>
      <w:r w:rsidR="005B108A" w:rsidRPr="00AE209B">
        <w:t>Strategic Rationale for Australian Government Engagement</w:t>
      </w:r>
      <w:bookmarkEnd w:id="50"/>
      <w:r w:rsidR="005B108A" w:rsidRPr="00AE209B">
        <w:t xml:space="preserve"> </w:t>
      </w:r>
    </w:p>
    <w:p w14:paraId="2990019D" w14:textId="7AB116C1" w:rsidR="00063554" w:rsidRPr="00AE209B" w:rsidRDefault="00B71EFA" w:rsidP="00D6523B">
      <w:pPr>
        <w:pStyle w:val="Heading3"/>
        <w:numPr>
          <w:ilvl w:val="2"/>
          <w:numId w:val="61"/>
        </w:numPr>
        <w:spacing w:before="0" w:after="120" w:line="240" w:lineRule="auto"/>
        <w:ind w:left="567" w:hanging="567"/>
      </w:pPr>
      <w:bookmarkStart w:id="51" w:name="_Toc516189346"/>
      <w:r>
        <w:t>Rationale for I</w:t>
      </w:r>
      <w:r w:rsidR="00063554" w:rsidRPr="00AE209B">
        <w:t>nvestment</w:t>
      </w:r>
      <w:bookmarkEnd w:id="51"/>
      <w:r w:rsidR="00063554" w:rsidRPr="00AE209B">
        <w:t xml:space="preserve"> </w:t>
      </w:r>
    </w:p>
    <w:p w14:paraId="149AA381" w14:textId="7B86FCA1" w:rsidR="00063554" w:rsidRPr="008E6445" w:rsidRDefault="00063554" w:rsidP="007701F5">
      <w:pPr>
        <w:spacing w:after="120" w:line="240" w:lineRule="auto"/>
        <w:rPr>
          <w:rFonts w:cs="Arial"/>
          <w:szCs w:val="20"/>
        </w:rPr>
      </w:pPr>
      <w:r w:rsidRPr="008E6445">
        <w:rPr>
          <w:rFonts w:cs="Arial"/>
          <w:szCs w:val="20"/>
        </w:rPr>
        <w:t xml:space="preserve">The Australian Government recognises the security, stability and cohesion of our immediate neighbourhood </w:t>
      </w:r>
      <w:r w:rsidR="00B71EFA" w:rsidRPr="008E6445">
        <w:rPr>
          <w:rFonts w:cs="Arial"/>
          <w:szCs w:val="20"/>
        </w:rPr>
        <w:t xml:space="preserve">are </w:t>
      </w:r>
      <w:r w:rsidR="007410F2" w:rsidRPr="008E6445">
        <w:rPr>
          <w:rFonts w:cs="Arial"/>
          <w:szCs w:val="20"/>
        </w:rPr>
        <w:t>key to our national interests</w:t>
      </w:r>
      <w:r w:rsidRPr="008E6445">
        <w:rPr>
          <w:rFonts w:cs="Arial"/>
          <w:szCs w:val="20"/>
        </w:rPr>
        <w:t>.</w:t>
      </w:r>
      <w:r w:rsidR="007410F2" w:rsidRPr="008E6445">
        <w:rPr>
          <w:rStyle w:val="FootnoteReference"/>
          <w:rFonts w:cs="Arial"/>
          <w:szCs w:val="20"/>
        </w:rPr>
        <w:footnoteReference w:id="27"/>
      </w:r>
      <w:r w:rsidRPr="008E6445">
        <w:rPr>
          <w:rFonts w:cs="Arial"/>
          <w:szCs w:val="20"/>
        </w:rPr>
        <w:t xml:space="preserve"> </w:t>
      </w:r>
      <w:r w:rsidR="00D22823" w:rsidRPr="008E6445">
        <w:rPr>
          <w:rFonts w:cs="Arial"/>
          <w:szCs w:val="20"/>
        </w:rPr>
        <w:t>Australia aims to positively influence and shape our regional environment</w:t>
      </w:r>
      <w:r w:rsidR="00D22823" w:rsidRPr="008E6445">
        <w:rPr>
          <w:rStyle w:val="FootnoteReference"/>
          <w:rFonts w:cs="Arial"/>
          <w:szCs w:val="20"/>
        </w:rPr>
        <w:footnoteReference w:id="28"/>
      </w:r>
      <w:r w:rsidR="00D22823" w:rsidRPr="008E6445">
        <w:rPr>
          <w:rFonts w:cs="Arial"/>
          <w:szCs w:val="20"/>
        </w:rPr>
        <w:t xml:space="preserve"> and play a leading role in the ongoing stability and security </w:t>
      </w:r>
      <w:r w:rsidR="00AD207C" w:rsidRPr="008E6445">
        <w:rPr>
          <w:rFonts w:cs="Arial"/>
          <w:szCs w:val="20"/>
        </w:rPr>
        <w:t xml:space="preserve">of </w:t>
      </w:r>
      <w:r w:rsidR="00D22823" w:rsidRPr="008E6445">
        <w:rPr>
          <w:rFonts w:cs="Arial"/>
          <w:szCs w:val="20"/>
        </w:rPr>
        <w:t>the Indo-Pacific region.</w:t>
      </w:r>
      <w:r w:rsidR="00D22823" w:rsidRPr="008E6445">
        <w:rPr>
          <w:rStyle w:val="FootnoteReference"/>
          <w:rFonts w:cs="Arial"/>
          <w:szCs w:val="20"/>
        </w:rPr>
        <w:footnoteReference w:id="29"/>
      </w:r>
      <w:r w:rsidRPr="008E6445">
        <w:rPr>
          <w:rFonts w:cs="Arial"/>
          <w:szCs w:val="20"/>
        </w:rPr>
        <w:t>Australia and Timor-Leste’s proximity, strong people-to-people links and shared stake in regional prosperity and stability means Australia retains an enduring strategic interest in supporting Timor-Leste’s policing capability to fulfil security and community needs.</w:t>
      </w:r>
      <w:r w:rsidR="007410F2" w:rsidRPr="008E6445">
        <w:rPr>
          <w:rStyle w:val="FootnoteReference"/>
          <w:rFonts w:cs="Arial"/>
          <w:szCs w:val="20"/>
        </w:rPr>
        <w:footnoteReference w:id="30"/>
      </w:r>
      <w:r w:rsidRPr="008E6445">
        <w:rPr>
          <w:rFonts w:cs="Arial"/>
          <w:szCs w:val="20"/>
        </w:rPr>
        <w:t xml:space="preserve"> </w:t>
      </w:r>
      <w:r w:rsidR="00D22823" w:rsidRPr="008E6445">
        <w:rPr>
          <w:rFonts w:cs="Arial"/>
          <w:szCs w:val="20"/>
        </w:rPr>
        <w:t>Maritime security is an emerging area of concern as are trends in cross-border illegal activities on the Timor-Leste-Indonesia border.</w:t>
      </w:r>
    </w:p>
    <w:p w14:paraId="0B7F3993" w14:textId="39C85E0C" w:rsidR="00063554" w:rsidRPr="008E6445" w:rsidRDefault="00063554" w:rsidP="007701F5">
      <w:pPr>
        <w:spacing w:after="120" w:line="240" w:lineRule="auto"/>
        <w:rPr>
          <w:rFonts w:cs="Arial"/>
          <w:szCs w:val="20"/>
        </w:rPr>
      </w:pPr>
      <w:r w:rsidRPr="008E6445">
        <w:rPr>
          <w:rFonts w:cs="Arial"/>
          <w:szCs w:val="20"/>
        </w:rPr>
        <w:t>Continued</w:t>
      </w:r>
      <w:r w:rsidRPr="008E6445">
        <w:rPr>
          <w:rFonts w:cs="Arial"/>
          <w:b/>
          <w:i/>
          <w:szCs w:val="20"/>
        </w:rPr>
        <w:t xml:space="preserve"> </w:t>
      </w:r>
      <w:r w:rsidRPr="008E6445">
        <w:rPr>
          <w:rFonts w:cs="Arial"/>
          <w:szCs w:val="20"/>
        </w:rPr>
        <w:t xml:space="preserve">TLPDP support reflects the need for an effective PNTL capable of providing services for Timorese citizens, managing transnational, serious and organised crime and responding to issues that lead to instability. </w:t>
      </w:r>
      <w:r w:rsidRPr="008E6445">
        <w:rPr>
          <w:szCs w:val="20"/>
        </w:rPr>
        <w:t>Furthermore, consultation with PNTL has shown a clear desire for AFP’s presence to continue.</w:t>
      </w:r>
    </w:p>
    <w:p w14:paraId="2AD0683D" w14:textId="77777777" w:rsidR="00063554" w:rsidRPr="008E6445" w:rsidRDefault="00063554" w:rsidP="007701F5">
      <w:pPr>
        <w:spacing w:after="120" w:line="240" w:lineRule="auto"/>
        <w:rPr>
          <w:rFonts w:cs="Arial"/>
          <w:szCs w:val="20"/>
        </w:rPr>
      </w:pPr>
      <w:r w:rsidRPr="008E6445">
        <w:rPr>
          <w:rFonts w:cs="Arial"/>
          <w:szCs w:val="20"/>
        </w:rPr>
        <w:t xml:space="preserve">While Timor-Leste has made significant progress since independence, security institutions, including the PNTL, are still developing and face challenges in the context of an economy that is </w:t>
      </w:r>
      <w:r w:rsidRPr="008E6445">
        <w:rPr>
          <w:rFonts w:cs="Arial"/>
          <w:szCs w:val="20"/>
        </w:rPr>
        <w:lastRenderedPageBreak/>
        <w:t xml:space="preserve">heavily dependent on government spending funded by petroleum revenue; an uncertain political outlook; high numbers of unemployed/unskilled youth; and pre-conditions for significant transnational, serious and organised criminal activity, among a range of security sector challenges. </w:t>
      </w:r>
    </w:p>
    <w:p w14:paraId="183BA99B" w14:textId="0496A50D" w:rsidR="00063554" w:rsidRPr="008E6445" w:rsidRDefault="00063554" w:rsidP="007701F5">
      <w:pPr>
        <w:spacing w:after="120" w:line="240" w:lineRule="auto"/>
        <w:rPr>
          <w:rFonts w:cs="Arial"/>
          <w:szCs w:val="20"/>
        </w:rPr>
      </w:pPr>
      <w:r w:rsidRPr="008E6445">
        <w:rPr>
          <w:rFonts w:cs="Arial"/>
          <w:szCs w:val="20"/>
        </w:rPr>
        <w:t>Given these factors, the long-term relationships between Australian and Timorese policing and security institutions established through</w:t>
      </w:r>
      <w:r w:rsidR="00AD207C" w:rsidRPr="008E6445">
        <w:rPr>
          <w:rFonts w:cs="Arial"/>
          <w:szCs w:val="20"/>
        </w:rPr>
        <w:t xml:space="preserve"> the</w:t>
      </w:r>
      <w:r w:rsidRPr="008E6445">
        <w:rPr>
          <w:rFonts w:cs="Arial"/>
          <w:szCs w:val="20"/>
        </w:rPr>
        <w:t xml:space="preserve"> TLPDP and other Australian Government programs is considered essential and should </w:t>
      </w:r>
      <w:proofErr w:type="gramStart"/>
      <w:r w:rsidRPr="008E6445">
        <w:rPr>
          <w:rFonts w:cs="Arial"/>
          <w:szCs w:val="20"/>
        </w:rPr>
        <w:t>continue into the future</w:t>
      </w:r>
      <w:proofErr w:type="gramEnd"/>
      <w:r w:rsidRPr="008E6445">
        <w:rPr>
          <w:rFonts w:cs="Arial"/>
          <w:szCs w:val="20"/>
        </w:rPr>
        <w:t xml:space="preserve">.   </w:t>
      </w:r>
    </w:p>
    <w:p w14:paraId="520D5CC0" w14:textId="73C56D0C" w:rsidR="00063554" w:rsidRPr="008E6445" w:rsidRDefault="00063554" w:rsidP="007701F5">
      <w:pPr>
        <w:spacing w:after="120" w:line="240" w:lineRule="auto"/>
        <w:rPr>
          <w:rFonts w:cs="Arial"/>
          <w:szCs w:val="20"/>
        </w:rPr>
      </w:pPr>
      <w:r w:rsidRPr="008E6445">
        <w:rPr>
          <w:rFonts w:cs="Arial"/>
          <w:szCs w:val="20"/>
        </w:rPr>
        <w:t xml:space="preserve">In recognition of the challenges they still face, </w:t>
      </w:r>
      <w:r w:rsidR="00D22823" w:rsidRPr="008E6445">
        <w:rPr>
          <w:rFonts w:cs="Arial"/>
          <w:szCs w:val="20"/>
        </w:rPr>
        <w:t xml:space="preserve">the </w:t>
      </w:r>
      <w:r w:rsidRPr="008E6445">
        <w:rPr>
          <w:rFonts w:cs="Arial"/>
          <w:szCs w:val="20"/>
        </w:rPr>
        <w:t xml:space="preserve">PNTL </w:t>
      </w:r>
      <w:r w:rsidR="00D22823" w:rsidRPr="008E6445">
        <w:rPr>
          <w:rFonts w:cs="Arial"/>
          <w:szCs w:val="20"/>
        </w:rPr>
        <w:t xml:space="preserve">has </w:t>
      </w:r>
      <w:r w:rsidRPr="008E6445">
        <w:rPr>
          <w:rFonts w:cs="Arial"/>
          <w:szCs w:val="20"/>
        </w:rPr>
        <w:t xml:space="preserve">expressed a desire for support from the AFP to continue at least at current levels. Australia’s </w:t>
      </w:r>
      <w:r w:rsidR="004F1FCB" w:rsidRPr="008E6445">
        <w:rPr>
          <w:rFonts w:cs="Arial"/>
          <w:szCs w:val="20"/>
        </w:rPr>
        <w:t>aim is to be</w:t>
      </w:r>
      <w:r w:rsidRPr="008E6445">
        <w:rPr>
          <w:rFonts w:cs="Arial"/>
          <w:szCs w:val="20"/>
        </w:rPr>
        <w:t xml:space="preserve"> Timor-Leste’s security partner of choice.</w:t>
      </w:r>
    </w:p>
    <w:p w14:paraId="65AC1BEC" w14:textId="77777777" w:rsidR="00063554" w:rsidRPr="008E6445" w:rsidRDefault="00063554" w:rsidP="007701F5">
      <w:pPr>
        <w:spacing w:after="120" w:line="240" w:lineRule="auto"/>
        <w:rPr>
          <w:rFonts w:cs="Arial"/>
        </w:rPr>
      </w:pPr>
      <w:r w:rsidRPr="008E6445">
        <w:rPr>
          <w:rFonts w:cs="Arial"/>
        </w:rPr>
        <w:t>Continued Government of Australia assistance to the Timorese security sector and law enforcement agencies, including the PNTL, is consistent with notions and evidence that:</w:t>
      </w:r>
    </w:p>
    <w:p w14:paraId="16B81556" w14:textId="3BBA47F3" w:rsidR="00063554" w:rsidRPr="008E6445" w:rsidRDefault="004F1FCB" w:rsidP="007701F5">
      <w:pPr>
        <w:pStyle w:val="ListParagraph"/>
        <w:numPr>
          <w:ilvl w:val="0"/>
          <w:numId w:val="23"/>
        </w:numPr>
        <w:spacing w:after="120" w:line="240" w:lineRule="auto"/>
        <w:rPr>
          <w:rFonts w:cs="Arial"/>
        </w:rPr>
      </w:pPr>
      <w:r w:rsidRPr="008E6445">
        <w:rPr>
          <w:rFonts w:cs="Arial"/>
        </w:rPr>
        <w:t>W</w:t>
      </w:r>
      <w:r w:rsidR="00063554" w:rsidRPr="008E6445">
        <w:rPr>
          <w:rFonts w:cs="Arial"/>
        </w:rPr>
        <w:t xml:space="preserve">hile there have been significant improvements in Timor-Leste’s security sector, policing capabilities are still </w:t>
      </w:r>
      <w:proofErr w:type="gramStart"/>
      <w:r w:rsidR="00063554" w:rsidRPr="008E6445">
        <w:rPr>
          <w:rFonts w:cs="Arial"/>
        </w:rPr>
        <w:t>developing</w:t>
      </w:r>
      <w:r w:rsidRPr="008E6445">
        <w:rPr>
          <w:rFonts w:cs="Arial"/>
        </w:rPr>
        <w:t>;</w:t>
      </w:r>
      <w:proofErr w:type="gramEnd"/>
    </w:p>
    <w:p w14:paraId="2F174D99" w14:textId="7467158F" w:rsidR="00063554" w:rsidRPr="008E6445" w:rsidRDefault="004F1FCB" w:rsidP="007701F5">
      <w:pPr>
        <w:pStyle w:val="ListParagraph"/>
        <w:numPr>
          <w:ilvl w:val="0"/>
          <w:numId w:val="23"/>
        </w:numPr>
        <w:spacing w:after="120" w:line="240" w:lineRule="auto"/>
        <w:rPr>
          <w:rFonts w:cs="Arial"/>
        </w:rPr>
      </w:pPr>
      <w:r w:rsidRPr="008E6445">
        <w:rPr>
          <w:rFonts w:cs="Arial"/>
        </w:rPr>
        <w:t>T</w:t>
      </w:r>
      <w:r w:rsidR="00063554" w:rsidRPr="008E6445">
        <w:rPr>
          <w:rFonts w:cs="Arial"/>
        </w:rPr>
        <w:t>he results of Australia’s long-term investments in the security sector could be diminished and/or stalled without on-going support and an appropriate transition strategy in place</w:t>
      </w:r>
      <w:r w:rsidRPr="008E6445">
        <w:rPr>
          <w:rFonts w:cs="Arial"/>
        </w:rPr>
        <w:t>;</w:t>
      </w:r>
      <w:r w:rsidR="00063554" w:rsidRPr="008E6445">
        <w:rPr>
          <w:rStyle w:val="FootnoteReference"/>
          <w:rFonts w:cs="Arial"/>
        </w:rPr>
        <w:footnoteReference w:id="31"/>
      </w:r>
    </w:p>
    <w:p w14:paraId="2C08B9C1" w14:textId="7473F2CF" w:rsidR="00063554" w:rsidRPr="008E6445" w:rsidRDefault="004F1FCB" w:rsidP="007701F5">
      <w:pPr>
        <w:pStyle w:val="ListParagraph"/>
        <w:numPr>
          <w:ilvl w:val="0"/>
          <w:numId w:val="23"/>
        </w:numPr>
        <w:spacing w:after="120" w:line="240" w:lineRule="auto"/>
        <w:rPr>
          <w:rFonts w:cs="Arial"/>
        </w:rPr>
      </w:pPr>
      <w:r w:rsidRPr="008E6445">
        <w:rPr>
          <w:rFonts w:cs="Arial"/>
        </w:rPr>
        <w:t>T</w:t>
      </w:r>
      <w:r w:rsidR="00063554" w:rsidRPr="008E6445">
        <w:rPr>
          <w:rFonts w:cs="Arial"/>
        </w:rPr>
        <w:t>he next ten years of development in Timor-Leste, particularly in the security sector, will be more difficult than the previous ten years</w:t>
      </w:r>
      <w:r w:rsidRPr="008E6445">
        <w:rPr>
          <w:rFonts w:cs="Arial"/>
        </w:rPr>
        <w:t>;</w:t>
      </w:r>
      <w:r w:rsidR="00063554" w:rsidRPr="008E6445">
        <w:rPr>
          <w:rStyle w:val="FootnoteReference"/>
          <w:rFonts w:cs="Arial"/>
        </w:rPr>
        <w:footnoteReference w:id="32"/>
      </w:r>
    </w:p>
    <w:p w14:paraId="65CAEC6A" w14:textId="1F36F15A" w:rsidR="00063554" w:rsidRPr="008E6445" w:rsidRDefault="004F1FCB" w:rsidP="007701F5">
      <w:pPr>
        <w:pStyle w:val="ListParagraph"/>
        <w:numPr>
          <w:ilvl w:val="0"/>
          <w:numId w:val="23"/>
        </w:numPr>
        <w:spacing w:after="120" w:line="240" w:lineRule="auto"/>
        <w:rPr>
          <w:rFonts w:cs="Arial"/>
        </w:rPr>
      </w:pPr>
      <w:r w:rsidRPr="008E6445">
        <w:rPr>
          <w:rFonts w:cs="Arial"/>
        </w:rPr>
        <w:t>A</w:t>
      </w:r>
      <w:r w:rsidR="00063554" w:rsidRPr="008E6445">
        <w:rPr>
          <w:rFonts w:cs="Arial"/>
        </w:rPr>
        <w:t xml:space="preserve"> strong security sector is a precondition for achieving broader development outcomes</w:t>
      </w:r>
      <w:r w:rsidRPr="008E6445">
        <w:rPr>
          <w:rFonts w:cs="Arial"/>
        </w:rPr>
        <w:t>;</w:t>
      </w:r>
      <w:r w:rsidR="00063554" w:rsidRPr="008E6445">
        <w:rPr>
          <w:rStyle w:val="FootnoteReference"/>
          <w:rFonts w:cs="Arial"/>
        </w:rPr>
        <w:footnoteReference w:id="33"/>
      </w:r>
    </w:p>
    <w:p w14:paraId="34DC8D67" w14:textId="19D5D0CE" w:rsidR="00063554" w:rsidRPr="008E6445" w:rsidRDefault="004F1FCB" w:rsidP="007701F5">
      <w:pPr>
        <w:pStyle w:val="ListParagraph"/>
        <w:numPr>
          <w:ilvl w:val="0"/>
          <w:numId w:val="23"/>
        </w:numPr>
        <w:spacing w:after="120" w:line="240" w:lineRule="auto"/>
        <w:rPr>
          <w:rFonts w:cs="Arial"/>
        </w:rPr>
      </w:pPr>
      <w:r w:rsidRPr="008E6445">
        <w:rPr>
          <w:rFonts w:cs="Arial"/>
        </w:rPr>
        <w:t>P</w:t>
      </w:r>
      <w:r w:rsidR="00063554" w:rsidRPr="008E6445">
        <w:rPr>
          <w:rFonts w:cs="Arial"/>
        </w:rPr>
        <w:t>ost-conflict countries are prone to relapse into conflict</w:t>
      </w:r>
      <w:r w:rsidRPr="008E6445">
        <w:rPr>
          <w:rFonts w:cs="Arial"/>
        </w:rPr>
        <w:t>;</w:t>
      </w:r>
      <w:r w:rsidR="00063554" w:rsidRPr="008E6445">
        <w:rPr>
          <w:rStyle w:val="FootnoteReference"/>
          <w:rFonts w:cs="Arial"/>
        </w:rPr>
        <w:footnoteReference w:id="34"/>
      </w:r>
      <w:r w:rsidR="00063554" w:rsidRPr="008E6445">
        <w:rPr>
          <w:rFonts w:cs="Arial"/>
        </w:rPr>
        <w:t xml:space="preserve"> </w:t>
      </w:r>
      <w:r w:rsidRPr="008E6445">
        <w:rPr>
          <w:rFonts w:cs="Arial"/>
        </w:rPr>
        <w:t>and</w:t>
      </w:r>
    </w:p>
    <w:p w14:paraId="0C297BAB" w14:textId="3AB830C6" w:rsidR="00063554" w:rsidRPr="008E6445" w:rsidRDefault="004F1FCB" w:rsidP="007701F5">
      <w:pPr>
        <w:pStyle w:val="ListParagraph"/>
        <w:numPr>
          <w:ilvl w:val="0"/>
          <w:numId w:val="23"/>
        </w:numPr>
        <w:spacing w:after="120" w:line="240" w:lineRule="auto"/>
        <w:rPr>
          <w:rFonts w:cs="Arial"/>
        </w:rPr>
      </w:pPr>
      <w:r w:rsidRPr="008E6445">
        <w:rPr>
          <w:rFonts w:cs="Arial"/>
        </w:rPr>
        <w:t>P</w:t>
      </w:r>
      <w:r w:rsidR="00063554" w:rsidRPr="008E6445">
        <w:rPr>
          <w:rFonts w:cs="Arial"/>
        </w:rPr>
        <w:t>eriods of peace in post-conflict countries can be followed by high levels of criminal activity and violence</w:t>
      </w:r>
      <w:r w:rsidRPr="008E6445">
        <w:rPr>
          <w:rFonts w:cs="Arial"/>
        </w:rPr>
        <w:t>.</w:t>
      </w:r>
      <w:r w:rsidR="00063554" w:rsidRPr="008E6445">
        <w:rPr>
          <w:rStyle w:val="FootnoteReference"/>
          <w:rFonts w:cs="Arial"/>
        </w:rPr>
        <w:footnoteReference w:id="35"/>
      </w:r>
    </w:p>
    <w:p w14:paraId="2E79FB08" w14:textId="77777777" w:rsidR="00063554" w:rsidRPr="008E6445" w:rsidRDefault="00063554" w:rsidP="007701F5">
      <w:pPr>
        <w:spacing w:after="120" w:line="240" w:lineRule="auto"/>
        <w:rPr>
          <w:rFonts w:cs="Arial"/>
        </w:rPr>
      </w:pPr>
      <w:r w:rsidRPr="008E6445">
        <w:rPr>
          <w:rFonts w:cs="Arial"/>
        </w:rPr>
        <w:t>The proposed investment is also consistent with:</w:t>
      </w:r>
    </w:p>
    <w:p w14:paraId="18A02652" w14:textId="59C5630E" w:rsidR="00063554" w:rsidRPr="008E6445" w:rsidRDefault="004F1FCB" w:rsidP="007701F5">
      <w:pPr>
        <w:pStyle w:val="ListParagraph"/>
        <w:numPr>
          <w:ilvl w:val="0"/>
          <w:numId w:val="23"/>
        </w:numPr>
        <w:spacing w:after="120" w:line="240" w:lineRule="auto"/>
        <w:rPr>
          <w:rFonts w:cs="Arial"/>
        </w:rPr>
      </w:pPr>
      <w:r w:rsidRPr="008E6445">
        <w:rPr>
          <w:rFonts w:cs="Arial"/>
        </w:rPr>
        <w:t>T</w:t>
      </w:r>
      <w:r w:rsidR="00063554" w:rsidRPr="008E6445">
        <w:rPr>
          <w:rFonts w:cs="Arial"/>
        </w:rPr>
        <w:t>he Australian Government’s enduring interest in a stable, peaceful and prosperous Timor-Leste</w:t>
      </w:r>
      <w:r w:rsidRPr="008E6445">
        <w:rPr>
          <w:rFonts w:cs="Arial"/>
        </w:rPr>
        <w:t>;</w:t>
      </w:r>
      <w:r w:rsidR="00063554" w:rsidRPr="008E6445">
        <w:rPr>
          <w:vertAlign w:val="superscript"/>
        </w:rPr>
        <w:footnoteReference w:id="36"/>
      </w:r>
    </w:p>
    <w:p w14:paraId="4605C18D" w14:textId="71063535" w:rsidR="004F1FCB" w:rsidRPr="008E6445" w:rsidRDefault="004F1FCB" w:rsidP="007701F5">
      <w:pPr>
        <w:pStyle w:val="ListParagraph"/>
        <w:numPr>
          <w:ilvl w:val="0"/>
          <w:numId w:val="23"/>
        </w:numPr>
        <w:spacing w:after="120" w:line="240" w:lineRule="auto"/>
        <w:rPr>
          <w:rFonts w:cs="Arial"/>
        </w:rPr>
      </w:pPr>
      <w:r w:rsidRPr="008E6445">
        <w:rPr>
          <w:rFonts w:cs="Arial"/>
        </w:rPr>
        <w:t>T</w:t>
      </w:r>
      <w:r w:rsidR="00063554" w:rsidRPr="008E6445">
        <w:rPr>
          <w:rFonts w:cs="Arial"/>
        </w:rPr>
        <w:t xml:space="preserve">he Australian Government investment priority </w:t>
      </w:r>
      <w:bookmarkStart w:id="55" w:name="_Toc263951394"/>
      <w:bookmarkStart w:id="56" w:name="_Toc390850347"/>
      <w:r w:rsidRPr="008E6445">
        <w:rPr>
          <w:rFonts w:cs="Arial"/>
        </w:rPr>
        <w:t>to promote e</w:t>
      </w:r>
      <w:r w:rsidR="00063554" w:rsidRPr="008E6445">
        <w:rPr>
          <w:rFonts w:cs="Arial"/>
        </w:rPr>
        <w:t>ffective governance policies, institutions and functioning economies</w:t>
      </w:r>
      <w:bookmarkEnd w:id="55"/>
      <w:bookmarkEnd w:id="56"/>
      <w:r w:rsidRPr="008E6445">
        <w:rPr>
          <w:rFonts w:cs="Arial"/>
        </w:rPr>
        <w:t>;</w:t>
      </w:r>
      <w:r w:rsidRPr="008E6445">
        <w:t xml:space="preserve"> </w:t>
      </w:r>
      <w:r w:rsidRPr="008E6445">
        <w:rPr>
          <w:vertAlign w:val="superscript"/>
        </w:rPr>
        <w:footnoteReference w:id="37"/>
      </w:r>
    </w:p>
    <w:p w14:paraId="52EAC50C" w14:textId="63CA5844" w:rsidR="00063554" w:rsidRPr="008E6445" w:rsidRDefault="004F1FCB" w:rsidP="007701F5">
      <w:pPr>
        <w:pStyle w:val="ListParagraph"/>
        <w:numPr>
          <w:ilvl w:val="0"/>
          <w:numId w:val="23"/>
        </w:numPr>
        <w:spacing w:after="120" w:line="240" w:lineRule="auto"/>
        <w:rPr>
          <w:rFonts w:cs="Arial"/>
        </w:rPr>
      </w:pPr>
      <w:r w:rsidRPr="008E6445">
        <w:rPr>
          <w:rFonts w:cs="Arial"/>
        </w:rPr>
        <w:t xml:space="preserve">The Australian Government’s aim </w:t>
      </w:r>
      <w:r w:rsidR="00063554" w:rsidRPr="008E6445">
        <w:rPr>
          <w:rFonts w:cs="Arial"/>
        </w:rPr>
        <w:t xml:space="preserve">to build effective law and justice systems, drawing on the </w:t>
      </w:r>
      <w:r w:rsidR="00AD207C" w:rsidRPr="008E6445">
        <w:rPr>
          <w:rFonts w:cs="Arial"/>
        </w:rPr>
        <w:t>AFP</w:t>
      </w:r>
      <w:r w:rsidR="00063554" w:rsidRPr="008E6445">
        <w:rPr>
          <w:rFonts w:cs="Arial"/>
        </w:rPr>
        <w:t>, to strengthen policing, increase the safety and security of communities and improve people’s access to justice and address violence against women</w:t>
      </w:r>
      <w:r w:rsidRPr="008E6445">
        <w:rPr>
          <w:rFonts w:cs="Arial"/>
        </w:rPr>
        <w:t>;</w:t>
      </w:r>
      <w:r w:rsidR="00063554" w:rsidRPr="008E6445">
        <w:rPr>
          <w:vertAlign w:val="superscript"/>
        </w:rPr>
        <w:footnoteReference w:id="38"/>
      </w:r>
    </w:p>
    <w:p w14:paraId="13962C1D" w14:textId="629E5D61" w:rsidR="00063554" w:rsidRPr="008E6445" w:rsidRDefault="004F1FCB" w:rsidP="007701F5">
      <w:pPr>
        <w:pStyle w:val="ListParagraph"/>
        <w:numPr>
          <w:ilvl w:val="0"/>
          <w:numId w:val="23"/>
        </w:numPr>
        <w:spacing w:after="120" w:line="240" w:lineRule="auto"/>
      </w:pPr>
      <w:r w:rsidRPr="008E6445">
        <w:rPr>
          <w:rFonts w:cs="Arial"/>
        </w:rPr>
        <w:t>T</w:t>
      </w:r>
      <w:r w:rsidR="00063554" w:rsidRPr="008E6445">
        <w:rPr>
          <w:rFonts w:cs="Arial"/>
        </w:rPr>
        <w:t>he United Nations 2030 Agenda for Sustainable Development</w:t>
      </w:r>
      <w:r w:rsidRPr="008E6445">
        <w:rPr>
          <w:rFonts w:cs="Arial"/>
        </w:rPr>
        <w:t>;</w:t>
      </w:r>
      <w:r w:rsidR="00063554" w:rsidRPr="008E6445">
        <w:rPr>
          <w:vertAlign w:val="superscript"/>
        </w:rPr>
        <w:footnoteReference w:id="39"/>
      </w:r>
      <w:r w:rsidR="00063554" w:rsidRPr="008E6445">
        <w:rPr>
          <w:rFonts w:cs="Arial"/>
          <w:vertAlign w:val="superscript"/>
        </w:rPr>
        <w:t xml:space="preserve"> </w:t>
      </w:r>
    </w:p>
    <w:p w14:paraId="03270458" w14:textId="4CF2D094" w:rsidR="00063554" w:rsidRPr="008E6445" w:rsidRDefault="00063554" w:rsidP="007701F5">
      <w:pPr>
        <w:pStyle w:val="ListParagraph"/>
        <w:numPr>
          <w:ilvl w:val="0"/>
          <w:numId w:val="23"/>
        </w:numPr>
        <w:spacing w:after="120" w:line="240" w:lineRule="auto"/>
        <w:rPr>
          <w:rFonts w:cs="Arial"/>
        </w:rPr>
      </w:pPr>
      <w:r w:rsidRPr="008E6445">
        <w:rPr>
          <w:rFonts w:cs="Arial"/>
        </w:rPr>
        <w:t xml:space="preserve">The </w:t>
      </w:r>
      <w:proofErr w:type="spellStart"/>
      <w:r w:rsidR="004F1FCB" w:rsidRPr="008E6445">
        <w:rPr>
          <w:rFonts w:cs="Arial"/>
        </w:rPr>
        <w:t>Go</w:t>
      </w:r>
      <w:r w:rsidRPr="008E6445">
        <w:rPr>
          <w:rFonts w:cs="Arial"/>
        </w:rPr>
        <w:t>RDTL</w:t>
      </w:r>
      <w:proofErr w:type="spellEnd"/>
      <w:r w:rsidRPr="008E6445">
        <w:rPr>
          <w:rFonts w:cs="Arial"/>
        </w:rPr>
        <w:t xml:space="preserve"> Program of the Sixth Constitutional Government 2015 – 2017</w:t>
      </w:r>
      <w:r w:rsidR="004F1FCB" w:rsidRPr="008E6445">
        <w:rPr>
          <w:rFonts w:cs="Arial"/>
        </w:rPr>
        <w:t>;</w:t>
      </w:r>
      <w:r w:rsidRPr="008E6445">
        <w:rPr>
          <w:vertAlign w:val="superscript"/>
        </w:rPr>
        <w:footnoteReference w:id="40"/>
      </w:r>
    </w:p>
    <w:p w14:paraId="0ADE531A" w14:textId="1A38A4DF" w:rsidR="00063554" w:rsidRPr="008E6445" w:rsidRDefault="00063554" w:rsidP="007701F5">
      <w:pPr>
        <w:pStyle w:val="ListParagraph"/>
        <w:numPr>
          <w:ilvl w:val="0"/>
          <w:numId w:val="25"/>
        </w:numPr>
        <w:spacing w:after="120" w:line="240" w:lineRule="auto"/>
        <w:rPr>
          <w:rFonts w:cs="Arial"/>
        </w:rPr>
      </w:pPr>
      <w:r w:rsidRPr="008E6445">
        <w:rPr>
          <w:rFonts w:cs="Arial"/>
        </w:rPr>
        <w:t xml:space="preserve">the </w:t>
      </w:r>
      <w:r w:rsidRPr="008E6445">
        <w:rPr>
          <w:rFonts w:cs="Arial"/>
          <w:i/>
        </w:rPr>
        <w:t>New Deal</w:t>
      </w:r>
      <w:r w:rsidRPr="008E6445">
        <w:rPr>
          <w:rFonts w:cs="Arial"/>
        </w:rPr>
        <w:t xml:space="preserve"> for engagement in fragile states</w:t>
      </w:r>
      <w:r w:rsidR="004F1FCB" w:rsidRPr="008E6445">
        <w:rPr>
          <w:rFonts w:cs="Arial"/>
        </w:rPr>
        <w:t>;</w:t>
      </w:r>
      <w:r w:rsidRPr="008E6445">
        <w:rPr>
          <w:rStyle w:val="FootnoteReference"/>
          <w:rFonts w:cs="Arial"/>
        </w:rPr>
        <w:footnoteReference w:id="41"/>
      </w:r>
      <w:r w:rsidRPr="008E6445">
        <w:rPr>
          <w:rFonts w:cs="Arial"/>
        </w:rPr>
        <w:t xml:space="preserve"> </w:t>
      </w:r>
    </w:p>
    <w:p w14:paraId="0E26C998" w14:textId="7C9D94A7" w:rsidR="00063554" w:rsidRPr="008E6445" w:rsidRDefault="00063554" w:rsidP="007701F5">
      <w:pPr>
        <w:pStyle w:val="ListParagraph"/>
        <w:numPr>
          <w:ilvl w:val="0"/>
          <w:numId w:val="25"/>
        </w:numPr>
        <w:spacing w:after="120" w:line="240" w:lineRule="auto"/>
        <w:rPr>
          <w:rFonts w:cs="Arial"/>
        </w:rPr>
      </w:pPr>
      <w:r w:rsidRPr="008E6445">
        <w:rPr>
          <w:rFonts w:cs="Arial"/>
        </w:rPr>
        <w:t xml:space="preserve">the RDTL </w:t>
      </w:r>
      <w:r w:rsidRPr="008E6445">
        <w:rPr>
          <w:rFonts w:cs="Arial"/>
          <w:i/>
        </w:rPr>
        <w:t xml:space="preserve">Strategic Development Plan </w:t>
      </w:r>
      <w:proofErr w:type="gramStart"/>
      <w:r w:rsidRPr="008E6445">
        <w:rPr>
          <w:rFonts w:cs="Arial"/>
          <w:i/>
        </w:rPr>
        <w:t>2011-2030</w:t>
      </w:r>
      <w:r w:rsidR="004F1FCB" w:rsidRPr="008E6445">
        <w:rPr>
          <w:rFonts w:cs="Arial"/>
        </w:rPr>
        <w:t>;</w:t>
      </w:r>
      <w:proofErr w:type="gramEnd"/>
    </w:p>
    <w:p w14:paraId="011078B9" w14:textId="655EB70F" w:rsidR="00063554" w:rsidRPr="008E6445" w:rsidRDefault="00063554" w:rsidP="007701F5">
      <w:pPr>
        <w:pStyle w:val="ListParagraph"/>
        <w:numPr>
          <w:ilvl w:val="0"/>
          <w:numId w:val="25"/>
        </w:numPr>
        <w:spacing w:after="120" w:line="240" w:lineRule="auto"/>
        <w:rPr>
          <w:rFonts w:cs="Arial"/>
        </w:rPr>
      </w:pPr>
      <w:r w:rsidRPr="008E6445">
        <w:rPr>
          <w:rFonts w:cs="Arial"/>
        </w:rPr>
        <w:lastRenderedPageBreak/>
        <w:t xml:space="preserve">the AFP </w:t>
      </w:r>
      <w:r w:rsidR="00EC70FB" w:rsidRPr="008E6445">
        <w:rPr>
          <w:rFonts w:cs="Arial"/>
        </w:rPr>
        <w:t xml:space="preserve">goal </w:t>
      </w:r>
      <w:r w:rsidRPr="008E6445">
        <w:rPr>
          <w:rFonts w:cs="Arial"/>
        </w:rPr>
        <w:t>of ‘reduced criminal and security threats to Australia’s collective economic and societal interests through co-operative policing services</w:t>
      </w:r>
      <w:r w:rsidR="004F1FCB" w:rsidRPr="008E6445">
        <w:rPr>
          <w:rFonts w:cs="Arial"/>
        </w:rPr>
        <w:t>; and</w:t>
      </w:r>
    </w:p>
    <w:p w14:paraId="6FF3F163" w14:textId="77777777" w:rsidR="00063554" w:rsidRPr="008E6445" w:rsidRDefault="00063554" w:rsidP="007701F5">
      <w:pPr>
        <w:pStyle w:val="ListParagraph"/>
        <w:numPr>
          <w:ilvl w:val="0"/>
          <w:numId w:val="25"/>
        </w:numPr>
        <w:spacing w:after="120" w:line="240" w:lineRule="auto"/>
        <w:rPr>
          <w:rFonts w:cs="Arial"/>
        </w:rPr>
      </w:pPr>
      <w:r w:rsidRPr="008E6445">
        <w:rPr>
          <w:rFonts w:cs="Arial"/>
        </w:rPr>
        <w:t>Regional maritime security efforts.</w:t>
      </w:r>
    </w:p>
    <w:p w14:paraId="7E414723" w14:textId="76C2EAB0" w:rsidR="00063554" w:rsidRPr="00E867E7" w:rsidRDefault="00063554" w:rsidP="00D6523B">
      <w:pPr>
        <w:pStyle w:val="Heading3"/>
        <w:numPr>
          <w:ilvl w:val="2"/>
          <w:numId w:val="61"/>
        </w:numPr>
        <w:spacing w:before="0" w:after="120" w:line="240" w:lineRule="auto"/>
        <w:ind w:left="567" w:hanging="567"/>
      </w:pPr>
      <w:bookmarkStart w:id="58" w:name="_Toc516189347"/>
      <w:r w:rsidRPr="00AE209B">
        <w:t>Current AFP Assistan</w:t>
      </w:r>
      <w:r w:rsidRPr="00E867E7">
        <w:t>ce</w:t>
      </w:r>
      <w:bookmarkEnd w:id="58"/>
    </w:p>
    <w:p w14:paraId="295303A0" w14:textId="5202CCA1" w:rsidR="00063554" w:rsidRPr="008E6445" w:rsidRDefault="00063554" w:rsidP="007701F5">
      <w:pPr>
        <w:spacing w:after="120" w:line="240" w:lineRule="auto"/>
        <w:rPr>
          <w:rFonts w:cs="Arial"/>
        </w:rPr>
      </w:pPr>
      <w:r w:rsidRPr="008E6445">
        <w:rPr>
          <w:rFonts w:cs="Arial"/>
        </w:rPr>
        <w:t xml:space="preserve">The TLPDP is a police-to-police development program delivered by the AFP and </w:t>
      </w:r>
      <w:proofErr w:type="gramStart"/>
      <w:r w:rsidRPr="008E6445">
        <w:rPr>
          <w:rFonts w:cs="Arial"/>
        </w:rPr>
        <w:t>PNTL, and</w:t>
      </w:r>
      <w:proofErr w:type="gramEnd"/>
      <w:r w:rsidRPr="008E6445">
        <w:rPr>
          <w:rFonts w:cs="Arial"/>
        </w:rPr>
        <w:t xml:space="preserve"> funded under Official Development Assistance by the Australian Government</w:t>
      </w:r>
      <w:r w:rsidR="00EC70FB" w:rsidRPr="008E6445">
        <w:rPr>
          <w:rFonts w:cs="Arial"/>
        </w:rPr>
        <w:t>.</w:t>
      </w:r>
      <w:r w:rsidRPr="008E6445">
        <w:rPr>
          <w:rFonts w:cs="Arial"/>
        </w:rPr>
        <w:t xml:space="preserve"> </w:t>
      </w:r>
      <w:r w:rsidR="00EC70FB" w:rsidRPr="008E6445">
        <w:rPr>
          <w:rFonts w:cs="Arial"/>
        </w:rPr>
        <w:t xml:space="preserve">The </w:t>
      </w:r>
      <w:r w:rsidRPr="008E6445">
        <w:rPr>
          <w:rFonts w:cs="Arial"/>
        </w:rPr>
        <w:t xml:space="preserve">TLPDP commenced in 2004 and was initially jointly delivered by AusAID and the AFP. </w:t>
      </w:r>
      <w:r w:rsidR="00EC70FB" w:rsidRPr="008E6445">
        <w:rPr>
          <w:rFonts w:cs="Arial"/>
          <w:szCs w:val="20"/>
        </w:rPr>
        <w:t xml:space="preserve">There </w:t>
      </w:r>
      <w:r w:rsidR="0093091A" w:rsidRPr="008E6445">
        <w:rPr>
          <w:rFonts w:cs="Arial"/>
          <w:szCs w:val="20"/>
        </w:rPr>
        <w:t>were</w:t>
      </w:r>
      <w:r w:rsidR="00EC70FB" w:rsidRPr="008E6445">
        <w:rPr>
          <w:rFonts w:cs="Arial"/>
          <w:szCs w:val="20"/>
        </w:rPr>
        <w:t xml:space="preserve"> 19 AFP staff, 13 locally engaged staff and 2 contractors funded in the </w:t>
      </w:r>
      <w:r w:rsidR="0093091A" w:rsidRPr="008E6445">
        <w:rPr>
          <w:rFonts w:cs="Arial"/>
          <w:szCs w:val="20"/>
        </w:rPr>
        <w:t xml:space="preserve">2014-2018 </w:t>
      </w:r>
      <w:r w:rsidR="00EC70FB" w:rsidRPr="008E6445">
        <w:rPr>
          <w:rFonts w:cs="Arial"/>
          <w:szCs w:val="20"/>
        </w:rPr>
        <w:t xml:space="preserve">TLPDP. </w:t>
      </w:r>
      <w:r w:rsidRPr="008E6445">
        <w:rPr>
          <w:rFonts w:cs="Arial"/>
        </w:rPr>
        <w:t xml:space="preserve">The </w:t>
      </w:r>
      <w:r w:rsidR="0093091A" w:rsidRPr="008E6445">
        <w:rPr>
          <w:rFonts w:cs="Arial"/>
        </w:rPr>
        <w:t xml:space="preserve">2014-2018 </w:t>
      </w:r>
      <w:r w:rsidRPr="008E6445">
        <w:rPr>
          <w:rFonts w:cs="Arial"/>
        </w:rPr>
        <w:t xml:space="preserve">TLPDP </w:t>
      </w:r>
      <w:r w:rsidR="0093091A" w:rsidRPr="008E6445">
        <w:rPr>
          <w:rFonts w:cs="Arial"/>
        </w:rPr>
        <w:t>had</w:t>
      </w:r>
      <w:r w:rsidRPr="008E6445">
        <w:rPr>
          <w:rFonts w:cs="Arial"/>
        </w:rPr>
        <w:t xml:space="preserve"> the following objectives: </w:t>
      </w:r>
    </w:p>
    <w:p w14:paraId="70BED8FB" w14:textId="25EF89B0" w:rsidR="00063554" w:rsidRPr="008E6445" w:rsidRDefault="00063554" w:rsidP="007701F5">
      <w:pPr>
        <w:pStyle w:val="ListParagraph"/>
        <w:numPr>
          <w:ilvl w:val="0"/>
          <w:numId w:val="12"/>
        </w:numPr>
        <w:spacing w:after="120" w:line="240" w:lineRule="auto"/>
        <w:rPr>
          <w:rFonts w:cs="Arial"/>
        </w:rPr>
      </w:pPr>
      <w:r w:rsidRPr="008E6445">
        <w:rPr>
          <w:rFonts w:cs="Arial"/>
          <w:i/>
          <w:lang w:eastAsia="en-US"/>
        </w:rPr>
        <w:t>Improved PNTL core operational capabilities</w:t>
      </w:r>
      <w:r w:rsidRPr="008E6445">
        <w:rPr>
          <w:rFonts w:cs="Arial"/>
          <w:lang w:eastAsia="en-US"/>
        </w:rPr>
        <w:t>, including support for Dili District policing operations; the Prosecutions Liaison Officer Network; the Vulnerable Persons Units</w:t>
      </w:r>
      <w:r w:rsidR="0093091A" w:rsidRPr="008E6445">
        <w:rPr>
          <w:rFonts w:cs="Arial"/>
          <w:lang w:eastAsia="en-US"/>
        </w:rPr>
        <w:t xml:space="preserve"> (VPU)</w:t>
      </w:r>
      <w:r w:rsidRPr="008E6445">
        <w:rPr>
          <w:rFonts w:cs="Arial"/>
          <w:lang w:eastAsia="en-US"/>
        </w:rPr>
        <w:t>; the Incident Management System (IMS); PNTL’s intelligence</w:t>
      </w:r>
      <w:r w:rsidR="005A3CA2" w:rsidRPr="008E6445">
        <w:rPr>
          <w:rFonts w:cs="Arial"/>
          <w:lang w:eastAsia="en-US"/>
        </w:rPr>
        <w:t>;</w:t>
      </w:r>
      <w:r w:rsidRPr="008E6445">
        <w:rPr>
          <w:rFonts w:cs="Arial"/>
          <w:lang w:eastAsia="en-US"/>
        </w:rPr>
        <w:t xml:space="preserve"> and the Police Training Centre (PTC).</w:t>
      </w:r>
    </w:p>
    <w:p w14:paraId="6496F670" w14:textId="3155A21B" w:rsidR="00063554" w:rsidRPr="008E6445" w:rsidRDefault="00063554" w:rsidP="007701F5">
      <w:pPr>
        <w:pStyle w:val="ListParagraph"/>
        <w:numPr>
          <w:ilvl w:val="0"/>
          <w:numId w:val="12"/>
        </w:numPr>
        <w:spacing w:after="120" w:line="240" w:lineRule="auto"/>
        <w:rPr>
          <w:rFonts w:cs="Arial"/>
        </w:rPr>
      </w:pPr>
      <w:r w:rsidRPr="008E6445">
        <w:rPr>
          <w:rFonts w:cs="Arial"/>
          <w:i/>
          <w:lang w:eastAsia="en-US"/>
        </w:rPr>
        <w:t>Strengthened PNTL management and oversight</w:t>
      </w:r>
      <w:r w:rsidRPr="008E6445">
        <w:rPr>
          <w:rFonts w:cs="Arial"/>
          <w:lang w:eastAsia="en-US"/>
        </w:rPr>
        <w:t>, including support to the PNTL Department of Administration and Planning (DAP) for strategic planning; financial management; gender equality within the PNTL; and human resource management</w:t>
      </w:r>
      <w:r w:rsidR="00C52541" w:rsidRPr="008E6445">
        <w:rPr>
          <w:rFonts w:cs="Arial"/>
          <w:lang w:eastAsia="en-US"/>
        </w:rPr>
        <w:t>.</w:t>
      </w:r>
    </w:p>
    <w:p w14:paraId="0E791E34" w14:textId="77777777" w:rsidR="00063554" w:rsidRPr="008E6445" w:rsidRDefault="00063554" w:rsidP="007701F5">
      <w:pPr>
        <w:pStyle w:val="ListParagraph"/>
        <w:numPr>
          <w:ilvl w:val="0"/>
          <w:numId w:val="12"/>
        </w:numPr>
        <w:spacing w:after="120" w:line="240" w:lineRule="auto"/>
        <w:rPr>
          <w:rFonts w:cs="Arial"/>
        </w:rPr>
      </w:pPr>
      <w:r w:rsidRPr="008E6445">
        <w:rPr>
          <w:rFonts w:cs="Arial"/>
          <w:i/>
          <w:lang w:eastAsia="en-US"/>
        </w:rPr>
        <w:t>Strengthened PNTL self-improvement systems</w:t>
      </w:r>
      <w:r w:rsidRPr="008E6445">
        <w:rPr>
          <w:rFonts w:cs="Arial"/>
          <w:lang w:eastAsia="en-US"/>
        </w:rPr>
        <w:t>, including support for the PNTL to increasingly take responsibility for their own development.</w:t>
      </w:r>
    </w:p>
    <w:p w14:paraId="6A660E6C" w14:textId="2D0B20DA" w:rsidR="00EC70FB" w:rsidRPr="008E6445" w:rsidRDefault="00063554" w:rsidP="007701F5">
      <w:pPr>
        <w:spacing w:after="120" w:line="240" w:lineRule="auto"/>
      </w:pPr>
      <w:r w:rsidRPr="008E6445">
        <w:rPr>
          <w:rFonts w:cs="Arial"/>
          <w:szCs w:val="20"/>
        </w:rPr>
        <w:t>A recent Mid-</w:t>
      </w:r>
      <w:r w:rsidR="003B342B" w:rsidRPr="008E6445">
        <w:rPr>
          <w:rFonts w:cs="Arial"/>
          <w:szCs w:val="20"/>
        </w:rPr>
        <w:t>Term Review of TLPDP found the P</w:t>
      </w:r>
      <w:r w:rsidRPr="008E6445">
        <w:rPr>
          <w:rFonts w:cs="Arial"/>
          <w:szCs w:val="20"/>
        </w:rPr>
        <w:t xml:space="preserve">rogram has prioritised supporting the PNTL to lead its own development and increasingly operate without external assistance. </w:t>
      </w:r>
      <w:r w:rsidR="00EC70FB" w:rsidRPr="008E6445">
        <w:rPr>
          <w:rFonts w:cs="Arial"/>
          <w:szCs w:val="20"/>
        </w:rPr>
        <w:t>It found that</w:t>
      </w:r>
      <w:r w:rsidRPr="008E6445">
        <w:rPr>
          <w:rFonts w:cs="Arial"/>
          <w:szCs w:val="20"/>
        </w:rPr>
        <w:t xml:space="preserve"> </w:t>
      </w:r>
      <w:r w:rsidRPr="008E6445">
        <w:t>the accompaniment approach</w:t>
      </w:r>
      <w:r w:rsidR="00EC70FB" w:rsidRPr="008E6445">
        <w:t xml:space="preserve"> being used in the current Program</w:t>
      </w:r>
      <w:r w:rsidR="003B342B" w:rsidRPr="008E6445">
        <w:t xml:space="preserve"> has shifted some P</w:t>
      </w:r>
      <w:r w:rsidRPr="008E6445">
        <w:t xml:space="preserve">rogram responsibility to PNTL and the establishment of the </w:t>
      </w:r>
      <w:r w:rsidR="00EC70FB" w:rsidRPr="008E6445">
        <w:t>PCB</w:t>
      </w:r>
      <w:r w:rsidRPr="008E6445">
        <w:t xml:space="preserve"> has created better alignment between </w:t>
      </w:r>
      <w:proofErr w:type="spellStart"/>
      <w:r w:rsidR="00EC70FB" w:rsidRPr="008E6445">
        <w:t>Go</w:t>
      </w:r>
      <w:r w:rsidRPr="008E6445">
        <w:t>RDTL</w:t>
      </w:r>
      <w:proofErr w:type="spellEnd"/>
      <w:r w:rsidRPr="008E6445">
        <w:t>, PNTL and TLPDP priorities.</w:t>
      </w:r>
    </w:p>
    <w:p w14:paraId="1FCEC40B" w14:textId="2599209D" w:rsidR="00EC70FB" w:rsidRPr="008E6445" w:rsidRDefault="00063554" w:rsidP="007701F5">
      <w:pPr>
        <w:spacing w:after="120" w:line="240" w:lineRule="auto"/>
      </w:pPr>
      <w:r w:rsidRPr="008E6445">
        <w:t xml:space="preserve"> The continued use of the train-the-trainer model has also ensured the PNTL are developing sustainable capabilities to continue their own development. These approaches </w:t>
      </w:r>
      <w:r w:rsidR="004D4BAC" w:rsidRPr="008E6445">
        <w:t xml:space="preserve">will </w:t>
      </w:r>
      <w:r w:rsidRPr="008E6445">
        <w:t>be essential in the next phase to ensure the PNTL are increasingly able to operate and function with limited external assistance.</w:t>
      </w:r>
    </w:p>
    <w:p w14:paraId="0444C689" w14:textId="2973E019" w:rsidR="00063554" w:rsidRPr="008E6445" w:rsidRDefault="00063554" w:rsidP="007701F5">
      <w:pPr>
        <w:spacing w:after="120" w:line="240" w:lineRule="auto"/>
      </w:pPr>
      <w:r w:rsidRPr="008E6445">
        <w:t xml:space="preserve">The same review also found </w:t>
      </w:r>
      <w:r w:rsidR="00D92D44" w:rsidRPr="008E6445">
        <w:t>the</w:t>
      </w:r>
      <w:r w:rsidRPr="008E6445">
        <w:t xml:space="preserve"> TLPDP is progressing towards ach</w:t>
      </w:r>
      <w:r w:rsidR="003B342B" w:rsidRPr="008E6445">
        <w:t>ieving intermediate and end of P</w:t>
      </w:r>
      <w:r w:rsidRPr="008E6445">
        <w:t>rogram outcomes. For example, evidence demonstrate</w:t>
      </w:r>
      <w:r w:rsidR="001801AF">
        <w:t>s</w:t>
      </w:r>
      <w:r w:rsidRPr="008E6445">
        <w:t xml:space="preserve"> the PNTL DAP are increasingly implementing sound corporate management practices; some District Commanders are applying effective leadership and management skills in their day-to-day work </w:t>
      </w:r>
      <w:r w:rsidR="001801AF">
        <w:t xml:space="preserve">such </w:t>
      </w:r>
      <w:r w:rsidRPr="008E6445">
        <w:t xml:space="preserve">as targeted training and mentoring; and reports generated from </w:t>
      </w:r>
      <w:r w:rsidR="00D92D44" w:rsidRPr="008E6445">
        <w:t>IMS</w:t>
      </w:r>
      <w:r w:rsidRPr="008E6445">
        <w:t xml:space="preserve"> are increasingly informing planning and decision making.</w:t>
      </w:r>
      <w:r w:rsidRPr="008E6445">
        <w:rPr>
          <w:rStyle w:val="FootnoteReference"/>
        </w:rPr>
        <w:footnoteReference w:id="42"/>
      </w:r>
    </w:p>
    <w:p w14:paraId="4A532138" w14:textId="1B5B9D40" w:rsidR="00253EC6" w:rsidRDefault="00253EC6" w:rsidP="007701F5">
      <w:pPr>
        <w:spacing w:after="120" w:line="240" w:lineRule="auto"/>
        <w:rPr>
          <w:rFonts w:asciiTheme="majorHAnsi" w:eastAsiaTheme="majorEastAsia" w:hAnsiTheme="majorHAnsi" w:cstheme="majorBidi"/>
          <w:b/>
          <w:bCs/>
          <w:color w:val="365F91" w:themeColor="accent1" w:themeShade="BF"/>
          <w:sz w:val="28"/>
          <w:szCs w:val="28"/>
        </w:rPr>
      </w:pPr>
      <w:r>
        <w:br w:type="page"/>
      </w:r>
    </w:p>
    <w:p w14:paraId="23FBAB32" w14:textId="7F737A0F" w:rsidR="006A6EC1" w:rsidRPr="00E867E7" w:rsidRDefault="003305D6" w:rsidP="00A42C1F">
      <w:pPr>
        <w:pStyle w:val="Heading1"/>
        <w:numPr>
          <w:ilvl w:val="0"/>
          <w:numId w:val="61"/>
        </w:numPr>
        <w:spacing w:before="0" w:after="120" w:line="240" w:lineRule="auto"/>
      </w:pPr>
      <w:bookmarkStart w:id="59" w:name="_Toc516189348"/>
      <w:r w:rsidRPr="00AE209B">
        <w:lastRenderedPageBreak/>
        <w:t>Investment</w:t>
      </w:r>
      <w:r w:rsidR="006A6EC1" w:rsidRPr="00E867E7">
        <w:t xml:space="preserve"> Description</w:t>
      </w:r>
      <w:bookmarkEnd w:id="59"/>
    </w:p>
    <w:p w14:paraId="3B046EAD" w14:textId="632D1285" w:rsidR="00271C5C" w:rsidRPr="008E6445" w:rsidRDefault="00271C5C" w:rsidP="007701F5">
      <w:pPr>
        <w:pStyle w:val="BodyText"/>
        <w:spacing w:before="0" w:after="120" w:line="240" w:lineRule="auto"/>
        <w:rPr>
          <w:color w:val="auto"/>
          <w:lang w:val="en-AU"/>
        </w:rPr>
      </w:pPr>
      <w:r w:rsidRPr="008E6445">
        <w:rPr>
          <w:color w:val="auto"/>
          <w:lang w:val="en-AU"/>
        </w:rPr>
        <w:t>This section describes the proposed Timor-Leste Police Development Program and covers the:</w:t>
      </w:r>
    </w:p>
    <w:p w14:paraId="3416B425" w14:textId="4C9365D8" w:rsidR="00271C5C" w:rsidRPr="008E6445" w:rsidRDefault="00B20CBB" w:rsidP="007701F5">
      <w:pPr>
        <w:pStyle w:val="Bullet1"/>
        <w:spacing w:before="0" w:after="120" w:line="240" w:lineRule="auto"/>
        <w:rPr>
          <w:rStyle w:val="Strong"/>
          <w:b w:val="0"/>
          <w:color w:val="auto"/>
          <w:lang w:val="en-AU"/>
        </w:rPr>
      </w:pPr>
      <w:r w:rsidRPr="008E6445">
        <w:rPr>
          <w:rStyle w:val="Strong"/>
          <w:b w:val="0"/>
          <w:color w:val="auto"/>
          <w:lang w:val="en-AU"/>
        </w:rPr>
        <w:t>P</w:t>
      </w:r>
      <w:r w:rsidR="003B342B" w:rsidRPr="008E6445">
        <w:rPr>
          <w:rStyle w:val="Strong"/>
          <w:b w:val="0"/>
          <w:color w:val="auto"/>
          <w:lang w:val="en-AU"/>
        </w:rPr>
        <w:t>rogram logic, P</w:t>
      </w:r>
      <w:r w:rsidR="00271C5C" w:rsidRPr="008E6445">
        <w:rPr>
          <w:rStyle w:val="Strong"/>
          <w:b w:val="0"/>
          <w:color w:val="auto"/>
          <w:lang w:val="en-AU"/>
        </w:rPr>
        <w:t xml:space="preserve">rogram goal and expected </w:t>
      </w:r>
      <w:proofErr w:type="gramStart"/>
      <w:r w:rsidR="00271C5C" w:rsidRPr="008E6445">
        <w:rPr>
          <w:rStyle w:val="Strong"/>
          <w:b w:val="0"/>
          <w:color w:val="auto"/>
          <w:lang w:val="en-AU"/>
        </w:rPr>
        <w:t>outcomes</w:t>
      </w:r>
      <w:r w:rsidRPr="008E6445">
        <w:rPr>
          <w:rStyle w:val="Strong"/>
          <w:b w:val="0"/>
          <w:color w:val="auto"/>
          <w:lang w:val="en-AU"/>
        </w:rPr>
        <w:t>;</w:t>
      </w:r>
      <w:proofErr w:type="gramEnd"/>
    </w:p>
    <w:p w14:paraId="20F17B87" w14:textId="5587D00C" w:rsidR="00271C5C" w:rsidRPr="008E6445" w:rsidRDefault="00B20CBB" w:rsidP="007701F5">
      <w:pPr>
        <w:pStyle w:val="Bullet1"/>
        <w:spacing w:before="0" w:after="120" w:line="240" w:lineRule="auto"/>
        <w:rPr>
          <w:b/>
          <w:color w:val="auto"/>
          <w:lang w:val="en-AU"/>
        </w:rPr>
      </w:pPr>
      <w:r w:rsidRPr="008E6445">
        <w:rPr>
          <w:rStyle w:val="Strong"/>
          <w:b w:val="0"/>
          <w:color w:val="auto"/>
          <w:lang w:val="en-AU"/>
        </w:rPr>
        <w:t>P</w:t>
      </w:r>
      <w:r w:rsidR="00271C5C" w:rsidRPr="008E6445">
        <w:rPr>
          <w:rStyle w:val="Strong"/>
          <w:b w:val="0"/>
          <w:color w:val="auto"/>
          <w:lang w:val="en-AU"/>
        </w:rPr>
        <w:t>athways and activities</w:t>
      </w:r>
      <w:r w:rsidR="00271C5C" w:rsidRPr="008E6445">
        <w:rPr>
          <w:b/>
          <w:color w:val="auto"/>
          <w:lang w:val="en-AU"/>
        </w:rPr>
        <w:t xml:space="preserve"> </w:t>
      </w:r>
      <w:r w:rsidR="00271C5C" w:rsidRPr="008E6445">
        <w:rPr>
          <w:color w:val="auto"/>
          <w:lang w:val="en-AU"/>
        </w:rPr>
        <w:t xml:space="preserve">for achieving the </w:t>
      </w:r>
      <w:proofErr w:type="gramStart"/>
      <w:r w:rsidR="00271C5C" w:rsidRPr="008E6445">
        <w:rPr>
          <w:color w:val="auto"/>
          <w:lang w:val="en-AU"/>
        </w:rPr>
        <w:t>outcomes</w:t>
      </w:r>
      <w:r w:rsidRPr="008E6445">
        <w:rPr>
          <w:color w:val="auto"/>
          <w:lang w:val="en-AU"/>
        </w:rPr>
        <w:t>;</w:t>
      </w:r>
      <w:proofErr w:type="gramEnd"/>
      <w:r w:rsidR="00271C5C" w:rsidRPr="008E6445">
        <w:rPr>
          <w:b/>
          <w:color w:val="auto"/>
          <w:lang w:val="en-AU"/>
        </w:rPr>
        <w:t xml:space="preserve"> </w:t>
      </w:r>
    </w:p>
    <w:p w14:paraId="6B1CB3EC" w14:textId="5645415D" w:rsidR="00271C5C" w:rsidRPr="008E6445" w:rsidRDefault="00B20CBB" w:rsidP="007701F5">
      <w:pPr>
        <w:pStyle w:val="Bullet1"/>
        <w:spacing w:before="0" w:after="120" w:line="240" w:lineRule="auto"/>
        <w:rPr>
          <w:color w:val="auto"/>
          <w:lang w:val="en-AU"/>
        </w:rPr>
      </w:pPr>
      <w:r w:rsidRPr="008E6445">
        <w:rPr>
          <w:rStyle w:val="Strong"/>
          <w:b w:val="0"/>
          <w:color w:val="auto"/>
          <w:lang w:val="en-AU"/>
        </w:rPr>
        <w:t>K</w:t>
      </w:r>
      <w:r w:rsidR="00271C5C" w:rsidRPr="008E6445">
        <w:rPr>
          <w:rStyle w:val="Strong"/>
          <w:b w:val="0"/>
          <w:color w:val="auto"/>
          <w:lang w:val="en-AU"/>
        </w:rPr>
        <w:t>ey assumptions</w:t>
      </w:r>
      <w:r w:rsidR="00271C5C" w:rsidRPr="008E6445">
        <w:rPr>
          <w:color w:val="auto"/>
          <w:lang w:val="en-AU"/>
        </w:rPr>
        <w:t xml:space="preserve"> underpinning the program logic</w:t>
      </w:r>
      <w:r w:rsidRPr="008E6445">
        <w:rPr>
          <w:color w:val="auto"/>
          <w:lang w:val="en-AU"/>
        </w:rPr>
        <w:t>; and</w:t>
      </w:r>
    </w:p>
    <w:p w14:paraId="472F4252" w14:textId="00296A75" w:rsidR="00271C5C" w:rsidRPr="008E6445" w:rsidRDefault="00B20CBB" w:rsidP="007701F5">
      <w:pPr>
        <w:pStyle w:val="Bullet1"/>
        <w:spacing w:before="0" w:after="120" w:line="240" w:lineRule="auto"/>
        <w:rPr>
          <w:color w:val="auto"/>
          <w:lang w:val="en-AU"/>
        </w:rPr>
      </w:pPr>
      <w:r w:rsidRPr="008E6445">
        <w:rPr>
          <w:color w:val="auto"/>
          <w:lang w:val="en-AU"/>
        </w:rPr>
        <w:t>A</w:t>
      </w:r>
      <w:r w:rsidR="00271C5C" w:rsidRPr="008E6445">
        <w:rPr>
          <w:color w:val="auto"/>
          <w:lang w:val="en-AU"/>
        </w:rPr>
        <w:t xml:space="preserve">pproach to </w:t>
      </w:r>
      <w:r w:rsidR="003B342B" w:rsidRPr="008E6445">
        <w:rPr>
          <w:rStyle w:val="Strong"/>
          <w:b w:val="0"/>
          <w:color w:val="auto"/>
          <w:lang w:val="en-AU"/>
        </w:rPr>
        <w:t>P</w:t>
      </w:r>
      <w:r w:rsidR="00271C5C" w:rsidRPr="008E6445">
        <w:rPr>
          <w:rStyle w:val="Strong"/>
          <w:b w:val="0"/>
          <w:color w:val="auto"/>
          <w:lang w:val="en-AU"/>
        </w:rPr>
        <w:t>rogram delivery</w:t>
      </w:r>
      <w:r w:rsidRPr="008E6445">
        <w:rPr>
          <w:rStyle w:val="Strong"/>
          <w:b w:val="0"/>
          <w:color w:val="auto"/>
          <w:lang w:val="en-AU"/>
        </w:rPr>
        <w:t>.</w:t>
      </w:r>
      <w:r w:rsidR="00271C5C" w:rsidRPr="008E6445">
        <w:rPr>
          <w:b/>
          <w:color w:val="auto"/>
          <w:lang w:val="en-AU"/>
        </w:rPr>
        <w:t xml:space="preserve"> </w:t>
      </w:r>
    </w:p>
    <w:p w14:paraId="3B2DEEA2" w14:textId="4ED73EF5" w:rsidR="004738E2" w:rsidRPr="00AE209B" w:rsidRDefault="00A42C1F" w:rsidP="00A42C1F">
      <w:pPr>
        <w:pStyle w:val="Heading2"/>
        <w:numPr>
          <w:ilvl w:val="1"/>
          <w:numId w:val="61"/>
        </w:numPr>
        <w:spacing w:before="0" w:after="120" w:line="240" w:lineRule="auto"/>
        <w:ind w:left="426"/>
      </w:pPr>
      <w:bookmarkStart w:id="60" w:name="_Toc466470972"/>
      <w:r>
        <w:t xml:space="preserve"> </w:t>
      </w:r>
      <w:bookmarkStart w:id="61" w:name="_Toc516189349"/>
      <w:r w:rsidR="00D92D44">
        <w:t>Program Logic and Ou</w:t>
      </w:r>
      <w:r w:rsidR="004738E2" w:rsidRPr="00AE209B">
        <w:t>tcomes</w:t>
      </w:r>
      <w:bookmarkEnd w:id="60"/>
      <w:bookmarkEnd w:id="61"/>
    </w:p>
    <w:p w14:paraId="14E819F7" w14:textId="3E1E17E6" w:rsidR="00194452" w:rsidRPr="008E6445" w:rsidRDefault="00DA0329" w:rsidP="007701F5">
      <w:pPr>
        <w:spacing w:after="120" w:line="240" w:lineRule="auto"/>
      </w:pPr>
      <w:bookmarkStart w:id="62" w:name="_Toc466470973"/>
      <w:r w:rsidRPr="008E6445">
        <w:t xml:space="preserve">The process of developing the Program Logic is an opportunity to chart a course and to understand the </w:t>
      </w:r>
      <w:r w:rsidR="00D92D44" w:rsidRPr="008E6445">
        <w:t>theory of change, to guide the P</w:t>
      </w:r>
      <w:r w:rsidRPr="008E6445">
        <w:t xml:space="preserve">rogram and its stakeholders. It also provides the basis upon which relevant performance indicators can be identified, and </w:t>
      </w:r>
      <w:r w:rsidR="008E6445">
        <w:t>MEL</w:t>
      </w:r>
      <w:r w:rsidRPr="008E6445">
        <w:t xml:space="preserve"> and learning can be undertaken to ensure a program is achieving optimum results. </w:t>
      </w:r>
      <w:r w:rsidR="00194452" w:rsidRPr="008E6445">
        <w:t>This section describes what the Program is expected to achieve over the immediate to longer term and the theory or reasoning behind those expectations.</w:t>
      </w:r>
    </w:p>
    <w:p w14:paraId="1B5AE602" w14:textId="2EB25674" w:rsidR="00794E60" w:rsidRPr="00AE209B" w:rsidRDefault="00794E60" w:rsidP="00D6523B">
      <w:pPr>
        <w:pStyle w:val="Heading3"/>
        <w:numPr>
          <w:ilvl w:val="2"/>
          <w:numId w:val="61"/>
        </w:numPr>
        <w:spacing w:before="0" w:after="120" w:line="240" w:lineRule="auto"/>
        <w:ind w:left="567" w:hanging="567"/>
      </w:pPr>
      <w:bookmarkStart w:id="63" w:name="_Toc516189350"/>
      <w:r w:rsidRPr="00AE209B">
        <w:t>Principles</w:t>
      </w:r>
      <w:bookmarkEnd w:id="62"/>
      <w:bookmarkEnd w:id="63"/>
    </w:p>
    <w:p w14:paraId="1CF48DA1" w14:textId="618AC535" w:rsidR="00DD73AE" w:rsidRPr="008E6445" w:rsidRDefault="00DD73AE" w:rsidP="007701F5">
      <w:pPr>
        <w:spacing w:after="120" w:line="240" w:lineRule="auto"/>
      </w:pPr>
      <w:r w:rsidRPr="008E6445">
        <w:t>The following principles</w:t>
      </w:r>
      <w:r w:rsidR="003B342B" w:rsidRPr="008E6445">
        <w:t xml:space="preserve"> guided the design process and p</w:t>
      </w:r>
      <w:r w:rsidRPr="008E6445">
        <w:t xml:space="preserve">rogram implementation for the TLPDP: </w:t>
      </w:r>
    </w:p>
    <w:p w14:paraId="6CEA2490" w14:textId="03B2FD2D" w:rsidR="00DD73AE" w:rsidRPr="008E6445" w:rsidRDefault="00DD73AE" w:rsidP="007701F5">
      <w:pPr>
        <w:pStyle w:val="ListParagraph"/>
        <w:numPr>
          <w:ilvl w:val="0"/>
          <w:numId w:val="13"/>
        </w:numPr>
        <w:spacing w:after="120" w:line="240" w:lineRule="auto"/>
      </w:pPr>
      <w:r w:rsidRPr="008E6445">
        <w:rPr>
          <w:b/>
        </w:rPr>
        <w:t>Consolidation of past investment gains</w:t>
      </w:r>
      <w:r w:rsidR="00D92D44" w:rsidRPr="008E6445">
        <w:t>: the P</w:t>
      </w:r>
      <w:r w:rsidRPr="008E6445">
        <w:t xml:space="preserve">rogram will support previous capability investments and build on these to strengthen the ongoing development of the PNTL to sustain itself and its capabilities without donor support and guidance.   </w:t>
      </w:r>
    </w:p>
    <w:p w14:paraId="6D89A8AA" w14:textId="1E353A0F" w:rsidR="00DD73AE" w:rsidRPr="008E6445" w:rsidRDefault="003B342B" w:rsidP="007701F5">
      <w:pPr>
        <w:pStyle w:val="ListParagraph"/>
        <w:numPr>
          <w:ilvl w:val="0"/>
          <w:numId w:val="13"/>
        </w:numPr>
        <w:spacing w:after="120" w:line="240" w:lineRule="auto"/>
      </w:pPr>
      <w:r w:rsidRPr="008E6445">
        <w:rPr>
          <w:b/>
        </w:rPr>
        <w:t>Partnership and joint P</w:t>
      </w:r>
      <w:r w:rsidR="00DD73AE" w:rsidRPr="008E6445">
        <w:rPr>
          <w:b/>
        </w:rPr>
        <w:t>rogram management</w:t>
      </w:r>
      <w:r w:rsidR="00DD73AE" w:rsidRPr="008E6445">
        <w:t xml:space="preserve">: </w:t>
      </w:r>
      <w:proofErr w:type="gramStart"/>
      <w:r w:rsidR="00DD73AE" w:rsidRPr="008E6445">
        <w:t>it is clear that strong</w:t>
      </w:r>
      <w:proofErr w:type="gramEnd"/>
      <w:r w:rsidR="00DD73AE" w:rsidRPr="008E6445">
        <w:t xml:space="preserve"> relationships exist between the TLPDP and the PNTL. The TLPDP will continue to be implemented in partnership between the TLPDP and PNTL. This includes the joint PCB and continuous engagement and joint problem solving between TLPDP advisers and PNTL staff. </w:t>
      </w:r>
    </w:p>
    <w:p w14:paraId="55186171" w14:textId="4919FBCB" w:rsidR="00DD73AE" w:rsidRPr="00626723" w:rsidRDefault="00DD73AE" w:rsidP="007701F5">
      <w:pPr>
        <w:pStyle w:val="ListParagraph"/>
        <w:numPr>
          <w:ilvl w:val="0"/>
          <w:numId w:val="13"/>
        </w:numPr>
        <w:spacing w:after="120" w:line="240" w:lineRule="auto"/>
        <w:rPr>
          <w:rFonts w:eastAsia="Calibri" w:cs="Calibri"/>
        </w:rPr>
      </w:pPr>
      <w:r w:rsidRPr="008E6445">
        <w:rPr>
          <w:b/>
        </w:rPr>
        <w:t xml:space="preserve">Gender </w:t>
      </w:r>
      <w:r w:rsidR="0003091F">
        <w:rPr>
          <w:b/>
        </w:rPr>
        <w:t>Equality</w:t>
      </w:r>
      <w:r w:rsidR="00626723">
        <w:rPr>
          <w:b/>
        </w:rPr>
        <w:t>:</w:t>
      </w:r>
      <w:r w:rsidR="0003091F">
        <w:rPr>
          <w:b/>
        </w:rPr>
        <w:t xml:space="preserve"> </w:t>
      </w:r>
      <w:r w:rsidR="0003091F">
        <w:t xml:space="preserve">Gender perspectives </w:t>
      </w:r>
      <w:r w:rsidRPr="008E6445">
        <w:rPr>
          <w:rFonts w:eastAsia="Calibri" w:cs="Calibri"/>
        </w:rPr>
        <w:t>will be</w:t>
      </w:r>
      <w:r w:rsidRPr="008E6445">
        <w:rPr>
          <w:rFonts w:eastAsia="Calibri" w:cs="Calibri"/>
          <w:b/>
        </w:rPr>
        <w:t xml:space="preserve"> </w:t>
      </w:r>
      <w:r w:rsidRPr="008E6445">
        <w:rPr>
          <w:rFonts w:eastAsia="Calibri" w:cs="Calibri"/>
        </w:rPr>
        <w:t>mainstreamed across all TLPDP activities to support gender equality</w:t>
      </w:r>
      <w:r w:rsidR="0003091F" w:rsidRPr="0003091F">
        <w:rPr>
          <w:rFonts w:eastAsia="Calibri" w:cs="Calibri"/>
        </w:rPr>
        <w:t xml:space="preserve"> </w:t>
      </w:r>
      <w:r w:rsidR="0003091F" w:rsidRPr="008E6445">
        <w:rPr>
          <w:rFonts w:eastAsia="Calibri" w:cs="Calibri"/>
        </w:rPr>
        <w:t>and women’s empowerment</w:t>
      </w:r>
      <w:r w:rsidR="0003091F">
        <w:rPr>
          <w:rFonts w:eastAsia="Calibri" w:cs="Calibri"/>
        </w:rPr>
        <w:t xml:space="preserve">. </w:t>
      </w:r>
      <w:r w:rsidR="003F73A9">
        <w:rPr>
          <w:rFonts w:eastAsia="Calibri" w:cs="Calibri"/>
        </w:rPr>
        <w:t>Equality</w:t>
      </w:r>
      <w:r w:rsidR="002F5C22">
        <w:rPr>
          <w:rFonts w:eastAsia="Calibri" w:cs="Calibri"/>
        </w:rPr>
        <w:t xml:space="preserve"> should be interpreted as i</w:t>
      </w:r>
      <w:r w:rsidR="0003091F">
        <w:rPr>
          <w:rFonts w:eastAsia="Calibri" w:cs="Calibri"/>
        </w:rPr>
        <w:t xml:space="preserve">nclusion of diverse </w:t>
      </w:r>
      <w:r w:rsidR="002F5C22">
        <w:rPr>
          <w:rFonts w:eastAsia="Calibri" w:cs="Calibri"/>
        </w:rPr>
        <w:t xml:space="preserve">and </w:t>
      </w:r>
      <w:r w:rsidR="0003091F">
        <w:rPr>
          <w:rFonts w:eastAsia="Calibri" w:cs="Calibri"/>
        </w:rPr>
        <w:t xml:space="preserve">vulnerable groups </w:t>
      </w:r>
      <w:r w:rsidR="00626723">
        <w:rPr>
          <w:rFonts w:eastAsia="Calibri" w:cs="Calibri"/>
        </w:rPr>
        <w:t>such as</w:t>
      </w:r>
      <w:r w:rsidRPr="008E6445">
        <w:rPr>
          <w:rFonts w:eastAsia="Calibri" w:cs="Calibri"/>
        </w:rPr>
        <w:t xml:space="preserve"> youth and people living with disabilit</w:t>
      </w:r>
      <w:r w:rsidR="00A3673F">
        <w:rPr>
          <w:rFonts w:eastAsia="Calibri" w:cs="Calibri"/>
        </w:rPr>
        <w:t>ies</w:t>
      </w:r>
      <w:r w:rsidR="00626723">
        <w:rPr>
          <w:rFonts w:eastAsia="Calibri" w:cs="Calibri"/>
        </w:rPr>
        <w:t>. This</w:t>
      </w:r>
      <w:r w:rsidR="0003091F">
        <w:rPr>
          <w:rFonts w:eastAsia="Calibri" w:cs="Calibri"/>
        </w:rPr>
        <w:t xml:space="preserve"> is important to ensuring all people</w:t>
      </w:r>
      <w:r w:rsidR="0003091F" w:rsidRPr="00626723">
        <w:rPr>
          <w:rFonts w:eastAsia="Calibri" w:cs="Calibri"/>
        </w:rPr>
        <w:t xml:space="preserve"> are treated fairly and with respect.</w:t>
      </w:r>
      <w:r w:rsidR="0003091F">
        <w:rPr>
          <w:rFonts w:eastAsia="Calibri" w:cs="Calibri"/>
        </w:rPr>
        <w:t xml:space="preserve"> </w:t>
      </w:r>
      <w:r w:rsidRPr="008E6445">
        <w:rPr>
          <w:rFonts w:eastAsia="Calibri" w:cs="Calibri"/>
        </w:rPr>
        <w:t xml:space="preserve"> </w:t>
      </w:r>
    </w:p>
    <w:p w14:paraId="7CE85854" w14:textId="312A4A87" w:rsidR="005C05DA" w:rsidRPr="008E6445" w:rsidRDefault="005C05DA" w:rsidP="007701F5">
      <w:pPr>
        <w:pStyle w:val="ListParagraph"/>
        <w:numPr>
          <w:ilvl w:val="0"/>
          <w:numId w:val="13"/>
        </w:numPr>
        <w:spacing w:after="120" w:line="240" w:lineRule="auto"/>
      </w:pPr>
      <w:r w:rsidRPr="005C05DA">
        <w:rPr>
          <w:b/>
        </w:rPr>
        <w:t>Protection of vulnerable groups:</w:t>
      </w:r>
      <w:r>
        <w:t xml:space="preserve"> </w:t>
      </w:r>
      <w:r w:rsidR="001458B4">
        <w:t xml:space="preserve">vulnerable persons include children, people with disabilities and others. These groups are more greatly affected by violence in all its forms and their protection is recognised as a key factor </w:t>
      </w:r>
      <w:r w:rsidR="0033385B">
        <w:t>for</w:t>
      </w:r>
      <w:r w:rsidR="001458B4">
        <w:t xml:space="preserve"> </w:t>
      </w:r>
      <w:r w:rsidR="0033385B">
        <w:t xml:space="preserve">any </w:t>
      </w:r>
      <w:r w:rsidR="001458B4">
        <w:t>development</w:t>
      </w:r>
      <w:r w:rsidR="0033385B">
        <w:t xml:space="preserve"> program</w:t>
      </w:r>
      <w:r w:rsidR="001458B4">
        <w:t>.</w:t>
      </w:r>
    </w:p>
    <w:p w14:paraId="235F043E" w14:textId="199EA6D2" w:rsidR="00DD73AE" w:rsidRPr="008E6445" w:rsidRDefault="00DD73AE" w:rsidP="007701F5">
      <w:pPr>
        <w:pStyle w:val="ListParagraph"/>
        <w:numPr>
          <w:ilvl w:val="0"/>
          <w:numId w:val="13"/>
        </w:numPr>
        <w:spacing w:after="120" w:line="240" w:lineRule="auto"/>
      </w:pPr>
      <w:r w:rsidRPr="008E6445">
        <w:rPr>
          <w:b/>
        </w:rPr>
        <w:t>Alignment with Government of Timor-Leste and PNTL policy and strategic direction</w:t>
      </w:r>
      <w:r w:rsidR="00D92D44" w:rsidRPr="008E6445">
        <w:t>: the P</w:t>
      </w:r>
      <w:r w:rsidRPr="008E6445">
        <w:t xml:space="preserve">rogram will align with the strategic priorities of the </w:t>
      </w:r>
      <w:proofErr w:type="spellStart"/>
      <w:r w:rsidRPr="008E6445">
        <w:t>GoDRTL</w:t>
      </w:r>
      <w:proofErr w:type="spellEnd"/>
      <w:r w:rsidRPr="008E6445">
        <w:t xml:space="preserve">, the </w:t>
      </w:r>
      <w:r w:rsidR="00D92D44" w:rsidRPr="008E6445">
        <w:t>JSSP</w:t>
      </w:r>
      <w:r w:rsidRPr="008E6445">
        <w:t xml:space="preserve"> and the PNTL</w:t>
      </w:r>
      <w:r w:rsidR="00D92D44" w:rsidRPr="008E6445">
        <w:t>’s</w:t>
      </w:r>
      <w:r w:rsidRPr="008E6445">
        <w:t xml:space="preserve"> Strategic Plan. </w:t>
      </w:r>
    </w:p>
    <w:p w14:paraId="0F329059" w14:textId="1FB37184" w:rsidR="00DD73AE" w:rsidRPr="008E6445" w:rsidRDefault="00DD73AE" w:rsidP="007701F5">
      <w:pPr>
        <w:pStyle w:val="ListParagraph"/>
        <w:numPr>
          <w:ilvl w:val="0"/>
          <w:numId w:val="13"/>
        </w:numPr>
        <w:spacing w:after="120" w:line="240" w:lineRule="auto"/>
      </w:pPr>
      <w:r w:rsidRPr="008E6445">
        <w:rPr>
          <w:b/>
        </w:rPr>
        <w:t>Leveraging and coordination</w:t>
      </w:r>
      <w:r w:rsidRPr="008E6445">
        <w:t xml:space="preserve">: the </w:t>
      </w:r>
      <w:r w:rsidR="00D92D44" w:rsidRPr="008E6445">
        <w:t>P</w:t>
      </w:r>
      <w:r w:rsidRPr="008E6445">
        <w:t xml:space="preserve">rogram will seek to leverage partner programs and coordinate with other donors to ensure efficiency and alignment of goals. </w:t>
      </w:r>
    </w:p>
    <w:p w14:paraId="21D8674C" w14:textId="722BAA78" w:rsidR="00DD73AE" w:rsidRPr="008E6445" w:rsidRDefault="00DD73AE" w:rsidP="007701F5">
      <w:pPr>
        <w:pStyle w:val="ListParagraph"/>
        <w:numPr>
          <w:ilvl w:val="0"/>
          <w:numId w:val="13"/>
        </w:numPr>
        <w:spacing w:after="120" w:line="240" w:lineRule="auto"/>
      </w:pPr>
      <w:r w:rsidRPr="008E6445">
        <w:rPr>
          <w:b/>
        </w:rPr>
        <w:t>Flexibility and adaptability</w:t>
      </w:r>
      <w:r w:rsidRPr="008E6445">
        <w:t>: over four years there is the potential for change in the political</w:t>
      </w:r>
      <w:r w:rsidR="00D12584" w:rsidRPr="008E6445">
        <w:t>, security</w:t>
      </w:r>
      <w:r w:rsidRPr="008E6445">
        <w:t xml:space="preserve"> and</w:t>
      </w:r>
      <w:r w:rsidR="00D12584" w:rsidRPr="008E6445">
        <w:t xml:space="preserve"> broader national</w:t>
      </w:r>
      <w:r w:rsidR="00D92D44" w:rsidRPr="008E6445">
        <w:t xml:space="preserve"> context of the P</w:t>
      </w:r>
      <w:r w:rsidRPr="008E6445">
        <w:t>rogram. There are also unknowns in terms of costs and</w:t>
      </w:r>
      <w:r w:rsidR="00D92D44" w:rsidRPr="008E6445">
        <w:t xml:space="preserve"> viability for elements of the Program. Therefore, the P</w:t>
      </w:r>
      <w:r w:rsidRPr="008E6445">
        <w:t xml:space="preserve">rogram should allow for flexibility to re-allocate resources, re-prioritise or switch-off activities, and to capitalise on opportunities that arise. </w:t>
      </w:r>
    </w:p>
    <w:p w14:paraId="05FF9499" w14:textId="42E54C0E" w:rsidR="00DD73AE" w:rsidRPr="008E6445" w:rsidRDefault="00DD73AE" w:rsidP="007701F5">
      <w:pPr>
        <w:pStyle w:val="ListParagraph"/>
        <w:numPr>
          <w:ilvl w:val="0"/>
          <w:numId w:val="13"/>
        </w:numPr>
        <w:spacing w:after="120" w:line="240" w:lineRule="auto"/>
      </w:pPr>
      <w:r w:rsidRPr="008E6445">
        <w:rPr>
          <w:b/>
        </w:rPr>
        <w:t xml:space="preserve">Risk Management: </w:t>
      </w:r>
      <w:r w:rsidR="00D12584" w:rsidRPr="008E6445">
        <w:t xml:space="preserve">political factors, such as </w:t>
      </w:r>
      <w:r w:rsidRPr="008E6445">
        <w:t>Timor-Leste’s</w:t>
      </w:r>
      <w:r w:rsidR="00D12584" w:rsidRPr="008E6445">
        <w:t xml:space="preserve"> recent</w:t>
      </w:r>
      <w:r w:rsidRPr="008E6445">
        <w:t xml:space="preserve"> minority government</w:t>
      </w:r>
      <w:r w:rsidR="00D12584" w:rsidRPr="008E6445">
        <w:t>,</w:t>
      </w:r>
      <w:r w:rsidRPr="008E6445">
        <w:t xml:space="preserve"> have stalled progress on some TLPDP initiatives in the past. The absence of a government mandate or approved budget limits resource allocation and legislative reforms required to implement TLPDP activities. There remains a risk that a subsequent minority government or change in government policy could negatively impact on all aspects of the TLPDP. In addition, broader economic issues facing Timor-Leste could also stall PNTL initiatives.</w:t>
      </w:r>
      <w:r w:rsidRPr="008E6445">
        <w:rPr>
          <w:b/>
        </w:rPr>
        <w:t xml:space="preserve"> </w:t>
      </w:r>
    </w:p>
    <w:p w14:paraId="38F457B9" w14:textId="4463B88E" w:rsidR="00DD73AE" w:rsidRPr="008E6445" w:rsidRDefault="00DD73AE" w:rsidP="007701F5">
      <w:pPr>
        <w:pStyle w:val="ListParagraph"/>
        <w:numPr>
          <w:ilvl w:val="0"/>
          <w:numId w:val="13"/>
        </w:numPr>
        <w:spacing w:after="120" w:line="240" w:lineRule="auto"/>
        <w:rPr>
          <w:b/>
        </w:rPr>
      </w:pPr>
      <w:r w:rsidRPr="008E6445">
        <w:rPr>
          <w:b/>
        </w:rPr>
        <w:t>Clear and effective</w:t>
      </w:r>
      <w:r w:rsidR="004D4BAC" w:rsidRPr="008E6445">
        <w:rPr>
          <w:b/>
        </w:rPr>
        <w:t xml:space="preserve"> MEL</w:t>
      </w:r>
      <w:r w:rsidRPr="008E6445">
        <w:rPr>
          <w:b/>
        </w:rPr>
        <w:t xml:space="preserve">: </w:t>
      </w:r>
      <w:r w:rsidRPr="008E6445">
        <w:t xml:space="preserve">the development of realistic indicators established from the existing baseline data will be essential and where possible </w:t>
      </w:r>
      <w:r w:rsidR="00D92D44" w:rsidRPr="008E6445">
        <w:t>MEL</w:t>
      </w:r>
      <w:r w:rsidRPr="008E6445">
        <w:t xml:space="preserve"> Framework themes </w:t>
      </w:r>
      <w:r w:rsidRPr="008E6445">
        <w:lastRenderedPageBreak/>
        <w:t>should be aligned to the pillars of DFAT’s</w:t>
      </w:r>
      <w:r w:rsidR="004D4BAC" w:rsidRPr="008E6445">
        <w:t xml:space="preserve"> PAF</w:t>
      </w:r>
      <w:r w:rsidRPr="008E6445">
        <w:t xml:space="preserve"> for Timor-Leste. The developed indicators must capture PNTL data, particularly attitudinal and behavioural changes which can be attributed to TLPDP development activities and support. </w:t>
      </w:r>
    </w:p>
    <w:p w14:paraId="5037587A" w14:textId="084F3A52" w:rsidR="008D0FAE" w:rsidRPr="00AE209B" w:rsidRDefault="00FC25B7" w:rsidP="00A42C1F">
      <w:pPr>
        <w:pStyle w:val="Heading2"/>
        <w:numPr>
          <w:ilvl w:val="1"/>
          <w:numId w:val="61"/>
        </w:numPr>
        <w:spacing w:before="0" w:after="120" w:line="240" w:lineRule="auto"/>
        <w:ind w:left="426"/>
      </w:pPr>
      <w:r>
        <w:t xml:space="preserve"> </w:t>
      </w:r>
      <w:bookmarkStart w:id="64" w:name="_Toc516189351"/>
      <w:r w:rsidR="008D0FAE" w:rsidRPr="00AE209B">
        <w:t>Program Logic As</w:t>
      </w:r>
      <w:r w:rsidR="002E622A" w:rsidRPr="00AE209B">
        <w:t>s</w:t>
      </w:r>
      <w:r w:rsidR="008D0FAE" w:rsidRPr="00AE209B">
        <w:t>umptions</w:t>
      </w:r>
      <w:bookmarkEnd w:id="64"/>
    </w:p>
    <w:p w14:paraId="208F92EE" w14:textId="5B3F5128" w:rsidR="00A60D90" w:rsidRPr="008E6445" w:rsidRDefault="004A5426" w:rsidP="007701F5">
      <w:pPr>
        <w:spacing w:after="120" w:line="240" w:lineRule="auto"/>
        <w:contextualSpacing/>
      </w:pPr>
      <w:r w:rsidRPr="008E6445">
        <w:t>Some</w:t>
      </w:r>
      <w:r w:rsidR="00972014" w:rsidRPr="008E6445">
        <w:t xml:space="preserve"> a</w:t>
      </w:r>
      <w:r w:rsidR="006F097F">
        <w:t xml:space="preserve">ssumptions underpin the Program Components </w:t>
      </w:r>
      <w:r w:rsidR="003B342B" w:rsidRPr="008E6445">
        <w:t>of the P</w:t>
      </w:r>
      <w:r w:rsidR="00F26C4A" w:rsidRPr="008E6445">
        <w:t xml:space="preserve">rogram </w:t>
      </w:r>
      <w:r w:rsidR="003B342B" w:rsidRPr="008E6445">
        <w:t>L</w:t>
      </w:r>
      <w:r w:rsidR="00F26C4A" w:rsidRPr="008E6445">
        <w:t>ogic</w:t>
      </w:r>
      <w:r w:rsidR="00972014" w:rsidRPr="008E6445">
        <w:t xml:space="preserve">. The most important assumptions are: </w:t>
      </w:r>
    </w:p>
    <w:p w14:paraId="1996C029" w14:textId="6AF28679" w:rsidR="00972014" w:rsidRPr="008E6445" w:rsidRDefault="00972014" w:rsidP="007701F5">
      <w:pPr>
        <w:numPr>
          <w:ilvl w:val="0"/>
          <w:numId w:val="16"/>
        </w:numPr>
        <w:spacing w:after="120" w:line="240" w:lineRule="auto"/>
        <w:contextualSpacing/>
        <w:rPr>
          <w:rFonts w:eastAsia="Times New Roman" w:cs="Arial"/>
        </w:rPr>
      </w:pPr>
      <w:r w:rsidRPr="008E6445">
        <w:rPr>
          <w:rFonts w:eastAsia="Times New Roman" w:cs="Arial"/>
        </w:rPr>
        <w:t>Ongoin</w:t>
      </w:r>
      <w:r w:rsidR="003B342B" w:rsidRPr="008E6445">
        <w:rPr>
          <w:rFonts w:eastAsia="Times New Roman" w:cs="Arial"/>
        </w:rPr>
        <w:t xml:space="preserve">g funding is available for the </w:t>
      </w:r>
      <w:proofErr w:type="gramStart"/>
      <w:r w:rsidR="003B342B" w:rsidRPr="008E6445">
        <w:rPr>
          <w:rFonts w:eastAsia="Times New Roman" w:cs="Arial"/>
        </w:rPr>
        <w:t>P</w:t>
      </w:r>
      <w:r w:rsidRPr="008E6445">
        <w:rPr>
          <w:rFonts w:eastAsia="Times New Roman" w:cs="Arial"/>
        </w:rPr>
        <w:t>rogram;</w:t>
      </w:r>
      <w:proofErr w:type="gramEnd"/>
    </w:p>
    <w:p w14:paraId="78EB317F" w14:textId="1C6691D0" w:rsidR="00972014" w:rsidRPr="008E6445" w:rsidRDefault="00972014" w:rsidP="007701F5">
      <w:pPr>
        <w:numPr>
          <w:ilvl w:val="0"/>
          <w:numId w:val="16"/>
        </w:numPr>
        <w:spacing w:after="120" w:line="240" w:lineRule="auto"/>
        <w:contextualSpacing/>
        <w:rPr>
          <w:rFonts w:eastAsia="Times New Roman" w:cs="Arial"/>
        </w:rPr>
      </w:pPr>
      <w:r w:rsidRPr="008E6445">
        <w:rPr>
          <w:rFonts w:eastAsia="Times New Roman" w:cs="Arial"/>
        </w:rPr>
        <w:t xml:space="preserve">Appropriately skilled human and other resources are available </w:t>
      </w:r>
      <w:r w:rsidR="003B342B" w:rsidRPr="008E6445">
        <w:rPr>
          <w:rFonts w:eastAsia="Times New Roman" w:cs="Arial"/>
        </w:rPr>
        <w:t>to support internal P</w:t>
      </w:r>
      <w:r w:rsidRPr="008E6445">
        <w:rPr>
          <w:rFonts w:eastAsia="Times New Roman" w:cs="Arial"/>
        </w:rPr>
        <w:t xml:space="preserve">rogram </w:t>
      </w:r>
      <w:proofErr w:type="gramStart"/>
      <w:r w:rsidRPr="008E6445">
        <w:rPr>
          <w:rFonts w:eastAsia="Times New Roman" w:cs="Arial"/>
        </w:rPr>
        <w:t>delivery;</w:t>
      </w:r>
      <w:proofErr w:type="gramEnd"/>
    </w:p>
    <w:p w14:paraId="058B311F" w14:textId="04F639EB" w:rsidR="00972014" w:rsidRPr="008E6445" w:rsidRDefault="00972014" w:rsidP="007701F5">
      <w:pPr>
        <w:numPr>
          <w:ilvl w:val="0"/>
          <w:numId w:val="16"/>
        </w:numPr>
        <w:spacing w:after="120" w:line="240" w:lineRule="auto"/>
        <w:contextualSpacing/>
        <w:rPr>
          <w:rFonts w:eastAsia="Times New Roman" w:cs="Arial"/>
        </w:rPr>
      </w:pPr>
      <w:r w:rsidRPr="008E6445">
        <w:rPr>
          <w:rFonts w:eastAsia="Times New Roman" w:cs="Arial"/>
        </w:rPr>
        <w:t xml:space="preserve">Participants in TLPDP activities are the right people from </w:t>
      </w:r>
      <w:proofErr w:type="gramStart"/>
      <w:r w:rsidRPr="008E6445">
        <w:rPr>
          <w:rFonts w:eastAsia="Times New Roman" w:cs="Arial"/>
        </w:rPr>
        <w:t>PNTL;</w:t>
      </w:r>
      <w:proofErr w:type="gramEnd"/>
    </w:p>
    <w:p w14:paraId="074C692F" w14:textId="2E43994C" w:rsidR="00972014" w:rsidRPr="008E6445" w:rsidRDefault="00972014" w:rsidP="007701F5">
      <w:pPr>
        <w:numPr>
          <w:ilvl w:val="0"/>
          <w:numId w:val="16"/>
        </w:numPr>
        <w:spacing w:after="120" w:line="240" w:lineRule="auto"/>
        <w:contextualSpacing/>
        <w:rPr>
          <w:rFonts w:eastAsia="Times New Roman" w:cs="Arial"/>
        </w:rPr>
      </w:pPr>
      <w:r w:rsidRPr="008E6445">
        <w:rPr>
          <w:rFonts w:eastAsia="Times New Roman" w:cs="Arial"/>
        </w:rPr>
        <w:t xml:space="preserve">PNTL supports the </w:t>
      </w:r>
      <w:r w:rsidR="00352C09" w:rsidRPr="008E6445">
        <w:rPr>
          <w:rFonts w:eastAsia="Times New Roman" w:cs="Arial"/>
        </w:rPr>
        <w:t>P</w:t>
      </w:r>
      <w:r w:rsidRPr="008E6445">
        <w:rPr>
          <w:rFonts w:eastAsia="Times New Roman" w:cs="Arial"/>
        </w:rPr>
        <w:t xml:space="preserve">rogram </w:t>
      </w:r>
      <w:proofErr w:type="gramStart"/>
      <w:r w:rsidRPr="008E6445">
        <w:rPr>
          <w:rFonts w:eastAsia="Times New Roman" w:cs="Arial"/>
        </w:rPr>
        <w:t>activities;</w:t>
      </w:r>
      <w:proofErr w:type="gramEnd"/>
    </w:p>
    <w:p w14:paraId="40388C95" w14:textId="627D11A9" w:rsidR="00A60D90" w:rsidRPr="008E6445" w:rsidRDefault="00972014" w:rsidP="007701F5">
      <w:pPr>
        <w:numPr>
          <w:ilvl w:val="0"/>
          <w:numId w:val="16"/>
        </w:numPr>
        <w:spacing w:after="120" w:line="240" w:lineRule="auto"/>
        <w:contextualSpacing/>
      </w:pPr>
      <w:r w:rsidRPr="008E6445">
        <w:t xml:space="preserve">The AFP can do enough to minimise the </w:t>
      </w:r>
      <w:r w:rsidR="00206F4A" w:rsidRPr="008E6445">
        <w:t xml:space="preserve">negative impact </w:t>
      </w:r>
      <w:r w:rsidRPr="008E6445">
        <w:t xml:space="preserve">of socio-cultural and political </w:t>
      </w:r>
      <w:r w:rsidR="00A60D90" w:rsidRPr="008E6445">
        <w:t>factors that undermine</w:t>
      </w:r>
      <w:r w:rsidR="00206F4A" w:rsidRPr="008E6445">
        <w:t xml:space="preserve"> effective</w:t>
      </w:r>
      <w:r w:rsidR="00A60D90" w:rsidRPr="008E6445">
        <w:t xml:space="preserve"> </w:t>
      </w:r>
      <w:proofErr w:type="gramStart"/>
      <w:r w:rsidR="00A60D90" w:rsidRPr="008E6445">
        <w:t>policing;</w:t>
      </w:r>
      <w:proofErr w:type="gramEnd"/>
    </w:p>
    <w:p w14:paraId="74D73E10" w14:textId="0E7BD8CB" w:rsidR="00972014" w:rsidRPr="008E6445" w:rsidRDefault="00972014" w:rsidP="007701F5">
      <w:pPr>
        <w:numPr>
          <w:ilvl w:val="0"/>
          <w:numId w:val="16"/>
        </w:numPr>
        <w:spacing w:after="120" w:line="240" w:lineRule="auto"/>
        <w:contextualSpacing/>
      </w:pPr>
      <w:r w:rsidRPr="008E6445">
        <w:t xml:space="preserve">Training PNTL officers translates into change over time including improved work </w:t>
      </w:r>
      <w:proofErr w:type="gramStart"/>
      <w:r w:rsidRPr="008E6445">
        <w:t>practices;</w:t>
      </w:r>
      <w:proofErr w:type="gramEnd"/>
    </w:p>
    <w:p w14:paraId="2A0C5C8A" w14:textId="3C987D02" w:rsidR="00972014" w:rsidRPr="008E6445" w:rsidRDefault="00972014" w:rsidP="007701F5">
      <w:pPr>
        <w:numPr>
          <w:ilvl w:val="0"/>
          <w:numId w:val="16"/>
        </w:numPr>
        <w:spacing w:after="120" w:line="240" w:lineRule="auto"/>
        <w:contextualSpacing/>
        <w:rPr>
          <w:rFonts w:eastAsia="Times New Roman" w:cs="Arial"/>
        </w:rPr>
      </w:pPr>
      <w:r w:rsidRPr="008E6445">
        <w:rPr>
          <w:rFonts w:eastAsia="Times New Roman" w:cs="Arial"/>
        </w:rPr>
        <w:t xml:space="preserve">Appropriate leadership is positioned to lead training and </w:t>
      </w:r>
      <w:proofErr w:type="gramStart"/>
      <w:r w:rsidRPr="008E6445">
        <w:rPr>
          <w:rFonts w:eastAsia="Times New Roman" w:cs="Arial"/>
        </w:rPr>
        <w:t>projects;</w:t>
      </w:r>
      <w:proofErr w:type="gramEnd"/>
      <w:r w:rsidRPr="008E6445">
        <w:rPr>
          <w:rFonts w:eastAsia="Times New Roman" w:cs="Arial"/>
        </w:rPr>
        <w:t xml:space="preserve"> </w:t>
      </w:r>
    </w:p>
    <w:p w14:paraId="139B44F8" w14:textId="57B37B6F" w:rsidR="00A60D90" w:rsidRPr="008E6445" w:rsidRDefault="00972014" w:rsidP="007701F5">
      <w:pPr>
        <w:numPr>
          <w:ilvl w:val="0"/>
          <w:numId w:val="16"/>
        </w:numPr>
        <w:spacing w:after="120" w:line="240" w:lineRule="auto"/>
        <w:contextualSpacing/>
      </w:pPr>
      <w:r w:rsidRPr="008E6445">
        <w:rPr>
          <w:rFonts w:eastAsia="Times New Roman" w:cs="Arial"/>
        </w:rPr>
        <w:t>TLPDP remains a trusted partner of PNTL;</w:t>
      </w:r>
      <w:r w:rsidR="00A60D90" w:rsidRPr="008E6445">
        <w:rPr>
          <w:rFonts w:eastAsia="Times New Roman" w:cs="Arial"/>
        </w:rPr>
        <w:t xml:space="preserve"> and</w:t>
      </w:r>
    </w:p>
    <w:p w14:paraId="207B0808" w14:textId="2C37CC97" w:rsidR="00972014" w:rsidRPr="008E6445" w:rsidRDefault="00972014" w:rsidP="007701F5">
      <w:pPr>
        <w:numPr>
          <w:ilvl w:val="0"/>
          <w:numId w:val="16"/>
        </w:numPr>
        <w:spacing w:after="120" w:line="240" w:lineRule="auto"/>
        <w:contextualSpacing/>
      </w:pPr>
      <w:r w:rsidRPr="008E6445">
        <w:t>The level of investment in</w:t>
      </w:r>
      <w:r w:rsidR="003B342B" w:rsidRPr="008E6445">
        <w:t xml:space="preserve"> the P</w:t>
      </w:r>
      <w:r w:rsidRPr="008E6445">
        <w:t>rogram is sufficient to achieve TLPDP’s stated objectives (as per the Program Logic).</w:t>
      </w:r>
    </w:p>
    <w:p w14:paraId="67653791" w14:textId="77777777" w:rsidR="00253EC6" w:rsidRPr="008E6445" w:rsidRDefault="00253EC6" w:rsidP="007701F5">
      <w:pPr>
        <w:spacing w:after="120" w:line="240" w:lineRule="auto"/>
        <w:rPr>
          <w:rFonts w:eastAsiaTheme="majorEastAsia" w:cstheme="majorBidi"/>
          <w:b/>
          <w:bCs/>
          <w:color w:val="365F91" w:themeColor="accent1" w:themeShade="BF"/>
        </w:rPr>
      </w:pPr>
      <w:r w:rsidRPr="008E6445">
        <w:br w:type="page"/>
      </w:r>
    </w:p>
    <w:p w14:paraId="0434D89B" w14:textId="65FF3D43" w:rsidR="00B85ECC" w:rsidRPr="00E867E7" w:rsidRDefault="00623813" w:rsidP="00A42C1F">
      <w:pPr>
        <w:pStyle w:val="Heading1"/>
        <w:numPr>
          <w:ilvl w:val="0"/>
          <w:numId w:val="61"/>
        </w:numPr>
        <w:spacing w:before="0" w:after="120" w:line="240" w:lineRule="auto"/>
      </w:pPr>
      <w:bookmarkStart w:id="65" w:name="_Toc516189352"/>
      <w:r w:rsidRPr="00AE209B">
        <w:lastRenderedPageBreak/>
        <w:t>Implementation Arrangements</w:t>
      </w:r>
      <w:bookmarkEnd w:id="65"/>
    </w:p>
    <w:p w14:paraId="5AB4445C" w14:textId="34BBF4E1" w:rsidR="001A44A3" w:rsidRPr="002D5411" w:rsidRDefault="000B01C4" w:rsidP="007701F5">
      <w:pPr>
        <w:spacing w:after="120" w:line="240" w:lineRule="auto"/>
        <w:rPr>
          <w:rFonts w:cs="Arial"/>
          <w:szCs w:val="20"/>
        </w:rPr>
      </w:pPr>
      <w:r w:rsidRPr="002D5411">
        <w:rPr>
          <w:rFonts w:eastAsia="Times New Roman"/>
          <w:lang w:eastAsia="en-US"/>
        </w:rPr>
        <w:t>This section set</w:t>
      </w:r>
      <w:r w:rsidR="001A44A3" w:rsidRPr="002D5411">
        <w:rPr>
          <w:rFonts w:eastAsia="Times New Roman"/>
          <w:lang w:eastAsia="en-US"/>
        </w:rPr>
        <w:t>s</w:t>
      </w:r>
      <w:r w:rsidRPr="002D5411">
        <w:rPr>
          <w:rFonts w:eastAsia="Times New Roman"/>
          <w:lang w:eastAsia="en-US"/>
        </w:rPr>
        <w:t xml:space="preserve"> out</w:t>
      </w:r>
      <w:r w:rsidRPr="002D5411">
        <w:rPr>
          <w:rFonts w:eastAsia="Times New Roman"/>
          <w:b/>
          <w:lang w:eastAsia="en-US"/>
        </w:rPr>
        <w:t xml:space="preserve"> </w:t>
      </w:r>
      <w:r w:rsidRPr="002D5411">
        <w:rPr>
          <w:rFonts w:eastAsia="Times New Roman"/>
          <w:lang w:eastAsia="en-US"/>
        </w:rPr>
        <w:t xml:space="preserve">how the proposed investment </w:t>
      </w:r>
      <w:r w:rsidR="001A44A3" w:rsidRPr="002D5411">
        <w:rPr>
          <w:rFonts w:eastAsia="Times New Roman"/>
          <w:lang w:eastAsia="en-US"/>
        </w:rPr>
        <w:t>will</w:t>
      </w:r>
      <w:r w:rsidRPr="002D5411">
        <w:rPr>
          <w:rFonts w:eastAsia="Times New Roman"/>
          <w:lang w:eastAsia="en-US"/>
        </w:rPr>
        <w:t xml:space="preserve"> be delivered.</w:t>
      </w:r>
      <w:r w:rsidR="001A44A3" w:rsidRPr="002D5411">
        <w:t xml:space="preserve"> T</w:t>
      </w:r>
      <w:r w:rsidR="003B342B">
        <w:rPr>
          <w:rFonts w:cs="Arial"/>
          <w:szCs w:val="20"/>
        </w:rPr>
        <w:t>he AFP will provide key P</w:t>
      </w:r>
      <w:r w:rsidR="001A44A3" w:rsidRPr="002D5411">
        <w:rPr>
          <w:rFonts w:cs="Arial"/>
          <w:szCs w:val="20"/>
        </w:rPr>
        <w:t>rogram leadership and management through the in-country team. Program activities will be jointly planned and implemented with the PNTL</w:t>
      </w:r>
      <w:r w:rsidR="00917A3D" w:rsidRPr="002D5411">
        <w:rPr>
          <w:rFonts w:cs="Arial"/>
          <w:szCs w:val="20"/>
        </w:rPr>
        <w:t>, particularly through the PCB</w:t>
      </w:r>
      <w:r w:rsidR="001A44A3" w:rsidRPr="002D5411">
        <w:rPr>
          <w:rFonts w:cs="Arial"/>
          <w:szCs w:val="20"/>
        </w:rPr>
        <w:t xml:space="preserve">.  </w:t>
      </w:r>
    </w:p>
    <w:p w14:paraId="52384F19" w14:textId="01A2ADBB" w:rsidR="00D35026" w:rsidRPr="00AE209B" w:rsidRDefault="00FC25B7" w:rsidP="00A42C1F">
      <w:pPr>
        <w:pStyle w:val="Heading2"/>
        <w:numPr>
          <w:ilvl w:val="1"/>
          <w:numId w:val="61"/>
        </w:numPr>
        <w:spacing w:before="0" w:after="120" w:line="240" w:lineRule="auto"/>
        <w:ind w:left="426"/>
      </w:pPr>
      <w:bookmarkStart w:id="66" w:name="_Toc466470983"/>
      <w:r>
        <w:t xml:space="preserve"> </w:t>
      </w:r>
      <w:bookmarkStart w:id="67" w:name="_Toc516189353"/>
      <w:r w:rsidR="004B3C91" w:rsidRPr="00AE209B">
        <w:t>Delivery approach</w:t>
      </w:r>
      <w:bookmarkEnd w:id="66"/>
      <w:bookmarkEnd w:id="67"/>
    </w:p>
    <w:p w14:paraId="3CC15015" w14:textId="0F55B580" w:rsidR="00171F5C" w:rsidRPr="002D5411" w:rsidRDefault="00855F68" w:rsidP="007701F5">
      <w:pPr>
        <w:spacing w:after="120" w:line="240" w:lineRule="auto"/>
      </w:pPr>
      <w:r w:rsidRPr="002D5411">
        <w:t xml:space="preserve">This design sets out </w:t>
      </w:r>
      <w:r w:rsidR="007E0411">
        <w:t>three</w:t>
      </w:r>
      <w:r w:rsidR="007E0411" w:rsidRPr="002D5411">
        <w:t xml:space="preserve"> </w:t>
      </w:r>
      <w:r w:rsidRPr="002D5411">
        <w:t xml:space="preserve">component pathways under which indicative activities sit. </w:t>
      </w:r>
      <w:r w:rsidR="00085B09" w:rsidRPr="002D5411">
        <w:t>The</w:t>
      </w:r>
      <w:r w:rsidR="00E4006F" w:rsidRPr="002D5411">
        <w:t xml:space="preserve"> </w:t>
      </w:r>
      <w:r w:rsidR="00352C09" w:rsidRPr="002D5411">
        <w:t>P</w:t>
      </w:r>
      <w:r w:rsidR="00E4006F" w:rsidRPr="002D5411">
        <w:t>rogram’s</w:t>
      </w:r>
      <w:r w:rsidR="00085B09" w:rsidRPr="002D5411">
        <w:t xml:space="preserve"> AFP members</w:t>
      </w:r>
      <w:r w:rsidR="003D745F" w:rsidRPr="002D5411">
        <w:t>,</w:t>
      </w:r>
      <w:r w:rsidR="00085B09" w:rsidRPr="002D5411">
        <w:t xml:space="preserve"> </w:t>
      </w:r>
      <w:r w:rsidR="003D745F" w:rsidRPr="002D5411">
        <w:t xml:space="preserve">contracted advisers and LES will be </w:t>
      </w:r>
      <w:r w:rsidR="00E4006F" w:rsidRPr="002D5411">
        <w:t xml:space="preserve">collectively </w:t>
      </w:r>
      <w:r w:rsidR="003D745F" w:rsidRPr="002D5411">
        <w:t xml:space="preserve">responsible for implementation and management. </w:t>
      </w:r>
      <w:r w:rsidR="00171F5C" w:rsidRPr="002D5411">
        <w:t xml:space="preserve">This means the Program will need to consolidate internal core management and </w:t>
      </w:r>
      <w:r w:rsidR="00F26479" w:rsidRPr="002D5411">
        <w:t xml:space="preserve">program </w:t>
      </w:r>
      <w:r w:rsidR="00171F5C" w:rsidRPr="002D5411">
        <w:t>governance functions to enable technical advisers to focus on development activities.</w:t>
      </w:r>
    </w:p>
    <w:p w14:paraId="02A7050C" w14:textId="18C0EA46" w:rsidR="005B1FEF" w:rsidRPr="002D5411" w:rsidRDefault="002A0A3B" w:rsidP="007701F5">
      <w:pPr>
        <w:spacing w:after="120" w:line="240" w:lineRule="auto"/>
      </w:pPr>
      <w:r w:rsidRPr="002D5411">
        <w:t>Initial</w:t>
      </w:r>
      <w:r w:rsidR="00855F68" w:rsidRPr="002D5411">
        <w:t xml:space="preserve"> inception phase </w:t>
      </w:r>
      <w:r w:rsidRPr="002D5411">
        <w:t xml:space="preserve">activities will need to focus on the development </w:t>
      </w:r>
      <w:r w:rsidR="00855F68" w:rsidRPr="002D5411">
        <w:t xml:space="preserve">of annual action plans. The plans should guide project implementation and highlight specific details, including </w:t>
      </w:r>
      <w:r w:rsidRPr="002D5411">
        <w:t>the partnership approach with PNTL</w:t>
      </w:r>
      <w:r w:rsidR="00855F68" w:rsidRPr="002D5411">
        <w:t xml:space="preserve">, budget and monitoring arrangements consistent with this design. The </w:t>
      </w:r>
      <w:r w:rsidR="007C59EB" w:rsidRPr="002D5411">
        <w:t>P</w:t>
      </w:r>
      <w:r w:rsidRPr="002D5411">
        <w:t xml:space="preserve">rogram will need to </w:t>
      </w:r>
      <w:r w:rsidR="00273FDC" w:rsidRPr="002D5411">
        <w:t xml:space="preserve">also </w:t>
      </w:r>
      <w:r w:rsidRPr="002D5411">
        <w:t>consider</w:t>
      </w:r>
      <w:r w:rsidR="00855F68" w:rsidRPr="002D5411">
        <w:t xml:space="preserve"> and update risk assessment and treatments plans. This annual planning process will support informed decision</w:t>
      </w:r>
      <w:r w:rsidR="003B342B">
        <w:t xml:space="preserve"> making, reporting and improve P</w:t>
      </w:r>
      <w:r w:rsidR="00855F68" w:rsidRPr="002D5411">
        <w:t>rogram performance.</w:t>
      </w:r>
    </w:p>
    <w:p w14:paraId="33E726DE" w14:textId="00551F29" w:rsidR="00855F68" w:rsidRPr="002D5411" w:rsidRDefault="00855F68" w:rsidP="007701F5">
      <w:pPr>
        <w:spacing w:after="120" w:line="240" w:lineRule="auto"/>
        <w:rPr>
          <w:rFonts w:cs="Arial"/>
          <w:szCs w:val="20"/>
        </w:rPr>
      </w:pPr>
      <w:r w:rsidRPr="002D5411">
        <w:rPr>
          <w:rFonts w:cs="Arial"/>
          <w:szCs w:val="20"/>
        </w:rPr>
        <w:t>Streamlined reporting based on the current robust internal monitor</w:t>
      </w:r>
      <w:r w:rsidR="003B342B">
        <w:rPr>
          <w:rFonts w:cs="Arial"/>
          <w:szCs w:val="20"/>
        </w:rPr>
        <w:t>ing processes but prioritising P</w:t>
      </w:r>
      <w:r w:rsidRPr="002D5411">
        <w:rPr>
          <w:rFonts w:cs="Arial"/>
          <w:szCs w:val="20"/>
        </w:rPr>
        <w:t xml:space="preserve">rogram results and outcomes. TLPDP will continue to generate monthly, quarterly and annual performance reports and, where possible, will involve PNTL in preparing these reports as part of the joint </w:t>
      </w:r>
      <w:r w:rsidR="003B342B">
        <w:rPr>
          <w:rFonts w:cs="Arial"/>
          <w:szCs w:val="20"/>
        </w:rPr>
        <w:t>P</w:t>
      </w:r>
      <w:r w:rsidR="00E828C1" w:rsidRPr="002D5411">
        <w:rPr>
          <w:rFonts w:cs="Arial"/>
          <w:szCs w:val="20"/>
        </w:rPr>
        <w:t>rogram</w:t>
      </w:r>
      <w:r w:rsidRPr="002D5411">
        <w:rPr>
          <w:rFonts w:cs="Arial"/>
          <w:szCs w:val="20"/>
        </w:rPr>
        <w:t xml:space="preserve"> management approach.   </w:t>
      </w:r>
    </w:p>
    <w:p w14:paraId="5EF7B48D" w14:textId="67C42437" w:rsidR="00206F4A" w:rsidRPr="002D5411" w:rsidRDefault="00206F4A" w:rsidP="007701F5">
      <w:pPr>
        <w:spacing w:after="120" w:line="240" w:lineRule="auto"/>
      </w:pPr>
      <w:r w:rsidRPr="002D5411">
        <w:rPr>
          <w:rFonts w:cs="Arial"/>
          <w:szCs w:val="20"/>
        </w:rPr>
        <w:t>The AFP’s technical and operational policing experience combined with LES’ contextual knowledge and the expertise of development practitioners, particularly in the PNTL strategic and governance space, will be crucial to the achievement of desired outcomes over the next four years.</w:t>
      </w:r>
    </w:p>
    <w:p w14:paraId="34993355" w14:textId="3870F046" w:rsidR="00D35026" w:rsidRPr="00AE209B" w:rsidRDefault="00BD767B" w:rsidP="00A42C1F">
      <w:pPr>
        <w:pStyle w:val="Heading2"/>
        <w:numPr>
          <w:ilvl w:val="1"/>
          <w:numId w:val="61"/>
        </w:numPr>
        <w:spacing w:before="0" w:after="120" w:line="240" w:lineRule="auto"/>
        <w:ind w:left="426"/>
      </w:pPr>
      <w:r>
        <w:t xml:space="preserve"> </w:t>
      </w:r>
      <w:bookmarkStart w:id="68" w:name="_Toc516189354"/>
      <w:r w:rsidR="00E828C1" w:rsidRPr="00AE209B">
        <w:t>Aid Modalities</w:t>
      </w:r>
      <w:bookmarkEnd w:id="68"/>
    </w:p>
    <w:p w14:paraId="1377AE2A" w14:textId="192288BA" w:rsidR="00C60C3E" w:rsidRPr="00352C09" w:rsidRDefault="00C60C3E" w:rsidP="007701F5">
      <w:pPr>
        <w:spacing w:after="120" w:line="240" w:lineRule="auto"/>
        <w:rPr>
          <w:rFonts w:asciiTheme="majorHAnsi" w:hAnsiTheme="majorHAnsi"/>
        </w:rPr>
      </w:pPr>
      <w:r w:rsidRPr="00352C09">
        <w:rPr>
          <w:rFonts w:asciiTheme="majorHAnsi" w:hAnsiTheme="majorHAnsi"/>
        </w:rPr>
        <w:t xml:space="preserve">Delivery mechanisms for the design include a range of aid modalities to deliver activities under each component. These include: </w:t>
      </w:r>
    </w:p>
    <w:p w14:paraId="71613ED9" w14:textId="584BAB93" w:rsidR="00C60C3E" w:rsidRPr="00352C09" w:rsidRDefault="00C60C3E" w:rsidP="007701F5">
      <w:pPr>
        <w:pStyle w:val="ListParagraph"/>
        <w:numPr>
          <w:ilvl w:val="0"/>
          <w:numId w:val="31"/>
        </w:numPr>
        <w:spacing w:after="120" w:line="240" w:lineRule="auto"/>
        <w:rPr>
          <w:rFonts w:asciiTheme="majorHAnsi" w:hAnsiTheme="majorHAnsi"/>
        </w:rPr>
      </w:pPr>
      <w:r w:rsidRPr="00352C09">
        <w:rPr>
          <w:rFonts w:asciiTheme="majorHAnsi" w:hAnsiTheme="majorHAnsi"/>
        </w:rPr>
        <w:t xml:space="preserve">Long-term </w:t>
      </w:r>
      <w:r w:rsidR="004A5C76">
        <w:rPr>
          <w:rFonts w:asciiTheme="majorHAnsi" w:hAnsiTheme="majorHAnsi"/>
        </w:rPr>
        <w:t xml:space="preserve">and short-term </w:t>
      </w:r>
      <w:r w:rsidRPr="00352C09">
        <w:rPr>
          <w:rFonts w:asciiTheme="majorHAnsi" w:hAnsiTheme="majorHAnsi"/>
        </w:rPr>
        <w:t xml:space="preserve">AFP advisory </w:t>
      </w:r>
      <w:proofErr w:type="gramStart"/>
      <w:r w:rsidRPr="00352C09">
        <w:rPr>
          <w:rFonts w:asciiTheme="majorHAnsi" w:hAnsiTheme="majorHAnsi"/>
        </w:rPr>
        <w:t>support;</w:t>
      </w:r>
      <w:proofErr w:type="gramEnd"/>
    </w:p>
    <w:p w14:paraId="6F413D1F" w14:textId="77777777" w:rsidR="00C60C3E" w:rsidRPr="00352C09" w:rsidRDefault="00C60C3E" w:rsidP="007701F5">
      <w:pPr>
        <w:pStyle w:val="ListParagraph"/>
        <w:numPr>
          <w:ilvl w:val="0"/>
          <w:numId w:val="31"/>
        </w:numPr>
        <w:spacing w:after="120" w:line="240" w:lineRule="auto"/>
        <w:rPr>
          <w:rFonts w:asciiTheme="majorHAnsi" w:hAnsiTheme="majorHAnsi"/>
        </w:rPr>
      </w:pPr>
      <w:r w:rsidRPr="00352C09">
        <w:rPr>
          <w:rFonts w:asciiTheme="majorHAnsi" w:hAnsiTheme="majorHAnsi"/>
        </w:rPr>
        <w:t xml:space="preserve">Contracted technical </w:t>
      </w:r>
      <w:proofErr w:type="gramStart"/>
      <w:r w:rsidRPr="00352C09">
        <w:rPr>
          <w:rFonts w:asciiTheme="majorHAnsi" w:hAnsiTheme="majorHAnsi"/>
        </w:rPr>
        <w:t>assistance;</w:t>
      </w:r>
      <w:proofErr w:type="gramEnd"/>
    </w:p>
    <w:p w14:paraId="3AB4F083" w14:textId="04DB3D24" w:rsidR="00C60C3E" w:rsidRPr="00352C09" w:rsidRDefault="00C60C3E" w:rsidP="007701F5">
      <w:pPr>
        <w:pStyle w:val="ListParagraph"/>
        <w:numPr>
          <w:ilvl w:val="0"/>
          <w:numId w:val="31"/>
        </w:numPr>
        <w:spacing w:after="120" w:line="240" w:lineRule="auto"/>
        <w:rPr>
          <w:rFonts w:asciiTheme="majorHAnsi" w:hAnsiTheme="majorHAnsi"/>
        </w:rPr>
      </w:pPr>
      <w:r w:rsidRPr="00352C09">
        <w:rPr>
          <w:rFonts w:asciiTheme="majorHAnsi" w:hAnsiTheme="majorHAnsi"/>
        </w:rPr>
        <w:t xml:space="preserve">Locally </w:t>
      </w:r>
      <w:r w:rsidR="00997560">
        <w:rPr>
          <w:rFonts w:asciiTheme="majorHAnsi" w:hAnsiTheme="majorHAnsi"/>
        </w:rPr>
        <w:t>E</w:t>
      </w:r>
      <w:r w:rsidR="00997560" w:rsidRPr="00352C09">
        <w:rPr>
          <w:rFonts w:asciiTheme="majorHAnsi" w:hAnsiTheme="majorHAnsi"/>
        </w:rPr>
        <w:t xml:space="preserve">ngaged </w:t>
      </w:r>
      <w:r w:rsidR="00997560">
        <w:rPr>
          <w:rFonts w:asciiTheme="majorHAnsi" w:hAnsiTheme="majorHAnsi"/>
        </w:rPr>
        <w:t>S</w:t>
      </w:r>
      <w:r w:rsidR="00997560" w:rsidRPr="00352C09">
        <w:rPr>
          <w:rFonts w:asciiTheme="majorHAnsi" w:hAnsiTheme="majorHAnsi"/>
        </w:rPr>
        <w:t xml:space="preserve">taff </w:t>
      </w:r>
      <w:r w:rsidRPr="00352C09">
        <w:rPr>
          <w:rFonts w:asciiTheme="majorHAnsi" w:hAnsiTheme="majorHAnsi"/>
        </w:rPr>
        <w:t>(</w:t>
      </w:r>
      <w:proofErr w:type="gramStart"/>
      <w:r w:rsidRPr="00352C09">
        <w:rPr>
          <w:rFonts w:asciiTheme="majorHAnsi" w:hAnsiTheme="majorHAnsi"/>
        </w:rPr>
        <w:t>e.g.</w:t>
      </w:r>
      <w:proofErr w:type="gramEnd"/>
      <w:r w:rsidRPr="00352C09">
        <w:rPr>
          <w:rFonts w:asciiTheme="majorHAnsi" w:hAnsiTheme="majorHAnsi"/>
        </w:rPr>
        <w:t xml:space="preserve"> in specialist areas such as </w:t>
      </w:r>
      <w:r w:rsidR="00603FA4" w:rsidRPr="00352C09">
        <w:rPr>
          <w:rFonts w:asciiTheme="majorHAnsi" w:hAnsiTheme="majorHAnsi"/>
        </w:rPr>
        <w:t>Language Assi</w:t>
      </w:r>
      <w:r w:rsidR="00054084" w:rsidRPr="00352C09">
        <w:rPr>
          <w:rFonts w:asciiTheme="majorHAnsi" w:hAnsiTheme="majorHAnsi"/>
        </w:rPr>
        <w:t>s</w:t>
      </w:r>
      <w:r w:rsidR="00603FA4" w:rsidRPr="00352C09">
        <w:rPr>
          <w:rFonts w:asciiTheme="majorHAnsi" w:hAnsiTheme="majorHAnsi"/>
        </w:rPr>
        <w:t xml:space="preserve">tance, </w:t>
      </w:r>
      <w:r w:rsidRPr="00352C09">
        <w:rPr>
          <w:rFonts w:asciiTheme="majorHAnsi" w:hAnsiTheme="majorHAnsi"/>
        </w:rPr>
        <w:t>MEL and corporate support);</w:t>
      </w:r>
    </w:p>
    <w:p w14:paraId="027B4E85" w14:textId="6A58B355" w:rsidR="00C60C3E" w:rsidRPr="00352C09" w:rsidRDefault="00C60C3E" w:rsidP="007701F5">
      <w:pPr>
        <w:pStyle w:val="ListParagraph"/>
        <w:numPr>
          <w:ilvl w:val="0"/>
          <w:numId w:val="31"/>
        </w:numPr>
        <w:spacing w:after="120" w:line="240" w:lineRule="auto"/>
        <w:rPr>
          <w:rFonts w:asciiTheme="majorHAnsi" w:hAnsiTheme="majorHAnsi"/>
        </w:rPr>
      </w:pPr>
      <w:r w:rsidRPr="00352C09">
        <w:rPr>
          <w:rFonts w:asciiTheme="majorHAnsi" w:hAnsiTheme="majorHAnsi"/>
        </w:rPr>
        <w:t>Training</w:t>
      </w:r>
      <w:r w:rsidR="00C47313" w:rsidRPr="00352C09">
        <w:rPr>
          <w:rFonts w:asciiTheme="majorHAnsi" w:hAnsiTheme="majorHAnsi"/>
        </w:rPr>
        <w:t xml:space="preserve"> (including training of trainers</w:t>
      </w:r>
      <w:proofErr w:type="gramStart"/>
      <w:r w:rsidR="001136C5" w:rsidRPr="00352C09">
        <w:rPr>
          <w:rFonts w:asciiTheme="majorHAnsi" w:hAnsiTheme="majorHAnsi"/>
        </w:rPr>
        <w:t>)</w:t>
      </w:r>
      <w:r w:rsidRPr="00352C09">
        <w:rPr>
          <w:rFonts w:asciiTheme="majorHAnsi" w:hAnsiTheme="majorHAnsi"/>
        </w:rPr>
        <w:t>;</w:t>
      </w:r>
      <w:proofErr w:type="gramEnd"/>
    </w:p>
    <w:p w14:paraId="4F7FFCE3" w14:textId="116A4001" w:rsidR="00C60C3E" w:rsidRPr="00352C09" w:rsidRDefault="00C60C3E" w:rsidP="007701F5">
      <w:pPr>
        <w:pStyle w:val="ListParagraph"/>
        <w:numPr>
          <w:ilvl w:val="0"/>
          <w:numId w:val="31"/>
        </w:numPr>
        <w:spacing w:after="120" w:line="240" w:lineRule="auto"/>
        <w:rPr>
          <w:rFonts w:asciiTheme="majorHAnsi" w:hAnsiTheme="majorHAnsi"/>
        </w:rPr>
      </w:pPr>
      <w:proofErr w:type="gramStart"/>
      <w:r w:rsidRPr="00352C09">
        <w:rPr>
          <w:rFonts w:asciiTheme="majorHAnsi" w:hAnsiTheme="majorHAnsi"/>
        </w:rPr>
        <w:t>Mentoring;</w:t>
      </w:r>
      <w:proofErr w:type="gramEnd"/>
    </w:p>
    <w:p w14:paraId="2DFE6597" w14:textId="5262D868" w:rsidR="008968EE" w:rsidRPr="00352C09" w:rsidRDefault="008968EE" w:rsidP="007701F5">
      <w:pPr>
        <w:pStyle w:val="ListParagraph"/>
        <w:numPr>
          <w:ilvl w:val="0"/>
          <w:numId w:val="31"/>
        </w:numPr>
        <w:spacing w:after="120" w:line="240" w:lineRule="auto"/>
        <w:rPr>
          <w:rFonts w:asciiTheme="majorHAnsi" w:hAnsiTheme="majorHAnsi"/>
        </w:rPr>
      </w:pPr>
      <w:r w:rsidRPr="00352C09">
        <w:rPr>
          <w:rFonts w:asciiTheme="majorHAnsi" w:hAnsiTheme="majorHAnsi"/>
        </w:rPr>
        <w:t xml:space="preserve">Coordination of workshops and </w:t>
      </w:r>
      <w:proofErr w:type="gramStart"/>
      <w:r w:rsidRPr="00352C09">
        <w:rPr>
          <w:rFonts w:asciiTheme="majorHAnsi" w:hAnsiTheme="majorHAnsi"/>
        </w:rPr>
        <w:t>conferences;</w:t>
      </w:r>
      <w:proofErr w:type="gramEnd"/>
    </w:p>
    <w:p w14:paraId="7C156F9F" w14:textId="7E005B61" w:rsidR="00C60C3E" w:rsidRPr="00352C09" w:rsidRDefault="00C60C3E" w:rsidP="007701F5">
      <w:pPr>
        <w:pStyle w:val="ListParagraph"/>
        <w:numPr>
          <w:ilvl w:val="0"/>
          <w:numId w:val="31"/>
        </w:numPr>
        <w:spacing w:after="120" w:line="240" w:lineRule="auto"/>
        <w:rPr>
          <w:rFonts w:asciiTheme="majorHAnsi" w:hAnsiTheme="majorHAnsi"/>
        </w:rPr>
      </w:pPr>
      <w:r w:rsidRPr="00352C09">
        <w:rPr>
          <w:rFonts w:asciiTheme="majorHAnsi" w:hAnsiTheme="majorHAnsi"/>
        </w:rPr>
        <w:t>Opportunities to explore a range of aid delivery modalities such as twinning, shadowing, exchanges and secondments (particularly for training and development</w:t>
      </w:r>
      <w:proofErr w:type="gramStart"/>
      <w:r w:rsidRPr="00352C09">
        <w:rPr>
          <w:rFonts w:asciiTheme="majorHAnsi" w:hAnsiTheme="majorHAnsi"/>
        </w:rPr>
        <w:t>);</w:t>
      </w:r>
      <w:proofErr w:type="gramEnd"/>
    </w:p>
    <w:p w14:paraId="6C8A79F4" w14:textId="055AA260" w:rsidR="00C60C3E" w:rsidRDefault="00C60C3E" w:rsidP="007701F5">
      <w:pPr>
        <w:pStyle w:val="ListParagraph"/>
        <w:numPr>
          <w:ilvl w:val="0"/>
          <w:numId w:val="31"/>
        </w:numPr>
        <w:spacing w:after="120" w:line="240" w:lineRule="auto"/>
        <w:rPr>
          <w:rFonts w:asciiTheme="majorHAnsi" w:hAnsiTheme="majorHAnsi"/>
        </w:rPr>
      </w:pPr>
      <w:r w:rsidRPr="00352C09">
        <w:rPr>
          <w:rFonts w:asciiTheme="majorHAnsi" w:hAnsiTheme="majorHAnsi"/>
        </w:rPr>
        <w:t xml:space="preserve">Funding innovation/pilot projects, where </w:t>
      </w:r>
      <w:proofErr w:type="gramStart"/>
      <w:r w:rsidRPr="00352C09">
        <w:rPr>
          <w:rFonts w:asciiTheme="majorHAnsi" w:hAnsiTheme="majorHAnsi"/>
        </w:rPr>
        <w:t>appropriate;</w:t>
      </w:r>
      <w:proofErr w:type="gramEnd"/>
      <w:r w:rsidRPr="00352C09">
        <w:rPr>
          <w:rFonts w:asciiTheme="majorHAnsi" w:hAnsiTheme="majorHAnsi"/>
        </w:rPr>
        <w:t xml:space="preserve"> </w:t>
      </w:r>
    </w:p>
    <w:p w14:paraId="140C71AD" w14:textId="33AC34DD" w:rsidR="00206F4A" w:rsidRPr="00D92D44" w:rsidRDefault="00206F4A" w:rsidP="007701F5">
      <w:pPr>
        <w:pStyle w:val="ListParagraph"/>
        <w:numPr>
          <w:ilvl w:val="0"/>
          <w:numId w:val="31"/>
        </w:numPr>
        <w:spacing w:after="120" w:line="240" w:lineRule="auto"/>
        <w:rPr>
          <w:rFonts w:asciiTheme="majorHAnsi" w:hAnsiTheme="majorHAnsi"/>
        </w:rPr>
      </w:pPr>
      <w:r>
        <w:t xml:space="preserve">Support provided to other programs and institutions that work in Timor-Leste </w:t>
      </w:r>
      <w:r w:rsidR="00506A5C">
        <w:t>(</w:t>
      </w:r>
      <w:proofErr w:type="gramStart"/>
      <w:r w:rsidR="00506A5C">
        <w:t>e.g.</w:t>
      </w:r>
      <w:proofErr w:type="gramEnd"/>
      <w:r w:rsidR="00506A5C">
        <w:t xml:space="preserve"> co-payments/shared resourcing arrangements to deliver activities with </w:t>
      </w:r>
      <w:r>
        <w:t>NGOs, victim support services, and local advocacy groups)</w:t>
      </w:r>
      <w:r w:rsidR="004A5C76">
        <w:t>;</w:t>
      </w:r>
    </w:p>
    <w:p w14:paraId="7074CC50" w14:textId="11C40C0C" w:rsidR="004A5C76" w:rsidRPr="00352C09" w:rsidRDefault="004A5C76" w:rsidP="007701F5">
      <w:pPr>
        <w:pStyle w:val="ListParagraph"/>
        <w:numPr>
          <w:ilvl w:val="0"/>
          <w:numId w:val="31"/>
        </w:numPr>
        <w:spacing w:after="120" w:line="240" w:lineRule="auto"/>
        <w:rPr>
          <w:rFonts w:asciiTheme="majorHAnsi" w:hAnsiTheme="majorHAnsi"/>
        </w:rPr>
      </w:pPr>
      <w:r>
        <w:t>Leveraging of other AFP and DFAT supported programs in the region</w:t>
      </w:r>
      <w:r w:rsidR="009C0B88">
        <w:t>; and</w:t>
      </w:r>
    </w:p>
    <w:p w14:paraId="4317821B" w14:textId="37BB581E" w:rsidR="00C60C3E" w:rsidRPr="00940239" w:rsidRDefault="00C47313" w:rsidP="007701F5">
      <w:pPr>
        <w:pStyle w:val="ListParagraph"/>
        <w:numPr>
          <w:ilvl w:val="0"/>
          <w:numId w:val="31"/>
        </w:numPr>
        <w:spacing w:after="120" w:line="240" w:lineRule="auto"/>
        <w:rPr>
          <w:rFonts w:asciiTheme="majorHAnsi" w:hAnsiTheme="majorHAnsi"/>
        </w:rPr>
      </w:pPr>
      <w:r w:rsidRPr="00352C09">
        <w:rPr>
          <w:rFonts w:asciiTheme="majorHAnsi" w:hAnsiTheme="majorHAnsi"/>
        </w:rPr>
        <w:t xml:space="preserve">Limited supply </w:t>
      </w:r>
      <w:r w:rsidR="00C60C3E" w:rsidRPr="00352C09">
        <w:rPr>
          <w:rFonts w:asciiTheme="majorHAnsi" w:hAnsiTheme="majorHAnsi"/>
        </w:rPr>
        <w:t>of goods (assets, equipment and infrastructure; services).</w:t>
      </w:r>
    </w:p>
    <w:p w14:paraId="2B957A73" w14:textId="4661A492" w:rsidR="0095220A" w:rsidRPr="00352C09" w:rsidRDefault="007A3944" w:rsidP="007701F5">
      <w:pPr>
        <w:spacing w:after="120" w:line="240" w:lineRule="auto"/>
        <w:rPr>
          <w:rFonts w:asciiTheme="majorHAnsi" w:hAnsiTheme="majorHAnsi" w:cs="Franklin Gothic Book"/>
          <w:bCs/>
        </w:rPr>
      </w:pPr>
      <w:r w:rsidRPr="00352C09">
        <w:rPr>
          <w:rFonts w:asciiTheme="majorHAnsi" w:hAnsiTheme="majorHAnsi"/>
        </w:rPr>
        <w:t>The Program</w:t>
      </w:r>
      <w:r w:rsidR="00C60C3E" w:rsidRPr="00352C09">
        <w:rPr>
          <w:rFonts w:asciiTheme="majorHAnsi" w:hAnsiTheme="majorHAnsi"/>
        </w:rPr>
        <w:t xml:space="preserve"> will remain responsive and flexible to environmental ch</w:t>
      </w:r>
      <w:r w:rsidR="002D5411">
        <w:rPr>
          <w:rFonts w:asciiTheme="majorHAnsi" w:hAnsiTheme="majorHAnsi"/>
        </w:rPr>
        <w:t>anges or changes to PNTL organis</w:t>
      </w:r>
      <w:r w:rsidR="00C60C3E" w:rsidRPr="00352C09">
        <w:rPr>
          <w:rFonts w:asciiTheme="majorHAnsi" w:hAnsiTheme="majorHAnsi"/>
        </w:rPr>
        <w:t>ational</w:t>
      </w:r>
      <w:r w:rsidRPr="00352C09">
        <w:rPr>
          <w:rFonts w:asciiTheme="majorHAnsi" w:hAnsiTheme="majorHAnsi"/>
        </w:rPr>
        <w:t xml:space="preserve"> </w:t>
      </w:r>
      <w:r w:rsidR="0095220A" w:rsidRPr="00352C09">
        <w:rPr>
          <w:rFonts w:asciiTheme="majorHAnsi" w:hAnsiTheme="majorHAnsi"/>
        </w:rPr>
        <w:t>and</w:t>
      </w:r>
      <w:r w:rsidRPr="00352C09">
        <w:rPr>
          <w:rFonts w:asciiTheme="majorHAnsi" w:hAnsiTheme="majorHAnsi"/>
        </w:rPr>
        <w:t xml:space="preserve"> strategic </w:t>
      </w:r>
      <w:r w:rsidR="00C60C3E" w:rsidRPr="00352C09">
        <w:rPr>
          <w:rFonts w:asciiTheme="majorHAnsi" w:hAnsiTheme="majorHAnsi"/>
        </w:rPr>
        <w:t xml:space="preserve">priorities. </w:t>
      </w:r>
      <w:r w:rsidR="002D5411">
        <w:rPr>
          <w:rFonts w:asciiTheme="majorHAnsi" w:hAnsiTheme="majorHAnsi"/>
        </w:rPr>
        <w:t>The P</w:t>
      </w:r>
      <w:r w:rsidR="0095220A" w:rsidRPr="00352C09">
        <w:rPr>
          <w:rFonts w:asciiTheme="majorHAnsi" w:hAnsiTheme="majorHAnsi"/>
        </w:rPr>
        <w:t xml:space="preserve">rogram will also take a more focused </w:t>
      </w:r>
      <w:r w:rsidR="00C60C3E" w:rsidRPr="00352C09">
        <w:rPr>
          <w:rFonts w:asciiTheme="majorHAnsi" w:hAnsiTheme="majorHAnsi" w:cs="Franklin Gothic Book"/>
        </w:rPr>
        <w:t xml:space="preserve">approach to addressing key crosscutting thematic issues </w:t>
      </w:r>
      <w:r w:rsidR="0095220A" w:rsidRPr="00352C09">
        <w:rPr>
          <w:rFonts w:asciiTheme="majorHAnsi" w:hAnsiTheme="majorHAnsi" w:cs="Franklin Gothic Book"/>
        </w:rPr>
        <w:t>such as ensuring that gender</w:t>
      </w:r>
      <w:r w:rsidR="00352C09">
        <w:rPr>
          <w:rFonts w:asciiTheme="majorHAnsi" w:hAnsiTheme="majorHAnsi" w:cs="Franklin Gothic Book"/>
        </w:rPr>
        <w:t xml:space="preserve"> considerations are</w:t>
      </w:r>
      <w:r w:rsidR="003B342B">
        <w:rPr>
          <w:rFonts w:asciiTheme="majorHAnsi" w:hAnsiTheme="majorHAnsi" w:cs="Franklin Gothic Book"/>
        </w:rPr>
        <w:t xml:space="preserve"> mainstreamed within all P</w:t>
      </w:r>
      <w:r w:rsidR="0095220A" w:rsidRPr="00352C09">
        <w:rPr>
          <w:rFonts w:asciiTheme="majorHAnsi" w:hAnsiTheme="majorHAnsi" w:cs="Franklin Gothic Book"/>
        </w:rPr>
        <w:t xml:space="preserve">rogram activities and that </w:t>
      </w:r>
      <w:r w:rsidR="00C60C3E" w:rsidRPr="00352C09">
        <w:rPr>
          <w:rFonts w:asciiTheme="majorHAnsi" w:hAnsiTheme="majorHAnsi" w:cs="Franklin Gothic Book"/>
          <w:bCs/>
        </w:rPr>
        <w:t>governance</w:t>
      </w:r>
      <w:r w:rsidR="0095220A" w:rsidRPr="00352C09">
        <w:rPr>
          <w:rFonts w:asciiTheme="majorHAnsi" w:hAnsiTheme="majorHAnsi" w:cs="Franklin Gothic Book"/>
          <w:bCs/>
        </w:rPr>
        <w:t xml:space="preserve"> reform is considered </w:t>
      </w:r>
      <w:r w:rsidR="00F5296D" w:rsidRPr="00352C09">
        <w:rPr>
          <w:rFonts w:asciiTheme="majorHAnsi" w:hAnsiTheme="majorHAnsi" w:cs="Franklin Gothic Book"/>
          <w:bCs/>
        </w:rPr>
        <w:t xml:space="preserve">when required </w:t>
      </w:r>
      <w:r w:rsidR="0095220A" w:rsidRPr="00352C09">
        <w:rPr>
          <w:rFonts w:asciiTheme="majorHAnsi" w:hAnsiTheme="majorHAnsi" w:cs="Franklin Gothic Book"/>
          <w:bCs/>
        </w:rPr>
        <w:t>to support ope</w:t>
      </w:r>
      <w:r w:rsidR="00B80847" w:rsidRPr="00352C09">
        <w:rPr>
          <w:rFonts w:asciiTheme="majorHAnsi" w:hAnsiTheme="majorHAnsi" w:cs="Franklin Gothic Book"/>
          <w:bCs/>
        </w:rPr>
        <w:t>rational policing initiatives.</w:t>
      </w:r>
    </w:p>
    <w:p w14:paraId="77F50E7F" w14:textId="175DFD8C" w:rsidR="00D5713D" w:rsidRPr="00AE209B" w:rsidRDefault="00FC25B7" w:rsidP="00A42C1F">
      <w:pPr>
        <w:pStyle w:val="Heading2"/>
        <w:numPr>
          <w:ilvl w:val="1"/>
          <w:numId w:val="61"/>
        </w:numPr>
        <w:spacing w:before="0" w:after="120" w:line="240" w:lineRule="auto"/>
        <w:ind w:left="426"/>
      </w:pPr>
      <w:r>
        <w:lastRenderedPageBreak/>
        <w:t xml:space="preserve"> </w:t>
      </w:r>
      <w:bookmarkStart w:id="69" w:name="_Toc516189355"/>
      <w:r w:rsidR="00D5713D" w:rsidRPr="00AE209B">
        <w:t>Cross Program Collaborations</w:t>
      </w:r>
      <w:bookmarkEnd w:id="69"/>
    </w:p>
    <w:p w14:paraId="140D5860" w14:textId="316FE0F1" w:rsidR="00AD6051" w:rsidRPr="00352C09" w:rsidRDefault="00AD6051" w:rsidP="007701F5">
      <w:pPr>
        <w:spacing w:after="120" w:line="240" w:lineRule="auto"/>
        <w:rPr>
          <w:rFonts w:asciiTheme="majorHAnsi" w:hAnsiTheme="majorHAnsi"/>
        </w:rPr>
      </w:pPr>
      <w:r w:rsidRPr="00352C09">
        <w:rPr>
          <w:rFonts w:asciiTheme="majorHAnsi" w:hAnsiTheme="majorHAnsi"/>
        </w:rPr>
        <w:t>The number of donors in Timor-Leste has decreased significantly since the withdrawal of the United Nations in 2012. Direct support for PNTL has also decreased.</w:t>
      </w:r>
      <w:r w:rsidRPr="00352C09">
        <w:rPr>
          <w:rStyle w:val="FootnoteReference"/>
          <w:rFonts w:asciiTheme="majorHAnsi" w:hAnsiTheme="majorHAnsi"/>
        </w:rPr>
        <w:footnoteReference w:id="43"/>
      </w:r>
      <w:r w:rsidRPr="00352C09">
        <w:rPr>
          <w:rFonts w:asciiTheme="majorHAnsi" w:hAnsiTheme="majorHAnsi"/>
        </w:rPr>
        <w:t xml:space="preserve"> As a result, </w:t>
      </w:r>
      <w:r w:rsidR="0087006C">
        <w:rPr>
          <w:rFonts w:asciiTheme="majorHAnsi" w:hAnsiTheme="majorHAnsi"/>
        </w:rPr>
        <w:t xml:space="preserve">the </w:t>
      </w:r>
      <w:r w:rsidRPr="00352C09">
        <w:rPr>
          <w:rFonts w:asciiTheme="majorHAnsi" w:hAnsiTheme="majorHAnsi"/>
        </w:rPr>
        <w:t xml:space="preserve">PNTL </w:t>
      </w:r>
      <w:r w:rsidR="0087006C">
        <w:rPr>
          <w:rFonts w:asciiTheme="majorHAnsi" w:hAnsiTheme="majorHAnsi"/>
        </w:rPr>
        <w:t>has</w:t>
      </w:r>
      <w:r w:rsidRPr="00352C09">
        <w:rPr>
          <w:rFonts w:asciiTheme="majorHAnsi" w:hAnsiTheme="majorHAnsi"/>
        </w:rPr>
        <w:t xml:space="preserve"> focussed on support from the AFP, New Zealand Police and </w:t>
      </w:r>
      <w:r w:rsidRPr="00352C09">
        <w:rPr>
          <w:rFonts w:asciiTheme="majorHAnsi" w:hAnsiTheme="majorHAnsi"/>
          <w:i/>
        </w:rPr>
        <w:t xml:space="preserve">Portuguese </w:t>
      </w:r>
      <w:proofErr w:type="spellStart"/>
      <w:r w:rsidRPr="00352C09">
        <w:rPr>
          <w:rFonts w:asciiTheme="majorHAnsi" w:hAnsiTheme="majorHAnsi"/>
          <w:i/>
        </w:rPr>
        <w:t>Guarda</w:t>
      </w:r>
      <w:proofErr w:type="spellEnd"/>
      <w:r w:rsidRPr="00352C09">
        <w:rPr>
          <w:rFonts w:asciiTheme="majorHAnsi" w:hAnsiTheme="majorHAnsi"/>
          <w:i/>
        </w:rPr>
        <w:t xml:space="preserve"> Nacional </w:t>
      </w:r>
      <w:proofErr w:type="spellStart"/>
      <w:r w:rsidRPr="00352C09">
        <w:rPr>
          <w:rFonts w:asciiTheme="majorHAnsi" w:hAnsiTheme="majorHAnsi"/>
          <w:i/>
        </w:rPr>
        <w:t>Republicana</w:t>
      </w:r>
      <w:proofErr w:type="spellEnd"/>
      <w:r w:rsidRPr="00352C09">
        <w:rPr>
          <w:rFonts w:asciiTheme="majorHAnsi" w:hAnsiTheme="majorHAnsi"/>
        </w:rPr>
        <w:t xml:space="preserve"> (GNR). The PNTL has also received ad hoc support from the United States and China. There are opportunities for the TLPDP to leverage other donor support, </w:t>
      </w:r>
      <w:proofErr w:type="gramStart"/>
      <w:r w:rsidRPr="00352C09">
        <w:rPr>
          <w:rFonts w:asciiTheme="majorHAnsi" w:hAnsiTheme="majorHAnsi"/>
        </w:rPr>
        <w:t>in particular other</w:t>
      </w:r>
      <w:proofErr w:type="gramEnd"/>
      <w:r w:rsidRPr="00352C09">
        <w:rPr>
          <w:rFonts w:asciiTheme="majorHAnsi" w:hAnsiTheme="majorHAnsi"/>
        </w:rPr>
        <w:t xml:space="preserve"> Australian Government programs and NGOs working in Timor-Leste. The next phase of the New Zealand Police’s TLCCP is currently in the design phase and could provide an opportunity to leverage and partner on relevant activities. </w:t>
      </w:r>
      <w:r w:rsidR="00352C09">
        <w:rPr>
          <w:rFonts w:asciiTheme="majorHAnsi" w:hAnsiTheme="majorHAnsi"/>
        </w:rPr>
        <w:t xml:space="preserve">For details on how these programs and activities can be leveraged see Annex </w:t>
      </w:r>
      <w:r w:rsidR="00893F68">
        <w:rPr>
          <w:rFonts w:asciiTheme="majorHAnsi" w:hAnsiTheme="majorHAnsi"/>
        </w:rPr>
        <w:t>B</w:t>
      </w:r>
      <w:r w:rsidR="00352C09">
        <w:rPr>
          <w:rFonts w:asciiTheme="majorHAnsi" w:hAnsiTheme="majorHAnsi"/>
        </w:rPr>
        <w:t xml:space="preserve">. </w:t>
      </w:r>
    </w:p>
    <w:p w14:paraId="7E1C6F0F" w14:textId="3BA2C4DE" w:rsidR="008E5B6A" w:rsidRPr="00940239" w:rsidRDefault="00FC25B7" w:rsidP="00A42C1F">
      <w:pPr>
        <w:pStyle w:val="Heading2"/>
        <w:numPr>
          <w:ilvl w:val="1"/>
          <w:numId w:val="61"/>
        </w:numPr>
        <w:spacing w:before="0" w:after="120" w:line="240" w:lineRule="auto"/>
        <w:ind w:left="426"/>
      </w:pPr>
      <w:r>
        <w:t xml:space="preserve"> </w:t>
      </w:r>
      <w:bookmarkStart w:id="70" w:name="_Toc516189356"/>
      <w:r w:rsidR="006224AA" w:rsidRPr="00AE209B">
        <w:t>Value for money</w:t>
      </w:r>
      <w:bookmarkEnd w:id="70"/>
    </w:p>
    <w:p w14:paraId="2F4B5B64" w14:textId="74D3D843" w:rsidR="008E5B6A" w:rsidRPr="00940239" w:rsidRDefault="008E5B6A" w:rsidP="007701F5">
      <w:pPr>
        <w:spacing w:after="120" w:line="240" w:lineRule="auto"/>
        <w:rPr>
          <w:rFonts w:asciiTheme="majorHAnsi" w:hAnsiTheme="majorHAnsi"/>
        </w:rPr>
      </w:pPr>
      <w:r w:rsidRPr="00940239">
        <w:rPr>
          <w:rFonts w:asciiTheme="majorHAnsi" w:hAnsiTheme="majorHAnsi"/>
        </w:rPr>
        <w:t>The delivery of this approach represents value for money and is the best practical option for achieving intended outcomes. The most significant factors being:</w:t>
      </w:r>
    </w:p>
    <w:p w14:paraId="78FDCCF6" w14:textId="4E2B6B27" w:rsidR="008E5B6A" w:rsidRPr="00940239" w:rsidRDefault="008E5B6A" w:rsidP="007701F5">
      <w:pPr>
        <w:pStyle w:val="ListParagraph"/>
        <w:numPr>
          <w:ilvl w:val="0"/>
          <w:numId w:val="17"/>
        </w:numPr>
        <w:spacing w:after="120" w:line="240" w:lineRule="auto"/>
        <w:rPr>
          <w:rFonts w:asciiTheme="majorHAnsi" w:hAnsiTheme="majorHAnsi"/>
        </w:rPr>
      </w:pPr>
      <w:r w:rsidRPr="00940239">
        <w:rPr>
          <w:rFonts w:asciiTheme="majorHAnsi" w:hAnsiTheme="majorHAnsi"/>
        </w:rPr>
        <w:t xml:space="preserve">A smaller program of assistance to be provided by AFP in 2018–2022, </w:t>
      </w:r>
      <w:r w:rsidR="00515C36" w:rsidRPr="00940239">
        <w:rPr>
          <w:rFonts w:asciiTheme="majorHAnsi" w:hAnsiTheme="majorHAnsi"/>
        </w:rPr>
        <w:t xml:space="preserve">which will however influence a broader </w:t>
      </w:r>
      <w:r w:rsidR="005B280E" w:rsidRPr="00940239">
        <w:rPr>
          <w:rFonts w:asciiTheme="majorHAnsi" w:hAnsiTheme="majorHAnsi"/>
        </w:rPr>
        <w:t>sphere</w:t>
      </w:r>
      <w:r w:rsidR="00515C36" w:rsidRPr="00940239">
        <w:rPr>
          <w:rFonts w:asciiTheme="majorHAnsi" w:hAnsiTheme="majorHAnsi"/>
        </w:rPr>
        <w:t xml:space="preserve"> of development</w:t>
      </w:r>
      <w:r w:rsidRPr="00940239">
        <w:rPr>
          <w:rFonts w:asciiTheme="majorHAnsi" w:hAnsiTheme="majorHAnsi"/>
        </w:rPr>
        <w:t xml:space="preserve">, particularly in support of </w:t>
      </w:r>
      <w:r w:rsidR="00515C36" w:rsidRPr="00940239">
        <w:rPr>
          <w:rFonts w:asciiTheme="majorHAnsi" w:hAnsiTheme="majorHAnsi"/>
        </w:rPr>
        <w:t>district and municipal</w:t>
      </w:r>
      <w:r w:rsidRPr="00940239">
        <w:rPr>
          <w:rFonts w:asciiTheme="majorHAnsi" w:hAnsiTheme="majorHAnsi"/>
        </w:rPr>
        <w:t xml:space="preserve"> </w:t>
      </w:r>
      <w:r w:rsidR="00515C36" w:rsidRPr="00940239">
        <w:rPr>
          <w:rFonts w:asciiTheme="majorHAnsi" w:hAnsiTheme="majorHAnsi"/>
        </w:rPr>
        <w:t xml:space="preserve">level training </w:t>
      </w:r>
      <w:proofErr w:type="gramStart"/>
      <w:r w:rsidR="00515C36" w:rsidRPr="00940239">
        <w:rPr>
          <w:rFonts w:asciiTheme="majorHAnsi" w:hAnsiTheme="majorHAnsi"/>
        </w:rPr>
        <w:t>outcomes;</w:t>
      </w:r>
      <w:proofErr w:type="gramEnd"/>
    </w:p>
    <w:p w14:paraId="3BACFE11" w14:textId="03E489E7" w:rsidR="008E5B6A" w:rsidRPr="00940239" w:rsidRDefault="008E5B6A" w:rsidP="007701F5">
      <w:pPr>
        <w:pStyle w:val="ListParagraph"/>
        <w:numPr>
          <w:ilvl w:val="0"/>
          <w:numId w:val="17"/>
        </w:numPr>
        <w:spacing w:after="120" w:line="240" w:lineRule="auto"/>
        <w:rPr>
          <w:rFonts w:asciiTheme="majorHAnsi" w:hAnsiTheme="majorHAnsi"/>
        </w:rPr>
      </w:pPr>
      <w:r w:rsidRPr="00940239">
        <w:rPr>
          <w:rFonts w:asciiTheme="majorHAnsi" w:hAnsiTheme="majorHAnsi"/>
        </w:rPr>
        <w:t>A need to sustain existing gains made by TLPDP over past years, particularly in sustaining the capability and accountability of the PNTL’s administration</w:t>
      </w:r>
      <w:r w:rsidR="005B280E" w:rsidRPr="00940239">
        <w:rPr>
          <w:rFonts w:asciiTheme="majorHAnsi" w:hAnsiTheme="majorHAnsi"/>
        </w:rPr>
        <w:t>,</w:t>
      </w:r>
      <w:r w:rsidRPr="00940239">
        <w:rPr>
          <w:rFonts w:asciiTheme="majorHAnsi" w:hAnsiTheme="majorHAnsi"/>
        </w:rPr>
        <w:t xml:space="preserve"> and governance systems to underpin </w:t>
      </w:r>
      <w:r w:rsidR="005B280E" w:rsidRPr="00940239">
        <w:rPr>
          <w:rFonts w:asciiTheme="majorHAnsi" w:hAnsiTheme="majorHAnsi"/>
        </w:rPr>
        <w:t xml:space="preserve">self-improvement and </w:t>
      </w:r>
      <w:r w:rsidRPr="00940239">
        <w:rPr>
          <w:rFonts w:asciiTheme="majorHAnsi" w:hAnsiTheme="majorHAnsi"/>
        </w:rPr>
        <w:t>operational development</w:t>
      </w:r>
      <w:r w:rsidR="005B280E" w:rsidRPr="00940239">
        <w:rPr>
          <w:rFonts w:asciiTheme="majorHAnsi" w:hAnsiTheme="majorHAnsi"/>
        </w:rPr>
        <w:t>;</w:t>
      </w:r>
      <w:r w:rsidR="00F04E33" w:rsidRPr="00940239">
        <w:rPr>
          <w:rFonts w:asciiTheme="majorHAnsi" w:hAnsiTheme="majorHAnsi"/>
        </w:rPr>
        <w:t xml:space="preserve"> and</w:t>
      </w:r>
    </w:p>
    <w:p w14:paraId="769BA006" w14:textId="2D9C1F3E" w:rsidR="008E5B6A" w:rsidRPr="00940239" w:rsidRDefault="008E5B6A" w:rsidP="007701F5">
      <w:pPr>
        <w:pStyle w:val="ListParagraph"/>
        <w:numPr>
          <w:ilvl w:val="0"/>
          <w:numId w:val="17"/>
        </w:numPr>
        <w:spacing w:after="120" w:line="240" w:lineRule="auto"/>
        <w:rPr>
          <w:rFonts w:asciiTheme="majorHAnsi" w:hAnsiTheme="majorHAnsi"/>
        </w:rPr>
      </w:pPr>
      <w:r w:rsidRPr="00940239">
        <w:rPr>
          <w:rFonts w:asciiTheme="majorHAnsi" w:hAnsiTheme="majorHAnsi"/>
        </w:rPr>
        <w:t>The need to translate PNTL capability gains into more effective polic</w:t>
      </w:r>
      <w:r w:rsidR="005B280E" w:rsidRPr="00940239">
        <w:rPr>
          <w:rFonts w:asciiTheme="majorHAnsi" w:hAnsiTheme="majorHAnsi"/>
        </w:rPr>
        <w:t>ing services at community level</w:t>
      </w:r>
      <w:r w:rsidR="00F04E33" w:rsidRPr="00940239">
        <w:rPr>
          <w:rFonts w:asciiTheme="majorHAnsi" w:hAnsiTheme="majorHAnsi"/>
        </w:rPr>
        <w:t>.</w:t>
      </w:r>
    </w:p>
    <w:p w14:paraId="75EE34C7" w14:textId="4DA08C7B" w:rsidR="004D4BAC" w:rsidRPr="00AE209B" w:rsidRDefault="00BD767B" w:rsidP="00A42C1F">
      <w:pPr>
        <w:pStyle w:val="Heading2"/>
        <w:numPr>
          <w:ilvl w:val="1"/>
          <w:numId w:val="61"/>
        </w:numPr>
        <w:spacing w:before="0" w:after="120" w:line="240" w:lineRule="auto"/>
        <w:ind w:left="426"/>
      </w:pPr>
      <w:r>
        <w:t xml:space="preserve"> </w:t>
      </w:r>
      <w:bookmarkStart w:id="71" w:name="_Toc516189357"/>
      <w:r w:rsidR="004D4BAC" w:rsidRPr="00AE209B">
        <w:t>Innovation and Private Sector Engagement</w:t>
      </w:r>
      <w:bookmarkEnd w:id="71"/>
    </w:p>
    <w:p w14:paraId="4E6BA2DD" w14:textId="244477F9" w:rsidR="004D4BAC" w:rsidRPr="008E6445" w:rsidRDefault="004D4BAC" w:rsidP="007701F5">
      <w:pPr>
        <w:spacing w:after="120" w:line="240" w:lineRule="auto"/>
      </w:pPr>
      <w:r w:rsidRPr="008E6445">
        <w:t>The TLPDP will need to be flexible and innovative in its approach to capacity development. With fewer staff and</w:t>
      </w:r>
      <w:r w:rsidR="003B342B" w:rsidRPr="008E6445">
        <w:t xml:space="preserve"> resources at its disposal the P</w:t>
      </w:r>
      <w:r w:rsidRPr="008E6445">
        <w:t>rogram will need to find efficient and innovative ways to support PNTL priorities and to meet the investment’s capacity development objectives.</w:t>
      </w:r>
    </w:p>
    <w:p w14:paraId="1253D9C5" w14:textId="49DE4B2C" w:rsidR="004D4BAC" w:rsidRPr="008E6445" w:rsidRDefault="004D4BAC" w:rsidP="007701F5">
      <w:pPr>
        <w:spacing w:after="120" w:line="240" w:lineRule="auto"/>
      </w:pPr>
      <w:r w:rsidRPr="008E6445">
        <w:t xml:space="preserve">The TLPDP will need to ensure it has advisers with appropriate specialist skills, technical abilities and cultural awareness to deliver each element of the </w:t>
      </w:r>
      <w:r w:rsidR="003B342B" w:rsidRPr="008E6445">
        <w:t>P</w:t>
      </w:r>
      <w:r w:rsidRPr="008E6445">
        <w:t>rogram. This may require some advisers to be deployed on a short-term or secondment basis where a critical skill is required, or the formation of temporary taskforces, committees, steering groups to collaboratively develop solutions or capitalise on opportunities as they arise.</w:t>
      </w:r>
    </w:p>
    <w:p w14:paraId="35D61A1B" w14:textId="4A25CEE1" w:rsidR="004D4BAC" w:rsidRPr="008E6445" w:rsidRDefault="004D4BAC" w:rsidP="007701F5">
      <w:pPr>
        <w:spacing w:after="120" w:line="240" w:lineRule="auto"/>
      </w:pPr>
      <w:r w:rsidRPr="008E6445">
        <w:t>Like other developing countries, Timor-Leste faces substantial challenges in accessing basic services.</w:t>
      </w:r>
      <w:r w:rsidRPr="008E6445">
        <w:rPr>
          <w:rStyle w:val="FootnoteReference"/>
        </w:rPr>
        <w:footnoteReference w:id="44"/>
      </w:r>
      <w:r w:rsidRPr="008E6445">
        <w:t xml:space="preserve"> Access to information and communications technology (ICT) equipment and infrastructure is limited, particularly outside of Dili.</w:t>
      </w:r>
      <w:r w:rsidRPr="008E6445">
        <w:rPr>
          <w:rStyle w:val="FootnoteReference"/>
        </w:rPr>
        <w:footnoteReference w:id="45"/>
      </w:r>
      <w:r w:rsidRPr="008E6445">
        <w:t xml:space="preserve"> The previous TLPDP has used innovative solutions to overcome some of these challenges, such as the use of portable wireless internet and providing deployable kits of laptops with relevant software to the PNTL to support training activities. Whilst any technological initiative carries inherent sustainability risks, these innovative solutions to overcoming basic services and infrastructure will need to continue to be developed throughout the next phase of the TLPDP.</w:t>
      </w:r>
    </w:p>
    <w:p w14:paraId="71B458D8" w14:textId="77777777" w:rsidR="004D4BAC" w:rsidRPr="008E6445" w:rsidRDefault="004D4BAC" w:rsidP="007701F5">
      <w:pPr>
        <w:spacing w:after="120" w:line="240" w:lineRule="auto"/>
      </w:pPr>
      <w:r w:rsidRPr="008E6445">
        <w:t xml:space="preserve">With limited resources and an unpredictable operating environment, the TLPDP will also need to manage risks to new and innovative activities. The use of pilot projects should continue to be utilised as they provide an opportunity to learn from outcomes and assist in determining if activities will work in the local context. One such pilot could include TLPDP supporting </w:t>
      </w:r>
      <w:proofErr w:type="gramStart"/>
      <w:r w:rsidRPr="008E6445">
        <w:t xml:space="preserve">child </w:t>
      </w:r>
      <w:r w:rsidRPr="008E6445">
        <w:lastRenderedPageBreak/>
        <w:t>care</w:t>
      </w:r>
      <w:proofErr w:type="gramEnd"/>
      <w:r w:rsidRPr="008E6445">
        <w:t xml:space="preserve"> solutions for female police officers deployed in the districts. This may support the PNTL to overcome barriers created by complex societal and cultural issues.</w:t>
      </w:r>
      <w:r w:rsidRPr="008E6445">
        <w:rPr>
          <w:rStyle w:val="FootnoteReference"/>
        </w:rPr>
        <w:footnoteReference w:id="46"/>
      </w:r>
      <w:r w:rsidRPr="008E6445">
        <w:t xml:space="preserve"> </w:t>
      </w:r>
    </w:p>
    <w:p w14:paraId="2EC14AE9" w14:textId="7AC90E21" w:rsidR="004D4BAC" w:rsidRPr="008E6445" w:rsidRDefault="004D4BAC" w:rsidP="007701F5">
      <w:pPr>
        <w:spacing w:after="120" w:line="240" w:lineRule="auto"/>
      </w:pPr>
      <w:r w:rsidRPr="008E6445">
        <w:t xml:space="preserve">The TLPDP has demonstrated a willingness to support private industry in the delivery of infrastructure to support PNTL projects, with local materials and services being used wherever possible. This approach </w:t>
      </w:r>
      <w:r w:rsidR="00997560">
        <w:t>facilitates</w:t>
      </w:r>
      <w:r w:rsidR="00997560" w:rsidRPr="008E6445">
        <w:t xml:space="preserve"> </w:t>
      </w:r>
      <w:r w:rsidRPr="008E6445">
        <w:t xml:space="preserve">support for capacity development activities, whilst also providing investment returns to the local economy.  </w:t>
      </w:r>
    </w:p>
    <w:p w14:paraId="671014FE" w14:textId="03C4FA5C" w:rsidR="005C78D8" w:rsidRPr="00A8219D" w:rsidRDefault="004D4BAC" w:rsidP="00A8219D">
      <w:pPr>
        <w:spacing w:after="120" w:line="240" w:lineRule="auto"/>
        <w:sectPr w:rsidR="005C78D8" w:rsidRPr="00A8219D" w:rsidSect="00206ADB">
          <w:pgSz w:w="11907" w:h="16839" w:code="9"/>
          <w:pgMar w:top="1440" w:right="1440" w:bottom="1440" w:left="1440" w:header="720" w:footer="720" w:gutter="0"/>
          <w:cols w:space="720"/>
          <w:docGrid w:linePitch="360"/>
        </w:sectPr>
      </w:pPr>
      <w:r w:rsidRPr="008E6445">
        <w:t>The TLPDP will need to increase and strengthen partnerships with other actors in the next phase, to leverage existing activities and seek out the most effective collab</w:t>
      </w:r>
      <w:r w:rsidR="003B342B" w:rsidRPr="008E6445">
        <w:t>orations to deliver the P</w:t>
      </w:r>
      <w:r w:rsidRPr="008E6445">
        <w:t>rogram. This will mean more engagement with private sector, non-government organisations, volunteer organisations, philanthropic organis</w:t>
      </w:r>
      <w:r w:rsidR="00722BBD">
        <w:t>ations and partner governments.</w:t>
      </w:r>
    </w:p>
    <w:p w14:paraId="1DEE42E0" w14:textId="492A5F53" w:rsidR="005C78D8" w:rsidRDefault="00722BBD" w:rsidP="00722BBD">
      <w:pPr>
        <w:pStyle w:val="Heading1"/>
        <w:pBdr>
          <w:bottom w:val="single" w:sz="6" w:space="1" w:color="auto"/>
        </w:pBdr>
        <w:spacing w:before="0"/>
        <w:jc w:val="center"/>
        <w:rPr>
          <w:rFonts w:ascii="Cambria" w:hAnsi="Cambria"/>
          <w:sz w:val="32"/>
          <w:szCs w:val="32"/>
        </w:rPr>
      </w:pPr>
      <w:bookmarkStart w:id="72" w:name="_Toc516189358"/>
      <w:proofErr w:type="spellStart"/>
      <w:r w:rsidRPr="00A42C1F">
        <w:rPr>
          <w:sz w:val="32"/>
          <w:szCs w:val="32"/>
        </w:rPr>
        <w:lastRenderedPageBreak/>
        <w:t>rogram</w:t>
      </w:r>
      <w:proofErr w:type="spellEnd"/>
      <w:r w:rsidRPr="00A42C1F">
        <w:rPr>
          <w:sz w:val="32"/>
          <w:szCs w:val="32"/>
        </w:rPr>
        <w:t xml:space="preserve"> Logic</w:t>
      </w:r>
      <w:r w:rsidR="00A42C1F">
        <w:rPr>
          <w:rFonts w:ascii="Cambria" w:hAnsi="Cambria"/>
          <w:sz w:val="32"/>
          <w:szCs w:val="32"/>
        </w:rPr>
        <w:t>: TLPDP 2018-2022</w:t>
      </w:r>
      <w:bookmarkEnd w:id="72"/>
    </w:p>
    <w:p w14:paraId="01C29620" w14:textId="056F524D" w:rsidR="00E55D6C" w:rsidRPr="00E55D6C" w:rsidRDefault="00E55D6C" w:rsidP="00E55D6C"/>
    <w:p w14:paraId="40322A06" w14:textId="7997E245" w:rsidR="00E55D6C" w:rsidRPr="00E55D6C" w:rsidRDefault="00E55D6C" w:rsidP="00E55D6C">
      <w:pPr>
        <w:sectPr w:rsidR="00E55D6C" w:rsidRPr="00E55D6C" w:rsidSect="001D6205">
          <w:pgSz w:w="23814" w:h="16839" w:orient="landscape" w:code="8"/>
          <w:pgMar w:top="993" w:right="1440" w:bottom="1440" w:left="1440" w:header="720" w:footer="720" w:gutter="0"/>
          <w:cols w:space="720"/>
          <w:docGrid w:linePitch="360"/>
        </w:sectPr>
      </w:pPr>
      <w:r>
        <w:rPr>
          <w:noProof/>
        </w:rPr>
        <w:drawing>
          <wp:inline distT="0" distB="0" distL="0" distR="0" wp14:anchorId="52D05937" wp14:editId="6ACC65C3">
            <wp:extent cx="13188898" cy="8336478"/>
            <wp:effectExtent l="0" t="0" r="0" b="7620"/>
            <wp:docPr id="318" name="Picture 318" descr="Image depicting the program logic, including overarching objective, end of program outcomes, targeted intermediate outcomes, outputs and influence activiti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 name="Picture 318" descr="Image depicting the program logic, including overarching objective, end of program outcomes, targeted intermediate outcomes, outputs and influence activities. "/>
                    <pic:cNvPicPr/>
                  </pic:nvPicPr>
                  <pic:blipFill>
                    <a:blip r:embed="rId10"/>
                    <a:stretch>
                      <a:fillRect/>
                    </a:stretch>
                  </pic:blipFill>
                  <pic:spPr>
                    <a:xfrm>
                      <a:off x="0" y="0"/>
                      <a:ext cx="13202591" cy="8345133"/>
                    </a:xfrm>
                    <a:prstGeom prst="rect">
                      <a:avLst/>
                    </a:prstGeom>
                  </pic:spPr>
                </pic:pic>
              </a:graphicData>
            </a:graphic>
          </wp:inline>
        </w:drawing>
      </w:r>
    </w:p>
    <w:p w14:paraId="37C29CC3" w14:textId="1297A16B" w:rsidR="002A29D9" w:rsidRDefault="00FC25B7" w:rsidP="00A42C1F">
      <w:pPr>
        <w:pStyle w:val="Heading2"/>
        <w:numPr>
          <w:ilvl w:val="1"/>
          <w:numId w:val="61"/>
        </w:numPr>
        <w:spacing w:before="0" w:after="120" w:line="240" w:lineRule="auto"/>
        <w:ind w:left="426"/>
      </w:pPr>
      <w:r>
        <w:lastRenderedPageBreak/>
        <w:t xml:space="preserve"> </w:t>
      </w:r>
      <w:bookmarkStart w:id="73" w:name="_Toc516189359"/>
      <w:r w:rsidR="006224AA" w:rsidRPr="00AE209B">
        <w:t>Program Components</w:t>
      </w:r>
      <w:bookmarkEnd w:id="73"/>
    </w:p>
    <w:p w14:paraId="10AF4F6A" w14:textId="058D5D3A" w:rsidR="002A29D9" w:rsidRDefault="001218D8" w:rsidP="001218D8">
      <w:pPr>
        <w:pStyle w:val="Heading3"/>
        <w:numPr>
          <w:ilvl w:val="2"/>
          <w:numId w:val="61"/>
        </w:numPr>
        <w:spacing w:before="0" w:after="120" w:line="240" w:lineRule="auto"/>
        <w:ind w:left="567" w:hanging="567"/>
      </w:pPr>
      <w:r>
        <w:t xml:space="preserve"> </w:t>
      </w:r>
      <w:bookmarkStart w:id="74" w:name="_Toc516189360"/>
      <w:r w:rsidR="00D92FAA">
        <w:t>Component</w:t>
      </w:r>
      <w:r w:rsidR="00D92FAA" w:rsidRPr="00820243">
        <w:t xml:space="preserve"> </w:t>
      </w:r>
      <w:r w:rsidR="002A29D9" w:rsidRPr="00820243">
        <w:t xml:space="preserve">Pathway </w:t>
      </w:r>
      <w:r w:rsidR="00D379F6">
        <w:t>1</w:t>
      </w:r>
      <w:r w:rsidR="002A29D9" w:rsidRPr="00820243">
        <w:t xml:space="preserve">: </w:t>
      </w:r>
      <w:r w:rsidR="002A29D9">
        <w:t>Sustainability</w:t>
      </w:r>
      <w:r w:rsidR="002A29D9" w:rsidRPr="00820243">
        <w:t>, Self-Improvement</w:t>
      </w:r>
      <w:r w:rsidR="002A29D9">
        <w:t xml:space="preserve"> and Leadership</w:t>
      </w:r>
      <w:bookmarkEnd w:id="74"/>
    </w:p>
    <w:p w14:paraId="7C1DC047" w14:textId="16D06541" w:rsidR="002A29D9" w:rsidRPr="00D92FAA" w:rsidRDefault="002A29D9" w:rsidP="007701F5">
      <w:pPr>
        <w:spacing w:after="120" w:line="240" w:lineRule="auto"/>
      </w:pPr>
      <w:r w:rsidRPr="00B93CDB">
        <w:t xml:space="preserve">This component is focused on increasing the PNTL’s ability to develop its own reform agenda and sustain itself and its capabilities without donor support. It is also focused on </w:t>
      </w:r>
      <w:r w:rsidRPr="00B93CDB">
        <w:rPr>
          <w:rFonts w:cs="Arial"/>
          <w:color w:val="000000"/>
          <w:kern w:val="24"/>
        </w:rPr>
        <w:t xml:space="preserve">increasing the quality of the PNTL’s organisational leadership and management to </w:t>
      </w:r>
      <w:r w:rsidR="00FB16A2">
        <w:rPr>
          <w:rFonts w:cs="Arial"/>
          <w:color w:val="000000"/>
          <w:kern w:val="24"/>
        </w:rPr>
        <w:t xml:space="preserve">implement reforms and </w:t>
      </w:r>
      <w:r w:rsidRPr="00B93CDB">
        <w:rPr>
          <w:rFonts w:cs="Arial"/>
          <w:color w:val="000000"/>
          <w:kern w:val="24"/>
        </w:rPr>
        <w:t xml:space="preserve">achieve operational effectiveness across the PNTL. </w:t>
      </w:r>
      <w:r w:rsidRPr="00B93CDB">
        <w:t>This component encompasses an efficient domestic capability to train PNTL officers and maintain their skills</w:t>
      </w:r>
      <w:r w:rsidR="00FB16A2">
        <w:t>;</w:t>
      </w:r>
      <w:r w:rsidRPr="00B93CDB">
        <w:t xml:space="preserve"> the ability to undertake strategic and financial planning and governance activities</w:t>
      </w:r>
      <w:r w:rsidR="00FB16A2">
        <w:t>;</w:t>
      </w:r>
      <w:r w:rsidRPr="00B93CDB">
        <w:t xml:space="preserve"> </w:t>
      </w:r>
      <w:r w:rsidRPr="00B93CDB">
        <w:rPr>
          <w:rFonts w:cs="Arial"/>
          <w:color w:val="000000"/>
          <w:kern w:val="24"/>
        </w:rPr>
        <w:t>development of a framework to build the leadership capability within the PNTL</w:t>
      </w:r>
      <w:r w:rsidR="00FB16A2">
        <w:rPr>
          <w:rFonts w:cs="Arial"/>
          <w:color w:val="000000"/>
          <w:kern w:val="24"/>
        </w:rPr>
        <w:t>;</w:t>
      </w:r>
      <w:r w:rsidRPr="00B93CDB">
        <w:rPr>
          <w:rFonts w:cs="Arial"/>
          <w:color w:val="000000"/>
          <w:kern w:val="24"/>
        </w:rPr>
        <w:t xml:space="preserve"> and developing strategies for a diverse and inclusive workforce</w:t>
      </w:r>
      <w:r w:rsidRPr="00B93CDB">
        <w:t xml:space="preserve">. </w:t>
      </w:r>
    </w:p>
    <w:p w14:paraId="5A06CE7B" w14:textId="77777777" w:rsidR="00ED4359" w:rsidRDefault="00ED4359" w:rsidP="007701F5">
      <w:pPr>
        <w:spacing w:after="120" w:line="240" w:lineRule="auto"/>
        <w:rPr>
          <w:rFonts w:asciiTheme="majorHAnsi" w:hAnsiTheme="majorHAnsi"/>
          <w:i/>
          <w:color w:val="4F81BD" w:themeColor="accent1"/>
        </w:rPr>
      </w:pPr>
    </w:p>
    <w:p w14:paraId="3E3E85EE" w14:textId="7FA4BF1E" w:rsidR="002A29D9" w:rsidRPr="00167A66" w:rsidRDefault="002A29D9" w:rsidP="007701F5">
      <w:pPr>
        <w:spacing w:after="120" w:line="240" w:lineRule="auto"/>
        <w:rPr>
          <w:rFonts w:asciiTheme="majorHAnsi" w:hAnsiTheme="majorHAnsi"/>
          <w:i/>
          <w:color w:val="3E607E"/>
        </w:rPr>
      </w:pPr>
      <w:r w:rsidRPr="00167A66">
        <w:rPr>
          <w:rFonts w:asciiTheme="majorHAnsi" w:hAnsiTheme="majorHAnsi"/>
          <w:i/>
          <w:color w:val="3E607E"/>
        </w:rPr>
        <w:t>Theory of Change</w:t>
      </w:r>
    </w:p>
    <w:p w14:paraId="30863F52" w14:textId="60BA3443" w:rsidR="002A29D9" w:rsidRPr="008E6445" w:rsidRDefault="002A29D9" w:rsidP="007701F5">
      <w:pPr>
        <w:spacing w:after="120" w:line="240" w:lineRule="auto"/>
        <w:rPr>
          <w:i/>
        </w:rPr>
      </w:pPr>
      <w:r w:rsidRPr="008E6445">
        <w:t xml:space="preserve">This </w:t>
      </w:r>
      <w:r w:rsidR="00D92FAA" w:rsidRPr="008E6445">
        <w:t>component</w:t>
      </w:r>
      <w:r w:rsidRPr="008E6445">
        <w:t xml:space="preserve"> pathway (Component One) is designed to reduce the PNTL’s reliance on donor support to develop and sustain core organisational capab</w:t>
      </w:r>
      <w:r w:rsidR="003B342B" w:rsidRPr="008E6445">
        <w:t>ilities.  The four-year end of P</w:t>
      </w:r>
      <w:r w:rsidRPr="008E6445">
        <w:t xml:space="preserve">rogram outcome is that </w:t>
      </w:r>
      <w:r w:rsidR="00167D84" w:rsidRPr="00167D84">
        <w:rPr>
          <w:i/>
        </w:rPr>
        <w:t>PNTL’s governance, self-improvement systems and organisational leadership are capa</w:t>
      </w:r>
      <w:r w:rsidR="00795083">
        <w:rPr>
          <w:i/>
        </w:rPr>
        <w:t>ble, legitimate and accountable</w:t>
      </w:r>
      <w:r w:rsidR="003325C7" w:rsidRPr="008E6445">
        <w:rPr>
          <w:i/>
        </w:rPr>
        <w:t xml:space="preserve">. </w:t>
      </w:r>
    </w:p>
    <w:p w14:paraId="2937EDE7" w14:textId="27EEECBA" w:rsidR="002A29D9" w:rsidRPr="008E6445" w:rsidRDefault="002A29D9" w:rsidP="007701F5">
      <w:pPr>
        <w:spacing w:after="120" w:line="240" w:lineRule="auto"/>
      </w:pPr>
      <w:r w:rsidRPr="008E6445">
        <w:t>To achieve that outcome, this component will focus on PNTL workforce development and planning, strategic planning, organisational leadership, women</w:t>
      </w:r>
      <w:r w:rsidR="00102E52">
        <w:t>’</w:t>
      </w:r>
      <w:r w:rsidRPr="008E6445">
        <w:t>s participation, district training.</w:t>
      </w:r>
    </w:p>
    <w:p w14:paraId="61AE8AD6" w14:textId="77777777" w:rsidR="002A29D9" w:rsidRPr="008E6445" w:rsidRDefault="002A29D9" w:rsidP="007701F5">
      <w:pPr>
        <w:spacing w:after="120" w:line="240" w:lineRule="auto"/>
      </w:pPr>
      <w:r w:rsidRPr="008E6445">
        <w:rPr>
          <w:b/>
          <w:sz w:val="24"/>
          <w:szCs w:val="24"/>
        </w:rPr>
        <w:t>IF</w:t>
      </w:r>
      <w:r w:rsidRPr="008E6445">
        <w:t xml:space="preserve"> improvements occur in:</w:t>
      </w:r>
    </w:p>
    <w:p w14:paraId="00111E5F" w14:textId="77777777" w:rsidR="002A29D9" w:rsidRPr="008E6445" w:rsidRDefault="002A29D9" w:rsidP="007701F5">
      <w:pPr>
        <w:pStyle w:val="ListParagraph"/>
        <w:numPr>
          <w:ilvl w:val="0"/>
          <w:numId w:val="26"/>
        </w:numPr>
        <w:spacing w:after="120" w:line="240" w:lineRule="auto"/>
      </w:pPr>
      <w:r w:rsidRPr="008E6445">
        <w:t xml:space="preserve">Strategic planning and resource management – to effectively manage and fund the institution’s limited </w:t>
      </w:r>
      <w:proofErr w:type="gramStart"/>
      <w:r w:rsidRPr="008E6445">
        <w:t>resources;</w:t>
      </w:r>
      <w:proofErr w:type="gramEnd"/>
    </w:p>
    <w:p w14:paraId="2BC6C1D5" w14:textId="77777777" w:rsidR="002A29D9" w:rsidRPr="008E6445" w:rsidRDefault="002A29D9" w:rsidP="007701F5">
      <w:pPr>
        <w:pStyle w:val="ListParagraph"/>
        <w:numPr>
          <w:ilvl w:val="0"/>
          <w:numId w:val="26"/>
        </w:numPr>
        <w:spacing w:after="120" w:line="240" w:lineRule="auto"/>
      </w:pPr>
      <w:r w:rsidRPr="008E6445">
        <w:t xml:space="preserve">Leadership training – a continuum of training is needed to ensure current and future leaders have the skills and knowledge required and to provide equitable training opportunities to </w:t>
      </w:r>
      <w:proofErr w:type="gramStart"/>
      <w:r w:rsidRPr="008E6445">
        <w:t>women;</w:t>
      </w:r>
      <w:proofErr w:type="gramEnd"/>
    </w:p>
    <w:p w14:paraId="0306DF60" w14:textId="120FA6F3" w:rsidR="002A29D9" w:rsidRPr="008E6445" w:rsidRDefault="002A29D9" w:rsidP="007701F5">
      <w:pPr>
        <w:pStyle w:val="ListParagraph"/>
        <w:numPr>
          <w:ilvl w:val="0"/>
          <w:numId w:val="26"/>
        </w:numPr>
        <w:spacing w:after="120" w:line="240" w:lineRule="auto"/>
      </w:pPr>
      <w:r w:rsidRPr="008E6445">
        <w:t xml:space="preserve">Gender Strategy Development – this will be needed to promote </w:t>
      </w:r>
      <w:r w:rsidR="00616147">
        <w:t xml:space="preserve">women’s participation </w:t>
      </w:r>
      <w:r w:rsidRPr="008E6445">
        <w:t xml:space="preserve">and influence equitable </w:t>
      </w:r>
      <w:r w:rsidR="00616147">
        <w:t>access to training</w:t>
      </w:r>
      <w:r w:rsidR="00AD762A">
        <w:t>,</w:t>
      </w:r>
      <w:r w:rsidR="00616147">
        <w:t xml:space="preserve"> development </w:t>
      </w:r>
      <w:r w:rsidR="00AD762A">
        <w:t xml:space="preserve">and promotion </w:t>
      </w:r>
      <w:r w:rsidRPr="008E6445">
        <w:t xml:space="preserve">opportunities for women in </w:t>
      </w:r>
      <w:proofErr w:type="gramStart"/>
      <w:r w:rsidRPr="008E6445">
        <w:t>policing;</w:t>
      </w:r>
      <w:proofErr w:type="gramEnd"/>
      <w:r w:rsidRPr="008E6445">
        <w:t xml:space="preserve"> </w:t>
      </w:r>
    </w:p>
    <w:p w14:paraId="39B42291" w14:textId="77777777" w:rsidR="002A29D9" w:rsidRPr="008E6445" w:rsidRDefault="002A29D9" w:rsidP="007701F5">
      <w:pPr>
        <w:pStyle w:val="ListParagraph"/>
        <w:numPr>
          <w:ilvl w:val="0"/>
          <w:numId w:val="26"/>
        </w:numPr>
        <w:spacing w:after="120" w:line="240" w:lineRule="auto"/>
      </w:pPr>
      <w:r w:rsidRPr="008E6445">
        <w:t xml:space="preserve">Workforce planning – this is needed to ensure the right people are in the right positions and areas of policing are adequately </w:t>
      </w:r>
      <w:proofErr w:type="gramStart"/>
      <w:r w:rsidRPr="008E6445">
        <w:t>resourced;</w:t>
      </w:r>
      <w:proofErr w:type="gramEnd"/>
    </w:p>
    <w:p w14:paraId="4E9EF376" w14:textId="77777777" w:rsidR="002A29D9" w:rsidRPr="008E6445" w:rsidRDefault="002A29D9" w:rsidP="007701F5">
      <w:pPr>
        <w:pStyle w:val="ListParagraph"/>
        <w:numPr>
          <w:ilvl w:val="0"/>
          <w:numId w:val="26"/>
        </w:numPr>
        <w:spacing w:after="120" w:line="240" w:lineRule="auto"/>
      </w:pPr>
      <w:r w:rsidRPr="008E6445">
        <w:t xml:space="preserve">District training capabilities – providing the districts with the infrastructure, resources and training capability to ensure that PNTL officers across Timor-Leste are provided with the skills and knowledge required to provide policing services and to provide equitable training opportunities to </w:t>
      </w:r>
      <w:proofErr w:type="gramStart"/>
      <w:r w:rsidRPr="008E6445">
        <w:t>women;</w:t>
      </w:r>
      <w:proofErr w:type="gramEnd"/>
    </w:p>
    <w:p w14:paraId="42EEDE18" w14:textId="77777777" w:rsidR="002A29D9" w:rsidRPr="008E6445" w:rsidRDefault="002A29D9" w:rsidP="007701F5">
      <w:pPr>
        <w:pStyle w:val="ListParagraph"/>
        <w:numPr>
          <w:ilvl w:val="0"/>
          <w:numId w:val="26"/>
        </w:numPr>
        <w:spacing w:after="120" w:line="240" w:lineRule="auto"/>
      </w:pPr>
      <w:r w:rsidRPr="008E6445">
        <w:t>Accreditation of the Police Training Centre and its curriculum – this will be needed to guide district trainers to provide consistent, valid and nationally recognised training and assessment; and</w:t>
      </w:r>
    </w:p>
    <w:p w14:paraId="60CB0B98" w14:textId="2FFE816D" w:rsidR="002A29D9" w:rsidRPr="008E6445" w:rsidRDefault="002A29D9" w:rsidP="007701F5">
      <w:pPr>
        <w:pStyle w:val="ListParagraph"/>
        <w:numPr>
          <w:ilvl w:val="0"/>
          <w:numId w:val="26"/>
        </w:numPr>
        <w:spacing w:after="120" w:line="240" w:lineRule="auto"/>
      </w:pPr>
      <w:r w:rsidRPr="008E6445">
        <w:t>English language teaching capacity – initially through training, this will be needed to increase access to training, networks and collaborations.</w:t>
      </w:r>
    </w:p>
    <w:p w14:paraId="6888ADFE" w14:textId="3CB981E6" w:rsidR="002A29D9" w:rsidRDefault="00E55D6C" w:rsidP="007701F5">
      <w:pPr>
        <w:spacing w:after="120" w:line="240" w:lineRule="auto"/>
      </w:pPr>
      <w:r w:rsidRPr="008E6445">
        <w:rPr>
          <w:noProof/>
          <w:lang w:eastAsia="en-AU"/>
        </w:rPr>
        <mc:AlternateContent>
          <mc:Choice Requires="wps">
            <w:drawing>
              <wp:inline distT="0" distB="0" distL="0" distR="0" wp14:anchorId="33B92CE5" wp14:editId="61FC2CF3">
                <wp:extent cx="0" cy="619125"/>
                <wp:effectExtent l="57150" t="0" r="57150" b="47625"/>
                <wp:docPr id="4" name="Straight Arrow Connector 4" descr="Arrow from improvement areas towards improved outcomes "/>
                <wp:cNvGraphicFramePr/>
                <a:graphic xmlns:a="http://schemas.openxmlformats.org/drawingml/2006/main">
                  <a:graphicData uri="http://schemas.microsoft.com/office/word/2010/wordprocessingShape">
                    <wps:wsp>
                      <wps:cNvCnPr/>
                      <wps:spPr>
                        <a:xfrm>
                          <a:off x="0" y="0"/>
                          <a:ext cx="0" cy="619125"/>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shapetype w14:anchorId="229F6018" id="_x0000_t32" coordsize="21600,21600" o:spt="32" o:oned="t" path="m,l21600,21600e" filled="f">
                <v:path arrowok="t" fillok="f" o:connecttype="none"/>
                <o:lock v:ext="edit" shapetype="t"/>
              </v:shapetype>
              <v:shape id="Straight Arrow Connector 4" o:spid="_x0000_s1026" type="#_x0000_t32" alt="Arrow from improvement areas towards improved outcomes " style="width:0;height:48.7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" strokecolor="black [3213]" strokeweight="2.25pt">
                <v:stroke endarrow="open"/>
                <w10:anchorlock/>
              </v:shape>
            </w:pict>
          </mc:Fallback>
        </mc:AlternateContent>
      </w:r>
    </w:p>
    <w:p w14:paraId="5E87D911" w14:textId="77777777" w:rsidR="002A29D9" w:rsidRDefault="002A29D9" w:rsidP="007701F5">
      <w:pPr>
        <w:spacing w:after="120" w:line="240" w:lineRule="auto"/>
      </w:pPr>
    </w:p>
    <w:p w14:paraId="1C9F3B51" w14:textId="77777777" w:rsidR="002A29D9" w:rsidRPr="00FB16A2" w:rsidRDefault="002A29D9" w:rsidP="007701F5">
      <w:pPr>
        <w:spacing w:after="120" w:line="240" w:lineRule="auto"/>
      </w:pPr>
      <w:r w:rsidRPr="00FB16A2">
        <w:rPr>
          <w:b/>
          <w:sz w:val="24"/>
          <w:szCs w:val="24"/>
        </w:rPr>
        <w:t>THEN</w:t>
      </w:r>
      <w:r w:rsidRPr="00FB16A2">
        <w:t xml:space="preserve"> the PNTL should improve their:</w:t>
      </w:r>
    </w:p>
    <w:p w14:paraId="23B3599C" w14:textId="53C93412" w:rsidR="002A29D9" w:rsidRPr="00FB16A2" w:rsidRDefault="002A29D9" w:rsidP="007701F5">
      <w:pPr>
        <w:pStyle w:val="ListParagraph"/>
        <w:numPr>
          <w:ilvl w:val="0"/>
          <w:numId w:val="26"/>
        </w:numPr>
        <w:spacing w:after="120" w:line="240" w:lineRule="auto"/>
      </w:pPr>
      <w:r w:rsidRPr="00FB16A2">
        <w:t xml:space="preserve">Leadership and management </w:t>
      </w:r>
      <w:proofErr w:type="gramStart"/>
      <w:r w:rsidRPr="00FB16A2">
        <w:t>capacity;</w:t>
      </w:r>
      <w:proofErr w:type="gramEnd"/>
      <w:r w:rsidRPr="00FB16A2">
        <w:t xml:space="preserve"> </w:t>
      </w:r>
    </w:p>
    <w:p w14:paraId="32817E94" w14:textId="088DC5B5" w:rsidR="002A29D9" w:rsidRPr="00FB16A2" w:rsidRDefault="00616147" w:rsidP="007701F5">
      <w:pPr>
        <w:pStyle w:val="ListParagraph"/>
        <w:numPr>
          <w:ilvl w:val="0"/>
          <w:numId w:val="26"/>
        </w:numPr>
        <w:spacing w:after="120" w:line="240" w:lineRule="auto"/>
      </w:pPr>
      <w:r>
        <w:t xml:space="preserve">Representation and </w:t>
      </w:r>
      <w:r w:rsidR="00AD762A">
        <w:t>o</w:t>
      </w:r>
      <w:r w:rsidR="002A29D9" w:rsidRPr="00FB16A2">
        <w:t xml:space="preserve">pportunities for </w:t>
      </w:r>
      <w:proofErr w:type="gramStart"/>
      <w:r w:rsidR="002A29D9" w:rsidRPr="00FB16A2">
        <w:t>women</w:t>
      </w:r>
      <w:r w:rsidR="00AD762A">
        <w:t>;</w:t>
      </w:r>
      <w:proofErr w:type="gramEnd"/>
    </w:p>
    <w:p w14:paraId="2CE1C37E" w14:textId="77789864" w:rsidR="002A29D9" w:rsidRPr="00FB16A2" w:rsidRDefault="002A29D9" w:rsidP="007701F5">
      <w:pPr>
        <w:pStyle w:val="ListParagraph"/>
        <w:numPr>
          <w:ilvl w:val="0"/>
          <w:numId w:val="26"/>
        </w:numPr>
        <w:spacing w:after="120" w:line="240" w:lineRule="auto"/>
      </w:pPr>
      <w:r w:rsidRPr="00FB16A2">
        <w:t>Organisational capacity to effectively plan and manage available resources;</w:t>
      </w:r>
      <w:r w:rsidR="00FB16A2" w:rsidRPr="00FB16A2">
        <w:t xml:space="preserve"> and</w:t>
      </w:r>
    </w:p>
    <w:p w14:paraId="6C157670" w14:textId="3A841078" w:rsidR="002A29D9" w:rsidRPr="00FB16A2" w:rsidRDefault="00FB16A2" w:rsidP="007701F5">
      <w:pPr>
        <w:pStyle w:val="ListParagraph"/>
        <w:numPr>
          <w:ilvl w:val="0"/>
          <w:numId w:val="26"/>
        </w:numPr>
        <w:spacing w:after="120" w:line="240" w:lineRule="auto"/>
      </w:pPr>
      <w:r w:rsidRPr="00FB16A2">
        <w:lastRenderedPageBreak/>
        <w:t>Ability to deliver</w:t>
      </w:r>
      <w:r w:rsidR="002A29D9" w:rsidRPr="00FB16A2">
        <w:t xml:space="preserve"> general and specialist training within the districts with support from an accredit</w:t>
      </w:r>
      <w:r w:rsidRPr="00FB16A2">
        <w:t>ed Police Training Centre (PTC).</w:t>
      </w:r>
    </w:p>
    <w:p w14:paraId="1A387B08" w14:textId="77777777" w:rsidR="002133DB" w:rsidRDefault="002133DB" w:rsidP="007701F5">
      <w:pPr>
        <w:spacing w:after="120" w:line="240" w:lineRule="auto"/>
        <w:rPr>
          <w:i/>
          <w:color w:val="4F81BD" w:themeColor="accent1"/>
        </w:rPr>
      </w:pPr>
    </w:p>
    <w:p w14:paraId="49E92178" w14:textId="77777777" w:rsidR="0095375F" w:rsidRPr="00167A66" w:rsidRDefault="0095375F" w:rsidP="007701F5">
      <w:pPr>
        <w:spacing w:after="120" w:line="240" w:lineRule="auto"/>
        <w:rPr>
          <w:i/>
          <w:color w:val="3E607E"/>
        </w:rPr>
      </w:pPr>
      <w:r w:rsidRPr="00167A66">
        <w:rPr>
          <w:i/>
          <w:color w:val="3E607E"/>
        </w:rPr>
        <w:t>Activity 1.1: PNTL internal capacity development</w:t>
      </w:r>
    </w:p>
    <w:p w14:paraId="0FB5CCF7" w14:textId="77777777" w:rsidR="0095375F" w:rsidRPr="00FB16A2" w:rsidRDefault="0095375F" w:rsidP="007701F5">
      <w:pPr>
        <w:spacing w:after="120" w:line="240" w:lineRule="auto"/>
      </w:pPr>
      <w:r w:rsidRPr="00FB16A2">
        <w:t xml:space="preserve">The first activity of this component will be support and advice to the PNTL to develop and deliver an accredited training curriculum. The TLPDP will work with the PNTL to enable a broader cohort of PNTL members to undertake core and specialist training both through the District Training Centres and international providers. The TLPDP will focus on: </w:t>
      </w:r>
    </w:p>
    <w:p w14:paraId="4C84E770" w14:textId="4690FBA5" w:rsidR="0095375F" w:rsidRPr="00FB16A2" w:rsidRDefault="0095375F" w:rsidP="007701F5">
      <w:pPr>
        <w:pStyle w:val="ListParagraph"/>
        <w:numPr>
          <w:ilvl w:val="0"/>
          <w:numId w:val="32"/>
        </w:numPr>
        <w:spacing w:after="120" w:line="240" w:lineRule="auto"/>
      </w:pPr>
      <w:r w:rsidRPr="00FB16A2">
        <w:t>Support to establish a District Training Cen</w:t>
      </w:r>
      <w:r w:rsidR="00FB16A2">
        <w:t xml:space="preserve">tre in each of the 14 </w:t>
      </w:r>
      <w:proofErr w:type="gramStart"/>
      <w:r w:rsidR="00FB16A2">
        <w:t>districts;</w:t>
      </w:r>
      <w:proofErr w:type="gramEnd"/>
      <w:r w:rsidRPr="00FB16A2">
        <w:t xml:space="preserve"> </w:t>
      </w:r>
    </w:p>
    <w:p w14:paraId="21AF8703" w14:textId="42E3D786" w:rsidR="0095375F" w:rsidRPr="00FB16A2" w:rsidRDefault="0095375F" w:rsidP="007701F5">
      <w:pPr>
        <w:pStyle w:val="ListParagraph"/>
        <w:numPr>
          <w:ilvl w:val="0"/>
          <w:numId w:val="32"/>
        </w:numPr>
        <w:spacing w:after="120" w:line="240" w:lineRule="auto"/>
      </w:pPr>
      <w:r w:rsidRPr="00FB16A2">
        <w:t xml:space="preserve">Strategic and technical advice on the development of a district training model including Norms of Procedures (NOP), curriculum development, training records management, and financial </w:t>
      </w:r>
      <w:proofErr w:type="gramStart"/>
      <w:r w:rsidRPr="00FB16A2">
        <w:t>planning</w:t>
      </w:r>
      <w:r w:rsidR="00FB16A2">
        <w:t>;</w:t>
      </w:r>
      <w:proofErr w:type="gramEnd"/>
      <w:r w:rsidRPr="00FB16A2">
        <w:t xml:space="preserve">  </w:t>
      </w:r>
    </w:p>
    <w:p w14:paraId="65DB30F7" w14:textId="7C371582" w:rsidR="0095375F" w:rsidRPr="00FB16A2" w:rsidRDefault="0095375F" w:rsidP="007701F5">
      <w:pPr>
        <w:pStyle w:val="ListParagraph"/>
        <w:numPr>
          <w:ilvl w:val="0"/>
          <w:numId w:val="32"/>
        </w:numPr>
        <w:spacing w:after="120" w:line="240" w:lineRule="auto"/>
      </w:pPr>
      <w:r w:rsidRPr="00FB16A2">
        <w:t>Pilot initial training to develop a model for PNTL Engli</w:t>
      </w:r>
      <w:r w:rsidR="00FB16A2">
        <w:t>sh language teaching capability; and</w:t>
      </w:r>
    </w:p>
    <w:p w14:paraId="24F25A62" w14:textId="77777777" w:rsidR="0095375F" w:rsidRPr="00FB16A2" w:rsidRDefault="0095375F" w:rsidP="007701F5">
      <w:pPr>
        <w:pStyle w:val="ListParagraph"/>
        <w:numPr>
          <w:ilvl w:val="0"/>
          <w:numId w:val="32"/>
        </w:numPr>
        <w:spacing w:after="120" w:line="240" w:lineRule="auto"/>
      </w:pPr>
      <w:r w:rsidRPr="00FB16A2">
        <w:t>Re-accrediting the Police Training College courses through the National Agency for Academic Accreditation and Evaluation (ANAAA).</w:t>
      </w:r>
    </w:p>
    <w:p w14:paraId="0082359A" w14:textId="77777777" w:rsidR="0095375F" w:rsidRPr="00167A66" w:rsidRDefault="0095375F" w:rsidP="007701F5">
      <w:pPr>
        <w:spacing w:after="120" w:line="240" w:lineRule="auto"/>
        <w:rPr>
          <w:rFonts w:asciiTheme="majorHAnsi" w:hAnsiTheme="majorHAnsi"/>
          <w:i/>
          <w:color w:val="3E607E"/>
        </w:rPr>
      </w:pPr>
      <w:r w:rsidRPr="00167A66">
        <w:rPr>
          <w:rFonts w:asciiTheme="majorHAnsi" w:hAnsiTheme="majorHAnsi"/>
          <w:i/>
          <w:color w:val="3E607E"/>
        </w:rPr>
        <w:t>Activity 1.2: Strategic planning and implementation</w:t>
      </w:r>
    </w:p>
    <w:p w14:paraId="1E4EF9D0" w14:textId="77777777" w:rsidR="0095375F" w:rsidRPr="00FB16A2" w:rsidRDefault="0095375F" w:rsidP="007701F5">
      <w:pPr>
        <w:spacing w:after="120" w:line="240" w:lineRule="auto"/>
      </w:pPr>
      <w:r w:rsidRPr="00FB16A2">
        <w:t xml:space="preserve">The second activity of this component is the provision of technical advice to the PNTL to develop its strategic planning capability and transformation agenda. Advisers will work with the PNTL to ensure strategic planning is linked with budget processes and wider administrative planning processes. The TLPDP will focus on: </w:t>
      </w:r>
    </w:p>
    <w:p w14:paraId="56D26220" w14:textId="3F478BAF" w:rsidR="0095375F" w:rsidRPr="00FB16A2" w:rsidRDefault="0095375F" w:rsidP="007701F5">
      <w:pPr>
        <w:pStyle w:val="ListParagraph"/>
        <w:numPr>
          <w:ilvl w:val="0"/>
          <w:numId w:val="32"/>
        </w:numPr>
        <w:spacing w:after="120" w:line="240" w:lineRule="auto"/>
      </w:pPr>
      <w:r w:rsidRPr="00FB16A2">
        <w:t xml:space="preserve">Support to the PNTL to plan for and undertake annual strategic planning </w:t>
      </w:r>
      <w:proofErr w:type="gramStart"/>
      <w:r w:rsidRPr="00FB16A2">
        <w:t>cycle</w:t>
      </w:r>
      <w:r w:rsidR="00F27FE0" w:rsidRPr="00FB16A2">
        <w:t>;</w:t>
      </w:r>
      <w:proofErr w:type="gramEnd"/>
    </w:p>
    <w:p w14:paraId="600B487E" w14:textId="36C69E2E" w:rsidR="0095375F" w:rsidRPr="00FB16A2" w:rsidRDefault="0095375F" w:rsidP="007701F5">
      <w:pPr>
        <w:pStyle w:val="ListParagraph"/>
        <w:numPr>
          <w:ilvl w:val="0"/>
          <w:numId w:val="32"/>
        </w:numPr>
        <w:spacing w:after="120" w:line="240" w:lineRule="auto"/>
      </w:pPr>
      <w:r w:rsidRPr="00FB16A2">
        <w:t xml:space="preserve">Ensuring all PNTL activities have identified and planned for future funding </w:t>
      </w:r>
      <w:proofErr w:type="gramStart"/>
      <w:r w:rsidRPr="00FB16A2">
        <w:t>requirements</w:t>
      </w:r>
      <w:r w:rsidR="00F27FE0" w:rsidRPr="00FB16A2">
        <w:t>;</w:t>
      </w:r>
      <w:proofErr w:type="gramEnd"/>
    </w:p>
    <w:p w14:paraId="2BE8EA48" w14:textId="7CAF09DF" w:rsidR="0095375F" w:rsidRPr="00FB16A2" w:rsidRDefault="0095375F" w:rsidP="007701F5">
      <w:pPr>
        <w:pStyle w:val="ListParagraph"/>
        <w:numPr>
          <w:ilvl w:val="0"/>
          <w:numId w:val="32"/>
        </w:numPr>
        <w:spacing w:after="120" w:line="240" w:lineRule="auto"/>
      </w:pPr>
      <w:r w:rsidRPr="00FB16A2">
        <w:t>Improving PNTL ability to collect and analyse data to inform strategic reform and future resource allocation</w:t>
      </w:r>
      <w:r w:rsidR="00F27FE0" w:rsidRPr="00FB16A2">
        <w:t>; and</w:t>
      </w:r>
    </w:p>
    <w:p w14:paraId="2170A433" w14:textId="684107E5" w:rsidR="0095375F" w:rsidRPr="00FB16A2" w:rsidRDefault="0095375F" w:rsidP="007701F5">
      <w:pPr>
        <w:pStyle w:val="ListParagraph"/>
        <w:numPr>
          <w:ilvl w:val="0"/>
          <w:numId w:val="32"/>
        </w:numPr>
        <w:spacing w:after="120" w:line="240" w:lineRule="auto"/>
      </w:pPr>
      <w:r w:rsidRPr="00FB16A2">
        <w:t xml:space="preserve">Support the PNTL to establish and maintain structures and processes for problem solving across the </w:t>
      </w:r>
      <w:proofErr w:type="spellStart"/>
      <w:r w:rsidRPr="00FB16A2">
        <w:t>G</w:t>
      </w:r>
      <w:r w:rsidR="00FB16A2">
        <w:t>o</w:t>
      </w:r>
      <w:r w:rsidRPr="00FB16A2">
        <w:t>RDTL</w:t>
      </w:r>
      <w:proofErr w:type="spellEnd"/>
      <w:r w:rsidRPr="00FB16A2">
        <w:t xml:space="preserve"> on the common cross-government issues that face the PNTL. </w:t>
      </w:r>
    </w:p>
    <w:p w14:paraId="5986E668" w14:textId="4D570853" w:rsidR="00D62605" w:rsidRPr="00167A66" w:rsidRDefault="00D62605" w:rsidP="007701F5">
      <w:pPr>
        <w:spacing w:after="120" w:line="240" w:lineRule="auto"/>
        <w:rPr>
          <w:rFonts w:asciiTheme="majorHAnsi" w:hAnsiTheme="majorHAnsi"/>
          <w:i/>
          <w:color w:val="3E607E"/>
        </w:rPr>
      </w:pPr>
      <w:r w:rsidRPr="00167A66">
        <w:rPr>
          <w:rFonts w:asciiTheme="majorHAnsi" w:hAnsiTheme="majorHAnsi"/>
          <w:i/>
          <w:color w:val="3E607E"/>
        </w:rPr>
        <w:t>Activity 1.</w:t>
      </w:r>
      <w:r w:rsidR="00CE4415" w:rsidRPr="00167A66">
        <w:rPr>
          <w:rFonts w:asciiTheme="majorHAnsi" w:hAnsiTheme="majorHAnsi"/>
          <w:i/>
          <w:color w:val="3E607E"/>
        </w:rPr>
        <w:t>3</w:t>
      </w:r>
      <w:r w:rsidRPr="00167A66">
        <w:rPr>
          <w:rFonts w:asciiTheme="majorHAnsi" w:hAnsiTheme="majorHAnsi"/>
          <w:i/>
          <w:color w:val="3E607E"/>
        </w:rPr>
        <w:t>: Leadership Development Model</w:t>
      </w:r>
    </w:p>
    <w:p w14:paraId="2741FC20" w14:textId="33C77D1F" w:rsidR="00D62605" w:rsidRPr="00FB16A2" w:rsidRDefault="00D62605" w:rsidP="007701F5">
      <w:pPr>
        <w:spacing w:after="120" w:line="240" w:lineRule="auto"/>
        <w:rPr>
          <w:rFonts w:cs="Arial"/>
        </w:rPr>
      </w:pPr>
      <w:r w:rsidRPr="00FB16A2">
        <w:t xml:space="preserve">The </w:t>
      </w:r>
      <w:r w:rsidR="008226FB">
        <w:t>third</w:t>
      </w:r>
      <w:r w:rsidR="008226FB" w:rsidRPr="00FB16A2">
        <w:t xml:space="preserve"> </w:t>
      </w:r>
      <w:r w:rsidRPr="00FB16A2">
        <w:t xml:space="preserve">activity of this component is to provide support and technical advice to the PNTL to develop a structured leadership development model. The </w:t>
      </w:r>
      <w:r w:rsidRPr="00FB16A2">
        <w:rPr>
          <w:rFonts w:cs="Arial"/>
        </w:rPr>
        <w:t>model will include a base-line leadership program which targets the PNTL members that make the day-to-day management decisions and have the most frequent contact with the majority of PNTL employees. A more targeted and sophisticated framework of leadership courses and activities will build on the foundational leadership course to develop the next generation of PNTL leaders. The TLPDP will focus on:</w:t>
      </w:r>
    </w:p>
    <w:p w14:paraId="29721106" w14:textId="77777777" w:rsidR="00D62605" w:rsidRPr="00FB16A2" w:rsidRDefault="00D62605" w:rsidP="007701F5">
      <w:pPr>
        <w:pStyle w:val="ListParagraph"/>
        <w:numPr>
          <w:ilvl w:val="1"/>
          <w:numId w:val="38"/>
        </w:numPr>
        <w:spacing w:after="120" w:line="240" w:lineRule="auto"/>
      </w:pPr>
      <w:r w:rsidRPr="00FB16A2">
        <w:t xml:space="preserve">Support and technical advice to the PNTL to develop a foundational development course focused on leadership, core values, strategic thinking, managing performance and decision </w:t>
      </w:r>
      <w:proofErr w:type="gramStart"/>
      <w:r w:rsidRPr="00FB16A2">
        <w:t>making;</w:t>
      </w:r>
      <w:proofErr w:type="gramEnd"/>
      <w:r w:rsidRPr="00FB16A2">
        <w:t xml:space="preserve"> </w:t>
      </w:r>
    </w:p>
    <w:p w14:paraId="1803CBE7" w14:textId="492377AF" w:rsidR="00D62605" w:rsidRPr="00FB16A2" w:rsidRDefault="00D62605" w:rsidP="007701F5">
      <w:pPr>
        <w:pStyle w:val="ListParagraph"/>
        <w:numPr>
          <w:ilvl w:val="1"/>
          <w:numId w:val="38"/>
        </w:numPr>
        <w:spacing w:after="120" w:line="240" w:lineRule="auto"/>
      </w:pPr>
      <w:r w:rsidRPr="00FB16A2">
        <w:t>Support and technical advice to the PNTL to develop a structured leadership development model</w:t>
      </w:r>
      <w:r w:rsidR="00FB16A2">
        <w:t>;</w:t>
      </w:r>
      <w:r w:rsidRPr="00FB16A2">
        <w:t xml:space="preserve"> and </w:t>
      </w:r>
    </w:p>
    <w:p w14:paraId="64B223A6" w14:textId="77777777" w:rsidR="00D62605" w:rsidRPr="00FB16A2" w:rsidRDefault="00D62605" w:rsidP="007701F5">
      <w:pPr>
        <w:pStyle w:val="ListParagraph"/>
        <w:numPr>
          <w:ilvl w:val="1"/>
          <w:numId w:val="38"/>
        </w:numPr>
        <w:spacing w:after="120" w:line="240" w:lineRule="auto"/>
      </w:pPr>
      <w:r w:rsidRPr="00FB16A2">
        <w:t xml:space="preserve">Support to the PNTL to identify efficient and sustainable advanced leadership programs for identified future leaders. </w:t>
      </w:r>
    </w:p>
    <w:p w14:paraId="210E8321" w14:textId="77777777" w:rsidR="00D62605" w:rsidRPr="00FB16A2" w:rsidRDefault="00D62605" w:rsidP="007701F5">
      <w:pPr>
        <w:spacing w:after="120" w:line="240" w:lineRule="auto"/>
      </w:pPr>
      <w:r w:rsidRPr="00FB16A2">
        <w:t>The likely aid modalities to support this activity are:</w:t>
      </w:r>
    </w:p>
    <w:p w14:paraId="44C94B13" w14:textId="77777777" w:rsidR="00D62605" w:rsidRPr="00FB16A2" w:rsidRDefault="00D62605" w:rsidP="007701F5">
      <w:pPr>
        <w:pStyle w:val="ListParagraph"/>
        <w:numPr>
          <w:ilvl w:val="1"/>
          <w:numId w:val="38"/>
        </w:numPr>
        <w:spacing w:after="120" w:line="240" w:lineRule="auto"/>
      </w:pPr>
      <w:r w:rsidRPr="00FB16A2">
        <w:t xml:space="preserve">Adviser </w:t>
      </w:r>
      <w:proofErr w:type="gramStart"/>
      <w:r w:rsidRPr="00FB16A2">
        <w:t>support;</w:t>
      </w:r>
      <w:proofErr w:type="gramEnd"/>
    </w:p>
    <w:p w14:paraId="7951F9AE" w14:textId="77777777" w:rsidR="00D62605" w:rsidRPr="00FB16A2" w:rsidRDefault="00D62605" w:rsidP="007701F5">
      <w:pPr>
        <w:pStyle w:val="ListParagraph"/>
        <w:numPr>
          <w:ilvl w:val="1"/>
          <w:numId w:val="38"/>
        </w:numPr>
        <w:spacing w:after="120" w:line="240" w:lineRule="auto"/>
      </w:pPr>
      <w:r w:rsidRPr="00FB16A2">
        <w:t xml:space="preserve">Training </w:t>
      </w:r>
      <w:proofErr w:type="gramStart"/>
      <w:r w:rsidRPr="00FB16A2">
        <w:t>activities;</w:t>
      </w:r>
      <w:proofErr w:type="gramEnd"/>
    </w:p>
    <w:p w14:paraId="58E489FC" w14:textId="77777777" w:rsidR="00D62605" w:rsidRPr="00FB16A2" w:rsidRDefault="00D62605" w:rsidP="007701F5">
      <w:pPr>
        <w:pStyle w:val="ListParagraph"/>
        <w:numPr>
          <w:ilvl w:val="1"/>
          <w:numId w:val="38"/>
        </w:numPr>
        <w:spacing w:after="120" w:line="240" w:lineRule="auto"/>
      </w:pPr>
      <w:r w:rsidRPr="00FB16A2">
        <w:t xml:space="preserve">Twinning, secondments and </w:t>
      </w:r>
      <w:proofErr w:type="gramStart"/>
      <w:r w:rsidRPr="00FB16A2">
        <w:t>exchanges;</w:t>
      </w:r>
      <w:proofErr w:type="gramEnd"/>
    </w:p>
    <w:p w14:paraId="528E7977" w14:textId="77777777" w:rsidR="00D62605" w:rsidRPr="00FB16A2" w:rsidRDefault="00D62605" w:rsidP="007701F5">
      <w:pPr>
        <w:pStyle w:val="ListParagraph"/>
        <w:numPr>
          <w:ilvl w:val="1"/>
          <w:numId w:val="38"/>
        </w:numPr>
        <w:spacing w:after="120" w:line="240" w:lineRule="auto"/>
      </w:pPr>
      <w:r w:rsidRPr="00FB16A2">
        <w:lastRenderedPageBreak/>
        <w:t>Funding for innovations and pilots; and</w:t>
      </w:r>
    </w:p>
    <w:p w14:paraId="01AEDFBD" w14:textId="53E59890" w:rsidR="00D62605" w:rsidRPr="00FB16A2" w:rsidRDefault="00D62605" w:rsidP="007701F5">
      <w:pPr>
        <w:pStyle w:val="ListParagraph"/>
        <w:numPr>
          <w:ilvl w:val="1"/>
          <w:numId w:val="38"/>
        </w:numPr>
        <w:spacing w:after="120" w:line="240" w:lineRule="auto"/>
        <w:rPr>
          <w:i/>
        </w:rPr>
      </w:pPr>
      <w:r w:rsidRPr="00FB16A2">
        <w:t>Supply of goods (assets, equipment, infrastructure).</w:t>
      </w:r>
    </w:p>
    <w:p w14:paraId="59FC1FE6" w14:textId="791624CF" w:rsidR="00D62605" w:rsidRPr="00167A66" w:rsidRDefault="00D62605" w:rsidP="007701F5">
      <w:pPr>
        <w:spacing w:after="120" w:line="240" w:lineRule="auto"/>
        <w:rPr>
          <w:rFonts w:asciiTheme="majorHAnsi" w:hAnsiTheme="majorHAnsi"/>
          <w:i/>
          <w:color w:val="3E607E"/>
        </w:rPr>
      </w:pPr>
      <w:r w:rsidRPr="00167A66">
        <w:rPr>
          <w:rFonts w:asciiTheme="majorHAnsi" w:hAnsiTheme="majorHAnsi"/>
          <w:i/>
          <w:color w:val="3E607E"/>
        </w:rPr>
        <w:t>Activity 1.</w:t>
      </w:r>
      <w:r w:rsidR="00CE4415" w:rsidRPr="00167A66">
        <w:rPr>
          <w:rFonts w:asciiTheme="majorHAnsi" w:hAnsiTheme="majorHAnsi"/>
          <w:i/>
          <w:color w:val="3E607E"/>
        </w:rPr>
        <w:t>4</w:t>
      </w:r>
      <w:r w:rsidRPr="00167A66">
        <w:rPr>
          <w:rFonts w:asciiTheme="majorHAnsi" w:hAnsiTheme="majorHAnsi"/>
          <w:i/>
          <w:color w:val="3E607E"/>
        </w:rPr>
        <w:t xml:space="preserve">: </w:t>
      </w:r>
      <w:r w:rsidR="00F142A4" w:rsidRPr="00167A66">
        <w:rPr>
          <w:rFonts w:asciiTheme="majorHAnsi" w:hAnsiTheme="majorHAnsi"/>
          <w:i/>
          <w:color w:val="3E607E"/>
        </w:rPr>
        <w:t>Increased Representation of Women</w:t>
      </w:r>
    </w:p>
    <w:p w14:paraId="3860AF85" w14:textId="100DB26E" w:rsidR="00D62605" w:rsidRPr="00FB16A2" w:rsidRDefault="00D62605" w:rsidP="007701F5">
      <w:pPr>
        <w:spacing w:after="120" w:line="240" w:lineRule="auto"/>
        <w:rPr>
          <w:rFonts w:cs="HelveticaNeueLT Pro 55 Roman"/>
          <w:color w:val="000000"/>
        </w:rPr>
      </w:pPr>
      <w:r w:rsidRPr="00FB16A2">
        <w:rPr>
          <w:rFonts w:cs="HelveticaNeueLT Pro 55 Roman"/>
          <w:color w:val="000000"/>
        </w:rPr>
        <w:t xml:space="preserve">The </w:t>
      </w:r>
      <w:r w:rsidR="008226FB">
        <w:rPr>
          <w:rFonts w:cs="HelveticaNeueLT Pro 55 Roman"/>
          <w:color w:val="000000"/>
        </w:rPr>
        <w:t>fourth</w:t>
      </w:r>
      <w:r w:rsidR="008226FB" w:rsidRPr="00FB16A2">
        <w:rPr>
          <w:rFonts w:cs="HelveticaNeueLT Pro 55 Roman"/>
          <w:color w:val="000000"/>
        </w:rPr>
        <w:t xml:space="preserve"> </w:t>
      </w:r>
      <w:r w:rsidRPr="00FB16A2">
        <w:rPr>
          <w:rFonts w:cs="HelveticaNeueLT Pro 55 Roman"/>
          <w:color w:val="000000"/>
        </w:rPr>
        <w:t xml:space="preserve">activity of this component is to support the PNTL to develop its own strategy to promote women’s participation and advancement in the PNTL. The Strategy should identify priority actions, budget requirements and legislative reform required to support its implementation. This should be read in conjunction with </w:t>
      </w:r>
      <w:r w:rsidR="00F142A4">
        <w:rPr>
          <w:rFonts w:cs="HelveticaNeueLT Pro 55 Roman"/>
          <w:color w:val="000000"/>
        </w:rPr>
        <w:t>3</w:t>
      </w:r>
      <w:r w:rsidR="00941AAB">
        <w:rPr>
          <w:rFonts w:cs="HelveticaNeueLT Pro 55 Roman"/>
          <w:color w:val="000000"/>
        </w:rPr>
        <w:t>.11</w:t>
      </w:r>
      <w:r w:rsidRPr="00FB16A2">
        <w:rPr>
          <w:rFonts w:cs="HelveticaNeueLT Pro 55 Roman"/>
          <w:color w:val="000000"/>
        </w:rPr>
        <w:t xml:space="preserve"> of this </w:t>
      </w:r>
      <w:proofErr w:type="gramStart"/>
      <w:r w:rsidRPr="00FB16A2">
        <w:rPr>
          <w:rFonts w:cs="HelveticaNeueLT Pro 55 Roman"/>
          <w:color w:val="000000"/>
        </w:rPr>
        <w:t>document</w:t>
      </w:r>
      <w:proofErr w:type="gramEnd"/>
      <w:r w:rsidRPr="00FB16A2">
        <w:rPr>
          <w:rFonts w:cs="HelveticaNeueLT Pro 55 Roman"/>
          <w:color w:val="000000"/>
        </w:rPr>
        <w:t xml:space="preserve"> – Gender – which extends across the entire TLPDP. The TLPDP will focus on:</w:t>
      </w:r>
    </w:p>
    <w:p w14:paraId="0EEB4F31" w14:textId="22A62A12" w:rsidR="00BF0AF8" w:rsidRPr="00FB16A2" w:rsidRDefault="00BF0AF8" w:rsidP="00BF0AF8">
      <w:pPr>
        <w:pStyle w:val="ListParagraph"/>
        <w:numPr>
          <w:ilvl w:val="1"/>
          <w:numId w:val="38"/>
        </w:numPr>
        <w:spacing w:after="120" w:line="240" w:lineRule="auto"/>
      </w:pPr>
      <w:r w:rsidRPr="00FB16A2">
        <w:t xml:space="preserve">Provide support and technical advice to assist the PNTL in developing its organisational Gender Strategy. The Strategy should seek to improve gender composition, ensure gender mainstreaming across organisational activities, and increase stakeholder engagement and </w:t>
      </w:r>
      <w:proofErr w:type="gramStart"/>
      <w:r w:rsidRPr="00FB16A2">
        <w:t>collaboration</w:t>
      </w:r>
      <w:r>
        <w:t>;</w:t>
      </w:r>
      <w:proofErr w:type="gramEnd"/>
    </w:p>
    <w:p w14:paraId="703A498B" w14:textId="3CF0D081" w:rsidR="00D62605" w:rsidRPr="00FB16A2" w:rsidRDefault="00D62605" w:rsidP="007701F5">
      <w:pPr>
        <w:pStyle w:val="ListParagraph"/>
        <w:numPr>
          <w:ilvl w:val="1"/>
          <w:numId w:val="38"/>
        </w:numPr>
        <w:spacing w:after="120" w:line="240" w:lineRule="auto"/>
      </w:pPr>
      <w:r w:rsidRPr="00FB16A2">
        <w:t xml:space="preserve">Providing support and assistance to the PNTL to collect and analyse data </w:t>
      </w:r>
      <w:r w:rsidR="00737FDE">
        <w:t xml:space="preserve">to support the </w:t>
      </w:r>
      <w:r w:rsidRPr="00FB16A2">
        <w:t>develop</w:t>
      </w:r>
      <w:r w:rsidR="00737FDE">
        <w:t xml:space="preserve">ment </w:t>
      </w:r>
      <w:proofErr w:type="gramStart"/>
      <w:r w:rsidR="00737FDE">
        <w:t xml:space="preserve">of </w:t>
      </w:r>
      <w:r w:rsidRPr="00FB16A2">
        <w:t xml:space="preserve"> appropriate</w:t>
      </w:r>
      <w:proofErr w:type="gramEnd"/>
      <w:r w:rsidRPr="00FB16A2">
        <w:t xml:space="preserve"> and transparent strategies on the recruitment, retention, promotion and mentoring of women; </w:t>
      </w:r>
      <w:r w:rsidR="00BF0AF8" w:rsidRPr="00FB16A2">
        <w:t>and</w:t>
      </w:r>
    </w:p>
    <w:p w14:paraId="07245D99" w14:textId="1E46D67E" w:rsidR="00D62605" w:rsidRDefault="00D62605" w:rsidP="007701F5">
      <w:pPr>
        <w:pStyle w:val="ListParagraph"/>
        <w:numPr>
          <w:ilvl w:val="1"/>
          <w:numId w:val="38"/>
        </w:numPr>
        <w:spacing w:after="120" w:line="240" w:lineRule="auto"/>
      </w:pPr>
      <w:r w:rsidRPr="00FB16A2">
        <w:t>Provide support and assistance to the PNTL on the development of appropriate mechanisms to address instances of sexual harassment, sexual abuse and bullying</w:t>
      </w:r>
      <w:r w:rsidR="00737FDE">
        <w:t xml:space="preserve"> in the workplace</w:t>
      </w:r>
      <w:r w:rsidR="00BF0AF8">
        <w:t>.</w:t>
      </w:r>
    </w:p>
    <w:p w14:paraId="01B4A017" w14:textId="462B9EA3" w:rsidR="00620A70" w:rsidRPr="00FB16A2" w:rsidRDefault="00620A70" w:rsidP="007701F5">
      <w:pPr>
        <w:pStyle w:val="ListParagraph"/>
        <w:numPr>
          <w:ilvl w:val="1"/>
          <w:numId w:val="38"/>
        </w:numPr>
        <w:spacing w:after="120" w:line="240" w:lineRule="auto"/>
      </w:pPr>
      <w:r>
        <w:t xml:space="preserve">Identifying and targeting individuals and groups that exhibit conscious and unconscious bias against women in the PNTL, particularly through the promotion of male champions of change. </w:t>
      </w:r>
    </w:p>
    <w:p w14:paraId="1975839B" w14:textId="77777777" w:rsidR="00D62605" w:rsidRPr="00FB16A2" w:rsidRDefault="00D62605" w:rsidP="007701F5">
      <w:pPr>
        <w:spacing w:after="120" w:line="240" w:lineRule="auto"/>
      </w:pPr>
      <w:r w:rsidRPr="00FB16A2">
        <w:t>The likely aid modalities to support this activity are:</w:t>
      </w:r>
    </w:p>
    <w:p w14:paraId="4C468888" w14:textId="77777777" w:rsidR="00D62605" w:rsidRPr="00FB16A2" w:rsidRDefault="00D62605" w:rsidP="007701F5">
      <w:pPr>
        <w:pStyle w:val="ListParagraph"/>
        <w:numPr>
          <w:ilvl w:val="1"/>
          <w:numId w:val="38"/>
        </w:numPr>
        <w:spacing w:after="120" w:line="240" w:lineRule="auto"/>
      </w:pPr>
      <w:r w:rsidRPr="00FB16A2">
        <w:t xml:space="preserve">Adviser </w:t>
      </w:r>
      <w:proofErr w:type="gramStart"/>
      <w:r w:rsidRPr="00FB16A2">
        <w:t>support;</w:t>
      </w:r>
      <w:proofErr w:type="gramEnd"/>
    </w:p>
    <w:p w14:paraId="48F09E3A" w14:textId="77777777" w:rsidR="00D62605" w:rsidRPr="00FB16A2" w:rsidRDefault="00D62605" w:rsidP="007701F5">
      <w:pPr>
        <w:pStyle w:val="ListParagraph"/>
        <w:numPr>
          <w:ilvl w:val="1"/>
          <w:numId w:val="38"/>
        </w:numPr>
        <w:spacing w:after="120" w:line="240" w:lineRule="auto"/>
      </w:pPr>
      <w:proofErr w:type="gramStart"/>
      <w:r w:rsidRPr="00FB16A2">
        <w:t>Mentoring;</w:t>
      </w:r>
      <w:proofErr w:type="gramEnd"/>
    </w:p>
    <w:p w14:paraId="51F2E239" w14:textId="77777777" w:rsidR="00D62605" w:rsidRPr="00FB16A2" w:rsidRDefault="00D62605" w:rsidP="007701F5">
      <w:pPr>
        <w:pStyle w:val="ListParagraph"/>
        <w:numPr>
          <w:ilvl w:val="1"/>
          <w:numId w:val="38"/>
        </w:numPr>
        <w:spacing w:after="120" w:line="240" w:lineRule="auto"/>
      </w:pPr>
      <w:r w:rsidRPr="00FB16A2">
        <w:t xml:space="preserve">Training </w:t>
      </w:r>
      <w:proofErr w:type="gramStart"/>
      <w:r w:rsidRPr="00FB16A2">
        <w:t>activities;</w:t>
      </w:r>
      <w:proofErr w:type="gramEnd"/>
    </w:p>
    <w:p w14:paraId="6DDD85A9" w14:textId="77777777" w:rsidR="00D62605" w:rsidRPr="00FB16A2" w:rsidRDefault="00D62605" w:rsidP="007701F5">
      <w:pPr>
        <w:pStyle w:val="ListParagraph"/>
        <w:numPr>
          <w:ilvl w:val="1"/>
          <w:numId w:val="38"/>
        </w:numPr>
        <w:spacing w:after="120" w:line="240" w:lineRule="auto"/>
      </w:pPr>
      <w:r w:rsidRPr="00FB16A2">
        <w:t xml:space="preserve">Twinning, secondments and </w:t>
      </w:r>
      <w:proofErr w:type="gramStart"/>
      <w:r w:rsidRPr="00FB16A2">
        <w:t>exchanges;</w:t>
      </w:r>
      <w:proofErr w:type="gramEnd"/>
    </w:p>
    <w:p w14:paraId="665DA63E" w14:textId="77777777" w:rsidR="00D62605" w:rsidRPr="00FB16A2" w:rsidRDefault="00D62605" w:rsidP="007701F5">
      <w:pPr>
        <w:pStyle w:val="ListParagraph"/>
        <w:numPr>
          <w:ilvl w:val="1"/>
          <w:numId w:val="38"/>
        </w:numPr>
        <w:spacing w:after="120" w:line="240" w:lineRule="auto"/>
      </w:pPr>
      <w:r w:rsidRPr="00FB16A2">
        <w:t xml:space="preserve">Funding for innovations and </w:t>
      </w:r>
      <w:proofErr w:type="gramStart"/>
      <w:r w:rsidRPr="00FB16A2">
        <w:t>pilots;</w:t>
      </w:r>
      <w:proofErr w:type="gramEnd"/>
    </w:p>
    <w:p w14:paraId="31BF907C" w14:textId="2F85CBA8" w:rsidR="00D62605" w:rsidRPr="00FB16A2" w:rsidRDefault="00D62605" w:rsidP="007701F5">
      <w:pPr>
        <w:pStyle w:val="ListParagraph"/>
        <w:numPr>
          <w:ilvl w:val="1"/>
          <w:numId w:val="38"/>
        </w:numPr>
        <w:spacing w:after="120" w:line="240" w:lineRule="auto"/>
      </w:pPr>
      <w:r w:rsidRPr="00FB16A2">
        <w:t>Supply of goods (assets, equipment, infrastructure</w:t>
      </w:r>
      <w:proofErr w:type="gramStart"/>
      <w:r w:rsidRPr="00FB16A2">
        <w:t>);</w:t>
      </w:r>
      <w:proofErr w:type="gramEnd"/>
      <w:r w:rsidRPr="00FB16A2">
        <w:t xml:space="preserve"> </w:t>
      </w:r>
    </w:p>
    <w:p w14:paraId="09754DB7" w14:textId="0A350823" w:rsidR="00D62605" w:rsidRPr="00FB16A2" w:rsidRDefault="00D62605" w:rsidP="007701F5">
      <w:pPr>
        <w:pStyle w:val="ListParagraph"/>
        <w:spacing w:after="120" w:line="240" w:lineRule="auto"/>
        <w:ind w:left="1080"/>
      </w:pPr>
      <w:r w:rsidRPr="00FB16A2">
        <w:t xml:space="preserve">Consideration for contracted </w:t>
      </w:r>
      <w:r w:rsidR="00FB16A2" w:rsidRPr="00FB16A2">
        <w:t>TA and/or locally engaged staff; and</w:t>
      </w:r>
    </w:p>
    <w:p w14:paraId="2616AB1C" w14:textId="125D999D" w:rsidR="00332B81" w:rsidRPr="00FB16A2" w:rsidRDefault="00332B81" w:rsidP="007701F5">
      <w:pPr>
        <w:pStyle w:val="ListParagraph"/>
        <w:numPr>
          <w:ilvl w:val="1"/>
          <w:numId w:val="38"/>
        </w:numPr>
        <w:spacing w:after="120" w:line="240" w:lineRule="auto"/>
      </w:pPr>
      <w:r w:rsidRPr="00FB16A2">
        <w:t>Support provided to other programs and institutions that work in Timor-Leste (</w:t>
      </w:r>
      <w:proofErr w:type="gramStart"/>
      <w:r w:rsidRPr="00FB16A2">
        <w:t>e.g.</w:t>
      </w:r>
      <w:proofErr w:type="gramEnd"/>
      <w:r w:rsidRPr="00FB16A2">
        <w:t xml:space="preserve"> co-payments/shared resourcing arrangements to deliver activities with NGOs, victim support services, and local advocacy groups)</w:t>
      </w:r>
      <w:r w:rsidR="009C0B88">
        <w:t>.</w:t>
      </w:r>
    </w:p>
    <w:p w14:paraId="7957FC69" w14:textId="2FD61EB9" w:rsidR="0095375F" w:rsidRPr="00167A66" w:rsidRDefault="0095375F" w:rsidP="007701F5">
      <w:pPr>
        <w:spacing w:after="120" w:line="240" w:lineRule="auto"/>
        <w:rPr>
          <w:rFonts w:asciiTheme="majorHAnsi" w:hAnsiTheme="majorHAnsi"/>
          <w:i/>
          <w:color w:val="3E607E"/>
        </w:rPr>
      </w:pPr>
      <w:r w:rsidRPr="00167A66">
        <w:rPr>
          <w:rFonts w:asciiTheme="majorHAnsi" w:hAnsiTheme="majorHAnsi"/>
          <w:i/>
          <w:color w:val="3E607E"/>
        </w:rPr>
        <w:t>Activity 1.</w:t>
      </w:r>
      <w:r w:rsidR="00CE4415" w:rsidRPr="00167A66">
        <w:rPr>
          <w:rFonts w:asciiTheme="majorHAnsi" w:hAnsiTheme="majorHAnsi"/>
          <w:i/>
          <w:color w:val="3E607E"/>
        </w:rPr>
        <w:t>5</w:t>
      </w:r>
      <w:r w:rsidRPr="00167A66">
        <w:rPr>
          <w:rFonts w:asciiTheme="majorHAnsi" w:hAnsiTheme="majorHAnsi"/>
          <w:i/>
          <w:color w:val="3E607E"/>
        </w:rPr>
        <w:t>: Workforce planning</w:t>
      </w:r>
    </w:p>
    <w:p w14:paraId="3F7B37B7" w14:textId="69785EBC" w:rsidR="0095375F" w:rsidRPr="00F27FE0" w:rsidRDefault="0095375F" w:rsidP="007701F5">
      <w:pPr>
        <w:spacing w:after="120" w:line="240" w:lineRule="auto"/>
        <w:rPr>
          <w:rFonts w:asciiTheme="majorHAnsi" w:hAnsiTheme="majorHAnsi"/>
        </w:rPr>
      </w:pPr>
      <w:r w:rsidRPr="00F27FE0">
        <w:rPr>
          <w:rFonts w:asciiTheme="majorHAnsi" w:hAnsiTheme="majorHAnsi"/>
        </w:rPr>
        <w:t xml:space="preserve">The </w:t>
      </w:r>
      <w:proofErr w:type="gramStart"/>
      <w:r w:rsidR="008226FB">
        <w:rPr>
          <w:rFonts w:asciiTheme="majorHAnsi" w:hAnsiTheme="majorHAnsi"/>
        </w:rPr>
        <w:t xml:space="preserve">fifth </w:t>
      </w:r>
      <w:r w:rsidRPr="00F27FE0">
        <w:rPr>
          <w:rFonts w:asciiTheme="majorHAnsi" w:hAnsiTheme="majorHAnsi"/>
        </w:rPr>
        <w:t xml:space="preserve"> activity</w:t>
      </w:r>
      <w:proofErr w:type="gramEnd"/>
      <w:r w:rsidRPr="00F27FE0">
        <w:rPr>
          <w:rFonts w:asciiTheme="majorHAnsi" w:hAnsiTheme="majorHAnsi"/>
        </w:rPr>
        <w:t xml:space="preserve"> of this component is the provision of support and advice to the PNTL to strengthen their workforce planning to ensure alignment to the needs and priorities of the PNTL, </w:t>
      </w:r>
      <w:proofErr w:type="spellStart"/>
      <w:r w:rsidRPr="00F27FE0">
        <w:rPr>
          <w:rFonts w:asciiTheme="majorHAnsi" w:hAnsiTheme="majorHAnsi"/>
        </w:rPr>
        <w:t>G</w:t>
      </w:r>
      <w:r w:rsidR="00FB16A2">
        <w:rPr>
          <w:rFonts w:asciiTheme="majorHAnsi" w:hAnsiTheme="majorHAnsi"/>
        </w:rPr>
        <w:t>o</w:t>
      </w:r>
      <w:r w:rsidRPr="00F27FE0">
        <w:rPr>
          <w:rFonts w:asciiTheme="majorHAnsi" w:hAnsiTheme="majorHAnsi"/>
        </w:rPr>
        <w:t>RDTL</w:t>
      </w:r>
      <w:proofErr w:type="spellEnd"/>
      <w:r w:rsidRPr="00F27FE0">
        <w:rPr>
          <w:rFonts w:asciiTheme="majorHAnsi" w:hAnsiTheme="majorHAnsi"/>
        </w:rPr>
        <w:t xml:space="preserve"> and the community. The TLPDP will assist the PNTL to align the recruitment, training and distribution of personnel with financial planning and operational requirements.  The TLPDP will focus on:</w:t>
      </w:r>
    </w:p>
    <w:p w14:paraId="75152CC9" w14:textId="3AB04098" w:rsidR="0095375F" w:rsidRPr="00F27FE0" w:rsidRDefault="0095375F" w:rsidP="007701F5">
      <w:pPr>
        <w:pStyle w:val="ListParagraph"/>
        <w:numPr>
          <w:ilvl w:val="0"/>
          <w:numId w:val="32"/>
        </w:numPr>
        <w:spacing w:after="120" w:line="240" w:lineRule="auto"/>
        <w:rPr>
          <w:rFonts w:asciiTheme="majorHAnsi" w:hAnsiTheme="majorHAnsi"/>
        </w:rPr>
      </w:pPr>
      <w:r w:rsidRPr="00F27FE0">
        <w:rPr>
          <w:rFonts w:asciiTheme="majorHAnsi" w:hAnsiTheme="majorHAnsi"/>
        </w:rPr>
        <w:t xml:space="preserve">Support to the PNTL to collect, analyse and report on current workforce data, identify current capacity and capability shortages, and develop a plan for areas of policing to be adequately </w:t>
      </w:r>
      <w:proofErr w:type="gramStart"/>
      <w:r w:rsidRPr="00F27FE0">
        <w:rPr>
          <w:rFonts w:asciiTheme="majorHAnsi" w:hAnsiTheme="majorHAnsi"/>
        </w:rPr>
        <w:t>resourced</w:t>
      </w:r>
      <w:r w:rsidR="00F27FE0">
        <w:rPr>
          <w:rFonts w:asciiTheme="majorHAnsi" w:hAnsiTheme="majorHAnsi"/>
        </w:rPr>
        <w:t>;</w:t>
      </w:r>
      <w:proofErr w:type="gramEnd"/>
    </w:p>
    <w:p w14:paraId="48641BE5" w14:textId="16AADD8A" w:rsidR="0095375F" w:rsidRPr="00F27FE0" w:rsidRDefault="0095375F" w:rsidP="007701F5">
      <w:pPr>
        <w:pStyle w:val="ListParagraph"/>
        <w:numPr>
          <w:ilvl w:val="0"/>
          <w:numId w:val="32"/>
        </w:numPr>
        <w:spacing w:after="120" w:line="240" w:lineRule="auto"/>
        <w:rPr>
          <w:rFonts w:asciiTheme="majorHAnsi" w:hAnsiTheme="majorHAnsi"/>
        </w:rPr>
      </w:pPr>
      <w:r w:rsidRPr="00F27FE0">
        <w:rPr>
          <w:rFonts w:asciiTheme="majorHAnsi" w:hAnsiTheme="majorHAnsi"/>
        </w:rPr>
        <w:t>Support to the PNTL to develop an Operational Workforce Plan (12-18 months outlook) and Strategic Workforce Plan (three years plus outlook)</w:t>
      </w:r>
      <w:r w:rsidR="00F27FE0">
        <w:rPr>
          <w:rFonts w:asciiTheme="majorHAnsi" w:hAnsiTheme="majorHAnsi"/>
        </w:rPr>
        <w:t>; and</w:t>
      </w:r>
    </w:p>
    <w:p w14:paraId="438F0A37" w14:textId="77777777" w:rsidR="0095375F" w:rsidRPr="00F27FE0" w:rsidRDefault="0095375F" w:rsidP="007701F5">
      <w:pPr>
        <w:pStyle w:val="ListParagraph"/>
        <w:numPr>
          <w:ilvl w:val="0"/>
          <w:numId w:val="32"/>
        </w:numPr>
        <w:spacing w:after="120" w:line="240" w:lineRule="auto"/>
        <w:rPr>
          <w:rFonts w:asciiTheme="majorHAnsi" w:hAnsiTheme="majorHAnsi"/>
        </w:rPr>
      </w:pPr>
      <w:r w:rsidRPr="00F27FE0">
        <w:rPr>
          <w:rFonts w:asciiTheme="majorHAnsi" w:hAnsiTheme="majorHAnsi"/>
        </w:rPr>
        <w:t xml:space="preserve">Support to the PNTL to identify the workforce capacity and capability needs to meet its future objectives.  </w:t>
      </w:r>
    </w:p>
    <w:p w14:paraId="457F4AC4" w14:textId="77777777" w:rsidR="00502445" w:rsidRPr="00167A66" w:rsidRDefault="00502445" w:rsidP="007701F5">
      <w:pPr>
        <w:spacing w:after="120" w:line="240" w:lineRule="auto"/>
        <w:rPr>
          <w:rFonts w:asciiTheme="majorHAnsi" w:hAnsiTheme="majorHAnsi"/>
          <w:i/>
          <w:color w:val="3E607E"/>
        </w:rPr>
      </w:pPr>
      <w:r w:rsidRPr="00167A66">
        <w:rPr>
          <w:rFonts w:asciiTheme="majorHAnsi" w:hAnsiTheme="majorHAnsi"/>
          <w:i/>
          <w:color w:val="3E607E"/>
        </w:rPr>
        <w:t>Component Interconnectedness</w:t>
      </w:r>
    </w:p>
    <w:p w14:paraId="756D34A1" w14:textId="37CBEDFF" w:rsidR="00502445" w:rsidRPr="00FB16A2" w:rsidRDefault="00502445" w:rsidP="007701F5">
      <w:pPr>
        <w:spacing w:after="120" w:line="240" w:lineRule="auto"/>
      </w:pPr>
      <w:r w:rsidRPr="00FB16A2">
        <w:t>Beyond the activities above, this component will flow significantly into the outputs of other components, as illustrated in the figure below:</w:t>
      </w:r>
    </w:p>
    <w:p w14:paraId="213A59D4" w14:textId="36E221F6" w:rsidR="00502445" w:rsidRDefault="00167A66" w:rsidP="007701F5">
      <w:pPr>
        <w:spacing w:after="120" w:line="240" w:lineRule="auto"/>
      </w:pPr>
      <w:r>
        <w:rPr>
          <w:noProof/>
        </w:rPr>
        <w:lastRenderedPageBreak/>
        <w:drawing>
          <wp:inline distT="0" distB="0" distL="0" distR="0" wp14:anchorId="1C3DA825" wp14:editId="247D4B47">
            <wp:extent cx="5732145" cy="6755765"/>
            <wp:effectExtent l="0" t="0" r="1905" b="6985"/>
            <wp:docPr id="310" name="Picture 310" descr="Diagram depicting Component 1 activities and how they replate to the outputs of other components: internal capacity development, strategic planning and implementation, increased representation of women and workforce plann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Picture 310" descr="Diagram depicting Component 1 activities and how they replate to the outputs of other components: internal capacity development, strategic planning and implementation, increased representation of women and workforce planning. "/>
                    <pic:cNvPicPr/>
                  </pic:nvPicPr>
                  <pic:blipFill>
                    <a:blip r:embed="rId11"/>
                    <a:stretch>
                      <a:fillRect/>
                    </a:stretch>
                  </pic:blipFill>
                  <pic:spPr>
                    <a:xfrm>
                      <a:off x="0" y="0"/>
                      <a:ext cx="5732145" cy="6755765"/>
                    </a:xfrm>
                    <a:prstGeom prst="rect">
                      <a:avLst/>
                    </a:prstGeom>
                  </pic:spPr>
                </pic:pic>
              </a:graphicData>
            </a:graphic>
          </wp:inline>
        </w:drawing>
      </w:r>
    </w:p>
    <w:p w14:paraId="423A472D" w14:textId="77777777" w:rsidR="00502445" w:rsidRPr="00F27FE0" w:rsidRDefault="00502445" w:rsidP="007701F5">
      <w:pPr>
        <w:spacing w:after="120" w:line="240" w:lineRule="auto"/>
      </w:pPr>
    </w:p>
    <w:p w14:paraId="7AD2A92D" w14:textId="2DAAC5D9" w:rsidR="006224AA" w:rsidRPr="00AE209B" w:rsidRDefault="00386887" w:rsidP="001218D8">
      <w:pPr>
        <w:pStyle w:val="Heading3"/>
        <w:numPr>
          <w:ilvl w:val="2"/>
          <w:numId w:val="61"/>
        </w:numPr>
        <w:spacing w:before="0" w:after="120" w:line="240" w:lineRule="auto"/>
        <w:ind w:left="567" w:hanging="567"/>
      </w:pPr>
      <w:bookmarkStart w:id="75" w:name="_Toc516189361"/>
      <w:r w:rsidRPr="00AE209B">
        <w:t>Component</w:t>
      </w:r>
      <w:r w:rsidR="00D379F6" w:rsidRPr="00D379F6">
        <w:t xml:space="preserve"> </w:t>
      </w:r>
      <w:r w:rsidR="00D379F6" w:rsidRPr="00820243">
        <w:t>Pathway</w:t>
      </w:r>
      <w:r w:rsidR="006224AA" w:rsidRPr="00AE209B">
        <w:t xml:space="preserve"> 2</w:t>
      </w:r>
      <w:r w:rsidR="003A1306">
        <w:t>:</w:t>
      </w:r>
      <w:r w:rsidR="006224AA" w:rsidRPr="00AE209B">
        <w:t xml:space="preserve"> Operational Effectiveness</w:t>
      </w:r>
      <w:bookmarkEnd w:id="75"/>
    </w:p>
    <w:p w14:paraId="1D54938C" w14:textId="7C0999DD" w:rsidR="0043675F" w:rsidRPr="00FB16A2" w:rsidRDefault="0043675F" w:rsidP="007701F5">
      <w:pPr>
        <w:spacing w:after="120" w:line="240" w:lineRule="auto"/>
      </w:pPr>
      <w:r w:rsidRPr="00FB16A2">
        <w:t xml:space="preserve">This component seeks to build </w:t>
      </w:r>
      <w:r w:rsidR="00FB16A2">
        <w:t xml:space="preserve">the </w:t>
      </w:r>
      <w:r w:rsidRPr="00FB16A2">
        <w:t xml:space="preserve">PNTL’s capacity to deliver policing services to the community. It focuses on the existing enabling capabilities of PNTL that directly support operational areas. </w:t>
      </w:r>
    </w:p>
    <w:p w14:paraId="44CD842C" w14:textId="42FE24C1" w:rsidR="00A11EE0" w:rsidRPr="00167A66" w:rsidRDefault="00A11EE0" w:rsidP="007701F5">
      <w:pPr>
        <w:spacing w:after="120" w:line="240" w:lineRule="auto"/>
        <w:rPr>
          <w:rFonts w:asciiTheme="majorHAnsi" w:hAnsiTheme="majorHAnsi"/>
          <w:i/>
          <w:color w:val="3E607E"/>
        </w:rPr>
      </w:pPr>
      <w:r w:rsidRPr="00167A66">
        <w:rPr>
          <w:rFonts w:asciiTheme="majorHAnsi" w:hAnsiTheme="majorHAnsi"/>
          <w:i/>
          <w:color w:val="3E607E"/>
        </w:rPr>
        <w:t>Theory of Change</w:t>
      </w:r>
    </w:p>
    <w:p w14:paraId="2AADF5A7" w14:textId="2C2716F8" w:rsidR="00A11EE0" w:rsidRPr="00C51256" w:rsidRDefault="003B342B" w:rsidP="007701F5">
      <w:pPr>
        <w:spacing w:after="120" w:line="240" w:lineRule="auto"/>
      </w:pPr>
      <w:r w:rsidRPr="00C51256">
        <w:t>The four-year end of P</w:t>
      </w:r>
      <w:r w:rsidR="00A11EE0" w:rsidRPr="00C51256">
        <w:t>rogram outcome is that e</w:t>
      </w:r>
      <w:r w:rsidR="00A11EE0" w:rsidRPr="00C51256">
        <w:rPr>
          <w:i/>
        </w:rPr>
        <w:t xml:space="preserve">ffective operational policing services are delivered through enhanced capability and capacity. </w:t>
      </w:r>
      <w:r w:rsidR="00A11EE0" w:rsidRPr="00C51256">
        <w:t xml:space="preserve">To achieve this outcome, Component Two will focus on intelligence-led policing and the Incident Management System (IMS). </w:t>
      </w:r>
    </w:p>
    <w:p w14:paraId="6EB5BFC9" w14:textId="77777777" w:rsidR="00A11EE0" w:rsidRPr="00C51256" w:rsidRDefault="00A11EE0" w:rsidP="007701F5">
      <w:pPr>
        <w:spacing w:after="120" w:line="240" w:lineRule="auto"/>
      </w:pPr>
      <w:r w:rsidRPr="00C51256">
        <w:rPr>
          <w:b/>
        </w:rPr>
        <w:lastRenderedPageBreak/>
        <w:t>IF</w:t>
      </w:r>
      <w:r w:rsidRPr="00C51256">
        <w:t xml:space="preserve"> improvements occur in:</w:t>
      </w:r>
    </w:p>
    <w:p w14:paraId="4D8B8418" w14:textId="77777777" w:rsidR="00A11EE0" w:rsidRPr="00C51256" w:rsidRDefault="00A11EE0" w:rsidP="007701F5">
      <w:pPr>
        <w:pStyle w:val="ListParagraph"/>
        <w:numPr>
          <w:ilvl w:val="0"/>
          <w:numId w:val="26"/>
        </w:numPr>
        <w:spacing w:after="120" w:line="240" w:lineRule="auto"/>
      </w:pPr>
      <w:r w:rsidRPr="00C51256">
        <w:t xml:space="preserve">Intelligence model supported by IMS – this is needed to ensure the PNTL can analyse IMS data to make evidence-based organisational and operational policing </w:t>
      </w:r>
      <w:proofErr w:type="gramStart"/>
      <w:r w:rsidRPr="00C51256">
        <w:t>decisions;</w:t>
      </w:r>
      <w:proofErr w:type="gramEnd"/>
    </w:p>
    <w:p w14:paraId="7C577324" w14:textId="77777777" w:rsidR="00A11EE0" w:rsidRPr="00C51256" w:rsidRDefault="00A11EE0" w:rsidP="007701F5">
      <w:pPr>
        <w:pStyle w:val="ListParagraph"/>
        <w:numPr>
          <w:ilvl w:val="0"/>
          <w:numId w:val="26"/>
        </w:numPr>
        <w:spacing w:after="120" w:line="240" w:lineRule="auto"/>
      </w:pPr>
      <w:r w:rsidRPr="00C51256">
        <w:t xml:space="preserve">Tiered intelligence training – to ensure that PNTL intelligence officers are provided with the required skills and knowledge at the appropriate </w:t>
      </w:r>
      <w:proofErr w:type="gramStart"/>
      <w:r w:rsidRPr="00C51256">
        <w:t>level;</w:t>
      </w:r>
      <w:proofErr w:type="gramEnd"/>
    </w:p>
    <w:p w14:paraId="41E937E5" w14:textId="77777777" w:rsidR="00A11EE0" w:rsidRPr="00C51256" w:rsidRDefault="00A11EE0" w:rsidP="007701F5">
      <w:pPr>
        <w:pStyle w:val="ListParagraph"/>
        <w:numPr>
          <w:ilvl w:val="0"/>
          <w:numId w:val="26"/>
        </w:numPr>
        <w:spacing w:after="120" w:line="240" w:lineRule="auto"/>
      </w:pPr>
      <w:r w:rsidRPr="00C51256">
        <w:t xml:space="preserve">Intelligence module within IMS – an intelligence module will be needed to enhance the SIP’s capacity to gather, record and analyse information to better address PNTL information </w:t>
      </w:r>
      <w:proofErr w:type="gramStart"/>
      <w:r w:rsidRPr="00C51256">
        <w:t>requirements;</w:t>
      </w:r>
      <w:proofErr w:type="gramEnd"/>
    </w:p>
    <w:p w14:paraId="2B1223C9" w14:textId="77777777" w:rsidR="00A11EE0" w:rsidRPr="00C51256" w:rsidRDefault="00A11EE0" w:rsidP="007701F5">
      <w:pPr>
        <w:pStyle w:val="ListParagraph"/>
        <w:numPr>
          <w:ilvl w:val="0"/>
          <w:numId w:val="26"/>
        </w:numPr>
        <w:spacing w:after="120" w:line="240" w:lineRule="auto"/>
      </w:pPr>
      <w:r w:rsidRPr="00C51256">
        <w:t>Increased usage of IMS – access to the IMS must be improved through overcoming infrastructure challenges and raising awareness across PNTL, with a focus on the districts; and</w:t>
      </w:r>
    </w:p>
    <w:p w14:paraId="71F39675" w14:textId="0E9BFEA3" w:rsidR="00A11EE0" w:rsidRDefault="00A11EE0" w:rsidP="007701F5">
      <w:pPr>
        <w:pStyle w:val="ListParagraph"/>
        <w:numPr>
          <w:ilvl w:val="0"/>
          <w:numId w:val="26"/>
        </w:numPr>
        <w:spacing w:after="120" w:line="240" w:lineRule="auto"/>
        <w:rPr>
          <w:rFonts w:asciiTheme="majorHAnsi" w:hAnsiTheme="majorHAnsi"/>
        </w:rPr>
      </w:pPr>
      <w:r w:rsidRPr="00C51256">
        <w:t>Planning and resource management – to effectively manage, maintain and fund the IMS without donor suppor</w:t>
      </w:r>
      <w:r w:rsidRPr="004D4BAC">
        <w:rPr>
          <w:rFonts w:asciiTheme="majorHAnsi" w:hAnsiTheme="majorHAnsi"/>
        </w:rPr>
        <w:t>t.</w:t>
      </w:r>
    </w:p>
    <w:p w14:paraId="28DFE870" w14:textId="18DAACD2" w:rsidR="00A11EE0" w:rsidRDefault="00E55D6C" w:rsidP="007701F5">
      <w:pPr>
        <w:spacing w:after="120" w:line="240" w:lineRule="auto"/>
        <w:ind w:left="360"/>
        <w:rPr>
          <w:rFonts w:asciiTheme="majorHAnsi" w:hAnsiTheme="majorHAnsi"/>
        </w:rPr>
      </w:pPr>
      <w:r w:rsidRPr="00C51256">
        <w:rPr>
          <w:noProof/>
          <w:lang w:eastAsia="en-AU"/>
        </w:rPr>
        <mc:AlternateContent>
          <mc:Choice Requires="wps">
            <w:drawing>
              <wp:inline distT="0" distB="0" distL="0" distR="0" wp14:anchorId="1824B6AE" wp14:editId="5380E223">
                <wp:extent cx="0" cy="619125"/>
                <wp:effectExtent l="57150" t="0" r="57150" b="47625"/>
                <wp:docPr id="1" name="Straight Arrow Connector 1" descr="Arrow from improvement areas towards improved outcomes "/>
                <wp:cNvGraphicFramePr/>
                <a:graphic xmlns:a="http://schemas.openxmlformats.org/drawingml/2006/main">
                  <a:graphicData uri="http://schemas.microsoft.com/office/word/2010/wordprocessingShape">
                    <wps:wsp>
                      <wps:cNvCnPr/>
                      <wps:spPr>
                        <a:xfrm>
                          <a:off x="0" y="0"/>
                          <a:ext cx="0" cy="619125"/>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shape w14:anchorId="066620F4" id="Straight Arrow Connector 1" o:spid="_x0000_s1026" type="#_x0000_t32" alt="Arrow from improvement areas towards improved outcomes " style="width:0;height:48.7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" strokecolor="black [3213]" strokeweight="2.25pt">
                <v:stroke endarrow="open"/>
                <w10:anchorlock/>
              </v:shape>
            </w:pict>
          </mc:Fallback>
        </mc:AlternateContent>
      </w:r>
    </w:p>
    <w:p w14:paraId="559C3607" w14:textId="77777777" w:rsidR="00A11EE0" w:rsidRPr="008F089D" w:rsidRDefault="00A11EE0" w:rsidP="007701F5">
      <w:pPr>
        <w:spacing w:after="120" w:line="240" w:lineRule="auto"/>
        <w:rPr>
          <w:rFonts w:asciiTheme="majorHAnsi" w:hAnsiTheme="majorHAnsi"/>
        </w:rPr>
      </w:pPr>
      <w:r w:rsidRPr="008F089D">
        <w:rPr>
          <w:rFonts w:asciiTheme="majorHAnsi" w:hAnsiTheme="majorHAnsi"/>
          <w:b/>
          <w:sz w:val="24"/>
          <w:szCs w:val="24"/>
        </w:rPr>
        <w:t>THEN</w:t>
      </w:r>
      <w:r>
        <w:rPr>
          <w:rFonts w:asciiTheme="majorHAnsi" w:hAnsiTheme="majorHAnsi"/>
        </w:rPr>
        <w:t xml:space="preserve"> the PNTL should improve their:</w:t>
      </w:r>
    </w:p>
    <w:p w14:paraId="64D19D1B" w14:textId="77777777" w:rsidR="00A11EE0" w:rsidRPr="004D4BAC" w:rsidRDefault="00A11EE0" w:rsidP="007701F5">
      <w:pPr>
        <w:pStyle w:val="ListParagraph"/>
        <w:numPr>
          <w:ilvl w:val="0"/>
          <w:numId w:val="26"/>
        </w:numPr>
        <w:spacing w:after="120" w:line="240" w:lineRule="auto"/>
        <w:rPr>
          <w:rFonts w:asciiTheme="majorHAnsi" w:hAnsiTheme="majorHAnsi"/>
        </w:rPr>
      </w:pPr>
      <w:r w:rsidRPr="004D4BAC">
        <w:rPr>
          <w:rFonts w:asciiTheme="majorHAnsi" w:hAnsiTheme="majorHAnsi"/>
        </w:rPr>
        <w:t xml:space="preserve">Intelligence capacity to inform police </w:t>
      </w:r>
      <w:proofErr w:type="gramStart"/>
      <w:r w:rsidRPr="004D4BAC">
        <w:rPr>
          <w:rFonts w:asciiTheme="majorHAnsi" w:hAnsiTheme="majorHAnsi"/>
        </w:rPr>
        <w:t>decision-making;</w:t>
      </w:r>
      <w:proofErr w:type="gramEnd"/>
    </w:p>
    <w:p w14:paraId="58850A98" w14:textId="77777777" w:rsidR="00A11EE0" w:rsidRPr="004D4BAC" w:rsidRDefault="00A11EE0" w:rsidP="007701F5">
      <w:pPr>
        <w:pStyle w:val="ListParagraph"/>
        <w:numPr>
          <w:ilvl w:val="0"/>
          <w:numId w:val="26"/>
        </w:numPr>
        <w:spacing w:after="120" w:line="240" w:lineRule="auto"/>
        <w:rPr>
          <w:rFonts w:asciiTheme="majorHAnsi" w:hAnsiTheme="majorHAnsi"/>
        </w:rPr>
      </w:pPr>
      <w:r w:rsidRPr="004D4BAC">
        <w:rPr>
          <w:rFonts w:asciiTheme="majorHAnsi" w:hAnsiTheme="majorHAnsi"/>
        </w:rPr>
        <w:t>Capacity to effectively manage and maintain IMS; and</w:t>
      </w:r>
    </w:p>
    <w:p w14:paraId="02F457BE" w14:textId="77777777" w:rsidR="00A11EE0" w:rsidRPr="004D4BAC" w:rsidRDefault="00A11EE0" w:rsidP="007701F5">
      <w:pPr>
        <w:pStyle w:val="ListParagraph"/>
        <w:numPr>
          <w:ilvl w:val="0"/>
          <w:numId w:val="26"/>
        </w:numPr>
        <w:spacing w:after="120" w:line="240" w:lineRule="auto"/>
        <w:rPr>
          <w:rFonts w:asciiTheme="majorHAnsi" w:hAnsiTheme="majorHAnsi"/>
        </w:rPr>
      </w:pPr>
      <w:r w:rsidRPr="004D4BAC">
        <w:rPr>
          <w:rFonts w:asciiTheme="majorHAnsi" w:hAnsiTheme="majorHAnsi"/>
        </w:rPr>
        <w:t>Utilisation of IMS across Timor-Leste to support police service delivery</w:t>
      </w:r>
      <w:r w:rsidRPr="004D4BAC">
        <w:rPr>
          <w:rFonts w:asciiTheme="majorHAnsi" w:hAnsiTheme="majorHAnsi"/>
          <w:i/>
        </w:rPr>
        <w:t xml:space="preserve">. </w:t>
      </w:r>
    </w:p>
    <w:p w14:paraId="50AD24EB" w14:textId="2A7C42FB" w:rsidR="0043675F" w:rsidRPr="00167A66" w:rsidRDefault="0043675F" w:rsidP="007701F5">
      <w:pPr>
        <w:spacing w:after="120" w:line="240" w:lineRule="auto"/>
        <w:rPr>
          <w:rFonts w:asciiTheme="majorHAnsi" w:hAnsiTheme="majorHAnsi"/>
          <w:i/>
          <w:color w:val="3E607E"/>
        </w:rPr>
      </w:pPr>
      <w:r w:rsidRPr="00167A66">
        <w:rPr>
          <w:rFonts w:asciiTheme="majorHAnsi" w:hAnsiTheme="majorHAnsi"/>
          <w:i/>
          <w:color w:val="3E607E"/>
        </w:rPr>
        <w:t xml:space="preserve">Activity 2.1: Sustainable and enhanced utilisation of data management and collection  </w:t>
      </w:r>
    </w:p>
    <w:p w14:paraId="1D6E3B04" w14:textId="4FF9A64C" w:rsidR="0043675F" w:rsidRPr="005332A7" w:rsidRDefault="0043675F" w:rsidP="007701F5">
      <w:pPr>
        <w:spacing w:after="120" w:line="240" w:lineRule="auto"/>
      </w:pPr>
      <w:r w:rsidRPr="005332A7">
        <w:t xml:space="preserve">The first activity of this component is the development of management systems to maintain </w:t>
      </w:r>
      <w:proofErr w:type="gramStart"/>
      <w:r w:rsidRPr="005332A7">
        <w:t>IMS</w:t>
      </w:r>
      <w:r w:rsidR="00754F4B" w:rsidRPr="005332A7">
        <w:t>, and</w:t>
      </w:r>
      <w:proofErr w:type="gramEnd"/>
      <w:r w:rsidR="00754F4B" w:rsidRPr="005332A7">
        <w:t xml:space="preserve"> use other data</w:t>
      </w:r>
      <w:r w:rsidR="002C705A" w:rsidRPr="005332A7">
        <w:t xml:space="preserve"> sources</w:t>
      </w:r>
      <w:r w:rsidR="00754F4B" w:rsidRPr="005332A7">
        <w:t xml:space="preserve"> for decisions</w:t>
      </w:r>
      <w:r w:rsidR="002C705A" w:rsidRPr="005332A7">
        <w:t xml:space="preserve"> – </w:t>
      </w:r>
      <w:r w:rsidR="00754F4B" w:rsidRPr="005332A7">
        <w:t>where appropriate</w:t>
      </w:r>
      <w:r w:rsidRPr="005332A7">
        <w:t xml:space="preserve">. This includes consideration of the budgetary and technical issues that face the sustainability of </w:t>
      </w:r>
      <w:r w:rsidR="002C705A" w:rsidRPr="005332A7">
        <w:t xml:space="preserve">data management and collection activities, including </w:t>
      </w:r>
      <w:r w:rsidRPr="005332A7">
        <w:t>the IMS. Its goal is to ensure the sustainability of the</w:t>
      </w:r>
      <w:r w:rsidR="002C705A" w:rsidRPr="005332A7">
        <w:t xml:space="preserve">se systems </w:t>
      </w:r>
      <w:r w:rsidRPr="005332A7">
        <w:t xml:space="preserve">beyond donor support. The activity will also seek to promote the use of </w:t>
      </w:r>
      <w:r w:rsidR="002C705A" w:rsidRPr="005332A7">
        <w:t xml:space="preserve">data and evidence for decisions </w:t>
      </w:r>
      <w:r w:rsidRPr="005332A7">
        <w:t>at all levels of PNTL. The TLPDP will focus on:</w:t>
      </w:r>
    </w:p>
    <w:p w14:paraId="28DAD4A8" w14:textId="45836C9D" w:rsidR="0043675F" w:rsidRPr="005332A7" w:rsidRDefault="0043675F" w:rsidP="007701F5">
      <w:pPr>
        <w:pStyle w:val="ListParagraph"/>
        <w:numPr>
          <w:ilvl w:val="0"/>
          <w:numId w:val="35"/>
        </w:numPr>
        <w:spacing w:after="120" w:line="240" w:lineRule="auto"/>
        <w:rPr>
          <w:rFonts w:eastAsia="Times New Roman" w:cs="Arial"/>
          <w:lang w:val="en-US" w:eastAsia="en-AU"/>
        </w:rPr>
      </w:pPr>
      <w:r w:rsidRPr="005332A7">
        <w:rPr>
          <w:rFonts w:eastAsia="Times New Roman" w:cs="Arial"/>
          <w:lang w:val="en-US" w:eastAsia="en-AU"/>
        </w:rPr>
        <w:t xml:space="preserve">Governance support to develop an IMS </w:t>
      </w:r>
      <w:proofErr w:type="gramStart"/>
      <w:r w:rsidRPr="005332A7">
        <w:rPr>
          <w:rFonts w:eastAsia="Times New Roman" w:cs="Arial"/>
          <w:lang w:val="en-US" w:eastAsia="en-AU"/>
        </w:rPr>
        <w:t>budget</w:t>
      </w:r>
      <w:r w:rsidR="00A01396" w:rsidRPr="005332A7">
        <w:rPr>
          <w:rFonts w:eastAsia="Times New Roman" w:cs="Arial"/>
          <w:lang w:val="en-US" w:eastAsia="en-AU"/>
        </w:rPr>
        <w:t>;</w:t>
      </w:r>
      <w:proofErr w:type="gramEnd"/>
    </w:p>
    <w:p w14:paraId="6E1D0074" w14:textId="5DEA971A" w:rsidR="0043675F" w:rsidRPr="005332A7" w:rsidRDefault="0043675F" w:rsidP="007701F5">
      <w:pPr>
        <w:pStyle w:val="ListParagraph"/>
        <w:numPr>
          <w:ilvl w:val="0"/>
          <w:numId w:val="35"/>
        </w:numPr>
        <w:spacing w:after="120" w:line="240" w:lineRule="auto"/>
        <w:rPr>
          <w:rFonts w:eastAsia="Times New Roman" w:cs="Arial"/>
          <w:lang w:val="en-US" w:eastAsia="en-AU"/>
        </w:rPr>
      </w:pPr>
      <w:r w:rsidRPr="005332A7">
        <w:rPr>
          <w:rFonts w:eastAsia="Times New Roman" w:cs="Arial"/>
          <w:lang w:val="en-US" w:eastAsia="en-AU"/>
        </w:rPr>
        <w:t xml:space="preserve">Awareness raising for IMS with a focus on the </w:t>
      </w:r>
      <w:proofErr w:type="gramStart"/>
      <w:r w:rsidRPr="005332A7">
        <w:rPr>
          <w:rFonts w:eastAsia="Times New Roman" w:cs="Arial"/>
          <w:lang w:val="en-US" w:eastAsia="en-AU"/>
        </w:rPr>
        <w:t>districts</w:t>
      </w:r>
      <w:r w:rsidR="00A01396" w:rsidRPr="005332A7">
        <w:rPr>
          <w:rFonts w:eastAsia="Times New Roman" w:cs="Arial"/>
          <w:lang w:val="en-US" w:eastAsia="en-AU"/>
        </w:rPr>
        <w:t>;</w:t>
      </w:r>
      <w:proofErr w:type="gramEnd"/>
    </w:p>
    <w:p w14:paraId="69A750A8" w14:textId="0BB3B902" w:rsidR="0043675F" w:rsidRPr="005332A7" w:rsidRDefault="0043675F" w:rsidP="007701F5">
      <w:pPr>
        <w:pStyle w:val="ListParagraph"/>
        <w:numPr>
          <w:ilvl w:val="0"/>
          <w:numId w:val="35"/>
        </w:numPr>
        <w:spacing w:after="120" w:line="240" w:lineRule="auto"/>
        <w:rPr>
          <w:rFonts w:eastAsia="Times New Roman" w:cs="Arial"/>
          <w:lang w:val="en-US" w:eastAsia="en-AU"/>
        </w:rPr>
      </w:pPr>
      <w:r w:rsidRPr="005332A7">
        <w:rPr>
          <w:rFonts w:eastAsia="Times New Roman" w:cs="Arial"/>
          <w:lang w:val="en-US" w:eastAsia="en-AU"/>
        </w:rPr>
        <w:t xml:space="preserve">Ongoing improvement and expansion of the </w:t>
      </w:r>
      <w:proofErr w:type="gramStart"/>
      <w:r w:rsidRPr="005332A7">
        <w:rPr>
          <w:rFonts w:eastAsia="Times New Roman" w:cs="Arial"/>
          <w:lang w:val="en-US" w:eastAsia="en-AU"/>
        </w:rPr>
        <w:t>IMS</w:t>
      </w:r>
      <w:r w:rsidR="00A01396" w:rsidRPr="005332A7">
        <w:rPr>
          <w:rFonts w:eastAsia="Times New Roman" w:cs="Arial"/>
          <w:lang w:val="en-US" w:eastAsia="en-AU"/>
        </w:rPr>
        <w:t>;</w:t>
      </w:r>
      <w:proofErr w:type="gramEnd"/>
    </w:p>
    <w:p w14:paraId="52CE3A3C" w14:textId="1C5A0214" w:rsidR="0043675F" w:rsidRPr="005332A7" w:rsidRDefault="0043675F" w:rsidP="007701F5">
      <w:pPr>
        <w:pStyle w:val="ListParagraph"/>
        <w:numPr>
          <w:ilvl w:val="0"/>
          <w:numId w:val="35"/>
        </w:numPr>
        <w:spacing w:after="120" w:line="240" w:lineRule="auto"/>
        <w:rPr>
          <w:rFonts w:eastAsia="Times New Roman" w:cs="Arial"/>
          <w:lang w:val="en-US" w:eastAsia="en-AU"/>
        </w:rPr>
      </w:pPr>
      <w:r w:rsidRPr="005332A7">
        <w:rPr>
          <w:rFonts w:eastAsia="Times New Roman" w:cs="Arial"/>
          <w:lang w:val="en-US" w:eastAsia="en-AU"/>
        </w:rPr>
        <w:t xml:space="preserve">Innovation to address infrastructure challenges hindering the use of </w:t>
      </w:r>
      <w:r w:rsidR="005332A7" w:rsidRPr="005332A7">
        <w:rPr>
          <w:rFonts w:eastAsia="Times New Roman" w:cs="Arial"/>
          <w:lang w:val="en-US" w:eastAsia="en-AU"/>
        </w:rPr>
        <w:t xml:space="preserve">the </w:t>
      </w:r>
      <w:r w:rsidRPr="005332A7">
        <w:rPr>
          <w:rFonts w:eastAsia="Times New Roman" w:cs="Arial"/>
          <w:lang w:val="en-US" w:eastAsia="en-AU"/>
        </w:rPr>
        <w:t>IMS in remote areas</w:t>
      </w:r>
      <w:r w:rsidR="00F27FE0" w:rsidRPr="005332A7">
        <w:rPr>
          <w:rFonts w:eastAsia="Times New Roman" w:cs="Arial"/>
          <w:lang w:val="en-US" w:eastAsia="en-AU"/>
        </w:rPr>
        <w:t>; and</w:t>
      </w:r>
    </w:p>
    <w:p w14:paraId="4C9CFDA4" w14:textId="3436CC8E" w:rsidR="0043675F" w:rsidRPr="005332A7" w:rsidRDefault="0043675F" w:rsidP="007701F5">
      <w:pPr>
        <w:pStyle w:val="ListParagraph"/>
        <w:numPr>
          <w:ilvl w:val="0"/>
          <w:numId w:val="35"/>
        </w:numPr>
        <w:spacing w:after="120" w:line="240" w:lineRule="auto"/>
        <w:rPr>
          <w:rFonts w:eastAsia="Times New Roman" w:cs="Arial"/>
          <w:lang w:val="en-US" w:eastAsia="en-AU"/>
        </w:rPr>
      </w:pPr>
      <w:r w:rsidRPr="005332A7">
        <w:rPr>
          <w:rFonts w:eastAsia="Times New Roman" w:cs="Arial"/>
          <w:lang w:val="en-US" w:eastAsia="en-AU"/>
        </w:rPr>
        <w:t>Promotion of the use of data for future operational planning to support the leadership</w:t>
      </w:r>
      <w:r w:rsidR="00A01396" w:rsidRPr="005332A7">
        <w:rPr>
          <w:rFonts w:eastAsia="Times New Roman" w:cs="Arial"/>
          <w:lang w:val="en-US" w:eastAsia="en-AU"/>
        </w:rPr>
        <w:t xml:space="preserve"> and</w:t>
      </w:r>
      <w:r w:rsidRPr="005332A7">
        <w:rPr>
          <w:rFonts w:eastAsia="Times New Roman" w:cs="Arial"/>
          <w:lang w:val="en-US" w:eastAsia="en-AU"/>
        </w:rPr>
        <w:t xml:space="preserve"> management and self-improvement within PNTL. </w:t>
      </w:r>
    </w:p>
    <w:p w14:paraId="5892C5A9" w14:textId="77777777" w:rsidR="0043675F" w:rsidRPr="005332A7" w:rsidRDefault="0043675F" w:rsidP="007701F5">
      <w:pPr>
        <w:spacing w:after="120" w:line="240" w:lineRule="auto"/>
      </w:pPr>
      <w:r w:rsidRPr="005332A7">
        <w:t>Likely aid modalities to support this activity are:</w:t>
      </w:r>
    </w:p>
    <w:p w14:paraId="11B5C9ED" w14:textId="01FB02F4" w:rsidR="0043675F" w:rsidRPr="005332A7" w:rsidRDefault="0043675F" w:rsidP="007701F5">
      <w:pPr>
        <w:pStyle w:val="ListParagraph"/>
        <w:numPr>
          <w:ilvl w:val="0"/>
          <w:numId w:val="33"/>
        </w:numPr>
        <w:spacing w:after="120" w:line="240" w:lineRule="auto"/>
        <w:rPr>
          <w:rFonts w:eastAsia="Times New Roman" w:cs="Arial"/>
          <w:lang w:val="en-US" w:eastAsia="en-AU"/>
        </w:rPr>
      </w:pPr>
      <w:r w:rsidRPr="005332A7">
        <w:rPr>
          <w:rFonts w:eastAsia="Times New Roman" w:cs="Arial"/>
          <w:lang w:val="en-US" w:eastAsia="en-AU"/>
        </w:rPr>
        <w:t xml:space="preserve">Adviser </w:t>
      </w:r>
      <w:proofErr w:type="gramStart"/>
      <w:r w:rsidRPr="005332A7">
        <w:rPr>
          <w:rFonts w:eastAsia="Times New Roman" w:cs="Arial"/>
          <w:lang w:val="en-US" w:eastAsia="en-AU"/>
        </w:rPr>
        <w:t>support</w:t>
      </w:r>
      <w:r w:rsidR="00A01396" w:rsidRPr="005332A7">
        <w:rPr>
          <w:rFonts w:eastAsia="Times New Roman" w:cs="Arial"/>
          <w:lang w:val="en-US" w:eastAsia="en-AU"/>
        </w:rPr>
        <w:t>;</w:t>
      </w:r>
      <w:proofErr w:type="gramEnd"/>
    </w:p>
    <w:p w14:paraId="0610414C" w14:textId="1E8B5782" w:rsidR="0043675F" w:rsidRPr="005332A7" w:rsidRDefault="0043675F" w:rsidP="007701F5">
      <w:pPr>
        <w:pStyle w:val="ListParagraph"/>
        <w:numPr>
          <w:ilvl w:val="0"/>
          <w:numId w:val="33"/>
        </w:numPr>
        <w:spacing w:after="120" w:line="240" w:lineRule="auto"/>
        <w:rPr>
          <w:rFonts w:eastAsia="Times New Roman" w:cs="Arial"/>
          <w:lang w:val="en-US" w:eastAsia="en-AU"/>
        </w:rPr>
      </w:pPr>
      <w:r w:rsidRPr="005332A7">
        <w:rPr>
          <w:rFonts w:eastAsia="Times New Roman" w:cs="Arial"/>
          <w:lang w:val="en-US" w:eastAsia="en-AU"/>
        </w:rPr>
        <w:t xml:space="preserve">Training of </w:t>
      </w:r>
      <w:proofErr w:type="gramStart"/>
      <w:r w:rsidRPr="005332A7">
        <w:rPr>
          <w:rFonts w:eastAsia="Times New Roman" w:cs="Arial"/>
          <w:lang w:val="en-US" w:eastAsia="en-AU"/>
        </w:rPr>
        <w:t>trainers</w:t>
      </w:r>
      <w:r w:rsidR="00A01396" w:rsidRPr="005332A7">
        <w:rPr>
          <w:rFonts w:eastAsia="Times New Roman" w:cs="Arial"/>
          <w:lang w:val="en-US" w:eastAsia="en-AU"/>
        </w:rPr>
        <w:t>;</w:t>
      </w:r>
      <w:proofErr w:type="gramEnd"/>
    </w:p>
    <w:p w14:paraId="38A5BCED" w14:textId="0BAE372B" w:rsidR="0043675F" w:rsidRPr="005332A7" w:rsidRDefault="0043675F" w:rsidP="007701F5">
      <w:pPr>
        <w:pStyle w:val="ListParagraph"/>
        <w:numPr>
          <w:ilvl w:val="0"/>
          <w:numId w:val="33"/>
        </w:numPr>
        <w:spacing w:after="120" w:line="240" w:lineRule="auto"/>
        <w:rPr>
          <w:rFonts w:eastAsia="Times New Roman" w:cs="Arial"/>
          <w:lang w:val="en-US" w:eastAsia="en-AU"/>
        </w:rPr>
      </w:pPr>
      <w:r w:rsidRPr="005332A7">
        <w:rPr>
          <w:rFonts w:eastAsia="Times New Roman" w:cs="Arial"/>
          <w:lang w:val="en-US" w:eastAsia="en-AU"/>
        </w:rPr>
        <w:t xml:space="preserve">Funding for innovations and </w:t>
      </w:r>
      <w:proofErr w:type="gramStart"/>
      <w:r w:rsidRPr="005332A7">
        <w:rPr>
          <w:rFonts w:eastAsia="Times New Roman" w:cs="Arial"/>
          <w:lang w:val="en-US" w:eastAsia="en-AU"/>
        </w:rPr>
        <w:t>pilots</w:t>
      </w:r>
      <w:r w:rsidR="00A01396" w:rsidRPr="005332A7">
        <w:rPr>
          <w:rFonts w:eastAsia="Times New Roman" w:cs="Arial"/>
          <w:lang w:val="en-US" w:eastAsia="en-AU"/>
        </w:rPr>
        <w:t>;</w:t>
      </w:r>
      <w:proofErr w:type="gramEnd"/>
      <w:r w:rsidR="00A01396" w:rsidRPr="005332A7">
        <w:rPr>
          <w:rFonts w:eastAsia="Times New Roman" w:cs="Arial"/>
          <w:lang w:val="en-US" w:eastAsia="en-AU"/>
        </w:rPr>
        <w:t xml:space="preserve"> </w:t>
      </w:r>
    </w:p>
    <w:p w14:paraId="44C1FF3F" w14:textId="529E4215" w:rsidR="0043675F" w:rsidRPr="00E6222E" w:rsidRDefault="0043675F" w:rsidP="007701F5">
      <w:pPr>
        <w:pStyle w:val="ListParagraph"/>
        <w:numPr>
          <w:ilvl w:val="0"/>
          <w:numId w:val="33"/>
        </w:numPr>
        <w:spacing w:after="120" w:line="240" w:lineRule="auto"/>
      </w:pPr>
      <w:r w:rsidRPr="005332A7">
        <w:rPr>
          <w:rFonts w:eastAsia="Times New Roman" w:cs="Arial"/>
          <w:lang w:val="en-US" w:eastAsia="en-AU"/>
        </w:rPr>
        <w:t>Supply of equipment (computer networking)</w:t>
      </w:r>
      <w:r w:rsidR="005332A7" w:rsidRPr="005332A7">
        <w:rPr>
          <w:rFonts w:eastAsia="Times New Roman" w:cs="Arial"/>
          <w:lang w:val="en-US" w:eastAsia="en-AU"/>
        </w:rPr>
        <w:t>; and</w:t>
      </w:r>
    </w:p>
    <w:p w14:paraId="709E9680" w14:textId="35BB465A" w:rsidR="002B7D23" w:rsidRPr="005332A7" w:rsidRDefault="002B7D23" w:rsidP="007701F5">
      <w:pPr>
        <w:pStyle w:val="ListParagraph"/>
        <w:numPr>
          <w:ilvl w:val="0"/>
          <w:numId w:val="33"/>
        </w:numPr>
        <w:spacing w:after="120" w:line="240" w:lineRule="auto"/>
      </w:pPr>
      <w:r w:rsidRPr="005332A7">
        <w:t>Support provided to other programs and institutions that work in Timor-Leste (</w:t>
      </w:r>
      <w:proofErr w:type="gramStart"/>
      <w:r w:rsidRPr="005332A7">
        <w:t>e.g.</w:t>
      </w:r>
      <w:proofErr w:type="gramEnd"/>
      <w:r w:rsidRPr="005332A7">
        <w:t xml:space="preserve"> co-payments/shared resourcing arrangements to deliver </w:t>
      </w:r>
      <w:r w:rsidR="002C705A" w:rsidRPr="005332A7">
        <w:t xml:space="preserve">data collection and analysis </w:t>
      </w:r>
      <w:r w:rsidRPr="005332A7">
        <w:t>activities</w:t>
      </w:r>
      <w:r w:rsidR="002C705A" w:rsidRPr="005332A7">
        <w:t xml:space="preserve"> such as community perception surveys</w:t>
      </w:r>
      <w:r w:rsidRPr="005332A7">
        <w:t>)</w:t>
      </w:r>
    </w:p>
    <w:p w14:paraId="6169E7F4" w14:textId="77777777" w:rsidR="0043675F" w:rsidRPr="00F27FE0" w:rsidRDefault="0043675F" w:rsidP="007701F5">
      <w:pPr>
        <w:spacing w:after="120" w:line="240" w:lineRule="auto"/>
        <w:rPr>
          <w:rFonts w:asciiTheme="majorHAnsi" w:hAnsiTheme="majorHAnsi"/>
          <w:i/>
          <w:color w:val="4F81BD" w:themeColor="accent1"/>
        </w:rPr>
      </w:pPr>
      <w:r w:rsidRPr="00167A66">
        <w:rPr>
          <w:rFonts w:asciiTheme="majorHAnsi" w:hAnsiTheme="majorHAnsi"/>
          <w:i/>
          <w:color w:val="3E607E"/>
        </w:rPr>
        <w:t>Activity 2.2: Intelligence-led policing</w:t>
      </w:r>
    </w:p>
    <w:p w14:paraId="36F47433" w14:textId="77777777" w:rsidR="0043675F" w:rsidRPr="005332A7" w:rsidRDefault="0043675F" w:rsidP="007701F5">
      <w:pPr>
        <w:spacing w:after="120" w:line="240" w:lineRule="auto"/>
      </w:pPr>
      <w:r w:rsidRPr="005332A7">
        <w:t xml:space="preserve">The second activity of this component is the provision of support to the PNTL to increase their use of intelligence in policing activities to anticipate, prevent, disrupt and detect criminal </w:t>
      </w:r>
      <w:r w:rsidRPr="005332A7">
        <w:lastRenderedPageBreak/>
        <w:t>activity. This will also include support to create a clear career pathway for intelligence officers. The TLPDP will support the PNTL to:</w:t>
      </w:r>
    </w:p>
    <w:p w14:paraId="5B1AAC55" w14:textId="62D1FEAB" w:rsidR="0043675F" w:rsidRPr="005332A7" w:rsidRDefault="0043675F" w:rsidP="007701F5">
      <w:pPr>
        <w:pStyle w:val="ListParagraph"/>
        <w:numPr>
          <w:ilvl w:val="0"/>
          <w:numId w:val="34"/>
        </w:numPr>
        <w:spacing w:after="120" w:line="240" w:lineRule="auto"/>
        <w:rPr>
          <w:rFonts w:eastAsia="Times New Roman" w:cs="Arial"/>
          <w:lang w:val="en-US" w:eastAsia="en-AU"/>
        </w:rPr>
      </w:pPr>
      <w:r w:rsidRPr="005332A7">
        <w:rPr>
          <w:rFonts w:eastAsia="Times New Roman" w:cs="Arial"/>
          <w:lang w:val="en-US" w:eastAsia="en-AU"/>
        </w:rPr>
        <w:t xml:space="preserve">Increase their specialist intelligence capability through the establishment of an intelligence training continuum that will improve the PNTL’s ability to collect, </w:t>
      </w:r>
      <w:proofErr w:type="spellStart"/>
      <w:r w:rsidRPr="005332A7">
        <w:rPr>
          <w:rFonts w:eastAsia="Times New Roman" w:cs="Arial"/>
          <w:lang w:val="en-US" w:eastAsia="en-AU"/>
        </w:rPr>
        <w:t>analyse</w:t>
      </w:r>
      <w:proofErr w:type="spellEnd"/>
      <w:r w:rsidRPr="005332A7">
        <w:rPr>
          <w:rFonts w:eastAsia="Times New Roman" w:cs="Arial"/>
          <w:lang w:val="en-US" w:eastAsia="en-AU"/>
        </w:rPr>
        <w:t>, produce and disseminate intelligence</w:t>
      </w:r>
      <w:r w:rsidR="00D11998" w:rsidRPr="005332A7">
        <w:rPr>
          <w:rFonts w:eastAsia="Times New Roman" w:cs="Arial"/>
          <w:lang w:val="en-US" w:eastAsia="en-AU"/>
        </w:rPr>
        <w:t>; and</w:t>
      </w:r>
    </w:p>
    <w:p w14:paraId="2952109F" w14:textId="77777777" w:rsidR="0043675F" w:rsidRPr="005332A7" w:rsidRDefault="0043675F" w:rsidP="007701F5">
      <w:pPr>
        <w:pStyle w:val="ListParagraph"/>
        <w:numPr>
          <w:ilvl w:val="0"/>
          <w:numId w:val="34"/>
        </w:numPr>
        <w:spacing w:after="120" w:line="240" w:lineRule="auto"/>
        <w:rPr>
          <w:rFonts w:eastAsia="Times New Roman" w:cs="Arial"/>
          <w:lang w:val="en-US" w:eastAsia="en-AU"/>
        </w:rPr>
      </w:pPr>
      <w:r w:rsidRPr="005332A7">
        <w:rPr>
          <w:rFonts w:eastAsia="Times New Roman" w:cs="Arial"/>
          <w:lang w:val="en-US" w:eastAsia="en-AU"/>
        </w:rPr>
        <w:t>Ensure appropriate data collection and management systems are in place, for example through the IMS.</w:t>
      </w:r>
    </w:p>
    <w:p w14:paraId="5EAB8267" w14:textId="77777777" w:rsidR="0043675F" w:rsidRPr="005332A7" w:rsidRDefault="0043675F" w:rsidP="007701F5">
      <w:pPr>
        <w:spacing w:after="120" w:line="240" w:lineRule="auto"/>
      </w:pPr>
      <w:r w:rsidRPr="005332A7">
        <w:t>Likely aid modalities to support this activity are:</w:t>
      </w:r>
    </w:p>
    <w:p w14:paraId="74B69383" w14:textId="4721C39F" w:rsidR="0043675F" w:rsidRPr="005332A7" w:rsidRDefault="0043675F" w:rsidP="007701F5">
      <w:pPr>
        <w:pStyle w:val="ListParagraph"/>
        <w:numPr>
          <w:ilvl w:val="0"/>
          <w:numId w:val="33"/>
        </w:numPr>
        <w:spacing w:after="120" w:line="240" w:lineRule="auto"/>
        <w:rPr>
          <w:rFonts w:eastAsia="Times New Roman" w:cs="Arial"/>
          <w:lang w:val="en-US" w:eastAsia="en-AU"/>
        </w:rPr>
      </w:pPr>
      <w:r w:rsidRPr="005332A7">
        <w:rPr>
          <w:rFonts w:eastAsia="Times New Roman" w:cs="Arial"/>
          <w:lang w:val="en-US" w:eastAsia="en-AU"/>
        </w:rPr>
        <w:t xml:space="preserve">Adviser </w:t>
      </w:r>
      <w:proofErr w:type="gramStart"/>
      <w:r w:rsidRPr="005332A7">
        <w:rPr>
          <w:rFonts w:eastAsia="Times New Roman" w:cs="Arial"/>
          <w:lang w:val="en-US" w:eastAsia="en-AU"/>
        </w:rPr>
        <w:t>support</w:t>
      </w:r>
      <w:r w:rsidR="00D11998" w:rsidRPr="005332A7">
        <w:rPr>
          <w:rFonts w:eastAsia="Times New Roman" w:cs="Arial"/>
          <w:lang w:val="en-US" w:eastAsia="en-AU"/>
        </w:rPr>
        <w:t>;</w:t>
      </w:r>
      <w:proofErr w:type="gramEnd"/>
    </w:p>
    <w:p w14:paraId="1B461096" w14:textId="22EDEBB4" w:rsidR="0043675F" w:rsidRPr="005332A7" w:rsidRDefault="0043675F" w:rsidP="007701F5">
      <w:pPr>
        <w:pStyle w:val="ListParagraph"/>
        <w:numPr>
          <w:ilvl w:val="0"/>
          <w:numId w:val="33"/>
        </w:numPr>
        <w:spacing w:after="120" w:line="240" w:lineRule="auto"/>
        <w:rPr>
          <w:rFonts w:eastAsia="Times New Roman" w:cs="Arial"/>
          <w:lang w:val="en-US" w:eastAsia="en-AU"/>
        </w:rPr>
      </w:pPr>
      <w:r w:rsidRPr="005332A7">
        <w:rPr>
          <w:rFonts w:eastAsia="Times New Roman" w:cs="Arial"/>
          <w:lang w:val="en-US" w:eastAsia="en-AU"/>
        </w:rPr>
        <w:t xml:space="preserve">Mentoring and training </w:t>
      </w:r>
      <w:proofErr w:type="gramStart"/>
      <w:r w:rsidRPr="005332A7">
        <w:rPr>
          <w:rFonts w:eastAsia="Times New Roman" w:cs="Arial"/>
          <w:lang w:val="en-US" w:eastAsia="en-AU"/>
        </w:rPr>
        <w:t>support</w:t>
      </w:r>
      <w:r w:rsidR="00D11998" w:rsidRPr="005332A7">
        <w:rPr>
          <w:rFonts w:eastAsia="Times New Roman" w:cs="Arial"/>
          <w:lang w:val="en-US" w:eastAsia="en-AU"/>
        </w:rPr>
        <w:t>;</w:t>
      </w:r>
      <w:proofErr w:type="gramEnd"/>
      <w:r w:rsidRPr="005332A7">
        <w:rPr>
          <w:rFonts w:eastAsia="Times New Roman" w:cs="Arial"/>
          <w:lang w:val="en-US" w:eastAsia="en-AU"/>
        </w:rPr>
        <w:t xml:space="preserve"> </w:t>
      </w:r>
    </w:p>
    <w:p w14:paraId="69F7180A" w14:textId="60D85BA5" w:rsidR="0043675F" w:rsidRPr="005332A7" w:rsidRDefault="0043675F" w:rsidP="007701F5">
      <w:pPr>
        <w:pStyle w:val="ListParagraph"/>
        <w:numPr>
          <w:ilvl w:val="0"/>
          <w:numId w:val="33"/>
        </w:numPr>
        <w:spacing w:after="120" w:line="240" w:lineRule="auto"/>
        <w:rPr>
          <w:rFonts w:eastAsia="Times New Roman" w:cs="Arial"/>
          <w:lang w:val="en-US" w:eastAsia="en-AU"/>
        </w:rPr>
      </w:pPr>
      <w:r w:rsidRPr="005332A7">
        <w:rPr>
          <w:rFonts w:eastAsia="Times New Roman" w:cs="Arial"/>
          <w:lang w:val="en-US" w:eastAsia="en-AU"/>
        </w:rPr>
        <w:t>Training of trainers</w:t>
      </w:r>
      <w:r w:rsidR="00D11998" w:rsidRPr="005332A7">
        <w:rPr>
          <w:rFonts w:eastAsia="Times New Roman" w:cs="Arial"/>
          <w:lang w:val="en-US" w:eastAsia="en-AU"/>
        </w:rPr>
        <w:t>; and</w:t>
      </w:r>
    </w:p>
    <w:p w14:paraId="476237C3" w14:textId="0D95BF03" w:rsidR="0043675F" w:rsidRPr="005332A7" w:rsidRDefault="0043675F" w:rsidP="007701F5">
      <w:pPr>
        <w:pStyle w:val="ListParagraph"/>
        <w:numPr>
          <w:ilvl w:val="0"/>
          <w:numId w:val="33"/>
        </w:numPr>
        <w:spacing w:after="120" w:line="240" w:lineRule="auto"/>
        <w:rPr>
          <w:rFonts w:eastAsia="Times New Roman" w:cs="Arial"/>
          <w:lang w:val="en-US" w:eastAsia="en-AU"/>
        </w:rPr>
      </w:pPr>
      <w:r w:rsidRPr="005332A7">
        <w:rPr>
          <w:rFonts w:eastAsia="Times New Roman" w:cs="Arial"/>
          <w:lang w:val="en-US" w:eastAsia="en-AU"/>
        </w:rPr>
        <w:t xml:space="preserve">Facilitation of </w:t>
      </w:r>
      <w:r w:rsidR="00A11EE0" w:rsidRPr="005332A7">
        <w:rPr>
          <w:rFonts w:eastAsia="Times New Roman" w:cs="Arial"/>
          <w:lang w:val="en-US" w:eastAsia="en-AU"/>
        </w:rPr>
        <w:t>technical support.</w:t>
      </w:r>
    </w:p>
    <w:p w14:paraId="38107B9B" w14:textId="5C1298AF" w:rsidR="00502445" w:rsidRPr="00167A66" w:rsidRDefault="00502445" w:rsidP="007701F5">
      <w:pPr>
        <w:spacing w:after="120" w:line="240" w:lineRule="auto"/>
        <w:rPr>
          <w:rFonts w:asciiTheme="majorHAnsi" w:hAnsiTheme="majorHAnsi"/>
          <w:i/>
          <w:color w:val="3E607E"/>
        </w:rPr>
      </w:pPr>
      <w:r w:rsidRPr="00167A66">
        <w:rPr>
          <w:rFonts w:asciiTheme="majorHAnsi" w:hAnsiTheme="majorHAnsi"/>
          <w:i/>
          <w:color w:val="3E607E"/>
        </w:rPr>
        <w:t>Component Interconnectedness</w:t>
      </w:r>
    </w:p>
    <w:p w14:paraId="6AD67068" w14:textId="6B62AFBD" w:rsidR="00502445" w:rsidRPr="00D379F6" w:rsidRDefault="00502445" w:rsidP="007701F5">
      <w:pPr>
        <w:spacing w:after="120" w:line="240" w:lineRule="auto"/>
        <w:rPr>
          <w:rFonts w:asciiTheme="majorHAnsi" w:hAnsiTheme="majorHAnsi"/>
        </w:rPr>
      </w:pPr>
      <w:r w:rsidRPr="00D379F6">
        <w:rPr>
          <w:rFonts w:asciiTheme="majorHAnsi" w:hAnsiTheme="majorHAnsi"/>
        </w:rPr>
        <w:t>Beyond the activities above, this component will benefit from crossover with other components as illustrated in the figure below:</w:t>
      </w:r>
    </w:p>
    <w:p w14:paraId="5DB49A37" w14:textId="30277746" w:rsidR="00502445" w:rsidRDefault="00167A66" w:rsidP="007701F5">
      <w:pPr>
        <w:spacing w:after="120" w:line="240" w:lineRule="auto"/>
      </w:pPr>
      <w:r>
        <w:rPr>
          <w:noProof/>
        </w:rPr>
        <w:drawing>
          <wp:inline distT="0" distB="0" distL="0" distR="0" wp14:anchorId="75178D78" wp14:editId="6E33351B">
            <wp:extent cx="5732145" cy="3707765"/>
            <wp:effectExtent l="0" t="0" r="1905" b="6985"/>
            <wp:docPr id="311" name="Picture 311" descr="Diagram depicting how Component 2: Operational Effectiveness benefits from cross over with other compon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 name="Picture 311" descr="Diagram depicting how Component 2: Operational Effectiveness benefits from cross over with other components"/>
                    <pic:cNvPicPr/>
                  </pic:nvPicPr>
                  <pic:blipFill>
                    <a:blip r:embed="rId12"/>
                    <a:stretch>
                      <a:fillRect/>
                    </a:stretch>
                  </pic:blipFill>
                  <pic:spPr>
                    <a:xfrm>
                      <a:off x="0" y="0"/>
                      <a:ext cx="5732145" cy="3707765"/>
                    </a:xfrm>
                    <a:prstGeom prst="rect">
                      <a:avLst/>
                    </a:prstGeom>
                  </pic:spPr>
                </pic:pic>
              </a:graphicData>
            </a:graphic>
          </wp:inline>
        </w:drawing>
      </w:r>
    </w:p>
    <w:p w14:paraId="34D6BD71" w14:textId="292B13C9" w:rsidR="00502445" w:rsidRDefault="00502445" w:rsidP="007701F5">
      <w:pPr>
        <w:pStyle w:val="Heading3"/>
        <w:spacing w:before="0" w:after="120" w:line="240" w:lineRule="auto"/>
      </w:pPr>
    </w:p>
    <w:p w14:paraId="6B68D8A8" w14:textId="7BB7DFEE" w:rsidR="006224AA" w:rsidRPr="00E867E7" w:rsidRDefault="00386887" w:rsidP="001218D8">
      <w:pPr>
        <w:pStyle w:val="Heading3"/>
        <w:numPr>
          <w:ilvl w:val="2"/>
          <w:numId w:val="61"/>
        </w:numPr>
        <w:spacing w:before="0" w:after="120" w:line="240" w:lineRule="auto"/>
        <w:ind w:left="567" w:hanging="567"/>
      </w:pPr>
      <w:bookmarkStart w:id="76" w:name="_Toc516189362"/>
      <w:r w:rsidRPr="00A11EE0">
        <w:t>Component</w:t>
      </w:r>
      <w:r w:rsidR="006224AA" w:rsidRPr="00A11EE0">
        <w:t xml:space="preserve"> </w:t>
      </w:r>
      <w:r w:rsidR="00D379F6" w:rsidRPr="00820243">
        <w:t xml:space="preserve">Pathway </w:t>
      </w:r>
      <w:r w:rsidR="003A1306">
        <w:t>3:</w:t>
      </w:r>
      <w:r w:rsidR="006224AA" w:rsidRPr="00A11EE0">
        <w:t xml:space="preserve"> </w:t>
      </w:r>
      <w:r w:rsidR="00CB30A9" w:rsidRPr="00A11EE0">
        <w:t>Responsive</w:t>
      </w:r>
      <w:r w:rsidR="00CB30A9" w:rsidRPr="00E867E7">
        <w:t xml:space="preserve"> Policing Services</w:t>
      </w:r>
      <w:bookmarkEnd w:id="76"/>
    </w:p>
    <w:p w14:paraId="43554313" w14:textId="23AC22C7" w:rsidR="002A29D9" w:rsidRPr="005332A7" w:rsidRDefault="002A29D9" w:rsidP="007701F5">
      <w:pPr>
        <w:spacing w:after="120" w:line="240" w:lineRule="auto"/>
        <w:rPr>
          <w:i/>
        </w:rPr>
      </w:pPr>
      <w:r w:rsidRPr="005332A7">
        <w:t xml:space="preserve">This </w:t>
      </w:r>
      <w:r w:rsidR="00FC3A74" w:rsidRPr="005332A7">
        <w:t xml:space="preserve">component </w:t>
      </w:r>
      <w:r w:rsidRPr="005332A7">
        <w:t>pathway (Component Three) is designed to improve the delivery of policing services to the co</w:t>
      </w:r>
      <w:r w:rsidR="003B342B" w:rsidRPr="005332A7">
        <w:t>mmunity.  The four-year end of P</w:t>
      </w:r>
      <w:r w:rsidRPr="005332A7">
        <w:t xml:space="preserve">rogram outcome is that </w:t>
      </w:r>
      <w:r w:rsidRPr="005332A7">
        <w:rPr>
          <w:i/>
        </w:rPr>
        <w:t>improved community engagement and collaborations enable the delivery of responsive policing services.</w:t>
      </w:r>
    </w:p>
    <w:p w14:paraId="38FAFA75" w14:textId="109E69EC" w:rsidR="002A29D9" w:rsidRPr="005332A7" w:rsidRDefault="002A29D9" w:rsidP="007701F5">
      <w:pPr>
        <w:spacing w:after="120" w:line="240" w:lineRule="auto"/>
      </w:pPr>
      <w:r w:rsidRPr="005332A7">
        <w:t xml:space="preserve">This component seeks to build PNTL’s capacity to respond to key threats in the law enforcement environment. It will directly support the delivery of policing services which will be reinforced by improved community engagement and collaborations. To achieve that outcome, this component will focus on the detection and investigation of organised and transnational </w:t>
      </w:r>
      <w:proofErr w:type="gramStart"/>
      <w:r w:rsidRPr="005332A7">
        <w:t>crime, and</w:t>
      </w:r>
      <w:proofErr w:type="gramEnd"/>
      <w:r w:rsidRPr="005332A7">
        <w:t xml:space="preserve"> improving responses to the victims of gender based violence and other vulnerable persons. </w:t>
      </w:r>
    </w:p>
    <w:p w14:paraId="5EBC1E40" w14:textId="6F3283DE" w:rsidR="002A29D9" w:rsidRPr="00167A66" w:rsidRDefault="002A29D9" w:rsidP="007701F5">
      <w:pPr>
        <w:spacing w:after="120" w:line="240" w:lineRule="auto"/>
        <w:rPr>
          <w:rFonts w:asciiTheme="majorHAnsi" w:hAnsiTheme="majorHAnsi"/>
          <w:i/>
          <w:color w:val="3E607E"/>
        </w:rPr>
      </w:pPr>
      <w:r w:rsidRPr="00167A66">
        <w:rPr>
          <w:rFonts w:asciiTheme="majorHAnsi" w:hAnsiTheme="majorHAnsi"/>
          <w:i/>
          <w:color w:val="3E607E"/>
        </w:rPr>
        <w:lastRenderedPageBreak/>
        <w:t>Theory of Change</w:t>
      </w:r>
    </w:p>
    <w:p w14:paraId="0F672A15" w14:textId="77777777" w:rsidR="002A29D9" w:rsidRPr="00352C09" w:rsidRDefault="002A29D9" w:rsidP="007701F5">
      <w:pPr>
        <w:spacing w:after="120" w:line="240" w:lineRule="auto"/>
        <w:rPr>
          <w:rFonts w:asciiTheme="majorHAnsi" w:hAnsiTheme="majorHAnsi"/>
        </w:rPr>
      </w:pPr>
      <w:r w:rsidRPr="003C6A1E">
        <w:rPr>
          <w:rFonts w:asciiTheme="majorHAnsi" w:hAnsiTheme="majorHAnsi"/>
          <w:b/>
          <w:sz w:val="24"/>
          <w:szCs w:val="24"/>
        </w:rPr>
        <w:t xml:space="preserve"> </w:t>
      </w:r>
      <w:r w:rsidRPr="00D4568C">
        <w:rPr>
          <w:rFonts w:asciiTheme="majorHAnsi" w:hAnsiTheme="majorHAnsi"/>
          <w:b/>
          <w:sz w:val="24"/>
          <w:szCs w:val="24"/>
        </w:rPr>
        <w:t>IF</w:t>
      </w:r>
      <w:r>
        <w:rPr>
          <w:rFonts w:asciiTheme="majorHAnsi" w:hAnsiTheme="majorHAnsi"/>
        </w:rPr>
        <w:t xml:space="preserve"> improvements occur in:</w:t>
      </w:r>
    </w:p>
    <w:p w14:paraId="03C6175D" w14:textId="77777777" w:rsidR="002A29D9" w:rsidRPr="00352C09" w:rsidRDefault="002A29D9" w:rsidP="007701F5">
      <w:pPr>
        <w:pStyle w:val="ListParagraph"/>
        <w:numPr>
          <w:ilvl w:val="0"/>
          <w:numId w:val="26"/>
        </w:numPr>
        <w:spacing w:after="120" w:line="240" w:lineRule="auto"/>
        <w:rPr>
          <w:rFonts w:asciiTheme="majorHAnsi" w:hAnsiTheme="majorHAnsi"/>
        </w:rPr>
      </w:pPr>
      <w:r w:rsidRPr="00352C09">
        <w:rPr>
          <w:rFonts w:asciiTheme="majorHAnsi" w:hAnsiTheme="majorHAnsi"/>
        </w:rPr>
        <w:t xml:space="preserve">Detection and investigative capability through infrastructure, resources and organisational reform to establish a specialised unit – this will be needed to respond to organised and transnational </w:t>
      </w:r>
      <w:proofErr w:type="gramStart"/>
      <w:r w:rsidRPr="00352C09">
        <w:rPr>
          <w:rFonts w:asciiTheme="majorHAnsi" w:hAnsiTheme="majorHAnsi"/>
        </w:rPr>
        <w:t>crime;</w:t>
      </w:r>
      <w:proofErr w:type="gramEnd"/>
    </w:p>
    <w:p w14:paraId="617AF2F2" w14:textId="77777777" w:rsidR="002A29D9" w:rsidRPr="00352C09" w:rsidRDefault="002A29D9" w:rsidP="007701F5">
      <w:pPr>
        <w:pStyle w:val="ListParagraph"/>
        <w:numPr>
          <w:ilvl w:val="0"/>
          <w:numId w:val="26"/>
        </w:numPr>
        <w:spacing w:after="120" w:line="240" w:lineRule="auto"/>
        <w:rPr>
          <w:rFonts w:asciiTheme="majorHAnsi" w:hAnsiTheme="majorHAnsi"/>
        </w:rPr>
      </w:pPr>
      <w:r w:rsidRPr="00352C09">
        <w:rPr>
          <w:rFonts w:asciiTheme="majorHAnsi" w:hAnsiTheme="majorHAnsi"/>
        </w:rPr>
        <w:t xml:space="preserve">Specialised investigation training – to ensure that PNTL officers are provided with the skills and knowledge needed to effectively investigate complex crime, such as transnational and organised </w:t>
      </w:r>
      <w:proofErr w:type="gramStart"/>
      <w:r w:rsidRPr="00352C09">
        <w:rPr>
          <w:rFonts w:asciiTheme="majorHAnsi" w:hAnsiTheme="majorHAnsi"/>
        </w:rPr>
        <w:t>crime;</w:t>
      </w:r>
      <w:proofErr w:type="gramEnd"/>
    </w:p>
    <w:p w14:paraId="44C7158A" w14:textId="194A2D15" w:rsidR="002A29D9" w:rsidRPr="00352C09" w:rsidRDefault="002A29D9" w:rsidP="007701F5">
      <w:pPr>
        <w:pStyle w:val="ListParagraph"/>
        <w:numPr>
          <w:ilvl w:val="0"/>
          <w:numId w:val="26"/>
        </w:numPr>
        <w:spacing w:after="120" w:line="240" w:lineRule="auto"/>
        <w:rPr>
          <w:rFonts w:asciiTheme="majorHAnsi" w:hAnsiTheme="majorHAnsi"/>
        </w:rPr>
      </w:pPr>
      <w:r w:rsidRPr="00352C09">
        <w:rPr>
          <w:rFonts w:asciiTheme="majorHAnsi" w:hAnsiTheme="majorHAnsi"/>
        </w:rPr>
        <w:t xml:space="preserve">Victim response capability – </w:t>
      </w:r>
      <w:r w:rsidR="003B2215">
        <w:rPr>
          <w:rFonts w:asciiTheme="majorHAnsi" w:hAnsiTheme="majorHAnsi"/>
        </w:rPr>
        <w:t>improvements in this area will provide improved investigational capability and</w:t>
      </w:r>
      <w:r w:rsidRPr="00352C09">
        <w:rPr>
          <w:rFonts w:asciiTheme="majorHAnsi" w:hAnsiTheme="majorHAnsi"/>
        </w:rPr>
        <w:t xml:space="preserve"> support </w:t>
      </w:r>
      <w:r w:rsidR="003B2215">
        <w:rPr>
          <w:rFonts w:asciiTheme="majorHAnsi" w:hAnsiTheme="majorHAnsi"/>
        </w:rPr>
        <w:t>to</w:t>
      </w:r>
      <w:r w:rsidR="003B2215" w:rsidRPr="00352C09">
        <w:rPr>
          <w:rFonts w:asciiTheme="majorHAnsi" w:hAnsiTheme="majorHAnsi"/>
        </w:rPr>
        <w:t xml:space="preserve"> </w:t>
      </w:r>
      <w:proofErr w:type="gramStart"/>
      <w:r w:rsidRPr="00352C09">
        <w:rPr>
          <w:rFonts w:asciiTheme="majorHAnsi" w:hAnsiTheme="majorHAnsi"/>
        </w:rPr>
        <w:t>victims</w:t>
      </w:r>
      <w:r w:rsidR="00AD762A">
        <w:rPr>
          <w:rFonts w:asciiTheme="majorHAnsi" w:hAnsiTheme="majorHAnsi"/>
        </w:rPr>
        <w:t>(</w:t>
      </w:r>
      <w:proofErr w:type="gramEnd"/>
      <w:r w:rsidR="00AD762A">
        <w:rPr>
          <w:rFonts w:asciiTheme="majorHAnsi" w:hAnsiTheme="majorHAnsi"/>
        </w:rPr>
        <w:t>including vulnerable people)</w:t>
      </w:r>
      <w:r w:rsidRPr="00352C09">
        <w:rPr>
          <w:rFonts w:asciiTheme="majorHAnsi" w:hAnsiTheme="majorHAnsi"/>
        </w:rPr>
        <w:t xml:space="preserve"> of </w:t>
      </w:r>
      <w:r w:rsidR="0020514F">
        <w:rPr>
          <w:rFonts w:asciiTheme="majorHAnsi" w:hAnsiTheme="majorHAnsi"/>
        </w:rPr>
        <w:t xml:space="preserve">GBV and other </w:t>
      </w:r>
      <w:r w:rsidRPr="00352C09">
        <w:rPr>
          <w:rFonts w:asciiTheme="majorHAnsi" w:hAnsiTheme="majorHAnsi"/>
        </w:rPr>
        <w:t>gender</w:t>
      </w:r>
      <w:r w:rsidR="0020514F">
        <w:rPr>
          <w:rFonts w:asciiTheme="majorHAnsi" w:hAnsiTheme="majorHAnsi"/>
        </w:rPr>
        <w:t xml:space="preserve"> related crime</w:t>
      </w:r>
      <w:r w:rsidRPr="00352C09">
        <w:rPr>
          <w:rFonts w:asciiTheme="majorHAnsi" w:hAnsiTheme="majorHAnsi"/>
        </w:rPr>
        <w:t>; and</w:t>
      </w:r>
    </w:p>
    <w:p w14:paraId="249230FE" w14:textId="3338BE9D" w:rsidR="002A29D9" w:rsidRDefault="002A29D9" w:rsidP="007701F5">
      <w:pPr>
        <w:pStyle w:val="ListParagraph"/>
        <w:numPr>
          <w:ilvl w:val="0"/>
          <w:numId w:val="26"/>
        </w:numPr>
        <w:spacing w:after="120" w:line="240" w:lineRule="auto"/>
        <w:rPr>
          <w:rFonts w:asciiTheme="majorHAnsi" w:hAnsiTheme="majorHAnsi"/>
        </w:rPr>
      </w:pPr>
      <w:r w:rsidRPr="00352C09">
        <w:rPr>
          <w:rFonts w:asciiTheme="majorHAnsi" w:hAnsiTheme="majorHAnsi"/>
        </w:rPr>
        <w:t>Community engagement and inter-agency collaboration – this is needed to ensure a joint-approach to address Timor-Leste’s crime vulnerabilities.</w:t>
      </w:r>
    </w:p>
    <w:p w14:paraId="176E3C4B" w14:textId="7704ADB7" w:rsidR="002A29D9" w:rsidRDefault="00E55D6C" w:rsidP="007701F5">
      <w:pPr>
        <w:spacing w:after="120" w:line="240" w:lineRule="auto"/>
      </w:pPr>
      <w:r>
        <w:rPr>
          <w:rFonts w:asciiTheme="majorHAnsi" w:hAnsiTheme="majorHAnsi"/>
          <w:noProof/>
          <w:lang w:eastAsia="en-AU"/>
        </w:rPr>
        <mc:AlternateContent>
          <mc:Choice Requires="wps">
            <w:drawing>
              <wp:inline distT="0" distB="0" distL="0" distR="0" wp14:anchorId="098931C1" wp14:editId="6F467EB8">
                <wp:extent cx="0" cy="619125"/>
                <wp:effectExtent l="57150" t="0" r="57150" b="47625"/>
                <wp:docPr id="6" name="Straight Arrow Connector 6" descr="Arrow from improvement areas towards improved outcomes "/>
                <wp:cNvGraphicFramePr/>
                <a:graphic xmlns:a="http://schemas.openxmlformats.org/drawingml/2006/main">
                  <a:graphicData uri="http://schemas.microsoft.com/office/word/2010/wordprocessingShape">
                    <wps:wsp>
                      <wps:cNvCnPr/>
                      <wps:spPr>
                        <a:xfrm>
                          <a:off x="0" y="0"/>
                          <a:ext cx="0" cy="619125"/>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shape w14:anchorId="23BE84A8" id="Straight Arrow Connector 6" o:spid="_x0000_s1026" type="#_x0000_t32" alt="Arrow from improvement areas towards improved outcomes " style="width:0;height:48.7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" strokecolor="black [3213]" strokeweight="2.25pt">
                <v:stroke endarrow="open"/>
                <w10:anchorlock/>
              </v:shape>
            </w:pict>
          </mc:Fallback>
        </mc:AlternateContent>
      </w:r>
    </w:p>
    <w:p w14:paraId="7B0BCFAD" w14:textId="77777777" w:rsidR="002A29D9" w:rsidRPr="005332A7" w:rsidRDefault="002A29D9" w:rsidP="007701F5">
      <w:pPr>
        <w:spacing w:after="120" w:line="240" w:lineRule="auto"/>
      </w:pPr>
      <w:r w:rsidRPr="005332A7">
        <w:rPr>
          <w:b/>
          <w:sz w:val="24"/>
          <w:szCs w:val="24"/>
        </w:rPr>
        <w:t>THEN</w:t>
      </w:r>
      <w:r w:rsidRPr="005332A7">
        <w:t xml:space="preserve"> the PNTL should improve their:</w:t>
      </w:r>
    </w:p>
    <w:p w14:paraId="0F2B162A" w14:textId="77777777" w:rsidR="002A29D9" w:rsidRPr="005332A7" w:rsidRDefault="002A29D9" w:rsidP="007701F5">
      <w:pPr>
        <w:pStyle w:val="ListParagraph"/>
        <w:numPr>
          <w:ilvl w:val="0"/>
          <w:numId w:val="26"/>
        </w:numPr>
        <w:spacing w:after="120" w:line="240" w:lineRule="auto"/>
      </w:pPr>
      <w:r w:rsidRPr="005332A7">
        <w:t xml:space="preserve">Capacity to detect and investigate organised and transnational </w:t>
      </w:r>
      <w:proofErr w:type="gramStart"/>
      <w:r w:rsidRPr="005332A7">
        <w:t>crime;</w:t>
      </w:r>
      <w:proofErr w:type="gramEnd"/>
    </w:p>
    <w:p w14:paraId="02FDF58B" w14:textId="22C27613" w:rsidR="002A29D9" w:rsidRPr="005332A7" w:rsidRDefault="002A29D9" w:rsidP="007701F5">
      <w:pPr>
        <w:pStyle w:val="ListParagraph"/>
        <w:numPr>
          <w:ilvl w:val="0"/>
          <w:numId w:val="26"/>
        </w:numPr>
        <w:spacing w:after="120" w:line="240" w:lineRule="auto"/>
      </w:pPr>
      <w:r w:rsidRPr="005332A7">
        <w:t>Capacity to respond to the victims</w:t>
      </w:r>
      <w:r w:rsidR="00AD762A">
        <w:t xml:space="preserve"> </w:t>
      </w:r>
      <w:r w:rsidR="00750F2A">
        <w:t>(including Vulnerable people)</w:t>
      </w:r>
      <w:r w:rsidRPr="005332A7">
        <w:t xml:space="preserve"> of </w:t>
      </w:r>
      <w:r w:rsidR="00750F2A">
        <w:t xml:space="preserve">all </w:t>
      </w:r>
      <w:r w:rsidRPr="005332A7">
        <w:t>gender</w:t>
      </w:r>
      <w:r w:rsidR="00BF0AF8">
        <w:t xml:space="preserve"> related </w:t>
      </w:r>
      <w:proofErr w:type="gramStart"/>
      <w:r w:rsidR="00750F2A">
        <w:t xml:space="preserve">crime </w:t>
      </w:r>
      <w:r w:rsidR="00750F2A" w:rsidRPr="005332A7">
        <w:t xml:space="preserve"> </w:t>
      </w:r>
      <w:r w:rsidR="00750F2A">
        <w:t>types</w:t>
      </w:r>
      <w:proofErr w:type="gramEnd"/>
      <w:r w:rsidR="00750F2A">
        <w:t xml:space="preserve"> </w:t>
      </w:r>
      <w:r w:rsidRPr="005332A7">
        <w:t>; and</w:t>
      </w:r>
    </w:p>
    <w:p w14:paraId="63C19662" w14:textId="77777777" w:rsidR="002A29D9" w:rsidRPr="005332A7" w:rsidRDefault="002A29D9" w:rsidP="007701F5">
      <w:pPr>
        <w:pStyle w:val="ListParagraph"/>
        <w:numPr>
          <w:ilvl w:val="0"/>
          <w:numId w:val="26"/>
        </w:numPr>
        <w:spacing w:after="120" w:line="240" w:lineRule="auto"/>
      </w:pPr>
      <w:r w:rsidRPr="005332A7">
        <w:t>Engagement and collaboration with community groups and partners to strengthen capacity to provide responsive policing services.</w:t>
      </w:r>
      <w:r w:rsidRPr="005332A7">
        <w:rPr>
          <w:i/>
        </w:rPr>
        <w:t xml:space="preserve"> </w:t>
      </w:r>
    </w:p>
    <w:p w14:paraId="30BD289E" w14:textId="77777777" w:rsidR="00CB30A9" w:rsidRPr="00F27FE0" w:rsidRDefault="00CB30A9" w:rsidP="007701F5">
      <w:pPr>
        <w:spacing w:after="120" w:line="240" w:lineRule="auto"/>
        <w:rPr>
          <w:rFonts w:asciiTheme="majorHAnsi" w:hAnsiTheme="majorHAnsi"/>
          <w:i/>
          <w:color w:val="4F81BD" w:themeColor="accent1"/>
        </w:rPr>
      </w:pPr>
      <w:r w:rsidRPr="00167A66">
        <w:rPr>
          <w:rFonts w:asciiTheme="majorHAnsi" w:hAnsiTheme="majorHAnsi"/>
          <w:i/>
          <w:color w:val="3E607E"/>
        </w:rPr>
        <w:t>Activity 3.1: Create a domestic Transnational Crime capability</w:t>
      </w:r>
    </w:p>
    <w:p w14:paraId="63CBF9F5" w14:textId="77777777" w:rsidR="00CB30A9" w:rsidRPr="00F27FE0" w:rsidRDefault="00CB30A9" w:rsidP="007701F5">
      <w:pPr>
        <w:spacing w:after="120" w:line="240" w:lineRule="auto"/>
        <w:rPr>
          <w:rFonts w:asciiTheme="majorHAnsi" w:hAnsiTheme="majorHAnsi"/>
        </w:rPr>
      </w:pPr>
      <w:r w:rsidRPr="00F27FE0">
        <w:rPr>
          <w:rFonts w:asciiTheme="majorHAnsi" w:hAnsiTheme="majorHAnsi"/>
        </w:rPr>
        <w:t xml:space="preserve">The first activity of this component is the establishment of a function within PNTL tasked specifically with addressing the threat of transnational crime. This will include the capacity to investigate complex crime and liaise with counterparts in other </w:t>
      </w:r>
      <w:proofErr w:type="spellStart"/>
      <w:r w:rsidRPr="00F27FE0">
        <w:rPr>
          <w:rFonts w:asciiTheme="majorHAnsi" w:hAnsiTheme="majorHAnsi"/>
        </w:rPr>
        <w:t>GoDRTL</w:t>
      </w:r>
      <w:proofErr w:type="spellEnd"/>
      <w:r w:rsidRPr="00F27FE0">
        <w:rPr>
          <w:rFonts w:asciiTheme="majorHAnsi" w:hAnsiTheme="majorHAnsi"/>
        </w:rPr>
        <w:t xml:space="preserve"> agencies and partner agencies in the region. The TLPDP will focus on:</w:t>
      </w:r>
    </w:p>
    <w:p w14:paraId="23410D90" w14:textId="7E79776C" w:rsidR="00CB30A9" w:rsidRPr="00F27FE0" w:rsidRDefault="00CB30A9" w:rsidP="007701F5">
      <w:pPr>
        <w:pStyle w:val="ListParagraph"/>
        <w:numPr>
          <w:ilvl w:val="0"/>
          <w:numId w:val="36"/>
        </w:numPr>
        <w:spacing w:after="120" w:line="240" w:lineRule="auto"/>
        <w:rPr>
          <w:rFonts w:asciiTheme="majorHAnsi" w:eastAsia="Times New Roman" w:hAnsiTheme="majorHAnsi" w:cs="Arial"/>
          <w:lang w:val="en-US" w:eastAsia="en-AU"/>
        </w:rPr>
      </w:pPr>
      <w:r w:rsidRPr="00F27FE0">
        <w:rPr>
          <w:rFonts w:asciiTheme="majorHAnsi" w:eastAsia="Times New Roman" w:hAnsiTheme="majorHAnsi" w:cs="Arial"/>
          <w:lang w:val="en-US" w:eastAsia="en-AU"/>
        </w:rPr>
        <w:t xml:space="preserve">Governance support for the legislative and administrative arrangements required to establish a Transnational Crime </w:t>
      </w:r>
      <w:proofErr w:type="gramStart"/>
      <w:r w:rsidRPr="00F27FE0">
        <w:rPr>
          <w:rFonts w:asciiTheme="majorHAnsi" w:eastAsia="Times New Roman" w:hAnsiTheme="majorHAnsi" w:cs="Arial"/>
          <w:lang w:val="en-US" w:eastAsia="en-AU"/>
        </w:rPr>
        <w:t>Unit</w:t>
      </w:r>
      <w:r w:rsidR="00D11998" w:rsidRPr="00F27FE0">
        <w:rPr>
          <w:rFonts w:asciiTheme="majorHAnsi" w:eastAsia="Times New Roman" w:hAnsiTheme="majorHAnsi" w:cs="Arial"/>
          <w:lang w:val="en-US" w:eastAsia="en-AU"/>
        </w:rPr>
        <w:t>;</w:t>
      </w:r>
      <w:proofErr w:type="gramEnd"/>
    </w:p>
    <w:p w14:paraId="11B213D3" w14:textId="14E77621" w:rsidR="00CB30A9" w:rsidRPr="00F27FE0" w:rsidRDefault="00CB30A9" w:rsidP="007701F5">
      <w:pPr>
        <w:pStyle w:val="ListParagraph"/>
        <w:numPr>
          <w:ilvl w:val="0"/>
          <w:numId w:val="36"/>
        </w:numPr>
        <w:spacing w:after="120" w:line="240" w:lineRule="auto"/>
        <w:rPr>
          <w:rFonts w:asciiTheme="majorHAnsi" w:eastAsia="Times New Roman" w:hAnsiTheme="majorHAnsi" w:cs="Arial"/>
          <w:lang w:val="en-US" w:eastAsia="en-AU"/>
        </w:rPr>
      </w:pPr>
      <w:r w:rsidRPr="00F27FE0">
        <w:rPr>
          <w:rFonts w:asciiTheme="majorHAnsi" w:eastAsia="Times New Roman" w:hAnsiTheme="majorHAnsi" w:cs="Arial"/>
          <w:lang w:val="en-US" w:eastAsia="en-AU"/>
        </w:rPr>
        <w:t xml:space="preserve">Promoting intelligence-investigation </w:t>
      </w:r>
      <w:proofErr w:type="gramStart"/>
      <w:r w:rsidRPr="00F27FE0">
        <w:rPr>
          <w:rFonts w:asciiTheme="majorHAnsi" w:eastAsia="Times New Roman" w:hAnsiTheme="majorHAnsi" w:cs="Arial"/>
          <w:lang w:val="en-US" w:eastAsia="en-AU"/>
        </w:rPr>
        <w:t>linkages</w:t>
      </w:r>
      <w:r w:rsidR="00D11998" w:rsidRPr="00F27FE0">
        <w:rPr>
          <w:rFonts w:asciiTheme="majorHAnsi" w:eastAsia="Times New Roman" w:hAnsiTheme="majorHAnsi" w:cs="Arial"/>
          <w:lang w:val="en-US" w:eastAsia="en-AU"/>
        </w:rPr>
        <w:t>;</w:t>
      </w:r>
      <w:proofErr w:type="gramEnd"/>
    </w:p>
    <w:p w14:paraId="77AF3634" w14:textId="0EAB8843" w:rsidR="00CB30A9" w:rsidRPr="00F27FE0" w:rsidRDefault="00CB30A9" w:rsidP="007701F5">
      <w:pPr>
        <w:pStyle w:val="ListParagraph"/>
        <w:numPr>
          <w:ilvl w:val="0"/>
          <w:numId w:val="36"/>
        </w:numPr>
        <w:spacing w:after="120" w:line="240" w:lineRule="auto"/>
        <w:rPr>
          <w:rFonts w:asciiTheme="majorHAnsi" w:eastAsia="Times New Roman" w:hAnsiTheme="majorHAnsi" w:cs="Arial"/>
          <w:lang w:val="en-US" w:eastAsia="en-AU"/>
        </w:rPr>
      </w:pPr>
      <w:r w:rsidRPr="00F27FE0">
        <w:rPr>
          <w:rFonts w:asciiTheme="majorHAnsi" w:eastAsia="Times New Roman" w:hAnsiTheme="majorHAnsi" w:cs="Arial"/>
          <w:lang w:val="en-US" w:eastAsia="en-AU"/>
        </w:rPr>
        <w:t>Transnational crime investigations training</w:t>
      </w:r>
      <w:r w:rsidR="00D11998" w:rsidRPr="00F27FE0">
        <w:rPr>
          <w:rFonts w:asciiTheme="majorHAnsi" w:eastAsia="Times New Roman" w:hAnsiTheme="majorHAnsi" w:cs="Arial"/>
          <w:lang w:val="en-US" w:eastAsia="en-AU"/>
        </w:rPr>
        <w:t>; and</w:t>
      </w:r>
    </w:p>
    <w:p w14:paraId="17BF5DB5" w14:textId="77777777" w:rsidR="00CB30A9" w:rsidRPr="00F27FE0" w:rsidRDefault="00CB30A9" w:rsidP="007701F5">
      <w:pPr>
        <w:pStyle w:val="ListParagraph"/>
        <w:numPr>
          <w:ilvl w:val="0"/>
          <w:numId w:val="36"/>
        </w:numPr>
        <w:spacing w:after="120" w:line="240" w:lineRule="auto"/>
        <w:rPr>
          <w:rFonts w:asciiTheme="majorHAnsi" w:eastAsia="Times New Roman" w:hAnsiTheme="majorHAnsi" w:cs="Arial"/>
          <w:lang w:val="en-US" w:eastAsia="en-AU"/>
        </w:rPr>
      </w:pPr>
      <w:r w:rsidRPr="00F27FE0">
        <w:rPr>
          <w:rFonts w:asciiTheme="majorHAnsi" w:eastAsia="Times New Roman" w:hAnsiTheme="majorHAnsi" w:cs="Arial"/>
          <w:lang w:val="en-US" w:eastAsia="en-AU"/>
        </w:rPr>
        <w:t>Promoting interagency collaboration.</w:t>
      </w:r>
    </w:p>
    <w:p w14:paraId="237AA320" w14:textId="77777777" w:rsidR="00CB30A9" w:rsidRPr="00F27FE0" w:rsidRDefault="00CB30A9" w:rsidP="007701F5">
      <w:pPr>
        <w:spacing w:after="120" w:line="240" w:lineRule="auto"/>
        <w:rPr>
          <w:rFonts w:asciiTheme="majorHAnsi" w:hAnsiTheme="majorHAnsi"/>
        </w:rPr>
      </w:pPr>
      <w:r w:rsidRPr="00F27FE0">
        <w:rPr>
          <w:rFonts w:asciiTheme="majorHAnsi" w:hAnsiTheme="majorHAnsi"/>
        </w:rPr>
        <w:t>Likely aid modalities to support this activity are:</w:t>
      </w:r>
    </w:p>
    <w:p w14:paraId="0EC3D424" w14:textId="0DDF74B4" w:rsidR="00CB30A9" w:rsidRDefault="00CB30A9" w:rsidP="007701F5">
      <w:pPr>
        <w:pStyle w:val="ListParagraph"/>
        <w:numPr>
          <w:ilvl w:val="0"/>
          <w:numId w:val="33"/>
        </w:numPr>
        <w:spacing w:after="120" w:line="240" w:lineRule="auto"/>
        <w:rPr>
          <w:rFonts w:asciiTheme="majorHAnsi" w:eastAsia="Times New Roman" w:hAnsiTheme="majorHAnsi" w:cs="Arial"/>
          <w:lang w:val="en-US" w:eastAsia="en-AU"/>
        </w:rPr>
      </w:pPr>
      <w:r w:rsidRPr="00F27FE0">
        <w:rPr>
          <w:rFonts w:asciiTheme="majorHAnsi" w:eastAsia="Times New Roman" w:hAnsiTheme="majorHAnsi" w:cs="Arial"/>
          <w:lang w:val="en-US" w:eastAsia="en-AU"/>
        </w:rPr>
        <w:t xml:space="preserve">Adviser </w:t>
      </w:r>
      <w:proofErr w:type="gramStart"/>
      <w:r w:rsidRPr="00F27FE0">
        <w:rPr>
          <w:rFonts w:asciiTheme="majorHAnsi" w:eastAsia="Times New Roman" w:hAnsiTheme="majorHAnsi" w:cs="Arial"/>
          <w:lang w:val="en-US" w:eastAsia="en-AU"/>
        </w:rPr>
        <w:t>support</w:t>
      </w:r>
      <w:r w:rsidR="00D11998" w:rsidRPr="00F27FE0">
        <w:rPr>
          <w:rFonts w:asciiTheme="majorHAnsi" w:eastAsia="Times New Roman" w:hAnsiTheme="majorHAnsi" w:cs="Arial"/>
          <w:lang w:val="en-US" w:eastAsia="en-AU"/>
        </w:rPr>
        <w:t>;</w:t>
      </w:r>
      <w:proofErr w:type="gramEnd"/>
    </w:p>
    <w:p w14:paraId="0513E63B" w14:textId="552C9BF2" w:rsidR="00FF1232" w:rsidRPr="00940239" w:rsidRDefault="00FF1232" w:rsidP="007701F5">
      <w:pPr>
        <w:pStyle w:val="ListParagraph"/>
        <w:numPr>
          <w:ilvl w:val="0"/>
          <w:numId w:val="33"/>
        </w:numPr>
        <w:spacing w:after="120" w:line="240" w:lineRule="auto"/>
        <w:rPr>
          <w:rFonts w:asciiTheme="majorHAnsi" w:hAnsiTheme="majorHAnsi"/>
        </w:rPr>
      </w:pPr>
      <w:r w:rsidRPr="00352C09">
        <w:rPr>
          <w:rFonts w:asciiTheme="majorHAnsi" w:hAnsiTheme="majorHAnsi"/>
        </w:rPr>
        <w:t>Limited supply of goods (assets, equipmen</w:t>
      </w:r>
      <w:r>
        <w:rPr>
          <w:rFonts w:asciiTheme="majorHAnsi" w:hAnsiTheme="majorHAnsi"/>
        </w:rPr>
        <w:t>t and infrastructure; services</w:t>
      </w:r>
      <w:proofErr w:type="gramStart"/>
      <w:r>
        <w:rPr>
          <w:rFonts w:asciiTheme="majorHAnsi" w:hAnsiTheme="majorHAnsi"/>
        </w:rPr>
        <w:t>);</w:t>
      </w:r>
      <w:proofErr w:type="gramEnd"/>
    </w:p>
    <w:p w14:paraId="09AE3369" w14:textId="62F16AB1" w:rsidR="00CB30A9" w:rsidRPr="00F27FE0" w:rsidRDefault="00CB30A9" w:rsidP="007701F5">
      <w:pPr>
        <w:pStyle w:val="ListParagraph"/>
        <w:numPr>
          <w:ilvl w:val="0"/>
          <w:numId w:val="33"/>
        </w:numPr>
        <w:spacing w:after="120" w:line="240" w:lineRule="auto"/>
        <w:rPr>
          <w:rFonts w:asciiTheme="majorHAnsi" w:eastAsia="Times New Roman" w:hAnsiTheme="majorHAnsi" w:cs="Arial"/>
          <w:lang w:val="en-US" w:eastAsia="en-AU"/>
        </w:rPr>
      </w:pPr>
      <w:r w:rsidRPr="00F27FE0">
        <w:rPr>
          <w:rFonts w:asciiTheme="majorHAnsi" w:eastAsia="Times New Roman" w:hAnsiTheme="majorHAnsi" w:cs="Arial"/>
          <w:lang w:val="en-US" w:eastAsia="en-AU"/>
        </w:rPr>
        <w:t>Training of trainers</w:t>
      </w:r>
      <w:r w:rsidR="00E85FA4">
        <w:rPr>
          <w:rFonts w:asciiTheme="majorHAnsi" w:eastAsia="Times New Roman" w:hAnsiTheme="majorHAnsi" w:cs="Arial"/>
          <w:lang w:val="en-US" w:eastAsia="en-AU"/>
        </w:rPr>
        <w:t>;</w:t>
      </w:r>
      <w:r w:rsidR="00D11998" w:rsidRPr="00F27FE0">
        <w:rPr>
          <w:rFonts w:asciiTheme="majorHAnsi" w:eastAsia="Times New Roman" w:hAnsiTheme="majorHAnsi" w:cs="Arial"/>
          <w:lang w:val="en-US" w:eastAsia="en-AU"/>
        </w:rPr>
        <w:t xml:space="preserve"> and</w:t>
      </w:r>
    </w:p>
    <w:p w14:paraId="7073F704" w14:textId="6064D1E6" w:rsidR="00CB30A9" w:rsidRPr="00940239" w:rsidRDefault="00CB30A9" w:rsidP="007701F5">
      <w:pPr>
        <w:pStyle w:val="ListParagraph"/>
        <w:numPr>
          <w:ilvl w:val="0"/>
          <w:numId w:val="33"/>
        </w:numPr>
        <w:spacing w:after="120" w:line="240" w:lineRule="auto"/>
        <w:rPr>
          <w:rFonts w:asciiTheme="majorHAnsi" w:hAnsiTheme="majorHAnsi"/>
        </w:rPr>
      </w:pPr>
      <w:r w:rsidRPr="00F27FE0">
        <w:rPr>
          <w:rFonts w:asciiTheme="majorHAnsi" w:eastAsia="Times New Roman" w:hAnsiTheme="majorHAnsi" w:cs="Arial"/>
          <w:lang w:val="en-US" w:eastAsia="en-AU"/>
        </w:rPr>
        <w:t>Workshops and conferences</w:t>
      </w:r>
      <w:r w:rsidR="00D11998" w:rsidRPr="00F27FE0">
        <w:rPr>
          <w:rFonts w:asciiTheme="majorHAnsi" w:eastAsia="Times New Roman" w:hAnsiTheme="majorHAnsi" w:cs="Arial"/>
          <w:lang w:val="en-US" w:eastAsia="en-AU"/>
        </w:rPr>
        <w:t>.</w:t>
      </w:r>
    </w:p>
    <w:p w14:paraId="2BD8485E" w14:textId="77777777" w:rsidR="00CB30A9" w:rsidRPr="00CF1FDE" w:rsidRDefault="00CB30A9" w:rsidP="007701F5">
      <w:pPr>
        <w:spacing w:after="120" w:line="240" w:lineRule="auto"/>
        <w:rPr>
          <w:rFonts w:asciiTheme="majorHAnsi" w:hAnsiTheme="majorHAnsi"/>
          <w:i/>
          <w:color w:val="3E607E"/>
        </w:rPr>
      </w:pPr>
      <w:r w:rsidRPr="00CF1FDE">
        <w:rPr>
          <w:rFonts w:asciiTheme="majorHAnsi" w:hAnsiTheme="majorHAnsi"/>
          <w:i/>
          <w:color w:val="3E607E"/>
        </w:rPr>
        <w:t>Activity 3.2: Support the PNTL Vulnerable Persons Unit (VPU)</w:t>
      </w:r>
    </w:p>
    <w:p w14:paraId="235D17FD" w14:textId="30D1E7E5" w:rsidR="00CB30A9" w:rsidRPr="005332A7" w:rsidRDefault="00CB30A9" w:rsidP="007701F5">
      <w:pPr>
        <w:spacing w:after="120" w:line="240" w:lineRule="auto"/>
      </w:pPr>
      <w:r w:rsidRPr="005332A7">
        <w:t xml:space="preserve">The second activity of this component is the continuation of support to assist PNTL in addressing Gender Based Violence (GBV). This activity will take </w:t>
      </w:r>
      <w:r w:rsidR="00305C14" w:rsidRPr="005332A7">
        <w:t xml:space="preserve">the </w:t>
      </w:r>
      <w:r w:rsidRPr="005332A7">
        <w:t>form of technical advice to reinforce victim support mechanisms, develop core policing skills for members of the VPU and to improve community awareness</w:t>
      </w:r>
      <w:r w:rsidR="00305C14" w:rsidRPr="005332A7">
        <w:t xml:space="preserve"> (</w:t>
      </w:r>
      <w:r w:rsidR="00504C5F">
        <w:t>this includes addressing</w:t>
      </w:r>
      <w:r w:rsidR="00305C14" w:rsidRPr="005332A7">
        <w:t xml:space="preserve"> attitudes that domestic violence is best resolved within the family and the community). </w:t>
      </w:r>
      <w:r w:rsidRPr="005332A7">
        <w:t xml:space="preserve"> The TLPDP will focus on:</w:t>
      </w:r>
    </w:p>
    <w:p w14:paraId="456E1695" w14:textId="45768237" w:rsidR="00CB30A9" w:rsidRPr="005332A7" w:rsidRDefault="00CB30A9" w:rsidP="007701F5">
      <w:pPr>
        <w:pStyle w:val="ListParagraph"/>
        <w:numPr>
          <w:ilvl w:val="0"/>
          <w:numId w:val="37"/>
        </w:numPr>
        <w:spacing w:after="120" w:line="240" w:lineRule="auto"/>
        <w:rPr>
          <w:rFonts w:eastAsia="Times New Roman" w:cs="Arial"/>
          <w:lang w:val="en-US" w:eastAsia="en-AU"/>
        </w:rPr>
      </w:pPr>
      <w:r w:rsidRPr="005332A7">
        <w:rPr>
          <w:rFonts w:eastAsia="Times New Roman" w:cs="Arial"/>
          <w:lang w:val="en-US" w:eastAsia="en-AU"/>
        </w:rPr>
        <w:t xml:space="preserve">Promoting community </w:t>
      </w:r>
      <w:proofErr w:type="gramStart"/>
      <w:r w:rsidRPr="005332A7">
        <w:rPr>
          <w:rFonts w:eastAsia="Times New Roman" w:cs="Arial"/>
          <w:lang w:val="en-US" w:eastAsia="en-AU"/>
        </w:rPr>
        <w:t>engagement</w:t>
      </w:r>
      <w:r w:rsidR="00D11998" w:rsidRPr="005332A7">
        <w:rPr>
          <w:rFonts w:eastAsia="Times New Roman" w:cs="Arial"/>
          <w:lang w:val="en-US" w:eastAsia="en-AU"/>
        </w:rPr>
        <w:t>;</w:t>
      </w:r>
      <w:proofErr w:type="gramEnd"/>
    </w:p>
    <w:p w14:paraId="2B652B85" w14:textId="6E6E6479" w:rsidR="00CB30A9" w:rsidRPr="005332A7" w:rsidRDefault="00CB30A9" w:rsidP="007701F5">
      <w:pPr>
        <w:pStyle w:val="ListParagraph"/>
        <w:numPr>
          <w:ilvl w:val="0"/>
          <w:numId w:val="37"/>
        </w:numPr>
        <w:spacing w:after="120" w:line="240" w:lineRule="auto"/>
        <w:rPr>
          <w:rFonts w:eastAsia="Times New Roman" w:cs="Arial"/>
          <w:lang w:val="en-US" w:eastAsia="en-AU"/>
        </w:rPr>
      </w:pPr>
      <w:r w:rsidRPr="005332A7">
        <w:rPr>
          <w:rFonts w:eastAsia="Times New Roman" w:cs="Arial"/>
          <w:lang w:val="en-US" w:eastAsia="en-AU"/>
        </w:rPr>
        <w:t>Support improvements to the VPU</w:t>
      </w:r>
      <w:r w:rsidR="00D11998" w:rsidRPr="005332A7">
        <w:rPr>
          <w:rFonts w:eastAsia="Times New Roman" w:cs="Arial"/>
          <w:lang w:val="en-US" w:eastAsia="en-AU"/>
        </w:rPr>
        <w:t>; and</w:t>
      </w:r>
    </w:p>
    <w:p w14:paraId="63435B8A" w14:textId="77777777" w:rsidR="00CB30A9" w:rsidRPr="005332A7" w:rsidRDefault="00CB30A9" w:rsidP="007701F5">
      <w:pPr>
        <w:pStyle w:val="ListParagraph"/>
        <w:numPr>
          <w:ilvl w:val="0"/>
          <w:numId w:val="37"/>
        </w:numPr>
        <w:spacing w:after="120" w:line="240" w:lineRule="auto"/>
      </w:pPr>
      <w:r w:rsidRPr="005332A7">
        <w:rPr>
          <w:rFonts w:eastAsia="Times New Roman" w:cs="Arial"/>
          <w:lang w:val="en-US" w:eastAsia="en-AU"/>
        </w:rPr>
        <w:lastRenderedPageBreak/>
        <w:t>Continuing support for core policing skills training to strengthen investigations capacity.</w:t>
      </w:r>
    </w:p>
    <w:p w14:paraId="2A1BAF40" w14:textId="77777777" w:rsidR="00CB30A9" w:rsidRPr="005332A7" w:rsidRDefault="00CB30A9" w:rsidP="007701F5">
      <w:pPr>
        <w:spacing w:after="120" w:line="240" w:lineRule="auto"/>
      </w:pPr>
      <w:r w:rsidRPr="005332A7">
        <w:t>Likely aid modalities to support this activity are:</w:t>
      </w:r>
    </w:p>
    <w:p w14:paraId="031EF63B" w14:textId="239E43D6" w:rsidR="00CB30A9" w:rsidRPr="005332A7" w:rsidRDefault="00CB30A9" w:rsidP="007701F5">
      <w:pPr>
        <w:pStyle w:val="ListParagraph"/>
        <w:numPr>
          <w:ilvl w:val="0"/>
          <w:numId w:val="33"/>
        </w:numPr>
        <w:spacing w:after="120" w:line="240" w:lineRule="auto"/>
        <w:rPr>
          <w:rFonts w:eastAsia="Times New Roman" w:cs="Arial"/>
          <w:lang w:val="en-US" w:eastAsia="en-AU"/>
        </w:rPr>
      </w:pPr>
      <w:r w:rsidRPr="005332A7">
        <w:rPr>
          <w:rFonts w:eastAsia="Times New Roman" w:cs="Arial"/>
          <w:lang w:val="en-US" w:eastAsia="en-AU"/>
        </w:rPr>
        <w:t xml:space="preserve">Community </w:t>
      </w:r>
      <w:proofErr w:type="gramStart"/>
      <w:r w:rsidRPr="005332A7">
        <w:rPr>
          <w:rFonts w:eastAsia="Times New Roman" w:cs="Arial"/>
          <w:lang w:val="en-US" w:eastAsia="en-AU"/>
        </w:rPr>
        <w:t>engagement</w:t>
      </w:r>
      <w:r w:rsidR="00D11998" w:rsidRPr="005332A7">
        <w:rPr>
          <w:rFonts w:eastAsia="Times New Roman" w:cs="Arial"/>
          <w:lang w:val="en-US" w:eastAsia="en-AU"/>
        </w:rPr>
        <w:t>;</w:t>
      </w:r>
      <w:proofErr w:type="gramEnd"/>
    </w:p>
    <w:p w14:paraId="55D8EFF4" w14:textId="300D351D" w:rsidR="00CB30A9" w:rsidRPr="005332A7" w:rsidRDefault="00CB30A9" w:rsidP="007701F5">
      <w:pPr>
        <w:pStyle w:val="ListParagraph"/>
        <w:numPr>
          <w:ilvl w:val="0"/>
          <w:numId w:val="33"/>
        </w:numPr>
        <w:spacing w:after="120" w:line="240" w:lineRule="auto"/>
        <w:rPr>
          <w:rFonts w:eastAsia="Times New Roman" w:cs="Arial"/>
          <w:lang w:val="en-US" w:eastAsia="en-AU"/>
        </w:rPr>
      </w:pPr>
      <w:r w:rsidRPr="005332A7">
        <w:rPr>
          <w:rFonts w:eastAsia="Times New Roman" w:cs="Arial"/>
          <w:lang w:val="en-US" w:eastAsia="en-AU"/>
        </w:rPr>
        <w:t xml:space="preserve">Support for awareness </w:t>
      </w:r>
      <w:proofErr w:type="gramStart"/>
      <w:r w:rsidRPr="005332A7">
        <w:rPr>
          <w:rFonts w:eastAsia="Times New Roman" w:cs="Arial"/>
          <w:lang w:val="en-US" w:eastAsia="en-AU"/>
        </w:rPr>
        <w:t>campaigns</w:t>
      </w:r>
      <w:r w:rsidR="00D11998" w:rsidRPr="005332A7">
        <w:rPr>
          <w:rFonts w:eastAsia="Times New Roman" w:cs="Arial"/>
          <w:lang w:val="en-US" w:eastAsia="en-AU"/>
        </w:rPr>
        <w:t>;</w:t>
      </w:r>
      <w:proofErr w:type="gramEnd"/>
      <w:r w:rsidRPr="005332A7">
        <w:rPr>
          <w:rFonts w:eastAsia="Times New Roman" w:cs="Arial"/>
          <w:lang w:val="en-US" w:eastAsia="en-AU"/>
        </w:rPr>
        <w:t xml:space="preserve"> </w:t>
      </w:r>
    </w:p>
    <w:p w14:paraId="40FCD3E6" w14:textId="77777777" w:rsidR="00FF1232" w:rsidRPr="005332A7" w:rsidRDefault="00FF1232" w:rsidP="00C00402">
      <w:pPr>
        <w:pStyle w:val="ListParagraph"/>
        <w:numPr>
          <w:ilvl w:val="0"/>
          <w:numId w:val="33"/>
        </w:numPr>
        <w:spacing w:after="120" w:line="240" w:lineRule="auto"/>
      </w:pPr>
      <w:r w:rsidRPr="005332A7">
        <w:t>Support provided to other programs and institutions that work in Timor-Leste (</w:t>
      </w:r>
      <w:proofErr w:type="gramStart"/>
      <w:r w:rsidRPr="005332A7">
        <w:t>e.g.</w:t>
      </w:r>
      <w:proofErr w:type="gramEnd"/>
      <w:r w:rsidRPr="005332A7">
        <w:t xml:space="preserve"> co-payments/shared resourcing arrangements to deliver activities with NGOs, victim support services, and local advocacy groups)</w:t>
      </w:r>
    </w:p>
    <w:p w14:paraId="7E7A3829" w14:textId="40688B74" w:rsidR="00CB30A9" w:rsidRPr="005332A7" w:rsidRDefault="00CB30A9" w:rsidP="007701F5">
      <w:pPr>
        <w:pStyle w:val="ListParagraph"/>
        <w:numPr>
          <w:ilvl w:val="0"/>
          <w:numId w:val="33"/>
        </w:numPr>
        <w:spacing w:after="120" w:line="240" w:lineRule="auto"/>
        <w:rPr>
          <w:rFonts w:eastAsia="Times New Roman" w:cs="Arial"/>
          <w:lang w:val="en-US" w:eastAsia="en-AU"/>
        </w:rPr>
      </w:pPr>
      <w:r w:rsidRPr="005332A7">
        <w:rPr>
          <w:rFonts w:eastAsia="Times New Roman" w:cs="Arial"/>
          <w:lang w:val="en-US" w:eastAsia="en-AU"/>
        </w:rPr>
        <w:t>Training of trainers</w:t>
      </w:r>
      <w:r w:rsidR="00D11998" w:rsidRPr="005332A7">
        <w:rPr>
          <w:rFonts w:eastAsia="Times New Roman" w:cs="Arial"/>
          <w:lang w:val="en-US" w:eastAsia="en-AU"/>
        </w:rPr>
        <w:t>; and</w:t>
      </w:r>
    </w:p>
    <w:p w14:paraId="16E2BBA9" w14:textId="2B93C710" w:rsidR="00CB30A9" w:rsidRPr="005332A7" w:rsidRDefault="00CB30A9" w:rsidP="007701F5">
      <w:pPr>
        <w:pStyle w:val="ListParagraph"/>
        <w:numPr>
          <w:ilvl w:val="0"/>
          <w:numId w:val="33"/>
        </w:numPr>
        <w:spacing w:after="120" w:line="240" w:lineRule="auto"/>
        <w:rPr>
          <w:i/>
        </w:rPr>
      </w:pPr>
      <w:r w:rsidRPr="005332A7">
        <w:rPr>
          <w:rFonts w:eastAsia="Times New Roman" w:cs="Arial"/>
          <w:lang w:val="en-US" w:eastAsia="en-AU"/>
        </w:rPr>
        <w:t>Workshops and conferences</w:t>
      </w:r>
      <w:r w:rsidR="00D11998" w:rsidRPr="005332A7">
        <w:rPr>
          <w:rFonts w:eastAsia="Times New Roman" w:cs="Arial"/>
          <w:lang w:val="en-US" w:eastAsia="en-AU"/>
        </w:rPr>
        <w:t>.</w:t>
      </w:r>
    </w:p>
    <w:p w14:paraId="134604C9" w14:textId="77777777" w:rsidR="00CB30A9" w:rsidRPr="00167A66" w:rsidRDefault="00CB30A9" w:rsidP="007701F5">
      <w:pPr>
        <w:spacing w:after="120" w:line="240" w:lineRule="auto"/>
        <w:rPr>
          <w:rFonts w:asciiTheme="majorHAnsi" w:hAnsiTheme="majorHAnsi"/>
          <w:i/>
          <w:color w:val="3E607E"/>
        </w:rPr>
      </w:pPr>
      <w:r w:rsidRPr="00167A66">
        <w:rPr>
          <w:rFonts w:asciiTheme="majorHAnsi" w:hAnsiTheme="majorHAnsi"/>
          <w:i/>
          <w:color w:val="3E607E"/>
        </w:rPr>
        <w:t>Activity 3.3: Support for general policing response</w:t>
      </w:r>
    </w:p>
    <w:p w14:paraId="003243F4" w14:textId="77777777" w:rsidR="00CB30A9" w:rsidRPr="005332A7" w:rsidRDefault="00CB30A9" w:rsidP="007701F5">
      <w:pPr>
        <w:spacing w:after="120" w:line="240" w:lineRule="auto"/>
      </w:pPr>
      <w:r w:rsidRPr="005332A7">
        <w:t>The third activity of this component is the continuation of support across PNTL’s operational areas to boost their ability to detect, respond to and investigate crimes. This activity will seek to improve basic policing services in multiple areas. The TLPDP will focus on:</w:t>
      </w:r>
    </w:p>
    <w:p w14:paraId="23658C35" w14:textId="2C206318" w:rsidR="00CB30A9" w:rsidRPr="005332A7" w:rsidRDefault="00CB30A9" w:rsidP="007701F5">
      <w:pPr>
        <w:pStyle w:val="ListParagraph"/>
        <w:numPr>
          <w:ilvl w:val="0"/>
          <w:numId w:val="37"/>
        </w:numPr>
        <w:spacing w:after="120" w:line="240" w:lineRule="auto"/>
        <w:rPr>
          <w:rFonts w:eastAsia="Times New Roman" w:cs="Arial"/>
          <w:lang w:val="en-US" w:eastAsia="en-AU"/>
        </w:rPr>
      </w:pPr>
      <w:r w:rsidRPr="005332A7">
        <w:rPr>
          <w:rFonts w:eastAsia="Times New Roman" w:cs="Arial"/>
          <w:lang w:val="en-US" w:eastAsia="en-AU"/>
        </w:rPr>
        <w:t>General policing response</w:t>
      </w:r>
      <w:r w:rsidR="00D11998" w:rsidRPr="005332A7">
        <w:rPr>
          <w:rFonts w:eastAsia="Times New Roman" w:cs="Arial"/>
          <w:lang w:val="en-US" w:eastAsia="en-AU"/>
        </w:rPr>
        <w:t>; and</w:t>
      </w:r>
    </w:p>
    <w:p w14:paraId="09C09950" w14:textId="77777777" w:rsidR="00CB30A9" w:rsidRPr="005332A7" w:rsidRDefault="00CB30A9" w:rsidP="007701F5">
      <w:pPr>
        <w:pStyle w:val="ListParagraph"/>
        <w:numPr>
          <w:ilvl w:val="0"/>
          <w:numId w:val="37"/>
        </w:numPr>
        <w:spacing w:after="120" w:line="240" w:lineRule="auto"/>
        <w:rPr>
          <w:rFonts w:eastAsia="Times New Roman" w:cs="Arial"/>
          <w:lang w:val="en-US" w:eastAsia="en-AU"/>
        </w:rPr>
      </w:pPr>
      <w:r w:rsidRPr="005332A7">
        <w:rPr>
          <w:rFonts w:eastAsia="Times New Roman" w:cs="Arial"/>
          <w:lang w:val="en-US" w:eastAsia="en-AU"/>
        </w:rPr>
        <w:t>Core policing skills.</w:t>
      </w:r>
    </w:p>
    <w:p w14:paraId="3CC63B93" w14:textId="77777777" w:rsidR="00CB30A9" w:rsidRPr="005332A7" w:rsidRDefault="00CB30A9" w:rsidP="007701F5">
      <w:pPr>
        <w:spacing w:after="120" w:line="240" w:lineRule="auto"/>
      </w:pPr>
      <w:r w:rsidRPr="005332A7">
        <w:t>Likely aid modalities to support this activity are:</w:t>
      </w:r>
    </w:p>
    <w:p w14:paraId="1BE84202" w14:textId="3A40E715" w:rsidR="00CB30A9" w:rsidRPr="005332A7" w:rsidRDefault="00CB30A9" w:rsidP="007701F5">
      <w:pPr>
        <w:pStyle w:val="ListParagraph"/>
        <w:numPr>
          <w:ilvl w:val="0"/>
          <w:numId w:val="33"/>
        </w:numPr>
        <w:spacing w:after="120" w:line="240" w:lineRule="auto"/>
        <w:rPr>
          <w:rFonts w:eastAsia="Times New Roman" w:cs="Arial"/>
          <w:lang w:val="en-US" w:eastAsia="en-AU"/>
        </w:rPr>
      </w:pPr>
      <w:r w:rsidRPr="005332A7">
        <w:rPr>
          <w:rFonts w:eastAsia="Times New Roman" w:cs="Arial"/>
          <w:lang w:val="en-US" w:eastAsia="en-AU"/>
        </w:rPr>
        <w:t xml:space="preserve">Training of </w:t>
      </w:r>
      <w:proofErr w:type="gramStart"/>
      <w:r w:rsidRPr="005332A7">
        <w:rPr>
          <w:rFonts w:eastAsia="Times New Roman" w:cs="Arial"/>
          <w:lang w:val="en-US" w:eastAsia="en-AU"/>
        </w:rPr>
        <w:t>trainers</w:t>
      </w:r>
      <w:r w:rsidR="00D11998" w:rsidRPr="005332A7">
        <w:rPr>
          <w:rFonts w:eastAsia="Times New Roman" w:cs="Arial"/>
          <w:lang w:val="en-US" w:eastAsia="en-AU"/>
        </w:rPr>
        <w:t>;</w:t>
      </w:r>
      <w:proofErr w:type="gramEnd"/>
      <w:r w:rsidRPr="005332A7">
        <w:rPr>
          <w:rFonts w:eastAsia="Times New Roman" w:cs="Arial"/>
          <w:lang w:val="en-US" w:eastAsia="en-AU"/>
        </w:rPr>
        <w:t xml:space="preserve"> </w:t>
      </w:r>
    </w:p>
    <w:p w14:paraId="41083275" w14:textId="56B4B866" w:rsidR="00BF0AF8" w:rsidRDefault="00BF0AF8" w:rsidP="007701F5">
      <w:pPr>
        <w:pStyle w:val="ListParagraph"/>
        <w:numPr>
          <w:ilvl w:val="0"/>
          <w:numId w:val="33"/>
        </w:numPr>
        <w:spacing w:after="120" w:line="240" w:lineRule="auto"/>
        <w:rPr>
          <w:rFonts w:eastAsia="Times New Roman" w:cs="Arial"/>
          <w:lang w:val="en-US" w:eastAsia="en-AU"/>
        </w:rPr>
      </w:pPr>
      <w:r>
        <w:t xml:space="preserve">Gender and Human Rights </w:t>
      </w:r>
      <w:r w:rsidR="000730E7">
        <w:t>t</w:t>
      </w:r>
      <w:r>
        <w:t>raining;</w:t>
      </w:r>
      <w:r w:rsidRPr="005332A7">
        <w:rPr>
          <w:rFonts w:eastAsia="Times New Roman" w:cs="Arial"/>
          <w:lang w:val="en-US" w:eastAsia="en-AU"/>
        </w:rPr>
        <w:t xml:space="preserve"> and</w:t>
      </w:r>
    </w:p>
    <w:p w14:paraId="45B2823D" w14:textId="29ADDC1C" w:rsidR="00A24FD3" w:rsidRPr="005332A7" w:rsidRDefault="00CB30A9" w:rsidP="007701F5">
      <w:pPr>
        <w:pStyle w:val="ListParagraph"/>
        <w:numPr>
          <w:ilvl w:val="0"/>
          <w:numId w:val="33"/>
        </w:numPr>
        <w:spacing w:after="120" w:line="240" w:lineRule="auto"/>
        <w:rPr>
          <w:rFonts w:eastAsia="Times New Roman" w:cs="Arial"/>
          <w:lang w:val="en-US" w:eastAsia="en-AU"/>
        </w:rPr>
      </w:pPr>
      <w:r w:rsidRPr="005332A7">
        <w:rPr>
          <w:rFonts w:eastAsia="Times New Roman" w:cs="Arial"/>
          <w:lang w:val="en-US" w:eastAsia="en-AU"/>
        </w:rPr>
        <w:t>Adviser support</w:t>
      </w:r>
      <w:r w:rsidR="00D11998" w:rsidRPr="005332A7">
        <w:rPr>
          <w:rFonts w:eastAsia="Times New Roman" w:cs="Arial"/>
          <w:lang w:val="en-US" w:eastAsia="en-AU"/>
        </w:rPr>
        <w:t>.</w:t>
      </w:r>
    </w:p>
    <w:p w14:paraId="12035F2B" w14:textId="77777777" w:rsidR="00FB2AD9" w:rsidRPr="00167A66" w:rsidRDefault="00FB2AD9" w:rsidP="007701F5">
      <w:pPr>
        <w:spacing w:after="120" w:line="240" w:lineRule="auto"/>
        <w:rPr>
          <w:rFonts w:asciiTheme="majorHAnsi" w:hAnsiTheme="majorHAnsi"/>
          <w:i/>
          <w:color w:val="3E607E"/>
        </w:rPr>
      </w:pPr>
      <w:r w:rsidRPr="00167A66">
        <w:rPr>
          <w:rFonts w:asciiTheme="majorHAnsi" w:hAnsiTheme="majorHAnsi"/>
          <w:i/>
          <w:color w:val="3E607E"/>
        </w:rPr>
        <w:t>Component Interconnectedness</w:t>
      </w:r>
    </w:p>
    <w:p w14:paraId="0C3BF858" w14:textId="671F38EB" w:rsidR="00FB2AD9" w:rsidRPr="005332A7" w:rsidRDefault="00FB2AD9" w:rsidP="007701F5">
      <w:pPr>
        <w:spacing w:after="120" w:line="240" w:lineRule="auto"/>
      </w:pPr>
      <w:r w:rsidRPr="005332A7">
        <w:t>Beyond the activities above, this component will benefit from crossover with other components as illustrated in the figure below:</w:t>
      </w:r>
    </w:p>
    <w:p w14:paraId="6289DB3B" w14:textId="732FE128" w:rsidR="002E401B" w:rsidRPr="00C96951" w:rsidRDefault="00CF1FDE" w:rsidP="007701F5">
      <w:pPr>
        <w:spacing w:after="120" w:line="240" w:lineRule="auto"/>
        <w:ind w:left="-993"/>
        <w:rPr>
          <w:rFonts w:asciiTheme="majorHAnsi" w:eastAsiaTheme="majorEastAsia" w:hAnsiTheme="majorHAnsi" w:cstheme="majorBidi"/>
          <w:b/>
          <w:bCs/>
          <w:color w:val="365F91" w:themeColor="accent1" w:themeShade="BF"/>
          <w:sz w:val="28"/>
          <w:szCs w:val="28"/>
        </w:rPr>
      </w:pPr>
      <w:r>
        <w:rPr>
          <w:noProof/>
        </w:rPr>
        <w:drawing>
          <wp:inline distT="0" distB="0" distL="0" distR="0" wp14:anchorId="0EDDA5A2" wp14:editId="07C372F9">
            <wp:extent cx="5732145" cy="3613785"/>
            <wp:effectExtent l="0" t="0" r="1905" b="5715"/>
            <wp:docPr id="312" name="Picture 312" descr="Diagram depicting how Component 3: Responsive Policing Services will benefit from crossover with other component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Picture 312" descr="Diagram depicting how Component 3: Responsive Policing Services will benefit from crossover with other components&#10;"/>
                    <pic:cNvPicPr/>
                  </pic:nvPicPr>
                  <pic:blipFill>
                    <a:blip r:embed="rId13"/>
                    <a:stretch>
                      <a:fillRect/>
                    </a:stretch>
                  </pic:blipFill>
                  <pic:spPr>
                    <a:xfrm>
                      <a:off x="0" y="0"/>
                      <a:ext cx="5732145" cy="3613785"/>
                    </a:xfrm>
                    <a:prstGeom prst="rect">
                      <a:avLst/>
                    </a:prstGeom>
                  </pic:spPr>
                </pic:pic>
              </a:graphicData>
            </a:graphic>
          </wp:inline>
        </w:drawing>
      </w:r>
    </w:p>
    <w:p w14:paraId="2730027F" w14:textId="77777777" w:rsidR="00ED4359" w:rsidRDefault="00ED4359"/>
    <w:p w14:paraId="01BEEF91" w14:textId="12FACB96" w:rsidR="00297766" w:rsidRPr="00297766" w:rsidRDefault="00297766" w:rsidP="00297766">
      <w:pPr>
        <w:pStyle w:val="Heading3"/>
        <w:numPr>
          <w:ilvl w:val="2"/>
          <w:numId w:val="61"/>
        </w:numPr>
        <w:spacing w:before="0" w:after="120" w:line="240" w:lineRule="auto"/>
        <w:ind w:left="567" w:hanging="567"/>
      </w:pPr>
      <w:bookmarkStart w:id="77" w:name="_Toc516189363"/>
      <w:r w:rsidRPr="00297766">
        <w:lastRenderedPageBreak/>
        <w:t>Activity-Program Logic Linkages</w:t>
      </w:r>
      <w:bookmarkEnd w:id="77"/>
    </w:p>
    <w:p w14:paraId="69EFF1AB" w14:textId="6AF1DEEF" w:rsidR="00ED4359" w:rsidRDefault="00297766" w:rsidP="00297766">
      <w:pPr>
        <w:spacing w:after="360"/>
      </w:pPr>
      <w:r>
        <w:t>The</w:t>
      </w:r>
      <w:r w:rsidR="00ED4359">
        <w:t xml:space="preserve"> component pathway</w:t>
      </w:r>
      <w:r>
        <w:t>s</w:t>
      </w:r>
      <w:r w:rsidR="00ED4359">
        <w:t xml:space="preserve"> and </w:t>
      </w:r>
      <w:r>
        <w:t>their</w:t>
      </w:r>
      <w:r w:rsidR="00ED4359">
        <w:t xml:space="preserve"> corresponding activities </w:t>
      </w:r>
      <w:r>
        <w:t>are</w:t>
      </w:r>
      <w:r w:rsidR="00ED4359">
        <w:t xml:space="preserve"> directly linked to the program logic. The link between the activities</w:t>
      </w:r>
      <w:r>
        <w:t xml:space="preserve"> listed in the program components section</w:t>
      </w:r>
      <w:r w:rsidR="00ED4359">
        <w:t xml:space="preserve"> above and the</w:t>
      </w:r>
      <w:r>
        <w:t xml:space="preserve"> program’s</w:t>
      </w:r>
      <w:r w:rsidR="00ED4359">
        <w:t xml:space="preserve"> </w:t>
      </w:r>
      <w:r>
        <w:t>i</w:t>
      </w:r>
      <w:r w:rsidR="00ED4359">
        <w:t xml:space="preserve">ntermediate </w:t>
      </w:r>
      <w:r>
        <w:t>o</w:t>
      </w:r>
      <w:r w:rsidR="00ED4359">
        <w:t>utcomes is illustrated below:</w:t>
      </w:r>
    </w:p>
    <w:p w14:paraId="3AA1F22B" w14:textId="4B722AD3" w:rsidR="00ED4359" w:rsidRDefault="00CF1FDE">
      <w:pPr>
        <w:rPr>
          <w:rFonts w:asciiTheme="majorHAnsi" w:eastAsiaTheme="majorEastAsia" w:hAnsiTheme="majorHAnsi" w:cstheme="majorBidi"/>
          <w:b/>
          <w:bCs/>
          <w:color w:val="4F81BD" w:themeColor="accent1"/>
          <w:sz w:val="26"/>
          <w:szCs w:val="26"/>
        </w:rPr>
      </w:pPr>
      <w:r>
        <w:rPr>
          <w:noProof/>
        </w:rPr>
        <w:drawing>
          <wp:inline distT="0" distB="0" distL="0" distR="0" wp14:anchorId="75E1AC07" wp14:editId="6E452550">
            <wp:extent cx="5732145" cy="5594350"/>
            <wp:effectExtent l="0" t="0" r="1905" b="6350"/>
            <wp:docPr id="313" name="Picture 313" descr="Diagram linking the activities of the program components section with the prorgam's immediate outcom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 name="Picture 313" descr="Diagram linking the activities of the program components section with the prorgam's immediate outcomes. "/>
                    <pic:cNvPicPr/>
                  </pic:nvPicPr>
                  <pic:blipFill>
                    <a:blip r:embed="rId14"/>
                    <a:stretch>
                      <a:fillRect/>
                    </a:stretch>
                  </pic:blipFill>
                  <pic:spPr>
                    <a:xfrm>
                      <a:off x="0" y="0"/>
                      <a:ext cx="5732145" cy="5594350"/>
                    </a:xfrm>
                    <a:prstGeom prst="rect">
                      <a:avLst/>
                    </a:prstGeom>
                  </pic:spPr>
                </pic:pic>
              </a:graphicData>
            </a:graphic>
          </wp:inline>
        </w:drawing>
      </w:r>
    </w:p>
    <w:p w14:paraId="49E2ADD5" w14:textId="77777777" w:rsidR="00297766" w:rsidRDefault="00297766" w:rsidP="00297766">
      <w:pPr>
        <w:pStyle w:val="Heading2"/>
        <w:spacing w:before="0" w:after="120" w:line="240" w:lineRule="auto"/>
        <w:ind w:left="426"/>
      </w:pPr>
    </w:p>
    <w:p w14:paraId="70D20A4C" w14:textId="6A4EBE85" w:rsidR="002E401B" w:rsidRPr="00E867E7" w:rsidRDefault="00FC25B7" w:rsidP="00A42C1F">
      <w:pPr>
        <w:pStyle w:val="Heading2"/>
        <w:numPr>
          <w:ilvl w:val="1"/>
          <w:numId w:val="61"/>
        </w:numPr>
        <w:spacing w:before="0" w:after="120" w:line="240" w:lineRule="auto"/>
        <w:ind w:left="426"/>
      </w:pPr>
      <w:r>
        <w:t xml:space="preserve"> </w:t>
      </w:r>
      <w:bookmarkStart w:id="78" w:name="_Toc516189364"/>
      <w:r w:rsidR="002E401B" w:rsidRPr="00E867E7">
        <w:t>Program Management Structure</w:t>
      </w:r>
      <w:bookmarkEnd w:id="78"/>
    </w:p>
    <w:p w14:paraId="74A5EB17" w14:textId="174AC557" w:rsidR="00D2281E" w:rsidRPr="00820243" w:rsidRDefault="00D2281E" w:rsidP="001218D8">
      <w:pPr>
        <w:pStyle w:val="Heading3"/>
        <w:numPr>
          <w:ilvl w:val="2"/>
          <w:numId w:val="61"/>
        </w:numPr>
        <w:spacing w:before="0" w:after="120" w:line="240" w:lineRule="auto"/>
        <w:ind w:left="567" w:hanging="567"/>
      </w:pPr>
      <w:bookmarkStart w:id="79" w:name="_Toc465247404"/>
      <w:bookmarkStart w:id="80" w:name="_Toc466470999"/>
      <w:bookmarkStart w:id="81" w:name="_Toc516189365"/>
      <w:r w:rsidRPr="00820243">
        <w:t>Program management structure</w:t>
      </w:r>
      <w:bookmarkEnd w:id="79"/>
      <w:bookmarkEnd w:id="80"/>
      <w:bookmarkEnd w:id="81"/>
    </w:p>
    <w:p w14:paraId="1C38D947" w14:textId="77777777" w:rsidR="00D2281E" w:rsidRPr="005332A7" w:rsidRDefault="00D2281E" w:rsidP="007701F5">
      <w:pPr>
        <w:spacing w:after="120" w:line="240" w:lineRule="auto"/>
      </w:pPr>
      <w:r w:rsidRPr="005332A7">
        <w:t>This section focuses on the roles and responsibilities of the Program’s key implementation personnel.</w:t>
      </w:r>
    </w:p>
    <w:p w14:paraId="4BF43F73" w14:textId="5736041C" w:rsidR="00D2281E" w:rsidRDefault="00D2281E" w:rsidP="007701F5">
      <w:pPr>
        <w:spacing w:after="120" w:line="240" w:lineRule="auto"/>
      </w:pPr>
      <w:r w:rsidRPr="005332A7">
        <w:t>At the Program implementation level, the AFP Commander is responsible for the delivery of all activities described in this design. The Commander will structure the team to provide adequate leadership and expertise to</w:t>
      </w:r>
      <w:r w:rsidR="003B342B" w:rsidRPr="005332A7">
        <w:t xml:space="preserve"> deliver each component of the P</w:t>
      </w:r>
      <w:r w:rsidRPr="005332A7">
        <w:t xml:space="preserve">rogram from experienced advisers deployed. The Commander or their delegate will be directly responsible for the oversight of </w:t>
      </w:r>
      <w:proofErr w:type="gramStart"/>
      <w:r w:rsidRPr="005332A7">
        <w:t>jointly-delivered</w:t>
      </w:r>
      <w:proofErr w:type="gramEnd"/>
      <w:r w:rsidRPr="005332A7">
        <w:t xml:space="preserve"> activities such as those undertaken by the PNTL with </w:t>
      </w:r>
      <w:r w:rsidR="003B342B" w:rsidRPr="005332A7">
        <w:t>P</w:t>
      </w:r>
      <w:r w:rsidRPr="005332A7">
        <w:t xml:space="preserve">rogram support. The </w:t>
      </w:r>
      <w:r w:rsidRPr="005332A7">
        <w:lastRenderedPageBreak/>
        <w:t xml:space="preserve">Commander will be supported by operational staff to perform functions such as ICT, security, finance, </w:t>
      </w:r>
      <w:r w:rsidR="005332A7">
        <w:t>human resources</w:t>
      </w:r>
      <w:r w:rsidRPr="005332A7">
        <w:t xml:space="preserve">, contracts and logistics, project management and other regular Program management needs. </w:t>
      </w:r>
    </w:p>
    <w:p w14:paraId="002AC49F" w14:textId="77777777" w:rsidR="00DB2E09" w:rsidRPr="00DB2E09" w:rsidRDefault="00DB2E09" w:rsidP="00DB2E09">
      <w:pPr>
        <w:pStyle w:val="Heading3"/>
        <w:numPr>
          <w:ilvl w:val="2"/>
          <w:numId w:val="61"/>
        </w:numPr>
        <w:spacing w:before="0" w:after="120" w:line="240" w:lineRule="auto"/>
        <w:ind w:left="567" w:hanging="567"/>
      </w:pPr>
      <w:bookmarkStart w:id="82" w:name="_Toc516189366"/>
      <w:r w:rsidRPr="00DB2E09">
        <w:t>Joint Steering Committee</w:t>
      </w:r>
      <w:bookmarkEnd w:id="82"/>
    </w:p>
    <w:p w14:paraId="03C5B420" w14:textId="77777777" w:rsidR="00DB2E09" w:rsidRPr="00ED286E" w:rsidRDefault="00DB2E09" w:rsidP="00DB2E09">
      <w:pPr>
        <w:autoSpaceDE w:val="0"/>
        <w:autoSpaceDN w:val="0"/>
        <w:adjustRightInd w:val="0"/>
        <w:spacing w:after="120" w:line="240" w:lineRule="auto"/>
        <w:rPr>
          <w:rFonts w:cs="CIDFont+F5"/>
          <w:color w:val="000000"/>
        </w:rPr>
      </w:pPr>
      <w:r w:rsidRPr="00ED286E">
        <w:rPr>
          <w:rFonts w:cs="CIDFont+F5"/>
          <w:color w:val="000000"/>
        </w:rPr>
        <w:t xml:space="preserve">A Joint Steering Committee that brings together DFAT and AFP will be established to share strategic context and inform the future direction of the Program. The Joint Steering Committee will meet (via teleconference where necessary) at least once a year and </w:t>
      </w:r>
      <w:proofErr w:type="gramStart"/>
      <w:r w:rsidRPr="00ED286E">
        <w:rPr>
          <w:rFonts w:cs="CIDFont+F5"/>
          <w:color w:val="000000"/>
        </w:rPr>
        <w:t>will membership will</w:t>
      </w:r>
      <w:proofErr w:type="gramEnd"/>
      <w:r w:rsidRPr="00ED286E">
        <w:rPr>
          <w:rFonts w:cs="CIDFont+F5"/>
          <w:color w:val="000000"/>
        </w:rPr>
        <w:t xml:space="preserve"> comprise:</w:t>
      </w:r>
    </w:p>
    <w:p w14:paraId="529BD11E" w14:textId="2A5593D4" w:rsidR="00DB2E09" w:rsidRPr="00ED286E" w:rsidRDefault="00DB2E09" w:rsidP="00DB2E09">
      <w:pPr>
        <w:pStyle w:val="ListParagraph"/>
        <w:numPr>
          <w:ilvl w:val="0"/>
          <w:numId w:val="66"/>
        </w:numPr>
        <w:autoSpaceDE w:val="0"/>
        <w:autoSpaceDN w:val="0"/>
        <w:adjustRightInd w:val="0"/>
        <w:spacing w:after="120" w:line="240" w:lineRule="auto"/>
        <w:rPr>
          <w:rFonts w:cs="CIDFont+F5"/>
          <w:color w:val="000000"/>
        </w:rPr>
      </w:pPr>
      <w:r w:rsidRPr="00ED286E">
        <w:rPr>
          <w:rFonts w:cs="CIDFont+F5"/>
          <w:color w:val="000000"/>
        </w:rPr>
        <w:t>Manager Pacific</w:t>
      </w:r>
      <w:r>
        <w:rPr>
          <w:rFonts w:cs="CIDFont+F5"/>
          <w:color w:val="000000"/>
        </w:rPr>
        <w:t xml:space="preserve"> (AFP)</w:t>
      </w:r>
      <w:r w:rsidRPr="00ED286E">
        <w:rPr>
          <w:rFonts w:cs="CIDFont+F5"/>
          <w:color w:val="000000"/>
        </w:rPr>
        <w:t xml:space="preserve"> (Chair) </w:t>
      </w:r>
    </w:p>
    <w:p w14:paraId="3EB25B87" w14:textId="3014F512" w:rsidR="00DB2E09" w:rsidRPr="00ED286E" w:rsidRDefault="00DB2E09" w:rsidP="00DB2E09">
      <w:pPr>
        <w:pStyle w:val="ListParagraph"/>
        <w:numPr>
          <w:ilvl w:val="0"/>
          <w:numId w:val="66"/>
        </w:numPr>
        <w:autoSpaceDE w:val="0"/>
        <w:autoSpaceDN w:val="0"/>
        <w:adjustRightInd w:val="0"/>
        <w:spacing w:after="120" w:line="240" w:lineRule="auto"/>
        <w:rPr>
          <w:rFonts w:cs="CIDFont+F5"/>
          <w:color w:val="000000"/>
        </w:rPr>
      </w:pPr>
      <w:r w:rsidRPr="00ED286E">
        <w:rPr>
          <w:rFonts w:cs="CIDFont+F5"/>
          <w:color w:val="000000"/>
        </w:rPr>
        <w:t>HOM</w:t>
      </w:r>
      <w:r>
        <w:rPr>
          <w:rFonts w:cs="CIDFont+F5"/>
          <w:color w:val="000000"/>
        </w:rPr>
        <w:t xml:space="preserve"> (DFAT)</w:t>
      </w:r>
    </w:p>
    <w:p w14:paraId="5B6E25C1" w14:textId="2F0A9133" w:rsidR="00DB2E09" w:rsidRPr="00ED286E" w:rsidRDefault="00DB2E09" w:rsidP="00DB2E09">
      <w:pPr>
        <w:pStyle w:val="ListParagraph"/>
        <w:numPr>
          <w:ilvl w:val="0"/>
          <w:numId w:val="66"/>
        </w:numPr>
        <w:autoSpaceDE w:val="0"/>
        <w:autoSpaceDN w:val="0"/>
        <w:adjustRightInd w:val="0"/>
        <w:spacing w:after="120" w:line="240" w:lineRule="auto"/>
        <w:rPr>
          <w:rFonts w:cs="CIDFont+F5"/>
          <w:color w:val="000000"/>
        </w:rPr>
      </w:pPr>
      <w:r>
        <w:rPr>
          <w:rFonts w:cs="CIDFont+F5"/>
          <w:color w:val="000000"/>
        </w:rPr>
        <w:t xml:space="preserve">TLPDP </w:t>
      </w:r>
      <w:r w:rsidRPr="00ED286E">
        <w:rPr>
          <w:rFonts w:cs="CIDFont+F5"/>
          <w:color w:val="000000"/>
        </w:rPr>
        <w:t xml:space="preserve">Commander </w:t>
      </w:r>
      <w:r>
        <w:rPr>
          <w:rFonts w:cs="CIDFont+F5"/>
          <w:color w:val="000000"/>
        </w:rPr>
        <w:t>(AFP)</w:t>
      </w:r>
    </w:p>
    <w:p w14:paraId="2BAB438B" w14:textId="43712D51" w:rsidR="00DB2E09" w:rsidRPr="00ED286E" w:rsidRDefault="00DB2E09" w:rsidP="00DB2E09">
      <w:pPr>
        <w:pStyle w:val="ListParagraph"/>
        <w:numPr>
          <w:ilvl w:val="0"/>
          <w:numId w:val="66"/>
        </w:numPr>
        <w:autoSpaceDE w:val="0"/>
        <w:autoSpaceDN w:val="0"/>
        <w:adjustRightInd w:val="0"/>
        <w:spacing w:after="120" w:line="240" w:lineRule="auto"/>
        <w:rPr>
          <w:rFonts w:cs="CIDFont+F5"/>
          <w:color w:val="000000"/>
        </w:rPr>
      </w:pPr>
      <w:r w:rsidRPr="00ED286E">
        <w:rPr>
          <w:rFonts w:cs="CIDFont+F5"/>
          <w:color w:val="000000"/>
        </w:rPr>
        <w:t>DHOM</w:t>
      </w:r>
      <w:r>
        <w:rPr>
          <w:rFonts w:cs="CIDFont+F5"/>
          <w:color w:val="000000"/>
        </w:rPr>
        <w:t xml:space="preserve"> (DFAT)</w:t>
      </w:r>
    </w:p>
    <w:p w14:paraId="644AEA95" w14:textId="67E44375" w:rsidR="00DB2E09" w:rsidRPr="00ED286E" w:rsidRDefault="00DB2E09" w:rsidP="00DB2E09">
      <w:pPr>
        <w:pStyle w:val="ListParagraph"/>
        <w:numPr>
          <w:ilvl w:val="0"/>
          <w:numId w:val="66"/>
        </w:numPr>
        <w:autoSpaceDE w:val="0"/>
        <w:autoSpaceDN w:val="0"/>
        <w:adjustRightInd w:val="0"/>
        <w:spacing w:after="120" w:line="240" w:lineRule="auto"/>
        <w:rPr>
          <w:rFonts w:cs="CIDFont+F5"/>
          <w:color w:val="000000"/>
        </w:rPr>
      </w:pPr>
      <w:r>
        <w:rPr>
          <w:rFonts w:cs="CIDFont+F5"/>
          <w:color w:val="000000"/>
        </w:rPr>
        <w:t>TLPDP</w:t>
      </w:r>
      <w:r w:rsidRPr="00ED286E">
        <w:rPr>
          <w:rFonts w:cs="CIDFont+F5"/>
          <w:color w:val="000000"/>
        </w:rPr>
        <w:t xml:space="preserve"> Deputy Commander</w:t>
      </w:r>
      <w:r>
        <w:rPr>
          <w:rFonts w:cs="CIDFont+F5"/>
          <w:color w:val="000000"/>
        </w:rPr>
        <w:t xml:space="preserve"> (AFP)</w:t>
      </w:r>
    </w:p>
    <w:p w14:paraId="29165416" w14:textId="3AFCC0D6" w:rsidR="00DB2E09" w:rsidRPr="00ED286E" w:rsidRDefault="00DB2E09" w:rsidP="00DB2E09">
      <w:pPr>
        <w:pStyle w:val="ListParagraph"/>
        <w:numPr>
          <w:ilvl w:val="0"/>
          <w:numId w:val="66"/>
        </w:numPr>
        <w:autoSpaceDE w:val="0"/>
        <w:autoSpaceDN w:val="0"/>
        <w:adjustRightInd w:val="0"/>
        <w:spacing w:after="120" w:line="240" w:lineRule="auto"/>
        <w:rPr>
          <w:rFonts w:cs="CIDFont+F5"/>
          <w:color w:val="000000"/>
        </w:rPr>
      </w:pPr>
      <w:r w:rsidRPr="00ED286E">
        <w:rPr>
          <w:rFonts w:cs="CIDFont+F5"/>
          <w:color w:val="000000"/>
        </w:rPr>
        <w:t>Coordinator International Strategy</w:t>
      </w:r>
      <w:r>
        <w:rPr>
          <w:rFonts w:cs="CIDFont+F5"/>
          <w:color w:val="000000"/>
        </w:rPr>
        <w:t xml:space="preserve"> (AFP)</w:t>
      </w:r>
    </w:p>
    <w:p w14:paraId="58A4906E" w14:textId="0D7EA9B6" w:rsidR="00DB2E09" w:rsidRPr="00ED286E" w:rsidRDefault="00DB2E09" w:rsidP="00DB2E09">
      <w:pPr>
        <w:pStyle w:val="ListParagraph"/>
        <w:numPr>
          <w:ilvl w:val="0"/>
          <w:numId w:val="66"/>
        </w:numPr>
        <w:autoSpaceDE w:val="0"/>
        <w:autoSpaceDN w:val="0"/>
        <w:adjustRightInd w:val="0"/>
        <w:spacing w:after="120" w:line="240" w:lineRule="auto"/>
        <w:rPr>
          <w:rFonts w:cs="CIDFont+F5"/>
          <w:color w:val="000000"/>
        </w:rPr>
      </w:pPr>
      <w:r>
        <w:rPr>
          <w:rFonts w:cs="CIDFont+F5"/>
          <w:color w:val="000000"/>
        </w:rPr>
        <w:t>Director</w:t>
      </w:r>
      <w:r w:rsidRPr="00ED286E">
        <w:rPr>
          <w:rFonts w:cs="CIDFont+F5"/>
          <w:color w:val="000000"/>
        </w:rPr>
        <w:t xml:space="preserve"> Timor Desk</w:t>
      </w:r>
      <w:r>
        <w:rPr>
          <w:rFonts w:cs="CIDFont+F5"/>
          <w:color w:val="000000"/>
        </w:rPr>
        <w:t xml:space="preserve"> (DFAT)</w:t>
      </w:r>
    </w:p>
    <w:p w14:paraId="3C45ADE5" w14:textId="77777777" w:rsidR="00DB2E09" w:rsidRPr="00ED286E" w:rsidRDefault="00DB2E09" w:rsidP="00DB2E09">
      <w:pPr>
        <w:pStyle w:val="ListParagraph"/>
        <w:numPr>
          <w:ilvl w:val="0"/>
          <w:numId w:val="66"/>
        </w:numPr>
        <w:autoSpaceDE w:val="0"/>
        <w:autoSpaceDN w:val="0"/>
        <w:adjustRightInd w:val="0"/>
        <w:spacing w:after="120" w:line="240" w:lineRule="auto"/>
        <w:rPr>
          <w:rFonts w:cs="CIDFont+F5"/>
          <w:color w:val="000000"/>
        </w:rPr>
      </w:pPr>
      <w:r w:rsidRPr="00ED286E">
        <w:rPr>
          <w:rFonts w:cs="CIDFont+F5"/>
          <w:color w:val="000000"/>
        </w:rPr>
        <w:t>Other people as agreed.</w:t>
      </w:r>
    </w:p>
    <w:p w14:paraId="582CED2D" w14:textId="77777777" w:rsidR="00DB2E09" w:rsidRPr="00ED286E" w:rsidRDefault="00DB2E09" w:rsidP="00DB2E09">
      <w:pPr>
        <w:autoSpaceDE w:val="0"/>
        <w:autoSpaceDN w:val="0"/>
        <w:adjustRightInd w:val="0"/>
        <w:spacing w:after="120" w:line="240" w:lineRule="auto"/>
        <w:rPr>
          <w:rFonts w:cs="CIDFont+F5"/>
          <w:color w:val="000000"/>
        </w:rPr>
      </w:pPr>
      <w:r w:rsidRPr="00ED286E">
        <w:rPr>
          <w:rFonts w:cs="CIDFont+F5"/>
          <w:color w:val="000000"/>
        </w:rPr>
        <w:t>The roles and responsibilities of the Joint Steering Committee will be:</w:t>
      </w:r>
    </w:p>
    <w:p w14:paraId="4E93C006" w14:textId="77777777" w:rsidR="00DB2E09" w:rsidRPr="00ED286E" w:rsidRDefault="00DB2E09" w:rsidP="00DB2E09">
      <w:pPr>
        <w:pStyle w:val="ListParagraph"/>
        <w:numPr>
          <w:ilvl w:val="0"/>
          <w:numId w:val="66"/>
        </w:numPr>
        <w:autoSpaceDE w:val="0"/>
        <w:autoSpaceDN w:val="0"/>
        <w:adjustRightInd w:val="0"/>
        <w:spacing w:after="120" w:line="240" w:lineRule="auto"/>
        <w:rPr>
          <w:rFonts w:cs="CIDFont+F5"/>
          <w:color w:val="000000"/>
        </w:rPr>
      </w:pPr>
      <w:r w:rsidRPr="00ED286E">
        <w:rPr>
          <w:rFonts w:cs="CIDFont+F5"/>
          <w:color w:val="000000"/>
        </w:rPr>
        <w:t xml:space="preserve">Provide strategic context to the Program, including updates on Australian and Timor Government policy and political environments, </w:t>
      </w:r>
    </w:p>
    <w:p w14:paraId="153A7681" w14:textId="77777777" w:rsidR="00DB2E09" w:rsidRPr="00ED286E" w:rsidRDefault="00DB2E09" w:rsidP="00DB2E09">
      <w:pPr>
        <w:pStyle w:val="ListParagraph"/>
        <w:numPr>
          <w:ilvl w:val="0"/>
          <w:numId w:val="66"/>
        </w:numPr>
        <w:autoSpaceDE w:val="0"/>
        <w:autoSpaceDN w:val="0"/>
        <w:adjustRightInd w:val="0"/>
        <w:spacing w:after="120" w:line="240" w:lineRule="auto"/>
        <w:rPr>
          <w:rFonts w:cs="CIDFont+F5"/>
          <w:color w:val="000000"/>
        </w:rPr>
      </w:pPr>
      <w:r w:rsidRPr="00ED286E">
        <w:rPr>
          <w:rFonts w:cs="CIDFont+F5"/>
          <w:color w:val="000000"/>
        </w:rPr>
        <w:t xml:space="preserve">Provide strategic guidance to the Program, including in relation to emerging </w:t>
      </w:r>
      <w:proofErr w:type="gramStart"/>
      <w:r w:rsidRPr="00ED286E">
        <w:rPr>
          <w:rFonts w:cs="CIDFont+F5"/>
          <w:color w:val="000000"/>
        </w:rPr>
        <w:t>issues;</w:t>
      </w:r>
      <w:proofErr w:type="gramEnd"/>
    </w:p>
    <w:p w14:paraId="7EE101E9" w14:textId="77777777" w:rsidR="00DB2E09" w:rsidRPr="00ED286E" w:rsidRDefault="00DB2E09" w:rsidP="00DB2E09">
      <w:pPr>
        <w:pStyle w:val="ListParagraph"/>
        <w:numPr>
          <w:ilvl w:val="0"/>
          <w:numId w:val="66"/>
        </w:numPr>
        <w:autoSpaceDE w:val="0"/>
        <w:autoSpaceDN w:val="0"/>
        <w:adjustRightInd w:val="0"/>
        <w:spacing w:after="120" w:line="240" w:lineRule="auto"/>
        <w:rPr>
          <w:rFonts w:cs="CIDFont+F5"/>
          <w:color w:val="000000"/>
        </w:rPr>
      </w:pPr>
      <w:r w:rsidRPr="00ED286E">
        <w:rPr>
          <w:rFonts w:cs="CIDFont+F5"/>
          <w:color w:val="000000"/>
        </w:rPr>
        <w:t>Review and provide comments on program progress against the overarching MEL framework; and</w:t>
      </w:r>
    </w:p>
    <w:p w14:paraId="191339B0" w14:textId="77777777" w:rsidR="00DB2E09" w:rsidRPr="004729E4" w:rsidRDefault="00DB2E09" w:rsidP="00DB2E09">
      <w:pPr>
        <w:pStyle w:val="ListParagraph"/>
        <w:numPr>
          <w:ilvl w:val="0"/>
          <w:numId w:val="66"/>
        </w:numPr>
        <w:autoSpaceDE w:val="0"/>
        <w:autoSpaceDN w:val="0"/>
        <w:adjustRightInd w:val="0"/>
        <w:spacing w:after="120" w:line="240" w:lineRule="auto"/>
        <w:rPr>
          <w:rFonts w:cs="CIDFont+F5"/>
          <w:color w:val="000000"/>
        </w:rPr>
      </w:pPr>
      <w:r w:rsidRPr="00ED286E">
        <w:rPr>
          <w:rFonts w:cs="CIDFont+F5"/>
          <w:color w:val="000000"/>
        </w:rPr>
        <w:t>Consider if existing collaboration and coordination mechanisms are effective.</w:t>
      </w:r>
    </w:p>
    <w:p w14:paraId="1198D9F3" w14:textId="77777777" w:rsidR="00DB2E09" w:rsidRDefault="00DB2E09" w:rsidP="00DB2E09">
      <w:pPr>
        <w:autoSpaceDE w:val="0"/>
        <w:autoSpaceDN w:val="0"/>
        <w:adjustRightInd w:val="0"/>
        <w:spacing w:after="120" w:line="240" w:lineRule="auto"/>
        <w:rPr>
          <w:rFonts w:cs="CIDFont+F5"/>
          <w:color w:val="000000"/>
        </w:rPr>
      </w:pPr>
      <w:r w:rsidRPr="00ED286E">
        <w:rPr>
          <w:rFonts w:cs="CIDFont+F5"/>
          <w:color w:val="000000"/>
        </w:rPr>
        <w:t>The AFP will provide secretariat support services t</w:t>
      </w:r>
      <w:r>
        <w:rPr>
          <w:rFonts w:cs="CIDFont+F5"/>
          <w:color w:val="000000"/>
        </w:rPr>
        <w:t xml:space="preserve">o the Joint Steering Committee, </w:t>
      </w:r>
      <w:r w:rsidRPr="00ED286E">
        <w:rPr>
          <w:rFonts w:cs="CIDFont+F5"/>
          <w:color w:val="000000"/>
        </w:rPr>
        <w:t>including ensuring all meeting materials are disseminated in a timely manner, and organising meetings and their logistics if necessary. The meetings could be timed such that the Program Annual Plans and Progress Reports are discussed a</w:t>
      </w:r>
      <w:r>
        <w:rPr>
          <w:rFonts w:cs="CIDFont+F5"/>
          <w:color w:val="000000"/>
        </w:rPr>
        <w:t>t each meeting.</w:t>
      </w:r>
    </w:p>
    <w:p w14:paraId="2FEDFDEB" w14:textId="4EEB38EB" w:rsidR="00DB2E09" w:rsidRDefault="00CF1FDE" w:rsidP="00DB2E09">
      <w:pPr>
        <w:autoSpaceDE w:val="0"/>
        <w:autoSpaceDN w:val="0"/>
        <w:adjustRightInd w:val="0"/>
        <w:spacing w:after="0" w:line="240" w:lineRule="auto"/>
        <w:rPr>
          <w:rFonts w:cs="CIDFont+F5"/>
          <w:color w:val="000000"/>
        </w:rPr>
      </w:pPr>
      <w:r>
        <w:rPr>
          <w:noProof/>
        </w:rPr>
        <w:drawing>
          <wp:inline distT="0" distB="0" distL="0" distR="0" wp14:anchorId="30F3725A" wp14:editId="282FAAC6">
            <wp:extent cx="5476875" cy="2809875"/>
            <wp:effectExtent l="0" t="0" r="9525" b="9525"/>
            <wp:docPr id="314" name="Picture 314" descr="Image depicting the program management structure, including the Joint Steering Committee, Program Coordination Board and TLPDP Annual Plan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Picture 314" descr="Image depicting the program management structure, including the Joint Steering Committee, Program Coordination Board and TLPDP Annual Planning"/>
                    <pic:cNvPicPr/>
                  </pic:nvPicPr>
                  <pic:blipFill>
                    <a:blip r:embed="rId15"/>
                    <a:stretch>
                      <a:fillRect/>
                    </a:stretch>
                  </pic:blipFill>
                  <pic:spPr>
                    <a:xfrm>
                      <a:off x="0" y="0"/>
                      <a:ext cx="5476875" cy="2809875"/>
                    </a:xfrm>
                    <a:prstGeom prst="rect">
                      <a:avLst/>
                    </a:prstGeom>
                  </pic:spPr>
                </pic:pic>
              </a:graphicData>
            </a:graphic>
          </wp:inline>
        </w:drawing>
      </w:r>
    </w:p>
    <w:p w14:paraId="743303A1" w14:textId="2A815068" w:rsidR="00D2281E" w:rsidRPr="00AE209B" w:rsidRDefault="00D2281E" w:rsidP="001218D8">
      <w:pPr>
        <w:pStyle w:val="Heading3"/>
        <w:numPr>
          <w:ilvl w:val="2"/>
          <w:numId w:val="61"/>
        </w:numPr>
        <w:spacing w:before="0" w:after="120" w:line="240" w:lineRule="auto"/>
        <w:ind w:left="567" w:hanging="567"/>
      </w:pPr>
      <w:bookmarkStart w:id="83" w:name="_Toc461808370"/>
      <w:bookmarkStart w:id="84" w:name="_Toc465247405"/>
      <w:bookmarkStart w:id="85" w:name="_Toc466471000"/>
      <w:bookmarkStart w:id="86" w:name="_Toc516189367"/>
      <w:r w:rsidRPr="00AE209B">
        <w:t>AFP roles and responsibilities</w:t>
      </w:r>
      <w:bookmarkEnd w:id="83"/>
      <w:bookmarkEnd w:id="84"/>
      <w:bookmarkEnd w:id="85"/>
      <w:bookmarkEnd w:id="86"/>
    </w:p>
    <w:p w14:paraId="641F240F" w14:textId="0FFB3651" w:rsidR="00D2281E" w:rsidRPr="005332A7" w:rsidRDefault="00D2281E" w:rsidP="007701F5">
      <w:pPr>
        <w:spacing w:after="120" w:line="240" w:lineRule="auto"/>
      </w:pPr>
      <w:r w:rsidRPr="005332A7">
        <w:t>The AFP is responsible for the implementation of the policing program and achievement of outcomes described in this design. It will manage the operational and administrative resourc</w:t>
      </w:r>
      <w:r w:rsidR="003B342B" w:rsidRPr="005332A7">
        <w:t>es necessary to implement this P</w:t>
      </w:r>
      <w:r w:rsidRPr="005332A7">
        <w:t>rogram, as well as the technical ca</w:t>
      </w:r>
      <w:r w:rsidR="003B342B" w:rsidRPr="005332A7">
        <w:t>pacity required to achieve the P</w:t>
      </w:r>
      <w:r w:rsidRPr="005332A7">
        <w:t>rogram outcomes. The AFP will provide high-level strategic an</w:t>
      </w:r>
      <w:r w:rsidR="003B342B" w:rsidRPr="005332A7">
        <w:t xml:space="preserve">d operational oversight of the </w:t>
      </w:r>
      <w:r w:rsidR="003B342B" w:rsidRPr="005332A7">
        <w:lastRenderedPageBreak/>
        <w:t>P</w:t>
      </w:r>
      <w:r w:rsidRPr="005332A7">
        <w:t xml:space="preserve">rogram, support in-country management, manage accountability requirements (reporting etc.) and planning processes, manage the operational aspects and their contribution to MEL. </w:t>
      </w:r>
    </w:p>
    <w:p w14:paraId="19B734EF" w14:textId="5651E917" w:rsidR="00D2281E" w:rsidRPr="005332A7" w:rsidRDefault="00305C14" w:rsidP="007701F5">
      <w:pPr>
        <w:spacing w:after="120" w:line="240" w:lineRule="auto"/>
      </w:pPr>
      <w:r w:rsidRPr="005332A7">
        <w:t xml:space="preserve">The </w:t>
      </w:r>
      <w:r w:rsidR="00D2281E" w:rsidRPr="005332A7">
        <w:t xml:space="preserve">AFP will be the key conduit for maintaining consistent operational standards, quality assurance and maintaining effective communications between all key stakeholders relevant to the Program. </w:t>
      </w:r>
    </w:p>
    <w:p w14:paraId="2476745E" w14:textId="77777777" w:rsidR="00D2281E" w:rsidRPr="005332A7" w:rsidRDefault="00D2281E" w:rsidP="007701F5">
      <w:pPr>
        <w:spacing w:after="120" w:line="240" w:lineRule="auto"/>
      </w:pPr>
      <w:r w:rsidRPr="005332A7">
        <w:t xml:space="preserve">The AFP will: </w:t>
      </w:r>
    </w:p>
    <w:p w14:paraId="6F5AEED2" w14:textId="2B5E4ACC" w:rsidR="00D2281E" w:rsidRPr="005332A7" w:rsidRDefault="00305C14" w:rsidP="007701F5">
      <w:pPr>
        <w:pStyle w:val="ListParagraph"/>
        <w:numPr>
          <w:ilvl w:val="1"/>
          <w:numId w:val="38"/>
        </w:numPr>
        <w:spacing w:after="120" w:line="240" w:lineRule="auto"/>
      </w:pPr>
      <w:r w:rsidRPr="005332A7">
        <w:t>M</w:t>
      </w:r>
      <w:r w:rsidR="00D2281E" w:rsidRPr="005332A7">
        <w:t xml:space="preserve">anage the recruitment, mobilisation, training and in-country management and support for </w:t>
      </w:r>
      <w:proofErr w:type="gramStart"/>
      <w:r w:rsidR="00D2281E" w:rsidRPr="005332A7">
        <w:t>advisers;</w:t>
      </w:r>
      <w:proofErr w:type="gramEnd"/>
    </w:p>
    <w:p w14:paraId="0E88E2BB" w14:textId="5B684AA6" w:rsidR="00D2281E" w:rsidRPr="005332A7" w:rsidRDefault="00305C14" w:rsidP="007701F5">
      <w:pPr>
        <w:pStyle w:val="ListParagraph"/>
        <w:numPr>
          <w:ilvl w:val="1"/>
          <w:numId w:val="38"/>
        </w:numPr>
        <w:spacing w:after="120" w:line="240" w:lineRule="auto"/>
      </w:pPr>
      <w:r w:rsidRPr="005332A7">
        <w:t>D</w:t>
      </w:r>
      <w:r w:rsidR="00D2281E" w:rsidRPr="005332A7">
        <w:t xml:space="preserve">evelop and manage work plans collaboratively with PNTL and </w:t>
      </w:r>
      <w:proofErr w:type="gramStart"/>
      <w:r w:rsidR="00D2281E" w:rsidRPr="005332A7">
        <w:t>advisers;</w:t>
      </w:r>
      <w:proofErr w:type="gramEnd"/>
      <w:r w:rsidR="00D2281E" w:rsidRPr="005332A7">
        <w:t xml:space="preserve"> </w:t>
      </w:r>
    </w:p>
    <w:p w14:paraId="346EDDE6" w14:textId="70485142" w:rsidR="00D2281E" w:rsidRPr="005332A7" w:rsidRDefault="00305C14" w:rsidP="007701F5">
      <w:pPr>
        <w:pStyle w:val="ListParagraph"/>
        <w:numPr>
          <w:ilvl w:val="1"/>
          <w:numId w:val="38"/>
        </w:numPr>
        <w:spacing w:after="120" w:line="240" w:lineRule="auto"/>
      </w:pPr>
      <w:r w:rsidRPr="005332A7">
        <w:t>E</w:t>
      </w:r>
      <w:r w:rsidR="00D2281E" w:rsidRPr="005332A7">
        <w:t xml:space="preserve">nsure compliance with Australian aid policies and </w:t>
      </w:r>
      <w:r w:rsidR="003B342B" w:rsidRPr="005332A7">
        <w:t>P</w:t>
      </w:r>
      <w:r w:rsidR="00D2281E" w:rsidRPr="005332A7">
        <w:t xml:space="preserve">rogram </w:t>
      </w:r>
      <w:proofErr w:type="gramStart"/>
      <w:r w:rsidR="00D2281E" w:rsidRPr="005332A7">
        <w:t>standards;</w:t>
      </w:r>
      <w:proofErr w:type="gramEnd"/>
    </w:p>
    <w:p w14:paraId="1C43A2B7" w14:textId="1413B2DA" w:rsidR="00D2281E" w:rsidRPr="005332A7" w:rsidRDefault="00305C14" w:rsidP="007701F5">
      <w:pPr>
        <w:pStyle w:val="ListParagraph"/>
        <w:numPr>
          <w:ilvl w:val="1"/>
          <w:numId w:val="38"/>
        </w:numPr>
        <w:spacing w:after="120" w:line="240" w:lineRule="auto"/>
      </w:pPr>
      <w:r w:rsidRPr="005332A7">
        <w:t>S</w:t>
      </w:r>
      <w:r w:rsidR="00D2281E" w:rsidRPr="005332A7">
        <w:t xml:space="preserve">upport the development (with DFAT and PNTL input, where appropriate) of the full suite of required strategies, plans and performance improvement activities that are </w:t>
      </w:r>
      <w:r w:rsidRPr="005332A7">
        <w:t>d</w:t>
      </w:r>
      <w:r w:rsidR="00D2281E" w:rsidRPr="005332A7">
        <w:t xml:space="preserve">etailed in this </w:t>
      </w:r>
      <w:proofErr w:type="gramStart"/>
      <w:r w:rsidR="00D2281E" w:rsidRPr="005332A7">
        <w:t>design;</w:t>
      </w:r>
      <w:proofErr w:type="gramEnd"/>
      <w:r w:rsidR="00D2281E" w:rsidRPr="005332A7">
        <w:t xml:space="preserve"> </w:t>
      </w:r>
    </w:p>
    <w:p w14:paraId="69C5F801" w14:textId="52C11316" w:rsidR="00D2281E" w:rsidRPr="005332A7" w:rsidRDefault="00305C14" w:rsidP="007701F5">
      <w:pPr>
        <w:pStyle w:val="ListParagraph"/>
        <w:numPr>
          <w:ilvl w:val="1"/>
          <w:numId w:val="38"/>
        </w:numPr>
        <w:spacing w:after="120" w:line="240" w:lineRule="auto"/>
      </w:pPr>
      <w:r w:rsidRPr="005332A7">
        <w:t>P</w:t>
      </w:r>
      <w:r w:rsidR="00D2281E" w:rsidRPr="005332A7">
        <w:t xml:space="preserve">rovide ongoing operational, logistics and technical support to </w:t>
      </w:r>
      <w:proofErr w:type="gramStart"/>
      <w:r w:rsidR="00D2281E" w:rsidRPr="005332A7">
        <w:t>advisers;</w:t>
      </w:r>
      <w:proofErr w:type="gramEnd"/>
      <w:r w:rsidR="00D2281E" w:rsidRPr="005332A7">
        <w:t xml:space="preserve"> </w:t>
      </w:r>
    </w:p>
    <w:p w14:paraId="6AC84109" w14:textId="54060E2E" w:rsidR="00D2281E" w:rsidRPr="005332A7" w:rsidRDefault="00305C14" w:rsidP="007701F5">
      <w:pPr>
        <w:pStyle w:val="ListParagraph"/>
        <w:numPr>
          <w:ilvl w:val="1"/>
          <w:numId w:val="38"/>
        </w:numPr>
        <w:spacing w:after="120" w:line="240" w:lineRule="auto"/>
      </w:pPr>
      <w:r w:rsidRPr="005332A7">
        <w:t>D</w:t>
      </w:r>
      <w:r w:rsidR="00D2281E" w:rsidRPr="005332A7">
        <w:t>evelop and manage the budget and allocation of funds</w:t>
      </w:r>
    </w:p>
    <w:p w14:paraId="1F73EE15" w14:textId="075AD6BA" w:rsidR="00D2281E" w:rsidRPr="005332A7" w:rsidRDefault="00305C14" w:rsidP="007701F5">
      <w:pPr>
        <w:pStyle w:val="ListParagraph"/>
        <w:numPr>
          <w:ilvl w:val="1"/>
          <w:numId w:val="38"/>
        </w:numPr>
        <w:spacing w:after="120" w:line="240" w:lineRule="auto"/>
      </w:pPr>
      <w:r w:rsidRPr="005332A7">
        <w:t>U</w:t>
      </w:r>
      <w:r w:rsidR="00D2281E" w:rsidRPr="005332A7">
        <w:t>ndertake annual planning processes, events, monitoring visits, etc; and</w:t>
      </w:r>
    </w:p>
    <w:p w14:paraId="3D816030" w14:textId="28FDB4CD" w:rsidR="00D2281E" w:rsidRPr="005332A7" w:rsidRDefault="00305C14" w:rsidP="007701F5">
      <w:pPr>
        <w:pStyle w:val="ListParagraph"/>
        <w:numPr>
          <w:ilvl w:val="1"/>
          <w:numId w:val="38"/>
        </w:numPr>
        <w:spacing w:after="120" w:line="240" w:lineRule="auto"/>
      </w:pPr>
      <w:r w:rsidRPr="005332A7">
        <w:t>U</w:t>
      </w:r>
      <w:r w:rsidR="00D2281E" w:rsidRPr="005332A7">
        <w:t>ndertake mo</w:t>
      </w:r>
      <w:r w:rsidR="003B342B" w:rsidRPr="005332A7">
        <w:t>nitoring and evaluation of the P</w:t>
      </w:r>
      <w:r w:rsidR="00D2281E" w:rsidRPr="005332A7">
        <w:t>rogram and collate data for this purpose.</w:t>
      </w:r>
    </w:p>
    <w:p w14:paraId="5A9DE725" w14:textId="77777777" w:rsidR="00D2281E" w:rsidRPr="005332A7" w:rsidRDefault="00D2281E" w:rsidP="007701F5">
      <w:pPr>
        <w:spacing w:after="120" w:line="240" w:lineRule="auto"/>
      </w:pPr>
      <w:r w:rsidRPr="005332A7">
        <w:t>Efficient and fit-for-purpose systems and processes will be established and adequately resourced to deliver quality human resource management, administration, finance, grants, logistics, security and marketing and communications.</w:t>
      </w:r>
    </w:p>
    <w:p w14:paraId="76B94D5B" w14:textId="3DF6694B" w:rsidR="00D2281E" w:rsidRPr="00AE209B" w:rsidRDefault="00D2281E" w:rsidP="001218D8">
      <w:pPr>
        <w:pStyle w:val="Heading3"/>
        <w:numPr>
          <w:ilvl w:val="2"/>
          <w:numId w:val="61"/>
        </w:numPr>
        <w:spacing w:before="0" w:after="120" w:line="240" w:lineRule="auto"/>
        <w:ind w:left="567" w:hanging="567"/>
      </w:pPr>
      <w:bookmarkStart w:id="87" w:name="_Toc465247406"/>
      <w:bookmarkStart w:id="88" w:name="_Toc466471001"/>
      <w:bookmarkStart w:id="89" w:name="_Toc516189368"/>
      <w:r w:rsidRPr="00AE209B">
        <w:t>Program staffing</w:t>
      </w:r>
      <w:bookmarkEnd w:id="87"/>
      <w:bookmarkEnd w:id="88"/>
      <w:bookmarkEnd w:id="89"/>
    </w:p>
    <w:p w14:paraId="3DD990DF" w14:textId="2195719E" w:rsidR="00D2281E" w:rsidRPr="005332A7" w:rsidRDefault="00D2281E" w:rsidP="007701F5">
      <w:pPr>
        <w:spacing w:after="120" w:line="240" w:lineRule="auto"/>
      </w:pPr>
      <w:proofErr w:type="gramStart"/>
      <w:r w:rsidRPr="005332A7">
        <w:t>The placement of AFP advisers,</w:t>
      </w:r>
      <w:proofErr w:type="gramEnd"/>
      <w:r w:rsidRPr="005332A7">
        <w:t xml:space="preserve"> contracted technical advisers and LES is to be arranged around the most effective and efficient means for both the development of PNTL capability and for the overall management of the Program. To</w:t>
      </w:r>
      <w:r w:rsidR="003B342B" w:rsidRPr="005332A7">
        <w:t xml:space="preserve"> enable the achievement of the P</w:t>
      </w:r>
      <w:r w:rsidRPr="005332A7">
        <w:t xml:space="preserve">rogram’s objectives, the organisational structure will need to be aligned against the key </w:t>
      </w:r>
      <w:r w:rsidR="00987DBE" w:rsidRPr="005332A7">
        <w:t>Program Components</w:t>
      </w:r>
      <w:r w:rsidRPr="005332A7">
        <w:t xml:space="preserve"> and the Program’s management, support and MEL requirements. This will involve the deployment and engagement of personnel with a range of capacities</w:t>
      </w:r>
      <w:r w:rsidR="00B15E9F" w:rsidRPr="005332A7">
        <w:t>,</w:t>
      </w:r>
      <w:r w:rsidR="00A469B8" w:rsidRPr="005332A7">
        <w:t xml:space="preserve"> including advisers with appropriate specialist skills, technical abilities and cultural awareness </w:t>
      </w:r>
      <w:r w:rsidR="003B342B" w:rsidRPr="005332A7">
        <w:t>to deliver each element of the P</w:t>
      </w:r>
      <w:r w:rsidR="00A469B8" w:rsidRPr="005332A7">
        <w:t>rogram.</w:t>
      </w:r>
    </w:p>
    <w:p w14:paraId="5E979BBE" w14:textId="5F52326F" w:rsidR="00D2281E" w:rsidRPr="005332A7" w:rsidRDefault="00D2281E" w:rsidP="007701F5">
      <w:pPr>
        <w:spacing w:after="120" w:line="240" w:lineRule="auto"/>
      </w:pPr>
      <w:r w:rsidRPr="005332A7">
        <w:t xml:space="preserve">The Program will need to exercise a degree of flexibility and </w:t>
      </w:r>
      <w:r w:rsidR="005332A7">
        <w:t>adaptability</w:t>
      </w:r>
      <w:r w:rsidRPr="005332A7">
        <w:t xml:space="preserve"> in aligning individuals against shared outcomes and the probable need at various times to adjust the focus of personnel. Equally, with limited resources available the Program will need to assign multiple roles to some technical and support personnel. The Program’s joint management approach should also provide collaborative problem-solving opportunities.</w:t>
      </w:r>
    </w:p>
    <w:p w14:paraId="793EB4F7" w14:textId="35653C07" w:rsidR="00D2281E" w:rsidRPr="005332A7" w:rsidRDefault="00D2281E" w:rsidP="007701F5">
      <w:pPr>
        <w:spacing w:after="120" w:line="240" w:lineRule="auto"/>
      </w:pPr>
      <w:r w:rsidRPr="005332A7">
        <w:t>Resourcing the investment’s MEL</w:t>
      </w:r>
      <w:r w:rsidR="00647DE6">
        <w:t xml:space="preserve"> framework,</w:t>
      </w:r>
      <w:r w:rsidRPr="005332A7">
        <w:t xml:space="preserve"> considering the limited available resources</w:t>
      </w:r>
      <w:r w:rsidR="00647DE6">
        <w:t>,</w:t>
      </w:r>
      <w:r w:rsidRPr="005332A7">
        <w:t xml:space="preserve"> will be a challenge for the program. The MEL will comply with DFAT Monitoring and Evaluation Standards 2 and 3 (April 2017)</w:t>
      </w:r>
      <w:r w:rsidR="00987DBE" w:rsidRPr="005332A7">
        <w:t>. Co</w:t>
      </w:r>
      <w:r w:rsidRPr="005332A7">
        <w:t xml:space="preserve">nsistent with Standard 1, the </w:t>
      </w:r>
      <w:r w:rsidR="00987DBE" w:rsidRPr="005332A7">
        <w:t>P</w:t>
      </w:r>
      <w:r w:rsidRPr="005332A7">
        <w:t xml:space="preserve">rogram will require ongoing and targeted support provided by an adequately qualified </w:t>
      </w:r>
      <w:r w:rsidR="003A0268" w:rsidRPr="005332A7">
        <w:t>MEL</w:t>
      </w:r>
      <w:r w:rsidRPr="005332A7">
        <w:t xml:space="preserve"> Practitioner.</w:t>
      </w:r>
      <w:r w:rsidR="00647DE6">
        <w:t xml:space="preserve"> </w:t>
      </w:r>
      <w:r w:rsidRPr="005332A7">
        <w:t xml:space="preserve"> The following options could be considered to resource the MEL requirement: </w:t>
      </w:r>
    </w:p>
    <w:p w14:paraId="4381744E" w14:textId="6FDB1CC9" w:rsidR="000211B9" w:rsidRDefault="00D2281E" w:rsidP="007701F5">
      <w:pPr>
        <w:spacing w:after="120" w:line="240" w:lineRule="auto"/>
        <w:ind w:left="567"/>
      </w:pPr>
      <w:r w:rsidRPr="005332A7">
        <w:rPr>
          <w:b/>
        </w:rPr>
        <w:t>Option 1</w:t>
      </w:r>
      <w:r w:rsidRPr="005332A7">
        <w:t xml:space="preserve">: </w:t>
      </w:r>
      <w:r w:rsidR="000211B9" w:rsidRPr="006D0C4E">
        <w:rPr>
          <w:b/>
        </w:rPr>
        <w:t xml:space="preserve">part-time AFP member </w:t>
      </w:r>
      <w:r w:rsidR="00647DE6">
        <w:rPr>
          <w:b/>
        </w:rPr>
        <w:t xml:space="preserve">MEL </w:t>
      </w:r>
      <w:r w:rsidR="000211B9" w:rsidRPr="006D0C4E">
        <w:rPr>
          <w:b/>
        </w:rPr>
        <w:t>support</w:t>
      </w:r>
      <w:r w:rsidR="00647DE6">
        <w:rPr>
          <w:b/>
        </w:rPr>
        <w:t>, and AFP Australia-based support.</w:t>
      </w:r>
    </w:p>
    <w:p w14:paraId="75B16BFA" w14:textId="5E29B733" w:rsidR="00D2281E" w:rsidRDefault="00D2281E" w:rsidP="006D0C4E">
      <w:pPr>
        <w:pStyle w:val="ListParagraph"/>
        <w:numPr>
          <w:ilvl w:val="0"/>
          <w:numId w:val="63"/>
        </w:numPr>
        <w:spacing w:after="120" w:line="240" w:lineRule="auto"/>
      </w:pPr>
      <w:r w:rsidRPr="005332A7">
        <w:t>An AFP member performing a dual role encompassing MEL and some Program Management functions (finance, HR, contracts or logistics).</w:t>
      </w:r>
      <w:r w:rsidR="000211B9">
        <w:t xml:space="preserve"> This option assumes that TLPDP </w:t>
      </w:r>
      <w:r w:rsidR="00647DE6">
        <w:t>will</w:t>
      </w:r>
      <w:r w:rsidR="000211B9">
        <w:t xml:space="preserve"> be provided with short-term MEL support from Australia-based</w:t>
      </w:r>
      <w:r w:rsidR="00647DE6">
        <w:t xml:space="preserve"> (A-based)</w:t>
      </w:r>
      <w:r w:rsidR="000211B9">
        <w:t xml:space="preserve"> AFP members, otherwise it is an inadequate option to provide satisfactory MEL resources.</w:t>
      </w:r>
    </w:p>
    <w:p w14:paraId="1C290F41" w14:textId="44CC785A" w:rsidR="002A547D" w:rsidRPr="006D0C4E" w:rsidRDefault="002A547D" w:rsidP="007701F5">
      <w:pPr>
        <w:spacing w:after="120" w:line="240" w:lineRule="auto"/>
        <w:ind w:left="567"/>
        <w:rPr>
          <w:b/>
          <w:u w:val="single"/>
        </w:rPr>
      </w:pPr>
      <w:r w:rsidRPr="006D0C4E">
        <w:rPr>
          <w:b/>
          <w:u w:val="single"/>
        </w:rPr>
        <w:t>And/or:</w:t>
      </w:r>
    </w:p>
    <w:p w14:paraId="655CB66F" w14:textId="642802FE" w:rsidR="000211B9" w:rsidRDefault="00D2281E" w:rsidP="007701F5">
      <w:pPr>
        <w:spacing w:after="120" w:line="240" w:lineRule="auto"/>
        <w:ind w:left="567"/>
      </w:pPr>
      <w:r w:rsidRPr="005332A7">
        <w:rPr>
          <w:b/>
        </w:rPr>
        <w:t>Option 2</w:t>
      </w:r>
      <w:r w:rsidRPr="005332A7">
        <w:t xml:space="preserve">: </w:t>
      </w:r>
      <w:r w:rsidR="00647DE6" w:rsidRPr="006D0C4E">
        <w:rPr>
          <w:b/>
        </w:rPr>
        <w:t>Option 1</w:t>
      </w:r>
      <w:r w:rsidR="00647DE6">
        <w:rPr>
          <w:b/>
        </w:rPr>
        <w:t>,</w:t>
      </w:r>
      <w:r w:rsidR="00647DE6" w:rsidRPr="006D0C4E">
        <w:rPr>
          <w:b/>
        </w:rPr>
        <w:t xml:space="preserve"> plus </w:t>
      </w:r>
      <w:r w:rsidR="000211B9" w:rsidRPr="006D0C4E">
        <w:rPr>
          <w:b/>
        </w:rPr>
        <w:t>LES and short-term MEL advisory support</w:t>
      </w:r>
      <w:r w:rsidR="00647DE6">
        <w:rPr>
          <w:b/>
        </w:rPr>
        <w:t>.</w:t>
      </w:r>
    </w:p>
    <w:p w14:paraId="32884697" w14:textId="3F986A75" w:rsidR="00D2281E" w:rsidRPr="005332A7" w:rsidRDefault="00D2281E" w:rsidP="006D0C4E">
      <w:pPr>
        <w:pStyle w:val="ListParagraph"/>
        <w:numPr>
          <w:ilvl w:val="0"/>
          <w:numId w:val="63"/>
        </w:numPr>
        <w:spacing w:after="120" w:line="240" w:lineRule="auto"/>
      </w:pPr>
      <w:r w:rsidRPr="005332A7">
        <w:lastRenderedPageBreak/>
        <w:t>LES team member</w:t>
      </w:r>
      <w:r w:rsidR="000211B9">
        <w:t>/s</w:t>
      </w:r>
      <w:r w:rsidRPr="005332A7">
        <w:t xml:space="preserve"> collating MEL dat</w:t>
      </w:r>
      <w:r w:rsidR="003B342B" w:rsidRPr="005332A7">
        <w:t>a collectively provided by the P</w:t>
      </w:r>
      <w:r w:rsidRPr="005332A7">
        <w:t>rogram’s AFP advisers, wit</w:t>
      </w:r>
      <w:r w:rsidR="003A0268" w:rsidRPr="005332A7">
        <w:t>h intermittent support from MEL</w:t>
      </w:r>
      <w:r w:rsidRPr="005332A7">
        <w:t xml:space="preserve"> practitioner</w:t>
      </w:r>
      <w:r w:rsidR="00647DE6">
        <w:t>/s</w:t>
      </w:r>
      <w:r w:rsidRPr="005332A7">
        <w:t xml:space="preserve"> providing short-term in-country inputs</w:t>
      </w:r>
      <w:r w:rsidR="00647DE6">
        <w:t>. Short-term support could</w:t>
      </w:r>
      <w:r w:rsidRPr="005332A7">
        <w:t xml:space="preserve"> </w:t>
      </w:r>
      <w:r w:rsidR="00647DE6">
        <w:t xml:space="preserve">be </w:t>
      </w:r>
      <w:r w:rsidRPr="005332A7">
        <w:t xml:space="preserve">scheduled to coincide with the </w:t>
      </w:r>
      <w:r w:rsidR="003B342B" w:rsidRPr="005332A7">
        <w:t>P</w:t>
      </w:r>
      <w:r w:rsidRPr="005332A7">
        <w:t>rogram’s key MEL events (planning and various reporting)</w:t>
      </w:r>
      <w:r w:rsidR="00647DE6">
        <w:t>, and this support would likely be contracted services, with some A-based AFP support provided</w:t>
      </w:r>
    </w:p>
    <w:p w14:paraId="3108D092" w14:textId="61B516AA" w:rsidR="00D2281E" w:rsidRPr="00940239" w:rsidRDefault="00D2281E" w:rsidP="007701F5">
      <w:pPr>
        <w:spacing w:after="120" w:line="240" w:lineRule="auto"/>
        <w:rPr>
          <w:rFonts w:asciiTheme="majorHAnsi" w:hAnsiTheme="majorHAnsi"/>
        </w:rPr>
      </w:pPr>
      <w:r w:rsidRPr="005332A7">
        <w:t xml:space="preserve">Option 2 provides an added capacity development benefit for an LES to learn the principles and processes involved in managing the MEL framework. Regardless of the MEL implementation model applied, all </w:t>
      </w:r>
      <w:r w:rsidR="00987DBE" w:rsidRPr="005332A7">
        <w:t>P</w:t>
      </w:r>
      <w:r w:rsidRPr="005332A7">
        <w:t xml:space="preserve">rogram advisers will need to play an active </w:t>
      </w:r>
      <w:r w:rsidR="003A0268" w:rsidRPr="005332A7">
        <w:t>MEL</w:t>
      </w:r>
      <w:r w:rsidRPr="005332A7">
        <w:t xml:space="preserve"> role during their delivery of respective activities.</w:t>
      </w:r>
      <w:r w:rsidRPr="00940239">
        <w:rPr>
          <w:rFonts w:asciiTheme="majorHAnsi" w:hAnsiTheme="majorHAnsi"/>
        </w:rPr>
        <w:t xml:space="preserve"> </w:t>
      </w:r>
    </w:p>
    <w:p w14:paraId="60A7BB96" w14:textId="45D03C5D" w:rsidR="00EF1C3D" w:rsidRPr="00AE209B" w:rsidRDefault="00FC25B7" w:rsidP="00A42C1F">
      <w:pPr>
        <w:pStyle w:val="Heading2"/>
        <w:numPr>
          <w:ilvl w:val="1"/>
          <w:numId w:val="61"/>
        </w:numPr>
        <w:spacing w:before="0" w:after="120" w:line="240" w:lineRule="auto"/>
        <w:ind w:left="426"/>
        <w:rPr>
          <w:lang w:eastAsia="en-US"/>
        </w:rPr>
      </w:pPr>
      <w:r>
        <w:t xml:space="preserve"> </w:t>
      </w:r>
      <w:bookmarkStart w:id="90" w:name="_Toc516189369"/>
      <w:r w:rsidR="00EF1C3D" w:rsidRPr="00AE209B">
        <w:t>Reporting</w:t>
      </w:r>
      <w:bookmarkEnd w:id="90"/>
    </w:p>
    <w:p w14:paraId="61B09B19" w14:textId="0D261AA4" w:rsidR="00C461B0" w:rsidRPr="005332A7" w:rsidRDefault="00C461B0" w:rsidP="007701F5">
      <w:pPr>
        <w:spacing w:after="120" w:line="240" w:lineRule="auto"/>
      </w:pPr>
      <w:r w:rsidRPr="005332A7">
        <w:t>In addition to occasional requests for report</w:t>
      </w:r>
      <w:r w:rsidR="003B342B" w:rsidRPr="005332A7">
        <w:t>s from DFAT, AFP and PNTL, the P</w:t>
      </w:r>
      <w:r w:rsidRPr="005332A7">
        <w:t>rogram will be required to provide regular performance reports which include the following:</w:t>
      </w:r>
    </w:p>
    <w:p w14:paraId="739F7F7B" w14:textId="48EA7843" w:rsidR="00BC1CE4" w:rsidRDefault="00BC1CE4" w:rsidP="007701F5">
      <w:pPr>
        <w:pStyle w:val="ListParagraph"/>
        <w:numPr>
          <w:ilvl w:val="0"/>
          <w:numId w:val="41"/>
        </w:numPr>
        <w:spacing w:after="120" w:line="240" w:lineRule="auto"/>
      </w:pPr>
      <w:r>
        <w:t xml:space="preserve">Weekly situation </w:t>
      </w:r>
      <w:proofErr w:type="gramStart"/>
      <w:r>
        <w:t>reports;</w:t>
      </w:r>
      <w:proofErr w:type="gramEnd"/>
    </w:p>
    <w:p w14:paraId="4F3AFE40" w14:textId="77777777" w:rsidR="00C461B0" w:rsidRPr="005332A7" w:rsidRDefault="00C461B0" w:rsidP="007701F5">
      <w:pPr>
        <w:pStyle w:val="ListParagraph"/>
        <w:numPr>
          <w:ilvl w:val="0"/>
          <w:numId w:val="41"/>
        </w:numPr>
        <w:spacing w:after="120" w:line="240" w:lineRule="auto"/>
      </w:pPr>
      <w:r w:rsidRPr="005332A7">
        <w:t xml:space="preserve">Health </w:t>
      </w:r>
      <w:proofErr w:type="gramStart"/>
      <w:r w:rsidRPr="005332A7">
        <w:t>Checks;</w:t>
      </w:r>
      <w:proofErr w:type="gramEnd"/>
    </w:p>
    <w:p w14:paraId="2538B3DE" w14:textId="00714832" w:rsidR="00C461B0" w:rsidRPr="005332A7" w:rsidRDefault="00C461B0" w:rsidP="007701F5">
      <w:pPr>
        <w:pStyle w:val="ListParagraph"/>
        <w:numPr>
          <w:ilvl w:val="0"/>
          <w:numId w:val="41"/>
        </w:numPr>
        <w:spacing w:after="120" w:line="240" w:lineRule="auto"/>
      </w:pPr>
      <w:r w:rsidRPr="005332A7">
        <w:t xml:space="preserve">Official </w:t>
      </w:r>
      <w:r w:rsidR="0061629F" w:rsidRPr="005332A7">
        <w:t>D</w:t>
      </w:r>
      <w:r w:rsidRPr="005332A7">
        <w:t>evelopment Assistance (ODA) reports (</w:t>
      </w:r>
      <w:r w:rsidR="00FF1232" w:rsidRPr="005332A7">
        <w:t>Six-</w:t>
      </w:r>
      <w:r w:rsidRPr="005332A7">
        <w:t>Monthly</w:t>
      </w:r>
      <w:proofErr w:type="gramStart"/>
      <w:r w:rsidRPr="005332A7">
        <w:t>);</w:t>
      </w:r>
      <w:proofErr w:type="gramEnd"/>
    </w:p>
    <w:p w14:paraId="0B592498" w14:textId="77777777" w:rsidR="00C461B0" w:rsidRPr="005332A7" w:rsidRDefault="00C461B0" w:rsidP="007701F5">
      <w:pPr>
        <w:pStyle w:val="ListParagraph"/>
        <w:numPr>
          <w:ilvl w:val="0"/>
          <w:numId w:val="41"/>
        </w:numPr>
        <w:spacing w:after="120" w:line="240" w:lineRule="auto"/>
      </w:pPr>
      <w:r w:rsidRPr="005332A7">
        <w:t xml:space="preserve">Bi-monthly progress </w:t>
      </w:r>
      <w:proofErr w:type="gramStart"/>
      <w:r w:rsidRPr="005332A7">
        <w:t>reports;</w:t>
      </w:r>
      <w:proofErr w:type="gramEnd"/>
    </w:p>
    <w:p w14:paraId="75DD7FA2" w14:textId="77777777" w:rsidR="00C461B0" w:rsidRPr="005332A7" w:rsidRDefault="00C461B0" w:rsidP="007701F5">
      <w:pPr>
        <w:pStyle w:val="ListParagraph"/>
        <w:numPr>
          <w:ilvl w:val="0"/>
          <w:numId w:val="41"/>
        </w:numPr>
        <w:spacing w:after="120" w:line="240" w:lineRule="auto"/>
      </w:pPr>
      <w:r w:rsidRPr="005332A7">
        <w:t xml:space="preserve">Program Coordination Board </w:t>
      </w:r>
      <w:proofErr w:type="gramStart"/>
      <w:r w:rsidRPr="005332A7">
        <w:t>reports;</w:t>
      </w:r>
      <w:proofErr w:type="gramEnd"/>
    </w:p>
    <w:p w14:paraId="4D764E54" w14:textId="77777777" w:rsidR="00C461B0" w:rsidRPr="005332A7" w:rsidRDefault="00C461B0" w:rsidP="007701F5">
      <w:pPr>
        <w:pStyle w:val="ListParagraph"/>
        <w:numPr>
          <w:ilvl w:val="0"/>
          <w:numId w:val="41"/>
        </w:numPr>
        <w:spacing w:after="120" w:line="240" w:lineRule="auto"/>
      </w:pPr>
      <w:r w:rsidRPr="005332A7">
        <w:t>Mission Performance Reports (six monthly</w:t>
      </w:r>
      <w:proofErr w:type="gramStart"/>
      <w:r w:rsidRPr="005332A7">
        <w:t>);</w:t>
      </w:r>
      <w:proofErr w:type="gramEnd"/>
    </w:p>
    <w:p w14:paraId="4EA7DCAF" w14:textId="77777777" w:rsidR="00C461B0" w:rsidRPr="005332A7" w:rsidRDefault="00C461B0" w:rsidP="007701F5">
      <w:pPr>
        <w:pStyle w:val="ListParagraph"/>
        <w:numPr>
          <w:ilvl w:val="0"/>
          <w:numId w:val="41"/>
        </w:numPr>
        <w:spacing w:after="120" w:line="240" w:lineRule="auto"/>
      </w:pPr>
      <w:r w:rsidRPr="005332A7">
        <w:t>Project Completion reports (Annually); and</w:t>
      </w:r>
    </w:p>
    <w:p w14:paraId="18C9FC32" w14:textId="77777777" w:rsidR="00C461B0" w:rsidRPr="005332A7" w:rsidRDefault="00C461B0" w:rsidP="007701F5">
      <w:pPr>
        <w:pStyle w:val="ListParagraph"/>
        <w:numPr>
          <w:ilvl w:val="0"/>
          <w:numId w:val="41"/>
        </w:numPr>
        <w:spacing w:after="120" w:line="240" w:lineRule="auto"/>
      </w:pPr>
      <w:r w:rsidRPr="005332A7">
        <w:t>Aid Program Performance Reports (APPR) - (Annually).</w:t>
      </w:r>
    </w:p>
    <w:p w14:paraId="10368FF4" w14:textId="77777777" w:rsidR="00C461B0" w:rsidRPr="005332A7" w:rsidRDefault="00C461B0" w:rsidP="007701F5">
      <w:pPr>
        <w:spacing w:after="120" w:line="240" w:lineRule="auto"/>
      </w:pPr>
      <w:r w:rsidRPr="005332A7">
        <w:t>Report content will vary and may include the following:</w:t>
      </w:r>
    </w:p>
    <w:p w14:paraId="183D4D5F" w14:textId="77777777" w:rsidR="00C461B0" w:rsidRPr="005332A7" w:rsidRDefault="00C461B0" w:rsidP="00B3113D">
      <w:pPr>
        <w:pStyle w:val="ListParagraph"/>
        <w:numPr>
          <w:ilvl w:val="0"/>
          <w:numId w:val="41"/>
        </w:numPr>
        <w:spacing w:after="120" w:line="240" w:lineRule="auto"/>
      </w:pPr>
      <w:r w:rsidRPr="005332A7">
        <w:t xml:space="preserve">Highlights from previous </w:t>
      </w:r>
      <w:proofErr w:type="gramStart"/>
      <w:r w:rsidRPr="005332A7">
        <w:t>period;</w:t>
      </w:r>
      <w:proofErr w:type="gramEnd"/>
    </w:p>
    <w:p w14:paraId="02CE052A" w14:textId="77777777" w:rsidR="00C461B0" w:rsidRPr="005332A7" w:rsidRDefault="00C461B0" w:rsidP="00B3113D">
      <w:pPr>
        <w:pStyle w:val="ListParagraph"/>
        <w:numPr>
          <w:ilvl w:val="0"/>
          <w:numId w:val="41"/>
        </w:numPr>
        <w:spacing w:after="120" w:line="240" w:lineRule="auto"/>
      </w:pPr>
      <w:r w:rsidRPr="005332A7">
        <w:t xml:space="preserve">Update on progress against the Annual Action/Work Plans </w:t>
      </w:r>
      <w:proofErr w:type="gramStart"/>
      <w:r w:rsidRPr="005332A7">
        <w:t>targets;</w:t>
      </w:r>
      <w:proofErr w:type="gramEnd"/>
    </w:p>
    <w:p w14:paraId="34A8D2F5" w14:textId="77777777" w:rsidR="00C461B0" w:rsidRPr="005332A7" w:rsidRDefault="00C461B0" w:rsidP="00B3113D">
      <w:pPr>
        <w:pStyle w:val="ListParagraph"/>
        <w:numPr>
          <w:ilvl w:val="0"/>
          <w:numId w:val="41"/>
        </w:numPr>
        <w:spacing w:after="120" w:line="240" w:lineRule="auto"/>
      </w:pPr>
      <w:r w:rsidRPr="005332A7">
        <w:t xml:space="preserve">Progress against the Performance Indicators (see Monitoring, evaluation and learning section) and analysis demonstrating progress towards </w:t>
      </w:r>
      <w:proofErr w:type="gramStart"/>
      <w:r w:rsidRPr="005332A7">
        <w:t>outcomes;</w:t>
      </w:r>
      <w:proofErr w:type="gramEnd"/>
    </w:p>
    <w:p w14:paraId="4BB1CB69" w14:textId="77777777" w:rsidR="00C461B0" w:rsidRPr="005332A7" w:rsidRDefault="00C461B0" w:rsidP="00B3113D">
      <w:pPr>
        <w:pStyle w:val="ListParagraph"/>
        <w:numPr>
          <w:ilvl w:val="0"/>
          <w:numId w:val="41"/>
        </w:numPr>
        <w:spacing w:after="120" w:line="240" w:lineRule="auto"/>
      </w:pPr>
      <w:r w:rsidRPr="005332A7">
        <w:t xml:space="preserve">Health checks on the relationships with </w:t>
      </w:r>
      <w:proofErr w:type="gramStart"/>
      <w:r w:rsidRPr="005332A7">
        <w:t>PNTL;</w:t>
      </w:r>
      <w:proofErr w:type="gramEnd"/>
    </w:p>
    <w:p w14:paraId="7ED553C8" w14:textId="77777777" w:rsidR="00C461B0" w:rsidRPr="005332A7" w:rsidRDefault="00C461B0" w:rsidP="00B3113D">
      <w:pPr>
        <w:pStyle w:val="ListParagraph"/>
        <w:numPr>
          <w:ilvl w:val="0"/>
          <w:numId w:val="41"/>
        </w:numPr>
        <w:spacing w:after="120" w:line="240" w:lineRule="auto"/>
      </w:pPr>
      <w:r w:rsidRPr="005332A7">
        <w:t xml:space="preserve">Innovation and Research Initiatives and </w:t>
      </w:r>
      <w:proofErr w:type="gramStart"/>
      <w:r w:rsidRPr="005332A7">
        <w:t>outcomes;</w:t>
      </w:r>
      <w:proofErr w:type="gramEnd"/>
    </w:p>
    <w:p w14:paraId="58FC1B49" w14:textId="77777777" w:rsidR="00C461B0" w:rsidRPr="005332A7" w:rsidRDefault="00C461B0" w:rsidP="00B3113D">
      <w:pPr>
        <w:pStyle w:val="ListParagraph"/>
        <w:numPr>
          <w:ilvl w:val="0"/>
          <w:numId w:val="41"/>
        </w:numPr>
        <w:spacing w:after="120" w:line="240" w:lineRule="auto"/>
      </w:pPr>
      <w:r w:rsidRPr="005332A7">
        <w:t xml:space="preserve">Risks and Mitigation </w:t>
      </w:r>
      <w:proofErr w:type="gramStart"/>
      <w:r w:rsidRPr="005332A7">
        <w:t>Strategies;</w:t>
      </w:r>
      <w:proofErr w:type="gramEnd"/>
    </w:p>
    <w:p w14:paraId="5AAFB4A2" w14:textId="77777777" w:rsidR="00C461B0" w:rsidRPr="005332A7" w:rsidRDefault="00C461B0" w:rsidP="00B3113D">
      <w:pPr>
        <w:pStyle w:val="ListParagraph"/>
        <w:numPr>
          <w:ilvl w:val="0"/>
          <w:numId w:val="41"/>
        </w:numPr>
        <w:spacing w:after="120" w:line="240" w:lineRule="auto"/>
      </w:pPr>
      <w:r w:rsidRPr="005332A7">
        <w:t>Proposed future directions; and</w:t>
      </w:r>
    </w:p>
    <w:p w14:paraId="21B18105" w14:textId="77777777" w:rsidR="00C461B0" w:rsidRDefault="00C461B0" w:rsidP="00B3113D">
      <w:pPr>
        <w:pStyle w:val="ListParagraph"/>
        <w:numPr>
          <w:ilvl w:val="0"/>
          <w:numId w:val="41"/>
        </w:numPr>
        <w:spacing w:after="120" w:line="240" w:lineRule="auto"/>
      </w:pPr>
      <w:r w:rsidRPr="005332A7">
        <w:t>Financial report.</w:t>
      </w:r>
    </w:p>
    <w:p w14:paraId="23FBB436" w14:textId="77777777" w:rsidR="00BC1CE4" w:rsidRPr="00BC1CE4" w:rsidRDefault="00BC1CE4" w:rsidP="00BC1CE4">
      <w:pPr>
        <w:spacing w:after="120" w:line="240" w:lineRule="auto"/>
      </w:pPr>
    </w:p>
    <w:p w14:paraId="32C12435" w14:textId="31322EF9" w:rsidR="00C461B0" w:rsidRPr="00AE209B" w:rsidRDefault="00C461B0" w:rsidP="001218D8">
      <w:pPr>
        <w:pStyle w:val="Heading3"/>
        <w:numPr>
          <w:ilvl w:val="2"/>
          <w:numId w:val="61"/>
        </w:numPr>
        <w:spacing w:before="0" w:after="120" w:line="240" w:lineRule="auto"/>
        <w:ind w:left="567" w:hanging="567"/>
      </w:pPr>
      <w:bookmarkStart w:id="91" w:name="_Toc462399853"/>
      <w:bookmarkStart w:id="92" w:name="_Toc465247410"/>
      <w:bookmarkStart w:id="93" w:name="_Toc466471005"/>
      <w:bookmarkStart w:id="94" w:name="_Toc516189370"/>
      <w:r w:rsidRPr="00AE209B">
        <w:t>Adviser Reporting</w:t>
      </w:r>
      <w:bookmarkEnd w:id="91"/>
      <w:bookmarkEnd w:id="92"/>
      <w:bookmarkEnd w:id="93"/>
      <w:bookmarkEnd w:id="94"/>
    </w:p>
    <w:p w14:paraId="3696C11F" w14:textId="77777777" w:rsidR="00C461B0" w:rsidRPr="005332A7" w:rsidRDefault="00C461B0" w:rsidP="007701F5">
      <w:pPr>
        <w:spacing w:after="120" w:line="240" w:lineRule="auto"/>
      </w:pPr>
      <w:r w:rsidRPr="005332A7">
        <w:t xml:space="preserve">Advisers will be required to submit reports at regular intervals (to be determined), outside of standard reporting processes. The reports will outline, among other things, key achievements against the assignment, challenges, opportunities (including innovation), lessons learned and recommendations for future directions. This information will guide ongoing Program decisions and inform changes in approaches to implementation and planning for future assignments. </w:t>
      </w:r>
    </w:p>
    <w:p w14:paraId="195FC7D7" w14:textId="78AE4343" w:rsidR="0011010A" w:rsidRPr="00940239" w:rsidRDefault="00FC25B7" w:rsidP="00A42C1F">
      <w:pPr>
        <w:pStyle w:val="Heading2"/>
        <w:numPr>
          <w:ilvl w:val="1"/>
          <w:numId w:val="61"/>
        </w:numPr>
        <w:spacing w:before="0" w:after="120" w:line="240" w:lineRule="auto"/>
        <w:ind w:left="426"/>
      </w:pPr>
      <w:r>
        <w:t xml:space="preserve"> </w:t>
      </w:r>
      <w:bookmarkStart w:id="95" w:name="_Toc516189371"/>
      <w:r w:rsidR="005332A7">
        <w:t xml:space="preserve">Monitoring, Evaluation and Learning (MEL) </w:t>
      </w:r>
      <w:r w:rsidR="001730E2" w:rsidRPr="00940239">
        <w:t>Framework</w:t>
      </w:r>
      <w:bookmarkEnd w:id="95"/>
    </w:p>
    <w:p w14:paraId="61F31F3B" w14:textId="6C8BAF83" w:rsidR="00AA36DB" w:rsidRPr="005332A7" w:rsidRDefault="00AA36DB" w:rsidP="007701F5">
      <w:pPr>
        <w:pStyle w:val="BodyText"/>
        <w:spacing w:before="0" w:after="120" w:line="240" w:lineRule="auto"/>
        <w:rPr>
          <w:color w:val="auto"/>
          <w:lang w:val="en-AU"/>
        </w:rPr>
      </w:pPr>
      <w:r w:rsidRPr="005332A7">
        <w:rPr>
          <w:color w:val="auto"/>
          <w:lang w:val="en-AU"/>
        </w:rPr>
        <w:t>MEL is expected to demonstrate accoun</w:t>
      </w:r>
      <w:r w:rsidR="003B342B" w:rsidRPr="005332A7">
        <w:rPr>
          <w:color w:val="auto"/>
          <w:lang w:val="en-AU"/>
        </w:rPr>
        <w:t>tability, the effectiveness of P</w:t>
      </w:r>
      <w:r w:rsidRPr="005332A7">
        <w:rPr>
          <w:color w:val="auto"/>
          <w:lang w:val="en-AU"/>
        </w:rPr>
        <w:t>rogram delivery and results achieved. In the development environment MEL requires the establishment of an effective and flexible structure of continuous analysis, design, implementation and evaluation of effort. This is critical to the success of the Program and its individual initiatives.</w:t>
      </w:r>
    </w:p>
    <w:p w14:paraId="356EABBE" w14:textId="4888077E" w:rsidR="00AA36DB" w:rsidRPr="005332A7" w:rsidRDefault="00AA36DB" w:rsidP="007701F5">
      <w:pPr>
        <w:pStyle w:val="BodyText"/>
        <w:spacing w:before="0" w:after="120" w:line="240" w:lineRule="auto"/>
        <w:rPr>
          <w:color w:val="auto"/>
          <w:lang w:val="en-AU"/>
        </w:rPr>
      </w:pPr>
      <w:r w:rsidRPr="005332A7">
        <w:rPr>
          <w:color w:val="auto"/>
          <w:lang w:val="en-AU"/>
        </w:rPr>
        <w:t>The MEL Framework of the TLPDP will address the challenges of aggregating data</w:t>
      </w:r>
      <w:r w:rsidR="00AD762A">
        <w:rPr>
          <w:color w:val="auto"/>
          <w:lang w:val="en-AU"/>
        </w:rPr>
        <w:t>, including data sourced from IMS</w:t>
      </w:r>
      <w:r w:rsidRPr="005332A7">
        <w:rPr>
          <w:color w:val="auto"/>
          <w:lang w:val="en-AU"/>
        </w:rPr>
        <w:t>, achieve an appropriate balance between quantitative and qualitative dat</w:t>
      </w:r>
      <w:r w:rsidR="003B342B" w:rsidRPr="005332A7">
        <w:rPr>
          <w:color w:val="auto"/>
          <w:lang w:val="en-AU"/>
        </w:rPr>
        <w:t>a that does not overly burden Pr</w:t>
      </w:r>
      <w:r w:rsidRPr="005332A7">
        <w:rPr>
          <w:color w:val="auto"/>
          <w:lang w:val="en-AU"/>
        </w:rPr>
        <w:t>ogram staff, and use infor</w:t>
      </w:r>
      <w:r w:rsidR="003B342B" w:rsidRPr="005332A7">
        <w:rPr>
          <w:color w:val="auto"/>
          <w:lang w:val="en-AU"/>
        </w:rPr>
        <w:t>mation as evidence for ongoing P</w:t>
      </w:r>
      <w:r w:rsidRPr="005332A7">
        <w:rPr>
          <w:color w:val="auto"/>
          <w:lang w:val="en-AU"/>
        </w:rPr>
        <w:t xml:space="preserve">rogram improvement. The full details of the MEL Framework are included in Annex </w:t>
      </w:r>
      <w:r w:rsidR="003B342B" w:rsidRPr="005332A7">
        <w:rPr>
          <w:color w:val="auto"/>
          <w:lang w:val="en-AU"/>
        </w:rPr>
        <w:t>A</w:t>
      </w:r>
      <w:r w:rsidRPr="005332A7">
        <w:rPr>
          <w:color w:val="auto"/>
          <w:lang w:val="en-AU"/>
        </w:rPr>
        <w:t>.</w:t>
      </w:r>
    </w:p>
    <w:p w14:paraId="71BF6113" w14:textId="6D40E04B" w:rsidR="00AA36DB" w:rsidRPr="00AE209B" w:rsidRDefault="00AA36DB" w:rsidP="001218D8">
      <w:pPr>
        <w:pStyle w:val="Heading3"/>
        <w:numPr>
          <w:ilvl w:val="2"/>
          <w:numId w:val="61"/>
        </w:numPr>
        <w:spacing w:before="0" w:after="120" w:line="240" w:lineRule="auto"/>
        <w:ind w:left="567" w:hanging="567"/>
      </w:pPr>
      <w:bookmarkStart w:id="96" w:name="_Toc516189372"/>
      <w:r w:rsidRPr="00AE209B">
        <w:lastRenderedPageBreak/>
        <w:t>Purpose of the MEL Framework</w:t>
      </w:r>
      <w:bookmarkEnd w:id="96"/>
    </w:p>
    <w:p w14:paraId="55FC19ED" w14:textId="578463DC" w:rsidR="00AA36DB" w:rsidRPr="00A00B27" w:rsidRDefault="00AA36DB" w:rsidP="007701F5">
      <w:pPr>
        <w:pStyle w:val="BodyText"/>
        <w:spacing w:before="0" w:after="120" w:line="240" w:lineRule="auto"/>
        <w:rPr>
          <w:color w:val="auto"/>
          <w:lang w:val="en-AU"/>
        </w:rPr>
      </w:pPr>
      <w:r w:rsidRPr="00A00B27">
        <w:rPr>
          <w:color w:val="auto"/>
          <w:lang w:val="en-AU"/>
        </w:rPr>
        <w:t xml:space="preserve">Within the TLPDP, MEL has four main objectives: </w:t>
      </w:r>
    </w:p>
    <w:p w14:paraId="437B7509" w14:textId="72256D14" w:rsidR="00AA36DB" w:rsidRPr="00A00B27" w:rsidRDefault="00AA36DB" w:rsidP="007701F5">
      <w:pPr>
        <w:pStyle w:val="Bullet1"/>
        <w:spacing w:before="0" w:after="120" w:line="240" w:lineRule="auto"/>
        <w:rPr>
          <w:color w:val="auto"/>
          <w:lang w:val="en-AU" w:eastAsia="ja-JP"/>
        </w:rPr>
      </w:pPr>
      <w:r w:rsidRPr="00A00B27">
        <w:rPr>
          <w:color w:val="auto"/>
          <w:lang w:val="en-AU" w:eastAsia="ja-JP"/>
        </w:rPr>
        <w:t>To</w:t>
      </w:r>
      <w:r w:rsidR="003B342B" w:rsidRPr="00A00B27">
        <w:rPr>
          <w:color w:val="auto"/>
          <w:lang w:val="en-AU" w:eastAsia="ja-JP"/>
        </w:rPr>
        <w:t xml:space="preserve"> support the management of the </w:t>
      </w:r>
      <w:proofErr w:type="gramStart"/>
      <w:r w:rsidR="003B342B" w:rsidRPr="00A00B27">
        <w:rPr>
          <w:color w:val="auto"/>
          <w:lang w:val="en-AU" w:eastAsia="ja-JP"/>
        </w:rPr>
        <w:t>P</w:t>
      </w:r>
      <w:r w:rsidRPr="00A00B27">
        <w:rPr>
          <w:color w:val="auto"/>
          <w:lang w:val="en-AU" w:eastAsia="ja-JP"/>
        </w:rPr>
        <w:t>rogram;</w:t>
      </w:r>
      <w:proofErr w:type="gramEnd"/>
      <w:r w:rsidRPr="00A00B27">
        <w:rPr>
          <w:color w:val="auto"/>
          <w:lang w:val="en-AU" w:eastAsia="ja-JP"/>
        </w:rPr>
        <w:t xml:space="preserve"> </w:t>
      </w:r>
    </w:p>
    <w:p w14:paraId="7245AF3C" w14:textId="466D9681" w:rsidR="00AA36DB" w:rsidRPr="00A00B27" w:rsidRDefault="003B342B" w:rsidP="007701F5">
      <w:pPr>
        <w:pStyle w:val="Bullet1"/>
        <w:spacing w:before="0" w:after="120" w:line="240" w:lineRule="auto"/>
        <w:rPr>
          <w:color w:val="auto"/>
          <w:lang w:val="en-AU" w:eastAsia="ja-JP"/>
        </w:rPr>
      </w:pPr>
      <w:r w:rsidRPr="00A00B27">
        <w:rPr>
          <w:color w:val="auto"/>
          <w:lang w:val="en-AU" w:eastAsia="ja-JP"/>
        </w:rPr>
        <w:t>To generate P</w:t>
      </w:r>
      <w:r w:rsidR="00AA36DB" w:rsidRPr="00A00B27">
        <w:rPr>
          <w:color w:val="auto"/>
          <w:lang w:val="en-AU" w:eastAsia="ja-JP"/>
        </w:rPr>
        <w:t xml:space="preserve">rogram information that is sufficiently </w:t>
      </w:r>
      <w:proofErr w:type="gramStart"/>
      <w:r w:rsidR="00AA36DB" w:rsidRPr="00A00B27">
        <w:rPr>
          <w:color w:val="auto"/>
          <w:lang w:val="en-AU" w:eastAsia="ja-JP"/>
        </w:rPr>
        <w:t>disaggregated;</w:t>
      </w:r>
      <w:proofErr w:type="gramEnd"/>
      <w:r w:rsidR="00AA36DB" w:rsidRPr="00A00B27">
        <w:rPr>
          <w:color w:val="auto"/>
          <w:lang w:val="en-AU" w:eastAsia="ja-JP"/>
        </w:rPr>
        <w:t xml:space="preserve"> </w:t>
      </w:r>
    </w:p>
    <w:p w14:paraId="7660903F" w14:textId="621AEE44" w:rsidR="00AA36DB" w:rsidRPr="00A00B27" w:rsidRDefault="00AA36DB" w:rsidP="007701F5">
      <w:pPr>
        <w:pStyle w:val="Bullet1"/>
        <w:spacing w:before="0" w:after="120" w:line="240" w:lineRule="auto"/>
        <w:rPr>
          <w:color w:val="auto"/>
          <w:lang w:val="en-AU" w:eastAsia="ja-JP"/>
        </w:rPr>
      </w:pPr>
      <w:r w:rsidRPr="00A00B27">
        <w:rPr>
          <w:color w:val="auto"/>
          <w:lang w:val="en-AU" w:eastAsia="ja-JP"/>
        </w:rPr>
        <w:t>T</w:t>
      </w:r>
      <w:r w:rsidR="003B342B" w:rsidRPr="00A00B27">
        <w:rPr>
          <w:color w:val="auto"/>
          <w:lang w:val="en-AU" w:eastAsia="ja-JP"/>
        </w:rPr>
        <w:t>o ensure accountability of the P</w:t>
      </w:r>
      <w:r w:rsidRPr="00A00B27">
        <w:rPr>
          <w:color w:val="auto"/>
          <w:lang w:val="en-AU" w:eastAsia="ja-JP"/>
        </w:rPr>
        <w:t xml:space="preserve">rogram and its partners; and </w:t>
      </w:r>
    </w:p>
    <w:p w14:paraId="718AC00A" w14:textId="15C07048" w:rsidR="00AA36DB" w:rsidRPr="00A00B27" w:rsidRDefault="003B342B" w:rsidP="007701F5">
      <w:pPr>
        <w:pStyle w:val="Bullet1"/>
        <w:spacing w:before="0" w:after="120" w:line="240" w:lineRule="auto"/>
        <w:rPr>
          <w:color w:val="auto"/>
          <w:lang w:val="en-AU"/>
        </w:rPr>
      </w:pPr>
      <w:r w:rsidRPr="00A00B27">
        <w:rPr>
          <w:color w:val="auto"/>
          <w:lang w:val="en-AU"/>
        </w:rPr>
        <w:t>To build the MEL capacity of P</w:t>
      </w:r>
      <w:r w:rsidR="00AA36DB" w:rsidRPr="00A00B27">
        <w:rPr>
          <w:color w:val="auto"/>
          <w:lang w:val="en-AU"/>
        </w:rPr>
        <w:t>rogram partners.</w:t>
      </w:r>
    </w:p>
    <w:p w14:paraId="67A63868" w14:textId="6CE99547" w:rsidR="00AA36DB" w:rsidRPr="00AE209B" w:rsidRDefault="00AA36DB" w:rsidP="001218D8">
      <w:pPr>
        <w:pStyle w:val="Heading3"/>
        <w:numPr>
          <w:ilvl w:val="2"/>
          <w:numId w:val="61"/>
        </w:numPr>
        <w:spacing w:before="0" w:after="120" w:line="240" w:lineRule="auto"/>
        <w:ind w:left="567" w:hanging="567"/>
      </w:pPr>
      <w:bookmarkStart w:id="97" w:name="_Toc462399878"/>
      <w:bookmarkStart w:id="98" w:name="_Toc465157069"/>
      <w:bookmarkStart w:id="99" w:name="_Toc465247435"/>
      <w:bookmarkStart w:id="100" w:name="_Toc466471030"/>
      <w:bookmarkStart w:id="101" w:name="_Toc516189373"/>
      <w:r w:rsidRPr="00AE209B">
        <w:t>Scope</w:t>
      </w:r>
      <w:bookmarkEnd w:id="97"/>
      <w:bookmarkEnd w:id="98"/>
      <w:bookmarkEnd w:id="99"/>
      <w:bookmarkEnd w:id="100"/>
      <w:bookmarkEnd w:id="101"/>
    </w:p>
    <w:p w14:paraId="6ECEE00B" w14:textId="77777777" w:rsidR="00AA36DB" w:rsidRPr="00A00B27" w:rsidRDefault="00AA36DB" w:rsidP="007701F5">
      <w:pPr>
        <w:spacing w:after="120" w:line="240" w:lineRule="auto"/>
      </w:pPr>
      <w:r w:rsidRPr="00A00B27">
        <w:t>The scope of the MEL is broad and intended to measure, evaluate and learn from two distinct areas of Program performance:</w:t>
      </w:r>
    </w:p>
    <w:p w14:paraId="11760647" w14:textId="77777777" w:rsidR="00AA36DB" w:rsidRPr="00A00B27" w:rsidRDefault="00AA36DB" w:rsidP="007701F5">
      <w:pPr>
        <w:pStyle w:val="ListParagraph"/>
        <w:numPr>
          <w:ilvl w:val="0"/>
          <w:numId w:val="27"/>
        </w:numPr>
        <w:spacing w:after="120" w:line="240" w:lineRule="auto"/>
      </w:pPr>
      <w:r w:rsidRPr="00A00B27">
        <w:t>Internal – The performance (efficiency and effectiveness) of the Program’s internal management of capacity development approaches. This includes the effectiveness of:</w:t>
      </w:r>
    </w:p>
    <w:p w14:paraId="77DB8411" w14:textId="77777777" w:rsidR="00AA36DB" w:rsidRPr="00A00B27" w:rsidRDefault="00AA36DB" w:rsidP="007701F5">
      <w:pPr>
        <w:pStyle w:val="ListParagraph"/>
        <w:numPr>
          <w:ilvl w:val="1"/>
          <w:numId w:val="28"/>
        </w:numPr>
        <w:spacing w:after="120" w:line="240" w:lineRule="auto"/>
      </w:pPr>
      <w:r w:rsidRPr="00A00B27">
        <w:t xml:space="preserve">The Program’s application of MEL, </w:t>
      </w:r>
      <w:proofErr w:type="gramStart"/>
      <w:r w:rsidRPr="00A00B27">
        <w:t>e.g.</w:t>
      </w:r>
      <w:proofErr w:type="gramEnd"/>
      <w:r w:rsidRPr="00A00B27">
        <w:t xml:space="preserve"> benchmarking, setting targets, establishing Action Plans and delivering outcomes within timeframes</w:t>
      </w:r>
    </w:p>
    <w:p w14:paraId="3B667BCF" w14:textId="77777777" w:rsidR="00AA36DB" w:rsidRPr="00A00B27" w:rsidRDefault="00AA36DB" w:rsidP="007701F5">
      <w:pPr>
        <w:pStyle w:val="ListParagraph"/>
        <w:numPr>
          <w:ilvl w:val="1"/>
          <w:numId w:val="28"/>
        </w:numPr>
        <w:spacing w:after="120" w:line="240" w:lineRule="auto"/>
      </w:pPr>
      <w:r w:rsidRPr="00A00B27">
        <w:t>Project management – including time management, budget, outcomes, etc.</w:t>
      </w:r>
    </w:p>
    <w:p w14:paraId="65A882F2" w14:textId="43E0FE01" w:rsidR="00AA36DB" w:rsidRPr="00A00B27" w:rsidRDefault="00E62C40" w:rsidP="007701F5">
      <w:pPr>
        <w:pStyle w:val="ListParagraph"/>
        <w:numPr>
          <w:ilvl w:val="1"/>
          <w:numId w:val="28"/>
        </w:numPr>
        <w:spacing w:after="120" w:line="240" w:lineRule="auto"/>
      </w:pPr>
      <w:r>
        <w:t>Advise</w:t>
      </w:r>
      <w:r w:rsidR="00AA36DB" w:rsidRPr="00A00B27">
        <w:t>r performance and accountability</w:t>
      </w:r>
    </w:p>
    <w:p w14:paraId="0CB47A73" w14:textId="77777777" w:rsidR="00AA36DB" w:rsidRPr="00A00B27" w:rsidRDefault="00AA36DB" w:rsidP="007701F5">
      <w:pPr>
        <w:pStyle w:val="ListParagraph"/>
        <w:numPr>
          <w:ilvl w:val="1"/>
          <w:numId w:val="28"/>
        </w:numPr>
        <w:spacing w:after="120" w:line="240" w:lineRule="auto"/>
      </w:pPr>
      <w:r w:rsidRPr="00A00B27">
        <w:t>Collaborative approaches with stakeholders.</w:t>
      </w:r>
    </w:p>
    <w:p w14:paraId="02CA3CE9" w14:textId="77777777" w:rsidR="00AA36DB" w:rsidRPr="00A00B27" w:rsidRDefault="00AA36DB" w:rsidP="007701F5">
      <w:pPr>
        <w:pStyle w:val="ListParagraph"/>
        <w:spacing w:after="120" w:line="240" w:lineRule="auto"/>
        <w:ind w:left="0"/>
      </w:pPr>
    </w:p>
    <w:p w14:paraId="238F73CA" w14:textId="00E6925A" w:rsidR="00AA36DB" w:rsidRPr="00A00B27" w:rsidRDefault="00AA36DB" w:rsidP="007701F5">
      <w:pPr>
        <w:pStyle w:val="ListParagraph"/>
        <w:numPr>
          <w:ilvl w:val="0"/>
          <w:numId w:val="27"/>
        </w:numPr>
        <w:spacing w:after="120" w:line="240" w:lineRule="auto"/>
      </w:pPr>
      <w:r w:rsidRPr="00A00B27">
        <w:t>E</w:t>
      </w:r>
      <w:r w:rsidR="003B342B" w:rsidRPr="00A00B27">
        <w:t>xternal - The impact of the P</w:t>
      </w:r>
      <w:r w:rsidRPr="00A00B27">
        <w:t>rogram on PNTL effectiveness. This includes its impact on:</w:t>
      </w:r>
    </w:p>
    <w:p w14:paraId="5159C841" w14:textId="4F61F623" w:rsidR="00AA36DB" w:rsidRPr="00A00B27" w:rsidRDefault="00AA36DB" w:rsidP="007701F5">
      <w:pPr>
        <w:pStyle w:val="ListParagraph"/>
        <w:numPr>
          <w:ilvl w:val="1"/>
          <w:numId w:val="28"/>
        </w:numPr>
        <w:spacing w:after="120" w:line="240" w:lineRule="auto"/>
      </w:pPr>
      <w:r w:rsidRPr="00A00B27">
        <w:t xml:space="preserve">PNTL’s </w:t>
      </w:r>
      <w:r w:rsidR="00A00B27">
        <w:t xml:space="preserve">Sustainability, </w:t>
      </w:r>
      <w:r w:rsidRPr="00A00B27">
        <w:t>self-improvement</w:t>
      </w:r>
      <w:r w:rsidR="00A00B27">
        <w:t xml:space="preserve"> and leadership</w:t>
      </w:r>
      <w:r w:rsidRPr="00A00B27">
        <w:t xml:space="preserve"> (Component 1</w:t>
      </w:r>
      <w:proofErr w:type="gramStart"/>
      <w:r w:rsidRPr="00A00B27">
        <w:t>)</w:t>
      </w:r>
      <w:r w:rsidR="00B06243" w:rsidRPr="00A00B27">
        <w:t>;</w:t>
      </w:r>
      <w:proofErr w:type="gramEnd"/>
    </w:p>
    <w:p w14:paraId="7C64351C" w14:textId="2456C562" w:rsidR="00AA36DB" w:rsidRPr="00A00B27" w:rsidRDefault="00AA36DB" w:rsidP="007701F5">
      <w:pPr>
        <w:pStyle w:val="ListParagraph"/>
        <w:numPr>
          <w:ilvl w:val="1"/>
          <w:numId w:val="28"/>
        </w:numPr>
        <w:spacing w:after="120" w:line="240" w:lineRule="auto"/>
      </w:pPr>
      <w:r w:rsidRPr="00A00B27">
        <w:t>PNTL’s Operational policing services (Component 2</w:t>
      </w:r>
      <w:proofErr w:type="gramStart"/>
      <w:r w:rsidRPr="00A00B27">
        <w:t>)</w:t>
      </w:r>
      <w:r w:rsidR="00B06243" w:rsidRPr="00A00B27">
        <w:t>;</w:t>
      </w:r>
      <w:proofErr w:type="gramEnd"/>
    </w:p>
    <w:p w14:paraId="2B5668A9" w14:textId="5AED7552" w:rsidR="00AA36DB" w:rsidRPr="00A00B27" w:rsidRDefault="00AA36DB" w:rsidP="007701F5">
      <w:pPr>
        <w:pStyle w:val="ListParagraph"/>
        <w:numPr>
          <w:ilvl w:val="1"/>
          <w:numId w:val="28"/>
        </w:numPr>
        <w:spacing w:after="120" w:line="240" w:lineRule="auto"/>
      </w:pPr>
      <w:r w:rsidRPr="00A00B27">
        <w:t xml:space="preserve">PNTL’s </w:t>
      </w:r>
      <w:r w:rsidR="00B06243" w:rsidRPr="00A00B27">
        <w:t>Responsive Policing Services</w:t>
      </w:r>
      <w:r w:rsidRPr="00A00B27">
        <w:t xml:space="preserve"> (Component 3)</w:t>
      </w:r>
      <w:r w:rsidR="00B06243" w:rsidRPr="00A00B27">
        <w:t>; and</w:t>
      </w:r>
    </w:p>
    <w:p w14:paraId="327BD24F" w14:textId="5F91DADD" w:rsidR="00AA36DB" w:rsidRPr="00AE209B" w:rsidRDefault="00AA36DB" w:rsidP="001218D8">
      <w:pPr>
        <w:pStyle w:val="Heading3"/>
        <w:numPr>
          <w:ilvl w:val="2"/>
          <w:numId w:val="61"/>
        </w:numPr>
        <w:spacing w:before="0" w:after="120" w:line="240" w:lineRule="auto"/>
        <w:ind w:left="567" w:hanging="567"/>
      </w:pPr>
      <w:bookmarkStart w:id="102" w:name="_Toc516189374"/>
      <w:r w:rsidRPr="00AE209B">
        <w:t>Audience for MEL data and products</w:t>
      </w:r>
      <w:bookmarkEnd w:id="102"/>
    </w:p>
    <w:p w14:paraId="533FE542" w14:textId="53ED5310" w:rsidR="00AA36DB" w:rsidRPr="00A00B27" w:rsidRDefault="00AA36DB" w:rsidP="007701F5">
      <w:pPr>
        <w:pStyle w:val="BodyText"/>
        <w:spacing w:before="0" w:after="120" w:line="240" w:lineRule="auto"/>
        <w:rPr>
          <w:color w:val="auto"/>
          <w:lang w:val="en-AU"/>
        </w:rPr>
      </w:pPr>
      <w:r w:rsidRPr="00A00B27">
        <w:rPr>
          <w:color w:val="auto"/>
          <w:lang w:val="en-AU"/>
        </w:rPr>
        <w:t>The primary users of ME</w:t>
      </w:r>
      <w:r w:rsidR="003A0268" w:rsidRPr="00A00B27">
        <w:rPr>
          <w:color w:val="auto"/>
          <w:lang w:val="en-AU"/>
        </w:rPr>
        <w:t>L</w:t>
      </w:r>
      <w:r w:rsidRPr="00A00B27">
        <w:rPr>
          <w:color w:val="auto"/>
          <w:lang w:val="en-AU"/>
        </w:rPr>
        <w:t xml:space="preserve"> inform</w:t>
      </w:r>
      <w:r w:rsidR="003B342B" w:rsidRPr="00A00B27">
        <w:rPr>
          <w:color w:val="auto"/>
          <w:lang w:val="en-AU"/>
        </w:rPr>
        <w:t>ation will be the investment’s P</w:t>
      </w:r>
      <w:r w:rsidRPr="00A00B27">
        <w:rPr>
          <w:color w:val="auto"/>
          <w:lang w:val="en-AU"/>
        </w:rPr>
        <w:t>rogram team who are enga</w:t>
      </w:r>
      <w:r w:rsidR="003B342B" w:rsidRPr="00A00B27">
        <w:rPr>
          <w:color w:val="auto"/>
          <w:lang w:val="en-AU"/>
        </w:rPr>
        <w:t>ged directly in key aspects of P</w:t>
      </w:r>
      <w:r w:rsidRPr="00A00B27">
        <w:rPr>
          <w:color w:val="auto"/>
          <w:lang w:val="en-AU"/>
        </w:rPr>
        <w:t xml:space="preserve">rogram implementation and PNTL members of the </w:t>
      </w:r>
      <w:r w:rsidR="00A00B27" w:rsidRPr="00A00B27">
        <w:rPr>
          <w:color w:val="auto"/>
          <w:lang w:val="en-AU"/>
        </w:rPr>
        <w:t>PCB</w:t>
      </w:r>
      <w:r w:rsidRPr="00A00B27">
        <w:rPr>
          <w:color w:val="auto"/>
          <w:lang w:val="en-AU"/>
        </w:rPr>
        <w:t xml:space="preserve"> sub-committee. Secondary users include AFP International Operations, DFAT mission staff and others</w:t>
      </w:r>
      <w:r w:rsidR="003B342B" w:rsidRPr="00A00B27">
        <w:rPr>
          <w:color w:val="auto"/>
          <w:lang w:val="en-AU"/>
        </w:rPr>
        <w:t xml:space="preserve"> who wish to be informed about P</w:t>
      </w:r>
      <w:r w:rsidRPr="00A00B27">
        <w:rPr>
          <w:color w:val="auto"/>
          <w:lang w:val="en-AU"/>
        </w:rPr>
        <w:t xml:space="preserve">rogram progress and results. </w:t>
      </w:r>
    </w:p>
    <w:p w14:paraId="37E0AC47" w14:textId="79863A4E" w:rsidR="00AA36DB" w:rsidRPr="00AE209B" w:rsidRDefault="003A0268" w:rsidP="001218D8">
      <w:pPr>
        <w:pStyle w:val="Heading3"/>
        <w:numPr>
          <w:ilvl w:val="2"/>
          <w:numId w:val="61"/>
        </w:numPr>
        <w:spacing w:before="0" w:after="120" w:line="240" w:lineRule="auto"/>
        <w:ind w:left="567" w:hanging="567"/>
      </w:pPr>
      <w:bookmarkStart w:id="103" w:name="_Toc516189375"/>
      <w:r>
        <w:t>Approach to MEL</w:t>
      </w:r>
      <w:bookmarkEnd w:id="103"/>
    </w:p>
    <w:p w14:paraId="413DF6B6" w14:textId="0D169F1A" w:rsidR="00AA36DB" w:rsidRPr="00A00B27" w:rsidRDefault="00AA36DB" w:rsidP="007701F5">
      <w:pPr>
        <w:pStyle w:val="BodyText"/>
        <w:spacing w:before="0" w:after="120" w:line="240" w:lineRule="auto"/>
        <w:rPr>
          <w:color w:val="auto"/>
          <w:lang w:val="en-AU"/>
        </w:rPr>
      </w:pPr>
      <w:r w:rsidRPr="00A00B27">
        <w:rPr>
          <w:color w:val="auto"/>
          <w:lang w:val="en-AU"/>
        </w:rPr>
        <w:t>The approach to ME</w:t>
      </w:r>
      <w:r w:rsidR="000951EB" w:rsidRPr="00A00B27">
        <w:rPr>
          <w:color w:val="auto"/>
          <w:lang w:val="en-AU"/>
        </w:rPr>
        <w:t>L</w:t>
      </w:r>
      <w:r w:rsidRPr="00A00B27">
        <w:rPr>
          <w:color w:val="auto"/>
          <w:lang w:val="en-AU"/>
        </w:rPr>
        <w:t xml:space="preserve"> has been influenced by previous</w:t>
      </w:r>
      <w:r w:rsidR="003A0268" w:rsidRPr="00A00B27">
        <w:rPr>
          <w:color w:val="auto"/>
          <w:lang w:val="en-AU"/>
        </w:rPr>
        <w:t xml:space="preserve"> Australian investments, DFAT M</w:t>
      </w:r>
      <w:r w:rsidRPr="00A00B27">
        <w:rPr>
          <w:color w:val="auto"/>
          <w:lang w:val="en-AU"/>
        </w:rPr>
        <w:t>E</w:t>
      </w:r>
      <w:r w:rsidR="003A0268" w:rsidRPr="00A00B27">
        <w:rPr>
          <w:color w:val="auto"/>
          <w:lang w:val="en-AU"/>
        </w:rPr>
        <w:t>L</w:t>
      </w:r>
      <w:r w:rsidRPr="00A00B27">
        <w:rPr>
          <w:color w:val="auto"/>
          <w:lang w:val="en-AU"/>
        </w:rPr>
        <w:t xml:space="preserve"> standards, and the investment’s design. The MEL Framework is largely focused o</w:t>
      </w:r>
      <w:r w:rsidR="003B342B" w:rsidRPr="00A00B27">
        <w:rPr>
          <w:color w:val="auto"/>
          <w:lang w:val="en-AU"/>
        </w:rPr>
        <w:t>n the need of the investment’s P</w:t>
      </w:r>
      <w:r w:rsidRPr="00A00B27">
        <w:rPr>
          <w:color w:val="auto"/>
          <w:lang w:val="en-AU"/>
        </w:rPr>
        <w:t>rogram team to gather evidence that will be useful for th</w:t>
      </w:r>
      <w:r w:rsidR="003B342B" w:rsidRPr="00A00B27">
        <w:rPr>
          <w:color w:val="auto"/>
          <w:lang w:val="en-AU"/>
        </w:rPr>
        <w:t>e continual improvement of the P</w:t>
      </w:r>
      <w:r w:rsidRPr="00A00B27">
        <w:rPr>
          <w:color w:val="auto"/>
          <w:lang w:val="en-AU"/>
        </w:rPr>
        <w:t>rogram. This can be described as a utilisation-focused approach, which selects Key Evaluation Questions (KEQs) that relate closely to the information needs of the primary audience. Consequently, one of the first tasks of the Program Team will be to discuss these needs with the other users to confirm or refine the tentative KEQs and Results Framework presented below.</w:t>
      </w:r>
    </w:p>
    <w:p w14:paraId="012E7292" w14:textId="77777777" w:rsidR="00AA36DB" w:rsidRPr="00A00B27" w:rsidRDefault="00AA36DB" w:rsidP="007701F5">
      <w:pPr>
        <w:pStyle w:val="BodyText"/>
        <w:spacing w:before="0" w:after="120" w:line="240" w:lineRule="auto"/>
        <w:rPr>
          <w:color w:val="auto"/>
          <w:lang w:val="en-AU"/>
        </w:rPr>
      </w:pPr>
      <w:r w:rsidRPr="00A00B27">
        <w:rPr>
          <w:color w:val="auto"/>
          <w:lang w:val="en-AU"/>
        </w:rPr>
        <w:t xml:space="preserve">The following principles underpinning the MEL Framework build on the lessons learned from previous iterations of Australian investment in TLPDP: </w:t>
      </w:r>
    </w:p>
    <w:p w14:paraId="6DEE0555" w14:textId="0736E053" w:rsidR="00AA36DB" w:rsidRPr="00A00B27" w:rsidRDefault="00AA36DB" w:rsidP="007701F5">
      <w:pPr>
        <w:pStyle w:val="Bullet1"/>
        <w:spacing w:before="0" w:after="120" w:line="240" w:lineRule="auto"/>
        <w:rPr>
          <w:color w:val="auto"/>
          <w:lang w:val="en-AU"/>
        </w:rPr>
      </w:pPr>
      <w:r w:rsidRPr="00A00B27">
        <w:rPr>
          <w:color w:val="auto"/>
          <w:lang w:val="en-AU"/>
        </w:rPr>
        <w:t xml:space="preserve">Focus on criteria – MEL will direct resources to prioritised evaluation criteria and not seek to comprehensively address everything to the same degree (for example, all outcomes in the </w:t>
      </w:r>
      <w:r w:rsidR="003B342B" w:rsidRPr="00A00B27">
        <w:rPr>
          <w:color w:val="auto"/>
          <w:lang w:val="en-AU"/>
        </w:rPr>
        <w:t>Program L</w:t>
      </w:r>
      <w:r w:rsidRPr="00A00B27">
        <w:rPr>
          <w:color w:val="auto"/>
          <w:lang w:val="en-AU"/>
        </w:rPr>
        <w:t xml:space="preserve">ogic). </w:t>
      </w:r>
    </w:p>
    <w:p w14:paraId="5F4F73DB" w14:textId="77777777" w:rsidR="00AA36DB" w:rsidRPr="00A00B27" w:rsidRDefault="00AA36DB" w:rsidP="007701F5">
      <w:pPr>
        <w:pStyle w:val="Bullet1"/>
        <w:spacing w:before="0" w:after="120" w:line="240" w:lineRule="auto"/>
        <w:rPr>
          <w:color w:val="auto"/>
          <w:lang w:val="en-AU"/>
        </w:rPr>
      </w:pPr>
      <w:r w:rsidRPr="00A00B27">
        <w:rPr>
          <w:color w:val="auto"/>
          <w:lang w:val="en-AU"/>
        </w:rPr>
        <w:t xml:space="preserve">Mutual accountability – MEL will generate information that allows for mutual assessment of progress against agreed outcomes. </w:t>
      </w:r>
    </w:p>
    <w:p w14:paraId="061C862F" w14:textId="65403FBE" w:rsidR="00AA36DB" w:rsidRPr="00A00B27" w:rsidRDefault="00AA36DB" w:rsidP="007701F5">
      <w:pPr>
        <w:pStyle w:val="Bullet1"/>
        <w:spacing w:before="0" w:after="120" w:line="240" w:lineRule="auto"/>
        <w:rPr>
          <w:color w:val="auto"/>
          <w:lang w:val="en-AU"/>
        </w:rPr>
      </w:pPr>
      <w:r w:rsidRPr="00A00B27">
        <w:rPr>
          <w:color w:val="auto"/>
          <w:lang w:val="en-AU"/>
        </w:rPr>
        <w:t>Learning – there will be a focus on undertaking MEL for learning purposes, which will result in better utilisation</w:t>
      </w:r>
      <w:r w:rsidR="003B342B" w:rsidRPr="00A00B27">
        <w:rPr>
          <w:color w:val="auto"/>
          <w:lang w:val="en-AU"/>
        </w:rPr>
        <w:t xml:space="preserve"> of MEL information within the P</w:t>
      </w:r>
      <w:r w:rsidRPr="00A00B27">
        <w:rPr>
          <w:color w:val="auto"/>
          <w:lang w:val="en-AU"/>
        </w:rPr>
        <w:t xml:space="preserve">rogram team and with partners. </w:t>
      </w:r>
    </w:p>
    <w:p w14:paraId="0F546296" w14:textId="259435AE" w:rsidR="00AA36DB" w:rsidRPr="00A00B27" w:rsidRDefault="00AA36DB" w:rsidP="007701F5">
      <w:pPr>
        <w:pStyle w:val="Bullet1"/>
        <w:spacing w:before="0" w:after="120" w:line="240" w:lineRule="auto"/>
        <w:rPr>
          <w:color w:val="auto"/>
          <w:lang w:val="en-AU"/>
        </w:rPr>
      </w:pPr>
      <w:r w:rsidRPr="00A00B27">
        <w:rPr>
          <w:color w:val="auto"/>
          <w:lang w:val="en-AU"/>
        </w:rPr>
        <w:lastRenderedPageBreak/>
        <w:t xml:space="preserve">Promoting equality and inclusion – with a focus on gender equality, and the inclusion of people from </w:t>
      </w:r>
      <w:r w:rsidR="00750F2A">
        <w:rPr>
          <w:color w:val="auto"/>
          <w:lang w:val="en-AU"/>
        </w:rPr>
        <w:t>vulnerable groups</w:t>
      </w:r>
      <w:r w:rsidRPr="00A00B27">
        <w:rPr>
          <w:color w:val="auto"/>
          <w:lang w:val="en-AU"/>
        </w:rPr>
        <w:t xml:space="preserve"> (such as</w:t>
      </w:r>
      <w:r w:rsidR="003B342B" w:rsidRPr="00A00B27">
        <w:rPr>
          <w:color w:val="auto"/>
          <w:lang w:val="en-AU"/>
        </w:rPr>
        <w:t xml:space="preserve"> those with disabilities), the P</w:t>
      </w:r>
      <w:r w:rsidRPr="00A00B27">
        <w:rPr>
          <w:color w:val="auto"/>
          <w:lang w:val="en-AU"/>
        </w:rPr>
        <w:t>rogram’s contribution to equality and inclusion will be mainstreame</w:t>
      </w:r>
      <w:r w:rsidR="003A0268" w:rsidRPr="00A00B27">
        <w:rPr>
          <w:color w:val="auto"/>
          <w:lang w:val="en-AU"/>
        </w:rPr>
        <w:t>d throughout the investment’s M</w:t>
      </w:r>
      <w:r w:rsidRPr="00A00B27">
        <w:rPr>
          <w:color w:val="auto"/>
          <w:lang w:val="en-AU"/>
        </w:rPr>
        <w:t>E</w:t>
      </w:r>
      <w:r w:rsidR="003A0268" w:rsidRPr="00A00B27">
        <w:rPr>
          <w:color w:val="auto"/>
          <w:lang w:val="en-AU"/>
        </w:rPr>
        <w:t>L</w:t>
      </w:r>
      <w:r w:rsidRPr="00A00B27">
        <w:rPr>
          <w:color w:val="auto"/>
          <w:lang w:val="en-AU"/>
        </w:rPr>
        <w:t xml:space="preserve"> system.</w:t>
      </w:r>
    </w:p>
    <w:p w14:paraId="3356E019" w14:textId="6811BA76" w:rsidR="00AA36DB" w:rsidRPr="00A00B27" w:rsidRDefault="00AA36DB" w:rsidP="007701F5">
      <w:pPr>
        <w:pStyle w:val="Bullet1"/>
        <w:spacing w:before="0" w:after="120" w:line="240" w:lineRule="auto"/>
        <w:rPr>
          <w:color w:val="auto"/>
          <w:lang w:val="en-AU"/>
        </w:rPr>
      </w:pPr>
      <w:r w:rsidRPr="00A00B27">
        <w:rPr>
          <w:color w:val="auto"/>
          <w:lang w:val="en-AU"/>
        </w:rPr>
        <w:t>Adherence to ME</w:t>
      </w:r>
      <w:r w:rsidR="003B342B" w:rsidRPr="00A00B27">
        <w:rPr>
          <w:color w:val="auto"/>
          <w:lang w:val="en-AU"/>
        </w:rPr>
        <w:t>L</w:t>
      </w:r>
      <w:r w:rsidRPr="00A00B27">
        <w:rPr>
          <w:color w:val="auto"/>
          <w:lang w:val="en-AU"/>
        </w:rPr>
        <w:t xml:space="preserve"> quality standards – in particular, the framework will adhere to DFAT Monitoring and Evaluation Standards 2 and 3 (April 2017).</w:t>
      </w:r>
    </w:p>
    <w:p w14:paraId="2701898B" w14:textId="6208E452" w:rsidR="00253EC6" w:rsidRPr="00A00B27" w:rsidRDefault="00AA36DB" w:rsidP="007701F5">
      <w:pPr>
        <w:pStyle w:val="BodyText"/>
        <w:spacing w:before="0" w:after="120" w:line="240" w:lineRule="auto"/>
        <w:rPr>
          <w:color w:val="auto"/>
          <w:lang w:val="en-AU"/>
        </w:rPr>
      </w:pPr>
      <w:r w:rsidRPr="00A00B27">
        <w:rPr>
          <w:color w:val="auto"/>
          <w:lang w:val="en-AU"/>
        </w:rPr>
        <w:t xml:space="preserve">Consistent with the </w:t>
      </w:r>
      <w:bookmarkStart w:id="104" w:name="_Hlk511211439"/>
      <w:r w:rsidRPr="00A00B27">
        <w:rPr>
          <w:color w:val="auto"/>
          <w:lang w:val="en-AU"/>
        </w:rPr>
        <w:t xml:space="preserve">DFAT </w:t>
      </w:r>
      <w:r w:rsidR="00A00B27">
        <w:rPr>
          <w:color w:val="auto"/>
          <w:lang w:val="en-AU"/>
        </w:rPr>
        <w:t>MEL</w:t>
      </w:r>
      <w:r w:rsidRPr="00A00B27">
        <w:rPr>
          <w:color w:val="auto"/>
          <w:lang w:val="en-AU"/>
        </w:rPr>
        <w:t xml:space="preserve"> Standards, </w:t>
      </w:r>
      <w:bookmarkEnd w:id="104"/>
      <w:r w:rsidRPr="00A00B27">
        <w:rPr>
          <w:color w:val="auto"/>
          <w:lang w:val="en-AU"/>
        </w:rPr>
        <w:t xml:space="preserve">throughout </w:t>
      </w:r>
      <w:r w:rsidR="003B342B" w:rsidRPr="00A00B27">
        <w:rPr>
          <w:color w:val="auto"/>
          <w:lang w:val="en-AU"/>
        </w:rPr>
        <w:t>the life of the investment the P</w:t>
      </w:r>
      <w:r w:rsidRPr="00A00B27">
        <w:rPr>
          <w:color w:val="auto"/>
          <w:lang w:val="en-AU"/>
        </w:rPr>
        <w:t>rogram team will require ongoing and targeted support provide</w:t>
      </w:r>
      <w:r w:rsidR="003B342B" w:rsidRPr="00A00B27">
        <w:rPr>
          <w:color w:val="auto"/>
          <w:lang w:val="en-AU"/>
        </w:rPr>
        <w:t>d by an adequately qualified MEL</w:t>
      </w:r>
      <w:r w:rsidRPr="00A00B27">
        <w:rPr>
          <w:color w:val="auto"/>
          <w:lang w:val="en-AU"/>
        </w:rPr>
        <w:t xml:space="preserve"> Practitioner. This will facilitate the development of a strong learning culture within the </w:t>
      </w:r>
      <w:r w:rsidR="003B342B" w:rsidRPr="00A00B27">
        <w:rPr>
          <w:color w:val="auto"/>
          <w:lang w:val="en-AU"/>
        </w:rPr>
        <w:t>P</w:t>
      </w:r>
      <w:r w:rsidRPr="00A00B27">
        <w:rPr>
          <w:color w:val="auto"/>
          <w:lang w:val="en-AU"/>
        </w:rPr>
        <w:t>rogram team, reinforced through practical utilisation of MEL data.</w:t>
      </w:r>
    </w:p>
    <w:p w14:paraId="6FC59612" w14:textId="30E3A8B6" w:rsidR="00253EC6" w:rsidRPr="00A42C1F" w:rsidRDefault="000B01C4" w:rsidP="00A42C1F">
      <w:pPr>
        <w:pStyle w:val="Heading2"/>
        <w:numPr>
          <w:ilvl w:val="1"/>
          <w:numId w:val="61"/>
        </w:numPr>
        <w:spacing w:before="0" w:after="120" w:line="240" w:lineRule="auto"/>
        <w:ind w:left="426"/>
      </w:pPr>
      <w:bookmarkStart w:id="105" w:name="_Toc516189376"/>
      <w:r w:rsidRPr="00A42C1F">
        <w:t>Sustainability</w:t>
      </w:r>
      <w:bookmarkEnd w:id="105"/>
      <w:r w:rsidR="00435475" w:rsidRPr="00AE209B">
        <w:t xml:space="preserve"> </w:t>
      </w:r>
    </w:p>
    <w:p w14:paraId="0E9BBF09" w14:textId="2C33DE63" w:rsidR="00253EC6" w:rsidRPr="00A00B27" w:rsidRDefault="00E35CA0" w:rsidP="007701F5">
      <w:pPr>
        <w:pStyle w:val="BodyText"/>
        <w:spacing w:before="0" w:after="120" w:line="240" w:lineRule="auto"/>
        <w:rPr>
          <w:color w:val="auto"/>
          <w:lang w:val="en-AU"/>
        </w:rPr>
      </w:pPr>
      <w:r w:rsidRPr="00A00B27">
        <w:rPr>
          <w:color w:val="auto"/>
          <w:lang w:val="en-AU"/>
        </w:rPr>
        <w:t xml:space="preserve">Timor-Leste’s deteriorating economic prospects and/or changes in government support to Australian programs could potentially undermine gains made from Australian Government investments to date. A flexible and realistic approach to Program activities has been adopted to best mitigate against these sustainability risks. </w:t>
      </w:r>
    </w:p>
    <w:p w14:paraId="390C07E9" w14:textId="320C1E26" w:rsidR="00253EC6" w:rsidRDefault="00E35CA0" w:rsidP="007701F5">
      <w:pPr>
        <w:pStyle w:val="BodyText"/>
        <w:spacing w:before="0" w:after="120" w:line="240" w:lineRule="auto"/>
        <w:rPr>
          <w:color w:val="auto"/>
          <w:lang w:val="en-AU"/>
        </w:rPr>
      </w:pPr>
      <w:r w:rsidRPr="00A00B27">
        <w:rPr>
          <w:color w:val="auto"/>
          <w:lang w:val="en-AU"/>
        </w:rPr>
        <w:t xml:space="preserve">The minority </w:t>
      </w:r>
      <w:proofErr w:type="spellStart"/>
      <w:r w:rsidRPr="00A00B27">
        <w:rPr>
          <w:color w:val="auto"/>
          <w:lang w:val="en-AU"/>
        </w:rPr>
        <w:t>GoDRTL</w:t>
      </w:r>
      <w:proofErr w:type="spellEnd"/>
      <w:r w:rsidRPr="00A00B27">
        <w:rPr>
          <w:color w:val="auto"/>
          <w:lang w:val="en-AU"/>
        </w:rPr>
        <w:t xml:space="preserve"> was not able to pass important 2017-18 budget measures through Parliament, which has a significant effect on financial allocations to the PNTL.   The severe lack of funding is perhaps the biggest constraint to the PNTL’s ability to not only undertake core policing functions, but also achieve organisational objectives. </w:t>
      </w:r>
    </w:p>
    <w:p w14:paraId="7CD4B944" w14:textId="70F2A22D" w:rsidR="00E44DEE" w:rsidRPr="00A00B27" w:rsidRDefault="00E44DEE" w:rsidP="007701F5">
      <w:pPr>
        <w:pStyle w:val="BodyText"/>
        <w:spacing w:before="0" w:after="120" w:line="240" w:lineRule="auto"/>
        <w:rPr>
          <w:color w:val="auto"/>
          <w:lang w:val="en-AU"/>
        </w:rPr>
      </w:pPr>
      <w:r>
        <w:rPr>
          <w:color w:val="auto"/>
          <w:lang w:val="en-AU"/>
        </w:rPr>
        <w:t xml:space="preserve">The newly elected </w:t>
      </w:r>
      <w:proofErr w:type="spellStart"/>
      <w:r>
        <w:rPr>
          <w:color w:val="auto"/>
          <w:lang w:val="en-AU"/>
        </w:rPr>
        <w:t>GoDRTL</w:t>
      </w:r>
      <w:proofErr w:type="spellEnd"/>
      <w:r>
        <w:rPr>
          <w:color w:val="auto"/>
          <w:lang w:val="en-AU"/>
        </w:rPr>
        <w:t xml:space="preserve"> could see significant policy changes. The TLPDP should have a politically informed approach to program implementation. The TLPDP should engage closely with DFAT on the political environment</w:t>
      </w:r>
      <w:r w:rsidR="00332FA2">
        <w:rPr>
          <w:color w:val="auto"/>
          <w:lang w:val="en-AU"/>
        </w:rPr>
        <w:t>, and</w:t>
      </w:r>
      <w:r>
        <w:rPr>
          <w:color w:val="auto"/>
          <w:lang w:val="en-AU"/>
        </w:rPr>
        <w:t xml:space="preserve"> consideration of a tailored political environment analysis, to </w:t>
      </w:r>
      <w:r w:rsidR="00332FA2">
        <w:rPr>
          <w:color w:val="auto"/>
          <w:lang w:val="en-AU"/>
        </w:rPr>
        <w:t>assist</w:t>
      </w:r>
      <w:r>
        <w:rPr>
          <w:color w:val="auto"/>
          <w:lang w:val="en-AU"/>
        </w:rPr>
        <w:t xml:space="preserve"> in managing these risks. </w:t>
      </w:r>
    </w:p>
    <w:p w14:paraId="3017894B" w14:textId="0A42EC51" w:rsidR="00E35CA0" w:rsidRPr="00A00B27" w:rsidRDefault="00E35CA0" w:rsidP="007701F5">
      <w:pPr>
        <w:pStyle w:val="BodyText"/>
        <w:spacing w:before="0" w:after="120" w:line="240" w:lineRule="auto"/>
        <w:rPr>
          <w:color w:val="auto"/>
          <w:lang w:val="en-AU"/>
        </w:rPr>
      </w:pPr>
      <w:r w:rsidRPr="00A00B27">
        <w:rPr>
          <w:color w:val="auto"/>
          <w:lang w:val="en-AU"/>
        </w:rPr>
        <w:t>PNTL budget constrains are likely to continue, and the TLPDP will address these issues by:</w:t>
      </w:r>
    </w:p>
    <w:p w14:paraId="11FADAF7" w14:textId="43F4B578" w:rsidR="00E35CA0" w:rsidRPr="00A00B27" w:rsidRDefault="00E35CA0" w:rsidP="007701F5">
      <w:pPr>
        <w:pStyle w:val="ListParagraph"/>
        <w:numPr>
          <w:ilvl w:val="0"/>
          <w:numId w:val="27"/>
        </w:numPr>
        <w:spacing w:after="120" w:line="240" w:lineRule="auto"/>
      </w:pPr>
      <w:r w:rsidRPr="00A00B27">
        <w:t xml:space="preserve">Ensuring all activities are in line with and support implementation and reporting on the PNTL Strategic Plan and its Annual </w:t>
      </w:r>
      <w:proofErr w:type="gramStart"/>
      <w:r w:rsidRPr="00A00B27">
        <w:t>Plan’s</w:t>
      </w:r>
      <w:r w:rsidR="001A7BAA" w:rsidRPr="00A00B27">
        <w:t>;</w:t>
      </w:r>
      <w:proofErr w:type="gramEnd"/>
    </w:p>
    <w:p w14:paraId="5FAEEB9A" w14:textId="6E095247" w:rsidR="00E35CA0" w:rsidRPr="00A00B27" w:rsidRDefault="00E35CA0" w:rsidP="007701F5">
      <w:pPr>
        <w:pStyle w:val="ListParagraph"/>
        <w:numPr>
          <w:ilvl w:val="0"/>
          <w:numId w:val="27"/>
        </w:numPr>
        <w:spacing w:after="120" w:line="240" w:lineRule="auto"/>
      </w:pPr>
      <w:r w:rsidRPr="00A00B27">
        <w:t xml:space="preserve">Supporting the PNTL to develop a culture of management and planning and ensure strategic and workforce planning is linked with budget planning and </w:t>
      </w:r>
      <w:proofErr w:type="gramStart"/>
      <w:r w:rsidRPr="00A00B27">
        <w:t>management</w:t>
      </w:r>
      <w:r w:rsidR="001A7BAA" w:rsidRPr="00A00B27">
        <w:t>;</w:t>
      </w:r>
      <w:proofErr w:type="gramEnd"/>
    </w:p>
    <w:p w14:paraId="549163C9" w14:textId="66D723D6" w:rsidR="00E35CA0" w:rsidRPr="00A00B27" w:rsidRDefault="00E35CA0" w:rsidP="007701F5">
      <w:pPr>
        <w:pStyle w:val="ListParagraph"/>
        <w:numPr>
          <w:ilvl w:val="0"/>
          <w:numId w:val="27"/>
        </w:numPr>
        <w:spacing w:after="120" w:line="240" w:lineRule="auto"/>
      </w:pPr>
      <w:r w:rsidRPr="00A00B27">
        <w:t xml:space="preserve">Enhancing the PNTL’s planning cycle with data from IMS to ensure a strong evidence-base underpins resourcing </w:t>
      </w:r>
      <w:proofErr w:type="gramStart"/>
      <w:r w:rsidRPr="00A00B27">
        <w:t>decisions</w:t>
      </w:r>
      <w:r w:rsidR="001A7BAA" w:rsidRPr="00A00B27">
        <w:t>;</w:t>
      </w:r>
      <w:proofErr w:type="gramEnd"/>
    </w:p>
    <w:p w14:paraId="68AE04FC" w14:textId="6686BC5B" w:rsidR="00E35CA0" w:rsidRPr="00A00B27" w:rsidRDefault="00E35CA0" w:rsidP="007701F5">
      <w:pPr>
        <w:pStyle w:val="ListParagraph"/>
        <w:numPr>
          <w:ilvl w:val="0"/>
          <w:numId w:val="27"/>
        </w:numPr>
        <w:spacing w:after="120" w:line="240" w:lineRule="auto"/>
      </w:pPr>
      <w:r w:rsidRPr="00A00B27">
        <w:t>Undertaking realistic and flexible projects that are not too ambitious</w:t>
      </w:r>
      <w:r w:rsidR="001A7BAA" w:rsidRPr="00A00B27">
        <w:t>;</w:t>
      </w:r>
      <w:r w:rsidRPr="00A00B27">
        <w:rPr>
          <w:vertAlign w:val="superscript"/>
        </w:rPr>
        <w:footnoteReference w:id="47"/>
      </w:r>
      <w:r w:rsidR="001A7BAA" w:rsidRPr="00A00B27">
        <w:t xml:space="preserve"> and</w:t>
      </w:r>
    </w:p>
    <w:p w14:paraId="7702381F" w14:textId="0A1A9567" w:rsidR="00E35CA0" w:rsidRPr="00A00B27" w:rsidRDefault="00E35CA0" w:rsidP="007701F5">
      <w:pPr>
        <w:pStyle w:val="ListParagraph"/>
        <w:numPr>
          <w:ilvl w:val="0"/>
          <w:numId w:val="27"/>
        </w:numPr>
        <w:spacing w:after="120" w:line="240" w:lineRule="auto"/>
      </w:pPr>
      <w:r w:rsidRPr="00A00B27">
        <w:t>Encouraging the PNTL to use existing government systems rather than approaching TLPDP for financial support in the first instance.</w:t>
      </w:r>
      <w:r w:rsidRPr="00A00B27">
        <w:rPr>
          <w:vertAlign w:val="superscript"/>
        </w:rPr>
        <w:footnoteReference w:id="48"/>
      </w:r>
      <w:r w:rsidRPr="00A00B27">
        <w:rPr>
          <w:vertAlign w:val="superscript"/>
        </w:rPr>
        <w:t xml:space="preserve"> </w:t>
      </w:r>
    </w:p>
    <w:p w14:paraId="2B2FF1C7" w14:textId="5FB02A6D" w:rsidR="00E35CA0" w:rsidRPr="00A00B27" w:rsidRDefault="00E35CA0" w:rsidP="007701F5">
      <w:pPr>
        <w:spacing w:after="120" w:line="240" w:lineRule="auto"/>
        <w:rPr>
          <w:rFonts w:eastAsiaTheme="minorHAnsi"/>
          <w:lang w:eastAsia="en-US"/>
        </w:rPr>
      </w:pPr>
      <w:r w:rsidRPr="00A00B27">
        <w:rPr>
          <w:rFonts w:eastAsiaTheme="minorHAnsi"/>
          <w:lang w:eastAsia="en-US"/>
        </w:rPr>
        <w:t xml:space="preserve">The </w:t>
      </w:r>
      <w:r w:rsidR="00E739A7" w:rsidRPr="00A00B27">
        <w:rPr>
          <w:rFonts w:eastAsiaTheme="minorHAnsi"/>
          <w:lang w:eastAsia="en-US"/>
        </w:rPr>
        <w:t xml:space="preserve">current </w:t>
      </w:r>
      <w:r w:rsidRPr="00A00B27">
        <w:rPr>
          <w:rFonts w:eastAsiaTheme="minorHAnsi"/>
          <w:lang w:eastAsia="en-US"/>
        </w:rPr>
        <w:t xml:space="preserve">phase of the TLPDP has already shifted </w:t>
      </w:r>
      <w:r w:rsidR="00253EC6" w:rsidRPr="00A00B27">
        <w:rPr>
          <w:rFonts w:eastAsiaTheme="minorHAnsi"/>
          <w:lang w:eastAsia="en-US"/>
        </w:rPr>
        <w:t>its</w:t>
      </w:r>
      <w:r w:rsidRPr="00A00B27">
        <w:rPr>
          <w:rFonts w:eastAsiaTheme="minorHAnsi"/>
          <w:lang w:eastAsia="en-US"/>
        </w:rPr>
        <w:t xml:space="preserve"> focus towards sustainability and self-improvement of the PNTL. The TLPDP moved away from directly providing training to developing a capability within the PNTL to train its members. This ‘train-the-trainer’ approach will continue in the next TLPDP phase, </w:t>
      </w:r>
      <w:proofErr w:type="gramStart"/>
      <w:r w:rsidRPr="00A00B27">
        <w:rPr>
          <w:rFonts w:eastAsiaTheme="minorHAnsi"/>
          <w:lang w:eastAsia="en-US"/>
        </w:rPr>
        <w:t>in particular</w:t>
      </w:r>
      <w:r w:rsidR="00BF2F7C">
        <w:rPr>
          <w:rFonts w:eastAsiaTheme="minorHAnsi"/>
          <w:lang w:eastAsia="en-US"/>
        </w:rPr>
        <w:t xml:space="preserve"> through</w:t>
      </w:r>
      <w:proofErr w:type="gramEnd"/>
      <w:r w:rsidR="00BF2F7C">
        <w:rPr>
          <w:rFonts w:eastAsiaTheme="minorHAnsi"/>
          <w:lang w:eastAsia="en-US"/>
        </w:rPr>
        <w:t xml:space="preserve"> the District Training</w:t>
      </w:r>
      <w:r w:rsidRPr="00A00B27">
        <w:rPr>
          <w:rFonts w:eastAsiaTheme="minorHAnsi"/>
          <w:lang w:eastAsia="en-US"/>
        </w:rPr>
        <w:t xml:space="preserve"> Model and English language training. Establishing an effective leadership training and development continuum will ensure that the PNTL continues to independently plan and manage the organisation’s development progress. </w:t>
      </w:r>
    </w:p>
    <w:p w14:paraId="488DD771" w14:textId="608DC2BD" w:rsidR="000B01C4" w:rsidRPr="00A42C1F" w:rsidRDefault="000B01C4" w:rsidP="00A42C1F">
      <w:pPr>
        <w:pStyle w:val="Heading2"/>
        <w:numPr>
          <w:ilvl w:val="1"/>
          <w:numId w:val="61"/>
        </w:numPr>
        <w:spacing w:before="0" w:after="120" w:line="240" w:lineRule="auto"/>
        <w:ind w:left="426"/>
      </w:pPr>
      <w:bookmarkStart w:id="106" w:name="_Toc516189377"/>
      <w:r w:rsidRPr="00A42C1F">
        <w:t>Gender Equality</w:t>
      </w:r>
      <w:r w:rsidR="00251A6D" w:rsidRPr="00A42C1F">
        <w:t xml:space="preserve"> and </w:t>
      </w:r>
      <w:r w:rsidR="005A19E9">
        <w:t>Women’s Empowerment</w:t>
      </w:r>
      <w:bookmarkEnd w:id="106"/>
      <w:r w:rsidR="005A19E9">
        <w:t xml:space="preserve"> </w:t>
      </w:r>
    </w:p>
    <w:p w14:paraId="72F2D994" w14:textId="7882E81F" w:rsidR="00E723A9" w:rsidRPr="00BF2F7C" w:rsidRDefault="00E723A9" w:rsidP="007701F5">
      <w:pPr>
        <w:autoSpaceDE w:val="0"/>
        <w:autoSpaceDN w:val="0"/>
        <w:adjustRightInd w:val="0"/>
        <w:spacing w:after="120" w:line="240" w:lineRule="auto"/>
      </w:pPr>
      <w:r w:rsidRPr="00BF2F7C">
        <w:t xml:space="preserve">Gender equality and inclusion remain key challenges for Timor-Leste. Timorese society is deeply patriarchal and characterised by rigid gender roles and unequal power relations </w:t>
      </w:r>
      <w:r w:rsidRPr="00BF2F7C">
        <w:lastRenderedPageBreak/>
        <w:t>between men and women.</w:t>
      </w:r>
      <w:r w:rsidRPr="00BF2F7C">
        <w:rPr>
          <w:rStyle w:val="FootnoteReference"/>
        </w:rPr>
        <w:footnoteReference w:id="49"/>
      </w:r>
      <w:r w:rsidRPr="00BF2F7C">
        <w:t xml:space="preserve"> Over two decades of militarization and armed conflict in Timor-Leste positioned men in central roles within Timor’s political elite and resistance movement, which have continued in the post-conflict era.</w:t>
      </w:r>
      <w:r w:rsidRPr="00BF2F7C">
        <w:rPr>
          <w:rStyle w:val="FootnoteReference"/>
        </w:rPr>
        <w:footnoteReference w:id="50"/>
      </w:r>
      <w:r w:rsidRPr="00BF2F7C">
        <w:t xml:space="preserve">  Timor-Leste acknowledges that this has led to a culture that </w:t>
      </w:r>
      <w:r w:rsidR="009B4A24" w:rsidRPr="00BF2F7C">
        <w:t>‘</w:t>
      </w:r>
      <w:r w:rsidR="00332FA2" w:rsidRPr="00BF2F7C">
        <w:t>favours</w:t>
      </w:r>
      <w:r w:rsidRPr="00BF2F7C">
        <w:t xml:space="preserve"> a style of power through domination</w:t>
      </w:r>
      <w:r w:rsidR="009B4A24" w:rsidRPr="00BF2F7C">
        <w:t>’</w:t>
      </w:r>
      <w:r w:rsidRPr="00BF2F7C">
        <w:rPr>
          <w:rStyle w:val="FootnoteReference"/>
        </w:rPr>
        <w:footnoteReference w:id="51"/>
      </w:r>
      <w:r w:rsidRPr="00BF2F7C">
        <w:t xml:space="preserve"> and </w:t>
      </w:r>
      <w:r w:rsidR="009B4A24" w:rsidRPr="00BF2F7C">
        <w:t>‘</w:t>
      </w:r>
      <w:r w:rsidRPr="00BF2F7C">
        <w:t>tends to marginalise women and prevents their equal participation in leadership and politics</w:t>
      </w:r>
      <w:r w:rsidR="009B4A24" w:rsidRPr="00BF2F7C">
        <w:t>’</w:t>
      </w:r>
      <w:r w:rsidRPr="00BF2F7C">
        <w:t>.</w:t>
      </w:r>
      <w:r w:rsidRPr="00BF2F7C">
        <w:rPr>
          <w:rStyle w:val="FootnoteReference"/>
        </w:rPr>
        <w:footnoteReference w:id="52"/>
      </w:r>
      <w:r w:rsidRPr="00BF2F7C">
        <w:t xml:space="preserve"> Fertility rates in Timor-Leste are also some of the highest in our region,</w:t>
      </w:r>
      <w:r w:rsidRPr="00BF2F7C">
        <w:rPr>
          <w:rStyle w:val="FootnoteReference"/>
        </w:rPr>
        <w:footnoteReference w:id="53"/>
      </w:r>
      <w:r w:rsidRPr="00BF2F7C">
        <w:t xml:space="preserve"> and a wom</w:t>
      </w:r>
      <w:r w:rsidR="00504C5F">
        <w:t>a</w:t>
      </w:r>
      <w:r w:rsidRPr="00BF2F7C">
        <w:t>n’s role is still primarily viewed as child-rearing and domestic household chores.</w:t>
      </w:r>
      <w:r w:rsidRPr="00BF2F7C">
        <w:rPr>
          <w:rStyle w:val="FootnoteReference"/>
        </w:rPr>
        <w:footnoteReference w:id="54"/>
      </w:r>
      <w:r w:rsidRPr="00BF2F7C">
        <w:t xml:space="preserve"> This is amplified by the cultural perception of one’s wealth as being measured by the number of children a family has.</w:t>
      </w:r>
      <w:r w:rsidRPr="00BF2F7C">
        <w:rPr>
          <w:rStyle w:val="FootnoteReference"/>
        </w:rPr>
        <w:footnoteReference w:id="55"/>
      </w:r>
      <w:r w:rsidRPr="00BF2F7C">
        <w:t xml:space="preserve"> Women’s economic aspirations, educational opportunities, and potential for political engagement are effectively undermined by a lack of power in both private and public life.</w:t>
      </w:r>
      <w:r w:rsidRPr="00BF2F7C">
        <w:rPr>
          <w:rStyle w:val="FootnoteReference"/>
        </w:rPr>
        <w:footnoteReference w:id="56"/>
      </w:r>
    </w:p>
    <w:p w14:paraId="527CB89C" w14:textId="77777777" w:rsidR="003973B6" w:rsidRDefault="00E723A9" w:rsidP="007701F5">
      <w:pPr>
        <w:spacing w:after="120" w:line="240" w:lineRule="auto"/>
      </w:pPr>
      <w:r w:rsidRPr="00BF2F7C">
        <w:t xml:space="preserve">In this complex social, economic and political structure, women are challenged with a high prevalence of domestic violence, and significant barriers to economical inclusion. </w:t>
      </w:r>
      <w:r w:rsidR="009C6C3F">
        <w:t xml:space="preserve">The socio-cultural and political factors mentioned above not only limit women’s ability to join and be promoted within the security sector, but also their ability to access justice. </w:t>
      </w:r>
      <w:r w:rsidR="001D5DE1">
        <w:t xml:space="preserve">Women’s social, economic and cultural lives are centred on their relationships. With domestic violence considered a normal part of married life in Timor-Leste, the risks of involving the formal justice system, such as losing their livelihood or being spurned by their families, outweighs the benefits of reporting the crime.  Most women that do seek help turn to customary law systems. These systems operate within the patriarchal cultural framework, and often to not provide satisfactory results for women. </w:t>
      </w:r>
    </w:p>
    <w:p w14:paraId="18718FFD" w14:textId="033C39DD" w:rsidR="009C6C3F" w:rsidRDefault="001D5DE1" w:rsidP="007701F5">
      <w:pPr>
        <w:spacing w:after="120" w:line="240" w:lineRule="auto"/>
      </w:pPr>
      <w:r>
        <w:t xml:space="preserve">Overwhelmingly, the PNTL officers the Design Team spoke to </w:t>
      </w:r>
      <w:r w:rsidR="003973B6">
        <w:t xml:space="preserve">regarded domestic violence as a serious crime and supported </w:t>
      </w:r>
      <w:proofErr w:type="gramStart"/>
      <w:r w:rsidR="003973B6">
        <w:t>victims</w:t>
      </w:r>
      <w:proofErr w:type="gramEnd"/>
      <w:r w:rsidR="003973B6">
        <w:t xml:space="preserve"> access to justice. However other stakeholders suggested that some PNTL officers (generally outside of Dili) considered domestic violence a private matter that should be dealt with at the village-level. These attitudes seriously undermine victim’s access to justice. The TLPDP will continue to influence the PNTL and reiterate that domestic violence is a serious crime that impacts the entire community and development of Timor-Leste and the need to ensure all officers deal with domestic violence cases appropriately. This will generally mean that offenders are prosecuted</w:t>
      </w:r>
      <w:r w:rsidR="009A5545">
        <w:t xml:space="preserve"> in a timely manner</w:t>
      </w:r>
      <w:r w:rsidR="003973B6">
        <w:t xml:space="preserve"> and victims are </w:t>
      </w:r>
      <w:r w:rsidR="009A5545">
        <w:t>taken to</w:t>
      </w:r>
      <w:r w:rsidR="003973B6">
        <w:t xml:space="preserve"> a safe environment</w:t>
      </w:r>
      <w:r w:rsidR="00FA5E06">
        <w:t xml:space="preserve"> (such as a VPU)</w:t>
      </w:r>
      <w:r w:rsidR="003973B6">
        <w:t xml:space="preserve">, </w:t>
      </w:r>
      <w:r w:rsidR="009A5545">
        <w:t xml:space="preserve">put in contact with appropriate medical and social services, receive information about their cases </w:t>
      </w:r>
      <w:proofErr w:type="gramStart"/>
      <w:r w:rsidR="009A5545">
        <w:t>and  are</w:t>
      </w:r>
      <w:proofErr w:type="gramEnd"/>
      <w:r w:rsidR="009A5545">
        <w:t xml:space="preserve"> </w:t>
      </w:r>
      <w:r w:rsidR="003973B6">
        <w:t>treated with</w:t>
      </w:r>
      <w:r w:rsidR="009A5545">
        <w:t xml:space="preserve"> dignity and</w:t>
      </w:r>
      <w:r w:rsidR="003973B6">
        <w:t xml:space="preserve"> empathy</w:t>
      </w:r>
      <w:r w:rsidR="009A5545">
        <w:t xml:space="preserve"> by the PNTL.</w:t>
      </w:r>
    </w:p>
    <w:p w14:paraId="6991EB4A" w14:textId="57AD9136" w:rsidR="00E723A9" w:rsidRPr="00BF2F7C" w:rsidRDefault="00E723A9" w:rsidP="007701F5">
      <w:pPr>
        <w:spacing w:after="120" w:line="240" w:lineRule="auto"/>
      </w:pPr>
      <w:r w:rsidRPr="00BF2F7C">
        <w:t xml:space="preserve">The next phase of the TLPDP will seek to advance gender equality and promote the empowerment of women and girls by focusing on the following strategic objectives: </w:t>
      </w:r>
    </w:p>
    <w:p w14:paraId="1DFC5EB6" w14:textId="25475905" w:rsidR="00E723A9" w:rsidRPr="00BF2F7C" w:rsidRDefault="00E723A9" w:rsidP="007701F5">
      <w:pPr>
        <w:pStyle w:val="ListParagraph"/>
        <w:numPr>
          <w:ilvl w:val="0"/>
          <w:numId w:val="42"/>
        </w:numPr>
        <w:spacing w:after="120" w:line="240" w:lineRule="auto"/>
      </w:pPr>
      <w:r w:rsidRPr="00BF2F7C">
        <w:t xml:space="preserve">Support the PNTL to develop a Gender Strategy which </w:t>
      </w:r>
      <w:r w:rsidRPr="00BF2F7C">
        <w:rPr>
          <w:rFonts w:cs="HelveticaNeueLT Pro 55 Roman"/>
          <w:color w:val="000000"/>
        </w:rPr>
        <w:t xml:space="preserve">promotes women’s participation and advancement in the </w:t>
      </w:r>
      <w:proofErr w:type="gramStart"/>
      <w:r w:rsidRPr="00BF2F7C">
        <w:rPr>
          <w:rFonts w:cs="HelveticaNeueLT Pro 55 Roman"/>
          <w:color w:val="000000"/>
        </w:rPr>
        <w:t>PNTL</w:t>
      </w:r>
      <w:r w:rsidR="00251A6D" w:rsidRPr="00BF2F7C">
        <w:rPr>
          <w:rFonts w:cs="HelveticaNeueLT Pro 55 Roman"/>
          <w:color w:val="000000"/>
        </w:rPr>
        <w:t>;</w:t>
      </w:r>
      <w:proofErr w:type="gramEnd"/>
    </w:p>
    <w:p w14:paraId="75CA2403" w14:textId="76AA9EF2" w:rsidR="00E723A9" w:rsidRPr="00BF2F7C" w:rsidRDefault="00E723A9" w:rsidP="007701F5">
      <w:pPr>
        <w:pStyle w:val="ListParagraph"/>
        <w:numPr>
          <w:ilvl w:val="0"/>
          <w:numId w:val="42"/>
        </w:numPr>
        <w:spacing w:after="120" w:line="240" w:lineRule="auto"/>
      </w:pPr>
      <w:r w:rsidRPr="00BF2F7C">
        <w:t xml:space="preserve">Strengthen PNTL capability to </w:t>
      </w:r>
      <w:r w:rsidR="00CE4415">
        <w:t>respond to</w:t>
      </w:r>
      <w:r w:rsidR="00CE4415" w:rsidRPr="00BF2F7C">
        <w:t xml:space="preserve"> </w:t>
      </w:r>
      <w:r w:rsidRPr="00BF2F7C">
        <w:t xml:space="preserve">gender-based violence and </w:t>
      </w:r>
      <w:r w:rsidR="00CE4415">
        <w:t xml:space="preserve">other gender related crime through improved investigational capability </w:t>
      </w:r>
      <w:r w:rsidRPr="00BF2F7C">
        <w:t xml:space="preserve">and support </w:t>
      </w:r>
      <w:r w:rsidR="00CE4415">
        <w:t>to</w:t>
      </w:r>
      <w:r w:rsidRPr="00BF2F7C">
        <w:t xml:space="preserve"> victims </w:t>
      </w:r>
      <w:r w:rsidR="00CE4415">
        <w:t>including</w:t>
      </w:r>
      <w:r w:rsidRPr="00BF2F7C">
        <w:t xml:space="preserve"> vulnerable </w:t>
      </w:r>
      <w:proofErr w:type="gramStart"/>
      <w:r w:rsidRPr="00BF2F7C">
        <w:t>people;</w:t>
      </w:r>
      <w:proofErr w:type="gramEnd"/>
    </w:p>
    <w:p w14:paraId="66D47442" w14:textId="77777777" w:rsidR="00E723A9" w:rsidRPr="00BF2F7C" w:rsidRDefault="00E723A9" w:rsidP="007701F5">
      <w:pPr>
        <w:pStyle w:val="ListParagraph"/>
        <w:numPr>
          <w:ilvl w:val="0"/>
          <w:numId w:val="42"/>
        </w:numPr>
        <w:spacing w:after="120" w:line="240" w:lineRule="auto"/>
      </w:pPr>
      <w:r w:rsidRPr="00BF2F7C">
        <w:t xml:space="preserve">Ensure Gender mainstreaming across all Program activities; and </w:t>
      </w:r>
    </w:p>
    <w:p w14:paraId="7F7CFAD7" w14:textId="77777777" w:rsidR="00E723A9" w:rsidRDefault="00E723A9" w:rsidP="007701F5">
      <w:pPr>
        <w:pStyle w:val="ListParagraph"/>
        <w:numPr>
          <w:ilvl w:val="0"/>
          <w:numId w:val="42"/>
        </w:numPr>
        <w:spacing w:after="120" w:line="240" w:lineRule="auto"/>
      </w:pPr>
      <w:r w:rsidRPr="00BF2F7C">
        <w:t>Increase stakeholder engagement and collaboration with civil society on gender-related objectives and activities.</w:t>
      </w:r>
    </w:p>
    <w:p w14:paraId="7CC2219E" w14:textId="5B484925" w:rsidR="00F7323C" w:rsidRPr="00BF2F7C" w:rsidRDefault="00F7323C" w:rsidP="00F7323C">
      <w:pPr>
        <w:spacing w:after="120" w:line="240" w:lineRule="auto"/>
      </w:pPr>
      <w:r>
        <w:lastRenderedPageBreak/>
        <w:t xml:space="preserve">Gender mainstreaming across the TLPDP will be achieved primarily through the advice and guidance of the TLPDP Gender Adviser. The Gender Adviser will be consulted in the planning and implementation of each TLPDP activity to ensure women’s empowerment is incorporated in every aspect of the Program.  </w:t>
      </w:r>
      <w:r w:rsidR="00A319A1">
        <w:t xml:space="preserve">Consistent with the AFP International Operations Gender Strategy 2018-2022, 100 per cent of women and men deployed by AFP International Operations will undertake gender pre-deployment training. Similarly, the TLPDP design and evaluation processes will include a gender analysis to ensure gender is appropriately integrated into the Program. </w:t>
      </w:r>
    </w:p>
    <w:p w14:paraId="78AFF566" w14:textId="2D77C35D" w:rsidR="00E723A9" w:rsidRPr="00940239" w:rsidRDefault="00E723A9" w:rsidP="001218D8">
      <w:pPr>
        <w:pStyle w:val="Heading3"/>
        <w:numPr>
          <w:ilvl w:val="2"/>
          <w:numId w:val="61"/>
        </w:numPr>
        <w:spacing w:before="0" w:after="120" w:line="240" w:lineRule="auto"/>
        <w:ind w:left="567" w:hanging="567"/>
      </w:pPr>
      <w:bookmarkStart w:id="107" w:name="_Toc516189378"/>
      <w:r w:rsidRPr="00940239">
        <w:t>Violence against women</w:t>
      </w:r>
      <w:bookmarkEnd w:id="107"/>
    </w:p>
    <w:p w14:paraId="11664E75" w14:textId="77777777" w:rsidR="00E723A9" w:rsidRPr="00BF2F7C" w:rsidRDefault="00E723A9" w:rsidP="007701F5">
      <w:pPr>
        <w:autoSpaceDE w:val="0"/>
        <w:autoSpaceDN w:val="0"/>
        <w:adjustRightInd w:val="0"/>
        <w:spacing w:after="120" w:line="240" w:lineRule="auto"/>
      </w:pPr>
      <w:r w:rsidRPr="00BF2F7C">
        <w:t>Violence against women is a critical development issue for Timor-Leste.</w:t>
      </w:r>
      <w:r w:rsidRPr="00BF2F7C">
        <w:rPr>
          <w:rStyle w:val="FootnoteReference"/>
        </w:rPr>
        <w:footnoteReference w:id="57"/>
      </w:r>
      <w:r w:rsidRPr="00BF2F7C">
        <w:t xml:space="preserve"> The economic and social costs associated with violence against women are significant, and this violence substantially undermines development objectives.</w:t>
      </w:r>
      <w:r w:rsidRPr="00BF2F7C">
        <w:rPr>
          <w:rStyle w:val="FootnoteReference"/>
        </w:rPr>
        <w:footnoteReference w:id="58"/>
      </w:r>
      <w:r w:rsidRPr="00BF2F7C">
        <w:t xml:space="preserve"> Research suggests that violence against women is a significant and wide-spread issue in Timor-Leste.</w:t>
      </w:r>
      <w:r w:rsidRPr="00BF2F7C">
        <w:rPr>
          <w:rStyle w:val="FootnoteReference"/>
        </w:rPr>
        <w:footnoteReference w:id="59"/>
      </w:r>
      <w:r w:rsidRPr="00BF2F7C">
        <w:t xml:space="preserve"> The most common form of violence against women is domestic violence, although non-partner rape, sexual assault, sexual harassment and human trafficking are also common.</w:t>
      </w:r>
      <w:r w:rsidRPr="00BF2F7C">
        <w:rPr>
          <w:rStyle w:val="FootnoteReference"/>
        </w:rPr>
        <w:footnoteReference w:id="60"/>
      </w:r>
      <w:r w:rsidRPr="00BF2F7C">
        <w:t xml:space="preserve"> </w:t>
      </w:r>
    </w:p>
    <w:p w14:paraId="1CDC907C" w14:textId="77777777" w:rsidR="00E723A9" w:rsidRPr="00BF2F7C" w:rsidRDefault="00E723A9" w:rsidP="007701F5">
      <w:pPr>
        <w:autoSpaceDE w:val="0"/>
        <w:autoSpaceDN w:val="0"/>
        <w:adjustRightInd w:val="0"/>
        <w:spacing w:after="120" w:line="240" w:lineRule="auto"/>
        <w:rPr>
          <w:rFonts w:cs="AGaramondPro-Regular"/>
        </w:rPr>
      </w:pPr>
      <w:r w:rsidRPr="00BF2F7C">
        <w:rPr>
          <w:rFonts w:cs="AGaramondPro-Regular"/>
        </w:rPr>
        <w:t>A 2016 study found that in Timor-Leste three in five women have experienced physical and/or sexual violence from a male intimate partner in their lifetimes.</w:t>
      </w:r>
      <w:r w:rsidRPr="00BF2F7C">
        <w:rPr>
          <w:rStyle w:val="FootnoteReference"/>
          <w:rFonts w:cs="AGaramondPro-Regular"/>
        </w:rPr>
        <w:footnoteReference w:id="61"/>
      </w:r>
      <w:r w:rsidRPr="00BF2F7C">
        <w:rPr>
          <w:rFonts w:cs="AGaramondPro-Regular"/>
        </w:rPr>
        <w:t xml:space="preserve"> The study also found that 14 per cent of women aged 15-49 experienced non-partner rape, which is double the global average.</w:t>
      </w:r>
      <w:r w:rsidRPr="00BF2F7C">
        <w:rPr>
          <w:rStyle w:val="FootnoteReference"/>
          <w:rFonts w:cs="AGaramondPro-Regular"/>
        </w:rPr>
        <w:t xml:space="preserve"> </w:t>
      </w:r>
      <w:r w:rsidRPr="00BF2F7C">
        <w:rPr>
          <w:rStyle w:val="FootnoteReference"/>
          <w:rFonts w:cs="AGaramondPro-Regular"/>
        </w:rPr>
        <w:footnoteReference w:id="62"/>
      </w:r>
      <w:r w:rsidRPr="00BF2F7C">
        <w:rPr>
          <w:rFonts w:cs="AGaramondPro-Regular"/>
        </w:rPr>
        <w:t xml:space="preserve"> Childhood trauma and abuse is also widespread, and it is likely that using violence is somewhat normalized as a form of discipline in Timor-Leste.</w:t>
      </w:r>
      <w:r w:rsidRPr="00BF2F7C">
        <w:rPr>
          <w:rStyle w:val="FootnoteReference"/>
          <w:rFonts w:cs="AGaramondPro-Regular"/>
        </w:rPr>
        <w:footnoteReference w:id="63"/>
      </w:r>
      <w:r w:rsidRPr="00BF2F7C">
        <w:rPr>
          <w:rFonts w:cs="AGaramondPro-Regular"/>
        </w:rPr>
        <w:t xml:space="preserve"> Members of the PNTL also acknowledged that domestic violence is significantly under-reported in Timor-Leste, with generally only the most severe or relentless cases being brought to police.</w:t>
      </w:r>
      <w:r w:rsidRPr="00BF2F7C">
        <w:rPr>
          <w:rStyle w:val="FootnoteReference"/>
          <w:rFonts w:cs="AGaramondPro-Regular"/>
        </w:rPr>
        <w:footnoteReference w:id="64"/>
      </w:r>
      <w:r w:rsidRPr="00BF2F7C">
        <w:rPr>
          <w:rFonts w:cs="AGaramondPro-Regular"/>
        </w:rPr>
        <w:t xml:space="preserve"> </w:t>
      </w:r>
    </w:p>
    <w:p w14:paraId="549F9E71" w14:textId="79B469A5" w:rsidR="00E723A9" w:rsidRPr="00BF2F7C" w:rsidRDefault="00E723A9" w:rsidP="007701F5">
      <w:pPr>
        <w:autoSpaceDE w:val="0"/>
        <w:autoSpaceDN w:val="0"/>
        <w:adjustRightInd w:val="0"/>
        <w:spacing w:after="120" w:line="240" w:lineRule="auto"/>
        <w:rPr>
          <w:rFonts w:cs="AGaramondPro-Regular"/>
        </w:rPr>
      </w:pPr>
      <w:r w:rsidRPr="00BF2F7C">
        <w:rPr>
          <w:rFonts w:cs="AGaramondPro-Regular"/>
        </w:rPr>
        <w:t xml:space="preserve">The </w:t>
      </w:r>
      <w:proofErr w:type="spellStart"/>
      <w:r w:rsidRPr="00BF2F7C">
        <w:rPr>
          <w:rFonts w:cs="AGaramondPro-Regular"/>
        </w:rPr>
        <w:t>GoDRTL</w:t>
      </w:r>
      <w:proofErr w:type="spellEnd"/>
      <w:r w:rsidRPr="00BF2F7C">
        <w:rPr>
          <w:rFonts w:cs="AGaramondPro-Regular"/>
        </w:rPr>
        <w:t xml:space="preserve"> has committed to the goal of being “a gender-fair society where human dignity and women’s rights are valued protected and promoted by our laws and culture”.</w:t>
      </w:r>
      <w:r w:rsidRPr="00BF2F7C">
        <w:rPr>
          <w:rStyle w:val="FootnoteReference"/>
          <w:rFonts w:cs="AGaramondPro-Regular"/>
        </w:rPr>
        <w:footnoteReference w:id="65"/>
      </w:r>
      <w:r w:rsidRPr="00BF2F7C">
        <w:rPr>
          <w:rFonts w:cs="AGaramondPro-Regular"/>
        </w:rPr>
        <w:t xml:space="preserve"> In May 2017 the </w:t>
      </w:r>
      <w:proofErr w:type="spellStart"/>
      <w:r w:rsidRPr="00BF2F7C">
        <w:rPr>
          <w:rFonts w:cs="AGaramondPro-Regular"/>
        </w:rPr>
        <w:t>G</w:t>
      </w:r>
      <w:r w:rsidR="00AA126C">
        <w:rPr>
          <w:rFonts w:cs="AGaramondPro-Regular"/>
        </w:rPr>
        <w:t>o</w:t>
      </w:r>
      <w:r w:rsidRPr="00BF2F7C">
        <w:rPr>
          <w:rFonts w:cs="AGaramondPro-Regular"/>
        </w:rPr>
        <w:t>DRTL</w:t>
      </w:r>
      <w:proofErr w:type="spellEnd"/>
      <w:r w:rsidRPr="00BF2F7C">
        <w:rPr>
          <w:rFonts w:cs="AGaramondPro-Regular"/>
        </w:rPr>
        <w:t xml:space="preserve"> approved a revised </w:t>
      </w:r>
      <w:r w:rsidRPr="00BF2F7C">
        <w:rPr>
          <w:rFonts w:cs="AGaramondPro-Regular"/>
          <w:i/>
        </w:rPr>
        <w:t>National Action Plan on Gender-Based Violence</w:t>
      </w:r>
      <w:r w:rsidRPr="00BF2F7C">
        <w:rPr>
          <w:rFonts w:cs="AGaramondPro-Regular"/>
        </w:rPr>
        <w:t xml:space="preserve"> (NAP-GBV), which outlines the Government’s commitment to r</w:t>
      </w:r>
      <w:r w:rsidRPr="00BF2F7C">
        <w:rPr>
          <w:rFonts w:cs="Cambria"/>
        </w:rPr>
        <w:t>educe and ultimately eliminate gender based violence that affects women, men and children in</w:t>
      </w:r>
      <w:r w:rsidRPr="00BF2F7C">
        <w:rPr>
          <w:rFonts w:cs="AGaramondPro-Regular"/>
        </w:rPr>
        <w:t xml:space="preserve"> Timor-Leste.</w:t>
      </w:r>
      <w:r w:rsidRPr="00BF2F7C">
        <w:rPr>
          <w:rStyle w:val="FootnoteReference"/>
          <w:rFonts w:cs="AGaramondPro-Regular"/>
        </w:rPr>
        <w:footnoteReference w:id="66"/>
      </w:r>
      <w:r w:rsidRPr="00BF2F7C">
        <w:rPr>
          <w:rFonts w:cs="AGaramondPro-Regular"/>
        </w:rPr>
        <w:t xml:space="preserve"> The NAP-GBV established four strategic priorities:</w:t>
      </w:r>
    </w:p>
    <w:p w14:paraId="0A8E3423" w14:textId="77777777" w:rsidR="00E723A9" w:rsidRPr="00BF2F7C" w:rsidRDefault="00E723A9" w:rsidP="007701F5">
      <w:pPr>
        <w:pStyle w:val="ListParagraph"/>
        <w:numPr>
          <w:ilvl w:val="0"/>
          <w:numId w:val="44"/>
        </w:numPr>
        <w:autoSpaceDE w:val="0"/>
        <w:autoSpaceDN w:val="0"/>
        <w:adjustRightInd w:val="0"/>
        <w:spacing w:after="120" w:line="240" w:lineRule="auto"/>
        <w:rPr>
          <w:rFonts w:cs="AGaramondPro-Regular"/>
        </w:rPr>
      </w:pPr>
      <w:r w:rsidRPr="00BF2F7C">
        <w:rPr>
          <w:rFonts w:cs="AGaramondPro-Regular"/>
        </w:rPr>
        <w:t xml:space="preserve">The </w:t>
      </w:r>
      <w:r w:rsidRPr="00BF2F7C">
        <w:rPr>
          <w:rFonts w:cs="AGaramondPro-Regular"/>
          <w:b/>
        </w:rPr>
        <w:t>prevention</w:t>
      </w:r>
      <w:r w:rsidRPr="00BF2F7C">
        <w:rPr>
          <w:rFonts w:cs="AGaramondPro-Regular"/>
        </w:rPr>
        <w:t xml:space="preserve"> of gender-based </w:t>
      </w:r>
      <w:proofErr w:type="gramStart"/>
      <w:r w:rsidRPr="00BF2F7C">
        <w:rPr>
          <w:rFonts w:cs="AGaramondPro-Regular"/>
        </w:rPr>
        <w:t>violence;</w:t>
      </w:r>
      <w:proofErr w:type="gramEnd"/>
    </w:p>
    <w:p w14:paraId="0C72E973" w14:textId="77777777" w:rsidR="00E723A9" w:rsidRPr="00BF2F7C" w:rsidRDefault="00E723A9" w:rsidP="007701F5">
      <w:pPr>
        <w:pStyle w:val="ListParagraph"/>
        <w:numPr>
          <w:ilvl w:val="0"/>
          <w:numId w:val="44"/>
        </w:numPr>
        <w:autoSpaceDE w:val="0"/>
        <w:autoSpaceDN w:val="0"/>
        <w:adjustRightInd w:val="0"/>
        <w:spacing w:after="120" w:line="240" w:lineRule="auto"/>
        <w:rPr>
          <w:rFonts w:cs="AGaramondPro-Regular"/>
        </w:rPr>
      </w:pPr>
      <w:r w:rsidRPr="00BF2F7C">
        <w:rPr>
          <w:rFonts w:cs="AGaramondPro-Regular"/>
        </w:rPr>
        <w:t xml:space="preserve">The provision of </w:t>
      </w:r>
      <w:r w:rsidRPr="00BF2F7C">
        <w:rPr>
          <w:rFonts w:cs="AGaramondPro-Regular"/>
          <w:b/>
        </w:rPr>
        <w:t>services</w:t>
      </w:r>
      <w:r w:rsidRPr="00BF2F7C">
        <w:rPr>
          <w:rFonts w:cs="AGaramondPro-Regular"/>
        </w:rPr>
        <w:t xml:space="preserve"> to </w:t>
      </w:r>
      <w:proofErr w:type="gramStart"/>
      <w:r w:rsidRPr="00BF2F7C">
        <w:rPr>
          <w:rFonts w:cs="AGaramondPro-Regular"/>
        </w:rPr>
        <w:t>victims;</w:t>
      </w:r>
      <w:proofErr w:type="gramEnd"/>
    </w:p>
    <w:p w14:paraId="2F72A63D" w14:textId="77777777" w:rsidR="00E723A9" w:rsidRPr="00BF2F7C" w:rsidRDefault="00E723A9" w:rsidP="007701F5">
      <w:pPr>
        <w:pStyle w:val="ListParagraph"/>
        <w:numPr>
          <w:ilvl w:val="0"/>
          <w:numId w:val="44"/>
        </w:numPr>
        <w:autoSpaceDE w:val="0"/>
        <w:autoSpaceDN w:val="0"/>
        <w:adjustRightInd w:val="0"/>
        <w:spacing w:after="120" w:line="240" w:lineRule="auto"/>
        <w:rPr>
          <w:rFonts w:cs="AGaramondPro-Regular"/>
        </w:rPr>
      </w:pPr>
      <w:r w:rsidRPr="00BF2F7C">
        <w:rPr>
          <w:rFonts w:cs="AGaramondPro-Regular"/>
        </w:rPr>
        <w:t xml:space="preserve">Access to </w:t>
      </w:r>
      <w:r w:rsidRPr="00BF2F7C">
        <w:rPr>
          <w:rFonts w:cs="AGaramondPro-Regular"/>
          <w:b/>
        </w:rPr>
        <w:t>justice</w:t>
      </w:r>
      <w:r w:rsidRPr="00BF2F7C">
        <w:rPr>
          <w:rFonts w:cs="AGaramondPro-Regular"/>
        </w:rPr>
        <w:t xml:space="preserve">; and </w:t>
      </w:r>
    </w:p>
    <w:p w14:paraId="5C60343F" w14:textId="77777777" w:rsidR="00E723A9" w:rsidRPr="00BF2F7C" w:rsidRDefault="00E723A9" w:rsidP="007701F5">
      <w:pPr>
        <w:pStyle w:val="ListParagraph"/>
        <w:numPr>
          <w:ilvl w:val="0"/>
          <w:numId w:val="44"/>
        </w:numPr>
        <w:autoSpaceDE w:val="0"/>
        <w:autoSpaceDN w:val="0"/>
        <w:adjustRightInd w:val="0"/>
        <w:spacing w:after="120" w:line="240" w:lineRule="auto"/>
        <w:rPr>
          <w:rFonts w:cs="AGaramondPro-Regular"/>
        </w:rPr>
      </w:pPr>
      <w:r w:rsidRPr="00BF2F7C">
        <w:rPr>
          <w:rFonts w:cs="AGaramondPro-Regular"/>
          <w:b/>
        </w:rPr>
        <w:t>Coordination</w:t>
      </w:r>
      <w:r w:rsidRPr="00BF2F7C">
        <w:rPr>
          <w:rFonts w:cs="AGaramondPro-Regular"/>
        </w:rPr>
        <w:t xml:space="preserve"> and </w:t>
      </w:r>
      <w:r w:rsidRPr="00BF2F7C">
        <w:rPr>
          <w:rFonts w:cs="AGaramondPro-Regular"/>
          <w:b/>
        </w:rPr>
        <w:t>monitoring</w:t>
      </w:r>
      <w:r w:rsidRPr="00BF2F7C">
        <w:rPr>
          <w:rFonts w:cs="AGaramondPro-Regular"/>
        </w:rPr>
        <w:t xml:space="preserve"> and </w:t>
      </w:r>
      <w:r w:rsidRPr="00BF2F7C">
        <w:rPr>
          <w:rFonts w:cs="AGaramondPro-Regular"/>
          <w:b/>
        </w:rPr>
        <w:t>evaluation</w:t>
      </w:r>
      <w:r w:rsidRPr="00BF2F7C">
        <w:rPr>
          <w:rFonts w:cs="AGaramondPro-Regular"/>
        </w:rPr>
        <w:t>.</w:t>
      </w:r>
    </w:p>
    <w:p w14:paraId="71C136AA" w14:textId="6CD98617" w:rsidR="00E723A9" w:rsidRPr="00BF2F7C" w:rsidRDefault="00E723A9" w:rsidP="007701F5">
      <w:pPr>
        <w:autoSpaceDE w:val="0"/>
        <w:autoSpaceDN w:val="0"/>
        <w:adjustRightInd w:val="0"/>
        <w:spacing w:after="120" w:line="240" w:lineRule="auto"/>
        <w:rPr>
          <w:rFonts w:cs="AGaramondPro-Regular"/>
        </w:rPr>
      </w:pPr>
      <w:r w:rsidRPr="00BF2F7C">
        <w:rPr>
          <w:rFonts w:cs="AGaramondPro-Regular"/>
        </w:rPr>
        <w:t xml:space="preserve">The TLPDP, through support to the PNTL, will contribute to each of these strategic objectives, in particular the provision of advice, support and funding to the Vulnerable Persons Unit; improving the PNTL’s investigative capability; expanding specialist training opportunities to PNTL officer s in the districts; and increasing women’s participation in the PNTL. These </w:t>
      </w:r>
      <w:r w:rsidRPr="00BF2F7C">
        <w:rPr>
          <w:rFonts w:cs="AGaramondPro-Regular"/>
        </w:rPr>
        <w:lastRenderedPageBreak/>
        <w:t xml:space="preserve">activities will assist the </w:t>
      </w:r>
      <w:proofErr w:type="spellStart"/>
      <w:r w:rsidRPr="00BF2F7C">
        <w:rPr>
          <w:rFonts w:cs="AGaramondPro-Regular"/>
        </w:rPr>
        <w:t>GoDRTL</w:t>
      </w:r>
      <w:proofErr w:type="spellEnd"/>
      <w:r w:rsidRPr="00BF2F7C">
        <w:rPr>
          <w:rFonts w:cs="AGaramondPro-Regular"/>
        </w:rPr>
        <w:t xml:space="preserve"> to reach its objectives by increasing the capability of the police to sensitively and appropriately support victims of gender-based violence, and through adequate investigations provide them with improved access to justice. </w:t>
      </w:r>
      <w:r w:rsidR="009B4A24" w:rsidRPr="00BF2F7C">
        <w:rPr>
          <w:rFonts w:cs="AGaramondPro-Regular"/>
        </w:rPr>
        <w:t xml:space="preserve">The TLPDP will also ensure in their training and capacity building activities that they continue to express to the PNTL that domestic violence is a serious crime and should be investigated by police, not dealt with at the family of community level. </w:t>
      </w:r>
    </w:p>
    <w:p w14:paraId="1C5B1989" w14:textId="668E9861" w:rsidR="00E723A9" w:rsidRPr="00940239" w:rsidRDefault="00E723A9" w:rsidP="001218D8">
      <w:pPr>
        <w:pStyle w:val="Heading3"/>
        <w:numPr>
          <w:ilvl w:val="2"/>
          <w:numId w:val="61"/>
        </w:numPr>
        <w:spacing w:before="0" w:after="120" w:line="240" w:lineRule="auto"/>
        <w:ind w:left="567" w:hanging="567"/>
      </w:pPr>
      <w:bookmarkStart w:id="109" w:name="_Toc516189379"/>
      <w:r w:rsidRPr="00940239">
        <w:t>Empowering women in the PNTL</w:t>
      </w:r>
      <w:bookmarkEnd w:id="109"/>
    </w:p>
    <w:p w14:paraId="6DEF6752" w14:textId="77777777" w:rsidR="00E723A9" w:rsidRPr="00BF2F7C" w:rsidRDefault="00E723A9" w:rsidP="007701F5">
      <w:pPr>
        <w:spacing w:after="120" w:line="240" w:lineRule="auto"/>
        <w:rPr>
          <w:rFonts w:cs="AGaramondPro-Regular"/>
        </w:rPr>
      </w:pPr>
      <w:r w:rsidRPr="00BF2F7C">
        <w:rPr>
          <w:rFonts w:cs="AGaramondPro-Regular"/>
        </w:rPr>
        <w:t xml:space="preserve">Violence against women stems from gender inequality and discrimination. The </w:t>
      </w:r>
      <w:proofErr w:type="spellStart"/>
      <w:r w:rsidRPr="00BF2F7C">
        <w:rPr>
          <w:rFonts w:cs="AGaramondPro-Regular"/>
        </w:rPr>
        <w:t>GoDRTL</w:t>
      </w:r>
      <w:proofErr w:type="spellEnd"/>
      <w:r w:rsidRPr="00BF2F7C">
        <w:rPr>
          <w:rFonts w:cs="AGaramondPro-Regular"/>
        </w:rPr>
        <w:t xml:space="preserve"> recognises that although progress to women’s empowerment has been made, “women continue to face violence and discrimination at home and in public spaces because of the discrimination and limitations imposed upon them.”</w:t>
      </w:r>
      <w:r w:rsidRPr="00BF2F7C">
        <w:rPr>
          <w:rStyle w:val="FootnoteReference"/>
          <w:rFonts w:cs="AGaramondPro-Regular"/>
        </w:rPr>
        <w:footnoteReference w:id="67"/>
      </w:r>
      <w:r w:rsidRPr="00BF2F7C">
        <w:rPr>
          <w:rFonts w:cs="AGaramondPro-Regular"/>
        </w:rPr>
        <w:t xml:space="preserve"> These limitations prevent women from active participation in </w:t>
      </w:r>
      <w:proofErr w:type="gramStart"/>
      <w:r w:rsidRPr="00BF2F7C">
        <w:rPr>
          <w:rFonts w:cs="AGaramondPro-Regular"/>
        </w:rPr>
        <w:t>peace-building</w:t>
      </w:r>
      <w:proofErr w:type="gramEnd"/>
      <w:r w:rsidRPr="00BF2F7C">
        <w:rPr>
          <w:rFonts w:cs="AGaramondPro-Regular"/>
        </w:rPr>
        <w:t xml:space="preserve">, conflict resolution and the development process. </w:t>
      </w:r>
      <w:r w:rsidRPr="00BF2F7C">
        <w:rPr>
          <w:rStyle w:val="FootnoteReference"/>
          <w:rFonts w:cs="AGaramondPro-Regular"/>
        </w:rPr>
        <w:footnoteReference w:id="68"/>
      </w:r>
      <w:r w:rsidRPr="00BF2F7C">
        <w:rPr>
          <w:rFonts w:cs="AGaramondPro-Regular"/>
        </w:rPr>
        <w:t xml:space="preserve"> </w:t>
      </w:r>
    </w:p>
    <w:p w14:paraId="145BAABB" w14:textId="77777777" w:rsidR="00E723A9" w:rsidRPr="00BF2F7C" w:rsidRDefault="00E723A9" w:rsidP="007701F5">
      <w:pPr>
        <w:autoSpaceDE w:val="0"/>
        <w:autoSpaceDN w:val="0"/>
        <w:adjustRightInd w:val="0"/>
        <w:spacing w:after="120" w:line="240" w:lineRule="auto"/>
        <w:rPr>
          <w:rFonts w:cs="AGaramondPro-Regular"/>
        </w:rPr>
      </w:pPr>
      <w:r w:rsidRPr="00BF2F7C">
        <w:rPr>
          <w:rFonts w:cs="AGaramondPro-Regular"/>
        </w:rPr>
        <w:t xml:space="preserve">In October 2016, the </w:t>
      </w:r>
      <w:proofErr w:type="spellStart"/>
      <w:r w:rsidRPr="00BF2F7C">
        <w:rPr>
          <w:rFonts w:cs="AGaramondPro-Regular"/>
        </w:rPr>
        <w:t>GoDRTL</w:t>
      </w:r>
      <w:proofErr w:type="spellEnd"/>
      <w:r w:rsidRPr="00BF2F7C">
        <w:rPr>
          <w:rFonts w:cs="AGaramondPro-Regular"/>
        </w:rPr>
        <w:t xml:space="preserve"> introduced the </w:t>
      </w:r>
      <w:r w:rsidRPr="00BF2F7C">
        <w:rPr>
          <w:rFonts w:cs="AGaramondPro-Regular"/>
          <w:i/>
        </w:rPr>
        <w:t xml:space="preserve">National Action Plan on United Nation’s Security Council Resolution 1325 (2000) on Women, Peace and Security (2016-2020) </w:t>
      </w:r>
      <w:r w:rsidRPr="00BF2F7C">
        <w:rPr>
          <w:rFonts w:cs="AGaramondPro-Regular"/>
        </w:rPr>
        <w:t>(NAP-WPS). The NAP-WPS gives effect to the GRTL’s commitment to UNSCR 1325 (2000</w:t>
      </w:r>
      <w:proofErr w:type="gramStart"/>
      <w:r w:rsidRPr="00BF2F7C">
        <w:rPr>
          <w:rFonts w:cs="AGaramondPro-Regular"/>
        </w:rPr>
        <w:t>), and</w:t>
      </w:r>
      <w:proofErr w:type="gramEnd"/>
      <w:r w:rsidRPr="00BF2F7C">
        <w:rPr>
          <w:rFonts w:cs="AGaramondPro-Regular"/>
        </w:rPr>
        <w:t xml:space="preserve"> sets out how it will be implemented. The NAP-WPS has four pillars: </w:t>
      </w:r>
    </w:p>
    <w:p w14:paraId="1BB177D1" w14:textId="77777777" w:rsidR="00E723A9" w:rsidRPr="00BF2F7C" w:rsidRDefault="00E723A9" w:rsidP="007701F5">
      <w:pPr>
        <w:pStyle w:val="ListParagraph"/>
        <w:numPr>
          <w:ilvl w:val="0"/>
          <w:numId w:val="44"/>
        </w:numPr>
        <w:autoSpaceDE w:val="0"/>
        <w:autoSpaceDN w:val="0"/>
        <w:adjustRightInd w:val="0"/>
        <w:spacing w:after="120" w:line="240" w:lineRule="auto"/>
        <w:rPr>
          <w:rFonts w:cs="AGaramondPro-Regular"/>
          <w:color w:val="000000" w:themeColor="text1"/>
        </w:rPr>
      </w:pPr>
      <w:r w:rsidRPr="00BF2F7C">
        <w:rPr>
          <w:rFonts w:cs="AGaramondPro-Regular"/>
          <w:b/>
          <w:color w:val="000000" w:themeColor="text1"/>
        </w:rPr>
        <w:t>Participation</w:t>
      </w:r>
      <w:r w:rsidRPr="00BF2F7C">
        <w:rPr>
          <w:rFonts w:cs="AGaramondPro-Regular"/>
          <w:color w:val="000000" w:themeColor="text1"/>
        </w:rPr>
        <w:t xml:space="preserve">: </w:t>
      </w:r>
      <w:r w:rsidRPr="00BF2F7C">
        <w:rPr>
          <w:rFonts w:cs="Century Gothic"/>
          <w:color w:val="000000" w:themeColor="text1"/>
        </w:rPr>
        <w:t>increasing participation of women elected or appointed in all aspects and at all levels of decision-making in governance, security and justice sectors at national and local levels.</w:t>
      </w:r>
      <w:r w:rsidRPr="00BF2F7C">
        <w:rPr>
          <w:rFonts w:cs="AGaramondPro-Regular"/>
          <w:color w:val="000000" w:themeColor="text1"/>
        </w:rPr>
        <w:t xml:space="preserve"> </w:t>
      </w:r>
    </w:p>
    <w:p w14:paraId="024E4307" w14:textId="77777777" w:rsidR="00E723A9" w:rsidRPr="00BF2F7C" w:rsidRDefault="00E723A9" w:rsidP="007701F5">
      <w:pPr>
        <w:pStyle w:val="ListParagraph"/>
        <w:numPr>
          <w:ilvl w:val="0"/>
          <w:numId w:val="44"/>
        </w:numPr>
        <w:autoSpaceDE w:val="0"/>
        <w:autoSpaceDN w:val="0"/>
        <w:adjustRightInd w:val="0"/>
        <w:spacing w:after="120" w:line="240" w:lineRule="auto"/>
        <w:rPr>
          <w:rFonts w:cs="AGaramondPro-Regular"/>
          <w:color w:val="000000" w:themeColor="text1"/>
        </w:rPr>
      </w:pPr>
      <w:r w:rsidRPr="00BF2F7C">
        <w:rPr>
          <w:rFonts w:cs="AGaramondPro-Regular"/>
          <w:b/>
          <w:color w:val="000000" w:themeColor="text1"/>
        </w:rPr>
        <w:t>Protection</w:t>
      </w:r>
      <w:r w:rsidRPr="00BF2F7C">
        <w:rPr>
          <w:rFonts w:cs="AGaramondPro-Regular"/>
          <w:color w:val="000000" w:themeColor="text1"/>
        </w:rPr>
        <w:t xml:space="preserve">: </w:t>
      </w:r>
      <w:r w:rsidRPr="00BF2F7C">
        <w:rPr>
          <w:rFonts w:cs="Century Gothic"/>
          <w:color w:val="000000" w:themeColor="text1"/>
        </w:rPr>
        <w:t xml:space="preserve">Protecting women and girls from all forms of </w:t>
      </w:r>
      <w:proofErr w:type="gramStart"/>
      <w:r w:rsidRPr="00BF2F7C">
        <w:rPr>
          <w:rFonts w:cs="Century Gothic"/>
          <w:color w:val="000000" w:themeColor="text1"/>
        </w:rPr>
        <w:t>gender based</w:t>
      </w:r>
      <w:proofErr w:type="gramEnd"/>
      <w:r w:rsidRPr="00BF2F7C">
        <w:rPr>
          <w:rFonts w:cs="Century Gothic"/>
          <w:color w:val="000000" w:themeColor="text1"/>
        </w:rPr>
        <w:t xml:space="preserve"> violence and discrimination: physical, psychological, economic, social-cultural; in conflict and post-conflict situations, in the home and the community.</w:t>
      </w:r>
    </w:p>
    <w:p w14:paraId="0F6E1C91" w14:textId="77777777" w:rsidR="00E723A9" w:rsidRPr="00BF2F7C" w:rsidRDefault="00E723A9" w:rsidP="007701F5">
      <w:pPr>
        <w:pStyle w:val="ListParagraph"/>
        <w:numPr>
          <w:ilvl w:val="0"/>
          <w:numId w:val="44"/>
        </w:numPr>
        <w:autoSpaceDE w:val="0"/>
        <w:autoSpaceDN w:val="0"/>
        <w:adjustRightInd w:val="0"/>
        <w:spacing w:after="120" w:line="240" w:lineRule="auto"/>
        <w:rPr>
          <w:rFonts w:cs="AGaramondPro-Regular"/>
          <w:color w:val="000000" w:themeColor="text1"/>
        </w:rPr>
      </w:pPr>
      <w:r w:rsidRPr="00BF2F7C">
        <w:rPr>
          <w:rFonts w:cs="AGaramondPro-Regular"/>
          <w:b/>
          <w:color w:val="000000" w:themeColor="text1"/>
        </w:rPr>
        <w:t>Prevention</w:t>
      </w:r>
      <w:r w:rsidRPr="00BF2F7C">
        <w:rPr>
          <w:rFonts w:cs="AGaramondPro-Regular"/>
          <w:color w:val="000000" w:themeColor="text1"/>
        </w:rPr>
        <w:t xml:space="preserve">: </w:t>
      </w:r>
      <w:r w:rsidRPr="00BF2F7C">
        <w:rPr>
          <w:rFonts w:cs="Century Gothic"/>
          <w:color w:val="000000" w:themeColor="text1"/>
        </w:rPr>
        <w:t xml:space="preserve">Prevention of conflict and </w:t>
      </w:r>
      <w:proofErr w:type="gramStart"/>
      <w:r w:rsidRPr="00BF2F7C">
        <w:rPr>
          <w:rFonts w:cs="Century Gothic"/>
          <w:color w:val="000000" w:themeColor="text1"/>
        </w:rPr>
        <w:t>gender based</w:t>
      </w:r>
      <w:proofErr w:type="gramEnd"/>
      <w:r w:rsidRPr="00BF2F7C">
        <w:rPr>
          <w:rFonts w:cs="Century Gothic"/>
          <w:color w:val="000000" w:themeColor="text1"/>
        </w:rPr>
        <w:t xml:space="preserve"> violence, including sexual violence perpetrated as a tactic of war.</w:t>
      </w:r>
    </w:p>
    <w:p w14:paraId="0E4AA2ED" w14:textId="77777777" w:rsidR="00E723A9" w:rsidRPr="00BF2F7C" w:rsidRDefault="00E723A9" w:rsidP="007701F5">
      <w:pPr>
        <w:pStyle w:val="ListParagraph"/>
        <w:numPr>
          <w:ilvl w:val="0"/>
          <w:numId w:val="44"/>
        </w:numPr>
        <w:autoSpaceDE w:val="0"/>
        <w:autoSpaceDN w:val="0"/>
        <w:adjustRightInd w:val="0"/>
        <w:spacing w:after="120" w:line="240" w:lineRule="auto"/>
        <w:rPr>
          <w:rFonts w:cs="AGaramondPro-Regular"/>
          <w:color w:val="000000" w:themeColor="text1"/>
        </w:rPr>
      </w:pPr>
      <w:r w:rsidRPr="00BF2F7C">
        <w:rPr>
          <w:rFonts w:cs="AGaramondPro-Regular"/>
          <w:b/>
          <w:color w:val="000000" w:themeColor="text1"/>
        </w:rPr>
        <w:t>Peacebuilding</w:t>
      </w:r>
      <w:r w:rsidRPr="00BF2F7C">
        <w:rPr>
          <w:rFonts w:cs="AGaramondPro-Regular"/>
          <w:color w:val="000000" w:themeColor="text1"/>
        </w:rPr>
        <w:t xml:space="preserve">: </w:t>
      </w:r>
      <w:r w:rsidRPr="00BF2F7C">
        <w:rPr>
          <w:rFonts w:cs="Century Gothic"/>
          <w:color w:val="000000" w:themeColor="text1"/>
        </w:rPr>
        <w:t xml:space="preserve">Establishing lasting peace through inclusion and equality. Promoting the role of women in </w:t>
      </w:r>
      <w:proofErr w:type="gramStart"/>
      <w:r w:rsidRPr="00BF2F7C">
        <w:rPr>
          <w:rFonts w:cs="Century Gothic"/>
          <w:color w:val="000000" w:themeColor="text1"/>
        </w:rPr>
        <w:t>peace-building</w:t>
      </w:r>
      <w:proofErr w:type="gramEnd"/>
      <w:r w:rsidRPr="00BF2F7C">
        <w:rPr>
          <w:rFonts w:cs="Century Gothic"/>
          <w:color w:val="000000" w:themeColor="text1"/>
        </w:rPr>
        <w:t xml:space="preserve"> and conflict resolution, particularly in communities, and ensuring the participation of women in all areas of post-conflict planning, including economic recovery and gender-sensitive budgeting.</w:t>
      </w:r>
    </w:p>
    <w:p w14:paraId="605903B6" w14:textId="77777777" w:rsidR="00E723A9" w:rsidRPr="00BF2F7C" w:rsidRDefault="00E723A9" w:rsidP="007701F5">
      <w:pPr>
        <w:spacing w:after="120" w:line="240" w:lineRule="auto"/>
        <w:rPr>
          <w:rFonts w:cs="AGaramondPro-Regular"/>
        </w:rPr>
      </w:pPr>
      <w:r w:rsidRPr="00BF2F7C">
        <w:rPr>
          <w:rFonts w:cs="AGaramondPro-Regular"/>
        </w:rPr>
        <w:t xml:space="preserve">The PNTL, as Timor-Leste’s primary law enforcement agency, has a significant role to play in implementing the strategic objectives of the NAP-WPS. The TLPDP will consider ways to implement these objectives in each project and activity that they undertake. In particular, the TLPDP can assist the PNTL in implementing activities to promote and guarantee women’s participation in decision-making, including in the defence and security sectors. </w:t>
      </w:r>
      <w:r w:rsidRPr="00BF2F7C">
        <w:rPr>
          <w:rStyle w:val="FootnoteReference"/>
          <w:rFonts w:cs="AGaramondPro-Regular"/>
        </w:rPr>
        <w:footnoteReference w:id="69"/>
      </w:r>
    </w:p>
    <w:p w14:paraId="51F03E00" w14:textId="4ADF2F2F" w:rsidR="00E723A9" w:rsidRPr="00BF2F7C" w:rsidRDefault="00E723A9" w:rsidP="007701F5">
      <w:pPr>
        <w:spacing w:after="120" w:line="240" w:lineRule="auto"/>
        <w:rPr>
          <w:rFonts w:cs="AGaramondPro-Regular"/>
        </w:rPr>
      </w:pPr>
      <w:r w:rsidRPr="00BF2F7C">
        <w:rPr>
          <w:rFonts w:cs="AGaramondPro-Regular"/>
        </w:rPr>
        <w:t xml:space="preserve">Research </w:t>
      </w:r>
      <w:r w:rsidR="00CC193C">
        <w:rPr>
          <w:rFonts w:cs="AGaramondPro-Regular"/>
        </w:rPr>
        <w:t>h</w:t>
      </w:r>
      <w:r w:rsidRPr="00BF2F7C">
        <w:rPr>
          <w:rFonts w:cs="AGaramondPro-Regular"/>
        </w:rPr>
        <w:t xml:space="preserve">as shown that </w:t>
      </w:r>
      <w:r w:rsidR="00CC193C">
        <w:rPr>
          <w:rFonts w:cs="AGaramondPro-Regular"/>
        </w:rPr>
        <w:t xml:space="preserve">more gender </w:t>
      </w:r>
      <w:r w:rsidR="00AD3B6A">
        <w:rPr>
          <w:rFonts w:cs="AGaramondPro-Regular"/>
        </w:rPr>
        <w:t>diverse</w:t>
      </w:r>
      <w:r w:rsidR="00CC193C">
        <w:rPr>
          <w:rFonts w:cs="AGaramondPro-Regular"/>
        </w:rPr>
        <w:t xml:space="preserve"> </w:t>
      </w:r>
      <w:r w:rsidRPr="00BF2F7C">
        <w:rPr>
          <w:rFonts w:cs="AGaramondPro-Regular"/>
        </w:rPr>
        <w:t>organisations attract and retain the best possible talent in the labour market,</w:t>
      </w:r>
      <w:r w:rsidRPr="00BF2F7C">
        <w:rPr>
          <w:rStyle w:val="FootnoteReference"/>
          <w:rFonts w:cs="AGaramondPro-Regular"/>
        </w:rPr>
        <w:footnoteReference w:id="70"/>
      </w:r>
      <w:r w:rsidRPr="00BF2F7C">
        <w:rPr>
          <w:rFonts w:cs="AGaramondPro-Regular"/>
        </w:rPr>
        <w:t xml:space="preserve"> innovate and adapt in fast-changing environments,</w:t>
      </w:r>
      <w:r w:rsidRPr="00BF2F7C">
        <w:rPr>
          <w:rStyle w:val="FootnoteReference"/>
          <w:rFonts w:cs="AGaramondPro-Regular"/>
        </w:rPr>
        <w:footnoteReference w:id="71"/>
      </w:r>
      <w:r w:rsidRPr="00BF2F7C">
        <w:rPr>
          <w:rFonts w:cs="AGaramondPro-Regular"/>
        </w:rPr>
        <w:t xml:space="preserve"> give rise to </w:t>
      </w:r>
      <w:r w:rsidRPr="00BF2F7C">
        <w:rPr>
          <w:rFonts w:cs="AGaramondPro-Regular"/>
        </w:rPr>
        <w:lastRenderedPageBreak/>
        <w:t>enhanced performance and productivity</w:t>
      </w:r>
      <w:r w:rsidRPr="00BF2F7C">
        <w:rPr>
          <w:rStyle w:val="FootnoteReference"/>
          <w:rFonts w:cs="AGaramondPro-Regular"/>
        </w:rPr>
        <w:footnoteReference w:id="72"/>
      </w:r>
      <w:r w:rsidRPr="00BF2F7C">
        <w:rPr>
          <w:rFonts w:cs="AGaramondPro-Regular"/>
        </w:rPr>
        <w:t xml:space="preserve"> and have better decision-making capabilities.</w:t>
      </w:r>
      <w:r w:rsidRPr="00BF2F7C">
        <w:rPr>
          <w:rStyle w:val="FootnoteReference"/>
          <w:rFonts w:cs="AGaramondPro-Regular"/>
        </w:rPr>
        <w:footnoteReference w:id="73"/>
      </w:r>
      <w:r w:rsidRPr="00BF2F7C">
        <w:rPr>
          <w:rFonts w:cs="AGaramondPro-Regular"/>
        </w:rPr>
        <w:t xml:space="preserve"> Furthermore, more gender diversity protects women from sexual harassment and sexism,</w:t>
      </w:r>
      <w:r w:rsidRPr="00BF2F7C">
        <w:rPr>
          <w:rStyle w:val="FootnoteReference"/>
          <w:rFonts w:cs="AGaramondPro-Regular"/>
        </w:rPr>
        <w:footnoteReference w:id="74"/>
      </w:r>
      <w:r w:rsidRPr="00BF2F7C">
        <w:rPr>
          <w:rFonts w:cs="AGaramondPro-Regular"/>
        </w:rPr>
        <w:t xml:space="preserve"> and more women in leadership roles provide motivation for women to succeed.</w:t>
      </w:r>
      <w:r w:rsidRPr="00BF2F7C">
        <w:rPr>
          <w:rStyle w:val="FootnoteReference"/>
          <w:rFonts w:cs="AGaramondPro-Regular"/>
        </w:rPr>
        <w:footnoteReference w:id="75"/>
      </w:r>
      <w:r w:rsidRPr="00BF2F7C">
        <w:rPr>
          <w:rFonts w:cs="AGaramondPro-Regular"/>
        </w:rPr>
        <w:t xml:space="preserve"> </w:t>
      </w:r>
    </w:p>
    <w:p w14:paraId="08875A86" w14:textId="77777777" w:rsidR="00E723A9" w:rsidRPr="00BF2F7C" w:rsidRDefault="00E723A9" w:rsidP="007701F5">
      <w:pPr>
        <w:spacing w:after="120" w:line="240" w:lineRule="auto"/>
        <w:rPr>
          <w:rFonts w:cs="AGaramondPro-Regular"/>
        </w:rPr>
      </w:pPr>
      <w:r w:rsidRPr="00BF2F7C">
        <w:rPr>
          <w:rFonts w:cs="AGaramondPro-Regular"/>
        </w:rPr>
        <w:t>The NAP-WPS is committed to ensuring women have significant involvement in all aspects and at all levels of decision-making in public and private life.</w:t>
      </w:r>
      <w:r w:rsidRPr="00BF2F7C">
        <w:rPr>
          <w:rStyle w:val="FootnoteReference"/>
          <w:rFonts w:cs="AGaramondPro-Regular"/>
        </w:rPr>
        <w:footnoteReference w:id="76"/>
      </w:r>
      <w:r w:rsidRPr="00BF2F7C">
        <w:rPr>
          <w:rFonts w:cs="AGaramondPro-Regular"/>
        </w:rPr>
        <w:t xml:space="preserve"> The PNTL has a significant role to play in implementing the objectives of the NAP, which is committed to: </w:t>
      </w:r>
    </w:p>
    <w:p w14:paraId="4BA875F6" w14:textId="1D97F085" w:rsidR="00E723A9" w:rsidRPr="00BF2F7C" w:rsidRDefault="00E723A9" w:rsidP="007701F5">
      <w:pPr>
        <w:pStyle w:val="ListParagraph"/>
        <w:numPr>
          <w:ilvl w:val="0"/>
          <w:numId w:val="43"/>
        </w:numPr>
        <w:spacing w:after="120" w:line="240" w:lineRule="auto"/>
      </w:pPr>
      <w:r w:rsidRPr="00BF2F7C">
        <w:t xml:space="preserve">Increased representation of women elected or appointed to roles in decision-making positions in the security and justice sectors at local and national </w:t>
      </w:r>
      <w:proofErr w:type="gramStart"/>
      <w:r w:rsidRPr="00BF2F7C">
        <w:t>levels</w:t>
      </w:r>
      <w:r w:rsidR="00251A6D" w:rsidRPr="00BF2F7C">
        <w:t>;</w:t>
      </w:r>
      <w:proofErr w:type="gramEnd"/>
    </w:p>
    <w:p w14:paraId="18C22973" w14:textId="68F2E665" w:rsidR="00E723A9" w:rsidRPr="00BF2F7C" w:rsidRDefault="00E723A9" w:rsidP="007701F5">
      <w:pPr>
        <w:pStyle w:val="ListParagraph"/>
        <w:numPr>
          <w:ilvl w:val="0"/>
          <w:numId w:val="43"/>
        </w:numPr>
        <w:spacing w:after="120" w:line="240" w:lineRule="auto"/>
      </w:pPr>
      <w:r w:rsidRPr="00BF2F7C">
        <w:t xml:space="preserve">Ensure Laws, Policies and Programs regarding peace and security are developed with maximum participation from various groups of women and men, and promote gender </w:t>
      </w:r>
      <w:proofErr w:type="gramStart"/>
      <w:r w:rsidRPr="00BF2F7C">
        <w:t>equality</w:t>
      </w:r>
      <w:r w:rsidR="00251A6D" w:rsidRPr="00BF2F7C">
        <w:t>;</w:t>
      </w:r>
      <w:proofErr w:type="gramEnd"/>
    </w:p>
    <w:p w14:paraId="6BBCD467" w14:textId="497DA6DA" w:rsidR="00E723A9" w:rsidRPr="00BF2F7C" w:rsidRDefault="00E723A9" w:rsidP="007701F5">
      <w:pPr>
        <w:pStyle w:val="ListParagraph"/>
        <w:numPr>
          <w:ilvl w:val="0"/>
          <w:numId w:val="43"/>
        </w:numPr>
        <w:spacing w:after="120" w:line="240" w:lineRule="auto"/>
      </w:pPr>
      <w:r w:rsidRPr="00BF2F7C">
        <w:t>Increase promotion, recruitment and representation of women in national institutions for security, defence and justice</w:t>
      </w:r>
      <w:r w:rsidR="00251A6D" w:rsidRPr="00BF2F7C">
        <w:t>; and</w:t>
      </w:r>
    </w:p>
    <w:p w14:paraId="462D5307" w14:textId="77777777" w:rsidR="00E723A9" w:rsidRPr="00BF2F7C" w:rsidRDefault="00E723A9" w:rsidP="007701F5">
      <w:pPr>
        <w:pStyle w:val="ListParagraph"/>
        <w:numPr>
          <w:ilvl w:val="0"/>
          <w:numId w:val="43"/>
        </w:numPr>
        <w:spacing w:after="120" w:line="240" w:lineRule="auto"/>
      </w:pPr>
      <w:r w:rsidRPr="00BF2F7C">
        <w:t>Ensure community conflict resolution mechanisms and leaders provide opportunities for women to participate actively as mediators and focal points in peace and security.</w:t>
      </w:r>
    </w:p>
    <w:p w14:paraId="6580CA17" w14:textId="77777777" w:rsidR="0090524D" w:rsidRDefault="00E723A9" w:rsidP="007701F5">
      <w:pPr>
        <w:spacing w:after="120" w:line="240" w:lineRule="auto"/>
      </w:pPr>
      <w:r w:rsidRPr="00BF2F7C">
        <w:t>The TLPDP has worked with the PNTL to strengthen women’s leadership and participation in the organisation, and empowering women in the PNTL will continue to be a key priority. Figures provided to the Design Team suggest that approximately 15% of the PNTL workforce is female.  However, there has been a steady decline in the recruitment of women into the PNTL and the number of women officers is reportedly at its lowest point since 2012.</w:t>
      </w:r>
      <w:r w:rsidRPr="00BF2F7C">
        <w:rPr>
          <w:rStyle w:val="FootnoteReference"/>
        </w:rPr>
        <w:footnoteReference w:id="77"/>
      </w:r>
      <w:r w:rsidRPr="00BF2F7C">
        <w:t xml:space="preserve"> </w:t>
      </w:r>
    </w:p>
    <w:p w14:paraId="5D59AE5B" w14:textId="17A49D57" w:rsidR="0090524D" w:rsidRDefault="0090524D" w:rsidP="007701F5">
      <w:pPr>
        <w:spacing w:after="120" w:line="240" w:lineRule="auto"/>
      </w:pPr>
      <w:r>
        <w:t xml:space="preserve">The physical entry requirements, lack of </w:t>
      </w:r>
      <w:proofErr w:type="gramStart"/>
      <w:r>
        <w:t>child care</w:t>
      </w:r>
      <w:proofErr w:type="gramEnd"/>
      <w:r>
        <w:t xml:space="preserve"> and family pressure to stay at home create difficulties for women entering the PNTL. </w:t>
      </w:r>
      <w:r w:rsidR="002D32B0">
        <w:t>The latest available figures show that only 7 per cent of recruits were women.</w:t>
      </w:r>
      <w:r w:rsidR="002D32B0">
        <w:rPr>
          <w:rStyle w:val="FootnoteReference"/>
        </w:rPr>
        <w:footnoteReference w:id="78"/>
      </w:r>
      <w:r w:rsidR="002D32B0">
        <w:t xml:space="preserve"> The PNTL Executive noted an intention to aim for 30 per cent women in all recruitment rounds. </w:t>
      </w:r>
    </w:p>
    <w:p w14:paraId="53D704B0" w14:textId="03239ADF" w:rsidR="00E723A9" w:rsidRPr="00BF2F7C" w:rsidRDefault="0090524D" w:rsidP="007701F5">
      <w:pPr>
        <w:spacing w:after="120" w:line="240" w:lineRule="auto"/>
      </w:pPr>
      <w:r>
        <w:t xml:space="preserve">Women in the PNTL also face barriers to promotion. </w:t>
      </w:r>
      <w:r w:rsidR="002D32B0">
        <w:t xml:space="preserve">Data provided to the Design Team shows that </w:t>
      </w:r>
      <w:r w:rsidR="001A7B26">
        <w:t xml:space="preserve">there is only one </w:t>
      </w:r>
      <w:r w:rsidR="00332FA2">
        <w:t>woman</w:t>
      </w:r>
      <w:r w:rsidR="001A7B26">
        <w:t xml:space="preserve"> at the Chief Inspector level or above within the District Offices (this does not include PNTL Head Quarters). Anecdotally, the Design Team were told that w</w:t>
      </w:r>
      <w:r>
        <w:t xml:space="preserve">omen often opt to take administrative roles that are less likely to result in promotion so that they do not have to move away from their family. In </w:t>
      </w:r>
      <w:proofErr w:type="gramStart"/>
      <w:r>
        <w:t>addition</w:t>
      </w:r>
      <w:proofErr w:type="gramEnd"/>
      <w:r>
        <w:t xml:space="preserve"> the physical </w:t>
      </w:r>
      <w:r w:rsidR="00332FA2">
        <w:t>requirement</w:t>
      </w:r>
      <w:r w:rsidR="001A7B26">
        <w:t xml:space="preserve"> </w:t>
      </w:r>
      <w:r>
        <w:t>of the promotions criteria</w:t>
      </w:r>
      <w:r w:rsidR="001A7B26">
        <w:t xml:space="preserve">, which also comprises </w:t>
      </w:r>
      <w:r w:rsidR="00332FA2">
        <w:t>an invasive physical component, also</w:t>
      </w:r>
      <w:r>
        <w:t xml:space="preserve"> dissuades many women from seeking promotion.</w:t>
      </w:r>
    </w:p>
    <w:p w14:paraId="7ADBC946" w14:textId="77777777" w:rsidR="00E723A9" w:rsidRPr="00BF2F7C" w:rsidRDefault="00E723A9" w:rsidP="007701F5">
      <w:pPr>
        <w:spacing w:after="120" w:line="240" w:lineRule="auto"/>
      </w:pPr>
      <w:r w:rsidRPr="00BF2F7C">
        <w:t>The PNTL would benefit from an articulated Gender Strategy and priority actions, backed-up with appropriately skilled staff, resourcing and legislation.</w:t>
      </w:r>
      <w:r w:rsidRPr="00BF2F7C">
        <w:rPr>
          <w:i/>
        </w:rPr>
        <w:t xml:space="preserve"> </w:t>
      </w:r>
      <w:r w:rsidRPr="00BF2F7C">
        <w:t xml:space="preserve">The TLDPD Gender Adviser will </w:t>
      </w:r>
      <w:r w:rsidRPr="00BF2F7C">
        <w:lastRenderedPageBreak/>
        <w:t>focus on assisting the PNTL to design their organisational Gender Strategy to identify priority actions, budgeting requirements and legislative reform required to support its implementation. </w:t>
      </w:r>
    </w:p>
    <w:p w14:paraId="5CC56D80" w14:textId="13153905" w:rsidR="00E723A9" w:rsidRPr="00BF2F7C" w:rsidRDefault="00E723A9" w:rsidP="007701F5">
      <w:pPr>
        <w:spacing w:after="120" w:line="240" w:lineRule="auto"/>
      </w:pPr>
      <w:r w:rsidRPr="00BF2F7C">
        <w:t xml:space="preserve">The Gender Strategy will need to align with the aims and objectives set out in the NAP-WPS. Any TLPDP assistance must align with the principles set out in the AFP’s </w:t>
      </w:r>
      <w:r w:rsidRPr="00BF2F7C">
        <w:rPr>
          <w:i/>
        </w:rPr>
        <w:t>International Operations Gender Strategy (IOGS) 2018-2022</w:t>
      </w:r>
      <w:r w:rsidR="00CC193C">
        <w:t xml:space="preserve">. The IOGS </w:t>
      </w:r>
      <w:r w:rsidRPr="00BF2F7C">
        <w:t xml:space="preserve">should be used to guide and support the development of a PNTL Gender Strategy. </w:t>
      </w:r>
    </w:p>
    <w:p w14:paraId="1D06B712" w14:textId="77777777" w:rsidR="00E723A9" w:rsidRPr="00BF2F7C" w:rsidRDefault="00E723A9" w:rsidP="007701F5">
      <w:pPr>
        <w:spacing w:after="120" w:line="240" w:lineRule="auto"/>
      </w:pPr>
      <w:r w:rsidRPr="00BF2F7C">
        <w:t>The strategy should seek to improve gender equality and composition; ensure gender mainstreaming across organisational activities; and increase stakeholder engagement and collaboration. It is imperative that any gender strategy is developed in partnership with the PNTL and has agreement and buy-in from PNTL senior management.</w:t>
      </w:r>
    </w:p>
    <w:p w14:paraId="5B589259" w14:textId="65EE1A7B" w:rsidR="009A5F34" w:rsidRPr="00A42C1F" w:rsidRDefault="005A19E9" w:rsidP="00A42C1F">
      <w:pPr>
        <w:pStyle w:val="Heading2"/>
        <w:numPr>
          <w:ilvl w:val="1"/>
          <w:numId w:val="61"/>
        </w:numPr>
        <w:spacing w:before="0" w:after="120" w:line="240" w:lineRule="auto"/>
        <w:ind w:left="426"/>
      </w:pPr>
      <w:bookmarkStart w:id="110" w:name="_Toc516189380"/>
      <w:r>
        <w:t>Vulnerable Group</w:t>
      </w:r>
      <w:r w:rsidR="00733252">
        <w:t>s</w:t>
      </w:r>
      <w:r>
        <w:t xml:space="preserve"> </w:t>
      </w:r>
      <w:r w:rsidR="009A5F34" w:rsidRPr="00A42C1F">
        <w:t>-</w:t>
      </w:r>
      <w:r w:rsidR="00AD762A">
        <w:t xml:space="preserve"> </w:t>
      </w:r>
      <w:r w:rsidR="009A5F34" w:rsidRPr="00A42C1F">
        <w:t>inclusive police development</w:t>
      </w:r>
      <w:bookmarkEnd w:id="110"/>
    </w:p>
    <w:p w14:paraId="616A5763" w14:textId="71E9B0B4" w:rsidR="009A5F34" w:rsidRPr="00BF2F7C" w:rsidRDefault="009A5F34" w:rsidP="007701F5">
      <w:pPr>
        <w:spacing w:after="120" w:line="240" w:lineRule="auto"/>
      </w:pPr>
      <w:r w:rsidRPr="00BF2F7C">
        <w:t>Approximately 15 per cent of the global population have a disability,</w:t>
      </w:r>
      <w:r w:rsidRPr="00BF2F7C">
        <w:rPr>
          <w:rStyle w:val="FootnoteReference"/>
        </w:rPr>
        <w:footnoteReference w:id="79"/>
      </w:r>
      <w:r w:rsidRPr="00BF2F7C">
        <w:t xml:space="preserve"> and those people and their families are disproportionally affected by poverty.</w:t>
      </w:r>
      <w:r w:rsidRPr="00BF2F7C">
        <w:rPr>
          <w:rStyle w:val="FootnoteReference"/>
        </w:rPr>
        <w:footnoteReference w:id="80"/>
      </w:r>
      <w:r w:rsidRPr="00BF2F7C">
        <w:t xml:space="preserve"> In line with the Australian aid program policy, the TLPDP will work with its partners, </w:t>
      </w:r>
      <w:r w:rsidR="005A19E9">
        <w:t>vulnerable groups</w:t>
      </w:r>
      <w:r w:rsidR="00AD762A">
        <w:t>,</w:t>
      </w:r>
      <w:r w:rsidRPr="00BF2F7C">
        <w:t xml:space="preserve"> and their representative organisations to improve the quality of life of </w:t>
      </w:r>
      <w:r w:rsidR="005A19E9">
        <w:t xml:space="preserve">vulnerable </w:t>
      </w:r>
      <w:r w:rsidRPr="00BF2F7C">
        <w:t xml:space="preserve">people in developing countries. The TLPDP will support partners to improve equality for </w:t>
      </w:r>
      <w:r w:rsidR="005A19E9">
        <w:t xml:space="preserve">vulnerable </w:t>
      </w:r>
      <w:r w:rsidRPr="00BF2F7C">
        <w:t>people through police service delivery. The TLPDP will focus on:</w:t>
      </w:r>
    </w:p>
    <w:p w14:paraId="47A75BE3" w14:textId="77777777" w:rsidR="009A5F34" w:rsidRPr="00BF2F7C" w:rsidRDefault="009A5F34" w:rsidP="007701F5">
      <w:pPr>
        <w:numPr>
          <w:ilvl w:val="0"/>
          <w:numId w:val="45"/>
        </w:numPr>
        <w:spacing w:after="120" w:line="240" w:lineRule="auto"/>
        <w:rPr>
          <w:rFonts w:eastAsia="Calibri" w:cs="Arial"/>
        </w:rPr>
      </w:pPr>
      <w:r w:rsidRPr="00BF2F7C">
        <w:rPr>
          <w:rFonts w:eastAsia="Calibri" w:cs="Arial"/>
        </w:rPr>
        <w:t xml:space="preserve">Supporting the PNTL to provide appropriate and accessible support services to meet people’s basic </w:t>
      </w:r>
      <w:proofErr w:type="gramStart"/>
      <w:r w:rsidRPr="00BF2F7C">
        <w:rPr>
          <w:rFonts w:eastAsia="Calibri" w:cs="Arial"/>
        </w:rPr>
        <w:t>needs;</w:t>
      </w:r>
      <w:proofErr w:type="gramEnd"/>
    </w:p>
    <w:p w14:paraId="7A7CF505" w14:textId="6EE31826" w:rsidR="009A5F34" w:rsidRPr="00BF2F7C" w:rsidRDefault="009A5F34" w:rsidP="007701F5">
      <w:pPr>
        <w:numPr>
          <w:ilvl w:val="0"/>
          <w:numId w:val="45"/>
        </w:numPr>
        <w:spacing w:after="120" w:line="240" w:lineRule="auto"/>
        <w:rPr>
          <w:rFonts w:eastAsia="Calibri" w:cs="Arial"/>
        </w:rPr>
      </w:pPr>
      <w:r w:rsidRPr="00BF2F7C">
        <w:rPr>
          <w:rFonts w:eastAsia="Calibri" w:cs="Arial"/>
        </w:rPr>
        <w:t xml:space="preserve">Promoting awareness of disabilities </w:t>
      </w:r>
      <w:r w:rsidR="005A19E9">
        <w:rPr>
          <w:rFonts w:eastAsia="Calibri" w:cs="Arial"/>
        </w:rPr>
        <w:t xml:space="preserve">and diversity </w:t>
      </w:r>
      <w:r w:rsidRPr="00BF2F7C">
        <w:rPr>
          <w:rFonts w:eastAsia="Calibri" w:cs="Arial"/>
        </w:rPr>
        <w:t>to reduce stigma;</w:t>
      </w:r>
      <w:r w:rsidR="00620A70">
        <w:rPr>
          <w:rFonts w:eastAsia="Calibri" w:cs="Arial"/>
        </w:rPr>
        <w:t xml:space="preserve"> and</w:t>
      </w:r>
    </w:p>
    <w:p w14:paraId="2EA40FEE" w14:textId="77777777" w:rsidR="009A5F34" w:rsidRPr="00BF2F7C" w:rsidRDefault="009A5F34" w:rsidP="007701F5">
      <w:pPr>
        <w:numPr>
          <w:ilvl w:val="0"/>
          <w:numId w:val="45"/>
        </w:numPr>
        <w:spacing w:after="120" w:line="240" w:lineRule="auto"/>
        <w:rPr>
          <w:rFonts w:eastAsia="Calibri" w:cs="Arial"/>
        </w:rPr>
      </w:pPr>
      <w:r w:rsidRPr="00BF2F7C">
        <w:rPr>
          <w:rFonts w:eastAsia="Calibri" w:cs="Arial"/>
        </w:rPr>
        <w:t>Ensuring infrastructure funded through AFP support is physically accessible for people with disabilities (as well as for pregnant women, children and the elderly), as appropriate.</w:t>
      </w:r>
    </w:p>
    <w:p w14:paraId="23F0B637" w14:textId="7B97DE46" w:rsidR="00987DBE" w:rsidRPr="00A42C1F" w:rsidRDefault="00987DBE" w:rsidP="00A42C1F">
      <w:pPr>
        <w:pStyle w:val="Heading2"/>
        <w:numPr>
          <w:ilvl w:val="1"/>
          <w:numId w:val="61"/>
        </w:numPr>
        <w:spacing w:before="0" w:after="120" w:line="240" w:lineRule="auto"/>
        <w:ind w:left="426"/>
      </w:pPr>
      <w:bookmarkStart w:id="111" w:name="_Toc516189381"/>
      <w:r w:rsidRPr="00A42C1F">
        <w:t>Risk Management</w:t>
      </w:r>
      <w:bookmarkEnd w:id="111"/>
    </w:p>
    <w:p w14:paraId="4F563A79" w14:textId="0778BA07" w:rsidR="00F34479" w:rsidRPr="00AE209B" w:rsidRDefault="00987DBE" w:rsidP="001218D8">
      <w:pPr>
        <w:pStyle w:val="Heading3"/>
        <w:numPr>
          <w:ilvl w:val="2"/>
          <w:numId w:val="61"/>
        </w:numPr>
        <w:spacing w:before="0" w:after="120" w:line="240" w:lineRule="auto"/>
        <w:ind w:left="567" w:hanging="567"/>
      </w:pPr>
      <w:bookmarkStart w:id="112" w:name="_Toc516189382"/>
      <w:bookmarkStart w:id="113" w:name="_Toc466471013"/>
      <w:r>
        <w:t>Contextual</w:t>
      </w:r>
      <w:r w:rsidR="00F34479" w:rsidRPr="00AE209B">
        <w:t xml:space="preserve"> Risks</w:t>
      </w:r>
      <w:bookmarkEnd w:id="112"/>
      <w:r w:rsidR="00F34479" w:rsidRPr="00AE209B">
        <w:t xml:space="preserve"> </w:t>
      </w:r>
    </w:p>
    <w:p w14:paraId="3A0E1298" w14:textId="26B22B39" w:rsidR="00F34479" w:rsidRPr="00BF2F7C" w:rsidRDefault="00F34479" w:rsidP="007701F5">
      <w:pPr>
        <w:spacing w:after="120" w:line="240" w:lineRule="auto"/>
      </w:pPr>
      <w:r w:rsidRPr="00BF2F7C">
        <w:t xml:space="preserve">Current </w:t>
      </w:r>
      <w:r w:rsidRPr="00BF2F7C">
        <w:rPr>
          <w:b/>
        </w:rPr>
        <w:t xml:space="preserve">contextual risks </w:t>
      </w:r>
      <w:r w:rsidRPr="00BF2F7C">
        <w:t xml:space="preserve">relate largely to </w:t>
      </w:r>
      <w:r w:rsidR="00CC193C">
        <w:t xml:space="preserve">the </w:t>
      </w:r>
      <w:r w:rsidRPr="00BF2F7C">
        <w:t xml:space="preserve">political environment in Timor-Leste. Outcomes of the Parliamentary elections scheduled for May 2018 have the potential to influence the priorities of Timor-Leste and therefore the PNTL policing priorities and needs. </w:t>
      </w:r>
    </w:p>
    <w:p w14:paraId="48EC1481" w14:textId="4B111E79" w:rsidR="00F34479" w:rsidRPr="00BF2F7C" w:rsidRDefault="00F34479" w:rsidP="007701F5">
      <w:pPr>
        <w:spacing w:after="120" w:line="240" w:lineRule="auto"/>
      </w:pPr>
      <w:r w:rsidRPr="00BF2F7C">
        <w:t>The proposed risk t</w:t>
      </w:r>
      <w:r w:rsidR="003B342B" w:rsidRPr="00BF2F7C">
        <w:t>reatment is to ensure the P</w:t>
      </w:r>
      <w:r w:rsidRPr="00BF2F7C">
        <w:t xml:space="preserve">rogram design aligns with existing </w:t>
      </w:r>
      <w:proofErr w:type="spellStart"/>
      <w:r w:rsidRPr="00BF2F7C">
        <w:t>GoRDTL</w:t>
      </w:r>
      <w:proofErr w:type="spellEnd"/>
      <w:r w:rsidRPr="00BF2F7C">
        <w:t xml:space="preserve"> priorities but also remains flexible and responsive to potential emerging changes to the operating environment. This will be</w:t>
      </w:r>
      <w:r w:rsidR="003B342B" w:rsidRPr="00BF2F7C">
        <w:t xml:space="preserve"> achieved by setting realistic P</w:t>
      </w:r>
      <w:r w:rsidRPr="00BF2F7C">
        <w:t>rogram objectives and by maintaining dialog and relationship-building with a range of stakeholders.</w:t>
      </w:r>
    </w:p>
    <w:p w14:paraId="23DB770D" w14:textId="3D854A87" w:rsidR="00F34479" w:rsidRPr="00AE209B" w:rsidRDefault="00F34479" w:rsidP="001218D8">
      <w:pPr>
        <w:pStyle w:val="Heading3"/>
        <w:numPr>
          <w:ilvl w:val="2"/>
          <w:numId w:val="61"/>
        </w:numPr>
        <w:spacing w:before="0" w:after="120" w:line="240" w:lineRule="auto"/>
        <w:ind w:left="567" w:hanging="567"/>
      </w:pPr>
      <w:bookmarkStart w:id="114" w:name="_Toc516189383"/>
      <w:r w:rsidRPr="00AE209B">
        <w:t>Program Risks</w:t>
      </w:r>
      <w:bookmarkEnd w:id="113"/>
      <w:bookmarkEnd w:id="114"/>
      <w:r w:rsidRPr="00AE209B">
        <w:t xml:space="preserve"> </w:t>
      </w:r>
    </w:p>
    <w:p w14:paraId="3572ED90" w14:textId="36A3BB3C" w:rsidR="00F34479" w:rsidRPr="00BF2F7C" w:rsidRDefault="00F34479" w:rsidP="007701F5">
      <w:pPr>
        <w:spacing w:after="120" w:line="240" w:lineRule="auto"/>
      </w:pPr>
      <w:r w:rsidRPr="00BF2F7C">
        <w:t xml:space="preserve">A key </w:t>
      </w:r>
      <w:r w:rsidR="003B342B" w:rsidRPr="00BF2F7C">
        <w:rPr>
          <w:b/>
        </w:rPr>
        <w:t>P</w:t>
      </w:r>
      <w:r w:rsidRPr="00BF2F7C">
        <w:rPr>
          <w:b/>
        </w:rPr>
        <w:t xml:space="preserve">rogram risk </w:t>
      </w:r>
      <w:r w:rsidRPr="00BF2F7C">
        <w:t>is that Timor-Leste’s available technology and infrastructure is insufficient to sustain IMS development and utilization and that the PNTL will not be able to fund, manage and maintain the IMS themselves. This risk is particularl</w:t>
      </w:r>
      <w:r w:rsidR="003B342B" w:rsidRPr="00BF2F7C">
        <w:t>y significant given that other P</w:t>
      </w:r>
      <w:r w:rsidRPr="00BF2F7C">
        <w:t xml:space="preserve">rogram development activities are dependent upon the effectiveness of IMS. </w:t>
      </w:r>
    </w:p>
    <w:p w14:paraId="15107DDD" w14:textId="75851AC5" w:rsidR="00F34479" w:rsidRPr="00BF2F7C" w:rsidRDefault="00F34479" w:rsidP="007701F5">
      <w:pPr>
        <w:spacing w:after="120" w:line="240" w:lineRule="auto"/>
      </w:pPr>
      <w:r w:rsidRPr="00BF2F7C">
        <w:t>The proposed risk tre</w:t>
      </w:r>
      <w:r w:rsidR="003B342B" w:rsidRPr="00BF2F7C">
        <w:t>atments are to ensure the P</w:t>
      </w:r>
      <w:r w:rsidRPr="00BF2F7C">
        <w:t>rogram seeks to identify a local IMS support and development service provider and to also support the PNTL to develop governance and funding mechanisms for IMS.</w:t>
      </w:r>
    </w:p>
    <w:p w14:paraId="34B944E1" w14:textId="3D88E86C" w:rsidR="00F34479" w:rsidRPr="00AE209B" w:rsidRDefault="00987DBE" w:rsidP="001218D8">
      <w:pPr>
        <w:pStyle w:val="Heading3"/>
        <w:numPr>
          <w:ilvl w:val="2"/>
          <w:numId w:val="61"/>
        </w:numPr>
        <w:spacing w:before="0" w:after="120" w:line="240" w:lineRule="auto"/>
        <w:ind w:left="567" w:hanging="567"/>
      </w:pPr>
      <w:bookmarkStart w:id="115" w:name="_Toc421545061"/>
      <w:bookmarkStart w:id="116" w:name="_Toc421544883"/>
      <w:bookmarkStart w:id="117" w:name="_Toc421544767"/>
      <w:bookmarkStart w:id="118" w:name="_Toc421544591"/>
      <w:bookmarkStart w:id="119" w:name="_Toc421544407"/>
      <w:bookmarkStart w:id="120" w:name="_Toc421544217"/>
      <w:bookmarkStart w:id="121" w:name="_Toc410894086"/>
      <w:bookmarkStart w:id="122" w:name="_Toc410893947"/>
      <w:bookmarkStart w:id="123" w:name="_Toc410893808"/>
      <w:bookmarkStart w:id="124" w:name="_Toc410893268"/>
      <w:bookmarkStart w:id="125" w:name="_Toc466471014"/>
      <w:bookmarkStart w:id="126" w:name="_Toc516189384"/>
      <w:r>
        <w:lastRenderedPageBreak/>
        <w:t>Institutional</w:t>
      </w:r>
      <w:r w:rsidR="00F34479" w:rsidRPr="00AE209B">
        <w:t xml:space="preserve"> risks</w:t>
      </w:r>
      <w:bookmarkEnd w:id="115"/>
      <w:bookmarkEnd w:id="116"/>
      <w:bookmarkEnd w:id="117"/>
      <w:bookmarkEnd w:id="118"/>
      <w:bookmarkEnd w:id="119"/>
      <w:bookmarkEnd w:id="120"/>
      <w:bookmarkEnd w:id="121"/>
      <w:bookmarkEnd w:id="122"/>
      <w:bookmarkEnd w:id="123"/>
      <w:bookmarkEnd w:id="124"/>
      <w:bookmarkEnd w:id="125"/>
      <w:bookmarkEnd w:id="126"/>
      <w:r w:rsidR="00F34479" w:rsidRPr="00AE209B">
        <w:t xml:space="preserve"> </w:t>
      </w:r>
    </w:p>
    <w:p w14:paraId="42942B0E" w14:textId="77777777" w:rsidR="00F34479" w:rsidRPr="00940239" w:rsidRDefault="00F34479" w:rsidP="007701F5">
      <w:pPr>
        <w:spacing w:after="120" w:line="240" w:lineRule="auto"/>
        <w:rPr>
          <w:rFonts w:asciiTheme="majorHAnsi" w:hAnsiTheme="majorHAnsi"/>
        </w:rPr>
      </w:pPr>
      <w:r w:rsidRPr="00940239">
        <w:rPr>
          <w:rFonts w:asciiTheme="majorHAnsi" w:hAnsiTheme="majorHAnsi"/>
        </w:rPr>
        <w:t xml:space="preserve">The most significant </w:t>
      </w:r>
      <w:r w:rsidRPr="00940239">
        <w:rPr>
          <w:rFonts w:asciiTheme="majorHAnsi" w:hAnsiTheme="majorHAnsi"/>
          <w:b/>
        </w:rPr>
        <w:t xml:space="preserve">institutional risk </w:t>
      </w:r>
      <w:r w:rsidRPr="00940239">
        <w:rPr>
          <w:rFonts w:asciiTheme="majorHAnsi" w:hAnsiTheme="majorHAnsi"/>
        </w:rPr>
        <w:t>is linked to Timor-Leste’s political environment (see contextual risk), that PNTL will not have the funding required to provide core policing services, both during the life of the next phase of TLPDP assistance and beyond.</w:t>
      </w:r>
    </w:p>
    <w:p w14:paraId="49447E38" w14:textId="3D2D38D8" w:rsidR="00F34479" w:rsidRPr="00940239" w:rsidRDefault="00F34479" w:rsidP="007701F5">
      <w:pPr>
        <w:spacing w:after="120" w:line="240" w:lineRule="auto"/>
        <w:rPr>
          <w:rFonts w:asciiTheme="majorHAnsi" w:hAnsiTheme="majorHAnsi"/>
        </w:rPr>
      </w:pPr>
      <w:r w:rsidRPr="00940239">
        <w:rPr>
          <w:rFonts w:asciiTheme="majorHAnsi" w:hAnsiTheme="majorHAnsi"/>
        </w:rPr>
        <w:t>The proposed risk tre</w:t>
      </w:r>
      <w:r w:rsidR="003B342B">
        <w:rPr>
          <w:rFonts w:asciiTheme="majorHAnsi" w:hAnsiTheme="majorHAnsi"/>
        </w:rPr>
        <w:t>atments are to ensure the P</w:t>
      </w:r>
      <w:r w:rsidRPr="00940239">
        <w:rPr>
          <w:rFonts w:asciiTheme="majorHAnsi" w:hAnsiTheme="majorHAnsi"/>
        </w:rPr>
        <w:t xml:space="preserve">rogram encourages the PNTL to develop its workforce planning capability and to consider requests for support on a </w:t>
      </w:r>
      <w:proofErr w:type="gramStart"/>
      <w:r w:rsidRPr="00940239">
        <w:rPr>
          <w:rFonts w:asciiTheme="majorHAnsi" w:hAnsiTheme="majorHAnsi"/>
        </w:rPr>
        <w:t>case by case</w:t>
      </w:r>
      <w:proofErr w:type="gramEnd"/>
      <w:r w:rsidRPr="00940239">
        <w:rPr>
          <w:rFonts w:asciiTheme="majorHAnsi" w:hAnsiTheme="majorHAnsi"/>
        </w:rPr>
        <w:t xml:space="preserve"> nature particularly through the PCB.</w:t>
      </w:r>
    </w:p>
    <w:p w14:paraId="63AB04C8" w14:textId="201F5065" w:rsidR="00F34479" w:rsidRPr="00940239" w:rsidRDefault="00F34479" w:rsidP="007701F5">
      <w:pPr>
        <w:spacing w:after="120" w:line="240" w:lineRule="auto"/>
        <w:rPr>
          <w:rFonts w:asciiTheme="majorHAnsi" w:hAnsiTheme="majorHAnsi"/>
        </w:rPr>
      </w:pPr>
      <w:r w:rsidRPr="00940239">
        <w:rPr>
          <w:rFonts w:asciiTheme="majorHAnsi" w:hAnsiTheme="majorHAnsi"/>
        </w:rPr>
        <w:t xml:space="preserve">See the Risk Matrix in Annex </w:t>
      </w:r>
      <w:r w:rsidR="00BF2F7C">
        <w:rPr>
          <w:rFonts w:asciiTheme="majorHAnsi" w:hAnsiTheme="majorHAnsi"/>
        </w:rPr>
        <w:t>D</w:t>
      </w:r>
      <w:r w:rsidRPr="00940239">
        <w:rPr>
          <w:rFonts w:asciiTheme="majorHAnsi" w:hAnsiTheme="majorHAnsi"/>
        </w:rPr>
        <w:t xml:space="preserve"> for a full description of identified risks and proposed mitigation strategies.</w:t>
      </w:r>
    </w:p>
    <w:p w14:paraId="32E34FB6" w14:textId="039963EB" w:rsidR="00F34479" w:rsidRPr="00A42C1F" w:rsidRDefault="00253EC6" w:rsidP="00A42C1F">
      <w:pPr>
        <w:pStyle w:val="Heading2"/>
        <w:numPr>
          <w:ilvl w:val="1"/>
          <w:numId w:val="61"/>
        </w:numPr>
        <w:spacing w:before="0" w:after="120" w:line="240" w:lineRule="auto"/>
        <w:ind w:left="426"/>
      </w:pPr>
      <w:bookmarkStart w:id="127" w:name="_Toc516189385"/>
      <w:r w:rsidRPr="00A42C1F">
        <w:t>Safeguards</w:t>
      </w:r>
      <w:bookmarkEnd w:id="127"/>
    </w:p>
    <w:p w14:paraId="2CC8D185" w14:textId="77777777" w:rsidR="00987DBE" w:rsidRPr="00BF2F7C" w:rsidRDefault="00987DBE" w:rsidP="007701F5">
      <w:pPr>
        <w:spacing w:after="120" w:line="240" w:lineRule="auto"/>
      </w:pPr>
      <w:r w:rsidRPr="00BF2F7C">
        <w:t xml:space="preserve">DFAT and the AFP have </w:t>
      </w:r>
      <w:proofErr w:type="gramStart"/>
      <w:r w:rsidRPr="00BF2F7C">
        <w:t>a number of</w:t>
      </w:r>
      <w:proofErr w:type="gramEnd"/>
      <w:r w:rsidRPr="00BF2F7C">
        <w:t xml:space="preserve"> safeguards in place to manage the environmental and social impacts of Australian aid investments and assist in managing aid program risks; complying with Australian and partner government policies and laws for social and environmental protection; and improve the consistency, transparency and accountability of decisions.</w:t>
      </w:r>
      <w:r w:rsidRPr="00BF2F7C">
        <w:rPr>
          <w:rStyle w:val="FootnoteReference"/>
        </w:rPr>
        <w:footnoteReference w:id="81"/>
      </w:r>
      <w:r w:rsidRPr="00BF2F7C">
        <w:t xml:space="preserve">  The TLPDP will need to remain cognisant of, adhere to, and apply these safeguards. Program management will refer to the DFAT website for the most up to date versions of DFAT safeguards. </w:t>
      </w:r>
    </w:p>
    <w:p w14:paraId="2F1AAA11" w14:textId="484946BC" w:rsidR="00987DBE" w:rsidRPr="00940239" w:rsidRDefault="00987DBE" w:rsidP="001218D8">
      <w:pPr>
        <w:pStyle w:val="Heading3"/>
        <w:numPr>
          <w:ilvl w:val="2"/>
          <w:numId w:val="61"/>
        </w:numPr>
        <w:spacing w:before="0" w:after="120" w:line="240" w:lineRule="auto"/>
        <w:ind w:left="567" w:hanging="567"/>
      </w:pPr>
      <w:bookmarkStart w:id="128" w:name="_Toc465247424"/>
      <w:bookmarkStart w:id="129" w:name="_Toc516189386"/>
      <w:r w:rsidRPr="00940239">
        <w:t>Environmental and Social Protection</w:t>
      </w:r>
      <w:bookmarkEnd w:id="128"/>
      <w:bookmarkEnd w:id="129"/>
      <w:r w:rsidRPr="00940239">
        <w:t xml:space="preserve"> </w:t>
      </w:r>
    </w:p>
    <w:p w14:paraId="2CFB2458" w14:textId="77777777" w:rsidR="00987DBE" w:rsidRPr="00BF2F7C" w:rsidRDefault="00987DBE" w:rsidP="007701F5">
      <w:pPr>
        <w:spacing w:after="120" w:line="240" w:lineRule="auto"/>
      </w:pPr>
      <w:r w:rsidRPr="00BF2F7C">
        <w:t xml:space="preserve">The Policing Program must comply with DFAT’s </w:t>
      </w:r>
      <w:r w:rsidRPr="00BF2F7C">
        <w:rPr>
          <w:i/>
          <w:lang w:val="en-US"/>
        </w:rPr>
        <w:t>Environmental and Social Safeguard Policy for the Aid Program</w:t>
      </w:r>
      <w:r w:rsidRPr="00BF2F7C">
        <w:rPr>
          <w:rStyle w:val="FootnoteReference"/>
          <w:i/>
          <w:lang w:val="en-US"/>
        </w:rPr>
        <w:footnoteReference w:id="82"/>
      </w:r>
      <w:r w:rsidRPr="00BF2F7C">
        <w:t xml:space="preserve"> and any updates over the course of the TLPDP. </w:t>
      </w:r>
      <w:r w:rsidRPr="00BF2F7C">
        <w:rPr>
          <w:lang w:val="en-US"/>
        </w:rPr>
        <w:t xml:space="preserve">The policy applies to all DFAT Official Development Assistance funded aid investments regardless of value or funding mechanism. </w:t>
      </w:r>
      <w:r w:rsidRPr="00BF2F7C">
        <w:t xml:space="preserve">Safeguards are measures taken to </w:t>
      </w:r>
      <w:proofErr w:type="gramStart"/>
      <w:r w:rsidRPr="00BF2F7C">
        <w:t>avoid, or</w:t>
      </w:r>
      <w:proofErr w:type="gramEnd"/>
      <w:r w:rsidRPr="00BF2F7C">
        <w:t xml:space="preserve"> minimise and manage the negative impacts of aid investments on people and the environment.</w:t>
      </w:r>
    </w:p>
    <w:p w14:paraId="39AE1976" w14:textId="77777777" w:rsidR="00987DBE" w:rsidRPr="00BF2F7C" w:rsidRDefault="00987DBE" w:rsidP="007701F5">
      <w:pPr>
        <w:tabs>
          <w:tab w:val="center" w:pos="4819"/>
        </w:tabs>
        <w:spacing w:after="120" w:line="240" w:lineRule="auto"/>
      </w:pPr>
      <w:r w:rsidRPr="00BF2F7C">
        <w:t xml:space="preserve">The policy provides a structured approach to assessing and managing environmental and social impacts and will enhance risk management and improve the quality and sustainability of DFAT’s aid investments.  The policy requires early identification of environmental and social risks and impacts during the planning stage of investments and the continued management of risks through the life of investments. The policy is underpinned by the following five safeguard principles, which have been considered in the design of the TLPDP and will be used to guide its implementation: </w:t>
      </w:r>
    </w:p>
    <w:p w14:paraId="6713A75F" w14:textId="77777777" w:rsidR="00987DBE" w:rsidRPr="00BF2F7C" w:rsidRDefault="00987DBE" w:rsidP="007701F5">
      <w:pPr>
        <w:pStyle w:val="ListParagraph"/>
        <w:numPr>
          <w:ilvl w:val="0"/>
          <w:numId w:val="53"/>
        </w:numPr>
        <w:tabs>
          <w:tab w:val="center" w:pos="4819"/>
        </w:tabs>
        <w:spacing w:after="120" w:line="240" w:lineRule="auto"/>
      </w:pPr>
      <w:r w:rsidRPr="00BF2F7C">
        <w:t xml:space="preserve">Do no </w:t>
      </w:r>
      <w:proofErr w:type="gramStart"/>
      <w:r w:rsidRPr="00BF2F7C">
        <w:t>harm;</w:t>
      </w:r>
      <w:proofErr w:type="gramEnd"/>
    </w:p>
    <w:p w14:paraId="7808C9BD" w14:textId="77777777" w:rsidR="00987DBE" w:rsidRPr="00BF2F7C" w:rsidRDefault="00987DBE" w:rsidP="007701F5">
      <w:pPr>
        <w:pStyle w:val="ListParagraph"/>
        <w:numPr>
          <w:ilvl w:val="0"/>
          <w:numId w:val="53"/>
        </w:numPr>
        <w:tabs>
          <w:tab w:val="center" w:pos="4819"/>
        </w:tabs>
        <w:spacing w:after="120" w:line="240" w:lineRule="auto"/>
      </w:pPr>
      <w:r w:rsidRPr="00BF2F7C">
        <w:t xml:space="preserve">Identify, assess and manage environmental and social </w:t>
      </w:r>
      <w:proofErr w:type="gramStart"/>
      <w:r w:rsidRPr="00BF2F7C">
        <w:t>impacts;</w:t>
      </w:r>
      <w:proofErr w:type="gramEnd"/>
    </w:p>
    <w:p w14:paraId="04305CE3" w14:textId="77777777" w:rsidR="00987DBE" w:rsidRPr="00BF2F7C" w:rsidRDefault="00987DBE" w:rsidP="007701F5">
      <w:pPr>
        <w:pStyle w:val="ListParagraph"/>
        <w:numPr>
          <w:ilvl w:val="0"/>
          <w:numId w:val="53"/>
        </w:numPr>
        <w:tabs>
          <w:tab w:val="center" w:pos="4819"/>
        </w:tabs>
        <w:spacing w:after="120" w:line="240" w:lineRule="auto"/>
        <w:rPr>
          <w:color w:val="000000" w:themeColor="text1"/>
        </w:rPr>
      </w:pPr>
      <w:r w:rsidRPr="00BF2F7C">
        <w:rPr>
          <w:rFonts w:eastAsia="Calibri Light" w:cs="Times New Roman"/>
          <w:color w:val="000000" w:themeColor="text1"/>
        </w:rPr>
        <w:t xml:space="preserve">Engage effectively with </w:t>
      </w:r>
      <w:proofErr w:type="gramStart"/>
      <w:r w:rsidRPr="00BF2F7C">
        <w:rPr>
          <w:rFonts w:eastAsia="Calibri Light" w:cs="Times New Roman"/>
          <w:color w:val="000000" w:themeColor="text1"/>
        </w:rPr>
        <w:t>stakeholders;</w:t>
      </w:r>
      <w:proofErr w:type="gramEnd"/>
    </w:p>
    <w:p w14:paraId="4E68224B" w14:textId="77777777" w:rsidR="00987DBE" w:rsidRPr="00BF2F7C" w:rsidRDefault="00987DBE" w:rsidP="007701F5">
      <w:pPr>
        <w:pStyle w:val="ListParagraph"/>
        <w:numPr>
          <w:ilvl w:val="0"/>
          <w:numId w:val="53"/>
        </w:numPr>
        <w:tabs>
          <w:tab w:val="center" w:pos="4819"/>
        </w:tabs>
        <w:spacing w:after="120" w:line="240" w:lineRule="auto"/>
        <w:rPr>
          <w:color w:val="000000" w:themeColor="text1"/>
        </w:rPr>
      </w:pPr>
      <w:r w:rsidRPr="00BF2F7C">
        <w:rPr>
          <w:rFonts w:eastAsia="Calibri Light" w:cs="Times New Roman"/>
          <w:color w:val="000000" w:themeColor="text1"/>
        </w:rPr>
        <w:t xml:space="preserve">Work effectively with partners; and </w:t>
      </w:r>
    </w:p>
    <w:p w14:paraId="0BF86912" w14:textId="77777777" w:rsidR="00987DBE" w:rsidRPr="00BF2F7C" w:rsidRDefault="00987DBE" w:rsidP="007701F5">
      <w:pPr>
        <w:pStyle w:val="ListParagraph"/>
        <w:numPr>
          <w:ilvl w:val="0"/>
          <w:numId w:val="53"/>
        </w:numPr>
        <w:tabs>
          <w:tab w:val="center" w:pos="4819"/>
        </w:tabs>
        <w:spacing w:after="120" w:line="240" w:lineRule="auto"/>
        <w:rPr>
          <w:color w:val="000000" w:themeColor="text1"/>
        </w:rPr>
      </w:pPr>
      <w:r w:rsidRPr="00BF2F7C">
        <w:rPr>
          <w:rFonts w:eastAsia="Calibri Light" w:cs="Times New Roman"/>
          <w:color w:val="000000" w:themeColor="text1"/>
        </w:rPr>
        <w:t>Promote improved environmental and social outcomes.</w:t>
      </w:r>
    </w:p>
    <w:p w14:paraId="53E39880" w14:textId="77777777" w:rsidR="00987DBE" w:rsidRPr="00BF2F7C" w:rsidRDefault="00987DBE" w:rsidP="007701F5">
      <w:pPr>
        <w:tabs>
          <w:tab w:val="center" w:pos="4819"/>
        </w:tabs>
        <w:suppressAutoHyphens/>
        <w:spacing w:after="120" w:line="240" w:lineRule="auto"/>
      </w:pPr>
      <w:r w:rsidRPr="00BF2F7C">
        <w:t>The policy sets out requirements for considering the following five safeguards, which must be identified and managed:</w:t>
      </w:r>
    </w:p>
    <w:p w14:paraId="5D5E52D8" w14:textId="77777777" w:rsidR="00987DBE" w:rsidRPr="00BF2F7C" w:rsidRDefault="00987DBE" w:rsidP="007701F5">
      <w:pPr>
        <w:pStyle w:val="ListParagraph"/>
        <w:widowControl w:val="0"/>
        <w:numPr>
          <w:ilvl w:val="0"/>
          <w:numId w:val="54"/>
        </w:numPr>
        <w:spacing w:after="120" w:line="240" w:lineRule="auto"/>
      </w:pPr>
      <w:r w:rsidRPr="00BF2F7C">
        <w:t xml:space="preserve">Environmental </w:t>
      </w:r>
      <w:proofErr w:type="gramStart"/>
      <w:r w:rsidRPr="00BF2F7C">
        <w:t>protection;</w:t>
      </w:r>
      <w:proofErr w:type="gramEnd"/>
    </w:p>
    <w:p w14:paraId="069D1B56" w14:textId="77777777" w:rsidR="00987DBE" w:rsidRPr="00BF2F7C" w:rsidRDefault="00987DBE" w:rsidP="007701F5">
      <w:pPr>
        <w:pStyle w:val="ListParagraph"/>
        <w:widowControl w:val="0"/>
        <w:numPr>
          <w:ilvl w:val="0"/>
          <w:numId w:val="54"/>
        </w:numPr>
        <w:spacing w:after="120" w:line="240" w:lineRule="auto"/>
      </w:pPr>
      <w:r w:rsidRPr="00BF2F7C">
        <w:t xml:space="preserve">Children, vulnerable and disadvantaged </w:t>
      </w:r>
      <w:proofErr w:type="gramStart"/>
      <w:r w:rsidRPr="00BF2F7C">
        <w:t>groups;</w:t>
      </w:r>
      <w:proofErr w:type="gramEnd"/>
    </w:p>
    <w:p w14:paraId="542E772D" w14:textId="77777777" w:rsidR="00987DBE" w:rsidRPr="00BF2F7C" w:rsidRDefault="00987DBE" w:rsidP="007701F5">
      <w:pPr>
        <w:pStyle w:val="ListParagraph"/>
        <w:widowControl w:val="0"/>
        <w:numPr>
          <w:ilvl w:val="0"/>
          <w:numId w:val="54"/>
        </w:numPr>
        <w:spacing w:after="120" w:line="240" w:lineRule="auto"/>
      </w:pPr>
      <w:r w:rsidRPr="00BF2F7C">
        <w:t xml:space="preserve">Displacement and </w:t>
      </w:r>
      <w:proofErr w:type="gramStart"/>
      <w:r w:rsidRPr="00BF2F7C">
        <w:t>resettlement;</w:t>
      </w:r>
      <w:proofErr w:type="gramEnd"/>
    </w:p>
    <w:p w14:paraId="159ED763" w14:textId="7E99E886" w:rsidR="00987DBE" w:rsidRPr="00BF2F7C" w:rsidRDefault="00987DBE" w:rsidP="007701F5">
      <w:pPr>
        <w:pStyle w:val="ListParagraph"/>
        <w:widowControl w:val="0"/>
        <w:numPr>
          <w:ilvl w:val="0"/>
          <w:numId w:val="54"/>
        </w:numPr>
        <w:spacing w:after="120" w:line="240" w:lineRule="auto"/>
      </w:pPr>
      <w:r w:rsidRPr="00BF2F7C">
        <w:t xml:space="preserve">Indigenous peoples; and </w:t>
      </w:r>
    </w:p>
    <w:p w14:paraId="1BB8DB3F" w14:textId="1598C6A6" w:rsidR="004F057A" w:rsidRDefault="00987DBE" w:rsidP="004F057A">
      <w:pPr>
        <w:pStyle w:val="ListParagraph"/>
        <w:widowControl w:val="0"/>
        <w:numPr>
          <w:ilvl w:val="0"/>
          <w:numId w:val="54"/>
        </w:numPr>
        <w:spacing w:after="120" w:line="240" w:lineRule="auto"/>
      </w:pPr>
      <w:r w:rsidRPr="00BF2F7C">
        <w:t>Health and safety.</w:t>
      </w:r>
    </w:p>
    <w:p w14:paraId="04A228E2" w14:textId="77777777" w:rsidR="004F057A" w:rsidRDefault="004F057A" w:rsidP="008A3863">
      <w:pPr>
        <w:pStyle w:val="ListParagraph"/>
        <w:widowControl w:val="0"/>
        <w:spacing w:after="120" w:line="240" w:lineRule="auto"/>
      </w:pPr>
    </w:p>
    <w:p w14:paraId="210980E2" w14:textId="66086FBC" w:rsidR="004F057A" w:rsidRDefault="004F057A" w:rsidP="008A3863">
      <w:pPr>
        <w:pStyle w:val="Heading3"/>
        <w:numPr>
          <w:ilvl w:val="2"/>
          <w:numId w:val="61"/>
        </w:numPr>
        <w:spacing w:before="0" w:after="120" w:line="240" w:lineRule="auto"/>
        <w:ind w:left="567" w:hanging="567"/>
      </w:pPr>
      <w:bookmarkStart w:id="130" w:name="_Toc516189387"/>
      <w:r>
        <w:lastRenderedPageBreak/>
        <w:t>Child Protection</w:t>
      </w:r>
      <w:bookmarkEnd w:id="130"/>
    </w:p>
    <w:p w14:paraId="3EB85BE8" w14:textId="74C0CA15" w:rsidR="00955909" w:rsidRDefault="00955909" w:rsidP="008A3863">
      <w:r>
        <w:t>Children are the most vulnerable member of society and their rights must be safeguarded. Children have the right to live free from all forms of physical and mental violence, injury or abuse, neglect or negligent treatment, maltreatment and exploitation. There are long-term detrimental psychological, physical and social consequences to violence experienced in childhood, including the acceptance that violence is a suitable response or problem-solving mechanism.</w:t>
      </w:r>
      <w:r w:rsidR="00765A4D">
        <w:rPr>
          <w:rStyle w:val="FootnoteReference"/>
        </w:rPr>
        <w:footnoteReference w:id="83"/>
      </w:r>
      <w:r>
        <w:t xml:space="preserve"> In a recent study by the Asia Foundation, </w:t>
      </w:r>
      <w:r w:rsidR="00CA5574">
        <w:t>over half of the participants reported having experienced some form of hardship, neglect or physical abuse before the age of 18.</w:t>
      </w:r>
      <w:r w:rsidR="00CA5574">
        <w:rPr>
          <w:rStyle w:val="FootnoteReference"/>
        </w:rPr>
        <w:footnoteReference w:id="84"/>
      </w:r>
      <w:r w:rsidR="00CA5574">
        <w:t xml:space="preserve"> Nearly half of the women participants and over a third of male participants reported witnessing physical violence perpetrated against their mothers.</w:t>
      </w:r>
      <w:r w:rsidR="00CA5574">
        <w:rPr>
          <w:rStyle w:val="FootnoteReference"/>
        </w:rPr>
        <w:footnoteReference w:id="85"/>
      </w:r>
      <w:r w:rsidR="00CA5574">
        <w:t xml:space="preserve"> Similarly, there is widespread tolerance of physical child abuse, with many parents believing it is right for to sometimes beat their children with a stick.</w:t>
      </w:r>
      <w:r w:rsidR="00CA5574">
        <w:rPr>
          <w:rStyle w:val="FootnoteReference"/>
        </w:rPr>
        <w:footnoteReference w:id="86"/>
      </w:r>
      <w:r w:rsidR="00D231BF">
        <w:t xml:space="preserve"> </w:t>
      </w:r>
    </w:p>
    <w:p w14:paraId="654218D5" w14:textId="1A7EDC3C" w:rsidR="00D231BF" w:rsidRDefault="00D231BF" w:rsidP="008A3863">
      <w:r>
        <w:t>Through the VPUs, the TLPDP has a unique ability to assist the PNTL to strengthen their capability to prevent and respond to child abuse. The TLPDP will capitalise on opportunities to influence police and community perceptions of child abuse, and encourage appropriate responses, which includes treating instances of child abuse as a crime.</w:t>
      </w:r>
      <w:r w:rsidR="00041AB9">
        <w:t xml:space="preserve"> </w:t>
      </w:r>
    </w:p>
    <w:p w14:paraId="0E27CC18" w14:textId="1C9D9244" w:rsidR="00D231BF" w:rsidRDefault="00D231BF" w:rsidP="008A3863">
      <w:r>
        <w:t xml:space="preserve">The PNTL also reported cases of human trafficking of girls from Timor-Leste into </w:t>
      </w:r>
      <w:proofErr w:type="gramStart"/>
      <w:r>
        <w:t>Indonesia, and</w:t>
      </w:r>
      <w:proofErr w:type="gramEnd"/>
      <w:r>
        <w:t xml:space="preserve"> have increased the number of human trafficking investigations and prosecutions. The GRDTL has increased efforts to counter human trafficking, including promulgating draft anti-trafficking legislation and conducting training sessions with law enforcement agencies. </w:t>
      </w:r>
      <w:r w:rsidR="00041AB9">
        <w:t xml:space="preserve">The TLPDP will complement these efforts by enhancing the capacity of the PNTL to identify and respond to transnational crime. </w:t>
      </w:r>
    </w:p>
    <w:p w14:paraId="31A9F771" w14:textId="3E2B696C" w:rsidR="00987DBE" w:rsidRPr="00940239" w:rsidRDefault="00987DBE" w:rsidP="001218D8">
      <w:pPr>
        <w:pStyle w:val="Heading3"/>
        <w:numPr>
          <w:ilvl w:val="2"/>
          <w:numId w:val="61"/>
        </w:numPr>
        <w:spacing w:before="0" w:after="120" w:line="240" w:lineRule="auto"/>
        <w:ind w:left="567" w:hanging="567"/>
      </w:pPr>
      <w:bookmarkStart w:id="131" w:name="_Toc465247425"/>
      <w:bookmarkStart w:id="132" w:name="_Toc516189388"/>
      <w:r w:rsidRPr="00940239">
        <w:t>Fraud Control</w:t>
      </w:r>
      <w:bookmarkEnd w:id="131"/>
      <w:bookmarkEnd w:id="132"/>
    </w:p>
    <w:p w14:paraId="608666E4" w14:textId="63F432C1" w:rsidR="00987DBE" w:rsidRPr="00BF2F7C" w:rsidRDefault="00987DBE" w:rsidP="007701F5">
      <w:pPr>
        <w:spacing w:after="120" w:line="240" w:lineRule="auto"/>
      </w:pPr>
      <w:r w:rsidRPr="00BF2F7C">
        <w:t>The AFP has extensive fraud policies in place and in addition the Policing Program must consider the DFAT fraud control policy. DFAT has a policy of zero tolerance approach towards fraudulent and corrupt activity or behaviour. This applies to departmental staff (including locally engaged staff at overseas posts) and external parties that receive Australian Government funds, including all aid program funds. Accordingly, the policy applies to contractors, third party service providers, partner governments, multilateral organisations, non-government organisations and other funding recipients.</w:t>
      </w:r>
    </w:p>
    <w:p w14:paraId="1F26258D" w14:textId="77777777" w:rsidR="00987DBE" w:rsidRPr="00BF2F7C" w:rsidRDefault="00987DBE" w:rsidP="007701F5">
      <w:pPr>
        <w:spacing w:after="120" w:line="240" w:lineRule="auto"/>
      </w:pPr>
      <w:r w:rsidRPr="00BF2F7C">
        <w:t>Fraud is defined as 'dishonestly obtaining a benefit, or causing a loss, by deception or other means'. This definition extends beyond the legal definition of fraud to include benefits obtained that can be both tangible and intangible. It thus encompasses activities or behaviours broader than the misuse or misappropriation of monies or assets.</w:t>
      </w:r>
    </w:p>
    <w:p w14:paraId="157B5B35" w14:textId="77777777" w:rsidR="00987DBE" w:rsidRPr="00BF2F7C" w:rsidRDefault="00987DBE" w:rsidP="007701F5">
      <w:pPr>
        <w:spacing w:after="120" w:line="240" w:lineRule="auto"/>
      </w:pPr>
      <w:r w:rsidRPr="00BF2F7C">
        <w:t>Examples of fraud include:</w:t>
      </w:r>
    </w:p>
    <w:p w14:paraId="3866B095" w14:textId="77777777" w:rsidR="00987DBE" w:rsidRPr="00BF2F7C" w:rsidRDefault="00987DBE" w:rsidP="007701F5">
      <w:pPr>
        <w:pStyle w:val="ListParagraph"/>
        <w:numPr>
          <w:ilvl w:val="0"/>
          <w:numId w:val="55"/>
        </w:numPr>
        <w:spacing w:after="120" w:line="240" w:lineRule="auto"/>
      </w:pPr>
      <w:r w:rsidRPr="00BF2F7C">
        <w:t>misappropriation of funds</w:t>
      </w:r>
    </w:p>
    <w:p w14:paraId="56912409" w14:textId="77777777" w:rsidR="00987DBE" w:rsidRPr="00BF2F7C" w:rsidRDefault="00987DBE" w:rsidP="007701F5">
      <w:pPr>
        <w:pStyle w:val="ListParagraph"/>
        <w:numPr>
          <w:ilvl w:val="0"/>
          <w:numId w:val="55"/>
        </w:numPr>
        <w:spacing w:after="120" w:line="240" w:lineRule="auto"/>
      </w:pPr>
      <w:r w:rsidRPr="00BF2F7C">
        <w:t>altering documents</w:t>
      </w:r>
    </w:p>
    <w:p w14:paraId="19205A4B" w14:textId="77777777" w:rsidR="00987DBE" w:rsidRPr="00BF2F7C" w:rsidRDefault="00987DBE" w:rsidP="007701F5">
      <w:pPr>
        <w:pStyle w:val="ListParagraph"/>
        <w:numPr>
          <w:ilvl w:val="0"/>
          <w:numId w:val="55"/>
        </w:numPr>
        <w:spacing w:after="120" w:line="240" w:lineRule="auto"/>
      </w:pPr>
      <w:r w:rsidRPr="00BF2F7C">
        <w:t>falsifying signatures</w:t>
      </w:r>
    </w:p>
    <w:p w14:paraId="0934ADBD" w14:textId="77777777" w:rsidR="00987DBE" w:rsidRPr="00BF2F7C" w:rsidRDefault="00987DBE" w:rsidP="007701F5">
      <w:pPr>
        <w:pStyle w:val="ListParagraph"/>
        <w:numPr>
          <w:ilvl w:val="0"/>
          <w:numId w:val="55"/>
        </w:numPr>
        <w:spacing w:after="120" w:line="240" w:lineRule="auto"/>
      </w:pPr>
      <w:r w:rsidRPr="00BF2F7C">
        <w:t>misuse of Commonwealth assets</w:t>
      </w:r>
    </w:p>
    <w:p w14:paraId="44F9F1DE" w14:textId="77777777" w:rsidR="00987DBE" w:rsidRPr="00BF2F7C" w:rsidRDefault="00987DBE" w:rsidP="007701F5">
      <w:pPr>
        <w:pStyle w:val="ListParagraph"/>
        <w:numPr>
          <w:ilvl w:val="0"/>
          <w:numId w:val="55"/>
        </w:numPr>
        <w:spacing w:after="120" w:line="240" w:lineRule="auto"/>
      </w:pPr>
      <w:r w:rsidRPr="00BF2F7C">
        <w:t>providing false information to the Commonwealth</w:t>
      </w:r>
    </w:p>
    <w:p w14:paraId="43C0B30E" w14:textId="77777777" w:rsidR="00987DBE" w:rsidRPr="00BF2F7C" w:rsidRDefault="00987DBE" w:rsidP="007701F5">
      <w:pPr>
        <w:pStyle w:val="ListParagraph"/>
        <w:numPr>
          <w:ilvl w:val="0"/>
          <w:numId w:val="55"/>
        </w:numPr>
        <w:spacing w:after="120" w:line="240" w:lineRule="auto"/>
      </w:pPr>
      <w:r w:rsidRPr="00BF2F7C">
        <w:lastRenderedPageBreak/>
        <w:t>unauthorised disclosure of confidential information</w:t>
      </w:r>
    </w:p>
    <w:p w14:paraId="52A1FF05" w14:textId="77777777" w:rsidR="00987DBE" w:rsidRPr="00BF2F7C" w:rsidRDefault="00987DBE" w:rsidP="007701F5">
      <w:pPr>
        <w:pStyle w:val="ListParagraph"/>
        <w:numPr>
          <w:ilvl w:val="0"/>
          <w:numId w:val="55"/>
        </w:numPr>
        <w:spacing w:after="120" w:line="240" w:lineRule="auto"/>
      </w:pPr>
      <w:r w:rsidRPr="00BF2F7C">
        <w:t>theft of aid program funds or assets</w:t>
      </w:r>
    </w:p>
    <w:p w14:paraId="2BC141FA" w14:textId="77777777" w:rsidR="00987DBE" w:rsidRPr="00BF2F7C" w:rsidRDefault="00987DBE" w:rsidP="007701F5">
      <w:pPr>
        <w:pStyle w:val="ListParagraph"/>
        <w:numPr>
          <w:ilvl w:val="0"/>
          <w:numId w:val="55"/>
        </w:numPr>
        <w:spacing w:after="120" w:line="240" w:lineRule="auto"/>
      </w:pPr>
      <w:r w:rsidRPr="00BF2F7C">
        <w:t>bias, cronyism or nepotism.</w:t>
      </w:r>
    </w:p>
    <w:p w14:paraId="300CE186" w14:textId="77777777" w:rsidR="00987DBE" w:rsidRPr="00BF2F7C" w:rsidRDefault="00987DBE" w:rsidP="007701F5">
      <w:pPr>
        <w:spacing w:after="120" w:line="240" w:lineRule="auto"/>
      </w:pPr>
      <w:r w:rsidRPr="00BF2F7C">
        <w:t>A key obligation of DFAT staff and aid delivery partners is to report without delay all cases of attempted, alleged, suspected or detected fraud and corruption. All cases of fraud and corruption are handled in a confidential, prompt and professional manner. The Policing Program will ensure that all advisers and staff are made aware of the Fraud Control policy.</w:t>
      </w:r>
    </w:p>
    <w:p w14:paraId="03D49CA7" w14:textId="77777777" w:rsidR="002133DB" w:rsidRDefault="002133DB" w:rsidP="007701F5">
      <w:pPr>
        <w:pStyle w:val="Heading1"/>
        <w:spacing w:before="0" w:after="120" w:line="240" w:lineRule="auto"/>
      </w:pPr>
    </w:p>
    <w:p w14:paraId="28C57A12" w14:textId="603C729A" w:rsidR="000B01C4" w:rsidRPr="005A3CA2" w:rsidRDefault="000B01C4" w:rsidP="00A42C1F">
      <w:pPr>
        <w:pStyle w:val="Heading1"/>
        <w:numPr>
          <w:ilvl w:val="0"/>
          <w:numId w:val="61"/>
        </w:numPr>
        <w:spacing w:before="0" w:after="120" w:line="240" w:lineRule="auto"/>
        <w:ind w:left="284" w:hanging="284"/>
      </w:pPr>
      <w:bookmarkStart w:id="133" w:name="_Toc516189389"/>
      <w:r w:rsidRPr="005A3CA2">
        <w:t>Annexes</w:t>
      </w:r>
      <w:bookmarkEnd w:id="133"/>
    </w:p>
    <w:p w14:paraId="3849A93E" w14:textId="3B8A0C48" w:rsidR="0087006C" w:rsidRPr="008C0E13" w:rsidRDefault="0087006C" w:rsidP="007701F5">
      <w:pPr>
        <w:spacing w:after="120" w:line="240" w:lineRule="auto"/>
        <w:rPr>
          <w:rFonts w:eastAsia="Times New Roman"/>
          <w:lang w:eastAsia="en-US"/>
        </w:rPr>
      </w:pPr>
      <w:r w:rsidRPr="008C0E13">
        <w:rPr>
          <w:rFonts w:eastAsia="Times New Roman"/>
          <w:lang w:eastAsia="en-US"/>
        </w:rPr>
        <w:t>Annex A – Monitoring, Evaluation and Learning Framework</w:t>
      </w:r>
    </w:p>
    <w:p w14:paraId="3A05F9B4" w14:textId="02F09EA3" w:rsidR="0087006C" w:rsidRPr="008C0E13" w:rsidRDefault="0087006C" w:rsidP="007701F5">
      <w:pPr>
        <w:spacing w:after="120" w:line="240" w:lineRule="auto"/>
        <w:rPr>
          <w:rFonts w:eastAsia="Times New Roman"/>
          <w:lang w:eastAsia="en-US"/>
        </w:rPr>
      </w:pPr>
      <w:r w:rsidRPr="008C0E13">
        <w:rPr>
          <w:rFonts w:eastAsia="Times New Roman"/>
          <w:lang w:eastAsia="en-US"/>
        </w:rPr>
        <w:t xml:space="preserve">Annex B – Cross Program Collaboration </w:t>
      </w:r>
    </w:p>
    <w:p w14:paraId="64028737" w14:textId="7D7E54D8" w:rsidR="0087006C" w:rsidRPr="008C0E13" w:rsidRDefault="0087006C" w:rsidP="007701F5">
      <w:pPr>
        <w:spacing w:after="120" w:line="240" w:lineRule="auto"/>
        <w:rPr>
          <w:rFonts w:eastAsia="Times New Roman"/>
          <w:lang w:eastAsia="en-US"/>
        </w:rPr>
      </w:pPr>
      <w:r w:rsidRPr="008C0E13">
        <w:rPr>
          <w:rFonts w:eastAsia="Times New Roman"/>
          <w:lang w:eastAsia="en-US"/>
        </w:rPr>
        <w:t>Annex C – Indicative Critical Path Activities</w:t>
      </w:r>
    </w:p>
    <w:p w14:paraId="6E6DAF8E" w14:textId="588A8F0A" w:rsidR="00BF2F7C" w:rsidRPr="008C0E13" w:rsidRDefault="00BF2F7C" w:rsidP="007701F5">
      <w:pPr>
        <w:spacing w:after="120" w:line="240" w:lineRule="auto"/>
        <w:rPr>
          <w:rFonts w:eastAsia="Times New Roman"/>
          <w:lang w:eastAsia="en-US"/>
        </w:rPr>
      </w:pPr>
      <w:r w:rsidRPr="008C0E13">
        <w:rPr>
          <w:rFonts w:eastAsia="Times New Roman"/>
          <w:lang w:eastAsia="en-US"/>
        </w:rPr>
        <w:t xml:space="preserve">Annex D – </w:t>
      </w:r>
      <w:r w:rsidR="008C0E13" w:rsidRPr="008C0E13">
        <w:rPr>
          <w:rFonts w:eastAsia="Times New Roman"/>
          <w:lang w:eastAsia="en-US"/>
        </w:rPr>
        <w:t>Risk Register</w:t>
      </w:r>
    </w:p>
    <w:p w14:paraId="5307EE04" w14:textId="15AAE7C8" w:rsidR="00712087" w:rsidRPr="008C0E13" w:rsidRDefault="008C0E13" w:rsidP="007701F5">
      <w:pPr>
        <w:spacing w:after="120" w:line="240" w:lineRule="auto"/>
        <w:rPr>
          <w:rFonts w:eastAsia="Times New Roman"/>
          <w:lang w:eastAsia="en-US"/>
        </w:rPr>
      </w:pPr>
      <w:r w:rsidRPr="008C0E13">
        <w:rPr>
          <w:rFonts w:eastAsia="Times New Roman"/>
          <w:lang w:eastAsia="en-US"/>
        </w:rPr>
        <w:t>Annex E – Literature Consulted</w:t>
      </w:r>
    </w:p>
    <w:p w14:paraId="72430311" w14:textId="77777777" w:rsidR="00712087" w:rsidRPr="0087006C" w:rsidRDefault="00712087" w:rsidP="007701F5">
      <w:pPr>
        <w:spacing w:after="120" w:line="240" w:lineRule="auto"/>
        <w:rPr>
          <w:rFonts w:asciiTheme="majorHAnsi" w:eastAsia="Times New Roman" w:hAnsiTheme="majorHAnsi"/>
          <w:lang w:eastAsia="en-US"/>
        </w:rPr>
        <w:sectPr w:rsidR="00712087" w:rsidRPr="0087006C" w:rsidSect="00206ADB">
          <w:pgSz w:w="11907" w:h="16839" w:code="9"/>
          <w:pgMar w:top="1440" w:right="1440" w:bottom="1440" w:left="1440" w:header="720" w:footer="720" w:gutter="0"/>
          <w:cols w:space="720"/>
          <w:docGrid w:linePitch="360"/>
        </w:sectPr>
      </w:pPr>
    </w:p>
    <w:p w14:paraId="2614C03A" w14:textId="77777777" w:rsidR="00FC25B7" w:rsidRDefault="00FC25B7">
      <w:pPr>
        <w:rPr>
          <w:rFonts w:asciiTheme="majorHAnsi" w:eastAsiaTheme="majorEastAsia" w:hAnsiTheme="majorHAnsi" w:cstheme="majorBidi"/>
          <w:b/>
          <w:bCs/>
          <w:color w:val="365F91" w:themeColor="accent1" w:themeShade="BF"/>
          <w:sz w:val="28"/>
          <w:szCs w:val="28"/>
        </w:rPr>
      </w:pPr>
      <w:r>
        <w:br w:type="page"/>
      </w:r>
    </w:p>
    <w:p w14:paraId="6734C99F" w14:textId="35BCC66B" w:rsidR="00712087" w:rsidRPr="00555A3E" w:rsidRDefault="00712087" w:rsidP="007701F5">
      <w:pPr>
        <w:pStyle w:val="Heading1"/>
        <w:spacing w:before="0" w:after="120" w:line="240" w:lineRule="auto"/>
      </w:pPr>
      <w:bookmarkStart w:id="134" w:name="_Toc516189390"/>
      <w:r w:rsidRPr="00555A3E">
        <w:lastRenderedPageBreak/>
        <w:t xml:space="preserve">Annex A </w:t>
      </w:r>
      <w:r w:rsidR="00555A3E" w:rsidRPr="00555A3E">
        <w:t>– Monitoring</w:t>
      </w:r>
      <w:r w:rsidRPr="00555A3E">
        <w:t>, Evaluation and Learning Framework</w:t>
      </w:r>
      <w:bookmarkEnd w:id="134"/>
    </w:p>
    <w:p w14:paraId="1E0B3A1B" w14:textId="366D61AA" w:rsidR="00981AD0" w:rsidRPr="00555A3E" w:rsidRDefault="00981AD0" w:rsidP="007701F5">
      <w:pPr>
        <w:pStyle w:val="BodyText"/>
        <w:spacing w:before="0" w:after="120" w:line="240" w:lineRule="auto"/>
        <w:rPr>
          <w:color w:val="auto"/>
        </w:rPr>
      </w:pPr>
      <w:r w:rsidRPr="00555A3E">
        <w:rPr>
          <w:color w:val="auto"/>
        </w:rPr>
        <w:t xml:space="preserve">Monitoring, Evaluation </w:t>
      </w:r>
      <w:r w:rsidR="0087006C" w:rsidRPr="00555A3E">
        <w:rPr>
          <w:color w:val="auto"/>
        </w:rPr>
        <w:t>and</w:t>
      </w:r>
      <w:r w:rsidRPr="00555A3E">
        <w:rPr>
          <w:color w:val="auto"/>
        </w:rPr>
        <w:t xml:space="preserve"> Learning (MEL) is expected to demonstrate accountability,</w:t>
      </w:r>
      <w:r w:rsidR="003B342B">
        <w:rPr>
          <w:color w:val="auto"/>
        </w:rPr>
        <w:t xml:space="preserve"> the effectiveness of P</w:t>
      </w:r>
      <w:r w:rsidRPr="00555A3E">
        <w:rPr>
          <w:color w:val="auto"/>
        </w:rPr>
        <w:t>rogram delivery and results achieved. In the development environment MEL requires the establishment of an effective and flexible structure of continuous analysis, design, implementation and evaluation of effort. This is critical to the success of the Program and its individual initiatives.</w:t>
      </w:r>
    </w:p>
    <w:p w14:paraId="2FC0EFA2" w14:textId="705AAD6B" w:rsidR="00981AD0" w:rsidRPr="00555A3E" w:rsidRDefault="00981AD0" w:rsidP="007701F5">
      <w:pPr>
        <w:pStyle w:val="BodyText"/>
        <w:spacing w:before="0" w:after="120" w:line="240" w:lineRule="auto"/>
        <w:rPr>
          <w:color w:val="auto"/>
        </w:rPr>
      </w:pPr>
      <w:r w:rsidRPr="00555A3E">
        <w:rPr>
          <w:color w:val="auto"/>
        </w:rPr>
        <w:t xml:space="preserve">The MEL Framework of the TLPDP </w:t>
      </w:r>
      <w:r w:rsidR="00591A12">
        <w:rPr>
          <w:color w:val="auto"/>
        </w:rPr>
        <w:t xml:space="preserve">will assist the TLPDP advisers, Head of Program and the Program Coordination Board (PCB) to carry out regular and systemic assessment of their progress towards the Program Outcomes. The MEL Framework will inform program decision making and ensure that any lessons are incorporated to improve the Program’s success. The MEL Framework </w:t>
      </w:r>
      <w:r w:rsidRPr="00555A3E">
        <w:rPr>
          <w:color w:val="auto"/>
        </w:rPr>
        <w:t>will address the challenges of aggregating data, achieve an appropriate balance between quantitative and qualitative da</w:t>
      </w:r>
      <w:r w:rsidR="003B342B">
        <w:rPr>
          <w:color w:val="auto"/>
        </w:rPr>
        <w:t>ta that does not overly burden P</w:t>
      </w:r>
      <w:r w:rsidRPr="00555A3E">
        <w:rPr>
          <w:color w:val="auto"/>
        </w:rPr>
        <w:t>rogram staff, and use infor</w:t>
      </w:r>
      <w:r w:rsidR="003B342B">
        <w:rPr>
          <w:color w:val="auto"/>
        </w:rPr>
        <w:t xml:space="preserve">mation as evidence for </w:t>
      </w:r>
      <w:r w:rsidR="00332FA2">
        <w:rPr>
          <w:color w:val="auto"/>
        </w:rPr>
        <w:t>on-going</w:t>
      </w:r>
      <w:r w:rsidR="003B342B">
        <w:rPr>
          <w:color w:val="auto"/>
        </w:rPr>
        <w:t xml:space="preserve"> P</w:t>
      </w:r>
      <w:r w:rsidRPr="00555A3E">
        <w:rPr>
          <w:color w:val="auto"/>
        </w:rPr>
        <w:t xml:space="preserve">rogram improvement. </w:t>
      </w:r>
    </w:p>
    <w:p w14:paraId="371824E3" w14:textId="77777777" w:rsidR="00981AD0" w:rsidRPr="00555A3E" w:rsidRDefault="00981AD0" w:rsidP="007701F5">
      <w:pPr>
        <w:spacing w:after="120" w:line="240" w:lineRule="auto"/>
      </w:pPr>
      <w:r w:rsidRPr="00555A3E">
        <w:t>Drawing on the results and findings produced for each Key Evaluation Question, the Program management team will be positioned to reflect in the following ways:</w:t>
      </w:r>
    </w:p>
    <w:p w14:paraId="344BF8C0" w14:textId="77777777" w:rsidR="00981AD0" w:rsidRPr="00555A3E" w:rsidRDefault="00981AD0" w:rsidP="007701F5">
      <w:pPr>
        <w:pStyle w:val="ListParagraph"/>
        <w:numPr>
          <w:ilvl w:val="0"/>
          <w:numId w:val="48"/>
        </w:numPr>
        <w:spacing w:after="120" w:line="240" w:lineRule="auto"/>
      </w:pPr>
      <w:r w:rsidRPr="00555A3E">
        <w:t xml:space="preserve">What is working and not working, in relation to how the Program is: engaging with PNTL and other </w:t>
      </w:r>
      <w:proofErr w:type="gramStart"/>
      <w:r w:rsidRPr="00555A3E">
        <w:t>partners;</w:t>
      </w:r>
      <w:proofErr w:type="gramEnd"/>
      <w:r w:rsidRPr="00555A3E">
        <w:t xml:space="preserve"> </w:t>
      </w:r>
    </w:p>
    <w:p w14:paraId="6192A0E2" w14:textId="77777777" w:rsidR="00981AD0" w:rsidRPr="00555A3E" w:rsidRDefault="00981AD0" w:rsidP="007701F5">
      <w:pPr>
        <w:pStyle w:val="ListParagraph"/>
        <w:numPr>
          <w:ilvl w:val="0"/>
          <w:numId w:val="48"/>
        </w:numPr>
        <w:spacing w:after="120" w:line="240" w:lineRule="auto"/>
      </w:pPr>
      <w:r w:rsidRPr="00555A3E">
        <w:t xml:space="preserve">What are we learning about PNTL, in relation to its capacity, need and support for the Program, etc; </w:t>
      </w:r>
      <w:proofErr w:type="gramStart"/>
      <w:r w:rsidRPr="00555A3E">
        <w:t>and</w:t>
      </w:r>
      <w:proofErr w:type="gramEnd"/>
    </w:p>
    <w:p w14:paraId="5132F4B6" w14:textId="77777777" w:rsidR="00981AD0" w:rsidRPr="00555A3E" w:rsidRDefault="00981AD0" w:rsidP="007701F5">
      <w:pPr>
        <w:pStyle w:val="ListParagraph"/>
        <w:numPr>
          <w:ilvl w:val="0"/>
          <w:numId w:val="48"/>
        </w:numPr>
        <w:spacing w:after="120" w:line="240" w:lineRule="auto"/>
      </w:pPr>
      <w:r w:rsidRPr="00555A3E">
        <w:t>In what ways can TLPDP be working differently to be more effective and efficient, in relation to support to PNTL.</w:t>
      </w:r>
    </w:p>
    <w:p w14:paraId="5B9ADC1C" w14:textId="77777777" w:rsidR="00981AD0" w:rsidRPr="00555A3E" w:rsidRDefault="00981AD0" w:rsidP="00454F38">
      <w:pPr>
        <w:pStyle w:val="Heading2"/>
        <w:spacing w:before="240" w:after="240"/>
      </w:pPr>
      <w:bookmarkStart w:id="135" w:name="_Toc512527892"/>
      <w:bookmarkStart w:id="136" w:name="_Toc512584764"/>
      <w:bookmarkStart w:id="137" w:name="_Toc516189143"/>
      <w:bookmarkStart w:id="138" w:name="_Toc516189391"/>
      <w:r w:rsidRPr="00555A3E">
        <w:t>Key Evaluation Questions</w:t>
      </w:r>
      <w:bookmarkEnd w:id="135"/>
      <w:bookmarkEnd w:id="136"/>
      <w:bookmarkEnd w:id="137"/>
      <w:bookmarkEnd w:id="138"/>
    </w:p>
    <w:p w14:paraId="5EFB092B" w14:textId="30FA6794" w:rsidR="00981AD0" w:rsidRPr="00555A3E" w:rsidRDefault="00981AD0" w:rsidP="007701F5">
      <w:pPr>
        <w:pStyle w:val="BodyText"/>
        <w:spacing w:before="0" w:after="120" w:line="240" w:lineRule="auto"/>
        <w:rPr>
          <w:noProof/>
          <w:color w:val="auto"/>
        </w:rPr>
      </w:pPr>
      <w:r w:rsidRPr="00555A3E">
        <w:rPr>
          <w:color w:val="auto"/>
        </w:rPr>
        <w:t xml:space="preserve">The TLPDP MEL Framework utilises a set of interdependent evaluation criteria designed to enable an overall </w:t>
      </w:r>
      <w:r w:rsidR="00B31490">
        <w:rPr>
          <w:color w:val="auto"/>
        </w:rPr>
        <w:t>judgement to be made about the P</w:t>
      </w:r>
      <w:r w:rsidRPr="00555A3E">
        <w:rPr>
          <w:color w:val="auto"/>
        </w:rPr>
        <w:t>rogram’s worth. These criteria are based on the Organisation for Economic Co-operation and Development – Development Assistance Committee’s (OECD – DAC) criteria, to which DFAT and other bilateral donors subscribe. The criteria include relevance, efficiency, effectiveness, sustainability</w:t>
      </w:r>
      <w:r w:rsidR="000213FF" w:rsidRPr="00555A3E">
        <w:rPr>
          <w:color w:val="auto"/>
        </w:rPr>
        <w:t xml:space="preserve"> and impact</w:t>
      </w:r>
      <w:r w:rsidRPr="00555A3E">
        <w:rPr>
          <w:color w:val="auto"/>
        </w:rPr>
        <w:t xml:space="preserve">. </w:t>
      </w:r>
      <w:r w:rsidRPr="00555A3E">
        <w:rPr>
          <w:noProof/>
          <w:color w:val="auto"/>
        </w:rPr>
        <w:t>The focus of each criteria is explained in the box below.</w:t>
      </w:r>
    </w:p>
    <w:p w14:paraId="44932A18" w14:textId="77777777" w:rsidR="00981AD0" w:rsidRPr="00555A3E" w:rsidRDefault="00981AD0" w:rsidP="007701F5">
      <w:pPr>
        <w:pStyle w:val="Box1Heading"/>
        <w:pBdr>
          <w:bottom w:val="single" w:sz="4" w:space="31" w:color="4F81BD" w:themeColor="accent1"/>
        </w:pBdr>
        <w:spacing w:before="0" w:after="120" w:line="240" w:lineRule="auto"/>
      </w:pPr>
      <w:r w:rsidRPr="00555A3E">
        <w:t>Monitoring and Evaluation Criteria for the TLPDP MEL system</w:t>
      </w:r>
    </w:p>
    <w:p w14:paraId="5CC2A5B8" w14:textId="23A9BC4C" w:rsidR="00981AD0" w:rsidRPr="00555A3E" w:rsidRDefault="00981AD0" w:rsidP="007701F5">
      <w:pPr>
        <w:pStyle w:val="Box1Text"/>
        <w:pBdr>
          <w:bottom w:val="single" w:sz="4" w:space="31" w:color="4F81BD" w:themeColor="accent1"/>
        </w:pBdr>
        <w:spacing w:before="0" w:after="120" w:line="240" w:lineRule="auto"/>
      </w:pPr>
      <w:r w:rsidRPr="00555A3E">
        <w:rPr>
          <w:rStyle w:val="Strong"/>
        </w:rPr>
        <w:t>Effectiveness</w:t>
      </w:r>
      <w:r w:rsidRPr="00555A3E">
        <w:t xml:space="preserve">: – relates to the degree to which the investment’s immediate and intermediate outcomes are </w:t>
      </w:r>
      <w:proofErr w:type="gramStart"/>
      <w:r w:rsidRPr="00555A3E">
        <w:t>achieved, and</w:t>
      </w:r>
      <w:proofErr w:type="gramEnd"/>
      <w:r w:rsidRPr="00555A3E">
        <w:t xml:space="preserve"> concerns the relationship between outputs and outcomes. Outcomes include positive, negative, intended and unintended effects produced</w:t>
      </w:r>
      <w:r w:rsidR="00B31490">
        <w:t xml:space="preserve"> directly or indirectly by the P</w:t>
      </w:r>
      <w:r w:rsidRPr="00555A3E">
        <w:t xml:space="preserve">rogram. Of particular interest are the results that relate to the </w:t>
      </w:r>
      <w:r w:rsidRPr="00555A3E">
        <w:rPr>
          <w:rStyle w:val="Strong"/>
        </w:rPr>
        <w:t>equality and inclusion</w:t>
      </w:r>
      <w:r w:rsidRPr="00555A3E">
        <w:t xml:space="preserve"> (especially </w:t>
      </w:r>
      <w:r w:rsidRPr="00555A3E">
        <w:rPr>
          <w:rStyle w:val="Strong"/>
        </w:rPr>
        <w:t>gender</w:t>
      </w:r>
      <w:r w:rsidRPr="00555A3E">
        <w:t xml:space="preserve">) and </w:t>
      </w:r>
      <w:r w:rsidRPr="00555A3E">
        <w:rPr>
          <w:rStyle w:val="Strong"/>
        </w:rPr>
        <w:t>policy influence</w:t>
      </w:r>
      <w:r w:rsidRPr="00555A3E">
        <w:t xml:space="preserve">. </w:t>
      </w:r>
    </w:p>
    <w:p w14:paraId="325C7D3B" w14:textId="17913B82" w:rsidR="00981AD0" w:rsidRPr="00555A3E" w:rsidRDefault="00981AD0" w:rsidP="007701F5">
      <w:pPr>
        <w:pStyle w:val="Box1Text"/>
        <w:pBdr>
          <w:bottom w:val="single" w:sz="4" w:space="31" w:color="4F81BD" w:themeColor="accent1"/>
        </w:pBdr>
        <w:spacing w:before="0" w:after="120" w:line="240" w:lineRule="auto"/>
      </w:pPr>
      <w:r w:rsidRPr="00555A3E">
        <w:rPr>
          <w:rStyle w:val="Strong"/>
        </w:rPr>
        <w:t>Efficiency</w:t>
      </w:r>
      <w:r w:rsidRPr="00555A3E">
        <w:t xml:space="preserve">:  – concerns how economically and timely inputs (human and financial resources and equipment) were converted into sufficient quantity and quality outputs, including integration of </w:t>
      </w:r>
      <w:r w:rsidRPr="00555A3E">
        <w:rPr>
          <w:rStyle w:val="Strong"/>
        </w:rPr>
        <w:t>gender</w:t>
      </w:r>
      <w:r w:rsidRPr="00555A3E">
        <w:t xml:space="preserve"> and other </w:t>
      </w:r>
      <w:r w:rsidRPr="00555A3E">
        <w:rPr>
          <w:rStyle w:val="Strong"/>
        </w:rPr>
        <w:t>equality and inclusion</w:t>
      </w:r>
      <w:r w:rsidRPr="00555A3E">
        <w:t xml:space="preserve"> tenets. Therefore, it concerns management processes (of the Program, the PNTL and Program Coordination Board</w:t>
      </w:r>
      <w:r w:rsidR="00B31490">
        <w:t>), as well as the speed of the P</w:t>
      </w:r>
      <w:r w:rsidRPr="00555A3E">
        <w:t>rogram’s transition towards new approaches that build momentum and environments in which key system changes can happen. This contributes to an understanding of value for money. This crit</w:t>
      </w:r>
      <w:r w:rsidR="00B31490">
        <w:t>erion should also consider the P</w:t>
      </w:r>
      <w:r w:rsidRPr="00555A3E">
        <w:t xml:space="preserve">rogram team’s technical expertise and resourcing against current and emerging </w:t>
      </w:r>
      <w:r w:rsidR="00B31490">
        <w:t>P</w:t>
      </w:r>
      <w:r w:rsidRPr="00555A3E">
        <w:t xml:space="preserve">rogram needs. </w:t>
      </w:r>
    </w:p>
    <w:p w14:paraId="2424E852" w14:textId="77777777" w:rsidR="00797A96" w:rsidRDefault="00981AD0" w:rsidP="007701F5">
      <w:pPr>
        <w:pStyle w:val="Box1Text"/>
        <w:pBdr>
          <w:bottom w:val="single" w:sz="4" w:space="31" w:color="4F81BD" w:themeColor="accent1"/>
        </w:pBdr>
        <w:spacing w:before="0" w:after="120" w:line="240" w:lineRule="auto"/>
      </w:pPr>
      <w:r w:rsidRPr="00555A3E">
        <w:rPr>
          <w:rStyle w:val="Strong"/>
        </w:rPr>
        <w:t>Relevance</w:t>
      </w:r>
      <w:r w:rsidR="00B31490">
        <w:t>: – is the extent to which the P</w:t>
      </w:r>
      <w:r w:rsidRPr="00555A3E">
        <w:t xml:space="preserve">rogram is aligned with delivering on Australian government policy and </w:t>
      </w:r>
      <w:r w:rsidR="00B31490">
        <w:t>the goals of our partners. The P</w:t>
      </w:r>
      <w:r w:rsidRPr="00555A3E">
        <w:t>rogram operates in a politically sensitive and dynamic context, facilitating cooperation between state and non-state actors (civil society and private sector). Current situational information on regional and national contexts will need to be captured a</w:t>
      </w:r>
      <w:r w:rsidR="00B31490">
        <w:t>nd analysed to ensure that the P</w:t>
      </w:r>
      <w:r w:rsidRPr="00555A3E">
        <w:t xml:space="preserve">rogram remains relevant to any significant changes. </w:t>
      </w:r>
    </w:p>
    <w:p w14:paraId="213CFDCD" w14:textId="50530252" w:rsidR="00981AD0" w:rsidRPr="00555A3E" w:rsidRDefault="00733252" w:rsidP="007701F5">
      <w:pPr>
        <w:pStyle w:val="Box1Text"/>
        <w:pBdr>
          <w:bottom w:val="single" w:sz="4" w:space="31" w:color="4F81BD" w:themeColor="accent1"/>
        </w:pBdr>
        <w:spacing w:before="0" w:after="120" w:line="240" w:lineRule="auto"/>
      </w:pPr>
      <w:r>
        <w:rPr>
          <w:rStyle w:val="Strong"/>
        </w:rPr>
        <w:lastRenderedPageBreak/>
        <w:t xml:space="preserve">Gender </w:t>
      </w:r>
      <w:r w:rsidR="00981AD0" w:rsidRPr="00555A3E">
        <w:rPr>
          <w:rStyle w:val="Strong"/>
        </w:rPr>
        <w:t>Equality</w:t>
      </w:r>
      <w:r w:rsidR="00981AD0" w:rsidRPr="00555A3E">
        <w:t xml:space="preserve"> should also be considered, especially in assessing the extent to which the TLPDP remains the best instrument through which Australia can support the capacity development of the PNTL.</w:t>
      </w:r>
    </w:p>
    <w:p w14:paraId="3BE1723F" w14:textId="41D6B40A" w:rsidR="00981AD0" w:rsidRPr="00555A3E" w:rsidRDefault="00981AD0" w:rsidP="007701F5">
      <w:pPr>
        <w:pStyle w:val="Box1Text"/>
        <w:pBdr>
          <w:bottom w:val="single" w:sz="4" w:space="31" w:color="4F81BD" w:themeColor="accent1"/>
        </w:pBdr>
        <w:spacing w:before="0" w:after="120" w:line="240" w:lineRule="auto"/>
      </w:pPr>
      <w:r w:rsidRPr="00555A3E">
        <w:rPr>
          <w:rStyle w:val="Strong"/>
        </w:rPr>
        <w:t>Sustainability</w:t>
      </w:r>
      <w:r w:rsidRPr="00555A3E">
        <w:t>: – TLPDP follows 14 years of continuous Australian investment. Over the next four years, significant gains are expected from the capacity development activities and the establishment of self-sustaining processes and relationships.  The MEL should enable reporting on which key elements are likely to be sustained, and if not, identify efforts that may increase this likelihood.</w:t>
      </w:r>
    </w:p>
    <w:p w14:paraId="64C5BC7F" w14:textId="1B0B6446" w:rsidR="00E739A7" w:rsidRDefault="00E739A7" w:rsidP="007701F5">
      <w:pPr>
        <w:pStyle w:val="Box1Text"/>
        <w:pBdr>
          <w:bottom w:val="single" w:sz="4" w:space="31" w:color="4F81BD" w:themeColor="accent1"/>
        </w:pBdr>
        <w:spacing w:before="0" w:after="120" w:line="240" w:lineRule="auto"/>
      </w:pPr>
      <w:r w:rsidRPr="00555A3E">
        <w:rPr>
          <w:b/>
        </w:rPr>
        <w:t>Impact:</w:t>
      </w:r>
      <w:r w:rsidRPr="00555A3E">
        <w:t xml:space="preserve"> - is concerned with the positive and ne</w:t>
      </w:r>
      <w:r w:rsidR="00B31490">
        <w:t>gative changes produced by the P</w:t>
      </w:r>
      <w:r w:rsidRPr="00555A3E">
        <w:t>rogram, directly or indirectly, intended or unintended. The MEL will consider wh</w:t>
      </w:r>
      <w:r w:rsidR="00B31490">
        <w:t>at has happened as a result of P</w:t>
      </w:r>
      <w:r w:rsidRPr="00555A3E">
        <w:t>rogram</w:t>
      </w:r>
      <w:r w:rsidR="00AD56CD" w:rsidRPr="00555A3E">
        <w:t xml:space="preserve"> activities</w:t>
      </w:r>
      <w:r w:rsidR="00B31490">
        <w:t>, what real difference has the P</w:t>
      </w:r>
      <w:r w:rsidR="00AD56CD" w:rsidRPr="00555A3E">
        <w:t>rogram made to the beneficiaries, and how many people have benefited.</w:t>
      </w:r>
    </w:p>
    <w:p w14:paraId="4F67E608" w14:textId="77777777" w:rsidR="00C7778C" w:rsidRDefault="00C7778C" w:rsidP="007701F5">
      <w:pPr>
        <w:pStyle w:val="BodyText"/>
        <w:spacing w:before="0" w:after="120" w:line="240" w:lineRule="auto"/>
        <w:rPr>
          <w:color w:val="auto"/>
          <w:highlight w:val="yellow"/>
        </w:rPr>
        <w:sectPr w:rsidR="00C7778C" w:rsidSect="00206ADB">
          <w:type w:val="continuous"/>
          <w:pgSz w:w="11907" w:h="16839" w:code="9"/>
          <w:pgMar w:top="1440" w:right="1440" w:bottom="1440" w:left="1440" w:header="708" w:footer="708" w:gutter="0"/>
          <w:cols w:space="708"/>
          <w:docGrid w:linePitch="360"/>
        </w:sectPr>
      </w:pPr>
    </w:p>
    <w:p w14:paraId="143494E9" w14:textId="7CB5030F" w:rsidR="00C7778C" w:rsidRPr="005C159D" w:rsidRDefault="00C7778C" w:rsidP="009B2626">
      <w:pPr>
        <w:pStyle w:val="Heading2"/>
      </w:pPr>
      <w:bookmarkStart w:id="139" w:name="_Toc516189144"/>
      <w:bookmarkStart w:id="140" w:name="_Toc516189392"/>
      <w:r w:rsidRPr="005C159D">
        <w:lastRenderedPageBreak/>
        <w:t>Timor</w:t>
      </w:r>
      <w:r w:rsidR="009B2626">
        <w:t>-</w:t>
      </w:r>
      <w:r w:rsidRPr="005C159D">
        <w:t>Leste Police Development Program Results Framework</w:t>
      </w:r>
      <w:bookmarkEnd w:id="139"/>
      <w:bookmarkEnd w:id="140"/>
    </w:p>
    <w:p w14:paraId="70BF624A" w14:textId="630F6912" w:rsidR="00981AD0" w:rsidRDefault="00DF6B3B" w:rsidP="009F3840">
      <w:pPr>
        <w:spacing w:after="120" w:line="240" w:lineRule="auto"/>
      </w:pPr>
      <w:r w:rsidRPr="009F3840">
        <w:t xml:space="preserve">This section articulates the expected results of the TLPDP from 2018-2022, the key indicators that will </w:t>
      </w:r>
      <w:r w:rsidR="00591A12" w:rsidRPr="009F3840">
        <w:t xml:space="preserve">demonstrate the impact of the Program, </w:t>
      </w:r>
      <w:r w:rsidR="00591A12" w:rsidRPr="00085CE2">
        <w:t>the indicative measures of success and what data will be used to measure the indicators. This will need to be reviewed by the MEL practitioner in the initial six months of the Program to confirm proposed data sources and check their viability.</w:t>
      </w:r>
    </w:p>
    <w:p w14:paraId="613EB87F" w14:textId="6A3B8D7A" w:rsidR="00137E3E" w:rsidRDefault="00137E3E" w:rsidP="00137E3E">
      <w:pPr>
        <w:pStyle w:val="Heading3"/>
      </w:pPr>
      <w:r w:rsidRPr="009F3840">
        <w:t xml:space="preserve">Outcome Pathway/Component 1: Sustainability, </w:t>
      </w:r>
      <w:proofErr w:type="gramStart"/>
      <w:r w:rsidRPr="009F3840">
        <w:t>Self-Improvement</w:t>
      </w:r>
      <w:proofErr w:type="gramEnd"/>
      <w:r w:rsidRPr="009F3840">
        <w:t xml:space="preserve"> and Organisational Leadership</w:t>
      </w:r>
    </w:p>
    <w:p w14:paraId="09AF6D38" w14:textId="03D94E86" w:rsidR="00017EAE" w:rsidRPr="00017EAE" w:rsidRDefault="00B511F2" w:rsidP="00017EAE">
      <w:r>
        <w:rPr>
          <w:b/>
          <w:bCs/>
        </w:rPr>
        <w:t xml:space="preserve">Outcome: </w:t>
      </w:r>
      <w:r w:rsidR="00017EAE" w:rsidRPr="00795083">
        <w:t xml:space="preserve">PNTL’s governance, self-improvement systems and organisational leadership are capable, </w:t>
      </w:r>
      <w:proofErr w:type="gramStart"/>
      <w:r w:rsidR="00017EAE" w:rsidRPr="00795083">
        <w:t>legitimate</w:t>
      </w:r>
      <w:proofErr w:type="gramEnd"/>
      <w:r w:rsidR="00017EAE" w:rsidRPr="00795083">
        <w:t xml:space="preserve"> and accountable.</w:t>
      </w:r>
    </w:p>
    <w:tbl>
      <w:tblPr>
        <w:tblStyle w:val="LightList-Accent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8"/>
        <w:gridCol w:w="3944"/>
        <w:gridCol w:w="4337"/>
      </w:tblGrid>
      <w:tr w:rsidR="00B511F2" w:rsidRPr="00085CE2" w14:paraId="6B17DD77" w14:textId="77777777" w:rsidTr="00B511F2">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658" w:type="dxa"/>
            <w:shd w:val="clear" w:color="auto" w:fill="EAF1DD" w:themeFill="accent3" w:themeFillTint="33"/>
            <w:hideMark/>
          </w:tcPr>
          <w:p w14:paraId="5F5630D5" w14:textId="14AA281A" w:rsidR="00B511F2" w:rsidRPr="00137E3E" w:rsidRDefault="00B511F2" w:rsidP="009F3840">
            <w:pPr>
              <w:spacing w:after="120"/>
              <w:rPr>
                <w:bCs w:val="0"/>
                <w:iCs/>
                <w:color w:val="auto"/>
              </w:rPr>
            </w:pPr>
            <w:r w:rsidRPr="00137E3E">
              <w:rPr>
                <w:bCs w:val="0"/>
                <w:iCs/>
                <w:color w:val="auto"/>
              </w:rPr>
              <w:t>Indicators</w:t>
            </w:r>
          </w:p>
        </w:tc>
        <w:tc>
          <w:tcPr>
            <w:tcW w:w="3944" w:type="dxa"/>
            <w:shd w:val="clear" w:color="auto" w:fill="EAF1DD" w:themeFill="accent3" w:themeFillTint="33"/>
            <w:hideMark/>
          </w:tcPr>
          <w:p w14:paraId="089C4F85" w14:textId="77777777" w:rsidR="00B511F2" w:rsidRPr="00137E3E" w:rsidRDefault="00B511F2" w:rsidP="009F3840">
            <w:pPr>
              <w:spacing w:after="120"/>
              <w:cnfStyle w:val="100000000000" w:firstRow="1" w:lastRow="0" w:firstColumn="0" w:lastColumn="0" w:oddVBand="0" w:evenVBand="0" w:oddHBand="0" w:evenHBand="0" w:firstRowFirstColumn="0" w:firstRowLastColumn="0" w:lastRowFirstColumn="0" w:lastRowLastColumn="0"/>
              <w:rPr>
                <w:bCs w:val="0"/>
                <w:iCs/>
                <w:color w:val="auto"/>
              </w:rPr>
            </w:pPr>
            <w:r w:rsidRPr="00137E3E">
              <w:rPr>
                <w:bCs w:val="0"/>
                <w:iCs/>
                <w:color w:val="auto"/>
              </w:rPr>
              <w:t>Indicative Measures of Success</w:t>
            </w:r>
          </w:p>
        </w:tc>
        <w:tc>
          <w:tcPr>
            <w:tcW w:w="4337" w:type="dxa"/>
            <w:shd w:val="clear" w:color="auto" w:fill="EAF1DD" w:themeFill="accent3" w:themeFillTint="33"/>
            <w:hideMark/>
          </w:tcPr>
          <w:p w14:paraId="6FA3699F" w14:textId="77777777" w:rsidR="00B511F2" w:rsidRPr="00137E3E" w:rsidRDefault="00B511F2" w:rsidP="009F3840">
            <w:pPr>
              <w:spacing w:after="120"/>
              <w:cnfStyle w:val="100000000000" w:firstRow="1" w:lastRow="0" w:firstColumn="0" w:lastColumn="0" w:oddVBand="0" w:evenVBand="0" w:oddHBand="0" w:evenHBand="0" w:firstRowFirstColumn="0" w:firstRowLastColumn="0" w:lastRowFirstColumn="0" w:lastRowLastColumn="0"/>
              <w:rPr>
                <w:bCs w:val="0"/>
                <w:iCs/>
                <w:color w:val="auto"/>
              </w:rPr>
            </w:pPr>
            <w:r w:rsidRPr="00137E3E">
              <w:rPr>
                <w:bCs w:val="0"/>
                <w:iCs/>
                <w:color w:val="auto"/>
              </w:rPr>
              <w:t>Data Collection</w:t>
            </w:r>
          </w:p>
        </w:tc>
      </w:tr>
      <w:tr w:rsidR="00B511F2" w:rsidRPr="00085CE2" w14:paraId="027817BC" w14:textId="77777777" w:rsidTr="00B511F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658" w:type="dxa"/>
            <w:hideMark/>
          </w:tcPr>
          <w:p w14:paraId="64239AD1" w14:textId="17F16F05" w:rsidR="00B511F2" w:rsidRPr="009F3840" w:rsidRDefault="00B511F2" w:rsidP="009F3840">
            <w:pPr>
              <w:spacing w:after="120"/>
            </w:pPr>
            <w:r w:rsidRPr="009F3840">
              <w:t>The extent to which strategic and workforce planning and budgeting is linked to police deployment and activities</w:t>
            </w:r>
            <w:r>
              <w:t xml:space="preserve"> across Timor-Leste</w:t>
            </w:r>
          </w:p>
        </w:tc>
        <w:tc>
          <w:tcPr>
            <w:tcW w:w="3944" w:type="dxa"/>
            <w:hideMark/>
          </w:tcPr>
          <w:p w14:paraId="44F73B36" w14:textId="067103E3" w:rsidR="00B511F2" w:rsidRPr="009F3840" w:rsidRDefault="00B511F2" w:rsidP="009F3840">
            <w:pPr>
              <w:spacing w:after="120"/>
              <w:cnfStyle w:val="000000100000" w:firstRow="0" w:lastRow="0" w:firstColumn="0" w:lastColumn="0" w:oddVBand="0" w:evenVBand="0" w:oddHBand="1" w:evenHBand="0" w:firstRowFirstColumn="0" w:firstRowLastColumn="0" w:lastRowFirstColumn="0" w:lastRowLastColumn="0"/>
            </w:pPr>
            <w:r w:rsidRPr="009F3840">
              <w:t>Strategic planning processes in place and used</w:t>
            </w:r>
          </w:p>
        </w:tc>
        <w:tc>
          <w:tcPr>
            <w:tcW w:w="4337" w:type="dxa"/>
          </w:tcPr>
          <w:p w14:paraId="5BA7670C" w14:textId="1A3568CB" w:rsidR="00B511F2" w:rsidRPr="009F3840" w:rsidRDefault="00B511F2" w:rsidP="009F3840">
            <w:pPr>
              <w:spacing w:after="120"/>
              <w:cnfStyle w:val="000000100000" w:firstRow="0" w:lastRow="0" w:firstColumn="0" w:lastColumn="0" w:oddVBand="0" w:evenVBand="0" w:oddHBand="1" w:evenHBand="0" w:firstRowFirstColumn="0" w:firstRowLastColumn="0" w:lastRowFirstColumn="0" w:lastRowLastColumn="0"/>
            </w:pPr>
            <w:r w:rsidRPr="009F3840">
              <w:t>DAP strategic planning and reporting processes</w:t>
            </w:r>
          </w:p>
          <w:p w14:paraId="40292ECC" w14:textId="77777777" w:rsidR="00B511F2" w:rsidRPr="009F3840" w:rsidRDefault="00B511F2" w:rsidP="009F3840">
            <w:pPr>
              <w:spacing w:after="120"/>
              <w:cnfStyle w:val="000000100000" w:firstRow="0" w:lastRow="0" w:firstColumn="0" w:lastColumn="0" w:oddVBand="0" w:evenVBand="0" w:oddHBand="1" w:evenHBand="0" w:firstRowFirstColumn="0" w:firstRowLastColumn="0" w:lastRowFirstColumn="0" w:lastRowLastColumn="0"/>
            </w:pPr>
            <w:r w:rsidRPr="009F3840">
              <w:rPr>
                <w:b/>
                <w:i/>
              </w:rPr>
              <w:t>Frequency:</w:t>
            </w:r>
            <w:r w:rsidRPr="009F3840">
              <w:t xml:space="preserve">  Annual </w:t>
            </w:r>
          </w:p>
          <w:p w14:paraId="06F5101F" w14:textId="77777777" w:rsidR="00B511F2" w:rsidRPr="009F3840" w:rsidRDefault="00B511F2" w:rsidP="009F3840">
            <w:pPr>
              <w:spacing w:after="120"/>
              <w:cnfStyle w:val="000000100000" w:firstRow="0" w:lastRow="0" w:firstColumn="0" w:lastColumn="0" w:oddVBand="0" w:evenVBand="0" w:oddHBand="1" w:evenHBand="0" w:firstRowFirstColumn="0" w:firstRowLastColumn="0" w:lastRowFirstColumn="0" w:lastRowLastColumn="0"/>
            </w:pPr>
          </w:p>
        </w:tc>
      </w:tr>
      <w:tr w:rsidR="00B511F2" w:rsidRPr="00085CE2" w14:paraId="22F35376" w14:textId="77777777" w:rsidTr="00B511F2">
        <w:trPr>
          <w:trHeight w:val="454"/>
        </w:trPr>
        <w:tc>
          <w:tcPr>
            <w:cnfStyle w:val="001000000000" w:firstRow="0" w:lastRow="0" w:firstColumn="1" w:lastColumn="0" w:oddVBand="0" w:evenVBand="0" w:oddHBand="0" w:evenHBand="0" w:firstRowFirstColumn="0" w:firstRowLastColumn="0" w:lastRowFirstColumn="0" w:lastRowLastColumn="0"/>
            <w:tcW w:w="5658" w:type="dxa"/>
            <w:hideMark/>
          </w:tcPr>
          <w:p w14:paraId="49D32D17" w14:textId="4E6430D1" w:rsidR="00B511F2" w:rsidRPr="00085CE2" w:rsidRDefault="00B511F2" w:rsidP="005C159D">
            <w:pPr>
              <w:spacing w:after="120"/>
            </w:pPr>
            <w:r w:rsidRPr="00085CE2">
              <w:t>Improvements in PNTL’s ability to manage workforce planning</w:t>
            </w:r>
          </w:p>
        </w:tc>
        <w:tc>
          <w:tcPr>
            <w:tcW w:w="3944" w:type="dxa"/>
            <w:hideMark/>
          </w:tcPr>
          <w:p w14:paraId="4575A844" w14:textId="4F1F7FA7" w:rsidR="00B511F2" w:rsidRPr="00085CE2" w:rsidRDefault="00B511F2" w:rsidP="005C159D">
            <w:pPr>
              <w:spacing w:after="120"/>
              <w:cnfStyle w:val="000000000000" w:firstRow="0" w:lastRow="0" w:firstColumn="0" w:lastColumn="0" w:oddVBand="0" w:evenVBand="0" w:oddHBand="0" w:evenHBand="0" w:firstRowFirstColumn="0" w:firstRowLastColumn="0" w:lastRowFirstColumn="0" w:lastRowLastColumn="0"/>
            </w:pPr>
            <w:r w:rsidRPr="00085CE2">
              <w:t>PNTL assign personnel and resources consistently with workforce plan</w:t>
            </w:r>
          </w:p>
        </w:tc>
        <w:tc>
          <w:tcPr>
            <w:tcW w:w="4337" w:type="dxa"/>
          </w:tcPr>
          <w:p w14:paraId="4DC51B88" w14:textId="77777777" w:rsidR="00B511F2" w:rsidRPr="00085CE2" w:rsidRDefault="00B511F2" w:rsidP="005C159D">
            <w:pPr>
              <w:spacing w:after="120"/>
              <w:cnfStyle w:val="000000000000" w:firstRow="0" w:lastRow="0" w:firstColumn="0" w:lastColumn="0" w:oddVBand="0" w:evenVBand="0" w:oddHBand="0" w:evenHBand="0" w:firstRowFirstColumn="0" w:firstRowLastColumn="0" w:lastRowFirstColumn="0" w:lastRowLastColumn="0"/>
            </w:pPr>
            <w:r w:rsidRPr="00085CE2">
              <w:t xml:space="preserve">Periodic review of PNTL </w:t>
            </w:r>
          </w:p>
          <w:p w14:paraId="1DBE20A7" w14:textId="77777777" w:rsidR="00B511F2" w:rsidRPr="00085CE2" w:rsidRDefault="00B511F2" w:rsidP="005C159D">
            <w:pPr>
              <w:spacing w:after="120"/>
              <w:cnfStyle w:val="000000000000" w:firstRow="0" w:lastRow="0" w:firstColumn="0" w:lastColumn="0" w:oddVBand="0" w:evenVBand="0" w:oddHBand="0" w:evenHBand="0" w:firstRowFirstColumn="0" w:firstRowLastColumn="0" w:lastRowFirstColumn="0" w:lastRowLastColumn="0"/>
            </w:pPr>
            <w:r w:rsidRPr="00085CE2">
              <w:t>Processes/plans/reports</w:t>
            </w:r>
          </w:p>
          <w:p w14:paraId="21F75DE4" w14:textId="77777777" w:rsidR="00B511F2" w:rsidRPr="00085CE2" w:rsidRDefault="00B511F2" w:rsidP="005C159D">
            <w:pPr>
              <w:spacing w:after="120"/>
              <w:cnfStyle w:val="000000000000" w:firstRow="0" w:lastRow="0" w:firstColumn="0" w:lastColumn="0" w:oddVBand="0" w:evenVBand="0" w:oddHBand="0" w:evenHBand="0" w:firstRowFirstColumn="0" w:firstRowLastColumn="0" w:lastRowFirstColumn="0" w:lastRowLastColumn="0"/>
            </w:pPr>
            <w:r w:rsidRPr="00085CE2">
              <w:rPr>
                <w:b/>
                <w:i/>
              </w:rPr>
              <w:t>Frequency:</w:t>
            </w:r>
            <w:r w:rsidRPr="00085CE2">
              <w:t xml:space="preserve"> Annual</w:t>
            </w:r>
          </w:p>
          <w:p w14:paraId="29D9C8A6" w14:textId="77777777" w:rsidR="00B511F2" w:rsidRPr="00085CE2" w:rsidRDefault="00B511F2" w:rsidP="005C159D">
            <w:pPr>
              <w:spacing w:after="120"/>
              <w:cnfStyle w:val="000000000000" w:firstRow="0" w:lastRow="0" w:firstColumn="0" w:lastColumn="0" w:oddVBand="0" w:evenVBand="0" w:oddHBand="0" w:evenHBand="0" w:firstRowFirstColumn="0" w:firstRowLastColumn="0" w:lastRowFirstColumn="0" w:lastRowLastColumn="0"/>
            </w:pPr>
          </w:p>
        </w:tc>
      </w:tr>
      <w:tr w:rsidR="00B511F2" w:rsidRPr="00085CE2" w14:paraId="5795547B" w14:textId="77777777" w:rsidTr="00B511F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658" w:type="dxa"/>
          </w:tcPr>
          <w:p w14:paraId="7B13DA5A" w14:textId="5EBF8835" w:rsidR="00B511F2" w:rsidRPr="00085CE2" w:rsidRDefault="00B511F2" w:rsidP="005C159D">
            <w:pPr>
              <w:spacing w:after="120"/>
            </w:pPr>
            <w:r w:rsidRPr="00085CE2">
              <w:t>Number of Districts engaged in training delivery using infrastructure, resources and support provided by the program</w:t>
            </w:r>
          </w:p>
          <w:p w14:paraId="43ACA6A8" w14:textId="77777777" w:rsidR="00B511F2" w:rsidRPr="00085CE2" w:rsidRDefault="00B511F2" w:rsidP="005C159D">
            <w:pPr>
              <w:spacing w:after="120"/>
            </w:pPr>
          </w:p>
        </w:tc>
        <w:tc>
          <w:tcPr>
            <w:tcW w:w="3944" w:type="dxa"/>
          </w:tcPr>
          <w:p w14:paraId="51824D87" w14:textId="437A8A7C" w:rsidR="00B511F2" w:rsidRPr="00085CE2" w:rsidRDefault="00B511F2" w:rsidP="005C159D">
            <w:pPr>
              <w:spacing w:after="120"/>
              <w:cnfStyle w:val="000000100000" w:firstRow="0" w:lastRow="0" w:firstColumn="0" w:lastColumn="0" w:oddVBand="0" w:evenVBand="0" w:oddHBand="1" w:evenHBand="0" w:firstRowFirstColumn="0" w:firstRowLastColumn="0" w:lastRowFirstColumn="0" w:lastRowLastColumn="0"/>
            </w:pPr>
            <w:r w:rsidRPr="00085CE2">
              <w:t>Increase in the number of training participants in the municipalities (disaggregated by sex)</w:t>
            </w:r>
          </w:p>
          <w:p w14:paraId="0EE50D5C" w14:textId="77777777" w:rsidR="00B511F2" w:rsidRPr="00085CE2" w:rsidRDefault="00B511F2" w:rsidP="005C159D">
            <w:pPr>
              <w:spacing w:after="120"/>
              <w:cnfStyle w:val="000000100000" w:firstRow="0" w:lastRow="0" w:firstColumn="0" w:lastColumn="0" w:oddVBand="0" w:evenVBand="0" w:oddHBand="1" w:evenHBand="0" w:firstRowFirstColumn="0" w:firstRowLastColumn="0" w:lastRowFirstColumn="0" w:lastRowLastColumn="0"/>
            </w:pPr>
          </w:p>
        </w:tc>
        <w:tc>
          <w:tcPr>
            <w:tcW w:w="4337" w:type="dxa"/>
          </w:tcPr>
          <w:p w14:paraId="043E49AF" w14:textId="77777777" w:rsidR="00B511F2" w:rsidRPr="00085CE2" w:rsidRDefault="00B511F2" w:rsidP="005C159D">
            <w:pPr>
              <w:spacing w:after="120"/>
              <w:cnfStyle w:val="000000100000" w:firstRow="0" w:lastRow="0" w:firstColumn="0" w:lastColumn="0" w:oddVBand="0" w:evenVBand="0" w:oddHBand="1" w:evenHBand="0" w:firstRowFirstColumn="0" w:firstRowLastColumn="0" w:lastRowFirstColumn="0" w:lastRowLastColumn="0"/>
            </w:pPr>
            <w:r w:rsidRPr="00085CE2">
              <w:t xml:space="preserve">PCB and PTC reporting </w:t>
            </w:r>
          </w:p>
          <w:p w14:paraId="649D6815" w14:textId="53996352" w:rsidR="00B511F2" w:rsidRPr="00085CE2" w:rsidRDefault="00B511F2" w:rsidP="005C159D">
            <w:pPr>
              <w:spacing w:after="120"/>
              <w:cnfStyle w:val="000000100000" w:firstRow="0" w:lastRow="0" w:firstColumn="0" w:lastColumn="0" w:oddVBand="0" w:evenVBand="0" w:oddHBand="1" w:evenHBand="0" w:firstRowFirstColumn="0" w:firstRowLastColumn="0" w:lastRowFirstColumn="0" w:lastRowLastColumn="0"/>
            </w:pPr>
            <w:r w:rsidRPr="00085CE2">
              <w:rPr>
                <w:b/>
                <w:i/>
              </w:rPr>
              <w:t xml:space="preserve">Frequency: </w:t>
            </w:r>
            <w:r>
              <w:t>Six monthly</w:t>
            </w:r>
          </w:p>
          <w:p w14:paraId="05AEDF99" w14:textId="77777777" w:rsidR="00B511F2" w:rsidRPr="00085CE2" w:rsidRDefault="00B511F2" w:rsidP="005C159D">
            <w:pPr>
              <w:spacing w:after="120"/>
              <w:cnfStyle w:val="000000100000" w:firstRow="0" w:lastRow="0" w:firstColumn="0" w:lastColumn="0" w:oddVBand="0" w:evenVBand="0" w:oddHBand="1" w:evenHBand="0" w:firstRowFirstColumn="0" w:firstRowLastColumn="0" w:lastRowFirstColumn="0" w:lastRowLastColumn="0"/>
            </w:pPr>
          </w:p>
          <w:p w14:paraId="20C4AEA0" w14:textId="77777777" w:rsidR="00B511F2" w:rsidRPr="00085CE2" w:rsidRDefault="00B511F2" w:rsidP="005C159D">
            <w:pPr>
              <w:spacing w:after="120"/>
              <w:cnfStyle w:val="000000100000" w:firstRow="0" w:lastRow="0" w:firstColumn="0" w:lastColumn="0" w:oddVBand="0" w:evenVBand="0" w:oddHBand="1" w:evenHBand="0" w:firstRowFirstColumn="0" w:firstRowLastColumn="0" w:lastRowFirstColumn="0" w:lastRowLastColumn="0"/>
            </w:pPr>
            <w:r w:rsidRPr="00085CE2">
              <w:t xml:space="preserve">District Health Check </w:t>
            </w:r>
          </w:p>
          <w:p w14:paraId="346BF2E3" w14:textId="77777777" w:rsidR="00B511F2" w:rsidRPr="00085CE2" w:rsidRDefault="00B511F2" w:rsidP="005C159D">
            <w:pPr>
              <w:spacing w:after="120"/>
              <w:cnfStyle w:val="000000100000" w:firstRow="0" w:lastRow="0" w:firstColumn="0" w:lastColumn="0" w:oddVBand="0" w:evenVBand="0" w:oddHBand="1" w:evenHBand="0" w:firstRowFirstColumn="0" w:firstRowLastColumn="0" w:lastRowFirstColumn="0" w:lastRowLastColumn="0"/>
            </w:pPr>
            <w:r w:rsidRPr="00085CE2">
              <w:rPr>
                <w:b/>
                <w:i/>
              </w:rPr>
              <w:t>Frequency:</w:t>
            </w:r>
            <w:r w:rsidRPr="00085CE2">
              <w:t xml:space="preserve"> Annual</w:t>
            </w:r>
          </w:p>
          <w:p w14:paraId="2C51C23C" w14:textId="77777777" w:rsidR="00B511F2" w:rsidRPr="00085CE2" w:rsidRDefault="00B511F2" w:rsidP="005C159D">
            <w:pPr>
              <w:spacing w:after="120"/>
              <w:cnfStyle w:val="000000100000" w:firstRow="0" w:lastRow="0" w:firstColumn="0" w:lastColumn="0" w:oddVBand="0" w:evenVBand="0" w:oddHBand="1" w:evenHBand="0" w:firstRowFirstColumn="0" w:firstRowLastColumn="0" w:lastRowFirstColumn="0" w:lastRowLastColumn="0"/>
            </w:pPr>
          </w:p>
        </w:tc>
      </w:tr>
      <w:tr w:rsidR="00B511F2" w:rsidRPr="00085CE2" w14:paraId="14D54152" w14:textId="77777777" w:rsidTr="00B511F2">
        <w:trPr>
          <w:trHeight w:val="454"/>
        </w:trPr>
        <w:tc>
          <w:tcPr>
            <w:cnfStyle w:val="001000000000" w:firstRow="0" w:lastRow="0" w:firstColumn="1" w:lastColumn="0" w:oddVBand="0" w:evenVBand="0" w:oddHBand="0" w:evenHBand="0" w:firstRowFirstColumn="0" w:firstRowLastColumn="0" w:lastRowFirstColumn="0" w:lastRowLastColumn="0"/>
            <w:tcW w:w="5658" w:type="dxa"/>
          </w:tcPr>
          <w:p w14:paraId="4D67B4B3" w14:textId="4D729B68" w:rsidR="00B511F2" w:rsidRPr="00085CE2" w:rsidRDefault="00B511F2" w:rsidP="005C159D">
            <w:pPr>
              <w:spacing w:after="120"/>
            </w:pPr>
            <w:r w:rsidRPr="00085CE2">
              <w:t>Proportion/number of participants who are satisfied with the appropriateness and quality of district training supported by the program (disaggregated by sex)</w:t>
            </w:r>
          </w:p>
          <w:p w14:paraId="1E8C137E" w14:textId="77777777" w:rsidR="00B511F2" w:rsidRPr="00085CE2" w:rsidRDefault="00B511F2" w:rsidP="005C159D">
            <w:pPr>
              <w:spacing w:after="120"/>
            </w:pPr>
          </w:p>
        </w:tc>
        <w:tc>
          <w:tcPr>
            <w:tcW w:w="3944" w:type="dxa"/>
          </w:tcPr>
          <w:p w14:paraId="7ED481CA" w14:textId="03AA9DF6" w:rsidR="00B511F2" w:rsidRPr="00085CE2" w:rsidRDefault="00B511F2" w:rsidP="005C159D">
            <w:pPr>
              <w:spacing w:after="120"/>
              <w:cnfStyle w:val="000000000000" w:firstRow="0" w:lastRow="0" w:firstColumn="0" w:lastColumn="0" w:oddVBand="0" w:evenVBand="0" w:oddHBand="0" w:evenHBand="0" w:firstRowFirstColumn="0" w:firstRowLastColumn="0" w:lastRowFirstColumn="0" w:lastRowLastColumn="0"/>
            </w:pPr>
            <w:r w:rsidRPr="00085CE2">
              <w:lastRenderedPageBreak/>
              <w:t>Increase in the number of District officers trained (disaggregated by sex)</w:t>
            </w:r>
          </w:p>
          <w:p w14:paraId="39842B5A" w14:textId="77777777" w:rsidR="00B511F2" w:rsidRPr="00085CE2" w:rsidRDefault="00B511F2" w:rsidP="005C159D">
            <w:pPr>
              <w:spacing w:after="120"/>
              <w:cnfStyle w:val="000000000000" w:firstRow="0" w:lastRow="0" w:firstColumn="0" w:lastColumn="0" w:oddVBand="0" w:evenVBand="0" w:oddHBand="0" w:evenHBand="0" w:firstRowFirstColumn="0" w:firstRowLastColumn="0" w:lastRowFirstColumn="0" w:lastRowLastColumn="0"/>
            </w:pPr>
          </w:p>
          <w:p w14:paraId="1E7FF709" w14:textId="39EE3D18" w:rsidR="00B511F2" w:rsidRPr="00085CE2" w:rsidRDefault="00B511F2" w:rsidP="005C159D">
            <w:pPr>
              <w:spacing w:after="120"/>
              <w:cnfStyle w:val="000000000000" w:firstRow="0" w:lastRow="0" w:firstColumn="0" w:lastColumn="0" w:oddVBand="0" w:evenVBand="0" w:oddHBand="0" w:evenHBand="0" w:firstRowFirstColumn="0" w:firstRowLastColumn="0" w:lastRowFirstColumn="0" w:lastRowLastColumn="0"/>
            </w:pPr>
            <w:r w:rsidRPr="00085CE2">
              <w:lastRenderedPageBreak/>
              <w:t>At least 50% of participants surveyed report application of new skills or knowledge</w:t>
            </w:r>
          </w:p>
        </w:tc>
        <w:tc>
          <w:tcPr>
            <w:tcW w:w="4337" w:type="dxa"/>
          </w:tcPr>
          <w:p w14:paraId="2E34D7DB" w14:textId="77777777" w:rsidR="00B511F2" w:rsidRPr="00085CE2" w:rsidRDefault="00B511F2" w:rsidP="005C159D">
            <w:pPr>
              <w:spacing w:after="120"/>
              <w:cnfStyle w:val="000000000000" w:firstRow="0" w:lastRow="0" w:firstColumn="0" w:lastColumn="0" w:oddVBand="0" w:evenVBand="0" w:oddHBand="0" w:evenHBand="0" w:firstRowFirstColumn="0" w:firstRowLastColumn="0" w:lastRowFirstColumn="0" w:lastRowLastColumn="0"/>
            </w:pPr>
            <w:r w:rsidRPr="00085CE2">
              <w:lastRenderedPageBreak/>
              <w:t>Pre &amp; post training evaluation questionnaires</w:t>
            </w:r>
          </w:p>
          <w:p w14:paraId="3C49C041" w14:textId="77777777" w:rsidR="00B511F2" w:rsidRPr="00085CE2" w:rsidRDefault="00B511F2" w:rsidP="005C159D">
            <w:pPr>
              <w:spacing w:after="120"/>
              <w:cnfStyle w:val="000000000000" w:firstRow="0" w:lastRow="0" w:firstColumn="0" w:lastColumn="0" w:oddVBand="0" w:evenVBand="0" w:oddHBand="0" w:evenHBand="0" w:firstRowFirstColumn="0" w:firstRowLastColumn="0" w:lastRowFirstColumn="0" w:lastRowLastColumn="0"/>
            </w:pPr>
            <w:r w:rsidRPr="00085CE2">
              <w:rPr>
                <w:b/>
                <w:i/>
              </w:rPr>
              <w:t>Frequency:</w:t>
            </w:r>
            <w:r w:rsidRPr="00085CE2">
              <w:t xml:space="preserve"> at time of delivery</w:t>
            </w:r>
          </w:p>
          <w:p w14:paraId="74615354" w14:textId="77777777" w:rsidR="00B511F2" w:rsidRPr="00085CE2" w:rsidRDefault="00B511F2" w:rsidP="005C159D">
            <w:pPr>
              <w:spacing w:after="120"/>
              <w:cnfStyle w:val="000000000000" w:firstRow="0" w:lastRow="0" w:firstColumn="0" w:lastColumn="0" w:oddVBand="0" w:evenVBand="0" w:oddHBand="0" w:evenHBand="0" w:firstRowFirstColumn="0" w:firstRowLastColumn="0" w:lastRowFirstColumn="0" w:lastRowLastColumn="0"/>
            </w:pPr>
          </w:p>
          <w:p w14:paraId="54C6B5ED" w14:textId="77777777" w:rsidR="00B511F2" w:rsidRPr="00085CE2" w:rsidRDefault="00B511F2" w:rsidP="005C159D">
            <w:pPr>
              <w:spacing w:after="120"/>
              <w:cnfStyle w:val="000000000000" w:firstRow="0" w:lastRow="0" w:firstColumn="0" w:lastColumn="0" w:oddVBand="0" w:evenVBand="0" w:oddHBand="0" w:evenHBand="0" w:firstRowFirstColumn="0" w:firstRowLastColumn="0" w:lastRowFirstColumn="0" w:lastRowLastColumn="0"/>
            </w:pPr>
            <w:r w:rsidRPr="00085CE2">
              <w:t>Knowledge, attitudes and practices (KAP) survey or a District Health Check (including most significant change question)</w:t>
            </w:r>
          </w:p>
          <w:p w14:paraId="663E1B0A" w14:textId="77777777" w:rsidR="00B511F2" w:rsidRPr="00085CE2" w:rsidRDefault="00B511F2" w:rsidP="005C159D">
            <w:pPr>
              <w:spacing w:after="120"/>
              <w:cnfStyle w:val="000000000000" w:firstRow="0" w:lastRow="0" w:firstColumn="0" w:lastColumn="0" w:oddVBand="0" w:evenVBand="0" w:oddHBand="0" w:evenHBand="0" w:firstRowFirstColumn="0" w:firstRowLastColumn="0" w:lastRowFirstColumn="0" w:lastRowLastColumn="0"/>
            </w:pPr>
            <w:r w:rsidRPr="00085CE2">
              <w:rPr>
                <w:b/>
                <w:i/>
              </w:rPr>
              <w:t>Frequency:</w:t>
            </w:r>
            <w:r w:rsidRPr="00085CE2">
              <w:t xml:space="preserve"> Annual</w:t>
            </w:r>
          </w:p>
          <w:p w14:paraId="77A03595" w14:textId="77777777" w:rsidR="00B511F2" w:rsidRPr="00085CE2" w:rsidRDefault="00B511F2" w:rsidP="005C159D">
            <w:pPr>
              <w:spacing w:after="120"/>
              <w:cnfStyle w:val="000000000000" w:firstRow="0" w:lastRow="0" w:firstColumn="0" w:lastColumn="0" w:oddVBand="0" w:evenVBand="0" w:oddHBand="0" w:evenHBand="0" w:firstRowFirstColumn="0" w:firstRowLastColumn="0" w:lastRowFirstColumn="0" w:lastRowLastColumn="0"/>
            </w:pPr>
          </w:p>
          <w:p w14:paraId="583484FF" w14:textId="77777777" w:rsidR="00B511F2" w:rsidRPr="00085CE2" w:rsidRDefault="00B511F2" w:rsidP="005C159D">
            <w:pPr>
              <w:spacing w:after="120"/>
              <w:cnfStyle w:val="000000000000" w:firstRow="0" w:lastRow="0" w:firstColumn="0" w:lastColumn="0" w:oddVBand="0" w:evenVBand="0" w:oddHBand="0" w:evenHBand="0" w:firstRowFirstColumn="0" w:firstRowLastColumn="0" w:lastRowFirstColumn="0" w:lastRowLastColumn="0"/>
            </w:pPr>
          </w:p>
          <w:p w14:paraId="71DF0BD1" w14:textId="77777777" w:rsidR="00B511F2" w:rsidRPr="00085CE2" w:rsidRDefault="00B511F2" w:rsidP="005C159D">
            <w:pPr>
              <w:spacing w:after="120"/>
              <w:cnfStyle w:val="000000000000" w:firstRow="0" w:lastRow="0" w:firstColumn="0" w:lastColumn="0" w:oddVBand="0" w:evenVBand="0" w:oddHBand="0" w:evenHBand="0" w:firstRowFirstColumn="0" w:firstRowLastColumn="0" w:lastRowFirstColumn="0" w:lastRowLastColumn="0"/>
            </w:pPr>
          </w:p>
        </w:tc>
      </w:tr>
      <w:tr w:rsidR="00B511F2" w:rsidRPr="00085CE2" w14:paraId="0082644B" w14:textId="77777777" w:rsidTr="00B511F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658" w:type="dxa"/>
            <w:hideMark/>
          </w:tcPr>
          <w:p w14:paraId="76CC55DA" w14:textId="3BCB3D8A" w:rsidR="00B511F2" w:rsidRPr="00085CE2" w:rsidRDefault="00B511F2" w:rsidP="005C159D">
            <w:pPr>
              <w:spacing w:after="120"/>
            </w:pPr>
            <w:r w:rsidRPr="00085CE2">
              <w:lastRenderedPageBreak/>
              <w:t xml:space="preserve">Proportion of PNTL officers engaged in program supported leadership and management development (disaggregated by sex, </w:t>
            </w:r>
            <w:proofErr w:type="gramStart"/>
            <w:r w:rsidRPr="00085CE2">
              <w:t>rank</w:t>
            </w:r>
            <w:proofErr w:type="gramEnd"/>
            <w:r w:rsidRPr="00085CE2">
              <w:t xml:space="preserve"> and location)</w:t>
            </w:r>
          </w:p>
        </w:tc>
        <w:tc>
          <w:tcPr>
            <w:tcW w:w="3944" w:type="dxa"/>
          </w:tcPr>
          <w:p w14:paraId="18067E77" w14:textId="4D9DCDD5" w:rsidR="00B511F2" w:rsidRPr="00085CE2" w:rsidRDefault="00B511F2" w:rsidP="005C159D">
            <w:pPr>
              <w:spacing w:after="120"/>
              <w:cnfStyle w:val="000000100000" w:firstRow="0" w:lastRow="0" w:firstColumn="0" w:lastColumn="0" w:oddVBand="0" w:evenVBand="0" w:oddHBand="1" w:evenHBand="0" w:firstRowFirstColumn="0" w:firstRowLastColumn="0" w:lastRowFirstColumn="0" w:lastRowLastColumn="0"/>
            </w:pPr>
            <w:r w:rsidRPr="00085CE2">
              <w:t>Increased participation in leadership training and development (disaggregated by sex, rank and location)</w:t>
            </w:r>
          </w:p>
          <w:p w14:paraId="4C2E4EDB" w14:textId="77777777" w:rsidR="00B511F2" w:rsidRPr="00085CE2" w:rsidRDefault="00B511F2" w:rsidP="005C159D">
            <w:pPr>
              <w:spacing w:after="120"/>
              <w:cnfStyle w:val="000000100000" w:firstRow="0" w:lastRow="0" w:firstColumn="0" w:lastColumn="0" w:oddVBand="0" w:evenVBand="0" w:oddHBand="1" w:evenHBand="0" w:firstRowFirstColumn="0" w:firstRowLastColumn="0" w:lastRowFirstColumn="0" w:lastRowLastColumn="0"/>
            </w:pPr>
          </w:p>
          <w:p w14:paraId="74E3CDC4" w14:textId="3D003FD6" w:rsidR="00B511F2" w:rsidRPr="00085CE2" w:rsidRDefault="00B511F2" w:rsidP="005C159D">
            <w:pPr>
              <w:spacing w:after="120"/>
              <w:cnfStyle w:val="000000100000" w:firstRow="0" w:lastRow="0" w:firstColumn="0" w:lastColumn="0" w:oddVBand="0" w:evenVBand="0" w:oddHBand="1" w:evenHBand="0" w:firstRowFirstColumn="0" w:firstRowLastColumn="0" w:lastRowFirstColumn="0" w:lastRowLastColumn="0"/>
            </w:pPr>
            <w:r w:rsidRPr="00085CE2">
              <w:t>Evidence of improved leadership and management principles being applied as a result of program support</w:t>
            </w:r>
          </w:p>
        </w:tc>
        <w:tc>
          <w:tcPr>
            <w:tcW w:w="4337" w:type="dxa"/>
          </w:tcPr>
          <w:p w14:paraId="6259CD8A" w14:textId="77777777" w:rsidR="00B511F2" w:rsidRPr="00085CE2" w:rsidRDefault="00B511F2" w:rsidP="005C159D">
            <w:pPr>
              <w:spacing w:after="120"/>
              <w:cnfStyle w:val="000000100000" w:firstRow="0" w:lastRow="0" w:firstColumn="0" w:lastColumn="0" w:oddVBand="0" w:evenVBand="0" w:oddHBand="1" w:evenHBand="0" w:firstRowFirstColumn="0" w:firstRowLastColumn="0" w:lastRowFirstColumn="0" w:lastRowLastColumn="0"/>
            </w:pPr>
            <w:r w:rsidRPr="00085CE2">
              <w:t>Pre &amp; post training evaluation questionnaires</w:t>
            </w:r>
          </w:p>
          <w:p w14:paraId="2A2F1235" w14:textId="77777777" w:rsidR="00B511F2" w:rsidRPr="00085CE2" w:rsidRDefault="00B511F2" w:rsidP="005C159D">
            <w:pPr>
              <w:spacing w:after="120"/>
              <w:cnfStyle w:val="000000100000" w:firstRow="0" w:lastRow="0" w:firstColumn="0" w:lastColumn="0" w:oddVBand="0" w:evenVBand="0" w:oddHBand="1" w:evenHBand="0" w:firstRowFirstColumn="0" w:firstRowLastColumn="0" w:lastRowFirstColumn="0" w:lastRowLastColumn="0"/>
            </w:pPr>
            <w:r w:rsidRPr="00085CE2">
              <w:rPr>
                <w:b/>
                <w:i/>
              </w:rPr>
              <w:t>Frequency:</w:t>
            </w:r>
            <w:r w:rsidRPr="00085CE2">
              <w:t xml:space="preserve"> at time of delivery</w:t>
            </w:r>
          </w:p>
          <w:p w14:paraId="6ADA4462" w14:textId="77777777" w:rsidR="00B511F2" w:rsidRPr="00085CE2" w:rsidRDefault="00B511F2" w:rsidP="005C159D">
            <w:pPr>
              <w:spacing w:after="120"/>
              <w:cnfStyle w:val="000000100000" w:firstRow="0" w:lastRow="0" w:firstColumn="0" w:lastColumn="0" w:oddVBand="0" w:evenVBand="0" w:oddHBand="1" w:evenHBand="0" w:firstRowFirstColumn="0" w:firstRowLastColumn="0" w:lastRowFirstColumn="0" w:lastRowLastColumn="0"/>
            </w:pPr>
          </w:p>
          <w:p w14:paraId="527E483B" w14:textId="77777777" w:rsidR="00B511F2" w:rsidRPr="00085CE2" w:rsidRDefault="00B511F2" w:rsidP="005C159D">
            <w:pPr>
              <w:spacing w:after="120"/>
              <w:cnfStyle w:val="000000100000" w:firstRow="0" w:lastRow="0" w:firstColumn="0" w:lastColumn="0" w:oddVBand="0" w:evenVBand="0" w:oddHBand="1" w:evenHBand="0" w:firstRowFirstColumn="0" w:firstRowLastColumn="0" w:lastRowFirstColumn="0" w:lastRowLastColumn="0"/>
            </w:pPr>
          </w:p>
          <w:p w14:paraId="51A5D72D" w14:textId="77777777" w:rsidR="00B511F2" w:rsidRPr="00085CE2" w:rsidRDefault="00B511F2" w:rsidP="005C159D">
            <w:pPr>
              <w:spacing w:after="120"/>
              <w:cnfStyle w:val="000000100000" w:firstRow="0" w:lastRow="0" w:firstColumn="0" w:lastColumn="0" w:oddVBand="0" w:evenVBand="0" w:oddHBand="1" w:evenHBand="0" w:firstRowFirstColumn="0" w:firstRowLastColumn="0" w:lastRowFirstColumn="0" w:lastRowLastColumn="0"/>
            </w:pPr>
            <w:r w:rsidRPr="00085CE2">
              <w:t>Knowledge, attitudes and practices (KAP) survey or a Health Check (including most significant change question)</w:t>
            </w:r>
          </w:p>
          <w:p w14:paraId="623CA7B9" w14:textId="77777777" w:rsidR="00B511F2" w:rsidRPr="00085CE2" w:rsidRDefault="00B511F2" w:rsidP="005C159D">
            <w:pPr>
              <w:spacing w:after="120"/>
              <w:cnfStyle w:val="000000100000" w:firstRow="0" w:lastRow="0" w:firstColumn="0" w:lastColumn="0" w:oddVBand="0" w:evenVBand="0" w:oddHBand="1" w:evenHBand="0" w:firstRowFirstColumn="0" w:firstRowLastColumn="0" w:lastRowFirstColumn="0" w:lastRowLastColumn="0"/>
            </w:pPr>
            <w:r w:rsidRPr="00085CE2">
              <w:rPr>
                <w:b/>
                <w:i/>
              </w:rPr>
              <w:t>Frequency:</w:t>
            </w:r>
            <w:r w:rsidRPr="00085CE2">
              <w:t xml:space="preserve"> Annual</w:t>
            </w:r>
          </w:p>
          <w:p w14:paraId="4BFB3DE5" w14:textId="77777777" w:rsidR="00B511F2" w:rsidRPr="00085CE2" w:rsidRDefault="00B511F2" w:rsidP="005C159D">
            <w:pPr>
              <w:spacing w:after="120"/>
              <w:cnfStyle w:val="000000100000" w:firstRow="0" w:lastRow="0" w:firstColumn="0" w:lastColumn="0" w:oddVBand="0" w:evenVBand="0" w:oddHBand="1" w:evenHBand="0" w:firstRowFirstColumn="0" w:firstRowLastColumn="0" w:lastRowFirstColumn="0" w:lastRowLastColumn="0"/>
            </w:pPr>
          </w:p>
        </w:tc>
      </w:tr>
      <w:tr w:rsidR="00B511F2" w:rsidRPr="00085CE2" w14:paraId="5A585B54" w14:textId="77777777" w:rsidTr="00B511F2">
        <w:trPr>
          <w:trHeight w:val="454"/>
        </w:trPr>
        <w:tc>
          <w:tcPr>
            <w:cnfStyle w:val="001000000000" w:firstRow="0" w:lastRow="0" w:firstColumn="1" w:lastColumn="0" w:oddVBand="0" w:evenVBand="0" w:oddHBand="0" w:evenHBand="0" w:firstRowFirstColumn="0" w:firstRowLastColumn="0" w:lastRowFirstColumn="0" w:lastRowLastColumn="0"/>
            <w:tcW w:w="5658" w:type="dxa"/>
            <w:hideMark/>
          </w:tcPr>
          <w:p w14:paraId="47DA316E" w14:textId="722E5051" w:rsidR="00B511F2" w:rsidRPr="009F3840" w:rsidRDefault="00B511F2" w:rsidP="009F3840">
            <w:pPr>
              <w:spacing w:after="120"/>
            </w:pPr>
            <w:r w:rsidRPr="009F3840">
              <w:t>The extent to which PNTL gender strategy reform and opportunities for women are influenced by the program</w:t>
            </w:r>
          </w:p>
        </w:tc>
        <w:tc>
          <w:tcPr>
            <w:tcW w:w="3944" w:type="dxa"/>
          </w:tcPr>
          <w:p w14:paraId="18A72743" w14:textId="44017E3E" w:rsidR="00B511F2" w:rsidRPr="009F3840" w:rsidRDefault="00B511F2" w:rsidP="009F3840">
            <w:pPr>
              <w:spacing w:after="120"/>
              <w:cnfStyle w:val="000000000000" w:firstRow="0" w:lastRow="0" w:firstColumn="0" w:lastColumn="0" w:oddVBand="0" w:evenVBand="0" w:oddHBand="0" w:evenHBand="0" w:firstRowFirstColumn="0" w:firstRowLastColumn="0" w:lastRowFirstColumn="0" w:lastRowLastColumn="0"/>
            </w:pPr>
            <w:r w:rsidRPr="009F3840">
              <w:t>Increased opportunities for women in the PNTL (disaggregated by sex, rank and location)</w:t>
            </w:r>
          </w:p>
          <w:p w14:paraId="5F99EC7C" w14:textId="77777777" w:rsidR="00B511F2" w:rsidRPr="009F3840" w:rsidRDefault="00B511F2" w:rsidP="009F3840">
            <w:pPr>
              <w:spacing w:after="120"/>
              <w:cnfStyle w:val="000000000000" w:firstRow="0" w:lastRow="0" w:firstColumn="0" w:lastColumn="0" w:oddVBand="0" w:evenVBand="0" w:oddHBand="0" w:evenHBand="0" w:firstRowFirstColumn="0" w:firstRowLastColumn="0" w:lastRowFirstColumn="0" w:lastRowLastColumn="0"/>
            </w:pPr>
          </w:p>
          <w:p w14:paraId="2F124543" w14:textId="19073178" w:rsidR="00B511F2" w:rsidRPr="009F3840" w:rsidRDefault="00B511F2" w:rsidP="009F3840">
            <w:pPr>
              <w:spacing w:after="120"/>
              <w:cnfStyle w:val="000000000000" w:firstRow="0" w:lastRow="0" w:firstColumn="0" w:lastColumn="0" w:oddVBand="0" w:evenVBand="0" w:oddHBand="0" w:evenHBand="0" w:firstRowFirstColumn="0" w:firstRowLastColumn="0" w:lastRowFirstColumn="0" w:lastRowLastColumn="0"/>
            </w:pPr>
            <w:r w:rsidRPr="009F3840">
              <w:t>Evidence of formal PNTL gender strategies being applied</w:t>
            </w:r>
          </w:p>
        </w:tc>
        <w:tc>
          <w:tcPr>
            <w:tcW w:w="4337" w:type="dxa"/>
          </w:tcPr>
          <w:p w14:paraId="6AF7EA9D" w14:textId="77777777" w:rsidR="00B511F2" w:rsidRPr="009F3840" w:rsidRDefault="00B511F2" w:rsidP="009F3840">
            <w:pPr>
              <w:spacing w:after="120"/>
              <w:cnfStyle w:val="000000000000" w:firstRow="0" w:lastRow="0" w:firstColumn="0" w:lastColumn="0" w:oddVBand="0" w:evenVBand="0" w:oddHBand="0" w:evenHBand="0" w:firstRowFirstColumn="0" w:firstRowLastColumn="0" w:lastRowFirstColumn="0" w:lastRowLastColumn="0"/>
            </w:pPr>
            <w:r w:rsidRPr="009F3840">
              <w:t>PNTL workforce planning/HR documents</w:t>
            </w:r>
          </w:p>
          <w:p w14:paraId="43F0699E" w14:textId="77777777" w:rsidR="00B511F2" w:rsidRPr="009F3840" w:rsidRDefault="00B511F2" w:rsidP="009F3840">
            <w:pPr>
              <w:spacing w:after="120"/>
              <w:cnfStyle w:val="000000000000" w:firstRow="0" w:lastRow="0" w:firstColumn="0" w:lastColumn="0" w:oddVBand="0" w:evenVBand="0" w:oddHBand="0" w:evenHBand="0" w:firstRowFirstColumn="0" w:firstRowLastColumn="0" w:lastRowFirstColumn="0" w:lastRowLastColumn="0"/>
              <w:rPr>
                <w:b/>
              </w:rPr>
            </w:pPr>
            <w:r w:rsidRPr="009F3840">
              <w:rPr>
                <w:b/>
                <w:i/>
              </w:rPr>
              <w:t xml:space="preserve">Frequency: </w:t>
            </w:r>
            <w:r w:rsidRPr="009F3840">
              <w:t>Annual</w:t>
            </w:r>
          </w:p>
          <w:p w14:paraId="7910B17B" w14:textId="77777777" w:rsidR="00B511F2" w:rsidRPr="009F3840" w:rsidRDefault="00B511F2" w:rsidP="009F3840">
            <w:pPr>
              <w:spacing w:after="120"/>
              <w:cnfStyle w:val="000000000000" w:firstRow="0" w:lastRow="0" w:firstColumn="0" w:lastColumn="0" w:oddVBand="0" w:evenVBand="0" w:oddHBand="0" w:evenHBand="0" w:firstRowFirstColumn="0" w:firstRowLastColumn="0" w:lastRowFirstColumn="0" w:lastRowLastColumn="0"/>
            </w:pPr>
          </w:p>
          <w:p w14:paraId="1075A8C8" w14:textId="77777777" w:rsidR="00B511F2" w:rsidRPr="009F3840" w:rsidRDefault="00B511F2" w:rsidP="009F3840">
            <w:pPr>
              <w:spacing w:after="120"/>
              <w:cnfStyle w:val="000000000000" w:firstRow="0" w:lastRow="0" w:firstColumn="0" w:lastColumn="0" w:oddVBand="0" w:evenVBand="0" w:oddHBand="0" w:evenHBand="0" w:firstRowFirstColumn="0" w:firstRowLastColumn="0" w:lastRowFirstColumn="0" w:lastRowLastColumn="0"/>
            </w:pPr>
            <w:r w:rsidRPr="009F3840">
              <w:t>Knowledge, attitudes and practices (KAP) survey or Health Check (including most significant change question)</w:t>
            </w:r>
          </w:p>
          <w:p w14:paraId="0CD8C61E" w14:textId="77777777" w:rsidR="00B511F2" w:rsidRPr="009F3840" w:rsidRDefault="00B511F2" w:rsidP="009F3840">
            <w:pPr>
              <w:spacing w:after="120"/>
              <w:cnfStyle w:val="000000000000" w:firstRow="0" w:lastRow="0" w:firstColumn="0" w:lastColumn="0" w:oddVBand="0" w:evenVBand="0" w:oddHBand="0" w:evenHBand="0" w:firstRowFirstColumn="0" w:firstRowLastColumn="0" w:lastRowFirstColumn="0" w:lastRowLastColumn="0"/>
              <w:rPr>
                <w:b/>
              </w:rPr>
            </w:pPr>
            <w:r w:rsidRPr="009F3840">
              <w:rPr>
                <w:b/>
                <w:i/>
              </w:rPr>
              <w:t xml:space="preserve">Frequency: </w:t>
            </w:r>
            <w:r w:rsidRPr="009F3840">
              <w:t>Annual</w:t>
            </w:r>
          </w:p>
          <w:p w14:paraId="73352EFB" w14:textId="77777777" w:rsidR="00B511F2" w:rsidRPr="009F3840" w:rsidRDefault="00B511F2" w:rsidP="009F3840">
            <w:pPr>
              <w:spacing w:after="120"/>
              <w:cnfStyle w:val="000000000000" w:firstRow="0" w:lastRow="0" w:firstColumn="0" w:lastColumn="0" w:oddVBand="0" w:evenVBand="0" w:oddHBand="0" w:evenHBand="0" w:firstRowFirstColumn="0" w:firstRowLastColumn="0" w:lastRowFirstColumn="0" w:lastRowLastColumn="0"/>
            </w:pPr>
          </w:p>
        </w:tc>
      </w:tr>
      <w:tr w:rsidR="00B511F2" w:rsidRPr="00085CE2" w14:paraId="21E4912E" w14:textId="77777777" w:rsidTr="00B511F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658" w:type="dxa"/>
            <w:hideMark/>
          </w:tcPr>
          <w:p w14:paraId="49C5D4E3" w14:textId="32EE9B61" w:rsidR="00B511F2" w:rsidRPr="009F3840" w:rsidRDefault="00B511F2" w:rsidP="009F3840">
            <w:pPr>
              <w:spacing w:after="120"/>
            </w:pPr>
            <w:r w:rsidRPr="009F3840">
              <w:lastRenderedPageBreak/>
              <w:t>Improvement in PNTL’s demonstrated leadership and management</w:t>
            </w:r>
          </w:p>
        </w:tc>
        <w:tc>
          <w:tcPr>
            <w:tcW w:w="3944" w:type="dxa"/>
          </w:tcPr>
          <w:p w14:paraId="4584D3EB" w14:textId="77777777" w:rsidR="00B511F2" w:rsidRPr="009F3840" w:rsidRDefault="00B511F2" w:rsidP="009F3840">
            <w:pPr>
              <w:spacing w:after="120"/>
              <w:cnfStyle w:val="000000100000" w:firstRow="0" w:lastRow="0" w:firstColumn="0" w:lastColumn="0" w:oddVBand="0" w:evenVBand="0" w:oddHBand="1" w:evenHBand="0" w:firstRowFirstColumn="0" w:firstRowLastColumn="0" w:lastRowFirstColumn="0" w:lastRowLastColumn="0"/>
            </w:pPr>
            <w:r w:rsidRPr="009F3840">
              <w:t>Evidence of improved leadership and management principles being applied as a result of program support</w:t>
            </w:r>
          </w:p>
          <w:p w14:paraId="13C2B4D7" w14:textId="77777777" w:rsidR="00B511F2" w:rsidRPr="009F3840" w:rsidRDefault="00B511F2" w:rsidP="009F3840">
            <w:pPr>
              <w:spacing w:after="120"/>
              <w:cnfStyle w:val="000000100000" w:firstRow="0" w:lastRow="0" w:firstColumn="0" w:lastColumn="0" w:oddVBand="0" w:evenVBand="0" w:oddHBand="1" w:evenHBand="0" w:firstRowFirstColumn="0" w:firstRowLastColumn="0" w:lastRowFirstColumn="0" w:lastRowLastColumn="0"/>
            </w:pPr>
          </w:p>
        </w:tc>
        <w:tc>
          <w:tcPr>
            <w:tcW w:w="4337" w:type="dxa"/>
          </w:tcPr>
          <w:p w14:paraId="2FA0671C" w14:textId="77777777" w:rsidR="00B511F2" w:rsidRPr="009F3840" w:rsidRDefault="00B511F2" w:rsidP="009F3840">
            <w:pPr>
              <w:spacing w:after="120"/>
              <w:cnfStyle w:val="000000100000" w:firstRow="0" w:lastRow="0" w:firstColumn="0" w:lastColumn="0" w:oddVBand="0" w:evenVBand="0" w:oddHBand="1" w:evenHBand="0" w:firstRowFirstColumn="0" w:firstRowLastColumn="0" w:lastRowFirstColumn="0" w:lastRowLastColumn="0"/>
            </w:pPr>
            <w:r w:rsidRPr="009F3840">
              <w:t>Knowledge, attitudes and practices (KAP) survey or Health Check (including most significant change question)</w:t>
            </w:r>
          </w:p>
          <w:p w14:paraId="37A07031" w14:textId="77777777" w:rsidR="00B511F2" w:rsidRPr="009F3840" w:rsidRDefault="00B511F2" w:rsidP="009F3840">
            <w:pPr>
              <w:spacing w:after="120"/>
              <w:cnfStyle w:val="000000100000" w:firstRow="0" w:lastRow="0" w:firstColumn="0" w:lastColumn="0" w:oddVBand="0" w:evenVBand="0" w:oddHBand="1" w:evenHBand="0" w:firstRowFirstColumn="0" w:firstRowLastColumn="0" w:lastRowFirstColumn="0" w:lastRowLastColumn="0"/>
              <w:rPr>
                <w:b/>
              </w:rPr>
            </w:pPr>
            <w:r w:rsidRPr="009F3840">
              <w:rPr>
                <w:b/>
                <w:i/>
              </w:rPr>
              <w:t xml:space="preserve">Frequency: </w:t>
            </w:r>
            <w:r w:rsidRPr="009F3840">
              <w:t>Annual</w:t>
            </w:r>
          </w:p>
          <w:p w14:paraId="20FCEB88" w14:textId="77777777" w:rsidR="00B511F2" w:rsidRPr="009F3840" w:rsidRDefault="00B511F2" w:rsidP="009F3840">
            <w:pPr>
              <w:spacing w:after="120"/>
              <w:cnfStyle w:val="000000100000" w:firstRow="0" w:lastRow="0" w:firstColumn="0" w:lastColumn="0" w:oddVBand="0" w:evenVBand="0" w:oddHBand="1" w:evenHBand="0" w:firstRowFirstColumn="0" w:firstRowLastColumn="0" w:lastRowFirstColumn="0" w:lastRowLastColumn="0"/>
            </w:pPr>
          </w:p>
        </w:tc>
      </w:tr>
    </w:tbl>
    <w:p w14:paraId="70547138" w14:textId="77777777" w:rsidR="00137E3E" w:rsidRDefault="00137E3E"/>
    <w:p w14:paraId="7EEE896F" w14:textId="4CBC9E82" w:rsidR="00CF1FDE" w:rsidRDefault="00137E3E" w:rsidP="00137E3E">
      <w:pPr>
        <w:pStyle w:val="Heading3"/>
      </w:pPr>
      <w:r w:rsidRPr="009F3840">
        <w:t>Outcome Pathway/Component 2: Operational Effectiveness</w:t>
      </w:r>
    </w:p>
    <w:p w14:paraId="7B19C939" w14:textId="68CD1C9D" w:rsidR="00B511F2" w:rsidRPr="00B511F2" w:rsidRDefault="00B511F2" w:rsidP="00B511F2">
      <w:pPr>
        <w:spacing w:after="120"/>
        <w:rPr>
          <w:b/>
        </w:rPr>
      </w:pPr>
      <w:r>
        <w:rPr>
          <w:b/>
          <w:bCs/>
        </w:rPr>
        <w:t xml:space="preserve">Outcome: </w:t>
      </w:r>
      <w:r w:rsidRPr="009F3840">
        <w:t>Effective operational policing services are delivered by the PNTL through enhanced capability and capacity</w:t>
      </w:r>
    </w:p>
    <w:tbl>
      <w:tblPr>
        <w:tblStyle w:val="LightList-Accent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4089"/>
        <w:gridCol w:w="3687"/>
      </w:tblGrid>
      <w:tr w:rsidR="00B511F2" w:rsidRPr="00085CE2" w14:paraId="696469BF" w14:textId="77777777" w:rsidTr="00B511F2">
        <w:trPr>
          <w:cnfStyle w:val="100000000000" w:firstRow="1" w:lastRow="0"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6091" w:type="dxa"/>
            <w:shd w:val="clear" w:color="auto" w:fill="EAF1DD" w:themeFill="accent3" w:themeFillTint="33"/>
            <w:hideMark/>
          </w:tcPr>
          <w:p w14:paraId="735FC97B" w14:textId="77777777" w:rsidR="00B511F2" w:rsidRPr="00137E3E" w:rsidRDefault="00B511F2" w:rsidP="009F3840">
            <w:pPr>
              <w:spacing w:after="120"/>
              <w:rPr>
                <w:bCs w:val="0"/>
                <w:iCs/>
                <w:color w:val="auto"/>
              </w:rPr>
            </w:pPr>
            <w:r w:rsidRPr="00137E3E">
              <w:rPr>
                <w:bCs w:val="0"/>
                <w:iCs/>
                <w:color w:val="auto"/>
              </w:rPr>
              <w:t>Indicators</w:t>
            </w:r>
          </w:p>
        </w:tc>
        <w:tc>
          <w:tcPr>
            <w:tcW w:w="4089" w:type="dxa"/>
            <w:shd w:val="clear" w:color="auto" w:fill="EAF1DD" w:themeFill="accent3" w:themeFillTint="33"/>
            <w:hideMark/>
          </w:tcPr>
          <w:p w14:paraId="3CC165A6" w14:textId="77777777" w:rsidR="00B511F2" w:rsidRPr="00137E3E" w:rsidRDefault="00B511F2" w:rsidP="009F3840">
            <w:pPr>
              <w:spacing w:after="120"/>
              <w:cnfStyle w:val="100000000000" w:firstRow="1" w:lastRow="0" w:firstColumn="0" w:lastColumn="0" w:oddVBand="0" w:evenVBand="0" w:oddHBand="0" w:evenHBand="0" w:firstRowFirstColumn="0" w:firstRowLastColumn="0" w:lastRowFirstColumn="0" w:lastRowLastColumn="0"/>
              <w:rPr>
                <w:bCs w:val="0"/>
                <w:iCs/>
                <w:color w:val="auto"/>
              </w:rPr>
            </w:pPr>
            <w:r w:rsidRPr="00137E3E">
              <w:rPr>
                <w:bCs w:val="0"/>
                <w:iCs/>
                <w:color w:val="auto"/>
              </w:rPr>
              <w:t>Indicative Measures of Success</w:t>
            </w:r>
          </w:p>
        </w:tc>
        <w:tc>
          <w:tcPr>
            <w:tcW w:w="3687" w:type="dxa"/>
            <w:shd w:val="clear" w:color="auto" w:fill="EAF1DD" w:themeFill="accent3" w:themeFillTint="33"/>
            <w:hideMark/>
          </w:tcPr>
          <w:p w14:paraId="626575C8" w14:textId="77777777" w:rsidR="00B511F2" w:rsidRPr="00137E3E" w:rsidRDefault="00B511F2" w:rsidP="009F3840">
            <w:pPr>
              <w:spacing w:after="120"/>
              <w:cnfStyle w:val="100000000000" w:firstRow="1" w:lastRow="0" w:firstColumn="0" w:lastColumn="0" w:oddVBand="0" w:evenVBand="0" w:oddHBand="0" w:evenHBand="0" w:firstRowFirstColumn="0" w:firstRowLastColumn="0" w:lastRowFirstColumn="0" w:lastRowLastColumn="0"/>
              <w:rPr>
                <w:bCs w:val="0"/>
                <w:iCs/>
                <w:color w:val="auto"/>
              </w:rPr>
            </w:pPr>
            <w:r w:rsidRPr="00137E3E">
              <w:rPr>
                <w:bCs w:val="0"/>
                <w:iCs/>
                <w:color w:val="auto"/>
              </w:rPr>
              <w:t>Data Collection</w:t>
            </w:r>
          </w:p>
        </w:tc>
      </w:tr>
      <w:tr w:rsidR="00B511F2" w:rsidRPr="00085CE2" w14:paraId="03972650" w14:textId="77777777" w:rsidTr="00B511F2">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6091" w:type="dxa"/>
            <w:hideMark/>
          </w:tcPr>
          <w:p w14:paraId="5F94214D" w14:textId="77777777" w:rsidR="00B511F2" w:rsidRPr="009F3840" w:rsidRDefault="00B511F2" w:rsidP="009F3840">
            <w:pPr>
              <w:tabs>
                <w:tab w:val="left" w:pos="1245"/>
              </w:tabs>
              <w:spacing w:after="120"/>
            </w:pPr>
            <w:r w:rsidRPr="009F3840">
              <w:t xml:space="preserve">Proportion of IMS use in the PNTL </w:t>
            </w:r>
          </w:p>
        </w:tc>
        <w:tc>
          <w:tcPr>
            <w:tcW w:w="4089" w:type="dxa"/>
          </w:tcPr>
          <w:p w14:paraId="50CE6EF9" w14:textId="77777777" w:rsidR="00B511F2" w:rsidRPr="009F3840" w:rsidRDefault="00B511F2" w:rsidP="009F3840">
            <w:pPr>
              <w:spacing w:after="120"/>
              <w:cnfStyle w:val="000000100000" w:firstRow="0" w:lastRow="0" w:firstColumn="0" w:lastColumn="0" w:oddVBand="0" w:evenVBand="0" w:oddHBand="1" w:evenHBand="0" w:firstRowFirstColumn="0" w:firstRowLastColumn="0" w:lastRowFirstColumn="0" w:lastRowLastColumn="0"/>
            </w:pPr>
            <w:r w:rsidRPr="009F3840">
              <w:t>At least 75% of PNTL units and Districts use IMS (disaggregated by unit and location)</w:t>
            </w:r>
          </w:p>
          <w:p w14:paraId="1A8424CB" w14:textId="77777777" w:rsidR="00B511F2" w:rsidRPr="009F3840" w:rsidRDefault="00B511F2" w:rsidP="009F3840">
            <w:pPr>
              <w:spacing w:after="120"/>
              <w:cnfStyle w:val="000000100000" w:firstRow="0" w:lastRow="0" w:firstColumn="0" w:lastColumn="0" w:oddVBand="0" w:evenVBand="0" w:oddHBand="1" w:evenHBand="0" w:firstRowFirstColumn="0" w:firstRowLastColumn="0" w:lastRowFirstColumn="0" w:lastRowLastColumn="0"/>
            </w:pPr>
          </w:p>
          <w:p w14:paraId="5A844D85" w14:textId="77777777" w:rsidR="00B511F2" w:rsidRPr="009F3840" w:rsidRDefault="00B511F2" w:rsidP="009F3840">
            <w:pPr>
              <w:spacing w:after="120"/>
              <w:cnfStyle w:val="000000100000" w:firstRow="0" w:lastRow="0" w:firstColumn="0" w:lastColumn="0" w:oddVBand="0" w:evenVBand="0" w:oddHBand="1" w:evenHBand="0" w:firstRowFirstColumn="0" w:firstRowLastColumn="0" w:lastRowFirstColumn="0" w:lastRowLastColumn="0"/>
            </w:pPr>
            <w:r w:rsidRPr="009F3840">
              <w:t xml:space="preserve">The extent to which the PNTL maintain and manage IMS </w:t>
            </w:r>
          </w:p>
          <w:p w14:paraId="209ED5FD" w14:textId="77777777" w:rsidR="00B511F2" w:rsidRPr="009F3840" w:rsidRDefault="00B511F2" w:rsidP="009F3840">
            <w:pPr>
              <w:spacing w:after="120"/>
              <w:cnfStyle w:val="000000100000" w:firstRow="0" w:lastRow="0" w:firstColumn="0" w:lastColumn="0" w:oddVBand="0" w:evenVBand="0" w:oddHBand="1" w:evenHBand="0" w:firstRowFirstColumn="0" w:firstRowLastColumn="0" w:lastRowFirstColumn="0" w:lastRowLastColumn="0"/>
            </w:pPr>
          </w:p>
        </w:tc>
        <w:tc>
          <w:tcPr>
            <w:tcW w:w="3687" w:type="dxa"/>
          </w:tcPr>
          <w:p w14:paraId="08840941" w14:textId="77777777" w:rsidR="00B511F2" w:rsidRPr="009F3840" w:rsidRDefault="00B511F2" w:rsidP="009F3840">
            <w:pPr>
              <w:spacing w:after="120"/>
              <w:cnfStyle w:val="000000100000" w:firstRow="0" w:lastRow="0" w:firstColumn="0" w:lastColumn="0" w:oddVBand="0" w:evenVBand="0" w:oddHBand="1" w:evenHBand="0" w:firstRowFirstColumn="0" w:firstRowLastColumn="0" w:lastRowFirstColumn="0" w:lastRowLastColumn="0"/>
            </w:pPr>
            <w:r w:rsidRPr="009F3840">
              <w:t>IMS reporting</w:t>
            </w:r>
          </w:p>
          <w:p w14:paraId="4C63BAE2" w14:textId="77777777" w:rsidR="00B511F2" w:rsidRPr="009F3840" w:rsidRDefault="00B511F2" w:rsidP="009F3840">
            <w:pPr>
              <w:spacing w:after="120"/>
              <w:cnfStyle w:val="000000100000" w:firstRow="0" w:lastRow="0" w:firstColumn="0" w:lastColumn="0" w:oddVBand="0" w:evenVBand="0" w:oddHBand="1" w:evenHBand="0" w:firstRowFirstColumn="0" w:firstRowLastColumn="0" w:lastRowFirstColumn="0" w:lastRowLastColumn="0"/>
            </w:pPr>
            <w:r w:rsidRPr="009F3840">
              <w:rPr>
                <w:b/>
                <w:i/>
              </w:rPr>
              <w:t>Frequency:</w:t>
            </w:r>
            <w:r w:rsidRPr="009F3840">
              <w:t xml:space="preserve"> Annual</w:t>
            </w:r>
          </w:p>
          <w:p w14:paraId="290559C1" w14:textId="77777777" w:rsidR="00B511F2" w:rsidRPr="009F3840" w:rsidRDefault="00B511F2" w:rsidP="009F3840">
            <w:pPr>
              <w:spacing w:after="120"/>
              <w:cnfStyle w:val="000000100000" w:firstRow="0" w:lastRow="0" w:firstColumn="0" w:lastColumn="0" w:oddVBand="0" w:evenVBand="0" w:oddHBand="1" w:evenHBand="0" w:firstRowFirstColumn="0" w:firstRowLastColumn="0" w:lastRowFirstColumn="0" w:lastRowLastColumn="0"/>
            </w:pPr>
          </w:p>
          <w:p w14:paraId="4D50F8EF" w14:textId="77777777" w:rsidR="00B511F2" w:rsidRPr="009F3840" w:rsidRDefault="00B511F2" w:rsidP="009F3840">
            <w:pPr>
              <w:spacing w:after="120"/>
              <w:cnfStyle w:val="000000100000" w:firstRow="0" w:lastRow="0" w:firstColumn="0" w:lastColumn="0" w:oddVBand="0" w:evenVBand="0" w:oddHBand="1" w:evenHBand="0" w:firstRowFirstColumn="0" w:firstRowLastColumn="0" w:lastRowFirstColumn="0" w:lastRowLastColumn="0"/>
            </w:pPr>
          </w:p>
          <w:p w14:paraId="366ACF07" w14:textId="77777777" w:rsidR="00B511F2" w:rsidRPr="009F3840" w:rsidRDefault="00B511F2" w:rsidP="009F3840">
            <w:pPr>
              <w:spacing w:after="120"/>
              <w:cnfStyle w:val="000000100000" w:firstRow="0" w:lastRow="0" w:firstColumn="0" w:lastColumn="0" w:oddVBand="0" w:evenVBand="0" w:oddHBand="1" w:evenHBand="0" w:firstRowFirstColumn="0" w:firstRowLastColumn="0" w:lastRowFirstColumn="0" w:lastRowLastColumn="0"/>
            </w:pPr>
            <w:r w:rsidRPr="009F3840">
              <w:t>IMS Health Check (qualitative: sustainability)</w:t>
            </w:r>
          </w:p>
          <w:p w14:paraId="3A951017" w14:textId="77777777" w:rsidR="00B511F2" w:rsidRPr="009F3840" w:rsidRDefault="00B511F2" w:rsidP="009F3840">
            <w:pPr>
              <w:spacing w:after="120"/>
              <w:cnfStyle w:val="000000100000" w:firstRow="0" w:lastRow="0" w:firstColumn="0" w:lastColumn="0" w:oddVBand="0" w:evenVBand="0" w:oddHBand="1" w:evenHBand="0" w:firstRowFirstColumn="0" w:firstRowLastColumn="0" w:lastRowFirstColumn="0" w:lastRowLastColumn="0"/>
            </w:pPr>
            <w:r w:rsidRPr="009F3840">
              <w:rPr>
                <w:b/>
                <w:i/>
              </w:rPr>
              <w:t>Frequency:</w:t>
            </w:r>
            <w:r w:rsidRPr="009F3840">
              <w:t xml:space="preserve"> Annual</w:t>
            </w:r>
          </w:p>
        </w:tc>
      </w:tr>
      <w:tr w:rsidR="00B511F2" w:rsidRPr="00085CE2" w14:paraId="49421E69" w14:textId="77777777" w:rsidTr="00B511F2">
        <w:trPr>
          <w:trHeight w:val="546"/>
        </w:trPr>
        <w:tc>
          <w:tcPr>
            <w:cnfStyle w:val="001000000000" w:firstRow="0" w:lastRow="0" w:firstColumn="1" w:lastColumn="0" w:oddVBand="0" w:evenVBand="0" w:oddHBand="0" w:evenHBand="0" w:firstRowFirstColumn="0" w:firstRowLastColumn="0" w:lastRowFirstColumn="0" w:lastRowLastColumn="0"/>
            <w:tcW w:w="6091" w:type="dxa"/>
            <w:hideMark/>
          </w:tcPr>
          <w:p w14:paraId="61BA715F" w14:textId="77777777" w:rsidR="00B511F2" w:rsidRPr="00085CE2" w:rsidRDefault="00B511F2" w:rsidP="005C159D">
            <w:pPr>
              <w:spacing w:after="120"/>
            </w:pPr>
            <w:r w:rsidRPr="00085CE2">
              <w:t>The extent to which operational policing services are supported by criminal intelligence</w:t>
            </w:r>
          </w:p>
        </w:tc>
        <w:tc>
          <w:tcPr>
            <w:tcW w:w="4089" w:type="dxa"/>
          </w:tcPr>
          <w:p w14:paraId="489C23F3" w14:textId="77777777" w:rsidR="00B511F2" w:rsidRPr="00085CE2" w:rsidRDefault="00B511F2" w:rsidP="005C159D">
            <w:pPr>
              <w:spacing w:after="120"/>
              <w:cnfStyle w:val="000000000000" w:firstRow="0" w:lastRow="0" w:firstColumn="0" w:lastColumn="0" w:oddVBand="0" w:evenVBand="0" w:oddHBand="0" w:evenHBand="0" w:firstRowFirstColumn="0" w:firstRowLastColumn="0" w:lastRowFirstColumn="0" w:lastRowLastColumn="0"/>
            </w:pPr>
            <w:r w:rsidRPr="00085CE2">
              <w:t xml:space="preserve">Number of times criminal intelligence analysis is applied to incidents </w:t>
            </w:r>
          </w:p>
          <w:p w14:paraId="291C0456" w14:textId="77777777" w:rsidR="00B511F2" w:rsidRPr="00085CE2" w:rsidRDefault="00B511F2" w:rsidP="005C159D">
            <w:pPr>
              <w:spacing w:after="120"/>
              <w:cnfStyle w:val="000000000000" w:firstRow="0" w:lastRow="0" w:firstColumn="0" w:lastColumn="0" w:oddVBand="0" w:evenVBand="0" w:oddHBand="0" w:evenHBand="0" w:firstRowFirstColumn="0" w:firstRowLastColumn="0" w:lastRowFirstColumn="0" w:lastRowLastColumn="0"/>
            </w:pPr>
          </w:p>
          <w:p w14:paraId="32DF0FAA" w14:textId="77777777" w:rsidR="00B511F2" w:rsidRPr="00085CE2" w:rsidRDefault="00B511F2" w:rsidP="005C159D">
            <w:pPr>
              <w:spacing w:after="120"/>
              <w:cnfStyle w:val="000000000000" w:firstRow="0" w:lastRow="0" w:firstColumn="0" w:lastColumn="0" w:oddVBand="0" w:evenVBand="0" w:oddHBand="0" w:evenHBand="0" w:firstRowFirstColumn="0" w:firstRowLastColumn="0" w:lastRowFirstColumn="0" w:lastRowLastColumn="0"/>
            </w:pPr>
            <w:r w:rsidRPr="00085CE2">
              <w:t>Increase in the quality of criminal intelligence analysis (qualitative).</w:t>
            </w:r>
          </w:p>
          <w:p w14:paraId="3268BDFB" w14:textId="77777777" w:rsidR="00B511F2" w:rsidRPr="00085CE2" w:rsidRDefault="00B511F2" w:rsidP="005C159D">
            <w:pPr>
              <w:spacing w:after="120"/>
              <w:cnfStyle w:val="000000000000" w:firstRow="0" w:lastRow="0" w:firstColumn="0" w:lastColumn="0" w:oddVBand="0" w:evenVBand="0" w:oddHBand="0" w:evenHBand="0" w:firstRowFirstColumn="0" w:firstRowLastColumn="0" w:lastRowFirstColumn="0" w:lastRowLastColumn="0"/>
            </w:pPr>
          </w:p>
        </w:tc>
        <w:tc>
          <w:tcPr>
            <w:tcW w:w="3687" w:type="dxa"/>
          </w:tcPr>
          <w:p w14:paraId="774D1C20" w14:textId="77777777" w:rsidR="00B511F2" w:rsidRPr="00085CE2" w:rsidRDefault="00B511F2" w:rsidP="005C159D">
            <w:pPr>
              <w:spacing w:after="120"/>
              <w:cnfStyle w:val="000000000000" w:firstRow="0" w:lastRow="0" w:firstColumn="0" w:lastColumn="0" w:oddVBand="0" w:evenVBand="0" w:oddHBand="0" w:evenHBand="0" w:firstRowFirstColumn="0" w:firstRowLastColumn="0" w:lastRowFirstColumn="0" w:lastRowLastColumn="0"/>
            </w:pPr>
          </w:p>
          <w:p w14:paraId="643CDE93" w14:textId="77777777" w:rsidR="00B511F2" w:rsidRPr="00085CE2" w:rsidRDefault="00B511F2" w:rsidP="005C159D">
            <w:pPr>
              <w:spacing w:after="120"/>
              <w:cnfStyle w:val="000000000000" w:firstRow="0" w:lastRow="0" w:firstColumn="0" w:lastColumn="0" w:oddVBand="0" w:evenVBand="0" w:oddHBand="0" w:evenHBand="0" w:firstRowFirstColumn="0" w:firstRowLastColumn="0" w:lastRowFirstColumn="0" w:lastRowLastColumn="0"/>
            </w:pPr>
            <w:r w:rsidRPr="00085CE2">
              <w:rPr>
                <w:b/>
                <w:i/>
              </w:rPr>
              <w:t>Frequency:</w:t>
            </w:r>
            <w:r w:rsidRPr="00085CE2">
              <w:t xml:space="preserve"> Annual</w:t>
            </w:r>
          </w:p>
          <w:p w14:paraId="0E339D46" w14:textId="77777777" w:rsidR="00B511F2" w:rsidRPr="00085CE2" w:rsidRDefault="00B511F2" w:rsidP="005C159D">
            <w:pPr>
              <w:spacing w:after="120"/>
              <w:cnfStyle w:val="000000000000" w:firstRow="0" w:lastRow="0" w:firstColumn="0" w:lastColumn="0" w:oddVBand="0" w:evenVBand="0" w:oddHBand="0" w:evenHBand="0" w:firstRowFirstColumn="0" w:firstRowLastColumn="0" w:lastRowFirstColumn="0" w:lastRowLastColumn="0"/>
            </w:pPr>
          </w:p>
          <w:p w14:paraId="6D25412C" w14:textId="77777777" w:rsidR="00B511F2" w:rsidRPr="00085CE2" w:rsidRDefault="00B511F2" w:rsidP="005C159D">
            <w:pPr>
              <w:spacing w:after="120"/>
              <w:cnfStyle w:val="000000000000" w:firstRow="0" w:lastRow="0" w:firstColumn="0" w:lastColumn="0" w:oddVBand="0" w:evenVBand="0" w:oddHBand="0" w:evenHBand="0" w:firstRowFirstColumn="0" w:firstRowLastColumn="0" w:lastRowFirstColumn="0" w:lastRowLastColumn="0"/>
            </w:pPr>
            <w:r w:rsidRPr="00085CE2">
              <w:rPr>
                <w:b/>
                <w:i/>
              </w:rPr>
              <w:t>Frequency:</w:t>
            </w:r>
            <w:r w:rsidRPr="00085CE2">
              <w:t xml:space="preserve"> Annual</w:t>
            </w:r>
          </w:p>
        </w:tc>
      </w:tr>
    </w:tbl>
    <w:p w14:paraId="201B6116" w14:textId="1CA86556" w:rsidR="00CF1FDE" w:rsidRDefault="00CF1FDE"/>
    <w:p w14:paraId="03445270" w14:textId="291FD3F2" w:rsidR="00137E3E" w:rsidRDefault="00137E3E" w:rsidP="00137E3E">
      <w:pPr>
        <w:pStyle w:val="Heading3"/>
      </w:pPr>
      <w:r w:rsidRPr="009F3840">
        <w:lastRenderedPageBreak/>
        <w:t>Outcome Pathway/Component 3: Responsive Policing Services</w:t>
      </w:r>
    </w:p>
    <w:p w14:paraId="2329EB41" w14:textId="1400ED0F" w:rsidR="00B511F2" w:rsidRPr="00B511F2" w:rsidRDefault="00B511F2" w:rsidP="00B511F2">
      <w:pPr>
        <w:spacing w:after="120"/>
        <w:rPr>
          <w:b/>
        </w:rPr>
      </w:pPr>
      <w:r w:rsidRPr="00B511F2">
        <w:rPr>
          <w:b/>
          <w:bCs/>
        </w:rPr>
        <w:t>Outcome:</w:t>
      </w:r>
      <w:r>
        <w:t xml:space="preserve"> </w:t>
      </w:r>
      <w:r w:rsidRPr="009F3840">
        <w:t>Improved community engagement and collaborations enable the delivery of responsive policing services</w:t>
      </w:r>
    </w:p>
    <w:tbl>
      <w:tblPr>
        <w:tblStyle w:val="LightList-Accent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4110"/>
        <w:gridCol w:w="3686"/>
      </w:tblGrid>
      <w:tr w:rsidR="00B511F2" w:rsidRPr="00085CE2" w14:paraId="6B42A1BE" w14:textId="77777777" w:rsidTr="00B511F2">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091" w:type="dxa"/>
            <w:shd w:val="clear" w:color="auto" w:fill="EAF1DD" w:themeFill="accent3" w:themeFillTint="33"/>
            <w:hideMark/>
          </w:tcPr>
          <w:p w14:paraId="75149AE9" w14:textId="77777777" w:rsidR="00B511F2" w:rsidRPr="00137E3E" w:rsidRDefault="00B511F2" w:rsidP="009F3840">
            <w:pPr>
              <w:spacing w:after="120"/>
              <w:rPr>
                <w:bCs w:val="0"/>
                <w:iCs/>
                <w:color w:val="auto"/>
              </w:rPr>
            </w:pPr>
            <w:r w:rsidRPr="00137E3E">
              <w:rPr>
                <w:bCs w:val="0"/>
                <w:iCs/>
                <w:color w:val="auto"/>
              </w:rPr>
              <w:t>Indicators</w:t>
            </w:r>
          </w:p>
        </w:tc>
        <w:tc>
          <w:tcPr>
            <w:tcW w:w="4110" w:type="dxa"/>
            <w:shd w:val="clear" w:color="auto" w:fill="EAF1DD" w:themeFill="accent3" w:themeFillTint="33"/>
            <w:hideMark/>
          </w:tcPr>
          <w:p w14:paraId="3287D641" w14:textId="77777777" w:rsidR="00B511F2" w:rsidRPr="00137E3E" w:rsidRDefault="00B511F2" w:rsidP="009F3840">
            <w:pPr>
              <w:spacing w:after="120"/>
              <w:cnfStyle w:val="100000000000" w:firstRow="1" w:lastRow="0" w:firstColumn="0" w:lastColumn="0" w:oddVBand="0" w:evenVBand="0" w:oddHBand="0" w:evenHBand="0" w:firstRowFirstColumn="0" w:firstRowLastColumn="0" w:lastRowFirstColumn="0" w:lastRowLastColumn="0"/>
              <w:rPr>
                <w:bCs w:val="0"/>
                <w:iCs/>
                <w:color w:val="auto"/>
              </w:rPr>
            </w:pPr>
            <w:r w:rsidRPr="00137E3E">
              <w:rPr>
                <w:bCs w:val="0"/>
                <w:iCs/>
                <w:color w:val="auto"/>
              </w:rPr>
              <w:t>Indicative Measures of Success</w:t>
            </w:r>
          </w:p>
        </w:tc>
        <w:tc>
          <w:tcPr>
            <w:tcW w:w="3686" w:type="dxa"/>
            <w:shd w:val="clear" w:color="auto" w:fill="EAF1DD" w:themeFill="accent3" w:themeFillTint="33"/>
            <w:hideMark/>
          </w:tcPr>
          <w:p w14:paraId="20334DF6" w14:textId="77777777" w:rsidR="00B511F2" w:rsidRPr="00137E3E" w:rsidRDefault="00B511F2" w:rsidP="009F3840">
            <w:pPr>
              <w:spacing w:after="120"/>
              <w:cnfStyle w:val="100000000000" w:firstRow="1" w:lastRow="0" w:firstColumn="0" w:lastColumn="0" w:oddVBand="0" w:evenVBand="0" w:oddHBand="0" w:evenHBand="0" w:firstRowFirstColumn="0" w:firstRowLastColumn="0" w:lastRowFirstColumn="0" w:lastRowLastColumn="0"/>
              <w:rPr>
                <w:bCs w:val="0"/>
                <w:iCs/>
                <w:color w:val="auto"/>
              </w:rPr>
            </w:pPr>
            <w:r w:rsidRPr="00137E3E">
              <w:rPr>
                <w:bCs w:val="0"/>
                <w:iCs/>
                <w:color w:val="auto"/>
              </w:rPr>
              <w:t>Data Collection</w:t>
            </w:r>
          </w:p>
        </w:tc>
      </w:tr>
      <w:tr w:rsidR="00B511F2" w:rsidRPr="00085CE2" w14:paraId="006E581D" w14:textId="77777777" w:rsidTr="00B511F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091" w:type="dxa"/>
          </w:tcPr>
          <w:p w14:paraId="434D7D72" w14:textId="77777777" w:rsidR="00B511F2" w:rsidRPr="009F3840" w:rsidRDefault="00B511F2" w:rsidP="009F3840">
            <w:pPr>
              <w:spacing w:after="120"/>
            </w:pPr>
            <w:r w:rsidRPr="009F3840">
              <w:t>The extent to which the PNTL are detecting and investigating crime, including transnational and organised crime</w:t>
            </w:r>
          </w:p>
          <w:p w14:paraId="0ED26884" w14:textId="77777777" w:rsidR="00B511F2" w:rsidRPr="009F3840" w:rsidRDefault="00B511F2" w:rsidP="009F3840">
            <w:pPr>
              <w:spacing w:after="120"/>
            </w:pPr>
          </w:p>
        </w:tc>
        <w:tc>
          <w:tcPr>
            <w:tcW w:w="4110" w:type="dxa"/>
          </w:tcPr>
          <w:p w14:paraId="39004B39" w14:textId="77777777" w:rsidR="00B511F2" w:rsidRPr="009F3840" w:rsidRDefault="00B511F2" w:rsidP="009F3840">
            <w:pPr>
              <w:spacing w:after="120"/>
              <w:cnfStyle w:val="000000100000" w:firstRow="0" w:lastRow="0" w:firstColumn="0" w:lastColumn="0" w:oddVBand="0" w:evenVBand="0" w:oddHBand="1" w:evenHBand="0" w:firstRowFirstColumn="0" w:firstRowLastColumn="0" w:lastRowFirstColumn="0" w:lastRowLastColumn="0"/>
            </w:pPr>
            <w:r w:rsidRPr="009F3840">
              <w:t>Number of transnational and organised crimes detected and investigated</w:t>
            </w:r>
          </w:p>
          <w:p w14:paraId="5B52972E" w14:textId="77777777" w:rsidR="00B511F2" w:rsidRPr="009F3840" w:rsidRDefault="00B511F2" w:rsidP="009F3840">
            <w:pPr>
              <w:spacing w:after="120"/>
              <w:cnfStyle w:val="000000100000" w:firstRow="0" w:lastRow="0" w:firstColumn="0" w:lastColumn="0" w:oddVBand="0" w:evenVBand="0" w:oddHBand="1" w:evenHBand="0" w:firstRowFirstColumn="0" w:firstRowLastColumn="0" w:lastRowFirstColumn="0" w:lastRowLastColumn="0"/>
            </w:pPr>
          </w:p>
        </w:tc>
        <w:tc>
          <w:tcPr>
            <w:tcW w:w="3686" w:type="dxa"/>
          </w:tcPr>
          <w:p w14:paraId="0A7EB8E0" w14:textId="77777777" w:rsidR="00B511F2" w:rsidRPr="009F3840" w:rsidRDefault="00B511F2" w:rsidP="009F3840">
            <w:pPr>
              <w:spacing w:after="120"/>
              <w:cnfStyle w:val="000000100000" w:firstRow="0" w:lastRow="0" w:firstColumn="0" w:lastColumn="0" w:oddVBand="0" w:evenVBand="0" w:oddHBand="1" w:evenHBand="0" w:firstRowFirstColumn="0" w:firstRowLastColumn="0" w:lastRowFirstColumn="0" w:lastRowLastColumn="0"/>
            </w:pPr>
            <w:r w:rsidRPr="009F3840">
              <w:t>PNTL reporting</w:t>
            </w:r>
          </w:p>
          <w:p w14:paraId="3A8711D6" w14:textId="77777777" w:rsidR="00B511F2" w:rsidRPr="009F3840" w:rsidRDefault="00B511F2" w:rsidP="009F3840">
            <w:pPr>
              <w:spacing w:after="120"/>
              <w:cnfStyle w:val="000000100000" w:firstRow="0" w:lastRow="0" w:firstColumn="0" w:lastColumn="0" w:oddVBand="0" w:evenVBand="0" w:oddHBand="1" w:evenHBand="0" w:firstRowFirstColumn="0" w:firstRowLastColumn="0" w:lastRowFirstColumn="0" w:lastRowLastColumn="0"/>
            </w:pPr>
            <w:r w:rsidRPr="009F3840">
              <w:rPr>
                <w:b/>
                <w:i/>
              </w:rPr>
              <w:t>Frequency:</w:t>
            </w:r>
            <w:r w:rsidRPr="009F3840">
              <w:t xml:space="preserve"> Bi-annual</w:t>
            </w:r>
          </w:p>
          <w:p w14:paraId="6AC41BE0" w14:textId="77777777" w:rsidR="00B511F2" w:rsidRPr="009F3840" w:rsidRDefault="00B511F2" w:rsidP="009F3840">
            <w:pPr>
              <w:spacing w:after="120"/>
              <w:cnfStyle w:val="000000100000" w:firstRow="0" w:lastRow="0" w:firstColumn="0" w:lastColumn="0" w:oddVBand="0" w:evenVBand="0" w:oddHBand="1" w:evenHBand="0" w:firstRowFirstColumn="0" w:firstRowLastColumn="0" w:lastRowFirstColumn="0" w:lastRowLastColumn="0"/>
            </w:pPr>
          </w:p>
        </w:tc>
      </w:tr>
      <w:tr w:rsidR="00B511F2" w:rsidRPr="00085CE2" w14:paraId="738B9D12" w14:textId="77777777" w:rsidTr="00B511F2">
        <w:trPr>
          <w:trHeight w:val="360"/>
        </w:trPr>
        <w:tc>
          <w:tcPr>
            <w:cnfStyle w:val="001000000000" w:firstRow="0" w:lastRow="0" w:firstColumn="1" w:lastColumn="0" w:oddVBand="0" w:evenVBand="0" w:oddHBand="0" w:evenHBand="0" w:firstRowFirstColumn="0" w:firstRowLastColumn="0" w:lastRowFirstColumn="0" w:lastRowLastColumn="0"/>
            <w:tcW w:w="6091" w:type="dxa"/>
            <w:hideMark/>
          </w:tcPr>
          <w:p w14:paraId="6F22E76E" w14:textId="77777777" w:rsidR="00B511F2" w:rsidRPr="00085CE2" w:rsidRDefault="00B511F2" w:rsidP="005C159D">
            <w:pPr>
              <w:spacing w:after="120"/>
            </w:pPr>
            <w:r w:rsidRPr="00085CE2">
              <w:t xml:space="preserve">The extent to which the PNTL is responding to the victims of </w:t>
            </w:r>
            <w:proofErr w:type="gramStart"/>
            <w:r w:rsidRPr="00085CE2">
              <w:t>gender based</w:t>
            </w:r>
            <w:proofErr w:type="gramEnd"/>
            <w:r w:rsidRPr="00085CE2">
              <w:t xml:space="preserve"> violence</w:t>
            </w:r>
          </w:p>
        </w:tc>
        <w:tc>
          <w:tcPr>
            <w:tcW w:w="4110" w:type="dxa"/>
          </w:tcPr>
          <w:p w14:paraId="29156315" w14:textId="77777777" w:rsidR="00B511F2" w:rsidRPr="00085CE2" w:rsidRDefault="00B511F2" w:rsidP="005C159D">
            <w:pPr>
              <w:spacing w:after="120"/>
              <w:cnfStyle w:val="000000000000" w:firstRow="0" w:lastRow="0" w:firstColumn="0" w:lastColumn="0" w:oddVBand="0" w:evenVBand="0" w:oddHBand="0" w:evenHBand="0" w:firstRowFirstColumn="0" w:firstRowLastColumn="0" w:lastRowFirstColumn="0" w:lastRowLastColumn="0"/>
            </w:pPr>
            <w:r w:rsidRPr="00085CE2">
              <w:t xml:space="preserve">Increase in reporting of </w:t>
            </w:r>
            <w:proofErr w:type="gramStart"/>
            <w:r w:rsidRPr="00085CE2">
              <w:t>gender based</w:t>
            </w:r>
            <w:proofErr w:type="gramEnd"/>
            <w:r w:rsidRPr="00085CE2">
              <w:t xml:space="preserve"> violence incidents</w:t>
            </w:r>
          </w:p>
          <w:p w14:paraId="3486DEF1" w14:textId="77777777" w:rsidR="00B511F2" w:rsidRPr="00085CE2" w:rsidRDefault="00B511F2" w:rsidP="005C159D">
            <w:pPr>
              <w:spacing w:after="120"/>
              <w:cnfStyle w:val="000000000000" w:firstRow="0" w:lastRow="0" w:firstColumn="0" w:lastColumn="0" w:oddVBand="0" w:evenVBand="0" w:oddHBand="0" w:evenHBand="0" w:firstRowFirstColumn="0" w:firstRowLastColumn="0" w:lastRowFirstColumn="0" w:lastRowLastColumn="0"/>
            </w:pPr>
          </w:p>
          <w:p w14:paraId="352393E0" w14:textId="77777777" w:rsidR="00B511F2" w:rsidRPr="00085CE2" w:rsidRDefault="00B511F2" w:rsidP="005C159D">
            <w:pPr>
              <w:spacing w:after="120"/>
              <w:cnfStyle w:val="000000000000" w:firstRow="0" w:lastRow="0" w:firstColumn="0" w:lastColumn="0" w:oddVBand="0" w:evenVBand="0" w:oddHBand="0" w:evenHBand="0" w:firstRowFirstColumn="0" w:firstRowLastColumn="0" w:lastRowFirstColumn="0" w:lastRowLastColumn="0"/>
            </w:pPr>
          </w:p>
          <w:p w14:paraId="30ECC76D" w14:textId="77777777" w:rsidR="00B511F2" w:rsidRPr="00085CE2" w:rsidRDefault="00B511F2" w:rsidP="005C159D">
            <w:pPr>
              <w:spacing w:after="120"/>
              <w:cnfStyle w:val="000000000000" w:firstRow="0" w:lastRow="0" w:firstColumn="0" w:lastColumn="0" w:oddVBand="0" w:evenVBand="0" w:oddHBand="0" w:evenHBand="0" w:firstRowFirstColumn="0" w:firstRowLastColumn="0" w:lastRowFirstColumn="0" w:lastRowLastColumn="0"/>
            </w:pPr>
            <w:r w:rsidRPr="00085CE2">
              <w:t>Increase in VPU response and investigations</w:t>
            </w:r>
          </w:p>
        </w:tc>
        <w:tc>
          <w:tcPr>
            <w:tcW w:w="3686" w:type="dxa"/>
          </w:tcPr>
          <w:p w14:paraId="06AB6C47" w14:textId="77777777" w:rsidR="00B511F2" w:rsidRPr="00085CE2" w:rsidRDefault="00B511F2" w:rsidP="005C159D">
            <w:pPr>
              <w:spacing w:after="120"/>
              <w:cnfStyle w:val="000000000000" w:firstRow="0" w:lastRow="0" w:firstColumn="0" w:lastColumn="0" w:oddVBand="0" w:evenVBand="0" w:oddHBand="0" w:evenHBand="0" w:firstRowFirstColumn="0" w:firstRowLastColumn="0" w:lastRowFirstColumn="0" w:lastRowLastColumn="0"/>
            </w:pPr>
            <w:r w:rsidRPr="00085CE2">
              <w:t>CSO and PNTL VPU reporting &amp; statistics</w:t>
            </w:r>
          </w:p>
          <w:p w14:paraId="7965A4CC" w14:textId="77777777" w:rsidR="00B511F2" w:rsidRPr="00085CE2" w:rsidRDefault="00B511F2" w:rsidP="005C159D">
            <w:pPr>
              <w:spacing w:after="120"/>
              <w:cnfStyle w:val="000000000000" w:firstRow="0" w:lastRow="0" w:firstColumn="0" w:lastColumn="0" w:oddVBand="0" w:evenVBand="0" w:oddHBand="0" w:evenHBand="0" w:firstRowFirstColumn="0" w:firstRowLastColumn="0" w:lastRowFirstColumn="0" w:lastRowLastColumn="0"/>
            </w:pPr>
            <w:r w:rsidRPr="00085CE2">
              <w:rPr>
                <w:b/>
                <w:i/>
              </w:rPr>
              <w:t>Frequency:</w:t>
            </w:r>
            <w:r w:rsidRPr="00085CE2">
              <w:t xml:space="preserve"> Bi-annual</w:t>
            </w:r>
          </w:p>
          <w:p w14:paraId="4B70317A" w14:textId="77777777" w:rsidR="00B511F2" w:rsidRPr="00085CE2" w:rsidRDefault="00B511F2" w:rsidP="005C159D">
            <w:pPr>
              <w:spacing w:after="120"/>
              <w:cnfStyle w:val="000000000000" w:firstRow="0" w:lastRow="0" w:firstColumn="0" w:lastColumn="0" w:oddVBand="0" w:evenVBand="0" w:oddHBand="0" w:evenHBand="0" w:firstRowFirstColumn="0" w:firstRowLastColumn="0" w:lastRowFirstColumn="0" w:lastRowLastColumn="0"/>
            </w:pPr>
          </w:p>
          <w:p w14:paraId="2A26E977" w14:textId="77777777" w:rsidR="00B511F2" w:rsidRPr="00085CE2" w:rsidRDefault="00B511F2" w:rsidP="005C159D">
            <w:pPr>
              <w:spacing w:after="120"/>
              <w:cnfStyle w:val="000000000000" w:firstRow="0" w:lastRow="0" w:firstColumn="0" w:lastColumn="0" w:oddVBand="0" w:evenVBand="0" w:oddHBand="0" w:evenHBand="0" w:firstRowFirstColumn="0" w:firstRowLastColumn="0" w:lastRowFirstColumn="0" w:lastRowLastColumn="0"/>
            </w:pPr>
            <w:r w:rsidRPr="00085CE2">
              <w:t>VPU reporting &amp; statistics</w:t>
            </w:r>
          </w:p>
          <w:p w14:paraId="31D75365" w14:textId="77777777" w:rsidR="00B511F2" w:rsidRPr="00085CE2" w:rsidRDefault="00B511F2" w:rsidP="005C159D">
            <w:pPr>
              <w:spacing w:after="120"/>
              <w:cnfStyle w:val="000000000000" w:firstRow="0" w:lastRow="0" w:firstColumn="0" w:lastColumn="0" w:oddVBand="0" w:evenVBand="0" w:oddHBand="0" w:evenHBand="0" w:firstRowFirstColumn="0" w:firstRowLastColumn="0" w:lastRowFirstColumn="0" w:lastRowLastColumn="0"/>
            </w:pPr>
            <w:r w:rsidRPr="00085CE2">
              <w:rPr>
                <w:b/>
                <w:i/>
              </w:rPr>
              <w:t>Frequency:</w:t>
            </w:r>
            <w:r w:rsidRPr="00085CE2">
              <w:t xml:space="preserve"> Bi-annual</w:t>
            </w:r>
          </w:p>
          <w:p w14:paraId="2CA72960" w14:textId="77777777" w:rsidR="00B511F2" w:rsidRPr="00085CE2" w:rsidRDefault="00B511F2" w:rsidP="005C159D">
            <w:pPr>
              <w:spacing w:after="120"/>
              <w:cnfStyle w:val="000000000000" w:firstRow="0" w:lastRow="0" w:firstColumn="0" w:lastColumn="0" w:oddVBand="0" w:evenVBand="0" w:oddHBand="0" w:evenHBand="0" w:firstRowFirstColumn="0" w:firstRowLastColumn="0" w:lastRowFirstColumn="0" w:lastRowLastColumn="0"/>
            </w:pPr>
          </w:p>
          <w:p w14:paraId="23EB1FFE" w14:textId="77777777" w:rsidR="00B511F2" w:rsidRPr="00085CE2" w:rsidRDefault="00B511F2" w:rsidP="005C159D">
            <w:pPr>
              <w:spacing w:after="120"/>
              <w:cnfStyle w:val="000000000000" w:firstRow="0" w:lastRow="0" w:firstColumn="0" w:lastColumn="0" w:oddVBand="0" w:evenVBand="0" w:oddHBand="0" w:evenHBand="0" w:firstRowFirstColumn="0" w:firstRowLastColumn="0" w:lastRowFirstColumn="0" w:lastRowLastColumn="0"/>
            </w:pPr>
            <w:r w:rsidRPr="00085CE2">
              <w:t>Community Perception Survey</w:t>
            </w:r>
          </w:p>
          <w:p w14:paraId="0E371E21" w14:textId="77777777" w:rsidR="00B511F2" w:rsidRPr="00085CE2" w:rsidRDefault="00B511F2" w:rsidP="005C159D">
            <w:pPr>
              <w:spacing w:after="120"/>
              <w:cnfStyle w:val="000000000000" w:firstRow="0" w:lastRow="0" w:firstColumn="0" w:lastColumn="0" w:oddVBand="0" w:evenVBand="0" w:oddHBand="0" w:evenHBand="0" w:firstRowFirstColumn="0" w:firstRowLastColumn="0" w:lastRowFirstColumn="0" w:lastRowLastColumn="0"/>
            </w:pPr>
            <w:r w:rsidRPr="00085CE2">
              <w:rPr>
                <w:b/>
                <w:i/>
              </w:rPr>
              <w:t>Frequency:</w:t>
            </w:r>
            <w:r w:rsidRPr="00085CE2">
              <w:t xml:space="preserve"> Biennial </w:t>
            </w:r>
          </w:p>
        </w:tc>
      </w:tr>
      <w:tr w:rsidR="00B511F2" w:rsidRPr="00085CE2" w14:paraId="69E6BA8D" w14:textId="77777777" w:rsidTr="00B511F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091" w:type="dxa"/>
          </w:tcPr>
          <w:p w14:paraId="4FFA63C4" w14:textId="7657C47F" w:rsidR="00B511F2" w:rsidRPr="00085CE2" w:rsidRDefault="00B511F2" w:rsidP="00332FA2">
            <w:pPr>
              <w:spacing w:after="120"/>
            </w:pPr>
            <w:r>
              <w:t>The extent to which the PNTL is visible and accessible to the community, delivers appropriate policing services, and mitigate crime and violence</w:t>
            </w:r>
          </w:p>
        </w:tc>
        <w:tc>
          <w:tcPr>
            <w:tcW w:w="4110" w:type="dxa"/>
          </w:tcPr>
          <w:p w14:paraId="62F7EEDC" w14:textId="065267CC" w:rsidR="00B511F2" w:rsidRPr="00617D39" w:rsidRDefault="00B511F2" w:rsidP="008A3863">
            <w:pPr>
              <w:spacing w:after="120"/>
              <w:cnfStyle w:val="000000100000" w:firstRow="0" w:lastRow="0" w:firstColumn="0" w:lastColumn="0" w:oddVBand="0" w:evenVBand="0" w:oddHBand="1" w:evenHBand="0" w:firstRowFirstColumn="0" w:firstRowLastColumn="0" w:lastRowFirstColumn="0" w:lastRowLastColumn="0"/>
            </w:pPr>
            <w:r>
              <w:t xml:space="preserve">Increase </w:t>
            </w:r>
            <w:proofErr w:type="gramStart"/>
            <w:r>
              <w:t xml:space="preserve">in </w:t>
            </w:r>
            <w:r w:rsidRPr="00617D39">
              <w:t xml:space="preserve"> front</w:t>
            </w:r>
            <w:proofErr w:type="gramEnd"/>
            <w:r w:rsidRPr="00617D39">
              <w:t xml:space="preserve"> line service </w:t>
            </w:r>
            <w:r>
              <w:t>at the</w:t>
            </w:r>
            <w:r w:rsidRPr="00617D39">
              <w:t xml:space="preserve"> community level and more visible, accessible and approachable to the community</w:t>
            </w:r>
          </w:p>
          <w:p w14:paraId="53D24492" w14:textId="796D01BF" w:rsidR="00B511F2" w:rsidRPr="00085CE2" w:rsidRDefault="00B511F2" w:rsidP="00332FA2">
            <w:pPr>
              <w:spacing w:after="120"/>
              <w:cnfStyle w:val="000000100000" w:firstRow="0" w:lastRow="0" w:firstColumn="0" w:lastColumn="0" w:oddVBand="0" w:evenVBand="0" w:oddHBand="1" w:evenHBand="0" w:firstRowFirstColumn="0" w:firstRowLastColumn="0" w:lastRowFirstColumn="0" w:lastRowLastColumn="0"/>
            </w:pPr>
            <w:r>
              <w:t>Increase in PNTL</w:t>
            </w:r>
            <w:r w:rsidRPr="00617D39">
              <w:t xml:space="preserve"> efforts </w:t>
            </w:r>
            <w:r>
              <w:t xml:space="preserve">to engage communities in relation to potential community conflict </w:t>
            </w:r>
            <w:r w:rsidRPr="00617D39">
              <w:t xml:space="preserve"> </w:t>
            </w:r>
          </w:p>
        </w:tc>
        <w:tc>
          <w:tcPr>
            <w:tcW w:w="3686" w:type="dxa"/>
          </w:tcPr>
          <w:p w14:paraId="48ECE8CA" w14:textId="77777777" w:rsidR="00B511F2" w:rsidRPr="00085CE2" w:rsidRDefault="00B511F2" w:rsidP="00E3031C">
            <w:pPr>
              <w:spacing w:after="120"/>
              <w:cnfStyle w:val="000000100000" w:firstRow="0" w:lastRow="0" w:firstColumn="0" w:lastColumn="0" w:oddVBand="0" w:evenVBand="0" w:oddHBand="1" w:evenHBand="0" w:firstRowFirstColumn="0" w:firstRowLastColumn="0" w:lastRowFirstColumn="0" w:lastRowLastColumn="0"/>
            </w:pPr>
            <w:r w:rsidRPr="00085CE2">
              <w:t>Community Perception Survey</w:t>
            </w:r>
          </w:p>
          <w:p w14:paraId="24B48413" w14:textId="77777777" w:rsidR="00B511F2" w:rsidRDefault="00B511F2" w:rsidP="00E3031C">
            <w:pPr>
              <w:spacing w:after="120"/>
              <w:cnfStyle w:val="000000100000" w:firstRow="0" w:lastRow="0" w:firstColumn="0" w:lastColumn="0" w:oddVBand="0" w:evenVBand="0" w:oddHBand="1" w:evenHBand="0" w:firstRowFirstColumn="0" w:firstRowLastColumn="0" w:lastRowFirstColumn="0" w:lastRowLastColumn="0"/>
            </w:pPr>
            <w:r w:rsidRPr="00085CE2">
              <w:rPr>
                <w:b/>
                <w:i/>
              </w:rPr>
              <w:t>Frequency:</w:t>
            </w:r>
            <w:r w:rsidRPr="00085CE2">
              <w:t xml:space="preserve"> Biennial </w:t>
            </w:r>
          </w:p>
          <w:p w14:paraId="55874F11" w14:textId="77777777" w:rsidR="00B511F2" w:rsidRDefault="00B511F2" w:rsidP="00E3031C">
            <w:pPr>
              <w:spacing w:after="120"/>
              <w:cnfStyle w:val="000000100000" w:firstRow="0" w:lastRow="0" w:firstColumn="0" w:lastColumn="0" w:oddVBand="0" w:evenVBand="0" w:oddHBand="1" w:evenHBand="0" w:firstRowFirstColumn="0" w:firstRowLastColumn="0" w:lastRowFirstColumn="0" w:lastRowLastColumn="0"/>
            </w:pPr>
          </w:p>
          <w:p w14:paraId="1123BD08" w14:textId="3C3B99C8" w:rsidR="00B511F2" w:rsidRPr="009F3840" w:rsidRDefault="00B511F2" w:rsidP="00E3031C">
            <w:pPr>
              <w:spacing w:after="120"/>
              <w:cnfStyle w:val="000000100000" w:firstRow="0" w:lastRow="0" w:firstColumn="0" w:lastColumn="0" w:oddVBand="0" w:evenVBand="0" w:oddHBand="1" w:evenHBand="0" w:firstRowFirstColumn="0" w:firstRowLastColumn="0" w:lastRowFirstColumn="0" w:lastRowLastColumn="0"/>
            </w:pPr>
            <w:r w:rsidRPr="009F3840">
              <w:t>PNTL reporting</w:t>
            </w:r>
          </w:p>
          <w:p w14:paraId="449D843C" w14:textId="39A3BA3C" w:rsidR="00B511F2" w:rsidRPr="00085CE2" w:rsidRDefault="00B511F2" w:rsidP="005C159D">
            <w:pPr>
              <w:spacing w:after="120"/>
              <w:cnfStyle w:val="000000100000" w:firstRow="0" w:lastRow="0" w:firstColumn="0" w:lastColumn="0" w:oddVBand="0" w:evenVBand="0" w:oddHBand="1" w:evenHBand="0" w:firstRowFirstColumn="0" w:firstRowLastColumn="0" w:lastRowFirstColumn="0" w:lastRowLastColumn="0"/>
            </w:pPr>
            <w:r w:rsidRPr="009F3840">
              <w:rPr>
                <w:b/>
                <w:i/>
              </w:rPr>
              <w:t>Frequency:</w:t>
            </w:r>
            <w:r w:rsidRPr="009F3840">
              <w:t xml:space="preserve"> Bi-ann</w:t>
            </w:r>
            <w:r>
              <w:t>ual</w:t>
            </w:r>
          </w:p>
        </w:tc>
      </w:tr>
      <w:tr w:rsidR="00B511F2" w:rsidRPr="00085CE2" w14:paraId="5EB65700" w14:textId="77777777" w:rsidTr="00B511F2">
        <w:trPr>
          <w:trHeight w:val="360"/>
        </w:trPr>
        <w:tc>
          <w:tcPr>
            <w:cnfStyle w:val="001000000000" w:firstRow="0" w:lastRow="0" w:firstColumn="1" w:lastColumn="0" w:oddVBand="0" w:evenVBand="0" w:oddHBand="0" w:evenHBand="0" w:firstRowFirstColumn="0" w:firstRowLastColumn="0" w:lastRowFirstColumn="0" w:lastRowLastColumn="0"/>
            <w:tcW w:w="6091" w:type="dxa"/>
          </w:tcPr>
          <w:p w14:paraId="2B016C72" w14:textId="4512BDEF" w:rsidR="00B511F2" w:rsidRPr="00085CE2" w:rsidRDefault="00B511F2" w:rsidP="005C159D">
            <w:pPr>
              <w:spacing w:after="120"/>
            </w:pPr>
            <w:r w:rsidRPr="00085CE2">
              <w:t>The extent to which the PNTL is engaging with the community to develop policing approaches</w:t>
            </w:r>
            <w:r>
              <w:t xml:space="preserve"> and increasing community awareness of crime and justice</w:t>
            </w:r>
          </w:p>
        </w:tc>
        <w:tc>
          <w:tcPr>
            <w:tcW w:w="4110" w:type="dxa"/>
            <w:hideMark/>
          </w:tcPr>
          <w:p w14:paraId="70AA2974" w14:textId="47127EE1" w:rsidR="00B511F2" w:rsidRPr="00085CE2" w:rsidRDefault="00B511F2" w:rsidP="009E7FA9">
            <w:pPr>
              <w:spacing w:after="120"/>
              <w:cnfStyle w:val="000000000000" w:firstRow="0" w:lastRow="0" w:firstColumn="0" w:lastColumn="0" w:oddVBand="0" w:evenVBand="0" w:oddHBand="0" w:evenHBand="0" w:firstRowFirstColumn="0" w:firstRowLastColumn="0" w:lastRowFirstColumn="0" w:lastRowLastColumn="0"/>
            </w:pPr>
            <w:r>
              <w:t>Changes in c</w:t>
            </w:r>
            <w:r w:rsidRPr="00085CE2">
              <w:t>ommunity perceptions of the PNTL</w:t>
            </w:r>
          </w:p>
        </w:tc>
        <w:tc>
          <w:tcPr>
            <w:tcW w:w="3686" w:type="dxa"/>
            <w:hideMark/>
          </w:tcPr>
          <w:p w14:paraId="4B053163" w14:textId="77777777" w:rsidR="00B511F2" w:rsidRPr="00085CE2" w:rsidRDefault="00B511F2" w:rsidP="005C159D">
            <w:pPr>
              <w:spacing w:after="120"/>
              <w:cnfStyle w:val="000000000000" w:firstRow="0" w:lastRow="0" w:firstColumn="0" w:lastColumn="0" w:oddVBand="0" w:evenVBand="0" w:oddHBand="0" w:evenHBand="0" w:firstRowFirstColumn="0" w:firstRowLastColumn="0" w:lastRowFirstColumn="0" w:lastRowLastColumn="0"/>
            </w:pPr>
            <w:r w:rsidRPr="00085CE2">
              <w:t>Community Perception Survey</w:t>
            </w:r>
          </w:p>
          <w:p w14:paraId="21449289" w14:textId="77777777" w:rsidR="00B511F2" w:rsidRPr="00085CE2" w:rsidRDefault="00B511F2" w:rsidP="005C159D">
            <w:pPr>
              <w:spacing w:after="120"/>
              <w:cnfStyle w:val="000000000000" w:firstRow="0" w:lastRow="0" w:firstColumn="0" w:lastColumn="0" w:oddVBand="0" w:evenVBand="0" w:oddHBand="0" w:evenHBand="0" w:firstRowFirstColumn="0" w:firstRowLastColumn="0" w:lastRowFirstColumn="0" w:lastRowLastColumn="0"/>
            </w:pPr>
            <w:r w:rsidRPr="00085CE2">
              <w:rPr>
                <w:b/>
                <w:i/>
              </w:rPr>
              <w:t>Frequency:</w:t>
            </w:r>
            <w:r w:rsidRPr="00085CE2">
              <w:t xml:space="preserve"> Biennial</w:t>
            </w:r>
          </w:p>
        </w:tc>
      </w:tr>
    </w:tbl>
    <w:p w14:paraId="792AAE16" w14:textId="77777777" w:rsidR="00981AD0" w:rsidRDefault="00981AD0" w:rsidP="007701F5">
      <w:pPr>
        <w:spacing w:after="120" w:line="240" w:lineRule="auto"/>
      </w:pPr>
    </w:p>
    <w:p w14:paraId="6541D7DE" w14:textId="77777777" w:rsidR="00085CE2" w:rsidRDefault="00085CE2" w:rsidP="00F73983">
      <w:pPr>
        <w:pStyle w:val="Heading3"/>
        <w:numPr>
          <w:ilvl w:val="2"/>
          <w:numId w:val="0"/>
        </w:numPr>
        <w:spacing w:before="0" w:after="120" w:line="240" w:lineRule="auto"/>
        <w:ind w:left="720" w:hanging="720"/>
        <w:rPr>
          <w:b/>
          <w:bCs/>
          <w:color w:val="4F81BD" w:themeColor="accent1"/>
          <w:sz w:val="26"/>
          <w:szCs w:val="26"/>
          <w:lang w:eastAsia="en-US"/>
        </w:rPr>
        <w:sectPr w:rsidR="00085CE2" w:rsidSect="00C7778C">
          <w:pgSz w:w="16839" w:h="11907" w:orient="landscape" w:code="9"/>
          <w:pgMar w:top="1440" w:right="1440" w:bottom="1440" w:left="1440" w:header="708" w:footer="708" w:gutter="0"/>
          <w:cols w:space="708"/>
          <w:docGrid w:linePitch="360"/>
        </w:sectPr>
      </w:pPr>
    </w:p>
    <w:p w14:paraId="56CA823C" w14:textId="3DD8B65D" w:rsidR="00F73983" w:rsidRDefault="00F73983" w:rsidP="00454F38">
      <w:pPr>
        <w:pStyle w:val="Heading2"/>
        <w:rPr>
          <w:lang w:eastAsia="en-US"/>
        </w:rPr>
      </w:pPr>
      <w:bookmarkStart w:id="141" w:name="_Toc516189145"/>
      <w:bookmarkStart w:id="142" w:name="_Toc516189393"/>
      <w:r w:rsidRPr="009F3840">
        <w:rPr>
          <w:lang w:eastAsia="en-US"/>
        </w:rPr>
        <w:lastRenderedPageBreak/>
        <w:t>Timor</w:t>
      </w:r>
      <w:r w:rsidR="00F034CA">
        <w:rPr>
          <w:lang w:eastAsia="en-US"/>
        </w:rPr>
        <w:t>-</w:t>
      </w:r>
      <w:r w:rsidRPr="009F3840">
        <w:rPr>
          <w:lang w:eastAsia="en-US"/>
        </w:rPr>
        <w:t>Leste Police Development Program Aid Criteria Results Framework</w:t>
      </w:r>
      <w:bookmarkEnd w:id="141"/>
      <w:bookmarkEnd w:id="142"/>
    </w:p>
    <w:p w14:paraId="709FE950" w14:textId="603CEFC6" w:rsidR="00F73983" w:rsidRDefault="00F73983" w:rsidP="009F3840">
      <w:pPr>
        <w:pStyle w:val="BodyText"/>
        <w:spacing w:before="0" w:after="120" w:line="240" w:lineRule="auto"/>
        <w:rPr>
          <w:color w:val="auto"/>
        </w:rPr>
      </w:pPr>
      <w:r w:rsidRPr="009F3840">
        <w:rPr>
          <w:color w:val="auto"/>
        </w:rPr>
        <w:t xml:space="preserve">Six KEQs and related sub-questions have been developed against the OECD – DAC criteria to guide the investment’s MEL efforts and should assist the Program to maintain continuity in performance measures over time. These KEQs will need to be reviewed by the MEL </w:t>
      </w:r>
      <w:r w:rsidR="009E5297" w:rsidRPr="009F3840">
        <w:rPr>
          <w:color w:val="auto"/>
        </w:rPr>
        <w:t xml:space="preserve">practitioner in the initial six months of the Program to confirm proposed data sources and check their viability. </w:t>
      </w:r>
    </w:p>
    <w:p w14:paraId="1CC768CE" w14:textId="7586D204" w:rsidR="00137E3E" w:rsidRDefault="00137E3E" w:rsidP="00137E3E">
      <w:pPr>
        <w:pStyle w:val="Heading3"/>
        <w:numPr>
          <w:ilvl w:val="3"/>
          <w:numId w:val="54"/>
        </w:numPr>
        <w:rPr>
          <w:i/>
        </w:rPr>
      </w:pPr>
      <w:r w:rsidRPr="009F3840">
        <w:t>How relevant are TLPDP’s outcomes in terms of alignment with Australian policy and the goals of Timor-Leste</w:t>
      </w:r>
      <w:r w:rsidRPr="009F3840">
        <w:rPr>
          <w:i/>
        </w:rPr>
        <w:t>?</w:t>
      </w:r>
    </w:p>
    <w:tbl>
      <w:tblPr>
        <w:tblStyle w:val="LightList-Accent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5"/>
        <w:gridCol w:w="6065"/>
        <w:gridCol w:w="3169"/>
      </w:tblGrid>
      <w:tr w:rsidR="00137E3E" w:rsidRPr="009F3840" w14:paraId="159EA971" w14:textId="77777777" w:rsidTr="00AD7F81">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4705" w:type="dxa"/>
            <w:shd w:val="clear" w:color="auto" w:fill="EAF1DD" w:themeFill="accent3" w:themeFillTint="33"/>
            <w:hideMark/>
          </w:tcPr>
          <w:p w14:paraId="71625480" w14:textId="77777777" w:rsidR="00137E3E" w:rsidRPr="00137E3E" w:rsidRDefault="00137E3E" w:rsidP="00AD7F81">
            <w:pPr>
              <w:spacing w:after="120"/>
              <w:rPr>
                <w:bCs w:val="0"/>
                <w:iCs/>
                <w:color w:val="auto"/>
              </w:rPr>
            </w:pPr>
            <w:r w:rsidRPr="00137E3E">
              <w:rPr>
                <w:bCs w:val="0"/>
                <w:iCs/>
                <w:color w:val="auto"/>
              </w:rPr>
              <w:t>Sub question/s</w:t>
            </w:r>
          </w:p>
        </w:tc>
        <w:tc>
          <w:tcPr>
            <w:tcW w:w="6065" w:type="dxa"/>
            <w:shd w:val="clear" w:color="auto" w:fill="EAF1DD" w:themeFill="accent3" w:themeFillTint="33"/>
            <w:hideMark/>
          </w:tcPr>
          <w:p w14:paraId="6450A151" w14:textId="77777777" w:rsidR="00137E3E" w:rsidRPr="00137E3E" w:rsidRDefault="00137E3E" w:rsidP="00AD7F81">
            <w:pPr>
              <w:spacing w:after="120"/>
              <w:cnfStyle w:val="100000000000" w:firstRow="1" w:lastRow="0" w:firstColumn="0" w:lastColumn="0" w:oddVBand="0" w:evenVBand="0" w:oddHBand="0" w:evenHBand="0" w:firstRowFirstColumn="0" w:firstRowLastColumn="0" w:lastRowFirstColumn="0" w:lastRowLastColumn="0"/>
              <w:rPr>
                <w:bCs w:val="0"/>
                <w:iCs/>
                <w:color w:val="auto"/>
              </w:rPr>
            </w:pPr>
            <w:r w:rsidRPr="00137E3E">
              <w:rPr>
                <w:iCs/>
                <w:color w:val="auto"/>
              </w:rPr>
              <w:t>Indicators/measures</w:t>
            </w:r>
          </w:p>
        </w:tc>
        <w:tc>
          <w:tcPr>
            <w:tcW w:w="3169" w:type="dxa"/>
            <w:shd w:val="clear" w:color="auto" w:fill="EAF1DD" w:themeFill="accent3" w:themeFillTint="33"/>
            <w:hideMark/>
          </w:tcPr>
          <w:p w14:paraId="04499325" w14:textId="77777777" w:rsidR="00137E3E" w:rsidRPr="00137E3E" w:rsidRDefault="00137E3E" w:rsidP="00AD7F81">
            <w:pPr>
              <w:spacing w:after="120"/>
              <w:cnfStyle w:val="100000000000" w:firstRow="1" w:lastRow="0" w:firstColumn="0" w:lastColumn="0" w:oddVBand="0" w:evenVBand="0" w:oddHBand="0" w:evenHBand="0" w:firstRowFirstColumn="0" w:firstRowLastColumn="0" w:lastRowFirstColumn="0" w:lastRowLastColumn="0"/>
              <w:rPr>
                <w:bCs w:val="0"/>
                <w:iCs/>
                <w:color w:val="auto"/>
              </w:rPr>
            </w:pPr>
            <w:r w:rsidRPr="00137E3E">
              <w:rPr>
                <w:iCs/>
                <w:color w:val="auto"/>
              </w:rPr>
              <w:t>Data Collection</w:t>
            </w:r>
          </w:p>
        </w:tc>
      </w:tr>
      <w:tr w:rsidR="00137E3E" w:rsidRPr="009F3840" w14:paraId="7272DC25" w14:textId="77777777" w:rsidTr="00AD7F81">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4705" w:type="dxa"/>
            <w:hideMark/>
          </w:tcPr>
          <w:p w14:paraId="02D713F8" w14:textId="77777777" w:rsidR="00137E3E" w:rsidRPr="009F3840" w:rsidRDefault="00137E3E" w:rsidP="00AD7F81">
            <w:pPr>
              <w:spacing w:after="120"/>
              <w:rPr>
                <w:b w:val="0"/>
              </w:rPr>
            </w:pPr>
            <w:r w:rsidRPr="009F3840">
              <w:rPr>
                <w:b w:val="0"/>
              </w:rPr>
              <w:t>How well does TLPDP align with Australia's and Timor-Leste’s priorities?</w:t>
            </w:r>
          </w:p>
        </w:tc>
        <w:tc>
          <w:tcPr>
            <w:tcW w:w="6065" w:type="dxa"/>
          </w:tcPr>
          <w:p w14:paraId="1025C240" w14:textId="77777777" w:rsidR="00137E3E" w:rsidRPr="009F3840" w:rsidRDefault="00137E3E" w:rsidP="00AD7F81">
            <w:pPr>
              <w:spacing w:after="120"/>
              <w:cnfStyle w:val="000000100000" w:firstRow="0" w:lastRow="0" w:firstColumn="0" w:lastColumn="0" w:oddVBand="0" w:evenVBand="0" w:oddHBand="1" w:evenHBand="0" w:firstRowFirstColumn="0" w:firstRowLastColumn="0" w:lastRowFirstColumn="0" w:lastRowLastColumn="0"/>
            </w:pPr>
            <w:r w:rsidRPr="009F3840">
              <w:t>Number (and %) of supported initiatives consistent with priorities and rating of alignment</w:t>
            </w:r>
          </w:p>
          <w:p w14:paraId="1399CABA" w14:textId="77777777" w:rsidR="00137E3E" w:rsidRPr="009F3840" w:rsidRDefault="00137E3E" w:rsidP="00AD7F81">
            <w:pPr>
              <w:spacing w:after="120"/>
              <w:cnfStyle w:val="000000100000" w:firstRow="0" w:lastRow="0" w:firstColumn="0" w:lastColumn="0" w:oddVBand="0" w:evenVBand="0" w:oddHBand="1" w:evenHBand="0" w:firstRowFirstColumn="0" w:firstRowLastColumn="0" w:lastRowFirstColumn="0" w:lastRowLastColumn="0"/>
            </w:pPr>
          </w:p>
          <w:p w14:paraId="0E02F1E7" w14:textId="77777777" w:rsidR="00137E3E" w:rsidRPr="009F3840" w:rsidRDefault="00137E3E" w:rsidP="00AD7F81">
            <w:pPr>
              <w:spacing w:after="120"/>
              <w:cnfStyle w:val="000000100000" w:firstRow="0" w:lastRow="0" w:firstColumn="0" w:lastColumn="0" w:oddVBand="0" w:evenVBand="0" w:oddHBand="1" w:evenHBand="0" w:firstRowFirstColumn="0" w:firstRowLastColumn="0" w:lastRowFirstColumn="0" w:lastRowLastColumn="0"/>
            </w:pPr>
            <w:r w:rsidRPr="009F3840">
              <w:t>What have we learned about enablers/constraints to change in Timor-Leste (context)? (qualitative)</w:t>
            </w:r>
          </w:p>
        </w:tc>
        <w:tc>
          <w:tcPr>
            <w:tcW w:w="3169" w:type="dxa"/>
          </w:tcPr>
          <w:p w14:paraId="2206E477" w14:textId="77777777" w:rsidR="00137E3E" w:rsidRPr="009F3840" w:rsidRDefault="00137E3E" w:rsidP="00AD7F81">
            <w:pPr>
              <w:spacing w:after="120"/>
              <w:cnfStyle w:val="000000100000" w:firstRow="0" w:lastRow="0" w:firstColumn="0" w:lastColumn="0" w:oddVBand="0" w:evenVBand="0" w:oddHBand="1" w:evenHBand="0" w:firstRowFirstColumn="0" w:firstRowLastColumn="0" w:lastRowFirstColumn="0" w:lastRowLastColumn="0"/>
            </w:pPr>
            <w:r w:rsidRPr="009F3840">
              <w:t>Work Planning Processes</w:t>
            </w:r>
          </w:p>
          <w:p w14:paraId="7D776FE2" w14:textId="77777777" w:rsidR="00137E3E" w:rsidRPr="009F3840" w:rsidRDefault="00137E3E" w:rsidP="00AD7F81">
            <w:pPr>
              <w:spacing w:after="120"/>
              <w:cnfStyle w:val="000000100000" w:firstRow="0" w:lastRow="0" w:firstColumn="0" w:lastColumn="0" w:oddVBand="0" w:evenVBand="0" w:oddHBand="1" w:evenHBand="0" w:firstRowFirstColumn="0" w:firstRowLastColumn="0" w:lastRowFirstColumn="0" w:lastRowLastColumn="0"/>
            </w:pPr>
            <w:r w:rsidRPr="009F3840">
              <w:t>Mid-Term Review</w:t>
            </w:r>
          </w:p>
          <w:p w14:paraId="6A0C3C51" w14:textId="77777777" w:rsidR="00137E3E" w:rsidRPr="009F3840" w:rsidRDefault="00137E3E" w:rsidP="00AD7F81">
            <w:pPr>
              <w:spacing w:after="120"/>
              <w:cnfStyle w:val="000000100000" w:firstRow="0" w:lastRow="0" w:firstColumn="0" w:lastColumn="0" w:oddVBand="0" w:evenVBand="0" w:oddHBand="1" w:evenHBand="0" w:firstRowFirstColumn="0" w:firstRowLastColumn="0" w:lastRowFirstColumn="0" w:lastRowLastColumn="0"/>
            </w:pPr>
          </w:p>
        </w:tc>
      </w:tr>
    </w:tbl>
    <w:p w14:paraId="72F663DF" w14:textId="38B9375F" w:rsidR="00137E3E" w:rsidRDefault="00137E3E" w:rsidP="00137E3E">
      <w:pPr>
        <w:pStyle w:val="Heading3"/>
        <w:numPr>
          <w:ilvl w:val="3"/>
          <w:numId w:val="54"/>
        </w:numPr>
      </w:pPr>
      <w:r w:rsidRPr="00137E3E">
        <w:t>How effective has TLPDP been in contributing to key outcomes in the overarching program logic?</w:t>
      </w:r>
    </w:p>
    <w:tbl>
      <w:tblPr>
        <w:tblStyle w:val="LightList-Accent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5"/>
        <w:gridCol w:w="6065"/>
        <w:gridCol w:w="3169"/>
      </w:tblGrid>
      <w:tr w:rsidR="00137E3E" w:rsidRPr="009F3840" w14:paraId="25283AA6" w14:textId="77777777" w:rsidTr="00AD7F81">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4705" w:type="dxa"/>
            <w:shd w:val="clear" w:color="auto" w:fill="EAF1DD" w:themeFill="accent3" w:themeFillTint="33"/>
            <w:hideMark/>
          </w:tcPr>
          <w:p w14:paraId="53621CE0" w14:textId="77777777" w:rsidR="00137E3E" w:rsidRPr="00137E3E" w:rsidRDefault="00137E3E" w:rsidP="00AD7F81">
            <w:pPr>
              <w:spacing w:after="120"/>
              <w:rPr>
                <w:bCs w:val="0"/>
                <w:iCs/>
                <w:color w:val="auto"/>
              </w:rPr>
            </w:pPr>
            <w:r w:rsidRPr="00137E3E">
              <w:rPr>
                <w:bCs w:val="0"/>
                <w:iCs/>
                <w:color w:val="auto"/>
              </w:rPr>
              <w:t>Sub question/s</w:t>
            </w:r>
          </w:p>
        </w:tc>
        <w:tc>
          <w:tcPr>
            <w:tcW w:w="6065" w:type="dxa"/>
            <w:shd w:val="clear" w:color="auto" w:fill="EAF1DD" w:themeFill="accent3" w:themeFillTint="33"/>
            <w:hideMark/>
          </w:tcPr>
          <w:p w14:paraId="75FA96E9" w14:textId="77777777" w:rsidR="00137E3E" w:rsidRPr="00137E3E" w:rsidRDefault="00137E3E" w:rsidP="00AD7F81">
            <w:pPr>
              <w:spacing w:after="120"/>
              <w:cnfStyle w:val="100000000000" w:firstRow="1" w:lastRow="0" w:firstColumn="0" w:lastColumn="0" w:oddVBand="0" w:evenVBand="0" w:oddHBand="0" w:evenHBand="0" w:firstRowFirstColumn="0" w:firstRowLastColumn="0" w:lastRowFirstColumn="0" w:lastRowLastColumn="0"/>
              <w:rPr>
                <w:bCs w:val="0"/>
                <w:iCs/>
                <w:color w:val="auto"/>
              </w:rPr>
            </w:pPr>
            <w:r w:rsidRPr="00137E3E">
              <w:rPr>
                <w:bCs w:val="0"/>
                <w:iCs/>
                <w:color w:val="auto"/>
              </w:rPr>
              <w:t>Indicators/measures</w:t>
            </w:r>
          </w:p>
        </w:tc>
        <w:tc>
          <w:tcPr>
            <w:tcW w:w="3169" w:type="dxa"/>
            <w:shd w:val="clear" w:color="auto" w:fill="EAF1DD" w:themeFill="accent3" w:themeFillTint="33"/>
            <w:hideMark/>
          </w:tcPr>
          <w:p w14:paraId="297C6B2C" w14:textId="77777777" w:rsidR="00137E3E" w:rsidRPr="00137E3E" w:rsidRDefault="00137E3E" w:rsidP="00AD7F81">
            <w:pPr>
              <w:spacing w:after="120"/>
              <w:cnfStyle w:val="100000000000" w:firstRow="1" w:lastRow="0" w:firstColumn="0" w:lastColumn="0" w:oddVBand="0" w:evenVBand="0" w:oddHBand="0" w:evenHBand="0" w:firstRowFirstColumn="0" w:firstRowLastColumn="0" w:lastRowFirstColumn="0" w:lastRowLastColumn="0"/>
              <w:rPr>
                <w:bCs w:val="0"/>
                <w:iCs/>
                <w:color w:val="auto"/>
              </w:rPr>
            </w:pPr>
            <w:r w:rsidRPr="00137E3E">
              <w:rPr>
                <w:bCs w:val="0"/>
                <w:iCs/>
                <w:color w:val="auto"/>
              </w:rPr>
              <w:t>Data Collection</w:t>
            </w:r>
          </w:p>
        </w:tc>
      </w:tr>
      <w:tr w:rsidR="00137E3E" w:rsidRPr="009F3840" w14:paraId="600F2F21" w14:textId="77777777" w:rsidTr="00AD7F81">
        <w:trPr>
          <w:cnfStyle w:val="000000100000" w:firstRow="0" w:lastRow="0" w:firstColumn="0" w:lastColumn="0" w:oddVBand="0" w:evenVBand="0" w:oddHBand="1" w:evenHBand="0" w:firstRowFirstColumn="0" w:firstRowLastColumn="0" w:lastRowFirstColumn="0" w:lastRowLastColumn="0"/>
          <w:trHeight w:val="912"/>
        </w:trPr>
        <w:tc>
          <w:tcPr>
            <w:cnfStyle w:val="001000000000" w:firstRow="0" w:lastRow="0" w:firstColumn="1" w:lastColumn="0" w:oddVBand="0" w:evenVBand="0" w:oddHBand="0" w:evenHBand="0" w:firstRowFirstColumn="0" w:firstRowLastColumn="0" w:lastRowFirstColumn="0" w:lastRowLastColumn="0"/>
            <w:tcW w:w="4705" w:type="dxa"/>
            <w:hideMark/>
          </w:tcPr>
          <w:p w14:paraId="135EA69C" w14:textId="77777777" w:rsidR="00137E3E" w:rsidRPr="009F3840" w:rsidRDefault="00137E3E" w:rsidP="00AD7F81">
            <w:pPr>
              <w:spacing w:after="120"/>
            </w:pPr>
            <w:r w:rsidRPr="009F3840">
              <w:rPr>
                <w:b w:val="0"/>
              </w:rPr>
              <w:t xml:space="preserve">To what extent were key outcomes achieved in each of the </w:t>
            </w:r>
            <w:r>
              <w:rPr>
                <w:b w:val="0"/>
              </w:rPr>
              <w:t>component</w:t>
            </w:r>
            <w:r w:rsidRPr="009F3840">
              <w:rPr>
                <w:b w:val="0"/>
              </w:rPr>
              <w:t xml:space="preserve"> pathways (refer to the Results Framework indicators)?</w:t>
            </w:r>
          </w:p>
        </w:tc>
        <w:tc>
          <w:tcPr>
            <w:tcW w:w="6065" w:type="dxa"/>
            <w:hideMark/>
          </w:tcPr>
          <w:p w14:paraId="312A59E8" w14:textId="77777777" w:rsidR="00137E3E" w:rsidRPr="009F3840" w:rsidRDefault="00137E3E" w:rsidP="00AD7F81">
            <w:pPr>
              <w:spacing w:after="120"/>
              <w:cnfStyle w:val="000000100000" w:firstRow="0" w:lastRow="0" w:firstColumn="0" w:lastColumn="0" w:oddVBand="0" w:evenVBand="0" w:oddHBand="1" w:evenHBand="0" w:firstRowFirstColumn="0" w:firstRowLastColumn="0" w:lastRowFirstColumn="0" w:lastRowLastColumn="0"/>
            </w:pPr>
            <w:r w:rsidRPr="009F3840">
              <w:t>Progress towards key outcomes (see Results Framework)</w:t>
            </w:r>
          </w:p>
        </w:tc>
        <w:tc>
          <w:tcPr>
            <w:tcW w:w="3169" w:type="dxa"/>
            <w:hideMark/>
          </w:tcPr>
          <w:p w14:paraId="40C7EBB4" w14:textId="77777777" w:rsidR="00137E3E" w:rsidRPr="009F3840" w:rsidRDefault="00137E3E" w:rsidP="00AD7F81">
            <w:pPr>
              <w:spacing w:after="120"/>
              <w:cnfStyle w:val="000000100000" w:firstRow="0" w:lastRow="0" w:firstColumn="0" w:lastColumn="0" w:oddVBand="0" w:evenVBand="0" w:oddHBand="1" w:evenHBand="0" w:firstRowFirstColumn="0" w:firstRowLastColumn="0" w:lastRowFirstColumn="0" w:lastRowLastColumn="0"/>
            </w:pPr>
            <w:r w:rsidRPr="009F3840">
              <w:t>Results Framework Monitoring</w:t>
            </w:r>
          </w:p>
          <w:p w14:paraId="50AA2ABC" w14:textId="77777777" w:rsidR="00137E3E" w:rsidRDefault="00137E3E" w:rsidP="00AD7F81">
            <w:pPr>
              <w:spacing w:after="120"/>
              <w:cnfStyle w:val="000000100000" w:firstRow="0" w:lastRow="0" w:firstColumn="0" w:lastColumn="0" w:oddVBand="0" w:evenVBand="0" w:oddHBand="1" w:evenHBand="0" w:firstRowFirstColumn="0" w:firstRowLastColumn="0" w:lastRowFirstColumn="0" w:lastRowLastColumn="0"/>
            </w:pPr>
            <w:r w:rsidRPr="009F3840">
              <w:t>MPRs and annual reports</w:t>
            </w:r>
          </w:p>
          <w:p w14:paraId="2B36600A" w14:textId="77777777" w:rsidR="00137E3E" w:rsidRPr="009F3840" w:rsidRDefault="00137E3E" w:rsidP="00AD7F81">
            <w:pPr>
              <w:spacing w:after="120"/>
              <w:cnfStyle w:val="000000100000" w:firstRow="0" w:lastRow="0" w:firstColumn="0" w:lastColumn="0" w:oddVBand="0" w:evenVBand="0" w:oddHBand="1" w:evenHBand="0" w:firstRowFirstColumn="0" w:firstRowLastColumn="0" w:lastRowFirstColumn="0" w:lastRowLastColumn="0"/>
            </w:pPr>
            <w:r>
              <w:t>Mid-Term Review</w:t>
            </w:r>
          </w:p>
        </w:tc>
      </w:tr>
    </w:tbl>
    <w:p w14:paraId="6BE5CC7B" w14:textId="4997D5A8" w:rsidR="00137E3E" w:rsidRDefault="00137E3E" w:rsidP="00137E3E">
      <w:pPr>
        <w:pStyle w:val="Heading3"/>
        <w:numPr>
          <w:ilvl w:val="3"/>
          <w:numId w:val="54"/>
        </w:numPr>
      </w:pPr>
      <w:r w:rsidRPr="009F3840">
        <w:t>To what extent can the program be considered operationally efficient and cost-effective?</w:t>
      </w:r>
    </w:p>
    <w:tbl>
      <w:tblPr>
        <w:tblStyle w:val="LightList-Accent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5"/>
        <w:gridCol w:w="6065"/>
        <w:gridCol w:w="3169"/>
      </w:tblGrid>
      <w:tr w:rsidR="00137E3E" w:rsidRPr="009F3840" w14:paraId="54572108" w14:textId="77777777" w:rsidTr="00AD7F81">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705" w:type="dxa"/>
            <w:shd w:val="clear" w:color="auto" w:fill="EAF1DD" w:themeFill="accent3" w:themeFillTint="33"/>
            <w:hideMark/>
          </w:tcPr>
          <w:p w14:paraId="02FA481C" w14:textId="77777777" w:rsidR="00137E3E" w:rsidRPr="00137E3E" w:rsidRDefault="00137E3E" w:rsidP="00AD7F81">
            <w:pPr>
              <w:spacing w:after="120"/>
              <w:rPr>
                <w:bCs w:val="0"/>
                <w:iCs/>
                <w:color w:val="auto"/>
              </w:rPr>
            </w:pPr>
            <w:r w:rsidRPr="00137E3E">
              <w:rPr>
                <w:bCs w:val="0"/>
                <w:iCs/>
                <w:color w:val="auto"/>
              </w:rPr>
              <w:t>Sub question/s</w:t>
            </w:r>
          </w:p>
        </w:tc>
        <w:tc>
          <w:tcPr>
            <w:tcW w:w="6065" w:type="dxa"/>
            <w:shd w:val="clear" w:color="auto" w:fill="EAF1DD" w:themeFill="accent3" w:themeFillTint="33"/>
            <w:hideMark/>
          </w:tcPr>
          <w:p w14:paraId="56AD18BC" w14:textId="77777777" w:rsidR="00137E3E" w:rsidRPr="00137E3E" w:rsidRDefault="00137E3E" w:rsidP="00AD7F81">
            <w:pPr>
              <w:spacing w:after="120"/>
              <w:cnfStyle w:val="100000000000" w:firstRow="1" w:lastRow="0" w:firstColumn="0" w:lastColumn="0" w:oddVBand="0" w:evenVBand="0" w:oddHBand="0" w:evenHBand="0" w:firstRowFirstColumn="0" w:firstRowLastColumn="0" w:lastRowFirstColumn="0" w:lastRowLastColumn="0"/>
              <w:rPr>
                <w:bCs w:val="0"/>
                <w:iCs/>
                <w:color w:val="auto"/>
              </w:rPr>
            </w:pPr>
            <w:r w:rsidRPr="00137E3E">
              <w:rPr>
                <w:bCs w:val="0"/>
                <w:iCs/>
                <w:color w:val="auto"/>
              </w:rPr>
              <w:t>Indicators/measures</w:t>
            </w:r>
          </w:p>
        </w:tc>
        <w:tc>
          <w:tcPr>
            <w:tcW w:w="3169" w:type="dxa"/>
            <w:shd w:val="clear" w:color="auto" w:fill="EAF1DD" w:themeFill="accent3" w:themeFillTint="33"/>
            <w:hideMark/>
          </w:tcPr>
          <w:p w14:paraId="499AD7D7" w14:textId="77777777" w:rsidR="00137E3E" w:rsidRPr="00137E3E" w:rsidRDefault="00137E3E" w:rsidP="00AD7F81">
            <w:pPr>
              <w:spacing w:after="120"/>
              <w:cnfStyle w:val="100000000000" w:firstRow="1" w:lastRow="0" w:firstColumn="0" w:lastColumn="0" w:oddVBand="0" w:evenVBand="0" w:oddHBand="0" w:evenHBand="0" w:firstRowFirstColumn="0" w:firstRowLastColumn="0" w:lastRowFirstColumn="0" w:lastRowLastColumn="0"/>
              <w:rPr>
                <w:bCs w:val="0"/>
                <w:iCs/>
                <w:color w:val="auto"/>
              </w:rPr>
            </w:pPr>
            <w:r w:rsidRPr="00137E3E">
              <w:rPr>
                <w:bCs w:val="0"/>
                <w:iCs/>
                <w:color w:val="auto"/>
              </w:rPr>
              <w:t>Data Collection</w:t>
            </w:r>
          </w:p>
        </w:tc>
      </w:tr>
      <w:tr w:rsidR="00137E3E" w:rsidRPr="009F3840" w14:paraId="483924A2" w14:textId="77777777" w:rsidTr="00AD7F81">
        <w:trPr>
          <w:cnfStyle w:val="000000100000" w:firstRow="0" w:lastRow="0" w:firstColumn="0" w:lastColumn="0" w:oddVBand="0" w:evenVBand="0" w:oddHBand="1" w:evenHBand="0" w:firstRowFirstColumn="0" w:firstRowLastColumn="0" w:lastRowFirstColumn="0" w:lastRowLastColumn="0"/>
          <w:trHeight w:val="1120"/>
        </w:trPr>
        <w:tc>
          <w:tcPr>
            <w:cnfStyle w:val="001000000000" w:firstRow="0" w:lastRow="0" w:firstColumn="1" w:lastColumn="0" w:oddVBand="0" w:evenVBand="0" w:oddHBand="0" w:evenHBand="0" w:firstRowFirstColumn="0" w:firstRowLastColumn="0" w:lastRowFirstColumn="0" w:lastRowLastColumn="0"/>
            <w:tcW w:w="4705" w:type="dxa"/>
            <w:hideMark/>
          </w:tcPr>
          <w:p w14:paraId="2D9B0626" w14:textId="77777777" w:rsidR="00137E3E" w:rsidRPr="009F3840" w:rsidRDefault="00137E3E" w:rsidP="00AD7F81">
            <w:pPr>
              <w:spacing w:after="120"/>
              <w:rPr>
                <w:b w:val="0"/>
              </w:rPr>
            </w:pPr>
            <w:r w:rsidRPr="009F3840">
              <w:rPr>
                <w:b w:val="0"/>
              </w:rPr>
              <w:t>To what extent has the program cost-effectively met its objectives?</w:t>
            </w:r>
          </w:p>
        </w:tc>
        <w:tc>
          <w:tcPr>
            <w:tcW w:w="6065" w:type="dxa"/>
          </w:tcPr>
          <w:p w14:paraId="2F47BC44" w14:textId="77777777" w:rsidR="00137E3E" w:rsidRPr="009F3840" w:rsidRDefault="00137E3E" w:rsidP="00AD7F81">
            <w:pPr>
              <w:spacing w:after="120"/>
              <w:cnfStyle w:val="000000100000" w:firstRow="0" w:lastRow="0" w:firstColumn="0" w:lastColumn="0" w:oddVBand="0" w:evenVBand="0" w:oddHBand="1" w:evenHBand="0" w:firstRowFirstColumn="0" w:firstRowLastColumn="0" w:lastRowFirstColumn="0" w:lastRowLastColumn="0"/>
            </w:pPr>
            <w:r w:rsidRPr="009F3840">
              <w:t>Value for money assessment (quantitative)</w:t>
            </w:r>
          </w:p>
          <w:p w14:paraId="6E0E5C16" w14:textId="77777777" w:rsidR="00137E3E" w:rsidRPr="009F3840" w:rsidRDefault="00137E3E" w:rsidP="00AD7F81">
            <w:pPr>
              <w:spacing w:after="120"/>
              <w:cnfStyle w:val="000000100000" w:firstRow="0" w:lastRow="0" w:firstColumn="0" w:lastColumn="0" w:oddVBand="0" w:evenVBand="0" w:oddHBand="1" w:evenHBand="0" w:firstRowFirstColumn="0" w:firstRowLastColumn="0" w:lastRowFirstColumn="0" w:lastRowLastColumn="0"/>
            </w:pPr>
          </w:p>
          <w:p w14:paraId="37EF9A99" w14:textId="77777777" w:rsidR="00137E3E" w:rsidRPr="009F3840" w:rsidRDefault="00137E3E" w:rsidP="00AD7F81">
            <w:pPr>
              <w:spacing w:after="120"/>
              <w:cnfStyle w:val="000000100000" w:firstRow="0" w:lastRow="0" w:firstColumn="0" w:lastColumn="0" w:oddVBand="0" w:evenVBand="0" w:oddHBand="1" w:evenHBand="0" w:firstRowFirstColumn="0" w:firstRowLastColumn="0" w:lastRowFirstColumn="0" w:lastRowLastColumn="0"/>
            </w:pPr>
            <w:r w:rsidRPr="009F3840">
              <w:t>Examples of efficiencies provided in MPR reports, such as co-locating to reduce accommodation costs, sharing costs for events/training, sharing resources, etc. (qualitative)</w:t>
            </w:r>
          </w:p>
        </w:tc>
        <w:tc>
          <w:tcPr>
            <w:tcW w:w="3169" w:type="dxa"/>
            <w:hideMark/>
          </w:tcPr>
          <w:p w14:paraId="7E0ABAEB" w14:textId="77777777" w:rsidR="00137E3E" w:rsidRPr="009F3840" w:rsidRDefault="00137E3E" w:rsidP="00AD7F81">
            <w:pPr>
              <w:spacing w:after="120"/>
              <w:cnfStyle w:val="000000100000" w:firstRow="0" w:lastRow="0" w:firstColumn="0" w:lastColumn="0" w:oddVBand="0" w:evenVBand="0" w:oddHBand="1" w:evenHBand="0" w:firstRowFirstColumn="0" w:firstRowLastColumn="0" w:lastRowFirstColumn="0" w:lastRowLastColumn="0"/>
            </w:pPr>
            <w:r w:rsidRPr="009F3840">
              <w:t>MPRs</w:t>
            </w:r>
          </w:p>
          <w:p w14:paraId="7CB1B351" w14:textId="77777777" w:rsidR="00137E3E" w:rsidRPr="009F3840" w:rsidRDefault="00137E3E" w:rsidP="00AD7F81">
            <w:pPr>
              <w:spacing w:after="120"/>
              <w:cnfStyle w:val="000000100000" w:firstRow="0" w:lastRow="0" w:firstColumn="0" w:lastColumn="0" w:oddVBand="0" w:evenVBand="0" w:oddHBand="1" w:evenHBand="0" w:firstRowFirstColumn="0" w:firstRowLastColumn="0" w:lastRowFirstColumn="0" w:lastRowLastColumn="0"/>
            </w:pPr>
            <w:r w:rsidRPr="009F3840">
              <w:t>Mid-Term Review</w:t>
            </w:r>
          </w:p>
        </w:tc>
      </w:tr>
    </w:tbl>
    <w:p w14:paraId="2AC330A2" w14:textId="5CC79062" w:rsidR="00137E3E" w:rsidRDefault="00137E3E" w:rsidP="00137E3E">
      <w:pPr>
        <w:pStyle w:val="Heading3"/>
        <w:numPr>
          <w:ilvl w:val="3"/>
          <w:numId w:val="54"/>
        </w:numPr>
      </w:pPr>
      <w:r w:rsidRPr="009F3840">
        <w:lastRenderedPageBreak/>
        <w:t xml:space="preserve">To what extent have the key practices and processes </w:t>
      </w:r>
      <w:r>
        <w:t xml:space="preserve">to ensure local engagement and ownership in program decisions been sustained? </w:t>
      </w:r>
      <w:r w:rsidRPr="009F3840">
        <w:t xml:space="preserve"> </w:t>
      </w:r>
    </w:p>
    <w:tbl>
      <w:tblPr>
        <w:tblStyle w:val="LightList-Accent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5"/>
        <w:gridCol w:w="6065"/>
        <w:gridCol w:w="3169"/>
      </w:tblGrid>
      <w:tr w:rsidR="00F73983" w:rsidRPr="00085CE2" w14:paraId="0E49E672" w14:textId="77777777" w:rsidTr="00137E3E">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705" w:type="dxa"/>
            <w:shd w:val="clear" w:color="auto" w:fill="EAF1DD" w:themeFill="accent3" w:themeFillTint="33"/>
            <w:hideMark/>
          </w:tcPr>
          <w:p w14:paraId="27765C05" w14:textId="77777777" w:rsidR="00F73983" w:rsidRPr="00137E3E" w:rsidRDefault="00F73983" w:rsidP="009F3840">
            <w:pPr>
              <w:spacing w:after="120"/>
              <w:rPr>
                <w:bCs w:val="0"/>
                <w:iCs/>
                <w:color w:val="auto"/>
              </w:rPr>
            </w:pPr>
            <w:r w:rsidRPr="00137E3E">
              <w:rPr>
                <w:bCs w:val="0"/>
                <w:iCs/>
                <w:color w:val="auto"/>
              </w:rPr>
              <w:t>Sub question/s</w:t>
            </w:r>
          </w:p>
        </w:tc>
        <w:tc>
          <w:tcPr>
            <w:tcW w:w="6065" w:type="dxa"/>
            <w:shd w:val="clear" w:color="auto" w:fill="EAF1DD" w:themeFill="accent3" w:themeFillTint="33"/>
            <w:hideMark/>
          </w:tcPr>
          <w:p w14:paraId="02B4EDE8" w14:textId="77777777" w:rsidR="00F73983" w:rsidRPr="00137E3E" w:rsidRDefault="00F73983" w:rsidP="009F3840">
            <w:pPr>
              <w:spacing w:after="120"/>
              <w:cnfStyle w:val="100000000000" w:firstRow="1" w:lastRow="0" w:firstColumn="0" w:lastColumn="0" w:oddVBand="0" w:evenVBand="0" w:oddHBand="0" w:evenHBand="0" w:firstRowFirstColumn="0" w:firstRowLastColumn="0" w:lastRowFirstColumn="0" w:lastRowLastColumn="0"/>
              <w:rPr>
                <w:bCs w:val="0"/>
                <w:iCs/>
                <w:color w:val="auto"/>
              </w:rPr>
            </w:pPr>
            <w:r w:rsidRPr="00137E3E">
              <w:rPr>
                <w:bCs w:val="0"/>
                <w:iCs/>
                <w:color w:val="auto"/>
              </w:rPr>
              <w:t>Indicators/measures</w:t>
            </w:r>
          </w:p>
        </w:tc>
        <w:tc>
          <w:tcPr>
            <w:tcW w:w="3169" w:type="dxa"/>
            <w:shd w:val="clear" w:color="auto" w:fill="EAF1DD" w:themeFill="accent3" w:themeFillTint="33"/>
            <w:hideMark/>
          </w:tcPr>
          <w:p w14:paraId="721798B2" w14:textId="77777777" w:rsidR="00F73983" w:rsidRPr="00137E3E" w:rsidRDefault="00F73983" w:rsidP="009F3840">
            <w:pPr>
              <w:spacing w:after="120"/>
              <w:cnfStyle w:val="100000000000" w:firstRow="1" w:lastRow="0" w:firstColumn="0" w:lastColumn="0" w:oddVBand="0" w:evenVBand="0" w:oddHBand="0" w:evenHBand="0" w:firstRowFirstColumn="0" w:firstRowLastColumn="0" w:lastRowFirstColumn="0" w:lastRowLastColumn="0"/>
              <w:rPr>
                <w:bCs w:val="0"/>
                <w:iCs/>
                <w:color w:val="auto"/>
              </w:rPr>
            </w:pPr>
            <w:r w:rsidRPr="00137E3E">
              <w:rPr>
                <w:bCs w:val="0"/>
                <w:iCs/>
                <w:color w:val="auto"/>
              </w:rPr>
              <w:t>Data Collection</w:t>
            </w:r>
          </w:p>
        </w:tc>
      </w:tr>
      <w:tr w:rsidR="00F73983" w:rsidRPr="00085CE2" w14:paraId="17B75445" w14:textId="77777777" w:rsidTr="00137E3E">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4705" w:type="dxa"/>
            <w:tcBorders>
              <w:top w:val="none" w:sz="0" w:space="0" w:color="auto"/>
              <w:left w:val="none" w:sz="0" w:space="0" w:color="auto"/>
              <w:bottom w:val="none" w:sz="0" w:space="0" w:color="auto"/>
            </w:tcBorders>
            <w:hideMark/>
          </w:tcPr>
          <w:p w14:paraId="441A5E88" w14:textId="77777777" w:rsidR="00F73983" w:rsidRPr="009F3840" w:rsidRDefault="00F73983" w:rsidP="009F3840">
            <w:pPr>
              <w:spacing w:after="120"/>
              <w:rPr>
                <w:b w:val="0"/>
              </w:rPr>
            </w:pPr>
            <w:r w:rsidRPr="009F3840">
              <w:rPr>
                <w:b w:val="0"/>
              </w:rPr>
              <w:t>To what extent have partners contributed to the inputs and implementation of activities supported by TLPDP?</w:t>
            </w:r>
          </w:p>
        </w:tc>
        <w:tc>
          <w:tcPr>
            <w:tcW w:w="6065" w:type="dxa"/>
            <w:tcBorders>
              <w:top w:val="none" w:sz="0" w:space="0" w:color="auto"/>
              <w:bottom w:val="none" w:sz="0" w:space="0" w:color="auto"/>
            </w:tcBorders>
            <w:hideMark/>
          </w:tcPr>
          <w:p w14:paraId="42A96D4F" w14:textId="77777777" w:rsidR="00F73983" w:rsidRPr="009F3840" w:rsidRDefault="00F73983" w:rsidP="009F3840">
            <w:pPr>
              <w:spacing w:after="120"/>
              <w:cnfStyle w:val="000000100000" w:firstRow="0" w:lastRow="0" w:firstColumn="0" w:lastColumn="0" w:oddVBand="0" w:evenVBand="0" w:oddHBand="1" w:evenHBand="0" w:firstRowFirstColumn="0" w:firstRowLastColumn="0" w:lastRowFirstColumn="0" w:lastRowLastColumn="0"/>
            </w:pPr>
            <w:r w:rsidRPr="009F3840">
              <w:t>Proportion of activities where direct implementing agencies are delivering content or leading</w:t>
            </w:r>
          </w:p>
        </w:tc>
        <w:tc>
          <w:tcPr>
            <w:tcW w:w="3169" w:type="dxa"/>
            <w:tcBorders>
              <w:top w:val="none" w:sz="0" w:space="0" w:color="auto"/>
              <w:bottom w:val="none" w:sz="0" w:space="0" w:color="auto"/>
              <w:right w:val="none" w:sz="0" w:space="0" w:color="auto"/>
            </w:tcBorders>
          </w:tcPr>
          <w:p w14:paraId="78D34ABC" w14:textId="77777777" w:rsidR="00F73983" w:rsidRPr="009F3840" w:rsidRDefault="00F73983" w:rsidP="009F3840">
            <w:pPr>
              <w:spacing w:after="120"/>
              <w:cnfStyle w:val="000000100000" w:firstRow="0" w:lastRow="0" w:firstColumn="0" w:lastColumn="0" w:oddVBand="0" w:evenVBand="0" w:oddHBand="1" w:evenHBand="0" w:firstRowFirstColumn="0" w:firstRowLastColumn="0" w:lastRowFirstColumn="0" w:lastRowLastColumn="0"/>
            </w:pPr>
            <w:r w:rsidRPr="009F3840">
              <w:t>Workshop/ training database</w:t>
            </w:r>
          </w:p>
          <w:p w14:paraId="5CE702BC" w14:textId="77777777" w:rsidR="00F73983" w:rsidRPr="009F3840" w:rsidRDefault="00F73983" w:rsidP="009F3840">
            <w:pPr>
              <w:spacing w:after="120"/>
              <w:cnfStyle w:val="000000100000" w:firstRow="0" w:lastRow="0" w:firstColumn="0" w:lastColumn="0" w:oddVBand="0" w:evenVBand="0" w:oddHBand="1" w:evenHBand="0" w:firstRowFirstColumn="0" w:firstRowLastColumn="0" w:lastRowFirstColumn="0" w:lastRowLastColumn="0"/>
            </w:pPr>
            <w:r w:rsidRPr="009F3840">
              <w:t>PTC reporting</w:t>
            </w:r>
          </w:p>
          <w:p w14:paraId="2560CA7A" w14:textId="77777777" w:rsidR="00F73983" w:rsidRPr="009F3840" w:rsidRDefault="00F73983" w:rsidP="009F3840">
            <w:pPr>
              <w:spacing w:after="120"/>
              <w:cnfStyle w:val="000000100000" w:firstRow="0" w:lastRow="0" w:firstColumn="0" w:lastColumn="0" w:oddVBand="0" w:evenVBand="0" w:oddHBand="1" w:evenHBand="0" w:firstRowFirstColumn="0" w:firstRowLastColumn="0" w:lastRowFirstColumn="0" w:lastRowLastColumn="0"/>
            </w:pPr>
            <w:r w:rsidRPr="009F3840">
              <w:t>MPRs and annual reports</w:t>
            </w:r>
          </w:p>
          <w:p w14:paraId="0D447E8B" w14:textId="687014CB" w:rsidR="00F73983" w:rsidRPr="009F3840" w:rsidRDefault="009E7FA9" w:rsidP="009F3840">
            <w:pPr>
              <w:spacing w:after="120"/>
              <w:cnfStyle w:val="000000100000" w:firstRow="0" w:lastRow="0" w:firstColumn="0" w:lastColumn="0" w:oddVBand="0" w:evenVBand="0" w:oddHBand="1" w:evenHBand="0" w:firstRowFirstColumn="0" w:firstRowLastColumn="0" w:lastRowFirstColumn="0" w:lastRowLastColumn="0"/>
            </w:pPr>
            <w:r>
              <w:t>Mid-Term Review</w:t>
            </w:r>
          </w:p>
        </w:tc>
      </w:tr>
      <w:tr w:rsidR="00F73983" w:rsidRPr="00085CE2" w14:paraId="064FCC77" w14:textId="77777777" w:rsidTr="00137E3E">
        <w:trPr>
          <w:trHeight w:val="60"/>
        </w:trPr>
        <w:tc>
          <w:tcPr>
            <w:cnfStyle w:val="001000000000" w:firstRow="0" w:lastRow="0" w:firstColumn="1" w:lastColumn="0" w:oddVBand="0" w:evenVBand="0" w:oddHBand="0" w:evenHBand="0" w:firstRowFirstColumn="0" w:firstRowLastColumn="0" w:lastRowFirstColumn="0" w:lastRowLastColumn="0"/>
            <w:tcW w:w="4705" w:type="dxa"/>
            <w:hideMark/>
          </w:tcPr>
          <w:p w14:paraId="6F289043" w14:textId="77777777" w:rsidR="00F73983" w:rsidRPr="008303F9" w:rsidRDefault="00F73983" w:rsidP="008303F9">
            <w:pPr>
              <w:spacing w:after="120"/>
              <w:rPr>
                <w:b w:val="0"/>
              </w:rPr>
            </w:pPr>
            <w:r w:rsidRPr="008303F9">
              <w:rPr>
                <w:b w:val="0"/>
              </w:rPr>
              <w:t>To what extent have partners established and maintained arrangements for organisational reforms, and/or ongoing operational costs for initiatives?</w:t>
            </w:r>
          </w:p>
        </w:tc>
        <w:tc>
          <w:tcPr>
            <w:tcW w:w="6065" w:type="dxa"/>
          </w:tcPr>
          <w:p w14:paraId="02335933" w14:textId="77777777" w:rsidR="00F73983" w:rsidRPr="008303F9" w:rsidRDefault="00F73983" w:rsidP="008303F9">
            <w:pPr>
              <w:spacing w:after="120"/>
              <w:cnfStyle w:val="000000000000" w:firstRow="0" w:lastRow="0" w:firstColumn="0" w:lastColumn="0" w:oddVBand="0" w:evenVBand="0" w:oddHBand="0" w:evenHBand="0" w:firstRowFirstColumn="0" w:firstRowLastColumn="0" w:lastRowFirstColumn="0" w:lastRowLastColumn="0"/>
            </w:pPr>
            <w:r w:rsidRPr="008303F9">
              <w:t>Instances of embedding of curriculum, processes, initiatives (as verified in official documents)</w:t>
            </w:r>
          </w:p>
          <w:p w14:paraId="06F19A93" w14:textId="77777777" w:rsidR="00F73983" w:rsidRPr="008303F9" w:rsidRDefault="00F73983" w:rsidP="008303F9">
            <w:pPr>
              <w:spacing w:after="120"/>
              <w:cnfStyle w:val="000000000000" w:firstRow="0" w:lastRow="0" w:firstColumn="0" w:lastColumn="0" w:oddVBand="0" w:evenVBand="0" w:oddHBand="0" w:evenHBand="0" w:firstRowFirstColumn="0" w:firstRowLastColumn="0" w:lastRowFirstColumn="0" w:lastRowLastColumn="0"/>
            </w:pPr>
          </w:p>
        </w:tc>
        <w:tc>
          <w:tcPr>
            <w:tcW w:w="3169" w:type="dxa"/>
            <w:hideMark/>
          </w:tcPr>
          <w:p w14:paraId="7DC3B0D9" w14:textId="77777777" w:rsidR="00F73983" w:rsidRPr="008303F9" w:rsidRDefault="00F73983" w:rsidP="008303F9">
            <w:pPr>
              <w:spacing w:after="120"/>
              <w:cnfStyle w:val="000000000000" w:firstRow="0" w:lastRow="0" w:firstColumn="0" w:lastColumn="0" w:oddVBand="0" w:evenVBand="0" w:oddHBand="0" w:evenHBand="0" w:firstRowFirstColumn="0" w:firstRowLastColumn="0" w:lastRowFirstColumn="0" w:lastRowLastColumn="0"/>
            </w:pPr>
            <w:r w:rsidRPr="008303F9">
              <w:t>PCB minutes</w:t>
            </w:r>
          </w:p>
          <w:p w14:paraId="5764758C" w14:textId="77777777" w:rsidR="00F73983" w:rsidRPr="008303F9" w:rsidRDefault="00F73983" w:rsidP="008303F9">
            <w:pPr>
              <w:spacing w:after="120"/>
              <w:cnfStyle w:val="000000000000" w:firstRow="0" w:lastRow="0" w:firstColumn="0" w:lastColumn="0" w:oddVBand="0" w:evenVBand="0" w:oddHBand="0" w:evenHBand="0" w:firstRowFirstColumn="0" w:firstRowLastColumn="0" w:lastRowFirstColumn="0" w:lastRowLastColumn="0"/>
            </w:pPr>
            <w:r w:rsidRPr="008303F9">
              <w:t>DAP reporting</w:t>
            </w:r>
          </w:p>
          <w:p w14:paraId="43FE6F06" w14:textId="77777777" w:rsidR="00F73983" w:rsidRPr="008303F9" w:rsidRDefault="00F73983" w:rsidP="008303F9">
            <w:pPr>
              <w:spacing w:after="120"/>
              <w:cnfStyle w:val="000000000000" w:firstRow="0" w:lastRow="0" w:firstColumn="0" w:lastColumn="0" w:oddVBand="0" w:evenVBand="0" w:oddHBand="0" w:evenHBand="0" w:firstRowFirstColumn="0" w:firstRowLastColumn="0" w:lastRowFirstColumn="0" w:lastRowLastColumn="0"/>
            </w:pPr>
            <w:r w:rsidRPr="008303F9">
              <w:t>Results Framework Monitoring</w:t>
            </w:r>
          </w:p>
          <w:p w14:paraId="40B40522" w14:textId="77777777" w:rsidR="00F73983" w:rsidRDefault="00F73983" w:rsidP="008303F9">
            <w:pPr>
              <w:spacing w:after="120"/>
              <w:cnfStyle w:val="000000000000" w:firstRow="0" w:lastRow="0" w:firstColumn="0" w:lastColumn="0" w:oddVBand="0" w:evenVBand="0" w:oddHBand="0" w:evenHBand="0" w:firstRowFirstColumn="0" w:firstRowLastColumn="0" w:lastRowFirstColumn="0" w:lastRowLastColumn="0"/>
            </w:pPr>
            <w:r w:rsidRPr="008303F9">
              <w:t>MPR and annual reports</w:t>
            </w:r>
          </w:p>
          <w:p w14:paraId="12F619FD" w14:textId="567F2729" w:rsidR="009E7FA9" w:rsidRPr="008303F9" w:rsidRDefault="009E7FA9" w:rsidP="008303F9">
            <w:pPr>
              <w:spacing w:after="120"/>
              <w:cnfStyle w:val="000000000000" w:firstRow="0" w:lastRow="0" w:firstColumn="0" w:lastColumn="0" w:oddVBand="0" w:evenVBand="0" w:oddHBand="0" w:evenHBand="0" w:firstRowFirstColumn="0" w:firstRowLastColumn="0" w:lastRowFirstColumn="0" w:lastRowLastColumn="0"/>
            </w:pPr>
            <w:r>
              <w:t>Mid-Term Review</w:t>
            </w:r>
          </w:p>
        </w:tc>
      </w:tr>
    </w:tbl>
    <w:p w14:paraId="797D7387" w14:textId="35039D27" w:rsidR="00CF1FDE" w:rsidRDefault="00137E3E" w:rsidP="00137E3E">
      <w:pPr>
        <w:pStyle w:val="Heading3"/>
        <w:numPr>
          <w:ilvl w:val="3"/>
          <w:numId w:val="54"/>
        </w:numPr>
      </w:pPr>
      <w:r w:rsidRPr="008303F9">
        <w:t>How successful has TLPDP been in promoting gender equality policies and practices?</w:t>
      </w:r>
    </w:p>
    <w:tbl>
      <w:tblPr>
        <w:tblStyle w:val="LightList-Accent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5"/>
        <w:gridCol w:w="6065"/>
        <w:gridCol w:w="3169"/>
      </w:tblGrid>
      <w:tr w:rsidR="00F73983" w:rsidRPr="00085CE2" w14:paraId="6C3019AA" w14:textId="77777777" w:rsidTr="00137E3E">
        <w:trPr>
          <w:cnfStyle w:val="100000000000" w:firstRow="1" w:lastRow="0" w:firstColumn="0" w:lastColumn="0" w:oddVBand="0" w:evenVBand="0" w:oddHBand="0"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4705" w:type="dxa"/>
            <w:shd w:val="clear" w:color="auto" w:fill="EAF1DD" w:themeFill="accent3" w:themeFillTint="33"/>
            <w:hideMark/>
          </w:tcPr>
          <w:p w14:paraId="606F1618" w14:textId="77777777" w:rsidR="00F73983" w:rsidRPr="00137E3E" w:rsidRDefault="00F73983" w:rsidP="008303F9">
            <w:pPr>
              <w:spacing w:after="120"/>
              <w:rPr>
                <w:bCs w:val="0"/>
                <w:iCs/>
                <w:color w:val="auto"/>
              </w:rPr>
            </w:pPr>
            <w:r w:rsidRPr="00137E3E">
              <w:rPr>
                <w:bCs w:val="0"/>
                <w:iCs/>
                <w:color w:val="auto"/>
              </w:rPr>
              <w:t>Sub question/s</w:t>
            </w:r>
          </w:p>
        </w:tc>
        <w:tc>
          <w:tcPr>
            <w:tcW w:w="6065" w:type="dxa"/>
            <w:shd w:val="clear" w:color="auto" w:fill="EAF1DD" w:themeFill="accent3" w:themeFillTint="33"/>
            <w:hideMark/>
          </w:tcPr>
          <w:p w14:paraId="20AF8AEF" w14:textId="77777777" w:rsidR="00F73983" w:rsidRPr="00137E3E" w:rsidRDefault="00F73983" w:rsidP="008303F9">
            <w:pPr>
              <w:spacing w:after="120"/>
              <w:cnfStyle w:val="100000000000" w:firstRow="1" w:lastRow="0" w:firstColumn="0" w:lastColumn="0" w:oddVBand="0" w:evenVBand="0" w:oddHBand="0" w:evenHBand="0" w:firstRowFirstColumn="0" w:firstRowLastColumn="0" w:lastRowFirstColumn="0" w:lastRowLastColumn="0"/>
              <w:rPr>
                <w:bCs w:val="0"/>
                <w:iCs/>
                <w:color w:val="auto"/>
              </w:rPr>
            </w:pPr>
            <w:r w:rsidRPr="00137E3E">
              <w:rPr>
                <w:bCs w:val="0"/>
                <w:iCs/>
                <w:color w:val="auto"/>
              </w:rPr>
              <w:t>Indicators/measures</w:t>
            </w:r>
          </w:p>
        </w:tc>
        <w:tc>
          <w:tcPr>
            <w:tcW w:w="3169" w:type="dxa"/>
            <w:shd w:val="clear" w:color="auto" w:fill="EAF1DD" w:themeFill="accent3" w:themeFillTint="33"/>
            <w:hideMark/>
          </w:tcPr>
          <w:p w14:paraId="0971C21A" w14:textId="77777777" w:rsidR="00F73983" w:rsidRPr="00137E3E" w:rsidRDefault="00F73983" w:rsidP="008303F9">
            <w:pPr>
              <w:spacing w:after="120"/>
              <w:cnfStyle w:val="100000000000" w:firstRow="1" w:lastRow="0" w:firstColumn="0" w:lastColumn="0" w:oddVBand="0" w:evenVBand="0" w:oddHBand="0" w:evenHBand="0" w:firstRowFirstColumn="0" w:firstRowLastColumn="0" w:lastRowFirstColumn="0" w:lastRowLastColumn="0"/>
              <w:rPr>
                <w:bCs w:val="0"/>
                <w:iCs/>
                <w:color w:val="auto"/>
              </w:rPr>
            </w:pPr>
            <w:r w:rsidRPr="00137E3E">
              <w:rPr>
                <w:bCs w:val="0"/>
                <w:iCs/>
                <w:color w:val="auto"/>
              </w:rPr>
              <w:t>Data Collection</w:t>
            </w:r>
          </w:p>
        </w:tc>
      </w:tr>
      <w:tr w:rsidR="009C5FB5" w:rsidRPr="00085CE2" w14:paraId="31FE9896" w14:textId="77777777" w:rsidTr="00137E3E">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4705" w:type="dxa"/>
            <w:tcBorders>
              <w:top w:val="none" w:sz="0" w:space="0" w:color="auto"/>
              <w:left w:val="none" w:sz="0" w:space="0" w:color="auto"/>
              <w:bottom w:val="none" w:sz="0" w:space="0" w:color="auto"/>
            </w:tcBorders>
          </w:tcPr>
          <w:p w14:paraId="205C246D" w14:textId="46588776" w:rsidR="009C5FB5" w:rsidRPr="008303F9" w:rsidRDefault="009C5FB5" w:rsidP="008303F9">
            <w:pPr>
              <w:spacing w:after="120"/>
              <w:rPr>
                <w:b w:val="0"/>
              </w:rPr>
            </w:pPr>
            <w:r w:rsidRPr="008303F9">
              <w:rPr>
                <w:b w:val="0"/>
              </w:rPr>
              <w:t>How did TLPDP influence policy and practice change to promote gender equality?</w:t>
            </w:r>
          </w:p>
        </w:tc>
        <w:tc>
          <w:tcPr>
            <w:tcW w:w="6065" w:type="dxa"/>
            <w:tcBorders>
              <w:top w:val="none" w:sz="0" w:space="0" w:color="auto"/>
              <w:bottom w:val="none" w:sz="0" w:space="0" w:color="auto"/>
            </w:tcBorders>
          </w:tcPr>
          <w:p w14:paraId="09EE3534" w14:textId="44DEB294" w:rsidR="009C5FB5" w:rsidRPr="008303F9" w:rsidRDefault="009C5FB5" w:rsidP="0067319B">
            <w:pPr>
              <w:spacing w:after="120"/>
              <w:cnfStyle w:val="000000100000" w:firstRow="0" w:lastRow="0" w:firstColumn="0" w:lastColumn="0" w:oddVBand="0" w:evenVBand="0" w:oddHBand="1" w:evenHBand="0" w:firstRowFirstColumn="0" w:firstRowLastColumn="0" w:lastRowFirstColumn="0" w:lastRowLastColumn="0"/>
            </w:pPr>
            <w:r w:rsidRPr="008303F9">
              <w:t xml:space="preserve">Number of </w:t>
            </w:r>
            <w:proofErr w:type="gramStart"/>
            <w:r w:rsidRPr="008303F9">
              <w:t>equality</w:t>
            </w:r>
            <w:proofErr w:type="gramEnd"/>
            <w:r w:rsidR="0067319B">
              <w:t xml:space="preserve">, </w:t>
            </w:r>
            <w:r w:rsidRPr="008303F9">
              <w:t xml:space="preserve">inclusion </w:t>
            </w:r>
            <w:r w:rsidR="0067319B">
              <w:t xml:space="preserve">and gender mainstreaming </w:t>
            </w:r>
            <w:r w:rsidRPr="008303F9">
              <w:t>related changes in policy and practice recorded and verified</w:t>
            </w:r>
          </w:p>
        </w:tc>
        <w:tc>
          <w:tcPr>
            <w:tcW w:w="3169" w:type="dxa"/>
            <w:tcBorders>
              <w:top w:val="none" w:sz="0" w:space="0" w:color="auto"/>
              <w:bottom w:val="none" w:sz="0" w:space="0" w:color="auto"/>
              <w:right w:val="none" w:sz="0" w:space="0" w:color="auto"/>
            </w:tcBorders>
          </w:tcPr>
          <w:p w14:paraId="6E5ABF98" w14:textId="77777777" w:rsidR="009C5FB5" w:rsidRPr="008303F9" w:rsidRDefault="009C5FB5" w:rsidP="002A547D">
            <w:pPr>
              <w:spacing w:after="120"/>
              <w:cnfStyle w:val="000000100000" w:firstRow="0" w:lastRow="0" w:firstColumn="0" w:lastColumn="0" w:oddVBand="0" w:evenVBand="0" w:oddHBand="1" w:evenHBand="0" w:firstRowFirstColumn="0" w:firstRowLastColumn="0" w:lastRowFirstColumn="0" w:lastRowLastColumn="0"/>
            </w:pPr>
            <w:r w:rsidRPr="008303F9">
              <w:t xml:space="preserve">Results Framework Monitoring, most significant change stories, </w:t>
            </w:r>
          </w:p>
          <w:p w14:paraId="34668334" w14:textId="77777777" w:rsidR="009C5FB5" w:rsidRDefault="009C5FB5" w:rsidP="008303F9">
            <w:pPr>
              <w:spacing w:after="120"/>
              <w:cnfStyle w:val="000000100000" w:firstRow="0" w:lastRow="0" w:firstColumn="0" w:lastColumn="0" w:oddVBand="0" w:evenVBand="0" w:oddHBand="1" w:evenHBand="0" w:firstRowFirstColumn="0" w:firstRowLastColumn="0" w:lastRowFirstColumn="0" w:lastRowLastColumn="0"/>
            </w:pPr>
            <w:proofErr w:type="gramStart"/>
            <w:r w:rsidRPr="008303F9">
              <w:t>MPRs  and</w:t>
            </w:r>
            <w:proofErr w:type="gramEnd"/>
            <w:r w:rsidRPr="008303F9">
              <w:t xml:space="preserve"> annual reports</w:t>
            </w:r>
          </w:p>
          <w:p w14:paraId="127BC9EF" w14:textId="0E0CB676" w:rsidR="009C5FB5" w:rsidRPr="008303F9" w:rsidRDefault="009C5FB5" w:rsidP="008303F9">
            <w:pPr>
              <w:spacing w:after="120"/>
              <w:cnfStyle w:val="000000100000" w:firstRow="0" w:lastRow="0" w:firstColumn="0" w:lastColumn="0" w:oddVBand="0" w:evenVBand="0" w:oddHBand="1" w:evenHBand="0" w:firstRowFirstColumn="0" w:firstRowLastColumn="0" w:lastRowFirstColumn="0" w:lastRowLastColumn="0"/>
            </w:pPr>
            <w:r>
              <w:t>Mid-Term Review</w:t>
            </w:r>
          </w:p>
        </w:tc>
      </w:tr>
      <w:tr w:rsidR="0067319B" w:rsidRPr="00085CE2" w14:paraId="4754C6EB" w14:textId="77777777" w:rsidTr="00137E3E">
        <w:trPr>
          <w:trHeight w:val="60"/>
        </w:trPr>
        <w:tc>
          <w:tcPr>
            <w:cnfStyle w:val="001000000000" w:firstRow="0" w:lastRow="0" w:firstColumn="1" w:lastColumn="0" w:oddVBand="0" w:evenVBand="0" w:oddHBand="0" w:evenHBand="0" w:firstRowFirstColumn="0" w:firstRowLastColumn="0" w:lastRowFirstColumn="0" w:lastRowLastColumn="0"/>
            <w:tcW w:w="4705" w:type="dxa"/>
          </w:tcPr>
          <w:p w14:paraId="460F1E7A" w14:textId="1108284D" w:rsidR="0067319B" w:rsidRDefault="0067319B" w:rsidP="0067319B">
            <w:pPr>
              <w:spacing w:after="120"/>
              <w:rPr>
                <w:b w:val="0"/>
              </w:rPr>
            </w:pPr>
            <w:r>
              <w:rPr>
                <w:b w:val="0"/>
              </w:rPr>
              <w:t>How did TLPDP strengthen AFP and partner law enforcement capacity and capability to response to gender based domestic and transnational crimes?</w:t>
            </w:r>
          </w:p>
        </w:tc>
        <w:tc>
          <w:tcPr>
            <w:tcW w:w="6065" w:type="dxa"/>
          </w:tcPr>
          <w:p w14:paraId="4D10F880" w14:textId="382290EC" w:rsidR="0067319B" w:rsidRDefault="0067319B" w:rsidP="00B37152">
            <w:pPr>
              <w:spacing w:after="120"/>
              <w:cnfStyle w:val="000000000000" w:firstRow="0" w:lastRow="0" w:firstColumn="0" w:lastColumn="0" w:oddVBand="0" w:evenVBand="0" w:oddHBand="0" w:evenHBand="0" w:firstRowFirstColumn="0" w:firstRowLastColumn="0" w:lastRowFirstColumn="0" w:lastRowLastColumn="0"/>
            </w:pPr>
            <w:r w:rsidRPr="008303F9">
              <w:t>Number of women</w:t>
            </w:r>
            <w:r w:rsidR="00B37152">
              <w:t xml:space="preserve"> </w:t>
            </w:r>
            <w:r>
              <w:t>and other vulnerable persons</w:t>
            </w:r>
            <w:r w:rsidRPr="008303F9">
              <w:t xml:space="preserve"> participating directly in, or indirectly benefiting from, program capacity development activities</w:t>
            </w:r>
          </w:p>
        </w:tc>
        <w:tc>
          <w:tcPr>
            <w:tcW w:w="3169" w:type="dxa"/>
          </w:tcPr>
          <w:p w14:paraId="1C534C5B" w14:textId="77777777" w:rsidR="0067319B" w:rsidRPr="008303F9" w:rsidRDefault="0067319B" w:rsidP="0067319B">
            <w:pPr>
              <w:spacing w:after="120"/>
              <w:cnfStyle w:val="000000000000" w:firstRow="0" w:lastRow="0" w:firstColumn="0" w:lastColumn="0" w:oddVBand="0" w:evenVBand="0" w:oddHBand="0" w:evenHBand="0" w:firstRowFirstColumn="0" w:firstRowLastColumn="0" w:lastRowFirstColumn="0" w:lastRowLastColumn="0"/>
            </w:pPr>
            <w:r w:rsidRPr="008303F9">
              <w:t>Workshop and training databases</w:t>
            </w:r>
          </w:p>
          <w:p w14:paraId="42A5098A" w14:textId="77777777" w:rsidR="0067319B" w:rsidRPr="008303F9" w:rsidRDefault="0067319B" w:rsidP="0067319B">
            <w:pPr>
              <w:spacing w:after="120"/>
              <w:cnfStyle w:val="000000000000" w:firstRow="0" w:lastRow="0" w:firstColumn="0" w:lastColumn="0" w:oddVBand="0" w:evenVBand="0" w:oddHBand="0" w:evenHBand="0" w:firstRowFirstColumn="0" w:firstRowLastColumn="0" w:lastRowFirstColumn="0" w:lastRowLastColumn="0"/>
            </w:pPr>
            <w:r w:rsidRPr="008303F9">
              <w:t>Results Framework Monitoring</w:t>
            </w:r>
          </w:p>
          <w:p w14:paraId="609B6924" w14:textId="77777777" w:rsidR="0067319B" w:rsidRDefault="0067319B" w:rsidP="008303F9">
            <w:pPr>
              <w:spacing w:after="120"/>
              <w:cnfStyle w:val="000000000000" w:firstRow="0" w:lastRow="0" w:firstColumn="0" w:lastColumn="0" w:oddVBand="0" w:evenVBand="0" w:oddHBand="0" w:evenHBand="0" w:firstRowFirstColumn="0" w:firstRowLastColumn="0" w:lastRowFirstColumn="0" w:lastRowLastColumn="0"/>
            </w:pPr>
            <w:proofErr w:type="gramStart"/>
            <w:r w:rsidRPr="008303F9">
              <w:t>MPRs  and</w:t>
            </w:r>
            <w:proofErr w:type="gramEnd"/>
            <w:r w:rsidRPr="008303F9">
              <w:t xml:space="preserve"> annual reports</w:t>
            </w:r>
          </w:p>
          <w:p w14:paraId="1666413C" w14:textId="77777777" w:rsidR="009E7FA9" w:rsidRDefault="009E7FA9" w:rsidP="008303F9">
            <w:pPr>
              <w:spacing w:after="120"/>
              <w:cnfStyle w:val="000000000000" w:firstRow="0" w:lastRow="0" w:firstColumn="0" w:lastColumn="0" w:oddVBand="0" w:evenVBand="0" w:oddHBand="0" w:evenHBand="0" w:firstRowFirstColumn="0" w:firstRowLastColumn="0" w:lastRowFirstColumn="0" w:lastRowLastColumn="0"/>
            </w:pPr>
            <w:r>
              <w:t>Mid-Term Review</w:t>
            </w:r>
          </w:p>
          <w:p w14:paraId="1F1A1999" w14:textId="64625C05" w:rsidR="00B37152" w:rsidRDefault="00B37152" w:rsidP="008303F9">
            <w:pPr>
              <w:spacing w:after="120"/>
              <w:cnfStyle w:val="000000000000" w:firstRow="0" w:lastRow="0" w:firstColumn="0" w:lastColumn="0" w:oddVBand="0" w:evenVBand="0" w:oddHBand="0" w:evenHBand="0" w:firstRowFirstColumn="0" w:firstRowLastColumn="0" w:lastRowFirstColumn="0" w:lastRowLastColumn="0"/>
            </w:pPr>
            <w:r>
              <w:lastRenderedPageBreak/>
              <w:t>Case Studies (stories of significant changes)</w:t>
            </w:r>
          </w:p>
        </w:tc>
      </w:tr>
      <w:tr w:rsidR="009C5FB5" w:rsidRPr="00085CE2" w14:paraId="124F941A" w14:textId="77777777" w:rsidTr="00137E3E">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4705" w:type="dxa"/>
            <w:tcBorders>
              <w:top w:val="none" w:sz="0" w:space="0" w:color="auto"/>
              <w:left w:val="none" w:sz="0" w:space="0" w:color="auto"/>
              <w:bottom w:val="none" w:sz="0" w:space="0" w:color="auto"/>
            </w:tcBorders>
            <w:hideMark/>
          </w:tcPr>
          <w:p w14:paraId="40F294A7" w14:textId="4F9CCCA6" w:rsidR="009C5FB5" w:rsidRPr="008303F9" w:rsidRDefault="009C5FB5" w:rsidP="00B37152">
            <w:pPr>
              <w:spacing w:after="120"/>
              <w:rPr>
                <w:b w:val="0"/>
              </w:rPr>
            </w:pPr>
            <w:r w:rsidRPr="008303F9">
              <w:rPr>
                <w:b w:val="0"/>
              </w:rPr>
              <w:lastRenderedPageBreak/>
              <w:t>Did the outcomes achieve positive change for women</w:t>
            </w:r>
            <w:r w:rsidR="00B37152">
              <w:rPr>
                <w:b w:val="0"/>
              </w:rPr>
              <w:t xml:space="preserve"> and other vulnerable groups</w:t>
            </w:r>
            <w:r w:rsidRPr="008303F9">
              <w:rPr>
                <w:b w:val="0"/>
              </w:rPr>
              <w:t>?</w:t>
            </w:r>
          </w:p>
        </w:tc>
        <w:tc>
          <w:tcPr>
            <w:tcW w:w="6065" w:type="dxa"/>
            <w:tcBorders>
              <w:top w:val="none" w:sz="0" w:space="0" w:color="auto"/>
              <w:bottom w:val="none" w:sz="0" w:space="0" w:color="auto"/>
            </w:tcBorders>
            <w:hideMark/>
          </w:tcPr>
          <w:p w14:paraId="353D94B3" w14:textId="77777777" w:rsidR="009C5FB5" w:rsidRPr="008303F9" w:rsidRDefault="009C5FB5" w:rsidP="008303F9">
            <w:pPr>
              <w:spacing w:after="120"/>
              <w:cnfStyle w:val="000000100000" w:firstRow="0" w:lastRow="0" w:firstColumn="0" w:lastColumn="0" w:oddVBand="0" w:evenVBand="0" w:oddHBand="1" w:evenHBand="0" w:firstRowFirstColumn="0" w:firstRowLastColumn="0" w:lastRowFirstColumn="0" w:lastRowLastColumn="0"/>
            </w:pPr>
            <w:r w:rsidRPr="008303F9">
              <w:t>Ratings of encouragement / confidence of diverse training participants; evidence of impact from program interventions</w:t>
            </w:r>
          </w:p>
        </w:tc>
        <w:tc>
          <w:tcPr>
            <w:tcW w:w="3169" w:type="dxa"/>
            <w:tcBorders>
              <w:top w:val="none" w:sz="0" w:space="0" w:color="auto"/>
              <w:bottom w:val="none" w:sz="0" w:space="0" w:color="auto"/>
              <w:right w:val="none" w:sz="0" w:space="0" w:color="auto"/>
            </w:tcBorders>
          </w:tcPr>
          <w:p w14:paraId="167E5C30" w14:textId="77777777" w:rsidR="009C5FB5" w:rsidRPr="008303F9" w:rsidRDefault="009C5FB5" w:rsidP="008303F9">
            <w:pPr>
              <w:spacing w:after="120"/>
              <w:cnfStyle w:val="000000100000" w:firstRow="0" w:lastRow="0" w:firstColumn="0" w:lastColumn="0" w:oddVBand="0" w:evenVBand="0" w:oddHBand="1" w:evenHBand="0" w:firstRowFirstColumn="0" w:firstRowLastColumn="0" w:lastRowFirstColumn="0" w:lastRowLastColumn="0"/>
            </w:pPr>
            <w:r w:rsidRPr="008303F9">
              <w:t>Workshop and training databases</w:t>
            </w:r>
          </w:p>
          <w:p w14:paraId="08A36A05" w14:textId="77777777" w:rsidR="009C5FB5" w:rsidRPr="008303F9" w:rsidRDefault="009C5FB5" w:rsidP="008303F9">
            <w:pPr>
              <w:spacing w:after="120"/>
              <w:cnfStyle w:val="000000100000" w:firstRow="0" w:lastRow="0" w:firstColumn="0" w:lastColumn="0" w:oddVBand="0" w:evenVBand="0" w:oddHBand="1" w:evenHBand="0" w:firstRowFirstColumn="0" w:firstRowLastColumn="0" w:lastRowFirstColumn="0" w:lastRowLastColumn="0"/>
            </w:pPr>
            <w:r w:rsidRPr="008303F9">
              <w:t>Most significant change stories</w:t>
            </w:r>
          </w:p>
          <w:p w14:paraId="0026E75C" w14:textId="77777777" w:rsidR="009C5FB5" w:rsidRPr="008303F9" w:rsidRDefault="009C5FB5" w:rsidP="008303F9">
            <w:pPr>
              <w:spacing w:after="120"/>
              <w:cnfStyle w:val="000000100000" w:firstRow="0" w:lastRow="0" w:firstColumn="0" w:lastColumn="0" w:oddVBand="0" w:evenVBand="0" w:oddHBand="1" w:evenHBand="0" w:firstRowFirstColumn="0" w:firstRowLastColumn="0" w:lastRowFirstColumn="0" w:lastRowLastColumn="0"/>
            </w:pPr>
            <w:r w:rsidRPr="008303F9">
              <w:t>MPRs and annual reports</w:t>
            </w:r>
          </w:p>
          <w:p w14:paraId="6F8667F8" w14:textId="77777777" w:rsidR="009C5FB5" w:rsidRPr="008303F9" w:rsidRDefault="009C5FB5" w:rsidP="008303F9">
            <w:pPr>
              <w:spacing w:after="120"/>
              <w:cnfStyle w:val="000000100000" w:firstRow="0" w:lastRow="0" w:firstColumn="0" w:lastColumn="0" w:oddVBand="0" w:evenVBand="0" w:oddHBand="1" w:evenHBand="0" w:firstRowFirstColumn="0" w:firstRowLastColumn="0" w:lastRowFirstColumn="0" w:lastRowLastColumn="0"/>
            </w:pPr>
          </w:p>
        </w:tc>
      </w:tr>
      <w:tr w:rsidR="00216ED2" w:rsidRPr="00085CE2" w14:paraId="3F9AC003" w14:textId="77777777" w:rsidTr="00137E3E">
        <w:trPr>
          <w:trHeight w:val="60"/>
        </w:trPr>
        <w:tc>
          <w:tcPr>
            <w:cnfStyle w:val="001000000000" w:firstRow="0" w:lastRow="0" w:firstColumn="1" w:lastColumn="0" w:oddVBand="0" w:evenVBand="0" w:oddHBand="0" w:evenHBand="0" w:firstRowFirstColumn="0" w:firstRowLastColumn="0" w:lastRowFirstColumn="0" w:lastRowLastColumn="0"/>
            <w:tcW w:w="4705" w:type="dxa"/>
          </w:tcPr>
          <w:p w14:paraId="3BBE68B0" w14:textId="6BD23170" w:rsidR="00216ED2" w:rsidRPr="008303F9" w:rsidRDefault="00B37152" w:rsidP="00B37152">
            <w:pPr>
              <w:spacing w:after="120"/>
              <w:rPr>
                <w:b w:val="0"/>
              </w:rPr>
            </w:pPr>
            <w:r>
              <w:rPr>
                <w:b w:val="0"/>
              </w:rPr>
              <w:t xml:space="preserve">To what </w:t>
            </w:r>
            <w:proofErr w:type="gramStart"/>
            <w:r>
              <w:rPr>
                <w:b w:val="0"/>
              </w:rPr>
              <w:t xml:space="preserve">extent </w:t>
            </w:r>
            <w:r w:rsidR="00216ED2">
              <w:rPr>
                <w:b w:val="0"/>
              </w:rPr>
              <w:t xml:space="preserve"> were</w:t>
            </w:r>
            <w:proofErr w:type="gramEnd"/>
            <w:r w:rsidR="00216ED2">
              <w:rPr>
                <w:b w:val="0"/>
              </w:rPr>
              <w:t xml:space="preserve"> barriers to promoting gender equality</w:t>
            </w:r>
            <w:r>
              <w:rPr>
                <w:b w:val="0"/>
              </w:rPr>
              <w:t xml:space="preserve"> </w:t>
            </w:r>
            <w:r w:rsidR="00216ED2">
              <w:rPr>
                <w:b w:val="0"/>
              </w:rPr>
              <w:t>policies and practices overcome</w:t>
            </w:r>
            <w:r>
              <w:rPr>
                <w:b w:val="0"/>
              </w:rPr>
              <w:t xml:space="preserve"> as a result of TLPDP activities</w:t>
            </w:r>
            <w:r w:rsidR="00216ED2">
              <w:rPr>
                <w:b w:val="0"/>
              </w:rPr>
              <w:t>?</w:t>
            </w:r>
          </w:p>
        </w:tc>
        <w:tc>
          <w:tcPr>
            <w:tcW w:w="6065" w:type="dxa"/>
          </w:tcPr>
          <w:p w14:paraId="12C306A6" w14:textId="608DC164" w:rsidR="00216ED2" w:rsidRPr="008303F9" w:rsidRDefault="00216ED2" w:rsidP="00B37152">
            <w:pPr>
              <w:spacing w:after="120"/>
              <w:cnfStyle w:val="000000000000" w:firstRow="0" w:lastRow="0" w:firstColumn="0" w:lastColumn="0" w:oddVBand="0" w:evenVBand="0" w:oddHBand="0" w:evenHBand="0" w:firstRowFirstColumn="0" w:firstRowLastColumn="0" w:lastRowFirstColumn="0" w:lastRowLastColumn="0"/>
            </w:pPr>
            <w:r>
              <w:t xml:space="preserve">Examples of where gender policy changes </w:t>
            </w:r>
            <w:r w:rsidR="00B37152">
              <w:t xml:space="preserve">have occurred </w:t>
            </w:r>
            <w:r w:rsidR="008A3863">
              <w:t>and</w:t>
            </w:r>
            <w:r w:rsidR="00B37152">
              <w:t xml:space="preserve"> are being used/implemented </w:t>
            </w:r>
            <w:proofErr w:type="gramStart"/>
            <w:r w:rsidR="00B37152">
              <w:t>(.e.g.</w:t>
            </w:r>
            <w:proofErr w:type="gramEnd"/>
            <w:r w:rsidR="00B37152">
              <w:t xml:space="preserve"> maternity / paternity leave; recruitment matters; promotions etc.)  </w:t>
            </w:r>
          </w:p>
        </w:tc>
        <w:tc>
          <w:tcPr>
            <w:tcW w:w="3169" w:type="dxa"/>
          </w:tcPr>
          <w:p w14:paraId="183D181F" w14:textId="77777777" w:rsidR="00216ED2" w:rsidRPr="008303F9" w:rsidRDefault="00216ED2" w:rsidP="00216ED2">
            <w:pPr>
              <w:spacing w:after="120"/>
              <w:cnfStyle w:val="000000000000" w:firstRow="0" w:lastRow="0" w:firstColumn="0" w:lastColumn="0" w:oddVBand="0" w:evenVBand="0" w:oddHBand="0" w:evenHBand="0" w:firstRowFirstColumn="0" w:firstRowLastColumn="0" w:lastRowFirstColumn="0" w:lastRowLastColumn="0"/>
            </w:pPr>
            <w:r w:rsidRPr="008303F9">
              <w:t>Workshop and training databases</w:t>
            </w:r>
          </w:p>
          <w:p w14:paraId="60B90111" w14:textId="77777777" w:rsidR="00216ED2" w:rsidRDefault="00216ED2" w:rsidP="00216ED2">
            <w:pPr>
              <w:spacing w:after="120"/>
              <w:cnfStyle w:val="000000000000" w:firstRow="0" w:lastRow="0" w:firstColumn="0" w:lastColumn="0" w:oddVBand="0" w:evenVBand="0" w:oddHBand="0" w:evenHBand="0" w:firstRowFirstColumn="0" w:firstRowLastColumn="0" w:lastRowFirstColumn="0" w:lastRowLastColumn="0"/>
            </w:pPr>
            <w:proofErr w:type="gramStart"/>
            <w:r w:rsidRPr="008303F9">
              <w:t>MPRs  and</w:t>
            </w:r>
            <w:proofErr w:type="gramEnd"/>
            <w:r w:rsidRPr="008303F9">
              <w:t xml:space="preserve"> annual reports</w:t>
            </w:r>
          </w:p>
          <w:p w14:paraId="6DFEDEC9" w14:textId="77777777" w:rsidR="00216ED2" w:rsidRDefault="00216ED2" w:rsidP="00216ED2">
            <w:pPr>
              <w:spacing w:after="120"/>
              <w:cnfStyle w:val="000000000000" w:firstRow="0" w:lastRow="0" w:firstColumn="0" w:lastColumn="0" w:oddVBand="0" w:evenVBand="0" w:oddHBand="0" w:evenHBand="0" w:firstRowFirstColumn="0" w:firstRowLastColumn="0" w:lastRowFirstColumn="0" w:lastRowLastColumn="0"/>
            </w:pPr>
            <w:r>
              <w:t>Mid-Term Review</w:t>
            </w:r>
          </w:p>
          <w:p w14:paraId="5EE2D88F" w14:textId="0945091C" w:rsidR="00B37152" w:rsidRPr="008303F9" w:rsidRDefault="00B37152" w:rsidP="00216ED2">
            <w:pPr>
              <w:spacing w:after="120"/>
              <w:cnfStyle w:val="000000000000" w:firstRow="0" w:lastRow="0" w:firstColumn="0" w:lastColumn="0" w:oddVBand="0" w:evenVBand="0" w:oddHBand="0" w:evenHBand="0" w:firstRowFirstColumn="0" w:firstRowLastColumn="0" w:lastRowFirstColumn="0" w:lastRowLastColumn="0"/>
            </w:pPr>
            <w:r>
              <w:t>Case Studies (stories of significant changes)</w:t>
            </w:r>
          </w:p>
        </w:tc>
      </w:tr>
    </w:tbl>
    <w:p w14:paraId="5C2B7C4A" w14:textId="2DB4624F" w:rsidR="00137E3E" w:rsidRDefault="00137E3E" w:rsidP="00137E3E">
      <w:pPr>
        <w:pStyle w:val="Heading3"/>
        <w:numPr>
          <w:ilvl w:val="3"/>
          <w:numId w:val="54"/>
        </w:numPr>
      </w:pPr>
      <w:r w:rsidRPr="00137E3E">
        <w:t>To what extent did the program utilise innovative practices and involve the private sector?</w:t>
      </w:r>
      <w:r>
        <w:tab/>
      </w:r>
    </w:p>
    <w:tbl>
      <w:tblPr>
        <w:tblStyle w:val="LightList-Accent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5"/>
        <w:gridCol w:w="6065"/>
        <w:gridCol w:w="3169"/>
      </w:tblGrid>
      <w:tr w:rsidR="00137E3E" w:rsidRPr="009F3840" w14:paraId="1FABAC1F" w14:textId="77777777" w:rsidTr="00137E3E">
        <w:trPr>
          <w:cnfStyle w:val="100000000000" w:firstRow="1" w:lastRow="0" w:firstColumn="0" w:lastColumn="0" w:oddVBand="0" w:evenVBand="0" w:oddHBand="0"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4705" w:type="dxa"/>
            <w:shd w:val="clear" w:color="auto" w:fill="EAF1DD" w:themeFill="accent3" w:themeFillTint="33"/>
            <w:hideMark/>
          </w:tcPr>
          <w:p w14:paraId="04C121BB" w14:textId="77777777" w:rsidR="00137E3E" w:rsidRPr="00137E3E" w:rsidRDefault="00137E3E" w:rsidP="00AD7F81">
            <w:pPr>
              <w:spacing w:after="120"/>
              <w:rPr>
                <w:bCs w:val="0"/>
                <w:iCs/>
                <w:color w:val="auto"/>
              </w:rPr>
            </w:pPr>
            <w:r w:rsidRPr="00137E3E">
              <w:rPr>
                <w:bCs w:val="0"/>
                <w:iCs/>
                <w:color w:val="auto"/>
              </w:rPr>
              <w:t>Sub question/s</w:t>
            </w:r>
          </w:p>
        </w:tc>
        <w:tc>
          <w:tcPr>
            <w:tcW w:w="6065" w:type="dxa"/>
            <w:shd w:val="clear" w:color="auto" w:fill="EAF1DD" w:themeFill="accent3" w:themeFillTint="33"/>
            <w:hideMark/>
          </w:tcPr>
          <w:p w14:paraId="0037A4BB" w14:textId="77777777" w:rsidR="00137E3E" w:rsidRPr="00137E3E" w:rsidRDefault="00137E3E" w:rsidP="00AD7F81">
            <w:pPr>
              <w:spacing w:after="120"/>
              <w:cnfStyle w:val="100000000000" w:firstRow="1" w:lastRow="0" w:firstColumn="0" w:lastColumn="0" w:oddVBand="0" w:evenVBand="0" w:oddHBand="0" w:evenHBand="0" w:firstRowFirstColumn="0" w:firstRowLastColumn="0" w:lastRowFirstColumn="0" w:lastRowLastColumn="0"/>
              <w:rPr>
                <w:bCs w:val="0"/>
                <w:iCs/>
                <w:color w:val="auto"/>
              </w:rPr>
            </w:pPr>
            <w:r w:rsidRPr="00137E3E">
              <w:rPr>
                <w:bCs w:val="0"/>
                <w:iCs/>
                <w:color w:val="auto"/>
              </w:rPr>
              <w:t>Indicators/measures</w:t>
            </w:r>
          </w:p>
        </w:tc>
        <w:tc>
          <w:tcPr>
            <w:tcW w:w="3169" w:type="dxa"/>
            <w:shd w:val="clear" w:color="auto" w:fill="EAF1DD" w:themeFill="accent3" w:themeFillTint="33"/>
            <w:hideMark/>
          </w:tcPr>
          <w:p w14:paraId="71B74A56" w14:textId="77777777" w:rsidR="00137E3E" w:rsidRPr="00137E3E" w:rsidRDefault="00137E3E" w:rsidP="00AD7F81">
            <w:pPr>
              <w:spacing w:after="120"/>
              <w:cnfStyle w:val="100000000000" w:firstRow="1" w:lastRow="0" w:firstColumn="0" w:lastColumn="0" w:oddVBand="0" w:evenVBand="0" w:oddHBand="0" w:evenHBand="0" w:firstRowFirstColumn="0" w:firstRowLastColumn="0" w:lastRowFirstColumn="0" w:lastRowLastColumn="0"/>
              <w:rPr>
                <w:bCs w:val="0"/>
                <w:iCs/>
                <w:color w:val="auto"/>
              </w:rPr>
            </w:pPr>
            <w:r w:rsidRPr="00137E3E">
              <w:rPr>
                <w:bCs w:val="0"/>
                <w:iCs/>
                <w:color w:val="auto"/>
              </w:rPr>
              <w:t>Data Collection</w:t>
            </w:r>
          </w:p>
        </w:tc>
      </w:tr>
      <w:tr w:rsidR="00137E3E" w:rsidRPr="009F3840" w14:paraId="233A2B81" w14:textId="77777777" w:rsidTr="00137E3E">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4705" w:type="dxa"/>
            <w:hideMark/>
          </w:tcPr>
          <w:p w14:paraId="17F6F243" w14:textId="77777777" w:rsidR="00137E3E" w:rsidRPr="009F3840" w:rsidRDefault="00137E3E" w:rsidP="00AD7F81">
            <w:pPr>
              <w:spacing w:after="120"/>
              <w:rPr>
                <w:b w:val="0"/>
              </w:rPr>
            </w:pPr>
            <w:r w:rsidRPr="009F3840">
              <w:rPr>
                <w:b w:val="0"/>
              </w:rPr>
              <w:t>What innovative programs or processes have been trialled</w:t>
            </w:r>
            <w:r>
              <w:rPr>
                <w:b w:val="0"/>
              </w:rPr>
              <w:t xml:space="preserve"> in TLPDP, including</w:t>
            </w:r>
            <w:r w:rsidRPr="009F3840">
              <w:rPr>
                <w:b w:val="0"/>
              </w:rPr>
              <w:t xml:space="preserve"> with partners?</w:t>
            </w:r>
          </w:p>
        </w:tc>
        <w:tc>
          <w:tcPr>
            <w:tcW w:w="6065" w:type="dxa"/>
            <w:hideMark/>
          </w:tcPr>
          <w:p w14:paraId="77B8B560" w14:textId="77777777" w:rsidR="00137E3E" w:rsidRPr="009F3840" w:rsidRDefault="00137E3E" w:rsidP="00AD7F81">
            <w:pPr>
              <w:spacing w:after="120"/>
              <w:cnfStyle w:val="000000100000" w:firstRow="0" w:lastRow="0" w:firstColumn="0" w:lastColumn="0" w:oddVBand="0" w:evenVBand="0" w:oddHBand="1" w:evenHBand="0" w:firstRowFirstColumn="0" w:firstRowLastColumn="0" w:lastRowFirstColumn="0" w:lastRowLastColumn="0"/>
            </w:pPr>
            <w:r w:rsidRPr="009F3840">
              <w:t>Examples of program activities assessed as innovative</w:t>
            </w:r>
          </w:p>
        </w:tc>
        <w:tc>
          <w:tcPr>
            <w:tcW w:w="3169" w:type="dxa"/>
            <w:hideMark/>
          </w:tcPr>
          <w:p w14:paraId="04131732" w14:textId="77777777" w:rsidR="00137E3E" w:rsidRPr="009F3840" w:rsidRDefault="00137E3E" w:rsidP="00AD7F81">
            <w:pPr>
              <w:spacing w:after="120"/>
              <w:cnfStyle w:val="000000100000" w:firstRow="0" w:lastRow="0" w:firstColumn="0" w:lastColumn="0" w:oddVBand="0" w:evenVBand="0" w:oddHBand="1" w:evenHBand="0" w:firstRowFirstColumn="0" w:firstRowLastColumn="0" w:lastRowFirstColumn="0" w:lastRowLastColumn="0"/>
            </w:pPr>
            <w:r w:rsidRPr="009F3840">
              <w:t>Results Framework Monitoring</w:t>
            </w:r>
          </w:p>
          <w:p w14:paraId="6B6D7B41" w14:textId="77777777" w:rsidR="00137E3E" w:rsidRPr="009F3840" w:rsidRDefault="00137E3E" w:rsidP="00AD7F81">
            <w:pPr>
              <w:spacing w:after="120"/>
              <w:cnfStyle w:val="000000100000" w:firstRow="0" w:lastRow="0" w:firstColumn="0" w:lastColumn="0" w:oddVBand="0" w:evenVBand="0" w:oddHBand="1" w:evenHBand="0" w:firstRowFirstColumn="0" w:firstRowLastColumn="0" w:lastRowFirstColumn="0" w:lastRowLastColumn="0"/>
            </w:pPr>
            <w:r w:rsidRPr="009F3840">
              <w:t>Pilot/trial evaluations</w:t>
            </w:r>
          </w:p>
          <w:p w14:paraId="621E5F40" w14:textId="77777777" w:rsidR="00137E3E" w:rsidRDefault="00137E3E" w:rsidP="00AD7F81">
            <w:pPr>
              <w:spacing w:after="120"/>
              <w:cnfStyle w:val="000000100000" w:firstRow="0" w:lastRow="0" w:firstColumn="0" w:lastColumn="0" w:oddVBand="0" w:evenVBand="0" w:oddHBand="1" w:evenHBand="0" w:firstRowFirstColumn="0" w:firstRowLastColumn="0" w:lastRowFirstColumn="0" w:lastRowLastColumn="0"/>
            </w:pPr>
            <w:r w:rsidRPr="009F3840">
              <w:t>MPRs and annual reports</w:t>
            </w:r>
          </w:p>
          <w:p w14:paraId="42391728" w14:textId="77777777" w:rsidR="00137E3E" w:rsidRPr="009F3840" w:rsidRDefault="00137E3E" w:rsidP="00AD7F81">
            <w:pPr>
              <w:spacing w:after="120"/>
              <w:cnfStyle w:val="000000100000" w:firstRow="0" w:lastRow="0" w:firstColumn="0" w:lastColumn="0" w:oddVBand="0" w:evenVBand="0" w:oddHBand="1" w:evenHBand="0" w:firstRowFirstColumn="0" w:firstRowLastColumn="0" w:lastRowFirstColumn="0" w:lastRowLastColumn="0"/>
            </w:pPr>
            <w:r>
              <w:t>Mid-Term Review</w:t>
            </w:r>
          </w:p>
        </w:tc>
      </w:tr>
    </w:tbl>
    <w:p w14:paraId="056AC261" w14:textId="1D944518" w:rsidR="00137E3E" w:rsidRDefault="00137E3E" w:rsidP="00137E3E">
      <w:pPr>
        <w:tabs>
          <w:tab w:val="left" w:pos="1999"/>
        </w:tabs>
      </w:pPr>
    </w:p>
    <w:p w14:paraId="41C69DEB" w14:textId="6BAFBF41" w:rsidR="00137E3E" w:rsidRPr="00137E3E" w:rsidRDefault="00137E3E" w:rsidP="00137E3E">
      <w:pPr>
        <w:tabs>
          <w:tab w:val="left" w:pos="1999"/>
        </w:tabs>
        <w:sectPr w:rsidR="00137E3E" w:rsidRPr="00137E3E" w:rsidSect="009F3840">
          <w:pgSz w:w="16839" w:h="11907" w:orient="landscape" w:code="9"/>
          <w:pgMar w:top="1440" w:right="1440" w:bottom="1440" w:left="1440" w:header="708" w:footer="708" w:gutter="0"/>
          <w:cols w:space="708"/>
          <w:docGrid w:linePitch="360"/>
        </w:sectPr>
      </w:pPr>
      <w:r>
        <w:tab/>
      </w:r>
    </w:p>
    <w:p w14:paraId="01C1DA5C" w14:textId="2B38655D" w:rsidR="00F27FE0" w:rsidRDefault="00F27FE0" w:rsidP="007701F5">
      <w:pPr>
        <w:spacing w:after="120" w:line="240" w:lineRule="auto"/>
        <w:rPr>
          <w:rFonts w:asciiTheme="majorHAnsi" w:hAnsiTheme="majorHAnsi"/>
        </w:rPr>
      </w:pPr>
    </w:p>
    <w:p w14:paraId="53875539" w14:textId="30474AD6" w:rsidR="000B01C4" w:rsidRDefault="00F27FE0" w:rsidP="007701F5">
      <w:pPr>
        <w:pStyle w:val="Heading1"/>
        <w:spacing w:before="0" w:after="120" w:line="240" w:lineRule="auto"/>
      </w:pPr>
      <w:bookmarkStart w:id="143" w:name="_Toc516189394"/>
      <w:r>
        <w:t>A</w:t>
      </w:r>
      <w:r w:rsidR="00712087">
        <w:t>nnex</w:t>
      </w:r>
      <w:r>
        <w:t xml:space="preserve"> </w:t>
      </w:r>
      <w:r w:rsidR="0087006C">
        <w:t>B</w:t>
      </w:r>
      <w:r w:rsidR="00712087">
        <w:t xml:space="preserve"> </w:t>
      </w:r>
      <w:r w:rsidR="00121E94">
        <w:t>– Cross</w:t>
      </w:r>
      <w:r>
        <w:t xml:space="preserve"> Program Collaboration</w:t>
      </w:r>
      <w:bookmarkEnd w:id="143"/>
    </w:p>
    <w:p w14:paraId="7F5E228F" w14:textId="346EF75E" w:rsidR="00206ADB" w:rsidRPr="00555A3E" w:rsidRDefault="00F27FE0" w:rsidP="007701F5">
      <w:pPr>
        <w:pStyle w:val="Heading3"/>
        <w:numPr>
          <w:ilvl w:val="2"/>
          <w:numId w:val="0"/>
        </w:numPr>
        <w:spacing w:before="0" w:after="120" w:line="240" w:lineRule="auto"/>
        <w:ind w:left="720" w:hanging="720"/>
        <w:rPr>
          <w:rFonts w:ascii="Cambria" w:hAnsi="Cambria"/>
        </w:rPr>
      </w:pPr>
      <w:bookmarkStart w:id="144" w:name="_Toc512527894"/>
      <w:bookmarkStart w:id="145" w:name="_Toc512584768"/>
      <w:bookmarkStart w:id="146" w:name="_Toc516189147"/>
      <w:bookmarkStart w:id="147" w:name="_Toc516189395"/>
      <w:r w:rsidRPr="00555A3E">
        <w:rPr>
          <w:rFonts w:ascii="Cambria" w:hAnsi="Cambria"/>
        </w:rPr>
        <w:t>Department of Foreign Affairs and Trade</w:t>
      </w:r>
      <w:bookmarkEnd w:id="144"/>
      <w:bookmarkEnd w:id="145"/>
      <w:bookmarkEnd w:id="146"/>
      <w:bookmarkEnd w:id="147"/>
    </w:p>
    <w:p w14:paraId="1A91ABB7" w14:textId="77777777" w:rsidR="00F27FE0" w:rsidRPr="008C0E13" w:rsidRDefault="00F27FE0" w:rsidP="007701F5">
      <w:pPr>
        <w:spacing w:after="120" w:line="240" w:lineRule="auto"/>
        <w:rPr>
          <w:lang w:val="en-US"/>
        </w:rPr>
      </w:pPr>
      <w:r w:rsidRPr="008C0E13">
        <w:rPr>
          <w:lang w:val="en-US"/>
        </w:rPr>
        <w:t xml:space="preserve">DFAT’s aid program in Timor-Leste is focused in three strategic areas – </w:t>
      </w:r>
      <w:r w:rsidRPr="008C0E13">
        <w:rPr>
          <w:rStyle w:val="Strong"/>
          <w:lang w:val="en-US"/>
        </w:rPr>
        <w:t>improving livelihoods</w:t>
      </w:r>
      <w:r w:rsidRPr="008C0E13">
        <w:rPr>
          <w:lang w:val="en-US"/>
        </w:rPr>
        <w:t>; enhancing</w:t>
      </w:r>
      <w:r w:rsidRPr="008C0E13">
        <w:rPr>
          <w:b/>
          <w:lang w:val="en-US"/>
        </w:rPr>
        <w:t xml:space="preserve"> </w:t>
      </w:r>
      <w:r w:rsidRPr="008C0E13">
        <w:rPr>
          <w:rStyle w:val="Strong"/>
          <w:lang w:val="en-US"/>
        </w:rPr>
        <w:t>human development</w:t>
      </w:r>
      <w:r w:rsidRPr="008C0E13">
        <w:rPr>
          <w:lang w:val="en-US"/>
        </w:rPr>
        <w:t xml:space="preserve">; and strengthening </w:t>
      </w:r>
      <w:r w:rsidRPr="008C0E13">
        <w:rPr>
          <w:rStyle w:val="Strong"/>
          <w:lang w:val="en-US"/>
        </w:rPr>
        <w:t>governance and institutions</w:t>
      </w:r>
      <w:r w:rsidRPr="008C0E13">
        <w:rPr>
          <w:lang w:val="en-US"/>
        </w:rPr>
        <w:t xml:space="preserve">. Across all programs, DFAT priorities improving nutrition, empowering women and girls and supporting disability-inclusive development. </w:t>
      </w:r>
    </w:p>
    <w:p w14:paraId="7F5CCAEC" w14:textId="0D89759B" w:rsidR="00C6377F" w:rsidRPr="008C0E13" w:rsidRDefault="004F6EDF" w:rsidP="007701F5">
      <w:pPr>
        <w:autoSpaceDE w:val="0"/>
        <w:autoSpaceDN w:val="0"/>
        <w:adjustRightInd w:val="0"/>
        <w:spacing w:after="120" w:line="240" w:lineRule="auto"/>
      </w:pPr>
      <w:r w:rsidRPr="008C0E13">
        <w:t xml:space="preserve">There are several programs managed by DFAT in Timor-Leste that focus on issues in the areas of Economy (such as support for agriculture, roads and employment), People (education, health and domestic violence) and Society (governance, public management and policy). The TLPDP will regularly engage with DFAT to </w:t>
      </w:r>
      <w:r w:rsidR="00C6377F" w:rsidRPr="008C0E13">
        <w:t>benefit from</w:t>
      </w:r>
      <w:r w:rsidRPr="008C0E13">
        <w:t xml:space="preserve"> </w:t>
      </w:r>
      <w:r w:rsidR="00C6377F" w:rsidRPr="008C0E13">
        <w:t xml:space="preserve">their specialist knowledge, particularly around gender and governance reform. </w:t>
      </w:r>
    </w:p>
    <w:p w14:paraId="5DD4BDFE" w14:textId="12F57464" w:rsidR="00C6377F" w:rsidRPr="008C0E13" w:rsidRDefault="00C6377F" w:rsidP="007701F5">
      <w:pPr>
        <w:autoSpaceDE w:val="0"/>
        <w:autoSpaceDN w:val="0"/>
        <w:adjustRightInd w:val="0"/>
        <w:spacing w:after="120" w:line="240" w:lineRule="auto"/>
      </w:pPr>
      <w:r w:rsidRPr="008C0E13">
        <w:t xml:space="preserve">The TLPDP will engage with DFAT on how they can leverage Australia's Governance for Development program. This program helps Timor-Leste Government agencies to develop good policy and improve government systems. The program works in a range of important areas, including public financial management, economic policy, enabling business and investment, public service administration, law reform and financial services. </w:t>
      </w:r>
    </w:p>
    <w:p w14:paraId="4FD59F93" w14:textId="6519DCFD" w:rsidR="004F6EDF" w:rsidRPr="008C0E13" w:rsidRDefault="00C6377F" w:rsidP="007701F5">
      <w:pPr>
        <w:autoSpaceDE w:val="0"/>
        <w:autoSpaceDN w:val="0"/>
        <w:adjustRightInd w:val="0"/>
        <w:spacing w:after="120" w:line="240" w:lineRule="auto"/>
      </w:pPr>
      <w:r w:rsidRPr="008C0E13">
        <w:t xml:space="preserve">The TLPDP will also </w:t>
      </w:r>
      <w:r w:rsidR="00754F4B" w:rsidRPr="008C0E13">
        <w:t xml:space="preserve">collaborate with </w:t>
      </w:r>
      <w:r w:rsidR="004F6EDF" w:rsidRPr="008C0E13">
        <w:t xml:space="preserve">the </w:t>
      </w:r>
      <w:proofErr w:type="spellStart"/>
      <w:r w:rsidR="004F6EDF" w:rsidRPr="008C0E13">
        <w:t>Nabilan</w:t>
      </w:r>
      <w:proofErr w:type="spellEnd"/>
      <w:r w:rsidR="004F6EDF" w:rsidRPr="008C0E13">
        <w:t>: Ending Violence Against Women program (discussed</w:t>
      </w:r>
      <w:r w:rsidRPr="008C0E13">
        <w:t xml:space="preserve"> below). </w:t>
      </w:r>
    </w:p>
    <w:p w14:paraId="6D29CE11" w14:textId="161F585E" w:rsidR="00206ADB" w:rsidRPr="00555A3E" w:rsidRDefault="00F27FE0" w:rsidP="007701F5">
      <w:pPr>
        <w:pStyle w:val="Heading3"/>
        <w:numPr>
          <w:ilvl w:val="2"/>
          <w:numId w:val="0"/>
        </w:numPr>
        <w:spacing w:before="0" w:after="120" w:line="240" w:lineRule="auto"/>
        <w:ind w:left="720" w:hanging="720"/>
        <w:rPr>
          <w:rFonts w:ascii="Cambria" w:hAnsi="Cambria"/>
        </w:rPr>
      </w:pPr>
      <w:bookmarkStart w:id="148" w:name="_Toc512527895"/>
      <w:bookmarkStart w:id="149" w:name="_Toc512584769"/>
      <w:bookmarkStart w:id="150" w:name="_Toc516189148"/>
      <w:bookmarkStart w:id="151" w:name="_Toc516189396"/>
      <w:r w:rsidRPr="00555A3E">
        <w:rPr>
          <w:rFonts w:ascii="Cambria" w:hAnsi="Cambria"/>
        </w:rPr>
        <w:t>Australian Defence Force</w:t>
      </w:r>
      <w:bookmarkEnd w:id="148"/>
      <w:bookmarkEnd w:id="149"/>
      <w:bookmarkEnd w:id="150"/>
      <w:bookmarkEnd w:id="151"/>
    </w:p>
    <w:p w14:paraId="6C307553" w14:textId="77777777" w:rsidR="00F27FE0" w:rsidRPr="008C0E13" w:rsidRDefault="00F27FE0" w:rsidP="007701F5">
      <w:pPr>
        <w:spacing w:after="120" w:line="240" w:lineRule="auto"/>
      </w:pPr>
      <w:r w:rsidRPr="008C0E13">
        <w:t xml:space="preserve">The Australian Defence Forces (ADF) contribution to Timor-Leste’s security and stability has continued from 2006. ADF activities focus on capacity development and community engagement, and there are currently strong relationships between the ADF and TLPDP. The next phase of the TLPDP will look to leverage these good relationships to collaborate on capacity development initiatives where </w:t>
      </w:r>
      <w:proofErr w:type="gramStart"/>
      <w:r w:rsidRPr="008C0E13">
        <w:t>possible, and</w:t>
      </w:r>
      <w:proofErr w:type="gramEnd"/>
      <w:r w:rsidRPr="008C0E13">
        <w:t xml:space="preserve"> increase engagement and rapport between the FFDTL and PNTL wherever possible. </w:t>
      </w:r>
    </w:p>
    <w:p w14:paraId="1A11EECF" w14:textId="77777777" w:rsidR="00F27FE0" w:rsidRPr="008C0E13" w:rsidRDefault="00F27FE0" w:rsidP="007701F5">
      <w:pPr>
        <w:spacing w:after="120" w:line="240" w:lineRule="auto"/>
      </w:pPr>
      <w:r w:rsidRPr="008C0E13">
        <w:t xml:space="preserve">Maritime security remains a high priority for the Government of Timor-Leste. Australia will provide the FFDTL with two new Guardian-class Patrol Boats as part of the Pacific Maritime Security Program. It is anticipated that the delivery of the vessels will occur in mid-2023 and includes long-term training, advisory, maintenance, infrastructure and other support. These vessels will support Timor-Leste’s sovereign capability to patrol and secure its maritime borders. Many of the potential threats to Timor-Leste’s borders stem from serious and organised crime, and the PNTL will need to work in partnership with FFDTL to address these threats and disrupt transnational crime. Therefore, the TLPDP must continue to work closely with the ADF and Australian Border Force to incorporate relevant activities in each </w:t>
      </w:r>
      <w:proofErr w:type="gramStart"/>
      <w:r w:rsidRPr="008C0E13">
        <w:t>agencies</w:t>
      </w:r>
      <w:proofErr w:type="gramEnd"/>
      <w:r w:rsidRPr="008C0E13">
        <w:t xml:space="preserve"> capability development program.  This </w:t>
      </w:r>
      <w:proofErr w:type="gramStart"/>
      <w:r w:rsidRPr="008C0E13">
        <w:t>joint-development</w:t>
      </w:r>
      <w:proofErr w:type="gramEnd"/>
      <w:r w:rsidRPr="008C0E13">
        <w:t xml:space="preserve"> is also an opportunity to increase engagement and partnerships between the FFDTL and PNTL more broadly. </w:t>
      </w:r>
    </w:p>
    <w:p w14:paraId="3D034634" w14:textId="13042870" w:rsidR="00F27FE0" w:rsidRPr="00555A3E" w:rsidRDefault="00F27FE0" w:rsidP="007701F5">
      <w:pPr>
        <w:pStyle w:val="Heading3"/>
        <w:numPr>
          <w:ilvl w:val="2"/>
          <w:numId w:val="0"/>
        </w:numPr>
        <w:spacing w:before="0" w:after="120" w:line="240" w:lineRule="auto"/>
        <w:ind w:left="720" w:hanging="720"/>
        <w:rPr>
          <w:rFonts w:ascii="Cambria" w:hAnsi="Cambria"/>
        </w:rPr>
      </w:pPr>
      <w:bookmarkStart w:id="152" w:name="_Toc512527896"/>
      <w:bookmarkStart w:id="153" w:name="_Toc512584770"/>
      <w:bookmarkStart w:id="154" w:name="_Toc516189149"/>
      <w:bookmarkStart w:id="155" w:name="_Toc516189397"/>
      <w:r w:rsidRPr="00555A3E">
        <w:rPr>
          <w:rFonts w:ascii="Cambria" w:hAnsi="Cambria"/>
        </w:rPr>
        <w:t>Australian Border Force</w:t>
      </w:r>
      <w:bookmarkEnd w:id="152"/>
      <w:bookmarkEnd w:id="153"/>
      <w:bookmarkEnd w:id="154"/>
      <w:bookmarkEnd w:id="155"/>
      <w:r w:rsidRPr="00555A3E">
        <w:rPr>
          <w:rFonts w:ascii="Cambria" w:hAnsi="Cambria"/>
        </w:rPr>
        <w:t xml:space="preserve"> </w:t>
      </w:r>
    </w:p>
    <w:p w14:paraId="41A90BE9" w14:textId="77777777" w:rsidR="00F27FE0" w:rsidRPr="008C0E13" w:rsidRDefault="00F27FE0" w:rsidP="007701F5">
      <w:pPr>
        <w:spacing w:after="120" w:line="240" w:lineRule="auto"/>
      </w:pPr>
      <w:r w:rsidRPr="008C0E13">
        <w:t xml:space="preserve">The ABF supports capacity development and operational activities of the Timor-Leste customs, immigration and land and maritime border police functions. Timor-Leste’s customs and immigration organisations are undergoing significant reform and capacity development with the assistance of ABF and </w:t>
      </w:r>
      <w:proofErr w:type="spellStart"/>
      <w:r w:rsidRPr="008C0E13">
        <w:t>USAid</w:t>
      </w:r>
      <w:proofErr w:type="spellEnd"/>
      <w:r w:rsidRPr="008C0E13">
        <w:t xml:space="preserve">. The ABF is consistently leveraging the TLPDP’s relationships and investments to further improve maritime and land border control and combat transnational crime in the region. The TLPDP will look for opportunities to engage with the ABF on transnational crime and border control, and for possibilities to jointly fund and implement mutually beneficial activities.     </w:t>
      </w:r>
    </w:p>
    <w:p w14:paraId="5EEB0D0A" w14:textId="77777777" w:rsidR="00235AF4" w:rsidRDefault="00235AF4" w:rsidP="007701F5">
      <w:pPr>
        <w:pStyle w:val="Heading3"/>
        <w:numPr>
          <w:ilvl w:val="2"/>
          <w:numId w:val="0"/>
        </w:numPr>
        <w:spacing w:before="0" w:after="120" w:line="240" w:lineRule="auto"/>
        <w:ind w:left="720" w:hanging="720"/>
        <w:rPr>
          <w:rFonts w:ascii="Cambria" w:hAnsi="Cambria"/>
        </w:rPr>
      </w:pPr>
      <w:bookmarkStart w:id="156" w:name="_Toc516189150"/>
      <w:bookmarkStart w:id="157" w:name="_Toc516189398"/>
      <w:bookmarkStart w:id="158" w:name="_Toc512527897"/>
      <w:bookmarkStart w:id="159" w:name="_Toc512584771"/>
      <w:r>
        <w:rPr>
          <w:rFonts w:ascii="Cambria" w:hAnsi="Cambria"/>
        </w:rPr>
        <w:lastRenderedPageBreak/>
        <w:t>Australian Attorney General’s Department</w:t>
      </w:r>
      <w:bookmarkEnd w:id="156"/>
      <w:bookmarkEnd w:id="157"/>
    </w:p>
    <w:p w14:paraId="57070BB5" w14:textId="708BA6A9" w:rsidR="00235AF4" w:rsidRDefault="00235AF4" w:rsidP="00235AF4">
      <w:pPr>
        <w:pStyle w:val="Heading3"/>
        <w:numPr>
          <w:ilvl w:val="2"/>
          <w:numId w:val="0"/>
        </w:numPr>
        <w:spacing w:before="0" w:after="120" w:line="240" w:lineRule="auto"/>
        <w:rPr>
          <w:rFonts w:ascii="Cambria" w:eastAsiaTheme="minorEastAsia" w:hAnsi="Cambria" w:cstheme="minorBidi"/>
          <w:color w:val="auto"/>
          <w:sz w:val="22"/>
          <w:szCs w:val="22"/>
        </w:rPr>
      </w:pPr>
      <w:bookmarkStart w:id="160" w:name="_Toc516189151"/>
      <w:bookmarkStart w:id="161" w:name="_Toc516189399"/>
      <w:r w:rsidRPr="00235AF4">
        <w:rPr>
          <w:rFonts w:ascii="Cambria" w:eastAsiaTheme="minorEastAsia" w:hAnsi="Cambria" w:cstheme="minorBidi"/>
          <w:color w:val="auto"/>
          <w:sz w:val="22"/>
          <w:szCs w:val="22"/>
        </w:rPr>
        <w:t xml:space="preserve">The </w:t>
      </w:r>
      <w:r>
        <w:rPr>
          <w:rFonts w:ascii="Cambria" w:eastAsiaTheme="minorEastAsia" w:hAnsi="Cambria" w:cstheme="minorBidi"/>
          <w:color w:val="auto"/>
          <w:sz w:val="22"/>
          <w:szCs w:val="22"/>
        </w:rPr>
        <w:t>Attorney General’s Department (AGD) implements the Indo-Pacific Justice and Security Program (IP-</w:t>
      </w:r>
      <w:proofErr w:type="spellStart"/>
      <w:r>
        <w:rPr>
          <w:rFonts w:ascii="Cambria" w:eastAsiaTheme="minorEastAsia" w:hAnsi="Cambria" w:cstheme="minorBidi"/>
          <w:color w:val="auto"/>
          <w:sz w:val="22"/>
          <w:szCs w:val="22"/>
        </w:rPr>
        <w:t>JuSP</w:t>
      </w:r>
      <w:proofErr w:type="spellEnd"/>
      <w:r>
        <w:rPr>
          <w:rFonts w:ascii="Cambria" w:eastAsiaTheme="minorEastAsia" w:hAnsi="Cambria" w:cstheme="minorBidi"/>
          <w:color w:val="auto"/>
          <w:sz w:val="22"/>
          <w:szCs w:val="22"/>
        </w:rPr>
        <w:t xml:space="preserve">) to promote development in the Indo-Pacific region by assisting partner countries to strengthen their legal, policy and </w:t>
      </w:r>
      <w:r w:rsidR="007A7DA8">
        <w:rPr>
          <w:rFonts w:ascii="Cambria" w:eastAsiaTheme="minorEastAsia" w:hAnsi="Cambria" w:cstheme="minorBidi"/>
          <w:color w:val="auto"/>
          <w:sz w:val="22"/>
          <w:szCs w:val="22"/>
        </w:rPr>
        <w:t>institutional</w:t>
      </w:r>
      <w:r>
        <w:rPr>
          <w:rFonts w:ascii="Cambria" w:eastAsiaTheme="minorEastAsia" w:hAnsi="Cambria" w:cstheme="minorBidi"/>
          <w:color w:val="auto"/>
          <w:sz w:val="22"/>
          <w:szCs w:val="22"/>
        </w:rPr>
        <w:t xml:space="preserve"> responses to transnational crime and violent extremism.</w:t>
      </w:r>
      <w:bookmarkEnd w:id="160"/>
      <w:bookmarkEnd w:id="161"/>
      <w:r>
        <w:rPr>
          <w:rFonts w:ascii="Cambria" w:eastAsiaTheme="minorEastAsia" w:hAnsi="Cambria" w:cstheme="minorBidi"/>
          <w:color w:val="auto"/>
          <w:sz w:val="22"/>
          <w:szCs w:val="22"/>
        </w:rPr>
        <w:t xml:space="preserve"> </w:t>
      </w:r>
    </w:p>
    <w:p w14:paraId="23914A30" w14:textId="71C98C6F" w:rsidR="00644295" w:rsidRPr="00644295" w:rsidRDefault="00644295" w:rsidP="00644295">
      <w:pPr>
        <w:spacing w:after="120" w:line="240" w:lineRule="auto"/>
      </w:pPr>
      <w:r w:rsidRPr="00644295">
        <w:t xml:space="preserve">The </w:t>
      </w:r>
      <w:r>
        <w:t>IP-</w:t>
      </w:r>
      <w:proofErr w:type="spellStart"/>
      <w:r>
        <w:t>JuSP</w:t>
      </w:r>
      <w:proofErr w:type="spellEnd"/>
      <w:r>
        <w:t xml:space="preserve"> has three key focus areas for assisting Indo-Pacific countries</w:t>
      </w:r>
      <w:r w:rsidRPr="00644295">
        <w:t>:</w:t>
      </w:r>
    </w:p>
    <w:p w14:paraId="17D7D201" w14:textId="77777777" w:rsidR="00644295" w:rsidRPr="00644295" w:rsidRDefault="00644295" w:rsidP="00644295">
      <w:pPr>
        <w:pStyle w:val="ListParagraph"/>
        <w:numPr>
          <w:ilvl w:val="0"/>
          <w:numId w:val="65"/>
        </w:numPr>
        <w:spacing w:after="120" w:line="240" w:lineRule="auto"/>
      </w:pPr>
      <w:r w:rsidRPr="00644295">
        <w:t xml:space="preserve">more comprehensive laws and policies to combat transnational crime and counter violent </w:t>
      </w:r>
      <w:proofErr w:type="gramStart"/>
      <w:r w:rsidRPr="00644295">
        <w:t>extremism;</w:t>
      </w:r>
      <w:proofErr w:type="gramEnd"/>
      <w:r w:rsidRPr="00644295">
        <w:t xml:space="preserve"> </w:t>
      </w:r>
    </w:p>
    <w:p w14:paraId="4DA03D8A" w14:textId="77777777" w:rsidR="00644295" w:rsidRPr="00644295" w:rsidRDefault="00644295" w:rsidP="00644295">
      <w:pPr>
        <w:pStyle w:val="ListParagraph"/>
        <w:numPr>
          <w:ilvl w:val="0"/>
          <w:numId w:val="65"/>
        </w:numPr>
        <w:spacing w:after="120" w:line="240" w:lineRule="auto"/>
      </w:pPr>
      <w:r w:rsidRPr="00644295">
        <w:t xml:space="preserve">more effective implementation of laws and policies to combat transnational crime and counter violent extremism; and </w:t>
      </w:r>
    </w:p>
    <w:p w14:paraId="1765B46C" w14:textId="77777777" w:rsidR="00644295" w:rsidRPr="00644295" w:rsidRDefault="00644295" w:rsidP="00644295">
      <w:pPr>
        <w:pStyle w:val="ListParagraph"/>
        <w:numPr>
          <w:ilvl w:val="0"/>
          <w:numId w:val="65"/>
        </w:numPr>
        <w:spacing w:after="120" w:line="240" w:lineRule="auto"/>
      </w:pPr>
      <w:r w:rsidRPr="00644295">
        <w:t>improved regional cooperation and coordinated responses to security, transnational crimes and violent extremism in the region.</w:t>
      </w:r>
    </w:p>
    <w:p w14:paraId="35874A2F" w14:textId="7CBA4C2B" w:rsidR="00235AF4" w:rsidRPr="00235AF4" w:rsidRDefault="00644295" w:rsidP="00235AF4">
      <w:r>
        <w:t>The TLPDP will engage with AGD to identify areas where the IP-</w:t>
      </w:r>
      <w:proofErr w:type="spellStart"/>
      <w:r>
        <w:t>JuSP</w:t>
      </w:r>
      <w:proofErr w:type="spellEnd"/>
      <w:r>
        <w:t xml:space="preserve"> could assist the Program by complimentary capacity building in legal and policy development to assist PNTL priorities. In particular, </w:t>
      </w:r>
      <w:r w:rsidR="00B8463E">
        <w:t xml:space="preserve">the TLPDP will ascertain the viability of </w:t>
      </w:r>
      <w:r>
        <w:t>IP-</w:t>
      </w:r>
      <w:proofErr w:type="spellStart"/>
      <w:r>
        <w:t>JuSP</w:t>
      </w:r>
      <w:proofErr w:type="spellEnd"/>
      <w:r>
        <w:t xml:space="preserve"> </w:t>
      </w:r>
      <w:r w:rsidR="00B8463E">
        <w:t xml:space="preserve">assistance in </w:t>
      </w:r>
      <w:r>
        <w:t xml:space="preserve">the </w:t>
      </w:r>
      <w:r w:rsidR="00B8463E">
        <w:t xml:space="preserve">development of a </w:t>
      </w:r>
      <w:r>
        <w:t>transnational crime</w:t>
      </w:r>
      <w:r w:rsidR="00B8463E">
        <w:t xml:space="preserve"> </w:t>
      </w:r>
      <w:proofErr w:type="gramStart"/>
      <w:r w:rsidR="00B8463E">
        <w:t>capability.</w:t>
      </w:r>
      <w:r>
        <w:t>.</w:t>
      </w:r>
      <w:proofErr w:type="gramEnd"/>
      <w:r>
        <w:t xml:space="preserve">  </w:t>
      </w:r>
    </w:p>
    <w:p w14:paraId="0D3ACD61" w14:textId="7A602F64" w:rsidR="00F27FE0" w:rsidRPr="00555A3E" w:rsidRDefault="00F27FE0" w:rsidP="007701F5">
      <w:pPr>
        <w:pStyle w:val="Heading3"/>
        <w:numPr>
          <w:ilvl w:val="2"/>
          <w:numId w:val="0"/>
        </w:numPr>
        <w:spacing w:before="0" w:after="120" w:line="240" w:lineRule="auto"/>
        <w:ind w:left="720" w:hanging="720"/>
        <w:rPr>
          <w:rFonts w:ascii="Cambria" w:hAnsi="Cambria"/>
        </w:rPr>
      </w:pPr>
      <w:bookmarkStart w:id="162" w:name="_Toc516189152"/>
      <w:bookmarkStart w:id="163" w:name="_Toc516189400"/>
      <w:r w:rsidRPr="00555A3E">
        <w:rPr>
          <w:rFonts w:ascii="Cambria" w:hAnsi="Cambria"/>
        </w:rPr>
        <w:t>New Zealand</w:t>
      </w:r>
      <w:bookmarkEnd w:id="158"/>
      <w:bookmarkEnd w:id="159"/>
      <w:bookmarkEnd w:id="162"/>
      <w:bookmarkEnd w:id="163"/>
    </w:p>
    <w:p w14:paraId="23E5ACA6" w14:textId="77777777" w:rsidR="00F27FE0" w:rsidRPr="008C0E13" w:rsidRDefault="00F27FE0" w:rsidP="007701F5">
      <w:pPr>
        <w:spacing w:after="120" w:line="240" w:lineRule="auto"/>
      </w:pPr>
      <w:r w:rsidRPr="008C0E13">
        <w:t xml:space="preserve">The Timor-Leste Community Policing Program (TLCCP) is implemented by the New Zealand Police (in partnership with the Asia Foundation, see below) and aims to develop PNTL community policing capacity in the districts. The next phase of the TLCCP is being designed at the time of writing. The program is currently centred on providing policy advice to assist the PNTL with strategic planning, legislative reform and the development of a community policing manual. </w:t>
      </w:r>
    </w:p>
    <w:p w14:paraId="3D1D2ECD" w14:textId="77777777" w:rsidR="00F27FE0" w:rsidRPr="008C0E13" w:rsidRDefault="00F27FE0" w:rsidP="007701F5">
      <w:pPr>
        <w:spacing w:after="120" w:line="240" w:lineRule="auto"/>
      </w:pPr>
      <w:r w:rsidRPr="008C0E13">
        <w:t xml:space="preserve">Should the TLCCP continue to focus on these key areas of development, there is opportunity for the TLPDP to increase engagement with the TLCCP. Whilst specifically focused on community policing, many of the TLCCP’s outcomes will complement TLPDP activities. Subject to the final TLCCP Design direction, the TLPDP should continue to engage with the program on a regular basis. </w:t>
      </w:r>
      <w:proofErr w:type="gramStart"/>
      <w:r w:rsidRPr="008C0E13">
        <w:t>In particular, collaboration</w:t>
      </w:r>
      <w:proofErr w:type="gramEnd"/>
      <w:r w:rsidRPr="008C0E13">
        <w:t xml:space="preserve"> should be increased in the governance space. This not only provides opportunity for the programs to leverage off each other, but it would also ensure the overlap between the two is limited. </w:t>
      </w:r>
    </w:p>
    <w:p w14:paraId="239947CA" w14:textId="77777777" w:rsidR="00F27FE0" w:rsidRPr="00555A3E" w:rsidRDefault="00F27FE0" w:rsidP="007701F5">
      <w:pPr>
        <w:pStyle w:val="Heading3"/>
        <w:numPr>
          <w:ilvl w:val="2"/>
          <w:numId w:val="0"/>
        </w:numPr>
        <w:spacing w:before="0" w:after="120" w:line="240" w:lineRule="auto"/>
        <w:ind w:left="720" w:hanging="720"/>
        <w:rPr>
          <w:rFonts w:ascii="Cambria" w:hAnsi="Cambria"/>
        </w:rPr>
      </w:pPr>
      <w:bookmarkStart w:id="164" w:name="_Toc512527898"/>
      <w:bookmarkStart w:id="165" w:name="_Toc512584772"/>
      <w:bookmarkStart w:id="166" w:name="_Toc516189153"/>
      <w:bookmarkStart w:id="167" w:name="_Toc516189401"/>
      <w:r w:rsidRPr="00555A3E">
        <w:rPr>
          <w:rFonts w:ascii="Cambria" w:hAnsi="Cambria"/>
        </w:rPr>
        <w:t>The Asia Foundation</w:t>
      </w:r>
      <w:bookmarkEnd w:id="164"/>
      <w:bookmarkEnd w:id="165"/>
      <w:bookmarkEnd w:id="166"/>
      <w:bookmarkEnd w:id="167"/>
    </w:p>
    <w:p w14:paraId="4A63D7A4" w14:textId="77777777" w:rsidR="00F27FE0" w:rsidRPr="007701F5" w:rsidRDefault="00F27FE0" w:rsidP="007701F5">
      <w:pPr>
        <w:spacing w:after="120" w:line="240" w:lineRule="auto"/>
        <w:rPr>
          <w:rFonts w:cs="Arial"/>
          <w:lang w:val="en-US"/>
        </w:rPr>
      </w:pPr>
      <w:r w:rsidRPr="007701F5">
        <w:rPr>
          <w:rFonts w:cs="Arial"/>
          <w:lang w:val="en-US"/>
        </w:rPr>
        <w:t xml:space="preserve">The Asia Foundation implements a number of programs and activities that are </w:t>
      </w:r>
      <w:proofErr w:type="gramStart"/>
      <w:r w:rsidRPr="007701F5">
        <w:rPr>
          <w:rFonts w:cs="Arial"/>
          <w:lang w:val="en-US"/>
        </w:rPr>
        <w:t>highly-relevant</w:t>
      </w:r>
      <w:proofErr w:type="gramEnd"/>
      <w:r w:rsidRPr="007701F5">
        <w:rPr>
          <w:rFonts w:cs="Arial"/>
          <w:lang w:val="en-US"/>
        </w:rPr>
        <w:t xml:space="preserve"> to the TLPDP. The TLPDP will engage and collaborate with the Asia Foundation to leverage investment gains, share information and ensure duplication is kept to a minimum.  </w:t>
      </w:r>
    </w:p>
    <w:p w14:paraId="73547E73" w14:textId="77777777" w:rsidR="00F27FE0" w:rsidRPr="007701F5" w:rsidRDefault="00F27FE0" w:rsidP="007701F5">
      <w:pPr>
        <w:autoSpaceDE w:val="0"/>
        <w:autoSpaceDN w:val="0"/>
        <w:adjustRightInd w:val="0"/>
        <w:spacing w:after="120" w:line="240" w:lineRule="auto"/>
        <w:rPr>
          <w:rFonts w:cs="Arial"/>
          <w:lang w:val="en-US"/>
        </w:rPr>
      </w:pPr>
      <w:r w:rsidRPr="007701F5">
        <w:rPr>
          <w:rFonts w:cs="Arial"/>
          <w:lang w:val="en-US"/>
        </w:rPr>
        <w:t>The Asia Foundation jointly implements TLCCP with the New Zealand Police. It supports the PNTL to achieve a locally relevant and sustainable model of community policing in Timor-Leste that aims to make a lasting impact on peace and security.</w:t>
      </w:r>
      <w:r w:rsidRPr="007701F5">
        <w:rPr>
          <w:vertAlign w:val="superscript"/>
        </w:rPr>
        <w:footnoteReference w:id="87"/>
      </w:r>
      <w:r w:rsidRPr="007701F5">
        <w:rPr>
          <w:rFonts w:cs="Arial"/>
          <w:vertAlign w:val="superscript"/>
          <w:lang w:val="en-US"/>
        </w:rPr>
        <w:t xml:space="preserve"> </w:t>
      </w:r>
      <w:r w:rsidRPr="007701F5">
        <w:rPr>
          <w:rFonts w:cs="Arial"/>
          <w:lang w:val="en-US"/>
        </w:rPr>
        <w:t xml:space="preserve">The TLCCP creates mechanisms to strengthen cooperation between police and communities by facilitating dialogues, problem solving forums, and training to enhance the capacity of community policing officers and their commanding officers. The program helps build stronger ties between local </w:t>
      </w:r>
      <w:proofErr w:type="spellStart"/>
      <w:r w:rsidRPr="007701F5">
        <w:rPr>
          <w:rFonts w:cs="Arial"/>
          <w:lang w:val="en-US"/>
        </w:rPr>
        <w:t>organisations</w:t>
      </w:r>
      <w:proofErr w:type="spellEnd"/>
      <w:r w:rsidRPr="007701F5">
        <w:rPr>
          <w:rFonts w:cs="Arial"/>
          <w:lang w:val="en-US"/>
        </w:rPr>
        <w:t>, government agencies, community leaders, and the PNTL to increase awareness and understanding of local security concerns.</w:t>
      </w:r>
    </w:p>
    <w:p w14:paraId="0B83F3BF" w14:textId="77777777" w:rsidR="00F27FE0" w:rsidRPr="007701F5" w:rsidRDefault="00F27FE0" w:rsidP="007701F5">
      <w:pPr>
        <w:autoSpaceDE w:val="0"/>
        <w:autoSpaceDN w:val="0"/>
        <w:adjustRightInd w:val="0"/>
        <w:spacing w:after="120" w:line="240" w:lineRule="auto"/>
        <w:rPr>
          <w:rFonts w:cs="Arial"/>
          <w:lang w:val="en-US"/>
        </w:rPr>
      </w:pPr>
      <w:r w:rsidRPr="007701F5">
        <w:rPr>
          <w:rFonts w:cs="Arial"/>
          <w:lang w:val="en-US"/>
        </w:rPr>
        <w:t xml:space="preserve">The Asia Foundation has completed three Community-Police Perceptions surveys in Timor-Leste between 2008 and 2015. The survey is a </w:t>
      </w:r>
      <w:r w:rsidRPr="007701F5">
        <w:rPr>
          <w:rFonts w:cs="LucidaSans"/>
        </w:rPr>
        <w:t xml:space="preserve">nationwide analysis of community police perceptions in Timor-Leste, and how they are changing over time. </w:t>
      </w:r>
      <w:r w:rsidRPr="007701F5">
        <w:rPr>
          <w:rFonts w:cs="Arial"/>
          <w:lang w:val="en-US"/>
        </w:rPr>
        <w:t xml:space="preserve">These surveys evaluate the </w:t>
      </w:r>
      <w:r w:rsidRPr="007701F5">
        <w:rPr>
          <w:rFonts w:cs="Arial"/>
          <w:lang w:val="en-US"/>
        </w:rPr>
        <w:lastRenderedPageBreak/>
        <w:t>effectiveness of community policing support; gauge perceptions of security sector performance and the overall security environment in Timor-Leste; and track the progress of community and police perceptions of policing and security indicators.</w:t>
      </w:r>
      <w:r w:rsidRPr="007701F5">
        <w:rPr>
          <w:rStyle w:val="FootnoteReference"/>
          <w:rFonts w:cs="Arial"/>
          <w:lang w:val="en-US"/>
        </w:rPr>
        <w:footnoteReference w:id="88"/>
      </w:r>
      <w:r w:rsidRPr="007701F5">
        <w:rPr>
          <w:rFonts w:cs="Arial"/>
          <w:lang w:val="en-US"/>
        </w:rPr>
        <w:t xml:space="preserve"> The survey is a great source of data for the TLPDP and will continue to inform monitoring, evaluation and planning over the next four years of the Program.  </w:t>
      </w:r>
    </w:p>
    <w:p w14:paraId="602AA480" w14:textId="77777777" w:rsidR="00F27FE0" w:rsidRPr="00DE3F3F" w:rsidRDefault="00F27FE0" w:rsidP="007701F5">
      <w:pPr>
        <w:autoSpaceDE w:val="0"/>
        <w:autoSpaceDN w:val="0"/>
        <w:adjustRightInd w:val="0"/>
        <w:spacing w:after="120" w:line="240" w:lineRule="auto"/>
        <w:rPr>
          <w:rFonts w:asciiTheme="majorHAnsi" w:hAnsiTheme="majorHAnsi" w:cs="Arial"/>
          <w:lang w:val="en-US"/>
        </w:rPr>
      </w:pPr>
      <w:r w:rsidRPr="007701F5">
        <w:rPr>
          <w:rFonts w:cs="Arial"/>
          <w:lang w:val="en-US"/>
        </w:rPr>
        <w:t xml:space="preserve">The Asia Foundation is also implementing the </w:t>
      </w:r>
      <w:proofErr w:type="spellStart"/>
      <w:r w:rsidRPr="007701F5">
        <w:rPr>
          <w:rStyle w:val="Emphasis"/>
          <w:rFonts w:cs="Arial"/>
          <w:lang w:val="en-US"/>
        </w:rPr>
        <w:t>Nabilan</w:t>
      </w:r>
      <w:proofErr w:type="spellEnd"/>
      <w:r w:rsidRPr="007701F5">
        <w:rPr>
          <w:rFonts w:cs="Arial"/>
          <w:lang w:val="en-US"/>
        </w:rPr>
        <w:t xml:space="preserve"> program in Timor-Leste under a grant agreement with DFAT. The first four-year phase of the program commenced in </w:t>
      </w:r>
      <w:proofErr w:type="gramStart"/>
      <w:r w:rsidRPr="007701F5">
        <w:rPr>
          <w:rFonts w:cs="Arial"/>
          <w:lang w:val="en-US"/>
        </w:rPr>
        <w:t>April 2014, and</w:t>
      </w:r>
      <w:proofErr w:type="gramEnd"/>
      <w:r w:rsidRPr="007701F5">
        <w:rPr>
          <w:rFonts w:cs="Arial"/>
          <w:lang w:val="en-US"/>
        </w:rPr>
        <w:t xml:space="preserve"> was extended for an additional four years (Phase 2) until June 2022.The </w:t>
      </w:r>
      <w:proofErr w:type="spellStart"/>
      <w:r w:rsidRPr="007701F5">
        <w:rPr>
          <w:rStyle w:val="Emphasis"/>
          <w:rFonts w:cs="Arial"/>
          <w:lang w:val="en-US"/>
        </w:rPr>
        <w:t>Nabilan</w:t>
      </w:r>
      <w:proofErr w:type="spellEnd"/>
      <w:r w:rsidRPr="007701F5">
        <w:rPr>
          <w:rFonts w:cs="Arial"/>
          <w:lang w:val="en-US"/>
        </w:rPr>
        <w:t xml:space="preserve"> program’s goal is to reduce the proportion of women who have experienced violence, and to improve well-being for an increased number of women and children who have been affected by violence. The TLPDP’s work with the PNTL, particularly in relation to the VPU’s, should seek to leverage the </w:t>
      </w:r>
      <w:proofErr w:type="spellStart"/>
      <w:r w:rsidRPr="007701F5">
        <w:rPr>
          <w:rFonts w:cs="Arial"/>
          <w:i/>
          <w:lang w:val="en-US"/>
        </w:rPr>
        <w:t>Nabilan</w:t>
      </w:r>
      <w:proofErr w:type="spellEnd"/>
      <w:r w:rsidRPr="007701F5">
        <w:rPr>
          <w:rFonts w:cs="Arial"/>
          <w:lang w:val="en-US"/>
        </w:rPr>
        <w:t xml:space="preserve"> program where possible. </w:t>
      </w:r>
    </w:p>
    <w:p w14:paraId="5EF5B297" w14:textId="77777777" w:rsidR="00F27FE0" w:rsidRPr="00555A3E" w:rsidRDefault="00F27FE0" w:rsidP="007701F5">
      <w:pPr>
        <w:pStyle w:val="Heading3"/>
        <w:numPr>
          <w:ilvl w:val="2"/>
          <w:numId w:val="0"/>
        </w:numPr>
        <w:spacing w:before="0" w:after="120" w:line="240" w:lineRule="auto"/>
        <w:ind w:left="720" w:hanging="720"/>
        <w:rPr>
          <w:rFonts w:ascii="Cambria" w:hAnsi="Cambria"/>
        </w:rPr>
      </w:pPr>
      <w:bookmarkStart w:id="168" w:name="_Toc512527899"/>
      <w:bookmarkStart w:id="169" w:name="_Toc512584773"/>
      <w:bookmarkStart w:id="170" w:name="_Toc516189154"/>
      <w:bookmarkStart w:id="171" w:name="_Toc516189402"/>
      <w:r w:rsidRPr="00555A3E">
        <w:rPr>
          <w:rFonts w:ascii="Cambria" w:hAnsi="Cambria"/>
        </w:rPr>
        <w:t>UN Women</w:t>
      </w:r>
      <w:bookmarkEnd w:id="168"/>
      <w:bookmarkEnd w:id="169"/>
      <w:bookmarkEnd w:id="170"/>
      <w:bookmarkEnd w:id="171"/>
    </w:p>
    <w:p w14:paraId="1709088C" w14:textId="732EA45E" w:rsidR="00206ADB" w:rsidRDefault="00F27FE0" w:rsidP="007701F5">
      <w:pPr>
        <w:spacing w:after="120" w:line="240" w:lineRule="auto"/>
        <w:rPr>
          <w:rFonts w:cs="Arial"/>
          <w:lang w:val="en-US"/>
        </w:rPr>
      </w:pPr>
      <w:r w:rsidRPr="007701F5">
        <w:t xml:space="preserve">UN Women works with the </w:t>
      </w:r>
      <w:proofErr w:type="spellStart"/>
      <w:r w:rsidRPr="007701F5">
        <w:t>GoRDTL</w:t>
      </w:r>
      <w:proofErr w:type="spellEnd"/>
      <w:r w:rsidRPr="007701F5">
        <w:t xml:space="preserve"> to promote gender-responsive planning and budgeting; support women’s participation in politics; and support the implementation of the </w:t>
      </w:r>
      <w:r w:rsidRPr="007701F5">
        <w:rPr>
          <w:i/>
        </w:rPr>
        <w:t>Convention on the Elimination of All Forms of Discrimination Against Women (1981</w:t>
      </w:r>
      <w:r w:rsidRPr="007701F5">
        <w:t xml:space="preserve">, and </w:t>
      </w:r>
      <w:r w:rsidRPr="007701F5">
        <w:rPr>
          <w:i/>
          <w:lang w:val="en"/>
        </w:rPr>
        <w:t>United Nations Security Council Resolution (UNSCR) 1325 (2000) on Women, Peace and Security</w:t>
      </w:r>
      <w:r w:rsidRPr="007701F5">
        <w:rPr>
          <w:lang w:val="en"/>
        </w:rPr>
        <w:t xml:space="preserve">. In particular, UN Women </w:t>
      </w:r>
      <w:r w:rsidRPr="007701F5">
        <w:rPr>
          <w:rFonts w:cs="Arial"/>
          <w:lang w:val="en-US"/>
        </w:rPr>
        <w:t>facilitates training of the PNTL on Security Council resolution 1325 and supports community-led initiatives through the development of self-help groups to increase community building and reduce rates of sexual and gender-based violence and domestic violence.</w:t>
      </w:r>
      <w:r w:rsidRPr="007701F5">
        <w:rPr>
          <w:rStyle w:val="FootnoteReference"/>
          <w:rFonts w:cs="Arial"/>
          <w:lang w:val="en-US"/>
        </w:rPr>
        <w:footnoteReference w:id="89"/>
      </w:r>
      <w:r w:rsidRPr="007701F5">
        <w:rPr>
          <w:rFonts w:cs="Arial"/>
          <w:lang w:val="en-US"/>
        </w:rPr>
        <w:t xml:space="preserve"> The TLPDP will continue to work closely with UN Women to leverage investment gains, partner to increase efficiencies and </w:t>
      </w:r>
      <w:r w:rsidR="00206ADB" w:rsidRPr="007701F5">
        <w:rPr>
          <w:rFonts w:cs="Arial"/>
          <w:lang w:val="en-US"/>
        </w:rPr>
        <w:t xml:space="preserve">share knowledge and expertise. </w:t>
      </w:r>
    </w:p>
    <w:p w14:paraId="24CD9287" w14:textId="74FB3130" w:rsidR="00717C46" w:rsidRPr="008A3863" w:rsidRDefault="00717C46" w:rsidP="00717C46">
      <w:pPr>
        <w:pStyle w:val="Heading3"/>
        <w:numPr>
          <w:ilvl w:val="2"/>
          <w:numId w:val="0"/>
        </w:numPr>
        <w:spacing w:before="0" w:after="120" w:line="240" w:lineRule="auto"/>
        <w:ind w:left="720" w:hanging="720"/>
        <w:rPr>
          <w:rFonts w:ascii="Cambria" w:hAnsi="Cambria"/>
        </w:rPr>
      </w:pPr>
      <w:bookmarkStart w:id="172" w:name="_Toc516189155"/>
      <w:bookmarkStart w:id="173" w:name="_Toc516189403"/>
      <w:r w:rsidRPr="008A3863">
        <w:rPr>
          <w:rFonts w:ascii="Cambria" w:hAnsi="Cambria"/>
        </w:rPr>
        <w:t>ASEAN</w:t>
      </w:r>
      <w:bookmarkEnd w:id="172"/>
      <w:bookmarkEnd w:id="173"/>
    </w:p>
    <w:p w14:paraId="74C46711" w14:textId="3B0E714C" w:rsidR="005D68F8" w:rsidRPr="008A3863" w:rsidRDefault="005D68F8" w:rsidP="005D68F8">
      <w:pPr>
        <w:pStyle w:val="BodyText"/>
        <w:rPr>
          <w:color w:val="000000" w:themeColor="text1"/>
        </w:rPr>
      </w:pPr>
      <w:r w:rsidRPr="008A3863">
        <w:rPr>
          <w:color w:val="000000" w:themeColor="text1"/>
        </w:rPr>
        <w:t xml:space="preserve">The ASEAN-Australia Counter-Trafficking Program is a </w:t>
      </w:r>
      <w:proofErr w:type="gramStart"/>
      <w:r w:rsidRPr="008A3863">
        <w:rPr>
          <w:color w:val="000000" w:themeColor="text1"/>
        </w:rPr>
        <w:t>10 year</w:t>
      </w:r>
      <w:proofErr w:type="gramEnd"/>
      <w:r w:rsidRPr="008A3863">
        <w:rPr>
          <w:color w:val="000000" w:themeColor="text1"/>
        </w:rPr>
        <w:t xml:space="preserve"> investment to continue to enhance the criminal justice response to human trafficking and to implement the </w:t>
      </w:r>
      <w:r w:rsidRPr="008A3863">
        <w:rPr>
          <w:i/>
          <w:iCs/>
          <w:color w:val="000000" w:themeColor="text1"/>
        </w:rPr>
        <w:t>ASEAN Convention Against Trafficking In Persons, Especially Women and Children</w:t>
      </w:r>
      <w:r w:rsidRPr="008A3863">
        <w:rPr>
          <w:color w:val="000000" w:themeColor="text1"/>
        </w:rPr>
        <w:t xml:space="preserve"> (ACTIP). The primary goal of the ASEAN-Australia Counter-Trafficking Program is the enhancement of ASEAN Member States’ justice systems to ensure they </w:t>
      </w:r>
      <w:proofErr w:type="gramStart"/>
      <w:r w:rsidRPr="008A3863">
        <w:rPr>
          <w:color w:val="000000" w:themeColor="text1"/>
        </w:rPr>
        <w:t>are able to</w:t>
      </w:r>
      <w:proofErr w:type="gramEnd"/>
      <w:r w:rsidRPr="008A3863">
        <w:rPr>
          <w:color w:val="000000" w:themeColor="text1"/>
        </w:rPr>
        <w:t xml:space="preserve"> provide just punishment of traffickers, while also protecting the human rights of victims. Whilst the ASEAN-Australia Counter-Trafficking Program is primarily to assist ASEAN Member States, the TLPDP should work with DFAT (Post) to determine if there</w:t>
      </w:r>
      <w:r w:rsidR="009D59E7" w:rsidRPr="008A3863">
        <w:rPr>
          <w:color w:val="000000" w:themeColor="text1"/>
        </w:rPr>
        <w:t xml:space="preserve"> is</w:t>
      </w:r>
      <w:r w:rsidRPr="008A3863">
        <w:rPr>
          <w:color w:val="000000" w:themeColor="text1"/>
        </w:rPr>
        <w:t xml:space="preserve"> </w:t>
      </w:r>
      <w:proofErr w:type="gramStart"/>
      <w:r w:rsidRPr="008A3863">
        <w:rPr>
          <w:color w:val="000000" w:themeColor="text1"/>
        </w:rPr>
        <w:t>benefit</w:t>
      </w:r>
      <w:proofErr w:type="gramEnd"/>
      <w:r w:rsidRPr="008A3863">
        <w:rPr>
          <w:color w:val="000000" w:themeColor="text1"/>
        </w:rPr>
        <w:t xml:space="preserve"> </w:t>
      </w:r>
      <w:r w:rsidR="009D59E7" w:rsidRPr="008A3863">
        <w:rPr>
          <w:color w:val="000000" w:themeColor="text1"/>
        </w:rPr>
        <w:t>to</w:t>
      </w:r>
      <w:r w:rsidRPr="008A3863">
        <w:rPr>
          <w:color w:val="000000" w:themeColor="text1"/>
        </w:rPr>
        <w:t xml:space="preserve"> leveraging this program to assist the TLPDP’s efforts to enhance the PNTL’s capability to </w:t>
      </w:r>
      <w:r w:rsidR="00332FA2" w:rsidRPr="008A3863">
        <w:rPr>
          <w:color w:val="000000" w:themeColor="text1"/>
        </w:rPr>
        <w:t>combat transnational</w:t>
      </w:r>
      <w:r w:rsidRPr="008A3863">
        <w:rPr>
          <w:color w:val="000000" w:themeColor="text1"/>
        </w:rPr>
        <w:t xml:space="preserve"> crime.   </w:t>
      </w:r>
    </w:p>
    <w:p w14:paraId="2EC5CAD4" w14:textId="4CDDE02E" w:rsidR="005D68F8" w:rsidRPr="00717C46" w:rsidRDefault="005D68F8" w:rsidP="00717C46">
      <w:r>
        <w:t xml:space="preserve"> </w:t>
      </w:r>
    </w:p>
    <w:p w14:paraId="7D7B0EFE" w14:textId="77777777" w:rsidR="00717C46" w:rsidRPr="007701F5" w:rsidRDefault="00717C46" w:rsidP="007701F5">
      <w:pPr>
        <w:spacing w:after="120" w:line="240" w:lineRule="auto"/>
        <w:rPr>
          <w:rFonts w:cs="Arial"/>
          <w:lang w:val="en-US"/>
        </w:rPr>
      </w:pPr>
    </w:p>
    <w:p w14:paraId="66EED357" w14:textId="77777777" w:rsidR="00206ADB" w:rsidRDefault="00206ADB" w:rsidP="007701F5">
      <w:pPr>
        <w:spacing w:after="120" w:line="240" w:lineRule="auto"/>
        <w:rPr>
          <w:rFonts w:asciiTheme="majorHAnsi" w:hAnsiTheme="majorHAnsi" w:cs="Arial"/>
          <w:lang w:val="en-US"/>
        </w:rPr>
      </w:pPr>
    </w:p>
    <w:p w14:paraId="22D91EF3" w14:textId="77777777" w:rsidR="00206ADB" w:rsidRDefault="00206ADB" w:rsidP="007701F5">
      <w:pPr>
        <w:spacing w:after="120" w:line="240" w:lineRule="auto"/>
        <w:rPr>
          <w:rFonts w:asciiTheme="majorHAnsi" w:hAnsiTheme="majorHAnsi" w:cs="Arial"/>
          <w:lang w:val="en-US"/>
        </w:rPr>
      </w:pPr>
    </w:p>
    <w:p w14:paraId="507F7D1A" w14:textId="77777777" w:rsidR="00206ADB" w:rsidRDefault="00206ADB" w:rsidP="00206ADB">
      <w:pPr>
        <w:spacing w:after="120" w:line="240" w:lineRule="auto"/>
        <w:rPr>
          <w:rFonts w:asciiTheme="majorHAnsi" w:hAnsiTheme="majorHAnsi"/>
        </w:rPr>
        <w:sectPr w:rsidR="00206ADB" w:rsidSect="009F3840">
          <w:pgSz w:w="11907" w:h="16839" w:code="9"/>
          <w:pgMar w:top="1440" w:right="1440" w:bottom="1440" w:left="1440" w:header="720" w:footer="720" w:gutter="0"/>
          <w:cols w:space="720"/>
          <w:docGrid w:linePitch="360"/>
        </w:sectPr>
      </w:pPr>
    </w:p>
    <w:p w14:paraId="47866145" w14:textId="7D3DAC29" w:rsidR="00206ADB" w:rsidRDefault="00206ADB" w:rsidP="00206ADB">
      <w:pPr>
        <w:pStyle w:val="Heading1"/>
        <w:spacing w:after="240"/>
      </w:pPr>
      <w:bookmarkStart w:id="174" w:name="_Toc516189404"/>
      <w:r>
        <w:lastRenderedPageBreak/>
        <w:t xml:space="preserve">Annex </w:t>
      </w:r>
      <w:r w:rsidR="0087006C">
        <w:t>C</w:t>
      </w:r>
      <w:r w:rsidR="00712087">
        <w:t xml:space="preserve"> –</w:t>
      </w:r>
      <w:r>
        <w:t xml:space="preserve"> Indicative Critical Path Activities</w:t>
      </w:r>
      <w:bookmarkEnd w:id="174"/>
      <w:r w:rsidR="00CF1FDE">
        <w:rPr>
          <w:noProof/>
        </w:rPr>
        <w:drawing>
          <wp:inline distT="0" distB="0" distL="0" distR="0" wp14:anchorId="42029449" wp14:editId="6BD0C3F4">
            <wp:extent cx="2619375" cy="1857375"/>
            <wp:effectExtent l="0" t="0" r="9525" b="9525"/>
            <wp:docPr id="316" name="Picture 316" descr="Image depicting a colour legend for each component. Yellow for Component 1, Green for Component 2 and Blue for Component 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 name="Picture 316" descr="Image depicting a colour legend for each component. Yellow for Component 1, Green for Component 2 and Blue for Component 3. "/>
                    <pic:cNvPicPr/>
                  </pic:nvPicPr>
                  <pic:blipFill>
                    <a:blip r:embed="rId16"/>
                    <a:stretch>
                      <a:fillRect/>
                    </a:stretch>
                  </pic:blipFill>
                  <pic:spPr>
                    <a:xfrm>
                      <a:off x="0" y="0"/>
                      <a:ext cx="2619375" cy="1857375"/>
                    </a:xfrm>
                    <a:prstGeom prst="rect">
                      <a:avLst/>
                    </a:prstGeom>
                  </pic:spPr>
                </pic:pic>
              </a:graphicData>
            </a:graphic>
          </wp:inline>
        </w:drawing>
      </w:r>
    </w:p>
    <w:p w14:paraId="094E684A" w14:textId="77777777" w:rsidR="00206ADB" w:rsidRDefault="00206ADB" w:rsidP="00121E94">
      <w:r>
        <w:t>This annex suggests a potential critical path that can be followed in order</w:t>
      </w:r>
      <w:r w:rsidRPr="009E7A89">
        <w:t xml:space="preserve"> to achieve</w:t>
      </w:r>
      <w:r>
        <w:t xml:space="preserve"> the intended</w:t>
      </w:r>
      <w:r w:rsidRPr="009E7A89">
        <w:t xml:space="preserve"> outcomes </w:t>
      </w:r>
      <w:r>
        <w:t>of TLPDP 2018-2022. It also emphasises the interdependencies of each component.</w:t>
      </w:r>
    </w:p>
    <w:p w14:paraId="200398A8" w14:textId="7679681A" w:rsidR="00206ADB" w:rsidRDefault="00E55D6C" w:rsidP="00206ADB">
      <w:pPr>
        <w:ind w:left="-851"/>
      </w:pPr>
      <w:r>
        <w:rPr>
          <w:noProof/>
        </w:rPr>
        <w:lastRenderedPageBreak/>
        <w:drawing>
          <wp:inline distT="0" distB="0" distL="0" distR="0" wp14:anchorId="64D179EC" wp14:editId="068E5D85">
            <wp:extent cx="6954962" cy="7528956"/>
            <wp:effectExtent l="0" t="0" r="0" b="0"/>
            <wp:docPr id="319" name="Picture 319" descr="Diagram suggesting timeframes and critical paths to achieve the intended outcomes, under each componen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 name="Picture 319" descr="Diagram suggesting timeframes and critical paths to achieve the intended outcomes, under each component. &#10;"/>
                    <pic:cNvPicPr/>
                  </pic:nvPicPr>
                  <pic:blipFill>
                    <a:blip r:embed="rId17"/>
                    <a:stretch>
                      <a:fillRect/>
                    </a:stretch>
                  </pic:blipFill>
                  <pic:spPr>
                    <a:xfrm>
                      <a:off x="0" y="0"/>
                      <a:ext cx="6972363" cy="7547793"/>
                    </a:xfrm>
                    <a:prstGeom prst="rect">
                      <a:avLst/>
                    </a:prstGeom>
                  </pic:spPr>
                </pic:pic>
              </a:graphicData>
            </a:graphic>
          </wp:inline>
        </w:drawing>
      </w:r>
    </w:p>
    <w:p w14:paraId="45041A3B" w14:textId="77777777" w:rsidR="00206ADB" w:rsidRDefault="00206ADB" w:rsidP="00206ADB"/>
    <w:p w14:paraId="496F21EC" w14:textId="61434A2F" w:rsidR="00206ADB" w:rsidRDefault="00E55D6C" w:rsidP="00206ADB">
      <w:pPr>
        <w:ind w:left="-851"/>
      </w:pPr>
      <w:r>
        <w:rPr>
          <w:noProof/>
        </w:rPr>
        <w:lastRenderedPageBreak/>
        <w:drawing>
          <wp:inline distT="0" distB="0" distL="0" distR="0" wp14:anchorId="6D81D765" wp14:editId="3F50DDF4">
            <wp:extent cx="6543528" cy="8146473"/>
            <wp:effectExtent l="0" t="0" r="0" b="6985"/>
            <wp:docPr id="64" name="Picture 64" descr="Diagram suggesting timeframes and critical paths to achieve the intended outcomes, under each compon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descr="Diagram suggesting timeframes and critical paths to achieve the intended outcomes, under each component. "/>
                    <pic:cNvPicPr/>
                  </pic:nvPicPr>
                  <pic:blipFill>
                    <a:blip r:embed="rId18"/>
                    <a:stretch>
                      <a:fillRect/>
                    </a:stretch>
                  </pic:blipFill>
                  <pic:spPr>
                    <a:xfrm>
                      <a:off x="0" y="0"/>
                      <a:ext cx="6552798" cy="8158013"/>
                    </a:xfrm>
                    <a:prstGeom prst="rect">
                      <a:avLst/>
                    </a:prstGeom>
                  </pic:spPr>
                </pic:pic>
              </a:graphicData>
            </a:graphic>
          </wp:inline>
        </w:drawing>
      </w:r>
    </w:p>
    <w:p w14:paraId="4775486E" w14:textId="77777777" w:rsidR="00206ADB" w:rsidRDefault="00206ADB" w:rsidP="00206ADB">
      <w:pPr>
        <w:spacing w:after="0"/>
      </w:pPr>
    </w:p>
    <w:p w14:paraId="79687ACD" w14:textId="71C665D0" w:rsidR="00206ADB" w:rsidRDefault="00206ADB" w:rsidP="00206ADB">
      <w:pPr>
        <w:ind w:left="-851"/>
      </w:pPr>
    </w:p>
    <w:p w14:paraId="691AAEF5" w14:textId="5B51142A" w:rsidR="00206ADB" w:rsidRDefault="00206ADB" w:rsidP="00206ADB">
      <w:pPr>
        <w:spacing w:after="120" w:line="240" w:lineRule="auto"/>
        <w:rPr>
          <w:rFonts w:asciiTheme="majorHAnsi" w:hAnsiTheme="majorHAnsi"/>
        </w:rPr>
        <w:sectPr w:rsidR="00206ADB" w:rsidSect="00206ADB">
          <w:pgSz w:w="11907" w:h="16839" w:code="9"/>
          <w:pgMar w:top="993" w:right="1440" w:bottom="1276" w:left="1440" w:header="720" w:footer="720" w:gutter="0"/>
          <w:cols w:space="720"/>
          <w:docGrid w:linePitch="360"/>
        </w:sectPr>
      </w:pPr>
    </w:p>
    <w:p w14:paraId="49358318" w14:textId="77777777" w:rsidR="00E41375" w:rsidRDefault="00E41375" w:rsidP="004634C5">
      <w:pPr>
        <w:tabs>
          <w:tab w:val="center" w:pos="4680"/>
        </w:tabs>
        <w:rPr>
          <w:rFonts w:asciiTheme="majorHAnsi" w:hAnsiTheme="majorHAnsi"/>
        </w:rPr>
        <w:sectPr w:rsidR="00E41375" w:rsidSect="00206ADB">
          <w:type w:val="continuous"/>
          <w:pgSz w:w="11907" w:h="16839" w:code="9"/>
          <w:pgMar w:top="851" w:right="1440" w:bottom="567" w:left="1440" w:header="720" w:footer="720" w:gutter="0"/>
          <w:cols w:space="720"/>
          <w:docGrid w:linePitch="360"/>
        </w:sectPr>
      </w:pPr>
    </w:p>
    <w:p w14:paraId="09364430" w14:textId="6B160C6C" w:rsidR="00EE1F52" w:rsidRPr="00C7452F" w:rsidRDefault="00EE1F52" w:rsidP="00BD767B">
      <w:pPr>
        <w:pStyle w:val="Heading1"/>
        <w:spacing w:after="240"/>
      </w:pPr>
      <w:bookmarkStart w:id="175" w:name="_Toc465691399"/>
      <w:bookmarkStart w:id="176" w:name="_Toc516189405"/>
      <w:r w:rsidRPr="00C7452F">
        <w:lastRenderedPageBreak/>
        <w:t xml:space="preserve">Annex </w:t>
      </w:r>
      <w:r w:rsidR="00712087">
        <w:t>D –</w:t>
      </w:r>
      <w:r w:rsidRPr="00C7452F">
        <w:t xml:space="preserve"> Risk Register</w:t>
      </w:r>
      <w:bookmarkEnd w:id="175"/>
      <w:bookmarkEnd w:id="176"/>
    </w:p>
    <w:p w14:paraId="20C5B4B7" w14:textId="77777777" w:rsidR="00017EAE" w:rsidRPr="007701F5" w:rsidRDefault="00EE1F52" w:rsidP="00EE1F52">
      <w:r w:rsidRPr="007701F5">
        <w:t xml:space="preserve">This risk register will need to be reviewed, </w:t>
      </w:r>
      <w:proofErr w:type="gramStart"/>
      <w:r w:rsidRPr="007701F5">
        <w:t>revised</w:t>
      </w:r>
      <w:proofErr w:type="gramEnd"/>
      <w:r w:rsidRPr="007701F5">
        <w:t xml:space="preserve"> and endorsed at the start of implementation. The Program Commander will be required to develop a comprehensive risk matrix that addresses risks at the implementation level. Country specific risk management plans will need to be developed at the start of implementation and consolidated and updated in the global risk management plan throughout implementation. </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017EAE" w14:paraId="06CB0CFF" w14:textId="77777777" w:rsidTr="00AD7F81">
        <w:tc>
          <w:tcPr>
            <w:tcW w:w="1502" w:type="dxa"/>
          </w:tcPr>
          <w:p w14:paraId="7657BC0E" w14:textId="77777777" w:rsidR="00017EAE" w:rsidRDefault="00017EAE" w:rsidP="00AD7F81">
            <w:r w:rsidRPr="00C7452F">
              <w:rPr>
                <w:rFonts w:ascii="Calibri" w:hAnsi="Calibri"/>
                <w:sz w:val="20"/>
                <w:szCs w:val="20"/>
              </w:rPr>
              <w:t>Probability of Risk Occurring</w:t>
            </w:r>
          </w:p>
        </w:tc>
        <w:tc>
          <w:tcPr>
            <w:tcW w:w="1502" w:type="dxa"/>
          </w:tcPr>
          <w:p w14:paraId="1ED65F99" w14:textId="77777777" w:rsidR="00017EAE" w:rsidRDefault="00017EAE" w:rsidP="00AD7F81">
            <w:r w:rsidRPr="00C7452F">
              <w:rPr>
                <w:rFonts w:ascii="Calibri" w:hAnsi="Calibri"/>
                <w:sz w:val="20"/>
                <w:szCs w:val="20"/>
              </w:rPr>
              <w:t>Impact of Risk Occurring</w:t>
            </w:r>
          </w:p>
        </w:tc>
        <w:tc>
          <w:tcPr>
            <w:tcW w:w="1503" w:type="dxa"/>
          </w:tcPr>
          <w:p w14:paraId="211E2376" w14:textId="77777777" w:rsidR="00017EAE" w:rsidRDefault="00017EAE" w:rsidP="00AD7F81"/>
        </w:tc>
        <w:tc>
          <w:tcPr>
            <w:tcW w:w="1503" w:type="dxa"/>
          </w:tcPr>
          <w:p w14:paraId="1C432628" w14:textId="77777777" w:rsidR="00017EAE" w:rsidRDefault="00017EAE" w:rsidP="00AD7F81"/>
        </w:tc>
        <w:tc>
          <w:tcPr>
            <w:tcW w:w="1503" w:type="dxa"/>
          </w:tcPr>
          <w:p w14:paraId="571BA086" w14:textId="77777777" w:rsidR="00017EAE" w:rsidRDefault="00017EAE" w:rsidP="00AD7F81"/>
        </w:tc>
        <w:tc>
          <w:tcPr>
            <w:tcW w:w="1503" w:type="dxa"/>
          </w:tcPr>
          <w:p w14:paraId="59EA2645" w14:textId="77777777" w:rsidR="00017EAE" w:rsidRDefault="00017EAE" w:rsidP="00AD7F81"/>
        </w:tc>
      </w:tr>
      <w:tr w:rsidR="00017EAE" w14:paraId="370A15DF" w14:textId="77777777" w:rsidTr="00AD7F81">
        <w:tc>
          <w:tcPr>
            <w:tcW w:w="1502" w:type="dxa"/>
          </w:tcPr>
          <w:p w14:paraId="36BE43A4" w14:textId="77777777" w:rsidR="00017EAE" w:rsidRDefault="00017EAE" w:rsidP="00AD7F81"/>
        </w:tc>
        <w:tc>
          <w:tcPr>
            <w:tcW w:w="1502" w:type="dxa"/>
          </w:tcPr>
          <w:p w14:paraId="3C35BC7A" w14:textId="77777777" w:rsidR="00017EAE" w:rsidRDefault="00017EAE" w:rsidP="00AD7F81">
            <w:r w:rsidRPr="00C7452F">
              <w:rPr>
                <w:rFonts w:ascii="Calibri" w:hAnsi="Calibri"/>
                <w:sz w:val="20"/>
                <w:szCs w:val="20"/>
                <w:lang w:val="en-GB"/>
              </w:rPr>
              <w:t>Negligible = 1</w:t>
            </w:r>
          </w:p>
        </w:tc>
        <w:tc>
          <w:tcPr>
            <w:tcW w:w="1503" w:type="dxa"/>
          </w:tcPr>
          <w:p w14:paraId="748C5C40" w14:textId="77777777" w:rsidR="00017EAE" w:rsidRDefault="00017EAE" w:rsidP="00AD7F81">
            <w:r w:rsidRPr="00C7452F">
              <w:rPr>
                <w:rFonts w:ascii="Calibri" w:hAnsi="Calibri"/>
                <w:sz w:val="20"/>
                <w:szCs w:val="20"/>
                <w:lang w:val="en-GB"/>
              </w:rPr>
              <w:t>Minor = 2</w:t>
            </w:r>
          </w:p>
        </w:tc>
        <w:tc>
          <w:tcPr>
            <w:tcW w:w="1503" w:type="dxa"/>
          </w:tcPr>
          <w:p w14:paraId="47BBEB7A" w14:textId="77777777" w:rsidR="00017EAE" w:rsidRDefault="00017EAE" w:rsidP="00AD7F81">
            <w:r w:rsidRPr="00C7452F">
              <w:rPr>
                <w:rFonts w:ascii="Calibri" w:hAnsi="Calibri"/>
                <w:sz w:val="20"/>
                <w:szCs w:val="20"/>
                <w:lang w:val="en-GB"/>
              </w:rPr>
              <w:t>Moderate = 3</w:t>
            </w:r>
          </w:p>
        </w:tc>
        <w:tc>
          <w:tcPr>
            <w:tcW w:w="1503" w:type="dxa"/>
          </w:tcPr>
          <w:p w14:paraId="0F457446" w14:textId="77777777" w:rsidR="00017EAE" w:rsidRDefault="00017EAE" w:rsidP="00AD7F81">
            <w:r w:rsidRPr="00C7452F">
              <w:rPr>
                <w:rFonts w:ascii="Calibri" w:hAnsi="Calibri"/>
                <w:sz w:val="20"/>
                <w:szCs w:val="20"/>
                <w:lang w:val="en-GB"/>
              </w:rPr>
              <w:t>Major = 4</w:t>
            </w:r>
          </w:p>
        </w:tc>
        <w:tc>
          <w:tcPr>
            <w:tcW w:w="1503" w:type="dxa"/>
          </w:tcPr>
          <w:p w14:paraId="768A69CF" w14:textId="77777777" w:rsidR="00017EAE" w:rsidRDefault="00017EAE" w:rsidP="00AD7F81">
            <w:r w:rsidRPr="00C7452F">
              <w:rPr>
                <w:rFonts w:ascii="Calibri" w:hAnsi="Calibri"/>
                <w:sz w:val="20"/>
                <w:szCs w:val="20"/>
                <w:lang w:val="en-GB"/>
              </w:rPr>
              <w:t>Severe = 5</w:t>
            </w:r>
          </w:p>
        </w:tc>
      </w:tr>
      <w:tr w:rsidR="00017EAE" w14:paraId="57A91C14" w14:textId="77777777" w:rsidTr="00AD7F81">
        <w:tc>
          <w:tcPr>
            <w:tcW w:w="1502" w:type="dxa"/>
            <w:shd w:val="clear" w:color="auto" w:fill="FFFF00"/>
          </w:tcPr>
          <w:p w14:paraId="18F5E69A" w14:textId="77777777" w:rsidR="00017EAE" w:rsidRDefault="00017EAE" w:rsidP="00AD7F81">
            <w:r w:rsidRPr="00C7452F">
              <w:rPr>
                <w:rFonts w:ascii="Calibri" w:hAnsi="Calibri"/>
                <w:sz w:val="20"/>
                <w:szCs w:val="20"/>
              </w:rPr>
              <w:t>Almost Certain = 5</w:t>
            </w:r>
          </w:p>
        </w:tc>
        <w:tc>
          <w:tcPr>
            <w:tcW w:w="1502" w:type="dxa"/>
            <w:shd w:val="clear" w:color="auto" w:fill="FFFF00"/>
          </w:tcPr>
          <w:p w14:paraId="2C9C6C93" w14:textId="77777777" w:rsidR="00017EAE" w:rsidRDefault="00017EAE" w:rsidP="00AD7F81">
            <w:r w:rsidRPr="00C7452F">
              <w:rPr>
                <w:rFonts w:ascii="Calibri" w:hAnsi="Calibri"/>
                <w:sz w:val="20"/>
                <w:szCs w:val="20"/>
              </w:rPr>
              <w:t>Moderate = 2</w:t>
            </w:r>
          </w:p>
        </w:tc>
        <w:tc>
          <w:tcPr>
            <w:tcW w:w="1503" w:type="dxa"/>
            <w:shd w:val="clear" w:color="auto" w:fill="FFFF00"/>
          </w:tcPr>
          <w:p w14:paraId="07FE19F3" w14:textId="77777777" w:rsidR="00017EAE" w:rsidRDefault="00017EAE" w:rsidP="00AD7F81">
            <w:r w:rsidRPr="00C7452F">
              <w:rPr>
                <w:rFonts w:ascii="Calibri" w:hAnsi="Calibri"/>
                <w:sz w:val="20"/>
                <w:szCs w:val="20"/>
              </w:rPr>
              <w:t>Moderate = 2</w:t>
            </w:r>
          </w:p>
        </w:tc>
        <w:tc>
          <w:tcPr>
            <w:tcW w:w="1503" w:type="dxa"/>
            <w:shd w:val="clear" w:color="auto" w:fill="FFC000"/>
          </w:tcPr>
          <w:p w14:paraId="3A362AE3" w14:textId="77777777" w:rsidR="00017EAE" w:rsidRDefault="00017EAE" w:rsidP="00AD7F81">
            <w:r w:rsidRPr="00C7452F">
              <w:rPr>
                <w:rFonts w:ascii="Calibri" w:hAnsi="Calibri"/>
                <w:sz w:val="20"/>
                <w:szCs w:val="20"/>
              </w:rPr>
              <w:t>High = 3</w:t>
            </w:r>
          </w:p>
        </w:tc>
        <w:tc>
          <w:tcPr>
            <w:tcW w:w="1503" w:type="dxa"/>
            <w:shd w:val="clear" w:color="auto" w:fill="FF0000"/>
          </w:tcPr>
          <w:p w14:paraId="4B18155D" w14:textId="77777777" w:rsidR="00017EAE" w:rsidRDefault="00017EAE" w:rsidP="00AD7F81">
            <w:r w:rsidRPr="00C7452F">
              <w:rPr>
                <w:rFonts w:ascii="Calibri" w:hAnsi="Calibri"/>
                <w:sz w:val="20"/>
                <w:szCs w:val="20"/>
              </w:rPr>
              <w:t>Very High = 4</w:t>
            </w:r>
          </w:p>
        </w:tc>
        <w:tc>
          <w:tcPr>
            <w:tcW w:w="1503" w:type="dxa"/>
            <w:shd w:val="clear" w:color="auto" w:fill="FF0000"/>
          </w:tcPr>
          <w:p w14:paraId="75F874E3" w14:textId="77777777" w:rsidR="00017EAE" w:rsidRDefault="00017EAE" w:rsidP="00AD7F81">
            <w:r w:rsidRPr="00C7452F">
              <w:rPr>
                <w:rFonts w:ascii="Calibri" w:hAnsi="Calibri"/>
                <w:sz w:val="20"/>
                <w:szCs w:val="20"/>
              </w:rPr>
              <w:t>Very High = 4</w:t>
            </w:r>
          </w:p>
        </w:tc>
      </w:tr>
      <w:tr w:rsidR="00017EAE" w14:paraId="316059B8" w14:textId="77777777" w:rsidTr="00AD7F81">
        <w:tc>
          <w:tcPr>
            <w:tcW w:w="1502" w:type="dxa"/>
            <w:shd w:val="clear" w:color="auto" w:fill="FFFF00"/>
          </w:tcPr>
          <w:p w14:paraId="0DA70F99" w14:textId="77777777" w:rsidR="00017EAE" w:rsidRDefault="00017EAE" w:rsidP="00AD7F81">
            <w:r w:rsidRPr="00C7452F">
              <w:rPr>
                <w:rFonts w:ascii="Calibri" w:hAnsi="Calibri"/>
                <w:sz w:val="20"/>
                <w:szCs w:val="20"/>
              </w:rPr>
              <w:t>Likely = 4</w:t>
            </w:r>
          </w:p>
        </w:tc>
        <w:tc>
          <w:tcPr>
            <w:tcW w:w="1502" w:type="dxa"/>
            <w:shd w:val="clear" w:color="auto" w:fill="FFFF00"/>
          </w:tcPr>
          <w:p w14:paraId="5D0E1C60" w14:textId="77777777" w:rsidR="00017EAE" w:rsidRDefault="00017EAE" w:rsidP="00AD7F81">
            <w:r w:rsidRPr="00C7452F">
              <w:rPr>
                <w:rFonts w:ascii="Calibri" w:hAnsi="Calibri"/>
                <w:sz w:val="20"/>
                <w:szCs w:val="20"/>
              </w:rPr>
              <w:t>Moderate = 2</w:t>
            </w:r>
          </w:p>
        </w:tc>
        <w:tc>
          <w:tcPr>
            <w:tcW w:w="1503" w:type="dxa"/>
            <w:shd w:val="clear" w:color="auto" w:fill="FFFF00"/>
          </w:tcPr>
          <w:p w14:paraId="016366C5" w14:textId="77777777" w:rsidR="00017EAE" w:rsidRDefault="00017EAE" w:rsidP="00AD7F81">
            <w:r w:rsidRPr="00C7452F">
              <w:rPr>
                <w:rFonts w:ascii="Calibri" w:hAnsi="Calibri"/>
                <w:sz w:val="20"/>
                <w:szCs w:val="20"/>
              </w:rPr>
              <w:t>Moderate = 2</w:t>
            </w:r>
          </w:p>
        </w:tc>
        <w:tc>
          <w:tcPr>
            <w:tcW w:w="1503" w:type="dxa"/>
            <w:shd w:val="clear" w:color="auto" w:fill="FFC000"/>
          </w:tcPr>
          <w:p w14:paraId="5D6A4983" w14:textId="77777777" w:rsidR="00017EAE" w:rsidRDefault="00017EAE" w:rsidP="00AD7F81">
            <w:r w:rsidRPr="00C7452F">
              <w:rPr>
                <w:rFonts w:ascii="Calibri" w:hAnsi="Calibri"/>
                <w:sz w:val="20"/>
                <w:szCs w:val="20"/>
              </w:rPr>
              <w:t>High = 3</w:t>
            </w:r>
          </w:p>
        </w:tc>
        <w:tc>
          <w:tcPr>
            <w:tcW w:w="1503" w:type="dxa"/>
            <w:shd w:val="clear" w:color="auto" w:fill="FFC000"/>
          </w:tcPr>
          <w:p w14:paraId="51931E67" w14:textId="77777777" w:rsidR="00017EAE" w:rsidRDefault="00017EAE" w:rsidP="00AD7F81">
            <w:r w:rsidRPr="00C7452F">
              <w:rPr>
                <w:rFonts w:ascii="Calibri" w:hAnsi="Calibri"/>
                <w:sz w:val="20"/>
                <w:szCs w:val="20"/>
              </w:rPr>
              <w:t>High = 3</w:t>
            </w:r>
          </w:p>
        </w:tc>
        <w:tc>
          <w:tcPr>
            <w:tcW w:w="1503" w:type="dxa"/>
            <w:shd w:val="clear" w:color="auto" w:fill="FF0000"/>
          </w:tcPr>
          <w:p w14:paraId="1402255F" w14:textId="77777777" w:rsidR="00017EAE" w:rsidRDefault="00017EAE" w:rsidP="00AD7F81">
            <w:r w:rsidRPr="00C7452F">
              <w:rPr>
                <w:rFonts w:ascii="Calibri" w:hAnsi="Calibri"/>
                <w:sz w:val="20"/>
                <w:szCs w:val="20"/>
              </w:rPr>
              <w:t>Very High = 4</w:t>
            </w:r>
          </w:p>
        </w:tc>
      </w:tr>
      <w:tr w:rsidR="00017EAE" w14:paraId="3755AF9F" w14:textId="77777777" w:rsidTr="00AD7F81">
        <w:tc>
          <w:tcPr>
            <w:tcW w:w="1502" w:type="dxa"/>
            <w:shd w:val="clear" w:color="auto" w:fill="92D050"/>
          </w:tcPr>
          <w:p w14:paraId="585EC820" w14:textId="77777777" w:rsidR="00017EAE" w:rsidRDefault="00017EAE" w:rsidP="00AD7F81">
            <w:r w:rsidRPr="00C7452F">
              <w:rPr>
                <w:rFonts w:ascii="Calibri" w:hAnsi="Calibri"/>
                <w:sz w:val="20"/>
                <w:szCs w:val="20"/>
              </w:rPr>
              <w:t>Possible = 3</w:t>
            </w:r>
          </w:p>
        </w:tc>
        <w:tc>
          <w:tcPr>
            <w:tcW w:w="1502" w:type="dxa"/>
            <w:shd w:val="clear" w:color="auto" w:fill="92D050"/>
          </w:tcPr>
          <w:p w14:paraId="47305D20" w14:textId="77777777" w:rsidR="00017EAE" w:rsidRDefault="00017EAE" w:rsidP="00AD7F81">
            <w:r w:rsidRPr="00C7452F">
              <w:rPr>
                <w:rFonts w:ascii="Calibri" w:hAnsi="Calibri"/>
                <w:sz w:val="20"/>
                <w:szCs w:val="20"/>
              </w:rPr>
              <w:t>Low = 1</w:t>
            </w:r>
          </w:p>
        </w:tc>
        <w:tc>
          <w:tcPr>
            <w:tcW w:w="1503" w:type="dxa"/>
            <w:shd w:val="clear" w:color="auto" w:fill="FFFF00"/>
          </w:tcPr>
          <w:p w14:paraId="257164E0" w14:textId="77777777" w:rsidR="00017EAE" w:rsidRDefault="00017EAE" w:rsidP="00AD7F81">
            <w:r w:rsidRPr="00C7452F">
              <w:rPr>
                <w:rFonts w:ascii="Calibri" w:hAnsi="Calibri"/>
                <w:sz w:val="20"/>
                <w:szCs w:val="20"/>
              </w:rPr>
              <w:t>Moderate = 2</w:t>
            </w:r>
          </w:p>
        </w:tc>
        <w:tc>
          <w:tcPr>
            <w:tcW w:w="1503" w:type="dxa"/>
            <w:shd w:val="clear" w:color="auto" w:fill="FFC000"/>
          </w:tcPr>
          <w:p w14:paraId="0A37AD76" w14:textId="77777777" w:rsidR="00017EAE" w:rsidRDefault="00017EAE" w:rsidP="00AD7F81">
            <w:r w:rsidRPr="00C7452F">
              <w:rPr>
                <w:rFonts w:ascii="Calibri" w:hAnsi="Calibri"/>
                <w:sz w:val="20"/>
                <w:szCs w:val="20"/>
              </w:rPr>
              <w:t>High = 3</w:t>
            </w:r>
          </w:p>
        </w:tc>
        <w:tc>
          <w:tcPr>
            <w:tcW w:w="1503" w:type="dxa"/>
            <w:shd w:val="clear" w:color="auto" w:fill="FFC000"/>
          </w:tcPr>
          <w:p w14:paraId="1506314E" w14:textId="77777777" w:rsidR="00017EAE" w:rsidRDefault="00017EAE" w:rsidP="00AD7F81">
            <w:r w:rsidRPr="00C7452F">
              <w:rPr>
                <w:rFonts w:ascii="Calibri" w:hAnsi="Calibri"/>
                <w:sz w:val="20"/>
                <w:szCs w:val="20"/>
              </w:rPr>
              <w:t>High = 3</w:t>
            </w:r>
          </w:p>
        </w:tc>
        <w:tc>
          <w:tcPr>
            <w:tcW w:w="1503" w:type="dxa"/>
            <w:shd w:val="clear" w:color="auto" w:fill="FFC000"/>
          </w:tcPr>
          <w:p w14:paraId="299E41F9" w14:textId="77777777" w:rsidR="00017EAE" w:rsidRDefault="00017EAE" w:rsidP="00AD7F81">
            <w:r w:rsidRPr="00C7452F">
              <w:rPr>
                <w:rFonts w:ascii="Calibri" w:hAnsi="Calibri"/>
                <w:sz w:val="20"/>
                <w:szCs w:val="20"/>
              </w:rPr>
              <w:t>High = 3</w:t>
            </w:r>
          </w:p>
        </w:tc>
      </w:tr>
      <w:tr w:rsidR="00017EAE" w14:paraId="0DC15E50" w14:textId="77777777" w:rsidTr="00AD7F81">
        <w:tc>
          <w:tcPr>
            <w:tcW w:w="1502" w:type="dxa"/>
            <w:shd w:val="clear" w:color="auto" w:fill="92D050"/>
          </w:tcPr>
          <w:p w14:paraId="6D3F2925" w14:textId="77777777" w:rsidR="00017EAE" w:rsidRDefault="00017EAE" w:rsidP="00AD7F81">
            <w:r w:rsidRPr="00C7452F">
              <w:rPr>
                <w:rFonts w:ascii="Calibri" w:hAnsi="Calibri"/>
                <w:sz w:val="20"/>
                <w:szCs w:val="20"/>
              </w:rPr>
              <w:t>Unlikely = 2</w:t>
            </w:r>
          </w:p>
        </w:tc>
        <w:tc>
          <w:tcPr>
            <w:tcW w:w="1502" w:type="dxa"/>
            <w:shd w:val="clear" w:color="auto" w:fill="92D050"/>
          </w:tcPr>
          <w:p w14:paraId="2B1A6E19" w14:textId="77777777" w:rsidR="00017EAE" w:rsidRDefault="00017EAE" w:rsidP="00AD7F81">
            <w:r w:rsidRPr="00C7452F">
              <w:rPr>
                <w:rFonts w:ascii="Calibri" w:hAnsi="Calibri"/>
                <w:sz w:val="20"/>
                <w:szCs w:val="20"/>
              </w:rPr>
              <w:t>Low = 1</w:t>
            </w:r>
          </w:p>
        </w:tc>
        <w:tc>
          <w:tcPr>
            <w:tcW w:w="1503" w:type="dxa"/>
            <w:shd w:val="clear" w:color="auto" w:fill="92D050"/>
          </w:tcPr>
          <w:p w14:paraId="2FFE8016" w14:textId="77777777" w:rsidR="00017EAE" w:rsidRDefault="00017EAE" w:rsidP="00AD7F81">
            <w:r w:rsidRPr="00C7452F">
              <w:rPr>
                <w:rFonts w:ascii="Calibri" w:hAnsi="Calibri"/>
                <w:sz w:val="20"/>
                <w:szCs w:val="20"/>
              </w:rPr>
              <w:t>Low = 1</w:t>
            </w:r>
          </w:p>
        </w:tc>
        <w:tc>
          <w:tcPr>
            <w:tcW w:w="1503" w:type="dxa"/>
            <w:shd w:val="clear" w:color="auto" w:fill="FFFF00"/>
          </w:tcPr>
          <w:p w14:paraId="51849F03" w14:textId="77777777" w:rsidR="00017EAE" w:rsidRDefault="00017EAE" w:rsidP="00AD7F81">
            <w:r w:rsidRPr="00C7452F">
              <w:rPr>
                <w:rFonts w:ascii="Calibri" w:hAnsi="Calibri"/>
                <w:sz w:val="20"/>
                <w:szCs w:val="20"/>
              </w:rPr>
              <w:t>Moderate = 2</w:t>
            </w:r>
          </w:p>
        </w:tc>
        <w:tc>
          <w:tcPr>
            <w:tcW w:w="1503" w:type="dxa"/>
            <w:shd w:val="clear" w:color="auto" w:fill="FFFF00"/>
          </w:tcPr>
          <w:p w14:paraId="67D519D1" w14:textId="77777777" w:rsidR="00017EAE" w:rsidRDefault="00017EAE" w:rsidP="00AD7F81">
            <w:r w:rsidRPr="00C7452F">
              <w:rPr>
                <w:rFonts w:ascii="Calibri" w:hAnsi="Calibri"/>
                <w:sz w:val="20"/>
                <w:szCs w:val="20"/>
              </w:rPr>
              <w:t>Moderate = 2</w:t>
            </w:r>
          </w:p>
        </w:tc>
        <w:tc>
          <w:tcPr>
            <w:tcW w:w="1503" w:type="dxa"/>
            <w:shd w:val="clear" w:color="auto" w:fill="FFC000"/>
          </w:tcPr>
          <w:p w14:paraId="754C5E0F" w14:textId="77777777" w:rsidR="00017EAE" w:rsidRDefault="00017EAE" w:rsidP="00AD7F81">
            <w:r w:rsidRPr="00C7452F">
              <w:rPr>
                <w:rFonts w:ascii="Calibri" w:hAnsi="Calibri"/>
                <w:sz w:val="20"/>
                <w:szCs w:val="20"/>
              </w:rPr>
              <w:t>High = 3</w:t>
            </w:r>
          </w:p>
        </w:tc>
      </w:tr>
      <w:tr w:rsidR="00017EAE" w14:paraId="574D6EBA" w14:textId="77777777" w:rsidTr="00AD7F81">
        <w:tc>
          <w:tcPr>
            <w:tcW w:w="1502" w:type="dxa"/>
            <w:shd w:val="clear" w:color="auto" w:fill="92D050"/>
          </w:tcPr>
          <w:p w14:paraId="4E4BD617" w14:textId="77777777" w:rsidR="00017EAE" w:rsidRDefault="00017EAE" w:rsidP="00AD7F81">
            <w:r w:rsidRPr="00C7452F">
              <w:rPr>
                <w:rFonts w:ascii="Calibri" w:hAnsi="Calibri"/>
                <w:sz w:val="20"/>
                <w:szCs w:val="20"/>
              </w:rPr>
              <w:t>Rare = 1</w:t>
            </w:r>
          </w:p>
        </w:tc>
        <w:tc>
          <w:tcPr>
            <w:tcW w:w="1502" w:type="dxa"/>
            <w:shd w:val="clear" w:color="auto" w:fill="92D050"/>
          </w:tcPr>
          <w:p w14:paraId="4E60FE94" w14:textId="77777777" w:rsidR="00017EAE" w:rsidRDefault="00017EAE" w:rsidP="00AD7F81">
            <w:r w:rsidRPr="00C7452F">
              <w:rPr>
                <w:rFonts w:ascii="Calibri" w:hAnsi="Calibri"/>
                <w:sz w:val="20"/>
                <w:szCs w:val="20"/>
              </w:rPr>
              <w:t>Low = 1</w:t>
            </w:r>
          </w:p>
        </w:tc>
        <w:tc>
          <w:tcPr>
            <w:tcW w:w="1503" w:type="dxa"/>
            <w:shd w:val="clear" w:color="auto" w:fill="92D050"/>
          </w:tcPr>
          <w:p w14:paraId="7A1365E1" w14:textId="77777777" w:rsidR="00017EAE" w:rsidRDefault="00017EAE" w:rsidP="00AD7F81">
            <w:r w:rsidRPr="00C7452F">
              <w:rPr>
                <w:rFonts w:ascii="Calibri" w:hAnsi="Calibri"/>
                <w:sz w:val="20"/>
                <w:szCs w:val="20"/>
              </w:rPr>
              <w:t>Low = 1</w:t>
            </w:r>
          </w:p>
        </w:tc>
        <w:tc>
          <w:tcPr>
            <w:tcW w:w="1503" w:type="dxa"/>
            <w:shd w:val="clear" w:color="auto" w:fill="FFFF00"/>
          </w:tcPr>
          <w:p w14:paraId="55385B14" w14:textId="77777777" w:rsidR="00017EAE" w:rsidRDefault="00017EAE" w:rsidP="00AD7F81">
            <w:r w:rsidRPr="00C7452F">
              <w:rPr>
                <w:rFonts w:ascii="Calibri" w:hAnsi="Calibri"/>
                <w:sz w:val="20"/>
                <w:szCs w:val="20"/>
              </w:rPr>
              <w:t>Moderate = 2</w:t>
            </w:r>
          </w:p>
        </w:tc>
        <w:tc>
          <w:tcPr>
            <w:tcW w:w="1503" w:type="dxa"/>
            <w:shd w:val="clear" w:color="auto" w:fill="FFFF00"/>
          </w:tcPr>
          <w:p w14:paraId="6E0AEF4C" w14:textId="77777777" w:rsidR="00017EAE" w:rsidRDefault="00017EAE" w:rsidP="00AD7F81">
            <w:r w:rsidRPr="00C7452F">
              <w:rPr>
                <w:rFonts w:ascii="Calibri" w:hAnsi="Calibri"/>
                <w:sz w:val="20"/>
                <w:szCs w:val="20"/>
              </w:rPr>
              <w:t>Moderate = 2</w:t>
            </w:r>
          </w:p>
        </w:tc>
        <w:tc>
          <w:tcPr>
            <w:tcW w:w="1503" w:type="dxa"/>
            <w:shd w:val="clear" w:color="auto" w:fill="FFC000"/>
          </w:tcPr>
          <w:p w14:paraId="348B1911" w14:textId="77777777" w:rsidR="00017EAE" w:rsidRDefault="00017EAE" w:rsidP="00AD7F81">
            <w:r w:rsidRPr="00C7452F">
              <w:rPr>
                <w:rFonts w:ascii="Calibri" w:hAnsi="Calibri"/>
                <w:sz w:val="20"/>
                <w:szCs w:val="20"/>
              </w:rPr>
              <w:t>High = 3</w:t>
            </w:r>
          </w:p>
        </w:tc>
      </w:tr>
    </w:tbl>
    <w:p w14:paraId="6911232C" w14:textId="77777777" w:rsidR="00EE1F52" w:rsidRPr="00C7452F" w:rsidRDefault="00EE1F52" w:rsidP="00EE1F52">
      <w:pPr>
        <w:rPr>
          <w:rFonts w:ascii="Calibri" w:hAnsi="Calibri"/>
        </w:rPr>
      </w:pPr>
      <w:bookmarkStart w:id="177" w:name="_Toc448727588"/>
      <w:bookmarkStart w:id="178" w:name="_Toc450022455"/>
      <w:bookmarkStart w:id="179" w:name="_Toc450022734"/>
    </w:p>
    <w:p w14:paraId="517F42AC" w14:textId="77777777" w:rsidR="00EE1F52" w:rsidRPr="00C7452F" w:rsidRDefault="00EE1F52" w:rsidP="00EE1F52">
      <w:pPr>
        <w:rPr>
          <w:rFonts w:ascii="Calibri" w:hAnsi="Calibri"/>
        </w:rPr>
      </w:pPr>
      <w:r w:rsidRPr="00C7452F">
        <w:rPr>
          <w:rFonts w:ascii="Calibri" w:hAnsi="Calibri"/>
        </w:rPr>
        <w:t>KEY:</w:t>
      </w:r>
    </w:p>
    <w:p w14:paraId="1A2DABB6" w14:textId="77777777" w:rsidR="00EE1F52" w:rsidRDefault="00EE1F52" w:rsidP="00EE1F52">
      <w:pPr>
        <w:rPr>
          <w:rFonts w:ascii="Calibri" w:hAnsi="Calibri"/>
        </w:rPr>
      </w:pPr>
      <w:r w:rsidRPr="00C7452F">
        <w:rPr>
          <w:rFonts w:ascii="Calibri" w:hAnsi="Calibri"/>
          <w:b/>
        </w:rPr>
        <w:t>P</w:t>
      </w:r>
      <w:r w:rsidRPr="00C7452F">
        <w:rPr>
          <w:rFonts w:ascii="Calibri" w:hAnsi="Calibri"/>
        </w:rPr>
        <w:t xml:space="preserve"> Probability | </w:t>
      </w:r>
      <w:r w:rsidRPr="00C7452F">
        <w:rPr>
          <w:rFonts w:ascii="Calibri" w:hAnsi="Calibri"/>
          <w:b/>
        </w:rPr>
        <w:t>I</w:t>
      </w:r>
      <w:r w:rsidRPr="00C7452F">
        <w:rPr>
          <w:rFonts w:ascii="Calibri" w:hAnsi="Calibri"/>
        </w:rPr>
        <w:t xml:space="preserve"> Impact | </w:t>
      </w:r>
      <w:r w:rsidRPr="00C7452F">
        <w:rPr>
          <w:rFonts w:ascii="Calibri" w:hAnsi="Calibri"/>
          <w:b/>
        </w:rPr>
        <w:t>IRR</w:t>
      </w:r>
      <w:r w:rsidRPr="00C7452F">
        <w:rPr>
          <w:rFonts w:ascii="Calibri" w:hAnsi="Calibri"/>
        </w:rPr>
        <w:t xml:space="preserve"> Initial Risk Rating | </w:t>
      </w:r>
      <w:r w:rsidRPr="00C7452F">
        <w:rPr>
          <w:rFonts w:ascii="Calibri" w:hAnsi="Calibri"/>
          <w:b/>
        </w:rPr>
        <w:t>RE</w:t>
      </w:r>
      <w:r w:rsidRPr="00C7452F">
        <w:rPr>
          <w:rFonts w:ascii="Calibri" w:hAnsi="Calibri"/>
        </w:rPr>
        <w:t xml:space="preserve"> Responsible Entity | </w:t>
      </w:r>
      <w:r w:rsidRPr="00C7452F">
        <w:rPr>
          <w:rFonts w:ascii="Calibri" w:hAnsi="Calibri"/>
          <w:b/>
        </w:rPr>
        <w:t>RRR</w:t>
      </w:r>
      <w:r w:rsidRPr="00C7452F">
        <w:rPr>
          <w:rFonts w:ascii="Calibri" w:hAnsi="Calibri"/>
        </w:rPr>
        <w:t xml:space="preserve"> Residual Risk Rating</w:t>
      </w:r>
      <w:bookmarkEnd w:id="177"/>
      <w:bookmarkEnd w:id="178"/>
      <w:bookmarkEnd w:id="179"/>
    </w:p>
    <w:p w14:paraId="2397AE30" w14:textId="77777777" w:rsidR="00EE1F52" w:rsidRDefault="00EE1F52" w:rsidP="00E41375">
      <w:pPr>
        <w:pStyle w:val="Heading1"/>
        <w:sectPr w:rsidR="00EE1F52">
          <w:pgSz w:w="11906" w:h="16838"/>
          <w:pgMar w:top="1440" w:right="1440" w:bottom="1440" w:left="1440" w:header="708" w:footer="708" w:gutter="0"/>
          <w:cols w:space="708"/>
          <w:docGrid w:linePitch="360"/>
        </w:sectPr>
      </w:pPr>
    </w:p>
    <w:tbl>
      <w:tblPr>
        <w:tblW w:w="5336" w:type="pct"/>
        <w:tblInd w:w="-431" w:type="dxa"/>
        <w:tblBorders>
          <w:top w:val="single" w:sz="4" w:space="0" w:color="D5DCE4"/>
          <w:left w:val="single" w:sz="4" w:space="0" w:color="D5DCE4"/>
          <w:bottom w:val="single" w:sz="4" w:space="0" w:color="D5DCE4"/>
          <w:right w:val="single" w:sz="4" w:space="0" w:color="D5DCE4"/>
          <w:insideH w:val="single" w:sz="4" w:space="0" w:color="D5DCE4"/>
          <w:insideV w:val="single" w:sz="4" w:space="0" w:color="D5DCE4"/>
        </w:tblBorders>
        <w:tblLayout w:type="fixed"/>
        <w:tblCellMar>
          <w:top w:w="28" w:type="dxa"/>
          <w:left w:w="28" w:type="dxa"/>
          <w:right w:w="28" w:type="dxa"/>
        </w:tblCellMar>
        <w:tblLook w:val="01C0" w:firstRow="0" w:lastRow="1" w:firstColumn="1" w:lastColumn="1" w:noHBand="0" w:noVBand="0"/>
      </w:tblPr>
      <w:tblGrid>
        <w:gridCol w:w="801"/>
        <w:gridCol w:w="1798"/>
        <w:gridCol w:w="512"/>
        <w:gridCol w:w="384"/>
        <w:gridCol w:w="518"/>
        <w:gridCol w:w="3501"/>
        <w:gridCol w:w="5954"/>
        <w:gridCol w:w="851"/>
        <w:gridCol w:w="566"/>
      </w:tblGrid>
      <w:tr w:rsidR="00EE1F52" w:rsidRPr="000D3C55" w14:paraId="79409D22" w14:textId="77777777" w:rsidTr="0002380A">
        <w:trPr>
          <w:tblHeader/>
        </w:trPr>
        <w:tc>
          <w:tcPr>
            <w:tcW w:w="269" w:type="pct"/>
            <w:shd w:val="clear" w:color="auto" w:fill="44546A"/>
          </w:tcPr>
          <w:p w14:paraId="1E804942" w14:textId="77777777" w:rsidR="00EE1F52" w:rsidRPr="000D3C55" w:rsidRDefault="00EE1F52" w:rsidP="0002380A">
            <w:pPr>
              <w:spacing w:before="60" w:after="60" w:line="240" w:lineRule="auto"/>
              <w:rPr>
                <w:rFonts w:ascii="Calibri" w:eastAsia="Times New Roman" w:hAnsi="Calibri"/>
                <w:color w:val="FFFFFF" w:themeColor="background1"/>
                <w:w w:val="90"/>
                <w:sz w:val="20"/>
                <w:szCs w:val="20"/>
                <w:lang w:eastAsia="en-AU"/>
              </w:rPr>
            </w:pPr>
            <w:r w:rsidRPr="000D3C55">
              <w:rPr>
                <w:rFonts w:ascii="Calibri" w:eastAsia="Times New Roman" w:hAnsi="Calibri"/>
                <w:color w:val="FFFFFF" w:themeColor="background1"/>
                <w:w w:val="90"/>
                <w:sz w:val="20"/>
                <w:szCs w:val="20"/>
                <w:lang w:eastAsia="en-AU"/>
              </w:rPr>
              <w:lastRenderedPageBreak/>
              <w:t>Risk No.</w:t>
            </w:r>
          </w:p>
        </w:tc>
        <w:tc>
          <w:tcPr>
            <w:tcW w:w="604" w:type="pct"/>
            <w:shd w:val="clear" w:color="auto" w:fill="44546A"/>
            <w:tcMar>
              <w:top w:w="28" w:type="dxa"/>
              <w:bottom w:w="28" w:type="dxa"/>
            </w:tcMar>
            <w:vAlign w:val="center"/>
          </w:tcPr>
          <w:p w14:paraId="3A872046" w14:textId="77777777" w:rsidR="00EE1F52" w:rsidRPr="000D3C55" w:rsidRDefault="00EE1F52" w:rsidP="0002380A">
            <w:pPr>
              <w:spacing w:before="60" w:after="60" w:line="240" w:lineRule="auto"/>
              <w:rPr>
                <w:rFonts w:ascii="Calibri" w:eastAsia="Times New Roman" w:hAnsi="Calibri"/>
                <w:color w:val="FFFFFF" w:themeColor="background1"/>
                <w:w w:val="90"/>
                <w:sz w:val="20"/>
                <w:szCs w:val="20"/>
                <w:lang w:eastAsia="en-AU"/>
              </w:rPr>
            </w:pPr>
            <w:r w:rsidRPr="000D3C55">
              <w:rPr>
                <w:rFonts w:ascii="Calibri" w:eastAsia="Times New Roman" w:hAnsi="Calibri"/>
                <w:color w:val="FFFFFF" w:themeColor="background1"/>
                <w:w w:val="90"/>
                <w:sz w:val="20"/>
                <w:szCs w:val="20"/>
                <w:lang w:eastAsia="en-AU"/>
              </w:rPr>
              <w:t>Risks</w:t>
            </w:r>
          </w:p>
        </w:tc>
        <w:tc>
          <w:tcPr>
            <w:tcW w:w="172" w:type="pct"/>
            <w:shd w:val="clear" w:color="auto" w:fill="44546A"/>
            <w:vAlign w:val="center"/>
          </w:tcPr>
          <w:p w14:paraId="6CEDF937" w14:textId="77777777" w:rsidR="00EE1F52" w:rsidRPr="000D3C55" w:rsidRDefault="00EE1F52" w:rsidP="0002380A">
            <w:pPr>
              <w:spacing w:before="60" w:after="60" w:line="240" w:lineRule="auto"/>
              <w:rPr>
                <w:rFonts w:ascii="Calibri" w:eastAsia="Times New Roman" w:hAnsi="Calibri"/>
                <w:color w:val="FFFFFF" w:themeColor="background1"/>
                <w:w w:val="90"/>
                <w:sz w:val="20"/>
                <w:szCs w:val="20"/>
                <w:lang w:eastAsia="en-AU"/>
              </w:rPr>
            </w:pPr>
            <w:r w:rsidRPr="000D3C55">
              <w:rPr>
                <w:rFonts w:ascii="Calibri" w:eastAsia="Times New Roman" w:hAnsi="Calibri"/>
                <w:color w:val="FFFFFF" w:themeColor="background1"/>
                <w:w w:val="90"/>
                <w:sz w:val="20"/>
                <w:szCs w:val="20"/>
                <w:lang w:eastAsia="en-AU"/>
              </w:rPr>
              <w:t>P</w:t>
            </w:r>
          </w:p>
        </w:tc>
        <w:tc>
          <w:tcPr>
            <w:tcW w:w="129" w:type="pct"/>
            <w:shd w:val="clear" w:color="auto" w:fill="44546A"/>
            <w:vAlign w:val="center"/>
          </w:tcPr>
          <w:p w14:paraId="007EA061" w14:textId="77777777" w:rsidR="00EE1F52" w:rsidRPr="000D3C55" w:rsidRDefault="00EE1F52" w:rsidP="0002380A">
            <w:pPr>
              <w:spacing w:before="60" w:after="60" w:line="240" w:lineRule="auto"/>
              <w:rPr>
                <w:rFonts w:ascii="Calibri" w:eastAsia="Times New Roman" w:hAnsi="Calibri"/>
                <w:color w:val="FFFFFF" w:themeColor="background1"/>
                <w:w w:val="90"/>
                <w:sz w:val="20"/>
                <w:szCs w:val="20"/>
                <w:lang w:eastAsia="en-AU"/>
              </w:rPr>
            </w:pPr>
            <w:r w:rsidRPr="000D3C55">
              <w:rPr>
                <w:rFonts w:ascii="Calibri" w:eastAsia="Times New Roman" w:hAnsi="Calibri"/>
                <w:color w:val="FFFFFF" w:themeColor="background1"/>
                <w:w w:val="90"/>
                <w:sz w:val="20"/>
                <w:szCs w:val="20"/>
                <w:lang w:eastAsia="en-AU"/>
              </w:rPr>
              <w:t>I</w:t>
            </w:r>
          </w:p>
        </w:tc>
        <w:tc>
          <w:tcPr>
            <w:tcW w:w="174" w:type="pct"/>
            <w:shd w:val="clear" w:color="auto" w:fill="44546A"/>
            <w:tcMar>
              <w:top w:w="28" w:type="dxa"/>
              <w:bottom w:w="28" w:type="dxa"/>
            </w:tcMar>
            <w:vAlign w:val="center"/>
          </w:tcPr>
          <w:p w14:paraId="14DB6436" w14:textId="77777777" w:rsidR="00EE1F52" w:rsidRPr="000D3C55" w:rsidRDefault="00EE1F52" w:rsidP="0002380A">
            <w:pPr>
              <w:spacing w:before="60" w:after="60" w:line="240" w:lineRule="auto"/>
              <w:rPr>
                <w:rFonts w:ascii="Calibri" w:eastAsia="Times New Roman" w:hAnsi="Calibri"/>
                <w:color w:val="FFFFFF" w:themeColor="background1"/>
                <w:w w:val="90"/>
                <w:sz w:val="20"/>
                <w:szCs w:val="20"/>
                <w:lang w:eastAsia="en-AU"/>
              </w:rPr>
            </w:pPr>
            <w:r w:rsidRPr="000D3C55">
              <w:rPr>
                <w:rFonts w:ascii="Calibri" w:eastAsia="Times New Roman" w:hAnsi="Calibri"/>
                <w:color w:val="FFFFFF" w:themeColor="background1"/>
                <w:w w:val="90"/>
                <w:sz w:val="20"/>
                <w:szCs w:val="20"/>
                <w:lang w:eastAsia="en-AU"/>
              </w:rPr>
              <w:t>IRR</w:t>
            </w:r>
          </w:p>
        </w:tc>
        <w:tc>
          <w:tcPr>
            <w:tcW w:w="1176" w:type="pct"/>
            <w:shd w:val="clear" w:color="auto" w:fill="44546A"/>
            <w:tcMar>
              <w:top w:w="28" w:type="dxa"/>
              <w:bottom w:w="28" w:type="dxa"/>
            </w:tcMar>
            <w:vAlign w:val="center"/>
          </w:tcPr>
          <w:p w14:paraId="3FA01D39" w14:textId="77777777" w:rsidR="00EE1F52" w:rsidRPr="000D3C55" w:rsidRDefault="00EE1F52" w:rsidP="0002380A">
            <w:pPr>
              <w:spacing w:before="60" w:after="60" w:line="240" w:lineRule="auto"/>
              <w:rPr>
                <w:rFonts w:ascii="Calibri" w:eastAsia="Times New Roman" w:hAnsi="Calibri"/>
                <w:color w:val="FFFFFF" w:themeColor="background1"/>
                <w:w w:val="90"/>
                <w:sz w:val="20"/>
                <w:szCs w:val="20"/>
                <w:lang w:eastAsia="en-AU"/>
              </w:rPr>
            </w:pPr>
            <w:r w:rsidRPr="000D3C55">
              <w:rPr>
                <w:rFonts w:ascii="Calibri" w:eastAsia="Times New Roman" w:hAnsi="Calibri"/>
                <w:color w:val="FFFFFF" w:themeColor="background1"/>
                <w:w w:val="90"/>
                <w:sz w:val="20"/>
                <w:szCs w:val="20"/>
                <w:lang w:eastAsia="en-AU"/>
              </w:rPr>
              <w:t>Impact on Program</w:t>
            </w:r>
          </w:p>
        </w:tc>
        <w:tc>
          <w:tcPr>
            <w:tcW w:w="2000" w:type="pct"/>
            <w:shd w:val="clear" w:color="auto" w:fill="44546A"/>
            <w:vAlign w:val="center"/>
          </w:tcPr>
          <w:p w14:paraId="7C8DDC1F" w14:textId="77777777" w:rsidR="00EE1F52" w:rsidRPr="000D3C55" w:rsidRDefault="00EE1F52" w:rsidP="0002380A">
            <w:pPr>
              <w:spacing w:before="60" w:after="60" w:line="240" w:lineRule="auto"/>
              <w:rPr>
                <w:rFonts w:ascii="Calibri" w:eastAsia="Times New Roman" w:hAnsi="Calibri"/>
                <w:color w:val="FFFFFF" w:themeColor="background1"/>
                <w:w w:val="90"/>
                <w:sz w:val="20"/>
                <w:szCs w:val="20"/>
                <w:lang w:eastAsia="en-AU"/>
              </w:rPr>
            </w:pPr>
            <w:r w:rsidRPr="000D3C55">
              <w:rPr>
                <w:rFonts w:ascii="Calibri" w:eastAsia="Times New Roman" w:hAnsi="Calibri"/>
                <w:color w:val="FFFFFF" w:themeColor="background1"/>
                <w:w w:val="90"/>
                <w:sz w:val="20"/>
                <w:szCs w:val="20"/>
                <w:lang w:eastAsia="en-AU"/>
              </w:rPr>
              <w:t>Existing controls</w:t>
            </w:r>
          </w:p>
        </w:tc>
        <w:tc>
          <w:tcPr>
            <w:tcW w:w="286" w:type="pct"/>
            <w:shd w:val="clear" w:color="auto" w:fill="44546A"/>
            <w:tcMar>
              <w:top w:w="28" w:type="dxa"/>
              <w:bottom w:w="28" w:type="dxa"/>
            </w:tcMar>
            <w:vAlign w:val="center"/>
          </w:tcPr>
          <w:p w14:paraId="694293A2" w14:textId="77777777" w:rsidR="00EE1F52" w:rsidRPr="000D3C55" w:rsidRDefault="00EE1F52" w:rsidP="0002380A">
            <w:pPr>
              <w:spacing w:before="60" w:after="60" w:line="240" w:lineRule="auto"/>
              <w:rPr>
                <w:rFonts w:ascii="Calibri" w:eastAsia="Times New Roman" w:hAnsi="Calibri"/>
                <w:color w:val="FFFFFF" w:themeColor="background1"/>
                <w:w w:val="90"/>
                <w:sz w:val="20"/>
                <w:szCs w:val="20"/>
                <w:lang w:eastAsia="en-AU"/>
              </w:rPr>
            </w:pPr>
            <w:r w:rsidRPr="000D3C55">
              <w:rPr>
                <w:rFonts w:ascii="Calibri" w:eastAsia="Times New Roman" w:hAnsi="Calibri"/>
                <w:color w:val="FFFFFF" w:themeColor="background1"/>
                <w:w w:val="90"/>
                <w:sz w:val="20"/>
                <w:szCs w:val="20"/>
                <w:lang w:eastAsia="en-AU"/>
              </w:rPr>
              <w:t>RE</w:t>
            </w:r>
          </w:p>
        </w:tc>
        <w:tc>
          <w:tcPr>
            <w:tcW w:w="190" w:type="pct"/>
            <w:shd w:val="clear" w:color="auto" w:fill="44546A"/>
            <w:vAlign w:val="center"/>
          </w:tcPr>
          <w:p w14:paraId="3A26B027" w14:textId="77777777" w:rsidR="00EE1F52" w:rsidRPr="000D3C55" w:rsidRDefault="00EE1F52" w:rsidP="0002380A">
            <w:pPr>
              <w:spacing w:before="60" w:after="60" w:line="240" w:lineRule="auto"/>
              <w:rPr>
                <w:rFonts w:ascii="Calibri" w:eastAsia="Times New Roman" w:hAnsi="Calibri"/>
                <w:color w:val="FFFFFF" w:themeColor="background1"/>
                <w:w w:val="90"/>
                <w:sz w:val="20"/>
                <w:szCs w:val="20"/>
                <w:lang w:eastAsia="en-AU"/>
              </w:rPr>
            </w:pPr>
            <w:r w:rsidRPr="000D3C55">
              <w:rPr>
                <w:rFonts w:ascii="Calibri" w:eastAsia="Times New Roman" w:hAnsi="Calibri"/>
                <w:color w:val="FFFFFF" w:themeColor="background1"/>
                <w:w w:val="90"/>
                <w:sz w:val="20"/>
                <w:szCs w:val="20"/>
                <w:lang w:eastAsia="en-AU"/>
              </w:rPr>
              <w:t>RRR</w:t>
            </w:r>
          </w:p>
        </w:tc>
      </w:tr>
      <w:tr w:rsidR="00017EAE" w:rsidRPr="00C7452F" w14:paraId="1FB7654D" w14:textId="77777777" w:rsidTr="00017EAE">
        <w:tc>
          <w:tcPr>
            <w:tcW w:w="269" w:type="pct"/>
            <w:shd w:val="clear" w:color="auto" w:fill="8DB3E2" w:themeFill="text2" w:themeFillTint="66"/>
          </w:tcPr>
          <w:p w14:paraId="52506392" w14:textId="0B86DB9D" w:rsidR="00017EAE" w:rsidRPr="00C7452F" w:rsidRDefault="00017EAE" w:rsidP="0002380A">
            <w:pPr>
              <w:spacing w:before="60" w:after="60" w:line="240" w:lineRule="auto"/>
              <w:rPr>
                <w:rFonts w:ascii="Calibri" w:eastAsia="Times New Roman" w:hAnsi="Calibri"/>
                <w:sz w:val="20"/>
                <w:szCs w:val="20"/>
                <w:lang w:eastAsia="en-AU"/>
              </w:rPr>
            </w:pPr>
            <w:r>
              <w:rPr>
                <w:rFonts w:ascii="Calibri" w:eastAsia="Times New Roman" w:hAnsi="Calibri"/>
                <w:sz w:val="20"/>
                <w:szCs w:val="20"/>
                <w:lang w:eastAsia="en-AU"/>
              </w:rPr>
              <w:t>1</w:t>
            </w:r>
          </w:p>
        </w:tc>
        <w:tc>
          <w:tcPr>
            <w:tcW w:w="604" w:type="pct"/>
            <w:shd w:val="clear" w:color="auto" w:fill="8DB3E2" w:themeFill="text2" w:themeFillTint="66"/>
          </w:tcPr>
          <w:p w14:paraId="7108B685" w14:textId="749ECF62" w:rsidR="00017EAE" w:rsidRDefault="00017EAE" w:rsidP="0002380A">
            <w:pPr>
              <w:spacing w:before="60" w:after="60" w:line="240" w:lineRule="auto"/>
              <w:rPr>
                <w:rFonts w:ascii="Calibri" w:eastAsia="Times New Roman" w:hAnsi="Calibri"/>
                <w:w w:val="90"/>
                <w:sz w:val="20"/>
                <w:szCs w:val="20"/>
              </w:rPr>
            </w:pPr>
            <w:r w:rsidRPr="00C7452F">
              <w:rPr>
                <w:rFonts w:ascii="Calibri" w:eastAsia="Times New Roman" w:hAnsi="Calibri"/>
                <w:w w:val="90"/>
                <w:sz w:val="20"/>
                <w:szCs w:val="20"/>
              </w:rPr>
              <w:t>Contextual Risks (outside of the control of, or only limited control by, the project)</w:t>
            </w:r>
          </w:p>
        </w:tc>
        <w:tc>
          <w:tcPr>
            <w:tcW w:w="172" w:type="pct"/>
            <w:shd w:val="clear" w:color="auto" w:fill="8DB3E2" w:themeFill="text2" w:themeFillTint="66"/>
          </w:tcPr>
          <w:p w14:paraId="764F0E64" w14:textId="77777777" w:rsidR="00017EAE" w:rsidRDefault="00017EAE" w:rsidP="0002380A">
            <w:pPr>
              <w:spacing w:before="60" w:after="60" w:line="240" w:lineRule="auto"/>
              <w:rPr>
                <w:rFonts w:ascii="Calibri" w:eastAsia="Times New Roman" w:hAnsi="Calibri"/>
                <w:sz w:val="20"/>
                <w:szCs w:val="20"/>
                <w:lang w:eastAsia="en-AU"/>
              </w:rPr>
            </w:pPr>
          </w:p>
        </w:tc>
        <w:tc>
          <w:tcPr>
            <w:tcW w:w="129" w:type="pct"/>
            <w:shd w:val="clear" w:color="auto" w:fill="8DB3E2" w:themeFill="text2" w:themeFillTint="66"/>
          </w:tcPr>
          <w:p w14:paraId="51E7F8C1" w14:textId="77777777" w:rsidR="00017EAE" w:rsidRDefault="00017EAE" w:rsidP="0002380A">
            <w:pPr>
              <w:spacing w:before="60" w:after="60" w:line="240" w:lineRule="auto"/>
              <w:rPr>
                <w:rFonts w:ascii="Calibri" w:eastAsia="Times New Roman" w:hAnsi="Calibri"/>
                <w:sz w:val="20"/>
                <w:szCs w:val="20"/>
                <w:lang w:eastAsia="en-AU"/>
              </w:rPr>
            </w:pPr>
          </w:p>
        </w:tc>
        <w:tc>
          <w:tcPr>
            <w:tcW w:w="174" w:type="pct"/>
            <w:shd w:val="clear" w:color="auto" w:fill="8DB3E2" w:themeFill="text2" w:themeFillTint="66"/>
          </w:tcPr>
          <w:p w14:paraId="4B3EE9A4" w14:textId="77777777" w:rsidR="00017EAE" w:rsidRPr="00C7452F" w:rsidRDefault="00017EAE" w:rsidP="0002380A">
            <w:pPr>
              <w:spacing w:before="60" w:after="60" w:line="240" w:lineRule="auto"/>
              <w:rPr>
                <w:rFonts w:ascii="Calibri" w:eastAsia="Times New Roman" w:hAnsi="Calibri"/>
                <w:sz w:val="20"/>
                <w:szCs w:val="20"/>
                <w:lang w:eastAsia="en-AU"/>
              </w:rPr>
            </w:pPr>
          </w:p>
        </w:tc>
        <w:tc>
          <w:tcPr>
            <w:tcW w:w="1176" w:type="pct"/>
            <w:shd w:val="clear" w:color="auto" w:fill="8DB3E2" w:themeFill="text2" w:themeFillTint="66"/>
          </w:tcPr>
          <w:p w14:paraId="47961723" w14:textId="77777777" w:rsidR="00017EAE" w:rsidRPr="00C7452F" w:rsidRDefault="00017EAE" w:rsidP="0002380A">
            <w:pPr>
              <w:spacing w:before="60" w:after="60" w:line="240" w:lineRule="auto"/>
              <w:rPr>
                <w:rFonts w:ascii="Calibri" w:eastAsia="Times New Roman" w:hAnsi="Calibri"/>
                <w:w w:val="90"/>
                <w:sz w:val="20"/>
                <w:szCs w:val="20"/>
              </w:rPr>
            </w:pPr>
          </w:p>
        </w:tc>
        <w:tc>
          <w:tcPr>
            <w:tcW w:w="2000" w:type="pct"/>
            <w:shd w:val="clear" w:color="auto" w:fill="8DB3E2" w:themeFill="text2" w:themeFillTint="66"/>
          </w:tcPr>
          <w:p w14:paraId="64027C65" w14:textId="77777777" w:rsidR="00017EAE" w:rsidRPr="00C7452F" w:rsidRDefault="00017EAE" w:rsidP="0002380A">
            <w:pPr>
              <w:spacing w:before="60" w:after="60" w:line="240" w:lineRule="auto"/>
              <w:rPr>
                <w:rFonts w:ascii="Calibri" w:eastAsia="Times New Roman" w:hAnsi="Calibri"/>
                <w:w w:val="90"/>
                <w:sz w:val="20"/>
                <w:szCs w:val="20"/>
              </w:rPr>
            </w:pPr>
          </w:p>
        </w:tc>
        <w:tc>
          <w:tcPr>
            <w:tcW w:w="286" w:type="pct"/>
            <w:shd w:val="clear" w:color="auto" w:fill="8DB3E2" w:themeFill="text2" w:themeFillTint="66"/>
          </w:tcPr>
          <w:p w14:paraId="4E6B10FF" w14:textId="77777777" w:rsidR="00017EAE" w:rsidRPr="00C7452F" w:rsidRDefault="00017EAE" w:rsidP="0002380A">
            <w:pPr>
              <w:spacing w:before="60" w:after="60" w:line="240" w:lineRule="auto"/>
              <w:rPr>
                <w:rFonts w:ascii="Calibri" w:eastAsia="Times New Roman" w:hAnsi="Calibri"/>
                <w:sz w:val="20"/>
                <w:szCs w:val="20"/>
                <w:lang w:eastAsia="en-AU"/>
              </w:rPr>
            </w:pPr>
          </w:p>
        </w:tc>
        <w:tc>
          <w:tcPr>
            <w:tcW w:w="190" w:type="pct"/>
            <w:shd w:val="clear" w:color="auto" w:fill="8DB3E2" w:themeFill="text2" w:themeFillTint="66"/>
          </w:tcPr>
          <w:p w14:paraId="7C77EC76" w14:textId="77777777" w:rsidR="00017EAE" w:rsidRDefault="00017EAE" w:rsidP="0002380A">
            <w:pPr>
              <w:spacing w:before="60" w:after="60" w:line="240" w:lineRule="auto"/>
              <w:rPr>
                <w:rFonts w:ascii="Calibri" w:eastAsia="Times New Roman" w:hAnsi="Calibri"/>
                <w:w w:val="90"/>
                <w:sz w:val="20"/>
                <w:szCs w:val="20"/>
              </w:rPr>
            </w:pPr>
          </w:p>
        </w:tc>
      </w:tr>
      <w:tr w:rsidR="00EE1F52" w:rsidRPr="00C7452F" w14:paraId="5E784D41" w14:textId="77777777" w:rsidTr="0002380A">
        <w:tc>
          <w:tcPr>
            <w:tcW w:w="269" w:type="pct"/>
          </w:tcPr>
          <w:p w14:paraId="4FF71B3C" w14:textId="77777777" w:rsidR="00EE1F52" w:rsidRPr="00C7452F" w:rsidRDefault="00EE1F52" w:rsidP="0002380A">
            <w:pPr>
              <w:spacing w:before="60" w:after="60" w:line="240" w:lineRule="auto"/>
              <w:rPr>
                <w:rFonts w:ascii="Calibri" w:eastAsia="Times New Roman" w:hAnsi="Calibri"/>
                <w:sz w:val="20"/>
                <w:szCs w:val="20"/>
                <w:lang w:eastAsia="en-AU"/>
              </w:rPr>
            </w:pPr>
            <w:r w:rsidRPr="00C7452F">
              <w:rPr>
                <w:rFonts w:ascii="Calibri" w:eastAsia="Times New Roman" w:hAnsi="Calibri"/>
                <w:sz w:val="20"/>
                <w:szCs w:val="20"/>
                <w:lang w:eastAsia="en-AU"/>
              </w:rPr>
              <w:t>1.1</w:t>
            </w:r>
          </w:p>
        </w:tc>
        <w:tc>
          <w:tcPr>
            <w:tcW w:w="604" w:type="pct"/>
          </w:tcPr>
          <w:p w14:paraId="55DCBC37" w14:textId="77777777" w:rsidR="00EE1F52" w:rsidRPr="00C7452F" w:rsidRDefault="00EE1F52" w:rsidP="0002380A">
            <w:pPr>
              <w:spacing w:before="60" w:after="60" w:line="240" w:lineRule="auto"/>
              <w:rPr>
                <w:rFonts w:ascii="Calibri" w:eastAsia="Times New Roman" w:hAnsi="Calibri"/>
                <w:w w:val="90"/>
                <w:sz w:val="20"/>
                <w:szCs w:val="20"/>
              </w:rPr>
            </w:pPr>
            <w:r>
              <w:rPr>
                <w:rFonts w:ascii="Calibri" w:eastAsia="Times New Roman" w:hAnsi="Calibri"/>
                <w:w w:val="90"/>
                <w:sz w:val="20"/>
                <w:szCs w:val="20"/>
              </w:rPr>
              <w:t>Outcome of the May 2018 parliamentary election could influence government priorities</w:t>
            </w:r>
          </w:p>
        </w:tc>
        <w:tc>
          <w:tcPr>
            <w:tcW w:w="172" w:type="pct"/>
          </w:tcPr>
          <w:p w14:paraId="102D67A5" w14:textId="77777777" w:rsidR="00EE1F52" w:rsidRPr="00C7452F" w:rsidRDefault="00EE1F52" w:rsidP="0002380A">
            <w:pPr>
              <w:spacing w:before="60" w:after="60" w:line="240" w:lineRule="auto"/>
              <w:rPr>
                <w:rFonts w:ascii="Calibri" w:eastAsia="Times New Roman" w:hAnsi="Calibri"/>
                <w:sz w:val="20"/>
                <w:szCs w:val="20"/>
                <w:lang w:eastAsia="en-AU"/>
              </w:rPr>
            </w:pPr>
            <w:r>
              <w:rPr>
                <w:rFonts w:ascii="Calibri" w:eastAsia="Times New Roman" w:hAnsi="Calibri"/>
                <w:sz w:val="20"/>
                <w:szCs w:val="20"/>
                <w:lang w:eastAsia="en-AU"/>
              </w:rPr>
              <w:t>3</w:t>
            </w:r>
          </w:p>
        </w:tc>
        <w:tc>
          <w:tcPr>
            <w:tcW w:w="129" w:type="pct"/>
          </w:tcPr>
          <w:p w14:paraId="38EDDA5E" w14:textId="77777777" w:rsidR="00EE1F52" w:rsidRPr="00C7452F" w:rsidRDefault="00EE1F52" w:rsidP="0002380A">
            <w:pPr>
              <w:spacing w:before="60" w:after="60" w:line="240" w:lineRule="auto"/>
              <w:rPr>
                <w:rFonts w:ascii="Calibri" w:eastAsia="Times New Roman" w:hAnsi="Calibri"/>
                <w:sz w:val="20"/>
                <w:szCs w:val="20"/>
                <w:lang w:eastAsia="en-AU"/>
              </w:rPr>
            </w:pPr>
            <w:r>
              <w:rPr>
                <w:rFonts w:ascii="Calibri" w:eastAsia="Times New Roman" w:hAnsi="Calibri"/>
                <w:sz w:val="20"/>
                <w:szCs w:val="20"/>
                <w:lang w:eastAsia="en-AU"/>
              </w:rPr>
              <w:t>4</w:t>
            </w:r>
          </w:p>
        </w:tc>
        <w:tc>
          <w:tcPr>
            <w:tcW w:w="174" w:type="pct"/>
            <w:shd w:val="clear" w:color="auto" w:fill="FFC000"/>
          </w:tcPr>
          <w:p w14:paraId="17DF0F2F" w14:textId="77777777" w:rsidR="00EE1F52" w:rsidRPr="00C7452F" w:rsidRDefault="00EE1F52" w:rsidP="0002380A">
            <w:pPr>
              <w:spacing w:before="60" w:after="60" w:line="240" w:lineRule="auto"/>
              <w:rPr>
                <w:rFonts w:ascii="Calibri" w:eastAsia="Times New Roman" w:hAnsi="Calibri"/>
                <w:sz w:val="20"/>
                <w:szCs w:val="20"/>
                <w:lang w:eastAsia="en-AU"/>
              </w:rPr>
            </w:pPr>
            <w:r w:rsidRPr="00C7452F">
              <w:rPr>
                <w:rFonts w:ascii="Calibri" w:eastAsia="Times New Roman" w:hAnsi="Calibri"/>
                <w:sz w:val="20"/>
                <w:szCs w:val="20"/>
                <w:lang w:eastAsia="en-AU"/>
              </w:rPr>
              <w:t>3</w:t>
            </w:r>
          </w:p>
        </w:tc>
        <w:tc>
          <w:tcPr>
            <w:tcW w:w="1176" w:type="pct"/>
          </w:tcPr>
          <w:p w14:paraId="6356390A" w14:textId="77777777" w:rsidR="00EE1F52" w:rsidRDefault="00EE1F52" w:rsidP="0002380A">
            <w:pPr>
              <w:spacing w:before="60" w:after="60" w:line="240" w:lineRule="auto"/>
              <w:rPr>
                <w:rFonts w:ascii="Calibri" w:eastAsia="Times New Roman" w:hAnsi="Calibri"/>
                <w:w w:val="90"/>
                <w:sz w:val="20"/>
                <w:szCs w:val="20"/>
              </w:rPr>
            </w:pPr>
            <w:r w:rsidRPr="00C7452F">
              <w:rPr>
                <w:rFonts w:ascii="Calibri" w:eastAsia="Times New Roman" w:hAnsi="Calibri"/>
                <w:w w:val="90"/>
                <w:sz w:val="20"/>
                <w:szCs w:val="20"/>
              </w:rPr>
              <w:t>Impacts on relationship</w:t>
            </w:r>
            <w:r>
              <w:rPr>
                <w:rFonts w:ascii="Calibri" w:eastAsia="Times New Roman" w:hAnsi="Calibri"/>
                <w:w w:val="90"/>
                <w:sz w:val="20"/>
                <w:szCs w:val="20"/>
              </w:rPr>
              <w:t xml:space="preserve"> with Australia</w:t>
            </w:r>
            <w:r w:rsidRPr="00C7452F">
              <w:rPr>
                <w:rFonts w:ascii="Calibri" w:eastAsia="Times New Roman" w:hAnsi="Calibri"/>
                <w:w w:val="90"/>
                <w:sz w:val="20"/>
                <w:szCs w:val="20"/>
              </w:rPr>
              <w:t xml:space="preserve"> and </w:t>
            </w:r>
            <w:r>
              <w:rPr>
                <w:rFonts w:ascii="Calibri" w:eastAsia="Times New Roman" w:hAnsi="Calibri"/>
                <w:w w:val="90"/>
                <w:sz w:val="20"/>
                <w:szCs w:val="20"/>
              </w:rPr>
              <w:t>support for its</w:t>
            </w:r>
            <w:r w:rsidRPr="00C7452F">
              <w:rPr>
                <w:rFonts w:ascii="Calibri" w:eastAsia="Times New Roman" w:hAnsi="Calibri"/>
                <w:w w:val="90"/>
                <w:sz w:val="20"/>
                <w:szCs w:val="20"/>
              </w:rPr>
              <w:t xml:space="preserve"> </w:t>
            </w:r>
            <w:r>
              <w:rPr>
                <w:rFonts w:ascii="Calibri" w:eastAsia="Times New Roman" w:hAnsi="Calibri"/>
                <w:w w:val="90"/>
                <w:sz w:val="20"/>
                <w:szCs w:val="20"/>
              </w:rPr>
              <w:t>p</w:t>
            </w:r>
            <w:r w:rsidRPr="00C7452F">
              <w:rPr>
                <w:rFonts w:ascii="Calibri" w:eastAsia="Times New Roman" w:hAnsi="Calibri"/>
                <w:w w:val="90"/>
                <w:sz w:val="20"/>
                <w:szCs w:val="20"/>
              </w:rPr>
              <w:t>rogram</w:t>
            </w:r>
            <w:r>
              <w:rPr>
                <w:rFonts w:ascii="Calibri" w:eastAsia="Times New Roman" w:hAnsi="Calibri"/>
                <w:w w:val="90"/>
                <w:sz w:val="20"/>
                <w:szCs w:val="20"/>
              </w:rPr>
              <w:t>s</w:t>
            </w:r>
          </w:p>
          <w:p w14:paraId="7DD732F5" w14:textId="77777777" w:rsidR="00EE1F52" w:rsidRPr="00C7452F" w:rsidRDefault="00EE1F52" w:rsidP="0002380A">
            <w:pPr>
              <w:spacing w:before="60" w:after="60" w:line="240" w:lineRule="auto"/>
              <w:rPr>
                <w:rFonts w:ascii="Calibri" w:eastAsia="Times New Roman" w:hAnsi="Calibri"/>
                <w:w w:val="90"/>
                <w:sz w:val="20"/>
                <w:szCs w:val="20"/>
              </w:rPr>
            </w:pPr>
            <w:r>
              <w:rPr>
                <w:rFonts w:ascii="Calibri" w:eastAsia="Times New Roman" w:hAnsi="Calibri"/>
                <w:w w:val="90"/>
                <w:sz w:val="20"/>
                <w:szCs w:val="20"/>
              </w:rPr>
              <w:t>Changes in government and policing priorities u</w:t>
            </w:r>
            <w:r w:rsidRPr="00C7452F">
              <w:rPr>
                <w:rFonts w:ascii="Calibri" w:eastAsia="Times New Roman" w:hAnsi="Calibri"/>
                <w:w w:val="90"/>
                <w:sz w:val="20"/>
                <w:szCs w:val="20"/>
              </w:rPr>
              <w:t>ndermines objectives of the Program</w:t>
            </w:r>
          </w:p>
          <w:p w14:paraId="43CAEAA6" w14:textId="77777777" w:rsidR="00EE1F52" w:rsidRPr="00C7452F" w:rsidRDefault="00EE1F52" w:rsidP="0002380A">
            <w:pPr>
              <w:spacing w:before="60" w:after="60" w:line="240" w:lineRule="auto"/>
              <w:rPr>
                <w:rFonts w:ascii="Calibri" w:eastAsia="Times New Roman" w:hAnsi="Calibri"/>
                <w:w w:val="90"/>
                <w:sz w:val="20"/>
                <w:szCs w:val="20"/>
              </w:rPr>
            </w:pPr>
          </w:p>
        </w:tc>
        <w:tc>
          <w:tcPr>
            <w:tcW w:w="2000" w:type="pct"/>
          </w:tcPr>
          <w:p w14:paraId="5A98AFB4" w14:textId="77777777" w:rsidR="00EE1F52" w:rsidRPr="00C7452F" w:rsidRDefault="00EE1F52" w:rsidP="0002380A">
            <w:pPr>
              <w:spacing w:before="60" w:after="60" w:line="240" w:lineRule="auto"/>
              <w:rPr>
                <w:rFonts w:ascii="Calibri" w:eastAsia="Times New Roman" w:hAnsi="Calibri"/>
                <w:w w:val="90"/>
                <w:sz w:val="20"/>
                <w:szCs w:val="20"/>
              </w:rPr>
            </w:pPr>
            <w:r w:rsidRPr="00C7452F">
              <w:rPr>
                <w:rFonts w:ascii="Calibri" w:eastAsia="Times New Roman" w:hAnsi="Calibri"/>
                <w:w w:val="90"/>
                <w:sz w:val="20"/>
                <w:szCs w:val="20"/>
              </w:rPr>
              <w:t xml:space="preserve">Alignment with </w:t>
            </w:r>
            <w:r>
              <w:rPr>
                <w:rFonts w:ascii="Calibri" w:eastAsia="Times New Roman" w:hAnsi="Calibri"/>
                <w:w w:val="90"/>
                <w:sz w:val="20"/>
                <w:szCs w:val="20"/>
              </w:rPr>
              <w:t>Timor-Leste’s strategic policies</w:t>
            </w:r>
          </w:p>
          <w:p w14:paraId="2E997E95" w14:textId="77777777" w:rsidR="00EE1F52" w:rsidRDefault="00EE1F52" w:rsidP="0002380A">
            <w:pPr>
              <w:spacing w:before="60" w:after="60" w:line="240" w:lineRule="auto"/>
              <w:rPr>
                <w:rFonts w:ascii="Calibri" w:eastAsia="Times New Roman" w:hAnsi="Calibri"/>
                <w:w w:val="90"/>
                <w:sz w:val="20"/>
                <w:szCs w:val="20"/>
              </w:rPr>
            </w:pPr>
            <w:r w:rsidRPr="00C7452F">
              <w:rPr>
                <w:rFonts w:ascii="Calibri" w:eastAsia="Times New Roman" w:hAnsi="Calibri"/>
                <w:w w:val="90"/>
                <w:sz w:val="20"/>
                <w:szCs w:val="20"/>
              </w:rPr>
              <w:t>High-level diplomatic dialogue</w:t>
            </w:r>
          </w:p>
          <w:p w14:paraId="5199ED13" w14:textId="77777777" w:rsidR="00EE1F52" w:rsidRPr="00C7452F" w:rsidRDefault="00EE1F52" w:rsidP="0002380A">
            <w:pPr>
              <w:spacing w:before="60" w:after="60" w:line="240" w:lineRule="auto"/>
              <w:rPr>
                <w:rFonts w:ascii="Calibri" w:eastAsia="Times New Roman" w:hAnsi="Calibri"/>
                <w:w w:val="90"/>
                <w:sz w:val="20"/>
                <w:szCs w:val="20"/>
              </w:rPr>
            </w:pPr>
            <w:r w:rsidRPr="00C7452F">
              <w:rPr>
                <w:rFonts w:ascii="Calibri" w:eastAsia="Times New Roman" w:hAnsi="Calibri"/>
                <w:w w:val="90"/>
                <w:sz w:val="20"/>
                <w:szCs w:val="20"/>
              </w:rPr>
              <w:t xml:space="preserve">Continual political economy analysis informing discussion with </w:t>
            </w:r>
            <w:r>
              <w:rPr>
                <w:rFonts w:ascii="Calibri" w:eastAsia="Times New Roman" w:hAnsi="Calibri"/>
                <w:w w:val="90"/>
                <w:sz w:val="20"/>
                <w:szCs w:val="20"/>
              </w:rPr>
              <w:t>PNTL</w:t>
            </w:r>
          </w:p>
          <w:p w14:paraId="1928CEAB" w14:textId="77777777" w:rsidR="00EE1F52" w:rsidRPr="00C7452F" w:rsidRDefault="00EE1F52" w:rsidP="0002380A">
            <w:pPr>
              <w:spacing w:before="60" w:after="60" w:line="240" w:lineRule="auto"/>
              <w:rPr>
                <w:rFonts w:ascii="Calibri" w:eastAsia="Times New Roman" w:hAnsi="Calibri"/>
                <w:w w:val="90"/>
                <w:sz w:val="20"/>
                <w:szCs w:val="20"/>
              </w:rPr>
            </w:pPr>
            <w:r w:rsidRPr="00C7452F">
              <w:rPr>
                <w:rFonts w:ascii="Calibri" w:eastAsia="Times New Roman" w:hAnsi="Calibri"/>
                <w:w w:val="90"/>
                <w:sz w:val="20"/>
                <w:szCs w:val="20"/>
              </w:rPr>
              <w:t>Realistic Program objectives</w:t>
            </w:r>
          </w:p>
          <w:p w14:paraId="4D8D24A7" w14:textId="77777777" w:rsidR="00EE1F52" w:rsidRPr="00C7452F" w:rsidRDefault="00EE1F52" w:rsidP="0002380A">
            <w:pPr>
              <w:spacing w:before="60" w:after="60" w:line="240" w:lineRule="auto"/>
              <w:rPr>
                <w:rFonts w:ascii="Calibri" w:eastAsia="Times New Roman" w:hAnsi="Calibri"/>
                <w:w w:val="90"/>
                <w:sz w:val="20"/>
                <w:szCs w:val="20"/>
              </w:rPr>
            </w:pPr>
            <w:r w:rsidRPr="00C7452F">
              <w:rPr>
                <w:rFonts w:ascii="Calibri" w:eastAsia="Times New Roman" w:hAnsi="Calibri"/>
                <w:w w:val="90"/>
                <w:sz w:val="20"/>
                <w:szCs w:val="20"/>
              </w:rPr>
              <w:t>Build flexibility into Program</w:t>
            </w:r>
            <w:r>
              <w:rPr>
                <w:rFonts w:ascii="Calibri" w:eastAsia="Times New Roman" w:hAnsi="Calibri"/>
                <w:w w:val="90"/>
                <w:sz w:val="20"/>
                <w:szCs w:val="20"/>
              </w:rPr>
              <w:t xml:space="preserve"> to allow adjustment</w:t>
            </w:r>
          </w:p>
        </w:tc>
        <w:tc>
          <w:tcPr>
            <w:tcW w:w="286" w:type="pct"/>
          </w:tcPr>
          <w:p w14:paraId="3AC3ECCA" w14:textId="77777777" w:rsidR="00EE1F52" w:rsidRPr="00C7452F" w:rsidRDefault="00EE1F52" w:rsidP="0002380A">
            <w:pPr>
              <w:spacing w:before="60" w:after="60" w:line="240" w:lineRule="auto"/>
              <w:rPr>
                <w:rFonts w:ascii="Calibri" w:eastAsia="Times New Roman" w:hAnsi="Calibri"/>
                <w:w w:val="90"/>
                <w:sz w:val="20"/>
                <w:szCs w:val="20"/>
              </w:rPr>
            </w:pPr>
            <w:r w:rsidRPr="00C7452F">
              <w:rPr>
                <w:rFonts w:ascii="Calibri" w:eastAsia="Times New Roman" w:hAnsi="Calibri"/>
                <w:sz w:val="20"/>
                <w:szCs w:val="20"/>
                <w:lang w:eastAsia="en-AU"/>
              </w:rPr>
              <w:t>DFAT</w:t>
            </w:r>
            <w:r>
              <w:rPr>
                <w:rFonts w:ascii="Calibri" w:eastAsia="Times New Roman" w:hAnsi="Calibri"/>
                <w:sz w:val="20"/>
                <w:szCs w:val="20"/>
                <w:lang w:eastAsia="en-AU"/>
              </w:rPr>
              <w:t xml:space="preserve"> and </w:t>
            </w:r>
            <w:r w:rsidRPr="00C7452F">
              <w:rPr>
                <w:rFonts w:ascii="Calibri" w:eastAsia="Times New Roman" w:hAnsi="Calibri"/>
                <w:w w:val="90"/>
                <w:sz w:val="20"/>
                <w:szCs w:val="20"/>
              </w:rPr>
              <w:t xml:space="preserve">Head of Program </w:t>
            </w:r>
          </w:p>
          <w:p w14:paraId="095FDE39" w14:textId="77777777" w:rsidR="00EE1F52" w:rsidRPr="00C7452F" w:rsidRDefault="00EE1F52" w:rsidP="0002380A">
            <w:pPr>
              <w:spacing w:before="60" w:after="60" w:line="240" w:lineRule="auto"/>
              <w:rPr>
                <w:rFonts w:ascii="Calibri" w:eastAsia="Times New Roman" w:hAnsi="Calibri"/>
                <w:sz w:val="20"/>
                <w:szCs w:val="20"/>
                <w:lang w:eastAsia="en-AU"/>
              </w:rPr>
            </w:pPr>
          </w:p>
        </w:tc>
        <w:tc>
          <w:tcPr>
            <w:tcW w:w="190" w:type="pct"/>
            <w:shd w:val="clear" w:color="auto" w:fill="FFC000"/>
          </w:tcPr>
          <w:p w14:paraId="3DDCE635" w14:textId="77777777" w:rsidR="00EE1F52" w:rsidRPr="00C7452F" w:rsidRDefault="00EE1F52" w:rsidP="0002380A">
            <w:pPr>
              <w:spacing w:before="60" w:after="60" w:line="240" w:lineRule="auto"/>
              <w:rPr>
                <w:rFonts w:ascii="Calibri" w:eastAsia="Times New Roman" w:hAnsi="Calibri"/>
                <w:w w:val="90"/>
                <w:sz w:val="20"/>
                <w:szCs w:val="20"/>
              </w:rPr>
            </w:pPr>
            <w:r>
              <w:rPr>
                <w:rFonts w:ascii="Calibri" w:eastAsia="Times New Roman" w:hAnsi="Calibri"/>
                <w:w w:val="90"/>
                <w:sz w:val="20"/>
                <w:szCs w:val="20"/>
              </w:rPr>
              <w:t>3</w:t>
            </w:r>
          </w:p>
        </w:tc>
      </w:tr>
      <w:tr w:rsidR="00EE1F52" w:rsidRPr="00C7452F" w14:paraId="4B56A6A3" w14:textId="77777777" w:rsidTr="0002380A">
        <w:tc>
          <w:tcPr>
            <w:tcW w:w="269" w:type="pct"/>
          </w:tcPr>
          <w:p w14:paraId="483893D3" w14:textId="77777777" w:rsidR="00EE1F52" w:rsidRPr="00C7452F" w:rsidRDefault="00EE1F52" w:rsidP="0002380A">
            <w:pPr>
              <w:spacing w:before="60" w:after="60" w:line="240" w:lineRule="auto"/>
              <w:rPr>
                <w:rFonts w:ascii="Calibri" w:eastAsia="Times New Roman" w:hAnsi="Calibri"/>
                <w:sz w:val="20"/>
                <w:szCs w:val="20"/>
                <w:lang w:eastAsia="en-AU"/>
              </w:rPr>
            </w:pPr>
            <w:r>
              <w:rPr>
                <w:rFonts w:ascii="Calibri" w:eastAsia="Times New Roman" w:hAnsi="Calibri"/>
                <w:sz w:val="20"/>
                <w:szCs w:val="20"/>
                <w:lang w:eastAsia="en-AU"/>
              </w:rPr>
              <w:t>1.2</w:t>
            </w:r>
          </w:p>
        </w:tc>
        <w:tc>
          <w:tcPr>
            <w:tcW w:w="604" w:type="pct"/>
          </w:tcPr>
          <w:p w14:paraId="3D8BDDFE" w14:textId="77777777" w:rsidR="00EE1F52" w:rsidRPr="00C7452F" w:rsidRDefault="00EE1F52" w:rsidP="0002380A">
            <w:pPr>
              <w:spacing w:before="60" w:after="60" w:line="240" w:lineRule="auto"/>
              <w:rPr>
                <w:rFonts w:ascii="Calibri" w:eastAsia="Times New Roman" w:hAnsi="Calibri"/>
                <w:w w:val="90"/>
                <w:sz w:val="20"/>
                <w:szCs w:val="20"/>
              </w:rPr>
            </w:pPr>
            <w:r w:rsidRPr="00C7452F">
              <w:rPr>
                <w:rFonts w:ascii="Calibri" w:eastAsia="Times New Roman" w:hAnsi="Calibri"/>
                <w:w w:val="90"/>
                <w:sz w:val="20"/>
                <w:szCs w:val="20"/>
              </w:rPr>
              <w:t>Political decisions leading to interference and poor decision making and creating disincentives</w:t>
            </w:r>
          </w:p>
        </w:tc>
        <w:tc>
          <w:tcPr>
            <w:tcW w:w="172" w:type="pct"/>
          </w:tcPr>
          <w:p w14:paraId="39D03908" w14:textId="77777777" w:rsidR="00EE1F52" w:rsidRPr="00C7452F" w:rsidRDefault="00EE1F52" w:rsidP="0002380A">
            <w:pPr>
              <w:spacing w:before="60" w:after="60" w:line="240" w:lineRule="auto"/>
              <w:rPr>
                <w:rFonts w:ascii="Calibri" w:eastAsia="Times New Roman" w:hAnsi="Calibri"/>
                <w:sz w:val="20"/>
                <w:szCs w:val="20"/>
                <w:lang w:eastAsia="en-AU"/>
              </w:rPr>
            </w:pPr>
            <w:r w:rsidRPr="00C7452F">
              <w:rPr>
                <w:rFonts w:ascii="Calibri" w:eastAsia="Times New Roman" w:hAnsi="Calibri"/>
                <w:sz w:val="20"/>
                <w:szCs w:val="20"/>
                <w:lang w:eastAsia="en-AU"/>
              </w:rPr>
              <w:t>4</w:t>
            </w:r>
          </w:p>
        </w:tc>
        <w:tc>
          <w:tcPr>
            <w:tcW w:w="129" w:type="pct"/>
          </w:tcPr>
          <w:p w14:paraId="0428C6FF" w14:textId="77777777" w:rsidR="00EE1F52" w:rsidRPr="00C7452F" w:rsidRDefault="00EE1F52" w:rsidP="0002380A">
            <w:pPr>
              <w:spacing w:before="60" w:after="60" w:line="240" w:lineRule="auto"/>
              <w:rPr>
                <w:rFonts w:ascii="Calibri" w:eastAsia="Times New Roman" w:hAnsi="Calibri"/>
                <w:sz w:val="20"/>
                <w:szCs w:val="20"/>
                <w:lang w:eastAsia="en-AU"/>
              </w:rPr>
            </w:pPr>
            <w:r w:rsidRPr="00C7452F">
              <w:rPr>
                <w:rFonts w:ascii="Calibri" w:eastAsia="Times New Roman" w:hAnsi="Calibri"/>
                <w:sz w:val="20"/>
                <w:szCs w:val="20"/>
                <w:lang w:eastAsia="en-AU"/>
              </w:rPr>
              <w:t>3</w:t>
            </w:r>
          </w:p>
        </w:tc>
        <w:tc>
          <w:tcPr>
            <w:tcW w:w="174" w:type="pct"/>
            <w:shd w:val="clear" w:color="auto" w:fill="FFC000"/>
          </w:tcPr>
          <w:p w14:paraId="2B66C502" w14:textId="77777777" w:rsidR="00EE1F52" w:rsidRPr="00C7452F" w:rsidRDefault="00EE1F52" w:rsidP="0002380A">
            <w:pPr>
              <w:spacing w:before="60" w:after="60" w:line="240" w:lineRule="auto"/>
              <w:rPr>
                <w:rFonts w:ascii="Calibri" w:eastAsia="Times New Roman" w:hAnsi="Calibri"/>
                <w:sz w:val="20"/>
                <w:szCs w:val="20"/>
                <w:lang w:eastAsia="en-AU"/>
              </w:rPr>
            </w:pPr>
            <w:r>
              <w:rPr>
                <w:rFonts w:ascii="Calibri" w:eastAsia="Times New Roman" w:hAnsi="Calibri"/>
                <w:sz w:val="20"/>
                <w:szCs w:val="20"/>
                <w:lang w:eastAsia="en-AU"/>
              </w:rPr>
              <w:t>3</w:t>
            </w:r>
          </w:p>
        </w:tc>
        <w:tc>
          <w:tcPr>
            <w:tcW w:w="1176" w:type="pct"/>
          </w:tcPr>
          <w:p w14:paraId="20A0A330" w14:textId="77777777" w:rsidR="00EE1F52" w:rsidRDefault="00EE1F52" w:rsidP="0002380A">
            <w:pPr>
              <w:spacing w:before="60" w:after="60" w:line="240" w:lineRule="auto"/>
              <w:rPr>
                <w:rFonts w:ascii="Calibri" w:eastAsia="Times New Roman" w:hAnsi="Calibri"/>
                <w:w w:val="90"/>
                <w:sz w:val="20"/>
                <w:szCs w:val="20"/>
              </w:rPr>
            </w:pPr>
            <w:r w:rsidRPr="00C7452F">
              <w:rPr>
                <w:rFonts w:ascii="Calibri" w:eastAsia="Times New Roman" w:hAnsi="Calibri"/>
                <w:w w:val="90"/>
                <w:sz w:val="20"/>
                <w:szCs w:val="20"/>
              </w:rPr>
              <w:t>Undermines the outcomes of the Program</w:t>
            </w:r>
          </w:p>
          <w:p w14:paraId="4DA12A86" w14:textId="77777777" w:rsidR="00EE1F52" w:rsidRPr="00C7452F" w:rsidRDefault="00EE1F52" w:rsidP="0002380A">
            <w:pPr>
              <w:spacing w:before="60" w:after="60" w:line="240" w:lineRule="auto"/>
              <w:rPr>
                <w:rFonts w:ascii="Calibri" w:eastAsia="Times New Roman" w:hAnsi="Calibri"/>
                <w:w w:val="90"/>
                <w:sz w:val="20"/>
                <w:szCs w:val="20"/>
              </w:rPr>
            </w:pPr>
            <w:r w:rsidRPr="00C7452F">
              <w:rPr>
                <w:rFonts w:ascii="Calibri" w:eastAsia="Times New Roman" w:hAnsi="Calibri"/>
                <w:w w:val="90"/>
                <w:sz w:val="20"/>
                <w:szCs w:val="20"/>
              </w:rPr>
              <w:t>Undermines the confidence of advisers and staff</w:t>
            </w:r>
          </w:p>
          <w:p w14:paraId="3AE93876" w14:textId="77777777" w:rsidR="00EE1F52" w:rsidRPr="00C7452F" w:rsidRDefault="00EE1F52" w:rsidP="0002380A">
            <w:pPr>
              <w:spacing w:before="60" w:after="60" w:line="240" w:lineRule="auto"/>
              <w:rPr>
                <w:rFonts w:ascii="Calibri" w:eastAsia="Times New Roman" w:hAnsi="Calibri"/>
                <w:w w:val="90"/>
                <w:sz w:val="20"/>
                <w:szCs w:val="20"/>
              </w:rPr>
            </w:pPr>
          </w:p>
        </w:tc>
        <w:tc>
          <w:tcPr>
            <w:tcW w:w="2000" w:type="pct"/>
          </w:tcPr>
          <w:p w14:paraId="2027E248" w14:textId="77777777" w:rsidR="00EE1F52" w:rsidRPr="00C7452F" w:rsidRDefault="00EE1F52" w:rsidP="0002380A">
            <w:pPr>
              <w:spacing w:before="60" w:after="60" w:line="240" w:lineRule="auto"/>
              <w:rPr>
                <w:rFonts w:ascii="Calibri" w:eastAsia="Times New Roman" w:hAnsi="Calibri"/>
                <w:w w:val="90"/>
                <w:sz w:val="20"/>
                <w:szCs w:val="20"/>
              </w:rPr>
            </w:pPr>
            <w:r w:rsidRPr="00C7452F">
              <w:rPr>
                <w:rFonts w:ascii="Calibri" w:eastAsia="Times New Roman" w:hAnsi="Calibri"/>
                <w:w w:val="90"/>
                <w:sz w:val="20"/>
                <w:szCs w:val="20"/>
              </w:rPr>
              <w:t>Strong adviser relationships</w:t>
            </w:r>
          </w:p>
          <w:p w14:paraId="3520AEB6" w14:textId="77777777" w:rsidR="00EE1F52" w:rsidRPr="00C7452F" w:rsidRDefault="00EE1F52" w:rsidP="0002380A">
            <w:pPr>
              <w:spacing w:before="60" w:after="60" w:line="240" w:lineRule="auto"/>
              <w:rPr>
                <w:rFonts w:ascii="Calibri" w:eastAsia="Times New Roman" w:hAnsi="Calibri"/>
                <w:w w:val="90"/>
                <w:sz w:val="20"/>
                <w:szCs w:val="20"/>
              </w:rPr>
            </w:pPr>
            <w:r w:rsidRPr="00C7452F">
              <w:rPr>
                <w:rFonts w:ascii="Calibri" w:eastAsia="Times New Roman" w:hAnsi="Calibri"/>
                <w:w w:val="90"/>
                <w:sz w:val="20"/>
                <w:szCs w:val="20"/>
              </w:rPr>
              <w:t>Realistic Program objectives</w:t>
            </w:r>
          </w:p>
          <w:p w14:paraId="41DB4BB1" w14:textId="77777777" w:rsidR="00EE1F52" w:rsidRPr="00C7452F" w:rsidRDefault="00EE1F52" w:rsidP="0002380A">
            <w:pPr>
              <w:spacing w:before="60" w:after="60" w:line="240" w:lineRule="auto"/>
              <w:rPr>
                <w:rFonts w:ascii="Calibri" w:eastAsia="Times New Roman" w:hAnsi="Calibri"/>
                <w:w w:val="90"/>
                <w:sz w:val="20"/>
                <w:szCs w:val="20"/>
              </w:rPr>
            </w:pPr>
            <w:r w:rsidRPr="00C7452F">
              <w:rPr>
                <w:rFonts w:ascii="Calibri" w:eastAsia="Times New Roman" w:hAnsi="Calibri"/>
                <w:w w:val="90"/>
                <w:sz w:val="20"/>
                <w:szCs w:val="20"/>
              </w:rPr>
              <w:t>High-level diplomatic dialogue</w:t>
            </w:r>
          </w:p>
          <w:p w14:paraId="14F39B65" w14:textId="77777777" w:rsidR="00EE1F52" w:rsidRPr="00C7452F" w:rsidRDefault="00EE1F52" w:rsidP="0002380A">
            <w:pPr>
              <w:spacing w:before="60" w:after="60" w:line="240" w:lineRule="auto"/>
              <w:rPr>
                <w:rFonts w:ascii="Calibri" w:eastAsia="Times New Roman" w:hAnsi="Calibri"/>
                <w:w w:val="90"/>
                <w:sz w:val="20"/>
                <w:szCs w:val="20"/>
              </w:rPr>
            </w:pPr>
            <w:r w:rsidRPr="00C7452F">
              <w:rPr>
                <w:rFonts w:ascii="Calibri" w:eastAsia="Times New Roman" w:hAnsi="Calibri"/>
                <w:w w:val="90"/>
                <w:sz w:val="20"/>
                <w:szCs w:val="20"/>
              </w:rPr>
              <w:t>Donor coordination mechanisms</w:t>
            </w:r>
          </w:p>
        </w:tc>
        <w:tc>
          <w:tcPr>
            <w:tcW w:w="286" w:type="pct"/>
          </w:tcPr>
          <w:p w14:paraId="609D4037" w14:textId="77777777" w:rsidR="00EE1F52" w:rsidRPr="00C7452F" w:rsidRDefault="00EE1F52" w:rsidP="0002380A">
            <w:pPr>
              <w:spacing w:before="60" w:after="60" w:line="240" w:lineRule="auto"/>
              <w:rPr>
                <w:rFonts w:ascii="Calibri" w:eastAsia="Times New Roman" w:hAnsi="Calibri"/>
                <w:w w:val="90"/>
                <w:sz w:val="20"/>
                <w:szCs w:val="20"/>
              </w:rPr>
            </w:pPr>
            <w:r w:rsidRPr="00C7452F">
              <w:rPr>
                <w:rFonts w:ascii="Calibri" w:eastAsia="Times New Roman" w:hAnsi="Calibri"/>
                <w:w w:val="90"/>
                <w:sz w:val="20"/>
                <w:szCs w:val="20"/>
              </w:rPr>
              <w:t xml:space="preserve">Head of Program </w:t>
            </w:r>
          </w:p>
          <w:p w14:paraId="0BB5659C" w14:textId="77777777" w:rsidR="00EE1F52" w:rsidRPr="00C7452F" w:rsidRDefault="00EE1F52" w:rsidP="0002380A">
            <w:pPr>
              <w:spacing w:before="60" w:after="60" w:line="240" w:lineRule="auto"/>
              <w:rPr>
                <w:rFonts w:ascii="Calibri" w:eastAsia="Times New Roman" w:hAnsi="Calibri"/>
                <w:sz w:val="20"/>
                <w:szCs w:val="20"/>
                <w:lang w:eastAsia="en-AU"/>
              </w:rPr>
            </w:pPr>
          </w:p>
        </w:tc>
        <w:tc>
          <w:tcPr>
            <w:tcW w:w="190" w:type="pct"/>
            <w:shd w:val="clear" w:color="auto" w:fill="FFC000"/>
          </w:tcPr>
          <w:p w14:paraId="4907CD2A" w14:textId="77777777" w:rsidR="00EE1F52" w:rsidRPr="00C7452F" w:rsidRDefault="00EE1F52" w:rsidP="0002380A">
            <w:pPr>
              <w:spacing w:before="60" w:after="60" w:line="240" w:lineRule="auto"/>
              <w:rPr>
                <w:rFonts w:ascii="Calibri" w:eastAsia="Times New Roman" w:hAnsi="Calibri"/>
                <w:sz w:val="20"/>
                <w:szCs w:val="20"/>
                <w:lang w:eastAsia="en-AU"/>
              </w:rPr>
            </w:pPr>
            <w:r w:rsidRPr="00C7452F">
              <w:rPr>
                <w:rFonts w:ascii="Calibri" w:eastAsia="Times New Roman" w:hAnsi="Calibri"/>
                <w:sz w:val="20"/>
                <w:szCs w:val="20"/>
                <w:lang w:eastAsia="en-AU"/>
              </w:rPr>
              <w:t>3</w:t>
            </w:r>
          </w:p>
        </w:tc>
      </w:tr>
      <w:tr w:rsidR="00EE1F52" w:rsidRPr="00C7452F" w14:paraId="61EB5F59" w14:textId="77777777" w:rsidTr="0002380A">
        <w:tc>
          <w:tcPr>
            <w:tcW w:w="269" w:type="pct"/>
          </w:tcPr>
          <w:p w14:paraId="5643A802" w14:textId="77777777" w:rsidR="00EE1F52" w:rsidRPr="00C7452F" w:rsidRDefault="00EE1F52" w:rsidP="0002380A">
            <w:pPr>
              <w:spacing w:before="60" w:after="60" w:line="240" w:lineRule="auto"/>
              <w:rPr>
                <w:rFonts w:ascii="Calibri" w:eastAsia="Times New Roman" w:hAnsi="Calibri"/>
                <w:sz w:val="20"/>
                <w:szCs w:val="20"/>
                <w:lang w:eastAsia="en-AU"/>
              </w:rPr>
            </w:pPr>
            <w:r>
              <w:rPr>
                <w:rFonts w:ascii="Calibri" w:eastAsia="Times New Roman" w:hAnsi="Calibri"/>
                <w:sz w:val="20"/>
                <w:szCs w:val="20"/>
                <w:lang w:eastAsia="en-AU"/>
              </w:rPr>
              <w:t>1.3</w:t>
            </w:r>
          </w:p>
        </w:tc>
        <w:tc>
          <w:tcPr>
            <w:tcW w:w="604" w:type="pct"/>
          </w:tcPr>
          <w:p w14:paraId="7C914B09" w14:textId="77777777" w:rsidR="00EE1F52" w:rsidRPr="00C7452F" w:rsidRDefault="00EE1F52" w:rsidP="0002380A">
            <w:pPr>
              <w:spacing w:before="60" w:after="60" w:line="240" w:lineRule="auto"/>
              <w:rPr>
                <w:rFonts w:ascii="Calibri" w:eastAsia="Times New Roman" w:hAnsi="Calibri"/>
                <w:w w:val="90"/>
                <w:sz w:val="20"/>
                <w:szCs w:val="20"/>
              </w:rPr>
            </w:pPr>
            <w:r w:rsidRPr="00C7452F">
              <w:rPr>
                <w:rFonts w:ascii="Calibri" w:eastAsia="Times New Roman" w:hAnsi="Calibri"/>
                <w:w w:val="90"/>
                <w:sz w:val="20"/>
                <w:szCs w:val="20"/>
              </w:rPr>
              <w:t xml:space="preserve">Lack of alignment with </w:t>
            </w:r>
            <w:r>
              <w:rPr>
                <w:rFonts w:ascii="Calibri" w:eastAsia="Times New Roman" w:hAnsi="Calibri"/>
                <w:w w:val="90"/>
                <w:sz w:val="20"/>
                <w:szCs w:val="20"/>
              </w:rPr>
              <w:t>PNTL</w:t>
            </w:r>
            <w:r w:rsidRPr="00C7452F">
              <w:rPr>
                <w:rFonts w:ascii="Calibri" w:eastAsia="Times New Roman" w:hAnsi="Calibri"/>
                <w:w w:val="90"/>
                <w:sz w:val="20"/>
                <w:szCs w:val="20"/>
              </w:rPr>
              <w:t xml:space="preserve"> priorities and lack of commitment to those priorities</w:t>
            </w:r>
          </w:p>
        </w:tc>
        <w:tc>
          <w:tcPr>
            <w:tcW w:w="172" w:type="pct"/>
          </w:tcPr>
          <w:p w14:paraId="6CF89134" w14:textId="77777777" w:rsidR="00EE1F52" w:rsidRPr="00C7452F" w:rsidRDefault="00EE1F52" w:rsidP="0002380A">
            <w:pPr>
              <w:spacing w:before="60" w:after="60" w:line="240" w:lineRule="auto"/>
              <w:rPr>
                <w:rFonts w:ascii="Calibri" w:eastAsia="Times New Roman" w:hAnsi="Calibri"/>
                <w:sz w:val="20"/>
                <w:szCs w:val="20"/>
                <w:lang w:eastAsia="en-AU"/>
              </w:rPr>
            </w:pPr>
            <w:r w:rsidRPr="00C7452F">
              <w:rPr>
                <w:rFonts w:ascii="Calibri" w:eastAsia="Times New Roman" w:hAnsi="Calibri"/>
                <w:sz w:val="20"/>
                <w:szCs w:val="20"/>
                <w:lang w:eastAsia="en-AU"/>
              </w:rPr>
              <w:t>3</w:t>
            </w:r>
          </w:p>
        </w:tc>
        <w:tc>
          <w:tcPr>
            <w:tcW w:w="129" w:type="pct"/>
          </w:tcPr>
          <w:p w14:paraId="16E7582D" w14:textId="77777777" w:rsidR="00EE1F52" w:rsidRPr="00C7452F" w:rsidRDefault="00EE1F52" w:rsidP="0002380A">
            <w:pPr>
              <w:spacing w:before="60" w:after="60" w:line="240" w:lineRule="auto"/>
              <w:rPr>
                <w:rFonts w:ascii="Calibri" w:eastAsia="Times New Roman" w:hAnsi="Calibri"/>
                <w:sz w:val="20"/>
                <w:szCs w:val="20"/>
                <w:lang w:eastAsia="en-AU"/>
              </w:rPr>
            </w:pPr>
            <w:r w:rsidRPr="00C7452F">
              <w:rPr>
                <w:rFonts w:ascii="Calibri" w:eastAsia="Times New Roman" w:hAnsi="Calibri"/>
                <w:sz w:val="20"/>
                <w:szCs w:val="20"/>
                <w:lang w:eastAsia="en-AU"/>
              </w:rPr>
              <w:t>3</w:t>
            </w:r>
          </w:p>
        </w:tc>
        <w:tc>
          <w:tcPr>
            <w:tcW w:w="174" w:type="pct"/>
            <w:shd w:val="clear" w:color="auto" w:fill="FFC000"/>
          </w:tcPr>
          <w:p w14:paraId="442E798F" w14:textId="77777777" w:rsidR="00EE1F52" w:rsidRPr="00C7452F" w:rsidRDefault="00EE1F52" w:rsidP="0002380A">
            <w:pPr>
              <w:spacing w:before="60" w:after="60" w:line="240" w:lineRule="auto"/>
              <w:rPr>
                <w:rFonts w:ascii="Calibri" w:eastAsia="Times New Roman" w:hAnsi="Calibri"/>
                <w:sz w:val="20"/>
                <w:szCs w:val="20"/>
                <w:lang w:eastAsia="en-AU"/>
              </w:rPr>
            </w:pPr>
            <w:r w:rsidRPr="00C7452F">
              <w:rPr>
                <w:rFonts w:ascii="Calibri" w:eastAsia="Times New Roman" w:hAnsi="Calibri"/>
                <w:sz w:val="20"/>
                <w:szCs w:val="20"/>
                <w:lang w:eastAsia="en-AU"/>
              </w:rPr>
              <w:t>3</w:t>
            </w:r>
          </w:p>
        </w:tc>
        <w:tc>
          <w:tcPr>
            <w:tcW w:w="1176" w:type="pct"/>
          </w:tcPr>
          <w:p w14:paraId="45FA3A2A" w14:textId="77777777" w:rsidR="00EE1F52" w:rsidRPr="00C7452F" w:rsidRDefault="00EE1F52" w:rsidP="0002380A">
            <w:pPr>
              <w:spacing w:before="60" w:after="60" w:line="240" w:lineRule="auto"/>
              <w:rPr>
                <w:rFonts w:ascii="Calibri" w:eastAsia="Times New Roman" w:hAnsi="Calibri"/>
                <w:w w:val="90"/>
                <w:sz w:val="20"/>
                <w:szCs w:val="20"/>
              </w:rPr>
            </w:pPr>
            <w:r w:rsidRPr="00C7452F">
              <w:rPr>
                <w:rFonts w:ascii="Calibri" w:eastAsia="Times New Roman" w:hAnsi="Calibri"/>
                <w:w w:val="90"/>
                <w:sz w:val="20"/>
                <w:szCs w:val="20"/>
              </w:rPr>
              <w:t xml:space="preserve">Limited buy-in from </w:t>
            </w:r>
            <w:r>
              <w:rPr>
                <w:rFonts w:ascii="Calibri" w:eastAsia="Times New Roman" w:hAnsi="Calibri"/>
                <w:w w:val="90"/>
                <w:sz w:val="20"/>
                <w:szCs w:val="20"/>
              </w:rPr>
              <w:t>PNTL</w:t>
            </w:r>
          </w:p>
          <w:p w14:paraId="2B964795" w14:textId="77777777" w:rsidR="00EE1F52" w:rsidRPr="00C7452F" w:rsidRDefault="00EE1F52" w:rsidP="0002380A">
            <w:pPr>
              <w:spacing w:before="60" w:after="60" w:line="240" w:lineRule="auto"/>
              <w:rPr>
                <w:rFonts w:ascii="Calibri" w:eastAsia="Times New Roman" w:hAnsi="Calibri"/>
                <w:w w:val="90"/>
                <w:sz w:val="20"/>
                <w:szCs w:val="20"/>
              </w:rPr>
            </w:pPr>
            <w:r w:rsidRPr="00C7452F">
              <w:rPr>
                <w:rFonts w:ascii="Calibri" w:eastAsia="Times New Roman" w:hAnsi="Calibri"/>
                <w:w w:val="90"/>
                <w:sz w:val="20"/>
                <w:szCs w:val="20"/>
              </w:rPr>
              <w:t>Undermines the ability of the Program to achieve its objectives</w:t>
            </w:r>
          </w:p>
        </w:tc>
        <w:tc>
          <w:tcPr>
            <w:tcW w:w="2000" w:type="pct"/>
          </w:tcPr>
          <w:p w14:paraId="3F44EF4D" w14:textId="77777777" w:rsidR="00EE1F52" w:rsidRPr="00C7452F" w:rsidRDefault="00EE1F52" w:rsidP="0002380A">
            <w:pPr>
              <w:spacing w:before="60" w:after="60" w:line="240" w:lineRule="auto"/>
              <w:rPr>
                <w:rFonts w:ascii="Calibri" w:eastAsia="Times New Roman" w:hAnsi="Calibri"/>
                <w:w w:val="90"/>
                <w:sz w:val="20"/>
                <w:szCs w:val="20"/>
              </w:rPr>
            </w:pPr>
            <w:r w:rsidRPr="00C7452F">
              <w:rPr>
                <w:rFonts w:ascii="Calibri" w:eastAsia="Times New Roman" w:hAnsi="Calibri"/>
                <w:w w:val="90"/>
                <w:sz w:val="20"/>
                <w:szCs w:val="20"/>
              </w:rPr>
              <w:t xml:space="preserve">Alignment with </w:t>
            </w:r>
            <w:r>
              <w:rPr>
                <w:rFonts w:ascii="Calibri" w:eastAsia="Times New Roman" w:hAnsi="Calibri"/>
                <w:w w:val="90"/>
                <w:sz w:val="20"/>
                <w:szCs w:val="20"/>
              </w:rPr>
              <w:t>PNTL priorities</w:t>
            </w:r>
          </w:p>
          <w:p w14:paraId="529D4473" w14:textId="77777777" w:rsidR="00EE1F52" w:rsidRPr="00C7452F" w:rsidRDefault="00EE1F52" w:rsidP="0002380A">
            <w:pPr>
              <w:spacing w:before="60" w:after="60" w:line="240" w:lineRule="auto"/>
              <w:rPr>
                <w:rFonts w:ascii="Calibri" w:eastAsia="Times New Roman" w:hAnsi="Calibri"/>
                <w:w w:val="90"/>
                <w:sz w:val="20"/>
                <w:szCs w:val="20"/>
              </w:rPr>
            </w:pPr>
            <w:r>
              <w:rPr>
                <w:rFonts w:ascii="Calibri" w:eastAsia="Times New Roman" w:hAnsi="Calibri"/>
                <w:w w:val="90"/>
                <w:sz w:val="20"/>
                <w:szCs w:val="20"/>
              </w:rPr>
              <w:t>Program Coordination Board</w:t>
            </w:r>
          </w:p>
          <w:p w14:paraId="7657C3B2" w14:textId="77777777" w:rsidR="00EE1F52" w:rsidRPr="00C7452F" w:rsidRDefault="00EE1F52" w:rsidP="0002380A">
            <w:pPr>
              <w:spacing w:before="60" w:after="60" w:line="240" w:lineRule="auto"/>
              <w:rPr>
                <w:rFonts w:ascii="Calibri" w:eastAsia="Times New Roman" w:hAnsi="Calibri"/>
                <w:w w:val="90"/>
                <w:sz w:val="20"/>
                <w:szCs w:val="20"/>
              </w:rPr>
            </w:pPr>
            <w:r w:rsidRPr="00C7452F">
              <w:rPr>
                <w:rFonts w:ascii="Calibri" w:eastAsia="Times New Roman" w:hAnsi="Calibri"/>
                <w:w w:val="90"/>
                <w:sz w:val="20"/>
                <w:szCs w:val="20"/>
              </w:rPr>
              <w:t xml:space="preserve">Annual work plans agreed with </w:t>
            </w:r>
            <w:r>
              <w:rPr>
                <w:rFonts w:ascii="Calibri" w:eastAsia="Times New Roman" w:hAnsi="Calibri"/>
                <w:w w:val="90"/>
                <w:sz w:val="20"/>
                <w:szCs w:val="20"/>
              </w:rPr>
              <w:t>PNTL</w:t>
            </w:r>
          </w:p>
          <w:p w14:paraId="1FFB6E4A" w14:textId="77777777" w:rsidR="00EE1F52" w:rsidRPr="00C7452F" w:rsidRDefault="00EE1F52" w:rsidP="0002380A">
            <w:pPr>
              <w:spacing w:before="60" w:after="60" w:line="240" w:lineRule="auto"/>
              <w:rPr>
                <w:rFonts w:ascii="Calibri" w:eastAsia="Times New Roman" w:hAnsi="Calibri"/>
                <w:w w:val="90"/>
                <w:sz w:val="20"/>
                <w:szCs w:val="20"/>
              </w:rPr>
            </w:pPr>
            <w:r w:rsidRPr="00C7452F">
              <w:rPr>
                <w:rFonts w:ascii="Calibri" w:eastAsia="Times New Roman" w:hAnsi="Calibri"/>
                <w:w w:val="90"/>
                <w:sz w:val="20"/>
                <w:szCs w:val="20"/>
              </w:rPr>
              <w:t>Avoid unrealistically ambitious reform agendas</w:t>
            </w:r>
          </w:p>
          <w:p w14:paraId="0BC2D2A5" w14:textId="77777777" w:rsidR="00EE1F52" w:rsidRPr="00C7452F" w:rsidRDefault="00EE1F52" w:rsidP="0002380A">
            <w:pPr>
              <w:spacing w:before="60" w:after="60" w:line="240" w:lineRule="auto"/>
              <w:rPr>
                <w:rFonts w:ascii="Calibri" w:eastAsia="Times New Roman" w:hAnsi="Calibri"/>
                <w:w w:val="90"/>
                <w:sz w:val="20"/>
                <w:szCs w:val="20"/>
              </w:rPr>
            </w:pPr>
            <w:r w:rsidRPr="00C7452F">
              <w:rPr>
                <w:rFonts w:ascii="Calibri" w:eastAsia="Times New Roman" w:hAnsi="Calibri"/>
                <w:w w:val="90"/>
                <w:sz w:val="20"/>
                <w:szCs w:val="20"/>
              </w:rPr>
              <w:t>Build flexibility into Program and Program budget</w:t>
            </w:r>
          </w:p>
          <w:p w14:paraId="4C17BB8A" w14:textId="77777777" w:rsidR="00EE1F52" w:rsidRPr="00C7452F" w:rsidRDefault="00EE1F52" w:rsidP="0002380A">
            <w:pPr>
              <w:spacing w:before="60" w:after="60" w:line="240" w:lineRule="auto"/>
              <w:rPr>
                <w:rFonts w:ascii="Calibri" w:eastAsia="Times New Roman" w:hAnsi="Calibri"/>
                <w:w w:val="90"/>
                <w:sz w:val="20"/>
                <w:szCs w:val="20"/>
              </w:rPr>
            </w:pPr>
            <w:r w:rsidRPr="00C7452F">
              <w:rPr>
                <w:rFonts w:ascii="Calibri" w:eastAsia="Times New Roman" w:hAnsi="Calibri"/>
                <w:w w:val="90"/>
                <w:sz w:val="20"/>
                <w:szCs w:val="20"/>
              </w:rPr>
              <w:t xml:space="preserve">Continual political economy analysis informing discussion with </w:t>
            </w:r>
            <w:r>
              <w:rPr>
                <w:rFonts w:ascii="Calibri" w:eastAsia="Times New Roman" w:hAnsi="Calibri"/>
                <w:w w:val="90"/>
                <w:sz w:val="20"/>
                <w:szCs w:val="20"/>
              </w:rPr>
              <w:t>PNTL</w:t>
            </w:r>
          </w:p>
        </w:tc>
        <w:tc>
          <w:tcPr>
            <w:tcW w:w="286" w:type="pct"/>
          </w:tcPr>
          <w:p w14:paraId="45826E6E" w14:textId="77777777" w:rsidR="00EE1F52" w:rsidRPr="00C7452F" w:rsidRDefault="00EE1F52" w:rsidP="0002380A">
            <w:pPr>
              <w:spacing w:before="60" w:after="60" w:line="240" w:lineRule="auto"/>
              <w:rPr>
                <w:rFonts w:ascii="Calibri" w:eastAsia="Times New Roman" w:hAnsi="Calibri"/>
                <w:w w:val="90"/>
                <w:sz w:val="20"/>
                <w:szCs w:val="20"/>
              </w:rPr>
            </w:pPr>
            <w:r w:rsidRPr="00C7452F">
              <w:rPr>
                <w:rFonts w:ascii="Calibri" w:eastAsia="Times New Roman" w:hAnsi="Calibri"/>
                <w:w w:val="90"/>
                <w:sz w:val="20"/>
                <w:szCs w:val="20"/>
              </w:rPr>
              <w:t xml:space="preserve">Head of Program </w:t>
            </w:r>
          </w:p>
          <w:p w14:paraId="37D34EDF" w14:textId="77777777" w:rsidR="00EE1F52" w:rsidRPr="00C7452F" w:rsidRDefault="00EE1F52" w:rsidP="0002380A">
            <w:pPr>
              <w:spacing w:before="60" w:after="60" w:line="240" w:lineRule="auto"/>
              <w:rPr>
                <w:rFonts w:ascii="Calibri" w:eastAsia="Times New Roman" w:hAnsi="Calibri"/>
                <w:sz w:val="20"/>
                <w:szCs w:val="20"/>
                <w:lang w:eastAsia="en-AU"/>
              </w:rPr>
            </w:pPr>
          </w:p>
        </w:tc>
        <w:tc>
          <w:tcPr>
            <w:tcW w:w="190" w:type="pct"/>
            <w:shd w:val="clear" w:color="auto" w:fill="FFFF00"/>
          </w:tcPr>
          <w:p w14:paraId="4085A3D8" w14:textId="77777777" w:rsidR="00EE1F52" w:rsidRPr="00C7452F" w:rsidRDefault="00EE1F52" w:rsidP="0002380A">
            <w:pPr>
              <w:spacing w:before="60" w:after="60" w:line="240" w:lineRule="auto"/>
              <w:rPr>
                <w:rFonts w:ascii="Calibri" w:eastAsia="Times New Roman" w:hAnsi="Calibri"/>
                <w:color w:val="FFFF00"/>
                <w:sz w:val="20"/>
                <w:szCs w:val="20"/>
                <w:lang w:eastAsia="en-AU"/>
              </w:rPr>
            </w:pPr>
            <w:r w:rsidRPr="00C7452F">
              <w:rPr>
                <w:rFonts w:ascii="Calibri" w:eastAsia="Times New Roman" w:hAnsi="Calibri"/>
                <w:sz w:val="20"/>
                <w:szCs w:val="20"/>
                <w:lang w:eastAsia="en-AU"/>
              </w:rPr>
              <w:t>2</w:t>
            </w:r>
          </w:p>
        </w:tc>
      </w:tr>
      <w:tr w:rsidR="00017EAE" w:rsidRPr="00C7452F" w14:paraId="015953E6" w14:textId="77777777" w:rsidTr="00017EAE">
        <w:tc>
          <w:tcPr>
            <w:tcW w:w="269" w:type="pct"/>
            <w:shd w:val="clear" w:color="auto" w:fill="8DB3E2" w:themeFill="text2" w:themeFillTint="66"/>
          </w:tcPr>
          <w:p w14:paraId="14610BF3" w14:textId="5AF459E6" w:rsidR="00017EAE" w:rsidRPr="00C7452F" w:rsidRDefault="00017EAE" w:rsidP="0002380A">
            <w:pPr>
              <w:spacing w:before="60" w:after="60" w:line="240" w:lineRule="auto"/>
              <w:rPr>
                <w:rFonts w:ascii="Calibri" w:eastAsia="Times New Roman" w:hAnsi="Calibri"/>
                <w:sz w:val="20"/>
                <w:szCs w:val="20"/>
                <w:lang w:eastAsia="en-AU"/>
              </w:rPr>
            </w:pPr>
            <w:r>
              <w:rPr>
                <w:rFonts w:ascii="Calibri" w:eastAsia="Times New Roman" w:hAnsi="Calibri"/>
                <w:sz w:val="20"/>
                <w:szCs w:val="20"/>
                <w:lang w:eastAsia="en-AU"/>
              </w:rPr>
              <w:t>2</w:t>
            </w:r>
          </w:p>
        </w:tc>
        <w:tc>
          <w:tcPr>
            <w:tcW w:w="604" w:type="pct"/>
            <w:shd w:val="clear" w:color="auto" w:fill="8DB3E2" w:themeFill="text2" w:themeFillTint="66"/>
          </w:tcPr>
          <w:p w14:paraId="6A14352D" w14:textId="55A5C755" w:rsidR="00017EAE" w:rsidRPr="00C7452F" w:rsidRDefault="00017EAE" w:rsidP="0002380A">
            <w:pPr>
              <w:spacing w:before="60" w:after="60" w:line="240" w:lineRule="auto"/>
              <w:rPr>
                <w:rFonts w:ascii="Calibri" w:eastAsia="Times New Roman" w:hAnsi="Calibri"/>
                <w:w w:val="90"/>
                <w:sz w:val="20"/>
                <w:szCs w:val="20"/>
              </w:rPr>
            </w:pPr>
            <w:r w:rsidRPr="00C7452F">
              <w:rPr>
                <w:rFonts w:ascii="Calibri" w:eastAsia="Times New Roman" w:hAnsi="Calibri"/>
                <w:w w:val="90"/>
                <w:sz w:val="20"/>
                <w:szCs w:val="20"/>
              </w:rPr>
              <w:t>Program Risks</w:t>
            </w:r>
          </w:p>
        </w:tc>
        <w:tc>
          <w:tcPr>
            <w:tcW w:w="172" w:type="pct"/>
            <w:shd w:val="clear" w:color="auto" w:fill="8DB3E2" w:themeFill="text2" w:themeFillTint="66"/>
          </w:tcPr>
          <w:p w14:paraId="2448FFA0" w14:textId="77777777" w:rsidR="00017EAE" w:rsidRPr="00C7452F" w:rsidRDefault="00017EAE" w:rsidP="0002380A">
            <w:pPr>
              <w:spacing w:before="60" w:after="60" w:line="240" w:lineRule="auto"/>
              <w:rPr>
                <w:rFonts w:ascii="Calibri" w:eastAsia="Times New Roman" w:hAnsi="Calibri"/>
                <w:sz w:val="20"/>
                <w:szCs w:val="20"/>
                <w:lang w:eastAsia="en-AU"/>
              </w:rPr>
            </w:pPr>
          </w:p>
        </w:tc>
        <w:tc>
          <w:tcPr>
            <w:tcW w:w="129" w:type="pct"/>
            <w:shd w:val="clear" w:color="auto" w:fill="8DB3E2" w:themeFill="text2" w:themeFillTint="66"/>
          </w:tcPr>
          <w:p w14:paraId="1F8375C4" w14:textId="77777777" w:rsidR="00017EAE" w:rsidRPr="00C7452F" w:rsidRDefault="00017EAE" w:rsidP="0002380A">
            <w:pPr>
              <w:spacing w:before="60" w:after="60" w:line="240" w:lineRule="auto"/>
              <w:rPr>
                <w:rFonts w:ascii="Calibri" w:eastAsia="Times New Roman" w:hAnsi="Calibri"/>
                <w:sz w:val="20"/>
                <w:szCs w:val="20"/>
                <w:lang w:eastAsia="en-AU"/>
              </w:rPr>
            </w:pPr>
          </w:p>
        </w:tc>
        <w:tc>
          <w:tcPr>
            <w:tcW w:w="174" w:type="pct"/>
            <w:shd w:val="clear" w:color="auto" w:fill="8DB3E2" w:themeFill="text2" w:themeFillTint="66"/>
          </w:tcPr>
          <w:p w14:paraId="1149B57A" w14:textId="77777777" w:rsidR="00017EAE" w:rsidRPr="00C7452F" w:rsidRDefault="00017EAE" w:rsidP="0002380A">
            <w:pPr>
              <w:spacing w:before="60" w:after="60" w:line="240" w:lineRule="auto"/>
              <w:rPr>
                <w:rFonts w:ascii="Calibri" w:eastAsia="Times New Roman" w:hAnsi="Calibri"/>
                <w:sz w:val="20"/>
                <w:szCs w:val="20"/>
                <w:lang w:eastAsia="en-AU"/>
              </w:rPr>
            </w:pPr>
          </w:p>
        </w:tc>
        <w:tc>
          <w:tcPr>
            <w:tcW w:w="1176" w:type="pct"/>
            <w:shd w:val="clear" w:color="auto" w:fill="8DB3E2" w:themeFill="text2" w:themeFillTint="66"/>
          </w:tcPr>
          <w:p w14:paraId="53C3B18E" w14:textId="77777777" w:rsidR="00017EAE" w:rsidRPr="00C7452F" w:rsidRDefault="00017EAE" w:rsidP="0002380A">
            <w:pPr>
              <w:spacing w:before="60" w:after="60" w:line="240" w:lineRule="auto"/>
              <w:rPr>
                <w:rFonts w:ascii="Calibri" w:eastAsia="Times New Roman" w:hAnsi="Calibri"/>
                <w:w w:val="90"/>
                <w:sz w:val="20"/>
                <w:szCs w:val="20"/>
              </w:rPr>
            </w:pPr>
          </w:p>
        </w:tc>
        <w:tc>
          <w:tcPr>
            <w:tcW w:w="2000" w:type="pct"/>
            <w:shd w:val="clear" w:color="auto" w:fill="8DB3E2" w:themeFill="text2" w:themeFillTint="66"/>
          </w:tcPr>
          <w:p w14:paraId="157F832F" w14:textId="77777777" w:rsidR="00017EAE" w:rsidRPr="00C7452F" w:rsidRDefault="00017EAE" w:rsidP="0002380A">
            <w:pPr>
              <w:spacing w:before="60" w:after="60" w:line="240" w:lineRule="auto"/>
              <w:rPr>
                <w:rFonts w:ascii="Calibri" w:eastAsia="Times New Roman" w:hAnsi="Calibri"/>
                <w:w w:val="90"/>
                <w:sz w:val="20"/>
                <w:szCs w:val="20"/>
              </w:rPr>
            </w:pPr>
          </w:p>
        </w:tc>
        <w:tc>
          <w:tcPr>
            <w:tcW w:w="286" w:type="pct"/>
            <w:shd w:val="clear" w:color="auto" w:fill="8DB3E2" w:themeFill="text2" w:themeFillTint="66"/>
          </w:tcPr>
          <w:p w14:paraId="57D85972" w14:textId="77777777" w:rsidR="00017EAE" w:rsidRPr="00C7452F" w:rsidRDefault="00017EAE" w:rsidP="0002380A">
            <w:pPr>
              <w:spacing w:before="60" w:after="60" w:line="240" w:lineRule="auto"/>
              <w:rPr>
                <w:rFonts w:ascii="Calibri" w:eastAsia="Times New Roman" w:hAnsi="Calibri"/>
                <w:w w:val="90"/>
                <w:sz w:val="20"/>
                <w:szCs w:val="20"/>
              </w:rPr>
            </w:pPr>
          </w:p>
        </w:tc>
        <w:tc>
          <w:tcPr>
            <w:tcW w:w="190" w:type="pct"/>
            <w:shd w:val="clear" w:color="auto" w:fill="8DB3E2" w:themeFill="text2" w:themeFillTint="66"/>
          </w:tcPr>
          <w:p w14:paraId="21EC4D2C" w14:textId="77777777" w:rsidR="00017EAE" w:rsidRPr="00C7452F" w:rsidRDefault="00017EAE" w:rsidP="0002380A">
            <w:pPr>
              <w:spacing w:before="60" w:after="60" w:line="240" w:lineRule="auto"/>
              <w:rPr>
                <w:rFonts w:ascii="Calibri" w:eastAsia="Times New Roman" w:hAnsi="Calibri"/>
                <w:sz w:val="20"/>
                <w:szCs w:val="20"/>
                <w:lang w:eastAsia="en-AU"/>
              </w:rPr>
            </w:pPr>
          </w:p>
        </w:tc>
      </w:tr>
      <w:tr w:rsidR="00EE1F52" w:rsidRPr="00C7452F" w14:paraId="7133132D" w14:textId="77777777" w:rsidTr="0002380A">
        <w:tc>
          <w:tcPr>
            <w:tcW w:w="269" w:type="pct"/>
          </w:tcPr>
          <w:p w14:paraId="40DFC599" w14:textId="77777777" w:rsidR="00EE1F52" w:rsidRPr="00C7452F" w:rsidRDefault="00EE1F52" w:rsidP="0002380A">
            <w:pPr>
              <w:spacing w:before="60" w:after="60" w:line="240" w:lineRule="auto"/>
              <w:rPr>
                <w:rFonts w:ascii="Calibri" w:eastAsia="Times New Roman" w:hAnsi="Calibri"/>
                <w:sz w:val="20"/>
                <w:szCs w:val="20"/>
                <w:lang w:eastAsia="en-AU"/>
              </w:rPr>
            </w:pPr>
            <w:r w:rsidRPr="00C7452F">
              <w:rPr>
                <w:rFonts w:ascii="Calibri" w:eastAsia="Times New Roman" w:hAnsi="Calibri"/>
                <w:sz w:val="20"/>
                <w:szCs w:val="20"/>
                <w:lang w:eastAsia="en-AU"/>
              </w:rPr>
              <w:t>2.1</w:t>
            </w:r>
          </w:p>
        </w:tc>
        <w:tc>
          <w:tcPr>
            <w:tcW w:w="604" w:type="pct"/>
          </w:tcPr>
          <w:p w14:paraId="63AC5A11" w14:textId="77777777" w:rsidR="00EE1F52" w:rsidRPr="00C7452F" w:rsidRDefault="00EE1F52" w:rsidP="0002380A">
            <w:pPr>
              <w:spacing w:before="60" w:after="60" w:line="240" w:lineRule="auto"/>
              <w:rPr>
                <w:rFonts w:ascii="Calibri" w:eastAsia="Times New Roman" w:hAnsi="Calibri"/>
                <w:w w:val="90"/>
                <w:sz w:val="20"/>
                <w:szCs w:val="20"/>
              </w:rPr>
            </w:pPr>
            <w:r w:rsidRPr="00C7452F">
              <w:rPr>
                <w:rFonts w:ascii="Calibri" w:eastAsia="Times New Roman" w:hAnsi="Calibri"/>
                <w:w w:val="90"/>
                <w:sz w:val="20"/>
                <w:szCs w:val="20"/>
              </w:rPr>
              <w:t>Program fail</w:t>
            </w:r>
            <w:r>
              <w:rPr>
                <w:rFonts w:ascii="Calibri" w:eastAsia="Times New Roman" w:hAnsi="Calibri"/>
                <w:w w:val="90"/>
                <w:sz w:val="20"/>
                <w:szCs w:val="20"/>
              </w:rPr>
              <w:t>s to deliver expected outcomes</w:t>
            </w:r>
          </w:p>
        </w:tc>
        <w:tc>
          <w:tcPr>
            <w:tcW w:w="172" w:type="pct"/>
          </w:tcPr>
          <w:p w14:paraId="6608360F" w14:textId="77777777" w:rsidR="00EE1F52" w:rsidRPr="00C7452F" w:rsidRDefault="00EE1F52" w:rsidP="0002380A">
            <w:pPr>
              <w:spacing w:before="60" w:after="60" w:line="240" w:lineRule="auto"/>
              <w:rPr>
                <w:rFonts w:ascii="Calibri" w:eastAsia="Times New Roman" w:hAnsi="Calibri"/>
                <w:sz w:val="20"/>
                <w:szCs w:val="20"/>
                <w:lang w:eastAsia="en-AU"/>
              </w:rPr>
            </w:pPr>
            <w:r w:rsidRPr="00C7452F">
              <w:rPr>
                <w:rFonts w:ascii="Calibri" w:eastAsia="Times New Roman" w:hAnsi="Calibri"/>
                <w:sz w:val="20"/>
                <w:szCs w:val="20"/>
                <w:lang w:eastAsia="en-AU"/>
              </w:rPr>
              <w:t>3</w:t>
            </w:r>
          </w:p>
        </w:tc>
        <w:tc>
          <w:tcPr>
            <w:tcW w:w="129" w:type="pct"/>
          </w:tcPr>
          <w:p w14:paraId="640ECF43" w14:textId="77777777" w:rsidR="00EE1F52" w:rsidRPr="00C7452F" w:rsidRDefault="00EE1F52" w:rsidP="0002380A">
            <w:pPr>
              <w:spacing w:before="60" w:after="60" w:line="240" w:lineRule="auto"/>
              <w:rPr>
                <w:rFonts w:ascii="Calibri" w:eastAsia="Times New Roman" w:hAnsi="Calibri"/>
                <w:sz w:val="20"/>
                <w:szCs w:val="20"/>
                <w:lang w:eastAsia="en-AU"/>
              </w:rPr>
            </w:pPr>
            <w:r w:rsidRPr="00C7452F">
              <w:rPr>
                <w:rFonts w:ascii="Calibri" w:eastAsia="Times New Roman" w:hAnsi="Calibri"/>
                <w:sz w:val="20"/>
                <w:szCs w:val="20"/>
                <w:lang w:eastAsia="en-AU"/>
              </w:rPr>
              <w:t>5</w:t>
            </w:r>
          </w:p>
        </w:tc>
        <w:tc>
          <w:tcPr>
            <w:tcW w:w="174" w:type="pct"/>
            <w:shd w:val="clear" w:color="auto" w:fill="FFC000"/>
          </w:tcPr>
          <w:p w14:paraId="27323A2C" w14:textId="77777777" w:rsidR="00EE1F52" w:rsidRPr="00C7452F" w:rsidRDefault="00EE1F52" w:rsidP="0002380A">
            <w:pPr>
              <w:spacing w:before="60" w:after="60" w:line="240" w:lineRule="auto"/>
              <w:rPr>
                <w:rFonts w:ascii="Calibri" w:eastAsia="Times New Roman" w:hAnsi="Calibri"/>
                <w:sz w:val="20"/>
                <w:szCs w:val="20"/>
                <w:lang w:eastAsia="en-AU"/>
              </w:rPr>
            </w:pPr>
            <w:r w:rsidRPr="00C7452F">
              <w:rPr>
                <w:rFonts w:ascii="Calibri" w:eastAsia="Times New Roman" w:hAnsi="Calibri"/>
                <w:sz w:val="20"/>
                <w:szCs w:val="20"/>
                <w:lang w:eastAsia="en-AU"/>
              </w:rPr>
              <w:t>3</w:t>
            </w:r>
          </w:p>
        </w:tc>
        <w:tc>
          <w:tcPr>
            <w:tcW w:w="1176" w:type="pct"/>
          </w:tcPr>
          <w:p w14:paraId="4CEE74FD" w14:textId="77777777" w:rsidR="00EE1F52" w:rsidRPr="00C7452F" w:rsidRDefault="00EE1F52" w:rsidP="0002380A">
            <w:pPr>
              <w:spacing w:before="60" w:after="60" w:line="240" w:lineRule="auto"/>
              <w:rPr>
                <w:rFonts w:ascii="Calibri" w:eastAsia="Times New Roman" w:hAnsi="Calibri"/>
                <w:w w:val="90"/>
                <w:sz w:val="20"/>
                <w:szCs w:val="20"/>
              </w:rPr>
            </w:pPr>
            <w:r w:rsidRPr="00C7452F">
              <w:rPr>
                <w:rFonts w:ascii="Calibri" w:eastAsia="Times New Roman" w:hAnsi="Calibri"/>
                <w:w w:val="90"/>
                <w:sz w:val="20"/>
                <w:szCs w:val="20"/>
              </w:rPr>
              <w:t xml:space="preserve">Program does not meet expectations and does not create change </w:t>
            </w:r>
          </w:p>
        </w:tc>
        <w:tc>
          <w:tcPr>
            <w:tcW w:w="2000" w:type="pct"/>
          </w:tcPr>
          <w:p w14:paraId="730AE0EE" w14:textId="77777777" w:rsidR="00EE1F52" w:rsidRPr="00C7452F" w:rsidRDefault="00EE1F52" w:rsidP="0002380A">
            <w:pPr>
              <w:spacing w:before="60" w:after="60" w:line="240" w:lineRule="auto"/>
              <w:rPr>
                <w:rFonts w:ascii="Calibri" w:eastAsia="Times New Roman" w:hAnsi="Calibri"/>
                <w:w w:val="90"/>
                <w:sz w:val="20"/>
                <w:szCs w:val="20"/>
              </w:rPr>
            </w:pPr>
            <w:r w:rsidRPr="00C7452F">
              <w:rPr>
                <w:rFonts w:ascii="Calibri" w:eastAsia="Times New Roman" w:hAnsi="Calibri"/>
                <w:w w:val="90"/>
                <w:sz w:val="20"/>
                <w:szCs w:val="20"/>
              </w:rPr>
              <w:t>Robust MEL framework, ensuring personnel are aware what is working and what needs changing</w:t>
            </w:r>
          </w:p>
          <w:p w14:paraId="0363EE32" w14:textId="77777777" w:rsidR="00EE1F52" w:rsidRPr="00C7452F" w:rsidRDefault="00EE1F52" w:rsidP="0002380A">
            <w:pPr>
              <w:spacing w:before="60" w:after="60" w:line="240" w:lineRule="auto"/>
              <w:rPr>
                <w:rFonts w:ascii="Calibri" w:eastAsia="Times New Roman" w:hAnsi="Calibri"/>
                <w:w w:val="90"/>
                <w:sz w:val="20"/>
                <w:szCs w:val="20"/>
              </w:rPr>
            </w:pPr>
            <w:r>
              <w:rPr>
                <w:rFonts w:ascii="Calibri" w:eastAsia="Times New Roman" w:hAnsi="Calibri"/>
                <w:w w:val="90"/>
                <w:sz w:val="20"/>
                <w:szCs w:val="20"/>
              </w:rPr>
              <w:t>A</w:t>
            </w:r>
            <w:r w:rsidRPr="00C7452F">
              <w:rPr>
                <w:rFonts w:ascii="Calibri" w:eastAsia="Times New Roman" w:hAnsi="Calibri"/>
                <w:w w:val="90"/>
                <w:sz w:val="20"/>
                <w:szCs w:val="20"/>
              </w:rPr>
              <w:t>ctively manage regular Program oversight mechanisms</w:t>
            </w:r>
            <w:r>
              <w:rPr>
                <w:rFonts w:ascii="Calibri" w:eastAsia="Times New Roman" w:hAnsi="Calibri"/>
                <w:w w:val="90"/>
                <w:sz w:val="20"/>
                <w:szCs w:val="20"/>
              </w:rPr>
              <w:t xml:space="preserve"> such as PCB particularly for monitoring</w:t>
            </w:r>
          </w:p>
          <w:p w14:paraId="2BB59EA6" w14:textId="77777777" w:rsidR="00EE1F52" w:rsidRPr="00C7452F" w:rsidRDefault="00EE1F52" w:rsidP="0002380A">
            <w:pPr>
              <w:spacing w:before="60" w:after="60" w:line="240" w:lineRule="auto"/>
              <w:rPr>
                <w:rFonts w:ascii="Calibri" w:eastAsia="Times New Roman" w:hAnsi="Calibri"/>
                <w:w w:val="90"/>
                <w:sz w:val="20"/>
                <w:szCs w:val="20"/>
              </w:rPr>
            </w:pPr>
            <w:r w:rsidRPr="00C7452F">
              <w:rPr>
                <w:rFonts w:ascii="Calibri" w:eastAsia="Times New Roman" w:hAnsi="Calibri"/>
                <w:w w:val="90"/>
                <w:sz w:val="20"/>
                <w:szCs w:val="20"/>
              </w:rPr>
              <w:t xml:space="preserve">Strong dialogue with </w:t>
            </w:r>
            <w:r>
              <w:rPr>
                <w:rFonts w:ascii="Calibri" w:eastAsia="Times New Roman" w:hAnsi="Calibri"/>
                <w:w w:val="90"/>
                <w:sz w:val="20"/>
                <w:szCs w:val="20"/>
              </w:rPr>
              <w:t>PNTL</w:t>
            </w:r>
          </w:p>
        </w:tc>
        <w:tc>
          <w:tcPr>
            <w:tcW w:w="286" w:type="pct"/>
          </w:tcPr>
          <w:p w14:paraId="71941FC4" w14:textId="77777777" w:rsidR="00EE1F52" w:rsidRPr="00C7452F" w:rsidRDefault="00EE1F52" w:rsidP="0002380A">
            <w:pPr>
              <w:spacing w:before="60" w:after="60" w:line="240" w:lineRule="auto"/>
              <w:rPr>
                <w:rFonts w:ascii="Calibri" w:eastAsia="Times New Roman" w:hAnsi="Calibri"/>
                <w:w w:val="90"/>
                <w:sz w:val="20"/>
                <w:szCs w:val="20"/>
              </w:rPr>
            </w:pPr>
            <w:r w:rsidRPr="00C7452F">
              <w:rPr>
                <w:rFonts w:ascii="Calibri" w:eastAsia="Times New Roman" w:hAnsi="Calibri"/>
                <w:w w:val="90"/>
                <w:sz w:val="20"/>
                <w:szCs w:val="20"/>
              </w:rPr>
              <w:t xml:space="preserve">Head of Program </w:t>
            </w:r>
          </w:p>
          <w:p w14:paraId="5A939DC2" w14:textId="77777777" w:rsidR="00EE1F52" w:rsidRPr="00C7452F" w:rsidRDefault="00EE1F52" w:rsidP="0002380A">
            <w:pPr>
              <w:spacing w:before="60" w:after="60" w:line="240" w:lineRule="auto"/>
              <w:rPr>
                <w:rFonts w:ascii="Calibri" w:eastAsia="Times New Roman" w:hAnsi="Calibri"/>
                <w:w w:val="90"/>
                <w:sz w:val="20"/>
                <w:szCs w:val="20"/>
              </w:rPr>
            </w:pPr>
          </w:p>
        </w:tc>
        <w:tc>
          <w:tcPr>
            <w:tcW w:w="190" w:type="pct"/>
            <w:shd w:val="clear" w:color="auto" w:fill="FFFF00"/>
          </w:tcPr>
          <w:p w14:paraId="6C18098B" w14:textId="77777777" w:rsidR="00EE1F52" w:rsidRPr="00C7452F" w:rsidRDefault="00EE1F52" w:rsidP="0002380A">
            <w:pPr>
              <w:spacing w:before="60" w:after="60" w:line="240" w:lineRule="auto"/>
              <w:rPr>
                <w:rFonts w:ascii="Calibri" w:eastAsia="Times New Roman" w:hAnsi="Calibri"/>
                <w:w w:val="90"/>
                <w:sz w:val="20"/>
                <w:szCs w:val="20"/>
              </w:rPr>
            </w:pPr>
            <w:r w:rsidRPr="00C7452F">
              <w:rPr>
                <w:rFonts w:ascii="Calibri" w:eastAsia="Times New Roman" w:hAnsi="Calibri"/>
                <w:sz w:val="20"/>
                <w:szCs w:val="20"/>
                <w:lang w:eastAsia="en-AU"/>
              </w:rPr>
              <w:t>2</w:t>
            </w:r>
          </w:p>
        </w:tc>
      </w:tr>
      <w:tr w:rsidR="00EE1F52" w:rsidRPr="00C7452F" w14:paraId="3223BA7E" w14:textId="77777777" w:rsidTr="0002380A">
        <w:tc>
          <w:tcPr>
            <w:tcW w:w="269" w:type="pct"/>
          </w:tcPr>
          <w:p w14:paraId="4F73A4F3" w14:textId="77777777" w:rsidR="00EE1F52" w:rsidRPr="00C7452F" w:rsidRDefault="00EE1F52" w:rsidP="0002380A">
            <w:pPr>
              <w:spacing w:before="60" w:after="60" w:line="240" w:lineRule="auto"/>
              <w:rPr>
                <w:rFonts w:ascii="Calibri" w:eastAsia="Times New Roman" w:hAnsi="Calibri"/>
                <w:sz w:val="20"/>
                <w:szCs w:val="20"/>
                <w:lang w:eastAsia="en-AU"/>
              </w:rPr>
            </w:pPr>
            <w:r>
              <w:rPr>
                <w:rFonts w:ascii="Calibri" w:eastAsia="Times New Roman" w:hAnsi="Calibri"/>
                <w:sz w:val="20"/>
                <w:szCs w:val="20"/>
                <w:lang w:eastAsia="en-AU"/>
              </w:rPr>
              <w:lastRenderedPageBreak/>
              <w:t>2.2</w:t>
            </w:r>
          </w:p>
        </w:tc>
        <w:tc>
          <w:tcPr>
            <w:tcW w:w="604" w:type="pct"/>
          </w:tcPr>
          <w:p w14:paraId="228BE502" w14:textId="77777777" w:rsidR="00EE1F52" w:rsidRPr="00C7452F" w:rsidRDefault="00EE1F52" w:rsidP="0002380A">
            <w:pPr>
              <w:spacing w:before="60" w:after="60" w:line="240" w:lineRule="auto"/>
              <w:rPr>
                <w:rFonts w:ascii="Calibri" w:eastAsia="Times New Roman" w:hAnsi="Calibri"/>
                <w:w w:val="90"/>
                <w:sz w:val="20"/>
                <w:szCs w:val="20"/>
              </w:rPr>
            </w:pPr>
            <w:r>
              <w:rPr>
                <w:rFonts w:ascii="Calibri" w:eastAsia="Times New Roman" w:hAnsi="Calibri"/>
                <w:w w:val="90"/>
                <w:sz w:val="20"/>
                <w:szCs w:val="20"/>
              </w:rPr>
              <w:t>Program approach is too broad and ambitious given available resources</w:t>
            </w:r>
          </w:p>
        </w:tc>
        <w:tc>
          <w:tcPr>
            <w:tcW w:w="172" w:type="pct"/>
          </w:tcPr>
          <w:p w14:paraId="6BDD3253" w14:textId="77777777" w:rsidR="00EE1F52" w:rsidRPr="00C7452F" w:rsidRDefault="00EE1F52" w:rsidP="0002380A">
            <w:pPr>
              <w:spacing w:before="60" w:after="60" w:line="240" w:lineRule="auto"/>
              <w:rPr>
                <w:rFonts w:ascii="Calibri" w:eastAsia="Times New Roman" w:hAnsi="Calibri"/>
                <w:sz w:val="20"/>
                <w:szCs w:val="20"/>
                <w:lang w:eastAsia="en-AU"/>
              </w:rPr>
            </w:pPr>
            <w:r>
              <w:rPr>
                <w:rFonts w:ascii="Calibri" w:eastAsia="Times New Roman" w:hAnsi="Calibri"/>
                <w:sz w:val="20"/>
                <w:szCs w:val="20"/>
                <w:lang w:eastAsia="en-AU"/>
              </w:rPr>
              <w:t>3</w:t>
            </w:r>
          </w:p>
        </w:tc>
        <w:tc>
          <w:tcPr>
            <w:tcW w:w="129" w:type="pct"/>
          </w:tcPr>
          <w:p w14:paraId="1FE087A0" w14:textId="77777777" w:rsidR="00EE1F52" w:rsidRPr="00C7452F" w:rsidRDefault="00EE1F52" w:rsidP="0002380A">
            <w:pPr>
              <w:spacing w:before="60" w:after="60" w:line="240" w:lineRule="auto"/>
              <w:rPr>
                <w:rFonts w:ascii="Calibri" w:eastAsia="Times New Roman" w:hAnsi="Calibri"/>
                <w:sz w:val="20"/>
                <w:szCs w:val="20"/>
                <w:lang w:eastAsia="en-AU"/>
              </w:rPr>
            </w:pPr>
            <w:r>
              <w:rPr>
                <w:rFonts w:ascii="Calibri" w:eastAsia="Times New Roman" w:hAnsi="Calibri"/>
                <w:sz w:val="20"/>
                <w:szCs w:val="20"/>
                <w:lang w:eastAsia="en-AU"/>
              </w:rPr>
              <w:t>4</w:t>
            </w:r>
          </w:p>
        </w:tc>
        <w:tc>
          <w:tcPr>
            <w:tcW w:w="174" w:type="pct"/>
            <w:shd w:val="clear" w:color="auto" w:fill="FFC000"/>
          </w:tcPr>
          <w:p w14:paraId="03BFC724" w14:textId="77777777" w:rsidR="00EE1F52" w:rsidRPr="00C7452F" w:rsidRDefault="00EE1F52" w:rsidP="0002380A">
            <w:pPr>
              <w:spacing w:before="60" w:after="60" w:line="240" w:lineRule="auto"/>
              <w:rPr>
                <w:rFonts w:ascii="Calibri" w:eastAsia="Times New Roman" w:hAnsi="Calibri"/>
                <w:sz w:val="20"/>
                <w:szCs w:val="20"/>
                <w:lang w:eastAsia="en-AU"/>
              </w:rPr>
            </w:pPr>
            <w:r>
              <w:rPr>
                <w:rFonts w:ascii="Calibri" w:eastAsia="Times New Roman" w:hAnsi="Calibri"/>
                <w:sz w:val="20"/>
                <w:szCs w:val="20"/>
                <w:lang w:eastAsia="en-AU"/>
              </w:rPr>
              <w:t>3</w:t>
            </w:r>
          </w:p>
        </w:tc>
        <w:tc>
          <w:tcPr>
            <w:tcW w:w="1176" w:type="pct"/>
          </w:tcPr>
          <w:p w14:paraId="6F476486" w14:textId="77777777" w:rsidR="00EE1F52" w:rsidRDefault="00EE1F52" w:rsidP="0002380A">
            <w:pPr>
              <w:spacing w:before="60" w:after="60" w:line="240" w:lineRule="auto"/>
              <w:rPr>
                <w:rFonts w:ascii="Calibri" w:eastAsia="Times New Roman" w:hAnsi="Calibri"/>
                <w:w w:val="90"/>
                <w:sz w:val="20"/>
                <w:szCs w:val="20"/>
              </w:rPr>
            </w:pPr>
            <w:r w:rsidRPr="00C7452F">
              <w:rPr>
                <w:rFonts w:ascii="Calibri" w:eastAsia="Times New Roman" w:hAnsi="Calibri"/>
                <w:w w:val="90"/>
                <w:sz w:val="20"/>
                <w:szCs w:val="20"/>
              </w:rPr>
              <w:t xml:space="preserve">Program does not meet </w:t>
            </w:r>
            <w:r>
              <w:rPr>
                <w:rFonts w:ascii="Calibri" w:eastAsia="Times New Roman" w:hAnsi="Calibri"/>
                <w:w w:val="90"/>
                <w:sz w:val="20"/>
                <w:szCs w:val="20"/>
              </w:rPr>
              <w:t xml:space="preserve">specific </w:t>
            </w:r>
            <w:r w:rsidRPr="00C7452F">
              <w:rPr>
                <w:rFonts w:ascii="Calibri" w:eastAsia="Times New Roman" w:hAnsi="Calibri"/>
                <w:w w:val="90"/>
                <w:sz w:val="20"/>
                <w:szCs w:val="20"/>
              </w:rPr>
              <w:t xml:space="preserve">expectations </w:t>
            </w:r>
            <w:r>
              <w:rPr>
                <w:rFonts w:ascii="Calibri" w:eastAsia="Times New Roman" w:hAnsi="Calibri"/>
                <w:w w:val="90"/>
                <w:sz w:val="20"/>
                <w:szCs w:val="20"/>
              </w:rPr>
              <w:t>in all or some areas of focus</w:t>
            </w:r>
          </w:p>
          <w:p w14:paraId="20E86E94" w14:textId="77777777" w:rsidR="00EE1F52" w:rsidRPr="00C7452F" w:rsidRDefault="00EE1F52" w:rsidP="0002380A">
            <w:pPr>
              <w:spacing w:before="60" w:after="60" w:line="240" w:lineRule="auto"/>
              <w:rPr>
                <w:rFonts w:ascii="Calibri" w:eastAsia="Times New Roman" w:hAnsi="Calibri"/>
                <w:w w:val="90"/>
                <w:sz w:val="20"/>
                <w:szCs w:val="20"/>
              </w:rPr>
            </w:pPr>
          </w:p>
        </w:tc>
        <w:tc>
          <w:tcPr>
            <w:tcW w:w="2000" w:type="pct"/>
          </w:tcPr>
          <w:p w14:paraId="0FE6EE06" w14:textId="4B6F4FB7" w:rsidR="00EE1F52" w:rsidRDefault="00EE1F52" w:rsidP="0002380A">
            <w:pPr>
              <w:spacing w:before="60" w:after="60" w:line="240" w:lineRule="auto"/>
              <w:rPr>
                <w:rFonts w:ascii="Calibri" w:eastAsia="Times New Roman" w:hAnsi="Calibri"/>
                <w:w w:val="90"/>
                <w:sz w:val="20"/>
                <w:szCs w:val="20"/>
              </w:rPr>
            </w:pPr>
            <w:r>
              <w:rPr>
                <w:rFonts w:ascii="Calibri" w:eastAsia="Times New Roman" w:hAnsi="Calibri"/>
                <w:w w:val="90"/>
                <w:sz w:val="20"/>
                <w:szCs w:val="20"/>
              </w:rPr>
              <w:t>Focus advis</w:t>
            </w:r>
            <w:r w:rsidR="008643E7">
              <w:rPr>
                <w:rFonts w:ascii="Calibri" w:eastAsia="Times New Roman" w:hAnsi="Calibri"/>
                <w:w w:val="90"/>
                <w:sz w:val="20"/>
                <w:szCs w:val="20"/>
              </w:rPr>
              <w:t>e</w:t>
            </w:r>
            <w:r>
              <w:rPr>
                <w:rFonts w:ascii="Calibri" w:eastAsia="Times New Roman" w:hAnsi="Calibri"/>
                <w:w w:val="90"/>
                <w:sz w:val="20"/>
                <w:szCs w:val="20"/>
              </w:rPr>
              <w:t>r efforts on workplan and approved PCB initiatives only</w:t>
            </w:r>
          </w:p>
          <w:p w14:paraId="29460FE2" w14:textId="1F87B7E7" w:rsidR="00EE1F52" w:rsidRPr="00C7452F" w:rsidRDefault="00EE1F52" w:rsidP="0002380A">
            <w:pPr>
              <w:spacing w:before="60" w:after="60" w:line="240" w:lineRule="auto"/>
              <w:rPr>
                <w:rFonts w:ascii="Calibri" w:eastAsia="Times New Roman" w:hAnsi="Calibri"/>
                <w:w w:val="90"/>
                <w:sz w:val="20"/>
                <w:szCs w:val="20"/>
              </w:rPr>
            </w:pPr>
            <w:r>
              <w:rPr>
                <w:rFonts w:ascii="Calibri" w:eastAsia="Times New Roman" w:hAnsi="Calibri"/>
                <w:w w:val="90"/>
                <w:sz w:val="20"/>
                <w:szCs w:val="20"/>
              </w:rPr>
              <w:t>Continue</w:t>
            </w:r>
            <w:r w:rsidR="003A0268">
              <w:rPr>
                <w:rFonts w:ascii="Calibri" w:eastAsia="Times New Roman" w:hAnsi="Calibri"/>
                <w:w w:val="90"/>
                <w:sz w:val="20"/>
                <w:szCs w:val="20"/>
              </w:rPr>
              <w:t>s dialog with PNTL relating to P</w:t>
            </w:r>
            <w:r>
              <w:rPr>
                <w:rFonts w:ascii="Calibri" w:eastAsia="Times New Roman" w:hAnsi="Calibri"/>
                <w:w w:val="90"/>
                <w:sz w:val="20"/>
                <w:szCs w:val="20"/>
              </w:rPr>
              <w:t>rogram scope</w:t>
            </w:r>
          </w:p>
        </w:tc>
        <w:tc>
          <w:tcPr>
            <w:tcW w:w="286" w:type="pct"/>
          </w:tcPr>
          <w:p w14:paraId="7FDC1150" w14:textId="77777777" w:rsidR="00EE1F52" w:rsidRPr="00C7452F" w:rsidRDefault="00EE1F52" w:rsidP="0002380A">
            <w:pPr>
              <w:spacing w:before="60" w:after="60" w:line="240" w:lineRule="auto"/>
              <w:rPr>
                <w:rFonts w:ascii="Calibri" w:eastAsia="Times New Roman" w:hAnsi="Calibri"/>
                <w:w w:val="90"/>
                <w:sz w:val="20"/>
                <w:szCs w:val="20"/>
              </w:rPr>
            </w:pPr>
            <w:r w:rsidRPr="007C67B6">
              <w:rPr>
                <w:rFonts w:ascii="Calibri" w:eastAsia="Times New Roman" w:hAnsi="Calibri"/>
                <w:w w:val="90"/>
                <w:sz w:val="20"/>
                <w:szCs w:val="20"/>
              </w:rPr>
              <w:t>Head of Program</w:t>
            </w:r>
          </w:p>
        </w:tc>
        <w:tc>
          <w:tcPr>
            <w:tcW w:w="190" w:type="pct"/>
            <w:shd w:val="clear" w:color="auto" w:fill="FFFF00"/>
          </w:tcPr>
          <w:p w14:paraId="38911D74" w14:textId="77777777" w:rsidR="00EE1F52" w:rsidRPr="00C7452F" w:rsidRDefault="00EE1F52" w:rsidP="0002380A">
            <w:pPr>
              <w:spacing w:before="60" w:after="60" w:line="240" w:lineRule="auto"/>
              <w:rPr>
                <w:rFonts w:ascii="Calibri" w:eastAsia="Times New Roman" w:hAnsi="Calibri"/>
                <w:sz w:val="20"/>
                <w:szCs w:val="20"/>
                <w:lang w:eastAsia="en-AU"/>
              </w:rPr>
            </w:pPr>
            <w:r>
              <w:rPr>
                <w:rFonts w:ascii="Calibri" w:eastAsia="Times New Roman" w:hAnsi="Calibri"/>
                <w:sz w:val="20"/>
                <w:szCs w:val="20"/>
                <w:lang w:eastAsia="en-AU"/>
              </w:rPr>
              <w:t>2</w:t>
            </w:r>
          </w:p>
        </w:tc>
      </w:tr>
      <w:tr w:rsidR="00EE1F52" w:rsidRPr="00C7452F" w14:paraId="08E8DDBD" w14:textId="77777777" w:rsidTr="0002380A">
        <w:tc>
          <w:tcPr>
            <w:tcW w:w="269" w:type="pct"/>
          </w:tcPr>
          <w:p w14:paraId="1FB634F7" w14:textId="77777777" w:rsidR="00EE1F52" w:rsidRDefault="00EE1F52" w:rsidP="0002380A">
            <w:pPr>
              <w:spacing w:before="60" w:after="60" w:line="240" w:lineRule="auto"/>
              <w:rPr>
                <w:rFonts w:ascii="Calibri" w:eastAsia="Times New Roman" w:hAnsi="Calibri"/>
                <w:sz w:val="20"/>
                <w:szCs w:val="20"/>
                <w:lang w:eastAsia="en-AU"/>
              </w:rPr>
            </w:pPr>
            <w:r>
              <w:rPr>
                <w:rFonts w:ascii="Calibri" w:eastAsia="Times New Roman" w:hAnsi="Calibri"/>
                <w:sz w:val="20"/>
                <w:szCs w:val="20"/>
                <w:lang w:eastAsia="en-AU"/>
              </w:rPr>
              <w:t>2.3</w:t>
            </w:r>
          </w:p>
        </w:tc>
        <w:tc>
          <w:tcPr>
            <w:tcW w:w="604" w:type="pct"/>
          </w:tcPr>
          <w:p w14:paraId="2C1A9C42" w14:textId="77777777" w:rsidR="00EE1F52" w:rsidRDefault="00EE1F52" w:rsidP="0002380A">
            <w:pPr>
              <w:spacing w:before="60" w:after="60" w:line="240" w:lineRule="auto"/>
              <w:rPr>
                <w:rFonts w:ascii="Calibri" w:eastAsia="Times New Roman" w:hAnsi="Calibri"/>
                <w:w w:val="90"/>
                <w:sz w:val="20"/>
                <w:szCs w:val="20"/>
              </w:rPr>
            </w:pPr>
            <w:r w:rsidRPr="00471FD2">
              <w:rPr>
                <w:rFonts w:ascii="Calibri" w:eastAsia="Times New Roman" w:hAnsi="Calibri"/>
                <w:w w:val="90"/>
                <w:sz w:val="20"/>
                <w:szCs w:val="20"/>
              </w:rPr>
              <w:t>Program is not sufficiently resourced</w:t>
            </w:r>
          </w:p>
        </w:tc>
        <w:tc>
          <w:tcPr>
            <w:tcW w:w="172" w:type="pct"/>
          </w:tcPr>
          <w:p w14:paraId="13E9501E" w14:textId="77777777" w:rsidR="00EE1F52" w:rsidRDefault="00EE1F52" w:rsidP="0002380A">
            <w:pPr>
              <w:spacing w:before="60" w:after="60" w:line="240" w:lineRule="auto"/>
              <w:rPr>
                <w:rFonts w:ascii="Calibri" w:eastAsia="Times New Roman" w:hAnsi="Calibri"/>
                <w:sz w:val="20"/>
                <w:szCs w:val="20"/>
                <w:lang w:eastAsia="en-AU"/>
              </w:rPr>
            </w:pPr>
            <w:r>
              <w:rPr>
                <w:rFonts w:ascii="Calibri" w:eastAsia="Times New Roman" w:hAnsi="Calibri"/>
                <w:sz w:val="20"/>
                <w:szCs w:val="20"/>
                <w:lang w:eastAsia="en-AU"/>
              </w:rPr>
              <w:t>3</w:t>
            </w:r>
          </w:p>
        </w:tc>
        <w:tc>
          <w:tcPr>
            <w:tcW w:w="129" w:type="pct"/>
          </w:tcPr>
          <w:p w14:paraId="78B354F4" w14:textId="77777777" w:rsidR="00EE1F52" w:rsidRDefault="00EE1F52" w:rsidP="0002380A">
            <w:pPr>
              <w:spacing w:before="60" w:after="60" w:line="240" w:lineRule="auto"/>
              <w:rPr>
                <w:rFonts w:ascii="Calibri" w:eastAsia="Times New Roman" w:hAnsi="Calibri"/>
                <w:sz w:val="20"/>
                <w:szCs w:val="20"/>
                <w:lang w:eastAsia="en-AU"/>
              </w:rPr>
            </w:pPr>
            <w:r>
              <w:rPr>
                <w:rFonts w:ascii="Calibri" w:eastAsia="Times New Roman" w:hAnsi="Calibri"/>
                <w:sz w:val="20"/>
                <w:szCs w:val="20"/>
                <w:lang w:eastAsia="en-AU"/>
              </w:rPr>
              <w:t>3</w:t>
            </w:r>
          </w:p>
        </w:tc>
        <w:tc>
          <w:tcPr>
            <w:tcW w:w="174" w:type="pct"/>
            <w:shd w:val="clear" w:color="auto" w:fill="FFC000"/>
          </w:tcPr>
          <w:p w14:paraId="12CF0E7A" w14:textId="77777777" w:rsidR="00EE1F52" w:rsidRDefault="00EE1F52" w:rsidP="0002380A">
            <w:pPr>
              <w:spacing w:before="60" w:after="60" w:line="240" w:lineRule="auto"/>
              <w:rPr>
                <w:rFonts w:ascii="Calibri" w:eastAsia="Times New Roman" w:hAnsi="Calibri"/>
                <w:sz w:val="20"/>
                <w:szCs w:val="20"/>
                <w:lang w:eastAsia="en-AU"/>
              </w:rPr>
            </w:pPr>
            <w:r>
              <w:rPr>
                <w:rFonts w:ascii="Calibri" w:eastAsia="Times New Roman" w:hAnsi="Calibri"/>
                <w:sz w:val="20"/>
                <w:szCs w:val="20"/>
                <w:lang w:eastAsia="en-AU"/>
              </w:rPr>
              <w:t>3</w:t>
            </w:r>
          </w:p>
        </w:tc>
        <w:tc>
          <w:tcPr>
            <w:tcW w:w="1176" w:type="pct"/>
          </w:tcPr>
          <w:p w14:paraId="2C6B1F23" w14:textId="77777777" w:rsidR="00EE1F52" w:rsidRPr="007C67B6" w:rsidRDefault="00EE1F52" w:rsidP="0002380A">
            <w:pPr>
              <w:spacing w:before="60" w:after="60" w:line="240" w:lineRule="auto"/>
              <w:rPr>
                <w:rFonts w:ascii="Calibri" w:eastAsia="Times New Roman" w:hAnsi="Calibri"/>
                <w:w w:val="90"/>
                <w:sz w:val="20"/>
                <w:szCs w:val="20"/>
              </w:rPr>
            </w:pPr>
            <w:r w:rsidRPr="007C67B6">
              <w:rPr>
                <w:rFonts w:ascii="Calibri" w:eastAsia="Times New Roman" w:hAnsi="Calibri"/>
                <w:w w:val="90"/>
                <w:sz w:val="20"/>
                <w:szCs w:val="20"/>
              </w:rPr>
              <w:t>Program activities are more difficult to implement</w:t>
            </w:r>
          </w:p>
          <w:p w14:paraId="249639C3" w14:textId="77777777" w:rsidR="00EE1F52" w:rsidRPr="00C7452F" w:rsidRDefault="00EE1F52" w:rsidP="0002380A">
            <w:pPr>
              <w:spacing w:before="60" w:after="60" w:line="240" w:lineRule="auto"/>
              <w:rPr>
                <w:rFonts w:ascii="Calibri" w:eastAsia="Times New Roman" w:hAnsi="Calibri"/>
                <w:w w:val="90"/>
                <w:sz w:val="20"/>
                <w:szCs w:val="20"/>
              </w:rPr>
            </w:pPr>
            <w:r w:rsidRPr="007C67B6">
              <w:rPr>
                <w:rFonts w:ascii="Calibri" w:eastAsia="Times New Roman" w:hAnsi="Calibri"/>
                <w:w w:val="90"/>
                <w:sz w:val="20"/>
                <w:szCs w:val="20"/>
              </w:rPr>
              <w:t xml:space="preserve">Relationships with key partners could be damaged </w:t>
            </w:r>
            <w:r>
              <w:rPr>
                <w:rFonts w:ascii="Calibri" w:eastAsia="Times New Roman" w:hAnsi="Calibri"/>
                <w:w w:val="90"/>
                <w:sz w:val="20"/>
                <w:szCs w:val="20"/>
              </w:rPr>
              <w:t xml:space="preserve">due </w:t>
            </w:r>
            <w:r w:rsidRPr="007C67B6">
              <w:rPr>
                <w:rFonts w:ascii="Calibri" w:eastAsia="Times New Roman" w:hAnsi="Calibri"/>
                <w:w w:val="90"/>
                <w:sz w:val="20"/>
                <w:szCs w:val="20"/>
              </w:rPr>
              <w:t>to reduced engagement</w:t>
            </w:r>
          </w:p>
        </w:tc>
        <w:tc>
          <w:tcPr>
            <w:tcW w:w="2000" w:type="pct"/>
          </w:tcPr>
          <w:p w14:paraId="3232C296" w14:textId="1BB75D48" w:rsidR="00EE1F52" w:rsidRPr="007C67B6" w:rsidRDefault="00EE1F52" w:rsidP="0002380A">
            <w:pPr>
              <w:spacing w:before="60" w:after="60" w:line="240" w:lineRule="auto"/>
              <w:rPr>
                <w:rFonts w:ascii="Calibri" w:eastAsia="Times New Roman" w:hAnsi="Calibri"/>
                <w:w w:val="90"/>
                <w:sz w:val="20"/>
                <w:szCs w:val="20"/>
              </w:rPr>
            </w:pPr>
            <w:r w:rsidRPr="007C67B6">
              <w:rPr>
                <w:rFonts w:ascii="Calibri" w:eastAsia="Times New Roman" w:hAnsi="Calibri"/>
                <w:w w:val="90"/>
                <w:sz w:val="20"/>
                <w:szCs w:val="20"/>
              </w:rPr>
              <w:t>Focus advis</w:t>
            </w:r>
            <w:r w:rsidR="008643E7">
              <w:rPr>
                <w:rFonts w:ascii="Calibri" w:eastAsia="Times New Roman" w:hAnsi="Calibri"/>
                <w:w w:val="90"/>
                <w:sz w:val="20"/>
                <w:szCs w:val="20"/>
              </w:rPr>
              <w:t>e</w:t>
            </w:r>
            <w:r w:rsidRPr="007C67B6">
              <w:rPr>
                <w:rFonts w:ascii="Calibri" w:eastAsia="Times New Roman" w:hAnsi="Calibri"/>
                <w:w w:val="90"/>
                <w:sz w:val="20"/>
                <w:szCs w:val="20"/>
              </w:rPr>
              <w:t>r efforts on workplan and approved PCB initiatives only</w:t>
            </w:r>
          </w:p>
          <w:p w14:paraId="605FB8AD" w14:textId="129B9B77" w:rsidR="00EE1F52" w:rsidRDefault="00EE1F52" w:rsidP="0002380A">
            <w:pPr>
              <w:spacing w:before="60" w:after="60" w:line="240" w:lineRule="auto"/>
              <w:rPr>
                <w:rFonts w:ascii="Calibri" w:eastAsia="Times New Roman" w:hAnsi="Calibri"/>
                <w:w w:val="90"/>
                <w:sz w:val="20"/>
                <w:szCs w:val="20"/>
              </w:rPr>
            </w:pPr>
            <w:r>
              <w:rPr>
                <w:rFonts w:ascii="Calibri" w:eastAsia="Times New Roman" w:hAnsi="Calibri"/>
                <w:w w:val="90"/>
                <w:sz w:val="20"/>
                <w:szCs w:val="20"/>
              </w:rPr>
              <w:t>Continue</w:t>
            </w:r>
            <w:r w:rsidR="003A0268">
              <w:rPr>
                <w:rFonts w:ascii="Calibri" w:eastAsia="Times New Roman" w:hAnsi="Calibri"/>
                <w:w w:val="90"/>
                <w:sz w:val="20"/>
                <w:szCs w:val="20"/>
              </w:rPr>
              <w:t xml:space="preserve"> dialog with PNTL relating to P</w:t>
            </w:r>
            <w:r w:rsidRPr="007C67B6">
              <w:rPr>
                <w:rFonts w:ascii="Calibri" w:eastAsia="Times New Roman" w:hAnsi="Calibri"/>
                <w:w w:val="90"/>
                <w:sz w:val="20"/>
                <w:szCs w:val="20"/>
              </w:rPr>
              <w:t>rogram scope</w:t>
            </w:r>
          </w:p>
          <w:p w14:paraId="533CA9ED" w14:textId="77777777" w:rsidR="00EE1F52" w:rsidRDefault="00EE1F52" w:rsidP="0002380A">
            <w:pPr>
              <w:spacing w:before="60" w:after="60" w:line="240" w:lineRule="auto"/>
              <w:rPr>
                <w:rFonts w:ascii="Calibri" w:eastAsia="Times New Roman" w:hAnsi="Calibri"/>
                <w:w w:val="90"/>
                <w:sz w:val="20"/>
                <w:szCs w:val="20"/>
              </w:rPr>
            </w:pPr>
            <w:r>
              <w:rPr>
                <w:rFonts w:ascii="Calibri" w:eastAsia="Times New Roman" w:hAnsi="Calibri"/>
                <w:w w:val="90"/>
                <w:sz w:val="20"/>
                <w:szCs w:val="20"/>
              </w:rPr>
              <w:t>Enhanced coordination with other donors to ensure efficient use of resources</w:t>
            </w:r>
          </w:p>
          <w:p w14:paraId="594FC436" w14:textId="77777777" w:rsidR="00EE1F52" w:rsidRDefault="00EE1F52" w:rsidP="0002380A">
            <w:pPr>
              <w:spacing w:before="60" w:after="60" w:line="240" w:lineRule="auto"/>
              <w:rPr>
                <w:rFonts w:ascii="Calibri" w:eastAsia="Times New Roman" w:hAnsi="Calibri"/>
                <w:w w:val="90"/>
                <w:sz w:val="20"/>
                <w:szCs w:val="20"/>
              </w:rPr>
            </w:pPr>
            <w:r>
              <w:rPr>
                <w:rFonts w:ascii="Calibri" w:eastAsia="Times New Roman" w:hAnsi="Calibri"/>
                <w:w w:val="90"/>
                <w:sz w:val="20"/>
                <w:szCs w:val="20"/>
              </w:rPr>
              <w:t>Innovative and flexible use of resources and piloting new activities to ensure effectiveness</w:t>
            </w:r>
          </w:p>
        </w:tc>
        <w:tc>
          <w:tcPr>
            <w:tcW w:w="286" w:type="pct"/>
          </w:tcPr>
          <w:p w14:paraId="642720A9" w14:textId="77777777" w:rsidR="00EE1F52" w:rsidRPr="00C7452F" w:rsidRDefault="00EE1F52" w:rsidP="0002380A">
            <w:pPr>
              <w:spacing w:before="60" w:after="60" w:line="240" w:lineRule="auto"/>
              <w:rPr>
                <w:rFonts w:ascii="Calibri" w:eastAsia="Times New Roman" w:hAnsi="Calibri"/>
                <w:w w:val="90"/>
                <w:sz w:val="20"/>
                <w:szCs w:val="20"/>
              </w:rPr>
            </w:pPr>
            <w:r w:rsidRPr="007C67B6">
              <w:rPr>
                <w:rFonts w:ascii="Calibri" w:eastAsia="Times New Roman" w:hAnsi="Calibri"/>
                <w:w w:val="90"/>
                <w:sz w:val="20"/>
                <w:szCs w:val="20"/>
              </w:rPr>
              <w:t>Head of Program</w:t>
            </w:r>
          </w:p>
        </w:tc>
        <w:tc>
          <w:tcPr>
            <w:tcW w:w="190" w:type="pct"/>
            <w:shd w:val="clear" w:color="auto" w:fill="FFFF00"/>
          </w:tcPr>
          <w:p w14:paraId="4C1CD374" w14:textId="77777777" w:rsidR="00EE1F52" w:rsidRDefault="00EE1F52" w:rsidP="0002380A">
            <w:pPr>
              <w:spacing w:before="60" w:after="60" w:line="240" w:lineRule="auto"/>
              <w:rPr>
                <w:rFonts w:ascii="Calibri" w:eastAsia="Times New Roman" w:hAnsi="Calibri"/>
                <w:sz w:val="20"/>
                <w:szCs w:val="20"/>
                <w:lang w:eastAsia="en-AU"/>
              </w:rPr>
            </w:pPr>
            <w:r>
              <w:rPr>
                <w:rFonts w:ascii="Calibri" w:eastAsia="Times New Roman" w:hAnsi="Calibri"/>
                <w:sz w:val="20"/>
                <w:szCs w:val="20"/>
                <w:lang w:eastAsia="en-AU"/>
              </w:rPr>
              <w:t>2</w:t>
            </w:r>
          </w:p>
        </w:tc>
      </w:tr>
      <w:tr w:rsidR="00EE1F52" w:rsidRPr="00C7452F" w14:paraId="33516266" w14:textId="77777777" w:rsidTr="0002380A">
        <w:tc>
          <w:tcPr>
            <w:tcW w:w="269" w:type="pct"/>
          </w:tcPr>
          <w:p w14:paraId="688F51E8" w14:textId="77777777" w:rsidR="00EE1F52" w:rsidRPr="00C7452F" w:rsidRDefault="00EE1F52" w:rsidP="0002380A">
            <w:pPr>
              <w:spacing w:before="60" w:after="60" w:line="240" w:lineRule="auto"/>
              <w:rPr>
                <w:rFonts w:ascii="Calibri" w:eastAsia="Times New Roman" w:hAnsi="Calibri"/>
                <w:sz w:val="20"/>
                <w:szCs w:val="20"/>
                <w:lang w:eastAsia="en-AU"/>
              </w:rPr>
            </w:pPr>
            <w:r>
              <w:rPr>
                <w:rFonts w:ascii="Calibri" w:eastAsia="Times New Roman" w:hAnsi="Calibri"/>
                <w:sz w:val="20"/>
                <w:szCs w:val="20"/>
                <w:lang w:eastAsia="en-AU"/>
              </w:rPr>
              <w:t>2.4</w:t>
            </w:r>
          </w:p>
        </w:tc>
        <w:tc>
          <w:tcPr>
            <w:tcW w:w="604" w:type="pct"/>
          </w:tcPr>
          <w:p w14:paraId="5D461E9A" w14:textId="77777777" w:rsidR="00EE1F52" w:rsidRPr="00C7452F" w:rsidRDefault="00EE1F52" w:rsidP="0002380A">
            <w:pPr>
              <w:spacing w:before="60" w:after="60" w:line="240" w:lineRule="auto"/>
              <w:rPr>
                <w:rFonts w:ascii="Calibri" w:eastAsia="Times New Roman" w:hAnsi="Calibri"/>
                <w:w w:val="90"/>
                <w:sz w:val="20"/>
                <w:szCs w:val="20"/>
              </w:rPr>
            </w:pPr>
            <w:proofErr w:type="gramStart"/>
            <w:r w:rsidRPr="00C7452F">
              <w:rPr>
                <w:rFonts w:ascii="Calibri" w:eastAsia="Times New Roman" w:hAnsi="Calibri"/>
                <w:w w:val="90"/>
                <w:sz w:val="20"/>
                <w:szCs w:val="20"/>
              </w:rPr>
              <w:t>Poorly-performing</w:t>
            </w:r>
            <w:proofErr w:type="gramEnd"/>
            <w:r w:rsidRPr="00C7452F">
              <w:rPr>
                <w:rFonts w:ascii="Calibri" w:eastAsia="Times New Roman" w:hAnsi="Calibri"/>
                <w:w w:val="90"/>
                <w:sz w:val="20"/>
                <w:szCs w:val="20"/>
              </w:rPr>
              <w:t xml:space="preserve"> advisers</w:t>
            </w:r>
          </w:p>
        </w:tc>
        <w:tc>
          <w:tcPr>
            <w:tcW w:w="172" w:type="pct"/>
          </w:tcPr>
          <w:p w14:paraId="6610D44F" w14:textId="77777777" w:rsidR="00EE1F52" w:rsidRPr="00C7452F" w:rsidRDefault="00EE1F52" w:rsidP="0002380A">
            <w:pPr>
              <w:spacing w:before="60" w:after="60" w:line="240" w:lineRule="auto"/>
              <w:rPr>
                <w:rFonts w:ascii="Calibri" w:eastAsia="Times New Roman" w:hAnsi="Calibri"/>
                <w:sz w:val="20"/>
                <w:szCs w:val="20"/>
                <w:lang w:eastAsia="en-AU"/>
              </w:rPr>
            </w:pPr>
            <w:r w:rsidRPr="00C7452F">
              <w:rPr>
                <w:rFonts w:ascii="Calibri" w:eastAsia="Times New Roman" w:hAnsi="Calibri"/>
                <w:sz w:val="20"/>
                <w:szCs w:val="20"/>
                <w:lang w:eastAsia="en-AU"/>
              </w:rPr>
              <w:t>3</w:t>
            </w:r>
          </w:p>
        </w:tc>
        <w:tc>
          <w:tcPr>
            <w:tcW w:w="129" w:type="pct"/>
          </w:tcPr>
          <w:p w14:paraId="2EADB6CA" w14:textId="77777777" w:rsidR="00EE1F52" w:rsidRPr="00C7452F" w:rsidRDefault="00EE1F52" w:rsidP="0002380A">
            <w:pPr>
              <w:spacing w:before="60" w:after="60" w:line="240" w:lineRule="auto"/>
              <w:rPr>
                <w:rFonts w:ascii="Calibri" w:eastAsia="Times New Roman" w:hAnsi="Calibri"/>
                <w:sz w:val="20"/>
                <w:szCs w:val="20"/>
                <w:lang w:eastAsia="en-AU"/>
              </w:rPr>
            </w:pPr>
            <w:r w:rsidRPr="00C7452F">
              <w:rPr>
                <w:rFonts w:ascii="Calibri" w:eastAsia="Times New Roman" w:hAnsi="Calibri"/>
                <w:sz w:val="20"/>
                <w:szCs w:val="20"/>
                <w:lang w:eastAsia="en-AU"/>
              </w:rPr>
              <w:t>3</w:t>
            </w:r>
          </w:p>
        </w:tc>
        <w:tc>
          <w:tcPr>
            <w:tcW w:w="174" w:type="pct"/>
            <w:shd w:val="clear" w:color="auto" w:fill="FFC000"/>
          </w:tcPr>
          <w:p w14:paraId="594A1FEC" w14:textId="77777777" w:rsidR="00EE1F52" w:rsidRPr="00C7452F" w:rsidRDefault="00EE1F52" w:rsidP="0002380A">
            <w:pPr>
              <w:spacing w:before="60" w:after="60" w:line="240" w:lineRule="auto"/>
              <w:rPr>
                <w:rFonts w:ascii="Calibri" w:eastAsia="Times New Roman" w:hAnsi="Calibri"/>
                <w:sz w:val="20"/>
                <w:szCs w:val="20"/>
                <w:lang w:eastAsia="en-AU"/>
              </w:rPr>
            </w:pPr>
            <w:r w:rsidRPr="00C7452F">
              <w:rPr>
                <w:rFonts w:ascii="Calibri" w:eastAsia="Times New Roman" w:hAnsi="Calibri"/>
                <w:sz w:val="20"/>
                <w:szCs w:val="20"/>
                <w:lang w:eastAsia="en-AU"/>
              </w:rPr>
              <w:t>3</w:t>
            </w:r>
          </w:p>
        </w:tc>
        <w:tc>
          <w:tcPr>
            <w:tcW w:w="1176" w:type="pct"/>
          </w:tcPr>
          <w:p w14:paraId="0BB797F3" w14:textId="77777777" w:rsidR="00EE1F52" w:rsidRPr="00C7452F" w:rsidRDefault="00EE1F52" w:rsidP="0002380A">
            <w:pPr>
              <w:spacing w:before="60" w:after="60" w:line="240" w:lineRule="auto"/>
              <w:rPr>
                <w:rFonts w:ascii="Calibri" w:eastAsia="Times New Roman" w:hAnsi="Calibri"/>
                <w:w w:val="90"/>
                <w:sz w:val="20"/>
                <w:szCs w:val="20"/>
              </w:rPr>
            </w:pPr>
            <w:r w:rsidRPr="00C7452F">
              <w:rPr>
                <w:rFonts w:ascii="Calibri" w:eastAsia="Times New Roman" w:hAnsi="Calibri"/>
                <w:w w:val="90"/>
                <w:sz w:val="20"/>
                <w:szCs w:val="20"/>
              </w:rPr>
              <w:t xml:space="preserve">Likely to damage relationships with key </w:t>
            </w:r>
            <w:r>
              <w:rPr>
                <w:rFonts w:ascii="Calibri" w:eastAsia="Times New Roman" w:hAnsi="Calibri"/>
                <w:w w:val="90"/>
                <w:sz w:val="20"/>
                <w:szCs w:val="20"/>
              </w:rPr>
              <w:t>PNTL</w:t>
            </w:r>
            <w:r w:rsidRPr="00C7452F">
              <w:rPr>
                <w:rFonts w:ascii="Calibri" w:eastAsia="Times New Roman" w:hAnsi="Calibri"/>
                <w:w w:val="90"/>
                <w:sz w:val="20"/>
                <w:szCs w:val="20"/>
              </w:rPr>
              <w:t xml:space="preserve"> counterparts</w:t>
            </w:r>
          </w:p>
          <w:p w14:paraId="1D4CF862" w14:textId="77777777" w:rsidR="00EE1F52" w:rsidRPr="00C7452F" w:rsidRDefault="00EE1F52" w:rsidP="0002380A">
            <w:pPr>
              <w:spacing w:before="60" w:after="60" w:line="240" w:lineRule="auto"/>
              <w:rPr>
                <w:rFonts w:ascii="Calibri" w:eastAsia="Times New Roman" w:hAnsi="Calibri"/>
                <w:w w:val="90"/>
                <w:sz w:val="20"/>
                <w:szCs w:val="20"/>
              </w:rPr>
            </w:pPr>
            <w:r w:rsidRPr="00C7452F">
              <w:rPr>
                <w:rFonts w:ascii="Calibri" w:eastAsia="Times New Roman" w:hAnsi="Calibri"/>
                <w:w w:val="90"/>
                <w:sz w:val="20"/>
                <w:szCs w:val="20"/>
              </w:rPr>
              <w:t xml:space="preserve">Lack of value for money </w:t>
            </w:r>
          </w:p>
        </w:tc>
        <w:tc>
          <w:tcPr>
            <w:tcW w:w="2000" w:type="pct"/>
          </w:tcPr>
          <w:p w14:paraId="2CE1766F" w14:textId="77777777" w:rsidR="00EE1F52" w:rsidRPr="00C7452F" w:rsidRDefault="00EE1F52" w:rsidP="0002380A">
            <w:pPr>
              <w:spacing w:before="60" w:after="60" w:line="240" w:lineRule="auto"/>
              <w:rPr>
                <w:rFonts w:ascii="Calibri" w:eastAsia="Times New Roman" w:hAnsi="Calibri"/>
                <w:w w:val="90"/>
                <w:sz w:val="20"/>
                <w:szCs w:val="20"/>
              </w:rPr>
            </w:pPr>
            <w:r>
              <w:rPr>
                <w:rFonts w:ascii="Calibri" w:eastAsia="Times New Roman" w:hAnsi="Calibri"/>
                <w:w w:val="90"/>
                <w:sz w:val="20"/>
                <w:szCs w:val="20"/>
              </w:rPr>
              <w:t>R</w:t>
            </w:r>
            <w:r w:rsidRPr="00C7452F">
              <w:rPr>
                <w:rFonts w:ascii="Calibri" w:eastAsia="Times New Roman" w:hAnsi="Calibri"/>
                <w:w w:val="90"/>
                <w:sz w:val="20"/>
                <w:szCs w:val="20"/>
              </w:rPr>
              <w:t xml:space="preserve">ecruitment </w:t>
            </w:r>
            <w:r>
              <w:rPr>
                <w:rFonts w:ascii="Calibri" w:eastAsia="Times New Roman" w:hAnsi="Calibri"/>
                <w:w w:val="90"/>
                <w:sz w:val="20"/>
                <w:szCs w:val="20"/>
              </w:rPr>
              <w:t>and deployment of appropriately skilled and experienced advisers</w:t>
            </w:r>
          </w:p>
          <w:p w14:paraId="608947F4" w14:textId="77777777" w:rsidR="00EE1F52" w:rsidRPr="00C7452F" w:rsidRDefault="00EE1F52" w:rsidP="0002380A">
            <w:pPr>
              <w:spacing w:before="60" w:after="60" w:line="240" w:lineRule="auto"/>
              <w:rPr>
                <w:rFonts w:ascii="Calibri" w:eastAsia="Times New Roman" w:hAnsi="Calibri"/>
                <w:w w:val="90"/>
                <w:sz w:val="20"/>
                <w:szCs w:val="20"/>
              </w:rPr>
            </w:pPr>
            <w:r w:rsidRPr="00C7452F">
              <w:rPr>
                <w:rFonts w:ascii="Calibri" w:eastAsia="Times New Roman" w:hAnsi="Calibri"/>
                <w:w w:val="90"/>
                <w:sz w:val="20"/>
                <w:szCs w:val="20"/>
              </w:rPr>
              <w:t>Active adviser management</w:t>
            </w:r>
          </w:p>
          <w:p w14:paraId="0D9A4E5C" w14:textId="77777777" w:rsidR="00EE1F52" w:rsidRPr="00C7452F" w:rsidRDefault="00EE1F52" w:rsidP="0002380A">
            <w:pPr>
              <w:spacing w:before="60" w:after="60" w:line="240" w:lineRule="auto"/>
              <w:rPr>
                <w:rFonts w:ascii="Calibri" w:eastAsia="Times New Roman" w:hAnsi="Calibri"/>
                <w:w w:val="90"/>
                <w:sz w:val="20"/>
                <w:szCs w:val="20"/>
              </w:rPr>
            </w:pPr>
          </w:p>
        </w:tc>
        <w:tc>
          <w:tcPr>
            <w:tcW w:w="286" w:type="pct"/>
          </w:tcPr>
          <w:p w14:paraId="73BCD66B" w14:textId="77777777" w:rsidR="00EE1F52" w:rsidRPr="00C7452F" w:rsidRDefault="00EE1F52" w:rsidP="0002380A">
            <w:pPr>
              <w:spacing w:before="60" w:after="60" w:line="240" w:lineRule="auto"/>
              <w:rPr>
                <w:rFonts w:ascii="Calibri" w:eastAsia="Times New Roman" w:hAnsi="Calibri"/>
                <w:w w:val="90"/>
                <w:sz w:val="20"/>
                <w:szCs w:val="20"/>
              </w:rPr>
            </w:pPr>
            <w:r w:rsidRPr="00C7452F">
              <w:rPr>
                <w:rFonts w:ascii="Calibri" w:eastAsia="Times New Roman" w:hAnsi="Calibri"/>
                <w:w w:val="90"/>
                <w:sz w:val="20"/>
                <w:szCs w:val="20"/>
              </w:rPr>
              <w:t>Head of Program</w:t>
            </w:r>
          </w:p>
        </w:tc>
        <w:tc>
          <w:tcPr>
            <w:tcW w:w="190" w:type="pct"/>
            <w:shd w:val="clear" w:color="auto" w:fill="FFFF00"/>
          </w:tcPr>
          <w:p w14:paraId="2E7AAD26" w14:textId="77777777" w:rsidR="00EE1F52" w:rsidRPr="00C7452F" w:rsidRDefault="00EE1F52" w:rsidP="0002380A">
            <w:pPr>
              <w:spacing w:before="60" w:after="60" w:line="240" w:lineRule="auto"/>
              <w:rPr>
                <w:rFonts w:ascii="Calibri" w:eastAsia="Times New Roman" w:hAnsi="Calibri"/>
                <w:w w:val="90"/>
                <w:sz w:val="20"/>
                <w:szCs w:val="20"/>
              </w:rPr>
            </w:pPr>
            <w:r w:rsidRPr="00C7452F">
              <w:rPr>
                <w:rFonts w:ascii="Calibri" w:eastAsia="Times New Roman" w:hAnsi="Calibri"/>
                <w:sz w:val="20"/>
                <w:szCs w:val="20"/>
                <w:lang w:eastAsia="en-AU"/>
              </w:rPr>
              <w:t>2</w:t>
            </w:r>
          </w:p>
        </w:tc>
      </w:tr>
      <w:tr w:rsidR="00EE1F52" w:rsidRPr="00C7452F" w14:paraId="17DB6AD9" w14:textId="77777777" w:rsidTr="0002380A">
        <w:tc>
          <w:tcPr>
            <w:tcW w:w="269" w:type="pct"/>
          </w:tcPr>
          <w:p w14:paraId="5438A37E" w14:textId="77777777" w:rsidR="00EE1F52" w:rsidRPr="00C7452F" w:rsidRDefault="00EE1F52" w:rsidP="0002380A">
            <w:pPr>
              <w:spacing w:before="60" w:after="60" w:line="240" w:lineRule="auto"/>
              <w:rPr>
                <w:rFonts w:ascii="Calibri" w:eastAsia="Times New Roman" w:hAnsi="Calibri"/>
                <w:sz w:val="20"/>
                <w:szCs w:val="20"/>
                <w:lang w:eastAsia="en-AU"/>
              </w:rPr>
            </w:pPr>
            <w:r w:rsidRPr="00C7452F">
              <w:rPr>
                <w:rFonts w:ascii="Calibri" w:eastAsia="Times New Roman" w:hAnsi="Calibri"/>
                <w:sz w:val="20"/>
                <w:szCs w:val="20"/>
                <w:lang w:eastAsia="en-AU"/>
              </w:rPr>
              <w:t>2.5</w:t>
            </w:r>
          </w:p>
        </w:tc>
        <w:tc>
          <w:tcPr>
            <w:tcW w:w="604" w:type="pct"/>
          </w:tcPr>
          <w:p w14:paraId="1BE4FAB5" w14:textId="77777777" w:rsidR="00EE1F52" w:rsidRPr="00C7452F" w:rsidRDefault="00EE1F52" w:rsidP="0002380A">
            <w:pPr>
              <w:spacing w:before="60" w:after="60" w:line="240" w:lineRule="auto"/>
              <w:rPr>
                <w:rFonts w:ascii="Calibri" w:eastAsia="Times New Roman" w:hAnsi="Calibri"/>
                <w:w w:val="90"/>
                <w:sz w:val="20"/>
                <w:szCs w:val="20"/>
              </w:rPr>
            </w:pPr>
            <w:r>
              <w:rPr>
                <w:rFonts w:ascii="Calibri" w:eastAsia="Times New Roman" w:hAnsi="Calibri"/>
                <w:w w:val="90"/>
                <w:sz w:val="20"/>
                <w:szCs w:val="20"/>
              </w:rPr>
              <w:t>District training initiative not fully embraced by PNTL</w:t>
            </w:r>
          </w:p>
        </w:tc>
        <w:tc>
          <w:tcPr>
            <w:tcW w:w="172" w:type="pct"/>
          </w:tcPr>
          <w:p w14:paraId="3A72B4BE" w14:textId="77777777" w:rsidR="00EE1F52" w:rsidRPr="00C7452F" w:rsidRDefault="00EE1F52" w:rsidP="0002380A">
            <w:pPr>
              <w:spacing w:before="60" w:after="60" w:line="240" w:lineRule="auto"/>
              <w:rPr>
                <w:rFonts w:ascii="Calibri" w:eastAsia="Times New Roman" w:hAnsi="Calibri"/>
                <w:sz w:val="20"/>
                <w:szCs w:val="20"/>
                <w:lang w:eastAsia="en-AU"/>
              </w:rPr>
            </w:pPr>
            <w:r>
              <w:rPr>
                <w:rFonts w:ascii="Calibri" w:eastAsia="Times New Roman" w:hAnsi="Calibri"/>
                <w:sz w:val="20"/>
                <w:szCs w:val="20"/>
                <w:lang w:eastAsia="en-AU"/>
              </w:rPr>
              <w:t>3</w:t>
            </w:r>
          </w:p>
        </w:tc>
        <w:tc>
          <w:tcPr>
            <w:tcW w:w="129" w:type="pct"/>
          </w:tcPr>
          <w:p w14:paraId="5D8C9F55" w14:textId="77777777" w:rsidR="00EE1F52" w:rsidRPr="00C7452F" w:rsidRDefault="00EE1F52" w:rsidP="0002380A">
            <w:pPr>
              <w:spacing w:before="60" w:after="60" w:line="240" w:lineRule="auto"/>
              <w:rPr>
                <w:rFonts w:ascii="Calibri" w:eastAsia="Times New Roman" w:hAnsi="Calibri"/>
                <w:sz w:val="20"/>
                <w:szCs w:val="20"/>
                <w:lang w:eastAsia="en-AU"/>
              </w:rPr>
            </w:pPr>
            <w:r w:rsidRPr="00C7452F">
              <w:rPr>
                <w:rFonts w:ascii="Calibri" w:eastAsia="Times New Roman" w:hAnsi="Calibri"/>
                <w:sz w:val="20"/>
                <w:szCs w:val="20"/>
                <w:lang w:eastAsia="en-AU"/>
              </w:rPr>
              <w:t>3</w:t>
            </w:r>
          </w:p>
        </w:tc>
        <w:tc>
          <w:tcPr>
            <w:tcW w:w="174" w:type="pct"/>
            <w:shd w:val="clear" w:color="auto" w:fill="FFFF00"/>
          </w:tcPr>
          <w:p w14:paraId="76C97690" w14:textId="77777777" w:rsidR="00EE1F52" w:rsidRPr="00C7452F" w:rsidRDefault="00EE1F52" w:rsidP="0002380A">
            <w:pPr>
              <w:spacing w:before="60" w:after="60" w:line="240" w:lineRule="auto"/>
              <w:rPr>
                <w:rFonts w:ascii="Calibri" w:eastAsia="Times New Roman" w:hAnsi="Calibri"/>
                <w:sz w:val="20"/>
                <w:szCs w:val="20"/>
                <w:lang w:eastAsia="en-AU"/>
              </w:rPr>
            </w:pPr>
            <w:r>
              <w:rPr>
                <w:rFonts w:ascii="Calibri" w:eastAsia="Times New Roman" w:hAnsi="Calibri"/>
                <w:sz w:val="20"/>
                <w:szCs w:val="20"/>
                <w:lang w:eastAsia="en-AU"/>
              </w:rPr>
              <w:t>2</w:t>
            </w:r>
          </w:p>
        </w:tc>
        <w:tc>
          <w:tcPr>
            <w:tcW w:w="1176" w:type="pct"/>
          </w:tcPr>
          <w:p w14:paraId="29D667BA" w14:textId="77777777" w:rsidR="00EE1F52" w:rsidRDefault="00EE1F52" w:rsidP="0002380A">
            <w:pPr>
              <w:spacing w:before="60" w:after="60" w:line="240" w:lineRule="auto"/>
              <w:rPr>
                <w:rFonts w:ascii="Calibri" w:eastAsia="Times New Roman" w:hAnsi="Calibri"/>
                <w:w w:val="90"/>
                <w:sz w:val="20"/>
                <w:szCs w:val="20"/>
              </w:rPr>
            </w:pPr>
            <w:r>
              <w:rPr>
                <w:rFonts w:ascii="Calibri" w:eastAsia="Times New Roman" w:hAnsi="Calibri"/>
                <w:w w:val="90"/>
                <w:sz w:val="20"/>
                <w:szCs w:val="20"/>
              </w:rPr>
              <w:t>Reduced impact of dependent initiatives</w:t>
            </w:r>
          </w:p>
          <w:p w14:paraId="21561653" w14:textId="77777777" w:rsidR="00EE1F52" w:rsidRDefault="00EE1F52" w:rsidP="0002380A">
            <w:pPr>
              <w:spacing w:before="60" w:after="60" w:line="240" w:lineRule="auto"/>
              <w:rPr>
                <w:rFonts w:ascii="Calibri" w:eastAsia="Times New Roman" w:hAnsi="Calibri"/>
                <w:w w:val="90"/>
                <w:sz w:val="20"/>
                <w:szCs w:val="20"/>
              </w:rPr>
            </w:pPr>
            <w:r>
              <w:rPr>
                <w:rFonts w:ascii="Calibri" w:eastAsia="Times New Roman" w:hAnsi="Calibri"/>
                <w:w w:val="90"/>
                <w:sz w:val="20"/>
                <w:szCs w:val="20"/>
              </w:rPr>
              <w:t>Temptation to return to expensive centralised unsustainable training</w:t>
            </w:r>
          </w:p>
          <w:p w14:paraId="7EA33A20" w14:textId="77777777" w:rsidR="00EE1F52" w:rsidRPr="00C7452F" w:rsidRDefault="00EE1F52" w:rsidP="0002380A">
            <w:pPr>
              <w:spacing w:before="60" w:after="60" w:line="240" w:lineRule="auto"/>
              <w:rPr>
                <w:rFonts w:ascii="Calibri" w:eastAsia="Times New Roman" w:hAnsi="Calibri"/>
                <w:w w:val="90"/>
                <w:sz w:val="20"/>
                <w:szCs w:val="20"/>
              </w:rPr>
            </w:pPr>
            <w:r w:rsidRPr="00C7452F">
              <w:rPr>
                <w:rFonts w:ascii="Calibri" w:eastAsia="Times New Roman" w:hAnsi="Calibri"/>
                <w:w w:val="90"/>
                <w:sz w:val="20"/>
                <w:szCs w:val="20"/>
              </w:rPr>
              <w:t xml:space="preserve"> </w:t>
            </w:r>
          </w:p>
        </w:tc>
        <w:tc>
          <w:tcPr>
            <w:tcW w:w="2000" w:type="pct"/>
          </w:tcPr>
          <w:p w14:paraId="56F9E4DF" w14:textId="77777777" w:rsidR="00EE1F52" w:rsidRDefault="00EE1F52" w:rsidP="0002380A">
            <w:pPr>
              <w:spacing w:before="60" w:after="60" w:line="240" w:lineRule="auto"/>
              <w:rPr>
                <w:rFonts w:ascii="Calibri" w:eastAsia="Times New Roman" w:hAnsi="Calibri"/>
                <w:w w:val="90"/>
                <w:sz w:val="20"/>
                <w:szCs w:val="20"/>
              </w:rPr>
            </w:pPr>
            <w:r>
              <w:rPr>
                <w:rFonts w:ascii="Calibri" w:eastAsia="Times New Roman" w:hAnsi="Calibri"/>
                <w:w w:val="90"/>
                <w:sz w:val="20"/>
                <w:szCs w:val="20"/>
              </w:rPr>
              <w:t>Socialise principles at all relevant levels to ensure understanding of benefits</w:t>
            </w:r>
          </w:p>
          <w:p w14:paraId="4BCE139B" w14:textId="77777777" w:rsidR="00EE1F52" w:rsidRDefault="00EE1F52" w:rsidP="0002380A">
            <w:pPr>
              <w:spacing w:before="60" w:after="60" w:line="240" w:lineRule="auto"/>
              <w:rPr>
                <w:rFonts w:ascii="Calibri" w:eastAsia="Times New Roman" w:hAnsi="Calibri"/>
                <w:w w:val="90"/>
                <w:sz w:val="20"/>
                <w:szCs w:val="20"/>
              </w:rPr>
            </w:pPr>
            <w:r>
              <w:rPr>
                <w:rFonts w:ascii="Calibri" w:eastAsia="Times New Roman" w:hAnsi="Calibri"/>
                <w:w w:val="90"/>
                <w:sz w:val="20"/>
                <w:szCs w:val="20"/>
              </w:rPr>
              <w:t xml:space="preserve">Encourage buy-in of leaders and relevant major players </w:t>
            </w:r>
          </w:p>
          <w:p w14:paraId="3BD2FDEC" w14:textId="77777777" w:rsidR="00EE1F52" w:rsidRPr="00C7452F" w:rsidRDefault="00EE1F52" w:rsidP="0002380A">
            <w:pPr>
              <w:spacing w:before="60" w:after="60" w:line="240" w:lineRule="auto"/>
              <w:rPr>
                <w:rFonts w:ascii="Calibri" w:eastAsia="Times New Roman" w:hAnsi="Calibri"/>
                <w:w w:val="90"/>
                <w:sz w:val="20"/>
                <w:szCs w:val="20"/>
              </w:rPr>
            </w:pPr>
          </w:p>
        </w:tc>
        <w:tc>
          <w:tcPr>
            <w:tcW w:w="286" w:type="pct"/>
          </w:tcPr>
          <w:p w14:paraId="28640DB1" w14:textId="77777777" w:rsidR="00EE1F52" w:rsidRPr="00C7452F" w:rsidRDefault="00EE1F52" w:rsidP="0002380A">
            <w:pPr>
              <w:spacing w:before="60" w:after="60" w:line="240" w:lineRule="auto"/>
              <w:rPr>
                <w:rFonts w:ascii="Calibri" w:eastAsia="Times New Roman" w:hAnsi="Calibri"/>
                <w:w w:val="90"/>
                <w:sz w:val="20"/>
                <w:szCs w:val="20"/>
              </w:rPr>
            </w:pPr>
            <w:r w:rsidRPr="00C7452F">
              <w:rPr>
                <w:rFonts w:ascii="Calibri" w:eastAsia="Times New Roman" w:hAnsi="Calibri"/>
                <w:w w:val="90"/>
                <w:sz w:val="20"/>
                <w:szCs w:val="20"/>
              </w:rPr>
              <w:t>Head of Program</w:t>
            </w:r>
          </w:p>
        </w:tc>
        <w:tc>
          <w:tcPr>
            <w:tcW w:w="190" w:type="pct"/>
            <w:shd w:val="clear" w:color="auto" w:fill="FFFF00"/>
          </w:tcPr>
          <w:p w14:paraId="216E19AB" w14:textId="77777777" w:rsidR="00EE1F52" w:rsidRPr="00C7452F" w:rsidRDefault="00EE1F52" w:rsidP="0002380A">
            <w:pPr>
              <w:spacing w:before="60" w:after="60" w:line="240" w:lineRule="auto"/>
              <w:rPr>
                <w:rFonts w:ascii="Calibri" w:eastAsia="Times New Roman" w:hAnsi="Calibri"/>
                <w:w w:val="90"/>
                <w:sz w:val="20"/>
                <w:szCs w:val="20"/>
              </w:rPr>
            </w:pPr>
            <w:r w:rsidRPr="00C7452F">
              <w:rPr>
                <w:rFonts w:ascii="Calibri" w:eastAsia="Times New Roman" w:hAnsi="Calibri"/>
                <w:sz w:val="20"/>
                <w:szCs w:val="20"/>
                <w:lang w:eastAsia="en-AU"/>
              </w:rPr>
              <w:t>2</w:t>
            </w:r>
          </w:p>
        </w:tc>
      </w:tr>
      <w:tr w:rsidR="00EE1F52" w:rsidRPr="00C7452F" w14:paraId="3E87B480" w14:textId="77777777" w:rsidTr="0002380A">
        <w:tc>
          <w:tcPr>
            <w:tcW w:w="269" w:type="pct"/>
          </w:tcPr>
          <w:p w14:paraId="579EC35F" w14:textId="77777777" w:rsidR="00EE1F52" w:rsidRPr="00C7452F" w:rsidRDefault="00EE1F52" w:rsidP="0002380A">
            <w:pPr>
              <w:spacing w:before="60" w:after="60" w:line="240" w:lineRule="auto"/>
              <w:rPr>
                <w:rFonts w:ascii="Calibri" w:eastAsia="Times New Roman" w:hAnsi="Calibri"/>
                <w:sz w:val="20"/>
                <w:szCs w:val="20"/>
                <w:lang w:eastAsia="en-AU"/>
              </w:rPr>
            </w:pPr>
            <w:r w:rsidRPr="00C7452F">
              <w:rPr>
                <w:rFonts w:ascii="Calibri" w:eastAsia="Times New Roman" w:hAnsi="Calibri"/>
                <w:sz w:val="20"/>
                <w:szCs w:val="20"/>
                <w:lang w:eastAsia="en-AU"/>
              </w:rPr>
              <w:t>2.6</w:t>
            </w:r>
          </w:p>
        </w:tc>
        <w:tc>
          <w:tcPr>
            <w:tcW w:w="604" w:type="pct"/>
          </w:tcPr>
          <w:p w14:paraId="00BA0ABA" w14:textId="77777777" w:rsidR="00EE1F52" w:rsidRPr="00C7452F" w:rsidRDefault="00EE1F52" w:rsidP="0002380A">
            <w:pPr>
              <w:spacing w:before="60" w:after="60" w:line="240" w:lineRule="auto"/>
              <w:rPr>
                <w:rFonts w:ascii="Calibri" w:eastAsia="Times New Roman" w:hAnsi="Calibri"/>
                <w:w w:val="90"/>
                <w:sz w:val="20"/>
                <w:szCs w:val="20"/>
              </w:rPr>
            </w:pPr>
            <w:r>
              <w:rPr>
                <w:rFonts w:ascii="Calibri" w:eastAsia="Times New Roman" w:hAnsi="Calibri"/>
                <w:w w:val="90"/>
                <w:sz w:val="20"/>
                <w:szCs w:val="20"/>
              </w:rPr>
              <w:t>Local technology and infrastructure insufficient to sustain the IMS initiative</w:t>
            </w:r>
            <w:r w:rsidRPr="00C7452F">
              <w:rPr>
                <w:rFonts w:ascii="Calibri" w:eastAsia="Times New Roman" w:hAnsi="Calibri"/>
                <w:w w:val="90"/>
                <w:sz w:val="20"/>
                <w:szCs w:val="20"/>
              </w:rPr>
              <w:t xml:space="preserve"> </w:t>
            </w:r>
          </w:p>
        </w:tc>
        <w:tc>
          <w:tcPr>
            <w:tcW w:w="172" w:type="pct"/>
          </w:tcPr>
          <w:p w14:paraId="7C3A34AB" w14:textId="77777777" w:rsidR="00EE1F52" w:rsidRPr="00C7452F" w:rsidRDefault="00EE1F52" w:rsidP="0002380A">
            <w:pPr>
              <w:spacing w:before="60" w:after="60" w:line="240" w:lineRule="auto"/>
              <w:rPr>
                <w:rFonts w:ascii="Calibri" w:eastAsia="Times New Roman" w:hAnsi="Calibri"/>
                <w:sz w:val="20"/>
                <w:szCs w:val="20"/>
                <w:lang w:eastAsia="en-AU"/>
              </w:rPr>
            </w:pPr>
            <w:r>
              <w:rPr>
                <w:rFonts w:ascii="Calibri" w:eastAsia="Times New Roman" w:hAnsi="Calibri"/>
                <w:sz w:val="20"/>
                <w:szCs w:val="20"/>
                <w:lang w:eastAsia="en-AU"/>
              </w:rPr>
              <w:t>4</w:t>
            </w:r>
          </w:p>
        </w:tc>
        <w:tc>
          <w:tcPr>
            <w:tcW w:w="129" w:type="pct"/>
          </w:tcPr>
          <w:p w14:paraId="60037FAD" w14:textId="77777777" w:rsidR="00EE1F52" w:rsidRPr="00C7452F" w:rsidRDefault="00EE1F52" w:rsidP="0002380A">
            <w:pPr>
              <w:spacing w:before="60" w:after="60" w:line="240" w:lineRule="auto"/>
              <w:rPr>
                <w:rFonts w:ascii="Calibri" w:eastAsia="Times New Roman" w:hAnsi="Calibri"/>
                <w:sz w:val="20"/>
                <w:szCs w:val="20"/>
                <w:lang w:eastAsia="en-AU"/>
              </w:rPr>
            </w:pPr>
            <w:r w:rsidRPr="00C7452F">
              <w:rPr>
                <w:rFonts w:ascii="Calibri" w:eastAsia="Times New Roman" w:hAnsi="Calibri"/>
                <w:sz w:val="20"/>
                <w:szCs w:val="20"/>
                <w:lang w:eastAsia="en-AU"/>
              </w:rPr>
              <w:t>5</w:t>
            </w:r>
          </w:p>
        </w:tc>
        <w:tc>
          <w:tcPr>
            <w:tcW w:w="174" w:type="pct"/>
            <w:shd w:val="clear" w:color="auto" w:fill="FF0000"/>
          </w:tcPr>
          <w:p w14:paraId="01460950" w14:textId="77777777" w:rsidR="00EE1F52" w:rsidRPr="00C7452F" w:rsidRDefault="00EE1F52" w:rsidP="0002380A">
            <w:pPr>
              <w:spacing w:before="60" w:after="60" w:line="240" w:lineRule="auto"/>
              <w:rPr>
                <w:rFonts w:ascii="Calibri" w:eastAsia="Times New Roman" w:hAnsi="Calibri"/>
                <w:sz w:val="20"/>
                <w:szCs w:val="20"/>
                <w:lang w:eastAsia="en-AU"/>
              </w:rPr>
            </w:pPr>
            <w:r w:rsidRPr="00C7452F">
              <w:rPr>
                <w:rFonts w:ascii="Calibri" w:eastAsia="Times New Roman" w:hAnsi="Calibri"/>
                <w:sz w:val="20"/>
                <w:szCs w:val="20"/>
                <w:lang w:eastAsia="en-AU"/>
              </w:rPr>
              <w:t>4</w:t>
            </w:r>
          </w:p>
        </w:tc>
        <w:tc>
          <w:tcPr>
            <w:tcW w:w="1176" w:type="pct"/>
          </w:tcPr>
          <w:p w14:paraId="76DFE008" w14:textId="77777777" w:rsidR="00EE1F52" w:rsidRDefault="00EE1F52" w:rsidP="0002380A">
            <w:pPr>
              <w:spacing w:before="60" w:after="60" w:line="240" w:lineRule="auto"/>
              <w:rPr>
                <w:rFonts w:ascii="Calibri" w:eastAsia="Times New Roman" w:hAnsi="Calibri"/>
                <w:w w:val="90"/>
                <w:sz w:val="20"/>
                <w:szCs w:val="20"/>
              </w:rPr>
            </w:pPr>
            <w:r>
              <w:rPr>
                <w:rFonts w:ascii="Calibri" w:eastAsia="Times New Roman" w:hAnsi="Calibri"/>
                <w:w w:val="90"/>
                <w:sz w:val="20"/>
                <w:szCs w:val="20"/>
              </w:rPr>
              <w:t>The system could fail without ongoing maintenance and support</w:t>
            </w:r>
          </w:p>
          <w:p w14:paraId="05A285ED" w14:textId="77777777" w:rsidR="00EE1F52" w:rsidRDefault="00EE1F52" w:rsidP="0002380A">
            <w:pPr>
              <w:spacing w:before="60" w:after="60" w:line="240" w:lineRule="auto"/>
              <w:rPr>
                <w:rFonts w:ascii="Calibri" w:eastAsia="Times New Roman" w:hAnsi="Calibri"/>
                <w:w w:val="90"/>
                <w:sz w:val="20"/>
                <w:szCs w:val="20"/>
              </w:rPr>
            </w:pPr>
            <w:r>
              <w:rPr>
                <w:rFonts w:ascii="Calibri" w:eastAsia="Times New Roman" w:hAnsi="Calibri"/>
                <w:w w:val="90"/>
                <w:sz w:val="20"/>
                <w:szCs w:val="20"/>
              </w:rPr>
              <w:t>IMS does not realise its potential for the PNTL</w:t>
            </w:r>
          </w:p>
          <w:p w14:paraId="46F88D12" w14:textId="77777777" w:rsidR="00EE1F52" w:rsidRDefault="00EE1F52" w:rsidP="0002380A">
            <w:pPr>
              <w:spacing w:before="60" w:after="60" w:line="240" w:lineRule="auto"/>
              <w:rPr>
                <w:rFonts w:ascii="Calibri" w:eastAsia="Times New Roman" w:hAnsi="Calibri"/>
                <w:w w:val="90"/>
                <w:sz w:val="20"/>
                <w:szCs w:val="20"/>
              </w:rPr>
            </w:pPr>
            <w:r>
              <w:rPr>
                <w:rFonts w:ascii="Calibri" w:eastAsia="Times New Roman" w:hAnsi="Calibri"/>
                <w:w w:val="90"/>
                <w:sz w:val="20"/>
                <w:szCs w:val="20"/>
              </w:rPr>
              <w:t>Dependent initiatives do not reach full potential</w:t>
            </w:r>
          </w:p>
          <w:p w14:paraId="4848B950" w14:textId="77777777" w:rsidR="00EE1F52" w:rsidRPr="00C7452F" w:rsidRDefault="00EE1F52" w:rsidP="0002380A">
            <w:pPr>
              <w:spacing w:before="60" w:after="60" w:line="240" w:lineRule="auto"/>
              <w:rPr>
                <w:rFonts w:ascii="Calibri" w:eastAsia="Times New Roman" w:hAnsi="Calibri"/>
                <w:w w:val="90"/>
                <w:sz w:val="20"/>
                <w:szCs w:val="20"/>
              </w:rPr>
            </w:pPr>
          </w:p>
          <w:p w14:paraId="28FA20BC" w14:textId="77777777" w:rsidR="00EE1F52" w:rsidRPr="00C7452F" w:rsidRDefault="00EE1F52" w:rsidP="0002380A">
            <w:pPr>
              <w:spacing w:before="60" w:after="60" w:line="240" w:lineRule="auto"/>
              <w:rPr>
                <w:rFonts w:ascii="Calibri" w:eastAsia="Times New Roman" w:hAnsi="Calibri"/>
                <w:w w:val="90"/>
                <w:sz w:val="20"/>
                <w:szCs w:val="20"/>
              </w:rPr>
            </w:pPr>
            <w:r w:rsidRPr="00C7452F">
              <w:rPr>
                <w:rFonts w:ascii="Calibri" w:eastAsia="Times New Roman" w:hAnsi="Calibri"/>
                <w:w w:val="90"/>
                <w:sz w:val="20"/>
                <w:szCs w:val="20"/>
              </w:rPr>
              <w:t xml:space="preserve"> </w:t>
            </w:r>
          </w:p>
        </w:tc>
        <w:tc>
          <w:tcPr>
            <w:tcW w:w="2000" w:type="pct"/>
          </w:tcPr>
          <w:p w14:paraId="1EC68AA4" w14:textId="77777777" w:rsidR="00EE1F52" w:rsidRPr="00C7452F" w:rsidRDefault="00EE1F52" w:rsidP="0002380A">
            <w:pPr>
              <w:spacing w:before="60" w:after="60" w:line="240" w:lineRule="auto"/>
              <w:rPr>
                <w:rFonts w:ascii="Calibri" w:eastAsia="Times New Roman" w:hAnsi="Calibri"/>
                <w:w w:val="90"/>
                <w:sz w:val="20"/>
                <w:szCs w:val="20"/>
              </w:rPr>
            </w:pPr>
            <w:r>
              <w:rPr>
                <w:rFonts w:ascii="Calibri" w:eastAsia="Times New Roman" w:hAnsi="Calibri"/>
                <w:w w:val="90"/>
                <w:sz w:val="20"/>
                <w:szCs w:val="20"/>
              </w:rPr>
              <w:t>Support the PNTL to establish a budget and maintenance schedule for IMS</w:t>
            </w:r>
          </w:p>
          <w:p w14:paraId="41C16DD9" w14:textId="77777777" w:rsidR="00EE1F52" w:rsidRDefault="00EE1F52" w:rsidP="0002380A">
            <w:pPr>
              <w:spacing w:before="60" w:after="60" w:line="240" w:lineRule="auto"/>
              <w:rPr>
                <w:rFonts w:ascii="Calibri" w:eastAsia="Times New Roman" w:hAnsi="Calibri"/>
                <w:w w:val="90"/>
                <w:sz w:val="20"/>
                <w:szCs w:val="20"/>
              </w:rPr>
            </w:pPr>
            <w:r>
              <w:rPr>
                <w:rFonts w:ascii="Calibri" w:eastAsia="Times New Roman" w:hAnsi="Calibri"/>
                <w:w w:val="90"/>
                <w:sz w:val="20"/>
                <w:szCs w:val="20"/>
              </w:rPr>
              <w:t>Identify a local solution for IMS maintenance and upgrade</w:t>
            </w:r>
          </w:p>
          <w:p w14:paraId="34A0077B" w14:textId="77777777" w:rsidR="00EE1F52" w:rsidRPr="00C7452F" w:rsidRDefault="00EE1F52" w:rsidP="0002380A">
            <w:pPr>
              <w:spacing w:before="60" w:after="60" w:line="240" w:lineRule="auto"/>
              <w:rPr>
                <w:rFonts w:ascii="Calibri" w:eastAsia="Times New Roman" w:hAnsi="Calibri"/>
                <w:w w:val="90"/>
                <w:sz w:val="20"/>
                <w:szCs w:val="20"/>
              </w:rPr>
            </w:pPr>
            <w:r>
              <w:rPr>
                <w:rFonts w:ascii="Calibri" w:eastAsia="Times New Roman" w:hAnsi="Calibri"/>
                <w:w w:val="90"/>
                <w:sz w:val="20"/>
                <w:szCs w:val="20"/>
              </w:rPr>
              <w:t>Consider manual data back-up systems in the advent of IMS failure</w:t>
            </w:r>
          </w:p>
          <w:p w14:paraId="7A4BD7DD" w14:textId="77777777" w:rsidR="00EE1F52" w:rsidRPr="00C7452F" w:rsidRDefault="00EE1F52" w:rsidP="0002380A">
            <w:pPr>
              <w:spacing w:before="60" w:after="60" w:line="240" w:lineRule="auto"/>
              <w:rPr>
                <w:rFonts w:ascii="Calibri" w:eastAsia="Times New Roman" w:hAnsi="Calibri"/>
                <w:w w:val="90"/>
                <w:sz w:val="20"/>
                <w:szCs w:val="20"/>
              </w:rPr>
            </w:pPr>
            <w:r w:rsidRPr="00C7452F">
              <w:rPr>
                <w:rFonts w:ascii="Calibri" w:eastAsia="Times New Roman" w:hAnsi="Calibri"/>
                <w:w w:val="90"/>
                <w:sz w:val="20"/>
                <w:szCs w:val="20"/>
              </w:rPr>
              <w:t xml:space="preserve"> </w:t>
            </w:r>
          </w:p>
        </w:tc>
        <w:tc>
          <w:tcPr>
            <w:tcW w:w="286" w:type="pct"/>
          </w:tcPr>
          <w:p w14:paraId="4AA545DA" w14:textId="77777777" w:rsidR="00EE1F52" w:rsidRPr="00C7452F" w:rsidRDefault="00EE1F52" w:rsidP="0002380A">
            <w:pPr>
              <w:spacing w:before="60" w:after="60" w:line="240" w:lineRule="auto"/>
              <w:rPr>
                <w:rFonts w:ascii="Calibri" w:eastAsia="Times New Roman" w:hAnsi="Calibri"/>
                <w:w w:val="90"/>
                <w:sz w:val="20"/>
                <w:szCs w:val="20"/>
              </w:rPr>
            </w:pPr>
            <w:r w:rsidRPr="00C7452F">
              <w:rPr>
                <w:rFonts w:ascii="Calibri" w:eastAsia="Times New Roman" w:hAnsi="Calibri"/>
                <w:w w:val="90"/>
                <w:sz w:val="20"/>
                <w:szCs w:val="20"/>
              </w:rPr>
              <w:t xml:space="preserve">Head of Program </w:t>
            </w:r>
          </w:p>
          <w:p w14:paraId="41758CBE" w14:textId="77777777" w:rsidR="00EE1F52" w:rsidRPr="00C7452F" w:rsidRDefault="00EE1F52" w:rsidP="0002380A">
            <w:pPr>
              <w:spacing w:before="60" w:after="60" w:line="240" w:lineRule="auto"/>
              <w:rPr>
                <w:rFonts w:ascii="Calibri" w:eastAsia="Times New Roman" w:hAnsi="Calibri"/>
                <w:w w:val="90"/>
                <w:sz w:val="20"/>
                <w:szCs w:val="20"/>
              </w:rPr>
            </w:pPr>
          </w:p>
        </w:tc>
        <w:tc>
          <w:tcPr>
            <w:tcW w:w="190" w:type="pct"/>
            <w:shd w:val="clear" w:color="auto" w:fill="FF0000"/>
          </w:tcPr>
          <w:p w14:paraId="55A538FA" w14:textId="77777777" w:rsidR="00EE1F52" w:rsidRPr="00C7452F" w:rsidRDefault="00EE1F52" w:rsidP="0002380A">
            <w:pPr>
              <w:spacing w:before="60" w:after="60" w:line="240" w:lineRule="auto"/>
              <w:rPr>
                <w:rFonts w:ascii="Calibri" w:eastAsia="Times New Roman" w:hAnsi="Calibri"/>
                <w:w w:val="90"/>
                <w:sz w:val="20"/>
                <w:szCs w:val="20"/>
              </w:rPr>
            </w:pPr>
            <w:r>
              <w:rPr>
                <w:rFonts w:ascii="Calibri" w:eastAsia="Times New Roman" w:hAnsi="Calibri"/>
                <w:sz w:val="20"/>
                <w:szCs w:val="20"/>
                <w:lang w:eastAsia="en-AU"/>
              </w:rPr>
              <w:t>4</w:t>
            </w:r>
          </w:p>
        </w:tc>
      </w:tr>
      <w:tr w:rsidR="00EE1F52" w:rsidRPr="00C7452F" w14:paraId="3AE2B7B8" w14:textId="77777777" w:rsidTr="0002380A">
        <w:tc>
          <w:tcPr>
            <w:tcW w:w="269" w:type="pct"/>
          </w:tcPr>
          <w:p w14:paraId="772458A1" w14:textId="77777777" w:rsidR="00EE1F52" w:rsidRPr="00C7452F" w:rsidRDefault="00EE1F52" w:rsidP="0002380A">
            <w:pPr>
              <w:spacing w:before="60" w:after="60" w:line="240" w:lineRule="auto"/>
              <w:rPr>
                <w:rFonts w:ascii="Calibri" w:eastAsia="Times New Roman" w:hAnsi="Calibri"/>
                <w:sz w:val="20"/>
                <w:szCs w:val="20"/>
                <w:lang w:eastAsia="en-AU"/>
              </w:rPr>
            </w:pPr>
            <w:r w:rsidRPr="00C7452F">
              <w:rPr>
                <w:rFonts w:ascii="Calibri" w:eastAsia="Times New Roman" w:hAnsi="Calibri"/>
                <w:sz w:val="20"/>
                <w:szCs w:val="20"/>
                <w:lang w:eastAsia="en-AU"/>
              </w:rPr>
              <w:t>2.7</w:t>
            </w:r>
          </w:p>
        </w:tc>
        <w:tc>
          <w:tcPr>
            <w:tcW w:w="604" w:type="pct"/>
          </w:tcPr>
          <w:p w14:paraId="4869194A" w14:textId="77777777" w:rsidR="00EE1F52" w:rsidRPr="00C7452F" w:rsidRDefault="00EE1F52" w:rsidP="0002380A">
            <w:pPr>
              <w:spacing w:before="60" w:after="60" w:line="240" w:lineRule="auto"/>
              <w:rPr>
                <w:rFonts w:ascii="Calibri" w:eastAsia="Times New Roman" w:hAnsi="Calibri"/>
                <w:w w:val="90"/>
                <w:sz w:val="20"/>
                <w:szCs w:val="20"/>
              </w:rPr>
            </w:pPr>
            <w:r>
              <w:rPr>
                <w:rFonts w:ascii="Calibri" w:eastAsia="Times New Roman" w:hAnsi="Calibri"/>
                <w:w w:val="90"/>
                <w:sz w:val="20"/>
                <w:szCs w:val="20"/>
              </w:rPr>
              <w:t>Insufficient partnering and collaboration between TLPDP and other programs and organisations</w:t>
            </w:r>
          </w:p>
        </w:tc>
        <w:tc>
          <w:tcPr>
            <w:tcW w:w="172" w:type="pct"/>
          </w:tcPr>
          <w:p w14:paraId="02FC0F04" w14:textId="77777777" w:rsidR="00EE1F52" w:rsidRPr="00C7452F" w:rsidRDefault="00EE1F52" w:rsidP="0002380A">
            <w:pPr>
              <w:spacing w:before="60" w:after="60" w:line="240" w:lineRule="auto"/>
              <w:rPr>
                <w:rFonts w:ascii="Calibri" w:eastAsia="Times New Roman" w:hAnsi="Calibri"/>
                <w:sz w:val="20"/>
                <w:szCs w:val="20"/>
                <w:lang w:eastAsia="en-AU"/>
              </w:rPr>
            </w:pPr>
            <w:r w:rsidRPr="00C7452F">
              <w:rPr>
                <w:rFonts w:ascii="Calibri" w:eastAsia="Times New Roman" w:hAnsi="Calibri"/>
                <w:sz w:val="20"/>
                <w:szCs w:val="20"/>
                <w:lang w:eastAsia="en-AU"/>
              </w:rPr>
              <w:t>3</w:t>
            </w:r>
          </w:p>
        </w:tc>
        <w:tc>
          <w:tcPr>
            <w:tcW w:w="129" w:type="pct"/>
          </w:tcPr>
          <w:p w14:paraId="1AD8CBD8" w14:textId="77777777" w:rsidR="00EE1F52" w:rsidRPr="00C7452F" w:rsidRDefault="00EE1F52" w:rsidP="0002380A">
            <w:pPr>
              <w:spacing w:before="60" w:after="60" w:line="240" w:lineRule="auto"/>
              <w:rPr>
                <w:rFonts w:ascii="Calibri" w:eastAsia="Times New Roman" w:hAnsi="Calibri"/>
                <w:sz w:val="20"/>
                <w:szCs w:val="20"/>
                <w:lang w:eastAsia="en-AU"/>
              </w:rPr>
            </w:pPr>
            <w:r>
              <w:rPr>
                <w:rFonts w:ascii="Calibri" w:eastAsia="Times New Roman" w:hAnsi="Calibri"/>
                <w:sz w:val="20"/>
                <w:szCs w:val="20"/>
                <w:lang w:eastAsia="en-AU"/>
              </w:rPr>
              <w:t>3</w:t>
            </w:r>
          </w:p>
        </w:tc>
        <w:tc>
          <w:tcPr>
            <w:tcW w:w="174" w:type="pct"/>
            <w:shd w:val="clear" w:color="auto" w:fill="FFC000"/>
          </w:tcPr>
          <w:p w14:paraId="0A10EA93" w14:textId="77777777" w:rsidR="00EE1F52" w:rsidRPr="00C7452F" w:rsidRDefault="00EE1F52" w:rsidP="0002380A">
            <w:pPr>
              <w:spacing w:before="60" w:after="60" w:line="240" w:lineRule="auto"/>
              <w:rPr>
                <w:rFonts w:ascii="Calibri" w:eastAsia="Times New Roman" w:hAnsi="Calibri"/>
                <w:sz w:val="20"/>
                <w:szCs w:val="20"/>
                <w:lang w:eastAsia="en-AU"/>
              </w:rPr>
            </w:pPr>
            <w:r>
              <w:rPr>
                <w:rFonts w:ascii="Calibri" w:eastAsia="Times New Roman" w:hAnsi="Calibri"/>
                <w:sz w:val="20"/>
                <w:szCs w:val="20"/>
                <w:lang w:eastAsia="en-AU"/>
              </w:rPr>
              <w:t>3</w:t>
            </w:r>
          </w:p>
        </w:tc>
        <w:tc>
          <w:tcPr>
            <w:tcW w:w="1176" w:type="pct"/>
          </w:tcPr>
          <w:p w14:paraId="4603D05C" w14:textId="6A841B3E" w:rsidR="00EE1F52" w:rsidRDefault="00EE1F52" w:rsidP="0002380A">
            <w:pPr>
              <w:spacing w:before="60" w:after="60" w:line="240" w:lineRule="auto"/>
              <w:rPr>
                <w:rFonts w:ascii="Calibri" w:eastAsia="Times New Roman" w:hAnsi="Calibri"/>
                <w:w w:val="90"/>
                <w:sz w:val="20"/>
                <w:szCs w:val="20"/>
              </w:rPr>
            </w:pPr>
            <w:r>
              <w:rPr>
                <w:rFonts w:ascii="Calibri" w:eastAsia="Times New Roman" w:hAnsi="Calibri"/>
                <w:w w:val="90"/>
                <w:sz w:val="20"/>
                <w:szCs w:val="20"/>
              </w:rPr>
              <w:t>Loss of opp</w:t>
            </w:r>
            <w:r w:rsidR="003A0268">
              <w:rPr>
                <w:rFonts w:ascii="Calibri" w:eastAsia="Times New Roman" w:hAnsi="Calibri"/>
                <w:w w:val="90"/>
                <w:sz w:val="20"/>
                <w:szCs w:val="20"/>
              </w:rPr>
              <w:t>ortunities and benefits to the P</w:t>
            </w:r>
            <w:r>
              <w:rPr>
                <w:rFonts w:ascii="Calibri" w:eastAsia="Times New Roman" w:hAnsi="Calibri"/>
                <w:w w:val="90"/>
                <w:sz w:val="20"/>
                <w:szCs w:val="20"/>
              </w:rPr>
              <w:t>rogram and some initiatives</w:t>
            </w:r>
          </w:p>
          <w:p w14:paraId="1B5D33CA" w14:textId="77777777" w:rsidR="00EE1F52" w:rsidRPr="00C7452F" w:rsidRDefault="00EE1F52" w:rsidP="0002380A">
            <w:pPr>
              <w:spacing w:before="60" w:after="60" w:line="240" w:lineRule="auto"/>
              <w:rPr>
                <w:rFonts w:ascii="Calibri" w:eastAsia="Times New Roman" w:hAnsi="Calibri"/>
                <w:w w:val="90"/>
                <w:sz w:val="20"/>
                <w:szCs w:val="20"/>
              </w:rPr>
            </w:pPr>
            <w:r>
              <w:rPr>
                <w:rFonts w:ascii="Calibri" w:eastAsia="Times New Roman" w:hAnsi="Calibri"/>
                <w:w w:val="90"/>
                <w:sz w:val="20"/>
                <w:szCs w:val="20"/>
              </w:rPr>
              <w:t>Initiatives requiring a collaborative approach (</w:t>
            </w:r>
            <w:proofErr w:type="gramStart"/>
            <w:r>
              <w:rPr>
                <w:rFonts w:ascii="Calibri" w:eastAsia="Times New Roman" w:hAnsi="Calibri"/>
                <w:w w:val="90"/>
                <w:sz w:val="20"/>
                <w:szCs w:val="20"/>
              </w:rPr>
              <w:t>e.g.</w:t>
            </w:r>
            <w:proofErr w:type="gramEnd"/>
            <w:r>
              <w:rPr>
                <w:rFonts w:ascii="Calibri" w:eastAsia="Times New Roman" w:hAnsi="Calibri"/>
                <w:w w:val="90"/>
                <w:sz w:val="20"/>
                <w:szCs w:val="20"/>
              </w:rPr>
              <w:t xml:space="preserve"> TNC) would not reach full potential</w:t>
            </w:r>
          </w:p>
          <w:p w14:paraId="6198821B" w14:textId="77777777" w:rsidR="00EE1F52" w:rsidRPr="00C7452F" w:rsidRDefault="00EE1F52" w:rsidP="0002380A">
            <w:pPr>
              <w:spacing w:before="60" w:after="60" w:line="240" w:lineRule="auto"/>
              <w:rPr>
                <w:rFonts w:ascii="Calibri" w:eastAsia="Times New Roman" w:hAnsi="Calibri"/>
                <w:w w:val="90"/>
                <w:sz w:val="20"/>
                <w:szCs w:val="20"/>
              </w:rPr>
            </w:pPr>
            <w:r>
              <w:rPr>
                <w:rFonts w:ascii="Calibri" w:eastAsia="Times New Roman" w:hAnsi="Calibri"/>
                <w:w w:val="90"/>
                <w:sz w:val="20"/>
                <w:szCs w:val="20"/>
              </w:rPr>
              <w:lastRenderedPageBreak/>
              <w:t>Program’s limited resources are not maximised</w:t>
            </w:r>
          </w:p>
          <w:p w14:paraId="32C428B7" w14:textId="44B33619" w:rsidR="00EE1F52" w:rsidRPr="00C7452F" w:rsidRDefault="003A0268" w:rsidP="0002380A">
            <w:pPr>
              <w:spacing w:before="60" w:after="60" w:line="240" w:lineRule="auto"/>
              <w:rPr>
                <w:rFonts w:ascii="Calibri" w:eastAsia="Times New Roman" w:hAnsi="Calibri"/>
                <w:w w:val="90"/>
                <w:sz w:val="20"/>
                <w:szCs w:val="20"/>
              </w:rPr>
            </w:pPr>
            <w:r>
              <w:rPr>
                <w:rFonts w:ascii="Calibri" w:eastAsia="Times New Roman" w:hAnsi="Calibri"/>
                <w:w w:val="90"/>
                <w:sz w:val="20"/>
                <w:szCs w:val="20"/>
              </w:rPr>
              <w:t>Some P</w:t>
            </w:r>
            <w:r w:rsidR="00EE1F52">
              <w:rPr>
                <w:rFonts w:ascii="Calibri" w:eastAsia="Times New Roman" w:hAnsi="Calibri"/>
                <w:w w:val="90"/>
                <w:sz w:val="20"/>
                <w:szCs w:val="20"/>
              </w:rPr>
              <w:t>rogram outcomes not achieved</w:t>
            </w:r>
            <w:r w:rsidR="00EE1F52" w:rsidRPr="00C7452F">
              <w:rPr>
                <w:rFonts w:ascii="Calibri" w:eastAsia="Times New Roman" w:hAnsi="Calibri"/>
                <w:w w:val="90"/>
                <w:sz w:val="20"/>
                <w:szCs w:val="20"/>
              </w:rPr>
              <w:t xml:space="preserve"> </w:t>
            </w:r>
          </w:p>
        </w:tc>
        <w:tc>
          <w:tcPr>
            <w:tcW w:w="2000" w:type="pct"/>
          </w:tcPr>
          <w:p w14:paraId="2A5AC554" w14:textId="77777777" w:rsidR="00EE1F52" w:rsidRPr="00C7452F" w:rsidRDefault="00EE1F52" w:rsidP="0002380A">
            <w:pPr>
              <w:spacing w:before="60" w:after="60" w:line="240" w:lineRule="auto"/>
              <w:rPr>
                <w:rFonts w:ascii="Calibri" w:eastAsia="Times New Roman" w:hAnsi="Calibri"/>
                <w:w w:val="90"/>
                <w:sz w:val="20"/>
                <w:szCs w:val="20"/>
              </w:rPr>
            </w:pPr>
            <w:r>
              <w:rPr>
                <w:rFonts w:ascii="Calibri" w:eastAsia="Times New Roman" w:hAnsi="Calibri"/>
                <w:w w:val="90"/>
                <w:sz w:val="20"/>
                <w:szCs w:val="20"/>
              </w:rPr>
              <w:lastRenderedPageBreak/>
              <w:t>Formalise and schedule engagement with other relevant programs and organisations</w:t>
            </w:r>
          </w:p>
          <w:p w14:paraId="775100FA" w14:textId="77777777" w:rsidR="00EE1F52" w:rsidRPr="00C7452F" w:rsidRDefault="00EE1F52" w:rsidP="0002380A">
            <w:pPr>
              <w:spacing w:before="60" w:after="60" w:line="240" w:lineRule="auto"/>
              <w:rPr>
                <w:rFonts w:ascii="Calibri" w:eastAsia="Times New Roman" w:hAnsi="Calibri"/>
                <w:w w:val="90"/>
                <w:sz w:val="20"/>
                <w:szCs w:val="20"/>
              </w:rPr>
            </w:pPr>
            <w:r>
              <w:rPr>
                <w:rFonts w:ascii="Calibri" w:eastAsia="Times New Roman" w:hAnsi="Calibri"/>
                <w:w w:val="90"/>
                <w:sz w:val="20"/>
                <w:szCs w:val="20"/>
              </w:rPr>
              <w:t xml:space="preserve">Facilitate PNTL leadership in community forums and collaborations </w:t>
            </w:r>
          </w:p>
          <w:p w14:paraId="799F7260" w14:textId="77777777" w:rsidR="00EE1F52" w:rsidRDefault="00EE1F52" w:rsidP="0002380A">
            <w:pPr>
              <w:spacing w:before="60" w:after="60" w:line="240" w:lineRule="auto"/>
              <w:rPr>
                <w:rFonts w:ascii="Calibri" w:eastAsia="Times New Roman" w:hAnsi="Calibri"/>
                <w:w w:val="90"/>
                <w:sz w:val="20"/>
                <w:szCs w:val="20"/>
              </w:rPr>
            </w:pPr>
          </w:p>
          <w:p w14:paraId="74F3BAF1" w14:textId="77777777" w:rsidR="00EE1F52" w:rsidRDefault="00EE1F52" w:rsidP="0002380A">
            <w:pPr>
              <w:spacing w:before="60" w:after="60" w:line="240" w:lineRule="auto"/>
              <w:rPr>
                <w:rFonts w:ascii="Calibri" w:eastAsia="Times New Roman" w:hAnsi="Calibri"/>
                <w:w w:val="90"/>
                <w:sz w:val="20"/>
                <w:szCs w:val="20"/>
              </w:rPr>
            </w:pPr>
          </w:p>
          <w:p w14:paraId="4557A94F" w14:textId="77777777" w:rsidR="00EE1F52" w:rsidRDefault="00EE1F52" w:rsidP="0002380A">
            <w:pPr>
              <w:spacing w:before="60" w:after="60" w:line="240" w:lineRule="auto"/>
              <w:rPr>
                <w:rFonts w:ascii="Calibri" w:eastAsia="Times New Roman" w:hAnsi="Calibri"/>
                <w:w w:val="90"/>
                <w:sz w:val="20"/>
                <w:szCs w:val="20"/>
              </w:rPr>
            </w:pPr>
          </w:p>
          <w:p w14:paraId="4F071BFB" w14:textId="77777777" w:rsidR="00EE1F52" w:rsidRDefault="00EE1F52" w:rsidP="0002380A">
            <w:pPr>
              <w:spacing w:before="60" w:after="60" w:line="240" w:lineRule="auto"/>
              <w:rPr>
                <w:rFonts w:ascii="Calibri" w:eastAsia="Times New Roman" w:hAnsi="Calibri"/>
                <w:w w:val="90"/>
                <w:sz w:val="20"/>
                <w:szCs w:val="20"/>
              </w:rPr>
            </w:pPr>
          </w:p>
          <w:p w14:paraId="5EC955AE" w14:textId="77777777" w:rsidR="00EE1F52" w:rsidRDefault="00EE1F52" w:rsidP="0002380A">
            <w:pPr>
              <w:spacing w:before="60" w:after="60" w:line="240" w:lineRule="auto"/>
              <w:rPr>
                <w:rFonts w:ascii="Calibri" w:eastAsia="Times New Roman" w:hAnsi="Calibri"/>
                <w:w w:val="90"/>
                <w:sz w:val="20"/>
                <w:szCs w:val="20"/>
              </w:rPr>
            </w:pPr>
          </w:p>
          <w:p w14:paraId="6CE8EAD2" w14:textId="77777777" w:rsidR="00EE1F52" w:rsidRPr="00C7452F" w:rsidRDefault="00EE1F52" w:rsidP="0002380A">
            <w:pPr>
              <w:spacing w:before="60" w:after="60" w:line="240" w:lineRule="auto"/>
              <w:rPr>
                <w:rFonts w:ascii="Calibri" w:eastAsia="Times New Roman" w:hAnsi="Calibri"/>
                <w:w w:val="90"/>
                <w:sz w:val="20"/>
                <w:szCs w:val="20"/>
              </w:rPr>
            </w:pPr>
          </w:p>
        </w:tc>
        <w:tc>
          <w:tcPr>
            <w:tcW w:w="286" w:type="pct"/>
          </w:tcPr>
          <w:p w14:paraId="3E8568BC" w14:textId="77777777" w:rsidR="00EE1F52" w:rsidRPr="00C7452F" w:rsidRDefault="00EE1F52" w:rsidP="0002380A">
            <w:pPr>
              <w:spacing w:before="60" w:after="60" w:line="240" w:lineRule="auto"/>
              <w:rPr>
                <w:rFonts w:ascii="Calibri" w:eastAsia="Times New Roman" w:hAnsi="Calibri"/>
                <w:w w:val="90"/>
                <w:sz w:val="20"/>
                <w:szCs w:val="20"/>
              </w:rPr>
            </w:pPr>
            <w:r w:rsidRPr="00C7452F">
              <w:rPr>
                <w:rFonts w:ascii="Calibri" w:eastAsia="Times New Roman" w:hAnsi="Calibri"/>
                <w:w w:val="90"/>
                <w:sz w:val="20"/>
                <w:szCs w:val="20"/>
              </w:rPr>
              <w:lastRenderedPageBreak/>
              <w:t>Head of Program</w:t>
            </w:r>
          </w:p>
        </w:tc>
        <w:tc>
          <w:tcPr>
            <w:tcW w:w="190" w:type="pct"/>
            <w:shd w:val="clear" w:color="auto" w:fill="FFC000"/>
          </w:tcPr>
          <w:p w14:paraId="1F0FC419" w14:textId="77777777" w:rsidR="00EE1F52" w:rsidRPr="00C7452F" w:rsidRDefault="00EE1F52" w:rsidP="0002380A">
            <w:pPr>
              <w:spacing w:before="60" w:after="60" w:line="240" w:lineRule="auto"/>
              <w:rPr>
                <w:rFonts w:ascii="Calibri" w:eastAsia="Times New Roman" w:hAnsi="Calibri"/>
                <w:w w:val="90"/>
                <w:sz w:val="20"/>
                <w:szCs w:val="20"/>
              </w:rPr>
            </w:pPr>
            <w:r w:rsidRPr="00C7452F">
              <w:rPr>
                <w:rFonts w:ascii="Calibri" w:eastAsia="Times New Roman" w:hAnsi="Calibri"/>
                <w:sz w:val="20"/>
                <w:szCs w:val="20"/>
                <w:lang w:eastAsia="en-AU"/>
              </w:rPr>
              <w:t>3</w:t>
            </w:r>
          </w:p>
        </w:tc>
      </w:tr>
      <w:tr w:rsidR="00017EAE" w:rsidRPr="00C7452F" w14:paraId="19ED64A3" w14:textId="77777777" w:rsidTr="00017EAE">
        <w:tc>
          <w:tcPr>
            <w:tcW w:w="269" w:type="pct"/>
            <w:shd w:val="clear" w:color="auto" w:fill="8DB3E2" w:themeFill="text2" w:themeFillTint="66"/>
          </w:tcPr>
          <w:p w14:paraId="26C42F73" w14:textId="7BF9ED8A" w:rsidR="00017EAE" w:rsidRPr="00C7452F" w:rsidRDefault="00017EAE" w:rsidP="00017EAE">
            <w:pPr>
              <w:spacing w:before="60" w:after="60" w:line="240" w:lineRule="auto"/>
              <w:rPr>
                <w:rFonts w:ascii="Calibri" w:eastAsia="Times New Roman" w:hAnsi="Calibri"/>
                <w:sz w:val="20"/>
                <w:szCs w:val="20"/>
                <w:lang w:eastAsia="en-AU"/>
              </w:rPr>
            </w:pPr>
            <w:r>
              <w:rPr>
                <w:rFonts w:ascii="Calibri" w:eastAsia="Times New Roman" w:hAnsi="Calibri"/>
                <w:sz w:val="20"/>
                <w:szCs w:val="20"/>
                <w:lang w:eastAsia="en-AU"/>
              </w:rPr>
              <w:t>3</w:t>
            </w:r>
          </w:p>
        </w:tc>
        <w:tc>
          <w:tcPr>
            <w:tcW w:w="604" w:type="pct"/>
            <w:shd w:val="clear" w:color="auto" w:fill="8DB3E2" w:themeFill="text2" w:themeFillTint="66"/>
          </w:tcPr>
          <w:p w14:paraId="4F5D0A32" w14:textId="3226222D" w:rsidR="00017EAE" w:rsidRPr="00C7452F" w:rsidRDefault="00017EAE" w:rsidP="00017EAE">
            <w:pPr>
              <w:spacing w:before="60" w:after="60" w:line="240" w:lineRule="auto"/>
              <w:rPr>
                <w:rFonts w:ascii="Calibri" w:eastAsia="Times New Roman" w:hAnsi="Calibri"/>
                <w:w w:val="90"/>
                <w:sz w:val="20"/>
                <w:szCs w:val="20"/>
              </w:rPr>
            </w:pPr>
            <w:r w:rsidRPr="00C7452F">
              <w:rPr>
                <w:rFonts w:ascii="Calibri" w:eastAsia="Times New Roman" w:hAnsi="Calibri"/>
                <w:w w:val="90"/>
                <w:sz w:val="20"/>
                <w:szCs w:val="20"/>
              </w:rPr>
              <w:t>Institutional Risks</w:t>
            </w:r>
          </w:p>
        </w:tc>
        <w:tc>
          <w:tcPr>
            <w:tcW w:w="172" w:type="pct"/>
            <w:shd w:val="clear" w:color="auto" w:fill="8DB3E2" w:themeFill="text2" w:themeFillTint="66"/>
          </w:tcPr>
          <w:p w14:paraId="3F5D1294" w14:textId="77777777" w:rsidR="00017EAE" w:rsidRPr="00C7452F" w:rsidRDefault="00017EAE" w:rsidP="00017EAE">
            <w:pPr>
              <w:spacing w:before="60" w:after="60" w:line="240" w:lineRule="auto"/>
              <w:rPr>
                <w:rFonts w:ascii="Calibri" w:eastAsia="Times New Roman" w:hAnsi="Calibri"/>
                <w:sz w:val="20"/>
                <w:szCs w:val="20"/>
                <w:lang w:eastAsia="en-AU"/>
              </w:rPr>
            </w:pPr>
          </w:p>
        </w:tc>
        <w:tc>
          <w:tcPr>
            <w:tcW w:w="129" w:type="pct"/>
            <w:shd w:val="clear" w:color="auto" w:fill="8DB3E2" w:themeFill="text2" w:themeFillTint="66"/>
          </w:tcPr>
          <w:p w14:paraId="709E9F9D" w14:textId="77777777" w:rsidR="00017EAE" w:rsidRPr="00C7452F" w:rsidRDefault="00017EAE" w:rsidP="00017EAE">
            <w:pPr>
              <w:spacing w:before="60" w:after="60" w:line="240" w:lineRule="auto"/>
              <w:rPr>
                <w:rFonts w:ascii="Calibri" w:eastAsia="Times New Roman" w:hAnsi="Calibri"/>
                <w:sz w:val="20"/>
                <w:szCs w:val="20"/>
                <w:lang w:eastAsia="en-AU"/>
              </w:rPr>
            </w:pPr>
          </w:p>
        </w:tc>
        <w:tc>
          <w:tcPr>
            <w:tcW w:w="174" w:type="pct"/>
            <w:shd w:val="clear" w:color="auto" w:fill="8DB3E2" w:themeFill="text2" w:themeFillTint="66"/>
          </w:tcPr>
          <w:p w14:paraId="105E40CD" w14:textId="77777777" w:rsidR="00017EAE" w:rsidRPr="00C7452F" w:rsidRDefault="00017EAE" w:rsidP="00017EAE">
            <w:pPr>
              <w:spacing w:before="60" w:after="60" w:line="240" w:lineRule="auto"/>
              <w:rPr>
                <w:rFonts w:ascii="Calibri" w:eastAsia="Times New Roman" w:hAnsi="Calibri"/>
                <w:sz w:val="20"/>
                <w:szCs w:val="20"/>
                <w:lang w:eastAsia="en-AU"/>
              </w:rPr>
            </w:pPr>
          </w:p>
        </w:tc>
        <w:tc>
          <w:tcPr>
            <w:tcW w:w="1176" w:type="pct"/>
            <w:shd w:val="clear" w:color="auto" w:fill="8DB3E2" w:themeFill="text2" w:themeFillTint="66"/>
          </w:tcPr>
          <w:p w14:paraId="0AE8A835" w14:textId="77777777" w:rsidR="00017EAE" w:rsidRPr="00C7452F" w:rsidRDefault="00017EAE" w:rsidP="00017EAE">
            <w:pPr>
              <w:spacing w:before="60" w:after="60" w:line="240" w:lineRule="auto"/>
              <w:rPr>
                <w:rFonts w:ascii="Calibri" w:eastAsia="Times New Roman" w:hAnsi="Calibri"/>
                <w:w w:val="90"/>
                <w:sz w:val="20"/>
                <w:szCs w:val="20"/>
              </w:rPr>
            </w:pPr>
          </w:p>
        </w:tc>
        <w:tc>
          <w:tcPr>
            <w:tcW w:w="2000" w:type="pct"/>
            <w:shd w:val="clear" w:color="auto" w:fill="8DB3E2" w:themeFill="text2" w:themeFillTint="66"/>
          </w:tcPr>
          <w:p w14:paraId="1A89A16B" w14:textId="77777777" w:rsidR="00017EAE" w:rsidRPr="00C7452F" w:rsidRDefault="00017EAE" w:rsidP="00017EAE">
            <w:pPr>
              <w:spacing w:before="60" w:after="60" w:line="240" w:lineRule="auto"/>
              <w:rPr>
                <w:rFonts w:ascii="Calibri" w:eastAsia="Times New Roman" w:hAnsi="Calibri"/>
                <w:w w:val="90"/>
                <w:sz w:val="20"/>
                <w:szCs w:val="20"/>
              </w:rPr>
            </w:pPr>
          </w:p>
        </w:tc>
        <w:tc>
          <w:tcPr>
            <w:tcW w:w="286" w:type="pct"/>
            <w:shd w:val="clear" w:color="auto" w:fill="8DB3E2" w:themeFill="text2" w:themeFillTint="66"/>
          </w:tcPr>
          <w:p w14:paraId="2D024723" w14:textId="77777777" w:rsidR="00017EAE" w:rsidRPr="00C7452F" w:rsidRDefault="00017EAE" w:rsidP="00017EAE">
            <w:pPr>
              <w:spacing w:before="60" w:after="60" w:line="240" w:lineRule="auto"/>
              <w:rPr>
                <w:rFonts w:ascii="Calibri" w:eastAsia="Times New Roman" w:hAnsi="Calibri"/>
                <w:w w:val="90"/>
                <w:sz w:val="20"/>
                <w:szCs w:val="20"/>
              </w:rPr>
            </w:pPr>
          </w:p>
        </w:tc>
        <w:tc>
          <w:tcPr>
            <w:tcW w:w="190" w:type="pct"/>
            <w:shd w:val="clear" w:color="auto" w:fill="8DB3E2" w:themeFill="text2" w:themeFillTint="66"/>
          </w:tcPr>
          <w:p w14:paraId="4B6FC535" w14:textId="77777777" w:rsidR="00017EAE" w:rsidRPr="00C7452F" w:rsidRDefault="00017EAE" w:rsidP="00017EAE">
            <w:pPr>
              <w:spacing w:before="60" w:after="60" w:line="240" w:lineRule="auto"/>
              <w:rPr>
                <w:rFonts w:ascii="Calibri" w:eastAsia="Times New Roman" w:hAnsi="Calibri"/>
                <w:sz w:val="20"/>
                <w:szCs w:val="20"/>
                <w:lang w:eastAsia="en-AU"/>
              </w:rPr>
            </w:pPr>
          </w:p>
        </w:tc>
      </w:tr>
      <w:tr w:rsidR="00017EAE" w:rsidRPr="00C7452F" w14:paraId="31A8C938" w14:textId="77777777" w:rsidTr="0002380A">
        <w:tc>
          <w:tcPr>
            <w:tcW w:w="269" w:type="pct"/>
          </w:tcPr>
          <w:p w14:paraId="53A279F1" w14:textId="77777777" w:rsidR="00017EAE" w:rsidRPr="00C7452F" w:rsidRDefault="00017EAE" w:rsidP="00017EAE">
            <w:pPr>
              <w:spacing w:before="60" w:after="60" w:line="240" w:lineRule="auto"/>
              <w:rPr>
                <w:rFonts w:ascii="Calibri" w:eastAsia="Times New Roman" w:hAnsi="Calibri"/>
                <w:sz w:val="20"/>
                <w:szCs w:val="20"/>
                <w:lang w:eastAsia="en-AU"/>
              </w:rPr>
            </w:pPr>
            <w:r w:rsidRPr="00C7452F">
              <w:rPr>
                <w:rFonts w:ascii="Calibri" w:eastAsia="Times New Roman" w:hAnsi="Calibri"/>
                <w:sz w:val="20"/>
                <w:szCs w:val="20"/>
                <w:lang w:eastAsia="en-AU"/>
              </w:rPr>
              <w:t>3.1</w:t>
            </w:r>
          </w:p>
        </w:tc>
        <w:tc>
          <w:tcPr>
            <w:tcW w:w="604" w:type="pct"/>
          </w:tcPr>
          <w:p w14:paraId="1B2D04F8" w14:textId="77777777" w:rsidR="00017EAE" w:rsidRPr="00C7452F" w:rsidRDefault="00017EAE" w:rsidP="00017EAE">
            <w:pPr>
              <w:spacing w:before="60" w:after="60" w:line="240" w:lineRule="auto"/>
              <w:rPr>
                <w:rFonts w:ascii="Calibri" w:eastAsia="Times New Roman" w:hAnsi="Calibri"/>
                <w:w w:val="90"/>
                <w:sz w:val="20"/>
                <w:szCs w:val="20"/>
              </w:rPr>
            </w:pPr>
            <w:r w:rsidRPr="00C7452F">
              <w:rPr>
                <w:rFonts w:ascii="Calibri" w:eastAsia="Times New Roman" w:hAnsi="Calibri"/>
                <w:w w:val="90"/>
                <w:sz w:val="20"/>
                <w:szCs w:val="20"/>
              </w:rPr>
              <w:t>Poor relations</w:t>
            </w:r>
            <w:r>
              <w:rPr>
                <w:rFonts w:ascii="Calibri" w:eastAsia="Times New Roman" w:hAnsi="Calibri"/>
                <w:w w:val="90"/>
                <w:sz w:val="20"/>
                <w:szCs w:val="20"/>
              </w:rPr>
              <w:t>hip between PNTL</w:t>
            </w:r>
            <w:r w:rsidRPr="00C7452F">
              <w:rPr>
                <w:rFonts w:ascii="Calibri" w:eastAsia="Times New Roman" w:hAnsi="Calibri"/>
                <w:w w:val="90"/>
                <w:sz w:val="20"/>
                <w:szCs w:val="20"/>
              </w:rPr>
              <w:t xml:space="preserve"> and </w:t>
            </w:r>
            <w:r>
              <w:rPr>
                <w:rFonts w:ascii="Calibri" w:eastAsia="Times New Roman" w:hAnsi="Calibri"/>
                <w:w w:val="90"/>
                <w:sz w:val="20"/>
                <w:szCs w:val="20"/>
              </w:rPr>
              <w:t>TLPDP</w:t>
            </w:r>
          </w:p>
        </w:tc>
        <w:tc>
          <w:tcPr>
            <w:tcW w:w="172" w:type="pct"/>
          </w:tcPr>
          <w:p w14:paraId="29245F95" w14:textId="77777777" w:rsidR="00017EAE" w:rsidRPr="00C7452F" w:rsidRDefault="00017EAE" w:rsidP="00017EAE">
            <w:pPr>
              <w:spacing w:before="60" w:after="60" w:line="240" w:lineRule="auto"/>
              <w:rPr>
                <w:rFonts w:ascii="Calibri" w:eastAsia="Times New Roman" w:hAnsi="Calibri"/>
                <w:sz w:val="20"/>
                <w:szCs w:val="20"/>
                <w:lang w:eastAsia="en-AU"/>
              </w:rPr>
            </w:pPr>
            <w:r w:rsidRPr="00C7452F">
              <w:rPr>
                <w:rFonts w:ascii="Calibri" w:eastAsia="Times New Roman" w:hAnsi="Calibri"/>
                <w:sz w:val="20"/>
                <w:szCs w:val="20"/>
                <w:lang w:eastAsia="en-AU"/>
              </w:rPr>
              <w:t>2</w:t>
            </w:r>
          </w:p>
        </w:tc>
        <w:tc>
          <w:tcPr>
            <w:tcW w:w="129" w:type="pct"/>
          </w:tcPr>
          <w:p w14:paraId="7373A786" w14:textId="77777777" w:rsidR="00017EAE" w:rsidRPr="00C7452F" w:rsidRDefault="00017EAE" w:rsidP="00017EAE">
            <w:pPr>
              <w:spacing w:before="60" w:after="60" w:line="240" w:lineRule="auto"/>
              <w:rPr>
                <w:rFonts w:ascii="Calibri" w:eastAsia="Times New Roman" w:hAnsi="Calibri"/>
                <w:sz w:val="20"/>
                <w:szCs w:val="20"/>
                <w:lang w:eastAsia="en-AU"/>
              </w:rPr>
            </w:pPr>
            <w:r w:rsidRPr="00C7452F">
              <w:rPr>
                <w:rFonts w:ascii="Calibri" w:eastAsia="Times New Roman" w:hAnsi="Calibri"/>
                <w:sz w:val="20"/>
                <w:szCs w:val="20"/>
                <w:lang w:eastAsia="en-AU"/>
              </w:rPr>
              <w:t>4</w:t>
            </w:r>
          </w:p>
        </w:tc>
        <w:tc>
          <w:tcPr>
            <w:tcW w:w="174" w:type="pct"/>
            <w:shd w:val="clear" w:color="auto" w:fill="FFFF00"/>
          </w:tcPr>
          <w:p w14:paraId="36EEBC10" w14:textId="77777777" w:rsidR="00017EAE" w:rsidRPr="00C7452F" w:rsidRDefault="00017EAE" w:rsidP="00017EAE">
            <w:pPr>
              <w:spacing w:before="60" w:after="60" w:line="240" w:lineRule="auto"/>
              <w:rPr>
                <w:rFonts w:ascii="Calibri" w:eastAsia="Times New Roman" w:hAnsi="Calibri"/>
                <w:sz w:val="20"/>
                <w:szCs w:val="20"/>
                <w:lang w:eastAsia="en-AU"/>
              </w:rPr>
            </w:pPr>
            <w:r w:rsidRPr="00C7452F">
              <w:rPr>
                <w:rFonts w:ascii="Calibri" w:eastAsia="Times New Roman" w:hAnsi="Calibri"/>
                <w:sz w:val="20"/>
                <w:szCs w:val="20"/>
                <w:lang w:eastAsia="en-AU"/>
              </w:rPr>
              <w:t>2</w:t>
            </w:r>
          </w:p>
        </w:tc>
        <w:tc>
          <w:tcPr>
            <w:tcW w:w="1176" w:type="pct"/>
          </w:tcPr>
          <w:p w14:paraId="7FB1795E" w14:textId="77777777" w:rsidR="00017EAE" w:rsidRPr="00C7452F" w:rsidRDefault="00017EAE" w:rsidP="00017EAE">
            <w:pPr>
              <w:spacing w:before="60" w:after="60" w:line="240" w:lineRule="auto"/>
              <w:rPr>
                <w:rFonts w:ascii="Calibri" w:eastAsia="Times New Roman" w:hAnsi="Calibri"/>
                <w:w w:val="90"/>
                <w:sz w:val="20"/>
                <w:szCs w:val="20"/>
              </w:rPr>
            </w:pPr>
            <w:r w:rsidRPr="00C7452F">
              <w:rPr>
                <w:rFonts w:ascii="Calibri" w:eastAsia="Times New Roman" w:hAnsi="Calibri"/>
                <w:w w:val="90"/>
                <w:sz w:val="20"/>
                <w:szCs w:val="20"/>
              </w:rPr>
              <w:t>Limited access to key partners</w:t>
            </w:r>
          </w:p>
          <w:p w14:paraId="5689F6E5" w14:textId="77777777" w:rsidR="00017EAE" w:rsidRPr="00C7452F" w:rsidRDefault="00017EAE" w:rsidP="00017EAE">
            <w:pPr>
              <w:spacing w:before="60" w:after="60" w:line="240" w:lineRule="auto"/>
              <w:rPr>
                <w:rFonts w:ascii="Calibri" w:eastAsia="Times New Roman" w:hAnsi="Calibri"/>
                <w:w w:val="90"/>
                <w:sz w:val="20"/>
                <w:szCs w:val="20"/>
              </w:rPr>
            </w:pPr>
            <w:r w:rsidRPr="00C7452F">
              <w:rPr>
                <w:rFonts w:ascii="Calibri" w:eastAsia="Times New Roman" w:hAnsi="Calibri"/>
                <w:w w:val="90"/>
                <w:sz w:val="20"/>
                <w:szCs w:val="20"/>
              </w:rPr>
              <w:t xml:space="preserve">May lead to passive or active resistance on the part of </w:t>
            </w:r>
            <w:r>
              <w:rPr>
                <w:rFonts w:ascii="Calibri" w:eastAsia="Times New Roman" w:hAnsi="Calibri"/>
                <w:w w:val="90"/>
                <w:sz w:val="20"/>
                <w:szCs w:val="20"/>
              </w:rPr>
              <w:t>PNTL</w:t>
            </w:r>
            <w:r w:rsidRPr="00C7452F">
              <w:rPr>
                <w:rFonts w:ascii="Calibri" w:eastAsia="Times New Roman" w:hAnsi="Calibri"/>
                <w:w w:val="90"/>
                <w:sz w:val="20"/>
                <w:szCs w:val="20"/>
              </w:rPr>
              <w:t xml:space="preserve"> </w:t>
            </w:r>
          </w:p>
          <w:p w14:paraId="05D190AD" w14:textId="77777777" w:rsidR="00017EAE" w:rsidRPr="00C7452F" w:rsidRDefault="00017EAE" w:rsidP="00017EAE">
            <w:pPr>
              <w:spacing w:before="60" w:after="60" w:line="240" w:lineRule="auto"/>
              <w:rPr>
                <w:rFonts w:ascii="Calibri" w:eastAsia="Times New Roman" w:hAnsi="Calibri"/>
                <w:w w:val="90"/>
                <w:sz w:val="20"/>
                <w:szCs w:val="20"/>
              </w:rPr>
            </w:pPr>
            <w:r w:rsidRPr="00C7452F">
              <w:rPr>
                <w:rFonts w:ascii="Calibri" w:eastAsia="Times New Roman" w:hAnsi="Calibri"/>
                <w:w w:val="90"/>
                <w:sz w:val="20"/>
                <w:szCs w:val="20"/>
              </w:rPr>
              <w:t>Overall, would undermine the ability of the Program to achieve its objectives</w:t>
            </w:r>
          </w:p>
        </w:tc>
        <w:tc>
          <w:tcPr>
            <w:tcW w:w="2000" w:type="pct"/>
          </w:tcPr>
          <w:p w14:paraId="53A7FC63" w14:textId="77777777" w:rsidR="00017EAE" w:rsidRPr="00C7452F" w:rsidRDefault="00017EAE" w:rsidP="00017EAE">
            <w:pPr>
              <w:spacing w:before="60" w:after="60" w:line="240" w:lineRule="auto"/>
              <w:rPr>
                <w:rFonts w:ascii="Calibri" w:eastAsia="Times New Roman" w:hAnsi="Calibri"/>
                <w:w w:val="90"/>
                <w:sz w:val="20"/>
                <w:szCs w:val="20"/>
              </w:rPr>
            </w:pPr>
            <w:r w:rsidRPr="00C7452F">
              <w:rPr>
                <w:rFonts w:ascii="Calibri" w:eastAsia="Times New Roman" w:hAnsi="Calibri"/>
                <w:w w:val="90"/>
                <w:sz w:val="20"/>
                <w:szCs w:val="20"/>
              </w:rPr>
              <w:t>Clear and agreed Program oversight mechanisms</w:t>
            </w:r>
            <w:r>
              <w:rPr>
                <w:rFonts w:ascii="Calibri" w:eastAsia="Times New Roman" w:hAnsi="Calibri"/>
                <w:w w:val="90"/>
                <w:sz w:val="20"/>
                <w:szCs w:val="20"/>
              </w:rPr>
              <w:t xml:space="preserve"> including PCB</w:t>
            </w:r>
          </w:p>
          <w:p w14:paraId="6E8A3D00" w14:textId="77777777" w:rsidR="00017EAE" w:rsidRPr="00C7452F" w:rsidRDefault="00017EAE" w:rsidP="00017EAE">
            <w:pPr>
              <w:spacing w:before="60" w:after="60" w:line="240" w:lineRule="auto"/>
              <w:rPr>
                <w:rFonts w:ascii="Calibri" w:eastAsia="Times New Roman" w:hAnsi="Calibri"/>
                <w:w w:val="90"/>
                <w:sz w:val="20"/>
                <w:szCs w:val="20"/>
              </w:rPr>
            </w:pPr>
            <w:r>
              <w:rPr>
                <w:rFonts w:ascii="Calibri" w:eastAsia="Times New Roman" w:hAnsi="Calibri"/>
                <w:w w:val="90"/>
                <w:sz w:val="20"/>
                <w:szCs w:val="20"/>
              </w:rPr>
              <w:t>Ensure a partnership approach to project and activity management</w:t>
            </w:r>
          </w:p>
          <w:p w14:paraId="48531D70" w14:textId="77777777" w:rsidR="00017EAE" w:rsidRPr="00C7452F" w:rsidRDefault="00017EAE" w:rsidP="00017EAE">
            <w:pPr>
              <w:spacing w:before="60" w:after="60" w:line="240" w:lineRule="auto"/>
              <w:rPr>
                <w:rFonts w:ascii="Calibri" w:eastAsia="Times New Roman" w:hAnsi="Calibri"/>
                <w:w w:val="90"/>
                <w:sz w:val="20"/>
                <w:szCs w:val="20"/>
              </w:rPr>
            </w:pPr>
            <w:r>
              <w:rPr>
                <w:rFonts w:ascii="Calibri" w:eastAsia="Times New Roman" w:hAnsi="Calibri"/>
                <w:w w:val="90"/>
                <w:sz w:val="20"/>
                <w:szCs w:val="20"/>
              </w:rPr>
              <w:t>Perform collaborative</w:t>
            </w:r>
            <w:r w:rsidRPr="00C7452F">
              <w:rPr>
                <w:rFonts w:ascii="Calibri" w:eastAsia="Times New Roman" w:hAnsi="Calibri"/>
                <w:w w:val="90"/>
                <w:sz w:val="20"/>
                <w:szCs w:val="20"/>
              </w:rPr>
              <w:t xml:space="preserve"> reflection process</w:t>
            </w:r>
            <w:r>
              <w:rPr>
                <w:rFonts w:ascii="Calibri" w:eastAsia="Times New Roman" w:hAnsi="Calibri"/>
                <w:w w:val="90"/>
                <w:sz w:val="20"/>
                <w:szCs w:val="20"/>
              </w:rPr>
              <w:t>es to learn from activity outcomes</w:t>
            </w:r>
            <w:r w:rsidRPr="00C7452F">
              <w:rPr>
                <w:rFonts w:ascii="Calibri" w:eastAsia="Times New Roman" w:hAnsi="Calibri"/>
                <w:w w:val="90"/>
                <w:sz w:val="20"/>
                <w:szCs w:val="20"/>
              </w:rPr>
              <w:t xml:space="preserve"> </w:t>
            </w:r>
          </w:p>
          <w:p w14:paraId="379D35DE" w14:textId="77777777" w:rsidR="00017EAE" w:rsidRPr="00C7452F" w:rsidRDefault="00017EAE" w:rsidP="00017EAE">
            <w:pPr>
              <w:spacing w:before="60" w:after="60" w:line="240" w:lineRule="auto"/>
              <w:rPr>
                <w:rFonts w:ascii="Calibri" w:eastAsia="Times New Roman" w:hAnsi="Calibri"/>
                <w:w w:val="90"/>
                <w:sz w:val="20"/>
                <w:szCs w:val="20"/>
              </w:rPr>
            </w:pPr>
          </w:p>
        </w:tc>
        <w:tc>
          <w:tcPr>
            <w:tcW w:w="286" w:type="pct"/>
          </w:tcPr>
          <w:p w14:paraId="252859DF" w14:textId="77777777" w:rsidR="00017EAE" w:rsidRPr="00C7452F" w:rsidRDefault="00017EAE" w:rsidP="00017EAE">
            <w:pPr>
              <w:spacing w:before="60" w:after="60" w:line="240" w:lineRule="auto"/>
              <w:rPr>
                <w:rFonts w:ascii="Calibri" w:eastAsia="Times New Roman" w:hAnsi="Calibri"/>
                <w:w w:val="90"/>
                <w:sz w:val="20"/>
                <w:szCs w:val="20"/>
              </w:rPr>
            </w:pPr>
            <w:r w:rsidRPr="00C7452F">
              <w:rPr>
                <w:rFonts w:ascii="Calibri" w:eastAsia="Times New Roman" w:hAnsi="Calibri"/>
                <w:w w:val="90"/>
                <w:sz w:val="20"/>
                <w:szCs w:val="20"/>
              </w:rPr>
              <w:t>Head of Program</w:t>
            </w:r>
          </w:p>
        </w:tc>
        <w:tc>
          <w:tcPr>
            <w:tcW w:w="190" w:type="pct"/>
            <w:shd w:val="clear" w:color="auto" w:fill="FFFF00"/>
          </w:tcPr>
          <w:p w14:paraId="180C79C9" w14:textId="77777777" w:rsidR="00017EAE" w:rsidRPr="00C7452F" w:rsidRDefault="00017EAE" w:rsidP="00017EAE">
            <w:pPr>
              <w:spacing w:before="60" w:after="60" w:line="240" w:lineRule="auto"/>
              <w:rPr>
                <w:rFonts w:ascii="Calibri" w:eastAsia="Times New Roman" w:hAnsi="Calibri"/>
                <w:w w:val="90"/>
                <w:sz w:val="20"/>
                <w:szCs w:val="20"/>
              </w:rPr>
            </w:pPr>
            <w:r w:rsidRPr="00C7452F">
              <w:rPr>
                <w:rFonts w:ascii="Calibri" w:eastAsia="Times New Roman" w:hAnsi="Calibri"/>
                <w:sz w:val="20"/>
                <w:szCs w:val="20"/>
                <w:lang w:eastAsia="en-AU"/>
              </w:rPr>
              <w:t>2</w:t>
            </w:r>
          </w:p>
        </w:tc>
      </w:tr>
      <w:tr w:rsidR="00017EAE" w:rsidRPr="00C7452F" w14:paraId="242C1B7E" w14:textId="77777777" w:rsidTr="0002380A">
        <w:trPr>
          <w:trHeight w:val="1410"/>
        </w:trPr>
        <w:tc>
          <w:tcPr>
            <w:tcW w:w="269" w:type="pct"/>
          </w:tcPr>
          <w:p w14:paraId="333C41D6" w14:textId="77777777" w:rsidR="00017EAE" w:rsidRPr="00C7452F" w:rsidRDefault="00017EAE" w:rsidP="00017EAE">
            <w:pPr>
              <w:spacing w:before="60" w:after="60" w:line="240" w:lineRule="auto"/>
              <w:rPr>
                <w:rFonts w:ascii="Calibri" w:eastAsia="Times New Roman" w:hAnsi="Calibri"/>
                <w:sz w:val="20"/>
                <w:szCs w:val="20"/>
                <w:lang w:eastAsia="en-AU"/>
              </w:rPr>
            </w:pPr>
            <w:r w:rsidRPr="00C7452F">
              <w:rPr>
                <w:rFonts w:ascii="Calibri" w:eastAsia="Times New Roman" w:hAnsi="Calibri"/>
                <w:sz w:val="20"/>
                <w:szCs w:val="20"/>
                <w:lang w:eastAsia="en-AU"/>
              </w:rPr>
              <w:t>3.2</w:t>
            </w:r>
          </w:p>
        </w:tc>
        <w:tc>
          <w:tcPr>
            <w:tcW w:w="604" w:type="pct"/>
          </w:tcPr>
          <w:p w14:paraId="29B67613" w14:textId="77777777" w:rsidR="00017EAE" w:rsidRPr="00C7452F" w:rsidRDefault="00017EAE" w:rsidP="00017EAE">
            <w:pPr>
              <w:spacing w:before="60" w:after="60" w:line="240" w:lineRule="auto"/>
              <w:rPr>
                <w:rFonts w:ascii="Calibri" w:eastAsia="Times New Roman" w:hAnsi="Calibri"/>
                <w:w w:val="90"/>
                <w:sz w:val="20"/>
                <w:szCs w:val="20"/>
              </w:rPr>
            </w:pPr>
            <w:r w:rsidRPr="00762B0F">
              <w:rPr>
                <w:rFonts w:ascii="Calibri" w:eastAsia="Times New Roman" w:hAnsi="Calibri"/>
                <w:w w:val="90"/>
                <w:sz w:val="20"/>
                <w:szCs w:val="20"/>
              </w:rPr>
              <w:t>Weak leadership in PNTL (resulting from changes)</w:t>
            </w:r>
          </w:p>
        </w:tc>
        <w:tc>
          <w:tcPr>
            <w:tcW w:w="172" w:type="pct"/>
          </w:tcPr>
          <w:p w14:paraId="57DC8DBE" w14:textId="77777777" w:rsidR="00017EAE" w:rsidRPr="00C7452F" w:rsidRDefault="00017EAE" w:rsidP="00017EAE">
            <w:pPr>
              <w:spacing w:before="60" w:after="60" w:line="240" w:lineRule="auto"/>
              <w:rPr>
                <w:rFonts w:ascii="Calibri" w:eastAsia="Times New Roman" w:hAnsi="Calibri"/>
                <w:sz w:val="20"/>
                <w:szCs w:val="20"/>
                <w:lang w:eastAsia="en-AU"/>
              </w:rPr>
            </w:pPr>
            <w:r w:rsidRPr="00C7452F">
              <w:rPr>
                <w:rFonts w:ascii="Calibri" w:eastAsia="Times New Roman" w:hAnsi="Calibri"/>
                <w:sz w:val="20"/>
                <w:szCs w:val="20"/>
                <w:lang w:eastAsia="en-AU"/>
              </w:rPr>
              <w:t>3</w:t>
            </w:r>
          </w:p>
        </w:tc>
        <w:tc>
          <w:tcPr>
            <w:tcW w:w="129" w:type="pct"/>
          </w:tcPr>
          <w:p w14:paraId="43369FDE" w14:textId="77777777" w:rsidR="00017EAE" w:rsidRPr="00C7452F" w:rsidRDefault="00017EAE" w:rsidP="00017EAE">
            <w:pPr>
              <w:spacing w:before="60" w:after="60" w:line="240" w:lineRule="auto"/>
              <w:rPr>
                <w:rFonts w:ascii="Calibri" w:eastAsia="Times New Roman" w:hAnsi="Calibri"/>
                <w:sz w:val="20"/>
                <w:szCs w:val="20"/>
                <w:lang w:eastAsia="en-AU"/>
              </w:rPr>
            </w:pPr>
            <w:r w:rsidRPr="00C7452F">
              <w:rPr>
                <w:rFonts w:ascii="Calibri" w:eastAsia="Times New Roman" w:hAnsi="Calibri"/>
                <w:sz w:val="20"/>
                <w:szCs w:val="20"/>
                <w:lang w:eastAsia="en-AU"/>
              </w:rPr>
              <w:t>3</w:t>
            </w:r>
          </w:p>
        </w:tc>
        <w:tc>
          <w:tcPr>
            <w:tcW w:w="174" w:type="pct"/>
            <w:shd w:val="clear" w:color="auto" w:fill="FFC000"/>
          </w:tcPr>
          <w:p w14:paraId="219FEC6E" w14:textId="77777777" w:rsidR="00017EAE" w:rsidRPr="00C7452F" w:rsidRDefault="00017EAE" w:rsidP="00017EAE">
            <w:pPr>
              <w:spacing w:before="60" w:after="60" w:line="240" w:lineRule="auto"/>
              <w:rPr>
                <w:rFonts w:ascii="Calibri" w:eastAsia="Times New Roman" w:hAnsi="Calibri"/>
                <w:sz w:val="20"/>
                <w:szCs w:val="20"/>
                <w:lang w:eastAsia="en-AU"/>
              </w:rPr>
            </w:pPr>
            <w:r w:rsidRPr="00C7452F">
              <w:rPr>
                <w:rFonts w:ascii="Calibri" w:eastAsia="Times New Roman" w:hAnsi="Calibri"/>
                <w:sz w:val="20"/>
                <w:szCs w:val="20"/>
                <w:lang w:eastAsia="en-AU"/>
              </w:rPr>
              <w:t>3</w:t>
            </w:r>
          </w:p>
        </w:tc>
        <w:tc>
          <w:tcPr>
            <w:tcW w:w="1176" w:type="pct"/>
          </w:tcPr>
          <w:p w14:paraId="0F3DF734" w14:textId="77777777" w:rsidR="00017EAE" w:rsidRPr="00762B0F" w:rsidRDefault="00017EAE" w:rsidP="00017EAE">
            <w:pPr>
              <w:spacing w:before="60" w:after="60" w:line="240" w:lineRule="auto"/>
              <w:rPr>
                <w:rFonts w:ascii="Calibri" w:eastAsia="Times New Roman" w:hAnsi="Calibri"/>
                <w:w w:val="90"/>
                <w:sz w:val="20"/>
                <w:szCs w:val="20"/>
              </w:rPr>
            </w:pPr>
            <w:r w:rsidRPr="00762B0F">
              <w:rPr>
                <w:rFonts w:ascii="Calibri" w:eastAsia="Times New Roman" w:hAnsi="Calibri"/>
                <w:w w:val="90"/>
                <w:sz w:val="20"/>
                <w:szCs w:val="20"/>
              </w:rPr>
              <w:t>Undermines objectives of the Program</w:t>
            </w:r>
          </w:p>
          <w:p w14:paraId="5741450E" w14:textId="77777777" w:rsidR="00017EAE" w:rsidRPr="00762B0F" w:rsidRDefault="00017EAE" w:rsidP="00017EAE">
            <w:pPr>
              <w:spacing w:before="60" w:after="60" w:line="240" w:lineRule="auto"/>
              <w:rPr>
                <w:rFonts w:ascii="Calibri" w:eastAsia="Times New Roman" w:hAnsi="Calibri"/>
                <w:w w:val="90"/>
                <w:sz w:val="20"/>
                <w:szCs w:val="20"/>
              </w:rPr>
            </w:pPr>
            <w:r w:rsidRPr="00762B0F">
              <w:rPr>
                <w:rFonts w:ascii="Calibri" w:eastAsia="Times New Roman" w:hAnsi="Calibri"/>
                <w:w w:val="90"/>
                <w:sz w:val="20"/>
                <w:szCs w:val="20"/>
              </w:rPr>
              <w:t xml:space="preserve">Risks gains already made (when strong leaders are replaced) </w:t>
            </w:r>
          </w:p>
          <w:p w14:paraId="7E0308A4" w14:textId="77777777" w:rsidR="00017EAE" w:rsidRPr="00C7452F" w:rsidRDefault="00017EAE" w:rsidP="00017EAE">
            <w:pPr>
              <w:spacing w:before="60" w:after="60" w:line="240" w:lineRule="auto"/>
              <w:rPr>
                <w:rFonts w:ascii="Calibri" w:eastAsia="Times New Roman" w:hAnsi="Calibri"/>
                <w:w w:val="90"/>
                <w:sz w:val="20"/>
                <w:szCs w:val="20"/>
              </w:rPr>
            </w:pPr>
            <w:r w:rsidRPr="00762B0F">
              <w:rPr>
                <w:rFonts w:ascii="Calibri" w:eastAsia="Times New Roman" w:hAnsi="Calibri"/>
                <w:w w:val="90"/>
                <w:sz w:val="20"/>
                <w:szCs w:val="20"/>
              </w:rPr>
              <w:t>Impacts on relationships and outcomes of the Program</w:t>
            </w:r>
          </w:p>
        </w:tc>
        <w:tc>
          <w:tcPr>
            <w:tcW w:w="2000" w:type="pct"/>
          </w:tcPr>
          <w:p w14:paraId="556F849F" w14:textId="77777777" w:rsidR="00017EAE" w:rsidRPr="00762B0F" w:rsidRDefault="00017EAE" w:rsidP="00017EAE">
            <w:pPr>
              <w:spacing w:before="60" w:after="60" w:line="240" w:lineRule="auto"/>
              <w:rPr>
                <w:rFonts w:ascii="Calibri" w:eastAsia="Times New Roman" w:hAnsi="Calibri"/>
                <w:w w:val="90"/>
                <w:sz w:val="20"/>
                <w:szCs w:val="20"/>
              </w:rPr>
            </w:pPr>
            <w:r w:rsidRPr="00762B0F">
              <w:rPr>
                <w:rFonts w:ascii="Calibri" w:eastAsia="Times New Roman" w:hAnsi="Calibri"/>
                <w:w w:val="90"/>
                <w:sz w:val="20"/>
                <w:szCs w:val="20"/>
              </w:rPr>
              <w:t xml:space="preserve">Strong and focused discussions on succession planning </w:t>
            </w:r>
          </w:p>
          <w:p w14:paraId="323FAA25" w14:textId="77777777" w:rsidR="00017EAE" w:rsidRPr="00762B0F" w:rsidRDefault="00017EAE" w:rsidP="00017EAE">
            <w:pPr>
              <w:spacing w:before="60" w:after="60" w:line="240" w:lineRule="auto"/>
              <w:rPr>
                <w:rFonts w:ascii="Calibri" w:eastAsia="Times New Roman" w:hAnsi="Calibri"/>
                <w:w w:val="90"/>
                <w:sz w:val="20"/>
                <w:szCs w:val="20"/>
              </w:rPr>
            </w:pPr>
            <w:r w:rsidRPr="00762B0F">
              <w:rPr>
                <w:rFonts w:ascii="Calibri" w:eastAsia="Times New Roman" w:hAnsi="Calibri"/>
                <w:w w:val="90"/>
                <w:sz w:val="20"/>
                <w:szCs w:val="20"/>
              </w:rPr>
              <w:t>Continual dialog to seek buy in from new leaders</w:t>
            </w:r>
          </w:p>
          <w:p w14:paraId="4F6F13E0" w14:textId="77777777" w:rsidR="00017EAE" w:rsidRPr="00C7452F" w:rsidRDefault="00017EAE" w:rsidP="00017EAE">
            <w:pPr>
              <w:spacing w:before="60" w:after="60" w:line="240" w:lineRule="auto"/>
              <w:rPr>
                <w:rFonts w:ascii="Calibri" w:eastAsia="Times New Roman" w:hAnsi="Calibri"/>
                <w:w w:val="90"/>
                <w:sz w:val="20"/>
                <w:szCs w:val="20"/>
              </w:rPr>
            </w:pPr>
            <w:r w:rsidRPr="00762B0F">
              <w:rPr>
                <w:rFonts w:ascii="Calibri" w:eastAsia="Times New Roman" w:hAnsi="Calibri"/>
                <w:w w:val="90"/>
                <w:sz w:val="20"/>
                <w:szCs w:val="20"/>
              </w:rPr>
              <w:t>Development of new and future leaders</w:t>
            </w:r>
          </w:p>
        </w:tc>
        <w:tc>
          <w:tcPr>
            <w:tcW w:w="286" w:type="pct"/>
          </w:tcPr>
          <w:p w14:paraId="735A4852" w14:textId="77777777" w:rsidR="00017EAE" w:rsidRPr="00C7452F" w:rsidRDefault="00017EAE" w:rsidP="00017EAE">
            <w:pPr>
              <w:spacing w:before="60" w:after="60" w:line="240" w:lineRule="auto"/>
              <w:rPr>
                <w:rFonts w:ascii="Calibri" w:eastAsia="Times New Roman" w:hAnsi="Calibri"/>
                <w:w w:val="90"/>
                <w:sz w:val="20"/>
                <w:szCs w:val="20"/>
              </w:rPr>
            </w:pPr>
            <w:r w:rsidRPr="00C7452F">
              <w:rPr>
                <w:rFonts w:ascii="Calibri" w:eastAsia="Times New Roman" w:hAnsi="Calibri"/>
                <w:w w:val="90"/>
                <w:sz w:val="20"/>
                <w:szCs w:val="20"/>
              </w:rPr>
              <w:t xml:space="preserve">Head of Program </w:t>
            </w:r>
          </w:p>
        </w:tc>
        <w:tc>
          <w:tcPr>
            <w:tcW w:w="190" w:type="pct"/>
            <w:shd w:val="clear" w:color="auto" w:fill="FFFF00"/>
          </w:tcPr>
          <w:p w14:paraId="69956AB9" w14:textId="77777777" w:rsidR="00017EAE" w:rsidRPr="00C7452F" w:rsidRDefault="00017EAE" w:rsidP="00017EAE">
            <w:pPr>
              <w:spacing w:before="60" w:after="60" w:line="240" w:lineRule="auto"/>
              <w:rPr>
                <w:rFonts w:ascii="Calibri" w:eastAsia="Times New Roman" w:hAnsi="Calibri"/>
                <w:w w:val="90"/>
                <w:sz w:val="20"/>
                <w:szCs w:val="20"/>
              </w:rPr>
            </w:pPr>
            <w:r w:rsidRPr="00C7452F">
              <w:rPr>
                <w:rFonts w:ascii="Calibri" w:eastAsia="Times New Roman" w:hAnsi="Calibri"/>
                <w:sz w:val="20"/>
                <w:szCs w:val="20"/>
                <w:lang w:eastAsia="en-AU"/>
              </w:rPr>
              <w:t>2</w:t>
            </w:r>
          </w:p>
        </w:tc>
      </w:tr>
      <w:tr w:rsidR="00017EAE" w:rsidRPr="00C7452F" w14:paraId="3BA2BE70" w14:textId="77777777" w:rsidTr="0002380A">
        <w:trPr>
          <w:trHeight w:val="1410"/>
        </w:trPr>
        <w:tc>
          <w:tcPr>
            <w:tcW w:w="269" w:type="pct"/>
          </w:tcPr>
          <w:p w14:paraId="4B2773E9" w14:textId="77777777" w:rsidR="00017EAE" w:rsidRPr="00C7452F" w:rsidRDefault="00017EAE" w:rsidP="00017EAE">
            <w:pPr>
              <w:spacing w:before="60" w:after="60" w:line="240" w:lineRule="auto"/>
              <w:rPr>
                <w:rFonts w:ascii="Calibri" w:eastAsia="Times New Roman" w:hAnsi="Calibri"/>
                <w:sz w:val="20"/>
                <w:szCs w:val="20"/>
                <w:lang w:val="en-GB" w:eastAsia="en-AU"/>
              </w:rPr>
            </w:pPr>
            <w:r w:rsidRPr="00C7452F">
              <w:rPr>
                <w:rFonts w:ascii="Calibri" w:eastAsia="Times New Roman" w:hAnsi="Calibri"/>
                <w:sz w:val="20"/>
                <w:szCs w:val="20"/>
                <w:lang w:val="en-GB" w:eastAsia="en-AU"/>
              </w:rPr>
              <w:t>3.3</w:t>
            </w:r>
          </w:p>
        </w:tc>
        <w:tc>
          <w:tcPr>
            <w:tcW w:w="604" w:type="pct"/>
          </w:tcPr>
          <w:p w14:paraId="439681E5" w14:textId="77777777" w:rsidR="00017EAE" w:rsidRPr="00C7452F" w:rsidRDefault="00017EAE" w:rsidP="00017EAE">
            <w:pPr>
              <w:spacing w:before="60" w:after="60" w:line="240" w:lineRule="auto"/>
              <w:rPr>
                <w:rFonts w:ascii="Calibri" w:eastAsia="Times New Roman" w:hAnsi="Calibri"/>
                <w:w w:val="90"/>
                <w:sz w:val="20"/>
                <w:szCs w:val="20"/>
              </w:rPr>
            </w:pPr>
            <w:r w:rsidRPr="00762B0F">
              <w:rPr>
                <w:rFonts w:ascii="Calibri" w:eastAsia="Times New Roman" w:hAnsi="Calibri"/>
                <w:w w:val="90"/>
                <w:sz w:val="20"/>
                <w:szCs w:val="20"/>
              </w:rPr>
              <w:t>Lack of budget allocation for PNTL to provide core services</w:t>
            </w:r>
          </w:p>
        </w:tc>
        <w:tc>
          <w:tcPr>
            <w:tcW w:w="172" w:type="pct"/>
          </w:tcPr>
          <w:p w14:paraId="0001F647" w14:textId="77777777" w:rsidR="00017EAE" w:rsidRPr="00C7452F" w:rsidRDefault="00017EAE" w:rsidP="00017EAE">
            <w:pPr>
              <w:spacing w:before="60" w:after="60" w:line="240" w:lineRule="auto"/>
              <w:rPr>
                <w:rFonts w:ascii="Calibri" w:eastAsia="Times New Roman" w:hAnsi="Calibri"/>
                <w:sz w:val="20"/>
                <w:szCs w:val="20"/>
                <w:lang w:eastAsia="en-AU"/>
              </w:rPr>
            </w:pPr>
            <w:r w:rsidRPr="00C7452F">
              <w:rPr>
                <w:rFonts w:ascii="Calibri" w:eastAsia="Times New Roman" w:hAnsi="Calibri"/>
                <w:sz w:val="20"/>
                <w:szCs w:val="20"/>
                <w:lang w:eastAsia="en-AU"/>
              </w:rPr>
              <w:t>4</w:t>
            </w:r>
          </w:p>
        </w:tc>
        <w:tc>
          <w:tcPr>
            <w:tcW w:w="129" w:type="pct"/>
          </w:tcPr>
          <w:p w14:paraId="6651AB3A" w14:textId="77777777" w:rsidR="00017EAE" w:rsidRPr="00C7452F" w:rsidRDefault="00017EAE" w:rsidP="00017EAE">
            <w:pPr>
              <w:spacing w:before="60" w:after="60" w:line="240" w:lineRule="auto"/>
              <w:rPr>
                <w:rFonts w:ascii="Calibri" w:eastAsia="Times New Roman" w:hAnsi="Calibri"/>
                <w:sz w:val="20"/>
                <w:szCs w:val="20"/>
                <w:lang w:eastAsia="en-AU"/>
              </w:rPr>
            </w:pPr>
            <w:r w:rsidRPr="00C7452F">
              <w:rPr>
                <w:rFonts w:ascii="Calibri" w:eastAsia="Times New Roman" w:hAnsi="Calibri"/>
                <w:sz w:val="20"/>
                <w:szCs w:val="20"/>
                <w:lang w:eastAsia="en-AU"/>
              </w:rPr>
              <w:t>5</w:t>
            </w:r>
          </w:p>
        </w:tc>
        <w:tc>
          <w:tcPr>
            <w:tcW w:w="174" w:type="pct"/>
            <w:shd w:val="clear" w:color="auto" w:fill="FF0000"/>
          </w:tcPr>
          <w:p w14:paraId="6622BB11" w14:textId="77777777" w:rsidR="00017EAE" w:rsidRPr="00C7452F" w:rsidRDefault="00017EAE" w:rsidP="00017EAE">
            <w:pPr>
              <w:spacing w:before="60" w:after="60" w:line="240" w:lineRule="auto"/>
              <w:rPr>
                <w:rFonts w:ascii="Calibri" w:eastAsia="Times New Roman" w:hAnsi="Calibri"/>
                <w:sz w:val="20"/>
                <w:szCs w:val="20"/>
                <w:lang w:eastAsia="en-AU"/>
              </w:rPr>
            </w:pPr>
            <w:r>
              <w:rPr>
                <w:rFonts w:ascii="Calibri" w:eastAsia="Times New Roman" w:hAnsi="Calibri"/>
                <w:sz w:val="20"/>
                <w:szCs w:val="20"/>
                <w:lang w:eastAsia="en-AU"/>
              </w:rPr>
              <w:t>4</w:t>
            </w:r>
          </w:p>
        </w:tc>
        <w:tc>
          <w:tcPr>
            <w:tcW w:w="1176" w:type="pct"/>
          </w:tcPr>
          <w:p w14:paraId="5D6F7190" w14:textId="77777777" w:rsidR="00017EAE" w:rsidRPr="00762B0F" w:rsidRDefault="00017EAE" w:rsidP="00017EAE">
            <w:pPr>
              <w:spacing w:before="60" w:after="60" w:line="240" w:lineRule="auto"/>
              <w:rPr>
                <w:rFonts w:ascii="Calibri" w:eastAsia="Times New Roman" w:hAnsi="Calibri"/>
                <w:w w:val="90"/>
                <w:sz w:val="20"/>
                <w:szCs w:val="20"/>
              </w:rPr>
            </w:pPr>
            <w:r w:rsidRPr="00762B0F">
              <w:rPr>
                <w:rFonts w:ascii="Calibri" w:eastAsia="Times New Roman" w:hAnsi="Calibri"/>
                <w:w w:val="90"/>
                <w:sz w:val="20"/>
                <w:szCs w:val="20"/>
              </w:rPr>
              <w:t xml:space="preserve">Could jeopardise existing core services </w:t>
            </w:r>
          </w:p>
          <w:p w14:paraId="17647ADB" w14:textId="77777777" w:rsidR="00017EAE" w:rsidRPr="00C7452F" w:rsidRDefault="00017EAE" w:rsidP="00017EAE">
            <w:pPr>
              <w:spacing w:before="60" w:after="60" w:line="240" w:lineRule="auto"/>
              <w:rPr>
                <w:rFonts w:ascii="Calibri" w:eastAsia="Times New Roman" w:hAnsi="Calibri"/>
                <w:w w:val="90"/>
                <w:sz w:val="20"/>
                <w:szCs w:val="20"/>
              </w:rPr>
            </w:pPr>
            <w:r w:rsidRPr="00762B0F">
              <w:rPr>
                <w:rFonts w:ascii="Calibri" w:eastAsia="Times New Roman" w:hAnsi="Calibri"/>
                <w:w w:val="90"/>
                <w:sz w:val="20"/>
                <w:szCs w:val="20"/>
              </w:rPr>
              <w:t>May lead to requests for further TLPDP support</w:t>
            </w:r>
          </w:p>
        </w:tc>
        <w:tc>
          <w:tcPr>
            <w:tcW w:w="2000" w:type="pct"/>
          </w:tcPr>
          <w:p w14:paraId="04C9D95C" w14:textId="77777777" w:rsidR="00017EAE" w:rsidRPr="00762B0F" w:rsidRDefault="00017EAE" w:rsidP="00017EAE">
            <w:pPr>
              <w:spacing w:before="60" w:after="60" w:line="240" w:lineRule="auto"/>
              <w:rPr>
                <w:rFonts w:ascii="Calibri" w:eastAsia="Times New Roman" w:hAnsi="Calibri"/>
                <w:w w:val="90"/>
                <w:sz w:val="20"/>
                <w:szCs w:val="20"/>
              </w:rPr>
            </w:pPr>
            <w:r w:rsidRPr="00762B0F">
              <w:rPr>
                <w:rFonts w:ascii="Calibri" w:eastAsia="Times New Roman" w:hAnsi="Calibri"/>
                <w:w w:val="90"/>
                <w:sz w:val="20"/>
                <w:szCs w:val="20"/>
              </w:rPr>
              <w:t xml:space="preserve">Consider requests on a </w:t>
            </w:r>
            <w:proofErr w:type="gramStart"/>
            <w:r w:rsidRPr="00762B0F">
              <w:rPr>
                <w:rFonts w:ascii="Calibri" w:eastAsia="Times New Roman" w:hAnsi="Calibri"/>
                <w:w w:val="90"/>
                <w:sz w:val="20"/>
                <w:szCs w:val="20"/>
              </w:rPr>
              <w:t>case by case</w:t>
            </w:r>
            <w:proofErr w:type="gramEnd"/>
            <w:r w:rsidRPr="00762B0F">
              <w:rPr>
                <w:rFonts w:ascii="Calibri" w:eastAsia="Times New Roman" w:hAnsi="Calibri"/>
                <w:w w:val="90"/>
                <w:sz w:val="20"/>
                <w:szCs w:val="20"/>
              </w:rPr>
              <w:t xml:space="preserve"> basis (through the PCB)</w:t>
            </w:r>
          </w:p>
          <w:p w14:paraId="4EA461EF" w14:textId="77777777" w:rsidR="00017EAE" w:rsidRPr="00762B0F" w:rsidRDefault="00017EAE" w:rsidP="00017EAE">
            <w:pPr>
              <w:spacing w:before="60" w:after="60" w:line="240" w:lineRule="auto"/>
              <w:rPr>
                <w:rFonts w:ascii="Calibri" w:eastAsia="Times New Roman" w:hAnsi="Calibri"/>
                <w:w w:val="90"/>
                <w:sz w:val="20"/>
                <w:szCs w:val="20"/>
              </w:rPr>
            </w:pPr>
            <w:r w:rsidRPr="00762B0F">
              <w:rPr>
                <w:rFonts w:ascii="Calibri" w:eastAsia="Times New Roman" w:hAnsi="Calibri"/>
                <w:w w:val="90"/>
                <w:sz w:val="20"/>
                <w:szCs w:val="20"/>
              </w:rPr>
              <w:t xml:space="preserve">Dialogue with PNTL on prioritisation </w:t>
            </w:r>
          </w:p>
          <w:p w14:paraId="134DDA8E" w14:textId="77777777" w:rsidR="00017EAE" w:rsidRPr="00C7452F" w:rsidRDefault="00017EAE" w:rsidP="00017EAE">
            <w:pPr>
              <w:spacing w:before="60" w:after="60" w:line="240" w:lineRule="auto"/>
              <w:rPr>
                <w:rFonts w:ascii="Calibri" w:eastAsia="Times New Roman" w:hAnsi="Calibri"/>
                <w:w w:val="90"/>
                <w:sz w:val="20"/>
                <w:szCs w:val="20"/>
              </w:rPr>
            </w:pPr>
            <w:r w:rsidRPr="00762B0F">
              <w:rPr>
                <w:rFonts w:ascii="Calibri" w:eastAsia="Times New Roman" w:hAnsi="Calibri"/>
                <w:w w:val="90"/>
                <w:sz w:val="20"/>
                <w:szCs w:val="20"/>
              </w:rPr>
              <w:t>Encourage PNTL development of workforce planning and budget management</w:t>
            </w:r>
          </w:p>
        </w:tc>
        <w:tc>
          <w:tcPr>
            <w:tcW w:w="286" w:type="pct"/>
          </w:tcPr>
          <w:p w14:paraId="2CC62D10" w14:textId="77777777" w:rsidR="00017EAE" w:rsidRPr="00C7452F" w:rsidRDefault="00017EAE" w:rsidP="00017EAE">
            <w:pPr>
              <w:spacing w:before="60" w:after="60" w:line="240" w:lineRule="auto"/>
              <w:rPr>
                <w:rFonts w:ascii="Calibri" w:eastAsia="Times New Roman" w:hAnsi="Calibri"/>
                <w:w w:val="90"/>
                <w:sz w:val="20"/>
                <w:szCs w:val="20"/>
              </w:rPr>
            </w:pPr>
            <w:r w:rsidRPr="00E6386C">
              <w:rPr>
                <w:rFonts w:ascii="Calibri" w:eastAsia="Times New Roman" w:hAnsi="Calibri"/>
                <w:w w:val="90"/>
                <w:sz w:val="20"/>
                <w:szCs w:val="20"/>
              </w:rPr>
              <w:t>Head of Program</w:t>
            </w:r>
          </w:p>
        </w:tc>
        <w:tc>
          <w:tcPr>
            <w:tcW w:w="190" w:type="pct"/>
            <w:shd w:val="clear" w:color="auto" w:fill="FFC000"/>
          </w:tcPr>
          <w:p w14:paraId="49BB907C" w14:textId="77777777" w:rsidR="00017EAE" w:rsidRPr="00C7452F" w:rsidRDefault="00017EAE" w:rsidP="00017EAE">
            <w:pPr>
              <w:spacing w:before="60" w:after="60" w:line="240" w:lineRule="auto"/>
              <w:rPr>
                <w:rFonts w:ascii="Calibri" w:eastAsia="Times New Roman" w:hAnsi="Calibri"/>
                <w:w w:val="90"/>
                <w:sz w:val="20"/>
                <w:szCs w:val="20"/>
              </w:rPr>
            </w:pPr>
            <w:r>
              <w:rPr>
                <w:rFonts w:ascii="Calibri" w:eastAsia="Times New Roman" w:hAnsi="Calibri"/>
                <w:sz w:val="20"/>
                <w:szCs w:val="20"/>
                <w:lang w:eastAsia="en-AU"/>
              </w:rPr>
              <w:t>3</w:t>
            </w:r>
          </w:p>
        </w:tc>
      </w:tr>
      <w:tr w:rsidR="00017EAE" w:rsidRPr="00C7452F" w14:paraId="044F942A" w14:textId="77777777" w:rsidTr="0002380A">
        <w:trPr>
          <w:trHeight w:val="1410"/>
        </w:trPr>
        <w:tc>
          <w:tcPr>
            <w:tcW w:w="269" w:type="pct"/>
          </w:tcPr>
          <w:p w14:paraId="6D709CE9" w14:textId="77777777" w:rsidR="00017EAE" w:rsidRPr="00C7452F" w:rsidRDefault="00017EAE" w:rsidP="00017EAE">
            <w:pPr>
              <w:spacing w:before="60" w:after="60" w:line="240" w:lineRule="auto"/>
              <w:rPr>
                <w:rFonts w:ascii="Calibri" w:eastAsia="Times New Roman" w:hAnsi="Calibri"/>
                <w:sz w:val="20"/>
                <w:szCs w:val="20"/>
                <w:lang w:val="en-GB" w:eastAsia="en-AU"/>
              </w:rPr>
            </w:pPr>
            <w:r w:rsidRPr="00C7452F">
              <w:rPr>
                <w:rFonts w:ascii="Calibri" w:eastAsia="Times New Roman" w:hAnsi="Calibri"/>
                <w:sz w:val="20"/>
                <w:szCs w:val="20"/>
                <w:lang w:val="en-GB" w:eastAsia="en-AU"/>
              </w:rPr>
              <w:t>3.4</w:t>
            </w:r>
          </w:p>
        </w:tc>
        <w:tc>
          <w:tcPr>
            <w:tcW w:w="604" w:type="pct"/>
          </w:tcPr>
          <w:p w14:paraId="144088C3" w14:textId="62064716" w:rsidR="00017EAE" w:rsidRPr="00C7452F" w:rsidRDefault="00017EAE" w:rsidP="00017EAE">
            <w:pPr>
              <w:spacing w:before="60" w:after="60" w:line="240" w:lineRule="auto"/>
              <w:rPr>
                <w:rFonts w:ascii="Calibri" w:eastAsia="Times New Roman" w:hAnsi="Calibri"/>
                <w:w w:val="90"/>
                <w:sz w:val="20"/>
                <w:szCs w:val="20"/>
              </w:rPr>
            </w:pPr>
            <w:r>
              <w:rPr>
                <w:rFonts w:ascii="Calibri" w:eastAsia="Times New Roman" w:hAnsi="Calibri"/>
                <w:w w:val="90"/>
                <w:sz w:val="20"/>
                <w:szCs w:val="20"/>
              </w:rPr>
              <w:t>PNTL policies limit the ability to support Program gender initiatives</w:t>
            </w:r>
          </w:p>
        </w:tc>
        <w:tc>
          <w:tcPr>
            <w:tcW w:w="172" w:type="pct"/>
          </w:tcPr>
          <w:p w14:paraId="0ACB6CE5" w14:textId="77777777" w:rsidR="00017EAE" w:rsidRPr="00C7452F" w:rsidRDefault="00017EAE" w:rsidP="00017EAE">
            <w:pPr>
              <w:spacing w:before="60" w:after="60" w:line="240" w:lineRule="auto"/>
              <w:rPr>
                <w:rFonts w:ascii="Calibri" w:eastAsia="Times New Roman" w:hAnsi="Calibri"/>
                <w:sz w:val="20"/>
                <w:szCs w:val="20"/>
                <w:lang w:eastAsia="en-AU"/>
              </w:rPr>
            </w:pPr>
            <w:r w:rsidRPr="00C7452F">
              <w:rPr>
                <w:rFonts w:ascii="Calibri" w:eastAsia="Times New Roman" w:hAnsi="Calibri"/>
                <w:sz w:val="20"/>
                <w:szCs w:val="20"/>
                <w:lang w:eastAsia="en-AU"/>
              </w:rPr>
              <w:t>4</w:t>
            </w:r>
          </w:p>
        </w:tc>
        <w:tc>
          <w:tcPr>
            <w:tcW w:w="129" w:type="pct"/>
          </w:tcPr>
          <w:p w14:paraId="391D4EAE" w14:textId="77777777" w:rsidR="00017EAE" w:rsidRPr="00C7452F" w:rsidRDefault="00017EAE" w:rsidP="00017EAE">
            <w:pPr>
              <w:spacing w:before="60" w:after="60" w:line="240" w:lineRule="auto"/>
              <w:rPr>
                <w:rFonts w:ascii="Calibri" w:eastAsia="Times New Roman" w:hAnsi="Calibri"/>
                <w:sz w:val="20"/>
                <w:szCs w:val="20"/>
                <w:lang w:eastAsia="en-AU"/>
              </w:rPr>
            </w:pPr>
            <w:r>
              <w:rPr>
                <w:rFonts w:ascii="Calibri" w:eastAsia="Times New Roman" w:hAnsi="Calibri"/>
                <w:sz w:val="20"/>
                <w:szCs w:val="20"/>
                <w:lang w:eastAsia="en-AU"/>
              </w:rPr>
              <w:t>4</w:t>
            </w:r>
          </w:p>
        </w:tc>
        <w:tc>
          <w:tcPr>
            <w:tcW w:w="174" w:type="pct"/>
            <w:shd w:val="clear" w:color="auto" w:fill="FFC000"/>
          </w:tcPr>
          <w:p w14:paraId="3460399C" w14:textId="77777777" w:rsidR="00017EAE" w:rsidRPr="00C7452F" w:rsidRDefault="00017EAE" w:rsidP="00017EAE">
            <w:pPr>
              <w:spacing w:before="60" w:after="60" w:line="240" w:lineRule="auto"/>
              <w:rPr>
                <w:rFonts w:ascii="Calibri" w:eastAsia="Times New Roman" w:hAnsi="Calibri"/>
                <w:sz w:val="20"/>
                <w:szCs w:val="20"/>
                <w:lang w:eastAsia="en-AU"/>
              </w:rPr>
            </w:pPr>
            <w:r w:rsidRPr="00C7452F">
              <w:rPr>
                <w:rFonts w:ascii="Calibri" w:eastAsia="Times New Roman" w:hAnsi="Calibri"/>
                <w:sz w:val="20"/>
                <w:szCs w:val="20"/>
                <w:lang w:eastAsia="en-AU"/>
              </w:rPr>
              <w:t>3</w:t>
            </w:r>
          </w:p>
        </w:tc>
        <w:tc>
          <w:tcPr>
            <w:tcW w:w="1176" w:type="pct"/>
          </w:tcPr>
          <w:p w14:paraId="6A8EEBB0" w14:textId="77777777" w:rsidR="00017EAE" w:rsidRPr="00C7452F" w:rsidRDefault="00017EAE" w:rsidP="00017EAE">
            <w:pPr>
              <w:spacing w:before="60" w:after="60" w:line="240" w:lineRule="auto"/>
              <w:rPr>
                <w:rFonts w:ascii="Calibri" w:eastAsia="Times New Roman" w:hAnsi="Calibri"/>
                <w:w w:val="90"/>
                <w:sz w:val="20"/>
                <w:szCs w:val="20"/>
              </w:rPr>
            </w:pPr>
            <w:r>
              <w:rPr>
                <w:rFonts w:ascii="Calibri" w:eastAsia="Times New Roman" w:hAnsi="Calibri"/>
                <w:w w:val="90"/>
                <w:sz w:val="20"/>
                <w:szCs w:val="20"/>
              </w:rPr>
              <w:t>Program outcomes aimed at progressing opportunities for women cannot be achieved</w:t>
            </w:r>
          </w:p>
        </w:tc>
        <w:tc>
          <w:tcPr>
            <w:tcW w:w="2000" w:type="pct"/>
          </w:tcPr>
          <w:p w14:paraId="07F4ACDC" w14:textId="77777777" w:rsidR="00017EAE" w:rsidRPr="00C7452F" w:rsidRDefault="00017EAE" w:rsidP="00017EAE">
            <w:pPr>
              <w:spacing w:before="60" w:after="60" w:line="240" w:lineRule="auto"/>
              <w:rPr>
                <w:rFonts w:ascii="Calibri" w:eastAsia="Times New Roman" w:hAnsi="Calibri"/>
                <w:w w:val="90"/>
                <w:sz w:val="20"/>
                <w:szCs w:val="20"/>
              </w:rPr>
            </w:pPr>
            <w:r>
              <w:rPr>
                <w:rFonts w:ascii="Calibri" w:eastAsia="Times New Roman" w:hAnsi="Calibri"/>
                <w:w w:val="90"/>
                <w:sz w:val="20"/>
                <w:szCs w:val="20"/>
              </w:rPr>
              <w:t>Support related PNTL institutional and policy reform</w:t>
            </w:r>
          </w:p>
          <w:p w14:paraId="5098394E" w14:textId="48C86825" w:rsidR="00017EAE" w:rsidRPr="00C7452F" w:rsidRDefault="00017EAE" w:rsidP="00017EAE">
            <w:pPr>
              <w:spacing w:before="60" w:after="60" w:line="240" w:lineRule="auto"/>
              <w:rPr>
                <w:rFonts w:ascii="Calibri" w:eastAsia="Times New Roman" w:hAnsi="Calibri"/>
                <w:w w:val="90"/>
                <w:sz w:val="20"/>
                <w:szCs w:val="20"/>
              </w:rPr>
            </w:pPr>
            <w:r>
              <w:rPr>
                <w:rFonts w:ascii="Calibri" w:eastAsia="Times New Roman" w:hAnsi="Calibri"/>
                <w:w w:val="90"/>
                <w:sz w:val="20"/>
                <w:szCs w:val="20"/>
              </w:rPr>
              <w:t>Demonstrate gender mainstreaming within all Program activities</w:t>
            </w:r>
          </w:p>
          <w:p w14:paraId="7ADB46D0" w14:textId="77777777" w:rsidR="00017EAE" w:rsidRPr="00C7452F" w:rsidRDefault="00017EAE" w:rsidP="00017EAE">
            <w:pPr>
              <w:spacing w:before="60" w:after="60" w:line="240" w:lineRule="auto"/>
              <w:rPr>
                <w:rFonts w:ascii="Calibri" w:eastAsia="Times New Roman" w:hAnsi="Calibri"/>
                <w:w w:val="90"/>
                <w:sz w:val="20"/>
                <w:szCs w:val="20"/>
              </w:rPr>
            </w:pPr>
            <w:r>
              <w:rPr>
                <w:rFonts w:ascii="Calibri" w:eastAsia="Times New Roman" w:hAnsi="Calibri"/>
                <w:w w:val="90"/>
                <w:sz w:val="20"/>
                <w:szCs w:val="20"/>
              </w:rPr>
              <w:t>Support PNTL gender initiatives</w:t>
            </w:r>
          </w:p>
        </w:tc>
        <w:tc>
          <w:tcPr>
            <w:tcW w:w="286" w:type="pct"/>
          </w:tcPr>
          <w:p w14:paraId="4938A5D4" w14:textId="77777777" w:rsidR="00017EAE" w:rsidRPr="00C7452F" w:rsidRDefault="00017EAE" w:rsidP="00017EAE">
            <w:pPr>
              <w:spacing w:before="60" w:after="60" w:line="240" w:lineRule="auto"/>
              <w:rPr>
                <w:rFonts w:ascii="Calibri" w:eastAsia="Times New Roman" w:hAnsi="Calibri"/>
                <w:w w:val="90"/>
                <w:sz w:val="20"/>
                <w:szCs w:val="20"/>
              </w:rPr>
            </w:pPr>
            <w:r w:rsidRPr="00E6386C">
              <w:rPr>
                <w:rFonts w:ascii="Calibri" w:eastAsia="Times New Roman" w:hAnsi="Calibri"/>
                <w:w w:val="90"/>
                <w:sz w:val="20"/>
                <w:szCs w:val="20"/>
              </w:rPr>
              <w:t>Head of Program</w:t>
            </w:r>
          </w:p>
        </w:tc>
        <w:tc>
          <w:tcPr>
            <w:tcW w:w="190" w:type="pct"/>
            <w:shd w:val="clear" w:color="auto" w:fill="FFC000"/>
          </w:tcPr>
          <w:p w14:paraId="1D3E910E" w14:textId="77777777" w:rsidR="00017EAE" w:rsidRPr="00C7452F" w:rsidRDefault="00017EAE" w:rsidP="00017EAE">
            <w:pPr>
              <w:spacing w:before="60" w:after="60" w:line="240" w:lineRule="auto"/>
              <w:rPr>
                <w:rFonts w:ascii="Calibri" w:eastAsia="Times New Roman" w:hAnsi="Calibri"/>
                <w:w w:val="90"/>
                <w:sz w:val="20"/>
                <w:szCs w:val="20"/>
              </w:rPr>
            </w:pPr>
            <w:r w:rsidRPr="00C7452F">
              <w:rPr>
                <w:rFonts w:ascii="Calibri" w:eastAsia="Times New Roman" w:hAnsi="Calibri"/>
                <w:sz w:val="20"/>
                <w:szCs w:val="20"/>
                <w:lang w:eastAsia="en-AU"/>
              </w:rPr>
              <w:t>3</w:t>
            </w:r>
          </w:p>
        </w:tc>
      </w:tr>
      <w:tr w:rsidR="00017EAE" w:rsidRPr="00C7452F" w14:paraId="2326824F" w14:textId="77777777" w:rsidTr="0002380A">
        <w:trPr>
          <w:trHeight w:val="1410"/>
        </w:trPr>
        <w:tc>
          <w:tcPr>
            <w:tcW w:w="269" w:type="pct"/>
          </w:tcPr>
          <w:p w14:paraId="7BF3CD12" w14:textId="77777777" w:rsidR="00017EAE" w:rsidRPr="00C7452F" w:rsidRDefault="00017EAE" w:rsidP="00017EAE">
            <w:pPr>
              <w:spacing w:before="60" w:after="60" w:line="240" w:lineRule="auto"/>
              <w:rPr>
                <w:rFonts w:ascii="Calibri" w:eastAsia="Times New Roman" w:hAnsi="Calibri"/>
                <w:sz w:val="20"/>
                <w:szCs w:val="20"/>
                <w:lang w:val="en-GB" w:eastAsia="en-AU"/>
              </w:rPr>
            </w:pPr>
            <w:r>
              <w:rPr>
                <w:rFonts w:ascii="Calibri" w:eastAsia="Times New Roman" w:hAnsi="Calibri"/>
                <w:sz w:val="20"/>
                <w:szCs w:val="20"/>
                <w:lang w:val="en-GB" w:eastAsia="en-AU"/>
              </w:rPr>
              <w:lastRenderedPageBreak/>
              <w:t>3.5</w:t>
            </w:r>
          </w:p>
        </w:tc>
        <w:tc>
          <w:tcPr>
            <w:tcW w:w="604" w:type="pct"/>
          </w:tcPr>
          <w:p w14:paraId="530F261F" w14:textId="29E9C1C2" w:rsidR="00017EAE" w:rsidRDefault="00017EAE" w:rsidP="00017EAE">
            <w:pPr>
              <w:spacing w:before="60" w:after="60" w:line="240" w:lineRule="auto"/>
              <w:rPr>
                <w:rFonts w:ascii="Calibri" w:eastAsia="Times New Roman" w:hAnsi="Calibri"/>
                <w:w w:val="90"/>
                <w:sz w:val="20"/>
                <w:szCs w:val="20"/>
              </w:rPr>
            </w:pPr>
            <w:r>
              <w:rPr>
                <w:rFonts w:ascii="Calibri" w:eastAsia="Times New Roman" w:hAnsi="Calibri"/>
                <w:w w:val="90"/>
                <w:sz w:val="20"/>
                <w:szCs w:val="20"/>
              </w:rPr>
              <w:t xml:space="preserve">Poor relationship between PNTL and other </w:t>
            </w:r>
            <w:proofErr w:type="spellStart"/>
            <w:r>
              <w:rPr>
                <w:rFonts w:ascii="Calibri" w:eastAsia="Times New Roman" w:hAnsi="Calibri"/>
                <w:w w:val="90"/>
                <w:sz w:val="20"/>
                <w:szCs w:val="20"/>
              </w:rPr>
              <w:t>GoRDTL</w:t>
            </w:r>
            <w:proofErr w:type="spellEnd"/>
            <w:r>
              <w:rPr>
                <w:rFonts w:ascii="Calibri" w:eastAsia="Times New Roman" w:hAnsi="Calibri"/>
                <w:w w:val="90"/>
                <w:sz w:val="20"/>
                <w:szCs w:val="20"/>
              </w:rPr>
              <w:t xml:space="preserve"> </w:t>
            </w:r>
            <w:r w:rsidRPr="00712087">
              <w:rPr>
                <w:rFonts w:ascii="Calibri" w:eastAsia="Times New Roman" w:hAnsi="Calibri"/>
                <w:w w:val="90"/>
                <w:sz w:val="20"/>
                <w:szCs w:val="20"/>
              </w:rPr>
              <w:t>[RDTL]</w:t>
            </w:r>
            <w:r>
              <w:rPr>
                <w:rFonts w:ascii="Calibri" w:eastAsia="Times New Roman" w:hAnsi="Calibri"/>
                <w:w w:val="90"/>
                <w:sz w:val="20"/>
                <w:szCs w:val="20"/>
              </w:rPr>
              <w:t xml:space="preserve"> agencies.</w:t>
            </w:r>
          </w:p>
        </w:tc>
        <w:tc>
          <w:tcPr>
            <w:tcW w:w="172" w:type="pct"/>
          </w:tcPr>
          <w:p w14:paraId="07365366" w14:textId="77777777" w:rsidR="00017EAE" w:rsidRPr="00C7452F" w:rsidRDefault="00017EAE" w:rsidP="00017EAE">
            <w:pPr>
              <w:spacing w:before="60" w:after="60" w:line="240" w:lineRule="auto"/>
              <w:rPr>
                <w:rFonts w:ascii="Calibri" w:eastAsia="Times New Roman" w:hAnsi="Calibri"/>
                <w:sz w:val="20"/>
                <w:szCs w:val="20"/>
                <w:lang w:eastAsia="en-AU"/>
              </w:rPr>
            </w:pPr>
            <w:r>
              <w:rPr>
                <w:rFonts w:ascii="Calibri" w:eastAsia="Times New Roman" w:hAnsi="Calibri"/>
                <w:sz w:val="20"/>
                <w:szCs w:val="20"/>
                <w:lang w:eastAsia="en-AU"/>
              </w:rPr>
              <w:t>4</w:t>
            </w:r>
          </w:p>
        </w:tc>
        <w:tc>
          <w:tcPr>
            <w:tcW w:w="129" w:type="pct"/>
          </w:tcPr>
          <w:p w14:paraId="4A2A2541" w14:textId="77777777" w:rsidR="00017EAE" w:rsidRDefault="00017EAE" w:rsidP="00017EAE">
            <w:pPr>
              <w:spacing w:before="60" w:after="60" w:line="240" w:lineRule="auto"/>
              <w:rPr>
                <w:rFonts w:ascii="Calibri" w:eastAsia="Times New Roman" w:hAnsi="Calibri"/>
                <w:sz w:val="20"/>
                <w:szCs w:val="20"/>
                <w:lang w:eastAsia="en-AU"/>
              </w:rPr>
            </w:pPr>
            <w:r>
              <w:rPr>
                <w:rFonts w:ascii="Calibri" w:eastAsia="Times New Roman" w:hAnsi="Calibri"/>
                <w:sz w:val="20"/>
                <w:szCs w:val="20"/>
                <w:lang w:eastAsia="en-AU"/>
              </w:rPr>
              <w:t>2</w:t>
            </w:r>
          </w:p>
        </w:tc>
        <w:tc>
          <w:tcPr>
            <w:tcW w:w="174" w:type="pct"/>
            <w:shd w:val="clear" w:color="auto" w:fill="FFFF00"/>
          </w:tcPr>
          <w:p w14:paraId="4DE4071A" w14:textId="77777777" w:rsidR="00017EAE" w:rsidRPr="00C7452F" w:rsidRDefault="00017EAE" w:rsidP="00017EAE">
            <w:pPr>
              <w:spacing w:before="60" w:after="60" w:line="240" w:lineRule="auto"/>
              <w:rPr>
                <w:rFonts w:ascii="Calibri" w:eastAsia="Times New Roman" w:hAnsi="Calibri"/>
                <w:sz w:val="20"/>
                <w:szCs w:val="20"/>
                <w:lang w:eastAsia="en-AU"/>
              </w:rPr>
            </w:pPr>
            <w:r>
              <w:rPr>
                <w:rFonts w:ascii="Calibri" w:eastAsia="Times New Roman" w:hAnsi="Calibri"/>
                <w:sz w:val="20"/>
                <w:szCs w:val="20"/>
                <w:lang w:eastAsia="en-AU"/>
              </w:rPr>
              <w:t>2</w:t>
            </w:r>
          </w:p>
        </w:tc>
        <w:tc>
          <w:tcPr>
            <w:tcW w:w="1176" w:type="pct"/>
          </w:tcPr>
          <w:p w14:paraId="3FF15E24" w14:textId="77777777" w:rsidR="00017EAE" w:rsidRDefault="00017EAE" w:rsidP="00017EAE">
            <w:pPr>
              <w:spacing w:before="60" w:after="60" w:line="240" w:lineRule="auto"/>
              <w:rPr>
                <w:rFonts w:ascii="Calibri" w:eastAsia="Times New Roman" w:hAnsi="Calibri"/>
                <w:w w:val="90"/>
                <w:sz w:val="20"/>
                <w:szCs w:val="20"/>
              </w:rPr>
            </w:pPr>
            <w:r>
              <w:rPr>
                <w:rFonts w:ascii="Calibri" w:eastAsia="Times New Roman" w:hAnsi="Calibri"/>
                <w:w w:val="90"/>
                <w:sz w:val="20"/>
                <w:szCs w:val="20"/>
              </w:rPr>
              <w:t>Reduced effectiveness and efficiency of support in addressing complex and transnational crimes</w:t>
            </w:r>
          </w:p>
          <w:p w14:paraId="29B561EC" w14:textId="77777777" w:rsidR="00017EAE" w:rsidRDefault="00017EAE" w:rsidP="00017EAE">
            <w:pPr>
              <w:spacing w:before="60" w:after="60" w:line="240" w:lineRule="auto"/>
              <w:rPr>
                <w:rFonts w:ascii="Calibri" w:eastAsia="Times New Roman" w:hAnsi="Calibri"/>
                <w:w w:val="90"/>
                <w:sz w:val="20"/>
                <w:szCs w:val="20"/>
              </w:rPr>
            </w:pPr>
            <w:r>
              <w:rPr>
                <w:rFonts w:ascii="Calibri" w:eastAsia="Times New Roman" w:hAnsi="Calibri"/>
                <w:w w:val="90"/>
                <w:sz w:val="20"/>
                <w:szCs w:val="20"/>
              </w:rPr>
              <w:t>Effectiveness of investigations support reduced due to poor relationship with OPG</w:t>
            </w:r>
          </w:p>
        </w:tc>
        <w:tc>
          <w:tcPr>
            <w:tcW w:w="2000" w:type="pct"/>
          </w:tcPr>
          <w:p w14:paraId="2E7A6238" w14:textId="77777777" w:rsidR="00017EAE" w:rsidRDefault="00017EAE" w:rsidP="00017EAE">
            <w:pPr>
              <w:spacing w:before="60" w:after="60" w:line="240" w:lineRule="auto"/>
              <w:rPr>
                <w:rFonts w:ascii="Calibri" w:eastAsia="Times New Roman" w:hAnsi="Calibri"/>
                <w:w w:val="90"/>
                <w:sz w:val="20"/>
                <w:szCs w:val="20"/>
              </w:rPr>
            </w:pPr>
            <w:r>
              <w:rPr>
                <w:rFonts w:ascii="Calibri" w:eastAsia="Times New Roman" w:hAnsi="Calibri"/>
                <w:w w:val="90"/>
                <w:sz w:val="20"/>
                <w:szCs w:val="20"/>
              </w:rPr>
              <w:t>Support for prosecutions liaison officers</w:t>
            </w:r>
          </w:p>
          <w:p w14:paraId="2816BCC3" w14:textId="77777777" w:rsidR="00017EAE" w:rsidRDefault="00017EAE" w:rsidP="00017EAE">
            <w:pPr>
              <w:spacing w:before="60" w:after="60" w:line="240" w:lineRule="auto"/>
              <w:rPr>
                <w:rFonts w:ascii="Calibri" w:eastAsia="Times New Roman" w:hAnsi="Calibri"/>
                <w:w w:val="90"/>
                <w:sz w:val="20"/>
                <w:szCs w:val="20"/>
              </w:rPr>
            </w:pPr>
            <w:r>
              <w:rPr>
                <w:rFonts w:ascii="Calibri" w:eastAsia="Times New Roman" w:hAnsi="Calibri"/>
                <w:w w:val="90"/>
                <w:sz w:val="20"/>
                <w:szCs w:val="20"/>
              </w:rPr>
              <w:t>Coordination and leveraging of partner development programs</w:t>
            </w:r>
          </w:p>
        </w:tc>
        <w:tc>
          <w:tcPr>
            <w:tcW w:w="286" w:type="pct"/>
          </w:tcPr>
          <w:p w14:paraId="0B544415" w14:textId="77777777" w:rsidR="00017EAE" w:rsidRPr="00E6386C" w:rsidRDefault="00017EAE" w:rsidP="00017EAE">
            <w:pPr>
              <w:spacing w:before="60" w:after="60" w:line="240" w:lineRule="auto"/>
              <w:rPr>
                <w:rFonts w:ascii="Calibri" w:eastAsia="Times New Roman" w:hAnsi="Calibri"/>
                <w:w w:val="90"/>
                <w:sz w:val="20"/>
                <w:szCs w:val="20"/>
              </w:rPr>
            </w:pPr>
            <w:r w:rsidRPr="00E6386C">
              <w:rPr>
                <w:rFonts w:ascii="Calibri" w:eastAsia="Times New Roman" w:hAnsi="Calibri"/>
                <w:w w:val="90"/>
                <w:sz w:val="20"/>
                <w:szCs w:val="20"/>
              </w:rPr>
              <w:t>Head of Program</w:t>
            </w:r>
          </w:p>
        </w:tc>
        <w:tc>
          <w:tcPr>
            <w:tcW w:w="190" w:type="pct"/>
            <w:shd w:val="clear" w:color="auto" w:fill="FFFF00"/>
          </w:tcPr>
          <w:p w14:paraId="3AC498CB" w14:textId="77777777" w:rsidR="00017EAE" w:rsidRPr="00C7452F" w:rsidRDefault="00017EAE" w:rsidP="00017EAE">
            <w:pPr>
              <w:spacing w:before="60" w:after="60" w:line="240" w:lineRule="auto"/>
              <w:rPr>
                <w:rFonts w:ascii="Calibri" w:eastAsia="Times New Roman" w:hAnsi="Calibri"/>
                <w:sz w:val="20"/>
                <w:szCs w:val="20"/>
                <w:lang w:eastAsia="en-AU"/>
              </w:rPr>
            </w:pPr>
            <w:r>
              <w:rPr>
                <w:rFonts w:ascii="Calibri" w:eastAsia="Times New Roman" w:hAnsi="Calibri"/>
                <w:sz w:val="20"/>
                <w:szCs w:val="20"/>
                <w:lang w:eastAsia="en-AU"/>
              </w:rPr>
              <w:t>2</w:t>
            </w:r>
          </w:p>
        </w:tc>
      </w:tr>
      <w:tr w:rsidR="00017EAE" w:rsidRPr="00C7452F" w14:paraId="0C06D40D" w14:textId="77777777" w:rsidTr="0002380A">
        <w:trPr>
          <w:trHeight w:val="1410"/>
        </w:trPr>
        <w:tc>
          <w:tcPr>
            <w:tcW w:w="269" w:type="pct"/>
          </w:tcPr>
          <w:p w14:paraId="1761CD05" w14:textId="77777777" w:rsidR="00017EAE" w:rsidRDefault="00017EAE" w:rsidP="00017EAE">
            <w:pPr>
              <w:spacing w:before="60" w:after="60" w:line="240" w:lineRule="auto"/>
              <w:rPr>
                <w:rFonts w:ascii="Calibri" w:eastAsia="Times New Roman" w:hAnsi="Calibri"/>
                <w:sz w:val="20"/>
                <w:szCs w:val="20"/>
                <w:lang w:val="en-GB" w:eastAsia="en-AU"/>
              </w:rPr>
            </w:pPr>
            <w:r>
              <w:rPr>
                <w:rFonts w:ascii="Calibri" w:eastAsia="Times New Roman" w:hAnsi="Calibri"/>
                <w:sz w:val="20"/>
                <w:szCs w:val="20"/>
                <w:lang w:val="en-GB" w:eastAsia="en-AU"/>
              </w:rPr>
              <w:t>3.6</w:t>
            </w:r>
          </w:p>
        </w:tc>
        <w:tc>
          <w:tcPr>
            <w:tcW w:w="604" w:type="pct"/>
          </w:tcPr>
          <w:p w14:paraId="1E02F4C3" w14:textId="77777777" w:rsidR="00017EAE" w:rsidRDefault="00017EAE" w:rsidP="00017EAE">
            <w:pPr>
              <w:spacing w:before="60" w:after="60" w:line="240" w:lineRule="auto"/>
              <w:rPr>
                <w:rFonts w:ascii="Calibri" w:eastAsia="Times New Roman" w:hAnsi="Calibri"/>
                <w:w w:val="90"/>
                <w:sz w:val="20"/>
                <w:szCs w:val="20"/>
              </w:rPr>
            </w:pPr>
            <w:r>
              <w:rPr>
                <w:rFonts w:ascii="Calibri" w:eastAsia="Times New Roman" w:hAnsi="Calibri"/>
                <w:w w:val="90"/>
                <w:sz w:val="20"/>
                <w:szCs w:val="20"/>
              </w:rPr>
              <w:t xml:space="preserve">Changes in influential or </w:t>
            </w:r>
            <w:proofErr w:type="gramStart"/>
            <w:r>
              <w:rPr>
                <w:rFonts w:ascii="Calibri" w:eastAsia="Times New Roman" w:hAnsi="Calibri"/>
                <w:w w:val="90"/>
                <w:sz w:val="20"/>
                <w:szCs w:val="20"/>
              </w:rPr>
              <w:t>specialised  PNTL</w:t>
            </w:r>
            <w:proofErr w:type="gramEnd"/>
            <w:r>
              <w:rPr>
                <w:rFonts w:ascii="Calibri" w:eastAsia="Times New Roman" w:hAnsi="Calibri"/>
                <w:w w:val="90"/>
                <w:sz w:val="20"/>
                <w:szCs w:val="20"/>
              </w:rPr>
              <w:t xml:space="preserve"> personnel </w:t>
            </w:r>
          </w:p>
        </w:tc>
        <w:tc>
          <w:tcPr>
            <w:tcW w:w="172" w:type="pct"/>
          </w:tcPr>
          <w:p w14:paraId="72749C4D" w14:textId="77777777" w:rsidR="00017EAE" w:rsidRDefault="00017EAE" w:rsidP="00017EAE">
            <w:pPr>
              <w:spacing w:before="60" w:after="60" w:line="240" w:lineRule="auto"/>
              <w:rPr>
                <w:rFonts w:ascii="Calibri" w:eastAsia="Times New Roman" w:hAnsi="Calibri"/>
                <w:sz w:val="20"/>
                <w:szCs w:val="20"/>
                <w:lang w:eastAsia="en-AU"/>
              </w:rPr>
            </w:pPr>
            <w:r>
              <w:rPr>
                <w:rFonts w:ascii="Calibri" w:eastAsia="Times New Roman" w:hAnsi="Calibri"/>
                <w:sz w:val="20"/>
                <w:szCs w:val="20"/>
                <w:lang w:eastAsia="en-AU"/>
              </w:rPr>
              <w:t>4</w:t>
            </w:r>
          </w:p>
        </w:tc>
        <w:tc>
          <w:tcPr>
            <w:tcW w:w="129" w:type="pct"/>
          </w:tcPr>
          <w:p w14:paraId="7E9D3067" w14:textId="77777777" w:rsidR="00017EAE" w:rsidRDefault="00017EAE" w:rsidP="00017EAE">
            <w:pPr>
              <w:spacing w:before="60" w:after="60" w:line="240" w:lineRule="auto"/>
              <w:rPr>
                <w:rFonts w:ascii="Calibri" w:eastAsia="Times New Roman" w:hAnsi="Calibri"/>
                <w:sz w:val="20"/>
                <w:szCs w:val="20"/>
                <w:lang w:eastAsia="en-AU"/>
              </w:rPr>
            </w:pPr>
            <w:r>
              <w:rPr>
                <w:rFonts w:ascii="Calibri" w:eastAsia="Times New Roman" w:hAnsi="Calibri"/>
                <w:sz w:val="20"/>
                <w:szCs w:val="20"/>
                <w:lang w:eastAsia="en-AU"/>
              </w:rPr>
              <w:t>3</w:t>
            </w:r>
          </w:p>
        </w:tc>
        <w:tc>
          <w:tcPr>
            <w:tcW w:w="174" w:type="pct"/>
            <w:shd w:val="clear" w:color="auto" w:fill="FFFF00"/>
          </w:tcPr>
          <w:p w14:paraId="6F56D7FA" w14:textId="77777777" w:rsidR="00017EAE" w:rsidRDefault="00017EAE" w:rsidP="00017EAE">
            <w:pPr>
              <w:spacing w:before="60" w:after="60" w:line="240" w:lineRule="auto"/>
              <w:rPr>
                <w:rFonts w:ascii="Calibri" w:eastAsia="Times New Roman" w:hAnsi="Calibri"/>
                <w:sz w:val="20"/>
                <w:szCs w:val="20"/>
                <w:lang w:eastAsia="en-AU"/>
              </w:rPr>
            </w:pPr>
            <w:r>
              <w:rPr>
                <w:rFonts w:ascii="Calibri" w:eastAsia="Times New Roman" w:hAnsi="Calibri"/>
                <w:sz w:val="20"/>
                <w:szCs w:val="20"/>
                <w:lang w:eastAsia="en-AU"/>
              </w:rPr>
              <w:t>2</w:t>
            </w:r>
          </w:p>
        </w:tc>
        <w:tc>
          <w:tcPr>
            <w:tcW w:w="1176" w:type="pct"/>
          </w:tcPr>
          <w:p w14:paraId="71A875B2" w14:textId="77777777" w:rsidR="00017EAE" w:rsidRDefault="00017EAE" w:rsidP="00017EAE">
            <w:pPr>
              <w:spacing w:before="60" w:after="60" w:line="240" w:lineRule="auto"/>
              <w:rPr>
                <w:rFonts w:ascii="Calibri" w:eastAsia="Times New Roman" w:hAnsi="Calibri"/>
                <w:w w:val="90"/>
                <w:sz w:val="20"/>
                <w:szCs w:val="20"/>
              </w:rPr>
            </w:pPr>
            <w:r>
              <w:rPr>
                <w:rFonts w:ascii="Calibri" w:eastAsia="Times New Roman" w:hAnsi="Calibri"/>
                <w:w w:val="90"/>
                <w:sz w:val="20"/>
                <w:szCs w:val="20"/>
              </w:rPr>
              <w:t>Progress may be negatively impacted</w:t>
            </w:r>
          </w:p>
          <w:p w14:paraId="66B832CF" w14:textId="77777777" w:rsidR="00017EAE" w:rsidRDefault="00017EAE" w:rsidP="00017EAE">
            <w:pPr>
              <w:spacing w:before="60" w:after="60" w:line="240" w:lineRule="auto"/>
              <w:rPr>
                <w:rFonts w:ascii="Calibri" w:eastAsia="Times New Roman" w:hAnsi="Calibri"/>
                <w:w w:val="90"/>
                <w:sz w:val="20"/>
                <w:szCs w:val="20"/>
              </w:rPr>
            </w:pPr>
            <w:r>
              <w:rPr>
                <w:rFonts w:ascii="Calibri" w:eastAsia="Times New Roman" w:hAnsi="Calibri"/>
                <w:w w:val="90"/>
                <w:sz w:val="20"/>
                <w:szCs w:val="20"/>
              </w:rPr>
              <w:t>Could undermine Program objectives</w:t>
            </w:r>
          </w:p>
          <w:p w14:paraId="438226DC" w14:textId="77777777" w:rsidR="00017EAE" w:rsidRDefault="00017EAE" w:rsidP="00017EAE">
            <w:pPr>
              <w:spacing w:before="60" w:after="60" w:line="240" w:lineRule="auto"/>
              <w:rPr>
                <w:rFonts w:ascii="Calibri" w:eastAsia="Times New Roman" w:hAnsi="Calibri"/>
                <w:w w:val="90"/>
                <w:sz w:val="20"/>
                <w:szCs w:val="20"/>
              </w:rPr>
            </w:pPr>
            <w:r>
              <w:rPr>
                <w:rFonts w:ascii="Calibri" w:eastAsia="Times New Roman" w:hAnsi="Calibri"/>
                <w:w w:val="90"/>
                <w:sz w:val="20"/>
                <w:szCs w:val="20"/>
              </w:rPr>
              <w:t xml:space="preserve"> </w:t>
            </w:r>
          </w:p>
        </w:tc>
        <w:tc>
          <w:tcPr>
            <w:tcW w:w="2000" w:type="pct"/>
          </w:tcPr>
          <w:p w14:paraId="7319A2D5" w14:textId="77777777" w:rsidR="00017EAE" w:rsidRDefault="00017EAE" w:rsidP="00017EAE">
            <w:pPr>
              <w:spacing w:before="60" w:after="60" w:line="240" w:lineRule="auto"/>
              <w:rPr>
                <w:rFonts w:ascii="Calibri" w:eastAsia="Times New Roman" w:hAnsi="Calibri"/>
                <w:w w:val="90"/>
                <w:sz w:val="20"/>
                <w:szCs w:val="20"/>
              </w:rPr>
            </w:pPr>
            <w:r>
              <w:rPr>
                <w:rFonts w:ascii="Calibri" w:eastAsia="Times New Roman" w:hAnsi="Calibri"/>
                <w:w w:val="90"/>
                <w:sz w:val="20"/>
                <w:szCs w:val="20"/>
              </w:rPr>
              <w:t>Strong adviser relationships</w:t>
            </w:r>
          </w:p>
          <w:p w14:paraId="3988A836" w14:textId="77777777" w:rsidR="00017EAE" w:rsidRDefault="00017EAE" w:rsidP="00017EAE">
            <w:pPr>
              <w:spacing w:before="60" w:after="60" w:line="240" w:lineRule="auto"/>
              <w:rPr>
                <w:rFonts w:ascii="Calibri" w:eastAsia="Times New Roman" w:hAnsi="Calibri"/>
                <w:w w:val="90"/>
                <w:sz w:val="20"/>
                <w:szCs w:val="20"/>
              </w:rPr>
            </w:pPr>
            <w:r w:rsidRPr="00C7452F">
              <w:rPr>
                <w:rFonts w:ascii="Calibri" w:eastAsia="Times New Roman" w:hAnsi="Calibri"/>
                <w:w w:val="90"/>
                <w:sz w:val="20"/>
                <w:szCs w:val="20"/>
              </w:rPr>
              <w:t>Build flexibility into Program</w:t>
            </w:r>
            <w:r>
              <w:rPr>
                <w:rFonts w:ascii="Calibri" w:eastAsia="Times New Roman" w:hAnsi="Calibri"/>
                <w:w w:val="90"/>
                <w:sz w:val="20"/>
                <w:szCs w:val="20"/>
              </w:rPr>
              <w:t xml:space="preserve"> to allow adjustment</w:t>
            </w:r>
          </w:p>
          <w:p w14:paraId="4AA9E992" w14:textId="77777777" w:rsidR="00017EAE" w:rsidRDefault="00017EAE" w:rsidP="00017EAE">
            <w:pPr>
              <w:spacing w:before="60" w:after="60" w:line="240" w:lineRule="auto"/>
              <w:rPr>
                <w:rFonts w:ascii="Calibri" w:eastAsia="Times New Roman" w:hAnsi="Calibri"/>
                <w:w w:val="90"/>
                <w:sz w:val="20"/>
                <w:szCs w:val="20"/>
              </w:rPr>
            </w:pPr>
            <w:r>
              <w:rPr>
                <w:rFonts w:ascii="Calibri" w:eastAsia="Times New Roman" w:hAnsi="Calibri"/>
                <w:w w:val="90"/>
                <w:sz w:val="20"/>
                <w:szCs w:val="20"/>
              </w:rPr>
              <w:t>Governance reform program</w:t>
            </w:r>
          </w:p>
          <w:p w14:paraId="73726A97" w14:textId="77777777" w:rsidR="00017EAE" w:rsidRDefault="00017EAE" w:rsidP="00017EAE">
            <w:pPr>
              <w:spacing w:before="60" w:after="60" w:line="240" w:lineRule="auto"/>
              <w:rPr>
                <w:rFonts w:ascii="Calibri" w:eastAsia="Times New Roman" w:hAnsi="Calibri"/>
                <w:w w:val="90"/>
                <w:sz w:val="20"/>
                <w:szCs w:val="20"/>
              </w:rPr>
            </w:pPr>
            <w:r w:rsidRPr="00762B0F">
              <w:rPr>
                <w:rFonts w:ascii="Calibri" w:eastAsia="Times New Roman" w:hAnsi="Calibri"/>
                <w:w w:val="90"/>
                <w:sz w:val="20"/>
                <w:szCs w:val="20"/>
              </w:rPr>
              <w:t xml:space="preserve">Strong and focused discussions on succession planning </w:t>
            </w:r>
          </w:p>
        </w:tc>
        <w:tc>
          <w:tcPr>
            <w:tcW w:w="286" w:type="pct"/>
          </w:tcPr>
          <w:p w14:paraId="077019EC" w14:textId="77777777" w:rsidR="00017EAE" w:rsidRDefault="00017EAE" w:rsidP="00017EAE">
            <w:pPr>
              <w:spacing w:before="60" w:after="60" w:line="240" w:lineRule="auto"/>
              <w:rPr>
                <w:rFonts w:ascii="Calibri" w:eastAsia="Times New Roman" w:hAnsi="Calibri"/>
                <w:w w:val="90"/>
                <w:sz w:val="20"/>
                <w:szCs w:val="20"/>
              </w:rPr>
            </w:pPr>
            <w:r>
              <w:rPr>
                <w:rFonts w:ascii="Calibri" w:eastAsia="Times New Roman" w:hAnsi="Calibri"/>
                <w:w w:val="90"/>
                <w:sz w:val="20"/>
                <w:szCs w:val="20"/>
              </w:rPr>
              <w:t>Head of Program</w:t>
            </w:r>
          </w:p>
          <w:p w14:paraId="729F17F9" w14:textId="77777777" w:rsidR="00017EAE" w:rsidRPr="00E6386C" w:rsidRDefault="00017EAE" w:rsidP="00017EAE">
            <w:pPr>
              <w:spacing w:before="60" w:after="60" w:line="240" w:lineRule="auto"/>
              <w:rPr>
                <w:rFonts w:ascii="Calibri" w:eastAsia="Times New Roman" w:hAnsi="Calibri"/>
                <w:w w:val="90"/>
                <w:sz w:val="20"/>
                <w:szCs w:val="20"/>
              </w:rPr>
            </w:pPr>
            <w:r>
              <w:rPr>
                <w:rFonts w:ascii="Calibri" w:eastAsia="Times New Roman" w:hAnsi="Calibri"/>
                <w:w w:val="90"/>
                <w:sz w:val="20"/>
                <w:szCs w:val="20"/>
              </w:rPr>
              <w:t>Advisers</w:t>
            </w:r>
          </w:p>
        </w:tc>
        <w:tc>
          <w:tcPr>
            <w:tcW w:w="190" w:type="pct"/>
            <w:shd w:val="clear" w:color="auto" w:fill="FFFF00"/>
          </w:tcPr>
          <w:p w14:paraId="5C678FDC" w14:textId="77777777" w:rsidR="00017EAE" w:rsidRDefault="00017EAE" w:rsidP="00017EAE">
            <w:pPr>
              <w:spacing w:before="60" w:after="60" w:line="240" w:lineRule="auto"/>
              <w:rPr>
                <w:rFonts w:ascii="Calibri" w:eastAsia="Times New Roman" w:hAnsi="Calibri"/>
                <w:sz w:val="20"/>
                <w:szCs w:val="20"/>
                <w:lang w:eastAsia="en-AU"/>
              </w:rPr>
            </w:pPr>
            <w:r>
              <w:rPr>
                <w:rFonts w:ascii="Calibri" w:eastAsia="Times New Roman" w:hAnsi="Calibri"/>
                <w:sz w:val="20"/>
                <w:szCs w:val="20"/>
                <w:lang w:eastAsia="en-AU"/>
              </w:rPr>
              <w:t>2</w:t>
            </w:r>
          </w:p>
        </w:tc>
      </w:tr>
    </w:tbl>
    <w:p w14:paraId="72491BD0" w14:textId="2AFF6A24" w:rsidR="00EE1F52" w:rsidRDefault="00EE1F52" w:rsidP="00E41375">
      <w:pPr>
        <w:pStyle w:val="Heading1"/>
        <w:sectPr w:rsidR="00EE1F52" w:rsidSect="00EE1F52">
          <w:pgSz w:w="16838" w:h="11906" w:orient="landscape"/>
          <w:pgMar w:top="1440" w:right="1440" w:bottom="1440" w:left="1440" w:header="708" w:footer="708" w:gutter="0"/>
          <w:cols w:space="708"/>
          <w:docGrid w:linePitch="360"/>
        </w:sectPr>
      </w:pPr>
    </w:p>
    <w:p w14:paraId="63A6350E" w14:textId="07AC91F3" w:rsidR="00E41375" w:rsidRPr="00E879CC" w:rsidRDefault="00E41375" w:rsidP="00E41375">
      <w:pPr>
        <w:pStyle w:val="Heading1"/>
      </w:pPr>
      <w:bookmarkStart w:id="180" w:name="_Toc516189406"/>
      <w:r w:rsidRPr="00E879CC">
        <w:lastRenderedPageBreak/>
        <w:t xml:space="preserve">Annex </w:t>
      </w:r>
      <w:r w:rsidR="00BD767B">
        <w:t>E</w:t>
      </w:r>
      <w:r w:rsidRPr="00E879CC">
        <w:t xml:space="preserve"> </w:t>
      </w:r>
      <w:r w:rsidR="00712087">
        <w:t xml:space="preserve">– </w:t>
      </w:r>
      <w:r w:rsidRPr="00E879CC">
        <w:t xml:space="preserve">Literature </w:t>
      </w:r>
      <w:r>
        <w:t>Consulted</w:t>
      </w:r>
      <w:bookmarkEnd w:id="180"/>
    </w:p>
    <w:p w14:paraId="7A4E52DE" w14:textId="77777777" w:rsidR="00E41375" w:rsidRDefault="00E41375" w:rsidP="00E41375"/>
    <w:p w14:paraId="29CE075C" w14:textId="77777777" w:rsidR="00E41375" w:rsidRPr="008546FA" w:rsidRDefault="00E41375" w:rsidP="00E41375">
      <w:r w:rsidRPr="008546FA">
        <w:t xml:space="preserve">AFP, </w:t>
      </w:r>
      <w:r>
        <w:t>2017</w:t>
      </w:r>
      <w:r w:rsidRPr="006F41FB">
        <w:t>,</w:t>
      </w:r>
      <w:r w:rsidRPr="006F41FB">
        <w:rPr>
          <w:i/>
        </w:rPr>
        <w:t xml:space="preserve"> TLPDP 2014-2018 Mid-Term Review</w:t>
      </w:r>
      <w:r>
        <w:t>.</w:t>
      </w:r>
      <w:r w:rsidRPr="00D77C71">
        <w:t xml:space="preserve"> </w:t>
      </w:r>
    </w:p>
    <w:p w14:paraId="5FFD1FDF" w14:textId="77777777" w:rsidR="00E41375" w:rsidRPr="008546FA" w:rsidRDefault="00E41375" w:rsidP="00E41375">
      <w:r w:rsidRPr="008546FA">
        <w:t xml:space="preserve">AFP, 2017, </w:t>
      </w:r>
      <w:r w:rsidRPr="006F41FB">
        <w:rPr>
          <w:i/>
        </w:rPr>
        <w:t>International Engagement 2020 and Beyond</w:t>
      </w:r>
      <w:r w:rsidRPr="008546FA">
        <w:t>.</w:t>
      </w:r>
      <w:r w:rsidRPr="00D77C71">
        <w:t xml:space="preserve"> </w:t>
      </w:r>
    </w:p>
    <w:p w14:paraId="0CBCAAD9" w14:textId="77777777" w:rsidR="00E41375" w:rsidRPr="008546FA" w:rsidRDefault="00E41375" w:rsidP="00E41375">
      <w:r w:rsidRPr="008546FA">
        <w:t>AFP, 201</w:t>
      </w:r>
      <w:r>
        <w:t>8</w:t>
      </w:r>
      <w:r w:rsidRPr="008546FA">
        <w:t xml:space="preserve">, </w:t>
      </w:r>
      <w:r w:rsidRPr="006F41FB">
        <w:rPr>
          <w:i/>
        </w:rPr>
        <w:t xml:space="preserve">International </w:t>
      </w:r>
      <w:r>
        <w:rPr>
          <w:i/>
        </w:rPr>
        <w:t>Operations Gender Strategy 2018-2022</w:t>
      </w:r>
      <w:r w:rsidRPr="008546FA">
        <w:t>.</w:t>
      </w:r>
    </w:p>
    <w:p w14:paraId="3CF2EB79" w14:textId="77777777" w:rsidR="00E41375" w:rsidRPr="008546FA" w:rsidRDefault="00E41375" w:rsidP="00E41375">
      <w:r w:rsidRPr="008546FA">
        <w:t xml:space="preserve">AFP, 2017, </w:t>
      </w:r>
      <w:r w:rsidRPr="006F41FB">
        <w:rPr>
          <w:i/>
        </w:rPr>
        <w:t>TLPDP 2018-2022 Program Concept</w:t>
      </w:r>
      <w:r w:rsidRPr="008546FA">
        <w:t>.</w:t>
      </w:r>
    </w:p>
    <w:p w14:paraId="4E4053FA" w14:textId="77777777" w:rsidR="00E41375" w:rsidRPr="008546FA" w:rsidRDefault="00E41375" w:rsidP="00E41375">
      <w:r w:rsidRPr="008546FA">
        <w:t xml:space="preserve">AFP, 2014, </w:t>
      </w:r>
      <w:r w:rsidRPr="006F41FB">
        <w:rPr>
          <w:i/>
        </w:rPr>
        <w:t>TLPDP 2014-2018 Design Document</w:t>
      </w:r>
      <w:r w:rsidRPr="008546FA">
        <w:t xml:space="preserve">. </w:t>
      </w:r>
    </w:p>
    <w:p w14:paraId="14E2818E" w14:textId="77777777" w:rsidR="00E41375" w:rsidRDefault="00E41375" w:rsidP="00E41375">
      <w:r w:rsidRPr="008546FA">
        <w:t>AFP,</w:t>
      </w:r>
      <w:r>
        <w:t xml:space="preserve"> </w:t>
      </w:r>
      <w:r w:rsidRPr="006F41FB">
        <w:rPr>
          <w:i/>
        </w:rPr>
        <w:t>TLPDP Mission Performance Reports 2014-2018</w:t>
      </w:r>
      <w:r>
        <w:t>.</w:t>
      </w:r>
    </w:p>
    <w:p w14:paraId="5090CEFF" w14:textId="77777777" w:rsidR="00E41375" w:rsidRPr="008546FA" w:rsidRDefault="00E41375" w:rsidP="00E41375">
      <w:r w:rsidRPr="008546FA">
        <w:t>Department of Prime Minister and Cabinet</w:t>
      </w:r>
      <w:r>
        <w:t xml:space="preserve"> (Australia)</w:t>
      </w:r>
      <w:r w:rsidRPr="008546FA">
        <w:t xml:space="preserve">, 2013, </w:t>
      </w:r>
      <w:r w:rsidRPr="006F41FB">
        <w:rPr>
          <w:i/>
        </w:rPr>
        <w:t>Strong and Secure; a Strategy for Australia’s National Security</w:t>
      </w:r>
      <w:r>
        <w:t>.</w:t>
      </w:r>
    </w:p>
    <w:p w14:paraId="5E61DF22" w14:textId="77777777" w:rsidR="00E41375" w:rsidRPr="008546FA" w:rsidRDefault="00E41375" w:rsidP="00E41375">
      <w:r w:rsidRPr="008546FA">
        <w:t>DFAT</w:t>
      </w:r>
      <w:r>
        <w:t>,</w:t>
      </w:r>
      <w:r w:rsidRPr="008546FA">
        <w:t xml:space="preserve"> 2014</w:t>
      </w:r>
      <w:r>
        <w:t>,</w:t>
      </w:r>
      <w:r w:rsidRPr="008546FA">
        <w:t xml:space="preserve"> </w:t>
      </w:r>
      <w:r w:rsidRPr="006F41FB">
        <w:rPr>
          <w:i/>
        </w:rPr>
        <w:t>Timor-Leste Country Evaluation</w:t>
      </w:r>
      <w:r>
        <w:t>.</w:t>
      </w:r>
    </w:p>
    <w:p w14:paraId="6BB9F4AA" w14:textId="77777777" w:rsidR="00E41375" w:rsidRDefault="00E41375" w:rsidP="00E41375">
      <w:r w:rsidRPr="008546FA">
        <w:t>DFAT</w:t>
      </w:r>
      <w:r>
        <w:t>,</w:t>
      </w:r>
      <w:r w:rsidRPr="008546FA">
        <w:t xml:space="preserve"> </w:t>
      </w:r>
      <w:r>
        <w:t xml:space="preserve">2014, </w:t>
      </w:r>
      <w:r w:rsidRPr="006F41FB">
        <w:rPr>
          <w:i/>
        </w:rPr>
        <w:t>Timor-Leste Ending Violence Against Women Program Design</w:t>
      </w:r>
      <w:r>
        <w:t>.</w:t>
      </w:r>
    </w:p>
    <w:p w14:paraId="57EC0B60" w14:textId="77777777" w:rsidR="00E41375" w:rsidRPr="002E0E1D" w:rsidRDefault="00E41375" w:rsidP="00E41375">
      <w:pPr>
        <w:rPr>
          <w:i/>
        </w:rPr>
      </w:pPr>
      <w:r>
        <w:t xml:space="preserve">DFAT, 2017, </w:t>
      </w:r>
      <w:r>
        <w:rPr>
          <w:i/>
        </w:rPr>
        <w:t>Foreign Policy White Paper.</w:t>
      </w:r>
    </w:p>
    <w:p w14:paraId="157D5831" w14:textId="77777777" w:rsidR="00E41375" w:rsidRPr="008546FA" w:rsidRDefault="00E41375" w:rsidP="00E41375">
      <w:r>
        <w:t>DFAT</w:t>
      </w:r>
      <w:r w:rsidRPr="008546FA">
        <w:t xml:space="preserve">, 2014, </w:t>
      </w:r>
      <w:r w:rsidRPr="006F41FB">
        <w:rPr>
          <w:i/>
        </w:rPr>
        <w:t>Australian aid: promoting prosperity, reducing poverty, enhancing stability</w:t>
      </w:r>
      <w:r>
        <w:t>.</w:t>
      </w:r>
      <w:r w:rsidRPr="006F41FB">
        <w:t xml:space="preserve"> </w:t>
      </w:r>
    </w:p>
    <w:p w14:paraId="04ACFC03" w14:textId="77777777" w:rsidR="00E41375" w:rsidRPr="008546FA" w:rsidRDefault="00E41375" w:rsidP="00E41375">
      <w:r>
        <w:t>DFAT</w:t>
      </w:r>
      <w:r w:rsidRPr="008546FA">
        <w:t xml:space="preserve">, 2016, </w:t>
      </w:r>
      <w:r w:rsidRPr="006F41FB">
        <w:rPr>
          <w:i/>
        </w:rPr>
        <w:t>Aid Program Performance Report 2015-16 Timor-Leste</w:t>
      </w:r>
      <w:r>
        <w:t>.</w:t>
      </w:r>
    </w:p>
    <w:p w14:paraId="7B4CB902" w14:textId="77777777" w:rsidR="00E41375" w:rsidRPr="008546FA" w:rsidRDefault="00E41375" w:rsidP="00E41375">
      <w:r>
        <w:t>DFAT</w:t>
      </w:r>
      <w:r w:rsidRPr="008546FA">
        <w:t>, 201</w:t>
      </w:r>
      <w:r>
        <w:t>7</w:t>
      </w:r>
      <w:r w:rsidRPr="008546FA">
        <w:t xml:space="preserve">, </w:t>
      </w:r>
      <w:r w:rsidRPr="006F41FB">
        <w:rPr>
          <w:i/>
        </w:rPr>
        <w:t>Aid Program Performance Report 2016-17 Timor-Leste</w:t>
      </w:r>
      <w:r>
        <w:t>.</w:t>
      </w:r>
    </w:p>
    <w:p w14:paraId="49626B3A" w14:textId="77777777" w:rsidR="00E41375" w:rsidRDefault="00E41375" w:rsidP="00E41375">
      <w:r w:rsidRPr="008546FA">
        <w:t xml:space="preserve">Government of </w:t>
      </w:r>
      <w:r>
        <w:t xml:space="preserve">the Democratic Republic of </w:t>
      </w:r>
      <w:r w:rsidRPr="008546FA">
        <w:t xml:space="preserve">Timor-Leste, 2010, </w:t>
      </w:r>
      <w:r w:rsidRPr="00D77C71">
        <w:rPr>
          <w:i/>
        </w:rPr>
        <w:t>Justice Sector Strategic Plan for Timor-Leste 2011-2030</w:t>
      </w:r>
      <w:r>
        <w:t>.</w:t>
      </w:r>
    </w:p>
    <w:p w14:paraId="5FB86051" w14:textId="77777777" w:rsidR="00E41375" w:rsidRDefault="00E41375" w:rsidP="00E41375">
      <w:r w:rsidRPr="008546FA">
        <w:t xml:space="preserve">Government of </w:t>
      </w:r>
      <w:r>
        <w:t xml:space="preserve">the Democratic Republic of </w:t>
      </w:r>
      <w:r w:rsidRPr="008546FA">
        <w:t>Timor-Leste, 201</w:t>
      </w:r>
      <w:r>
        <w:t>7</w:t>
      </w:r>
      <w:r w:rsidRPr="008546FA">
        <w:t xml:space="preserve">, </w:t>
      </w:r>
      <w:r w:rsidRPr="00D77C71">
        <w:rPr>
          <w:i/>
        </w:rPr>
        <w:t>National Action Plan on Gender-Based Violence 2017-2021</w:t>
      </w:r>
      <w:r>
        <w:t>.</w:t>
      </w:r>
    </w:p>
    <w:p w14:paraId="3F53F1DF" w14:textId="77777777" w:rsidR="00E41375" w:rsidRPr="002E0E1D" w:rsidRDefault="00E41375" w:rsidP="00E41375">
      <w:pPr>
        <w:rPr>
          <w:i/>
        </w:rPr>
      </w:pPr>
      <w:r w:rsidRPr="008546FA">
        <w:t>Government of Timor-Leste</w:t>
      </w:r>
      <w:r>
        <w:t xml:space="preserve">, </w:t>
      </w:r>
      <w:r>
        <w:rPr>
          <w:i/>
        </w:rPr>
        <w:t>National Action Plan on United Nation’s Security Council Resolution 1325 (2000) on Women, Peace and security (2016 – 2020).</w:t>
      </w:r>
    </w:p>
    <w:p w14:paraId="1272C7D0" w14:textId="77777777" w:rsidR="00E41375" w:rsidRDefault="00E41375" w:rsidP="00E41375">
      <w:r w:rsidRPr="008546FA">
        <w:t>Government of</w:t>
      </w:r>
      <w:r w:rsidRPr="00551F5F">
        <w:t xml:space="preserve"> </w:t>
      </w:r>
      <w:r>
        <w:t>the Democratic Republic of</w:t>
      </w:r>
      <w:r w:rsidRPr="008546FA">
        <w:t xml:space="preserve"> Timor-Leste and Government of Australia, 2011, </w:t>
      </w:r>
      <w:r w:rsidRPr="006F41FB">
        <w:rPr>
          <w:i/>
        </w:rPr>
        <w:t>Strategic Planning Agreement 2012-2017</w:t>
      </w:r>
      <w:r w:rsidRPr="008546FA">
        <w:t>.</w:t>
      </w:r>
    </w:p>
    <w:p w14:paraId="58683B32" w14:textId="77777777" w:rsidR="00E41375" w:rsidRDefault="00E41375" w:rsidP="00E41375">
      <w:r w:rsidRPr="008546FA">
        <w:t xml:space="preserve">Government of </w:t>
      </w:r>
      <w:r>
        <w:t xml:space="preserve">the Democratic Republic of </w:t>
      </w:r>
      <w:r w:rsidRPr="008546FA">
        <w:t>Timor-Leste and Government of Australia</w:t>
      </w:r>
      <w:r>
        <w:t xml:space="preserve">, 2003, </w:t>
      </w:r>
      <w:r w:rsidRPr="006F41FB">
        <w:rPr>
          <w:i/>
        </w:rPr>
        <w:t>Memorandum of Understanding on Technical Cooperation for Development</w:t>
      </w:r>
      <w:r>
        <w:t>.</w:t>
      </w:r>
    </w:p>
    <w:p w14:paraId="31B3D5B1" w14:textId="77777777" w:rsidR="00E41375" w:rsidRDefault="00E41375" w:rsidP="00E41375">
      <w:r w:rsidRPr="008546FA">
        <w:t xml:space="preserve">Government of </w:t>
      </w:r>
      <w:r>
        <w:t xml:space="preserve">the Democratic Republic of </w:t>
      </w:r>
      <w:r w:rsidRPr="008546FA">
        <w:t>Timor-Leste and Government of Australia</w:t>
      </w:r>
      <w:r>
        <w:t xml:space="preserve">, 2008, </w:t>
      </w:r>
      <w:r w:rsidRPr="006F41FB">
        <w:rPr>
          <w:i/>
        </w:rPr>
        <w:t>Project Document relating to the Timor-Leste Police Development Program under the Memorandum of Understanding on Technical Cooperation for Development</w:t>
      </w:r>
      <w:r>
        <w:t>.</w:t>
      </w:r>
    </w:p>
    <w:p w14:paraId="5B19A9B0" w14:textId="77777777" w:rsidR="00E41375" w:rsidRDefault="00E41375" w:rsidP="00E41375">
      <w:r w:rsidRPr="008546FA">
        <w:t xml:space="preserve">Government of </w:t>
      </w:r>
      <w:r>
        <w:t xml:space="preserve">the Democratic Republic of </w:t>
      </w:r>
      <w:r w:rsidRPr="008546FA">
        <w:t>Timor-Leste and Government of Australia</w:t>
      </w:r>
      <w:r>
        <w:t xml:space="preserve">, 2011, </w:t>
      </w:r>
      <w:r w:rsidRPr="006F41FB">
        <w:rPr>
          <w:i/>
        </w:rPr>
        <w:t>Strategic Planning Agreement for Development</w:t>
      </w:r>
      <w:r>
        <w:t>.</w:t>
      </w:r>
    </w:p>
    <w:p w14:paraId="028F9C3C" w14:textId="77777777" w:rsidR="00E41375" w:rsidRDefault="00E41375" w:rsidP="00E41375">
      <w:r w:rsidRPr="008546FA">
        <w:lastRenderedPageBreak/>
        <w:t xml:space="preserve">International Crisis Group, 2013, </w:t>
      </w:r>
      <w:r w:rsidRPr="00D77C71">
        <w:rPr>
          <w:i/>
        </w:rPr>
        <w:t>Timor-Leste: Stability at What Cost? Asia Report N.246.</w:t>
      </w:r>
    </w:p>
    <w:p w14:paraId="5A694E5C" w14:textId="77777777" w:rsidR="00E41375" w:rsidRPr="008546FA" w:rsidRDefault="00E41375" w:rsidP="00E41375">
      <w:r w:rsidRPr="008546FA">
        <w:t xml:space="preserve">International Dialogue on Peacebuilding and </w:t>
      </w:r>
      <w:proofErr w:type="spellStart"/>
      <w:r w:rsidRPr="008546FA">
        <w:t>Statebuilding</w:t>
      </w:r>
      <w:proofErr w:type="spellEnd"/>
      <w:r w:rsidRPr="008546FA">
        <w:t xml:space="preserve">, 2013, </w:t>
      </w:r>
      <w:r w:rsidRPr="00D77C71">
        <w:rPr>
          <w:i/>
        </w:rPr>
        <w:t>A New Deal for Engagement in Fragile States</w:t>
      </w:r>
      <w:r>
        <w:t>.</w:t>
      </w:r>
    </w:p>
    <w:p w14:paraId="14F011D8" w14:textId="77777777" w:rsidR="00E41375" w:rsidRPr="002E0E1D" w:rsidRDefault="00E41375" w:rsidP="00E41375">
      <w:pPr>
        <w:rPr>
          <w:i/>
        </w:rPr>
      </w:pPr>
      <w:proofErr w:type="spellStart"/>
      <w:r>
        <w:t>Nabilan</w:t>
      </w:r>
      <w:proofErr w:type="spellEnd"/>
      <w:r>
        <w:t xml:space="preserve">, 2016, </w:t>
      </w:r>
      <w:r>
        <w:rPr>
          <w:i/>
        </w:rPr>
        <w:t>Intimate Partner Violence: Women’s Experiences and Men’s Perpetration of Violence against Women in Timor-Leste.</w:t>
      </w:r>
    </w:p>
    <w:p w14:paraId="58E93D98" w14:textId="77777777" w:rsidR="00E41375" w:rsidRPr="008546FA" w:rsidRDefault="00E41375" w:rsidP="00E41375">
      <w:r w:rsidRPr="008546FA">
        <w:t xml:space="preserve">Office of Development Effectiveness, 2012, </w:t>
      </w:r>
      <w:r w:rsidRPr="006F41FB">
        <w:rPr>
          <w:i/>
        </w:rPr>
        <w:t>Building on local strengths, Evaluation of Australian law and justice assistance.</w:t>
      </w:r>
    </w:p>
    <w:p w14:paraId="06ECDDEB" w14:textId="77777777" w:rsidR="00E41375" w:rsidRPr="008546FA" w:rsidRDefault="00E41375" w:rsidP="00E41375">
      <w:r w:rsidRPr="008546FA">
        <w:t>PNTL</w:t>
      </w:r>
      <w:r>
        <w:t xml:space="preserve">, 2014, </w:t>
      </w:r>
      <w:r w:rsidRPr="00D77C71">
        <w:rPr>
          <w:i/>
        </w:rPr>
        <w:t>Strategic Plan 2014-2018</w:t>
      </w:r>
      <w:r>
        <w:t>.</w:t>
      </w:r>
    </w:p>
    <w:p w14:paraId="480A30D9" w14:textId="77777777" w:rsidR="00E41375" w:rsidRPr="008546FA" w:rsidRDefault="00E41375" w:rsidP="00E41375">
      <w:r>
        <w:t xml:space="preserve">The Asia Foundation, </w:t>
      </w:r>
      <w:r w:rsidRPr="008546FA">
        <w:t xml:space="preserve">2015, </w:t>
      </w:r>
      <w:r w:rsidRPr="00D77C71">
        <w:rPr>
          <w:i/>
        </w:rPr>
        <w:t>Timor-Leste Law and Justice Survey of Community Perceptions</w:t>
      </w:r>
      <w:r>
        <w:t>.</w:t>
      </w:r>
    </w:p>
    <w:p w14:paraId="4A00E2AD" w14:textId="77777777" w:rsidR="00E41375" w:rsidRDefault="00E41375" w:rsidP="00E41375">
      <w:r w:rsidRPr="008546FA">
        <w:t xml:space="preserve">The Asia Foundation, 2016, </w:t>
      </w:r>
      <w:r w:rsidRPr="00D77C71">
        <w:rPr>
          <w:i/>
        </w:rPr>
        <w:t>Community Policing in Timor-Leste</w:t>
      </w:r>
      <w:r>
        <w:t>.</w:t>
      </w:r>
    </w:p>
    <w:p w14:paraId="0EFAF689" w14:textId="31EAEEED" w:rsidR="000B01C4" w:rsidRPr="00E41375" w:rsidRDefault="00E41375" w:rsidP="00E41375">
      <w:pPr>
        <w:rPr>
          <w:i/>
        </w:rPr>
      </w:pPr>
      <w:r>
        <w:t xml:space="preserve">UNDP, 2016, </w:t>
      </w:r>
      <w:r>
        <w:rPr>
          <w:i/>
        </w:rPr>
        <w:t>Human Development Report – Human Development for Everyone.</w:t>
      </w:r>
    </w:p>
    <w:sectPr w:rsidR="000B01C4" w:rsidRPr="00E4137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3F6BA" w14:textId="77777777" w:rsidR="002B3FCD" w:rsidRDefault="002B3FCD" w:rsidP="002F5187">
      <w:pPr>
        <w:spacing w:after="0" w:line="240" w:lineRule="auto"/>
      </w:pPr>
      <w:r>
        <w:separator/>
      </w:r>
    </w:p>
  </w:endnote>
  <w:endnote w:type="continuationSeparator" w:id="0">
    <w:p w14:paraId="2463FFA3" w14:textId="77777777" w:rsidR="002B3FCD" w:rsidRDefault="002B3FCD" w:rsidP="002F5187">
      <w:pPr>
        <w:spacing w:after="0" w:line="240" w:lineRule="auto"/>
      </w:pPr>
      <w:r>
        <w:continuationSeparator/>
      </w:r>
    </w:p>
  </w:endnote>
  <w:endnote w:type="continuationNotice" w:id="1">
    <w:p w14:paraId="233DF70D" w14:textId="77777777" w:rsidR="002B3FCD" w:rsidRDefault="002B3F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IDFont+F5">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Arial"/>
    <w:charset w:val="00"/>
    <w:family w:val="swiss"/>
    <w:pitch w:val="variable"/>
    <w:sig w:usb0="600002F7" w:usb1="02000001"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ITC Giovanni Std Book">
    <w:altName w:val="ITC Giovanni Std Book"/>
    <w:panose1 w:val="00000000000000000000"/>
    <w:charset w:val="00"/>
    <w:family w:val="roman"/>
    <w:notTrueType/>
    <w:pitch w:val="default"/>
    <w:sig w:usb0="00000003" w:usb1="00000000" w:usb2="00000000" w:usb3="00000000" w:csb0="00000001" w:csb1="00000000"/>
  </w:font>
  <w:font w:name="LucidaSans">
    <w:altName w:val="Calibri"/>
    <w:panose1 w:val="00000000000000000000"/>
    <w:charset w:val="00"/>
    <w:family w:val="swiss"/>
    <w:notTrueType/>
    <w:pitch w:val="default"/>
    <w:sig w:usb0="00000003" w:usb1="00000000" w:usb2="00000000" w:usb3="00000000" w:csb0="00000001" w:csb1="00000000"/>
  </w:font>
  <w:font w:name="HelveticaNeueLT Pro 55 Roman">
    <w:altName w:val="HelveticaNeueLT Pro 55 Roman"/>
    <w:panose1 w:val="00000000000000000000"/>
    <w:charset w:val="00"/>
    <w:family w:val="roman"/>
    <w:notTrueType/>
    <w:pitch w:val="default"/>
    <w:sig w:usb0="00000003" w:usb1="00000000" w:usb2="00000000" w:usb3="00000000" w:csb0="00000001" w:csb1="00000000"/>
  </w:font>
  <w:font w:name="AGaramondPro-Regular">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0645312"/>
      <w:docPartObj>
        <w:docPartGallery w:val="Page Numbers (Bottom of Page)"/>
        <w:docPartUnique/>
      </w:docPartObj>
    </w:sdtPr>
    <w:sdtEndPr>
      <w:rPr>
        <w:noProof/>
      </w:rPr>
    </w:sdtEndPr>
    <w:sdtContent>
      <w:p w14:paraId="10EA9914" w14:textId="7DF91327" w:rsidR="00167A66" w:rsidRDefault="00167A66">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5B7D8435" w14:textId="77777777" w:rsidR="00167A66" w:rsidRDefault="00167A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E76B4" w14:textId="77777777" w:rsidR="002B3FCD" w:rsidRDefault="002B3FCD" w:rsidP="002F5187">
      <w:pPr>
        <w:spacing w:after="0" w:line="240" w:lineRule="auto"/>
      </w:pPr>
      <w:r>
        <w:separator/>
      </w:r>
    </w:p>
  </w:footnote>
  <w:footnote w:type="continuationSeparator" w:id="0">
    <w:p w14:paraId="65E008EF" w14:textId="77777777" w:rsidR="002B3FCD" w:rsidRDefault="002B3FCD" w:rsidP="002F5187">
      <w:pPr>
        <w:spacing w:after="0" w:line="240" w:lineRule="auto"/>
      </w:pPr>
      <w:r>
        <w:continuationSeparator/>
      </w:r>
    </w:p>
  </w:footnote>
  <w:footnote w:type="continuationNotice" w:id="1">
    <w:p w14:paraId="1184E26C" w14:textId="77777777" w:rsidR="002B3FCD" w:rsidRDefault="002B3FCD">
      <w:pPr>
        <w:spacing w:after="0" w:line="240" w:lineRule="auto"/>
      </w:pPr>
    </w:p>
  </w:footnote>
  <w:footnote w:id="2">
    <w:p w14:paraId="5A253ED9" w14:textId="21E50EC6" w:rsidR="00167A66" w:rsidRPr="00C949D3" w:rsidRDefault="00167A66" w:rsidP="006714CE">
      <w:pPr>
        <w:pStyle w:val="FootnoteText"/>
        <w:rPr>
          <w:rFonts w:ascii="Cambria" w:hAnsi="Cambria"/>
          <w:sz w:val="18"/>
          <w:szCs w:val="18"/>
        </w:rPr>
      </w:pPr>
      <w:r w:rsidRPr="00C949D3">
        <w:rPr>
          <w:rStyle w:val="FootnoteReference"/>
          <w:rFonts w:ascii="Cambria" w:hAnsi="Cambria"/>
          <w:sz w:val="18"/>
          <w:szCs w:val="18"/>
        </w:rPr>
        <w:footnoteRef/>
      </w:r>
      <w:r w:rsidRPr="00C949D3">
        <w:rPr>
          <w:rFonts w:ascii="Cambria" w:hAnsi="Cambria"/>
          <w:sz w:val="18"/>
          <w:szCs w:val="18"/>
        </w:rPr>
        <w:t xml:space="preserve"> See Annex </w:t>
      </w:r>
      <w:r>
        <w:rPr>
          <w:rFonts w:ascii="Cambria" w:hAnsi="Cambria"/>
          <w:sz w:val="18"/>
          <w:szCs w:val="18"/>
        </w:rPr>
        <w:t>A</w:t>
      </w:r>
      <w:r w:rsidRPr="00C949D3">
        <w:rPr>
          <w:rFonts w:ascii="Cambria" w:hAnsi="Cambria"/>
          <w:sz w:val="18"/>
          <w:szCs w:val="18"/>
        </w:rPr>
        <w:t xml:space="preserve"> for further detail.</w:t>
      </w:r>
    </w:p>
  </w:footnote>
  <w:footnote w:id="3">
    <w:p w14:paraId="182D4B1C" w14:textId="0C001AF1" w:rsidR="00167A66" w:rsidRPr="00334144" w:rsidRDefault="00167A66" w:rsidP="00922C9D">
      <w:pPr>
        <w:pStyle w:val="FootnoteText"/>
        <w:rPr>
          <w:rFonts w:ascii="Cambria" w:hAnsi="Cambria" w:cs="Arial"/>
          <w:sz w:val="18"/>
          <w:szCs w:val="18"/>
        </w:rPr>
      </w:pPr>
      <w:r w:rsidRPr="00334144">
        <w:rPr>
          <w:rStyle w:val="FootnoteReference"/>
          <w:rFonts w:ascii="Cambria" w:hAnsi="Cambria" w:cs="Arial"/>
          <w:sz w:val="18"/>
          <w:szCs w:val="18"/>
        </w:rPr>
        <w:footnoteRef/>
      </w:r>
      <w:r w:rsidRPr="00334144">
        <w:rPr>
          <w:rFonts w:ascii="Cambria" w:hAnsi="Cambria" w:cs="Arial"/>
          <w:sz w:val="18"/>
          <w:szCs w:val="18"/>
        </w:rPr>
        <w:t xml:space="preserve"> </w:t>
      </w:r>
      <w:bookmarkStart w:id="29" w:name="_Hlk510957238"/>
      <w:r w:rsidRPr="00334144">
        <w:rPr>
          <w:rFonts w:ascii="Cambria" w:hAnsi="Cambria" w:cs="Arial"/>
          <w:sz w:val="18"/>
          <w:szCs w:val="18"/>
        </w:rPr>
        <w:t xml:space="preserve">UNDP, 2016, </w:t>
      </w:r>
      <w:r w:rsidRPr="00334144">
        <w:rPr>
          <w:rFonts w:ascii="Cambria" w:hAnsi="Cambria" w:cs="Arial"/>
          <w:i/>
          <w:sz w:val="18"/>
          <w:szCs w:val="18"/>
        </w:rPr>
        <w:t>Human Development Report - Human Development for Everyone</w:t>
      </w:r>
      <w:r w:rsidRPr="00334144">
        <w:rPr>
          <w:rFonts w:ascii="Cambria" w:hAnsi="Cambria" w:cs="Arial"/>
          <w:sz w:val="18"/>
          <w:szCs w:val="18"/>
        </w:rPr>
        <w:t>, New York</w:t>
      </w:r>
      <w:bookmarkEnd w:id="29"/>
      <w:r>
        <w:rPr>
          <w:rFonts w:ascii="Cambria" w:hAnsi="Cambria" w:cs="Arial"/>
          <w:sz w:val="18"/>
          <w:szCs w:val="18"/>
        </w:rPr>
        <w:t>.</w:t>
      </w:r>
    </w:p>
  </w:footnote>
  <w:footnote w:id="4">
    <w:p w14:paraId="1CA72507" w14:textId="0034FDFA" w:rsidR="00167A66" w:rsidRPr="00334144" w:rsidRDefault="00167A66" w:rsidP="00922C9D">
      <w:pPr>
        <w:pStyle w:val="FootnoteText"/>
        <w:rPr>
          <w:rFonts w:ascii="Cambria" w:hAnsi="Cambria" w:cs="Arial"/>
          <w:sz w:val="18"/>
          <w:szCs w:val="18"/>
        </w:rPr>
      </w:pPr>
      <w:r w:rsidRPr="00334144">
        <w:rPr>
          <w:rStyle w:val="FootnoteReference"/>
          <w:rFonts w:ascii="Cambria" w:hAnsi="Cambria" w:cs="Arial"/>
          <w:sz w:val="18"/>
          <w:szCs w:val="18"/>
        </w:rPr>
        <w:footnoteRef/>
      </w:r>
      <w:r w:rsidRPr="00334144">
        <w:rPr>
          <w:rFonts w:ascii="Cambria" w:hAnsi="Cambria" w:cs="Arial"/>
          <w:sz w:val="18"/>
          <w:szCs w:val="18"/>
        </w:rPr>
        <w:t xml:space="preserve"> </w:t>
      </w:r>
      <w:bookmarkStart w:id="30" w:name="_Hlk510957336"/>
      <w:r w:rsidRPr="00334144">
        <w:rPr>
          <w:rFonts w:ascii="Cambria" w:hAnsi="Cambria" w:cs="Arial"/>
          <w:sz w:val="18"/>
          <w:szCs w:val="18"/>
        </w:rPr>
        <w:t xml:space="preserve">Department of Foreign Affairs and Trade, 2016, </w:t>
      </w:r>
      <w:r w:rsidRPr="00334144">
        <w:rPr>
          <w:rFonts w:ascii="Cambria" w:hAnsi="Cambria" w:cs="Arial"/>
          <w:i/>
          <w:sz w:val="18"/>
          <w:szCs w:val="18"/>
        </w:rPr>
        <w:t>Aid Program Performance Report 2015-16 Timor-Leste</w:t>
      </w:r>
      <w:bookmarkEnd w:id="30"/>
      <w:r>
        <w:rPr>
          <w:rFonts w:ascii="Cambria" w:hAnsi="Cambria" w:cs="Arial"/>
          <w:i/>
          <w:sz w:val="18"/>
          <w:szCs w:val="18"/>
        </w:rPr>
        <w:t>.</w:t>
      </w:r>
    </w:p>
  </w:footnote>
  <w:footnote w:id="5">
    <w:p w14:paraId="615FEED3" w14:textId="3A0F8383" w:rsidR="00167A66" w:rsidRPr="00334144" w:rsidRDefault="00167A66" w:rsidP="00242FA2">
      <w:pPr>
        <w:pStyle w:val="FootnoteText"/>
        <w:rPr>
          <w:rFonts w:ascii="Cambria" w:hAnsi="Cambria" w:cs="Arial"/>
          <w:sz w:val="18"/>
          <w:szCs w:val="18"/>
        </w:rPr>
      </w:pPr>
      <w:r w:rsidRPr="00334144">
        <w:rPr>
          <w:rStyle w:val="FootnoteReference"/>
          <w:rFonts w:ascii="Cambria" w:hAnsi="Cambria" w:cs="Arial"/>
          <w:sz w:val="18"/>
          <w:szCs w:val="18"/>
        </w:rPr>
        <w:footnoteRef/>
      </w:r>
      <w:r w:rsidRPr="00334144">
        <w:rPr>
          <w:rFonts w:ascii="Cambria" w:hAnsi="Cambria" w:cs="Arial"/>
          <w:sz w:val="18"/>
          <w:szCs w:val="18"/>
        </w:rPr>
        <w:t xml:space="preserve"> </w:t>
      </w:r>
      <w:bookmarkStart w:id="32" w:name="_Hlk510957458"/>
      <w:r w:rsidRPr="00334144">
        <w:rPr>
          <w:rFonts w:ascii="Cambria" w:hAnsi="Cambria" w:cs="Arial"/>
          <w:sz w:val="18"/>
          <w:szCs w:val="18"/>
        </w:rPr>
        <w:t xml:space="preserve">The Asia Foundation, 2015, </w:t>
      </w:r>
      <w:r w:rsidRPr="00334144">
        <w:rPr>
          <w:rFonts w:ascii="Cambria" w:hAnsi="Cambria" w:cs="Arial"/>
          <w:i/>
          <w:sz w:val="18"/>
          <w:szCs w:val="18"/>
        </w:rPr>
        <w:t>Timor-Leste Law and Justice Survey of Community Perceptions</w:t>
      </w:r>
      <w:bookmarkEnd w:id="32"/>
      <w:r>
        <w:rPr>
          <w:rFonts w:ascii="Cambria" w:hAnsi="Cambria" w:cs="Arial"/>
          <w:i/>
          <w:sz w:val="18"/>
          <w:szCs w:val="18"/>
        </w:rPr>
        <w:t>.</w:t>
      </w:r>
    </w:p>
  </w:footnote>
  <w:footnote w:id="6">
    <w:p w14:paraId="62A23880" w14:textId="57538483" w:rsidR="00167A66" w:rsidRPr="00334144" w:rsidRDefault="00167A66" w:rsidP="004C2E96">
      <w:pPr>
        <w:pStyle w:val="FootnoteText"/>
        <w:rPr>
          <w:rFonts w:ascii="Cambria" w:hAnsi="Cambria"/>
          <w:sz w:val="18"/>
          <w:szCs w:val="18"/>
        </w:rPr>
      </w:pPr>
      <w:r w:rsidRPr="00334144">
        <w:rPr>
          <w:rStyle w:val="FootnoteReference"/>
          <w:rFonts w:ascii="Cambria" w:hAnsi="Cambria" w:cs="Arial"/>
          <w:sz w:val="18"/>
          <w:szCs w:val="18"/>
        </w:rPr>
        <w:footnoteRef/>
      </w:r>
      <w:r w:rsidRPr="00334144">
        <w:rPr>
          <w:rFonts w:ascii="Cambria" w:hAnsi="Cambria" w:cs="Arial"/>
          <w:sz w:val="18"/>
          <w:szCs w:val="18"/>
        </w:rPr>
        <w:t xml:space="preserve"> AFP, </w:t>
      </w:r>
      <w:r w:rsidRPr="00334144">
        <w:rPr>
          <w:rFonts w:ascii="Cambria" w:hAnsi="Cambria" w:cs="Arial"/>
          <w:i/>
          <w:sz w:val="18"/>
          <w:szCs w:val="18"/>
        </w:rPr>
        <w:t>Mid-Term Review Consultations December</w:t>
      </w:r>
      <w:r w:rsidRPr="00334144">
        <w:rPr>
          <w:rFonts w:ascii="Cambria" w:hAnsi="Cambria" w:cs="Arial"/>
          <w:sz w:val="18"/>
          <w:szCs w:val="18"/>
        </w:rPr>
        <w:t xml:space="preserve"> 2016</w:t>
      </w:r>
      <w:r>
        <w:rPr>
          <w:rFonts w:ascii="Cambria" w:hAnsi="Cambria" w:cs="Arial"/>
          <w:sz w:val="18"/>
          <w:szCs w:val="18"/>
        </w:rPr>
        <w:t>.</w:t>
      </w:r>
    </w:p>
  </w:footnote>
  <w:footnote w:id="7">
    <w:p w14:paraId="003EB24E" w14:textId="3EE7A28B" w:rsidR="00167A66" w:rsidRDefault="00167A66">
      <w:pPr>
        <w:pStyle w:val="FootnoteText"/>
      </w:pPr>
      <w:r>
        <w:rPr>
          <w:rStyle w:val="FootnoteReference"/>
        </w:rPr>
        <w:footnoteRef/>
      </w:r>
      <w:r>
        <w:t xml:space="preserve"> </w:t>
      </w:r>
      <w:r w:rsidRPr="00334144">
        <w:rPr>
          <w:rFonts w:ascii="Cambria" w:hAnsi="Cambria"/>
          <w:sz w:val="18"/>
          <w:szCs w:val="18"/>
        </w:rPr>
        <w:t xml:space="preserve">US Department of State, 2016, </w:t>
      </w:r>
      <w:r w:rsidRPr="00334144">
        <w:rPr>
          <w:rFonts w:ascii="Cambria" w:hAnsi="Cambria"/>
          <w:i/>
          <w:sz w:val="18"/>
          <w:szCs w:val="18"/>
        </w:rPr>
        <w:t xml:space="preserve">2016 Trafficking in Persons Report </w:t>
      </w:r>
      <w:r w:rsidRPr="00334144">
        <w:rPr>
          <w:rFonts w:ascii="Cambria" w:hAnsi="Cambria"/>
          <w:sz w:val="18"/>
          <w:szCs w:val="18"/>
        </w:rPr>
        <w:t xml:space="preserve">and AFP, </w:t>
      </w:r>
      <w:r w:rsidRPr="00334144">
        <w:rPr>
          <w:rFonts w:ascii="Cambria" w:hAnsi="Cambria"/>
          <w:i/>
          <w:sz w:val="18"/>
          <w:szCs w:val="18"/>
        </w:rPr>
        <w:t>Mid-Term Review Consultations</w:t>
      </w:r>
      <w:r w:rsidRPr="00334144">
        <w:rPr>
          <w:rFonts w:ascii="Cambria" w:hAnsi="Cambria"/>
          <w:sz w:val="18"/>
          <w:szCs w:val="18"/>
        </w:rPr>
        <w:t xml:space="preserve"> December 2016</w:t>
      </w:r>
      <w:r>
        <w:rPr>
          <w:rFonts w:ascii="Cambria" w:hAnsi="Cambria"/>
          <w:sz w:val="18"/>
          <w:szCs w:val="18"/>
        </w:rPr>
        <w:t>.</w:t>
      </w:r>
    </w:p>
  </w:footnote>
  <w:footnote w:id="8">
    <w:p w14:paraId="045E746C" w14:textId="1C942FE7" w:rsidR="00167A66" w:rsidRPr="00334144" w:rsidRDefault="00167A66" w:rsidP="004C2E96">
      <w:pPr>
        <w:pStyle w:val="FootnoteText"/>
        <w:rPr>
          <w:rFonts w:ascii="Cambria" w:hAnsi="Cambria"/>
          <w:sz w:val="18"/>
          <w:szCs w:val="18"/>
        </w:rPr>
      </w:pPr>
      <w:r w:rsidRPr="00334144">
        <w:rPr>
          <w:rStyle w:val="FootnoteReference"/>
          <w:rFonts w:ascii="Cambria" w:hAnsi="Cambria"/>
          <w:sz w:val="18"/>
          <w:szCs w:val="18"/>
        </w:rPr>
        <w:footnoteRef/>
      </w:r>
      <w:r w:rsidRPr="00334144">
        <w:rPr>
          <w:rFonts w:ascii="Cambria" w:hAnsi="Cambria"/>
          <w:sz w:val="18"/>
          <w:szCs w:val="18"/>
        </w:rPr>
        <w:t xml:space="preserve"> </w:t>
      </w:r>
      <w:r>
        <w:rPr>
          <w:rFonts w:ascii="Cambria" w:hAnsi="Cambria"/>
          <w:sz w:val="18"/>
          <w:szCs w:val="18"/>
        </w:rPr>
        <w:t>Ibid.</w:t>
      </w:r>
    </w:p>
  </w:footnote>
  <w:footnote w:id="9">
    <w:p w14:paraId="4F9AE356" w14:textId="695A0E68" w:rsidR="00167A66" w:rsidRPr="00A12722" w:rsidRDefault="00167A66" w:rsidP="004C2E96">
      <w:pPr>
        <w:pStyle w:val="FootnoteText"/>
        <w:rPr>
          <w:rFonts w:ascii="Cambria" w:hAnsi="Cambria"/>
          <w:sz w:val="18"/>
          <w:szCs w:val="18"/>
        </w:rPr>
      </w:pPr>
      <w:r w:rsidRPr="00A12722">
        <w:rPr>
          <w:rStyle w:val="FootnoteReference"/>
          <w:rFonts w:ascii="Cambria" w:hAnsi="Cambria"/>
          <w:sz w:val="18"/>
          <w:szCs w:val="18"/>
        </w:rPr>
        <w:footnoteRef/>
      </w:r>
      <w:r w:rsidRPr="00A12722">
        <w:rPr>
          <w:rFonts w:ascii="Cambria" w:hAnsi="Cambria"/>
          <w:sz w:val="18"/>
          <w:szCs w:val="18"/>
        </w:rPr>
        <w:t xml:space="preserve"> </w:t>
      </w:r>
      <w:proofErr w:type="spellStart"/>
      <w:r w:rsidRPr="00A12722">
        <w:rPr>
          <w:rFonts w:ascii="Cambria" w:hAnsi="Cambria"/>
          <w:sz w:val="18"/>
          <w:szCs w:val="18"/>
        </w:rPr>
        <w:t>Belun</w:t>
      </w:r>
      <w:proofErr w:type="spellEnd"/>
      <w:r w:rsidRPr="00A12722">
        <w:rPr>
          <w:rFonts w:ascii="Cambria" w:hAnsi="Cambria"/>
          <w:sz w:val="18"/>
          <w:szCs w:val="18"/>
        </w:rPr>
        <w:t xml:space="preserve">, 2017, </w:t>
      </w:r>
      <w:r w:rsidRPr="00A12722">
        <w:rPr>
          <w:rFonts w:ascii="Cambria" w:hAnsi="Cambria"/>
          <w:i/>
          <w:sz w:val="18"/>
          <w:szCs w:val="18"/>
        </w:rPr>
        <w:t>EWER: Situation Review March 2017</w:t>
      </w:r>
      <w:r w:rsidRPr="00A12722">
        <w:rPr>
          <w:rFonts w:ascii="Cambria" w:hAnsi="Cambria"/>
          <w:sz w:val="18"/>
          <w:szCs w:val="18"/>
        </w:rPr>
        <w:t xml:space="preserve">, </w:t>
      </w:r>
      <w:proofErr w:type="spellStart"/>
      <w:r w:rsidRPr="00A12722">
        <w:rPr>
          <w:rFonts w:ascii="Cambria" w:hAnsi="Cambria"/>
          <w:sz w:val="18"/>
          <w:szCs w:val="18"/>
        </w:rPr>
        <w:t>Belun</w:t>
      </w:r>
      <w:proofErr w:type="spellEnd"/>
      <w:r w:rsidRPr="00A12722">
        <w:rPr>
          <w:rFonts w:ascii="Cambria" w:hAnsi="Cambria"/>
          <w:sz w:val="18"/>
          <w:szCs w:val="18"/>
        </w:rPr>
        <w:t xml:space="preserve">, 2017, </w:t>
      </w:r>
      <w:r w:rsidRPr="00A12722">
        <w:rPr>
          <w:rFonts w:ascii="Cambria" w:hAnsi="Cambria"/>
          <w:i/>
          <w:sz w:val="18"/>
          <w:szCs w:val="18"/>
        </w:rPr>
        <w:t>EWER: Situation Review February 2017</w:t>
      </w:r>
      <w:r w:rsidRPr="00A12722">
        <w:rPr>
          <w:rFonts w:ascii="Cambria" w:hAnsi="Cambria"/>
          <w:sz w:val="18"/>
          <w:szCs w:val="18"/>
        </w:rPr>
        <w:t xml:space="preserve">, </w:t>
      </w:r>
      <w:proofErr w:type="spellStart"/>
      <w:r w:rsidRPr="00A12722">
        <w:rPr>
          <w:rFonts w:ascii="Cambria" w:hAnsi="Cambria"/>
          <w:sz w:val="18"/>
          <w:szCs w:val="18"/>
        </w:rPr>
        <w:t>Belun</w:t>
      </w:r>
      <w:proofErr w:type="spellEnd"/>
      <w:r w:rsidRPr="00A12722">
        <w:rPr>
          <w:rFonts w:ascii="Cambria" w:hAnsi="Cambria"/>
          <w:sz w:val="18"/>
          <w:szCs w:val="18"/>
        </w:rPr>
        <w:t xml:space="preserve">, 2017, </w:t>
      </w:r>
      <w:r w:rsidRPr="00A12722">
        <w:rPr>
          <w:rFonts w:ascii="Cambria" w:hAnsi="Cambria"/>
          <w:i/>
          <w:sz w:val="18"/>
          <w:szCs w:val="18"/>
        </w:rPr>
        <w:t>EWER: Situation Review January 2017</w:t>
      </w:r>
      <w:r w:rsidRPr="00A12722">
        <w:rPr>
          <w:rFonts w:ascii="Cambria" w:hAnsi="Cambria"/>
          <w:sz w:val="18"/>
          <w:szCs w:val="18"/>
        </w:rPr>
        <w:t xml:space="preserve">, AFP, </w:t>
      </w:r>
      <w:r w:rsidRPr="00A12722">
        <w:rPr>
          <w:rFonts w:ascii="Cambria" w:hAnsi="Cambria"/>
          <w:i/>
          <w:sz w:val="18"/>
          <w:szCs w:val="18"/>
        </w:rPr>
        <w:t>Mid-Term Review Consultations</w:t>
      </w:r>
      <w:r w:rsidRPr="00A12722">
        <w:rPr>
          <w:rFonts w:ascii="Cambria" w:hAnsi="Cambria"/>
          <w:sz w:val="18"/>
          <w:szCs w:val="18"/>
        </w:rPr>
        <w:t xml:space="preserve"> December 2016</w:t>
      </w:r>
      <w:r>
        <w:rPr>
          <w:rFonts w:ascii="Cambria" w:hAnsi="Cambria"/>
          <w:sz w:val="18"/>
          <w:szCs w:val="18"/>
        </w:rPr>
        <w:t>.</w:t>
      </w:r>
    </w:p>
  </w:footnote>
  <w:footnote w:id="10">
    <w:p w14:paraId="0410361C" w14:textId="77777777" w:rsidR="00167A66" w:rsidRPr="00A12722" w:rsidRDefault="00167A66" w:rsidP="004C2E96">
      <w:pPr>
        <w:pStyle w:val="FootnoteText"/>
        <w:rPr>
          <w:rFonts w:ascii="Cambria" w:hAnsi="Cambria"/>
          <w:sz w:val="18"/>
          <w:szCs w:val="18"/>
        </w:rPr>
      </w:pPr>
      <w:r w:rsidRPr="00A12722">
        <w:rPr>
          <w:rStyle w:val="FootnoteReference"/>
          <w:rFonts w:ascii="Cambria" w:hAnsi="Cambria"/>
          <w:sz w:val="18"/>
          <w:szCs w:val="18"/>
        </w:rPr>
        <w:footnoteRef/>
      </w:r>
      <w:r w:rsidRPr="00A12722">
        <w:rPr>
          <w:rFonts w:ascii="Cambria" w:hAnsi="Cambria"/>
          <w:sz w:val="18"/>
          <w:szCs w:val="18"/>
        </w:rPr>
        <w:t xml:space="preserve"> </w:t>
      </w:r>
      <w:bookmarkStart w:id="33" w:name="_Hlk510957735"/>
      <w:proofErr w:type="spellStart"/>
      <w:r w:rsidRPr="00A12722">
        <w:rPr>
          <w:rFonts w:ascii="Cambria" w:hAnsi="Cambria"/>
          <w:sz w:val="18"/>
          <w:szCs w:val="18"/>
        </w:rPr>
        <w:t>Nabilan</w:t>
      </w:r>
      <w:proofErr w:type="spellEnd"/>
      <w:r w:rsidRPr="00A12722">
        <w:rPr>
          <w:rFonts w:ascii="Cambria" w:hAnsi="Cambria"/>
          <w:sz w:val="18"/>
          <w:szCs w:val="18"/>
        </w:rPr>
        <w:t xml:space="preserve">, 2016, </w:t>
      </w:r>
      <w:r w:rsidRPr="00A12722">
        <w:rPr>
          <w:rFonts w:ascii="Cambria" w:hAnsi="Cambria"/>
          <w:i/>
          <w:sz w:val="18"/>
          <w:szCs w:val="18"/>
        </w:rPr>
        <w:t>Fact Sheet 1. Intimate Partner Violence: Women’s Experiences and Men’s Perpetration of Violence against Women in Timor-Leste</w:t>
      </w:r>
      <w:r w:rsidRPr="00A12722">
        <w:rPr>
          <w:rFonts w:ascii="Cambria" w:hAnsi="Cambria"/>
          <w:sz w:val="18"/>
          <w:szCs w:val="18"/>
        </w:rPr>
        <w:t>.</w:t>
      </w:r>
      <w:bookmarkEnd w:id="33"/>
    </w:p>
  </w:footnote>
  <w:footnote w:id="11">
    <w:p w14:paraId="7CF877CE" w14:textId="77777777" w:rsidR="00167A66" w:rsidRPr="00C949D3" w:rsidRDefault="00167A66" w:rsidP="004C2E96">
      <w:pPr>
        <w:pStyle w:val="FootnoteText"/>
        <w:rPr>
          <w:rFonts w:ascii="Cambria" w:hAnsi="Cambria"/>
          <w:sz w:val="18"/>
          <w:szCs w:val="18"/>
        </w:rPr>
      </w:pPr>
      <w:r w:rsidRPr="00A12722">
        <w:rPr>
          <w:rStyle w:val="FootnoteReference"/>
          <w:rFonts w:ascii="Cambria" w:hAnsi="Cambria"/>
          <w:sz w:val="18"/>
          <w:szCs w:val="18"/>
        </w:rPr>
        <w:footnoteRef/>
      </w:r>
      <w:r w:rsidRPr="00A12722">
        <w:rPr>
          <w:rFonts w:ascii="Cambria" w:hAnsi="Cambria"/>
          <w:sz w:val="18"/>
          <w:szCs w:val="18"/>
        </w:rPr>
        <w:t xml:space="preserve"> International Crisis Group, 2013, </w:t>
      </w:r>
      <w:r w:rsidRPr="00A12722">
        <w:rPr>
          <w:rFonts w:ascii="Cambria" w:hAnsi="Cambria"/>
          <w:i/>
          <w:sz w:val="18"/>
          <w:szCs w:val="18"/>
        </w:rPr>
        <w:t xml:space="preserve">Timor-Leste: Stability at What Cost? </w:t>
      </w:r>
      <w:r w:rsidRPr="00A12722">
        <w:rPr>
          <w:rFonts w:ascii="Cambria" w:hAnsi="Cambria"/>
          <w:sz w:val="18"/>
          <w:szCs w:val="18"/>
        </w:rPr>
        <w:t>Asia Report N.246, 8 May 2013, Brussels, p.17</w:t>
      </w:r>
    </w:p>
  </w:footnote>
  <w:footnote w:id="12">
    <w:p w14:paraId="3DEB5F0F" w14:textId="5D36A9A4" w:rsidR="00167A66" w:rsidRPr="00C949D3" w:rsidRDefault="00167A66" w:rsidP="004C2E96">
      <w:pPr>
        <w:pStyle w:val="FootnoteText"/>
        <w:rPr>
          <w:rFonts w:ascii="Cambria" w:hAnsi="Cambria"/>
          <w:sz w:val="18"/>
          <w:szCs w:val="18"/>
        </w:rPr>
      </w:pPr>
      <w:r w:rsidRPr="00C949D3">
        <w:rPr>
          <w:rStyle w:val="FootnoteReference"/>
          <w:rFonts w:ascii="Cambria" w:hAnsi="Cambria"/>
          <w:sz w:val="18"/>
          <w:szCs w:val="18"/>
        </w:rPr>
        <w:footnoteRef/>
      </w:r>
      <w:r w:rsidRPr="00C949D3">
        <w:rPr>
          <w:rStyle w:val="FootnoteReference"/>
          <w:rFonts w:ascii="Cambria" w:hAnsi="Cambria"/>
          <w:sz w:val="18"/>
          <w:szCs w:val="18"/>
        </w:rPr>
        <w:t xml:space="preserve"> </w:t>
      </w:r>
      <w:bookmarkStart w:id="34" w:name="_Hlk510957886"/>
      <w:r w:rsidRPr="00C949D3">
        <w:rPr>
          <w:rFonts w:ascii="Cambria" w:hAnsi="Cambria"/>
          <w:sz w:val="18"/>
          <w:szCs w:val="18"/>
        </w:rPr>
        <w:t xml:space="preserve">International Dialogue on Peacebuilding and </w:t>
      </w:r>
      <w:proofErr w:type="spellStart"/>
      <w:r w:rsidRPr="00C949D3">
        <w:rPr>
          <w:rFonts w:ascii="Cambria" w:hAnsi="Cambria"/>
          <w:sz w:val="18"/>
          <w:szCs w:val="18"/>
        </w:rPr>
        <w:t>Statebuilding</w:t>
      </w:r>
      <w:proofErr w:type="spellEnd"/>
      <w:r w:rsidRPr="00C949D3">
        <w:rPr>
          <w:rFonts w:ascii="Cambria" w:hAnsi="Cambria"/>
          <w:sz w:val="18"/>
          <w:szCs w:val="18"/>
        </w:rPr>
        <w:t xml:space="preserve">, 2013, </w:t>
      </w:r>
      <w:r w:rsidRPr="00C949D3">
        <w:rPr>
          <w:rFonts w:ascii="Cambria" w:hAnsi="Cambria"/>
          <w:i/>
          <w:sz w:val="18"/>
          <w:szCs w:val="18"/>
        </w:rPr>
        <w:t>A New Deal for Engagement in Fragile States</w:t>
      </w:r>
      <w:r w:rsidRPr="00C949D3">
        <w:rPr>
          <w:rFonts w:ascii="Cambria" w:hAnsi="Cambria"/>
          <w:sz w:val="18"/>
          <w:szCs w:val="18"/>
        </w:rPr>
        <w:t>,</w:t>
      </w:r>
      <w:r w:rsidRPr="00C949D3">
        <w:rPr>
          <w:rFonts w:ascii="Cambria" w:hAnsi="Cambria"/>
          <w:i/>
          <w:sz w:val="18"/>
          <w:szCs w:val="18"/>
        </w:rPr>
        <w:t xml:space="preserve"> </w:t>
      </w:r>
      <w:r w:rsidRPr="00C949D3">
        <w:rPr>
          <w:rFonts w:ascii="Cambria" w:hAnsi="Cambria"/>
          <w:sz w:val="18"/>
          <w:szCs w:val="18"/>
        </w:rPr>
        <w:t>Washington</w:t>
      </w:r>
      <w:bookmarkEnd w:id="34"/>
      <w:r w:rsidRPr="00C949D3">
        <w:rPr>
          <w:rFonts w:ascii="Cambria" w:hAnsi="Cambria"/>
          <w:sz w:val="18"/>
          <w:szCs w:val="18"/>
        </w:rPr>
        <w:t>.</w:t>
      </w:r>
    </w:p>
  </w:footnote>
  <w:footnote w:id="13">
    <w:p w14:paraId="09AA892F" w14:textId="4ACE59DB" w:rsidR="00167A66" w:rsidRPr="00C949D3" w:rsidRDefault="00167A66" w:rsidP="004C2E96">
      <w:pPr>
        <w:pStyle w:val="FootnoteText"/>
        <w:rPr>
          <w:rFonts w:ascii="Cambria" w:hAnsi="Cambria"/>
          <w:sz w:val="18"/>
          <w:szCs w:val="18"/>
          <w:lang w:val="pt-PT"/>
        </w:rPr>
      </w:pPr>
      <w:r w:rsidRPr="00C949D3">
        <w:rPr>
          <w:rStyle w:val="FootnoteReference"/>
          <w:rFonts w:ascii="Cambria" w:hAnsi="Cambria"/>
          <w:sz w:val="18"/>
          <w:szCs w:val="18"/>
        </w:rPr>
        <w:footnoteRef/>
      </w:r>
      <w:r w:rsidRPr="00C949D3">
        <w:rPr>
          <w:rFonts w:ascii="Cambria" w:hAnsi="Cambria"/>
          <w:sz w:val="18"/>
          <w:szCs w:val="18"/>
          <w:lang w:val="pt-PT"/>
        </w:rPr>
        <w:t xml:space="preserve"> República Democrática</w:t>
      </w:r>
      <w:r w:rsidRPr="00C949D3">
        <w:rPr>
          <w:rFonts w:ascii="Cambria" w:hAnsi="Cambria"/>
          <w:bCs/>
          <w:sz w:val="18"/>
          <w:szCs w:val="18"/>
          <w:lang w:val="pt-PT"/>
        </w:rPr>
        <w:t xml:space="preserve"> </w:t>
      </w:r>
      <w:r w:rsidRPr="00C949D3">
        <w:rPr>
          <w:rFonts w:ascii="Cambria" w:hAnsi="Cambria"/>
          <w:sz w:val="18"/>
          <w:szCs w:val="18"/>
          <w:lang w:val="pt-PT"/>
        </w:rPr>
        <w:t xml:space="preserve">de Timor-Leste, 2010, </w:t>
      </w:r>
      <w:r w:rsidRPr="00C949D3">
        <w:rPr>
          <w:rFonts w:ascii="Cambria" w:hAnsi="Cambria"/>
          <w:i/>
          <w:sz w:val="18"/>
          <w:szCs w:val="18"/>
          <w:lang w:val="pt-PT"/>
        </w:rPr>
        <w:t>Justice Sector Strategic Plan for Timor-Leste 2011-2030</w:t>
      </w:r>
      <w:r w:rsidRPr="00C949D3">
        <w:rPr>
          <w:rFonts w:ascii="Cambria" w:hAnsi="Cambria"/>
          <w:sz w:val="18"/>
          <w:szCs w:val="18"/>
          <w:lang w:val="pt-PT"/>
        </w:rPr>
        <w:t xml:space="preserve">, </w:t>
      </w:r>
      <w:r>
        <w:rPr>
          <w:rFonts w:ascii="Cambria" w:hAnsi="Cambria"/>
          <w:sz w:val="18"/>
          <w:szCs w:val="18"/>
          <w:lang w:val="pt-PT"/>
        </w:rPr>
        <w:t>p</w:t>
      </w:r>
      <w:r w:rsidRPr="00C949D3">
        <w:rPr>
          <w:rFonts w:ascii="Cambria" w:hAnsi="Cambria"/>
          <w:sz w:val="18"/>
          <w:szCs w:val="18"/>
          <w:lang w:val="pt-PT"/>
        </w:rPr>
        <w:t xml:space="preserve"> 7.</w:t>
      </w:r>
    </w:p>
  </w:footnote>
  <w:footnote w:id="14">
    <w:p w14:paraId="6C4C8696" w14:textId="284B1C45" w:rsidR="00167A66" w:rsidRPr="00C949D3" w:rsidRDefault="00167A66" w:rsidP="00A01F08">
      <w:pPr>
        <w:pStyle w:val="FootnoteText"/>
        <w:rPr>
          <w:rFonts w:ascii="Cambria" w:hAnsi="Cambria"/>
          <w:i/>
          <w:sz w:val="18"/>
          <w:szCs w:val="18"/>
        </w:rPr>
      </w:pPr>
      <w:r w:rsidRPr="00C949D3">
        <w:rPr>
          <w:rStyle w:val="FootnoteReference"/>
          <w:rFonts w:ascii="Cambria" w:hAnsi="Cambria"/>
          <w:sz w:val="18"/>
          <w:szCs w:val="18"/>
        </w:rPr>
        <w:footnoteRef/>
      </w:r>
      <w:r w:rsidRPr="00C949D3">
        <w:rPr>
          <w:rFonts w:ascii="Cambria" w:hAnsi="Cambria"/>
          <w:sz w:val="18"/>
          <w:szCs w:val="18"/>
        </w:rPr>
        <w:t xml:space="preserve"> </w:t>
      </w:r>
      <w:r w:rsidRPr="00C949D3">
        <w:rPr>
          <w:rStyle w:val="A2"/>
          <w:rFonts w:ascii="Cambria" w:hAnsi="Cambria"/>
          <w:sz w:val="18"/>
          <w:szCs w:val="18"/>
        </w:rPr>
        <w:t xml:space="preserve">N Belo &amp; G Rajalingam, 2014, </w:t>
      </w:r>
      <w:r w:rsidRPr="00C949D3">
        <w:rPr>
          <w:rStyle w:val="A2"/>
          <w:rFonts w:ascii="Cambria" w:hAnsi="Cambria"/>
          <w:i/>
          <w:sz w:val="18"/>
          <w:szCs w:val="18"/>
        </w:rPr>
        <w:t>Local Leadership of Community Policing Practice sin Timor-Leste.</w:t>
      </w:r>
    </w:p>
  </w:footnote>
  <w:footnote w:id="15">
    <w:p w14:paraId="4ED42938" w14:textId="64883AE3" w:rsidR="00167A66" w:rsidRPr="00C949D3" w:rsidRDefault="00167A66" w:rsidP="00A01F08">
      <w:pPr>
        <w:pStyle w:val="FootnoteText"/>
        <w:rPr>
          <w:rFonts w:ascii="Cambria" w:hAnsi="Cambria"/>
          <w:sz w:val="18"/>
          <w:szCs w:val="18"/>
        </w:rPr>
      </w:pPr>
      <w:r w:rsidRPr="00C949D3">
        <w:rPr>
          <w:rStyle w:val="FootnoteReference"/>
          <w:rFonts w:ascii="Cambria" w:hAnsi="Cambria"/>
          <w:sz w:val="18"/>
          <w:szCs w:val="18"/>
        </w:rPr>
        <w:footnoteRef/>
      </w:r>
      <w:r w:rsidRPr="00C949D3">
        <w:rPr>
          <w:rFonts w:ascii="Cambria" w:hAnsi="Cambria"/>
          <w:sz w:val="18"/>
          <w:szCs w:val="18"/>
        </w:rPr>
        <w:t xml:space="preserve"> The Asia Foundation, 2015, </w:t>
      </w:r>
      <w:r w:rsidRPr="00C949D3">
        <w:rPr>
          <w:rFonts w:ascii="Cambria" w:hAnsi="Cambria"/>
          <w:i/>
          <w:sz w:val="18"/>
          <w:szCs w:val="18"/>
        </w:rPr>
        <w:t>Timor-Leste Law and Justice Survey of Community Perceptions.</w:t>
      </w:r>
    </w:p>
  </w:footnote>
  <w:footnote w:id="16">
    <w:p w14:paraId="3C3E2595" w14:textId="5947FCAA" w:rsidR="00167A66" w:rsidRPr="00C949D3" w:rsidRDefault="00167A66" w:rsidP="00A01F08">
      <w:pPr>
        <w:pStyle w:val="FootnoteText"/>
        <w:rPr>
          <w:rFonts w:ascii="Cambria" w:hAnsi="Cambria"/>
          <w:i/>
          <w:sz w:val="18"/>
          <w:szCs w:val="18"/>
        </w:rPr>
      </w:pPr>
      <w:r w:rsidRPr="00C949D3">
        <w:rPr>
          <w:rStyle w:val="FootnoteReference"/>
          <w:rFonts w:ascii="Cambria" w:hAnsi="Cambria"/>
          <w:sz w:val="18"/>
          <w:szCs w:val="18"/>
        </w:rPr>
        <w:footnoteRef/>
      </w:r>
      <w:r w:rsidRPr="00C949D3">
        <w:rPr>
          <w:rFonts w:ascii="Cambria" w:hAnsi="Cambria"/>
          <w:sz w:val="18"/>
          <w:szCs w:val="18"/>
        </w:rPr>
        <w:t xml:space="preserve"> The Asia Foundation, 2016, </w:t>
      </w:r>
      <w:r w:rsidRPr="00C949D3">
        <w:rPr>
          <w:rFonts w:ascii="Cambria" w:hAnsi="Cambria"/>
          <w:i/>
          <w:sz w:val="18"/>
          <w:szCs w:val="18"/>
        </w:rPr>
        <w:t>Community Policing in Timor-Leste.</w:t>
      </w:r>
    </w:p>
  </w:footnote>
  <w:footnote w:id="17">
    <w:p w14:paraId="053A6F2E" w14:textId="77777777" w:rsidR="00167A66" w:rsidRPr="00C949D3" w:rsidRDefault="00167A66" w:rsidP="00AE209B">
      <w:pPr>
        <w:pStyle w:val="FootnoteText"/>
        <w:rPr>
          <w:rFonts w:ascii="Cambria" w:hAnsi="Cambria"/>
          <w:sz w:val="18"/>
          <w:szCs w:val="18"/>
        </w:rPr>
      </w:pPr>
      <w:r w:rsidRPr="00C949D3">
        <w:rPr>
          <w:rStyle w:val="FootnoteReference"/>
          <w:rFonts w:ascii="Cambria" w:hAnsi="Cambria"/>
          <w:sz w:val="18"/>
          <w:szCs w:val="18"/>
        </w:rPr>
        <w:footnoteRef/>
      </w:r>
      <w:r w:rsidRPr="00C949D3">
        <w:rPr>
          <w:rFonts w:ascii="Cambria" w:hAnsi="Cambria"/>
          <w:sz w:val="18"/>
          <w:szCs w:val="18"/>
        </w:rPr>
        <w:t xml:space="preserve"> The Asia Foundation, 2015, </w:t>
      </w:r>
      <w:r w:rsidRPr="00C949D3">
        <w:rPr>
          <w:rFonts w:ascii="Cambria" w:hAnsi="Cambria"/>
          <w:i/>
          <w:sz w:val="18"/>
          <w:szCs w:val="18"/>
        </w:rPr>
        <w:t>Timor-Leste Law and Justice Survey of Community Perceptions.</w:t>
      </w:r>
    </w:p>
  </w:footnote>
  <w:footnote w:id="18">
    <w:p w14:paraId="76761C46" w14:textId="6F4E1013" w:rsidR="00167A66" w:rsidRPr="00C949D3" w:rsidRDefault="00167A66" w:rsidP="00A01F08">
      <w:pPr>
        <w:pStyle w:val="FootnoteText"/>
        <w:rPr>
          <w:rFonts w:ascii="Cambria" w:hAnsi="Cambria"/>
          <w:sz w:val="18"/>
          <w:szCs w:val="18"/>
        </w:rPr>
      </w:pPr>
      <w:r w:rsidRPr="00C949D3">
        <w:rPr>
          <w:rStyle w:val="FootnoteReference"/>
          <w:rFonts w:ascii="Cambria" w:hAnsi="Cambria"/>
          <w:sz w:val="18"/>
          <w:szCs w:val="18"/>
        </w:rPr>
        <w:footnoteRef/>
      </w:r>
      <w:r w:rsidRPr="00C949D3">
        <w:rPr>
          <w:rFonts w:ascii="Cambria" w:hAnsi="Cambria"/>
          <w:sz w:val="18"/>
          <w:szCs w:val="18"/>
        </w:rPr>
        <w:t xml:space="preserve"> Ibid.</w:t>
      </w:r>
    </w:p>
  </w:footnote>
  <w:footnote w:id="19">
    <w:p w14:paraId="64D77CB6" w14:textId="63C37E8F" w:rsidR="00167A66" w:rsidRPr="00C949D3" w:rsidRDefault="00167A66">
      <w:pPr>
        <w:pStyle w:val="FootnoteText"/>
        <w:rPr>
          <w:rFonts w:ascii="Cambria" w:hAnsi="Cambria"/>
          <w:sz w:val="18"/>
          <w:szCs w:val="18"/>
        </w:rPr>
      </w:pPr>
      <w:r w:rsidRPr="00C949D3">
        <w:rPr>
          <w:rStyle w:val="FootnoteReference"/>
          <w:rFonts w:ascii="Cambria" w:hAnsi="Cambria"/>
          <w:sz w:val="18"/>
          <w:szCs w:val="18"/>
        </w:rPr>
        <w:footnoteRef/>
      </w:r>
      <w:r w:rsidRPr="00C949D3">
        <w:rPr>
          <w:rFonts w:ascii="Cambria" w:hAnsi="Cambria"/>
          <w:sz w:val="18"/>
          <w:szCs w:val="18"/>
        </w:rPr>
        <w:t xml:space="preserve"> AFP TLPDP Mid-Term Review, 2017.</w:t>
      </w:r>
    </w:p>
  </w:footnote>
  <w:footnote w:id="20">
    <w:p w14:paraId="2C27AA02" w14:textId="6B747BFF" w:rsidR="00167A66" w:rsidRPr="00C949D3" w:rsidRDefault="00167A66" w:rsidP="00A01F08">
      <w:pPr>
        <w:pStyle w:val="FootnoteText"/>
        <w:rPr>
          <w:rFonts w:ascii="Cambria" w:hAnsi="Cambria"/>
          <w:sz w:val="18"/>
          <w:szCs w:val="18"/>
        </w:rPr>
      </w:pPr>
      <w:r w:rsidRPr="00C949D3">
        <w:rPr>
          <w:rStyle w:val="FootnoteReference"/>
          <w:rFonts w:ascii="Cambria" w:hAnsi="Cambria"/>
          <w:sz w:val="18"/>
          <w:szCs w:val="18"/>
        </w:rPr>
        <w:footnoteRef/>
      </w:r>
      <w:r w:rsidRPr="00C949D3">
        <w:rPr>
          <w:rFonts w:ascii="Cambria" w:hAnsi="Cambria"/>
          <w:sz w:val="18"/>
          <w:szCs w:val="18"/>
        </w:rPr>
        <w:t xml:space="preserve"> Ibid</w:t>
      </w:r>
      <w:r>
        <w:rPr>
          <w:rFonts w:ascii="Cambria" w:hAnsi="Cambria"/>
          <w:sz w:val="18"/>
          <w:szCs w:val="18"/>
        </w:rPr>
        <w:t>.</w:t>
      </w:r>
    </w:p>
  </w:footnote>
  <w:footnote w:id="21">
    <w:p w14:paraId="2E7B632F" w14:textId="77777777" w:rsidR="00167A66" w:rsidRPr="00C949D3" w:rsidRDefault="00167A66" w:rsidP="00DE57BB">
      <w:pPr>
        <w:pStyle w:val="FootnoteText"/>
        <w:rPr>
          <w:rFonts w:ascii="Cambria" w:hAnsi="Cambria"/>
          <w:sz w:val="18"/>
          <w:szCs w:val="18"/>
        </w:rPr>
      </w:pPr>
      <w:r w:rsidRPr="00C949D3">
        <w:rPr>
          <w:rStyle w:val="FootnoteReference"/>
          <w:rFonts w:ascii="Cambria" w:hAnsi="Cambria"/>
          <w:sz w:val="18"/>
          <w:szCs w:val="18"/>
        </w:rPr>
        <w:footnoteRef/>
      </w:r>
      <w:r w:rsidRPr="00C949D3">
        <w:rPr>
          <w:rFonts w:ascii="Cambria" w:hAnsi="Cambria"/>
          <w:sz w:val="18"/>
          <w:szCs w:val="18"/>
        </w:rPr>
        <w:t xml:space="preserve"> </w:t>
      </w:r>
      <w:bookmarkStart w:id="38" w:name="_Hlk511299801"/>
      <w:r w:rsidRPr="00C949D3">
        <w:rPr>
          <w:rFonts w:ascii="Cambria" w:hAnsi="Cambria"/>
          <w:sz w:val="18"/>
          <w:szCs w:val="18"/>
        </w:rPr>
        <w:t xml:space="preserve">Government of Timor-Leste, Strategic Development Plan 2011-2030, published 17 September 2011, </w:t>
      </w:r>
      <w:bookmarkEnd w:id="38"/>
      <w:r w:rsidRPr="00C949D3">
        <w:rPr>
          <w:rFonts w:ascii="Cambria" w:hAnsi="Cambria"/>
          <w:sz w:val="18"/>
          <w:szCs w:val="18"/>
        </w:rPr>
        <w:t xml:space="preserve">p183. </w:t>
      </w:r>
    </w:p>
  </w:footnote>
  <w:footnote w:id="22">
    <w:p w14:paraId="4E98CE93" w14:textId="77777777" w:rsidR="00167A66" w:rsidRPr="00C949D3" w:rsidRDefault="00167A66" w:rsidP="00DE57BB">
      <w:pPr>
        <w:pStyle w:val="FootnoteText"/>
        <w:rPr>
          <w:rFonts w:ascii="Cambria" w:hAnsi="Cambria"/>
          <w:sz w:val="18"/>
          <w:szCs w:val="18"/>
        </w:rPr>
      </w:pPr>
      <w:r w:rsidRPr="00C949D3">
        <w:rPr>
          <w:rStyle w:val="FootnoteReference"/>
          <w:rFonts w:ascii="Cambria" w:hAnsi="Cambria"/>
          <w:sz w:val="18"/>
          <w:szCs w:val="18"/>
        </w:rPr>
        <w:footnoteRef/>
      </w:r>
      <w:r w:rsidRPr="00C949D3">
        <w:rPr>
          <w:rFonts w:ascii="Cambria" w:hAnsi="Cambria"/>
          <w:sz w:val="18"/>
          <w:szCs w:val="18"/>
        </w:rPr>
        <w:t xml:space="preserve"> </w:t>
      </w:r>
      <w:bookmarkStart w:id="39" w:name="_Hlk511299883"/>
      <w:r w:rsidRPr="00C949D3">
        <w:rPr>
          <w:rFonts w:ascii="Cambria" w:hAnsi="Cambria"/>
          <w:sz w:val="18"/>
          <w:szCs w:val="18"/>
        </w:rPr>
        <w:t xml:space="preserve">James Mitchel, “Managing Fragility and Promoting Resilience to Advance Peace, Security and Sustainable Development”, </w:t>
      </w:r>
      <w:r w:rsidRPr="00C949D3">
        <w:rPr>
          <w:rFonts w:ascii="Cambria" w:hAnsi="Cambria"/>
          <w:i/>
          <w:sz w:val="18"/>
          <w:szCs w:val="18"/>
        </w:rPr>
        <w:t>Centre for Strategic International Studies</w:t>
      </w:r>
      <w:r w:rsidRPr="00C949D3">
        <w:rPr>
          <w:rFonts w:ascii="Cambria" w:hAnsi="Cambria"/>
          <w:sz w:val="18"/>
          <w:szCs w:val="18"/>
        </w:rPr>
        <w:t xml:space="preserve">, published January 2018, p 17. </w:t>
      </w:r>
      <w:bookmarkEnd w:id="39"/>
    </w:p>
  </w:footnote>
  <w:footnote w:id="23">
    <w:p w14:paraId="5739C8B3" w14:textId="77777777" w:rsidR="00167A66" w:rsidRPr="00C949D3" w:rsidRDefault="00167A66" w:rsidP="00DE57BB">
      <w:pPr>
        <w:pStyle w:val="FootnoteText"/>
        <w:rPr>
          <w:rFonts w:ascii="Cambria" w:hAnsi="Cambria"/>
          <w:sz w:val="18"/>
          <w:szCs w:val="18"/>
        </w:rPr>
      </w:pPr>
      <w:r w:rsidRPr="00C949D3">
        <w:rPr>
          <w:rStyle w:val="FootnoteReference"/>
          <w:rFonts w:ascii="Cambria" w:hAnsi="Cambria"/>
          <w:sz w:val="18"/>
          <w:szCs w:val="18"/>
        </w:rPr>
        <w:footnoteRef/>
      </w:r>
      <w:r w:rsidRPr="00C949D3">
        <w:rPr>
          <w:rFonts w:ascii="Cambria" w:hAnsi="Cambria"/>
          <w:sz w:val="18"/>
          <w:szCs w:val="18"/>
        </w:rPr>
        <w:t xml:space="preserve"> Australian Government Department of Foreign Affairs and Trade, </w:t>
      </w:r>
      <w:bookmarkStart w:id="40" w:name="_Hlk511299999"/>
      <w:r w:rsidRPr="00C949D3">
        <w:rPr>
          <w:rFonts w:ascii="Cambria" w:hAnsi="Cambria"/>
          <w:sz w:val="18"/>
          <w:szCs w:val="18"/>
        </w:rPr>
        <w:t>“Aid Investment Plan Timor-Leste: G2015-16 to 2018-19”, published 30 September 2015</w:t>
      </w:r>
      <w:bookmarkEnd w:id="40"/>
      <w:r w:rsidRPr="00C949D3">
        <w:rPr>
          <w:rFonts w:ascii="Cambria" w:hAnsi="Cambria"/>
          <w:sz w:val="18"/>
          <w:szCs w:val="18"/>
        </w:rPr>
        <w:t xml:space="preserve">; </w:t>
      </w:r>
      <w:bookmarkStart w:id="41" w:name="_Hlk511299941"/>
      <w:r w:rsidRPr="00C949D3">
        <w:rPr>
          <w:rFonts w:ascii="Cambria" w:hAnsi="Cambria"/>
          <w:sz w:val="18"/>
          <w:szCs w:val="18"/>
        </w:rPr>
        <w:t>Government of Timor-Leste, “Program of the VI Constitutional Government 2015-2017 Legislature”.</w:t>
      </w:r>
      <w:bookmarkEnd w:id="41"/>
    </w:p>
  </w:footnote>
  <w:footnote w:id="24">
    <w:p w14:paraId="5ED55910" w14:textId="16864298" w:rsidR="00167A66" w:rsidRPr="00C949D3" w:rsidRDefault="00167A66" w:rsidP="00DE57BB">
      <w:pPr>
        <w:pStyle w:val="FootnoteText"/>
        <w:rPr>
          <w:rFonts w:ascii="Cambria" w:hAnsi="Cambria"/>
          <w:sz w:val="18"/>
          <w:szCs w:val="18"/>
        </w:rPr>
      </w:pPr>
      <w:r w:rsidRPr="00C949D3">
        <w:rPr>
          <w:rStyle w:val="FootnoteReference"/>
          <w:rFonts w:ascii="Cambria" w:hAnsi="Cambria"/>
          <w:sz w:val="18"/>
          <w:szCs w:val="18"/>
        </w:rPr>
        <w:footnoteRef/>
      </w:r>
      <w:r w:rsidRPr="00C949D3">
        <w:rPr>
          <w:rFonts w:ascii="Cambria" w:hAnsi="Cambria"/>
          <w:sz w:val="18"/>
          <w:szCs w:val="18"/>
        </w:rPr>
        <w:t xml:space="preserve"> </w:t>
      </w:r>
      <w:bookmarkStart w:id="42" w:name="_Hlk511300079"/>
      <w:r w:rsidRPr="00C949D3">
        <w:rPr>
          <w:rFonts w:ascii="Cambria" w:hAnsi="Cambria"/>
          <w:sz w:val="18"/>
          <w:szCs w:val="18"/>
        </w:rPr>
        <w:t xml:space="preserve">Government of Timor-Leste, “The Justice Sector Strategic Plan for Timor-Leste 2011-2030”, published 12 February 2010, </w:t>
      </w:r>
      <w:r>
        <w:rPr>
          <w:rFonts w:ascii="Cambria" w:hAnsi="Cambria"/>
          <w:sz w:val="18"/>
          <w:szCs w:val="18"/>
        </w:rPr>
        <w:t xml:space="preserve">p </w:t>
      </w:r>
      <w:r w:rsidRPr="00C949D3">
        <w:rPr>
          <w:rFonts w:ascii="Cambria" w:hAnsi="Cambria"/>
          <w:sz w:val="18"/>
          <w:szCs w:val="18"/>
        </w:rPr>
        <w:t>38-39.</w:t>
      </w:r>
      <w:bookmarkEnd w:id="42"/>
    </w:p>
  </w:footnote>
  <w:footnote w:id="25">
    <w:p w14:paraId="3051DC72" w14:textId="77777777" w:rsidR="00167A66" w:rsidRPr="00C949D3" w:rsidRDefault="00167A66" w:rsidP="00ED51E2">
      <w:pPr>
        <w:pStyle w:val="FootnoteText"/>
        <w:rPr>
          <w:rFonts w:ascii="Cambria" w:hAnsi="Cambria"/>
          <w:sz w:val="18"/>
          <w:szCs w:val="18"/>
        </w:rPr>
      </w:pPr>
      <w:r w:rsidRPr="00C949D3">
        <w:rPr>
          <w:rStyle w:val="FootnoteReference"/>
          <w:rFonts w:ascii="Cambria" w:hAnsi="Cambria"/>
          <w:sz w:val="18"/>
          <w:szCs w:val="18"/>
        </w:rPr>
        <w:footnoteRef/>
      </w:r>
      <w:r w:rsidRPr="00C949D3">
        <w:rPr>
          <w:rFonts w:ascii="Cambria" w:hAnsi="Cambria"/>
          <w:sz w:val="18"/>
          <w:szCs w:val="18"/>
        </w:rPr>
        <w:t xml:space="preserve"> TLPDP Design Team in-country consultations, February-March 2018.</w:t>
      </w:r>
    </w:p>
  </w:footnote>
  <w:footnote w:id="26">
    <w:p w14:paraId="4F82D93B" w14:textId="77777777" w:rsidR="00167A66" w:rsidRPr="00C949D3" w:rsidRDefault="00167A66" w:rsidP="00ED51E2">
      <w:pPr>
        <w:pStyle w:val="FootnoteText"/>
        <w:rPr>
          <w:rFonts w:ascii="Cambria" w:hAnsi="Cambria"/>
          <w:sz w:val="18"/>
          <w:szCs w:val="18"/>
        </w:rPr>
      </w:pPr>
      <w:r w:rsidRPr="00C949D3">
        <w:rPr>
          <w:rStyle w:val="FootnoteReference"/>
          <w:rFonts w:ascii="Cambria" w:hAnsi="Cambria"/>
          <w:sz w:val="18"/>
          <w:szCs w:val="18"/>
        </w:rPr>
        <w:footnoteRef/>
      </w:r>
      <w:r w:rsidRPr="00C949D3">
        <w:rPr>
          <w:rFonts w:ascii="Cambria" w:hAnsi="Cambria"/>
          <w:sz w:val="18"/>
          <w:szCs w:val="18"/>
        </w:rPr>
        <w:t xml:space="preserve"> TLPDP Design Team in-country consultations, February-March 2018.</w:t>
      </w:r>
    </w:p>
    <w:p w14:paraId="69D481C6" w14:textId="77777777" w:rsidR="00167A66" w:rsidRPr="00C949D3" w:rsidRDefault="00167A66" w:rsidP="00ED51E2">
      <w:pPr>
        <w:pStyle w:val="FootnoteText"/>
        <w:rPr>
          <w:rFonts w:ascii="Cambria" w:hAnsi="Cambria"/>
          <w:sz w:val="18"/>
          <w:szCs w:val="18"/>
        </w:rPr>
      </w:pPr>
    </w:p>
  </w:footnote>
  <w:footnote w:id="27">
    <w:p w14:paraId="589A04FC" w14:textId="40976EE8" w:rsidR="00167A66" w:rsidRPr="00C949D3" w:rsidRDefault="00167A66">
      <w:pPr>
        <w:pStyle w:val="FootnoteText"/>
        <w:rPr>
          <w:rFonts w:ascii="Cambria" w:hAnsi="Cambria"/>
          <w:sz w:val="18"/>
          <w:szCs w:val="18"/>
        </w:rPr>
      </w:pPr>
      <w:r w:rsidRPr="00C949D3">
        <w:rPr>
          <w:rStyle w:val="FootnoteReference"/>
          <w:rFonts w:ascii="Cambria" w:hAnsi="Cambria"/>
          <w:sz w:val="18"/>
          <w:szCs w:val="18"/>
        </w:rPr>
        <w:footnoteRef/>
      </w:r>
      <w:r w:rsidRPr="00C949D3">
        <w:rPr>
          <w:rFonts w:ascii="Cambria" w:hAnsi="Cambria"/>
          <w:sz w:val="18"/>
          <w:szCs w:val="18"/>
        </w:rPr>
        <w:t xml:space="preserve"> Australian Government Department of Foreign Affairs and Trade, </w:t>
      </w:r>
      <w:r w:rsidRPr="00C949D3">
        <w:rPr>
          <w:rFonts w:ascii="Cambria" w:hAnsi="Cambria"/>
          <w:i/>
          <w:sz w:val="18"/>
          <w:szCs w:val="18"/>
        </w:rPr>
        <w:t xml:space="preserve">Australian aid: promoting prosperity, reducing poverty, enhancing stability, </w:t>
      </w:r>
      <w:r w:rsidRPr="00C949D3">
        <w:rPr>
          <w:rFonts w:ascii="Cambria" w:hAnsi="Cambria"/>
          <w:sz w:val="18"/>
          <w:szCs w:val="18"/>
        </w:rPr>
        <w:t xml:space="preserve">June 2014; Australian Government Department of Foreign Affairs and Trade, </w:t>
      </w:r>
      <w:r w:rsidRPr="00C949D3">
        <w:rPr>
          <w:rFonts w:ascii="Cambria" w:hAnsi="Cambria"/>
          <w:i/>
          <w:sz w:val="18"/>
          <w:szCs w:val="18"/>
        </w:rPr>
        <w:t>2017 Foreign Policy White Paper</w:t>
      </w:r>
      <w:r>
        <w:rPr>
          <w:rFonts w:ascii="Cambria" w:hAnsi="Cambria"/>
          <w:sz w:val="18"/>
          <w:szCs w:val="18"/>
        </w:rPr>
        <w:t>, November 2017.</w:t>
      </w:r>
    </w:p>
  </w:footnote>
  <w:footnote w:id="28">
    <w:p w14:paraId="1C97EC88" w14:textId="77777777" w:rsidR="00167A66" w:rsidRDefault="00167A66">
      <w:pPr>
        <w:contextualSpacing/>
        <w:rPr>
          <w:sz w:val="18"/>
          <w:szCs w:val="18"/>
        </w:rPr>
      </w:pPr>
      <w:r w:rsidRPr="00650A05">
        <w:rPr>
          <w:sz w:val="14"/>
          <w:szCs w:val="14"/>
        </w:rPr>
        <w:t>27</w:t>
      </w:r>
      <w:r>
        <w:rPr>
          <w:sz w:val="18"/>
          <w:szCs w:val="18"/>
        </w:rPr>
        <w:t xml:space="preserve"> </w:t>
      </w:r>
      <w:r w:rsidRPr="00B76A1D">
        <w:rPr>
          <w:sz w:val="18"/>
          <w:szCs w:val="18"/>
        </w:rPr>
        <w:t xml:space="preserve">Australian Government, Department of Prime Minister and Cabinet, 2013, </w:t>
      </w:r>
      <w:r w:rsidRPr="00B76A1D">
        <w:rPr>
          <w:i/>
          <w:sz w:val="18"/>
          <w:szCs w:val="18"/>
        </w:rPr>
        <w:t xml:space="preserve">Strong and Secure; a Strategy for Australia’s National Security, </w:t>
      </w:r>
      <w:r w:rsidRPr="00B76A1D">
        <w:rPr>
          <w:sz w:val="18"/>
          <w:szCs w:val="18"/>
        </w:rPr>
        <w:t>Canberra</w:t>
      </w:r>
      <w:r>
        <w:rPr>
          <w:sz w:val="18"/>
          <w:szCs w:val="18"/>
        </w:rPr>
        <w:t>.</w:t>
      </w:r>
    </w:p>
    <w:p w14:paraId="3D774E89" w14:textId="2BD4D47C" w:rsidR="00167A66" w:rsidRDefault="00167A66" w:rsidP="00650A05">
      <w:pPr>
        <w:spacing w:line="240" w:lineRule="auto"/>
        <w:contextualSpacing/>
        <w:rPr>
          <w:bCs/>
          <w:i/>
          <w:iCs/>
          <w:sz w:val="18"/>
          <w:szCs w:val="18"/>
          <w:lang w:val="en-GB"/>
        </w:rPr>
      </w:pPr>
      <w:r w:rsidRPr="00650A05">
        <w:rPr>
          <w:sz w:val="12"/>
          <w:szCs w:val="12"/>
        </w:rPr>
        <w:t>28</w:t>
      </w:r>
      <w:r>
        <w:rPr>
          <w:sz w:val="18"/>
          <w:szCs w:val="18"/>
        </w:rPr>
        <w:t xml:space="preserve"> </w:t>
      </w:r>
      <w:r w:rsidRPr="00B76A1D">
        <w:rPr>
          <w:sz w:val="18"/>
          <w:szCs w:val="18"/>
        </w:rPr>
        <w:t xml:space="preserve">Australian Government Department of Defence, 2016, </w:t>
      </w:r>
      <w:r w:rsidRPr="00B76A1D">
        <w:rPr>
          <w:i/>
          <w:sz w:val="18"/>
          <w:szCs w:val="18"/>
        </w:rPr>
        <w:t xml:space="preserve">Defence White Paper 2016, </w:t>
      </w:r>
      <w:r w:rsidRPr="00B76A1D">
        <w:rPr>
          <w:sz w:val="18"/>
          <w:szCs w:val="18"/>
        </w:rPr>
        <w:t xml:space="preserve">Canberra, p. 69 and the Department of Foreign Affairs and Trade, 2014, </w:t>
      </w:r>
      <w:r w:rsidRPr="00B76A1D">
        <w:rPr>
          <w:bCs/>
          <w:i/>
          <w:iCs/>
          <w:sz w:val="18"/>
          <w:szCs w:val="18"/>
          <w:lang w:val="en-GB"/>
        </w:rPr>
        <w:t>Australian aid: promoting prosperity, reducing poverty, enhancing stability</w:t>
      </w:r>
      <w:r>
        <w:rPr>
          <w:bCs/>
          <w:i/>
          <w:iCs/>
          <w:sz w:val="18"/>
          <w:szCs w:val="18"/>
          <w:lang w:val="en-GB"/>
        </w:rPr>
        <w:t>.</w:t>
      </w:r>
    </w:p>
    <w:p w14:paraId="1EE86F71" w14:textId="4E49CBC5" w:rsidR="00167A66" w:rsidRPr="00C949D3" w:rsidRDefault="00167A66" w:rsidP="00650A05">
      <w:pPr>
        <w:spacing w:line="240" w:lineRule="auto"/>
        <w:contextualSpacing/>
        <w:rPr>
          <w:sz w:val="18"/>
          <w:szCs w:val="18"/>
        </w:rPr>
      </w:pPr>
      <w:r w:rsidRPr="00C949D3">
        <w:rPr>
          <w:rStyle w:val="FootnoteReference"/>
          <w:sz w:val="18"/>
          <w:szCs w:val="18"/>
        </w:rPr>
        <w:footnoteRef/>
      </w:r>
      <w:r w:rsidRPr="00C949D3">
        <w:rPr>
          <w:sz w:val="18"/>
          <w:szCs w:val="18"/>
        </w:rPr>
        <w:t xml:space="preserve"> Australian Government Department of Foreign Affairs and Trade, </w:t>
      </w:r>
      <w:r w:rsidRPr="00C949D3">
        <w:rPr>
          <w:i/>
          <w:sz w:val="18"/>
          <w:szCs w:val="18"/>
        </w:rPr>
        <w:t>2017 Foreign Policy White Paper</w:t>
      </w:r>
      <w:r w:rsidRPr="00C949D3">
        <w:rPr>
          <w:sz w:val="18"/>
          <w:szCs w:val="18"/>
        </w:rPr>
        <w:t>, November 2017, page 103-104.</w:t>
      </w:r>
    </w:p>
  </w:footnote>
  <w:footnote w:id="29">
    <w:p w14:paraId="79A49898" w14:textId="77777777" w:rsidR="00167A66" w:rsidRPr="00C949D3" w:rsidRDefault="00167A66" w:rsidP="00650A05">
      <w:pPr>
        <w:spacing w:line="240" w:lineRule="auto"/>
        <w:contextualSpacing/>
        <w:rPr>
          <w:sz w:val="18"/>
          <w:szCs w:val="18"/>
        </w:rPr>
      </w:pPr>
    </w:p>
  </w:footnote>
  <w:footnote w:id="30">
    <w:p w14:paraId="2A0FB170" w14:textId="765569A2" w:rsidR="00167A66" w:rsidRPr="00C949D3" w:rsidRDefault="00167A66" w:rsidP="00650A05">
      <w:pPr>
        <w:pStyle w:val="FootnoteText"/>
        <w:contextualSpacing/>
        <w:rPr>
          <w:rFonts w:ascii="Cambria" w:hAnsi="Cambria"/>
          <w:sz w:val="18"/>
          <w:szCs w:val="18"/>
        </w:rPr>
      </w:pPr>
    </w:p>
  </w:footnote>
  <w:footnote w:id="31">
    <w:p w14:paraId="244E0299" w14:textId="77777777" w:rsidR="00167A66" w:rsidRPr="00C949D3" w:rsidRDefault="00167A66" w:rsidP="00063554">
      <w:pPr>
        <w:pStyle w:val="FootnoteText"/>
        <w:rPr>
          <w:rFonts w:ascii="Cambria" w:hAnsi="Cambria"/>
          <w:sz w:val="18"/>
          <w:szCs w:val="18"/>
        </w:rPr>
      </w:pPr>
      <w:r w:rsidRPr="00C949D3">
        <w:rPr>
          <w:rStyle w:val="FootnoteReference"/>
          <w:rFonts w:ascii="Cambria" w:hAnsi="Cambria"/>
          <w:sz w:val="18"/>
          <w:szCs w:val="18"/>
        </w:rPr>
        <w:footnoteRef/>
      </w:r>
      <w:r w:rsidRPr="00C949D3">
        <w:rPr>
          <w:rFonts w:ascii="Cambria" w:hAnsi="Cambria"/>
          <w:sz w:val="18"/>
          <w:szCs w:val="18"/>
        </w:rPr>
        <w:t xml:space="preserve"> Transition from stability operations to: a capacity development relationship </w:t>
      </w:r>
      <w:proofErr w:type="gramStart"/>
      <w:r w:rsidRPr="00C949D3">
        <w:rPr>
          <w:rFonts w:ascii="Cambria" w:hAnsi="Cambria"/>
          <w:sz w:val="18"/>
          <w:szCs w:val="18"/>
        </w:rPr>
        <w:t>to:</w:t>
      </w:r>
      <w:proofErr w:type="gramEnd"/>
      <w:r w:rsidRPr="00C949D3">
        <w:rPr>
          <w:rFonts w:ascii="Cambria" w:hAnsi="Cambria"/>
          <w:sz w:val="18"/>
          <w:szCs w:val="18"/>
        </w:rPr>
        <w:t xml:space="preserve"> an ongoing law enforcement cooperation partnership</w:t>
      </w:r>
    </w:p>
  </w:footnote>
  <w:footnote w:id="32">
    <w:p w14:paraId="5FC65F07" w14:textId="77777777" w:rsidR="00167A66" w:rsidRPr="00C949D3" w:rsidRDefault="00167A66" w:rsidP="00063554">
      <w:pPr>
        <w:pStyle w:val="FootnoteText"/>
        <w:rPr>
          <w:rFonts w:ascii="Cambria" w:hAnsi="Cambria"/>
          <w:sz w:val="18"/>
          <w:szCs w:val="18"/>
        </w:rPr>
      </w:pPr>
      <w:r w:rsidRPr="00C949D3">
        <w:rPr>
          <w:rStyle w:val="FootnoteReference"/>
          <w:rFonts w:ascii="Cambria" w:hAnsi="Cambria"/>
          <w:sz w:val="18"/>
          <w:szCs w:val="18"/>
        </w:rPr>
        <w:footnoteRef/>
      </w:r>
      <w:r w:rsidRPr="00C949D3">
        <w:rPr>
          <w:rFonts w:ascii="Cambria" w:hAnsi="Cambria"/>
          <w:sz w:val="18"/>
          <w:szCs w:val="18"/>
        </w:rPr>
        <w:t xml:space="preserve">  AFP, </w:t>
      </w:r>
      <w:r w:rsidRPr="00C949D3">
        <w:rPr>
          <w:rFonts w:ascii="Cambria" w:hAnsi="Cambria"/>
          <w:i/>
          <w:sz w:val="18"/>
          <w:szCs w:val="18"/>
        </w:rPr>
        <w:t>TLPDP 2014-2018 Mid-Term Review</w:t>
      </w:r>
    </w:p>
  </w:footnote>
  <w:footnote w:id="33">
    <w:p w14:paraId="58387944" w14:textId="77777777" w:rsidR="00167A66" w:rsidRPr="00C949D3" w:rsidRDefault="00167A66" w:rsidP="00063554">
      <w:pPr>
        <w:pStyle w:val="FootnoteText"/>
        <w:rPr>
          <w:rFonts w:ascii="Cambria" w:hAnsi="Cambria"/>
          <w:i/>
          <w:sz w:val="18"/>
          <w:szCs w:val="18"/>
        </w:rPr>
      </w:pPr>
      <w:r w:rsidRPr="00C949D3">
        <w:rPr>
          <w:rStyle w:val="FootnoteReference"/>
          <w:rFonts w:ascii="Cambria" w:hAnsi="Cambria"/>
          <w:sz w:val="18"/>
          <w:szCs w:val="18"/>
        </w:rPr>
        <w:footnoteRef/>
      </w:r>
      <w:r w:rsidRPr="00C949D3">
        <w:rPr>
          <w:rFonts w:ascii="Cambria" w:hAnsi="Cambria"/>
          <w:sz w:val="18"/>
          <w:szCs w:val="18"/>
        </w:rPr>
        <w:t xml:space="preserve"> </w:t>
      </w:r>
      <w:bookmarkStart w:id="52" w:name="_Hlk510959368"/>
      <w:r w:rsidRPr="00C949D3">
        <w:rPr>
          <w:rFonts w:ascii="Cambria" w:hAnsi="Cambria"/>
          <w:sz w:val="18"/>
          <w:szCs w:val="18"/>
        </w:rPr>
        <w:t xml:space="preserve">The Office of Development Effectiveness, 2012, </w:t>
      </w:r>
      <w:r w:rsidRPr="00C949D3">
        <w:rPr>
          <w:rFonts w:ascii="Cambria" w:hAnsi="Cambria"/>
          <w:i/>
          <w:sz w:val="18"/>
          <w:szCs w:val="18"/>
        </w:rPr>
        <w:t>Building on local strengths, Evaluation of Australian law and justice assistance</w:t>
      </w:r>
      <w:bookmarkEnd w:id="52"/>
    </w:p>
  </w:footnote>
  <w:footnote w:id="34">
    <w:p w14:paraId="09910ADC" w14:textId="77777777" w:rsidR="00167A66" w:rsidRPr="00C949D3" w:rsidRDefault="00167A66" w:rsidP="00063554">
      <w:pPr>
        <w:pStyle w:val="FootnoteText"/>
        <w:rPr>
          <w:rFonts w:ascii="Cambria" w:hAnsi="Cambria"/>
          <w:sz w:val="18"/>
          <w:szCs w:val="18"/>
        </w:rPr>
      </w:pPr>
      <w:r w:rsidRPr="00C949D3">
        <w:rPr>
          <w:rStyle w:val="FootnoteReference"/>
          <w:rFonts w:ascii="Cambria" w:hAnsi="Cambria"/>
          <w:sz w:val="18"/>
          <w:szCs w:val="18"/>
        </w:rPr>
        <w:footnoteRef/>
      </w:r>
      <w:r w:rsidRPr="00C949D3">
        <w:rPr>
          <w:rFonts w:ascii="Cambria" w:hAnsi="Cambria"/>
          <w:sz w:val="18"/>
          <w:szCs w:val="18"/>
        </w:rPr>
        <w:t xml:space="preserve"> </w:t>
      </w:r>
      <w:bookmarkStart w:id="53" w:name="_Hlk510959420"/>
      <w:r w:rsidRPr="00C949D3">
        <w:rPr>
          <w:rFonts w:ascii="Cambria" w:hAnsi="Cambria"/>
          <w:sz w:val="18"/>
          <w:szCs w:val="18"/>
        </w:rPr>
        <w:t xml:space="preserve">The World Bank, 2011, </w:t>
      </w:r>
      <w:r w:rsidRPr="00C949D3">
        <w:rPr>
          <w:rFonts w:ascii="Cambria" w:hAnsi="Cambria"/>
          <w:i/>
          <w:sz w:val="18"/>
          <w:szCs w:val="18"/>
        </w:rPr>
        <w:t>World Development Report 2011 Conflict, Security and Development</w:t>
      </w:r>
      <w:bookmarkEnd w:id="53"/>
    </w:p>
  </w:footnote>
  <w:footnote w:id="35">
    <w:p w14:paraId="1C5A55A4" w14:textId="77777777" w:rsidR="00167A66" w:rsidRPr="00C949D3" w:rsidRDefault="00167A66" w:rsidP="00063554">
      <w:pPr>
        <w:pStyle w:val="FootnoteText"/>
        <w:rPr>
          <w:rFonts w:ascii="Cambria" w:hAnsi="Cambria"/>
          <w:sz w:val="18"/>
          <w:szCs w:val="18"/>
        </w:rPr>
      </w:pPr>
      <w:r w:rsidRPr="00C949D3">
        <w:rPr>
          <w:rStyle w:val="FootnoteReference"/>
          <w:rFonts w:ascii="Cambria" w:hAnsi="Cambria"/>
          <w:sz w:val="18"/>
          <w:szCs w:val="18"/>
        </w:rPr>
        <w:footnoteRef/>
      </w:r>
      <w:r w:rsidRPr="00C949D3">
        <w:rPr>
          <w:rFonts w:ascii="Cambria" w:hAnsi="Cambria"/>
          <w:sz w:val="18"/>
          <w:szCs w:val="18"/>
        </w:rPr>
        <w:t xml:space="preserve"> Ibid</w:t>
      </w:r>
    </w:p>
  </w:footnote>
  <w:footnote w:id="36">
    <w:p w14:paraId="50944580" w14:textId="77777777" w:rsidR="00167A66" w:rsidRPr="00C949D3" w:rsidRDefault="00167A66" w:rsidP="00063554">
      <w:pPr>
        <w:pStyle w:val="FootnoteText"/>
        <w:rPr>
          <w:rFonts w:ascii="Cambria" w:hAnsi="Cambria"/>
          <w:sz w:val="18"/>
          <w:szCs w:val="18"/>
        </w:rPr>
      </w:pPr>
      <w:r w:rsidRPr="00C949D3">
        <w:rPr>
          <w:rStyle w:val="FootnoteReference"/>
          <w:rFonts w:ascii="Cambria" w:hAnsi="Cambria"/>
          <w:sz w:val="18"/>
          <w:szCs w:val="18"/>
        </w:rPr>
        <w:footnoteRef/>
      </w:r>
      <w:r w:rsidRPr="00C949D3">
        <w:rPr>
          <w:rFonts w:ascii="Cambria" w:hAnsi="Cambria"/>
          <w:sz w:val="18"/>
          <w:szCs w:val="18"/>
        </w:rPr>
        <w:t xml:space="preserve"> </w:t>
      </w:r>
      <w:bookmarkStart w:id="54" w:name="_Hlk510959549"/>
      <w:r w:rsidRPr="00C949D3">
        <w:rPr>
          <w:rFonts w:ascii="Cambria" w:hAnsi="Cambria"/>
          <w:sz w:val="18"/>
          <w:szCs w:val="18"/>
        </w:rPr>
        <w:t xml:space="preserve">Department of Foreign Affairs and Trade, 2015, </w:t>
      </w:r>
      <w:r w:rsidRPr="00C949D3">
        <w:rPr>
          <w:rFonts w:ascii="Cambria" w:hAnsi="Cambria"/>
          <w:i/>
          <w:sz w:val="18"/>
          <w:szCs w:val="18"/>
        </w:rPr>
        <w:t>Aid Investment Plan Timor-Leste 2015/16 to 2018/19</w:t>
      </w:r>
      <w:bookmarkEnd w:id="54"/>
    </w:p>
  </w:footnote>
  <w:footnote w:id="37">
    <w:p w14:paraId="2221A84A" w14:textId="77777777" w:rsidR="00167A66" w:rsidRPr="00C949D3" w:rsidRDefault="00167A66" w:rsidP="004F1FCB">
      <w:pPr>
        <w:pStyle w:val="FootnoteText"/>
        <w:rPr>
          <w:rFonts w:ascii="Cambria" w:hAnsi="Cambria"/>
          <w:i/>
          <w:iCs/>
          <w:sz w:val="18"/>
          <w:szCs w:val="18"/>
          <w:lang w:val="en-GB"/>
        </w:rPr>
      </w:pPr>
      <w:r w:rsidRPr="00C949D3">
        <w:rPr>
          <w:rStyle w:val="FootnoteReference"/>
          <w:rFonts w:ascii="Cambria" w:hAnsi="Cambria"/>
          <w:sz w:val="18"/>
          <w:szCs w:val="18"/>
        </w:rPr>
        <w:footnoteRef/>
      </w:r>
      <w:r w:rsidRPr="00C949D3">
        <w:rPr>
          <w:rFonts w:ascii="Cambria" w:hAnsi="Cambria"/>
          <w:sz w:val="18"/>
          <w:szCs w:val="18"/>
        </w:rPr>
        <w:t xml:space="preserve"> The Department of Foreign Affairs and Trade, 2014, </w:t>
      </w:r>
      <w:r w:rsidRPr="00C949D3">
        <w:rPr>
          <w:rFonts w:ascii="Cambria" w:hAnsi="Cambria"/>
          <w:bCs/>
          <w:i/>
          <w:iCs/>
          <w:sz w:val="18"/>
          <w:szCs w:val="18"/>
          <w:lang w:val="en-GB"/>
        </w:rPr>
        <w:t>Australian aid: promoting prosperity, reducing poverty, enhancing stability</w:t>
      </w:r>
    </w:p>
  </w:footnote>
  <w:footnote w:id="38">
    <w:p w14:paraId="633B1FEE" w14:textId="77777777" w:rsidR="00167A66" w:rsidRPr="00C949D3" w:rsidRDefault="00167A66" w:rsidP="00063554">
      <w:pPr>
        <w:pStyle w:val="FootnoteText"/>
        <w:rPr>
          <w:rFonts w:ascii="Cambria" w:hAnsi="Cambria"/>
          <w:i/>
          <w:iCs/>
          <w:sz w:val="18"/>
          <w:szCs w:val="18"/>
          <w:lang w:val="en-GB"/>
        </w:rPr>
      </w:pPr>
      <w:r w:rsidRPr="00C949D3">
        <w:rPr>
          <w:rStyle w:val="FootnoteReference"/>
          <w:rFonts w:ascii="Cambria" w:hAnsi="Cambria"/>
          <w:sz w:val="18"/>
          <w:szCs w:val="18"/>
        </w:rPr>
        <w:footnoteRef/>
      </w:r>
      <w:r w:rsidRPr="00C949D3">
        <w:rPr>
          <w:rFonts w:ascii="Cambria" w:hAnsi="Cambria"/>
          <w:sz w:val="18"/>
          <w:szCs w:val="18"/>
        </w:rPr>
        <w:t xml:space="preserve"> The Department of Foreign Affairs and Trade, 2014, </w:t>
      </w:r>
      <w:r w:rsidRPr="00C949D3">
        <w:rPr>
          <w:rFonts w:ascii="Cambria" w:hAnsi="Cambria"/>
          <w:bCs/>
          <w:i/>
          <w:iCs/>
          <w:sz w:val="18"/>
          <w:szCs w:val="18"/>
          <w:lang w:val="en-GB"/>
        </w:rPr>
        <w:t>Australian aid: promoting prosperity, reducing poverty, enhancing stability</w:t>
      </w:r>
    </w:p>
  </w:footnote>
  <w:footnote w:id="39">
    <w:p w14:paraId="6E44E4E5" w14:textId="77777777" w:rsidR="00167A66" w:rsidRPr="00C949D3" w:rsidRDefault="00167A66" w:rsidP="00063554">
      <w:pPr>
        <w:pStyle w:val="FootnoteText"/>
        <w:rPr>
          <w:rFonts w:ascii="Cambria" w:hAnsi="Cambria"/>
          <w:sz w:val="18"/>
          <w:szCs w:val="18"/>
        </w:rPr>
      </w:pPr>
      <w:r w:rsidRPr="00C949D3">
        <w:rPr>
          <w:rStyle w:val="FootnoteReference"/>
          <w:rFonts w:ascii="Cambria" w:hAnsi="Cambria"/>
          <w:sz w:val="18"/>
          <w:szCs w:val="18"/>
        </w:rPr>
        <w:footnoteRef/>
      </w:r>
      <w:r w:rsidRPr="00C949D3">
        <w:rPr>
          <w:rFonts w:ascii="Cambria" w:hAnsi="Cambria"/>
          <w:sz w:val="18"/>
          <w:szCs w:val="18"/>
        </w:rPr>
        <w:t xml:space="preserve"> Specifically, investment in TLPDP will primarily support Goal 16: Peace justice and strong institutions.</w:t>
      </w:r>
    </w:p>
  </w:footnote>
  <w:footnote w:id="40">
    <w:p w14:paraId="640E138F" w14:textId="77777777" w:rsidR="00167A66" w:rsidRPr="00C949D3" w:rsidRDefault="00167A66" w:rsidP="00063554">
      <w:pPr>
        <w:pStyle w:val="FootnoteText"/>
        <w:rPr>
          <w:rFonts w:ascii="Cambria" w:hAnsi="Cambria"/>
          <w:sz w:val="18"/>
          <w:szCs w:val="18"/>
        </w:rPr>
      </w:pPr>
      <w:r w:rsidRPr="00C949D3">
        <w:rPr>
          <w:rStyle w:val="FootnoteReference"/>
          <w:rFonts w:ascii="Cambria" w:hAnsi="Cambria"/>
          <w:sz w:val="18"/>
          <w:szCs w:val="18"/>
        </w:rPr>
        <w:footnoteRef/>
      </w:r>
      <w:r w:rsidRPr="00C949D3">
        <w:rPr>
          <w:rFonts w:ascii="Cambria" w:hAnsi="Cambria"/>
          <w:sz w:val="18"/>
          <w:szCs w:val="18"/>
        </w:rPr>
        <w:t xml:space="preserve"> Democratic Republic of Timor-Leste </w:t>
      </w:r>
      <w:hyperlink r:id="rId1" w:history="1">
        <w:r w:rsidRPr="00C949D3">
          <w:rPr>
            <w:rStyle w:val="Hyperlink"/>
            <w:rFonts w:ascii="Cambria" w:hAnsi="Cambria"/>
            <w:sz w:val="18"/>
            <w:szCs w:val="18"/>
          </w:rPr>
          <w:t>http://timor-leste.gov.tl/?cat=39&amp;lang=en</w:t>
        </w:r>
      </w:hyperlink>
    </w:p>
  </w:footnote>
  <w:footnote w:id="41">
    <w:p w14:paraId="0B114439" w14:textId="77777777" w:rsidR="00167A66" w:rsidRPr="00A12722" w:rsidRDefault="00167A66" w:rsidP="00063554">
      <w:pPr>
        <w:pStyle w:val="FootnoteText"/>
        <w:rPr>
          <w:rFonts w:ascii="Cambria" w:hAnsi="Cambria"/>
          <w:sz w:val="18"/>
          <w:szCs w:val="18"/>
        </w:rPr>
      </w:pPr>
      <w:r w:rsidRPr="00C949D3">
        <w:rPr>
          <w:rStyle w:val="FootnoteReference"/>
          <w:rFonts w:ascii="Cambria" w:hAnsi="Cambria"/>
          <w:sz w:val="18"/>
          <w:szCs w:val="18"/>
        </w:rPr>
        <w:footnoteRef/>
      </w:r>
      <w:r w:rsidRPr="00C949D3">
        <w:rPr>
          <w:rStyle w:val="FootnoteReference"/>
          <w:rFonts w:ascii="Cambria" w:hAnsi="Cambria"/>
          <w:sz w:val="18"/>
          <w:szCs w:val="18"/>
        </w:rPr>
        <w:t xml:space="preserve"> </w:t>
      </w:r>
      <w:bookmarkStart w:id="57" w:name="_Hlk510959616"/>
      <w:r w:rsidRPr="00C949D3">
        <w:rPr>
          <w:rFonts w:ascii="Cambria" w:hAnsi="Cambria"/>
          <w:sz w:val="18"/>
          <w:szCs w:val="18"/>
        </w:rPr>
        <w:t xml:space="preserve">International Dialogue on Peacebuilding and </w:t>
      </w:r>
      <w:proofErr w:type="spellStart"/>
      <w:r w:rsidRPr="00C949D3">
        <w:rPr>
          <w:rFonts w:ascii="Cambria" w:hAnsi="Cambria"/>
          <w:sz w:val="18"/>
          <w:szCs w:val="18"/>
        </w:rPr>
        <w:t>Statebuilding</w:t>
      </w:r>
      <w:proofErr w:type="spellEnd"/>
      <w:r w:rsidRPr="00C949D3">
        <w:rPr>
          <w:rFonts w:ascii="Cambria" w:hAnsi="Cambria"/>
          <w:sz w:val="18"/>
          <w:szCs w:val="18"/>
        </w:rPr>
        <w:t xml:space="preserve">, 2013, </w:t>
      </w:r>
      <w:r w:rsidRPr="00C949D3">
        <w:rPr>
          <w:rFonts w:ascii="Cambria" w:hAnsi="Cambria"/>
          <w:i/>
          <w:sz w:val="18"/>
          <w:szCs w:val="18"/>
        </w:rPr>
        <w:t>A New Deal for Engagement in Fragile States</w:t>
      </w:r>
      <w:r w:rsidRPr="00C949D3">
        <w:rPr>
          <w:rFonts w:ascii="Cambria" w:hAnsi="Cambria"/>
          <w:sz w:val="18"/>
          <w:szCs w:val="18"/>
        </w:rPr>
        <w:t>,</w:t>
      </w:r>
      <w:r w:rsidRPr="00C949D3">
        <w:rPr>
          <w:rFonts w:ascii="Cambria" w:hAnsi="Cambria"/>
          <w:i/>
          <w:sz w:val="18"/>
          <w:szCs w:val="18"/>
        </w:rPr>
        <w:t xml:space="preserve"> </w:t>
      </w:r>
      <w:r w:rsidRPr="00C949D3">
        <w:rPr>
          <w:rFonts w:ascii="Cambria" w:hAnsi="Cambria"/>
          <w:sz w:val="18"/>
          <w:szCs w:val="18"/>
        </w:rPr>
        <w:t>Washington</w:t>
      </w:r>
      <w:bookmarkEnd w:id="57"/>
    </w:p>
  </w:footnote>
  <w:footnote w:id="42">
    <w:p w14:paraId="3072E812" w14:textId="77777777" w:rsidR="00167A66" w:rsidRPr="00A12722" w:rsidRDefault="00167A66" w:rsidP="00063554">
      <w:pPr>
        <w:pStyle w:val="FootnoteText"/>
        <w:rPr>
          <w:rFonts w:ascii="Cambria" w:hAnsi="Cambria"/>
          <w:sz w:val="18"/>
          <w:szCs w:val="18"/>
        </w:rPr>
      </w:pPr>
      <w:r w:rsidRPr="00A12722">
        <w:rPr>
          <w:rStyle w:val="FootnoteReference"/>
          <w:rFonts w:ascii="Cambria" w:hAnsi="Cambria"/>
          <w:sz w:val="18"/>
          <w:szCs w:val="18"/>
        </w:rPr>
        <w:footnoteRef/>
      </w:r>
      <w:r w:rsidRPr="00A12722">
        <w:rPr>
          <w:rFonts w:ascii="Cambria" w:hAnsi="Cambria"/>
          <w:sz w:val="18"/>
          <w:szCs w:val="18"/>
        </w:rPr>
        <w:t xml:space="preserve"> Evidence from TLPDP </w:t>
      </w:r>
      <w:r w:rsidRPr="00A12722">
        <w:rPr>
          <w:rFonts w:ascii="Cambria" w:hAnsi="Cambria"/>
          <w:i/>
          <w:sz w:val="18"/>
          <w:szCs w:val="18"/>
        </w:rPr>
        <w:t xml:space="preserve">Mission Performance Reports 2014-2016; </w:t>
      </w:r>
      <w:r w:rsidRPr="00A12722">
        <w:rPr>
          <w:rFonts w:ascii="Cambria" w:hAnsi="Cambria"/>
          <w:sz w:val="18"/>
          <w:szCs w:val="18"/>
        </w:rPr>
        <w:t xml:space="preserve">TLPDP M&amp;E documentation; in-country consultations December </w:t>
      </w:r>
      <w:proofErr w:type="gramStart"/>
      <w:r w:rsidRPr="00A12722">
        <w:rPr>
          <w:rFonts w:ascii="Cambria" w:hAnsi="Cambria"/>
          <w:sz w:val="18"/>
          <w:szCs w:val="18"/>
        </w:rPr>
        <w:t>2016;</w:t>
      </w:r>
      <w:proofErr w:type="gramEnd"/>
      <w:r w:rsidRPr="00A12722">
        <w:rPr>
          <w:rFonts w:ascii="Cambria" w:hAnsi="Cambria"/>
          <w:sz w:val="18"/>
          <w:szCs w:val="18"/>
        </w:rPr>
        <w:t xml:space="preserve"> </w:t>
      </w:r>
    </w:p>
  </w:footnote>
  <w:footnote w:id="43">
    <w:p w14:paraId="4A803986" w14:textId="77777777" w:rsidR="00167A66" w:rsidRPr="00AD56CD" w:rsidRDefault="00167A66" w:rsidP="00AD6051">
      <w:pPr>
        <w:pStyle w:val="FootnoteText"/>
        <w:rPr>
          <w:rFonts w:ascii="Cambria" w:hAnsi="Cambria"/>
          <w:sz w:val="18"/>
          <w:szCs w:val="18"/>
        </w:rPr>
      </w:pPr>
      <w:r w:rsidRPr="00AD56CD">
        <w:rPr>
          <w:rStyle w:val="FootnoteReference"/>
          <w:rFonts w:ascii="Cambria" w:hAnsi="Cambria"/>
          <w:sz w:val="18"/>
          <w:szCs w:val="18"/>
        </w:rPr>
        <w:footnoteRef/>
      </w:r>
      <w:r w:rsidRPr="00AD56CD">
        <w:rPr>
          <w:rFonts w:ascii="Cambria" w:hAnsi="Cambria"/>
          <w:sz w:val="18"/>
          <w:szCs w:val="18"/>
        </w:rPr>
        <w:t xml:space="preserve"> TLPDP Design in-country consultations, February-March 2018.</w:t>
      </w:r>
    </w:p>
  </w:footnote>
  <w:footnote w:id="44">
    <w:p w14:paraId="2DC3A517" w14:textId="77777777" w:rsidR="00167A66" w:rsidRPr="00AD56CD" w:rsidRDefault="00167A66" w:rsidP="004D4BAC">
      <w:pPr>
        <w:pStyle w:val="FootnoteText"/>
        <w:rPr>
          <w:rFonts w:ascii="Cambria" w:hAnsi="Cambria"/>
          <w:sz w:val="18"/>
          <w:szCs w:val="18"/>
        </w:rPr>
      </w:pPr>
      <w:r w:rsidRPr="00AD56CD">
        <w:rPr>
          <w:rStyle w:val="FootnoteReference"/>
          <w:rFonts w:ascii="Cambria" w:hAnsi="Cambria"/>
          <w:sz w:val="18"/>
          <w:szCs w:val="18"/>
        </w:rPr>
        <w:footnoteRef/>
      </w:r>
      <w:r w:rsidRPr="00AD56CD">
        <w:rPr>
          <w:rFonts w:ascii="Cambria" w:hAnsi="Cambria"/>
          <w:sz w:val="18"/>
          <w:szCs w:val="18"/>
        </w:rPr>
        <w:t xml:space="preserve"> Australian Government Department of Foreign Affairs and Trade, “Australian aid: promoting prosperity, reducing poverty, enhancing stability”, June 2014, page 3. </w:t>
      </w:r>
    </w:p>
  </w:footnote>
  <w:footnote w:id="45">
    <w:p w14:paraId="45A11D20" w14:textId="77777777" w:rsidR="00167A66" w:rsidRPr="00AD56CD" w:rsidRDefault="00167A66" w:rsidP="004D4BAC">
      <w:pPr>
        <w:pStyle w:val="FootnoteText"/>
        <w:rPr>
          <w:rFonts w:ascii="Cambria" w:hAnsi="Cambria"/>
          <w:sz w:val="18"/>
          <w:szCs w:val="18"/>
        </w:rPr>
      </w:pPr>
      <w:r w:rsidRPr="00AD56CD">
        <w:rPr>
          <w:rStyle w:val="FootnoteReference"/>
          <w:rFonts w:ascii="Cambria" w:hAnsi="Cambria"/>
          <w:sz w:val="18"/>
          <w:szCs w:val="18"/>
        </w:rPr>
        <w:footnoteRef/>
      </w:r>
      <w:r w:rsidRPr="00AD56CD">
        <w:rPr>
          <w:rFonts w:ascii="Cambria" w:hAnsi="Cambria"/>
          <w:sz w:val="18"/>
          <w:szCs w:val="18"/>
        </w:rPr>
        <w:t xml:space="preserve"> TLPDP Design Team first in-country consultations, March-April 2018. </w:t>
      </w:r>
    </w:p>
  </w:footnote>
  <w:footnote w:id="46">
    <w:p w14:paraId="50E73030" w14:textId="77777777" w:rsidR="00167A66" w:rsidRPr="00A11EE0" w:rsidRDefault="00167A66" w:rsidP="004D4BAC">
      <w:pPr>
        <w:pStyle w:val="FootnoteText"/>
        <w:rPr>
          <w:rFonts w:ascii="Cambria" w:hAnsi="Cambria"/>
          <w:sz w:val="18"/>
          <w:szCs w:val="18"/>
        </w:rPr>
      </w:pPr>
      <w:r w:rsidRPr="00AD56CD">
        <w:rPr>
          <w:rStyle w:val="FootnoteReference"/>
          <w:rFonts w:ascii="Cambria" w:hAnsi="Cambria"/>
          <w:sz w:val="18"/>
          <w:szCs w:val="18"/>
        </w:rPr>
        <w:footnoteRef/>
      </w:r>
      <w:r w:rsidRPr="00AD56CD">
        <w:rPr>
          <w:rFonts w:ascii="Cambria" w:hAnsi="Cambria"/>
          <w:sz w:val="18"/>
          <w:szCs w:val="18"/>
        </w:rPr>
        <w:t xml:space="preserve"> TLPDP Design Team second in-country consultations, 3-6 April 2018. </w:t>
      </w:r>
    </w:p>
  </w:footnote>
  <w:footnote w:id="47">
    <w:p w14:paraId="03090634" w14:textId="77777777" w:rsidR="00167A66" w:rsidRDefault="00167A66"/>
  </w:footnote>
  <w:footnote w:id="48">
    <w:p w14:paraId="0C3FB822" w14:textId="77777777" w:rsidR="00167A66" w:rsidRDefault="00167A66"/>
  </w:footnote>
  <w:footnote w:id="49">
    <w:p w14:paraId="25A9F2C6" w14:textId="77777777" w:rsidR="00167A66" w:rsidRPr="00940239" w:rsidRDefault="00167A66" w:rsidP="00E723A9">
      <w:pPr>
        <w:pStyle w:val="FootnoteText"/>
        <w:rPr>
          <w:rFonts w:ascii="Cambria" w:hAnsi="Cambria"/>
          <w:sz w:val="18"/>
          <w:szCs w:val="18"/>
        </w:rPr>
      </w:pPr>
      <w:r w:rsidRPr="00940239">
        <w:rPr>
          <w:rStyle w:val="FootnoteReference"/>
          <w:rFonts w:ascii="Cambria" w:hAnsi="Cambria"/>
          <w:sz w:val="18"/>
          <w:szCs w:val="18"/>
        </w:rPr>
        <w:footnoteRef/>
      </w:r>
      <w:r w:rsidRPr="00940239">
        <w:rPr>
          <w:rFonts w:ascii="Cambria" w:hAnsi="Cambria"/>
          <w:sz w:val="18"/>
          <w:szCs w:val="18"/>
        </w:rPr>
        <w:t xml:space="preserve"> Asia Foundation, </w:t>
      </w:r>
      <w:r w:rsidRPr="00940239">
        <w:rPr>
          <w:rFonts w:ascii="Cambria" w:hAnsi="Cambria"/>
          <w:i/>
          <w:iCs/>
          <w:sz w:val="18"/>
          <w:szCs w:val="18"/>
        </w:rPr>
        <w:t xml:space="preserve">Understanding violence against women and children in Timor-Leste: findings from the </w:t>
      </w:r>
      <w:proofErr w:type="spellStart"/>
      <w:r w:rsidRPr="00940239">
        <w:rPr>
          <w:rFonts w:ascii="Cambria" w:hAnsi="Cambria"/>
          <w:i/>
          <w:iCs/>
          <w:sz w:val="18"/>
          <w:szCs w:val="18"/>
        </w:rPr>
        <w:t>Nabilan</w:t>
      </w:r>
      <w:proofErr w:type="spellEnd"/>
      <w:r w:rsidRPr="00940239">
        <w:rPr>
          <w:rFonts w:ascii="Cambria" w:hAnsi="Cambria"/>
          <w:i/>
          <w:iCs/>
          <w:sz w:val="18"/>
          <w:szCs w:val="18"/>
        </w:rPr>
        <w:t xml:space="preserve"> Baseline Study</w:t>
      </w:r>
      <w:r w:rsidRPr="00940239">
        <w:rPr>
          <w:rFonts w:ascii="Cambria" w:hAnsi="Cambria"/>
          <w:iCs/>
          <w:sz w:val="18"/>
          <w:szCs w:val="18"/>
        </w:rPr>
        <w:t>, 2016, page 5.</w:t>
      </w:r>
    </w:p>
  </w:footnote>
  <w:footnote w:id="50">
    <w:p w14:paraId="03D3697B" w14:textId="77777777" w:rsidR="00167A66" w:rsidRPr="00940239" w:rsidRDefault="00167A66" w:rsidP="00E723A9">
      <w:pPr>
        <w:pStyle w:val="FootnoteText"/>
        <w:rPr>
          <w:rFonts w:ascii="Cambria" w:hAnsi="Cambria"/>
          <w:sz w:val="18"/>
          <w:szCs w:val="18"/>
        </w:rPr>
      </w:pPr>
      <w:r w:rsidRPr="00940239">
        <w:rPr>
          <w:rStyle w:val="FootnoteReference"/>
          <w:rFonts w:ascii="Cambria" w:hAnsi="Cambria"/>
          <w:sz w:val="18"/>
          <w:szCs w:val="18"/>
        </w:rPr>
        <w:footnoteRef/>
      </w:r>
      <w:r w:rsidRPr="00940239">
        <w:rPr>
          <w:rFonts w:ascii="Cambria" w:hAnsi="Cambria"/>
          <w:sz w:val="18"/>
          <w:szCs w:val="18"/>
        </w:rPr>
        <w:t xml:space="preserve"> Government of the Democratic Republic of Timor-Leste, </w:t>
      </w:r>
      <w:r w:rsidRPr="00940239">
        <w:rPr>
          <w:rFonts w:ascii="Cambria" w:hAnsi="Cambria" w:cs="AGaramondPro-Regular"/>
          <w:i/>
          <w:sz w:val="18"/>
          <w:szCs w:val="18"/>
        </w:rPr>
        <w:t xml:space="preserve">National Action Plan on United Nation’s Security Council Resolution 1325 (2000) on Women, Peace and Security (2016-2020), </w:t>
      </w:r>
      <w:r w:rsidRPr="00940239">
        <w:rPr>
          <w:rFonts w:ascii="Cambria" w:hAnsi="Cambria"/>
          <w:sz w:val="18"/>
          <w:szCs w:val="18"/>
        </w:rPr>
        <w:t>page 13.</w:t>
      </w:r>
    </w:p>
  </w:footnote>
  <w:footnote w:id="51">
    <w:p w14:paraId="6082351A" w14:textId="77777777" w:rsidR="00167A66" w:rsidRPr="00940239" w:rsidRDefault="00167A66" w:rsidP="00E723A9">
      <w:pPr>
        <w:pStyle w:val="FootnoteText"/>
        <w:rPr>
          <w:rFonts w:ascii="Cambria" w:hAnsi="Cambria"/>
          <w:sz w:val="18"/>
          <w:szCs w:val="18"/>
        </w:rPr>
      </w:pPr>
      <w:r w:rsidRPr="00940239">
        <w:rPr>
          <w:rStyle w:val="FootnoteReference"/>
          <w:rFonts w:ascii="Cambria" w:hAnsi="Cambria"/>
          <w:sz w:val="18"/>
          <w:szCs w:val="18"/>
        </w:rPr>
        <w:footnoteRef/>
      </w:r>
      <w:r w:rsidRPr="00940239">
        <w:rPr>
          <w:rFonts w:ascii="Cambria" w:hAnsi="Cambria"/>
          <w:sz w:val="18"/>
          <w:szCs w:val="18"/>
        </w:rPr>
        <w:t xml:space="preserve"> </w:t>
      </w:r>
      <w:r w:rsidRPr="00940239">
        <w:rPr>
          <w:rFonts w:ascii="Cambria" w:hAnsi="Cambria" w:cs="AGaramondPro-Regular"/>
          <w:sz w:val="18"/>
          <w:szCs w:val="18"/>
        </w:rPr>
        <w:t>Ibid,</w:t>
      </w:r>
      <w:r w:rsidRPr="00940239">
        <w:rPr>
          <w:rFonts w:ascii="Cambria" w:hAnsi="Cambria" w:cs="AGaramondPro-Regular"/>
          <w:i/>
          <w:sz w:val="18"/>
          <w:szCs w:val="18"/>
        </w:rPr>
        <w:t xml:space="preserve"> </w:t>
      </w:r>
      <w:r w:rsidRPr="00940239">
        <w:rPr>
          <w:rFonts w:ascii="Cambria" w:hAnsi="Cambria"/>
          <w:sz w:val="18"/>
          <w:szCs w:val="18"/>
        </w:rPr>
        <w:t>page 13.</w:t>
      </w:r>
    </w:p>
  </w:footnote>
  <w:footnote w:id="52">
    <w:p w14:paraId="7E3C00BB" w14:textId="77777777" w:rsidR="00167A66" w:rsidRPr="00940239" w:rsidRDefault="00167A66" w:rsidP="00E723A9">
      <w:pPr>
        <w:pStyle w:val="FootnoteText"/>
        <w:rPr>
          <w:rFonts w:ascii="Cambria" w:hAnsi="Cambria"/>
          <w:sz w:val="18"/>
          <w:szCs w:val="18"/>
        </w:rPr>
      </w:pPr>
      <w:r w:rsidRPr="00940239">
        <w:rPr>
          <w:rStyle w:val="FootnoteReference"/>
          <w:rFonts w:ascii="Cambria" w:hAnsi="Cambria"/>
          <w:sz w:val="18"/>
          <w:szCs w:val="18"/>
        </w:rPr>
        <w:footnoteRef/>
      </w:r>
      <w:r w:rsidRPr="00940239">
        <w:rPr>
          <w:rFonts w:ascii="Cambria" w:hAnsi="Cambria"/>
          <w:sz w:val="18"/>
          <w:szCs w:val="18"/>
        </w:rPr>
        <w:t xml:space="preserve"> </w:t>
      </w:r>
      <w:r w:rsidRPr="00940239">
        <w:rPr>
          <w:rFonts w:ascii="Cambria" w:hAnsi="Cambria" w:cs="AGaramondPro-Regular"/>
          <w:sz w:val="18"/>
          <w:szCs w:val="18"/>
        </w:rPr>
        <w:t>Ibid, page 13</w:t>
      </w:r>
      <w:r w:rsidRPr="00940239">
        <w:rPr>
          <w:rFonts w:ascii="Cambria" w:hAnsi="Cambria"/>
          <w:sz w:val="18"/>
          <w:szCs w:val="18"/>
        </w:rPr>
        <w:t>.</w:t>
      </w:r>
    </w:p>
  </w:footnote>
  <w:footnote w:id="53">
    <w:p w14:paraId="5EF5016A" w14:textId="77777777" w:rsidR="00167A66" w:rsidRPr="00940239" w:rsidRDefault="00167A66" w:rsidP="00E723A9">
      <w:pPr>
        <w:pStyle w:val="FootnoteText"/>
        <w:rPr>
          <w:rFonts w:ascii="Cambria" w:hAnsi="Cambria"/>
          <w:sz w:val="18"/>
          <w:szCs w:val="18"/>
        </w:rPr>
      </w:pPr>
      <w:r w:rsidRPr="00940239">
        <w:rPr>
          <w:rStyle w:val="FootnoteReference"/>
          <w:rFonts w:ascii="Cambria" w:hAnsi="Cambria"/>
          <w:sz w:val="18"/>
          <w:szCs w:val="18"/>
        </w:rPr>
        <w:footnoteRef/>
      </w:r>
      <w:r w:rsidRPr="00940239">
        <w:rPr>
          <w:rFonts w:ascii="Cambria" w:hAnsi="Cambria"/>
          <w:sz w:val="18"/>
          <w:szCs w:val="18"/>
        </w:rPr>
        <w:t xml:space="preserve"> Asia Foundation, </w:t>
      </w:r>
      <w:r w:rsidRPr="00940239">
        <w:rPr>
          <w:rFonts w:ascii="Cambria" w:hAnsi="Cambria"/>
          <w:i/>
          <w:iCs/>
          <w:sz w:val="18"/>
          <w:szCs w:val="18"/>
        </w:rPr>
        <w:t xml:space="preserve">Understanding violence against women and children in Timor-Leste: findings from the </w:t>
      </w:r>
      <w:proofErr w:type="spellStart"/>
      <w:r w:rsidRPr="00940239">
        <w:rPr>
          <w:rFonts w:ascii="Cambria" w:hAnsi="Cambria"/>
          <w:i/>
          <w:iCs/>
          <w:sz w:val="18"/>
          <w:szCs w:val="18"/>
        </w:rPr>
        <w:t>Nabilan</w:t>
      </w:r>
      <w:proofErr w:type="spellEnd"/>
      <w:r w:rsidRPr="00940239">
        <w:rPr>
          <w:rFonts w:ascii="Cambria" w:hAnsi="Cambria"/>
          <w:i/>
          <w:iCs/>
          <w:sz w:val="18"/>
          <w:szCs w:val="18"/>
        </w:rPr>
        <w:t xml:space="preserve"> Baseline Study</w:t>
      </w:r>
      <w:r w:rsidRPr="00940239">
        <w:rPr>
          <w:rFonts w:ascii="Cambria" w:hAnsi="Cambria"/>
          <w:iCs/>
          <w:sz w:val="18"/>
          <w:szCs w:val="18"/>
        </w:rPr>
        <w:t>, 2016, page 23.</w:t>
      </w:r>
    </w:p>
  </w:footnote>
  <w:footnote w:id="54">
    <w:p w14:paraId="78442688" w14:textId="77777777" w:rsidR="00167A66" w:rsidRPr="00940239" w:rsidRDefault="00167A66" w:rsidP="00E723A9">
      <w:pPr>
        <w:pStyle w:val="FootnoteText"/>
        <w:rPr>
          <w:rFonts w:ascii="Cambria" w:hAnsi="Cambria"/>
          <w:sz w:val="18"/>
          <w:szCs w:val="18"/>
        </w:rPr>
      </w:pPr>
      <w:r w:rsidRPr="00940239">
        <w:rPr>
          <w:rStyle w:val="FootnoteReference"/>
          <w:rFonts w:ascii="Cambria" w:hAnsi="Cambria"/>
          <w:sz w:val="18"/>
          <w:szCs w:val="18"/>
        </w:rPr>
        <w:footnoteRef/>
      </w:r>
      <w:r w:rsidRPr="00940239">
        <w:rPr>
          <w:rFonts w:ascii="Cambria" w:hAnsi="Cambria"/>
          <w:sz w:val="18"/>
          <w:szCs w:val="18"/>
        </w:rPr>
        <w:t xml:space="preserve"> Ibid</w:t>
      </w:r>
      <w:r w:rsidRPr="00940239">
        <w:rPr>
          <w:rFonts w:ascii="Cambria" w:hAnsi="Cambria"/>
          <w:iCs/>
          <w:sz w:val="18"/>
          <w:szCs w:val="18"/>
        </w:rPr>
        <w:t xml:space="preserve">, page </w:t>
      </w:r>
      <w:r w:rsidRPr="00940239">
        <w:rPr>
          <w:rFonts w:ascii="Cambria" w:hAnsi="Cambria" w:cs="AGaramondPro-Regular"/>
          <w:sz w:val="18"/>
          <w:szCs w:val="18"/>
        </w:rPr>
        <w:t>24.</w:t>
      </w:r>
    </w:p>
  </w:footnote>
  <w:footnote w:id="55">
    <w:p w14:paraId="6987263E" w14:textId="77777777" w:rsidR="00167A66" w:rsidRPr="00940239" w:rsidRDefault="00167A66" w:rsidP="00E723A9">
      <w:pPr>
        <w:pStyle w:val="FootnoteText"/>
        <w:rPr>
          <w:rFonts w:ascii="Cambria" w:hAnsi="Cambria"/>
          <w:sz w:val="18"/>
          <w:szCs w:val="18"/>
        </w:rPr>
      </w:pPr>
      <w:r w:rsidRPr="00940239">
        <w:rPr>
          <w:rStyle w:val="FootnoteReference"/>
          <w:rFonts w:ascii="Cambria" w:hAnsi="Cambria"/>
          <w:sz w:val="18"/>
          <w:szCs w:val="18"/>
        </w:rPr>
        <w:footnoteRef/>
      </w:r>
      <w:r w:rsidRPr="00940239">
        <w:rPr>
          <w:rFonts w:ascii="Cambria" w:hAnsi="Cambria"/>
          <w:sz w:val="18"/>
          <w:szCs w:val="18"/>
        </w:rPr>
        <w:t xml:space="preserve"> TLPDP Design, In-country consultations, February-March 2018.</w:t>
      </w:r>
    </w:p>
  </w:footnote>
  <w:footnote w:id="56">
    <w:p w14:paraId="00D2F5AA" w14:textId="77777777" w:rsidR="00167A66" w:rsidRPr="00940239" w:rsidRDefault="00167A66" w:rsidP="00E723A9">
      <w:pPr>
        <w:pStyle w:val="FootnoteText"/>
        <w:rPr>
          <w:rFonts w:ascii="Cambria" w:hAnsi="Cambria"/>
          <w:sz w:val="18"/>
          <w:szCs w:val="18"/>
        </w:rPr>
      </w:pPr>
      <w:r w:rsidRPr="00940239">
        <w:rPr>
          <w:rStyle w:val="FootnoteReference"/>
          <w:rFonts w:ascii="Cambria" w:hAnsi="Cambria"/>
          <w:sz w:val="18"/>
          <w:szCs w:val="18"/>
        </w:rPr>
        <w:footnoteRef/>
      </w:r>
      <w:r w:rsidRPr="00940239">
        <w:rPr>
          <w:rFonts w:ascii="Cambria" w:hAnsi="Cambria"/>
          <w:sz w:val="18"/>
          <w:szCs w:val="18"/>
        </w:rPr>
        <w:t xml:space="preserve"> Ibid, page 24</w:t>
      </w:r>
      <w:r w:rsidRPr="00940239">
        <w:rPr>
          <w:rFonts w:ascii="Cambria" w:hAnsi="Cambria"/>
          <w:iCs/>
          <w:sz w:val="18"/>
          <w:szCs w:val="18"/>
        </w:rPr>
        <w:t>.</w:t>
      </w:r>
    </w:p>
  </w:footnote>
  <w:footnote w:id="57">
    <w:p w14:paraId="382725C4" w14:textId="77777777" w:rsidR="00167A66" w:rsidRPr="00940239" w:rsidRDefault="00167A66" w:rsidP="00E723A9">
      <w:pPr>
        <w:pStyle w:val="FootnoteText"/>
        <w:rPr>
          <w:rFonts w:ascii="Cambria" w:hAnsi="Cambria"/>
          <w:sz w:val="18"/>
          <w:szCs w:val="18"/>
        </w:rPr>
      </w:pPr>
      <w:r w:rsidRPr="00940239">
        <w:rPr>
          <w:rStyle w:val="FootnoteReference"/>
          <w:rFonts w:ascii="Cambria" w:hAnsi="Cambria"/>
          <w:sz w:val="18"/>
          <w:szCs w:val="18"/>
        </w:rPr>
        <w:footnoteRef/>
      </w:r>
      <w:r w:rsidRPr="00940239">
        <w:rPr>
          <w:rFonts w:ascii="Cambria" w:hAnsi="Cambria"/>
          <w:sz w:val="18"/>
          <w:szCs w:val="18"/>
        </w:rPr>
        <w:t xml:space="preserve"> Ibid</w:t>
      </w:r>
      <w:r w:rsidRPr="00940239">
        <w:rPr>
          <w:rFonts w:ascii="Cambria" w:hAnsi="Cambria"/>
          <w:iCs/>
          <w:sz w:val="18"/>
          <w:szCs w:val="18"/>
        </w:rPr>
        <w:t>, page 6.</w:t>
      </w:r>
    </w:p>
  </w:footnote>
  <w:footnote w:id="58">
    <w:p w14:paraId="50E0B415" w14:textId="77777777" w:rsidR="00167A66" w:rsidRPr="00AD56CD" w:rsidRDefault="00167A66" w:rsidP="00E723A9">
      <w:pPr>
        <w:autoSpaceDE w:val="0"/>
        <w:autoSpaceDN w:val="0"/>
        <w:adjustRightInd w:val="0"/>
        <w:spacing w:after="0" w:line="240" w:lineRule="auto"/>
        <w:rPr>
          <w:sz w:val="18"/>
          <w:szCs w:val="18"/>
        </w:rPr>
      </w:pPr>
      <w:bookmarkStart w:id="108" w:name="_Hlk511888928"/>
      <w:r w:rsidRPr="00AD56CD">
        <w:rPr>
          <w:rStyle w:val="FootnoteReference"/>
          <w:sz w:val="18"/>
          <w:szCs w:val="18"/>
        </w:rPr>
        <w:footnoteRef/>
      </w:r>
      <w:r w:rsidRPr="00AD56CD">
        <w:rPr>
          <w:sz w:val="18"/>
          <w:szCs w:val="18"/>
        </w:rPr>
        <w:t xml:space="preserve"> C </w:t>
      </w:r>
      <w:r w:rsidRPr="00AD56CD">
        <w:rPr>
          <w:rFonts w:cs="AGaramondPro-Regular"/>
          <w:sz w:val="18"/>
          <w:szCs w:val="18"/>
        </w:rPr>
        <w:t xml:space="preserve">Garcia-Moreno, C., H A F M Jansen., M Ellsberg, L </w:t>
      </w:r>
      <w:proofErr w:type="spellStart"/>
      <w:r w:rsidRPr="00AD56CD">
        <w:rPr>
          <w:rFonts w:cs="AGaramondPro-Regular"/>
          <w:sz w:val="18"/>
          <w:szCs w:val="18"/>
        </w:rPr>
        <w:t>Heise</w:t>
      </w:r>
      <w:proofErr w:type="spellEnd"/>
      <w:r w:rsidRPr="00AD56CD">
        <w:rPr>
          <w:rFonts w:cs="AGaramondPro-Regular"/>
          <w:sz w:val="18"/>
          <w:szCs w:val="18"/>
        </w:rPr>
        <w:t xml:space="preserve">, L. and C H Watts, </w:t>
      </w:r>
      <w:r w:rsidRPr="00AD56CD">
        <w:rPr>
          <w:rFonts w:cs="AGaramondPro-Regular"/>
          <w:i/>
          <w:sz w:val="18"/>
          <w:szCs w:val="18"/>
        </w:rPr>
        <w:t>World Health Organization Multi-</w:t>
      </w:r>
      <w:proofErr w:type="gramStart"/>
      <w:r w:rsidRPr="00AD56CD">
        <w:rPr>
          <w:rFonts w:cs="AGaramondPro-Regular"/>
          <w:i/>
          <w:sz w:val="18"/>
          <w:szCs w:val="18"/>
        </w:rPr>
        <w:t>country</w:t>
      </w:r>
      <w:proofErr w:type="gramEnd"/>
      <w:r w:rsidRPr="00AD56CD">
        <w:rPr>
          <w:rFonts w:cs="AGaramondPro-Regular"/>
          <w:i/>
          <w:sz w:val="18"/>
          <w:szCs w:val="18"/>
        </w:rPr>
        <w:t xml:space="preserve"> Study on Women’s Health and Domestic Violence against Women</w:t>
      </w:r>
      <w:r w:rsidRPr="00AD56CD">
        <w:rPr>
          <w:rFonts w:cs="AGaramondPro-Regular"/>
          <w:sz w:val="18"/>
          <w:szCs w:val="18"/>
        </w:rPr>
        <w:t>, World Health Organization: Geneva, 2005, http://www.unwomen.org/en/docs/2005/9/who-study-on-womens-healthand-domestic-violence [accessed 19 April 2018].</w:t>
      </w:r>
      <w:bookmarkEnd w:id="108"/>
    </w:p>
  </w:footnote>
  <w:footnote w:id="59">
    <w:p w14:paraId="576973CD" w14:textId="77777777" w:rsidR="00167A66" w:rsidRPr="00AD56CD" w:rsidRDefault="00167A66" w:rsidP="00E723A9">
      <w:pPr>
        <w:pStyle w:val="FootnoteText"/>
        <w:rPr>
          <w:rFonts w:ascii="Cambria" w:hAnsi="Cambria"/>
          <w:sz w:val="18"/>
          <w:szCs w:val="18"/>
        </w:rPr>
      </w:pPr>
      <w:r w:rsidRPr="00AD56CD">
        <w:rPr>
          <w:rStyle w:val="FootnoteReference"/>
          <w:rFonts w:ascii="Cambria" w:hAnsi="Cambria"/>
          <w:sz w:val="18"/>
          <w:szCs w:val="18"/>
        </w:rPr>
        <w:footnoteRef/>
      </w:r>
      <w:r w:rsidRPr="00AD56CD">
        <w:rPr>
          <w:rFonts w:ascii="Cambria" w:hAnsi="Cambria"/>
          <w:sz w:val="18"/>
          <w:szCs w:val="18"/>
        </w:rPr>
        <w:t xml:space="preserve"> Asia Foundation, </w:t>
      </w:r>
      <w:r w:rsidRPr="00AD56CD">
        <w:rPr>
          <w:rFonts w:ascii="Cambria" w:hAnsi="Cambria"/>
          <w:i/>
          <w:iCs/>
          <w:sz w:val="18"/>
          <w:szCs w:val="18"/>
        </w:rPr>
        <w:t xml:space="preserve">Understanding violence against women and children in Timor-Leste: findings from the </w:t>
      </w:r>
      <w:proofErr w:type="spellStart"/>
      <w:r w:rsidRPr="00AD56CD">
        <w:rPr>
          <w:rFonts w:ascii="Cambria" w:hAnsi="Cambria"/>
          <w:i/>
          <w:iCs/>
          <w:sz w:val="18"/>
          <w:szCs w:val="18"/>
        </w:rPr>
        <w:t>Nabilan</w:t>
      </w:r>
      <w:proofErr w:type="spellEnd"/>
      <w:r w:rsidRPr="00AD56CD">
        <w:rPr>
          <w:rFonts w:ascii="Cambria" w:hAnsi="Cambria"/>
          <w:i/>
          <w:iCs/>
          <w:sz w:val="18"/>
          <w:szCs w:val="18"/>
        </w:rPr>
        <w:t xml:space="preserve"> Baseline Study</w:t>
      </w:r>
      <w:r w:rsidRPr="00AD56CD">
        <w:rPr>
          <w:rFonts w:ascii="Cambria" w:hAnsi="Cambria"/>
          <w:iCs/>
          <w:sz w:val="18"/>
          <w:szCs w:val="18"/>
        </w:rPr>
        <w:t>, 2016, page 13.</w:t>
      </w:r>
    </w:p>
  </w:footnote>
  <w:footnote w:id="60">
    <w:p w14:paraId="038C6814" w14:textId="77777777" w:rsidR="00167A66" w:rsidRPr="00AD56CD" w:rsidRDefault="00167A66" w:rsidP="00E723A9">
      <w:pPr>
        <w:pStyle w:val="FootnoteText"/>
        <w:rPr>
          <w:rFonts w:ascii="Cambria" w:hAnsi="Cambria"/>
          <w:sz w:val="18"/>
          <w:szCs w:val="18"/>
        </w:rPr>
      </w:pPr>
      <w:r w:rsidRPr="00AD56CD">
        <w:rPr>
          <w:rStyle w:val="FootnoteReference"/>
          <w:rFonts w:ascii="Cambria" w:hAnsi="Cambria"/>
          <w:sz w:val="18"/>
          <w:szCs w:val="18"/>
        </w:rPr>
        <w:footnoteRef/>
      </w:r>
      <w:r w:rsidRPr="00AD56CD">
        <w:rPr>
          <w:rFonts w:ascii="Cambria" w:hAnsi="Cambria"/>
          <w:sz w:val="18"/>
          <w:szCs w:val="18"/>
        </w:rPr>
        <w:t xml:space="preserve"> Ibid, page 13</w:t>
      </w:r>
      <w:r w:rsidRPr="00AD56CD">
        <w:rPr>
          <w:rFonts w:ascii="Cambria" w:hAnsi="Cambria"/>
          <w:iCs/>
          <w:sz w:val="18"/>
          <w:szCs w:val="18"/>
        </w:rPr>
        <w:t>.</w:t>
      </w:r>
    </w:p>
  </w:footnote>
  <w:footnote w:id="61">
    <w:p w14:paraId="3C816A42" w14:textId="77777777" w:rsidR="00167A66" w:rsidRPr="00AD56CD" w:rsidRDefault="00167A66" w:rsidP="00E723A9">
      <w:pPr>
        <w:pStyle w:val="FootnoteText"/>
        <w:rPr>
          <w:rFonts w:ascii="Cambria" w:hAnsi="Cambria"/>
          <w:sz w:val="18"/>
          <w:szCs w:val="18"/>
        </w:rPr>
      </w:pPr>
      <w:r w:rsidRPr="00AD56CD">
        <w:rPr>
          <w:rStyle w:val="FootnoteReference"/>
          <w:rFonts w:ascii="Cambria" w:hAnsi="Cambria"/>
          <w:sz w:val="18"/>
          <w:szCs w:val="18"/>
        </w:rPr>
        <w:footnoteRef/>
      </w:r>
      <w:r w:rsidRPr="00AD56CD">
        <w:rPr>
          <w:rFonts w:ascii="Cambria" w:hAnsi="Cambria"/>
          <w:sz w:val="18"/>
          <w:szCs w:val="18"/>
        </w:rPr>
        <w:t xml:space="preserve"> Ibid</w:t>
      </w:r>
      <w:r w:rsidRPr="00AD56CD">
        <w:rPr>
          <w:rFonts w:ascii="Cambria" w:hAnsi="Cambria"/>
          <w:iCs/>
          <w:sz w:val="18"/>
          <w:szCs w:val="18"/>
        </w:rPr>
        <w:t xml:space="preserve">, page </w:t>
      </w:r>
      <w:r w:rsidRPr="00AD56CD">
        <w:rPr>
          <w:rFonts w:ascii="Cambria" w:hAnsi="Cambria"/>
          <w:sz w:val="18"/>
          <w:szCs w:val="18"/>
        </w:rPr>
        <w:t>49.</w:t>
      </w:r>
    </w:p>
  </w:footnote>
  <w:footnote w:id="62">
    <w:p w14:paraId="4BD63926" w14:textId="77777777" w:rsidR="00167A66" w:rsidRPr="00AD56CD" w:rsidRDefault="00167A66" w:rsidP="00E723A9">
      <w:pPr>
        <w:pStyle w:val="FootnoteText"/>
        <w:rPr>
          <w:rFonts w:ascii="Cambria" w:hAnsi="Cambria"/>
          <w:sz w:val="18"/>
          <w:szCs w:val="18"/>
        </w:rPr>
      </w:pPr>
      <w:r w:rsidRPr="00AD56CD">
        <w:rPr>
          <w:rStyle w:val="FootnoteReference"/>
          <w:rFonts w:ascii="Cambria" w:hAnsi="Cambria"/>
          <w:sz w:val="18"/>
          <w:szCs w:val="18"/>
        </w:rPr>
        <w:footnoteRef/>
      </w:r>
      <w:r w:rsidRPr="00AD56CD">
        <w:rPr>
          <w:rFonts w:ascii="Cambria" w:hAnsi="Cambria"/>
          <w:sz w:val="18"/>
          <w:szCs w:val="18"/>
        </w:rPr>
        <w:t xml:space="preserve"> Asia Foundation, </w:t>
      </w:r>
      <w:r w:rsidRPr="00AD56CD">
        <w:rPr>
          <w:rFonts w:ascii="Cambria" w:hAnsi="Cambria"/>
          <w:i/>
          <w:iCs/>
          <w:sz w:val="18"/>
          <w:szCs w:val="18"/>
        </w:rPr>
        <w:t xml:space="preserve">Understanding violence against women and children in Timor-Leste: findings from the </w:t>
      </w:r>
      <w:proofErr w:type="spellStart"/>
      <w:r w:rsidRPr="00AD56CD">
        <w:rPr>
          <w:rFonts w:ascii="Cambria" w:hAnsi="Cambria"/>
          <w:i/>
          <w:iCs/>
          <w:sz w:val="18"/>
          <w:szCs w:val="18"/>
        </w:rPr>
        <w:t>Nabilan</w:t>
      </w:r>
      <w:proofErr w:type="spellEnd"/>
      <w:r w:rsidRPr="00AD56CD">
        <w:rPr>
          <w:rFonts w:ascii="Cambria" w:hAnsi="Cambria"/>
          <w:i/>
          <w:iCs/>
          <w:sz w:val="18"/>
          <w:szCs w:val="18"/>
        </w:rPr>
        <w:t xml:space="preserve"> Baseline Study</w:t>
      </w:r>
      <w:r w:rsidRPr="00AD56CD">
        <w:rPr>
          <w:rFonts w:ascii="Cambria" w:hAnsi="Cambria"/>
          <w:iCs/>
          <w:sz w:val="18"/>
          <w:szCs w:val="18"/>
        </w:rPr>
        <w:t xml:space="preserve">, 2016, page </w:t>
      </w:r>
      <w:r w:rsidRPr="00AD56CD">
        <w:rPr>
          <w:rFonts w:ascii="Cambria" w:hAnsi="Cambria"/>
          <w:sz w:val="18"/>
          <w:szCs w:val="18"/>
        </w:rPr>
        <w:t>70</w:t>
      </w:r>
    </w:p>
  </w:footnote>
  <w:footnote w:id="63">
    <w:p w14:paraId="745B321B" w14:textId="77777777" w:rsidR="00167A66" w:rsidRPr="00AD56CD" w:rsidRDefault="00167A66" w:rsidP="00E723A9">
      <w:pPr>
        <w:pStyle w:val="FootnoteText"/>
        <w:rPr>
          <w:rFonts w:ascii="Cambria" w:hAnsi="Cambria"/>
          <w:sz w:val="18"/>
          <w:szCs w:val="18"/>
        </w:rPr>
      </w:pPr>
      <w:r w:rsidRPr="00AD56CD">
        <w:rPr>
          <w:rStyle w:val="FootnoteReference"/>
          <w:rFonts w:ascii="Cambria" w:hAnsi="Cambria"/>
          <w:sz w:val="18"/>
          <w:szCs w:val="18"/>
        </w:rPr>
        <w:footnoteRef/>
      </w:r>
      <w:r w:rsidRPr="00AD56CD">
        <w:rPr>
          <w:rFonts w:ascii="Cambria" w:hAnsi="Cambria"/>
          <w:sz w:val="18"/>
          <w:szCs w:val="18"/>
        </w:rPr>
        <w:t xml:space="preserve"> Asia Foundation, </w:t>
      </w:r>
      <w:r w:rsidRPr="00AD56CD">
        <w:rPr>
          <w:rFonts w:ascii="Cambria" w:hAnsi="Cambria"/>
          <w:i/>
          <w:iCs/>
          <w:sz w:val="18"/>
          <w:szCs w:val="18"/>
        </w:rPr>
        <w:t xml:space="preserve">Understanding violence against women and children in Timor-Leste: findings from the </w:t>
      </w:r>
      <w:proofErr w:type="spellStart"/>
      <w:r w:rsidRPr="00AD56CD">
        <w:rPr>
          <w:rFonts w:ascii="Cambria" w:hAnsi="Cambria"/>
          <w:i/>
          <w:iCs/>
          <w:sz w:val="18"/>
          <w:szCs w:val="18"/>
        </w:rPr>
        <w:t>Nabilan</w:t>
      </w:r>
      <w:proofErr w:type="spellEnd"/>
      <w:r w:rsidRPr="00AD56CD">
        <w:rPr>
          <w:rFonts w:ascii="Cambria" w:hAnsi="Cambria"/>
          <w:i/>
          <w:iCs/>
          <w:sz w:val="18"/>
          <w:szCs w:val="18"/>
        </w:rPr>
        <w:t xml:space="preserve"> Baseline Study</w:t>
      </w:r>
      <w:r w:rsidRPr="00AD56CD">
        <w:rPr>
          <w:rFonts w:ascii="Cambria" w:hAnsi="Cambria"/>
          <w:iCs/>
          <w:sz w:val="18"/>
          <w:szCs w:val="18"/>
        </w:rPr>
        <w:t>, 2016, page 74-75.</w:t>
      </w:r>
    </w:p>
  </w:footnote>
  <w:footnote w:id="64">
    <w:p w14:paraId="699E24B3" w14:textId="77777777" w:rsidR="00167A66" w:rsidRPr="00AD56CD" w:rsidRDefault="00167A66" w:rsidP="00E723A9">
      <w:pPr>
        <w:pStyle w:val="FootnoteText"/>
        <w:rPr>
          <w:rFonts w:ascii="Cambria" w:hAnsi="Cambria"/>
          <w:color w:val="000000" w:themeColor="text1"/>
          <w:sz w:val="18"/>
          <w:szCs w:val="18"/>
        </w:rPr>
      </w:pPr>
      <w:r w:rsidRPr="00AD56CD">
        <w:rPr>
          <w:rStyle w:val="FootnoteReference"/>
          <w:rFonts w:ascii="Cambria" w:hAnsi="Cambria"/>
          <w:sz w:val="18"/>
          <w:szCs w:val="18"/>
        </w:rPr>
        <w:footnoteRef/>
      </w:r>
      <w:r w:rsidRPr="00AD56CD">
        <w:rPr>
          <w:rFonts w:ascii="Cambria" w:hAnsi="Cambria"/>
          <w:sz w:val="18"/>
          <w:szCs w:val="18"/>
        </w:rPr>
        <w:t xml:space="preserve"> TLPDP in-country consultations, February-M</w:t>
      </w:r>
      <w:r w:rsidRPr="00AD56CD">
        <w:rPr>
          <w:rFonts w:ascii="Cambria" w:hAnsi="Cambria"/>
          <w:color w:val="000000" w:themeColor="text1"/>
          <w:sz w:val="18"/>
          <w:szCs w:val="18"/>
        </w:rPr>
        <w:t>arch 2018.</w:t>
      </w:r>
    </w:p>
  </w:footnote>
  <w:footnote w:id="65">
    <w:p w14:paraId="72F2E0A2" w14:textId="77777777" w:rsidR="00167A66" w:rsidRPr="00AD56CD" w:rsidRDefault="00167A66" w:rsidP="00E723A9">
      <w:pPr>
        <w:pStyle w:val="FootnoteText"/>
        <w:rPr>
          <w:rFonts w:ascii="Cambria" w:hAnsi="Cambria"/>
          <w:sz w:val="18"/>
          <w:szCs w:val="18"/>
        </w:rPr>
      </w:pPr>
      <w:r w:rsidRPr="00AD56CD">
        <w:rPr>
          <w:rStyle w:val="FootnoteReference"/>
          <w:rFonts w:ascii="Cambria" w:hAnsi="Cambria"/>
          <w:color w:val="000000" w:themeColor="text1"/>
          <w:sz w:val="18"/>
          <w:szCs w:val="18"/>
        </w:rPr>
        <w:footnoteRef/>
      </w:r>
      <w:r w:rsidRPr="00AD56CD">
        <w:rPr>
          <w:rFonts w:ascii="Cambria" w:hAnsi="Cambria"/>
          <w:color w:val="000000" w:themeColor="text1"/>
          <w:sz w:val="18"/>
          <w:szCs w:val="18"/>
        </w:rPr>
        <w:t xml:space="preserve"> Government of the Democratic Republic of Timor-Leste</w:t>
      </w:r>
      <w:r w:rsidRPr="00AD56CD">
        <w:rPr>
          <w:rFonts w:ascii="Cambria" w:hAnsi="Cambria" w:cs="Century Gothic"/>
          <w:color w:val="000000" w:themeColor="text1"/>
          <w:sz w:val="18"/>
          <w:szCs w:val="18"/>
        </w:rPr>
        <w:t xml:space="preserve">, </w:t>
      </w:r>
      <w:r w:rsidRPr="00AD56CD">
        <w:rPr>
          <w:rFonts w:ascii="Cambria" w:hAnsi="Cambria" w:cs="Century Gothic"/>
          <w:i/>
          <w:color w:val="000000" w:themeColor="text1"/>
          <w:sz w:val="18"/>
          <w:szCs w:val="18"/>
        </w:rPr>
        <w:t>Strategic Development Plan 2011-2030</w:t>
      </w:r>
      <w:r w:rsidRPr="00AD56CD">
        <w:rPr>
          <w:rFonts w:ascii="Cambria" w:hAnsi="Cambria" w:cs="Century Gothic"/>
          <w:color w:val="000000" w:themeColor="text1"/>
          <w:sz w:val="18"/>
          <w:szCs w:val="18"/>
        </w:rPr>
        <w:t>.</w:t>
      </w:r>
    </w:p>
  </w:footnote>
  <w:footnote w:id="66">
    <w:p w14:paraId="6AA09F7C" w14:textId="77777777" w:rsidR="00167A66" w:rsidRPr="00AD56CD" w:rsidRDefault="00167A66" w:rsidP="00E723A9">
      <w:pPr>
        <w:pStyle w:val="FootnoteText"/>
        <w:rPr>
          <w:rFonts w:ascii="Cambria" w:hAnsi="Cambria"/>
          <w:sz w:val="18"/>
          <w:szCs w:val="18"/>
        </w:rPr>
      </w:pPr>
      <w:r w:rsidRPr="00AD56CD">
        <w:rPr>
          <w:rStyle w:val="FootnoteReference"/>
          <w:rFonts w:ascii="Cambria" w:hAnsi="Cambria"/>
          <w:sz w:val="18"/>
          <w:szCs w:val="18"/>
        </w:rPr>
        <w:footnoteRef/>
      </w:r>
      <w:r w:rsidRPr="00AD56CD">
        <w:rPr>
          <w:rFonts w:ascii="Cambria" w:hAnsi="Cambria"/>
          <w:sz w:val="18"/>
          <w:szCs w:val="18"/>
        </w:rPr>
        <w:t xml:space="preserve"> Government of the Democratic Republic of Timor-Leste, </w:t>
      </w:r>
      <w:r w:rsidRPr="00AD56CD">
        <w:rPr>
          <w:rFonts w:ascii="Cambria" w:hAnsi="Cambria" w:cs="AGaramondPro-Regular"/>
          <w:i/>
          <w:sz w:val="18"/>
          <w:szCs w:val="18"/>
        </w:rPr>
        <w:t>National Action Plan on Gender-Based Violence</w:t>
      </w:r>
      <w:r w:rsidRPr="00AD56CD">
        <w:rPr>
          <w:rFonts w:ascii="Cambria" w:hAnsi="Cambria" w:cs="AGaramondPro-Regular"/>
          <w:sz w:val="18"/>
          <w:szCs w:val="18"/>
        </w:rPr>
        <w:t>, page 7.</w:t>
      </w:r>
    </w:p>
  </w:footnote>
  <w:footnote w:id="67">
    <w:p w14:paraId="2F1342F9" w14:textId="77777777" w:rsidR="00167A66" w:rsidRPr="00AD56CD" w:rsidRDefault="00167A66" w:rsidP="00E723A9">
      <w:pPr>
        <w:pStyle w:val="FootnoteText"/>
        <w:rPr>
          <w:rFonts w:ascii="Cambria" w:hAnsi="Cambria"/>
          <w:sz w:val="18"/>
          <w:szCs w:val="18"/>
        </w:rPr>
      </w:pPr>
      <w:r w:rsidRPr="00AD56CD">
        <w:rPr>
          <w:rStyle w:val="FootnoteReference"/>
          <w:rFonts w:ascii="Cambria" w:hAnsi="Cambria"/>
          <w:sz w:val="18"/>
          <w:szCs w:val="18"/>
        </w:rPr>
        <w:footnoteRef/>
      </w:r>
      <w:r w:rsidRPr="00AD56CD">
        <w:rPr>
          <w:rFonts w:ascii="Cambria" w:hAnsi="Cambria"/>
          <w:sz w:val="18"/>
          <w:szCs w:val="18"/>
        </w:rPr>
        <w:t xml:space="preserve"> Government of the Democratic Republic of Timor-Leste,</w:t>
      </w:r>
      <w:r w:rsidRPr="00AD56CD">
        <w:rPr>
          <w:rFonts w:ascii="Cambria" w:hAnsi="Cambria" w:cs="AGaramondPro-Regular"/>
          <w:i/>
          <w:sz w:val="18"/>
          <w:szCs w:val="18"/>
        </w:rPr>
        <w:t xml:space="preserve"> National Action Plan on United Nation’s Security Council Resolution 1325 (2000) on Women, Peace and Security (2016-2020), </w:t>
      </w:r>
      <w:r w:rsidRPr="00AD56CD">
        <w:rPr>
          <w:rFonts w:ascii="Cambria" w:hAnsi="Cambria"/>
          <w:sz w:val="18"/>
          <w:szCs w:val="18"/>
        </w:rPr>
        <w:t xml:space="preserve">page 5. </w:t>
      </w:r>
    </w:p>
  </w:footnote>
  <w:footnote w:id="68">
    <w:p w14:paraId="10FD05A7" w14:textId="77777777" w:rsidR="00167A66" w:rsidRPr="00AD56CD" w:rsidRDefault="00167A66" w:rsidP="00E723A9">
      <w:pPr>
        <w:pStyle w:val="FootnoteText"/>
        <w:rPr>
          <w:rFonts w:ascii="Cambria" w:hAnsi="Cambria"/>
          <w:sz w:val="18"/>
          <w:szCs w:val="18"/>
        </w:rPr>
      </w:pPr>
      <w:r w:rsidRPr="00AD56CD">
        <w:rPr>
          <w:rStyle w:val="FootnoteReference"/>
          <w:rFonts w:ascii="Cambria" w:hAnsi="Cambria"/>
          <w:sz w:val="18"/>
          <w:szCs w:val="18"/>
        </w:rPr>
        <w:footnoteRef/>
      </w:r>
      <w:r w:rsidRPr="00AD56CD">
        <w:rPr>
          <w:rFonts w:ascii="Cambria" w:hAnsi="Cambria" w:cs="AGaramondPro-Regular"/>
          <w:sz w:val="18"/>
          <w:szCs w:val="18"/>
        </w:rPr>
        <w:t xml:space="preserve"> Ibid</w:t>
      </w:r>
      <w:r w:rsidRPr="00AD56CD">
        <w:rPr>
          <w:rFonts w:ascii="Cambria" w:hAnsi="Cambria" w:cs="AGaramondPro-Regular"/>
          <w:i/>
          <w:sz w:val="18"/>
          <w:szCs w:val="18"/>
        </w:rPr>
        <w:t xml:space="preserve">, </w:t>
      </w:r>
      <w:r w:rsidRPr="00AD56CD">
        <w:rPr>
          <w:rFonts w:ascii="Cambria" w:hAnsi="Cambria"/>
          <w:sz w:val="18"/>
          <w:szCs w:val="18"/>
        </w:rPr>
        <w:t>page 5.</w:t>
      </w:r>
    </w:p>
  </w:footnote>
  <w:footnote w:id="69">
    <w:p w14:paraId="55CE9E2D" w14:textId="77777777" w:rsidR="00167A66" w:rsidRPr="00AD56CD" w:rsidRDefault="00167A66" w:rsidP="00E723A9">
      <w:pPr>
        <w:pStyle w:val="FootnoteText"/>
        <w:rPr>
          <w:rFonts w:ascii="Cambria" w:hAnsi="Cambria"/>
          <w:sz w:val="18"/>
          <w:szCs w:val="18"/>
        </w:rPr>
      </w:pPr>
      <w:r w:rsidRPr="00AD56CD">
        <w:rPr>
          <w:rStyle w:val="FootnoteReference"/>
          <w:rFonts w:ascii="Cambria" w:hAnsi="Cambria"/>
          <w:sz w:val="18"/>
          <w:szCs w:val="18"/>
        </w:rPr>
        <w:footnoteRef/>
      </w:r>
      <w:r w:rsidRPr="00AD56CD">
        <w:rPr>
          <w:rFonts w:ascii="Cambria" w:hAnsi="Cambria"/>
          <w:sz w:val="18"/>
          <w:szCs w:val="18"/>
        </w:rPr>
        <w:t xml:space="preserve"> </w:t>
      </w:r>
      <w:r w:rsidRPr="00AD56CD">
        <w:rPr>
          <w:rFonts w:ascii="Cambria" w:hAnsi="Cambria" w:cs="AGaramondPro-Regular"/>
          <w:i/>
          <w:sz w:val="18"/>
          <w:szCs w:val="18"/>
        </w:rPr>
        <w:t xml:space="preserve">National Action Plan on United Nation’s Security Council Resolution 1325 (2000) on Women, Peace and Security (2016-2020), </w:t>
      </w:r>
      <w:proofErr w:type="spellStart"/>
      <w:r w:rsidRPr="00AD56CD">
        <w:rPr>
          <w:rFonts w:ascii="Cambria" w:hAnsi="Cambria"/>
          <w:sz w:val="18"/>
          <w:szCs w:val="18"/>
        </w:rPr>
        <w:t>pae</w:t>
      </w:r>
      <w:proofErr w:type="spellEnd"/>
      <w:r w:rsidRPr="00AD56CD">
        <w:rPr>
          <w:rFonts w:ascii="Cambria" w:hAnsi="Cambria"/>
          <w:sz w:val="18"/>
          <w:szCs w:val="18"/>
        </w:rPr>
        <w:t xml:space="preserve"> page 6-7.</w:t>
      </w:r>
    </w:p>
  </w:footnote>
  <w:footnote w:id="70">
    <w:p w14:paraId="7296FB43" w14:textId="77777777" w:rsidR="00167A66" w:rsidRPr="00AD56CD" w:rsidRDefault="00167A66" w:rsidP="00E723A9">
      <w:pPr>
        <w:pStyle w:val="FootnoteText"/>
        <w:rPr>
          <w:rFonts w:ascii="Cambria" w:hAnsi="Cambria"/>
          <w:sz w:val="18"/>
          <w:szCs w:val="18"/>
        </w:rPr>
      </w:pPr>
      <w:r w:rsidRPr="00AD56CD">
        <w:rPr>
          <w:rStyle w:val="FootnoteReference"/>
          <w:rFonts w:ascii="Cambria" w:hAnsi="Cambria"/>
          <w:sz w:val="18"/>
          <w:szCs w:val="18"/>
        </w:rPr>
        <w:footnoteRef/>
      </w:r>
      <w:r w:rsidRPr="00AD56CD">
        <w:rPr>
          <w:rFonts w:ascii="Cambria" w:hAnsi="Cambria"/>
          <w:sz w:val="18"/>
          <w:szCs w:val="18"/>
        </w:rPr>
        <w:t xml:space="preserve"> </w:t>
      </w:r>
      <w:proofErr w:type="spellStart"/>
      <w:r w:rsidRPr="00AD56CD">
        <w:rPr>
          <w:rFonts w:ascii="Cambria" w:hAnsi="Cambria" w:cs="HelveticaNeueLT Pro 55 Roman"/>
          <w:color w:val="000000"/>
          <w:sz w:val="18"/>
          <w:szCs w:val="18"/>
        </w:rPr>
        <w:t>Sojo</w:t>
      </w:r>
      <w:proofErr w:type="spellEnd"/>
      <w:r w:rsidRPr="00AD56CD">
        <w:rPr>
          <w:rFonts w:ascii="Cambria" w:hAnsi="Cambria" w:cs="HelveticaNeueLT Pro 55 Roman"/>
          <w:color w:val="000000"/>
          <w:sz w:val="18"/>
          <w:szCs w:val="18"/>
        </w:rPr>
        <w:t xml:space="preserve"> and R Wood (2012) ‘Women’s Fit, Functioning and Growth at Work: Indicators and Predictors’ Centre for Ethical Leadership, https:// cel.edu.au/our-research/resilience-womens-fit-functioning-and-growth-at-work-indicators-and-predict (viewed 18 April 2018). </w:t>
      </w:r>
      <w:r w:rsidRPr="00AD56CD">
        <w:rPr>
          <w:rFonts w:ascii="Cambria" w:hAnsi="Cambria"/>
          <w:sz w:val="18"/>
          <w:szCs w:val="18"/>
        </w:rPr>
        <w:t xml:space="preserve"> </w:t>
      </w:r>
    </w:p>
  </w:footnote>
  <w:footnote w:id="71">
    <w:p w14:paraId="25322E28" w14:textId="77777777" w:rsidR="00167A66" w:rsidRPr="00AD56CD" w:rsidRDefault="00167A66" w:rsidP="00E723A9">
      <w:pPr>
        <w:pStyle w:val="FootnoteText"/>
        <w:rPr>
          <w:rFonts w:ascii="Cambria" w:hAnsi="Cambria"/>
          <w:sz w:val="18"/>
          <w:szCs w:val="18"/>
        </w:rPr>
      </w:pPr>
      <w:r w:rsidRPr="00AD56CD">
        <w:rPr>
          <w:rStyle w:val="FootnoteReference"/>
          <w:rFonts w:ascii="Cambria" w:hAnsi="Cambria"/>
          <w:sz w:val="18"/>
          <w:szCs w:val="18"/>
        </w:rPr>
        <w:footnoteRef/>
      </w:r>
      <w:r w:rsidRPr="00AD56CD">
        <w:rPr>
          <w:rFonts w:ascii="Cambria" w:hAnsi="Cambria"/>
          <w:sz w:val="18"/>
          <w:szCs w:val="18"/>
        </w:rPr>
        <w:t xml:space="preserve"> </w:t>
      </w:r>
      <w:r w:rsidRPr="00AD56CD">
        <w:rPr>
          <w:rFonts w:ascii="Cambria" w:hAnsi="Cambria" w:cs="HelveticaNeueLT Pro 55 Roman"/>
          <w:color w:val="000000"/>
          <w:sz w:val="18"/>
          <w:szCs w:val="18"/>
        </w:rPr>
        <w:t xml:space="preserve">G </w:t>
      </w:r>
      <w:proofErr w:type="spellStart"/>
      <w:r w:rsidRPr="00AD56CD">
        <w:rPr>
          <w:rFonts w:ascii="Cambria" w:hAnsi="Cambria" w:cs="HelveticaNeueLT Pro 55 Roman"/>
          <w:color w:val="000000"/>
          <w:sz w:val="18"/>
          <w:szCs w:val="18"/>
        </w:rPr>
        <w:t>Desveaux</w:t>
      </w:r>
      <w:proofErr w:type="spellEnd"/>
      <w:r w:rsidRPr="00AD56CD">
        <w:rPr>
          <w:rFonts w:ascii="Cambria" w:hAnsi="Cambria" w:cs="HelveticaNeueLT Pro 55 Roman"/>
          <w:color w:val="000000"/>
          <w:sz w:val="18"/>
          <w:szCs w:val="18"/>
        </w:rPr>
        <w:t xml:space="preserve">, S </w:t>
      </w:r>
      <w:proofErr w:type="spellStart"/>
      <w:r w:rsidRPr="00AD56CD">
        <w:rPr>
          <w:rFonts w:ascii="Cambria" w:hAnsi="Cambria" w:cs="HelveticaNeueLT Pro 55 Roman"/>
          <w:color w:val="000000"/>
          <w:sz w:val="18"/>
          <w:szCs w:val="18"/>
        </w:rPr>
        <w:t>Devilland</w:t>
      </w:r>
      <w:proofErr w:type="spellEnd"/>
      <w:r w:rsidRPr="00AD56CD">
        <w:rPr>
          <w:rFonts w:ascii="Cambria" w:hAnsi="Cambria" w:cs="HelveticaNeueLT Pro 55 Roman"/>
          <w:color w:val="000000"/>
          <w:sz w:val="18"/>
          <w:szCs w:val="18"/>
        </w:rPr>
        <w:t xml:space="preserve"> and S </w:t>
      </w:r>
      <w:proofErr w:type="spellStart"/>
      <w:r w:rsidRPr="00AD56CD">
        <w:rPr>
          <w:rFonts w:ascii="Cambria" w:hAnsi="Cambria" w:cs="HelveticaNeueLT Pro 55 Roman"/>
          <w:color w:val="000000"/>
          <w:sz w:val="18"/>
          <w:szCs w:val="18"/>
        </w:rPr>
        <w:t>Sancier</w:t>
      </w:r>
      <w:proofErr w:type="spellEnd"/>
      <w:r w:rsidRPr="00AD56CD">
        <w:rPr>
          <w:rFonts w:ascii="Cambria" w:hAnsi="Cambria" w:cs="HelveticaNeueLT Pro 55 Roman"/>
          <w:color w:val="000000"/>
          <w:sz w:val="18"/>
          <w:szCs w:val="18"/>
        </w:rPr>
        <w:t xml:space="preserve">-Sultan (2010) </w:t>
      </w:r>
      <w:r w:rsidRPr="00AD56CD">
        <w:rPr>
          <w:rFonts w:ascii="Cambria" w:hAnsi="Cambria" w:cs="HelveticaNeueLT Pro 55 Roman"/>
          <w:i/>
          <w:iCs/>
          <w:color w:val="000000"/>
          <w:sz w:val="18"/>
          <w:szCs w:val="18"/>
        </w:rPr>
        <w:t>Women Matter: Women at the top of corporations: Making it happen</w:t>
      </w:r>
      <w:r w:rsidRPr="00AD56CD">
        <w:rPr>
          <w:rFonts w:ascii="Cambria" w:hAnsi="Cambria" w:cs="HelveticaNeueLT Pro 55 Roman"/>
          <w:color w:val="000000"/>
          <w:sz w:val="18"/>
          <w:szCs w:val="18"/>
        </w:rPr>
        <w:t xml:space="preserve">, McKinsey and Company. </w:t>
      </w:r>
      <w:r w:rsidRPr="00AD56CD">
        <w:rPr>
          <w:rFonts w:ascii="Cambria" w:hAnsi="Cambria"/>
          <w:sz w:val="18"/>
          <w:szCs w:val="18"/>
        </w:rPr>
        <w:t xml:space="preserve"> </w:t>
      </w:r>
    </w:p>
  </w:footnote>
  <w:footnote w:id="72">
    <w:p w14:paraId="11216EE7" w14:textId="77777777" w:rsidR="00167A66" w:rsidRPr="00AD56CD" w:rsidRDefault="00167A66" w:rsidP="00E723A9">
      <w:pPr>
        <w:pStyle w:val="FootnoteText"/>
        <w:rPr>
          <w:rFonts w:ascii="Cambria" w:hAnsi="Cambria"/>
          <w:sz w:val="18"/>
          <w:szCs w:val="18"/>
        </w:rPr>
      </w:pPr>
      <w:r w:rsidRPr="00AD56CD">
        <w:rPr>
          <w:rStyle w:val="FootnoteReference"/>
          <w:rFonts w:ascii="Cambria" w:hAnsi="Cambria"/>
          <w:sz w:val="18"/>
          <w:szCs w:val="18"/>
        </w:rPr>
        <w:footnoteRef/>
      </w:r>
      <w:r w:rsidRPr="00AD56CD">
        <w:rPr>
          <w:rFonts w:ascii="Cambria" w:hAnsi="Cambria"/>
          <w:sz w:val="18"/>
          <w:szCs w:val="18"/>
        </w:rPr>
        <w:t xml:space="preserve"> </w:t>
      </w:r>
      <w:r w:rsidRPr="00AD56CD">
        <w:rPr>
          <w:rFonts w:ascii="Cambria" w:hAnsi="Cambria" w:cs="HelveticaNeueLT Pro 55 Roman"/>
          <w:color w:val="000000"/>
          <w:sz w:val="18"/>
          <w:szCs w:val="18"/>
        </w:rPr>
        <w:t xml:space="preserve">R Adler (2009) ‘Profit, thy name is... Woman?’ in </w:t>
      </w:r>
      <w:r w:rsidRPr="00AD56CD">
        <w:rPr>
          <w:rFonts w:ascii="Cambria" w:hAnsi="Cambria" w:cs="HelveticaNeueLT Pro 55 Roman"/>
          <w:i/>
          <w:iCs/>
          <w:color w:val="000000"/>
          <w:sz w:val="18"/>
          <w:szCs w:val="18"/>
        </w:rPr>
        <w:t>Pacific Standard</w:t>
      </w:r>
      <w:r w:rsidRPr="00AD56CD">
        <w:rPr>
          <w:rFonts w:ascii="Cambria" w:hAnsi="Cambria" w:cs="HelveticaNeueLT Pro 55 Roman"/>
          <w:color w:val="000000"/>
          <w:sz w:val="18"/>
          <w:szCs w:val="18"/>
        </w:rPr>
        <w:t xml:space="preserve">, Feb 27, 2009; Catalyst (2004) </w:t>
      </w:r>
      <w:r w:rsidRPr="00AD56CD">
        <w:rPr>
          <w:rFonts w:ascii="Cambria" w:hAnsi="Cambria" w:cs="HelveticaNeueLT Pro 55 Roman"/>
          <w:i/>
          <w:iCs/>
          <w:color w:val="000000"/>
          <w:sz w:val="18"/>
          <w:szCs w:val="18"/>
        </w:rPr>
        <w:t>The Bottom Line: Connecting Corporate Performance and Gender Diversity</w:t>
      </w:r>
      <w:r w:rsidRPr="00AD56CD">
        <w:rPr>
          <w:rFonts w:ascii="Cambria" w:hAnsi="Cambria" w:cs="HelveticaNeueLT Pro 55 Roman"/>
          <w:color w:val="000000"/>
          <w:sz w:val="18"/>
          <w:szCs w:val="18"/>
        </w:rPr>
        <w:t xml:space="preserve">’; McKinsey &amp; Company (2012) ‘Is there a payoff from top-team diversity?’ in </w:t>
      </w:r>
      <w:r w:rsidRPr="00AD56CD">
        <w:rPr>
          <w:rFonts w:ascii="Cambria" w:hAnsi="Cambria" w:cs="HelveticaNeueLT Pro 55 Roman"/>
          <w:i/>
          <w:iCs/>
          <w:color w:val="000000"/>
          <w:sz w:val="18"/>
          <w:szCs w:val="18"/>
        </w:rPr>
        <w:t>McKinsey Quarterly</w:t>
      </w:r>
      <w:r w:rsidRPr="00AD56CD">
        <w:rPr>
          <w:rFonts w:ascii="Cambria" w:hAnsi="Cambria" w:cs="HelveticaNeueLT Pro 55 Roman"/>
          <w:color w:val="000000"/>
          <w:sz w:val="18"/>
          <w:szCs w:val="18"/>
        </w:rPr>
        <w:t xml:space="preserve">, </w:t>
      </w:r>
      <w:proofErr w:type="gramStart"/>
      <w:r w:rsidRPr="00AD56CD">
        <w:rPr>
          <w:rFonts w:ascii="Cambria" w:hAnsi="Cambria" w:cs="HelveticaNeueLT Pro 55 Roman"/>
          <w:color w:val="000000"/>
          <w:sz w:val="18"/>
          <w:szCs w:val="18"/>
        </w:rPr>
        <w:t>April,</w:t>
      </w:r>
      <w:proofErr w:type="gramEnd"/>
      <w:r w:rsidRPr="00AD56CD">
        <w:rPr>
          <w:rFonts w:ascii="Cambria" w:hAnsi="Cambria" w:cs="HelveticaNeueLT Pro 55 Roman"/>
          <w:color w:val="000000"/>
          <w:sz w:val="18"/>
          <w:szCs w:val="18"/>
        </w:rPr>
        <w:t xml:space="preserve"> 2012; B </w:t>
      </w:r>
      <w:proofErr w:type="spellStart"/>
      <w:r w:rsidRPr="00AD56CD">
        <w:rPr>
          <w:rFonts w:ascii="Cambria" w:hAnsi="Cambria" w:cs="HelveticaNeueLT Pro 55 Roman"/>
          <w:color w:val="000000"/>
          <w:sz w:val="18"/>
          <w:szCs w:val="18"/>
        </w:rPr>
        <w:t>Lejczak</w:t>
      </w:r>
      <w:proofErr w:type="spellEnd"/>
      <w:r w:rsidRPr="00AD56CD">
        <w:rPr>
          <w:rFonts w:ascii="Cambria" w:hAnsi="Cambria" w:cs="HelveticaNeueLT Pro 55 Roman"/>
          <w:color w:val="000000"/>
          <w:sz w:val="18"/>
          <w:szCs w:val="18"/>
        </w:rPr>
        <w:t xml:space="preserve"> (2012) </w:t>
      </w:r>
      <w:r w:rsidRPr="00AD56CD">
        <w:rPr>
          <w:rFonts w:ascii="Cambria" w:hAnsi="Cambria" w:cs="HelveticaNeueLT Pro 55 Roman"/>
          <w:i/>
          <w:iCs/>
          <w:color w:val="000000"/>
          <w:sz w:val="18"/>
          <w:szCs w:val="18"/>
        </w:rPr>
        <w:t>Diversity on Board</w:t>
      </w:r>
      <w:r w:rsidRPr="00AD56CD">
        <w:rPr>
          <w:rFonts w:ascii="Cambria" w:hAnsi="Cambria" w:cs="HelveticaNeueLT Pro 55 Roman"/>
          <w:color w:val="000000"/>
          <w:sz w:val="18"/>
          <w:szCs w:val="18"/>
        </w:rPr>
        <w:t xml:space="preserve">, Credit Suisse https://www.credit-suisse.com/us/en/articles/articles/news-and-expertise/2015/06/en/diveristy-on-board.html (viewed 18 April 2018). </w:t>
      </w:r>
      <w:r w:rsidRPr="00AD56CD">
        <w:rPr>
          <w:rFonts w:ascii="Cambria" w:hAnsi="Cambria"/>
          <w:sz w:val="18"/>
          <w:szCs w:val="18"/>
        </w:rPr>
        <w:t xml:space="preserve"> </w:t>
      </w:r>
    </w:p>
  </w:footnote>
  <w:footnote w:id="73">
    <w:p w14:paraId="4AA85A80" w14:textId="77777777" w:rsidR="00167A66" w:rsidRPr="00AD56CD" w:rsidRDefault="00167A66" w:rsidP="00E723A9">
      <w:pPr>
        <w:pStyle w:val="FootnoteText"/>
        <w:rPr>
          <w:rFonts w:ascii="Cambria" w:hAnsi="Cambria"/>
          <w:sz w:val="18"/>
          <w:szCs w:val="18"/>
        </w:rPr>
      </w:pPr>
      <w:r w:rsidRPr="00AD56CD">
        <w:rPr>
          <w:rStyle w:val="FootnoteReference"/>
          <w:rFonts w:ascii="Cambria" w:hAnsi="Cambria"/>
          <w:sz w:val="18"/>
          <w:szCs w:val="18"/>
        </w:rPr>
        <w:footnoteRef/>
      </w:r>
      <w:r w:rsidRPr="00AD56CD">
        <w:rPr>
          <w:rFonts w:ascii="Cambria" w:hAnsi="Cambria"/>
          <w:sz w:val="18"/>
          <w:szCs w:val="18"/>
        </w:rPr>
        <w:t xml:space="preserve"> </w:t>
      </w:r>
      <w:r w:rsidRPr="00AD56CD">
        <w:rPr>
          <w:rFonts w:ascii="Cambria" w:hAnsi="Cambria" w:cs="HelveticaNeueLT Pro 55 Roman"/>
          <w:color w:val="000000"/>
          <w:sz w:val="18"/>
          <w:szCs w:val="18"/>
        </w:rPr>
        <w:t xml:space="preserve">Ernst and Young (2016) </w:t>
      </w:r>
      <w:r w:rsidRPr="00AD56CD">
        <w:rPr>
          <w:rFonts w:ascii="Cambria" w:hAnsi="Cambria" w:cs="HelveticaNeueLT Pro 55 Roman"/>
          <w:i/>
          <w:iCs/>
          <w:color w:val="000000"/>
          <w:sz w:val="18"/>
          <w:szCs w:val="18"/>
        </w:rPr>
        <w:t>Navigating disruption without gender diversity? Think again</w:t>
      </w:r>
      <w:r w:rsidRPr="00AD56CD">
        <w:rPr>
          <w:rFonts w:ascii="Cambria" w:hAnsi="Cambria" w:cs="HelveticaNeueLT Pro 55 Roman"/>
          <w:color w:val="000000"/>
          <w:sz w:val="18"/>
          <w:szCs w:val="18"/>
        </w:rPr>
        <w:t>, http://www.ey.com/Publication/vwLUAssets/EY-women-in-industry/$FILE/EY-women-in-industry.pdf (viewed 27 July 2016). Forbes</w:t>
      </w:r>
      <w:r w:rsidRPr="00AD56CD">
        <w:rPr>
          <w:rFonts w:ascii="Cambria" w:hAnsi="Cambria" w:cs="HelveticaNeueLT Pro 55 Roman"/>
          <w:i/>
          <w:iCs/>
          <w:color w:val="000000"/>
          <w:sz w:val="18"/>
          <w:szCs w:val="18"/>
        </w:rPr>
        <w:t>, Fostering Innovation Through a Diverse Workforce</w:t>
      </w:r>
      <w:r w:rsidRPr="00AD56CD">
        <w:rPr>
          <w:rFonts w:ascii="Cambria" w:hAnsi="Cambria" w:cs="HelveticaNeueLT Pro 55 Roman"/>
          <w:color w:val="000000"/>
          <w:sz w:val="18"/>
          <w:szCs w:val="18"/>
        </w:rPr>
        <w:t>, Forbes Insights, http://images.forbes.com/forbesinsights/StudyPDFs/Innovation_Through_Diversity.pdf (viewed 18 April 2018).</w:t>
      </w:r>
    </w:p>
  </w:footnote>
  <w:footnote w:id="74">
    <w:p w14:paraId="37A4BE63" w14:textId="77777777" w:rsidR="00167A66" w:rsidRPr="00AD56CD" w:rsidRDefault="00167A66" w:rsidP="00E723A9">
      <w:pPr>
        <w:pStyle w:val="FootnoteText"/>
        <w:rPr>
          <w:rFonts w:ascii="Cambria" w:hAnsi="Cambria"/>
          <w:sz w:val="18"/>
          <w:szCs w:val="18"/>
        </w:rPr>
      </w:pPr>
      <w:r w:rsidRPr="00AD56CD">
        <w:rPr>
          <w:rStyle w:val="FootnoteReference"/>
          <w:rFonts w:ascii="Cambria" w:hAnsi="Cambria"/>
          <w:sz w:val="18"/>
          <w:szCs w:val="18"/>
        </w:rPr>
        <w:footnoteRef/>
      </w:r>
      <w:r w:rsidRPr="00AD56CD">
        <w:rPr>
          <w:rFonts w:ascii="Cambria" w:hAnsi="Cambria"/>
          <w:sz w:val="18"/>
          <w:szCs w:val="18"/>
        </w:rPr>
        <w:t xml:space="preserve"> </w:t>
      </w:r>
      <w:r w:rsidRPr="00AD56CD">
        <w:rPr>
          <w:rFonts w:ascii="Cambria" w:hAnsi="Cambria" w:cs="HelveticaNeueLT Pro 55 Roman"/>
          <w:color w:val="000000"/>
          <w:sz w:val="18"/>
          <w:szCs w:val="18"/>
        </w:rPr>
        <w:t xml:space="preserve">V </w:t>
      </w:r>
      <w:proofErr w:type="spellStart"/>
      <w:r w:rsidRPr="00AD56CD">
        <w:rPr>
          <w:rFonts w:ascii="Cambria" w:hAnsi="Cambria" w:cs="HelveticaNeueLT Pro 55 Roman"/>
          <w:color w:val="000000"/>
          <w:sz w:val="18"/>
          <w:szCs w:val="18"/>
        </w:rPr>
        <w:t>Sojo</w:t>
      </w:r>
      <w:proofErr w:type="spellEnd"/>
      <w:r w:rsidRPr="00AD56CD">
        <w:rPr>
          <w:rFonts w:ascii="Cambria" w:hAnsi="Cambria" w:cs="HelveticaNeueLT Pro 55 Roman"/>
          <w:color w:val="000000"/>
          <w:sz w:val="18"/>
          <w:szCs w:val="18"/>
        </w:rPr>
        <w:t xml:space="preserve"> and R Wood (2012) ‘Women’s Fit, Functioning and Growth at Work: Indicators and Predictors’ Centre for Ethical Leadership, https:// cel.edu.au/our-research/resilience-womens-fit-functioning-and-growth-at-work-indicators-and-predict (viewed 18 April 2018). </w:t>
      </w:r>
      <w:r w:rsidRPr="00AD56CD">
        <w:rPr>
          <w:rFonts w:ascii="Cambria" w:hAnsi="Cambria"/>
          <w:sz w:val="18"/>
          <w:szCs w:val="18"/>
        </w:rPr>
        <w:t xml:space="preserve"> </w:t>
      </w:r>
    </w:p>
  </w:footnote>
  <w:footnote w:id="75">
    <w:p w14:paraId="4628A64B" w14:textId="77777777" w:rsidR="00167A66" w:rsidRPr="00AD56CD" w:rsidRDefault="00167A66" w:rsidP="00E723A9">
      <w:pPr>
        <w:pStyle w:val="FootnoteText"/>
        <w:rPr>
          <w:rFonts w:ascii="Cambria" w:hAnsi="Cambria"/>
          <w:sz w:val="18"/>
          <w:szCs w:val="18"/>
        </w:rPr>
      </w:pPr>
      <w:r w:rsidRPr="00AD56CD">
        <w:rPr>
          <w:rStyle w:val="FootnoteReference"/>
          <w:rFonts w:ascii="Cambria" w:hAnsi="Cambria"/>
          <w:sz w:val="18"/>
          <w:szCs w:val="18"/>
        </w:rPr>
        <w:footnoteRef/>
      </w:r>
      <w:r w:rsidRPr="00AD56CD">
        <w:rPr>
          <w:rFonts w:ascii="Cambria" w:hAnsi="Cambria"/>
          <w:sz w:val="18"/>
          <w:szCs w:val="18"/>
        </w:rPr>
        <w:t xml:space="preserve"> </w:t>
      </w:r>
      <w:r w:rsidRPr="00AD56CD">
        <w:rPr>
          <w:rFonts w:ascii="Cambria" w:hAnsi="Cambria" w:cs="HelveticaNeueLT Pro 55 Roman"/>
          <w:color w:val="000000"/>
          <w:sz w:val="18"/>
          <w:szCs w:val="18"/>
        </w:rPr>
        <w:t xml:space="preserve">G </w:t>
      </w:r>
      <w:proofErr w:type="spellStart"/>
      <w:r w:rsidRPr="00AD56CD">
        <w:rPr>
          <w:rFonts w:ascii="Cambria" w:hAnsi="Cambria" w:cs="HelveticaNeueLT Pro 55 Roman"/>
          <w:color w:val="000000"/>
          <w:sz w:val="18"/>
          <w:szCs w:val="18"/>
        </w:rPr>
        <w:t>Desveaux</w:t>
      </w:r>
      <w:proofErr w:type="spellEnd"/>
      <w:r w:rsidRPr="00AD56CD">
        <w:rPr>
          <w:rFonts w:ascii="Cambria" w:hAnsi="Cambria" w:cs="HelveticaNeueLT Pro 55 Roman"/>
          <w:color w:val="000000"/>
          <w:sz w:val="18"/>
          <w:szCs w:val="18"/>
        </w:rPr>
        <w:t xml:space="preserve">, S </w:t>
      </w:r>
      <w:proofErr w:type="spellStart"/>
      <w:r w:rsidRPr="00AD56CD">
        <w:rPr>
          <w:rFonts w:ascii="Cambria" w:hAnsi="Cambria" w:cs="HelveticaNeueLT Pro 55 Roman"/>
          <w:color w:val="000000"/>
          <w:sz w:val="18"/>
          <w:szCs w:val="18"/>
        </w:rPr>
        <w:t>Devilland</w:t>
      </w:r>
      <w:proofErr w:type="spellEnd"/>
      <w:r w:rsidRPr="00AD56CD">
        <w:rPr>
          <w:rFonts w:ascii="Cambria" w:hAnsi="Cambria" w:cs="HelveticaNeueLT Pro 55 Roman"/>
          <w:color w:val="000000"/>
          <w:sz w:val="18"/>
          <w:szCs w:val="18"/>
        </w:rPr>
        <w:t xml:space="preserve"> and S </w:t>
      </w:r>
      <w:proofErr w:type="spellStart"/>
      <w:r w:rsidRPr="00AD56CD">
        <w:rPr>
          <w:rFonts w:ascii="Cambria" w:hAnsi="Cambria" w:cs="HelveticaNeueLT Pro 55 Roman"/>
          <w:color w:val="000000"/>
          <w:sz w:val="18"/>
          <w:szCs w:val="18"/>
        </w:rPr>
        <w:t>Sancier</w:t>
      </w:r>
      <w:proofErr w:type="spellEnd"/>
      <w:r w:rsidRPr="00AD56CD">
        <w:rPr>
          <w:rFonts w:ascii="Cambria" w:hAnsi="Cambria" w:cs="HelveticaNeueLT Pro 55 Roman"/>
          <w:color w:val="000000"/>
          <w:sz w:val="18"/>
          <w:szCs w:val="18"/>
        </w:rPr>
        <w:t xml:space="preserve">-Sultan (2010) </w:t>
      </w:r>
      <w:r w:rsidRPr="00AD56CD">
        <w:rPr>
          <w:rFonts w:ascii="Cambria" w:hAnsi="Cambria" w:cs="HelveticaNeueLT Pro 55 Roman"/>
          <w:i/>
          <w:iCs/>
          <w:color w:val="000000"/>
          <w:sz w:val="18"/>
          <w:szCs w:val="18"/>
        </w:rPr>
        <w:t>Women Matter: Women at the top of corporations: Making it happen</w:t>
      </w:r>
      <w:r w:rsidRPr="00AD56CD">
        <w:rPr>
          <w:rFonts w:ascii="Cambria" w:hAnsi="Cambria" w:cs="HelveticaNeueLT Pro 55 Roman"/>
          <w:color w:val="000000"/>
          <w:sz w:val="18"/>
          <w:szCs w:val="18"/>
        </w:rPr>
        <w:t xml:space="preserve">, McKinsey and Company. </w:t>
      </w:r>
      <w:r w:rsidRPr="00AD56CD">
        <w:rPr>
          <w:rFonts w:ascii="Cambria" w:hAnsi="Cambria"/>
          <w:sz w:val="18"/>
          <w:szCs w:val="18"/>
        </w:rPr>
        <w:t xml:space="preserve"> </w:t>
      </w:r>
    </w:p>
  </w:footnote>
  <w:footnote w:id="76">
    <w:p w14:paraId="20806C48" w14:textId="77777777" w:rsidR="00167A66" w:rsidRPr="00940239" w:rsidRDefault="00167A66" w:rsidP="00E723A9">
      <w:pPr>
        <w:pStyle w:val="FootnoteText"/>
        <w:rPr>
          <w:rFonts w:ascii="Cambria" w:hAnsi="Cambria"/>
          <w:sz w:val="18"/>
          <w:szCs w:val="18"/>
        </w:rPr>
      </w:pPr>
      <w:r w:rsidRPr="00AD56CD">
        <w:rPr>
          <w:rStyle w:val="FootnoteReference"/>
          <w:rFonts w:ascii="Cambria" w:hAnsi="Cambria"/>
          <w:sz w:val="18"/>
          <w:szCs w:val="18"/>
        </w:rPr>
        <w:footnoteRef/>
      </w:r>
      <w:r w:rsidRPr="00AD56CD">
        <w:rPr>
          <w:rFonts w:ascii="Cambria" w:hAnsi="Cambria"/>
          <w:sz w:val="18"/>
          <w:szCs w:val="18"/>
        </w:rPr>
        <w:t xml:space="preserve"> Government of the Democratic Republic of Timor-Leste,</w:t>
      </w:r>
      <w:r w:rsidRPr="00AD56CD">
        <w:rPr>
          <w:rFonts w:ascii="Cambria" w:hAnsi="Cambria" w:cs="AGaramondPro-Regular"/>
          <w:i/>
          <w:sz w:val="18"/>
          <w:szCs w:val="18"/>
        </w:rPr>
        <w:t xml:space="preserve"> National Action Plan on United Nation’s Security Council Resolution 1325 (2000) on Women, Peace and Security (2016-2020), </w:t>
      </w:r>
      <w:r w:rsidRPr="00AD56CD">
        <w:rPr>
          <w:rFonts w:ascii="Cambria" w:hAnsi="Cambria"/>
          <w:sz w:val="18"/>
          <w:szCs w:val="18"/>
        </w:rPr>
        <w:t>page 17.</w:t>
      </w:r>
    </w:p>
  </w:footnote>
  <w:footnote w:id="77">
    <w:p w14:paraId="79C6C23F" w14:textId="77777777" w:rsidR="00167A66" w:rsidRPr="00940239" w:rsidRDefault="00167A66" w:rsidP="00E723A9">
      <w:pPr>
        <w:pStyle w:val="FootnoteText"/>
        <w:rPr>
          <w:rFonts w:ascii="Cambria" w:hAnsi="Cambria"/>
          <w:sz w:val="18"/>
          <w:szCs w:val="18"/>
        </w:rPr>
      </w:pPr>
      <w:r w:rsidRPr="00940239">
        <w:rPr>
          <w:rStyle w:val="FootnoteReference"/>
          <w:rFonts w:ascii="Cambria" w:hAnsi="Cambria"/>
          <w:sz w:val="18"/>
          <w:szCs w:val="18"/>
        </w:rPr>
        <w:footnoteRef/>
      </w:r>
      <w:r w:rsidRPr="00940239">
        <w:rPr>
          <w:rFonts w:ascii="Cambria" w:hAnsi="Cambria"/>
          <w:sz w:val="18"/>
          <w:szCs w:val="18"/>
        </w:rPr>
        <w:t xml:space="preserve"> TLPDP, 2016, </w:t>
      </w:r>
      <w:r w:rsidRPr="00940239">
        <w:rPr>
          <w:rFonts w:ascii="Cambria" w:hAnsi="Cambria"/>
          <w:i/>
          <w:iCs/>
          <w:sz w:val="18"/>
          <w:szCs w:val="18"/>
        </w:rPr>
        <w:t xml:space="preserve">TLPDP Gender Focussed Environmental Scan; </w:t>
      </w:r>
      <w:r w:rsidRPr="00940239">
        <w:rPr>
          <w:rFonts w:ascii="Cambria" w:hAnsi="Cambria"/>
          <w:iCs/>
          <w:sz w:val="18"/>
          <w:szCs w:val="18"/>
        </w:rPr>
        <w:t xml:space="preserve">Australian Federal Police, </w:t>
      </w:r>
      <w:r w:rsidRPr="00940239">
        <w:rPr>
          <w:rFonts w:ascii="Cambria" w:hAnsi="Cambria"/>
          <w:i/>
          <w:iCs/>
          <w:sz w:val="18"/>
          <w:szCs w:val="18"/>
        </w:rPr>
        <w:t xml:space="preserve">TLPDP 2014-2018 Mid-Term Review, </w:t>
      </w:r>
      <w:r w:rsidRPr="00940239">
        <w:rPr>
          <w:rFonts w:ascii="Cambria" w:hAnsi="Cambria"/>
          <w:iCs/>
          <w:sz w:val="18"/>
          <w:szCs w:val="18"/>
        </w:rPr>
        <w:t xml:space="preserve">page17. </w:t>
      </w:r>
      <w:r w:rsidRPr="00940239">
        <w:rPr>
          <w:rFonts w:ascii="Cambria" w:hAnsi="Cambria"/>
          <w:sz w:val="18"/>
          <w:szCs w:val="18"/>
        </w:rPr>
        <w:t xml:space="preserve"> </w:t>
      </w:r>
    </w:p>
  </w:footnote>
  <w:footnote w:id="78">
    <w:p w14:paraId="6006333B" w14:textId="2CA5D029" w:rsidR="00167A66" w:rsidRPr="008A3863" w:rsidRDefault="00167A66">
      <w:pPr>
        <w:pStyle w:val="FootnoteText"/>
        <w:rPr>
          <w:rFonts w:ascii="Cambria" w:hAnsi="Cambria"/>
          <w:sz w:val="18"/>
          <w:szCs w:val="18"/>
        </w:rPr>
      </w:pPr>
      <w:r w:rsidRPr="008A3863">
        <w:rPr>
          <w:rStyle w:val="FootnoteReference"/>
          <w:rFonts w:ascii="Cambria" w:hAnsi="Cambria"/>
          <w:sz w:val="18"/>
          <w:szCs w:val="18"/>
        </w:rPr>
        <w:footnoteRef/>
      </w:r>
      <w:r w:rsidRPr="008A3863">
        <w:rPr>
          <w:rFonts w:ascii="Cambria" w:hAnsi="Cambria"/>
          <w:sz w:val="18"/>
          <w:szCs w:val="18"/>
        </w:rPr>
        <w:t xml:space="preserve"> AFP, TLPDP Gender Environmental Scan, 20177, p367.</w:t>
      </w:r>
    </w:p>
  </w:footnote>
  <w:footnote w:id="79">
    <w:p w14:paraId="6703F2E1" w14:textId="77777777" w:rsidR="00167A66" w:rsidRPr="00332FA2" w:rsidRDefault="00167A66" w:rsidP="009A5F34">
      <w:pPr>
        <w:pStyle w:val="FootnoteText"/>
        <w:rPr>
          <w:rFonts w:ascii="Cambria" w:hAnsi="Cambria"/>
          <w:sz w:val="18"/>
          <w:szCs w:val="18"/>
        </w:rPr>
      </w:pPr>
      <w:r w:rsidRPr="00332FA2">
        <w:rPr>
          <w:rStyle w:val="FootnoteReference"/>
          <w:rFonts w:ascii="Cambria" w:hAnsi="Cambria"/>
          <w:sz w:val="18"/>
          <w:szCs w:val="18"/>
        </w:rPr>
        <w:footnoteRef/>
      </w:r>
      <w:r w:rsidRPr="00332FA2">
        <w:rPr>
          <w:rFonts w:ascii="Cambria" w:hAnsi="Cambria"/>
          <w:sz w:val="18"/>
          <w:szCs w:val="18"/>
        </w:rPr>
        <w:t xml:space="preserve"> </w:t>
      </w:r>
      <w:r w:rsidRPr="00332FA2">
        <w:rPr>
          <w:rFonts w:ascii="Cambria" w:hAnsi="Cambria" w:cs="Arial"/>
          <w:bCs/>
          <w:color w:val="000000"/>
          <w:sz w:val="18"/>
          <w:szCs w:val="18"/>
          <w:lang w:val="en-US"/>
        </w:rPr>
        <w:t>World Bank and World Health Organization, World Report on Disability, 2011, p. 261</w:t>
      </w:r>
    </w:p>
  </w:footnote>
  <w:footnote w:id="80">
    <w:p w14:paraId="1D897E47" w14:textId="77777777" w:rsidR="00167A66" w:rsidRPr="00940239" w:rsidRDefault="00167A66" w:rsidP="009A5F34">
      <w:pPr>
        <w:pStyle w:val="FootnoteText"/>
        <w:rPr>
          <w:rFonts w:ascii="Cambria" w:hAnsi="Cambria"/>
          <w:sz w:val="18"/>
          <w:szCs w:val="18"/>
        </w:rPr>
      </w:pPr>
      <w:r w:rsidRPr="002D32B0">
        <w:rPr>
          <w:rStyle w:val="FootnoteReference"/>
          <w:rFonts w:ascii="Cambria" w:hAnsi="Cambria"/>
          <w:sz w:val="18"/>
          <w:szCs w:val="18"/>
        </w:rPr>
        <w:footnoteRef/>
      </w:r>
      <w:r w:rsidRPr="002D32B0">
        <w:rPr>
          <w:rFonts w:ascii="Cambria" w:hAnsi="Cambria"/>
          <w:sz w:val="18"/>
          <w:szCs w:val="18"/>
        </w:rPr>
        <w:t xml:space="preserve"> Australian Government Department of Foreign Affairs and Trade, </w:t>
      </w:r>
      <w:r w:rsidRPr="002D32B0">
        <w:rPr>
          <w:rFonts w:ascii="Cambria" w:hAnsi="Cambria"/>
          <w:i/>
          <w:sz w:val="18"/>
          <w:szCs w:val="18"/>
        </w:rPr>
        <w:t>Australian aid: promoting prosperity, reduction poverty, enhancing stability</w:t>
      </w:r>
      <w:r w:rsidRPr="002D32B0">
        <w:rPr>
          <w:rFonts w:ascii="Cambria" w:hAnsi="Cambria"/>
          <w:sz w:val="18"/>
          <w:szCs w:val="18"/>
        </w:rPr>
        <w:t>, published June 2014, page 24.</w:t>
      </w:r>
    </w:p>
  </w:footnote>
  <w:footnote w:id="81">
    <w:p w14:paraId="79349304" w14:textId="77777777" w:rsidR="00167A66" w:rsidRPr="00940239" w:rsidRDefault="00167A66" w:rsidP="00987DBE">
      <w:pPr>
        <w:pStyle w:val="FootnoteText"/>
        <w:rPr>
          <w:rFonts w:ascii="Cambria" w:hAnsi="Cambria"/>
          <w:sz w:val="18"/>
          <w:szCs w:val="18"/>
        </w:rPr>
      </w:pPr>
      <w:r w:rsidRPr="00940239">
        <w:rPr>
          <w:rStyle w:val="FootnoteReference"/>
          <w:rFonts w:ascii="Cambria" w:hAnsi="Cambria"/>
          <w:sz w:val="18"/>
          <w:szCs w:val="18"/>
        </w:rPr>
        <w:footnoteRef/>
      </w:r>
      <w:r w:rsidRPr="00940239">
        <w:rPr>
          <w:rFonts w:ascii="Cambria" w:hAnsi="Cambria"/>
          <w:sz w:val="18"/>
          <w:szCs w:val="18"/>
        </w:rPr>
        <w:t xml:space="preserve"> Australian Government Department of Foreign Affairs and Trade, </w:t>
      </w:r>
      <w:r w:rsidRPr="00940239">
        <w:rPr>
          <w:rFonts w:ascii="Cambria" w:hAnsi="Cambria"/>
          <w:i/>
          <w:sz w:val="18"/>
          <w:szCs w:val="18"/>
          <w:lang w:val="en-US"/>
        </w:rPr>
        <w:t>Environmental and Social Safeguard Policy for the Aid Program</w:t>
      </w:r>
      <w:r w:rsidRPr="00940239">
        <w:rPr>
          <w:rFonts w:ascii="Cambria" w:hAnsi="Cambria"/>
          <w:sz w:val="18"/>
          <w:szCs w:val="18"/>
          <w:lang w:val="en-US"/>
        </w:rPr>
        <w:t xml:space="preserve">, January 2018, available at </w:t>
      </w:r>
      <w:hyperlink r:id="rId2" w:history="1">
        <w:r w:rsidRPr="00940239">
          <w:rPr>
            <w:rStyle w:val="Hyperlink"/>
            <w:rFonts w:ascii="Cambria" w:eastAsiaTheme="majorEastAsia" w:hAnsi="Cambria"/>
            <w:sz w:val="18"/>
            <w:szCs w:val="18"/>
            <w:lang w:val="en-US"/>
          </w:rPr>
          <w:t>http://dfat.gov.au/about-us/publications/Pages/environmental-social-safeguard-policy-for-the-aid-program.aspx</w:t>
        </w:r>
      </w:hyperlink>
      <w:r w:rsidRPr="00940239">
        <w:rPr>
          <w:rFonts w:ascii="Cambria" w:hAnsi="Cambria"/>
          <w:sz w:val="18"/>
          <w:szCs w:val="18"/>
          <w:lang w:val="en-US"/>
        </w:rPr>
        <w:t xml:space="preserve"> (accessed 20 April 2018), page 1.</w:t>
      </w:r>
    </w:p>
  </w:footnote>
  <w:footnote w:id="82">
    <w:p w14:paraId="70F8E946" w14:textId="77777777" w:rsidR="00167A66" w:rsidRDefault="00167A66" w:rsidP="00987DBE">
      <w:pPr>
        <w:pStyle w:val="FootnoteText"/>
      </w:pPr>
      <w:r w:rsidRPr="00940239">
        <w:rPr>
          <w:rStyle w:val="FootnoteReference"/>
          <w:rFonts w:ascii="Cambria" w:hAnsi="Cambria"/>
          <w:sz w:val="18"/>
          <w:szCs w:val="18"/>
        </w:rPr>
        <w:footnoteRef/>
      </w:r>
      <w:r w:rsidRPr="00940239">
        <w:rPr>
          <w:rFonts w:ascii="Cambria" w:hAnsi="Cambria"/>
          <w:sz w:val="18"/>
          <w:szCs w:val="18"/>
        </w:rPr>
        <w:t xml:space="preserve"> Ibid.</w:t>
      </w:r>
      <w:r>
        <w:rPr>
          <w:lang w:val="en-US"/>
        </w:rPr>
        <w:t xml:space="preserve"> </w:t>
      </w:r>
    </w:p>
  </w:footnote>
  <w:footnote w:id="83">
    <w:p w14:paraId="36771DBA" w14:textId="5645B150" w:rsidR="00167A66" w:rsidRDefault="00167A66">
      <w:pPr>
        <w:pStyle w:val="FootnoteText"/>
      </w:pPr>
      <w:r>
        <w:rPr>
          <w:rStyle w:val="FootnoteReference"/>
        </w:rPr>
        <w:footnoteRef/>
      </w:r>
      <w:r>
        <w:t xml:space="preserve"> </w:t>
      </w:r>
      <w:r w:rsidRPr="00940239">
        <w:rPr>
          <w:rFonts w:ascii="Cambria" w:hAnsi="Cambria"/>
          <w:sz w:val="18"/>
          <w:szCs w:val="18"/>
        </w:rPr>
        <w:t xml:space="preserve">Asia Foundation, </w:t>
      </w:r>
      <w:r w:rsidRPr="00940239">
        <w:rPr>
          <w:rFonts w:ascii="Cambria" w:hAnsi="Cambria"/>
          <w:i/>
          <w:iCs/>
          <w:sz w:val="18"/>
          <w:szCs w:val="18"/>
        </w:rPr>
        <w:t xml:space="preserve">Understanding violence against women and children in Timor-Leste: findings from the </w:t>
      </w:r>
      <w:proofErr w:type="spellStart"/>
      <w:r w:rsidRPr="00940239">
        <w:rPr>
          <w:rFonts w:ascii="Cambria" w:hAnsi="Cambria"/>
          <w:i/>
          <w:iCs/>
          <w:sz w:val="18"/>
          <w:szCs w:val="18"/>
        </w:rPr>
        <w:t>Nabilan</w:t>
      </w:r>
      <w:proofErr w:type="spellEnd"/>
      <w:r w:rsidRPr="00940239">
        <w:rPr>
          <w:rFonts w:ascii="Cambria" w:hAnsi="Cambria"/>
          <w:i/>
          <w:iCs/>
          <w:sz w:val="18"/>
          <w:szCs w:val="18"/>
        </w:rPr>
        <w:t xml:space="preserve"> Baseline Study</w:t>
      </w:r>
      <w:r>
        <w:rPr>
          <w:rFonts w:ascii="Cambria" w:hAnsi="Cambria"/>
          <w:iCs/>
          <w:sz w:val="18"/>
          <w:szCs w:val="18"/>
        </w:rPr>
        <w:t xml:space="preserve">, 2016, page 74-75. </w:t>
      </w:r>
    </w:p>
  </w:footnote>
  <w:footnote w:id="84">
    <w:p w14:paraId="267BDDFF" w14:textId="74747E8A" w:rsidR="00167A66" w:rsidRDefault="00167A66">
      <w:pPr>
        <w:pStyle w:val="FootnoteText"/>
      </w:pPr>
      <w:r>
        <w:rPr>
          <w:rStyle w:val="FootnoteReference"/>
        </w:rPr>
        <w:footnoteRef/>
      </w:r>
      <w:r>
        <w:t xml:space="preserve"> </w:t>
      </w:r>
      <w:r>
        <w:rPr>
          <w:rFonts w:ascii="Cambria" w:hAnsi="Cambria"/>
          <w:iCs/>
          <w:sz w:val="18"/>
          <w:szCs w:val="18"/>
        </w:rPr>
        <w:t>Ibid page 75.</w:t>
      </w:r>
      <w:r>
        <w:t xml:space="preserve"> </w:t>
      </w:r>
    </w:p>
  </w:footnote>
  <w:footnote w:id="85">
    <w:p w14:paraId="04EE58D5" w14:textId="5E32D109" w:rsidR="00167A66" w:rsidRDefault="00167A66">
      <w:pPr>
        <w:pStyle w:val="FootnoteText"/>
      </w:pPr>
      <w:r>
        <w:rPr>
          <w:rStyle w:val="FootnoteReference"/>
        </w:rPr>
        <w:footnoteRef/>
      </w:r>
      <w:r>
        <w:t xml:space="preserve"> </w:t>
      </w:r>
      <w:r>
        <w:rPr>
          <w:rFonts w:ascii="Cambria" w:hAnsi="Cambria"/>
          <w:iCs/>
          <w:sz w:val="18"/>
          <w:szCs w:val="18"/>
        </w:rPr>
        <w:t>Ibid page 76</w:t>
      </w:r>
      <w:r>
        <w:t>.</w:t>
      </w:r>
    </w:p>
  </w:footnote>
  <w:footnote w:id="86">
    <w:p w14:paraId="3044BA85" w14:textId="02B8F8B8" w:rsidR="00167A66" w:rsidRDefault="00167A66">
      <w:pPr>
        <w:pStyle w:val="FootnoteText"/>
      </w:pPr>
      <w:r>
        <w:rPr>
          <w:rStyle w:val="FootnoteReference"/>
        </w:rPr>
        <w:footnoteRef/>
      </w:r>
      <w:r>
        <w:t xml:space="preserve"> </w:t>
      </w:r>
      <w:r>
        <w:rPr>
          <w:rFonts w:ascii="Cambria" w:hAnsi="Cambria"/>
          <w:iCs/>
          <w:sz w:val="18"/>
          <w:szCs w:val="18"/>
        </w:rPr>
        <w:t>Ibid page 78.</w:t>
      </w:r>
    </w:p>
  </w:footnote>
  <w:footnote w:id="87">
    <w:p w14:paraId="565B4D85" w14:textId="77777777" w:rsidR="00167A66" w:rsidRPr="00DE3F3F" w:rsidRDefault="00167A66" w:rsidP="00F27FE0">
      <w:pPr>
        <w:pStyle w:val="FootnoteText"/>
        <w:rPr>
          <w:sz w:val="16"/>
          <w:szCs w:val="16"/>
        </w:rPr>
      </w:pPr>
      <w:r w:rsidRPr="00DE3F3F">
        <w:rPr>
          <w:rStyle w:val="FootnoteReference"/>
          <w:sz w:val="16"/>
          <w:szCs w:val="16"/>
        </w:rPr>
        <w:footnoteRef/>
      </w:r>
      <w:r w:rsidRPr="00DE3F3F">
        <w:rPr>
          <w:sz w:val="16"/>
          <w:szCs w:val="16"/>
        </w:rPr>
        <w:t xml:space="preserve"> The Asia Foundation, </w:t>
      </w:r>
      <w:r w:rsidRPr="00DE3F3F">
        <w:rPr>
          <w:i/>
          <w:sz w:val="16"/>
          <w:szCs w:val="16"/>
        </w:rPr>
        <w:t>Community Policing in Timor-Leste</w:t>
      </w:r>
      <w:r w:rsidRPr="00DE3F3F">
        <w:rPr>
          <w:sz w:val="16"/>
          <w:szCs w:val="16"/>
        </w:rPr>
        <w:t xml:space="preserve">, available at </w:t>
      </w:r>
      <w:hyperlink r:id="rId3" w:history="1">
        <w:r w:rsidRPr="00DE3F3F">
          <w:rPr>
            <w:rStyle w:val="Hyperlink"/>
            <w:sz w:val="16"/>
            <w:szCs w:val="16"/>
          </w:rPr>
          <w:t>https://asiafoundation.org/wp-content/uploads/2016/12/Timor-Leste_COP_Dec-2016.pdf</w:t>
        </w:r>
      </w:hyperlink>
      <w:r w:rsidRPr="00DE3F3F">
        <w:rPr>
          <w:sz w:val="16"/>
          <w:szCs w:val="16"/>
        </w:rPr>
        <w:t xml:space="preserve"> (accessed 20 April 2018).</w:t>
      </w:r>
    </w:p>
  </w:footnote>
  <w:footnote w:id="88">
    <w:p w14:paraId="07B9CF52" w14:textId="77777777" w:rsidR="00167A66" w:rsidRPr="00DE3F3F" w:rsidRDefault="00167A66" w:rsidP="00F27FE0">
      <w:pPr>
        <w:pStyle w:val="FootnoteText"/>
        <w:rPr>
          <w:sz w:val="16"/>
          <w:szCs w:val="16"/>
        </w:rPr>
      </w:pPr>
      <w:r w:rsidRPr="00DE3F3F">
        <w:rPr>
          <w:rStyle w:val="FootnoteReference"/>
          <w:sz w:val="16"/>
          <w:szCs w:val="16"/>
        </w:rPr>
        <w:footnoteRef/>
      </w:r>
      <w:r w:rsidRPr="00DE3F3F">
        <w:rPr>
          <w:sz w:val="16"/>
          <w:szCs w:val="16"/>
        </w:rPr>
        <w:t xml:space="preserve"> The Asia Foundation, </w:t>
      </w:r>
      <w:r w:rsidRPr="00DE3F3F">
        <w:rPr>
          <w:i/>
          <w:sz w:val="16"/>
          <w:szCs w:val="16"/>
        </w:rPr>
        <w:t>A Survey of Community-Police Perceptions in Timor-Leste 2015</w:t>
      </w:r>
      <w:r w:rsidRPr="00DE3F3F">
        <w:rPr>
          <w:sz w:val="16"/>
          <w:szCs w:val="16"/>
        </w:rPr>
        <w:t>, page 19.</w:t>
      </w:r>
    </w:p>
  </w:footnote>
  <w:footnote w:id="89">
    <w:p w14:paraId="7E534039" w14:textId="77777777" w:rsidR="00167A66" w:rsidRDefault="00167A66" w:rsidP="00F27FE0">
      <w:pPr>
        <w:pStyle w:val="FootnoteText"/>
      </w:pPr>
      <w:r w:rsidRPr="00DE3F3F">
        <w:rPr>
          <w:rStyle w:val="FootnoteReference"/>
          <w:sz w:val="16"/>
          <w:szCs w:val="16"/>
        </w:rPr>
        <w:footnoteRef/>
      </w:r>
      <w:r w:rsidRPr="00DE3F3F">
        <w:rPr>
          <w:sz w:val="16"/>
          <w:szCs w:val="16"/>
        </w:rPr>
        <w:t xml:space="preserve"> UN Women, Timor-Leste overview, available at </w:t>
      </w:r>
      <w:hyperlink r:id="rId4" w:history="1">
        <w:r w:rsidRPr="00DE3F3F">
          <w:rPr>
            <w:rStyle w:val="Hyperlink"/>
            <w:sz w:val="16"/>
            <w:szCs w:val="16"/>
          </w:rPr>
          <w:t>http://asiapacific.unwomen.org/en/countries/timor-leste</w:t>
        </w:r>
      </w:hyperlink>
      <w:r w:rsidRPr="00DE3F3F">
        <w:rPr>
          <w:sz w:val="16"/>
          <w:szCs w:val="16"/>
        </w:rPr>
        <w:t xml:space="preserve"> (accessed 20 April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EB573" w14:textId="7C7C787F" w:rsidR="00167A66" w:rsidRDefault="002B3FCD">
    <w:pPr>
      <w:pStyle w:val="Header"/>
    </w:pPr>
    <w:r>
      <w:rPr>
        <w:noProof/>
        <w:lang w:val="en-US"/>
      </w:rPr>
      <w:pict w14:anchorId="257109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762838" o:spid="_x0000_s2051" type="#_x0000_t136" style="position:absolute;margin-left:0;margin-top:0;width:412.4pt;height:247.4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7991"/>
    <w:multiLevelType w:val="hybridMultilevel"/>
    <w:tmpl w:val="7BCCB4CE"/>
    <w:lvl w:ilvl="0" w:tplc="C34A9F22">
      <w:start w:val="5"/>
      <w:numFmt w:val="bullet"/>
      <w:lvlText w:val="•"/>
      <w:lvlJc w:val="left"/>
      <w:pPr>
        <w:ind w:left="1080" w:hanging="720"/>
      </w:pPr>
      <w:rPr>
        <w:rFonts w:ascii="Calibri" w:eastAsiaTheme="minorHAnsi" w:hAnsi="Calibri" w:cstheme="minorBidi" w:hint="default"/>
      </w:rPr>
    </w:lvl>
    <w:lvl w:ilvl="1" w:tplc="E0FCA84A">
      <w:start w:val="4"/>
      <w:numFmt w:val="bullet"/>
      <w:lvlText w:val="-"/>
      <w:lvlJc w:val="left"/>
      <w:pPr>
        <w:ind w:left="1800" w:hanging="72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F0030"/>
    <w:multiLevelType w:val="hybridMultilevel"/>
    <w:tmpl w:val="5AA29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125AD"/>
    <w:multiLevelType w:val="hybridMultilevel"/>
    <w:tmpl w:val="1156774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4A31C33"/>
    <w:multiLevelType w:val="hybridMultilevel"/>
    <w:tmpl w:val="242275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2C1D0D"/>
    <w:multiLevelType w:val="hybridMultilevel"/>
    <w:tmpl w:val="6EF62F3C"/>
    <w:lvl w:ilvl="0" w:tplc="0C090005">
      <w:start w:val="1"/>
      <w:numFmt w:val="bullet"/>
      <w:lvlText w:val=""/>
      <w:lvlJc w:val="left"/>
      <w:pPr>
        <w:ind w:left="720" w:hanging="360"/>
      </w:pPr>
      <w:rPr>
        <w:rFonts w:ascii="Wingdings" w:hAnsi="Wingding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F5433C5"/>
    <w:multiLevelType w:val="hybridMultilevel"/>
    <w:tmpl w:val="A06CD4B6"/>
    <w:lvl w:ilvl="0" w:tplc="B994D634">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5009AE"/>
    <w:multiLevelType w:val="hybridMultilevel"/>
    <w:tmpl w:val="3814C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537204"/>
    <w:multiLevelType w:val="multilevel"/>
    <w:tmpl w:val="DEB677BA"/>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400" w:hanging="40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2002E29"/>
    <w:multiLevelType w:val="hybridMultilevel"/>
    <w:tmpl w:val="19D41E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20E589E"/>
    <w:multiLevelType w:val="hybridMultilevel"/>
    <w:tmpl w:val="CD328D18"/>
    <w:lvl w:ilvl="0" w:tplc="C34A9F22">
      <w:start w:val="5"/>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0F4E41"/>
    <w:multiLevelType w:val="hybridMultilevel"/>
    <w:tmpl w:val="91084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72D5B9D"/>
    <w:multiLevelType w:val="hybridMultilevel"/>
    <w:tmpl w:val="A2E6BE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7F11BAA"/>
    <w:multiLevelType w:val="hybridMultilevel"/>
    <w:tmpl w:val="7F123540"/>
    <w:lvl w:ilvl="0" w:tplc="0C090001">
      <w:start w:val="1"/>
      <w:numFmt w:val="bullet"/>
      <w:lvlText w:val=""/>
      <w:lvlJc w:val="left"/>
      <w:pPr>
        <w:ind w:left="72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E0FCA84A">
      <w:start w:val="4"/>
      <w:numFmt w:val="bullet"/>
      <w:lvlText w:val="-"/>
      <w:lvlJc w:val="left"/>
      <w:pPr>
        <w:ind w:left="1440" w:hanging="360"/>
      </w:pPr>
      <w:rPr>
        <w:rFonts w:ascii="Calibri" w:eastAsiaTheme="minorHAnsi" w:hAnsi="Calibri" w:cstheme="minorBid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7FC4581"/>
    <w:multiLevelType w:val="multilevel"/>
    <w:tmpl w:val="643E3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8A1E64"/>
    <w:multiLevelType w:val="hybridMultilevel"/>
    <w:tmpl w:val="5066D5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8BE55FF"/>
    <w:multiLevelType w:val="hybridMultilevel"/>
    <w:tmpl w:val="D80CE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A6706EB"/>
    <w:multiLevelType w:val="hybridMultilevel"/>
    <w:tmpl w:val="2D3824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B705023"/>
    <w:multiLevelType w:val="hybridMultilevel"/>
    <w:tmpl w:val="4EB038E0"/>
    <w:lvl w:ilvl="0" w:tplc="C34A9F22">
      <w:start w:val="5"/>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2B798C"/>
    <w:multiLevelType w:val="hybridMultilevel"/>
    <w:tmpl w:val="69042CAC"/>
    <w:lvl w:ilvl="0" w:tplc="A120C8FE">
      <w:start w:val="1"/>
      <w:numFmt w:val="bullet"/>
      <w:lvlText w:val=""/>
      <w:lvlJc w:val="left"/>
      <w:pPr>
        <w:ind w:left="68" w:hanging="360"/>
      </w:pPr>
      <w:rPr>
        <w:rFonts w:ascii="Symbol" w:hAnsi="Symbol" w:hint="default"/>
        <w:color w:val="auto"/>
        <w:sz w:val="24"/>
      </w:rPr>
    </w:lvl>
    <w:lvl w:ilvl="1" w:tplc="0C090003">
      <w:start w:val="1"/>
      <w:numFmt w:val="bullet"/>
      <w:lvlText w:val="o"/>
      <w:lvlJc w:val="left"/>
      <w:pPr>
        <w:ind w:left="788" w:hanging="360"/>
      </w:pPr>
      <w:rPr>
        <w:rFonts w:ascii="Courier New" w:hAnsi="Courier New" w:cs="Courier New" w:hint="default"/>
      </w:rPr>
    </w:lvl>
    <w:lvl w:ilvl="2" w:tplc="0C090005">
      <w:start w:val="1"/>
      <w:numFmt w:val="bullet"/>
      <w:lvlText w:val=""/>
      <w:lvlJc w:val="left"/>
      <w:pPr>
        <w:ind w:left="1508" w:hanging="360"/>
      </w:pPr>
      <w:rPr>
        <w:rFonts w:ascii="Wingdings" w:hAnsi="Wingdings" w:hint="default"/>
      </w:rPr>
    </w:lvl>
    <w:lvl w:ilvl="3" w:tplc="0C090001" w:tentative="1">
      <w:start w:val="1"/>
      <w:numFmt w:val="bullet"/>
      <w:lvlText w:val=""/>
      <w:lvlJc w:val="left"/>
      <w:pPr>
        <w:ind w:left="2228" w:hanging="360"/>
      </w:pPr>
      <w:rPr>
        <w:rFonts w:ascii="Symbol" w:hAnsi="Symbol" w:hint="default"/>
      </w:rPr>
    </w:lvl>
    <w:lvl w:ilvl="4" w:tplc="0C090003" w:tentative="1">
      <w:start w:val="1"/>
      <w:numFmt w:val="bullet"/>
      <w:lvlText w:val="o"/>
      <w:lvlJc w:val="left"/>
      <w:pPr>
        <w:ind w:left="2948" w:hanging="360"/>
      </w:pPr>
      <w:rPr>
        <w:rFonts w:ascii="Courier New" w:hAnsi="Courier New" w:cs="Courier New" w:hint="default"/>
      </w:rPr>
    </w:lvl>
    <w:lvl w:ilvl="5" w:tplc="0C090005" w:tentative="1">
      <w:start w:val="1"/>
      <w:numFmt w:val="bullet"/>
      <w:lvlText w:val=""/>
      <w:lvlJc w:val="left"/>
      <w:pPr>
        <w:ind w:left="3668" w:hanging="360"/>
      </w:pPr>
      <w:rPr>
        <w:rFonts w:ascii="Wingdings" w:hAnsi="Wingdings" w:hint="default"/>
      </w:rPr>
    </w:lvl>
    <w:lvl w:ilvl="6" w:tplc="0C090001" w:tentative="1">
      <w:start w:val="1"/>
      <w:numFmt w:val="bullet"/>
      <w:lvlText w:val=""/>
      <w:lvlJc w:val="left"/>
      <w:pPr>
        <w:ind w:left="4388" w:hanging="360"/>
      </w:pPr>
      <w:rPr>
        <w:rFonts w:ascii="Symbol" w:hAnsi="Symbol" w:hint="default"/>
      </w:rPr>
    </w:lvl>
    <w:lvl w:ilvl="7" w:tplc="0C090003" w:tentative="1">
      <w:start w:val="1"/>
      <w:numFmt w:val="bullet"/>
      <w:lvlText w:val="o"/>
      <w:lvlJc w:val="left"/>
      <w:pPr>
        <w:ind w:left="5108" w:hanging="360"/>
      </w:pPr>
      <w:rPr>
        <w:rFonts w:ascii="Courier New" w:hAnsi="Courier New" w:cs="Courier New" w:hint="default"/>
      </w:rPr>
    </w:lvl>
    <w:lvl w:ilvl="8" w:tplc="0C090005" w:tentative="1">
      <w:start w:val="1"/>
      <w:numFmt w:val="bullet"/>
      <w:lvlText w:val=""/>
      <w:lvlJc w:val="left"/>
      <w:pPr>
        <w:ind w:left="5828" w:hanging="360"/>
      </w:pPr>
      <w:rPr>
        <w:rFonts w:ascii="Wingdings" w:hAnsi="Wingdings" w:hint="default"/>
      </w:rPr>
    </w:lvl>
  </w:abstractNum>
  <w:abstractNum w:abstractNumId="19" w15:restartNumberingAfterBreak="0">
    <w:nsid w:val="26595458"/>
    <w:multiLevelType w:val="hybridMultilevel"/>
    <w:tmpl w:val="2F2297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65F4FAA"/>
    <w:multiLevelType w:val="hybridMultilevel"/>
    <w:tmpl w:val="0390F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9485F61"/>
    <w:multiLevelType w:val="hybridMultilevel"/>
    <w:tmpl w:val="9B4C5B32"/>
    <w:lvl w:ilvl="0" w:tplc="076C1DEC">
      <w:start w:val="1"/>
      <w:numFmt w:val="bullet"/>
      <w:lvlText w:val="•"/>
      <w:lvlJc w:val="left"/>
      <w:pPr>
        <w:tabs>
          <w:tab w:val="num" w:pos="720"/>
        </w:tabs>
        <w:ind w:left="720" w:hanging="360"/>
      </w:pPr>
      <w:rPr>
        <w:rFonts w:ascii="Arial" w:hAnsi="Arial" w:cs="Times New Roman" w:hint="default"/>
      </w:rPr>
    </w:lvl>
    <w:lvl w:ilvl="1" w:tplc="6048264A">
      <w:start w:val="1"/>
      <w:numFmt w:val="bullet"/>
      <w:lvlText w:val="•"/>
      <w:lvlJc w:val="left"/>
      <w:pPr>
        <w:tabs>
          <w:tab w:val="num" w:pos="1440"/>
        </w:tabs>
        <w:ind w:left="1440" w:hanging="360"/>
      </w:pPr>
      <w:rPr>
        <w:rFonts w:ascii="Arial" w:hAnsi="Arial" w:cs="Times New Roman" w:hint="default"/>
      </w:rPr>
    </w:lvl>
    <w:lvl w:ilvl="2" w:tplc="72D0F702">
      <w:start w:val="1"/>
      <w:numFmt w:val="bullet"/>
      <w:lvlText w:val="•"/>
      <w:lvlJc w:val="left"/>
      <w:pPr>
        <w:tabs>
          <w:tab w:val="num" w:pos="2160"/>
        </w:tabs>
        <w:ind w:left="2160" w:hanging="360"/>
      </w:pPr>
      <w:rPr>
        <w:rFonts w:ascii="Arial" w:hAnsi="Arial" w:cs="Times New Roman" w:hint="default"/>
      </w:rPr>
    </w:lvl>
    <w:lvl w:ilvl="3" w:tplc="A730592C">
      <w:start w:val="1"/>
      <w:numFmt w:val="bullet"/>
      <w:lvlText w:val="•"/>
      <w:lvlJc w:val="left"/>
      <w:pPr>
        <w:tabs>
          <w:tab w:val="num" w:pos="2880"/>
        </w:tabs>
        <w:ind w:left="2880" w:hanging="360"/>
      </w:pPr>
      <w:rPr>
        <w:rFonts w:ascii="Arial" w:hAnsi="Arial" w:cs="Times New Roman" w:hint="default"/>
      </w:rPr>
    </w:lvl>
    <w:lvl w:ilvl="4" w:tplc="3FFAEEFC">
      <w:start w:val="1"/>
      <w:numFmt w:val="bullet"/>
      <w:lvlText w:val="•"/>
      <w:lvlJc w:val="left"/>
      <w:pPr>
        <w:tabs>
          <w:tab w:val="num" w:pos="3600"/>
        </w:tabs>
        <w:ind w:left="3600" w:hanging="360"/>
      </w:pPr>
      <w:rPr>
        <w:rFonts w:ascii="Arial" w:hAnsi="Arial" w:cs="Times New Roman" w:hint="default"/>
      </w:rPr>
    </w:lvl>
    <w:lvl w:ilvl="5" w:tplc="D8A4954A">
      <w:start w:val="1"/>
      <w:numFmt w:val="bullet"/>
      <w:lvlText w:val="•"/>
      <w:lvlJc w:val="left"/>
      <w:pPr>
        <w:tabs>
          <w:tab w:val="num" w:pos="4320"/>
        </w:tabs>
        <w:ind w:left="4320" w:hanging="360"/>
      </w:pPr>
      <w:rPr>
        <w:rFonts w:ascii="Arial" w:hAnsi="Arial" w:cs="Times New Roman" w:hint="default"/>
      </w:rPr>
    </w:lvl>
    <w:lvl w:ilvl="6" w:tplc="DDAC9234">
      <w:start w:val="1"/>
      <w:numFmt w:val="bullet"/>
      <w:lvlText w:val="•"/>
      <w:lvlJc w:val="left"/>
      <w:pPr>
        <w:tabs>
          <w:tab w:val="num" w:pos="5040"/>
        </w:tabs>
        <w:ind w:left="5040" w:hanging="360"/>
      </w:pPr>
      <w:rPr>
        <w:rFonts w:ascii="Arial" w:hAnsi="Arial" w:cs="Times New Roman" w:hint="default"/>
      </w:rPr>
    </w:lvl>
    <w:lvl w:ilvl="7" w:tplc="5C54648C">
      <w:start w:val="1"/>
      <w:numFmt w:val="bullet"/>
      <w:lvlText w:val="•"/>
      <w:lvlJc w:val="left"/>
      <w:pPr>
        <w:tabs>
          <w:tab w:val="num" w:pos="5760"/>
        </w:tabs>
        <w:ind w:left="5760" w:hanging="360"/>
      </w:pPr>
      <w:rPr>
        <w:rFonts w:ascii="Arial" w:hAnsi="Arial" w:cs="Times New Roman" w:hint="default"/>
      </w:rPr>
    </w:lvl>
    <w:lvl w:ilvl="8" w:tplc="C15C717A">
      <w:start w:val="1"/>
      <w:numFmt w:val="bullet"/>
      <w:lvlText w:val="•"/>
      <w:lvlJc w:val="left"/>
      <w:pPr>
        <w:tabs>
          <w:tab w:val="num" w:pos="6480"/>
        </w:tabs>
        <w:ind w:left="6480" w:hanging="360"/>
      </w:pPr>
      <w:rPr>
        <w:rFonts w:ascii="Arial" w:hAnsi="Arial" w:cs="Times New Roman" w:hint="default"/>
      </w:rPr>
    </w:lvl>
  </w:abstractNum>
  <w:abstractNum w:abstractNumId="22" w15:restartNumberingAfterBreak="0">
    <w:nsid w:val="2BB73F43"/>
    <w:multiLevelType w:val="hybridMultilevel"/>
    <w:tmpl w:val="5EB25BE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3156EC1"/>
    <w:multiLevelType w:val="hybridMultilevel"/>
    <w:tmpl w:val="6EE4B0D6"/>
    <w:lvl w:ilvl="0" w:tplc="C34A9F22">
      <w:start w:val="5"/>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75044B"/>
    <w:multiLevelType w:val="hybridMultilevel"/>
    <w:tmpl w:val="C1CAF6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7200075"/>
    <w:multiLevelType w:val="multilevel"/>
    <w:tmpl w:val="7346BAA2"/>
    <w:numStyleLink w:val="BulletsList"/>
  </w:abstractNum>
  <w:abstractNum w:abstractNumId="26" w15:restartNumberingAfterBreak="0">
    <w:nsid w:val="37446C4A"/>
    <w:multiLevelType w:val="hybridMultilevel"/>
    <w:tmpl w:val="4FE476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85E2AAD"/>
    <w:multiLevelType w:val="hybridMultilevel"/>
    <w:tmpl w:val="898A1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8FA093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94C53C9"/>
    <w:multiLevelType w:val="hybridMultilevel"/>
    <w:tmpl w:val="2482E7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C100317"/>
    <w:multiLevelType w:val="hybridMultilevel"/>
    <w:tmpl w:val="B5865DE0"/>
    <w:lvl w:ilvl="0" w:tplc="B9BA9B4E">
      <w:start w:val="28"/>
      <w:numFmt w:val="bullet"/>
      <w:lvlText w:val="-"/>
      <w:lvlJc w:val="left"/>
      <w:pPr>
        <w:ind w:left="773" w:hanging="360"/>
      </w:pPr>
      <w:rPr>
        <w:rFonts w:ascii="Times New Roman" w:eastAsia="Times New Roman" w:hAnsi="Times New Roman" w:cs="Times New Roman" w:hint="default"/>
        <w:b w:val="0"/>
        <w:color w:val="auto"/>
      </w:rPr>
    </w:lvl>
    <w:lvl w:ilvl="1" w:tplc="0C090019">
      <w:start w:val="1"/>
      <w:numFmt w:val="lowerLetter"/>
      <w:lvlText w:val="%2."/>
      <w:lvlJc w:val="left"/>
      <w:pPr>
        <w:ind w:left="1493" w:hanging="360"/>
      </w:pPr>
    </w:lvl>
    <w:lvl w:ilvl="2" w:tplc="0C09001B" w:tentative="1">
      <w:start w:val="1"/>
      <w:numFmt w:val="lowerRoman"/>
      <w:lvlText w:val="%3."/>
      <w:lvlJc w:val="right"/>
      <w:pPr>
        <w:ind w:left="2213" w:hanging="180"/>
      </w:pPr>
    </w:lvl>
    <w:lvl w:ilvl="3" w:tplc="0C09000F" w:tentative="1">
      <w:start w:val="1"/>
      <w:numFmt w:val="decimal"/>
      <w:lvlText w:val="%4."/>
      <w:lvlJc w:val="left"/>
      <w:pPr>
        <w:ind w:left="2933" w:hanging="360"/>
      </w:pPr>
    </w:lvl>
    <w:lvl w:ilvl="4" w:tplc="0C090019" w:tentative="1">
      <w:start w:val="1"/>
      <w:numFmt w:val="lowerLetter"/>
      <w:lvlText w:val="%5."/>
      <w:lvlJc w:val="left"/>
      <w:pPr>
        <w:ind w:left="3653" w:hanging="360"/>
      </w:pPr>
    </w:lvl>
    <w:lvl w:ilvl="5" w:tplc="0C09001B" w:tentative="1">
      <w:start w:val="1"/>
      <w:numFmt w:val="lowerRoman"/>
      <w:lvlText w:val="%6."/>
      <w:lvlJc w:val="right"/>
      <w:pPr>
        <w:ind w:left="4373" w:hanging="180"/>
      </w:pPr>
    </w:lvl>
    <w:lvl w:ilvl="6" w:tplc="0C09000F" w:tentative="1">
      <w:start w:val="1"/>
      <w:numFmt w:val="decimal"/>
      <w:lvlText w:val="%7."/>
      <w:lvlJc w:val="left"/>
      <w:pPr>
        <w:ind w:left="5093" w:hanging="360"/>
      </w:pPr>
    </w:lvl>
    <w:lvl w:ilvl="7" w:tplc="0C090019" w:tentative="1">
      <w:start w:val="1"/>
      <w:numFmt w:val="lowerLetter"/>
      <w:lvlText w:val="%8."/>
      <w:lvlJc w:val="left"/>
      <w:pPr>
        <w:ind w:left="5813" w:hanging="360"/>
      </w:pPr>
    </w:lvl>
    <w:lvl w:ilvl="8" w:tplc="0C09001B" w:tentative="1">
      <w:start w:val="1"/>
      <w:numFmt w:val="lowerRoman"/>
      <w:lvlText w:val="%9."/>
      <w:lvlJc w:val="right"/>
      <w:pPr>
        <w:ind w:left="6533" w:hanging="180"/>
      </w:pPr>
    </w:lvl>
  </w:abstractNum>
  <w:abstractNum w:abstractNumId="31" w15:restartNumberingAfterBreak="0">
    <w:nsid w:val="3FA2657A"/>
    <w:multiLevelType w:val="hybridMultilevel"/>
    <w:tmpl w:val="07521634"/>
    <w:lvl w:ilvl="0" w:tplc="0C090001">
      <w:start w:val="1"/>
      <w:numFmt w:val="bullet"/>
      <w:lvlText w:val=""/>
      <w:lvlJc w:val="left"/>
      <w:pPr>
        <w:ind w:left="720" w:hanging="360"/>
      </w:pPr>
      <w:rPr>
        <w:rFonts w:ascii="Symbol" w:hAnsi="Symbol" w:hint="default"/>
      </w:rPr>
    </w:lvl>
    <w:lvl w:ilvl="1" w:tplc="0DCA7512">
      <w:start w:val="1"/>
      <w:numFmt w:val="lowerLetter"/>
      <w:lvlText w:val="%2."/>
      <w:lvlJc w:val="left"/>
      <w:pPr>
        <w:ind w:left="1800" w:hanging="720"/>
      </w:pPr>
    </w:lvl>
    <w:lvl w:ilvl="2" w:tplc="0C09001B">
      <w:start w:val="1"/>
      <w:numFmt w:val="lowerRoman"/>
      <w:lvlText w:val="%3."/>
      <w:lvlJc w:val="right"/>
      <w:pPr>
        <w:ind w:left="2160" w:hanging="180"/>
      </w:pPr>
    </w:lvl>
    <w:lvl w:ilvl="3" w:tplc="43C8B1CC">
      <w:start w:val="1"/>
      <w:numFmt w:val="decimal"/>
      <w:lvlText w:val="%4."/>
      <w:lvlJc w:val="left"/>
      <w:pPr>
        <w:ind w:left="360" w:hanging="360"/>
      </w:pPr>
      <w:rPr>
        <w:i w:val="0"/>
        <w:iCs/>
      </w:r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2" w15:restartNumberingAfterBreak="0">
    <w:nsid w:val="41192715"/>
    <w:multiLevelType w:val="hybridMultilevel"/>
    <w:tmpl w:val="22F4560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41366F8C"/>
    <w:multiLevelType w:val="hybridMultilevel"/>
    <w:tmpl w:val="4B94FB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26B438A"/>
    <w:multiLevelType w:val="hybridMultilevel"/>
    <w:tmpl w:val="D92E36AC"/>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8C2713E"/>
    <w:multiLevelType w:val="hybridMultilevel"/>
    <w:tmpl w:val="4A5C2682"/>
    <w:lvl w:ilvl="0" w:tplc="0C09000F">
      <w:start w:val="1"/>
      <w:numFmt w:val="decimal"/>
      <w:lvlText w:val="%1."/>
      <w:lvlJc w:val="left"/>
      <w:pPr>
        <w:ind w:left="765" w:hanging="360"/>
      </w:pPr>
    </w:lvl>
    <w:lvl w:ilvl="1" w:tplc="0C090019">
      <w:start w:val="1"/>
      <w:numFmt w:val="lowerLetter"/>
      <w:lvlText w:val="%2."/>
      <w:lvlJc w:val="left"/>
      <w:pPr>
        <w:ind w:left="1485" w:hanging="360"/>
      </w:pPr>
    </w:lvl>
    <w:lvl w:ilvl="2" w:tplc="0C09001B">
      <w:start w:val="1"/>
      <w:numFmt w:val="lowerRoman"/>
      <w:lvlText w:val="%3."/>
      <w:lvlJc w:val="right"/>
      <w:pPr>
        <w:ind w:left="2205" w:hanging="180"/>
      </w:pPr>
    </w:lvl>
    <w:lvl w:ilvl="3" w:tplc="0C09000F">
      <w:start w:val="1"/>
      <w:numFmt w:val="decimal"/>
      <w:lvlText w:val="%4."/>
      <w:lvlJc w:val="left"/>
      <w:pPr>
        <w:ind w:left="2925" w:hanging="360"/>
      </w:pPr>
    </w:lvl>
    <w:lvl w:ilvl="4" w:tplc="0C090019">
      <w:start w:val="1"/>
      <w:numFmt w:val="lowerLetter"/>
      <w:lvlText w:val="%5."/>
      <w:lvlJc w:val="left"/>
      <w:pPr>
        <w:ind w:left="3645" w:hanging="360"/>
      </w:pPr>
    </w:lvl>
    <w:lvl w:ilvl="5" w:tplc="0C09001B">
      <w:start w:val="1"/>
      <w:numFmt w:val="lowerRoman"/>
      <w:lvlText w:val="%6."/>
      <w:lvlJc w:val="right"/>
      <w:pPr>
        <w:ind w:left="4365" w:hanging="180"/>
      </w:pPr>
    </w:lvl>
    <w:lvl w:ilvl="6" w:tplc="0C09000F">
      <w:start w:val="1"/>
      <w:numFmt w:val="decimal"/>
      <w:lvlText w:val="%7."/>
      <w:lvlJc w:val="left"/>
      <w:pPr>
        <w:ind w:left="5085" w:hanging="360"/>
      </w:pPr>
    </w:lvl>
    <w:lvl w:ilvl="7" w:tplc="0C090019">
      <w:start w:val="1"/>
      <w:numFmt w:val="lowerLetter"/>
      <w:lvlText w:val="%8."/>
      <w:lvlJc w:val="left"/>
      <w:pPr>
        <w:ind w:left="5805" w:hanging="360"/>
      </w:pPr>
    </w:lvl>
    <w:lvl w:ilvl="8" w:tplc="0C09001B">
      <w:start w:val="1"/>
      <w:numFmt w:val="lowerRoman"/>
      <w:lvlText w:val="%9."/>
      <w:lvlJc w:val="right"/>
      <w:pPr>
        <w:ind w:left="6525" w:hanging="180"/>
      </w:pPr>
    </w:lvl>
  </w:abstractNum>
  <w:abstractNum w:abstractNumId="36" w15:restartNumberingAfterBreak="0">
    <w:nsid w:val="4AD520F8"/>
    <w:multiLevelType w:val="hybridMultilevel"/>
    <w:tmpl w:val="1466EA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4B8A3A58"/>
    <w:multiLevelType w:val="hybridMultilevel"/>
    <w:tmpl w:val="1FAA31D4"/>
    <w:lvl w:ilvl="0" w:tplc="04090001">
      <w:start w:val="1"/>
      <w:numFmt w:val="bullet"/>
      <w:lvlText w:val=""/>
      <w:lvlJc w:val="left"/>
      <w:pPr>
        <w:ind w:left="769"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CEE017B"/>
    <w:multiLevelType w:val="hybridMultilevel"/>
    <w:tmpl w:val="F84AF332"/>
    <w:lvl w:ilvl="0" w:tplc="0C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EE863D4"/>
    <w:multiLevelType w:val="hybridMultilevel"/>
    <w:tmpl w:val="392476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4F0C375B"/>
    <w:multiLevelType w:val="hybridMultilevel"/>
    <w:tmpl w:val="BE74F6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23217D7"/>
    <w:multiLevelType w:val="hybridMultilevel"/>
    <w:tmpl w:val="ADE25A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46A20F0"/>
    <w:multiLevelType w:val="hybridMultilevel"/>
    <w:tmpl w:val="A7420D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479707B"/>
    <w:multiLevelType w:val="hybridMultilevel"/>
    <w:tmpl w:val="02DE5A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52E0431"/>
    <w:multiLevelType w:val="hybridMultilevel"/>
    <w:tmpl w:val="FA58C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7AD4B7D"/>
    <w:multiLevelType w:val="hybridMultilevel"/>
    <w:tmpl w:val="5F0CD20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46" w15:restartNumberingAfterBreak="0">
    <w:nsid w:val="59F718ED"/>
    <w:multiLevelType w:val="hybridMultilevel"/>
    <w:tmpl w:val="FA0E8E0E"/>
    <w:lvl w:ilvl="0" w:tplc="0C09000F">
      <w:start w:val="1"/>
      <w:numFmt w:val="decimal"/>
      <w:lvlText w:val="%1."/>
      <w:lvlJc w:val="left"/>
      <w:pPr>
        <w:ind w:left="720" w:hanging="360"/>
      </w:pPr>
      <w:rPr>
        <w:rFonts w:hint="default"/>
      </w:rPr>
    </w:lvl>
    <w:lvl w:ilvl="1" w:tplc="828CB298">
      <w:start w:val="1"/>
      <w:numFmt w:val="bullet"/>
      <w:lvlText w:val="-"/>
      <w:lvlJc w:val="left"/>
      <w:pPr>
        <w:ind w:left="1440" w:hanging="360"/>
      </w:pPr>
      <w:rPr>
        <w:rFonts w:ascii="Times New Roman" w:hAnsi="Times New Roman" w:cs="Times New Roman"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E1B78F8"/>
    <w:multiLevelType w:val="hybridMultilevel"/>
    <w:tmpl w:val="3790EA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E9A01E7"/>
    <w:multiLevelType w:val="hybridMultilevel"/>
    <w:tmpl w:val="343E9E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14F582F"/>
    <w:multiLevelType w:val="hybridMultilevel"/>
    <w:tmpl w:val="A79A59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21D409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5BD5467"/>
    <w:multiLevelType w:val="hybridMultilevel"/>
    <w:tmpl w:val="27EE272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52" w15:restartNumberingAfterBreak="0">
    <w:nsid w:val="6921580E"/>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0B2237B"/>
    <w:multiLevelType w:val="hybridMultilevel"/>
    <w:tmpl w:val="1E54FE40"/>
    <w:lvl w:ilvl="0" w:tplc="DD56A798">
      <w:numFmt w:val="bullet"/>
      <w:lvlText w:val="-"/>
      <w:lvlJc w:val="left"/>
      <w:pPr>
        <w:ind w:left="720" w:hanging="360"/>
      </w:pPr>
      <w:rPr>
        <w:rFonts w:ascii="CIDFont+F5" w:eastAsiaTheme="minorHAnsi" w:hAnsi="CIDFont+F5" w:cs="CIDFont+F5"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2D073F1"/>
    <w:multiLevelType w:val="hybridMultilevel"/>
    <w:tmpl w:val="281616C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15:restartNumberingAfterBreak="0">
    <w:nsid w:val="73107305"/>
    <w:multiLevelType w:val="multilevel"/>
    <w:tmpl w:val="7346BAA2"/>
    <w:styleLink w:val="BulletsList"/>
    <w:lvl w:ilvl="0">
      <w:start w:val="1"/>
      <w:numFmt w:val="bullet"/>
      <w:pStyle w:val="Bullet1"/>
      <w:lvlText w:val=""/>
      <w:lvlJc w:val="left"/>
      <w:pPr>
        <w:tabs>
          <w:tab w:val="num" w:pos="284"/>
        </w:tabs>
        <w:ind w:left="284" w:hanging="284"/>
      </w:pPr>
      <w:rPr>
        <w:rFonts w:ascii="Symbol" w:hAnsi="Symbol" w:hint="default"/>
      </w:rPr>
    </w:lvl>
    <w:lvl w:ilvl="1">
      <w:start w:val="1"/>
      <w:numFmt w:val="bullet"/>
      <w:pStyle w:val="Bullet2"/>
      <w:lvlText w:val="–"/>
      <w:lvlJc w:val="left"/>
      <w:pPr>
        <w:tabs>
          <w:tab w:val="num" w:pos="568"/>
        </w:tabs>
        <w:ind w:left="568" w:hanging="284"/>
      </w:pPr>
      <w:rPr>
        <w:rFonts w:ascii="Arial" w:hAnsi="Arial" w:hint="default"/>
      </w:rPr>
    </w:lvl>
    <w:lvl w:ilvl="2">
      <w:start w:val="1"/>
      <w:numFmt w:val="bullet"/>
      <w:pStyle w:val="Bullet3"/>
      <w:lvlText w:val="»"/>
      <w:lvlJc w:val="left"/>
      <w:pPr>
        <w:tabs>
          <w:tab w:val="num" w:pos="852"/>
        </w:tabs>
        <w:ind w:left="852" w:hanging="284"/>
      </w:pPr>
      <w:rPr>
        <w:rFonts w:ascii="Arial" w:hAnsi="Arial" w:hint="default"/>
      </w:rPr>
    </w:lvl>
    <w:lvl w:ilvl="3">
      <w:start w:val="1"/>
      <w:numFmt w:val="decimal"/>
      <w:lvlText w:val="(%4)"/>
      <w:lvlJc w:val="left"/>
      <w:pPr>
        <w:tabs>
          <w:tab w:val="num" w:pos="1136"/>
        </w:tabs>
        <w:ind w:left="1136" w:hanging="284"/>
      </w:pPr>
      <w:rPr>
        <w:rFonts w:hint="default"/>
      </w:rPr>
    </w:lvl>
    <w:lvl w:ilvl="4">
      <w:start w:val="1"/>
      <w:numFmt w:val="lowerLetter"/>
      <w:lvlText w:val="(%5)"/>
      <w:lvlJc w:val="left"/>
      <w:pPr>
        <w:tabs>
          <w:tab w:val="num" w:pos="1420"/>
        </w:tabs>
        <w:ind w:left="1420" w:hanging="284"/>
      </w:pPr>
      <w:rPr>
        <w:rFonts w:hint="default"/>
      </w:rPr>
    </w:lvl>
    <w:lvl w:ilvl="5">
      <w:start w:val="1"/>
      <w:numFmt w:val="lowerRoman"/>
      <w:lvlText w:val="(%6)"/>
      <w:lvlJc w:val="left"/>
      <w:pPr>
        <w:tabs>
          <w:tab w:val="num" w:pos="1704"/>
        </w:tabs>
        <w:ind w:left="1704" w:hanging="284"/>
      </w:pPr>
      <w:rPr>
        <w:rFonts w:hint="default"/>
      </w:rPr>
    </w:lvl>
    <w:lvl w:ilvl="6">
      <w:start w:val="1"/>
      <w:numFmt w:val="decimal"/>
      <w:lvlText w:val="%7."/>
      <w:lvlJc w:val="left"/>
      <w:pPr>
        <w:tabs>
          <w:tab w:val="num" w:pos="1988"/>
        </w:tabs>
        <w:ind w:left="1988" w:hanging="284"/>
      </w:pPr>
      <w:rPr>
        <w:rFonts w:hint="default"/>
      </w:rPr>
    </w:lvl>
    <w:lvl w:ilvl="7">
      <w:start w:val="1"/>
      <w:numFmt w:val="lowerLetter"/>
      <w:lvlText w:val="%8."/>
      <w:lvlJc w:val="left"/>
      <w:pPr>
        <w:tabs>
          <w:tab w:val="num" w:pos="2272"/>
        </w:tabs>
        <w:ind w:left="2272" w:hanging="284"/>
      </w:pPr>
      <w:rPr>
        <w:rFonts w:hint="default"/>
      </w:rPr>
    </w:lvl>
    <w:lvl w:ilvl="8">
      <w:start w:val="1"/>
      <w:numFmt w:val="lowerRoman"/>
      <w:lvlText w:val="%9."/>
      <w:lvlJc w:val="left"/>
      <w:pPr>
        <w:tabs>
          <w:tab w:val="num" w:pos="2556"/>
        </w:tabs>
        <w:ind w:left="2556" w:hanging="284"/>
      </w:pPr>
      <w:rPr>
        <w:rFonts w:hint="default"/>
      </w:rPr>
    </w:lvl>
  </w:abstractNum>
  <w:abstractNum w:abstractNumId="56" w15:restartNumberingAfterBreak="0">
    <w:nsid w:val="73294E4E"/>
    <w:multiLevelType w:val="hybridMultilevel"/>
    <w:tmpl w:val="77A45676"/>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7" w15:restartNumberingAfterBreak="0">
    <w:nsid w:val="751D2FD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9BF6621"/>
    <w:multiLevelType w:val="hybridMultilevel"/>
    <w:tmpl w:val="08B092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7AB552AB"/>
    <w:multiLevelType w:val="hybridMultilevel"/>
    <w:tmpl w:val="4688441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0" w15:restartNumberingAfterBreak="0">
    <w:nsid w:val="7C5B7CB0"/>
    <w:multiLevelType w:val="hybridMultilevel"/>
    <w:tmpl w:val="807C9F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DA738D0"/>
    <w:multiLevelType w:val="hybridMultilevel"/>
    <w:tmpl w:val="956007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7DDF33D3"/>
    <w:multiLevelType w:val="hybridMultilevel"/>
    <w:tmpl w:val="10BC4D4C"/>
    <w:lvl w:ilvl="0" w:tplc="8F1CB3E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7EEB625B"/>
    <w:multiLevelType w:val="hybridMultilevel"/>
    <w:tmpl w:val="0B68196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39"/>
  </w:num>
  <w:num w:numId="2">
    <w:abstractNumId w:val="52"/>
  </w:num>
  <w:num w:numId="3">
    <w:abstractNumId w:val="7"/>
  </w:num>
  <w:num w:numId="4">
    <w:abstractNumId w:val="6"/>
  </w:num>
  <w:num w:numId="5">
    <w:abstractNumId w:val="18"/>
  </w:num>
  <w:num w:numId="6">
    <w:abstractNumId w:val="30"/>
  </w:num>
  <w:num w:numId="7">
    <w:abstractNumId w:val="5"/>
  </w:num>
  <w:num w:numId="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3"/>
  </w:num>
  <w:num w:numId="10">
    <w:abstractNumId w:val="34"/>
  </w:num>
  <w:num w:numId="11">
    <w:abstractNumId w:val="22"/>
  </w:num>
  <w:num w:numId="12">
    <w:abstractNumId w:val="4"/>
  </w:num>
  <w:num w:numId="13">
    <w:abstractNumId w:val="15"/>
  </w:num>
  <w:num w:numId="14">
    <w:abstractNumId w:val="37"/>
  </w:num>
  <w:num w:numId="15">
    <w:abstractNumId w:val="21"/>
  </w:num>
  <w:num w:numId="16">
    <w:abstractNumId w:val="8"/>
  </w:num>
  <w:num w:numId="17">
    <w:abstractNumId w:val="1"/>
  </w:num>
  <w:num w:numId="18">
    <w:abstractNumId w:val="55"/>
  </w:num>
  <w:num w:numId="19">
    <w:abstractNumId w:val="25"/>
  </w:num>
  <w:num w:numId="20">
    <w:abstractNumId w:val="14"/>
  </w:num>
  <w:num w:numId="21">
    <w:abstractNumId w:val="48"/>
  </w:num>
  <w:num w:numId="22">
    <w:abstractNumId w:val="49"/>
  </w:num>
  <w:num w:numId="23">
    <w:abstractNumId w:val="60"/>
  </w:num>
  <w:num w:numId="24">
    <w:abstractNumId w:val="42"/>
  </w:num>
  <w:num w:numId="25">
    <w:abstractNumId w:val="32"/>
  </w:num>
  <w:num w:numId="26">
    <w:abstractNumId w:val="33"/>
  </w:num>
  <w:num w:numId="27">
    <w:abstractNumId w:val="11"/>
  </w:num>
  <w:num w:numId="28">
    <w:abstractNumId w:val="46"/>
  </w:num>
  <w:num w:numId="29">
    <w:abstractNumId w:val="2"/>
  </w:num>
  <w:num w:numId="30">
    <w:abstractNumId w:val="19"/>
  </w:num>
  <w:num w:numId="31">
    <w:abstractNumId w:val="27"/>
  </w:num>
  <w:num w:numId="32">
    <w:abstractNumId w:val="10"/>
  </w:num>
  <w:num w:numId="33">
    <w:abstractNumId w:val="41"/>
  </w:num>
  <w:num w:numId="34">
    <w:abstractNumId w:val="43"/>
  </w:num>
  <w:num w:numId="35">
    <w:abstractNumId w:val="47"/>
  </w:num>
  <w:num w:numId="36">
    <w:abstractNumId w:val="26"/>
  </w:num>
  <w:num w:numId="37">
    <w:abstractNumId w:val="40"/>
  </w:num>
  <w:num w:numId="38">
    <w:abstractNumId w:val="12"/>
  </w:num>
  <w:num w:numId="39">
    <w:abstractNumId w:val="23"/>
  </w:num>
  <w:num w:numId="40">
    <w:abstractNumId w:val="0"/>
  </w:num>
  <w:num w:numId="41">
    <w:abstractNumId w:val="20"/>
  </w:num>
  <w:num w:numId="42">
    <w:abstractNumId w:val="45"/>
  </w:num>
  <w:num w:numId="43">
    <w:abstractNumId w:val="24"/>
  </w:num>
  <w:num w:numId="44">
    <w:abstractNumId w:val="3"/>
  </w:num>
  <w:num w:numId="45">
    <w:abstractNumId w:val="44"/>
  </w:num>
  <w:num w:numId="46">
    <w:abstractNumId w:val="9"/>
  </w:num>
  <w:num w:numId="47">
    <w:abstractNumId w:val="17"/>
  </w:num>
  <w:num w:numId="48">
    <w:abstractNumId w:val="38"/>
  </w:num>
  <w:num w:numId="49">
    <w:abstractNumId w:val="51"/>
  </w:num>
  <w:num w:numId="50">
    <w:abstractNumId w:val="56"/>
  </w:num>
  <w:num w:numId="51">
    <w:abstractNumId w:val="29"/>
  </w:num>
  <w:num w:numId="52">
    <w:abstractNumId w:val="36"/>
  </w:num>
  <w:num w:numId="5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7"/>
  </w:num>
  <w:num w:numId="56">
    <w:abstractNumId w:val="58"/>
  </w:num>
  <w:num w:numId="57">
    <w:abstractNumId w:val="62"/>
  </w:num>
  <w:num w:numId="58">
    <w:abstractNumId w:val="54"/>
  </w:num>
  <w:num w:numId="59">
    <w:abstractNumId w:val="57"/>
  </w:num>
  <w:num w:numId="60">
    <w:abstractNumId w:val="50"/>
  </w:num>
  <w:num w:numId="61">
    <w:abstractNumId w:val="28"/>
  </w:num>
  <w:num w:numId="62">
    <w:abstractNumId w:val="61"/>
  </w:num>
  <w:num w:numId="63">
    <w:abstractNumId w:val="59"/>
  </w:num>
  <w:num w:numId="64">
    <w:abstractNumId w:val="13"/>
  </w:num>
  <w:num w:numId="65">
    <w:abstractNumId w:val="16"/>
  </w:num>
  <w:num w:numId="66">
    <w:abstractNumId w:val="5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80E"/>
    <w:rsid w:val="00000F4F"/>
    <w:rsid w:val="00001788"/>
    <w:rsid w:val="000113EC"/>
    <w:rsid w:val="00011A3E"/>
    <w:rsid w:val="00017EAE"/>
    <w:rsid w:val="000211B9"/>
    <w:rsid w:val="000213FF"/>
    <w:rsid w:val="0002380A"/>
    <w:rsid w:val="00026A06"/>
    <w:rsid w:val="0003091F"/>
    <w:rsid w:val="00040191"/>
    <w:rsid w:val="00041AB9"/>
    <w:rsid w:val="0005060E"/>
    <w:rsid w:val="000506FA"/>
    <w:rsid w:val="00052E83"/>
    <w:rsid w:val="00054084"/>
    <w:rsid w:val="000571E1"/>
    <w:rsid w:val="00063554"/>
    <w:rsid w:val="000730E7"/>
    <w:rsid w:val="00085B09"/>
    <w:rsid w:val="00085CE2"/>
    <w:rsid w:val="00092ED7"/>
    <w:rsid w:val="00093BA5"/>
    <w:rsid w:val="000951EB"/>
    <w:rsid w:val="0009654B"/>
    <w:rsid w:val="000A018E"/>
    <w:rsid w:val="000A4E65"/>
    <w:rsid w:val="000B01C4"/>
    <w:rsid w:val="000B402A"/>
    <w:rsid w:val="000B63F4"/>
    <w:rsid w:val="000C0BCD"/>
    <w:rsid w:val="000C15EC"/>
    <w:rsid w:val="000C16DA"/>
    <w:rsid w:val="000C5839"/>
    <w:rsid w:val="000C6CB8"/>
    <w:rsid w:val="000D2E8F"/>
    <w:rsid w:val="000D4188"/>
    <w:rsid w:val="000E4CD7"/>
    <w:rsid w:val="000E63C8"/>
    <w:rsid w:val="00102E52"/>
    <w:rsid w:val="00105195"/>
    <w:rsid w:val="0011010A"/>
    <w:rsid w:val="001136C5"/>
    <w:rsid w:val="001218D8"/>
    <w:rsid w:val="00121E94"/>
    <w:rsid w:val="00134F70"/>
    <w:rsid w:val="00137E3E"/>
    <w:rsid w:val="00140895"/>
    <w:rsid w:val="00141B9E"/>
    <w:rsid w:val="0014268D"/>
    <w:rsid w:val="00144579"/>
    <w:rsid w:val="001458B4"/>
    <w:rsid w:val="00147B54"/>
    <w:rsid w:val="0015067D"/>
    <w:rsid w:val="00151ACC"/>
    <w:rsid w:val="00152BCF"/>
    <w:rsid w:val="00154C60"/>
    <w:rsid w:val="001577F3"/>
    <w:rsid w:val="00167A66"/>
    <w:rsid w:val="00167D84"/>
    <w:rsid w:val="00170639"/>
    <w:rsid w:val="001714A3"/>
    <w:rsid w:val="00171F5C"/>
    <w:rsid w:val="001730E2"/>
    <w:rsid w:val="0017337F"/>
    <w:rsid w:val="00175448"/>
    <w:rsid w:val="00175ECF"/>
    <w:rsid w:val="001769D9"/>
    <w:rsid w:val="00177D73"/>
    <w:rsid w:val="001801AF"/>
    <w:rsid w:val="00182F77"/>
    <w:rsid w:val="001836C0"/>
    <w:rsid w:val="00187474"/>
    <w:rsid w:val="00194452"/>
    <w:rsid w:val="00195420"/>
    <w:rsid w:val="00197630"/>
    <w:rsid w:val="001A3ED0"/>
    <w:rsid w:val="001A44A3"/>
    <w:rsid w:val="001A7196"/>
    <w:rsid w:val="001A7B26"/>
    <w:rsid w:val="001A7BAA"/>
    <w:rsid w:val="001B586A"/>
    <w:rsid w:val="001B7BD4"/>
    <w:rsid w:val="001C0CF5"/>
    <w:rsid w:val="001C2B91"/>
    <w:rsid w:val="001C7F47"/>
    <w:rsid w:val="001D5401"/>
    <w:rsid w:val="001D5DE1"/>
    <w:rsid w:val="001D6205"/>
    <w:rsid w:val="001D6792"/>
    <w:rsid w:val="001D6BDC"/>
    <w:rsid w:val="001E19E2"/>
    <w:rsid w:val="001E4D95"/>
    <w:rsid w:val="001F56BD"/>
    <w:rsid w:val="001F5AF8"/>
    <w:rsid w:val="002020B7"/>
    <w:rsid w:val="0020514F"/>
    <w:rsid w:val="00206ADB"/>
    <w:rsid w:val="00206F4A"/>
    <w:rsid w:val="00212319"/>
    <w:rsid w:val="00212A56"/>
    <w:rsid w:val="002133DB"/>
    <w:rsid w:val="00216ED2"/>
    <w:rsid w:val="0022708C"/>
    <w:rsid w:val="002323A5"/>
    <w:rsid w:val="0023298B"/>
    <w:rsid w:val="00235AF4"/>
    <w:rsid w:val="00242CD1"/>
    <w:rsid w:val="00242FA2"/>
    <w:rsid w:val="00251A6D"/>
    <w:rsid w:val="00253EC6"/>
    <w:rsid w:val="00262CF4"/>
    <w:rsid w:val="00267332"/>
    <w:rsid w:val="00271C5C"/>
    <w:rsid w:val="002726CD"/>
    <w:rsid w:val="002739C9"/>
    <w:rsid w:val="00273FDC"/>
    <w:rsid w:val="00276BC9"/>
    <w:rsid w:val="00284F61"/>
    <w:rsid w:val="00292455"/>
    <w:rsid w:val="00297766"/>
    <w:rsid w:val="002A0A3B"/>
    <w:rsid w:val="002A29D9"/>
    <w:rsid w:val="002A547D"/>
    <w:rsid w:val="002B09D2"/>
    <w:rsid w:val="002B3FCD"/>
    <w:rsid w:val="002B58C7"/>
    <w:rsid w:val="002B7D23"/>
    <w:rsid w:val="002C2278"/>
    <w:rsid w:val="002C27B2"/>
    <w:rsid w:val="002C705A"/>
    <w:rsid w:val="002D2E7F"/>
    <w:rsid w:val="002D32B0"/>
    <w:rsid w:val="002D497F"/>
    <w:rsid w:val="002D5411"/>
    <w:rsid w:val="002E401B"/>
    <w:rsid w:val="002E622A"/>
    <w:rsid w:val="002F0B27"/>
    <w:rsid w:val="002F5187"/>
    <w:rsid w:val="002F5C22"/>
    <w:rsid w:val="002F733B"/>
    <w:rsid w:val="00305C14"/>
    <w:rsid w:val="00311E0A"/>
    <w:rsid w:val="00316D42"/>
    <w:rsid w:val="003305D6"/>
    <w:rsid w:val="003325C7"/>
    <w:rsid w:val="00332B81"/>
    <w:rsid w:val="00332FA2"/>
    <w:rsid w:val="0033385B"/>
    <w:rsid w:val="00334144"/>
    <w:rsid w:val="00334E2E"/>
    <w:rsid w:val="00334F70"/>
    <w:rsid w:val="00335987"/>
    <w:rsid w:val="00340BA5"/>
    <w:rsid w:val="00340BCE"/>
    <w:rsid w:val="00344A70"/>
    <w:rsid w:val="00346E02"/>
    <w:rsid w:val="00347774"/>
    <w:rsid w:val="00352C09"/>
    <w:rsid w:val="00361779"/>
    <w:rsid w:val="00363FCD"/>
    <w:rsid w:val="00365AC5"/>
    <w:rsid w:val="00372176"/>
    <w:rsid w:val="0038029A"/>
    <w:rsid w:val="0038569C"/>
    <w:rsid w:val="00386887"/>
    <w:rsid w:val="00392BC5"/>
    <w:rsid w:val="00395D4E"/>
    <w:rsid w:val="003973B6"/>
    <w:rsid w:val="003A0268"/>
    <w:rsid w:val="003A1306"/>
    <w:rsid w:val="003A4442"/>
    <w:rsid w:val="003B2215"/>
    <w:rsid w:val="003B342B"/>
    <w:rsid w:val="003C09C7"/>
    <w:rsid w:val="003C192E"/>
    <w:rsid w:val="003C57EC"/>
    <w:rsid w:val="003C62FF"/>
    <w:rsid w:val="003C6A1E"/>
    <w:rsid w:val="003D041E"/>
    <w:rsid w:val="003D0766"/>
    <w:rsid w:val="003D745F"/>
    <w:rsid w:val="003E5201"/>
    <w:rsid w:val="003F0173"/>
    <w:rsid w:val="003F6245"/>
    <w:rsid w:val="003F73A9"/>
    <w:rsid w:val="0040111C"/>
    <w:rsid w:val="00413B3E"/>
    <w:rsid w:val="00421A8F"/>
    <w:rsid w:val="0042255F"/>
    <w:rsid w:val="00423F2F"/>
    <w:rsid w:val="00427C83"/>
    <w:rsid w:val="00435475"/>
    <w:rsid w:val="0043675F"/>
    <w:rsid w:val="0044215B"/>
    <w:rsid w:val="00443B40"/>
    <w:rsid w:val="004470B4"/>
    <w:rsid w:val="00452D06"/>
    <w:rsid w:val="00454F38"/>
    <w:rsid w:val="00455A53"/>
    <w:rsid w:val="00461755"/>
    <w:rsid w:val="00461B62"/>
    <w:rsid w:val="00462A08"/>
    <w:rsid w:val="004634C5"/>
    <w:rsid w:val="00466D39"/>
    <w:rsid w:val="004738E2"/>
    <w:rsid w:val="00481C5A"/>
    <w:rsid w:val="00482735"/>
    <w:rsid w:val="0048363A"/>
    <w:rsid w:val="004854DC"/>
    <w:rsid w:val="00486A19"/>
    <w:rsid w:val="00492C60"/>
    <w:rsid w:val="0049387A"/>
    <w:rsid w:val="00495CB4"/>
    <w:rsid w:val="00496DAB"/>
    <w:rsid w:val="004972DD"/>
    <w:rsid w:val="004A078C"/>
    <w:rsid w:val="004A333A"/>
    <w:rsid w:val="004A46E2"/>
    <w:rsid w:val="004A5426"/>
    <w:rsid w:val="004A5C76"/>
    <w:rsid w:val="004B361B"/>
    <w:rsid w:val="004B3C91"/>
    <w:rsid w:val="004B4A56"/>
    <w:rsid w:val="004C22A3"/>
    <w:rsid w:val="004C2E96"/>
    <w:rsid w:val="004D4BAC"/>
    <w:rsid w:val="004D7773"/>
    <w:rsid w:val="004E4468"/>
    <w:rsid w:val="004E5BBD"/>
    <w:rsid w:val="004E6A36"/>
    <w:rsid w:val="004F057A"/>
    <w:rsid w:val="004F1FCB"/>
    <w:rsid w:val="004F2DB6"/>
    <w:rsid w:val="004F6EDF"/>
    <w:rsid w:val="00502445"/>
    <w:rsid w:val="005028E9"/>
    <w:rsid w:val="00504C5F"/>
    <w:rsid w:val="00505903"/>
    <w:rsid w:val="00506A5C"/>
    <w:rsid w:val="00507FC0"/>
    <w:rsid w:val="00512CFC"/>
    <w:rsid w:val="00515C36"/>
    <w:rsid w:val="0052766B"/>
    <w:rsid w:val="0053146E"/>
    <w:rsid w:val="00532E81"/>
    <w:rsid w:val="005332A7"/>
    <w:rsid w:val="005337D9"/>
    <w:rsid w:val="005364FA"/>
    <w:rsid w:val="00544A18"/>
    <w:rsid w:val="00545B74"/>
    <w:rsid w:val="00555A3E"/>
    <w:rsid w:val="00557203"/>
    <w:rsid w:val="00557629"/>
    <w:rsid w:val="00561DA3"/>
    <w:rsid w:val="00563322"/>
    <w:rsid w:val="00571545"/>
    <w:rsid w:val="0057347B"/>
    <w:rsid w:val="0057511E"/>
    <w:rsid w:val="00582F10"/>
    <w:rsid w:val="00583327"/>
    <w:rsid w:val="00591A12"/>
    <w:rsid w:val="005A19E9"/>
    <w:rsid w:val="005A3CA2"/>
    <w:rsid w:val="005B108A"/>
    <w:rsid w:val="005B1FEF"/>
    <w:rsid w:val="005B280E"/>
    <w:rsid w:val="005B5E1A"/>
    <w:rsid w:val="005C05DA"/>
    <w:rsid w:val="005C159D"/>
    <w:rsid w:val="005C78D8"/>
    <w:rsid w:val="005D4E0C"/>
    <w:rsid w:val="005D68F8"/>
    <w:rsid w:val="005E1CCE"/>
    <w:rsid w:val="005E2846"/>
    <w:rsid w:val="005F0764"/>
    <w:rsid w:val="00603FA4"/>
    <w:rsid w:val="00606403"/>
    <w:rsid w:val="006077CD"/>
    <w:rsid w:val="00610901"/>
    <w:rsid w:val="00615A80"/>
    <w:rsid w:val="00616147"/>
    <w:rsid w:val="0061629F"/>
    <w:rsid w:val="00620A70"/>
    <w:rsid w:val="006224AA"/>
    <w:rsid w:val="00623813"/>
    <w:rsid w:val="006248A6"/>
    <w:rsid w:val="00624FDA"/>
    <w:rsid w:val="00625FED"/>
    <w:rsid w:val="00626723"/>
    <w:rsid w:val="00631D75"/>
    <w:rsid w:val="00633747"/>
    <w:rsid w:val="006349F5"/>
    <w:rsid w:val="0063600C"/>
    <w:rsid w:val="006414C8"/>
    <w:rsid w:val="0064174F"/>
    <w:rsid w:val="00644295"/>
    <w:rsid w:val="0064719A"/>
    <w:rsid w:val="00647DE6"/>
    <w:rsid w:val="00650A05"/>
    <w:rsid w:val="00657B01"/>
    <w:rsid w:val="00661D16"/>
    <w:rsid w:val="006714CE"/>
    <w:rsid w:val="0067319B"/>
    <w:rsid w:val="00682C2D"/>
    <w:rsid w:val="00682E1A"/>
    <w:rsid w:val="0068604D"/>
    <w:rsid w:val="00691FA4"/>
    <w:rsid w:val="00693B69"/>
    <w:rsid w:val="006A6EC1"/>
    <w:rsid w:val="006B1E3D"/>
    <w:rsid w:val="006B443E"/>
    <w:rsid w:val="006C141C"/>
    <w:rsid w:val="006C17AF"/>
    <w:rsid w:val="006C7A71"/>
    <w:rsid w:val="006D09F0"/>
    <w:rsid w:val="006D0C4E"/>
    <w:rsid w:val="006E26CD"/>
    <w:rsid w:val="006E3FC4"/>
    <w:rsid w:val="006E7FBB"/>
    <w:rsid w:val="006F097F"/>
    <w:rsid w:val="006F13D0"/>
    <w:rsid w:val="006F2941"/>
    <w:rsid w:val="006F373B"/>
    <w:rsid w:val="006F7117"/>
    <w:rsid w:val="0070377E"/>
    <w:rsid w:val="007118DE"/>
    <w:rsid w:val="00712087"/>
    <w:rsid w:val="007134F0"/>
    <w:rsid w:val="00717C46"/>
    <w:rsid w:val="00722BBD"/>
    <w:rsid w:val="00733252"/>
    <w:rsid w:val="00737FDE"/>
    <w:rsid w:val="007410F2"/>
    <w:rsid w:val="00750F2A"/>
    <w:rsid w:val="00754F4B"/>
    <w:rsid w:val="00765A4D"/>
    <w:rsid w:val="007701F5"/>
    <w:rsid w:val="00771298"/>
    <w:rsid w:val="00774646"/>
    <w:rsid w:val="0077547C"/>
    <w:rsid w:val="00775D80"/>
    <w:rsid w:val="00781413"/>
    <w:rsid w:val="00782146"/>
    <w:rsid w:val="00794E60"/>
    <w:rsid w:val="00795083"/>
    <w:rsid w:val="00797A96"/>
    <w:rsid w:val="007A3944"/>
    <w:rsid w:val="007A580E"/>
    <w:rsid w:val="007A7DA8"/>
    <w:rsid w:val="007B1DA3"/>
    <w:rsid w:val="007C395E"/>
    <w:rsid w:val="007C59EB"/>
    <w:rsid w:val="007D0F4B"/>
    <w:rsid w:val="007E0411"/>
    <w:rsid w:val="007E0956"/>
    <w:rsid w:val="007E6D6F"/>
    <w:rsid w:val="007F0435"/>
    <w:rsid w:val="007F58C7"/>
    <w:rsid w:val="00805DFE"/>
    <w:rsid w:val="00807155"/>
    <w:rsid w:val="00812F31"/>
    <w:rsid w:val="00820243"/>
    <w:rsid w:val="0082162F"/>
    <w:rsid w:val="008219F0"/>
    <w:rsid w:val="008226FB"/>
    <w:rsid w:val="00825B24"/>
    <w:rsid w:val="008274A1"/>
    <w:rsid w:val="008303F9"/>
    <w:rsid w:val="00844593"/>
    <w:rsid w:val="0085543F"/>
    <w:rsid w:val="00855977"/>
    <w:rsid w:val="00855A81"/>
    <w:rsid w:val="00855F68"/>
    <w:rsid w:val="008643E7"/>
    <w:rsid w:val="008660F8"/>
    <w:rsid w:val="00867CFA"/>
    <w:rsid w:val="0087006C"/>
    <w:rsid w:val="008700D0"/>
    <w:rsid w:val="008874E0"/>
    <w:rsid w:val="0089121B"/>
    <w:rsid w:val="00893F68"/>
    <w:rsid w:val="008968EE"/>
    <w:rsid w:val="00896F78"/>
    <w:rsid w:val="0089735C"/>
    <w:rsid w:val="008A2FAA"/>
    <w:rsid w:val="008A3863"/>
    <w:rsid w:val="008A4DB2"/>
    <w:rsid w:val="008A4DBC"/>
    <w:rsid w:val="008A4F5B"/>
    <w:rsid w:val="008A5136"/>
    <w:rsid w:val="008A670D"/>
    <w:rsid w:val="008A7790"/>
    <w:rsid w:val="008B0AC1"/>
    <w:rsid w:val="008B0E38"/>
    <w:rsid w:val="008C0E13"/>
    <w:rsid w:val="008C2195"/>
    <w:rsid w:val="008C3D65"/>
    <w:rsid w:val="008C7E64"/>
    <w:rsid w:val="008D030C"/>
    <w:rsid w:val="008D0FAE"/>
    <w:rsid w:val="008D1125"/>
    <w:rsid w:val="008D1575"/>
    <w:rsid w:val="008D2354"/>
    <w:rsid w:val="008D2B65"/>
    <w:rsid w:val="008D4467"/>
    <w:rsid w:val="008E28D3"/>
    <w:rsid w:val="008E5B6A"/>
    <w:rsid w:val="008E6445"/>
    <w:rsid w:val="008F3760"/>
    <w:rsid w:val="008F42C7"/>
    <w:rsid w:val="008F4349"/>
    <w:rsid w:val="008F6355"/>
    <w:rsid w:val="0090325A"/>
    <w:rsid w:val="00904896"/>
    <w:rsid w:val="0090524D"/>
    <w:rsid w:val="00906274"/>
    <w:rsid w:val="00914347"/>
    <w:rsid w:val="00917A3D"/>
    <w:rsid w:val="00922C9D"/>
    <w:rsid w:val="0093091A"/>
    <w:rsid w:val="0093117D"/>
    <w:rsid w:val="00936C72"/>
    <w:rsid w:val="00940239"/>
    <w:rsid w:val="00941AAB"/>
    <w:rsid w:val="009458C9"/>
    <w:rsid w:val="00947D72"/>
    <w:rsid w:val="0095220A"/>
    <w:rsid w:val="00952B03"/>
    <w:rsid w:val="0095375F"/>
    <w:rsid w:val="00955909"/>
    <w:rsid w:val="009576BC"/>
    <w:rsid w:val="00965F95"/>
    <w:rsid w:val="00966D66"/>
    <w:rsid w:val="00967151"/>
    <w:rsid w:val="00972014"/>
    <w:rsid w:val="009752E0"/>
    <w:rsid w:val="00977448"/>
    <w:rsid w:val="00980BAC"/>
    <w:rsid w:val="00981AD0"/>
    <w:rsid w:val="00987DBE"/>
    <w:rsid w:val="0099002A"/>
    <w:rsid w:val="00992178"/>
    <w:rsid w:val="00992244"/>
    <w:rsid w:val="00992EB9"/>
    <w:rsid w:val="00996A23"/>
    <w:rsid w:val="00997560"/>
    <w:rsid w:val="009A2778"/>
    <w:rsid w:val="009A5545"/>
    <w:rsid w:val="009A5F34"/>
    <w:rsid w:val="009B2626"/>
    <w:rsid w:val="009B3AF2"/>
    <w:rsid w:val="009B444A"/>
    <w:rsid w:val="009B4A24"/>
    <w:rsid w:val="009C0B88"/>
    <w:rsid w:val="009C137B"/>
    <w:rsid w:val="009C1FCB"/>
    <w:rsid w:val="009C5FB5"/>
    <w:rsid w:val="009C6C3F"/>
    <w:rsid w:val="009D0B09"/>
    <w:rsid w:val="009D59E7"/>
    <w:rsid w:val="009E5297"/>
    <w:rsid w:val="009E7FA9"/>
    <w:rsid w:val="009F3840"/>
    <w:rsid w:val="009F3D92"/>
    <w:rsid w:val="009F7F7B"/>
    <w:rsid w:val="00A00B27"/>
    <w:rsid w:val="00A01396"/>
    <w:rsid w:val="00A01F08"/>
    <w:rsid w:val="00A06624"/>
    <w:rsid w:val="00A10754"/>
    <w:rsid w:val="00A11EE0"/>
    <w:rsid w:val="00A120DD"/>
    <w:rsid w:val="00A12722"/>
    <w:rsid w:val="00A1668A"/>
    <w:rsid w:val="00A16E92"/>
    <w:rsid w:val="00A221CF"/>
    <w:rsid w:val="00A24FD3"/>
    <w:rsid w:val="00A2714E"/>
    <w:rsid w:val="00A319A1"/>
    <w:rsid w:val="00A3673F"/>
    <w:rsid w:val="00A42C1F"/>
    <w:rsid w:val="00A4417D"/>
    <w:rsid w:val="00A447C2"/>
    <w:rsid w:val="00A46752"/>
    <w:rsid w:val="00A469B8"/>
    <w:rsid w:val="00A51DE0"/>
    <w:rsid w:val="00A52B14"/>
    <w:rsid w:val="00A60D90"/>
    <w:rsid w:val="00A662BE"/>
    <w:rsid w:val="00A67BBE"/>
    <w:rsid w:val="00A7501B"/>
    <w:rsid w:val="00A757DE"/>
    <w:rsid w:val="00A7791E"/>
    <w:rsid w:val="00A805BD"/>
    <w:rsid w:val="00A8219D"/>
    <w:rsid w:val="00A82DA5"/>
    <w:rsid w:val="00A857D6"/>
    <w:rsid w:val="00A90C46"/>
    <w:rsid w:val="00A90FE2"/>
    <w:rsid w:val="00A917B0"/>
    <w:rsid w:val="00A93146"/>
    <w:rsid w:val="00AA0B66"/>
    <w:rsid w:val="00AA126C"/>
    <w:rsid w:val="00AA36DB"/>
    <w:rsid w:val="00AC2CA3"/>
    <w:rsid w:val="00AC5929"/>
    <w:rsid w:val="00AD207C"/>
    <w:rsid w:val="00AD2914"/>
    <w:rsid w:val="00AD3B6A"/>
    <w:rsid w:val="00AD56CD"/>
    <w:rsid w:val="00AD6051"/>
    <w:rsid w:val="00AD710F"/>
    <w:rsid w:val="00AD762A"/>
    <w:rsid w:val="00AE209B"/>
    <w:rsid w:val="00AF1B19"/>
    <w:rsid w:val="00AF6188"/>
    <w:rsid w:val="00AF7880"/>
    <w:rsid w:val="00B02DE0"/>
    <w:rsid w:val="00B04DC0"/>
    <w:rsid w:val="00B06243"/>
    <w:rsid w:val="00B10F2F"/>
    <w:rsid w:val="00B1348D"/>
    <w:rsid w:val="00B15E9F"/>
    <w:rsid w:val="00B20CBB"/>
    <w:rsid w:val="00B20D18"/>
    <w:rsid w:val="00B3113D"/>
    <w:rsid w:val="00B31490"/>
    <w:rsid w:val="00B32370"/>
    <w:rsid w:val="00B37152"/>
    <w:rsid w:val="00B37782"/>
    <w:rsid w:val="00B37A2A"/>
    <w:rsid w:val="00B511F2"/>
    <w:rsid w:val="00B52D90"/>
    <w:rsid w:val="00B53C4F"/>
    <w:rsid w:val="00B61327"/>
    <w:rsid w:val="00B66A2C"/>
    <w:rsid w:val="00B6769E"/>
    <w:rsid w:val="00B67E5A"/>
    <w:rsid w:val="00B71EFA"/>
    <w:rsid w:val="00B7414D"/>
    <w:rsid w:val="00B75059"/>
    <w:rsid w:val="00B755E0"/>
    <w:rsid w:val="00B80847"/>
    <w:rsid w:val="00B844B5"/>
    <w:rsid w:val="00B8463E"/>
    <w:rsid w:val="00B85ECC"/>
    <w:rsid w:val="00B969ED"/>
    <w:rsid w:val="00BA7A73"/>
    <w:rsid w:val="00BB3E48"/>
    <w:rsid w:val="00BB53FC"/>
    <w:rsid w:val="00BC08BE"/>
    <w:rsid w:val="00BC1CE4"/>
    <w:rsid w:val="00BC43DD"/>
    <w:rsid w:val="00BC5548"/>
    <w:rsid w:val="00BD39F9"/>
    <w:rsid w:val="00BD43BA"/>
    <w:rsid w:val="00BD5C41"/>
    <w:rsid w:val="00BD767B"/>
    <w:rsid w:val="00BE29AD"/>
    <w:rsid w:val="00BF0AF8"/>
    <w:rsid w:val="00BF2F7C"/>
    <w:rsid w:val="00BF4130"/>
    <w:rsid w:val="00BF42D7"/>
    <w:rsid w:val="00BF5C38"/>
    <w:rsid w:val="00C00402"/>
    <w:rsid w:val="00C03DFC"/>
    <w:rsid w:val="00C04798"/>
    <w:rsid w:val="00C10798"/>
    <w:rsid w:val="00C174C5"/>
    <w:rsid w:val="00C22A9E"/>
    <w:rsid w:val="00C252BA"/>
    <w:rsid w:val="00C27803"/>
    <w:rsid w:val="00C303B2"/>
    <w:rsid w:val="00C4497A"/>
    <w:rsid w:val="00C461B0"/>
    <w:rsid w:val="00C47313"/>
    <w:rsid w:val="00C51256"/>
    <w:rsid w:val="00C5126A"/>
    <w:rsid w:val="00C52541"/>
    <w:rsid w:val="00C53D2C"/>
    <w:rsid w:val="00C60C3E"/>
    <w:rsid w:val="00C63687"/>
    <w:rsid w:val="00C6377F"/>
    <w:rsid w:val="00C76711"/>
    <w:rsid w:val="00C7778C"/>
    <w:rsid w:val="00C8325C"/>
    <w:rsid w:val="00C92101"/>
    <w:rsid w:val="00C949D3"/>
    <w:rsid w:val="00C96951"/>
    <w:rsid w:val="00C975B1"/>
    <w:rsid w:val="00C97B04"/>
    <w:rsid w:val="00CA1AF1"/>
    <w:rsid w:val="00CA36AE"/>
    <w:rsid w:val="00CA43DC"/>
    <w:rsid w:val="00CA5574"/>
    <w:rsid w:val="00CA60AF"/>
    <w:rsid w:val="00CA7DAE"/>
    <w:rsid w:val="00CB2E58"/>
    <w:rsid w:val="00CB30A9"/>
    <w:rsid w:val="00CC193C"/>
    <w:rsid w:val="00CC74E6"/>
    <w:rsid w:val="00CD7AA5"/>
    <w:rsid w:val="00CE4415"/>
    <w:rsid w:val="00CE4A02"/>
    <w:rsid w:val="00CF1FDE"/>
    <w:rsid w:val="00D0002E"/>
    <w:rsid w:val="00D05BA1"/>
    <w:rsid w:val="00D11998"/>
    <w:rsid w:val="00D12584"/>
    <w:rsid w:val="00D13D53"/>
    <w:rsid w:val="00D15BCF"/>
    <w:rsid w:val="00D16D7D"/>
    <w:rsid w:val="00D20826"/>
    <w:rsid w:val="00D2281E"/>
    <w:rsid w:val="00D22823"/>
    <w:rsid w:val="00D231BF"/>
    <w:rsid w:val="00D24244"/>
    <w:rsid w:val="00D35026"/>
    <w:rsid w:val="00D37186"/>
    <w:rsid w:val="00D379F6"/>
    <w:rsid w:val="00D400E3"/>
    <w:rsid w:val="00D430B3"/>
    <w:rsid w:val="00D45373"/>
    <w:rsid w:val="00D502D0"/>
    <w:rsid w:val="00D52AE6"/>
    <w:rsid w:val="00D56DF4"/>
    <w:rsid w:val="00D5713D"/>
    <w:rsid w:val="00D61E88"/>
    <w:rsid w:val="00D62605"/>
    <w:rsid w:val="00D6523B"/>
    <w:rsid w:val="00D77133"/>
    <w:rsid w:val="00D848E8"/>
    <w:rsid w:val="00D905CF"/>
    <w:rsid w:val="00D9108D"/>
    <w:rsid w:val="00D92D44"/>
    <w:rsid w:val="00D92FAA"/>
    <w:rsid w:val="00DA0329"/>
    <w:rsid w:val="00DB2E09"/>
    <w:rsid w:val="00DB6426"/>
    <w:rsid w:val="00DC0D70"/>
    <w:rsid w:val="00DC3B6C"/>
    <w:rsid w:val="00DD48A8"/>
    <w:rsid w:val="00DD6D5A"/>
    <w:rsid w:val="00DD73AE"/>
    <w:rsid w:val="00DD7784"/>
    <w:rsid w:val="00DE57BB"/>
    <w:rsid w:val="00DF33A7"/>
    <w:rsid w:val="00DF6B3B"/>
    <w:rsid w:val="00DF7D65"/>
    <w:rsid w:val="00E001DB"/>
    <w:rsid w:val="00E03837"/>
    <w:rsid w:val="00E11890"/>
    <w:rsid w:val="00E20318"/>
    <w:rsid w:val="00E212B2"/>
    <w:rsid w:val="00E230DD"/>
    <w:rsid w:val="00E3031C"/>
    <w:rsid w:val="00E305EC"/>
    <w:rsid w:val="00E321DC"/>
    <w:rsid w:val="00E32F47"/>
    <w:rsid w:val="00E35CA0"/>
    <w:rsid w:val="00E4006F"/>
    <w:rsid w:val="00E41375"/>
    <w:rsid w:val="00E4213C"/>
    <w:rsid w:val="00E44DEE"/>
    <w:rsid w:val="00E5228F"/>
    <w:rsid w:val="00E55D6C"/>
    <w:rsid w:val="00E6222E"/>
    <w:rsid w:val="00E62C40"/>
    <w:rsid w:val="00E636B2"/>
    <w:rsid w:val="00E64343"/>
    <w:rsid w:val="00E64573"/>
    <w:rsid w:val="00E723A9"/>
    <w:rsid w:val="00E7255F"/>
    <w:rsid w:val="00E7339E"/>
    <w:rsid w:val="00E739A7"/>
    <w:rsid w:val="00E74A84"/>
    <w:rsid w:val="00E76058"/>
    <w:rsid w:val="00E828C1"/>
    <w:rsid w:val="00E83158"/>
    <w:rsid w:val="00E85FA4"/>
    <w:rsid w:val="00E86201"/>
    <w:rsid w:val="00E867E7"/>
    <w:rsid w:val="00E92776"/>
    <w:rsid w:val="00E92E79"/>
    <w:rsid w:val="00E96C33"/>
    <w:rsid w:val="00EA121D"/>
    <w:rsid w:val="00EA4985"/>
    <w:rsid w:val="00EA5EB2"/>
    <w:rsid w:val="00EC484E"/>
    <w:rsid w:val="00EC6970"/>
    <w:rsid w:val="00EC70FB"/>
    <w:rsid w:val="00ED0BD1"/>
    <w:rsid w:val="00ED4359"/>
    <w:rsid w:val="00ED51E2"/>
    <w:rsid w:val="00ED683C"/>
    <w:rsid w:val="00EE0EDD"/>
    <w:rsid w:val="00EE1F52"/>
    <w:rsid w:val="00EE2C0F"/>
    <w:rsid w:val="00EE7EC0"/>
    <w:rsid w:val="00EF1C3D"/>
    <w:rsid w:val="00F01FC5"/>
    <w:rsid w:val="00F02BC6"/>
    <w:rsid w:val="00F034CA"/>
    <w:rsid w:val="00F04E33"/>
    <w:rsid w:val="00F05023"/>
    <w:rsid w:val="00F100D6"/>
    <w:rsid w:val="00F12289"/>
    <w:rsid w:val="00F142A4"/>
    <w:rsid w:val="00F16B14"/>
    <w:rsid w:val="00F22E49"/>
    <w:rsid w:val="00F23D03"/>
    <w:rsid w:val="00F26479"/>
    <w:rsid w:val="00F26C4A"/>
    <w:rsid w:val="00F27FE0"/>
    <w:rsid w:val="00F34479"/>
    <w:rsid w:val="00F3664B"/>
    <w:rsid w:val="00F423F5"/>
    <w:rsid w:val="00F51711"/>
    <w:rsid w:val="00F5296D"/>
    <w:rsid w:val="00F53EC5"/>
    <w:rsid w:val="00F7323C"/>
    <w:rsid w:val="00F73983"/>
    <w:rsid w:val="00F81006"/>
    <w:rsid w:val="00FA1FE9"/>
    <w:rsid w:val="00FA3386"/>
    <w:rsid w:val="00FA52CF"/>
    <w:rsid w:val="00FA5E06"/>
    <w:rsid w:val="00FA7740"/>
    <w:rsid w:val="00FB16A2"/>
    <w:rsid w:val="00FB2AD9"/>
    <w:rsid w:val="00FC25B7"/>
    <w:rsid w:val="00FC3A74"/>
    <w:rsid w:val="00FC4572"/>
    <w:rsid w:val="00FD1A55"/>
    <w:rsid w:val="00FE0F04"/>
    <w:rsid w:val="00FE150A"/>
    <w:rsid w:val="00FF123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AE15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E94"/>
    <w:rPr>
      <w:rFonts w:ascii="Cambria" w:hAnsi="Cambria"/>
      <w:lang w:val="en-AU"/>
    </w:rPr>
  </w:style>
  <w:style w:type="paragraph" w:styleId="Heading1">
    <w:name w:val="heading 1"/>
    <w:basedOn w:val="Normal"/>
    <w:next w:val="Normal"/>
    <w:link w:val="Heading1Char"/>
    <w:uiPriority w:val="9"/>
    <w:qFormat/>
    <w:rsid w:val="00CA36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8029A"/>
    <w:pPr>
      <w:keepNext/>
      <w:keepLines/>
      <w:spacing w:before="200" w:after="0"/>
      <w:outlineLvl w:val="1"/>
    </w:pPr>
    <w:rPr>
      <w:rFonts w:asciiTheme="majorHAnsi" w:eastAsiaTheme="majorEastAsia" w:hAnsiTheme="majorHAnsi" w:cstheme="majorBidi"/>
      <w:b/>
      <w:bCs/>
      <w:color w:val="436889"/>
      <w:sz w:val="26"/>
      <w:szCs w:val="26"/>
    </w:rPr>
  </w:style>
  <w:style w:type="paragraph" w:styleId="Heading3">
    <w:name w:val="heading 3"/>
    <w:basedOn w:val="Normal"/>
    <w:next w:val="Normal"/>
    <w:link w:val="Heading3Char"/>
    <w:uiPriority w:val="9"/>
    <w:unhideWhenUsed/>
    <w:qFormat/>
    <w:rsid w:val="00794E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6AE"/>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CA36AE"/>
    <w:pPr>
      <w:outlineLvl w:val="9"/>
    </w:pPr>
    <w:rPr>
      <w:lang w:eastAsia="ja-JP"/>
    </w:rPr>
  </w:style>
  <w:style w:type="paragraph" w:styleId="BalloonText">
    <w:name w:val="Balloon Text"/>
    <w:basedOn w:val="Normal"/>
    <w:link w:val="BalloonTextChar"/>
    <w:uiPriority w:val="99"/>
    <w:unhideWhenUsed/>
    <w:rsid w:val="00CA36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A36AE"/>
    <w:rPr>
      <w:rFonts w:ascii="Tahoma" w:hAnsi="Tahoma" w:cs="Tahoma"/>
      <w:sz w:val="16"/>
      <w:szCs w:val="16"/>
    </w:rPr>
  </w:style>
  <w:style w:type="paragraph" w:styleId="ListParagraph">
    <w:name w:val="List Paragraph"/>
    <w:aliases w:val="Bullet1,List Paragraph1,Recommendation,List Paragraph11,Rec para,L,CV text,Table text,F5 List Paragraph,Dot pt,Colorful List - Accent 11,No Spacing1,List Paragraph Char Char Char,Indicator Text,Numbered Para 1,Bullet Points,Bullet point"/>
    <w:basedOn w:val="Normal"/>
    <w:link w:val="ListParagraphChar"/>
    <w:uiPriority w:val="34"/>
    <w:qFormat/>
    <w:rsid w:val="00CA36AE"/>
    <w:pPr>
      <w:ind w:left="720"/>
      <w:contextualSpacing/>
    </w:pPr>
  </w:style>
  <w:style w:type="character" w:customStyle="1" w:styleId="Heading2Char">
    <w:name w:val="Heading 2 Char"/>
    <w:basedOn w:val="DefaultParagraphFont"/>
    <w:link w:val="Heading2"/>
    <w:uiPriority w:val="9"/>
    <w:rsid w:val="0038029A"/>
    <w:rPr>
      <w:rFonts w:asciiTheme="majorHAnsi" w:eastAsiaTheme="majorEastAsia" w:hAnsiTheme="majorHAnsi" w:cstheme="majorBidi"/>
      <w:b/>
      <w:bCs/>
      <w:color w:val="436889"/>
      <w:sz w:val="26"/>
      <w:szCs w:val="26"/>
      <w:lang w:val="en-AU"/>
    </w:rPr>
  </w:style>
  <w:style w:type="paragraph" w:styleId="TOC1">
    <w:name w:val="toc 1"/>
    <w:basedOn w:val="Normal"/>
    <w:next w:val="Normal"/>
    <w:autoRedefine/>
    <w:uiPriority w:val="39"/>
    <w:unhideWhenUsed/>
    <w:qFormat/>
    <w:rsid w:val="00563322"/>
    <w:pPr>
      <w:tabs>
        <w:tab w:val="left" w:pos="284"/>
        <w:tab w:val="right" w:leader="dot" w:pos="9017"/>
      </w:tabs>
      <w:spacing w:after="100"/>
    </w:pPr>
  </w:style>
  <w:style w:type="paragraph" w:styleId="TOC2">
    <w:name w:val="toc 2"/>
    <w:basedOn w:val="Normal"/>
    <w:next w:val="Normal"/>
    <w:autoRedefine/>
    <w:uiPriority w:val="39"/>
    <w:unhideWhenUsed/>
    <w:qFormat/>
    <w:rsid w:val="00563322"/>
    <w:pPr>
      <w:tabs>
        <w:tab w:val="left" w:pos="993"/>
        <w:tab w:val="right" w:leader="dot" w:pos="9017"/>
      </w:tabs>
      <w:spacing w:after="100"/>
      <w:ind w:left="567"/>
    </w:pPr>
  </w:style>
  <w:style w:type="character" w:styleId="Hyperlink">
    <w:name w:val="Hyperlink"/>
    <w:basedOn w:val="DefaultParagraphFont"/>
    <w:uiPriority w:val="99"/>
    <w:unhideWhenUsed/>
    <w:rsid w:val="00CA36AE"/>
    <w:rPr>
      <w:color w:val="0000FF" w:themeColor="hyperlink"/>
      <w:u w:val="single"/>
    </w:rPr>
  </w:style>
  <w:style w:type="table" w:styleId="TableGrid">
    <w:name w:val="Table Grid"/>
    <w:basedOn w:val="TableNormal"/>
    <w:rsid w:val="00D400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D400E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2F51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5187"/>
  </w:style>
  <w:style w:type="paragraph" w:styleId="Footer">
    <w:name w:val="footer"/>
    <w:basedOn w:val="Normal"/>
    <w:link w:val="FooterChar"/>
    <w:uiPriority w:val="99"/>
    <w:unhideWhenUsed/>
    <w:rsid w:val="002F51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5187"/>
  </w:style>
  <w:style w:type="paragraph" w:styleId="NoSpacing">
    <w:name w:val="No Spacing"/>
    <w:link w:val="NoSpacingChar"/>
    <w:uiPriority w:val="1"/>
    <w:qFormat/>
    <w:rsid w:val="002F5187"/>
    <w:pPr>
      <w:spacing w:after="0" w:line="240" w:lineRule="auto"/>
    </w:pPr>
    <w:rPr>
      <w:lang w:eastAsia="ja-JP"/>
    </w:rPr>
  </w:style>
  <w:style w:type="character" w:customStyle="1" w:styleId="NoSpacingChar">
    <w:name w:val="No Spacing Char"/>
    <w:basedOn w:val="DefaultParagraphFont"/>
    <w:link w:val="NoSpacing"/>
    <w:uiPriority w:val="1"/>
    <w:rsid w:val="002F5187"/>
    <w:rPr>
      <w:lang w:eastAsia="ja-JP"/>
    </w:rPr>
  </w:style>
  <w:style w:type="paragraph" w:styleId="TOC3">
    <w:name w:val="toc 3"/>
    <w:basedOn w:val="Normal"/>
    <w:next w:val="Normal"/>
    <w:autoRedefine/>
    <w:uiPriority w:val="39"/>
    <w:unhideWhenUsed/>
    <w:qFormat/>
    <w:rsid w:val="00454F38"/>
    <w:pPr>
      <w:tabs>
        <w:tab w:val="left" w:pos="1701"/>
        <w:tab w:val="right" w:leader="dot" w:pos="9017"/>
      </w:tabs>
      <w:spacing w:after="100"/>
      <w:ind w:left="993"/>
    </w:pPr>
    <w:rPr>
      <w:lang w:eastAsia="ja-JP"/>
    </w:rPr>
  </w:style>
  <w:style w:type="character" w:customStyle="1" w:styleId="Heading3Char">
    <w:name w:val="Heading 3 Char"/>
    <w:basedOn w:val="DefaultParagraphFont"/>
    <w:link w:val="Heading3"/>
    <w:uiPriority w:val="9"/>
    <w:rsid w:val="00794E60"/>
    <w:rPr>
      <w:rFonts w:asciiTheme="majorHAnsi" w:eastAsiaTheme="majorEastAsia" w:hAnsiTheme="majorHAnsi" w:cstheme="majorBidi"/>
      <w:color w:val="243F60" w:themeColor="accent1" w:themeShade="7F"/>
      <w:sz w:val="24"/>
      <w:szCs w:val="24"/>
    </w:rPr>
  </w:style>
  <w:style w:type="paragraph" w:styleId="FootnoteText">
    <w:name w:val="footnote text"/>
    <w:basedOn w:val="Normal"/>
    <w:link w:val="FootnoteTextChar"/>
    <w:uiPriority w:val="99"/>
    <w:qFormat/>
    <w:rsid w:val="00922C9D"/>
    <w:pPr>
      <w:spacing w:after="0" w:line="240" w:lineRule="auto"/>
    </w:pPr>
    <w:rPr>
      <w:rFonts w:ascii="Arial" w:eastAsia="Times New Roman" w:hAnsi="Arial" w:cs="Times New Roman"/>
      <w:sz w:val="20"/>
      <w:szCs w:val="20"/>
      <w:lang w:eastAsia="en-US"/>
    </w:rPr>
  </w:style>
  <w:style w:type="character" w:customStyle="1" w:styleId="FootnoteTextChar">
    <w:name w:val="Footnote Text Char"/>
    <w:basedOn w:val="DefaultParagraphFont"/>
    <w:link w:val="FootnoteText"/>
    <w:uiPriority w:val="99"/>
    <w:rsid w:val="00922C9D"/>
    <w:rPr>
      <w:rFonts w:ascii="Arial" w:eastAsia="Times New Roman" w:hAnsi="Arial" w:cs="Times New Roman"/>
      <w:sz w:val="20"/>
      <w:szCs w:val="20"/>
      <w:lang w:val="en-AU" w:eastAsia="en-US"/>
    </w:rPr>
  </w:style>
  <w:style w:type="character" w:styleId="FootnoteReference">
    <w:name w:val="footnote reference"/>
    <w:aliases w:val="Normal + Font:9 Point,Superscript 3 Point Times,Footnote text,Footnotes refss,Ref,de nota al pie,ftref,16 Point,Superscript 6 Point,BVI fnr,FnR-ANZDEC,(NECG) Footnote Reference,Fußnotenzeichen DISS,fr,Footnote Ref in FtNote,SUPERS"/>
    <w:basedOn w:val="DefaultParagraphFont"/>
    <w:uiPriority w:val="99"/>
    <w:qFormat/>
    <w:rsid w:val="00922C9D"/>
    <w:rPr>
      <w:vertAlign w:val="superscript"/>
    </w:rPr>
  </w:style>
  <w:style w:type="character" w:customStyle="1" w:styleId="A3">
    <w:name w:val="A3"/>
    <w:uiPriority w:val="99"/>
    <w:rsid w:val="00A01F08"/>
    <w:rPr>
      <w:rFonts w:cs="Source Sans Pro"/>
      <w:color w:val="000000"/>
      <w:sz w:val="21"/>
      <w:szCs w:val="21"/>
    </w:rPr>
  </w:style>
  <w:style w:type="character" w:customStyle="1" w:styleId="A2">
    <w:name w:val="A2"/>
    <w:uiPriority w:val="99"/>
    <w:rsid w:val="00A01F08"/>
    <w:rPr>
      <w:rFonts w:cs="Source Sans Pro"/>
      <w:color w:val="000000"/>
      <w:sz w:val="30"/>
      <w:szCs w:val="30"/>
    </w:rPr>
  </w:style>
  <w:style w:type="character" w:customStyle="1" w:styleId="ListParagraphChar">
    <w:name w:val="List Paragraph Char"/>
    <w:aliases w:val="Bullet1 Char,List Paragraph1 Char,Recommendation Char,List Paragraph11 Char,Rec para Char,L Char,CV text Char,Table text Char,F5 List Paragraph Char,Dot pt Char,Colorful List - Accent 11 Char,No Spacing1 Char,Indicator Text Char"/>
    <w:link w:val="ListParagraph"/>
    <w:uiPriority w:val="34"/>
    <w:rsid w:val="00486A19"/>
  </w:style>
  <w:style w:type="paragraph" w:styleId="BodyText">
    <w:name w:val="Body Text"/>
    <w:basedOn w:val="Normal"/>
    <w:link w:val="BodyTextChar"/>
    <w:uiPriority w:val="99"/>
    <w:unhideWhenUsed/>
    <w:rsid w:val="0011010A"/>
    <w:pPr>
      <w:suppressAutoHyphens/>
      <w:spacing w:before="120" w:after="60" w:line="260" w:lineRule="atLeast"/>
    </w:pPr>
    <w:rPr>
      <w:rFonts w:eastAsiaTheme="minorHAnsi"/>
      <w:color w:val="1F497D" w:themeColor="text2"/>
      <w:lang w:val="en-GB" w:eastAsia="en-US"/>
    </w:rPr>
  </w:style>
  <w:style w:type="character" w:customStyle="1" w:styleId="BodyTextChar">
    <w:name w:val="Body Text Char"/>
    <w:basedOn w:val="DefaultParagraphFont"/>
    <w:link w:val="BodyText"/>
    <w:uiPriority w:val="99"/>
    <w:rsid w:val="0011010A"/>
    <w:rPr>
      <w:rFonts w:eastAsiaTheme="minorHAnsi"/>
      <w:color w:val="1F497D" w:themeColor="text2"/>
      <w:lang w:val="en-GB" w:eastAsia="en-US"/>
    </w:rPr>
  </w:style>
  <w:style w:type="paragraph" w:customStyle="1" w:styleId="Bullet1">
    <w:name w:val="Bullet 1"/>
    <w:basedOn w:val="Normal"/>
    <w:qFormat/>
    <w:rsid w:val="00BC08BE"/>
    <w:pPr>
      <w:numPr>
        <w:numId w:val="19"/>
      </w:numPr>
      <w:tabs>
        <w:tab w:val="left" w:pos="567"/>
      </w:tabs>
      <w:suppressAutoHyphens/>
      <w:spacing w:before="60" w:after="60" w:line="260" w:lineRule="atLeast"/>
    </w:pPr>
    <w:rPr>
      <w:rFonts w:eastAsiaTheme="minorHAnsi"/>
      <w:color w:val="1F497D" w:themeColor="text2"/>
      <w:lang w:val="en-GB" w:eastAsia="en-US"/>
    </w:rPr>
  </w:style>
  <w:style w:type="paragraph" w:customStyle="1" w:styleId="Bullet2">
    <w:name w:val="Bullet 2"/>
    <w:basedOn w:val="Bullet1"/>
    <w:qFormat/>
    <w:rsid w:val="00BC08BE"/>
    <w:pPr>
      <w:numPr>
        <w:ilvl w:val="1"/>
      </w:numPr>
      <w:tabs>
        <w:tab w:val="clear" w:pos="568"/>
        <w:tab w:val="left" w:pos="851"/>
      </w:tabs>
    </w:pPr>
  </w:style>
  <w:style w:type="paragraph" w:customStyle="1" w:styleId="Bullet3">
    <w:name w:val="Bullet 3"/>
    <w:basedOn w:val="Bullet2"/>
    <w:qFormat/>
    <w:rsid w:val="00BC08BE"/>
    <w:pPr>
      <w:numPr>
        <w:ilvl w:val="2"/>
      </w:numPr>
      <w:tabs>
        <w:tab w:val="clear" w:pos="852"/>
        <w:tab w:val="left" w:pos="1134"/>
      </w:tabs>
    </w:pPr>
  </w:style>
  <w:style w:type="numbering" w:customStyle="1" w:styleId="BulletsList">
    <w:name w:val="Bullets List"/>
    <w:uiPriority w:val="99"/>
    <w:rsid w:val="00BC08BE"/>
    <w:pPr>
      <w:numPr>
        <w:numId w:val="18"/>
      </w:numPr>
    </w:pPr>
  </w:style>
  <w:style w:type="character" w:styleId="CommentReference">
    <w:name w:val="annotation reference"/>
    <w:basedOn w:val="DefaultParagraphFont"/>
    <w:uiPriority w:val="99"/>
    <w:semiHidden/>
    <w:unhideWhenUsed/>
    <w:rsid w:val="00DE57BB"/>
    <w:rPr>
      <w:sz w:val="16"/>
      <w:szCs w:val="16"/>
    </w:rPr>
  </w:style>
  <w:style w:type="paragraph" w:styleId="CommentText">
    <w:name w:val="annotation text"/>
    <w:basedOn w:val="Normal"/>
    <w:link w:val="CommentTextChar"/>
    <w:uiPriority w:val="99"/>
    <w:semiHidden/>
    <w:unhideWhenUsed/>
    <w:rsid w:val="00DE57BB"/>
    <w:pPr>
      <w:spacing w:line="240" w:lineRule="auto"/>
    </w:pPr>
    <w:rPr>
      <w:rFonts w:eastAsiaTheme="minorHAnsi"/>
      <w:sz w:val="20"/>
      <w:szCs w:val="20"/>
      <w:lang w:eastAsia="en-US"/>
    </w:rPr>
  </w:style>
  <w:style w:type="character" w:customStyle="1" w:styleId="CommentTextChar">
    <w:name w:val="Comment Text Char"/>
    <w:basedOn w:val="DefaultParagraphFont"/>
    <w:link w:val="CommentText"/>
    <w:uiPriority w:val="99"/>
    <w:semiHidden/>
    <w:rsid w:val="00DE57BB"/>
    <w:rPr>
      <w:rFonts w:eastAsiaTheme="minorHAnsi"/>
      <w:sz w:val="20"/>
      <w:szCs w:val="20"/>
      <w:lang w:val="en-AU" w:eastAsia="en-US"/>
    </w:rPr>
  </w:style>
  <w:style w:type="character" w:styleId="Strong">
    <w:name w:val="Strong"/>
    <w:basedOn w:val="DefaultParagraphFont"/>
    <w:uiPriority w:val="22"/>
    <w:qFormat/>
    <w:rsid w:val="00271C5C"/>
    <w:rPr>
      <w:b/>
      <w:bCs/>
    </w:rPr>
  </w:style>
  <w:style w:type="paragraph" w:styleId="CommentSubject">
    <w:name w:val="annotation subject"/>
    <w:basedOn w:val="CommentText"/>
    <w:next w:val="CommentText"/>
    <w:link w:val="CommentSubjectChar"/>
    <w:uiPriority w:val="99"/>
    <w:semiHidden/>
    <w:unhideWhenUsed/>
    <w:rsid w:val="00D77133"/>
    <w:rPr>
      <w:rFonts w:eastAsiaTheme="minorEastAsia"/>
      <w:b/>
      <w:bCs/>
      <w:lang w:eastAsia="zh-CN"/>
    </w:rPr>
  </w:style>
  <w:style w:type="character" w:customStyle="1" w:styleId="CommentSubjectChar">
    <w:name w:val="Comment Subject Char"/>
    <w:basedOn w:val="CommentTextChar"/>
    <w:link w:val="CommentSubject"/>
    <w:uiPriority w:val="99"/>
    <w:semiHidden/>
    <w:rsid w:val="00D77133"/>
    <w:rPr>
      <w:rFonts w:eastAsiaTheme="minorHAnsi"/>
      <w:b/>
      <w:bCs/>
      <w:sz w:val="20"/>
      <w:szCs w:val="20"/>
      <w:lang w:val="en-AU" w:eastAsia="en-US"/>
    </w:rPr>
  </w:style>
  <w:style w:type="paragraph" w:styleId="Revision">
    <w:name w:val="Revision"/>
    <w:hidden/>
    <w:uiPriority w:val="99"/>
    <w:semiHidden/>
    <w:rsid w:val="00A7791E"/>
    <w:pPr>
      <w:spacing w:after="0" w:line="240" w:lineRule="auto"/>
    </w:pPr>
    <w:rPr>
      <w:lang w:val="en-AU"/>
    </w:rPr>
  </w:style>
  <w:style w:type="character" w:styleId="Emphasis">
    <w:name w:val="Emphasis"/>
    <w:aliases w:val="Emphasis italic"/>
    <w:basedOn w:val="DefaultParagraphFont"/>
    <w:uiPriority w:val="20"/>
    <w:qFormat/>
    <w:rsid w:val="00AD6051"/>
    <w:rPr>
      <w:i/>
      <w:iCs/>
    </w:rPr>
  </w:style>
  <w:style w:type="table" w:customStyle="1" w:styleId="TableGridLight1">
    <w:name w:val="Table Grid Light1"/>
    <w:basedOn w:val="TableNormal"/>
    <w:uiPriority w:val="40"/>
    <w:rsid w:val="00981AD0"/>
    <w:pPr>
      <w:spacing w:after="0" w:line="240" w:lineRule="auto"/>
    </w:pPr>
    <w:rPr>
      <w:rFonts w:eastAsiaTheme="minorHAnsi"/>
      <w:lang w:val="en-AU"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x1Text">
    <w:name w:val="Box 1 Text"/>
    <w:basedOn w:val="Normal"/>
    <w:qFormat/>
    <w:rsid w:val="00981AD0"/>
    <w:pPr>
      <w:pBdr>
        <w:top w:val="single" w:sz="4" w:space="14" w:color="4F81BD" w:themeColor="accent1"/>
        <w:left w:val="single" w:sz="4" w:space="14" w:color="4F81BD" w:themeColor="accent1"/>
        <w:bottom w:val="single" w:sz="4" w:space="14" w:color="4F81BD" w:themeColor="accent1"/>
        <w:right w:val="single" w:sz="4" w:space="14" w:color="4F81BD" w:themeColor="accent1"/>
      </w:pBdr>
      <w:shd w:val="clear" w:color="auto" w:fill="FFFFFF" w:themeFill="background1"/>
      <w:suppressAutoHyphens/>
      <w:spacing w:before="180" w:after="80" w:line="240" w:lineRule="atLeast"/>
      <w:ind w:left="284" w:right="284"/>
    </w:pPr>
    <w:rPr>
      <w:rFonts w:eastAsiaTheme="minorHAnsi"/>
      <w:color w:val="1F497D" w:themeColor="text2"/>
      <w:sz w:val="20"/>
      <w:lang w:eastAsia="en-US"/>
    </w:rPr>
  </w:style>
  <w:style w:type="paragraph" w:customStyle="1" w:styleId="Box1Heading">
    <w:name w:val="Box 1 Heading"/>
    <w:basedOn w:val="Box1Text"/>
    <w:qFormat/>
    <w:rsid w:val="00981AD0"/>
    <w:pPr>
      <w:keepNext/>
      <w:spacing w:line="300" w:lineRule="atLeast"/>
    </w:pPr>
    <w:rPr>
      <w:b/>
      <w:sz w:val="26"/>
    </w:rPr>
  </w:style>
  <w:style w:type="paragraph" w:styleId="NormalWeb">
    <w:name w:val="Normal (Web)"/>
    <w:basedOn w:val="Normal"/>
    <w:uiPriority w:val="99"/>
    <w:semiHidden/>
    <w:unhideWhenUsed/>
    <w:rsid w:val="00A221CF"/>
    <w:pPr>
      <w:spacing w:before="100" w:beforeAutospacing="1" w:after="100" w:afterAutospacing="1" w:line="240" w:lineRule="auto"/>
    </w:pPr>
    <w:rPr>
      <w:rFonts w:ascii="Times New Roman" w:hAnsi="Times New Roman" w:cs="Times New Roman"/>
      <w:sz w:val="24"/>
      <w:szCs w:val="24"/>
      <w:lang w:eastAsia="en-AU"/>
    </w:rPr>
  </w:style>
  <w:style w:type="table" w:styleId="LightList-Accent1">
    <w:name w:val="Light List Accent 1"/>
    <w:basedOn w:val="TableNormal"/>
    <w:uiPriority w:val="61"/>
    <w:rsid w:val="00C7778C"/>
    <w:pPr>
      <w:spacing w:after="0" w:line="240" w:lineRule="auto"/>
    </w:pPr>
    <w:rPr>
      <w:rFonts w:eastAsiaTheme="minorHAnsi"/>
      <w:lang w:val="en-AU" w:eastAsia="en-US"/>
    </w:rPr>
    <w:tblPr>
      <w:tblStyleRowBandSize w:val="1"/>
      <w:tblStyleColBandSize w:val="1"/>
      <w:tblInd w:w="0" w:type="nil"/>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EndnoteText">
    <w:name w:val="endnote text"/>
    <w:basedOn w:val="Normal"/>
    <w:link w:val="EndnoteTextChar"/>
    <w:uiPriority w:val="99"/>
    <w:semiHidden/>
    <w:unhideWhenUsed/>
    <w:rsid w:val="00492C6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92C60"/>
    <w:rPr>
      <w:rFonts w:ascii="Cambria" w:hAnsi="Cambria"/>
      <w:sz w:val="20"/>
      <w:szCs w:val="20"/>
      <w:lang w:val="en-AU"/>
    </w:rPr>
  </w:style>
  <w:style w:type="character" w:styleId="EndnoteReference">
    <w:name w:val="endnote reference"/>
    <w:basedOn w:val="DefaultParagraphFont"/>
    <w:uiPriority w:val="99"/>
    <w:semiHidden/>
    <w:unhideWhenUsed/>
    <w:rsid w:val="00492C60"/>
    <w:rPr>
      <w:vertAlign w:val="superscript"/>
    </w:rPr>
  </w:style>
  <w:style w:type="paragraph" w:customStyle="1" w:styleId="NormalX">
    <w:name w:val="NormalX"/>
    <w:basedOn w:val="Normal"/>
    <w:link w:val="NormalXChar"/>
    <w:autoRedefine/>
    <w:qFormat/>
    <w:rsid w:val="00E3031C"/>
    <w:pPr>
      <w:spacing w:before="120" w:after="120" w:line="240" w:lineRule="auto"/>
      <w:ind w:left="127"/>
    </w:pPr>
    <w:rPr>
      <w:rFonts w:ascii="Times New Roman" w:eastAsia="Times New Roman" w:hAnsi="Times New Roman" w:cs="Arial"/>
      <w:b/>
      <w:i/>
      <w:color w:val="262626" w:themeColor="text1" w:themeTint="D9"/>
      <w:sz w:val="20"/>
      <w:szCs w:val="20"/>
      <w:lang w:val="en-US" w:eastAsia="en-AU"/>
    </w:rPr>
  </w:style>
  <w:style w:type="character" w:customStyle="1" w:styleId="NormalXChar">
    <w:name w:val="NormalX Char"/>
    <w:basedOn w:val="DefaultParagraphFont"/>
    <w:link w:val="NormalX"/>
    <w:rsid w:val="00E3031C"/>
    <w:rPr>
      <w:rFonts w:ascii="Times New Roman" w:eastAsia="Times New Roman" w:hAnsi="Times New Roman" w:cs="Arial"/>
      <w:b/>
      <w:i/>
      <w:color w:val="262626" w:themeColor="text1" w:themeTint="D9"/>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937325">
      <w:bodyDiv w:val="1"/>
      <w:marLeft w:val="0"/>
      <w:marRight w:val="0"/>
      <w:marTop w:val="0"/>
      <w:marBottom w:val="0"/>
      <w:divBdr>
        <w:top w:val="none" w:sz="0" w:space="0" w:color="auto"/>
        <w:left w:val="none" w:sz="0" w:space="0" w:color="auto"/>
        <w:bottom w:val="none" w:sz="0" w:space="0" w:color="auto"/>
        <w:right w:val="none" w:sz="0" w:space="0" w:color="auto"/>
      </w:divBdr>
    </w:div>
    <w:div w:id="338392194">
      <w:bodyDiv w:val="1"/>
      <w:marLeft w:val="0"/>
      <w:marRight w:val="0"/>
      <w:marTop w:val="0"/>
      <w:marBottom w:val="0"/>
      <w:divBdr>
        <w:top w:val="none" w:sz="0" w:space="0" w:color="auto"/>
        <w:left w:val="none" w:sz="0" w:space="0" w:color="auto"/>
        <w:bottom w:val="none" w:sz="0" w:space="0" w:color="auto"/>
        <w:right w:val="none" w:sz="0" w:space="0" w:color="auto"/>
      </w:divBdr>
    </w:div>
    <w:div w:id="530000497">
      <w:bodyDiv w:val="1"/>
      <w:marLeft w:val="0"/>
      <w:marRight w:val="0"/>
      <w:marTop w:val="0"/>
      <w:marBottom w:val="0"/>
      <w:divBdr>
        <w:top w:val="none" w:sz="0" w:space="0" w:color="auto"/>
        <w:left w:val="none" w:sz="0" w:space="0" w:color="auto"/>
        <w:bottom w:val="none" w:sz="0" w:space="0" w:color="auto"/>
        <w:right w:val="none" w:sz="0" w:space="0" w:color="auto"/>
      </w:divBdr>
    </w:div>
    <w:div w:id="770051644">
      <w:bodyDiv w:val="1"/>
      <w:marLeft w:val="0"/>
      <w:marRight w:val="0"/>
      <w:marTop w:val="0"/>
      <w:marBottom w:val="0"/>
      <w:divBdr>
        <w:top w:val="none" w:sz="0" w:space="0" w:color="auto"/>
        <w:left w:val="none" w:sz="0" w:space="0" w:color="auto"/>
        <w:bottom w:val="none" w:sz="0" w:space="0" w:color="auto"/>
        <w:right w:val="none" w:sz="0" w:space="0" w:color="auto"/>
      </w:divBdr>
    </w:div>
    <w:div w:id="1315838463">
      <w:bodyDiv w:val="1"/>
      <w:marLeft w:val="0"/>
      <w:marRight w:val="0"/>
      <w:marTop w:val="0"/>
      <w:marBottom w:val="0"/>
      <w:divBdr>
        <w:top w:val="none" w:sz="0" w:space="0" w:color="auto"/>
        <w:left w:val="none" w:sz="0" w:space="0" w:color="auto"/>
        <w:bottom w:val="none" w:sz="0" w:space="0" w:color="auto"/>
        <w:right w:val="none" w:sz="0" w:space="0" w:color="auto"/>
      </w:divBdr>
    </w:div>
    <w:div w:id="1318922038">
      <w:bodyDiv w:val="1"/>
      <w:marLeft w:val="0"/>
      <w:marRight w:val="0"/>
      <w:marTop w:val="0"/>
      <w:marBottom w:val="0"/>
      <w:divBdr>
        <w:top w:val="none" w:sz="0" w:space="0" w:color="auto"/>
        <w:left w:val="none" w:sz="0" w:space="0" w:color="auto"/>
        <w:bottom w:val="none" w:sz="0" w:space="0" w:color="auto"/>
        <w:right w:val="none" w:sz="0" w:space="0" w:color="auto"/>
      </w:divBdr>
    </w:div>
    <w:div w:id="1675104700">
      <w:bodyDiv w:val="1"/>
      <w:marLeft w:val="0"/>
      <w:marRight w:val="0"/>
      <w:marTop w:val="0"/>
      <w:marBottom w:val="0"/>
      <w:divBdr>
        <w:top w:val="none" w:sz="0" w:space="0" w:color="auto"/>
        <w:left w:val="none" w:sz="0" w:space="0" w:color="auto"/>
        <w:bottom w:val="none" w:sz="0" w:space="0" w:color="auto"/>
        <w:right w:val="none" w:sz="0" w:space="0" w:color="auto"/>
      </w:divBdr>
    </w:div>
    <w:div w:id="1691495195">
      <w:bodyDiv w:val="1"/>
      <w:marLeft w:val="0"/>
      <w:marRight w:val="0"/>
      <w:marTop w:val="0"/>
      <w:marBottom w:val="0"/>
      <w:divBdr>
        <w:top w:val="none" w:sz="0" w:space="0" w:color="auto"/>
        <w:left w:val="none" w:sz="0" w:space="0" w:color="auto"/>
        <w:bottom w:val="none" w:sz="0" w:space="0" w:color="auto"/>
        <w:right w:val="none" w:sz="0" w:space="0" w:color="auto"/>
      </w:divBdr>
    </w:div>
    <w:div w:id="1896549875">
      <w:bodyDiv w:val="1"/>
      <w:marLeft w:val="0"/>
      <w:marRight w:val="0"/>
      <w:marTop w:val="0"/>
      <w:marBottom w:val="0"/>
      <w:divBdr>
        <w:top w:val="none" w:sz="0" w:space="0" w:color="auto"/>
        <w:left w:val="none" w:sz="0" w:space="0" w:color="auto"/>
        <w:bottom w:val="none" w:sz="0" w:space="0" w:color="auto"/>
        <w:right w:val="none" w:sz="0" w:space="0" w:color="auto"/>
      </w:divBdr>
    </w:div>
    <w:div w:id="1917785426">
      <w:bodyDiv w:val="1"/>
      <w:marLeft w:val="0"/>
      <w:marRight w:val="0"/>
      <w:marTop w:val="0"/>
      <w:marBottom w:val="0"/>
      <w:divBdr>
        <w:top w:val="none" w:sz="0" w:space="0" w:color="auto"/>
        <w:left w:val="none" w:sz="0" w:space="0" w:color="auto"/>
        <w:bottom w:val="none" w:sz="0" w:space="0" w:color="auto"/>
        <w:right w:val="none" w:sz="0" w:space="0" w:color="auto"/>
      </w:divBdr>
    </w:div>
    <w:div w:id="2109738168">
      <w:bodyDiv w:val="1"/>
      <w:marLeft w:val="0"/>
      <w:marRight w:val="0"/>
      <w:marTop w:val="0"/>
      <w:marBottom w:val="0"/>
      <w:divBdr>
        <w:top w:val="none" w:sz="0" w:space="0" w:color="auto"/>
        <w:left w:val="none" w:sz="0" w:space="0" w:color="auto"/>
        <w:bottom w:val="none" w:sz="0" w:space="0" w:color="auto"/>
        <w:right w:val="none" w:sz="0" w:space="0" w:color="auto"/>
      </w:divBdr>
    </w:div>
    <w:div w:id="2141462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_rels/footnotes.xml.rels><?xml version="1.0" encoding="UTF-8" standalone="yes"?>
<Relationships xmlns="http://schemas.openxmlformats.org/package/2006/relationships"><Relationship Id="rId3" Type="http://schemas.openxmlformats.org/officeDocument/2006/relationships/hyperlink" Target="https://asiafoundation.org/wp-content/uploads/2016/12/Timor-Leste_COP_Dec-2016.pdf" TargetMode="External"/><Relationship Id="rId2" Type="http://schemas.openxmlformats.org/officeDocument/2006/relationships/hyperlink" Target="http://dfat.gov.au/about-us/publications/Pages/environmental-social-safeguard-policy-for-the-aid-program.aspx" TargetMode="External"/><Relationship Id="rId1" Type="http://schemas.openxmlformats.org/officeDocument/2006/relationships/hyperlink" Target="http://timor-leste.gov.tl/?cat=39&amp;lang=en" TargetMode="External"/><Relationship Id="rId4" Type="http://schemas.openxmlformats.org/officeDocument/2006/relationships/hyperlink" Target="http://asiapacific.unwomen.org/en/countries/timor-les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C3599-1D5C-49AC-8150-A0546BB0C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19930</Words>
  <Characters>118585</Characters>
  <Application>Microsoft Office Word</Application>
  <DocSecurity>0</DocSecurity>
  <Lines>2635</Lines>
  <Paragraphs>1442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Timor-Leste Police Development Program 2018-2022 Design Document</dc:title>
  <dc:creator/>
  <cp:keywords/>
  <cp:lastModifiedBy/>
  <cp:revision>1</cp:revision>
  <dcterms:created xsi:type="dcterms:W3CDTF">2022-06-22T00:15:00Z</dcterms:created>
  <dcterms:modified xsi:type="dcterms:W3CDTF">2022-06-22T00:16:00Z</dcterms:modified>
  <cp:category/>
</cp:coreProperties>
</file>