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DFEDA" w14:textId="43E1788A" w:rsidR="00944BC2" w:rsidRPr="0072064D" w:rsidRDefault="005D668A" w:rsidP="005D668A">
      <w:pPr>
        <w:tabs>
          <w:tab w:val="left" w:pos="7488"/>
        </w:tabs>
        <w:rPr>
          <w:color w:val="666699"/>
          <w:sz w:val="18"/>
          <w:szCs w:val="18"/>
        </w:rPr>
      </w:pPr>
      <w:bookmarkStart w:id="0" w:name="_GoBack"/>
      <w:bookmarkEnd w:id="0"/>
      <w:r>
        <w:rPr>
          <w:color w:val="666699"/>
          <w:sz w:val="18"/>
          <w:szCs w:val="18"/>
        </w:rPr>
        <w:tab/>
      </w:r>
    </w:p>
    <w:p w14:paraId="33CDFEDB" w14:textId="2DC20A35" w:rsidR="00C657FB" w:rsidRDefault="000B3828"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Mid-term review of Australia’s Support Program to the National Program for Village</w:t>
      </w:r>
      <w:r w:rsidR="003F4664">
        <w:rPr>
          <w:sz w:val="24"/>
          <w:lang w:eastAsia="en-AU"/>
        </w:rPr>
        <w:t xml:space="preserve"> Development (PNDS-SP) 2014-2017</w:t>
      </w:r>
    </w:p>
    <w:p w14:paraId="33CDFEDC"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33CDFEDD" w14:textId="77777777" w:rsidR="00C657FB" w:rsidRPr="0018785F" w:rsidRDefault="000B520A" w:rsidP="00683EB4">
      <w:pPr>
        <w:pStyle w:val="Heading2"/>
        <w:rPr>
          <w:sz w:val="22"/>
        </w:rPr>
      </w:pPr>
      <w:r w:rsidRPr="0018785F">
        <w:rPr>
          <w:sz w:val="22"/>
        </w:rPr>
        <w:t xml:space="preserve">Initiative </w:t>
      </w:r>
      <w:r w:rsidR="00C657FB" w:rsidRPr="0018785F">
        <w:rPr>
          <w:sz w:val="22"/>
        </w:rPr>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33CDFEE0" w14:textId="77777777" w:rsidTr="00175FFC">
        <w:trPr>
          <w:cantSplit/>
          <w:tblHeader/>
        </w:trPr>
        <w:tc>
          <w:tcPr>
            <w:tcW w:w="2660" w:type="dxa"/>
            <w:shd w:val="clear" w:color="auto" w:fill="E0E0E0"/>
            <w:vAlign w:val="center"/>
          </w:tcPr>
          <w:p w14:paraId="33CDFEDE"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33CDFEDF" w14:textId="257901EC" w:rsidR="00C657FB" w:rsidRPr="00F43CEC" w:rsidRDefault="00C657FB" w:rsidP="00175FFC">
            <w:pPr>
              <w:pStyle w:val="Table-normal-text"/>
              <w:spacing w:before="120" w:after="120"/>
              <w:rPr>
                <w:b/>
              </w:rPr>
            </w:pPr>
          </w:p>
        </w:tc>
      </w:tr>
      <w:tr w:rsidR="00C657FB" w:rsidRPr="00F43CEC" w14:paraId="33CDFEE3" w14:textId="77777777" w:rsidTr="00175FFC">
        <w:trPr>
          <w:cantSplit/>
        </w:trPr>
        <w:tc>
          <w:tcPr>
            <w:tcW w:w="2660" w:type="dxa"/>
            <w:shd w:val="clear" w:color="auto" w:fill="auto"/>
          </w:tcPr>
          <w:p w14:paraId="33CDFEE1"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33CDFEE2" w14:textId="26AAACD6" w:rsidR="00C657FB" w:rsidRPr="00F2320B" w:rsidRDefault="00873CC9" w:rsidP="00175FFC">
            <w:pPr>
              <w:pStyle w:val="Table-normal-text"/>
            </w:pPr>
            <w:r>
              <w:t>70592</w:t>
            </w:r>
          </w:p>
        </w:tc>
      </w:tr>
      <w:tr w:rsidR="00C657FB" w:rsidRPr="00F43CEC" w14:paraId="33CDFEE8" w14:textId="77777777" w:rsidTr="00175FFC">
        <w:trPr>
          <w:cantSplit/>
        </w:trPr>
        <w:tc>
          <w:tcPr>
            <w:tcW w:w="2660" w:type="dxa"/>
            <w:shd w:val="clear" w:color="auto" w:fill="auto"/>
          </w:tcPr>
          <w:p w14:paraId="33CDFEE4"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33CDFEE5" w14:textId="48FFA8B5" w:rsidR="00C657FB" w:rsidRPr="00F2320B" w:rsidRDefault="00032E47" w:rsidP="00175FFC">
            <w:pPr>
              <w:pStyle w:val="Table-normal-text"/>
            </w:pPr>
            <w:r>
              <w:t>1 July 2014</w:t>
            </w:r>
          </w:p>
        </w:tc>
        <w:tc>
          <w:tcPr>
            <w:tcW w:w="1843" w:type="dxa"/>
            <w:shd w:val="clear" w:color="auto" w:fill="auto"/>
          </w:tcPr>
          <w:p w14:paraId="33CDFEE6"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33CDFEE7" w14:textId="76F07F7B" w:rsidR="00C657FB" w:rsidRPr="00F2320B" w:rsidRDefault="000B3828" w:rsidP="003F4664">
            <w:pPr>
              <w:pStyle w:val="Table-normal-text"/>
            </w:pPr>
            <w:r>
              <w:t>30 June 201</w:t>
            </w:r>
            <w:r w:rsidR="003F4664">
              <w:t>7</w:t>
            </w:r>
          </w:p>
        </w:tc>
      </w:tr>
      <w:tr w:rsidR="00C657FB" w:rsidRPr="00F43CEC" w14:paraId="33CDFEEB" w14:textId="77777777" w:rsidTr="00175FFC">
        <w:trPr>
          <w:cantSplit/>
        </w:trPr>
        <w:tc>
          <w:tcPr>
            <w:tcW w:w="2660" w:type="dxa"/>
            <w:shd w:val="clear" w:color="auto" w:fill="auto"/>
          </w:tcPr>
          <w:p w14:paraId="33CDFEE9" w14:textId="77777777" w:rsidR="00C657FB" w:rsidRPr="00F2320B" w:rsidRDefault="00C657FB" w:rsidP="00175FFC">
            <w:pPr>
              <w:pStyle w:val="Table-normal-text"/>
            </w:pPr>
            <w:r>
              <w:t>Total Australian $</w:t>
            </w:r>
          </w:p>
        </w:tc>
        <w:tc>
          <w:tcPr>
            <w:tcW w:w="7229" w:type="dxa"/>
            <w:gridSpan w:val="3"/>
            <w:shd w:val="clear" w:color="auto" w:fill="auto"/>
          </w:tcPr>
          <w:p w14:paraId="33CDFEEA" w14:textId="760AAF72" w:rsidR="00C657FB" w:rsidRPr="00F2320B" w:rsidRDefault="00873CC9" w:rsidP="00227D42">
            <w:pPr>
              <w:pStyle w:val="Table-normal-text"/>
            </w:pPr>
            <w:r>
              <w:t>2</w:t>
            </w:r>
            <w:r w:rsidR="00227D42">
              <w:t>6</w:t>
            </w:r>
            <w:r w:rsidR="001D6F6B">
              <w:t xml:space="preserve"> million</w:t>
            </w:r>
          </w:p>
        </w:tc>
      </w:tr>
      <w:tr w:rsidR="00C657FB" w:rsidRPr="00F43CEC" w14:paraId="33CDFEEE" w14:textId="77777777" w:rsidTr="00175FFC">
        <w:trPr>
          <w:cantSplit/>
        </w:trPr>
        <w:tc>
          <w:tcPr>
            <w:tcW w:w="2660" w:type="dxa"/>
            <w:shd w:val="clear" w:color="auto" w:fill="auto"/>
          </w:tcPr>
          <w:p w14:paraId="33CDFEEC" w14:textId="77777777" w:rsidR="00C657FB" w:rsidRPr="00F2320B" w:rsidRDefault="00C657FB" w:rsidP="00175FFC">
            <w:pPr>
              <w:pStyle w:val="Table-normal-text"/>
            </w:pPr>
            <w:r>
              <w:t>Total other $</w:t>
            </w:r>
          </w:p>
        </w:tc>
        <w:tc>
          <w:tcPr>
            <w:tcW w:w="7229" w:type="dxa"/>
            <w:gridSpan w:val="3"/>
            <w:shd w:val="clear" w:color="auto" w:fill="auto"/>
          </w:tcPr>
          <w:p w14:paraId="33CDFEED" w14:textId="3C8F2194" w:rsidR="00C657FB" w:rsidRPr="00F2320B" w:rsidRDefault="001D6F6B" w:rsidP="00175FFC">
            <w:pPr>
              <w:pStyle w:val="Table-normal-text"/>
            </w:pPr>
            <w:r>
              <w:t>Not applicable</w:t>
            </w:r>
          </w:p>
        </w:tc>
      </w:tr>
      <w:tr w:rsidR="00C657FB" w:rsidRPr="00F43CEC" w14:paraId="33CDFEF1" w14:textId="77777777" w:rsidTr="00175FFC">
        <w:trPr>
          <w:cantSplit/>
        </w:trPr>
        <w:tc>
          <w:tcPr>
            <w:tcW w:w="2660" w:type="dxa"/>
            <w:shd w:val="clear" w:color="auto" w:fill="auto"/>
          </w:tcPr>
          <w:p w14:paraId="33CDFEEF"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33CDFEF0" w14:textId="23275850" w:rsidR="00C657FB" w:rsidRPr="00F2320B" w:rsidRDefault="000B3828" w:rsidP="00175FFC">
            <w:pPr>
              <w:pStyle w:val="Table-normal-text"/>
            </w:pPr>
            <w:r>
              <w:t>Cardno Emerging Markets</w:t>
            </w:r>
          </w:p>
        </w:tc>
      </w:tr>
      <w:tr w:rsidR="00C657FB" w:rsidRPr="00F43CEC" w14:paraId="33CDFEF4" w14:textId="77777777" w:rsidTr="00175FFC">
        <w:trPr>
          <w:cantSplit/>
        </w:trPr>
        <w:tc>
          <w:tcPr>
            <w:tcW w:w="2660" w:type="dxa"/>
            <w:shd w:val="clear" w:color="auto" w:fill="auto"/>
          </w:tcPr>
          <w:p w14:paraId="33CDFEF2"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33CDFEF3" w14:textId="557013BB" w:rsidR="00C657FB" w:rsidRPr="00F2320B" w:rsidRDefault="000B3828" w:rsidP="00FB4095">
            <w:pPr>
              <w:pStyle w:val="Table-normal-text"/>
            </w:pPr>
            <w:r>
              <w:t>The Asia Foundation</w:t>
            </w:r>
            <w:r w:rsidR="00FB4095">
              <w:t xml:space="preserve"> (research, monitoring and evaluation component only)</w:t>
            </w:r>
          </w:p>
        </w:tc>
      </w:tr>
      <w:tr w:rsidR="00C657FB" w:rsidRPr="00F43CEC" w14:paraId="33CDFEF7" w14:textId="77777777" w:rsidTr="00175FFC">
        <w:trPr>
          <w:cantSplit/>
        </w:trPr>
        <w:tc>
          <w:tcPr>
            <w:tcW w:w="2660" w:type="dxa"/>
            <w:shd w:val="clear" w:color="auto" w:fill="auto"/>
          </w:tcPr>
          <w:p w14:paraId="33CDFEF5" w14:textId="77777777" w:rsidR="00C657FB" w:rsidRPr="00F2320B" w:rsidRDefault="00C657FB" w:rsidP="00175FFC">
            <w:pPr>
              <w:pStyle w:val="Table-normal-text"/>
            </w:pPr>
            <w:r w:rsidRPr="00F2320B">
              <w:t>Country/Region</w:t>
            </w:r>
          </w:p>
        </w:tc>
        <w:tc>
          <w:tcPr>
            <w:tcW w:w="7229" w:type="dxa"/>
            <w:gridSpan w:val="3"/>
            <w:shd w:val="clear" w:color="auto" w:fill="auto"/>
          </w:tcPr>
          <w:p w14:paraId="33CDFEF6" w14:textId="7FC78F72" w:rsidR="00C657FB" w:rsidRPr="00F2320B" w:rsidRDefault="001D6F6B" w:rsidP="00175FFC">
            <w:pPr>
              <w:pStyle w:val="Table-normal-text"/>
            </w:pPr>
            <w:r>
              <w:t>Timor-Leste</w:t>
            </w:r>
          </w:p>
        </w:tc>
      </w:tr>
      <w:tr w:rsidR="00C657FB" w:rsidRPr="00F43CEC" w14:paraId="33CDFEFA" w14:textId="77777777" w:rsidTr="00175FFC">
        <w:trPr>
          <w:cantSplit/>
        </w:trPr>
        <w:tc>
          <w:tcPr>
            <w:tcW w:w="2660" w:type="dxa"/>
            <w:shd w:val="clear" w:color="auto" w:fill="auto"/>
          </w:tcPr>
          <w:p w14:paraId="33CDFEF8"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33CDFEF9" w14:textId="044FAB86" w:rsidR="00C657FB" w:rsidRPr="00F2320B" w:rsidRDefault="000B3828" w:rsidP="001D6F6B">
            <w:pPr>
              <w:pStyle w:val="Table-normal-text"/>
              <w:tabs>
                <w:tab w:val="left" w:pos="2029"/>
              </w:tabs>
            </w:pPr>
            <w:r>
              <w:t>Community Development, Rural Development</w:t>
            </w:r>
          </w:p>
        </w:tc>
      </w:tr>
      <w:tr w:rsidR="00C657FB" w:rsidRPr="00F43CEC" w14:paraId="33CDFEFD" w14:textId="77777777" w:rsidTr="00175FFC">
        <w:trPr>
          <w:cantSplit/>
        </w:trPr>
        <w:tc>
          <w:tcPr>
            <w:tcW w:w="2660" w:type="dxa"/>
            <w:shd w:val="clear" w:color="auto" w:fill="auto"/>
          </w:tcPr>
          <w:p w14:paraId="33CDFEFB"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362B1CFF" w14:textId="65EFBBB6" w:rsidR="00D117E4" w:rsidRDefault="00873CC9" w:rsidP="00873CC9">
            <w:pPr>
              <w:pStyle w:val="NoSpacing"/>
              <w:rPr>
                <w:rFonts w:ascii="Arial" w:hAnsi="Arial" w:cs="Arial"/>
                <w:sz w:val="20"/>
                <w:szCs w:val="20"/>
              </w:rPr>
            </w:pPr>
            <w:r w:rsidRPr="00D117E4">
              <w:rPr>
                <w:rFonts w:ascii="Arial" w:hAnsi="Arial" w:cs="Arial"/>
                <w:sz w:val="20"/>
                <w:szCs w:val="20"/>
              </w:rPr>
              <w:t xml:space="preserve">The goal for the Australian PNDS-SP is </w:t>
            </w:r>
            <w:r w:rsidR="00D117E4">
              <w:rPr>
                <w:rFonts w:ascii="Arial" w:hAnsi="Arial" w:cs="Arial"/>
                <w:sz w:val="20"/>
                <w:szCs w:val="20"/>
              </w:rPr>
              <w:t>“C</w:t>
            </w:r>
            <w:r w:rsidRPr="00D117E4">
              <w:rPr>
                <w:rFonts w:ascii="Arial" w:hAnsi="Arial" w:cs="Arial"/>
                <w:sz w:val="20"/>
                <w:szCs w:val="20"/>
              </w:rPr>
              <w:t>ommunity members attain increased social and economic benefits</w:t>
            </w:r>
            <w:r w:rsidR="00D117E4">
              <w:rPr>
                <w:rFonts w:ascii="Arial" w:hAnsi="Arial" w:cs="Arial"/>
                <w:sz w:val="20"/>
                <w:szCs w:val="20"/>
              </w:rPr>
              <w:t xml:space="preserve">”. </w:t>
            </w:r>
          </w:p>
          <w:p w14:paraId="19BA2325" w14:textId="77777777" w:rsidR="00D117E4" w:rsidRDefault="00D117E4" w:rsidP="00873CC9">
            <w:pPr>
              <w:pStyle w:val="NoSpacing"/>
              <w:rPr>
                <w:rFonts w:ascii="Arial" w:hAnsi="Arial" w:cs="Arial"/>
                <w:sz w:val="20"/>
                <w:szCs w:val="20"/>
              </w:rPr>
            </w:pPr>
          </w:p>
          <w:p w14:paraId="3CAE74F9" w14:textId="506B51CB" w:rsidR="00873CC9" w:rsidRDefault="00873CC9" w:rsidP="00873CC9">
            <w:pPr>
              <w:pStyle w:val="NoSpacing"/>
              <w:rPr>
                <w:rFonts w:ascii="Arial" w:hAnsi="Arial" w:cs="Arial"/>
                <w:sz w:val="20"/>
                <w:szCs w:val="20"/>
              </w:rPr>
            </w:pPr>
            <w:r w:rsidRPr="00D117E4">
              <w:rPr>
                <w:rFonts w:ascii="Arial" w:hAnsi="Arial" w:cs="Arial"/>
                <w:sz w:val="20"/>
                <w:szCs w:val="20"/>
              </w:rPr>
              <w:t xml:space="preserve">The </w:t>
            </w:r>
            <w:r w:rsidR="00D117E4" w:rsidRPr="00D117E4">
              <w:rPr>
                <w:rFonts w:ascii="Arial" w:hAnsi="Arial" w:cs="Arial"/>
                <w:sz w:val="20"/>
                <w:szCs w:val="20"/>
              </w:rPr>
              <w:t xml:space="preserve">contract with Cardno Emerging Markets </w:t>
            </w:r>
            <w:r w:rsidRPr="00D117E4">
              <w:rPr>
                <w:rFonts w:ascii="Arial" w:hAnsi="Arial" w:cs="Arial"/>
                <w:sz w:val="20"/>
                <w:szCs w:val="20"/>
              </w:rPr>
              <w:t>represents the majority of the GoA funding for PNDS</w:t>
            </w:r>
            <w:r w:rsidR="00D117E4">
              <w:rPr>
                <w:rFonts w:ascii="Arial" w:hAnsi="Arial" w:cs="Arial"/>
                <w:sz w:val="20"/>
                <w:szCs w:val="20"/>
              </w:rPr>
              <w:t>-</w:t>
            </w:r>
            <w:r w:rsidRPr="00D117E4">
              <w:rPr>
                <w:rFonts w:ascii="Arial" w:hAnsi="Arial" w:cs="Arial"/>
                <w:sz w:val="20"/>
                <w:szCs w:val="20"/>
              </w:rPr>
              <w:t>SP.</w:t>
            </w:r>
            <w:r w:rsidR="00D117E4">
              <w:rPr>
                <w:rFonts w:ascii="Arial" w:hAnsi="Arial" w:cs="Arial"/>
                <w:sz w:val="20"/>
                <w:szCs w:val="20"/>
              </w:rPr>
              <w:t xml:space="preserve"> The </w:t>
            </w:r>
            <w:r w:rsidR="000B6AF4">
              <w:rPr>
                <w:rFonts w:ascii="Arial" w:hAnsi="Arial" w:cs="Arial"/>
                <w:sz w:val="20"/>
                <w:szCs w:val="20"/>
              </w:rPr>
              <w:t>program</w:t>
            </w:r>
            <w:r w:rsidR="00D117E4">
              <w:rPr>
                <w:rFonts w:ascii="Arial" w:hAnsi="Arial" w:cs="Arial"/>
                <w:sz w:val="20"/>
                <w:szCs w:val="20"/>
              </w:rPr>
              <w:t xml:space="preserve"> </w:t>
            </w:r>
            <w:r w:rsidRPr="00D117E4">
              <w:rPr>
                <w:rFonts w:ascii="Arial" w:hAnsi="Arial" w:cs="Arial"/>
                <w:sz w:val="20"/>
                <w:szCs w:val="20"/>
              </w:rPr>
              <w:t>outcomes are:</w:t>
            </w:r>
          </w:p>
          <w:p w14:paraId="6AF0389E" w14:textId="77777777" w:rsidR="0014081A" w:rsidRPr="00D117E4" w:rsidRDefault="0014081A" w:rsidP="00873CC9">
            <w:pPr>
              <w:pStyle w:val="NoSpacing"/>
              <w:rPr>
                <w:rFonts w:ascii="Arial" w:hAnsi="Arial" w:cs="Arial"/>
                <w:sz w:val="20"/>
                <w:szCs w:val="20"/>
              </w:rPr>
            </w:pPr>
          </w:p>
          <w:p w14:paraId="0BCA4BC1" w14:textId="77777777" w:rsidR="00873CC9" w:rsidRPr="00D117E4" w:rsidRDefault="00873CC9" w:rsidP="00873CC9">
            <w:pPr>
              <w:pStyle w:val="NoSpacing"/>
              <w:rPr>
                <w:rFonts w:ascii="Arial" w:hAnsi="Arial" w:cs="Arial"/>
                <w:sz w:val="20"/>
                <w:szCs w:val="20"/>
              </w:rPr>
            </w:pPr>
            <w:r w:rsidRPr="00D117E4">
              <w:rPr>
                <w:rFonts w:ascii="Arial" w:hAnsi="Arial" w:cs="Arial"/>
                <w:sz w:val="20"/>
                <w:szCs w:val="20"/>
              </w:rPr>
              <w:t>1. Sufficient GoTL resources (staff, funds, assets, etc.) are secured and allocated to implement the program</w:t>
            </w:r>
          </w:p>
          <w:p w14:paraId="6AC8CFAD" w14:textId="77777777" w:rsidR="00873CC9" w:rsidRPr="00D117E4" w:rsidRDefault="00873CC9" w:rsidP="00873CC9">
            <w:pPr>
              <w:pStyle w:val="NoSpacing"/>
              <w:rPr>
                <w:rFonts w:ascii="Arial" w:hAnsi="Arial" w:cs="Arial"/>
                <w:sz w:val="20"/>
                <w:szCs w:val="20"/>
              </w:rPr>
            </w:pPr>
            <w:r w:rsidRPr="00D117E4">
              <w:rPr>
                <w:rFonts w:ascii="Arial" w:hAnsi="Arial" w:cs="Arial"/>
                <w:sz w:val="20"/>
                <w:szCs w:val="20"/>
              </w:rPr>
              <w:t xml:space="preserve">2. Counterparts understand and utilise PNDS systems </w:t>
            </w:r>
          </w:p>
          <w:p w14:paraId="648092DB" w14:textId="77777777" w:rsidR="00C657FB" w:rsidRDefault="00873CC9" w:rsidP="00873CC9">
            <w:pPr>
              <w:pStyle w:val="NoSpacing"/>
              <w:rPr>
                <w:rFonts w:ascii="Arial" w:hAnsi="Arial" w:cs="Arial"/>
                <w:sz w:val="20"/>
                <w:szCs w:val="20"/>
              </w:rPr>
            </w:pPr>
            <w:r w:rsidRPr="00D117E4">
              <w:rPr>
                <w:rFonts w:ascii="Arial" w:hAnsi="Arial" w:cs="Arial"/>
                <w:sz w:val="20"/>
                <w:szCs w:val="20"/>
              </w:rPr>
              <w:t>3. Counterpart demonstrates sound leadership and management practices.</w:t>
            </w:r>
          </w:p>
          <w:p w14:paraId="1589BD19" w14:textId="77777777" w:rsidR="00D117E4" w:rsidRDefault="00D117E4" w:rsidP="00873CC9">
            <w:pPr>
              <w:pStyle w:val="NoSpacing"/>
              <w:rPr>
                <w:rFonts w:ascii="Arial" w:hAnsi="Arial" w:cs="Arial"/>
                <w:sz w:val="20"/>
                <w:szCs w:val="20"/>
              </w:rPr>
            </w:pPr>
          </w:p>
          <w:p w14:paraId="33CDFEFC" w14:textId="63DA20E7" w:rsidR="00D117E4" w:rsidRPr="00D117E4" w:rsidRDefault="000B6AF4" w:rsidP="000B6AF4">
            <w:pPr>
              <w:pStyle w:val="NoSpacing"/>
              <w:rPr>
                <w:rFonts w:ascii="Arial" w:hAnsi="Arial" w:cs="Arial"/>
                <w:sz w:val="20"/>
                <w:szCs w:val="20"/>
              </w:rPr>
            </w:pPr>
            <w:r>
              <w:rPr>
                <w:rFonts w:ascii="Arial" w:hAnsi="Arial" w:cs="Arial"/>
                <w:sz w:val="20"/>
                <w:szCs w:val="20"/>
              </w:rPr>
              <w:t>From</w:t>
            </w:r>
            <w:r w:rsidR="00D117E4">
              <w:rPr>
                <w:rFonts w:ascii="Arial" w:hAnsi="Arial" w:cs="Arial"/>
                <w:sz w:val="20"/>
                <w:szCs w:val="20"/>
              </w:rPr>
              <w:t xml:space="preserve"> 2014-1</w:t>
            </w:r>
            <w:r>
              <w:rPr>
                <w:rFonts w:ascii="Arial" w:hAnsi="Arial" w:cs="Arial"/>
                <w:sz w:val="20"/>
                <w:szCs w:val="20"/>
              </w:rPr>
              <w:t>7</w:t>
            </w:r>
            <w:r w:rsidR="00D117E4" w:rsidRPr="00D117E4">
              <w:rPr>
                <w:rFonts w:ascii="Arial" w:hAnsi="Arial" w:cs="Arial"/>
                <w:sz w:val="20"/>
                <w:szCs w:val="20"/>
              </w:rPr>
              <w:t xml:space="preserve"> </w:t>
            </w:r>
            <w:r w:rsidR="00D117E4">
              <w:rPr>
                <w:rFonts w:ascii="Arial" w:hAnsi="Arial" w:cs="Arial"/>
                <w:sz w:val="20"/>
                <w:szCs w:val="20"/>
              </w:rPr>
              <w:t>GoA a</w:t>
            </w:r>
            <w:r w:rsidR="00D117E4" w:rsidRPr="00D117E4">
              <w:rPr>
                <w:rFonts w:ascii="Arial" w:hAnsi="Arial" w:cs="Arial"/>
                <w:sz w:val="20"/>
                <w:szCs w:val="20"/>
              </w:rPr>
              <w:t xml:space="preserve">lso </w:t>
            </w:r>
            <w:r w:rsidR="00D117E4">
              <w:rPr>
                <w:rFonts w:ascii="Arial" w:hAnsi="Arial" w:cs="Arial"/>
                <w:sz w:val="20"/>
                <w:szCs w:val="20"/>
              </w:rPr>
              <w:t xml:space="preserve">funded </w:t>
            </w:r>
            <w:r w:rsidR="00D117E4" w:rsidRPr="00D117E4">
              <w:rPr>
                <w:rFonts w:ascii="Arial" w:hAnsi="Arial" w:cs="Arial"/>
                <w:sz w:val="20"/>
                <w:szCs w:val="20"/>
              </w:rPr>
              <w:t xml:space="preserve">policy research, </w:t>
            </w:r>
            <w:r w:rsidR="00D117E4">
              <w:rPr>
                <w:rFonts w:ascii="Arial" w:hAnsi="Arial" w:cs="Arial"/>
                <w:sz w:val="20"/>
                <w:szCs w:val="20"/>
              </w:rPr>
              <w:t xml:space="preserve">and </w:t>
            </w:r>
            <w:r w:rsidR="00D117E4" w:rsidRPr="00D117E4">
              <w:rPr>
                <w:rFonts w:ascii="Arial" w:hAnsi="Arial" w:cs="Arial"/>
                <w:sz w:val="20"/>
                <w:szCs w:val="20"/>
              </w:rPr>
              <w:t xml:space="preserve">monitoring and evaluation </w:t>
            </w:r>
            <w:r w:rsidR="00D117E4">
              <w:rPr>
                <w:rFonts w:ascii="Arial" w:hAnsi="Arial" w:cs="Arial"/>
                <w:sz w:val="20"/>
                <w:szCs w:val="20"/>
              </w:rPr>
              <w:t xml:space="preserve">of PNDS </w:t>
            </w:r>
            <w:r>
              <w:rPr>
                <w:rFonts w:ascii="Arial" w:hAnsi="Arial" w:cs="Arial"/>
                <w:sz w:val="20"/>
                <w:szCs w:val="20"/>
              </w:rPr>
              <w:t>through The Asia Foundation</w:t>
            </w:r>
            <w:r w:rsidR="00D117E4" w:rsidRPr="00D117E4">
              <w:rPr>
                <w:rFonts w:ascii="Arial" w:hAnsi="Arial" w:cs="Arial"/>
                <w:sz w:val="20"/>
                <w:szCs w:val="20"/>
              </w:rPr>
              <w:t>.</w:t>
            </w:r>
          </w:p>
        </w:tc>
      </w:tr>
    </w:tbl>
    <w:p w14:paraId="33CDFEFE" w14:textId="77777777" w:rsidR="00C657FB" w:rsidRPr="0018785F" w:rsidRDefault="00C657FB" w:rsidP="00C657FB">
      <w:pPr>
        <w:pStyle w:val="Heading2"/>
        <w:rPr>
          <w:sz w:val="22"/>
        </w:rPr>
      </w:pPr>
      <w:r w:rsidRPr="0018785F">
        <w:rPr>
          <w:sz w:val="22"/>
        </w:rPr>
        <w:t>Evaluation Summary</w:t>
      </w:r>
    </w:p>
    <w:p w14:paraId="33CDFF00" w14:textId="77777777" w:rsidR="00C657FB" w:rsidRDefault="00C657FB" w:rsidP="00C657FB">
      <w:pPr>
        <w:rPr>
          <w:b/>
        </w:rPr>
      </w:pPr>
      <w:r w:rsidRPr="00123C3E">
        <w:rPr>
          <w:b/>
        </w:rPr>
        <w:t>Evaluation Objective:</w:t>
      </w:r>
      <w:r>
        <w:rPr>
          <w:b/>
        </w:rPr>
        <w:t xml:space="preserve"> </w:t>
      </w:r>
    </w:p>
    <w:p w14:paraId="513EB0F1" w14:textId="347E6EDC" w:rsidR="00D117E4" w:rsidRDefault="00D117E4" w:rsidP="007C0DA3">
      <w:pPr>
        <w:spacing w:line="220" w:lineRule="atLeast"/>
        <w:rPr>
          <w:rStyle w:val="Strong"/>
          <w:rFonts w:cs="Arial"/>
          <w:b w:val="0"/>
        </w:rPr>
      </w:pPr>
      <w:r w:rsidRPr="00D117E4">
        <w:rPr>
          <w:rStyle w:val="Strong"/>
          <w:rFonts w:cs="Arial"/>
          <w:b w:val="0"/>
        </w:rPr>
        <w:t xml:space="preserve">This mid-term review </w:t>
      </w:r>
      <w:r w:rsidR="003418D9">
        <w:rPr>
          <w:rStyle w:val="Strong"/>
          <w:rFonts w:cs="Arial"/>
          <w:b w:val="0"/>
        </w:rPr>
        <w:t>aimed to</w:t>
      </w:r>
      <w:r w:rsidR="007C0DA3">
        <w:rPr>
          <w:rStyle w:val="Strong"/>
          <w:rFonts w:cs="Arial"/>
          <w:b w:val="0"/>
        </w:rPr>
        <w:t xml:space="preserve"> </w:t>
      </w:r>
      <w:r w:rsidRPr="007C0DA3">
        <w:rPr>
          <w:rStyle w:val="Strong"/>
          <w:rFonts w:cs="Arial"/>
          <w:b w:val="0"/>
        </w:rPr>
        <w:t>verify and quality assure</w:t>
      </w:r>
      <w:r w:rsidR="00172EFA">
        <w:rPr>
          <w:rStyle w:val="Strong"/>
          <w:rFonts w:cs="Arial"/>
          <w:b w:val="0"/>
        </w:rPr>
        <w:t xml:space="preserve"> PNDS-SP claims of success and </w:t>
      </w:r>
      <w:r w:rsidRPr="007C0DA3">
        <w:rPr>
          <w:rStyle w:val="Strong"/>
          <w:rFonts w:cs="Arial"/>
          <w:b w:val="0"/>
        </w:rPr>
        <w:t>progress towards End of Program Outcomes o</w:t>
      </w:r>
      <w:r w:rsidR="007C0DA3">
        <w:rPr>
          <w:rStyle w:val="Strong"/>
          <w:rFonts w:cs="Arial"/>
          <w:b w:val="0"/>
        </w:rPr>
        <w:t>ver the first phase (2014-201</w:t>
      </w:r>
      <w:r w:rsidR="00172EFA">
        <w:rPr>
          <w:rStyle w:val="Strong"/>
          <w:rFonts w:cs="Arial"/>
          <w:b w:val="0"/>
        </w:rPr>
        <w:t>7</w:t>
      </w:r>
      <w:r w:rsidR="007C0DA3">
        <w:rPr>
          <w:rStyle w:val="Strong"/>
          <w:rFonts w:cs="Arial"/>
          <w:b w:val="0"/>
        </w:rPr>
        <w:t>). The review also</w:t>
      </w:r>
      <w:r w:rsidR="00172EFA">
        <w:rPr>
          <w:rStyle w:val="Strong"/>
          <w:rFonts w:cs="Arial"/>
          <w:b w:val="0"/>
        </w:rPr>
        <w:t xml:space="preserve"> aimed to</w:t>
      </w:r>
      <w:r w:rsidR="007C0DA3">
        <w:rPr>
          <w:rStyle w:val="Strong"/>
          <w:rFonts w:cs="Arial"/>
          <w:b w:val="0"/>
        </w:rPr>
        <w:t xml:space="preserve"> </w:t>
      </w:r>
      <w:r w:rsidRPr="007C0DA3">
        <w:rPr>
          <w:rStyle w:val="Strong"/>
          <w:rFonts w:cs="Arial"/>
          <w:b w:val="0"/>
        </w:rPr>
        <w:t xml:space="preserve">inform the next phase of PNDS-SP (2017-2021), provide recommendations for any adjustments to End of Program Outcomes and program implementation, within the context of the PNDS-SP design, progress and achievements to date, lessons learned and context changes. </w:t>
      </w:r>
    </w:p>
    <w:p w14:paraId="33CDFF01" w14:textId="252DE945" w:rsidR="00C657FB" w:rsidRPr="00394FD3" w:rsidRDefault="00C657FB" w:rsidP="00C657FB">
      <w:r w:rsidRPr="00123C3E">
        <w:rPr>
          <w:b/>
        </w:rPr>
        <w:t>Evaluation Completion Date:</w:t>
      </w:r>
      <w:r w:rsidR="000B3828">
        <w:t xml:space="preserve"> </w:t>
      </w:r>
      <w:r w:rsidR="002E7F4E">
        <w:t>13 February 2017</w:t>
      </w:r>
    </w:p>
    <w:p w14:paraId="33CDFF03" w14:textId="1FECC21F" w:rsidR="002824B7" w:rsidRDefault="00C657FB" w:rsidP="00532595">
      <w:r w:rsidRPr="00123C3E">
        <w:rPr>
          <w:b/>
        </w:rPr>
        <w:t>Evaluation Team:</w:t>
      </w:r>
      <w:r w:rsidR="00532595">
        <w:rPr>
          <w:b/>
        </w:rPr>
        <w:t xml:space="preserve"> </w:t>
      </w:r>
      <w:r w:rsidR="000B3828">
        <w:t>Deborah Rhodes</w:t>
      </w:r>
      <w:r w:rsidR="00532595">
        <w:t xml:space="preserve"> (Team Leader), </w:t>
      </w:r>
      <w:r w:rsidR="000B3828">
        <w:t>Frances</w:t>
      </w:r>
      <w:r w:rsidR="00032E47">
        <w:t>c</w:t>
      </w:r>
      <w:r w:rsidR="000B3828">
        <w:t xml:space="preserve">a Law-Davies (community-driven development expert, DFAT representative) </w:t>
      </w:r>
      <w:r w:rsidR="00532595">
        <w:t xml:space="preserve">and </w:t>
      </w:r>
      <w:r w:rsidR="000B3828">
        <w:t>Re</w:t>
      </w:r>
      <w:r w:rsidR="005566FF">
        <w:t>i</w:t>
      </w:r>
      <w:r w:rsidR="000B3828">
        <w:t xml:space="preserve">naldo </w:t>
      </w:r>
      <w:r w:rsidR="005566FF">
        <w:t xml:space="preserve">Borges </w:t>
      </w:r>
      <w:r w:rsidR="00532595">
        <w:t>(</w:t>
      </w:r>
      <w:r w:rsidR="000B3828">
        <w:t xml:space="preserve">Timor-Leste </w:t>
      </w:r>
      <w:r w:rsidR="005566FF">
        <w:t>team member</w:t>
      </w:r>
      <w:r w:rsidR="00532595">
        <w:t>)</w:t>
      </w:r>
      <w:r w:rsidR="00D07555">
        <w:t>.</w:t>
      </w:r>
      <w:r w:rsidR="00532595">
        <w:t xml:space="preserve"> </w:t>
      </w:r>
    </w:p>
    <w:p w14:paraId="33CDFF05" w14:textId="688321E7" w:rsidR="005E3939" w:rsidRDefault="001873F8" w:rsidP="000D316D">
      <w:pPr>
        <w:rPr>
          <w:b/>
          <w:sz w:val="22"/>
          <w:szCs w:val="22"/>
          <w:lang w:eastAsia="en-AU"/>
        </w:rPr>
      </w:pPr>
      <w:r>
        <w:rPr>
          <w:b/>
          <w:sz w:val="22"/>
          <w:szCs w:val="22"/>
          <w:lang w:eastAsia="en-AU"/>
        </w:rPr>
        <w:t>DFAT</w:t>
      </w:r>
      <w:r w:rsidR="00367DA3" w:rsidRPr="008B3156">
        <w:rPr>
          <w:b/>
          <w:sz w:val="22"/>
          <w:szCs w:val="22"/>
          <w:lang w:eastAsia="en-AU"/>
        </w:rPr>
        <w:t>’s response to the evaluation report</w:t>
      </w:r>
    </w:p>
    <w:p w14:paraId="71AC138F" w14:textId="651148E1" w:rsidR="001873F8" w:rsidRDefault="005566FF" w:rsidP="00D05A8A">
      <w:pPr>
        <w:rPr>
          <w:szCs w:val="20"/>
          <w:lang w:eastAsia="en-AU"/>
        </w:rPr>
      </w:pPr>
      <w:r w:rsidRPr="00D05A8A">
        <w:rPr>
          <w:szCs w:val="20"/>
          <w:lang w:eastAsia="en-AU"/>
        </w:rPr>
        <w:t xml:space="preserve">DFAT welcomes the report’s findings that Australia has made a substantial contribution to the success of PNDS to date, and that the Support Program has been delivered through a respectful and highly effective partnership. </w:t>
      </w:r>
      <w:r w:rsidR="001873F8" w:rsidRPr="00D05A8A">
        <w:rPr>
          <w:szCs w:val="20"/>
          <w:lang w:eastAsia="en-AU"/>
        </w:rPr>
        <w:t>DFAT agrees with all the findings and recommendations</w:t>
      </w:r>
      <w:r w:rsidR="00D07555" w:rsidRPr="00D05A8A">
        <w:rPr>
          <w:szCs w:val="20"/>
          <w:lang w:eastAsia="en-AU"/>
        </w:rPr>
        <w:t>.</w:t>
      </w:r>
    </w:p>
    <w:p w14:paraId="6325BDB2" w14:textId="2A1C3DB7" w:rsidR="00B91CA5" w:rsidRDefault="00B91CA5" w:rsidP="00D05A8A">
      <w:pPr>
        <w:rPr>
          <w:szCs w:val="20"/>
          <w:lang w:eastAsia="en-AU"/>
        </w:rPr>
      </w:pPr>
    </w:p>
    <w:p w14:paraId="33CDFF0C" w14:textId="7C0A6164" w:rsidR="00C657FB" w:rsidRPr="008B3156" w:rsidRDefault="001873F8" w:rsidP="000D316D">
      <w:pPr>
        <w:rPr>
          <w:b/>
          <w:sz w:val="22"/>
          <w:szCs w:val="22"/>
          <w:lang w:eastAsia="en-AU"/>
        </w:rPr>
      </w:pPr>
      <w:r>
        <w:rPr>
          <w:b/>
          <w:sz w:val="22"/>
          <w:szCs w:val="22"/>
          <w:lang w:eastAsia="en-AU"/>
        </w:rPr>
        <w:t>DFAT</w:t>
      </w:r>
      <w:r w:rsidR="00F63B43" w:rsidRPr="008B3156">
        <w:rPr>
          <w:b/>
          <w:sz w:val="22"/>
          <w:szCs w:val="22"/>
          <w:lang w:eastAsia="en-AU"/>
        </w:rPr>
        <w:t>’s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0A57A1DC" w14:textId="0B35458D" w:rsidR="001F4E7D" w:rsidRDefault="0066683D" w:rsidP="00360B33">
      <w:pPr>
        <w:jc w:val="both"/>
        <w:rPr>
          <w:rFonts w:cs="Arial"/>
        </w:rPr>
      </w:pPr>
      <w:r w:rsidRPr="0066683D">
        <w:rPr>
          <w:rFonts w:cs="Arial"/>
        </w:rPr>
        <w:t xml:space="preserve">The Mid Term Review </w:t>
      </w:r>
      <w:r>
        <w:rPr>
          <w:rFonts w:cs="Arial"/>
        </w:rPr>
        <w:t xml:space="preserve">provides 24 </w:t>
      </w:r>
      <w:r w:rsidR="009608FE">
        <w:rPr>
          <w:rFonts w:cs="Arial"/>
        </w:rPr>
        <w:t>recommendations.</w:t>
      </w:r>
      <w:r w:rsidR="00B548F6">
        <w:rPr>
          <w:rFonts w:cs="Arial"/>
        </w:rPr>
        <w:t xml:space="preserve"> </w:t>
      </w:r>
    </w:p>
    <w:p w14:paraId="04F0ACD3" w14:textId="77777777" w:rsidR="009608FE" w:rsidRDefault="009608FE" w:rsidP="00360B33">
      <w:pPr>
        <w:jc w:val="both"/>
        <w:rPr>
          <w:rFonts w:cs="Arial"/>
        </w:rPr>
      </w:pPr>
    </w:p>
    <w:tbl>
      <w:tblPr>
        <w:tblW w:w="99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4998"/>
        <w:gridCol w:w="4998"/>
      </w:tblGrid>
      <w:tr w:rsidR="00FF0BC9" w14:paraId="7C85D787" w14:textId="77777777" w:rsidTr="00FD6868">
        <w:trPr>
          <w:cantSplit/>
        </w:trPr>
        <w:tc>
          <w:tcPr>
            <w:tcW w:w="4998" w:type="dxa"/>
            <w:tcBorders>
              <w:top w:val="single" w:sz="4" w:space="0" w:color="808080"/>
              <w:left w:val="single" w:sz="4" w:space="0" w:color="808080"/>
              <w:bottom w:val="single" w:sz="4" w:space="0" w:color="808080"/>
              <w:right w:val="single" w:sz="4" w:space="0" w:color="808080"/>
            </w:tcBorders>
            <w:shd w:val="clear" w:color="auto" w:fill="FFEC9B"/>
            <w:vAlign w:val="center"/>
            <w:hideMark/>
          </w:tcPr>
          <w:p w14:paraId="6BCA3288" w14:textId="77777777" w:rsidR="00FF0BC9" w:rsidRDefault="00FF0BC9">
            <w:pPr>
              <w:pStyle w:val="Heading2"/>
              <w:spacing w:before="120" w:after="120"/>
              <w:jc w:val="center"/>
              <w:rPr>
                <w:sz w:val="20"/>
                <w:szCs w:val="20"/>
              </w:rPr>
            </w:pPr>
            <w:r>
              <w:rPr>
                <w:sz w:val="20"/>
                <w:szCs w:val="20"/>
              </w:rPr>
              <w:t>Recommendation</w:t>
            </w:r>
          </w:p>
        </w:tc>
        <w:tc>
          <w:tcPr>
            <w:tcW w:w="4998" w:type="dxa"/>
            <w:tcBorders>
              <w:top w:val="single" w:sz="4" w:space="0" w:color="808080"/>
              <w:left w:val="single" w:sz="4" w:space="0" w:color="808080"/>
              <w:bottom w:val="single" w:sz="4" w:space="0" w:color="808080"/>
              <w:right w:val="single" w:sz="4" w:space="0" w:color="808080"/>
            </w:tcBorders>
            <w:shd w:val="clear" w:color="auto" w:fill="FFEC9B"/>
            <w:vAlign w:val="center"/>
            <w:hideMark/>
          </w:tcPr>
          <w:p w14:paraId="7022A7A2" w14:textId="0A310355" w:rsidR="00FF0BC9" w:rsidRPr="00FF0BC9" w:rsidRDefault="00FF0BC9" w:rsidP="00FF0BC9">
            <w:pPr>
              <w:spacing w:after="120"/>
              <w:jc w:val="center"/>
              <w:rPr>
                <w:rFonts w:cs="Arial"/>
                <w:b/>
                <w:szCs w:val="20"/>
              </w:rPr>
            </w:pPr>
            <w:r>
              <w:rPr>
                <w:rFonts w:cs="Arial"/>
                <w:b/>
                <w:szCs w:val="20"/>
              </w:rPr>
              <w:t>Actions</w:t>
            </w:r>
          </w:p>
        </w:tc>
      </w:tr>
      <w:tr w:rsidR="004740EB" w14:paraId="5FCA6284" w14:textId="77777777" w:rsidTr="00207033">
        <w:trPr>
          <w:cantSplit/>
          <w:trHeight w:val="484"/>
        </w:trPr>
        <w:tc>
          <w:tcPr>
            <w:tcW w:w="9996" w:type="dxa"/>
            <w:gridSpan w:val="2"/>
            <w:tcBorders>
              <w:top w:val="single" w:sz="4" w:space="0" w:color="808080"/>
              <w:left w:val="single" w:sz="4" w:space="0" w:color="808080"/>
              <w:bottom w:val="single" w:sz="4" w:space="0" w:color="808080"/>
              <w:right w:val="single" w:sz="4" w:space="0" w:color="808080"/>
            </w:tcBorders>
            <w:hideMark/>
          </w:tcPr>
          <w:p w14:paraId="35AA429D" w14:textId="77777777" w:rsidR="004740EB" w:rsidRDefault="004740EB">
            <w:pPr>
              <w:rPr>
                <w:rFonts w:cs="Arial"/>
                <w:b/>
              </w:rPr>
            </w:pPr>
            <w:r>
              <w:rPr>
                <w:b/>
              </w:rPr>
              <w:t>Recommendations for PNDS Support Program in Phase 2 (2017-2021)</w:t>
            </w:r>
          </w:p>
        </w:tc>
      </w:tr>
      <w:tr w:rsidR="00457E52" w14:paraId="42AE1AF2"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808080"/>
            </w:tcBorders>
            <w:hideMark/>
          </w:tcPr>
          <w:p w14:paraId="723247DA" w14:textId="77777777" w:rsidR="00457E52" w:rsidRDefault="00457E52" w:rsidP="004740EB">
            <w:pPr>
              <w:numPr>
                <w:ilvl w:val="0"/>
                <w:numId w:val="19"/>
              </w:numPr>
              <w:spacing w:after="120"/>
              <w:ind w:left="426" w:hanging="426"/>
              <w:rPr>
                <w:b/>
              </w:rPr>
            </w:pPr>
            <w:r>
              <w:t>Continue to provide assistance to further embed and strengthen systems and skills, with a progressive shift in focus of operational support from national to municipal level, including a focus on operations and maintenance and sustainability of infrastructure</w:t>
            </w:r>
          </w:p>
        </w:tc>
        <w:tc>
          <w:tcPr>
            <w:tcW w:w="4998" w:type="dxa"/>
            <w:tcBorders>
              <w:top w:val="single" w:sz="4" w:space="0" w:color="808080"/>
              <w:left w:val="single" w:sz="4" w:space="0" w:color="808080"/>
              <w:bottom w:val="single" w:sz="4" w:space="0" w:color="808080"/>
              <w:right w:val="single" w:sz="4" w:space="0" w:color="808080"/>
            </w:tcBorders>
            <w:hideMark/>
          </w:tcPr>
          <w:p w14:paraId="5CB5BA04" w14:textId="2D30F5CA" w:rsidR="00457E52" w:rsidRDefault="00457E52" w:rsidP="00B22F0F">
            <w:pPr>
              <w:spacing w:after="120"/>
              <w:rPr>
                <w:rFonts w:cs="Arial"/>
              </w:rPr>
            </w:pPr>
            <w:r>
              <w:rPr>
                <w:rFonts w:cs="Arial"/>
              </w:rPr>
              <w:t>Support Program will revise</w:t>
            </w:r>
            <w:r w:rsidR="0066401F">
              <w:rPr>
                <w:rFonts w:cs="Arial"/>
              </w:rPr>
              <w:t xml:space="preserve"> its</w:t>
            </w:r>
            <w:r>
              <w:rPr>
                <w:rFonts w:cs="Arial"/>
              </w:rPr>
              <w:t xml:space="preserve"> work plan to identify activities that </w:t>
            </w:r>
            <w:r w:rsidR="00C57A6B">
              <w:rPr>
                <w:rFonts w:cs="Arial"/>
              </w:rPr>
              <w:t xml:space="preserve">progressively shift the </w:t>
            </w:r>
            <w:r w:rsidR="00BB435F">
              <w:rPr>
                <w:rFonts w:cs="Arial"/>
              </w:rPr>
              <w:t xml:space="preserve">focus to </w:t>
            </w:r>
            <w:r>
              <w:rPr>
                <w:rFonts w:cs="Arial"/>
              </w:rPr>
              <w:t xml:space="preserve">municipal support and on operations and maintenance. </w:t>
            </w:r>
            <w:r w:rsidR="00C57A6B">
              <w:rPr>
                <w:rFonts w:cs="Arial"/>
              </w:rPr>
              <w:t xml:space="preserve">This may include the recruitment of municipal advisers and work with other government institutions and DFAT development programs on operations and maintenance standards. </w:t>
            </w:r>
          </w:p>
        </w:tc>
      </w:tr>
      <w:tr w:rsidR="00FF0BC9" w14:paraId="2D423553"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808080"/>
            </w:tcBorders>
            <w:hideMark/>
          </w:tcPr>
          <w:p w14:paraId="2C4C9A8B" w14:textId="77777777" w:rsidR="00FF0BC9" w:rsidRPr="00B90DCA" w:rsidRDefault="00FF0BC9" w:rsidP="004740EB">
            <w:pPr>
              <w:numPr>
                <w:ilvl w:val="0"/>
                <w:numId w:val="19"/>
              </w:numPr>
              <w:spacing w:after="120"/>
              <w:ind w:left="426" w:hanging="426"/>
              <w:rPr>
                <w:b/>
              </w:rPr>
            </w:pPr>
            <w:r w:rsidRPr="00B90DCA">
              <w:t>Continue to contribute to institutional capacity of PNDS at all levels, with an appropriate and coherent mix of methods.  This includes:</w:t>
            </w:r>
          </w:p>
          <w:p w14:paraId="11D19E2A" w14:textId="77777777" w:rsidR="00FF0BC9" w:rsidRPr="00B90DCA" w:rsidRDefault="00FF0BC9" w:rsidP="004740EB">
            <w:pPr>
              <w:pStyle w:val="ListParagraph"/>
              <w:numPr>
                <w:ilvl w:val="0"/>
                <w:numId w:val="20"/>
              </w:numPr>
              <w:spacing w:before="0" w:after="160" w:line="256" w:lineRule="auto"/>
              <w:ind w:left="426" w:hanging="426"/>
            </w:pPr>
            <w:r w:rsidRPr="00B90DCA">
              <w:t>support the PNDS Secretariat with change management processes in light of decentralisation and new and anticipated revised Decree Laws on PNDS</w:t>
            </w:r>
          </w:p>
          <w:p w14:paraId="31AD78AA" w14:textId="62DE7D56" w:rsidR="00FF0BC9" w:rsidRPr="00B90DCA" w:rsidRDefault="00FF0BC9" w:rsidP="004740EB">
            <w:pPr>
              <w:pStyle w:val="ListParagraph"/>
              <w:numPr>
                <w:ilvl w:val="0"/>
                <w:numId w:val="20"/>
              </w:numPr>
              <w:spacing w:before="0" w:after="160" w:line="256" w:lineRule="auto"/>
              <w:ind w:left="426" w:hanging="426"/>
            </w:pPr>
            <w:r w:rsidRPr="00B90DCA">
              <w:t xml:space="preserve">a progressive reduction of advisory support, based </w:t>
            </w:r>
            <w:r w:rsidR="00F0046D" w:rsidRPr="00B90DCA">
              <w:t>on ongoing capacity assessments</w:t>
            </w:r>
          </w:p>
          <w:p w14:paraId="66FAEF91" w14:textId="77777777" w:rsidR="00FF0BC9" w:rsidRPr="00B90DCA" w:rsidRDefault="00FF0BC9" w:rsidP="004740EB">
            <w:pPr>
              <w:pStyle w:val="ListParagraph"/>
              <w:numPr>
                <w:ilvl w:val="0"/>
                <w:numId w:val="20"/>
              </w:numPr>
              <w:spacing w:before="0" w:after="160" w:line="256" w:lineRule="auto"/>
              <w:ind w:left="426" w:hanging="426"/>
            </w:pPr>
            <w:r w:rsidRPr="00B90DCA">
              <w:t>organization and funding for continued professional development of PNDS facilitators, with social facilitators as the first priority</w:t>
            </w:r>
          </w:p>
          <w:p w14:paraId="43C57766" w14:textId="77777777" w:rsidR="00FF0BC9" w:rsidRPr="00B90DCA" w:rsidRDefault="00FF0BC9" w:rsidP="004740EB">
            <w:pPr>
              <w:pStyle w:val="ListParagraph"/>
              <w:numPr>
                <w:ilvl w:val="0"/>
                <w:numId w:val="20"/>
              </w:numPr>
              <w:spacing w:before="0" w:after="160" w:line="256" w:lineRule="auto"/>
              <w:ind w:left="426" w:hanging="426"/>
            </w:pPr>
            <w:r w:rsidRPr="00B90DCA">
              <w:t>integrated training across all facilitators to strengthen consistency and coherence</w:t>
            </w:r>
          </w:p>
        </w:tc>
        <w:tc>
          <w:tcPr>
            <w:tcW w:w="4998" w:type="dxa"/>
            <w:tcBorders>
              <w:top w:val="single" w:sz="4" w:space="0" w:color="808080"/>
              <w:left w:val="single" w:sz="4" w:space="0" w:color="808080"/>
              <w:bottom w:val="single" w:sz="4" w:space="0" w:color="808080"/>
              <w:right w:val="single" w:sz="4" w:space="0" w:color="808080"/>
            </w:tcBorders>
            <w:hideMark/>
          </w:tcPr>
          <w:p w14:paraId="71A83FA6" w14:textId="77777777" w:rsidR="009C52BF" w:rsidRPr="00B90DCA" w:rsidRDefault="00BB435F" w:rsidP="00AE4F77">
            <w:pPr>
              <w:spacing w:after="120"/>
              <w:rPr>
                <w:rFonts w:cs="Arial"/>
              </w:rPr>
            </w:pPr>
            <w:r w:rsidRPr="00B90DCA">
              <w:rPr>
                <w:rFonts w:cs="Arial"/>
              </w:rPr>
              <w:t>Support Program will update the program’s</w:t>
            </w:r>
            <w:r w:rsidR="00FF0BC9" w:rsidRPr="00B90DCA">
              <w:rPr>
                <w:rFonts w:cs="Arial"/>
              </w:rPr>
              <w:t xml:space="preserve"> Strategic Overview</w:t>
            </w:r>
            <w:r w:rsidRPr="00B90DCA">
              <w:rPr>
                <w:rFonts w:cs="Arial"/>
              </w:rPr>
              <w:t xml:space="preserve"> in partnership with PNDS leadership</w:t>
            </w:r>
            <w:r w:rsidR="00AE4F77" w:rsidRPr="00B90DCA">
              <w:rPr>
                <w:rFonts w:cs="Arial"/>
              </w:rPr>
              <w:t xml:space="preserve"> to reflect this recommendation. </w:t>
            </w:r>
          </w:p>
          <w:p w14:paraId="603179B0" w14:textId="66C8D0AC" w:rsidR="006B20F3" w:rsidRPr="00B90DCA" w:rsidRDefault="009C52BF" w:rsidP="009C52BF">
            <w:pPr>
              <w:spacing w:after="120"/>
            </w:pPr>
            <w:r w:rsidRPr="00B90DCA">
              <w:rPr>
                <w:rFonts w:cs="Arial"/>
              </w:rPr>
              <w:t xml:space="preserve">The Support Program’s </w:t>
            </w:r>
            <w:r w:rsidRPr="00B90DCA">
              <w:t>Senior Stakeholder Engagement Advisor will be reallocated to work within the office of the Vice Minister of State Administration to improve coordination and support on change management processes, particularly decentralisation</w:t>
            </w:r>
            <w:r w:rsidR="001D1D35" w:rsidRPr="00B90DCA">
              <w:t xml:space="preserve">, budget </w:t>
            </w:r>
            <w:r w:rsidR="00DF328B" w:rsidRPr="00B90DCA">
              <w:t>development</w:t>
            </w:r>
            <w:r w:rsidRPr="00B90DCA">
              <w:t xml:space="preserve"> and revisions to relevant Decree Laws. </w:t>
            </w:r>
          </w:p>
          <w:p w14:paraId="1EE75F5D" w14:textId="1FF9CD07" w:rsidR="00FF0BC9" w:rsidRPr="00B90DCA" w:rsidRDefault="005423EE" w:rsidP="009C52BF">
            <w:pPr>
              <w:spacing w:after="120"/>
            </w:pPr>
            <w:r w:rsidRPr="00B90DCA">
              <w:t>Based on a training needs analysis of social facilitators, the Support Program will provide</w:t>
            </w:r>
            <w:r w:rsidR="00173C44" w:rsidRPr="00B90DCA">
              <w:t xml:space="preserve"> Certificate III</w:t>
            </w:r>
            <w:r w:rsidRPr="00B90DCA">
              <w:t xml:space="preserve"> Community Facilitation Skills and conflict resolution training in 2017. </w:t>
            </w:r>
            <w:r w:rsidR="00DB11FC" w:rsidRPr="00B90DCA">
              <w:t>Other training opportunities will continue to be delivered to all facilitators (technical, finance and social) including in project management, excel, community facilitation and specialised technical</w:t>
            </w:r>
            <w:r w:rsidR="00457D06" w:rsidRPr="00B90DCA">
              <w:t>/engineering</w:t>
            </w:r>
            <w:r w:rsidR="00DB11FC" w:rsidRPr="00B90DCA">
              <w:t xml:space="preserve"> skills. </w:t>
            </w:r>
            <w:r w:rsidR="0081768E" w:rsidRPr="00B90DCA">
              <w:t xml:space="preserve">The Support Program will improve development and use of training assessment tools to guide future training opportunities and strengthening consistency and coherence. </w:t>
            </w:r>
          </w:p>
        </w:tc>
      </w:tr>
      <w:tr w:rsidR="00F56A2E" w14:paraId="3E7913D6"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808080"/>
            </w:tcBorders>
            <w:hideMark/>
          </w:tcPr>
          <w:p w14:paraId="60047004" w14:textId="77777777" w:rsidR="00F56A2E" w:rsidRPr="00B90DCA" w:rsidRDefault="00F56A2E" w:rsidP="004740EB">
            <w:pPr>
              <w:numPr>
                <w:ilvl w:val="0"/>
                <w:numId w:val="19"/>
              </w:numPr>
              <w:spacing w:after="120"/>
              <w:ind w:left="426" w:hanging="426"/>
              <w:rPr>
                <w:b/>
              </w:rPr>
            </w:pPr>
            <w:r w:rsidRPr="00B90DCA">
              <w:t>Engage more deliberately in inter-sectoral coordination to support service delivery and economic opportunities at community level associated with other DFAT programs</w:t>
            </w:r>
          </w:p>
        </w:tc>
        <w:tc>
          <w:tcPr>
            <w:tcW w:w="4998" w:type="dxa"/>
            <w:tcBorders>
              <w:top w:val="single" w:sz="4" w:space="0" w:color="808080"/>
              <w:left w:val="single" w:sz="4" w:space="0" w:color="808080"/>
              <w:bottom w:val="single" w:sz="4" w:space="0" w:color="808080"/>
              <w:right w:val="single" w:sz="4" w:space="0" w:color="808080"/>
            </w:tcBorders>
            <w:hideMark/>
          </w:tcPr>
          <w:p w14:paraId="4F63BC09" w14:textId="0F361783" w:rsidR="00F56A2E" w:rsidRPr="00B90DCA" w:rsidRDefault="00F56A2E">
            <w:pPr>
              <w:spacing w:after="120"/>
              <w:rPr>
                <w:rFonts w:cs="Arial"/>
              </w:rPr>
            </w:pPr>
            <w:r w:rsidRPr="00B90DCA">
              <w:rPr>
                <w:rFonts w:cs="Arial"/>
              </w:rPr>
              <w:t xml:space="preserve">Embassy to use the monthly </w:t>
            </w:r>
            <w:r w:rsidR="00AE1EE6" w:rsidRPr="00B90DCA">
              <w:rPr>
                <w:rFonts w:cs="Arial"/>
              </w:rPr>
              <w:t>management</w:t>
            </w:r>
            <w:r w:rsidRPr="00B90DCA">
              <w:rPr>
                <w:rFonts w:cs="Arial"/>
              </w:rPr>
              <w:t xml:space="preserve"> meetings</w:t>
            </w:r>
            <w:r w:rsidR="00AE1EE6" w:rsidRPr="00B90DCA">
              <w:rPr>
                <w:rFonts w:cs="Arial"/>
              </w:rPr>
              <w:t xml:space="preserve"> and initiate</w:t>
            </w:r>
            <w:r w:rsidR="00EE278B" w:rsidRPr="00B90DCA">
              <w:rPr>
                <w:rFonts w:cs="Arial"/>
              </w:rPr>
              <w:t xml:space="preserve"> at least 6-monthly program</w:t>
            </w:r>
            <w:r w:rsidR="00AE1EE6" w:rsidRPr="00B90DCA">
              <w:rPr>
                <w:rFonts w:cs="Arial"/>
              </w:rPr>
              <w:t xml:space="preserve"> Team Leader meetings</w:t>
            </w:r>
            <w:r w:rsidRPr="00B90DCA">
              <w:rPr>
                <w:rFonts w:cs="Arial"/>
              </w:rPr>
              <w:t xml:space="preserve"> </w:t>
            </w:r>
            <w:r w:rsidR="00AE1EE6" w:rsidRPr="00B90DCA">
              <w:rPr>
                <w:rFonts w:cs="Arial"/>
              </w:rPr>
              <w:t>to improve</w:t>
            </w:r>
            <w:r w:rsidRPr="00B90DCA">
              <w:rPr>
                <w:rFonts w:cs="Arial"/>
              </w:rPr>
              <w:t xml:space="preserve"> coordination </w:t>
            </w:r>
            <w:r w:rsidR="00EE278B" w:rsidRPr="00B90DCA">
              <w:rPr>
                <w:rFonts w:cs="Arial"/>
              </w:rPr>
              <w:t>across</w:t>
            </w:r>
            <w:r w:rsidR="00AE1EE6" w:rsidRPr="00B90DCA">
              <w:rPr>
                <w:rFonts w:cs="Arial"/>
              </w:rPr>
              <w:t xml:space="preserve"> </w:t>
            </w:r>
            <w:r w:rsidRPr="00B90DCA">
              <w:rPr>
                <w:rFonts w:cs="Arial"/>
              </w:rPr>
              <w:t xml:space="preserve">the bilateral program, with a focus on </w:t>
            </w:r>
            <w:r w:rsidR="00A31B1E" w:rsidRPr="00B90DCA">
              <w:rPr>
                <w:rFonts w:cs="Arial"/>
              </w:rPr>
              <w:t xml:space="preserve">Partnership for Human Development (PHD) </w:t>
            </w:r>
            <w:r w:rsidRPr="00B90DCA">
              <w:rPr>
                <w:rFonts w:cs="Arial"/>
              </w:rPr>
              <w:t xml:space="preserve">investments, Roads for Development and the Governance for Development programs. </w:t>
            </w:r>
          </w:p>
          <w:p w14:paraId="34871D3A" w14:textId="48F07269" w:rsidR="00F56A2E" w:rsidRPr="00B90DCA" w:rsidRDefault="00EE278B" w:rsidP="00EE278B">
            <w:pPr>
              <w:spacing w:after="120"/>
              <w:rPr>
                <w:rFonts w:cs="Arial"/>
              </w:rPr>
            </w:pPr>
            <w:r w:rsidRPr="00B90DCA">
              <w:rPr>
                <w:rFonts w:cs="Arial"/>
              </w:rPr>
              <w:t>As a dedicated activity, t</w:t>
            </w:r>
            <w:r w:rsidR="00AE1EE6" w:rsidRPr="00B90DCA">
              <w:rPr>
                <w:rFonts w:cs="Arial"/>
              </w:rPr>
              <w:t>he Sup</w:t>
            </w:r>
            <w:r w:rsidRPr="00B90DCA">
              <w:rPr>
                <w:rFonts w:cs="Arial"/>
              </w:rPr>
              <w:t xml:space="preserve">port Program will work with PHD </w:t>
            </w:r>
            <w:r w:rsidR="00AE1EE6" w:rsidRPr="00B90DCA">
              <w:rPr>
                <w:rFonts w:cs="Arial"/>
              </w:rPr>
              <w:t>and relevant Government of Timor-Leste bodies to develop an improved national approach to maintenance for water projects</w:t>
            </w:r>
            <w:r w:rsidR="00AD3943" w:rsidRPr="00B90DCA">
              <w:rPr>
                <w:rFonts w:cs="Arial"/>
              </w:rPr>
              <w:t xml:space="preserve"> at the community level</w:t>
            </w:r>
            <w:r w:rsidR="00AE1EE6" w:rsidRPr="00B90DCA">
              <w:rPr>
                <w:rFonts w:cs="Arial"/>
              </w:rPr>
              <w:t xml:space="preserve">. </w:t>
            </w:r>
          </w:p>
        </w:tc>
      </w:tr>
      <w:tr w:rsidR="00AE3A4C" w14:paraId="145E1B8A"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808080"/>
            </w:tcBorders>
            <w:hideMark/>
          </w:tcPr>
          <w:p w14:paraId="45FAC372" w14:textId="77777777" w:rsidR="00AE3A4C" w:rsidRPr="00B90DCA" w:rsidRDefault="00AE3A4C" w:rsidP="004740EB">
            <w:pPr>
              <w:numPr>
                <w:ilvl w:val="0"/>
                <w:numId w:val="19"/>
              </w:numPr>
              <w:spacing w:after="120"/>
              <w:ind w:left="426" w:hanging="426"/>
              <w:rPr>
                <w:b/>
              </w:rPr>
            </w:pPr>
            <w:r w:rsidRPr="00B90DCA">
              <w:lastRenderedPageBreak/>
              <w:t>Consider ways to support PNDS to enhance broader social accountability, i.e. build stronger relationships between citizens and local government, on the basis of PNDS experience to date</w:t>
            </w:r>
          </w:p>
        </w:tc>
        <w:tc>
          <w:tcPr>
            <w:tcW w:w="4998" w:type="dxa"/>
            <w:tcBorders>
              <w:top w:val="single" w:sz="4" w:space="0" w:color="808080"/>
              <w:left w:val="single" w:sz="4" w:space="0" w:color="808080"/>
              <w:bottom w:val="single" w:sz="4" w:space="0" w:color="808080"/>
              <w:right w:val="single" w:sz="4" w:space="0" w:color="808080"/>
            </w:tcBorders>
            <w:hideMark/>
          </w:tcPr>
          <w:p w14:paraId="39873DE4" w14:textId="1FAD83B0" w:rsidR="00AE3A4C" w:rsidRPr="00B90DCA" w:rsidRDefault="00D1101E">
            <w:pPr>
              <w:spacing w:after="120"/>
              <w:rPr>
                <w:rFonts w:cs="Arial"/>
              </w:rPr>
            </w:pPr>
            <w:r w:rsidRPr="00B90DCA">
              <w:rPr>
                <w:rFonts w:cs="Arial"/>
              </w:rPr>
              <w:t xml:space="preserve">Support Program will update the program’s Strategic Overview in partnership with PNDS leadership to reflect this recommendation. </w:t>
            </w:r>
            <w:r w:rsidR="00A41C36" w:rsidRPr="00B90DCA">
              <w:rPr>
                <w:rFonts w:cs="Arial"/>
              </w:rPr>
              <w:t xml:space="preserve">The program will continue </w:t>
            </w:r>
            <w:r w:rsidR="00BA1563" w:rsidRPr="00B90DCA">
              <w:rPr>
                <w:rFonts w:cs="Arial"/>
              </w:rPr>
              <w:t xml:space="preserve">to use and strengthen the community accountability monitoring tool developed in 2016. </w:t>
            </w:r>
          </w:p>
        </w:tc>
      </w:tr>
      <w:tr w:rsidR="00487F6D" w14:paraId="05DBF7D0"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808080"/>
            </w:tcBorders>
            <w:hideMark/>
          </w:tcPr>
          <w:p w14:paraId="79532A16" w14:textId="77777777" w:rsidR="00487F6D" w:rsidRPr="00B90DCA" w:rsidRDefault="00487F6D" w:rsidP="004740EB">
            <w:pPr>
              <w:numPr>
                <w:ilvl w:val="0"/>
                <w:numId w:val="19"/>
              </w:numPr>
              <w:spacing w:after="120"/>
              <w:ind w:left="426" w:hanging="426"/>
              <w:rPr>
                <w:b/>
              </w:rPr>
            </w:pPr>
            <w:r w:rsidRPr="00B90DCA">
              <w:t xml:space="preserve">Support a more coherent quality assurance system, incorporating MIS, periodic research and improved use of monitoring data </w:t>
            </w:r>
          </w:p>
        </w:tc>
        <w:tc>
          <w:tcPr>
            <w:tcW w:w="4998" w:type="dxa"/>
            <w:tcBorders>
              <w:top w:val="single" w:sz="4" w:space="0" w:color="808080"/>
              <w:left w:val="single" w:sz="4" w:space="0" w:color="808080"/>
              <w:bottom w:val="single" w:sz="4" w:space="0" w:color="808080"/>
              <w:right w:val="single" w:sz="4" w:space="0" w:color="808080"/>
            </w:tcBorders>
            <w:hideMark/>
          </w:tcPr>
          <w:p w14:paraId="1A538EF2" w14:textId="661D2E98" w:rsidR="00487F6D" w:rsidRPr="00B90DCA" w:rsidRDefault="00487F6D">
            <w:pPr>
              <w:spacing w:after="120"/>
              <w:rPr>
                <w:rFonts w:cs="Arial"/>
              </w:rPr>
            </w:pPr>
            <w:r w:rsidRPr="00B90DCA">
              <w:rPr>
                <w:rFonts w:cs="Arial"/>
              </w:rPr>
              <w:t xml:space="preserve">PNDS Management Information System </w:t>
            </w:r>
            <w:r w:rsidR="00E70914" w:rsidRPr="00B90DCA">
              <w:rPr>
                <w:rFonts w:cs="Arial"/>
              </w:rPr>
              <w:t xml:space="preserve">and updated guidelines </w:t>
            </w:r>
            <w:r w:rsidRPr="00B90DCA">
              <w:rPr>
                <w:rFonts w:cs="Arial"/>
              </w:rPr>
              <w:t xml:space="preserve">to be prioritised for completion </w:t>
            </w:r>
            <w:r w:rsidR="006B6CC9" w:rsidRPr="00B90DCA">
              <w:rPr>
                <w:rFonts w:cs="Arial"/>
              </w:rPr>
              <w:t xml:space="preserve">in 2017. </w:t>
            </w:r>
            <w:r w:rsidRPr="00B90DCA">
              <w:rPr>
                <w:rFonts w:cs="Arial"/>
              </w:rPr>
              <w:t xml:space="preserve"> </w:t>
            </w:r>
          </w:p>
          <w:p w14:paraId="3A4BB7EE" w14:textId="1135D295" w:rsidR="00487F6D" w:rsidRPr="00B90DCA" w:rsidRDefault="006B6CC9" w:rsidP="006B6CC9">
            <w:pPr>
              <w:spacing w:after="120"/>
              <w:rPr>
                <w:rFonts w:cs="Arial"/>
              </w:rPr>
            </w:pPr>
            <w:r w:rsidRPr="00B90DCA">
              <w:rPr>
                <w:rFonts w:cs="Arial"/>
              </w:rPr>
              <w:t xml:space="preserve">Embassy to </w:t>
            </w:r>
            <w:r w:rsidR="00487F6D" w:rsidRPr="00B90DCA">
              <w:rPr>
                <w:rFonts w:cs="Arial"/>
              </w:rPr>
              <w:t xml:space="preserve">discuss with PNDS secretariat </w:t>
            </w:r>
            <w:r w:rsidRPr="00B90DCA">
              <w:rPr>
                <w:rFonts w:cs="Arial"/>
              </w:rPr>
              <w:t xml:space="preserve">and Support Program </w:t>
            </w:r>
            <w:r w:rsidR="00487F6D" w:rsidRPr="00B90DCA">
              <w:rPr>
                <w:rFonts w:cs="Arial"/>
              </w:rPr>
              <w:t xml:space="preserve">how </w:t>
            </w:r>
            <w:r w:rsidRPr="00B90DCA">
              <w:rPr>
                <w:rFonts w:cs="Arial"/>
              </w:rPr>
              <w:t xml:space="preserve">external </w:t>
            </w:r>
            <w:r w:rsidR="00487F6D" w:rsidRPr="00B90DCA">
              <w:rPr>
                <w:rFonts w:cs="Arial"/>
              </w:rPr>
              <w:t>monitoring research support c</w:t>
            </w:r>
            <w:r w:rsidRPr="00B90DCA">
              <w:rPr>
                <w:rFonts w:cs="Arial"/>
              </w:rPr>
              <w:t>ould be structured for Phase 2.</w:t>
            </w:r>
          </w:p>
        </w:tc>
      </w:tr>
      <w:tr w:rsidR="006B6CC9" w14:paraId="67DE53CD"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808080"/>
            </w:tcBorders>
            <w:hideMark/>
          </w:tcPr>
          <w:p w14:paraId="62BE8B93" w14:textId="77777777" w:rsidR="006B6CC9" w:rsidRPr="00B90DCA" w:rsidRDefault="006B6CC9" w:rsidP="004740EB">
            <w:pPr>
              <w:numPr>
                <w:ilvl w:val="0"/>
                <w:numId w:val="19"/>
              </w:numPr>
              <w:spacing w:after="120"/>
              <w:ind w:left="426" w:hanging="426"/>
            </w:pPr>
            <w:r w:rsidRPr="00B90DCA">
              <w:t>Support PNDS to respond to decentralization in ways which maximize the use of and support for community-driven development approaches</w:t>
            </w:r>
          </w:p>
        </w:tc>
        <w:tc>
          <w:tcPr>
            <w:tcW w:w="4998" w:type="dxa"/>
            <w:tcBorders>
              <w:top w:val="single" w:sz="4" w:space="0" w:color="808080"/>
              <w:left w:val="single" w:sz="4" w:space="0" w:color="808080"/>
              <w:bottom w:val="single" w:sz="4" w:space="0" w:color="808080"/>
              <w:right w:val="single" w:sz="4" w:space="0" w:color="808080"/>
            </w:tcBorders>
            <w:hideMark/>
          </w:tcPr>
          <w:p w14:paraId="187E51B8" w14:textId="77777777" w:rsidR="006B6CC9" w:rsidRPr="00B90DCA" w:rsidRDefault="006B6CC9" w:rsidP="006B6CC9">
            <w:pPr>
              <w:spacing w:after="120"/>
              <w:rPr>
                <w:rFonts w:cs="Arial"/>
              </w:rPr>
            </w:pPr>
            <w:r w:rsidRPr="00B90DCA">
              <w:rPr>
                <w:rFonts w:cs="Arial"/>
              </w:rPr>
              <w:t xml:space="preserve">Support Program and Embassy to maintain a watching brief on decentralisation policy and laws and remain flexible and responsive to GoTL requests for support. Support Program will work more closely with Governance for Development program on developments.  </w:t>
            </w:r>
          </w:p>
          <w:p w14:paraId="3F52D5BC" w14:textId="2BC2AFA6" w:rsidR="00EA7344" w:rsidRPr="00B90DCA" w:rsidRDefault="00EA7344" w:rsidP="00EA7344">
            <w:pPr>
              <w:spacing w:after="120"/>
              <w:rPr>
                <w:rFonts w:cs="Arial"/>
              </w:rPr>
            </w:pPr>
            <w:r w:rsidRPr="00B90DCA">
              <w:rPr>
                <w:rFonts w:cs="Arial"/>
              </w:rPr>
              <w:t>Support Program will revise its work plan to identify activities that progressively shift the focus to municipal support which may include the recruitment of municipal advisers.</w:t>
            </w:r>
          </w:p>
        </w:tc>
      </w:tr>
      <w:tr w:rsidR="00E05829" w14:paraId="75FF73E0"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808080"/>
            </w:tcBorders>
            <w:hideMark/>
          </w:tcPr>
          <w:p w14:paraId="5741DCC0" w14:textId="77777777" w:rsidR="00E05829" w:rsidRPr="00B90DCA" w:rsidRDefault="00E05829" w:rsidP="004740EB">
            <w:pPr>
              <w:numPr>
                <w:ilvl w:val="0"/>
                <w:numId w:val="19"/>
              </w:numPr>
              <w:spacing w:after="120"/>
              <w:ind w:left="426" w:hanging="426"/>
              <w:rPr>
                <w:b/>
              </w:rPr>
            </w:pPr>
            <w:r w:rsidRPr="00B90DCA">
              <w:t>Prioritize preparation of quality materials and organisation of events to publicise community achievements through PNDS and the impact of PNDS (including for the new Government to be installed in 2017)</w:t>
            </w:r>
          </w:p>
        </w:tc>
        <w:tc>
          <w:tcPr>
            <w:tcW w:w="4998" w:type="dxa"/>
            <w:tcBorders>
              <w:top w:val="single" w:sz="4" w:space="0" w:color="808080"/>
              <w:left w:val="single" w:sz="4" w:space="0" w:color="808080"/>
              <w:bottom w:val="single" w:sz="4" w:space="0" w:color="808080"/>
              <w:right w:val="single" w:sz="4" w:space="0" w:color="808080"/>
            </w:tcBorders>
            <w:hideMark/>
          </w:tcPr>
          <w:p w14:paraId="729FC2C2" w14:textId="63ABDFF0" w:rsidR="00E05829" w:rsidRPr="00B90DCA" w:rsidRDefault="00E05829" w:rsidP="00B22F0F">
            <w:pPr>
              <w:spacing w:after="120"/>
              <w:rPr>
                <w:rFonts w:cs="Arial"/>
              </w:rPr>
            </w:pPr>
            <w:r w:rsidRPr="00B90DCA">
              <w:rPr>
                <w:rFonts w:cs="Arial"/>
              </w:rPr>
              <w:t xml:space="preserve">Support Program to revise work </w:t>
            </w:r>
            <w:r w:rsidR="00547F8B" w:rsidRPr="00B90DCA">
              <w:rPr>
                <w:rFonts w:cs="Arial"/>
              </w:rPr>
              <w:t xml:space="preserve">plan for stakeholder engagement, including the continued production of newsletters, website updates and updated infographic on PNDS achievements. The program will also commission new communications products such as videos, billboards and brochures. This will be complemented by strategic engagement with new GoTL leadership on the program. </w:t>
            </w:r>
            <w:r w:rsidR="0062711A" w:rsidRPr="00B90DCA">
              <w:rPr>
                <w:rFonts w:cs="Arial"/>
              </w:rPr>
              <w:t xml:space="preserve">The Support Program will also utilise the Embassy’s Facebook page to publicise the achievements of PNDS. </w:t>
            </w:r>
          </w:p>
        </w:tc>
      </w:tr>
      <w:tr w:rsidR="00482438" w14:paraId="452F3D89"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auto"/>
            </w:tcBorders>
            <w:hideMark/>
          </w:tcPr>
          <w:p w14:paraId="6D1D8DC1" w14:textId="3EACF35A" w:rsidR="00482438" w:rsidRPr="00B90DCA" w:rsidRDefault="00482438" w:rsidP="0080404C">
            <w:pPr>
              <w:numPr>
                <w:ilvl w:val="0"/>
                <w:numId w:val="19"/>
              </w:numPr>
              <w:spacing w:after="120"/>
              <w:ind w:left="426" w:hanging="426"/>
              <w:rPr>
                <w:rFonts w:cs="Arial"/>
              </w:rPr>
            </w:pPr>
            <w:r w:rsidRPr="00B90DCA">
              <w:t>Support the Ministry to navigate the complexities associated with new donor engagement in community-driven development and support the incorporation of good practices, as appropriate</w:t>
            </w:r>
          </w:p>
        </w:tc>
        <w:tc>
          <w:tcPr>
            <w:tcW w:w="4998" w:type="dxa"/>
            <w:tcBorders>
              <w:top w:val="single" w:sz="4" w:space="0" w:color="808080"/>
              <w:left w:val="single" w:sz="4" w:space="0" w:color="auto"/>
              <w:bottom w:val="single" w:sz="4" w:space="0" w:color="808080"/>
              <w:right w:val="single" w:sz="4" w:space="0" w:color="808080"/>
            </w:tcBorders>
            <w:hideMark/>
          </w:tcPr>
          <w:p w14:paraId="1ACF4B8A" w14:textId="77777777" w:rsidR="00A35561" w:rsidRPr="00B90DCA" w:rsidRDefault="00A35561">
            <w:pPr>
              <w:spacing w:after="120"/>
              <w:rPr>
                <w:rFonts w:cs="Arial"/>
              </w:rPr>
            </w:pPr>
            <w:r w:rsidRPr="00B90DCA">
              <w:rPr>
                <w:rFonts w:cs="Arial"/>
              </w:rPr>
              <w:t xml:space="preserve">Support Program will provide appropriate support to improve collaboration between programs, as requested by the Ministry of State Administration and PNDS Secretariat. This may include development of guidelines for communities on the technical and financial management of playground and police housing projects. </w:t>
            </w:r>
          </w:p>
          <w:p w14:paraId="5B0AB785" w14:textId="257F2C32" w:rsidR="00482438" w:rsidRPr="00B90DCA" w:rsidRDefault="00E41EF6">
            <w:pPr>
              <w:spacing w:after="120"/>
              <w:rPr>
                <w:rFonts w:cs="Arial"/>
              </w:rPr>
            </w:pPr>
            <w:r w:rsidRPr="00B90DCA">
              <w:rPr>
                <w:rFonts w:cs="Arial"/>
              </w:rPr>
              <w:t xml:space="preserve">The Embassy will set up and chair a donors working group to improve harmonisation of activities using PNDS systems. </w:t>
            </w:r>
          </w:p>
        </w:tc>
      </w:tr>
      <w:tr w:rsidR="009A39A6" w14:paraId="08B4CB92"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auto"/>
            </w:tcBorders>
            <w:hideMark/>
          </w:tcPr>
          <w:p w14:paraId="20BBC97C" w14:textId="2D29A18E" w:rsidR="009A39A6" w:rsidRPr="00B90DCA" w:rsidRDefault="009A39A6" w:rsidP="00360BD2">
            <w:pPr>
              <w:numPr>
                <w:ilvl w:val="0"/>
                <w:numId w:val="19"/>
              </w:numPr>
              <w:spacing w:after="120"/>
              <w:ind w:left="426" w:hanging="426"/>
              <w:rPr>
                <w:rFonts w:cs="Arial"/>
              </w:rPr>
            </w:pPr>
            <w:r w:rsidRPr="00B90DCA">
              <w:t>Continue efforts to deepen and broaden engagement with decision-makers to help build support for and shared ownership of PNDS across Government and Parliament</w:t>
            </w:r>
          </w:p>
        </w:tc>
        <w:tc>
          <w:tcPr>
            <w:tcW w:w="4998" w:type="dxa"/>
            <w:tcBorders>
              <w:top w:val="single" w:sz="4" w:space="0" w:color="808080"/>
              <w:left w:val="single" w:sz="4" w:space="0" w:color="auto"/>
              <w:bottom w:val="single" w:sz="4" w:space="0" w:color="808080"/>
              <w:right w:val="single" w:sz="4" w:space="0" w:color="808080"/>
            </w:tcBorders>
            <w:hideMark/>
          </w:tcPr>
          <w:p w14:paraId="36A8E70E" w14:textId="3D85518F" w:rsidR="009A39A6" w:rsidRPr="00B90DCA" w:rsidRDefault="009A39A6" w:rsidP="00A74265">
            <w:pPr>
              <w:spacing w:after="120"/>
              <w:rPr>
                <w:rFonts w:cs="Arial"/>
              </w:rPr>
            </w:pPr>
            <w:r w:rsidRPr="00B90DCA">
              <w:rPr>
                <w:rFonts w:cs="Arial"/>
              </w:rPr>
              <w:t xml:space="preserve">Embassy to use bilateral meetings with key Timor-Leste decision-makers to build support for PNDS and Phase 2 of PNDS-SP, with the support of the </w:t>
            </w:r>
            <w:r w:rsidR="00A74265" w:rsidRPr="00B90DCA">
              <w:rPr>
                <w:rFonts w:cs="Arial"/>
              </w:rPr>
              <w:t xml:space="preserve">Senior </w:t>
            </w:r>
            <w:r w:rsidRPr="00B90DCA">
              <w:rPr>
                <w:rFonts w:cs="Arial"/>
              </w:rPr>
              <w:t xml:space="preserve">Stakeholder Engagement Advisor. The Advisor will continue to </w:t>
            </w:r>
            <w:r w:rsidR="00A74265" w:rsidRPr="00B90DCA">
              <w:rPr>
                <w:rFonts w:cs="Arial"/>
              </w:rPr>
              <w:t xml:space="preserve">engage within senior Timorese leadership </w:t>
            </w:r>
            <w:r w:rsidR="00D665FB" w:rsidRPr="00B90DCA">
              <w:rPr>
                <w:rFonts w:cs="Arial"/>
              </w:rPr>
              <w:t xml:space="preserve">and decision makers </w:t>
            </w:r>
            <w:r w:rsidR="00A74265" w:rsidRPr="00B90DCA">
              <w:rPr>
                <w:rFonts w:cs="Arial"/>
              </w:rPr>
              <w:t>across Government and Parliament</w:t>
            </w:r>
            <w:r w:rsidR="00D665FB" w:rsidRPr="00B90DCA">
              <w:rPr>
                <w:rFonts w:cs="Arial"/>
              </w:rPr>
              <w:t xml:space="preserve"> to build support for PNDS</w:t>
            </w:r>
            <w:r w:rsidR="00A74265" w:rsidRPr="00B90DCA">
              <w:rPr>
                <w:rFonts w:cs="Arial"/>
              </w:rPr>
              <w:t xml:space="preserve">. </w:t>
            </w:r>
          </w:p>
        </w:tc>
      </w:tr>
      <w:tr w:rsidR="00604978" w14:paraId="57125E8C" w14:textId="77777777" w:rsidTr="00FD6868">
        <w:trPr>
          <w:cantSplit/>
          <w:trHeight w:val="885"/>
        </w:trPr>
        <w:tc>
          <w:tcPr>
            <w:tcW w:w="4998" w:type="dxa"/>
            <w:tcBorders>
              <w:top w:val="single" w:sz="4" w:space="0" w:color="808080"/>
              <w:left w:val="single" w:sz="4" w:space="0" w:color="808080"/>
              <w:bottom w:val="single" w:sz="4" w:space="0" w:color="808080"/>
              <w:right w:val="single" w:sz="4" w:space="0" w:color="auto"/>
            </w:tcBorders>
            <w:hideMark/>
          </w:tcPr>
          <w:p w14:paraId="5F1E6DBE" w14:textId="69B24C6F" w:rsidR="00604978" w:rsidRPr="00B90DCA" w:rsidRDefault="00604978" w:rsidP="00BC1785">
            <w:pPr>
              <w:numPr>
                <w:ilvl w:val="0"/>
                <w:numId w:val="19"/>
              </w:numPr>
              <w:spacing w:after="120"/>
              <w:ind w:left="426" w:hanging="426"/>
              <w:rPr>
                <w:rFonts w:cs="Arial"/>
              </w:rPr>
            </w:pPr>
            <w:r w:rsidRPr="00B90DCA">
              <w:lastRenderedPageBreak/>
              <w:t>Progressively strengthen culturally-appropriate disability inclusion approaches and practices, through raising awareness in PNDS and negotiating priorities with disabled people’s organisations</w:t>
            </w:r>
          </w:p>
        </w:tc>
        <w:tc>
          <w:tcPr>
            <w:tcW w:w="4998" w:type="dxa"/>
            <w:tcBorders>
              <w:top w:val="single" w:sz="4" w:space="0" w:color="808080"/>
              <w:left w:val="single" w:sz="4" w:space="0" w:color="auto"/>
              <w:bottom w:val="single" w:sz="4" w:space="0" w:color="808080"/>
              <w:right w:val="single" w:sz="4" w:space="0" w:color="808080"/>
            </w:tcBorders>
            <w:hideMark/>
          </w:tcPr>
          <w:p w14:paraId="59853014" w14:textId="76E2C1CB" w:rsidR="00604978" w:rsidRPr="00B90DCA" w:rsidRDefault="00604978">
            <w:pPr>
              <w:spacing w:after="120"/>
              <w:rPr>
                <w:rFonts w:cs="Arial"/>
              </w:rPr>
            </w:pPr>
            <w:r w:rsidRPr="00B90DCA">
              <w:rPr>
                <w:rFonts w:cs="Arial"/>
              </w:rPr>
              <w:t>Support Program to use</w:t>
            </w:r>
            <w:r w:rsidR="00470105" w:rsidRPr="00B90DCA">
              <w:rPr>
                <w:rFonts w:cs="Arial"/>
              </w:rPr>
              <w:t xml:space="preserve"> DFAT</w:t>
            </w:r>
            <w:r w:rsidRPr="00B90DCA">
              <w:rPr>
                <w:rFonts w:cs="Arial"/>
              </w:rPr>
              <w:t xml:space="preserve"> Disability Inclusive Development Funds to pilot new approaches to disability inclusion </w:t>
            </w:r>
            <w:r w:rsidR="004E157C" w:rsidRPr="00B90DCA">
              <w:rPr>
                <w:rFonts w:cs="Arial"/>
              </w:rPr>
              <w:t xml:space="preserve">and awareness-raising. </w:t>
            </w:r>
          </w:p>
          <w:p w14:paraId="79FF6D55" w14:textId="189EB5E4" w:rsidR="00604978" w:rsidRPr="00B90DCA" w:rsidRDefault="00604978">
            <w:pPr>
              <w:spacing w:after="120"/>
              <w:rPr>
                <w:rFonts w:cs="Arial"/>
              </w:rPr>
            </w:pPr>
            <w:r w:rsidRPr="00B90DCA">
              <w:rPr>
                <w:rFonts w:cs="Arial"/>
              </w:rPr>
              <w:t xml:space="preserve">Support Program to work with PNDS and DPOs to improve inclusion in all stages of PNDS projects and to improve monitoring and evaluation of the inclusion of persons with disability in the program, and the benefits. </w:t>
            </w:r>
          </w:p>
        </w:tc>
      </w:tr>
      <w:tr w:rsidR="00513487" w:rsidRPr="00F43CEC" w14:paraId="43E2A578" w14:textId="77777777" w:rsidTr="00207033">
        <w:trPr>
          <w:cantSplit/>
          <w:trHeight w:val="492"/>
        </w:trPr>
        <w:tc>
          <w:tcPr>
            <w:tcW w:w="9996" w:type="dxa"/>
            <w:gridSpan w:val="2"/>
            <w:shd w:val="clear" w:color="auto" w:fill="auto"/>
          </w:tcPr>
          <w:p w14:paraId="54E081DC" w14:textId="12B92FF6" w:rsidR="00513487" w:rsidRPr="00B90DCA" w:rsidRDefault="00513487" w:rsidP="00F0046D">
            <w:pPr>
              <w:rPr>
                <w:rFonts w:cs="Arial"/>
              </w:rPr>
            </w:pPr>
            <w:r w:rsidRPr="00B90DCA">
              <w:rPr>
                <w:b/>
              </w:rPr>
              <w:t>Recommendations for the Australian Embassy</w:t>
            </w:r>
          </w:p>
        </w:tc>
      </w:tr>
      <w:tr w:rsidR="000F5E9F" w:rsidRPr="00F43CEC" w14:paraId="68908B22" w14:textId="77777777" w:rsidTr="00FD6868">
        <w:trPr>
          <w:cantSplit/>
          <w:trHeight w:val="885"/>
        </w:trPr>
        <w:tc>
          <w:tcPr>
            <w:tcW w:w="4998" w:type="dxa"/>
            <w:tcBorders>
              <w:right w:val="single" w:sz="4" w:space="0" w:color="auto"/>
            </w:tcBorders>
            <w:shd w:val="clear" w:color="auto" w:fill="auto"/>
          </w:tcPr>
          <w:p w14:paraId="415D9E98" w14:textId="77777777" w:rsidR="000F5E9F" w:rsidRPr="00B90DCA" w:rsidRDefault="000F5E9F" w:rsidP="00F0046D">
            <w:pPr>
              <w:numPr>
                <w:ilvl w:val="0"/>
                <w:numId w:val="19"/>
              </w:numPr>
              <w:spacing w:after="120"/>
              <w:ind w:left="426" w:hanging="426"/>
              <w:rPr>
                <w:b/>
              </w:rPr>
            </w:pPr>
            <w:r w:rsidRPr="00B90DCA">
              <w:t>Revitalize high level channels with Government of Timor-Leste leaders, including to:</w:t>
            </w:r>
          </w:p>
          <w:p w14:paraId="3F99F394" w14:textId="77777777" w:rsidR="000F5E9F" w:rsidRPr="00B90DCA" w:rsidRDefault="000F5E9F" w:rsidP="00513487">
            <w:pPr>
              <w:pStyle w:val="ListParagraph"/>
              <w:numPr>
                <w:ilvl w:val="0"/>
                <w:numId w:val="11"/>
              </w:numPr>
              <w:spacing w:before="0" w:after="160" w:line="259" w:lineRule="auto"/>
              <w:ind w:left="284" w:hanging="284"/>
            </w:pPr>
            <w:r w:rsidRPr="00B90DCA">
              <w:t>negotiate the implications of the decision to suspend new infrastructure grants for 2017, for PNDS-SP in the short and longer terms</w:t>
            </w:r>
          </w:p>
          <w:p w14:paraId="46377089" w14:textId="027ECC04" w:rsidR="000F5E9F" w:rsidRPr="00B90DCA" w:rsidRDefault="000F5E9F" w:rsidP="007D3B61">
            <w:pPr>
              <w:pStyle w:val="ListParagraph"/>
              <w:numPr>
                <w:ilvl w:val="0"/>
                <w:numId w:val="11"/>
              </w:numPr>
              <w:spacing w:before="0" w:after="160" w:line="259" w:lineRule="auto"/>
              <w:ind w:left="284" w:hanging="284"/>
            </w:pPr>
            <w:r w:rsidRPr="00B90DCA">
              <w:t>negotiate renewal of the Subsidiary Arrangement on PNDS that sits under the bilateral Memorandum of Understanding on development assistance.</w:t>
            </w:r>
          </w:p>
        </w:tc>
        <w:tc>
          <w:tcPr>
            <w:tcW w:w="4998" w:type="dxa"/>
            <w:tcBorders>
              <w:left w:val="single" w:sz="4" w:space="0" w:color="auto"/>
            </w:tcBorders>
            <w:shd w:val="clear" w:color="auto" w:fill="auto"/>
          </w:tcPr>
          <w:p w14:paraId="5A8CB359" w14:textId="377EE0CB" w:rsidR="000F5E9F" w:rsidRPr="00B90DCA" w:rsidRDefault="000F5E9F" w:rsidP="00513487">
            <w:pPr>
              <w:spacing w:after="120"/>
              <w:rPr>
                <w:rFonts w:cs="Arial"/>
              </w:rPr>
            </w:pPr>
            <w:r w:rsidRPr="00B90DCA">
              <w:rPr>
                <w:rFonts w:cs="Arial"/>
              </w:rPr>
              <w:t xml:space="preserve">The Ambassador </w:t>
            </w:r>
            <w:r w:rsidR="00A17622" w:rsidRPr="00B90DCA">
              <w:rPr>
                <w:rFonts w:cs="Arial"/>
              </w:rPr>
              <w:t>m</w:t>
            </w:r>
            <w:r w:rsidRPr="00B90DCA">
              <w:rPr>
                <w:rFonts w:cs="Arial"/>
              </w:rPr>
              <w:t xml:space="preserve">et with Vice Minister, State Administration </w:t>
            </w:r>
            <w:r w:rsidR="00A17622" w:rsidRPr="00B90DCA">
              <w:rPr>
                <w:rFonts w:cs="Arial"/>
              </w:rPr>
              <w:t>in</w:t>
            </w:r>
            <w:r w:rsidRPr="00B90DCA">
              <w:rPr>
                <w:rFonts w:cs="Arial"/>
              </w:rPr>
              <w:t xml:space="preserve"> </w:t>
            </w:r>
            <w:r w:rsidR="00D232AA" w:rsidRPr="00B90DCA">
              <w:rPr>
                <w:rFonts w:cs="Arial"/>
              </w:rPr>
              <w:t>March</w:t>
            </w:r>
            <w:r w:rsidRPr="00B90DCA">
              <w:rPr>
                <w:rFonts w:cs="Arial"/>
              </w:rPr>
              <w:t xml:space="preserve"> 2017 to discuss GoTL plans for PNDS and GoA expectations. </w:t>
            </w:r>
          </w:p>
          <w:p w14:paraId="62C93A51" w14:textId="77777777" w:rsidR="000F5E9F" w:rsidRPr="00B90DCA" w:rsidRDefault="000F5E9F" w:rsidP="00513487">
            <w:pPr>
              <w:spacing w:after="120"/>
              <w:rPr>
                <w:rFonts w:cs="Arial"/>
              </w:rPr>
            </w:pPr>
            <w:r w:rsidRPr="00B90DCA">
              <w:rPr>
                <w:rFonts w:cs="Arial"/>
              </w:rPr>
              <w:t xml:space="preserve">Maintain bilateral dialogue between the Embassy and PNDS Secretariat. </w:t>
            </w:r>
          </w:p>
          <w:p w14:paraId="0CAD1F25" w14:textId="1E66577A" w:rsidR="000F5E9F" w:rsidRPr="00B90DCA" w:rsidRDefault="00052846" w:rsidP="00052846">
            <w:pPr>
              <w:spacing w:after="120"/>
              <w:rPr>
                <w:rFonts w:cs="Arial"/>
              </w:rPr>
            </w:pPr>
            <w:r w:rsidRPr="00B90DCA">
              <w:rPr>
                <w:rFonts w:cs="Arial"/>
              </w:rPr>
              <w:t xml:space="preserve">Post renewed the </w:t>
            </w:r>
            <w:r w:rsidR="000F5E9F" w:rsidRPr="00B90DCA">
              <w:rPr>
                <w:rFonts w:cs="Arial"/>
              </w:rPr>
              <w:t xml:space="preserve">Australia - Timor-Leste Subsidiary Arrangement for PNDS </w:t>
            </w:r>
            <w:r w:rsidRPr="00B90DCA">
              <w:rPr>
                <w:rFonts w:cs="Arial"/>
              </w:rPr>
              <w:t xml:space="preserve">through an exchange of letters in April 2017 </w:t>
            </w:r>
            <w:r w:rsidR="000F5E9F" w:rsidRPr="00B90DCA">
              <w:rPr>
                <w:rFonts w:cs="Arial"/>
              </w:rPr>
              <w:t xml:space="preserve">to cover the one year extension period for the Support Program. </w:t>
            </w:r>
          </w:p>
        </w:tc>
      </w:tr>
      <w:tr w:rsidR="004C1461" w:rsidRPr="00F43CEC" w14:paraId="0C68F50F" w14:textId="77777777" w:rsidTr="00FD6868">
        <w:trPr>
          <w:cantSplit/>
          <w:trHeight w:val="885"/>
        </w:trPr>
        <w:tc>
          <w:tcPr>
            <w:tcW w:w="4998" w:type="dxa"/>
            <w:tcBorders>
              <w:right w:val="single" w:sz="4" w:space="0" w:color="auto"/>
            </w:tcBorders>
            <w:shd w:val="clear" w:color="auto" w:fill="auto"/>
          </w:tcPr>
          <w:p w14:paraId="2C10F761" w14:textId="77777777" w:rsidR="004C1461" w:rsidRPr="00B90DCA" w:rsidRDefault="004C1461" w:rsidP="00513487">
            <w:pPr>
              <w:numPr>
                <w:ilvl w:val="0"/>
                <w:numId w:val="7"/>
              </w:numPr>
              <w:spacing w:after="120"/>
              <w:ind w:left="426" w:hanging="426"/>
              <w:rPr>
                <w:b/>
              </w:rPr>
            </w:pPr>
            <w:r w:rsidRPr="00B90DCA">
              <w:t>Support more regular and formal communications with PNDS and PNDS SP to:</w:t>
            </w:r>
          </w:p>
          <w:p w14:paraId="21EF10BE" w14:textId="77777777" w:rsidR="004C1461" w:rsidRPr="00B90DCA" w:rsidRDefault="004C1461" w:rsidP="00513487">
            <w:pPr>
              <w:pStyle w:val="ListParagraph"/>
              <w:numPr>
                <w:ilvl w:val="0"/>
                <w:numId w:val="13"/>
              </w:numPr>
              <w:spacing w:before="0" w:after="160" w:line="259" w:lineRule="auto"/>
              <w:ind w:left="284" w:hanging="284"/>
            </w:pPr>
            <w:r w:rsidRPr="00B90DCA">
              <w:t>maximize the partnership quality overall and strengthen the sharing of benefits and risks</w:t>
            </w:r>
          </w:p>
          <w:p w14:paraId="6B620DF5" w14:textId="77777777" w:rsidR="004C1461" w:rsidRPr="00B90DCA" w:rsidRDefault="004C1461" w:rsidP="00513487">
            <w:pPr>
              <w:pStyle w:val="ListParagraph"/>
              <w:numPr>
                <w:ilvl w:val="0"/>
                <w:numId w:val="13"/>
              </w:numPr>
              <w:spacing w:before="0" w:after="160" w:line="259" w:lineRule="auto"/>
              <w:ind w:left="284" w:hanging="284"/>
            </w:pPr>
            <w:r w:rsidRPr="00B90DCA">
              <w:t>jointly consider the value of ongoing collaboration between PNDS, PNDS-SP and other sectoral aid programs</w:t>
            </w:r>
          </w:p>
          <w:p w14:paraId="205EEDF0" w14:textId="42268362" w:rsidR="004C1461" w:rsidRPr="00B90DCA" w:rsidRDefault="004C1461" w:rsidP="0037472F">
            <w:pPr>
              <w:pStyle w:val="ListParagraph"/>
              <w:numPr>
                <w:ilvl w:val="0"/>
                <w:numId w:val="12"/>
              </w:numPr>
              <w:spacing w:before="0" w:after="160" w:line="259" w:lineRule="auto"/>
              <w:ind w:left="284" w:hanging="284"/>
            </w:pPr>
            <w:r w:rsidRPr="00B90DCA">
              <w:t>identify opportunities for collaboration at national, municipal and suku levels, within the context of Timorese priorities and systems</w:t>
            </w:r>
          </w:p>
        </w:tc>
        <w:tc>
          <w:tcPr>
            <w:tcW w:w="4998" w:type="dxa"/>
            <w:tcBorders>
              <w:left w:val="single" w:sz="4" w:space="0" w:color="auto"/>
            </w:tcBorders>
            <w:shd w:val="clear" w:color="auto" w:fill="auto"/>
          </w:tcPr>
          <w:p w14:paraId="434A86AB" w14:textId="015F7286" w:rsidR="004C1461" w:rsidRPr="00B90DCA" w:rsidRDefault="00644EB7" w:rsidP="005B0705">
            <w:pPr>
              <w:spacing w:after="120"/>
              <w:rPr>
                <w:rFonts w:cs="Arial"/>
              </w:rPr>
            </w:pPr>
            <w:r w:rsidRPr="00B90DCA">
              <w:rPr>
                <w:rFonts w:cs="Arial"/>
              </w:rPr>
              <w:t xml:space="preserve">Embassy </w:t>
            </w:r>
            <w:r w:rsidR="004C1461" w:rsidRPr="00B90DCA">
              <w:rPr>
                <w:rFonts w:cs="Arial"/>
              </w:rPr>
              <w:t xml:space="preserve">to initiate regular bilateral meetings with Vice-Minister of State Administration and key PNDS Secretariat decision makers from February 2017. Cardno to provide secretariat support for meetings. </w:t>
            </w:r>
          </w:p>
          <w:p w14:paraId="45B9215F" w14:textId="1C51399D" w:rsidR="00174C6F" w:rsidRPr="00B90DCA" w:rsidRDefault="00174C6F" w:rsidP="005B0705">
            <w:pPr>
              <w:spacing w:after="120"/>
              <w:rPr>
                <w:rFonts w:cs="Arial"/>
              </w:rPr>
            </w:pPr>
            <w:r w:rsidRPr="00B90DCA">
              <w:rPr>
                <w:rFonts w:cs="Arial"/>
              </w:rPr>
              <w:t xml:space="preserve">Quarterly meetings between Embassy and PNDS Secretariat. </w:t>
            </w:r>
          </w:p>
          <w:p w14:paraId="0CBB66F1" w14:textId="27AAEC8D" w:rsidR="004C1461" w:rsidRPr="00B90DCA" w:rsidRDefault="0037472F" w:rsidP="0037472F">
            <w:pPr>
              <w:spacing w:after="120"/>
              <w:rPr>
                <w:rFonts w:cs="Arial"/>
              </w:rPr>
            </w:pPr>
            <w:r w:rsidRPr="00B90DCA">
              <w:rPr>
                <w:rFonts w:cs="Arial"/>
              </w:rPr>
              <w:t xml:space="preserve">Embassy to initiate regular team leader meetings with the Support Program and other sector programs, particularly PHD and G4D to identify opportunities for collaboration.  </w:t>
            </w:r>
          </w:p>
        </w:tc>
      </w:tr>
      <w:tr w:rsidR="005E6BAB" w:rsidRPr="00F43CEC" w14:paraId="616E690D" w14:textId="77777777" w:rsidTr="00FD6868">
        <w:trPr>
          <w:cantSplit/>
          <w:trHeight w:val="885"/>
        </w:trPr>
        <w:tc>
          <w:tcPr>
            <w:tcW w:w="4998" w:type="dxa"/>
            <w:shd w:val="clear" w:color="auto" w:fill="auto"/>
          </w:tcPr>
          <w:p w14:paraId="318DFB32" w14:textId="767FCBF2" w:rsidR="005E6BAB" w:rsidRPr="00B90DCA" w:rsidRDefault="005E6BAB" w:rsidP="00513487">
            <w:pPr>
              <w:numPr>
                <w:ilvl w:val="0"/>
                <w:numId w:val="7"/>
              </w:numPr>
              <w:spacing w:after="120"/>
              <w:ind w:left="426" w:hanging="426"/>
              <w:rPr>
                <w:b/>
              </w:rPr>
            </w:pPr>
            <w:r w:rsidRPr="00B90DCA">
              <w:t>Organise a new contract for the current contractor, on a 1 year plus 3 years basis, subject to inclusion of infrastructure grants in the Government of Timor-Leste budget for 2018 and indications of long term commitment from the Government of Timor-Leste of continuing their investment in the program</w:t>
            </w:r>
          </w:p>
        </w:tc>
        <w:tc>
          <w:tcPr>
            <w:tcW w:w="4998" w:type="dxa"/>
            <w:shd w:val="clear" w:color="auto" w:fill="auto"/>
          </w:tcPr>
          <w:p w14:paraId="3F07C357" w14:textId="77777777" w:rsidR="005E6BAB" w:rsidRPr="00B90DCA" w:rsidRDefault="005E6BAB" w:rsidP="00D40316">
            <w:pPr>
              <w:spacing w:after="120"/>
              <w:rPr>
                <w:rFonts w:cs="Arial"/>
              </w:rPr>
            </w:pPr>
            <w:r w:rsidRPr="00B90DCA">
              <w:rPr>
                <w:rFonts w:cs="Arial"/>
              </w:rPr>
              <w:t xml:space="preserve">The current contract for PNDS-SP includes an option to extend for up to 4 years. </w:t>
            </w:r>
          </w:p>
          <w:p w14:paraId="1CC58AE6" w14:textId="21A78FDF" w:rsidR="005E6BAB" w:rsidRPr="00B90DCA" w:rsidRDefault="00D232AA" w:rsidP="00D232AA">
            <w:pPr>
              <w:spacing w:after="120"/>
              <w:rPr>
                <w:rFonts w:cs="Arial"/>
              </w:rPr>
            </w:pPr>
            <w:r w:rsidRPr="00B90DCA">
              <w:rPr>
                <w:rFonts w:cs="Arial"/>
              </w:rPr>
              <w:t>In</w:t>
            </w:r>
            <w:r w:rsidR="00E564F3" w:rsidRPr="00B90DCA">
              <w:rPr>
                <w:rFonts w:cs="Arial"/>
              </w:rPr>
              <w:t xml:space="preserve"> April</w:t>
            </w:r>
            <w:r w:rsidR="005E6BAB" w:rsidRPr="00B90DCA">
              <w:rPr>
                <w:rFonts w:cs="Arial"/>
              </w:rPr>
              <w:t xml:space="preserve"> 2017, the Embassy finalise</w:t>
            </w:r>
            <w:r w:rsidRPr="00B90DCA">
              <w:rPr>
                <w:rFonts w:cs="Arial"/>
              </w:rPr>
              <w:t>d</w:t>
            </w:r>
            <w:r w:rsidR="005E6BAB" w:rsidRPr="00B90DCA">
              <w:rPr>
                <w:rFonts w:cs="Arial"/>
              </w:rPr>
              <w:t xml:space="preserve"> contract negotiations with Cardno for a</w:t>
            </w:r>
            <w:r w:rsidR="005E6BAB" w:rsidRPr="00B90DCA">
              <w:t xml:space="preserve"> 1 year plus 3 years contract</w:t>
            </w:r>
            <w:r w:rsidR="00562518" w:rsidRPr="00B90DCA">
              <w:t xml:space="preserve"> extension</w:t>
            </w:r>
            <w:r w:rsidR="005E6BAB" w:rsidRPr="00B90DCA">
              <w:t xml:space="preserve">. </w:t>
            </w:r>
          </w:p>
        </w:tc>
      </w:tr>
      <w:tr w:rsidR="00722481" w:rsidRPr="00F43CEC" w14:paraId="39E0F2CA" w14:textId="77777777" w:rsidTr="00FD6868">
        <w:trPr>
          <w:cantSplit/>
          <w:trHeight w:val="885"/>
        </w:trPr>
        <w:tc>
          <w:tcPr>
            <w:tcW w:w="4998" w:type="dxa"/>
            <w:shd w:val="clear" w:color="auto" w:fill="auto"/>
          </w:tcPr>
          <w:p w14:paraId="63C10D35" w14:textId="5F9FB7B5" w:rsidR="00722481" w:rsidRPr="00B90DCA" w:rsidRDefault="00722481" w:rsidP="00BE0040">
            <w:pPr>
              <w:numPr>
                <w:ilvl w:val="0"/>
                <w:numId w:val="7"/>
              </w:numPr>
              <w:spacing w:after="120"/>
              <w:ind w:left="426" w:hanging="426"/>
              <w:rPr>
                <w:b/>
              </w:rPr>
            </w:pPr>
            <w:r w:rsidRPr="00B90DCA">
              <w:lastRenderedPageBreak/>
              <w:t>Support the conduct of major studies and evaluations on PNDS processes and achievements, providing evidence for policies and program adjustments (e.g. 3</w:t>
            </w:r>
            <w:r w:rsidRPr="00B90DCA">
              <w:rPr>
                <w:vertAlign w:val="superscript"/>
              </w:rPr>
              <w:t>rd</w:t>
            </w:r>
            <w:r w:rsidRPr="00B90DCA">
              <w:t xml:space="preserve"> Technical Audit)</w:t>
            </w:r>
          </w:p>
        </w:tc>
        <w:tc>
          <w:tcPr>
            <w:tcW w:w="4998" w:type="dxa"/>
            <w:shd w:val="clear" w:color="auto" w:fill="auto"/>
          </w:tcPr>
          <w:p w14:paraId="3A24E601" w14:textId="783EF8F7" w:rsidR="00722481" w:rsidRPr="00B90DCA" w:rsidRDefault="00722481" w:rsidP="000B1F7F">
            <w:pPr>
              <w:spacing w:after="120"/>
              <w:rPr>
                <w:rFonts w:cs="Arial"/>
              </w:rPr>
            </w:pPr>
            <w:r w:rsidRPr="00B90DCA">
              <w:rPr>
                <w:rFonts w:cs="Arial"/>
              </w:rPr>
              <w:t xml:space="preserve">The following studies and evaluations will be carried out by the Support Program in 2017: </w:t>
            </w:r>
          </w:p>
          <w:p w14:paraId="34987C12" w14:textId="77777777" w:rsidR="00722481" w:rsidRPr="00B90DCA" w:rsidRDefault="00722481" w:rsidP="000B1F7F">
            <w:pPr>
              <w:pStyle w:val="ListParagraph"/>
              <w:numPr>
                <w:ilvl w:val="0"/>
                <w:numId w:val="18"/>
              </w:numPr>
              <w:spacing w:after="120"/>
              <w:rPr>
                <w:rFonts w:cs="Arial"/>
              </w:rPr>
            </w:pPr>
            <w:r w:rsidRPr="00B90DCA">
              <w:rPr>
                <w:rFonts w:cs="Arial"/>
              </w:rPr>
              <w:t>3</w:t>
            </w:r>
            <w:r w:rsidRPr="00B90DCA">
              <w:rPr>
                <w:rFonts w:cs="Arial"/>
                <w:vertAlign w:val="superscript"/>
              </w:rPr>
              <w:t>rd</w:t>
            </w:r>
            <w:r w:rsidRPr="00B90DCA">
              <w:rPr>
                <w:rFonts w:cs="Arial"/>
              </w:rPr>
              <w:t xml:space="preserve"> Technical Audit </w:t>
            </w:r>
          </w:p>
          <w:p w14:paraId="58DC91DC" w14:textId="77777777" w:rsidR="00722481" w:rsidRPr="00B90DCA" w:rsidRDefault="00722481" w:rsidP="000B1F7F">
            <w:pPr>
              <w:pStyle w:val="ListParagraph"/>
              <w:numPr>
                <w:ilvl w:val="0"/>
                <w:numId w:val="18"/>
              </w:numPr>
              <w:spacing w:after="120"/>
              <w:rPr>
                <w:rFonts w:cs="Arial"/>
              </w:rPr>
            </w:pPr>
            <w:r w:rsidRPr="00B90DCA">
              <w:rPr>
                <w:rFonts w:cs="Arial"/>
              </w:rPr>
              <w:t>Joint Ministry of Finance Audit</w:t>
            </w:r>
          </w:p>
          <w:p w14:paraId="20D47E2A" w14:textId="11930065" w:rsidR="00722481" w:rsidRPr="00B90DCA" w:rsidRDefault="00722481" w:rsidP="000C2C67">
            <w:pPr>
              <w:spacing w:after="120"/>
              <w:rPr>
                <w:rFonts w:cs="Arial"/>
              </w:rPr>
            </w:pPr>
            <w:r w:rsidRPr="00B90DCA">
              <w:rPr>
                <w:rFonts w:cs="Arial"/>
              </w:rPr>
              <w:t>The following research studies will be carried out by The Asia Foundation in 2017, with the assistance of the Support Program</w:t>
            </w:r>
          </w:p>
          <w:p w14:paraId="12F8D18D" w14:textId="77777777" w:rsidR="00722481" w:rsidRPr="00B90DCA" w:rsidRDefault="00722481" w:rsidP="000C2C67">
            <w:pPr>
              <w:pStyle w:val="ListParagraph"/>
              <w:numPr>
                <w:ilvl w:val="0"/>
                <w:numId w:val="18"/>
              </w:numPr>
              <w:spacing w:after="120"/>
              <w:rPr>
                <w:rFonts w:cs="Arial"/>
              </w:rPr>
            </w:pPr>
            <w:r w:rsidRPr="00B90DCA">
              <w:rPr>
                <w:rFonts w:cs="Arial"/>
              </w:rPr>
              <w:t>Role of Local Authorities in PNDS implementation</w:t>
            </w:r>
          </w:p>
          <w:p w14:paraId="6E8BBBDA" w14:textId="77777777" w:rsidR="00722481" w:rsidRPr="00B90DCA" w:rsidRDefault="00722481" w:rsidP="000C2C67">
            <w:pPr>
              <w:pStyle w:val="ListParagraph"/>
              <w:numPr>
                <w:ilvl w:val="0"/>
                <w:numId w:val="18"/>
              </w:numPr>
              <w:spacing w:after="120"/>
              <w:rPr>
                <w:rFonts w:cs="Arial"/>
              </w:rPr>
            </w:pPr>
            <w:r w:rsidRPr="00B90DCA">
              <w:t>Perceptions Study</w:t>
            </w:r>
          </w:p>
          <w:p w14:paraId="01B28BCA" w14:textId="77777777" w:rsidR="00722481" w:rsidRPr="00B90DCA" w:rsidRDefault="00722481" w:rsidP="000C2C67">
            <w:pPr>
              <w:pStyle w:val="ListParagraph"/>
              <w:numPr>
                <w:ilvl w:val="0"/>
                <w:numId w:val="18"/>
              </w:numPr>
              <w:spacing w:after="120"/>
              <w:rPr>
                <w:rFonts w:cs="Arial"/>
              </w:rPr>
            </w:pPr>
            <w:r w:rsidRPr="00B90DCA">
              <w:t>Community Score Card Evaluation</w:t>
            </w:r>
          </w:p>
          <w:p w14:paraId="39A985F2" w14:textId="77777777" w:rsidR="00722481" w:rsidRPr="00B90DCA" w:rsidRDefault="00722481" w:rsidP="000C2C67">
            <w:pPr>
              <w:pStyle w:val="ListParagraph"/>
              <w:numPr>
                <w:ilvl w:val="0"/>
                <w:numId w:val="18"/>
              </w:numPr>
              <w:spacing w:after="120"/>
              <w:rPr>
                <w:rFonts w:cs="Arial"/>
              </w:rPr>
            </w:pPr>
            <w:r w:rsidRPr="00B90DCA">
              <w:t>Best Practice Case Studies for Community Contribution / Local Leader involvement</w:t>
            </w:r>
          </w:p>
          <w:p w14:paraId="205A0E3D" w14:textId="1669D83A" w:rsidR="00722481" w:rsidRPr="00B90DCA" w:rsidRDefault="00722481" w:rsidP="00722481">
            <w:pPr>
              <w:spacing w:after="120"/>
              <w:rPr>
                <w:rFonts w:cs="Arial"/>
              </w:rPr>
            </w:pPr>
            <w:r w:rsidRPr="00B90DCA">
              <w:rPr>
                <w:rFonts w:cs="Arial"/>
              </w:rPr>
              <w:t xml:space="preserve">The evidence generated through these studies will be shared with the Government of Timor-Leste as well as more broadly through cable reporting and the Community-Driven Development community of practice. </w:t>
            </w:r>
          </w:p>
        </w:tc>
      </w:tr>
      <w:tr w:rsidR="00AE710A" w:rsidRPr="00F43CEC" w14:paraId="7C045690" w14:textId="77777777" w:rsidTr="00FD6868">
        <w:trPr>
          <w:cantSplit/>
          <w:trHeight w:val="885"/>
        </w:trPr>
        <w:tc>
          <w:tcPr>
            <w:tcW w:w="4998" w:type="dxa"/>
            <w:shd w:val="clear" w:color="auto" w:fill="auto"/>
          </w:tcPr>
          <w:p w14:paraId="05CEF705" w14:textId="0EEC8BEB" w:rsidR="00AE710A" w:rsidRPr="00B90DCA" w:rsidRDefault="00AE710A" w:rsidP="00513487">
            <w:pPr>
              <w:numPr>
                <w:ilvl w:val="0"/>
                <w:numId w:val="7"/>
              </w:numPr>
              <w:spacing w:after="120"/>
              <w:ind w:left="426" w:hanging="426"/>
              <w:rPr>
                <w:b/>
              </w:rPr>
            </w:pPr>
            <w:r w:rsidRPr="00B90DCA">
              <w:t>Consider ways to maximise donor harmonisation in collaboration with Timorese leaders, to navigate the implications of new donor initiatives for PNDS and PNDS-SP in the short and longer terms</w:t>
            </w:r>
          </w:p>
        </w:tc>
        <w:tc>
          <w:tcPr>
            <w:tcW w:w="4998" w:type="dxa"/>
            <w:shd w:val="clear" w:color="auto" w:fill="auto"/>
          </w:tcPr>
          <w:p w14:paraId="26577D49" w14:textId="3615FE71" w:rsidR="00AE710A" w:rsidRPr="00B90DCA" w:rsidRDefault="00AE710A" w:rsidP="00A95BF7">
            <w:pPr>
              <w:spacing w:after="120"/>
              <w:rPr>
                <w:rFonts w:cs="Arial"/>
              </w:rPr>
            </w:pPr>
            <w:r w:rsidRPr="00B90DCA">
              <w:rPr>
                <w:rFonts w:cs="Arial"/>
              </w:rPr>
              <w:t xml:space="preserve">The Embassy will set up and chair a donors working group to improve harmonisation of activities using PNDS systems. </w:t>
            </w:r>
          </w:p>
          <w:p w14:paraId="56F7D071" w14:textId="318B50AE" w:rsidR="00AE710A" w:rsidRPr="00B90DCA" w:rsidRDefault="00AE710A" w:rsidP="00C34C50">
            <w:pPr>
              <w:spacing w:after="120"/>
              <w:rPr>
                <w:rFonts w:cs="Arial"/>
              </w:rPr>
            </w:pPr>
          </w:p>
        </w:tc>
      </w:tr>
      <w:tr w:rsidR="00207033" w:rsidRPr="00F43CEC" w14:paraId="73897014" w14:textId="77777777" w:rsidTr="00FD6868">
        <w:trPr>
          <w:cantSplit/>
          <w:trHeight w:val="885"/>
        </w:trPr>
        <w:tc>
          <w:tcPr>
            <w:tcW w:w="4998" w:type="dxa"/>
            <w:shd w:val="clear" w:color="auto" w:fill="auto"/>
          </w:tcPr>
          <w:p w14:paraId="6C8BE62F" w14:textId="4F72DF42" w:rsidR="00207033" w:rsidRPr="00B90DCA" w:rsidRDefault="00207033" w:rsidP="00513487">
            <w:pPr>
              <w:numPr>
                <w:ilvl w:val="0"/>
                <w:numId w:val="7"/>
              </w:numPr>
              <w:spacing w:after="120"/>
              <w:ind w:left="426" w:hanging="426"/>
              <w:rPr>
                <w:b/>
              </w:rPr>
            </w:pPr>
            <w:r w:rsidRPr="00B90DCA">
              <w:t>Facilitate opportunities for other Australian aid programs to increase understanding of community-driven development approaches, PNDS systems and benefits</w:t>
            </w:r>
          </w:p>
        </w:tc>
        <w:tc>
          <w:tcPr>
            <w:tcW w:w="4998" w:type="dxa"/>
            <w:tcBorders>
              <w:left w:val="single" w:sz="4" w:space="0" w:color="auto"/>
            </w:tcBorders>
            <w:shd w:val="clear" w:color="auto" w:fill="auto"/>
          </w:tcPr>
          <w:p w14:paraId="2701F0E4" w14:textId="7C699BA6" w:rsidR="007415C8" w:rsidRPr="00B90DCA" w:rsidRDefault="002F14CE" w:rsidP="007415C8">
            <w:pPr>
              <w:spacing w:after="120"/>
              <w:rPr>
                <w:rFonts w:cs="Arial"/>
              </w:rPr>
            </w:pPr>
            <w:r w:rsidRPr="00B90DCA">
              <w:t>The Embassy will facilitate opportunities for the Support Program to share its approaches and lessons learned with other programs.</w:t>
            </w:r>
            <w:r w:rsidR="00E07FA6" w:rsidRPr="00B90DCA">
              <w:t xml:space="preserve"> </w:t>
            </w:r>
            <w:r w:rsidRPr="00B90DCA">
              <w:t xml:space="preserve"> This will also support </w:t>
            </w:r>
            <w:r w:rsidR="003030EC" w:rsidRPr="00B90DCA">
              <w:t>improved collaboration, cross programing, integrated support to GoTL and resource sharing. The Embassy will facilitate reciprocal presentations with PNDS-SP, TOMAK, the Partnership for Human Development and the Nabilan, Ending Violence Against Women program.</w:t>
            </w:r>
            <w:r w:rsidR="001C0546" w:rsidRPr="00B90DCA">
              <w:rPr>
                <w:rFonts w:cs="Arial"/>
              </w:rPr>
              <w:t xml:space="preserve"> Embassy staff working on other sector programs will be invited to attend 6-monthly PNDS-SP progress report presentations and provided the opportunity to join PNDS monitoring visits.</w:t>
            </w:r>
            <w:r w:rsidR="003030EC" w:rsidRPr="00B90DCA">
              <w:t xml:space="preserve"> </w:t>
            </w:r>
            <w:r w:rsidR="00167AA5" w:rsidRPr="00B90DCA">
              <w:t>The Support Program</w:t>
            </w:r>
            <w:r w:rsidR="007415C8" w:rsidRPr="00B90DCA">
              <w:rPr>
                <w:rFonts w:cs="Arial"/>
              </w:rPr>
              <w:t xml:space="preserve"> </w:t>
            </w:r>
            <w:r w:rsidR="00167AA5" w:rsidRPr="00B90DCA">
              <w:rPr>
                <w:rFonts w:cs="Arial"/>
              </w:rPr>
              <w:t>will</w:t>
            </w:r>
            <w:r w:rsidR="007415C8" w:rsidRPr="00B90DCA">
              <w:rPr>
                <w:rFonts w:cs="Arial"/>
              </w:rPr>
              <w:t xml:space="preserve"> </w:t>
            </w:r>
            <w:r w:rsidRPr="00B90DCA">
              <w:rPr>
                <w:rFonts w:cs="Arial"/>
              </w:rPr>
              <w:t xml:space="preserve">also </w:t>
            </w:r>
            <w:r w:rsidR="00167AA5" w:rsidRPr="00B90DCA">
              <w:rPr>
                <w:rFonts w:cs="Arial"/>
              </w:rPr>
              <w:t>r</w:t>
            </w:r>
            <w:r w:rsidR="00802661" w:rsidRPr="00B90DCA">
              <w:rPr>
                <w:rFonts w:cs="Arial"/>
              </w:rPr>
              <w:t>epresent PNDS</w:t>
            </w:r>
            <w:r w:rsidR="007415C8" w:rsidRPr="00B90DCA">
              <w:rPr>
                <w:rFonts w:cs="Arial"/>
              </w:rPr>
              <w:t xml:space="preserve"> at the Australian development cooperation showcase in March 2017. </w:t>
            </w:r>
          </w:p>
          <w:p w14:paraId="22E2D81C" w14:textId="5A2127DB" w:rsidR="00207033" w:rsidRPr="00B90DCA" w:rsidRDefault="001C0546" w:rsidP="000D31E7">
            <w:pPr>
              <w:spacing w:after="120"/>
              <w:rPr>
                <w:rFonts w:cs="Arial"/>
              </w:rPr>
            </w:pPr>
            <w:r w:rsidRPr="00B90DCA">
              <w:rPr>
                <w:rFonts w:cs="Arial"/>
              </w:rPr>
              <w:t xml:space="preserve">The Embassy </w:t>
            </w:r>
            <w:r w:rsidR="00E07FA6" w:rsidRPr="00B90DCA">
              <w:rPr>
                <w:rFonts w:cs="Arial"/>
              </w:rPr>
              <w:t>will also provide regular cable updates on PNDS and the Support Program and participate in the community-driven development</w:t>
            </w:r>
            <w:r w:rsidR="000D31E7" w:rsidRPr="00B90DCA">
              <w:rPr>
                <w:rFonts w:cs="Arial"/>
              </w:rPr>
              <w:t xml:space="preserve"> community of practice.  </w:t>
            </w:r>
          </w:p>
        </w:tc>
      </w:tr>
      <w:tr w:rsidR="00DB3973" w:rsidRPr="00F43CEC" w14:paraId="3863AFF7" w14:textId="77777777" w:rsidTr="00FD6868">
        <w:trPr>
          <w:cantSplit/>
          <w:trHeight w:val="885"/>
        </w:trPr>
        <w:tc>
          <w:tcPr>
            <w:tcW w:w="4998" w:type="dxa"/>
            <w:shd w:val="clear" w:color="auto" w:fill="auto"/>
          </w:tcPr>
          <w:p w14:paraId="470EC4D8" w14:textId="40919232" w:rsidR="00DB3973" w:rsidRPr="00B90DCA" w:rsidRDefault="00DB3973" w:rsidP="00513487">
            <w:pPr>
              <w:numPr>
                <w:ilvl w:val="0"/>
                <w:numId w:val="7"/>
              </w:numPr>
              <w:spacing w:after="120"/>
              <w:ind w:left="426" w:hanging="426"/>
              <w:rPr>
                <w:b/>
              </w:rPr>
            </w:pPr>
            <w:r w:rsidRPr="00B90DCA">
              <w:lastRenderedPageBreak/>
              <w:t>Facilitate greater coordination and coherence in the provision of M&amp;E and research information to PNDS and its use, e.g. by processing findings from The Asia Foundation through or with PNDS-SP</w:t>
            </w:r>
          </w:p>
        </w:tc>
        <w:tc>
          <w:tcPr>
            <w:tcW w:w="4998" w:type="dxa"/>
            <w:tcBorders>
              <w:left w:val="single" w:sz="4" w:space="0" w:color="auto"/>
            </w:tcBorders>
            <w:shd w:val="clear" w:color="auto" w:fill="auto"/>
          </w:tcPr>
          <w:p w14:paraId="4EB9E9B0" w14:textId="6ECDD267" w:rsidR="00DB3973" w:rsidRPr="00B90DCA" w:rsidRDefault="00DB3973" w:rsidP="005D4369">
            <w:pPr>
              <w:spacing w:after="120"/>
              <w:rPr>
                <w:rFonts w:cs="Arial"/>
              </w:rPr>
            </w:pPr>
            <w:r w:rsidRPr="00B90DCA">
              <w:rPr>
                <w:rFonts w:cs="Arial"/>
              </w:rPr>
              <w:t xml:space="preserve">The Asia Foundation (TAF) PNDS research </w:t>
            </w:r>
            <w:r w:rsidR="005D4369" w:rsidRPr="00B90DCA">
              <w:rPr>
                <w:rFonts w:cs="Arial"/>
              </w:rPr>
              <w:t>is</w:t>
            </w:r>
            <w:r w:rsidRPr="00B90DCA">
              <w:rPr>
                <w:rFonts w:cs="Arial"/>
              </w:rPr>
              <w:t xml:space="preserve"> funded through the ‘Strengthening good public policy’ program, which finishes in June 2017. Ongoing funding will be reviewed by the Embassy by mid-2017. While the agreement remains active, the Support program will continue to </w:t>
            </w:r>
            <w:r w:rsidR="00437372" w:rsidRPr="00B90DCA">
              <w:rPr>
                <w:rFonts w:cs="Arial"/>
              </w:rPr>
              <w:t xml:space="preserve">work with TAF to </w:t>
            </w:r>
            <w:r w:rsidRPr="00B90DCA">
              <w:t>support preparation for research, the analysis and utilization of data.</w:t>
            </w:r>
            <w:r w:rsidR="006405BA" w:rsidRPr="00B90DCA">
              <w:t xml:space="preserve"> </w:t>
            </w:r>
            <w:r w:rsidR="007F2D93" w:rsidRPr="00B90DCA">
              <w:rPr>
                <w:rFonts w:cs="Arial"/>
              </w:rPr>
              <w:t xml:space="preserve">The newly recruited </w:t>
            </w:r>
            <w:r w:rsidRPr="00B90DCA">
              <w:rPr>
                <w:rFonts w:cs="Arial"/>
              </w:rPr>
              <w:t xml:space="preserve">M&amp;E Manager for </w:t>
            </w:r>
            <w:r w:rsidR="007F2D93" w:rsidRPr="00B90DCA">
              <w:rPr>
                <w:rFonts w:cs="Arial"/>
              </w:rPr>
              <w:t xml:space="preserve">the Support Program </w:t>
            </w:r>
            <w:r w:rsidRPr="00B90DCA">
              <w:rPr>
                <w:rFonts w:cs="Arial"/>
              </w:rPr>
              <w:t xml:space="preserve">will provide guidance on how Post can better integrate the TAF activities into the PNDS-SP M&amp;E framework. </w:t>
            </w:r>
          </w:p>
        </w:tc>
      </w:tr>
      <w:tr w:rsidR="00513487" w:rsidRPr="00F43CEC" w14:paraId="6AA2ED17" w14:textId="77777777" w:rsidTr="00207033">
        <w:trPr>
          <w:cantSplit/>
          <w:trHeight w:val="454"/>
        </w:trPr>
        <w:tc>
          <w:tcPr>
            <w:tcW w:w="9996" w:type="dxa"/>
            <w:gridSpan w:val="2"/>
            <w:shd w:val="clear" w:color="auto" w:fill="auto"/>
          </w:tcPr>
          <w:p w14:paraId="05D8D653" w14:textId="049031BF" w:rsidR="00513487" w:rsidRPr="000F212F" w:rsidRDefault="00513487" w:rsidP="00F83999">
            <w:pPr>
              <w:pStyle w:val="Heading2"/>
            </w:pPr>
            <w:bookmarkStart w:id="1" w:name="_Toc469595514"/>
            <w:r w:rsidRPr="000F212F">
              <w:rPr>
                <w:sz w:val="20"/>
                <w:szCs w:val="20"/>
              </w:rPr>
              <w:t>Recommendations for PNDS-SP in 2017 assuming no grants for new infrastructure</w:t>
            </w:r>
            <w:bookmarkEnd w:id="1"/>
          </w:p>
        </w:tc>
      </w:tr>
      <w:tr w:rsidR="0097319D" w:rsidRPr="00F43CEC" w14:paraId="1B52DA2F" w14:textId="77777777" w:rsidTr="00FD6868">
        <w:trPr>
          <w:cantSplit/>
          <w:trHeight w:val="1935"/>
        </w:trPr>
        <w:tc>
          <w:tcPr>
            <w:tcW w:w="4998" w:type="dxa"/>
            <w:shd w:val="clear" w:color="auto" w:fill="auto"/>
          </w:tcPr>
          <w:p w14:paraId="532135D7" w14:textId="1AAD100F" w:rsidR="0097319D" w:rsidRDefault="0097319D" w:rsidP="00513487">
            <w:pPr>
              <w:numPr>
                <w:ilvl w:val="0"/>
                <w:numId w:val="7"/>
              </w:numPr>
              <w:spacing w:after="120"/>
              <w:ind w:left="426" w:hanging="426"/>
            </w:pPr>
            <w:r>
              <w:t xml:space="preserve">Support PNDS, as usual, in the construction, quality assurance and monitoring of infrastructure related to </w:t>
            </w:r>
            <w:r w:rsidRPr="004945EC">
              <w:t>cycles 1 and 2</w:t>
            </w:r>
            <w:r>
              <w:t>, especially Phase 1 and 2 Cycle 2 village infrastructure</w:t>
            </w:r>
          </w:p>
        </w:tc>
        <w:tc>
          <w:tcPr>
            <w:tcW w:w="4998" w:type="dxa"/>
            <w:tcBorders>
              <w:left w:val="single" w:sz="4" w:space="0" w:color="auto"/>
            </w:tcBorders>
            <w:shd w:val="clear" w:color="auto" w:fill="auto"/>
          </w:tcPr>
          <w:p w14:paraId="78FCF513" w14:textId="7F985FED" w:rsidR="0097319D" w:rsidRDefault="0097319D" w:rsidP="00A7417D">
            <w:pPr>
              <w:spacing w:after="120"/>
              <w:rPr>
                <w:rFonts w:cs="Arial"/>
              </w:rPr>
            </w:pPr>
            <w:r>
              <w:rPr>
                <w:rFonts w:cs="Arial"/>
              </w:rPr>
              <w:t xml:space="preserve">Support Program will continue to support the construction, quality assurance and monitoring of infrastructure. This will be implemented through training, updated guidelines, Field Support Team village visits, field-based monitoring systems and independent evaluations of infrastructure quality. In 2017, the program will focus on completion of 240 projects funded in the 2016 GoTL budget. </w:t>
            </w:r>
          </w:p>
        </w:tc>
      </w:tr>
      <w:tr w:rsidR="0097319D" w:rsidRPr="00F43CEC" w14:paraId="1D0C0E94" w14:textId="77777777" w:rsidTr="00FD6868">
        <w:trPr>
          <w:cantSplit/>
          <w:trHeight w:val="1471"/>
        </w:trPr>
        <w:tc>
          <w:tcPr>
            <w:tcW w:w="4998" w:type="dxa"/>
            <w:shd w:val="clear" w:color="auto" w:fill="auto"/>
          </w:tcPr>
          <w:p w14:paraId="7893B3E4" w14:textId="0E70A794" w:rsidR="0097319D" w:rsidRDefault="0097319D" w:rsidP="00DE4888">
            <w:pPr>
              <w:numPr>
                <w:ilvl w:val="0"/>
                <w:numId w:val="7"/>
              </w:numPr>
              <w:spacing w:after="120"/>
              <w:ind w:left="426" w:hanging="426"/>
            </w:pPr>
            <w:r>
              <w:t xml:space="preserve">Support appropriate implementation of and coordination with NZ and Korean supported pilot projects </w:t>
            </w:r>
          </w:p>
        </w:tc>
        <w:tc>
          <w:tcPr>
            <w:tcW w:w="4998" w:type="dxa"/>
            <w:tcBorders>
              <w:left w:val="single" w:sz="4" w:space="0" w:color="auto"/>
            </w:tcBorders>
            <w:shd w:val="clear" w:color="auto" w:fill="auto"/>
          </w:tcPr>
          <w:p w14:paraId="4CC7837C" w14:textId="12061AF3" w:rsidR="0097319D" w:rsidRDefault="0097319D" w:rsidP="00CA12A7">
            <w:pPr>
              <w:spacing w:after="120"/>
              <w:rPr>
                <w:rFonts w:cs="Arial"/>
              </w:rPr>
            </w:pPr>
            <w:r>
              <w:rPr>
                <w:rFonts w:cs="Arial"/>
              </w:rPr>
              <w:t xml:space="preserve">Support Program will provide appropriate support to improve collaboration between programs, as requested by the Ministry of State Administration and PNDS Secretariat. This may include development of guidelines for communities on the technical and financial management of playground and police housing projects. </w:t>
            </w:r>
          </w:p>
        </w:tc>
      </w:tr>
      <w:tr w:rsidR="0097319D" w:rsidRPr="00F43CEC" w14:paraId="5EF1913A" w14:textId="77777777" w:rsidTr="00FD6868">
        <w:trPr>
          <w:cantSplit/>
          <w:trHeight w:val="885"/>
        </w:trPr>
        <w:tc>
          <w:tcPr>
            <w:tcW w:w="4998" w:type="dxa"/>
            <w:shd w:val="clear" w:color="auto" w:fill="auto"/>
          </w:tcPr>
          <w:p w14:paraId="7DF86B52" w14:textId="1B6F08BE" w:rsidR="0097319D" w:rsidRDefault="0097319D" w:rsidP="00513487">
            <w:pPr>
              <w:numPr>
                <w:ilvl w:val="0"/>
                <w:numId w:val="7"/>
              </w:numPr>
              <w:spacing w:after="120"/>
              <w:ind w:left="426" w:hanging="426"/>
            </w:pPr>
            <w:r w:rsidRPr="004945EC">
              <w:t>Bolster operations and maintenance</w:t>
            </w:r>
            <w:r>
              <w:t xml:space="preserve"> systems, initially for water projects, to maximize sustainability of benefits</w:t>
            </w:r>
          </w:p>
        </w:tc>
        <w:tc>
          <w:tcPr>
            <w:tcW w:w="4998" w:type="dxa"/>
            <w:tcBorders>
              <w:left w:val="single" w:sz="4" w:space="0" w:color="auto"/>
            </w:tcBorders>
            <w:shd w:val="clear" w:color="auto" w:fill="auto"/>
          </w:tcPr>
          <w:p w14:paraId="0B9E9CC9" w14:textId="76DA02FB" w:rsidR="0097319D" w:rsidRDefault="0097319D" w:rsidP="00CA12A7">
            <w:pPr>
              <w:spacing w:after="120"/>
              <w:rPr>
                <w:rFonts w:cs="Arial"/>
              </w:rPr>
            </w:pPr>
            <w:r>
              <w:rPr>
                <w:rFonts w:cs="Arial"/>
              </w:rPr>
              <w:t xml:space="preserve">Support Program will work with the Partnership for Human Development and relevant Government of Timor-Leste bodies to develop an improved national approach to maintenance for water projects. Water projects currently account for 40 per cent of all PNDS projects.  </w:t>
            </w:r>
          </w:p>
        </w:tc>
      </w:tr>
      <w:tr w:rsidR="0097319D" w:rsidRPr="00F43CEC" w14:paraId="0A78211D" w14:textId="77777777" w:rsidTr="00FD6868">
        <w:trPr>
          <w:cantSplit/>
          <w:trHeight w:val="885"/>
        </w:trPr>
        <w:tc>
          <w:tcPr>
            <w:tcW w:w="4998" w:type="dxa"/>
            <w:shd w:val="clear" w:color="auto" w:fill="auto"/>
          </w:tcPr>
          <w:p w14:paraId="3165E817" w14:textId="39D66F60" w:rsidR="0097319D" w:rsidRPr="004945EC" w:rsidRDefault="0097319D" w:rsidP="001B5857">
            <w:pPr>
              <w:numPr>
                <w:ilvl w:val="0"/>
                <w:numId w:val="7"/>
              </w:numPr>
              <w:spacing w:after="120"/>
              <w:ind w:left="426" w:hanging="426"/>
            </w:pPr>
            <w:r>
              <w:t>Support planning for infrastructure grants in 2018, to ensure early 2018 construction, the extent possible, in particular for Phase 3 Cycle 2 projects but for all villages for Cycle 3 projects</w:t>
            </w:r>
          </w:p>
        </w:tc>
        <w:tc>
          <w:tcPr>
            <w:tcW w:w="4998" w:type="dxa"/>
            <w:tcBorders>
              <w:left w:val="single" w:sz="4" w:space="0" w:color="auto"/>
            </w:tcBorders>
            <w:shd w:val="clear" w:color="auto" w:fill="auto"/>
          </w:tcPr>
          <w:p w14:paraId="69555A5A" w14:textId="53C7E026" w:rsidR="0097319D" w:rsidRDefault="0097319D" w:rsidP="005C4942">
            <w:pPr>
              <w:spacing w:after="120"/>
              <w:rPr>
                <w:rFonts w:cs="Arial"/>
              </w:rPr>
            </w:pPr>
            <w:r>
              <w:rPr>
                <w:rFonts w:cs="Arial"/>
              </w:rPr>
              <w:t>Support Program will support PNDS to begin s</w:t>
            </w:r>
            <w:r w:rsidRPr="00236EE1">
              <w:rPr>
                <w:rFonts w:cs="Arial"/>
              </w:rPr>
              <w:t>ocialisation for the next phase of PNDS implementation in October</w:t>
            </w:r>
            <w:r>
              <w:rPr>
                <w:rFonts w:cs="Arial"/>
              </w:rPr>
              <w:t xml:space="preserve"> 2017, focused on</w:t>
            </w:r>
            <w:r w:rsidRPr="00236EE1">
              <w:rPr>
                <w:rFonts w:cs="Arial"/>
              </w:rPr>
              <w:t xml:space="preserve"> approximately 209 </w:t>
            </w:r>
            <w:r>
              <w:rPr>
                <w:rFonts w:cs="Arial"/>
              </w:rPr>
              <w:t xml:space="preserve">villages </w:t>
            </w:r>
            <w:r w:rsidRPr="00236EE1">
              <w:rPr>
                <w:rFonts w:cs="Arial"/>
              </w:rPr>
              <w:t>across the 13 Municipalities</w:t>
            </w:r>
            <w:r>
              <w:rPr>
                <w:rFonts w:cs="Arial"/>
              </w:rPr>
              <w:t xml:space="preserve">. </w:t>
            </w:r>
          </w:p>
        </w:tc>
      </w:tr>
      <w:tr w:rsidR="0097319D" w:rsidRPr="00F43CEC" w14:paraId="4F39B425" w14:textId="77777777" w:rsidTr="00FD6868">
        <w:trPr>
          <w:cantSplit/>
          <w:trHeight w:val="885"/>
        </w:trPr>
        <w:tc>
          <w:tcPr>
            <w:tcW w:w="4998" w:type="dxa"/>
            <w:shd w:val="clear" w:color="auto" w:fill="auto"/>
          </w:tcPr>
          <w:p w14:paraId="0AA6A32E" w14:textId="6332E393" w:rsidR="0097319D" w:rsidRPr="004945EC" w:rsidRDefault="0097319D" w:rsidP="001B5857">
            <w:pPr>
              <w:numPr>
                <w:ilvl w:val="0"/>
                <w:numId w:val="7"/>
              </w:numPr>
              <w:spacing w:after="120"/>
              <w:ind w:left="426" w:hanging="426"/>
            </w:pPr>
            <w:r>
              <w:t>Support PNDS to develop new rural development and infrastructure policies which take decentralisation into account, as requested by the Minister, including support with the revision of the PNDS Decree Law, and development of the PNDS Public Institute Decree Law</w:t>
            </w:r>
          </w:p>
        </w:tc>
        <w:tc>
          <w:tcPr>
            <w:tcW w:w="4998" w:type="dxa"/>
            <w:tcBorders>
              <w:left w:val="single" w:sz="4" w:space="0" w:color="auto"/>
            </w:tcBorders>
            <w:shd w:val="clear" w:color="auto" w:fill="auto"/>
          </w:tcPr>
          <w:p w14:paraId="2A76C8D6" w14:textId="03D1E901" w:rsidR="0097319D" w:rsidRDefault="00657EB6" w:rsidP="003A421E">
            <w:pPr>
              <w:spacing w:after="120"/>
              <w:rPr>
                <w:rFonts w:cs="Arial"/>
              </w:rPr>
            </w:pPr>
            <w:r>
              <w:rPr>
                <w:rFonts w:cs="Arial"/>
              </w:rPr>
              <w:t xml:space="preserve">Support Program will assist PNDS in finalising Technical Construction Standards and </w:t>
            </w:r>
            <w:r w:rsidR="007E6D54">
              <w:rPr>
                <w:rFonts w:cs="Arial"/>
              </w:rPr>
              <w:t>develop a roadmap for l</w:t>
            </w:r>
            <w:r>
              <w:rPr>
                <w:rFonts w:cs="Arial"/>
              </w:rPr>
              <w:t xml:space="preserve">ivelihoods </w:t>
            </w:r>
            <w:r w:rsidR="007E6D54">
              <w:rPr>
                <w:rFonts w:cs="Arial"/>
              </w:rPr>
              <w:t>enhancement through PNDS</w:t>
            </w:r>
            <w:r w:rsidR="00223D24">
              <w:rPr>
                <w:rFonts w:cs="Arial"/>
              </w:rPr>
              <w:t xml:space="preserve"> by the end of 2017</w:t>
            </w:r>
            <w:r w:rsidR="007E6D54">
              <w:rPr>
                <w:rFonts w:cs="Arial"/>
              </w:rPr>
              <w:t xml:space="preserve">. </w:t>
            </w:r>
          </w:p>
          <w:p w14:paraId="0D7EA983" w14:textId="56C43D61" w:rsidR="003E0EC5" w:rsidRDefault="003E0EC5" w:rsidP="00457E11">
            <w:pPr>
              <w:spacing w:after="120"/>
              <w:rPr>
                <w:rFonts w:cs="Arial"/>
              </w:rPr>
            </w:pPr>
            <w:r>
              <w:rPr>
                <w:rFonts w:cs="Arial"/>
              </w:rPr>
              <w:t>The Support Program</w:t>
            </w:r>
            <w:r w:rsidR="000A3BD6">
              <w:rPr>
                <w:rFonts w:cs="Arial"/>
              </w:rPr>
              <w:t>, particularly through the Senior</w:t>
            </w:r>
            <w:r>
              <w:rPr>
                <w:rFonts w:cs="Arial"/>
              </w:rPr>
              <w:t xml:space="preserve"> Stakeholder</w:t>
            </w:r>
            <w:r w:rsidR="00457E11">
              <w:rPr>
                <w:rFonts w:cs="Arial"/>
              </w:rPr>
              <w:t xml:space="preserve"> Engagement</w:t>
            </w:r>
            <w:r>
              <w:rPr>
                <w:rFonts w:cs="Arial"/>
              </w:rPr>
              <w:t xml:space="preserve"> Adviser</w:t>
            </w:r>
            <w:r w:rsidR="000A3BD6">
              <w:rPr>
                <w:rFonts w:cs="Arial"/>
              </w:rPr>
              <w:t>,</w:t>
            </w:r>
            <w:r>
              <w:rPr>
                <w:rFonts w:cs="Arial"/>
              </w:rPr>
              <w:t xml:space="preserve"> will </w:t>
            </w:r>
            <w:r w:rsidR="000A3BD6">
              <w:rPr>
                <w:rFonts w:cs="Arial"/>
              </w:rPr>
              <w:t xml:space="preserve">continue to support PNDS leadership on the revision of the PNDS Decree Law and development of the Public Institute. </w:t>
            </w:r>
          </w:p>
        </w:tc>
      </w:tr>
      <w:tr w:rsidR="0097319D" w:rsidRPr="00F43CEC" w14:paraId="63028C54" w14:textId="77777777" w:rsidTr="00FD6868">
        <w:trPr>
          <w:cantSplit/>
          <w:trHeight w:val="885"/>
        </w:trPr>
        <w:tc>
          <w:tcPr>
            <w:tcW w:w="4998" w:type="dxa"/>
            <w:shd w:val="clear" w:color="auto" w:fill="auto"/>
          </w:tcPr>
          <w:p w14:paraId="5B3A5824" w14:textId="7DAC2505" w:rsidR="0097319D" w:rsidRPr="004945EC" w:rsidRDefault="0097319D" w:rsidP="001B5857">
            <w:pPr>
              <w:numPr>
                <w:ilvl w:val="0"/>
                <w:numId w:val="7"/>
              </w:numPr>
              <w:spacing w:after="120"/>
              <w:ind w:left="426" w:hanging="426"/>
            </w:pPr>
            <w:r>
              <w:lastRenderedPageBreak/>
              <w:t>Update and formally reissue the PNDS O</w:t>
            </w:r>
            <w:r w:rsidRPr="004945EC">
              <w:t>perati</w:t>
            </w:r>
            <w:r>
              <w:t>ons Manual in light of learning</w:t>
            </w:r>
            <w:r w:rsidRPr="004945EC">
              <w:t xml:space="preserve"> and experience</w:t>
            </w:r>
            <w:r>
              <w:t xml:space="preserve"> to date to support 2017 implementation and planning for 2018</w:t>
            </w:r>
          </w:p>
        </w:tc>
        <w:tc>
          <w:tcPr>
            <w:tcW w:w="4998" w:type="dxa"/>
            <w:tcBorders>
              <w:left w:val="single" w:sz="4" w:space="0" w:color="auto"/>
            </w:tcBorders>
            <w:shd w:val="clear" w:color="auto" w:fill="auto"/>
          </w:tcPr>
          <w:p w14:paraId="00449B32" w14:textId="0F102679" w:rsidR="0097319D" w:rsidRDefault="0097319D" w:rsidP="00794D3D">
            <w:pPr>
              <w:spacing w:after="120"/>
              <w:rPr>
                <w:rFonts w:cs="Arial"/>
              </w:rPr>
            </w:pPr>
            <w:r>
              <w:rPr>
                <w:rFonts w:cs="Arial"/>
              </w:rPr>
              <w:t>Support Program will revise</w:t>
            </w:r>
            <w:r w:rsidR="00FD6924">
              <w:rPr>
                <w:rFonts w:cs="Arial"/>
              </w:rPr>
              <w:t xml:space="preserve"> and reissue</w:t>
            </w:r>
            <w:r>
              <w:rPr>
                <w:rFonts w:cs="Arial"/>
              </w:rPr>
              <w:t xml:space="preserve"> the Programs Operations Manual by December 2017. </w:t>
            </w:r>
          </w:p>
        </w:tc>
      </w:tr>
      <w:tr w:rsidR="0097319D" w:rsidRPr="00F43CEC" w14:paraId="6E48888B" w14:textId="77777777" w:rsidTr="00FD6868">
        <w:trPr>
          <w:cantSplit/>
          <w:trHeight w:val="885"/>
        </w:trPr>
        <w:tc>
          <w:tcPr>
            <w:tcW w:w="4998" w:type="dxa"/>
            <w:shd w:val="clear" w:color="auto" w:fill="auto"/>
          </w:tcPr>
          <w:p w14:paraId="2B0E1C06" w14:textId="0BD2E7A3" w:rsidR="0097319D" w:rsidRDefault="0097319D" w:rsidP="001B5857">
            <w:pPr>
              <w:numPr>
                <w:ilvl w:val="0"/>
                <w:numId w:val="7"/>
              </w:numPr>
              <w:spacing w:after="120"/>
              <w:ind w:left="426" w:hanging="426"/>
            </w:pPr>
            <w:r>
              <w:t>Support PNDS to provide training for new Xefe Sukus and new Suku Council members, in particular the new female aldeia representatives, on PNDS principles and processes</w:t>
            </w:r>
          </w:p>
        </w:tc>
        <w:tc>
          <w:tcPr>
            <w:tcW w:w="4998" w:type="dxa"/>
            <w:tcBorders>
              <w:left w:val="single" w:sz="4" w:space="0" w:color="auto"/>
            </w:tcBorders>
            <w:shd w:val="clear" w:color="auto" w:fill="auto"/>
          </w:tcPr>
          <w:p w14:paraId="583CC990" w14:textId="0CF26446" w:rsidR="0097319D" w:rsidRDefault="0097319D" w:rsidP="00DF52DF">
            <w:pPr>
              <w:spacing w:after="120"/>
              <w:rPr>
                <w:rFonts w:cs="Arial"/>
              </w:rPr>
            </w:pPr>
            <w:r>
              <w:rPr>
                <w:rFonts w:cs="Arial"/>
              </w:rPr>
              <w:t xml:space="preserve">Support Program will revise </w:t>
            </w:r>
            <w:r w:rsidR="00403B58">
              <w:rPr>
                <w:rFonts w:cs="Arial"/>
              </w:rPr>
              <w:t>its</w:t>
            </w:r>
            <w:r>
              <w:rPr>
                <w:rFonts w:cs="Arial"/>
              </w:rPr>
              <w:t xml:space="preserve"> work plan to include this activity. Training will be delivered to all new village leaders following the re-issue of the revised Programs Operations Manual.   </w:t>
            </w:r>
          </w:p>
          <w:p w14:paraId="5D750B8A" w14:textId="77777777" w:rsidR="0097319D" w:rsidRDefault="0097319D" w:rsidP="007C02B1">
            <w:pPr>
              <w:spacing w:after="120"/>
              <w:rPr>
                <w:rFonts w:cs="Arial"/>
              </w:rPr>
            </w:pPr>
          </w:p>
        </w:tc>
      </w:tr>
    </w:tbl>
    <w:p w14:paraId="33CDFF1F" w14:textId="77777777" w:rsidR="00C657FB" w:rsidRDefault="00C657FB" w:rsidP="00C657FB">
      <w:pPr>
        <w:rPr>
          <w:rFonts w:cs="Arial"/>
        </w:rPr>
      </w:pPr>
    </w:p>
    <w:sectPr w:rsidR="00C657FB" w:rsidSect="000547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76367" w14:textId="77777777" w:rsidR="00226426" w:rsidRDefault="00226426">
      <w:pPr>
        <w:pStyle w:val="Table-list-number"/>
      </w:pPr>
      <w:r>
        <w:separator/>
      </w:r>
    </w:p>
  </w:endnote>
  <w:endnote w:type="continuationSeparator" w:id="0">
    <w:p w14:paraId="329B8AF9" w14:textId="77777777" w:rsidR="00226426" w:rsidRDefault="00226426">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D3F6" w14:textId="77777777" w:rsidR="001B6F62" w:rsidRDefault="001B6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FF2D" w14:textId="64618D80" w:rsidR="00162443" w:rsidRPr="00AE52D5" w:rsidRDefault="00162443" w:rsidP="00AE52D5">
    <w:pPr>
      <w:pStyle w:val="Footer"/>
      <w:pBdr>
        <w:top w:val="single" w:sz="4" w:space="7" w:color="333333"/>
      </w:pBdr>
      <w:tabs>
        <w:tab w:val="clear" w:pos="4153"/>
        <w:tab w:val="clear" w:pos="8306"/>
        <w:tab w:val="right" w:pos="9639"/>
      </w:tabs>
      <w:rPr>
        <w:rStyle w:val="PageNumber"/>
      </w:rPr>
    </w:pPr>
    <w:r w:rsidRPr="00AE52D5">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5756FD">
      <w:rPr>
        <w:rStyle w:val="PageNumber"/>
        <w:noProof/>
      </w:rPr>
      <w:t>4</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5756FD">
      <w:rPr>
        <w:rStyle w:val="PageNumber"/>
        <w:noProof/>
      </w:rPr>
      <w:t>7</w:t>
    </w:r>
    <w:r w:rsidRPr="00AE52D5">
      <w:rPr>
        <w:rStyle w:val="PageNumber"/>
      </w:rPr>
      <w:fldChar w:fldCharType="end"/>
    </w:r>
  </w:p>
  <w:p w14:paraId="33CDFF2E" w14:textId="1BE97CFD" w:rsidR="00162443" w:rsidRPr="00AE52D5" w:rsidRDefault="00162443" w:rsidP="00AE52D5">
    <w:pPr>
      <w:pStyle w:val="Footer"/>
      <w:pBdr>
        <w:top w:val="single" w:sz="4" w:space="7" w:color="333333"/>
      </w:pBdr>
      <w:tabs>
        <w:tab w:val="clear" w:pos="4153"/>
        <w:tab w:val="clear" w:pos="8306"/>
        <w:tab w:val="right" w:pos="9639"/>
      </w:tabs>
    </w:pPr>
    <w:r>
      <w:rPr>
        <w:rStyle w:val="PageNumber"/>
      </w:rPr>
      <w:t>U</w:t>
    </w:r>
    <w:r w:rsidRPr="00AE52D5">
      <w:rPr>
        <w:rStyle w:val="PageNumber"/>
      </w:rPr>
      <w:t>NCLASSIFIED</w:t>
    </w:r>
  </w:p>
  <w:p w14:paraId="33CDFF2F" w14:textId="77777777" w:rsidR="00162443" w:rsidRPr="000815FC" w:rsidRDefault="00162443"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84AF9" w14:textId="77777777" w:rsidR="001B6F62" w:rsidRDefault="001B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4C09F" w14:textId="77777777" w:rsidR="00226426" w:rsidRDefault="00226426">
      <w:pPr>
        <w:pStyle w:val="Table-list-number"/>
      </w:pPr>
      <w:r>
        <w:separator/>
      </w:r>
    </w:p>
  </w:footnote>
  <w:footnote w:type="continuationSeparator" w:id="0">
    <w:p w14:paraId="66ECDACF" w14:textId="77777777" w:rsidR="00226426" w:rsidRDefault="00226426">
      <w:pPr>
        <w:pStyle w:val="Table-list-numb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DC75" w14:textId="77777777" w:rsidR="001B6F62" w:rsidRDefault="001B6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FF2C" w14:textId="77777777" w:rsidR="00162443" w:rsidRPr="00077243" w:rsidRDefault="00162443" w:rsidP="00077243">
    <w:pPr>
      <w:pStyle w:val="Header"/>
      <w:jc w:val="center"/>
      <w:rPr>
        <w:caps/>
      </w:rPr>
    </w:pPr>
    <w:r w:rsidRPr="00077243">
      <w:rPr>
        <w:caps/>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F54C" w14:textId="77777777" w:rsidR="001B6F62" w:rsidRDefault="001B6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E53E2"/>
    <w:multiLevelType w:val="hybridMultilevel"/>
    <w:tmpl w:val="824E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1676D"/>
    <w:multiLevelType w:val="hybridMultilevel"/>
    <w:tmpl w:val="D28AB1A0"/>
    <w:lvl w:ilvl="0" w:tplc="E1DAF64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D32130"/>
    <w:multiLevelType w:val="hybridMultilevel"/>
    <w:tmpl w:val="BBB0C9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27A61ED"/>
    <w:multiLevelType w:val="multilevel"/>
    <w:tmpl w:val="3F90E92A"/>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569A1C49"/>
    <w:multiLevelType w:val="hybridMultilevel"/>
    <w:tmpl w:val="AC76A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9810101"/>
    <w:multiLevelType w:val="hybridMultilevel"/>
    <w:tmpl w:val="6B1ED418"/>
    <w:lvl w:ilvl="0" w:tplc="0C090001">
      <w:start w:val="1"/>
      <w:numFmt w:val="bullet"/>
      <w:lvlText w:val=""/>
      <w:lvlJc w:val="left"/>
      <w:pPr>
        <w:ind w:left="2850" w:hanging="360"/>
      </w:pPr>
      <w:rPr>
        <w:rFonts w:ascii="Symbol" w:hAnsi="Symbol" w:hint="default"/>
      </w:rPr>
    </w:lvl>
    <w:lvl w:ilvl="1" w:tplc="0C090003" w:tentative="1">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10" w15:restartNumberingAfterBreak="0">
    <w:nsid w:val="641B3406"/>
    <w:multiLevelType w:val="hybridMultilevel"/>
    <w:tmpl w:val="5C00D93E"/>
    <w:lvl w:ilvl="0" w:tplc="BB0A0EB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736C11"/>
    <w:multiLevelType w:val="hybridMultilevel"/>
    <w:tmpl w:val="43E039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3" w15:restartNumberingAfterBreak="0">
    <w:nsid w:val="75FD35E7"/>
    <w:multiLevelType w:val="hybridMultilevel"/>
    <w:tmpl w:val="60181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12"/>
  </w:num>
  <w:num w:numId="5">
    <w:abstractNumId w:val="14"/>
  </w:num>
  <w:num w:numId="6">
    <w:abstractNumId w:val="0"/>
  </w:num>
  <w:num w:numId="7">
    <w:abstractNumId w:val="10"/>
  </w:num>
  <w:num w:numId="8">
    <w:abstractNumId w:val="13"/>
  </w:num>
  <w:num w:numId="9">
    <w:abstractNumId w:val="1"/>
  </w:num>
  <w:num w:numId="10">
    <w:abstractNumId w:val="9"/>
  </w:num>
  <w:num w:numId="11">
    <w:abstractNumId w:val="11"/>
  </w:num>
  <w:num w:numId="12">
    <w:abstractNumId w:val="8"/>
  </w:num>
  <w:num w:numId="13">
    <w:abstractNumId w:val="3"/>
  </w:num>
  <w:num w:numId="1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8"/>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35"/>
    <w:rsid w:val="00012070"/>
    <w:rsid w:val="00012E96"/>
    <w:rsid w:val="000135D5"/>
    <w:rsid w:val="00015371"/>
    <w:rsid w:val="000163BD"/>
    <w:rsid w:val="000227A1"/>
    <w:rsid w:val="000231AD"/>
    <w:rsid w:val="00026B7C"/>
    <w:rsid w:val="000272E0"/>
    <w:rsid w:val="00031779"/>
    <w:rsid w:val="00032E47"/>
    <w:rsid w:val="00040C6E"/>
    <w:rsid w:val="000412DD"/>
    <w:rsid w:val="000446F7"/>
    <w:rsid w:val="00050291"/>
    <w:rsid w:val="00052316"/>
    <w:rsid w:val="00052846"/>
    <w:rsid w:val="00054700"/>
    <w:rsid w:val="000578FA"/>
    <w:rsid w:val="000640FE"/>
    <w:rsid w:val="00067C95"/>
    <w:rsid w:val="0007162A"/>
    <w:rsid w:val="00071CEC"/>
    <w:rsid w:val="000728D3"/>
    <w:rsid w:val="000733A5"/>
    <w:rsid w:val="000733A7"/>
    <w:rsid w:val="00073459"/>
    <w:rsid w:val="000765F5"/>
    <w:rsid w:val="00077243"/>
    <w:rsid w:val="000815FC"/>
    <w:rsid w:val="00082CC2"/>
    <w:rsid w:val="000869CE"/>
    <w:rsid w:val="000922D7"/>
    <w:rsid w:val="00094AFB"/>
    <w:rsid w:val="00094CE2"/>
    <w:rsid w:val="000966D4"/>
    <w:rsid w:val="000A3BD6"/>
    <w:rsid w:val="000A77DB"/>
    <w:rsid w:val="000B1F7F"/>
    <w:rsid w:val="000B3828"/>
    <w:rsid w:val="000B520A"/>
    <w:rsid w:val="000B6AF4"/>
    <w:rsid w:val="000B7AFD"/>
    <w:rsid w:val="000C2C67"/>
    <w:rsid w:val="000C4574"/>
    <w:rsid w:val="000C6F63"/>
    <w:rsid w:val="000D316D"/>
    <w:rsid w:val="000D31E7"/>
    <w:rsid w:val="000D38AE"/>
    <w:rsid w:val="000D3EED"/>
    <w:rsid w:val="000E1475"/>
    <w:rsid w:val="000E1958"/>
    <w:rsid w:val="000E4F67"/>
    <w:rsid w:val="000F212F"/>
    <w:rsid w:val="000F51D5"/>
    <w:rsid w:val="000F5551"/>
    <w:rsid w:val="000F5E9F"/>
    <w:rsid w:val="000F5FF5"/>
    <w:rsid w:val="0010006D"/>
    <w:rsid w:val="00102362"/>
    <w:rsid w:val="00104963"/>
    <w:rsid w:val="001077BF"/>
    <w:rsid w:val="00113C84"/>
    <w:rsid w:val="001169C6"/>
    <w:rsid w:val="00116D39"/>
    <w:rsid w:val="00121F43"/>
    <w:rsid w:val="001236CF"/>
    <w:rsid w:val="00123C3E"/>
    <w:rsid w:val="00124412"/>
    <w:rsid w:val="0012582F"/>
    <w:rsid w:val="00134B6C"/>
    <w:rsid w:val="001365CA"/>
    <w:rsid w:val="001378B7"/>
    <w:rsid w:val="00140289"/>
    <w:rsid w:val="0014081A"/>
    <w:rsid w:val="00144AF1"/>
    <w:rsid w:val="001461C8"/>
    <w:rsid w:val="001467C6"/>
    <w:rsid w:val="00151891"/>
    <w:rsid w:val="00153F2A"/>
    <w:rsid w:val="00154AEF"/>
    <w:rsid w:val="00156FAB"/>
    <w:rsid w:val="001614B0"/>
    <w:rsid w:val="00162443"/>
    <w:rsid w:val="0016457C"/>
    <w:rsid w:val="00167AA5"/>
    <w:rsid w:val="00170767"/>
    <w:rsid w:val="00172EFA"/>
    <w:rsid w:val="00173632"/>
    <w:rsid w:val="00173C44"/>
    <w:rsid w:val="00174C6F"/>
    <w:rsid w:val="00175FFC"/>
    <w:rsid w:val="00177AC0"/>
    <w:rsid w:val="0018286B"/>
    <w:rsid w:val="001830E3"/>
    <w:rsid w:val="00184728"/>
    <w:rsid w:val="001873F8"/>
    <w:rsid w:val="001874BC"/>
    <w:rsid w:val="0018785F"/>
    <w:rsid w:val="00190FBA"/>
    <w:rsid w:val="001917F6"/>
    <w:rsid w:val="00194AA0"/>
    <w:rsid w:val="001B1EE4"/>
    <w:rsid w:val="001B5857"/>
    <w:rsid w:val="001B5DEE"/>
    <w:rsid w:val="001B6F62"/>
    <w:rsid w:val="001C0546"/>
    <w:rsid w:val="001C16FD"/>
    <w:rsid w:val="001C3C8A"/>
    <w:rsid w:val="001D1D35"/>
    <w:rsid w:val="001D5E70"/>
    <w:rsid w:val="001D66C3"/>
    <w:rsid w:val="001D6F6B"/>
    <w:rsid w:val="001D7353"/>
    <w:rsid w:val="001E3D24"/>
    <w:rsid w:val="001E4372"/>
    <w:rsid w:val="001E4FCC"/>
    <w:rsid w:val="001F112D"/>
    <w:rsid w:val="001F4E7D"/>
    <w:rsid w:val="001F548E"/>
    <w:rsid w:val="00201759"/>
    <w:rsid w:val="00206132"/>
    <w:rsid w:val="00207033"/>
    <w:rsid w:val="00211375"/>
    <w:rsid w:val="00212F81"/>
    <w:rsid w:val="0021430E"/>
    <w:rsid w:val="00214F7F"/>
    <w:rsid w:val="00221D53"/>
    <w:rsid w:val="00223581"/>
    <w:rsid w:val="00223D24"/>
    <w:rsid w:val="00226426"/>
    <w:rsid w:val="00227D42"/>
    <w:rsid w:val="00232239"/>
    <w:rsid w:val="00234D03"/>
    <w:rsid w:val="00236EE1"/>
    <w:rsid w:val="002425E0"/>
    <w:rsid w:val="00245265"/>
    <w:rsid w:val="00250414"/>
    <w:rsid w:val="00250CB9"/>
    <w:rsid w:val="002524DA"/>
    <w:rsid w:val="00252E0F"/>
    <w:rsid w:val="002546B7"/>
    <w:rsid w:val="00255AAC"/>
    <w:rsid w:val="00255DF0"/>
    <w:rsid w:val="002566F6"/>
    <w:rsid w:val="00264366"/>
    <w:rsid w:val="00276F45"/>
    <w:rsid w:val="002824B7"/>
    <w:rsid w:val="00282DA2"/>
    <w:rsid w:val="002839B9"/>
    <w:rsid w:val="0029717D"/>
    <w:rsid w:val="002A3A6A"/>
    <w:rsid w:val="002B2279"/>
    <w:rsid w:val="002B2BA6"/>
    <w:rsid w:val="002B481C"/>
    <w:rsid w:val="002B5216"/>
    <w:rsid w:val="002C14E3"/>
    <w:rsid w:val="002D1173"/>
    <w:rsid w:val="002D4C96"/>
    <w:rsid w:val="002E0EA2"/>
    <w:rsid w:val="002E3B27"/>
    <w:rsid w:val="002E4C08"/>
    <w:rsid w:val="002E7065"/>
    <w:rsid w:val="002E7A09"/>
    <w:rsid w:val="002E7F4E"/>
    <w:rsid w:val="002F001E"/>
    <w:rsid w:val="002F13CD"/>
    <w:rsid w:val="002F14CE"/>
    <w:rsid w:val="002F3803"/>
    <w:rsid w:val="0030264B"/>
    <w:rsid w:val="003030EC"/>
    <w:rsid w:val="00306CFD"/>
    <w:rsid w:val="00310523"/>
    <w:rsid w:val="00310FA6"/>
    <w:rsid w:val="00311BAC"/>
    <w:rsid w:val="00326D2A"/>
    <w:rsid w:val="00334E51"/>
    <w:rsid w:val="003418D9"/>
    <w:rsid w:val="00342870"/>
    <w:rsid w:val="00342A6C"/>
    <w:rsid w:val="00345F77"/>
    <w:rsid w:val="00350917"/>
    <w:rsid w:val="003542C9"/>
    <w:rsid w:val="0035724B"/>
    <w:rsid w:val="00360B33"/>
    <w:rsid w:val="00360BD2"/>
    <w:rsid w:val="003626C1"/>
    <w:rsid w:val="003629EE"/>
    <w:rsid w:val="00363801"/>
    <w:rsid w:val="00367DA3"/>
    <w:rsid w:val="003719DB"/>
    <w:rsid w:val="00371B8D"/>
    <w:rsid w:val="00373EB2"/>
    <w:rsid w:val="0037472F"/>
    <w:rsid w:val="0037535E"/>
    <w:rsid w:val="00381A5C"/>
    <w:rsid w:val="0039002F"/>
    <w:rsid w:val="00390A59"/>
    <w:rsid w:val="00394C72"/>
    <w:rsid w:val="00397F85"/>
    <w:rsid w:val="003A09AD"/>
    <w:rsid w:val="003A273C"/>
    <w:rsid w:val="003A36D5"/>
    <w:rsid w:val="003A421E"/>
    <w:rsid w:val="003A4D26"/>
    <w:rsid w:val="003B518A"/>
    <w:rsid w:val="003B52DF"/>
    <w:rsid w:val="003C0A67"/>
    <w:rsid w:val="003C24EC"/>
    <w:rsid w:val="003C25ED"/>
    <w:rsid w:val="003D0C24"/>
    <w:rsid w:val="003D236A"/>
    <w:rsid w:val="003D4350"/>
    <w:rsid w:val="003D4CAC"/>
    <w:rsid w:val="003D548A"/>
    <w:rsid w:val="003D5CFC"/>
    <w:rsid w:val="003D6E0A"/>
    <w:rsid w:val="003D7317"/>
    <w:rsid w:val="003E0DFE"/>
    <w:rsid w:val="003E0EC5"/>
    <w:rsid w:val="003E2603"/>
    <w:rsid w:val="003E3E3E"/>
    <w:rsid w:val="003E6188"/>
    <w:rsid w:val="003E6561"/>
    <w:rsid w:val="003E7BC4"/>
    <w:rsid w:val="003F0F7E"/>
    <w:rsid w:val="003F2997"/>
    <w:rsid w:val="003F43CF"/>
    <w:rsid w:val="003F43F9"/>
    <w:rsid w:val="003F4664"/>
    <w:rsid w:val="003F7C64"/>
    <w:rsid w:val="004032D0"/>
    <w:rsid w:val="00403B58"/>
    <w:rsid w:val="00406563"/>
    <w:rsid w:val="00406867"/>
    <w:rsid w:val="00406CD2"/>
    <w:rsid w:val="00410458"/>
    <w:rsid w:val="00411862"/>
    <w:rsid w:val="00415D05"/>
    <w:rsid w:val="00416565"/>
    <w:rsid w:val="00421008"/>
    <w:rsid w:val="004221A5"/>
    <w:rsid w:val="00434134"/>
    <w:rsid w:val="004354C3"/>
    <w:rsid w:val="00437372"/>
    <w:rsid w:val="00444D45"/>
    <w:rsid w:val="0045086C"/>
    <w:rsid w:val="00454766"/>
    <w:rsid w:val="004554E7"/>
    <w:rsid w:val="004555E2"/>
    <w:rsid w:val="00455F94"/>
    <w:rsid w:val="00456E9B"/>
    <w:rsid w:val="00457D06"/>
    <w:rsid w:val="00457E11"/>
    <w:rsid w:val="00457E52"/>
    <w:rsid w:val="00461D80"/>
    <w:rsid w:val="00466404"/>
    <w:rsid w:val="00466CDA"/>
    <w:rsid w:val="00470105"/>
    <w:rsid w:val="004707CB"/>
    <w:rsid w:val="00473AA7"/>
    <w:rsid w:val="004740EB"/>
    <w:rsid w:val="00476FDC"/>
    <w:rsid w:val="0047719C"/>
    <w:rsid w:val="00480409"/>
    <w:rsid w:val="00482438"/>
    <w:rsid w:val="004845DA"/>
    <w:rsid w:val="00487840"/>
    <w:rsid w:val="00487F6D"/>
    <w:rsid w:val="00496DB3"/>
    <w:rsid w:val="004A100E"/>
    <w:rsid w:val="004A4C61"/>
    <w:rsid w:val="004A56A0"/>
    <w:rsid w:val="004B69FB"/>
    <w:rsid w:val="004C00C0"/>
    <w:rsid w:val="004C1461"/>
    <w:rsid w:val="004C429D"/>
    <w:rsid w:val="004C4970"/>
    <w:rsid w:val="004C675F"/>
    <w:rsid w:val="004D3454"/>
    <w:rsid w:val="004E0A16"/>
    <w:rsid w:val="004E150A"/>
    <w:rsid w:val="004E157C"/>
    <w:rsid w:val="004E37BD"/>
    <w:rsid w:val="004F2300"/>
    <w:rsid w:val="004F5F17"/>
    <w:rsid w:val="00504689"/>
    <w:rsid w:val="005077AB"/>
    <w:rsid w:val="00513487"/>
    <w:rsid w:val="005149FE"/>
    <w:rsid w:val="005154F9"/>
    <w:rsid w:val="0052010E"/>
    <w:rsid w:val="00522766"/>
    <w:rsid w:val="00523BBF"/>
    <w:rsid w:val="00530283"/>
    <w:rsid w:val="00530A27"/>
    <w:rsid w:val="00532595"/>
    <w:rsid w:val="005423EE"/>
    <w:rsid w:val="005477B9"/>
    <w:rsid w:val="00547F8B"/>
    <w:rsid w:val="00550E26"/>
    <w:rsid w:val="005566FF"/>
    <w:rsid w:val="00562518"/>
    <w:rsid w:val="005672CB"/>
    <w:rsid w:val="00572481"/>
    <w:rsid w:val="005756FD"/>
    <w:rsid w:val="00576EED"/>
    <w:rsid w:val="005829CA"/>
    <w:rsid w:val="00586B72"/>
    <w:rsid w:val="0059000A"/>
    <w:rsid w:val="0059065C"/>
    <w:rsid w:val="005928E6"/>
    <w:rsid w:val="00593DB7"/>
    <w:rsid w:val="0059519C"/>
    <w:rsid w:val="00596949"/>
    <w:rsid w:val="005A4455"/>
    <w:rsid w:val="005A47C3"/>
    <w:rsid w:val="005A5BE3"/>
    <w:rsid w:val="005A6B4A"/>
    <w:rsid w:val="005A7156"/>
    <w:rsid w:val="005A7776"/>
    <w:rsid w:val="005B0705"/>
    <w:rsid w:val="005C3087"/>
    <w:rsid w:val="005C4942"/>
    <w:rsid w:val="005D008B"/>
    <w:rsid w:val="005D0845"/>
    <w:rsid w:val="005D0A82"/>
    <w:rsid w:val="005D125A"/>
    <w:rsid w:val="005D3F4B"/>
    <w:rsid w:val="005D4369"/>
    <w:rsid w:val="005D668A"/>
    <w:rsid w:val="005D7781"/>
    <w:rsid w:val="005E0F91"/>
    <w:rsid w:val="005E3939"/>
    <w:rsid w:val="005E6BAB"/>
    <w:rsid w:val="005F0C89"/>
    <w:rsid w:val="00604978"/>
    <w:rsid w:val="00611E1D"/>
    <w:rsid w:val="0061231E"/>
    <w:rsid w:val="00614E79"/>
    <w:rsid w:val="00614EC8"/>
    <w:rsid w:val="006153BC"/>
    <w:rsid w:val="00620410"/>
    <w:rsid w:val="0062711A"/>
    <w:rsid w:val="006301EB"/>
    <w:rsid w:val="00630522"/>
    <w:rsid w:val="00632714"/>
    <w:rsid w:val="00636F15"/>
    <w:rsid w:val="006405BA"/>
    <w:rsid w:val="00642F53"/>
    <w:rsid w:val="00644EB7"/>
    <w:rsid w:val="00654BC0"/>
    <w:rsid w:val="00656E2F"/>
    <w:rsid w:val="00657EB6"/>
    <w:rsid w:val="0066401F"/>
    <w:rsid w:val="0066683D"/>
    <w:rsid w:val="00670D9D"/>
    <w:rsid w:val="00677BF8"/>
    <w:rsid w:val="00681953"/>
    <w:rsid w:val="00681FC6"/>
    <w:rsid w:val="00683EB4"/>
    <w:rsid w:val="00691182"/>
    <w:rsid w:val="00696A03"/>
    <w:rsid w:val="006A069A"/>
    <w:rsid w:val="006A33F8"/>
    <w:rsid w:val="006A3535"/>
    <w:rsid w:val="006A6864"/>
    <w:rsid w:val="006B0754"/>
    <w:rsid w:val="006B0F3C"/>
    <w:rsid w:val="006B204D"/>
    <w:rsid w:val="006B20F3"/>
    <w:rsid w:val="006B4A7A"/>
    <w:rsid w:val="006B5E30"/>
    <w:rsid w:val="006B6CC9"/>
    <w:rsid w:val="006B7BFE"/>
    <w:rsid w:val="006C2142"/>
    <w:rsid w:val="006C4ECA"/>
    <w:rsid w:val="006C730B"/>
    <w:rsid w:val="006D31BA"/>
    <w:rsid w:val="006D7297"/>
    <w:rsid w:val="006E0843"/>
    <w:rsid w:val="006E08F6"/>
    <w:rsid w:val="007104C5"/>
    <w:rsid w:val="00713B39"/>
    <w:rsid w:val="0072064D"/>
    <w:rsid w:val="00722481"/>
    <w:rsid w:val="007336DD"/>
    <w:rsid w:val="007415C8"/>
    <w:rsid w:val="00743FDA"/>
    <w:rsid w:val="00744139"/>
    <w:rsid w:val="007478C2"/>
    <w:rsid w:val="00747B90"/>
    <w:rsid w:val="00752720"/>
    <w:rsid w:val="00755ECE"/>
    <w:rsid w:val="00757BF2"/>
    <w:rsid w:val="007617BD"/>
    <w:rsid w:val="00762054"/>
    <w:rsid w:val="00762F7B"/>
    <w:rsid w:val="007659F8"/>
    <w:rsid w:val="00767EB4"/>
    <w:rsid w:val="00770AAC"/>
    <w:rsid w:val="007717B2"/>
    <w:rsid w:val="0077265D"/>
    <w:rsid w:val="0077790F"/>
    <w:rsid w:val="00780004"/>
    <w:rsid w:val="007820D0"/>
    <w:rsid w:val="00783EFE"/>
    <w:rsid w:val="00783F58"/>
    <w:rsid w:val="0079499D"/>
    <w:rsid w:val="00794D3D"/>
    <w:rsid w:val="007A6A76"/>
    <w:rsid w:val="007B042E"/>
    <w:rsid w:val="007C02B1"/>
    <w:rsid w:val="007C0DA3"/>
    <w:rsid w:val="007C0E48"/>
    <w:rsid w:val="007C5FAB"/>
    <w:rsid w:val="007C62DD"/>
    <w:rsid w:val="007D0FC3"/>
    <w:rsid w:val="007D2631"/>
    <w:rsid w:val="007D3B61"/>
    <w:rsid w:val="007E37A6"/>
    <w:rsid w:val="007E4E22"/>
    <w:rsid w:val="007E4FE8"/>
    <w:rsid w:val="007E60A1"/>
    <w:rsid w:val="007E694D"/>
    <w:rsid w:val="007E6D54"/>
    <w:rsid w:val="007F2D93"/>
    <w:rsid w:val="007F3EE5"/>
    <w:rsid w:val="00800650"/>
    <w:rsid w:val="00801726"/>
    <w:rsid w:val="00802661"/>
    <w:rsid w:val="00802A54"/>
    <w:rsid w:val="0080404C"/>
    <w:rsid w:val="00804AEF"/>
    <w:rsid w:val="00804D49"/>
    <w:rsid w:val="00806888"/>
    <w:rsid w:val="00812B0E"/>
    <w:rsid w:val="00814D47"/>
    <w:rsid w:val="008156DB"/>
    <w:rsid w:val="0081654C"/>
    <w:rsid w:val="00816584"/>
    <w:rsid w:val="0081696F"/>
    <w:rsid w:val="00816A35"/>
    <w:rsid w:val="00817570"/>
    <w:rsid w:val="0081768E"/>
    <w:rsid w:val="00831FE2"/>
    <w:rsid w:val="00841125"/>
    <w:rsid w:val="00843412"/>
    <w:rsid w:val="00843D42"/>
    <w:rsid w:val="00845B17"/>
    <w:rsid w:val="00847FA2"/>
    <w:rsid w:val="00864A76"/>
    <w:rsid w:val="008725AA"/>
    <w:rsid w:val="00873CC9"/>
    <w:rsid w:val="0087604D"/>
    <w:rsid w:val="00886689"/>
    <w:rsid w:val="00887304"/>
    <w:rsid w:val="00890C67"/>
    <w:rsid w:val="00894472"/>
    <w:rsid w:val="008A0FF7"/>
    <w:rsid w:val="008B3156"/>
    <w:rsid w:val="008B7666"/>
    <w:rsid w:val="008C5F71"/>
    <w:rsid w:val="008D105C"/>
    <w:rsid w:val="008D6B75"/>
    <w:rsid w:val="008D716B"/>
    <w:rsid w:val="008D7666"/>
    <w:rsid w:val="008E0C4C"/>
    <w:rsid w:val="008E4901"/>
    <w:rsid w:val="008F2BAB"/>
    <w:rsid w:val="008F36C7"/>
    <w:rsid w:val="0091135C"/>
    <w:rsid w:val="00913F5E"/>
    <w:rsid w:val="00921CBF"/>
    <w:rsid w:val="00923B0C"/>
    <w:rsid w:val="009247FD"/>
    <w:rsid w:val="00933765"/>
    <w:rsid w:val="00936948"/>
    <w:rsid w:val="00936E7B"/>
    <w:rsid w:val="00944BC2"/>
    <w:rsid w:val="009514EB"/>
    <w:rsid w:val="009526A3"/>
    <w:rsid w:val="00953FAD"/>
    <w:rsid w:val="0095688C"/>
    <w:rsid w:val="009608FE"/>
    <w:rsid w:val="00963C76"/>
    <w:rsid w:val="00963FE5"/>
    <w:rsid w:val="00966271"/>
    <w:rsid w:val="0097187C"/>
    <w:rsid w:val="0097319D"/>
    <w:rsid w:val="00975EFF"/>
    <w:rsid w:val="00982318"/>
    <w:rsid w:val="00982E0E"/>
    <w:rsid w:val="00983442"/>
    <w:rsid w:val="00984DE4"/>
    <w:rsid w:val="00985927"/>
    <w:rsid w:val="00992679"/>
    <w:rsid w:val="00993D41"/>
    <w:rsid w:val="009A36BD"/>
    <w:rsid w:val="009A39A6"/>
    <w:rsid w:val="009A4B0D"/>
    <w:rsid w:val="009A7F13"/>
    <w:rsid w:val="009B1EDE"/>
    <w:rsid w:val="009B4B2D"/>
    <w:rsid w:val="009B6244"/>
    <w:rsid w:val="009B639B"/>
    <w:rsid w:val="009B6A20"/>
    <w:rsid w:val="009C077D"/>
    <w:rsid w:val="009C235A"/>
    <w:rsid w:val="009C34DA"/>
    <w:rsid w:val="009C52BF"/>
    <w:rsid w:val="009C6FCD"/>
    <w:rsid w:val="009C73C2"/>
    <w:rsid w:val="009D52E9"/>
    <w:rsid w:val="009D62FF"/>
    <w:rsid w:val="009D65FA"/>
    <w:rsid w:val="009D6750"/>
    <w:rsid w:val="009D6DE1"/>
    <w:rsid w:val="009D7187"/>
    <w:rsid w:val="009E1F13"/>
    <w:rsid w:val="009E6618"/>
    <w:rsid w:val="009E74C0"/>
    <w:rsid w:val="00A02130"/>
    <w:rsid w:val="00A04888"/>
    <w:rsid w:val="00A17622"/>
    <w:rsid w:val="00A236A7"/>
    <w:rsid w:val="00A2540E"/>
    <w:rsid w:val="00A268C7"/>
    <w:rsid w:val="00A31B1E"/>
    <w:rsid w:val="00A32596"/>
    <w:rsid w:val="00A32C5D"/>
    <w:rsid w:val="00A33696"/>
    <w:rsid w:val="00A35561"/>
    <w:rsid w:val="00A36EBD"/>
    <w:rsid w:val="00A41C36"/>
    <w:rsid w:val="00A435F6"/>
    <w:rsid w:val="00A44C4E"/>
    <w:rsid w:val="00A44E49"/>
    <w:rsid w:val="00A5059C"/>
    <w:rsid w:val="00A519CC"/>
    <w:rsid w:val="00A5273A"/>
    <w:rsid w:val="00A53647"/>
    <w:rsid w:val="00A5423E"/>
    <w:rsid w:val="00A558C5"/>
    <w:rsid w:val="00A55C90"/>
    <w:rsid w:val="00A57723"/>
    <w:rsid w:val="00A61083"/>
    <w:rsid w:val="00A71362"/>
    <w:rsid w:val="00A7305D"/>
    <w:rsid w:val="00A73CBF"/>
    <w:rsid w:val="00A7417D"/>
    <w:rsid w:val="00A74265"/>
    <w:rsid w:val="00A75B48"/>
    <w:rsid w:val="00A85757"/>
    <w:rsid w:val="00A85E77"/>
    <w:rsid w:val="00A87C76"/>
    <w:rsid w:val="00A91D3A"/>
    <w:rsid w:val="00A94B71"/>
    <w:rsid w:val="00A95BF7"/>
    <w:rsid w:val="00AA3F1C"/>
    <w:rsid w:val="00AA4991"/>
    <w:rsid w:val="00AB0991"/>
    <w:rsid w:val="00AB4275"/>
    <w:rsid w:val="00AB6960"/>
    <w:rsid w:val="00AC2BAD"/>
    <w:rsid w:val="00AC3332"/>
    <w:rsid w:val="00AD1B8A"/>
    <w:rsid w:val="00AD3943"/>
    <w:rsid w:val="00AD4CEF"/>
    <w:rsid w:val="00AE1EE6"/>
    <w:rsid w:val="00AE250D"/>
    <w:rsid w:val="00AE3A4C"/>
    <w:rsid w:val="00AE4F77"/>
    <w:rsid w:val="00AE52D5"/>
    <w:rsid w:val="00AE5F85"/>
    <w:rsid w:val="00AE710A"/>
    <w:rsid w:val="00AE7561"/>
    <w:rsid w:val="00AF1433"/>
    <w:rsid w:val="00AF367C"/>
    <w:rsid w:val="00AF4FCA"/>
    <w:rsid w:val="00AF5B08"/>
    <w:rsid w:val="00B008B4"/>
    <w:rsid w:val="00B04101"/>
    <w:rsid w:val="00B045C1"/>
    <w:rsid w:val="00B06A1E"/>
    <w:rsid w:val="00B07AD5"/>
    <w:rsid w:val="00B11A4D"/>
    <w:rsid w:val="00B22F0F"/>
    <w:rsid w:val="00B2593F"/>
    <w:rsid w:val="00B33708"/>
    <w:rsid w:val="00B35F23"/>
    <w:rsid w:val="00B362C7"/>
    <w:rsid w:val="00B369D1"/>
    <w:rsid w:val="00B41A17"/>
    <w:rsid w:val="00B432DE"/>
    <w:rsid w:val="00B4437C"/>
    <w:rsid w:val="00B457CE"/>
    <w:rsid w:val="00B548F6"/>
    <w:rsid w:val="00B67DF7"/>
    <w:rsid w:val="00B67F3E"/>
    <w:rsid w:val="00B71B98"/>
    <w:rsid w:val="00B75863"/>
    <w:rsid w:val="00B766F4"/>
    <w:rsid w:val="00B77FDF"/>
    <w:rsid w:val="00B8200C"/>
    <w:rsid w:val="00B84249"/>
    <w:rsid w:val="00B86E2F"/>
    <w:rsid w:val="00B904D3"/>
    <w:rsid w:val="00B90DCA"/>
    <w:rsid w:val="00B91940"/>
    <w:rsid w:val="00B91CA5"/>
    <w:rsid w:val="00B93E67"/>
    <w:rsid w:val="00B9551F"/>
    <w:rsid w:val="00BA1563"/>
    <w:rsid w:val="00BA31A1"/>
    <w:rsid w:val="00BA3C47"/>
    <w:rsid w:val="00BA4267"/>
    <w:rsid w:val="00BA6081"/>
    <w:rsid w:val="00BB1596"/>
    <w:rsid w:val="00BB435F"/>
    <w:rsid w:val="00BB53D4"/>
    <w:rsid w:val="00BC1785"/>
    <w:rsid w:val="00BC2C84"/>
    <w:rsid w:val="00BC4CA7"/>
    <w:rsid w:val="00BC5D5C"/>
    <w:rsid w:val="00BD1769"/>
    <w:rsid w:val="00BE0040"/>
    <w:rsid w:val="00BF3562"/>
    <w:rsid w:val="00BF3735"/>
    <w:rsid w:val="00C00100"/>
    <w:rsid w:val="00C01019"/>
    <w:rsid w:val="00C0509D"/>
    <w:rsid w:val="00C0520A"/>
    <w:rsid w:val="00C13229"/>
    <w:rsid w:val="00C16B9D"/>
    <w:rsid w:val="00C20446"/>
    <w:rsid w:val="00C22547"/>
    <w:rsid w:val="00C25266"/>
    <w:rsid w:val="00C263B2"/>
    <w:rsid w:val="00C34C50"/>
    <w:rsid w:val="00C40A03"/>
    <w:rsid w:val="00C414BD"/>
    <w:rsid w:val="00C42279"/>
    <w:rsid w:val="00C441FE"/>
    <w:rsid w:val="00C4776D"/>
    <w:rsid w:val="00C51434"/>
    <w:rsid w:val="00C53398"/>
    <w:rsid w:val="00C57A6B"/>
    <w:rsid w:val="00C6224C"/>
    <w:rsid w:val="00C6299D"/>
    <w:rsid w:val="00C64683"/>
    <w:rsid w:val="00C64B11"/>
    <w:rsid w:val="00C65145"/>
    <w:rsid w:val="00C657FB"/>
    <w:rsid w:val="00C65A25"/>
    <w:rsid w:val="00C65DDC"/>
    <w:rsid w:val="00C66DAE"/>
    <w:rsid w:val="00C679C9"/>
    <w:rsid w:val="00C700FD"/>
    <w:rsid w:val="00C71DC8"/>
    <w:rsid w:val="00C77C7A"/>
    <w:rsid w:val="00C8100B"/>
    <w:rsid w:val="00C8709B"/>
    <w:rsid w:val="00CA12A7"/>
    <w:rsid w:val="00CA2397"/>
    <w:rsid w:val="00CA4AA5"/>
    <w:rsid w:val="00CA5F98"/>
    <w:rsid w:val="00CB0D9F"/>
    <w:rsid w:val="00CB13C6"/>
    <w:rsid w:val="00CB24A3"/>
    <w:rsid w:val="00CB293B"/>
    <w:rsid w:val="00CB2E74"/>
    <w:rsid w:val="00CC1A84"/>
    <w:rsid w:val="00CC30D7"/>
    <w:rsid w:val="00CC5199"/>
    <w:rsid w:val="00CC7270"/>
    <w:rsid w:val="00CC7AE9"/>
    <w:rsid w:val="00CD0227"/>
    <w:rsid w:val="00CE0C47"/>
    <w:rsid w:val="00CE28C3"/>
    <w:rsid w:val="00CF08F0"/>
    <w:rsid w:val="00D02F70"/>
    <w:rsid w:val="00D05A8A"/>
    <w:rsid w:val="00D07555"/>
    <w:rsid w:val="00D1101E"/>
    <w:rsid w:val="00D117E4"/>
    <w:rsid w:val="00D1707D"/>
    <w:rsid w:val="00D17961"/>
    <w:rsid w:val="00D17BF4"/>
    <w:rsid w:val="00D232AA"/>
    <w:rsid w:val="00D251B9"/>
    <w:rsid w:val="00D273CD"/>
    <w:rsid w:val="00D34B08"/>
    <w:rsid w:val="00D35C20"/>
    <w:rsid w:val="00D40316"/>
    <w:rsid w:val="00D4432D"/>
    <w:rsid w:val="00D4711F"/>
    <w:rsid w:val="00D665FB"/>
    <w:rsid w:val="00D66ACD"/>
    <w:rsid w:val="00D709F8"/>
    <w:rsid w:val="00D721A2"/>
    <w:rsid w:val="00D72611"/>
    <w:rsid w:val="00D81AE0"/>
    <w:rsid w:val="00D82FCE"/>
    <w:rsid w:val="00D91610"/>
    <w:rsid w:val="00D9527A"/>
    <w:rsid w:val="00D95EB1"/>
    <w:rsid w:val="00D96320"/>
    <w:rsid w:val="00D97C41"/>
    <w:rsid w:val="00DB0BE6"/>
    <w:rsid w:val="00DB0D32"/>
    <w:rsid w:val="00DB11FC"/>
    <w:rsid w:val="00DB1297"/>
    <w:rsid w:val="00DB20B2"/>
    <w:rsid w:val="00DB3973"/>
    <w:rsid w:val="00DB439B"/>
    <w:rsid w:val="00DB7FCC"/>
    <w:rsid w:val="00DC06C0"/>
    <w:rsid w:val="00DC4205"/>
    <w:rsid w:val="00DC5878"/>
    <w:rsid w:val="00DC73A5"/>
    <w:rsid w:val="00DC7D35"/>
    <w:rsid w:val="00DE0C72"/>
    <w:rsid w:val="00DE11AB"/>
    <w:rsid w:val="00DE2470"/>
    <w:rsid w:val="00DE4888"/>
    <w:rsid w:val="00DE60A7"/>
    <w:rsid w:val="00DF328B"/>
    <w:rsid w:val="00DF52DF"/>
    <w:rsid w:val="00DF58DA"/>
    <w:rsid w:val="00DF62D0"/>
    <w:rsid w:val="00E03965"/>
    <w:rsid w:val="00E05829"/>
    <w:rsid w:val="00E07FA6"/>
    <w:rsid w:val="00E10870"/>
    <w:rsid w:val="00E12A1C"/>
    <w:rsid w:val="00E12F7B"/>
    <w:rsid w:val="00E20030"/>
    <w:rsid w:val="00E245E4"/>
    <w:rsid w:val="00E27F4A"/>
    <w:rsid w:val="00E30F79"/>
    <w:rsid w:val="00E33E4E"/>
    <w:rsid w:val="00E36400"/>
    <w:rsid w:val="00E41EF6"/>
    <w:rsid w:val="00E428A7"/>
    <w:rsid w:val="00E44075"/>
    <w:rsid w:val="00E47191"/>
    <w:rsid w:val="00E50AA1"/>
    <w:rsid w:val="00E5268B"/>
    <w:rsid w:val="00E555C7"/>
    <w:rsid w:val="00E564F3"/>
    <w:rsid w:val="00E57B1B"/>
    <w:rsid w:val="00E605EE"/>
    <w:rsid w:val="00E6298A"/>
    <w:rsid w:val="00E64537"/>
    <w:rsid w:val="00E67963"/>
    <w:rsid w:val="00E70914"/>
    <w:rsid w:val="00E77EAF"/>
    <w:rsid w:val="00E854B4"/>
    <w:rsid w:val="00E86F3D"/>
    <w:rsid w:val="00E879FB"/>
    <w:rsid w:val="00E9095B"/>
    <w:rsid w:val="00E9260F"/>
    <w:rsid w:val="00E9448D"/>
    <w:rsid w:val="00EA1AA0"/>
    <w:rsid w:val="00EA5124"/>
    <w:rsid w:val="00EA6987"/>
    <w:rsid w:val="00EA6FCD"/>
    <w:rsid w:val="00EA7344"/>
    <w:rsid w:val="00EA7EB7"/>
    <w:rsid w:val="00EB3E0E"/>
    <w:rsid w:val="00EB3F2D"/>
    <w:rsid w:val="00EB74F2"/>
    <w:rsid w:val="00EC262F"/>
    <w:rsid w:val="00EC54C2"/>
    <w:rsid w:val="00EC6A26"/>
    <w:rsid w:val="00ED78DD"/>
    <w:rsid w:val="00EE266A"/>
    <w:rsid w:val="00EE278B"/>
    <w:rsid w:val="00EE2B61"/>
    <w:rsid w:val="00EF02B3"/>
    <w:rsid w:val="00EF116F"/>
    <w:rsid w:val="00EF51DB"/>
    <w:rsid w:val="00F0046D"/>
    <w:rsid w:val="00F00F21"/>
    <w:rsid w:val="00F01005"/>
    <w:rsid w:val="00F01177"/>
    <w:rsid w:val="00F02045"/>
    <w:rsid w:val="00F0610B"/>
    <w:rsid w:val="00F13AF9"/>
    <w:rsid w:val="00F22FFA"/>
    <w:rsid w:val="00F23BA0"/>
    <w:rsid w:val="00F26A89"/>
    <w:rsid w:val="00F31F3B"/>
    <w:rsid w:val="00F36188"/>
    <w:rsid w:val="00F3700D"/>
    <w:rsid w:val="00F37B61"/>
    <w:rsid w:val="00F37DD4"/>
    <w:rsid w:val="00F4512D"/>
    <w:rsid w:val="00F52AAB"/>
    <w:rsid w:val="00F52EA1"/>
    <w:rsid w:val="00F55D94"/>
    <w:rsid w:val="00F56A2E"/>
    <w:rsid w:val="00F570DB"/>
    <w:rsid w:val="00F635E7"/>
    <w:rsid w:val="00F63B43"/>
    <w:rsid w:val="00F67830"/>
    <w:rsid w:val="00F80BB6"/>
    <w:rsid w:val="00F83999"/>
    <w:rsid w:val="00F860F2"/>
    <w:rsid w:val="00F931EC"/>
    <w:rsid w:val="00FA2BD3"/>
    <w:rsid w:val="00FA5AC3"/>
    <w:rsid w:val="00FB233C"/>
    <w:rsid w:val="00FB4095"/>
    <w:rsid w:val="00FB4715"/>
    <w:rsid w:val="00FB592B"/>
    <w:rsid w:val="00FC2E73"/>
    <w:rsid w:val="00FC32FD"/>
    <w:rsid w:val="00FC6284"/>
    <w:rsid w:val="00FC7CE4"/>
    <w:rsid w:val="00FD4352"/>
    <w:rsid w:val="00FD5E18"/>
    <w:rsid w:val="00FD6868"/>
    <w:rsid w:val="00FD6924"/>
    <w:rsid w:val="00FD7C42"/>
    <w:rsid w:val="00FE16B3"/>
    <w:rsid w:val="00FE387C"/>
    <w:rsid w:val="00FE47A8"/>
    <w:rsid w:val="00FE5571"/>
    <w:rsid w:val="00FE7676"/>
    <w:rsid w:val="00FF0910"/>
    <w:rsid w:val="00FF0BC9"/>
    <w:rsid w:val="00FF1972"/>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3CD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NoSpacing">
    <w:name w:val="No Spacing"/>
    <w:uiPriority w:val="1"/>
    <w:qFormat/>
    <w:rsid w:val="001873F8"/>
    <w:rPr>
      <w:sz w:val="24"/>
      <w:szCs w:val="24"/>
      <w:lang w:eastAsia="en-US"/>
    </w:rPr>
  </w:style>
  <w:style w:type="paragraph" w:styleId="ListParagraph">
    <w:name w:val="List Paragraph"/>
    <w:basedOn w:val="Normal"/>
    <w:uiPriority w:val="34"/>
    <w:qFormat/>
    <w:rsid w:val="001873F8"/>
    <w:pPr>
      <w:ind w:left="720"/>
      <w:contextualSpacing/>
    </w:pPr>
  </w:style>
  <w:style w:type="paragraph" w:styleId="BodyText">
    <w:name w:val="Body Text"/>
    <w:basedOn w:val="Normal"/>
    <w:link w:val="BodyTextChar"/>
    <w:uiPriority w:val="99"/>
    <w:qFormat/>
    <w:rsid w:val="00532595"/>
    <w:pPr>
      <w:tabs>
        <w:tab w:val="num" w:pos="0"/>
      </w:tabs>
      <w:spacing w:line="276" w:lineRule="auto"/>
    </w:pPr>
    <w:rPr>
      <w:rFonts w:asciiTheme="minorHAnsi" w:hAnsiTheme="minorHAnsi"/>
      <w:sz w:val="22"/>
      <w:szCs w:val="22"/>
      <w:lang w:val="en-GB"/>
    </w:rPr>
  </w:style>
  <w:style w:type="character" w:customStyle="1" w:styleId="BodyTextChar">
    <w:name w:val="Body Text Char"/>
    <w:basedOn w:val="DefaultParagraphFont"/>
    <w:link w:val="BodyText"/>
    <w:uiPriority w:val="99"/>
    <w:rsid w:val="00532595"/>
    <w:rPr>
      <w:rFonts w:asciiTheme="minorHAnsi" w:hAnsiTheme="minorHAnsi"/>
      <w:sz w:val="22"/>
      <w:szCs w:val="22"/>
      <w:lang w:val="en-GB" w:eastAsia="en-US"/>
    </w:rPr>
  </w:style>
  <w:style w:type="paragraph" w:styleId="FootnoteText">
    <w:name w:val="footnote text"/>
    <w:aliases w:val="ft,Footnote Text Char Char,single space,Footnote Text Char Char Char Char,Footnote Text Char Char Char Char Char,Footnote Text Char Char Char Char Char Char Char Char Char,Footnote Text Char Char Char Char Char Char Char Char,FOOTNOTES,fn"/>
    <w:basedOn w:val="Normal"/>
    <w:link w:val="FootnoteTextChar"/>
    <w:uiPriority w:val="99"/>
    <w:rsid w:val="00532595"/>
    <w:pPr>
      <w:tabs>
        <w:tab w:val="num" w:pos="0"/>
      </w:tabs>
      <w:spacing w:before="0" w:line="276" w:lineRule="auto"/>
    </w:pPr>
    <w:rPr>
      <w:rFonts w:asciiTheme="minorHAnsi" w:hAnsiTheme="minorHAnsi"/>
      <w:sz w:val="18"/>
      <w:szCs w:val="20"/>
      <w:lang w:val="en-GB"/>
    </w:rPr>
  </w:style>
  <w:style w:type="character" w:customStyle="1" w:styleId="FootnoteTextChar">
    <w:name w:val="Footnote Text Char"/>
    <w:aliases w:val="ft Char,Footnote Text Char Char Char,single space Char,Footnote Text Char Char Char Char Char1,Footnote Text Char Char Char Char Char Char,Footnote Text Char Char Char Char Char Char Char Char Char Char,FOOTNOTES Char,fn Char"/>
    <w:basedOn w:val="DefaultParagraphFont"/>
    <w:link w:val="FootnoteText"/>
    <w:uiPriority w:val="99"/>
    <w:rsid w:val="00532595"/>
    <w:rPr>
      <w:rFonts w:asciiTheme="minorHAnsi" w:hAnsiTheme="minorHAnsi"/>
      <w:sz w:val="18"/>
      <w:lang w:val="en-GB" w:eastAsia="en-US"/>
    </w:rPr>
  </w:style>
  <w:style w:type="character" w:styleId="FootnoteReference">
    <w:name w:val="footnote reference"/>
    <w:aliases w:val="ftref,(NECG) Footnote Reference,Ref,de nota al pie,Normal + Font:9 Point,Superscript 3 Point Times"/>
    <w:basedOn w:val="DefaultParagraphFont"/>
    <w:uiPriority w:val="99"/>
    <w:rsid w:val="00532595"/>
    <w:rPr>
      <w:rFonts w:cs="Times New Roman"/>
      <w:vertAlign w:val="superscript"/>
    </w:rPr>
  </w:style>
  <w:style w:type="character" w:styleId="Strong">
    <w:name w:val="Strong"/>
    <w:basedOn w:val="DefaultParagraphFont"/>
    <w:qFormat/>
    <w:rsid w:val="00D11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009">
      <w:bodyDiv w:val="1"/>
      <w:marLeft w:val="0"/>
      <w:marRight w:val="0"/>
      <w:marTop w:val="0"/>
      <w:marBottom w:val="0"/>
      <w:divBdr>
        <w:top w:val="none" w:sz="0" w:space="0" w:color="auto"/>
        <w:left w:val="none" w:sz="0" w:space="0" w:color="auto"/>
        <w:bottom w:val="none" w:sz="0" w:space="0" w:color="auto"/>
        <w:right w:val="none" w:sz="0" w:space="0" w:color="auto"/>
      </w:divBdr>
    </w:div>
    <w:div w:id="321348293">
      <w:bodyDiv w:val="1"/>
      <w:marLeft w:val="0"/>
      <w:marRight w:val="0"/>
      <w:marTop w:val="0"/>
      <w:marBottom w:val="0"/>
      <w:divBdr>
        <w:top w:val="none" w:sz="0" w:space="0" w:color="auto"/>
        <w:left w:val="none" w:sz="0" w:space="0" w:color="auto"/>
        <w:bottom w:val="none" w:sz="0" w:space="0" w:color="auto"/>
        <w:right w:val="none" w:sz="0" w:space="0" w:color="auto"/>
      </w:divBdr>
    </w:div>
    <w:div w:id="1612592408">
      <w:bodyDiv w:val="1"/>
      <w:marLeft w:val="0"/>
      <w:marRight w:val="0"/>
      <w:marTop w:val="0"/>
      <w:marBottom w:val="0"/>
      <w:divBdr>
        <w:top w:val="none" w:sz="0" w:space="0" w:color="auto"/>
        <w:left w:val="none" w:sz="0" w:space="0" w:color="auto"/>
        <w:bottom w:val="none" w:sz="0" w:space="0" w:color="auto"/>
        <w:right w:val="none" w:sz="0" w:space="0" w:color="auto"/>
      </w:divBdr>
    </w:div>
    <w:div w:id="18931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EFE4EB-EEDA-4AEC-9143-88BC186E00A7}"/>
</file>

<file path=customXml/itemProps2.xml><?xml version="1.0" encoding="utf-8"?>
<ds:datastoreItem xmlns:ds="http://schemas.openxmlformats.org/officeDocument/2006/customXml" ds:itemID="{0E9DA460-73A8-4A5E-9F53-83AD079E3DB3}"/>
</file>

<file path=customXml/itemProps3.xml><?xml version="1.0" encoding="utf-8"?>
<ds:datastoreItem xmlns:ds="http://schemas.openxmlformats.org/officeDocument/2006/customXml" ds:itemID="{DE81C7A2-03B0-4710-8C37-964FE8AFDA37}"/>
</file>

<file path=customXml/itemProps4.xml><?xml version="1.0" encoding="utf-8"?>
<ds:datastoreItem xmlns:ds="http://schemas.openxmlformats.org/officeDocument/2006/customXml" ds:itemID="{527CF90D-E0F4-4C15-B43E-CF901AC40311}"/>
</file>

<file path=docProps/app.xml><?xml version="1.0" encoding="utf-8"?>
<Properties xmlns="http://schemas.openxmlformats.org/officeDocument/2006/extended-properties" xmlns:vt="http://schemas.openxmlformats.org/officeDocument/2006/docPropsVTypes">
  <Template>Normal.dotm</Template>
  <TotalTime>0</TotalTime>
  <Pages>7</Pages>
  <Words>2440</Words>
  <Characters>14566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National Program for Village Development Support Program (PNDSSP) – Management Response to Mid Term Review Final Report</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Program for Village Development Support Program (PNDSSP) – Management Response to Mid Term Review Final Report</dc:title>
  <dc:creator/>
  <cp:lastModifiedBy/>
  <cp:revision>1</cp:revision>
  <dcterms:created xsi:type="dcterms:W3CDTF">2017-09-26T01:02:00Z</dcterms:created>
  <dcterms:modified xsi:type="dcterms:W3CDTF">2017-09-26T01:03:00Z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f802e124-1fb4-466a-83b1-7216e356129b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1127800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