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9837753"/>
        <w:docPartObj>
          <w:docPartGallery w:val="Cover Pages"/>
          <w:docPartUnique/>
        </w:docPartObj>
      </w:sdtPr>
      <w:sdtEndPr/>
      <w:sdtContent>
        <w:p w14:paraId="430090E7" w14:textId="6E46E6EC" w:rsidR="002F4FD0" w:rsidRPr="00347550" w:rsidRDefault="002F4FD0" w:rsidP="00094CEF">
          <w:pPr>
            <w:rPr>
              <w:rFonts w:eastAsiaTheme="minorHAnsi"/>
            </w:rPr>
          </w:pPr>
        </w:p>
        <w:p w14:paraId="07C3B627" w14:textId="5312B65E" w:rsidR="000B34F1" w:rsidRPr="00347550" w:rsidRDefault="004436FB" w:rsidP="00094CEF">
          <w:pPr>
            <w:rPr>
              <w:rFonts w:eastAsiaTheme="minorHAnsi"/>
            </w:rPr>
          </w:pPr>
        </w:p>
      </w:sdtContent>
    </w:sdt>
    <w:p w14:paraId="7A2FAD89" w14:textId="77777777" w:rsidR="000B34F1" w:rsidRPr="00347550" w:rsidRDefault="000B34F1" w:rsidP="00094CEF"/>
    <w:p w14:paraId="122169E4" w14:textId="77777777" w:rsidR="000B34F1" w:rsidRPr="00347550" w:rsidRDefault="000B34F1" w:rsidP="00094CEF"/>
    <w:p w14:paraId="3ECFCD81" w14:textId="640E4A14" w:rsidR="00376820" w:rsidRPr="00CF3615" w:rsidRDefault="00416CB3" w:rsidP="00CF3615">
      <w:pPr>
        <w:pStyle w:val="Title"/>
      </w:pPr>
      <w:r>
        <w:t>Strategic Framework</w:t>
      </w:r>
    </w:p>
    <w:p w14:paraId="00A884C7" w14:textId="77777777" w:rsidR="00B0222B" w:rsidRDefault="00B0222B" w:rsidP="00B0222B"/>
    <w:p w14:paraId="3588506F" w14:textId="77777777" w:rsidR="00B0222B" w:rsidRDefault="00B0222B" w:rsidP="00B0222B"/>
    <w:p w14:paraId="49829382" w14:textId="77777777" w:rsidR="00B0222B" w:rsidRDefault="00B0222B" w:rsidP="00B0222B"/>
    <w:p w14:paraId="3161AC42" w14:textId="77777777" w:rsidR="00B0222B" w:rsidRDefault="00B0222B" w:rsidP="00B0222B"/>
    <w:p w14:paraId="0B1A2524" w14:textId="77777777" w:rsidR="00B0222B" w:rsidRDefault="00B0222B" w:rsidP="00B0222B"/>
    <w:p w14:paraId="450BADD9" w14:textId="21639290" w:rsidR="00376820" w:rsidRDefault="00FB0F7F" w:rsidP="00B0222B">
      <w:r>
        <w:t>Version 1</w:t>
      </w:r>
      <w:r w:rsidR="00376820">
        <w:t xml:space="preserve">.0 </w:t>
      </w:r>
    </w:p>
    <w:p w14:paraId="6C192B75" w14:textId="44469893" w:rsidR="00376820" w:rsidRPr="00292F76" w:rsidRDefault="009F3141" w:rsidP="00B0222B">
      <w:r>
        <w:t>July</w:t>
      </w:r>
      <w:r w:rsidR="00FB0F7F">
        <w:t xml:space="preserve"> </w:t>
      </w:r>
      <w:r w:rsidR="00376820">
        <w:t>20</w:t>
      </w:r>
      <w:r w:rsidR="00416CB3">
        <w:t>17</w:t>
      </w:r>
    </w:p>
    <w:p w14:paraId="631DB9F3" w14:textId="77777777" w:rsidR="00094CEF" w:rsidRDefault="00094CEF" w:rsidP="00B0222B"/>
    <w:p w14:paraId="49DF655F" w14:textId="77777777" w:rsidR="00376820" w:rsidRDefault="00376820" w:rsidP="00B0222B"/>
    <w:p w14:paraId="5FBE2E88" w14:textId="77777777" w:rsidR="00376820" w:rsidRDefault="00376820" w:rsidP="00376820">
      <w:pPr>
        <w:spacing w:line="276" w:lineRule="auto"/>
        <w:rPr>
          <w:b/>
          <w:color w:val="222222"/>
        </w:rPr>
      </w:pPr>
      <w:r w:rsidRPr="00DE6980">
        <w:rPr>
          <w:b/>
          <w:color w:val="222222"/>
        </w:rPr>
        <w:t>Contact</w:t>
      </w:r>
    </w:p>
    <w:p w14:paraId="3AA6B0FF" w14:textId="77777777" w:rsidR="00B0222B" w:rsidRDefault="00376820" w:rsidP="00B0222B">
      <w:pPr>
        <w:rPr>
          <w:color w:val="222222"/>
        </w:rPr>
      </w:pPr>
      <w:r>
        <w:rPr>
          <w:color w:val="222222"/>
        </w:rPr>
        <w:t>Sonja Litz,</w:t>
      </w:r>
      <w:r w:rsidRPr="00DE6980">
        <w:rPr>
          <w:color w:val="222222"/>
        </w:rPr>
        <w:t xml:space="preserve"> Team Leader</w:t>
      </w:r>
    </w:p>
    <w:p w14:paraId="1E0BF764" w14:textId="27E0EB0C" w:rsidR="00376820" w:rsidRDefault="00376820" w:rsidP="00B0222B">
      <w:pPr>
        <w:rPr>
          <w:b/>
        </w:rPr>
      </w:pPr>
      <w:r w:rsidRPr="00DE6980">
        <w:rPr>
          <w:b/>
        </w:rPr>
        <w:t>E:</w:t>
      </w:r>
      <w:r>
        <w:t xml:space="preserve"> </w:t>
      </w:r>
      <w:hyperlink r:id="rId8" w:history="1">
        <w:r w:rsidRPr="00826C98">
          <w:rPr>
            <w:rStyle w:val="Hyperlink"/>
          </w:rPr>
          <w:t>sonja.litz@phd.tl</w:t>
        </w:r>
      </w:hyperlink>
    </w:p>
    <w:p w14:paraId="0E109A8B" w14:textId="1A40DA76" w:rsidR="00892A9E" w:rsidRPr="00376820" w:rsidRDefault="00376820" w:rsidP="00B0222B">
      <w:r w:rsidRPr="00DE6980">
        <w:rPr>
          <w:b/>
        </w:rPr>
        <w:t xml:space="preserve">M: </w:t>
      </w:r>
      <w:r w:rsidRPr="00DE6980">
        <w:t>+670 77</w:t>
      </w:r>
      <w:r>
        <w:t>85 9791</w:t>
      </w:r>
    </w:p>
    <w:p w14:paraId="631A44A7" w14:textId="77777777" w:rsidR="00020993" w:rsidRDefault="00020993" w:rsidP="00B80A1B">
      <w:pPr>
        <w:spacing w:before="0" w:line="360" w:lineRule="auto"/>
        <w:rPr>
          <w:rFonts w:asciiTheme="minorHAnsi" w:hAnsiTheme="minorHAnsi" w:cstheme="minorBidi"/>
          <w:b/>
        </w:rPr>
      </w:pPr>
      <w:r>
        <w:rPr>
          <w:rFonts w:asciiTheme="minorHAnsi" w:hAnsiTheme="minorHAnsi" w:cstheme="minorBidi"/>
        </w:rPr>
        <w:br w:type="page"/>
      </w:r>
    </w:p>
    <w:p w14:paraId="5E2D40FD" w14:textId="77777777" w:rsidR="00404A87" w:rsidRDefault="00404A87" w:rsidP="00DF2704">
      <w:bookmarkStart w:id="1" w:name="_Toc460582230"/>
    </w:p>
    <w:p w14:paraId="092303AE" w14:textId="77777777" w:rsidR="00404A87" w:rsidRDefault="00404A87" w:rsidP="00DF2704"/>
    <w:p w14:paraId="1F50CE8E" w14:textId="77777777" w:rsidR="00404A87" w:rsidRDefault="00404A87" w:rsidP="00DF2704"/>
    <w:p w14:paraId="7A10D4BB" w14:textId="77777777" w:rsidR="00404A87" w:rsidRDefault="00404A87" w:rsidP="00DF2704"/>
    <w:p w14:paraId="693EEFAD" w14:textId="77777777" w:rsidR="00404A87" w:rsidRDefault="00404A87" w:rsidP="00DF2704"/>
    <w:p w14:paraId="2E7DA933" w14:textId="77777777" w:rsidR="00404A87" w:rsidRDefault="00404A87" w:rsidP="00DF2704"/>
    <w:p w14:paraId="25D0CBD7" w14:textId="77777777" w:rsidR="00404A87" w:rsidRDefault="00404A87" w:rsidP="00DF2704"/>
    <w:p w14:paraId="5628C76D" w14:textId="77777777" w:rsidR="00404A87" w:rsidRDefault="00404A87" w:rsidP="00DF2704"/>
    <w:p w14:paraId="75779602" w14:textId="77777777" w:rsidR="00404A87" w:rsidRDefault="00404A87" w:rsidP="00DF2704"/>
    <w:p w14:paraId="07C2BCC5" w14:textId="77777777" w:rsidR="00404A87" w:rsidRDefault="00404A87" w:rsidP="00DF2704"/>
    <w:p w14:paraId="54D096B9" w14:textId="77777777" w:rsidR="00404A87" w:rsidRDefault="00404A87" w:rsidP="00DF2704"/>
    <w:p w14:paraId="61332A25" w14:textId="77777777" w:rsidR="00404A87" w:rsidRDefault="00404A87" w:rsidP="00DF2704"/>
    <w:p w14:paraId="4EC5E22B" w14:textId="77777777" w:rsidR="00A44593" w:rsidRDefault="00A44593" w:rsidP="00DF2704"/>
    <w:p w14:paraId="02E4BFB6" w14:textId="77777777" w:rsidR="00404A87" w:rsidRDefault="00404A87" w:rsidP="00DF2704"/>
    <w:p w14:paraId="3D939312" w14:textId="77777777" w:rsidR="00404A87" w:rsidRDefault="00404A87" w:rsidP="00DF2704"/>
    <w:p w14:paraId="356ABEE1" w14:textId="77777777" w:rsidR="00404A87" w:rsidRDefault="00404A87" w:rsidP="00DF2704"/>
    <w:p w14:paraId="5B299986" w14:textId="77777777" w:rsidR="00404A87" w:rsidRDefault="00404A87" w:rsidP="00E95A62"/>
    <w:p w14:paraId="65F39713" w14:textId="77777777" w:rsidR="00404A87" w:rsidRDefault="00404A87" w:rsidP="00E95A62"/>
    <w:p w14:paraId="4CF7953C" w14:textId="77777777" w:rsidR="00404A87" w:rsidRDefault="00404A87" w:rsidP="00E95A62"/>
    <w:p w14:paraId="5124F6C3" w14:textId="77777777" w:rsidR="00404A87" w:rsidRDefault="00404A87" w:rsidP="00E95A62"/>
    <w:p w14:paraId="121B7A1F" w14:textId="77777777" w:rsidR="00404A87" w:rsidRDefault="00404A87" w:rsidP="00E95A62"/>
    <w:p w14:paraId="050F7C4C" w14:textId="77777777" w:rsidR="00B0222B" w:rsidRDefault="00B0222B" w:rsidP="00E95A62"/>
    <w:p w14:paraId="3E201526" w14:textId="77777777" w:rsidR="00B0222B" w:rsidRDefault="00B0222B" w:rsidP="00E95A62"/>
    <w:p w14:paraId="6FD82CB7" w14:textId="77777777" w:rsidR="00B0222B" w:rsidRDefault="00B0222B" w:rsidP="00E95A62"/>
    <w:p w14:paraId="5338677C" w14:textId="77777777" w:rsidR="00B0222B" w:rsidRDefault="00B0222B" w:rsidP="00E95A62"/>
    <w:p w14:paraId="35E6D564" w14:textId="77777777" w:rsidR="00B0222B" w:rsidRDefault="00B0222B" w:rsidP="00E95A62"/>
    <w:p w14:paraId="321F08F2" w14:textId="77777777" w:rsidR="00B0222B" w:rsidRDefault="00B0222B" w:rsidP="00E95A62"/>
    <w:p w14:paraId="72BDFE25" w14:textId="77777777" w:rsidR="00404A87" w:rsidRDefault="00404A87" w:rsidP="00E95A62"/>
    <w:p w14:paraId="7DCBC726" w14:textId="77777777" w:rsidR="00404A87" w:rsidRDefault="00404A87" w:rsidP="00E95A62"/>
    <w:p w14:paraId="6C13BE8C" w14:textId="77777777" w:rsidR="008A28F8" w:rsidRPr="00347550" w:rsidRDefault="008A28F8" w:rsidP="00E168BE">
      <w:pPr>
        <w:pStyle w:val="TOAHeading"/>
      </w:pPr>
      <w:r w:rsidRPr="00FB1455">
        <w:t>Document Version Control</w:t>
      </w:r>
    </w:p>
    <w:p w14:paraId="4C81EF6A" w14:textId="77777777" w:rsidR="008A28F8" w:rsidRPr="00347550" w:rsidRDefault="008A28F8" w:rsidP="008A28F8">
      <w:r>
        <w:t>D</w:t>
      </w:r>
      <w:r w:rsidRPr="00347550">
        <w:t>ocument Control – Summary of Substantive Revisions and Amendments</w:t>
      </w:r>
    </w:p>
    <w:tbl>
      <w:tblPr>
        <w:tblStyle w:val="TableGrid"/>
        <w:tblW w:w="0" w:type="auto"/>
        <w:tblBorders>
          <w:top w:val="single" w:sz="4" w:space="0" w:color="FF931E"/>
          <w:left w:val="none" w:sz="0" w:space="0" w:color="auto"/>
          <w:bottom w:val="single" w:sz="4" w:space="0" w:color="FF931E"/>
          <w:right w:val="none" w:sz="0" w:space="0" w:color="auto"/>
          <w:insideH w:val="single" w:sz="4" w:space="0" w:color="FF931E"/>
          <w:insideV w:val="none" w:sz="0" w:space="0" w:color="auto"/>
        </w:tblBorders>
        <w:tblLayout w:type="fixed"/>
        <w:tblLook w:val="04A0" w:firstRow="1" w:lastRow="0" w:firstColumn="1" w:lastColumn="0" w:noHBand="0" w:noVBand="1"/>
      </w:tblPr>
      <w:tblGrid>
        <w:gridCol w:w="846"/>
        <w:gridCol w:w="1843"/>
        <w:gridCol w:w="2126"/>
        <w:gridCol w:w="1999"/>
        <w:gridCol w:w="2202"/>
      </w:tblGrid>
      <w:tr w:rsidR="00DF2704" w:rsidRPr="00DF2704" w14:paraId="7D543FA0" w14:textId="77777777" w:rsidTr="00DF2704">
        <w:tc>
          <w:tcPr>
            <w:tcW w:w="846" w:type="dxa"/>
            <w:shd w:val="clear" w:color="auto" w:fill="auto"/>
            <w:vAlign w:val="center"/>
          </w:tcPr>
          <w:p w14:paraId="2FCAA2FB" w14:textId="77777777" w:rsidR="008A28F8" w:rsidRPr="00DF2704" w:rsidRDefault="008A28F8" w:rsidP="001E2952">
            <w:pPr>
              <w:pStyle w:val="TableHeader"/>
            </w:pPr>
            <w:r w:rsidRPr="00DF2704">
              <w:t>Ver.</w:t>
            </w:r>
          </w:p>
        </w:tc>
        <w:tc>
          <w:tcPr>
            <w:tcW w:w="1843" w:type="dxa"/>
            <w:shd w:val="clear" w:color="auto" w:fill="auto"/>
            <w:vAlign w:val="center"/>
          </w:tcPr>
          <w:p w14:paraId="0BDB3920" w14:textId="77777777" w:rsidR="008A28F8" w:rsidRPr="00DF2704" w:rsidRDefault="008A28F8" w:rsidP="001E2952">
            <w:pPr>
              <w:pStyle w:val="TableHeader"/>
            </w:pPr>
            <w:r w:rsidRPr="00DF2704">
              <w:t>Date</w:t>
            </w:r>
          </w:p>
        </w:tc>
        <w:tc>
          <w:tcPr>
            <w:tcW w:w="2126" w:type="dxa"/>
            <w:shd w:val="clear" w:color="auto" w:fill="auto"/>
          </w:tcPr>
          <w:p w14:paraId="742B2E1B" w14:textId="77777777" w:rsidR="008A28F8" w:rsidRPr="00DF2704" w:rsidRDefault="008A28F8" w:rsidP="001E2952">
            <w:pPr>
              <w:pStyle w:val="TableHeader"/>
            </w:pPr>
            <w:r w:rsidRPr="00DF2704">
              <w:t>Originated by</w:t>
            </w:r>
          </w:p>
        </w:tc>
        <w:tc>
          <w:tcPr>
            <w:tcW w:w="1999" w:type="dxa"/>
            <w:shd w:val="clear" w:color="auto" w:fill="auto"/>
            <w:vAlign w:val="center"/>
          </w:tcPr>
          <w:p w14:paraId="3794A577" w14:textId="77777777" w:rsidR="008A28F8" w:rsidRPr="00DF2704" w:rsidRDefault="008A28F8" w:rsidP="001E2952">
            <w:pPr>
              <w:pStyle w:val="TableHeader"/>
            </w:pPr>
            <w:r w:rsidRPr="00DF2704">
              <w:t>Approved by</w:t>
            </w:r>
          </w:p>
        </w:tc>
        <w:tc>
          <w:tcPr>
            <w:tcW w:w="2202" w:type="dxa"/>
            <w:shd w:val="clear" w:color="auto" w:fill="auto"/>
          </w:tcPr>
          <w:p w14:paraId="5C9C902F" w14:textId="77777777" w:rsidR="008A28F8" w:rsidRPr="00DF2704" w:rsidDel="00875247" w:rsidRDefault="008A28F8" w:rsidP="001E2952">
            <w:pPr>
              <w:pStyle w:val="TableHeader"/>
            </w:pPr>
            <w:r w:rsidRPr="00DF2704">
              <w:t>Comments</w:t>
            </w:r>
          </w:p>
        </w:tc>
      </w:tr>
      <w:tr w:rsidR="008A28F8" w:rsidRPr="001E2952" w14:paraId="10D76081" w14:textId="77777777" w:rsidTr="00DF2704">
        <w:tc>
          <w:tcPr>
            <w:tcW w:w="846" w:type="dxa"/>
          </w:tcPr>
          <w:p w14:paraId="2419D430" w14:textId="2EE00AA2" w:rsidR="008A28F8" w:rsidRPr="00B5735D" w:rsidRDefault="00416CB3" w:rsidP="001E2952">
            <w:pPr>
              <w:pStyle w:val="TableText"/>
              <w:rPr>
                <w:lang w:val="en-AU"/>
              </w:rPr>
            </w:pPr>
            <w:r>
              <w:rPr>
                <w:lang w:val="en-AU"/>
              </w:rPr>
              <w:t>1.0</w:t>
            </w:r>
          </w:p>
        </w:tc>
        <w:tc>
          <w:tcPr>
            <w:tcW w:w="1843" w:type="dxa"/>
          </w:tcPr>
          <w:p w14:paraId="0DEE010B" w14:textId="6B9F29CD" w:rsidR="008A28F8" w:rsidRPr="00B5735D" w:rsidRDefault="004678BA" w:rsidP="001E2952">
            <w:pPr>
              <w:pStyle w:val="TableText"/>
              <w:rPr>
                <w:lang w:val="en-AU"/>
              </w:rPr>
            </w:pPr>
            <w:r>
              <w:rPr>
                <w:lang w:val="en-AU"/>
              </w:rPr>
              <w:t>7</w:t>
            </w:r>
            <w:r w:rsidR="0022033C">
              <w:rPr>
                <w:lang w:val="en-AU"/>
              </w:rPr>
              <w:t xml:space="preserve"> July</w:t>
            </w:r>
            <w:r w:rsidR="00416CB3">
              <w:rPr>
                <w:lang w:val="en-AU"/>
              </w:rPr>
              <w:t xml:space="preserve"> 2017</w:t>
            </w:r>
          </w:p>
        </w:tc>
        <w:tc>
          <w:tcPr>
            <w:tcW w:w="2126" w:type="dxa"/>
          </w:tcPr>
          <w:p w14:paraId="7EAAC109" w14:textId="23972A07" w:rsidR="008A28F8" w:rsidRPr="00B5735D" w:rsidRDefault="00416CB3" w:rsidP="001E2952">
            <w:pPr>
              <w:pStyle w:val="TableText"/>
              <w:rPr>
                <w:lang w:val="en-AU"/>
              </w:rPr>
            </w:pPr>
            <w:r>
              <w:rPr>
                <w:lang w:val="en-AU"/>
              </w:rPr>
              <w:t>Sonja Litz</w:t>
            </w:r>
          </w:p>
        </w:tc>
        <w:tc>
          <w:tcPr>
            <w:tcW w:w="1999" w:type="dxa"/>
          </w:tcPr>
          <w:p w14:paraId="77BC5F64" w14:textId="7856E1EC" w:rsidR="008A28F8" w:rsidRPr="00B5735D" w:rsidRDefault="008A28F8" w:rsidP="001E2952">
            <w:pPr>
              <w:pStyle w:val="TableText"/>
              <w:rPr>
                <w:lang w:val="en-AU"/>
              </w:rPr>
            </w:pPr>
          </w:p>
        </w:tc>
        <w:tc>
          <w:tcPr>
            <w:tcW w:w="2202" w:type="dxa"/>
          </w:tcPr>
          <w:p w14:paraId="10A4798A" w14:textId="2ECC8D56" w:rsidR="008A28F8" w:rsidRPr="00B5735D" w:rsidRDefault="008A28F8" w:rsidP="001E2952">
            <w:pPr>
              <w:pStyle w:val="TableText"/>
              <w:rPr>
                <w:lang w:val="en-AU"/>
              </w:rPr>
            </w:pPr>
          </w:p>
        </w:tc>
      </w:tr>
      <w:tr w:rsidR="008A28F8" w:rsidRPr="001E2952" w14:paraId="0CF851DF" w14:textId="77777777" w:rsidTr="00DF2704">
        <w:tc>
          <w:tcPr>
            <w:tcW w:w="846" w:type="dxa"/>
            <w:vAlign w:val="center"/>
          </w:tcPr>
          <w:p w14:paraId="319DDF46" w14:textId="77777777" w:rsidR="008A28F8" w:rsidRPr="00B5735D" w:rsidRDefault="008A28F8" w:rsidP="001E2952">
            <w:pPr>
              <w:pStyle w:val="TableText"/>
              <w:rPr>
                <w:lang w:val="en-AU"/>
              </w:rPr>
            </w:pPr>
          </w:p>
        </w:tc>
        <w:tc>
          <w:tcPr>
            <w:tcW w:w="1843" w:type="dxa"/>
            <w:vAlign w:val="center"/>
          </w:tcPr>
          <w:p w14:paraId="108B52EE" w14:textId="77777777" w:rsidR="008A28F8" w:rsidRPr="00B5735D" w:rsidRDefault="008A28F8" w:rsidP="001E2952">
            <w:pPr>
              <w:pStyle w:val="TableText"/>
              <w:rPr>
                <w:lang w:val="en-AU"/>
              </w:rPr>
            </w:pPr>
          </w:p>
        </w:tc>
        <w:tc>
          <w:tcPr>
            <w:tcW w:w="2126" w:type="dxa"/>
          </w:tcPr>
          <w:p w14:paraId="4BF92769" w14:textId="77777777" w:rsidR="008A28F8" w:rsidRPr="00B5735D" w:rsidRDefault="008A28F8" w:rsidP="001E2952">
            <w:pPr>
              <w:pStyle w:val="TableText"/>
              <w:rPr>
                <w:lang w:val="en-AU"/>
              </w:rPr>
            </w:pPr>
          </w:p>
        </w:tc>
        <w:tc>
          <w:tcPr>
            <w:tcW w:w="1999" w:type="dxa"/>
            <w:vAlign w:val="center"/>
          </w:tcPr>
          <w:p w14:paraId="3069D4C4" w14:textId="77777777" w:rsidR="008A28F8" w:rsidRPr="00B5735D" w:rsidRDefault="008A28F8" w:rsidP="001E2952">
            <w:pPr>
              <w:pStyle w:val="TableText"/>
              <w:rPr>
                <w:lang w:val="en-AU"/>
              </w:rPr>
            </w:pPr>
          </w:p>
        </w:tc>
        <w:tc>
          <w:tcPr>
            <w:tcW w:w="2202" w:type="dxa"/>
          </w:tcPr>
          <w:p w14:paraId="67143313" w14:textId="77777777" w:rsidR="008A28F8" w:rsidRPr="00B5735D" w:rsidRDefault="008A28F8" w:rsidP="001E2952">
            <w:pPr>
              <w:pStyle w:val="TableText"/>
              <w:rPr>
                <w:lang w:val="en-AU"/>
              </w:rPr>
            </w:pPr>
          </w:p>
        </w:tc>
      </w:tr>
    </w:tbl>
    <w:p w14:paraId="2D69960E" w14:textId="77777777" w:rsidR="008A28F8" w:rsidRDefault="008A28F8" w:rsidP="008A28F8"/>
    <w:bookmarkEnd w:id="1"/>
    <w:p w14:paraId="37A3F760" w14:textId="77777777" w:rsidR="00E33620" w:rsidRDefault="00E33620">
      <w:pPr>
        <w:spacing w:before="0" w:after="160" w:line="259" w:lineRule="auto"/>
        <w:rPr>
          <w:rFonts w:eastAsiaTheme="majorEastAsia"/>
          <w:b/>
          <w:color w:val="FF931E"/>
          <w:sz w:val="32"/>
          <w:szCs w:val="30"/>
        </w:rPr>
      </w:pPr>
      <w:r>
        <w:br w:type="page"/>
      </w:r>
    </w:p>
    <w:p w14:paraId="02EF9AF6" w14:textId="387D3D43" w:rsidR="00260336" w:rsidRDefault="00260336" w:rsidP="00E168BE">
      <w:pPr>
        <w:pStyle w:val="TOAHeading"/>
      </w:pPr>
      <w:r w:rsidRPr="00BA2829">
        <w:lastRenderedPageBreak/>
        <w:t>Executive Summary</w:t>
      </w:r>
    </w:p>
    <w:p w14:paraId="0F7EDCFB" w14:textId="17193EEA" w:rsidR="00416CB3" w:rsidRDefault="00416CB3" w:rsidP="00416CB3">
      <w:r w:rsidRPr="00DA138B">
        <w:t xml:space="preserve">The Partnership for Human Development </w:t>
      </w:r>
      <w:r>
        <w:t xml:space="preserve">(PHD) </w:t>
      </w:r>
      <w:r w:rsidRPr="00DA138B">
        <w:t xml:space="preserve">between the Australian and </w:t>
      </w:r>
      <w:r>
        <w:t>Timor-Leste</w:t>
      </w:r>
      <w:r w:rsidRPr="00DA138B">
        <w:t xml:space="preserve"> Governments supports the people of Timor</w:t>
      </w:r>
      <w:r>
        <w:t>-</w:t>
      </w:r>
      <w:r w:rsidRPr="00DA138B">
        <w:t>Leste to reach their potential.</w:t>
      </w:r>
    </w:p>
    <w:p w14:paraId="10F03F5C" w14:textId="77777777" w:rsidR="00416CB3" w:rsidRDefault="00416CB3" w:rsidP="00416CB3">
      <w:r>
        <w:t>PHD has developed one shared goal that identifies the long term change to which PHD will contribute over the life of the program:</w:t>
      </w:r>
    </w:p>
    <w:p w14:paraId="6BBB6C69" w14:textId="6B418194" w:rsidR="00416CB3" w:rsidRPr="007D6458" w:rsidRDefault="007D6458" w:rsidP="00EC1A49">
      <w:pPr>
        <w:ind w:left="426" w:right="565"/>
        <w:jc w:val="right"/>
        <w:rPr>
          <w:b/>
          <w:i/>
          <w:color w:val="FF931E"/>
          <w:lang w:val="en-US"/>
        </w:rPr>
      </w:pPr>
      <w:r>
        <w:rPr>
          <w:b/>
          <w:i/>
          <w:color w:val="FF931E"/>
          <w:lang w:val="en-US"/>
        </w:rPr>
        <w:t>S</w:t>
      </w:r>
      <w:r w:rsidR="00416CB3" w:rsidRPr="007D6458">
        <w:rPr>
          <w:b/>
          <w:i/>
          <w:color w:val="FF931E"/>
          <w:lang w:val="en-US"/>
        </w:rPr>
        <w:t>upport the people and Government of Timor-Leste to build and sustain healthy, educated and prosperous individuals and communities who live with dignity and determine their own future.</w:t>
      </w:r>
    </w:p>
    <w:p w14:paraId="103AD6A2" w14:textId="7B20C773" w:rsidR="00416CB3" w:rsidRDefault="004B093F" w:rsidP="00416CB3">
      <w:pPr>
        <w:rPr>
          <w:lang w:val="en-US"/>
        </w:rPr>
      </w:pPr>
      <w:r>
        <w:rPr>
          <w:lang w:val="en-US"/>
        </w:rPr>
        <w:t>A cross</w:t>
      </w:r>
      <w:r w:rsidR="00416CB3">
        <w:rPr>
          <w:lang w:val="en-US"/>
        </w:rPr>
        <w:t>-sector</w:t>
      </w:r>
      <w:r>
        <w:rPr>
          <w:lang w:val="en-US"/>
        </w:rPr>
        <w:t>al</w:t>
      </w:r>
      <w:r w:rsidR="00416CB3">
        <w:rPr>
          <w:lang w:val="en-US"/>
        </w:rPr>
        <w:t xml:space="preserve"> approach, combining technical inputs and a broader understanding of the context of change, implemented thro</w:t>
      </w:r>
      <w:r w:rsidR="007D6458">
        <w:rPr>
          <w:lang w:val="en-US"/>
        </w:rPr>
        <w:t>ugh a single operating platform,</w:t>
      </w:r>
      <w:r w:rsidR="00416CB3">
        <w:rPr>
          <w:lang w:val="en-US"/>
        </w:rPr>
        <w:t xml:space="preserve"> forms the initial operating framework for PHD. It is assumed that by drawing upon the wide-ranging technical expertise available through sector programs</w:t>
      </w:r>
      <w:r w:rsidR="007D6458">
        <w:rPr>
          <w:lang w:val="en-US"/>
        </w:rPr>
        <w:t>,</w:t>
      </w:r>
      <w:r w:rsidR="00416CB3">
        <w:rPr>
          <w:lang w:val="en-US"/>
        </w:rPr>
        <w:t xml:space="preserve"> and combining this with practical approaches that work in a Timor-Leste context, PHD will be able to make a substantial contribution to the well-being of people in Timor-Leste.</w:t>
      </w:r>
    </w:p>
    <w:p w14:paraId="3C48BA47" w14:textId="78667285" w:rsidR="00416CB3" w:rsidRDefault="007D6458" w:rsidP="00416CB3">
      <w:pPr>
        <w:rPr>
          <w:lang w:val="en-US"/>
        </w:rPr>
      </w:pPr>
      <w:r>
        <w:rPr>
          <w:lang w:val="en-US"/>
        </w:rPr>
        <w:t xml:space="preserve">At the highest level, </w:t>
      </w:r>
      <w:r w:rsidR="00416CB3">
        <w:rPr>
          <w:lang w:val="en-US"/>
        </w:rPr>
        <w:t>PHD will track its overall contribution to change:</w:t>
      </w:r>
    </w:p>
    <w:p w14:paraId="4D1EFCD3" w14:textId="10459344" w:rsidR="00416CB3" w:rsidRPr="00416CB3" w:rsidRDefault="00416CB3" w:rsidP="00B01D15">
      <w:pPr>
        <w:pStyle w:val="ListParagraph"/>
        <w:numPr>
          <w:ilvl w:val="0"/>
          <w:numId w:val="7"/>
        </w:numPr>
        <w:jc w:val="both"/>
        <w:rPr>
          <w:rFonts w:ascii="Arial" w:hAnsi="Arial" w:cs="Arial"/>
          <w:sz w:val="20"/>
          <w:szCs w:val="20"/>
          <w:lang w:val="en-US"/>
        </w:rPr>
      </w:pPr>
      <w:r w:rsidRPr="00416CB3">
        <w:rPr>
          <w:rFonts w:ascii="Arial" w:hAnsi="Arial" w:cs="Arial"/>
          <w:sz w:val="20"/>
          <w:szCs w:val="20"/>
          <w:lang w:val="en-US"/>
        </w:rPr>
        <w:t>for people</w:t>
      </w:r>
      <w:r w:rsidR="007D6458">
        <w:rPr>
          <w:rFonts w:ascii="Arial" w:hAnsi="Arial" w:cs="Arial"/>
          <w:sz w:val="20"/>
          <w:szCs w:val="20"/>
          <w:lang w:val="en-US"/>
        </w:rPr>
        <w:t xml:space="preserve">, </w:t>
      </w:r>
      <w:r w:rsidRPr="00416CB3">
        <w:rPr>
          <w:rFonts w:ascii="Arial" w:hAnsi="Arial" w:cs="Arial"/>
          <w:sz w:val="20"/>
          <w:szCs w:val="20"/>
          <w:lang w:val="en-US"/>
        </w:rPr>
        <w:t xml:space="preserve">especially women, children and </w:t>
      </w:r>
      <w:r w:rsidR="007D6458">
        <w:rPr>
          <w:rFonts w:ascii="Arial" w:hAnsi="Arial" w:cs="Arial"/>
          <w:sz w:val="20"/>
          <w:szCs w:val="20"/>
          <w:lang w:val="en-US"/>
        </w:rPr>
        <w:t>people living with a disability</w:t>
      </w:r>
      <w:r w:rsidR="00EC1A49">
        <w:rPr>
          <w:rFonts w:ascii="Arial" w:hAnsi="Arial" w:cs="Arial"/>
          <w:sz w:val="20"/>
          <w:szCs w:val="20"/>
          <w:lang w:val="en-US"/>
        </w:rPr>
        <w:t>;</w:t>
      </w:r>
      <w:r w:rsidRPr="00416CB3">
        <w:rPr>
          <w:rFonts w:ascii="Arial" w:hAnsi="Arial" w:cs="Arial"/>
          <w:sz w:val="20"/>
          <w:szCs w:val="20"/>
          <w:lang w:val="en-US"/>
        </w:rPr>
        <w:t xml:space="preserve"> </w:t>
      </w:r>
    </w:p>
    <w:p w14:paraId="38D60BFC" w14:textId="2B71FDB8" w:rsidR="00416CB3" w:rsidRPr="00416CB3" w:rsidRDefault="007D6458" w:rsidP="00B01D15">
      <w:pPr>
        <w:pStyle w:val="ListParagraph"/>
        <w:numPr>
          <w:ilvl w:val="0"/>
          <w:numId w:val="7"/>
        </w:numPr>
        <w:jc w:val="both"/>
        <w:rPr>
          <w:rFonts w:ascii="Arial" w:hAnsi="Arial" w:cs="Arial"/>
          <w:sz w:val="20"/>
          <w:szCs w:val="20"/>
        </w:rPr>
      </w:pPr>
      <w:r>
        <w:rPr>
          <w:rFonts w:ascii="Arial" w:hAnsi="Arial" w:cs="Arial"/>
          <w:sz w:val="20"/>
          <w:szCs w:val="20"/>
        </w:rPr>
        <w:t xml:space="preserve">in </w:t>
      </w:r>
      <w:r w:rsidR="00416CB3" w:rsidRPr="00416CB3">
        <w:rPr>
          <w:rFonts w:ascii="Arial" w:hAnsi="Arial" w:cs="Arial"/>
          <w:sz w:val="20"/>
          <w:szCs w:val="20"/>
        </w:rPr>
        <w:t xml:space="preserve">government </w:t>
      </w:r>
      <w:r w:rsidR="00EC1A49">
        <w:rPr>
          <w:rFonts w:ascii="Arial" w:hAnsi="Arial" w:cs="Arial"/>
          <w:sz w:val="20"/>
          <w:szCs w:val="20"/>
        </w:rPr>
        <w:t>commitment to service delivery; and</w:t>
      </w:r>
    </w:p>
    <w:p w14:paraId="06969A84" w14:textId="591602DE" w:rsidR="00416CB3" w:rsidRPr="00416CB3" w:rsidRDefault="00416CB3" w:rsidP="00B01D15">
      <w:pPr>
        <w:pStyle w:val="ListParagraph"/>
        <w:numPr>
          <w:ilvl w:val="0"/>
          <w:numId w:val="7"/>
        </w:numPr>
        <w:jc w:val="both"/>
        <w:rPr>
          <w:rFonts w:ascii="Arial" w:hAnsi="Arial" w:cs="Arial"/>
          <w:sz w:val="20"/>
          <w:szCs w:val="20"/>
        </w:rPr>
      </w:pPr>
      <w:r w:rsidRPr="00416CB3">
        <w:rPr>
          <w:rFonts w:ascii="Arial" w:hAnsi="Arial" w:cs="Arial"/>
          <w:sz w:val="20"/>
          <w:szCs w:val="20"/>
        </w:rPr>
        <w:t>in service delivery outc</w:t>
      </w:r>
      <w:r w:rsidR="004B093F">
        <w:rPr>
          <w:rFonts w:ascii="Arial" w:hAnsi="Arial" w:cs="Arial"/>
          <w:sz w:val="20"/>
          <w:szCs w:val="20"/>
        </w:rPr>
        <w:t>omes, as a result of PHD’s cross</w:t>
      </w:r>
      <w:r w:rsidRPr="00416CB3">
        <w:rPr>
          <w:rFonts w:ascii="Arial" w:hAnsi="Arial" w:cs="Arial"/>
          <w:sz w:val="20"/>
          <w:szCs w:val="20"/>
        </w:rPr>
        <w:t>-sector</w:t>
      </w:r>
      <w:r w:rsidR="004B093F">
        <w:rPr>
          <w:rFonts w:ascii="Arial" w:hAnsi="Arial" w:cs="Arial"/>
          <w:sz w:val="20"/>
          <w:szCs w:val="20"/>
        </w:rPr>
        <w:t>al</w:t>
      </w:r>
      <w:r w:rsidRPr="00416CB3">
        <w:rPr>
          <w:rFonts w:ascii="Arial" w:hAnsi="Arial" w:cs="Arial"/>
          <w:sz w:val="20"/>
          <w:szCs w:val="20"/>
        </w:rPr>
        <w:t xml:space="preserve"> approach. </w:t>
      </w:r>
    </w:p>
    <w:p w14:paraId="5AB276DE" w14:textId="24B5C0CC" w:rsidR="00416CB3" w:rsidRPr="00197B41" w:rsidRDefault="00416CB3" w:rsidP="00416CB3">
      <w:pPr>
        <w:rPr>
          <w:lang w:val="en-US"/>
        </w:rPr>
      </w:pPr>
      <w:r>
        <w:rPr>
          <w:lang w:val="en-US"/>
        </w:rPr>
        <w:t>Over the coming 12 to 18 months, PHD will undertake a phased approach to transitioning the program</w:t>
      </w:r>
      <w:r w:rsidR="007D6458">
        <w:rPr>
          <w:lang w:val="en-US"/>
        </w:rPr>
        <w:t xml:space="preserve"> from individual sectors to a collaborative and consolidated program that is effectively and efficiently functioning, and incorporates cross-sectoral objectives</w:t>
      </w:r>
      <w:r>
        <w:rPr>
          <w:lang w:val="en-US"/>
        </w:rPr>
        <w:t xml:space="preserve">. It will combine this with the introduction of several implementation strategies, which aim to accelerate appropriate consolidation of </w:t>
      </w:r>
      <w:r w:rsidR="007D6458">
        <w:rPr>
          <w:lang w:val="en-US"/>
        </w:rPr>
        <w:t xml:space="preserve">sectoral programs under </w:t>
      </w:r>
      <w:r>
        <w:rPr>
          <w:lang w:val="en-US"/>
        </w:rPr>
        <w:t>PHD. These strategies will be</w:t>
      </w:r>
      <w:r w:rsidR="007D6458">
        <w:rPr>
          <w:lang w:val="en-US"/>
        </w:rPr>
        <w:t xml:space="preserve"> reviewed </w:t>
      </w:r>
      <w:r>
        <w:rPr>
          <w:lang w:val="en-US"/>
        </w:rPr>
        <w:t>annually</w:t>
      </w:r>
      <w:r w:rsidR="007D6458">
        <w:rPr>
          <w:lang w:val="en-US"/>
        </w:rPr>
        <w:t>, and adjusted as required</w:t>
      </w:r>
      <w:r w:rsidR="00EC1A49">
        <w:rPr>
          <w:lang w:val="en-US"/>
        </w:rPr>
        <w:t>.</w:t>
      </w:r>
    </w:p>
    <w:p w14:paraId="04CBC5BB" w14:textId="77777777" w:rsidR="00E27F41" w:rsidRDefault="00416CB3" w:rsidP="00E27F41">
      <w:pPr>
        <w:spacing w:after="60"/>
        <w:ind w:left="1440" w:hanging="1440"/>
        <w:rPr>
          <w:lang w:val="en-US"/>
        </w:rPr>
      </w:pPr>
      <w:r w:rsidRPr="00E27F41">
        <w:rPr>
          <w:b/>
          <w:lang w:val="en-US"/>
        </w:rPr>
        <w:t>Strategy 1</w:t>
      </w:r>
      <w:r>
        <w:rPr>
          <w:lang w:val="en-US"/>
        </w:rPr>
        <w:tab/>
      </w:r>
      <w:r w:rsidRPr="00E27F41">
        <w:rPr>
          <w:b/>
          <w:lang w:val="en-US"/>
        </w:rPr>
        <w:t>Geographic clustering of activities</w:t>
      </w:r>
      <w:r w:rsidRPr="00B93F3E">
        <w:rPr>
          <w:lang w:val="en-US"/>
        </w:rPr>
        <w:t xml:space="preserve"> </w:t>
      </w:r>
      <w:r w:rsidR="00E27F41">
        <w:rPr>
          <w:lang w:val="en-US"/>
        </w:rPr>
        <w:t xml:space="preserve"> </w:t>
      </w:r>
    </w:p>
    <w:p w14:paraId="0B871657" w14:textId="186D4DA2" w:rsidR="00416CB3" w:rsidRPr="00B93F3E" w:rsidRDefault="00416CB3" w:rsidP="00E27F41">
      <w:pPr>
        <w:spacing w:before="0"/>
        <w:ind w:left="1440"/>
        <w:rPr>
          <w:lang w:val="en-US"/>
        </w:rPr>
      </w:pPr>
      <w:r w:rsidRPr="00B93F3E">
        <w:rPr>
          <w:lang w:val="en-US"/>
        </w:rPr>
        <w:t xml:space="preserve">In line with the Government of </w:t>
      </w:r>
      <w:r>
        <w:rPr>
          <w:lang w:val="en-US"/>
        </w:rPr>
        <w:t>Timor-Leste</w:t>
      </w:r>
      <w:r w:rsidR="007D6458">
        <w:rPr>
          <w:lang w:val="en-US"/>
        </w:rPr>
        <w:t>’s policy for decentralis</w:t>
      </w:r>
      <w:r w:rsidRPr="00B93F3E">
        <w:rPr>
          <w:lang w:val="en-US"/>
        </w:rPr>
        <w:t xml:space="preserve">ation, PHD will begin to work in coordinated ways at the municipal level. </w:t>
      </w:r>
    </w:p>
    <w:p w14:paraId="34480A42" w14:textId="77777777" w:rsidR="00E27F41" w:rsidRDefault="00416CB3" w:rsidP="00E27F41">
      <w:pPr>
        <w:spacing w:after="60"/>
        <w:ind w:left="1440" w:hanging="1440"/>
        <w:rPr>
          <w:lang w:val="en-US"/>
        </w:rPr>
      </w:pPr>
      <w:r w:rsidRPr="00E27F41">
        <w:rPr>
          <w:b/>
          <w:lang w:val="en-US"/>
        </w:rPr>
        <w:t>Strategy 2</w:t>
      </w:r>
      <w:r>
        <w:rPr>
          <w:lang w:val="en-US"/>
        </w:rPr>
        <w:t xml:space="preserve"> </w:t>
      </w:r>
      <w:r>
        <w:rPr>
          <w:lang w:val="en-US"/>
        </w:rPr>
        <w:tab/>
      </w:r>
      <w:r w:rsidR="00BC56C8" w:rsidRPr="00E27F41">
        <w:rPr>
          <w:b/>
        </w:rPr>
        <w:t>Strategic engagement with Government</w:t>
      </w:r>
      <w:r w:rsidR="00E27F41">
        <w:t xml:space="preserve"> </w:t>
      </w:r>
      <w:r w:rsidR="00BC56C8" w:rsidRPr="00B93F3E">
        <w:rPr>
          <w:lang w:val="en-US"/>
        </w:rPr>
        <w:t xml:space="preserve"> </w:t>
      </w:r>
    </w:p>
    <w:p w14:paraId="5870CC77" w14:textId="4ABE479D" w:rsidR="00416CB3" w:rsidRPr="00B93F3E" w:rsidRDefault="00416CB3" w:rsidP="00E27F41">
      <w:pPr>
        <w:spacing w:before="0"/>
        <w:ind w:left="1440"/>
        <w:rPr>
          <w:lang w:val="en-US"/>
        </w:rPr>
      </w:pPr>
      <w:r w:rsidRPr="00B93F3E">
        <w:rPr>
          <w:lang w:val="en-US"/>
        </w:rPr>
        <w:t xml:space="preserve">Existing programs will continue to be implemented and future activities developed, with attention to maximising efficiencies and opportunities for </w:t>
      </w:r>
      <w:r w:rsidR="005D0304">
        <w:rPr>
          <w:lang w:val="en-US"/>
        </w:rPr>
        <w:t>cross</w:t>
      </w:r>
      <w:r>
        <w:rPr>
          <w:lang w:val="en-US"/>
        </w:rPr>
        <w:t>-sector</w:t>
      </w:r>
      <w:r w:rsidR="005D0304">
        <w:rPr>
          <w:lang w:val="en-US"/>
        </w:rPr>
        <w:t>al</w:t>
      </w:r>
      <w:r w:rsidRPr="00B93F3E">
        <w:rPr>
          <w:lang w:val="en-US"/>
        </w:rPr>
        <w:t xml:space="preserve"> cooperation with the Government of </w:t>
      </w:r>
      <w:r>
        <w:rPr>
          <w:lang w:val="en-US"/>
        </w:rPr>
        <w:t>Timor-Leste</w:t>
      </w:r>
      <w:r w:rsidRPr="00B93F3E">
        <w:rPr>
          <w:lang w:val="en-US"/>
        </w:rPr>
        <w:t xml:space="preserve">, at </w:t>
      </w:r>
      <w:r w:rsidR="007D6458">
        <w:rPr>
          <w:lang w:val="en-US"/>
        </w:rPr>
        <w:t xml:space="preserve">the </w:t>
      </w:r>
      <w:r w:rsidR="00904A5A">
        <w:rPr>
          <w:lang w:val="en-US"/>
        </w:rPr>
        <w:t>national and s</w:t>
      </w:r>
      <w:r w:rsidRPr="00B93F3E">
        <w:rPr>
          <w:lang w:val="en-US"/>
        </w:rPr>
        <w:t xml:space="preserve">ub-national level.  </w:t>
      </w:r>
    </w:p>
    <w:p w14:paraId="00CE3060" w14:textId="77777777" w:rsidR="00E27F41" w:rsidRDefault="00416CB3" w:rsidP="00E27F41">
      <w:pPr>
        <w:spacing w:after="60"/>
        <w:ind w:left="1440" w:hanging="1440"/>
        <w:rPr>
          <w:lang w:val="en-US"/>
        </w:rPr>
      </w:pPr>
      <w:r w:rsidRPr="00E27F41">
        <w:rPr>
          <w:b/>
          <w:lang w:val="en-US"/>
        </w:rPr>
        <w:t>Strategy 3</w:t>
      </w:r>
      <w:r>
        <w:rPr>
          <w:lang w:val="en-US"/>
        </w:rPr>
        <w:t xml:space="preserve"> </w:t>
      </w:r>
      <w:r>
        <w:rPr>
          <w:lang w:val="en-US"/>
        </w:rPr>
        <w:tab/>
      </w:r>
      <w:r w:rsidR="00E27F41" w:rsidRPr="00E27F41">
        <w:rPr>
          <w:b/>
          <w:lang w:val="en-US"/>
        </w:rPr>
        <w:t>Review and Improvement</w:t>
      </w:r>
      <w:r w:rsidR="00E27F41">
        <w:rPr>
          <w:lang w:val="en-US"/>
        </w:rPr>
        <w:t xml:space="preserve"> </w:t>
      </w:r>
      <w:r w:rsidRPr="00B93F3E">
        <w:rPr>
          <w:lang w:val="en-US"/>
        </w:rPr>
        <w:t xml:space="preserve"> </w:t>
      </w:r>
    </w:p>
    <w:p w14:paraId="7A60C84B" w14:textId="01227A4B" w:rsidR="00416CB3" w:rsidRPr="00B93F3E" w:rsidRDefault="00416CB3" w:rsidP="00E27F41">
      <w:pPr>
        <w:spacing w:before="0"/>
        <w:ind w:left="1440"/>
        <w:rPr>
          <w:lang w:val="en-US"/>
        </w:rPr>
      </w:pPr>
      <w:r w:rsidRPr="00B93F3E">
        <w:rPr>
          <w:lang w:val="en-US"/>
        </w:rPr>
        <w:t xml:space="preserve">PHD will ensure its approach is underpinned by a rolling process of review and improvement. </w:t>
      </w:r>
    </w:p>
    <w:p w14:paraId="5BFDEEA4" w14:textId="77777777" w:rsidR="00E27F41" w:rsidRDefault="00416CB3" w:rsidP="00E27F41">
      <w:pPr>
        <w:spacing w:after="60"/>
        <w:ind w:left="1440" w:hanging="1440"/>
        <w:rPr>
          <w:lang w:val="en-US"/>
        </w:rPr>
      </w:pPr>
      <w:r w:rsidRPr="00E27F41">
        <w:rPr>
          <w:b/>
          <w:lang w:val="en-US"/>
        </w:rPr>
        <w:t>Strategy 4</w:t>
      </w:r>
      <w:r>
        <w:rPr>
          <w:lang w:val="en-US"/>
        </w:rPr>
        <w:t xml:space="preserve"> </w:t>
      </w:r>
      <w:r>
        <w:rPr>
          <w:lang w:val="en-US"/>
        </w:rPr>
        <w:tab/>
      </w:r>
      <w:r w:rsidRPr="00E27F41">
        <w:rPr>
          <w:b/>
          <w:lang w:val="en-US"/>
        </w:rPr>
        <w:t>Engage people in their own development</w:t>
      </w:r>
      <w:r w:rsidR="00E27F41">
        <w:rPr>
          <w:lang w:val="en-US"/>
        </w:rPr>
        <w:t xml:space="preserve">  </w:t>
      </w:r>
    </w:p>
    <w:p w14:paraId="6DF0E7FE" w14:textId="0E161B04" w:rsidR="00416CB3" w:rsidRPr="00B93F3E" w:rsidRDefault="00E27F41" w:rsidP="00E27F41">
      <w:pPr>
        <w:spacing w:before="0"/>
        <w:ind w:left="1440"/>
        <w:rPr>
          <w:lang w:val="en-US"/>
        </w:rPr>
      </w:pPr>
      <w:r>
        <w:rPr>
          <w:lang w:val="en-US"/>
        </w:rPr>
        <w:t xml:space="preserve">Engage Timorese people in their own development to ensure the </w:t>
      </w:r>
      <w:r w:rsidRPr="00B93F3E">
        <w:rPr>
          <w:lang w:val="en-US"/>
        </w:rPr>
        <w:t xml:space="preserve">needs </w:t>
      </w:r>
      <w:r>
        <w:rPr>
          <w:lang w:val="en-US"/>
        </w:rPr>
        <w:t>of the people are addressed</w:t>
      </w:r>
      <w:r w:rsidR="007D6458">
        <w:rPr>
          <w:lang w:val="en-US"/>
        </w:rPr>
        <w:t xml:space="preserve">, </w:t>
      </w:r>
      <w:r>
        <w:rPr>
          <w:lang w:val="en-US"/>
        </w:rPr>
        <w:t>and outcomes are</w:t>
      </w:r>
      <w:r w:rsidR="00416CB3" w:rsidRPr="00B93F3E">
        <w:rPr>
          <w:lang w:val="en-US"/>
        </w:rPr>
        <w:t xml:space="preserve"> sustainable. </w:t>
      </w:r>
    </w:p>
    <w:p w14:paraId="01171531" w14:textId="77777777" w:rsidR="00E27F41" w:rsidRDefault="00416CB3" w:rsidP="00E27F41">
      <w:pPr>
        <w:spacing w:after="60"/>
        <w:ind w:left="1440" w:hanging="1440"/>
        <w:rPr>
          <w:lang w:val="en-US"/>
        </w:rPr>
      </w:pPr>
      <w:r w:rsidRPr="00E27F41">
        <w:rPr>
          <w:b/>
          <w:lang w:val="en-US"/>
        </w:rPr>
        <w:t>Strategy 5</w:t>
      </w:r>
      <w:r>
        <w:rPr>
          <w:lang w:val="en-US"/>
        </w:rPr>
        <w:t xml:space="preserve"> </w:t>
      </w:r>
      <w:r>
        <w:rPr>
          <w:lang w:val="en-US"/>
        </w:rPr>
        <w:tab/>
      </w:r>
      <w:r w:rsidR="00E27F41">
        <w:rPr>
          <w:b/>
          <w:lang w:val="en-US"/>
        </w:rPr>
        <w:t>Service Delivery Improvement</w:t>
      </w:r>
      <w:r w:rsidR="007D6458">
        <w:rPr>
          <w:lang w:val="en-US"/>
        </w:rPr>
        <w:t xml:space="preserve"> </w:t>
      </w:r>
      <w:r w:rsidR="00E27F41">
        <w:rPr>
          <w:lang w:val="en-US"/>
        </w:rPr>
        <w:t xml:space="preserve"> </w:t>
      </w:r>
    </w:p>
    <w:p w14:paraId="4D74CAD0" w14:textId="6D9496C5" w:rsidR="00BC56C8" w:rsidRPr="00B93F3E" w:rsidRDefault="00416CB3" w:rsidP="00E27F41">
      <w:pPr>
        <w:spacing w:before="0"/>
        <w:ind w:left="1440"/>
        <w:rPr>
          <w:lang w:val="en-US"/>
        </w:rPr>
      </w:pPr>
      <w:r w:rsidRPr="00B93F3E">
        <w:rPr>
          <w:lang w:val="en-US"/>
        </w:rPr>
        <w:t xml:space="preserve">Identify and </w:t>
      </w:r>
      <w:r w:rsidR="007D6458">
        <w:rPr>
          <w:lang w:val="en-US"/>
        </w:rPr>
        <w:t>address specific problems in Timor-Leste’s</w:t>
      </w:r>
      <w:r w:rsidRPr="00B93F3E">
        <w:rPr>
          <w:lang w:val="en-US"/>
        </w:rPr>
        <w:t xml:space="preserve"> service delivery system</w:t>
      </w:r>
      <w:r w:rsidR="007D6458">
        <w:rPr>
          <w:lang w:val="en-US"/>
        </w:rPr>
        <w:t>, i</w:t>
      </w:r>
      <w:r w:rsidRPr="00B93F3E">
        <w:rPr>
          <w:lang w:val="en-US"/>
        </w:rPr>
        <w:t>ncluding procurement</w:t>
      </w:r>
      <w:r w:rsidR="007D6458">
        <w:rPr>
          <w:lang w:val="en-US"/>
        </w:rPr>
        <w:t>,</w:t>
      </w:r>
      <w:r w:rsidRPr="00B93F3E">
        <w:rPr>
          <w:lang w:val="en-US"/>
        </w:rPr>
        <w:t xml:space="preserve"> distribution</w:t>
      </w:r>
      <w:r w:rsidR="007D6458">
        <w:rPr>
          <w:lang w:val="en-US"/>
        </w:rPr>
        <w:t>, and</w:t>
      </w:r>
      <w:r w:rsidRPr="00B93F3E">
        <w:rPr>
          <w:lang w:val="en-US"/>
        </w:rPr>
        <w:t xml:space="preserve"> </w:t>
      </w:r>
      <w:r w:rsidR="007D6458">
        <w:rPr>
          <w:lang w:val="en-US"/>
        </w:rPr>
        <w:t>Public Financial Management (</w:t>
      </w:r>
      <w:r w:rsidRPr="00B93F3E">
        <w:rPr>
          <w:lang w:val="en-US"/>
        </w:rPr>
        <w:t>PFM</w:t>
      </w:r>
      <w:r w:rsidR="007D6458">
        <w:rPr>
          <w:lang w:val="en-US"/>
        </w:rPr>
        <w:t>),</w:t>
      </w:r>
      <w:r w:rsidRPr="00B93F3E">
        <w:rPr>
          <w:lang w:val="en-US"/>
        </w:rPr>
        <w:t xml:space="preserve"> </w:t>
      </w:r>
      <w:r>
        <w:rPr>
          <w:lang w:val="en-US"/>
        </w:rPr>
        <w:t>and propose afforda</w:t>
      </w:r>
      <w:r w:rsidR="007D6458">
        <w:rPr>
          <w:lang w:val="en-US"/>
        </w:rPr>
        <w:t>ble and replicable investments.</w:t>
      </w:r>
    </w:p>
    <w:p w14:paraId="16888B66" w14:textId="2BD72BC3" w:rsidR="00416CB3" w:rsidRPr="00416CB3" w:rsidRDefault="00416CB3" w:rsidP="00416CB3">
      <w:pPr>
        <w:rPr>
          <w:szCs w:val="20"/>
        </w:rPr>
      </w:pPr>
      <w:r w:rsidRPr="00416CB3">
        <w:rPr>
          <w:szCs w:val="20"/>
        </w:rPr>
        <w:t>PHD has ident</w:t>
      </w:r>
      <w:r w:rsidR="00EC1A49">
        <w:rPr>
          <w:szCs w:val="20"/>
        </w:rPr>
        <w:t>ified three objectives for 2017.</w:t>
      </w:r>
    </w:p>
    <w:p w14:paraId="0F587F81" w14:textId="138634FD" w:rsidR="00416CB3" w:rsidRPr="00416CB3" w:rsidRDefault="00F55C9D" w:rsidP="00B01D15">
      <w:pPr>
        <w:pStyle w:val="ListParagraph"/>
        <w:numPr>
          <w:ilvl w:val="0"/>
          <w:numId w:val="6"/>
        </w:numPr>
        <w:jc w:val="both"/>
        <w:rPr>
          <w:rFonts w:ascii="Arial" w:hAnsi="Arial" w:cs="Arial"/>
          <w:sz w:val="20"/>
          <w:szCs w:val="20"/>
        </w:rPr>
      </w:pPr>
      <w:r>
        <w:rPr>
          <w:rFonts w:ascii="Arial" w:hAnsi="Arial" w:cs="Arial"/>
          <w:sz w:val="20"/>
          <w:szCs w:val="20"/>
        </w:rPr>
        <w:t>Contribute to i</w:t>
      </w:r>
      <w:r w:rsidR="00416CB3" w:rsidRPr="00416CB3">
        <w:rPr>
          <w:rFonts w:ascii="Arial" w:hAnsi="Arial" w:cs="Arial"/>
          <w:sz w:val="20"/>
          <w:szCs w:val="20"/>
        </w:rPr>
        <w:t>mprovement</w:t>
      </w:r>
      <w:r>
        <w:rPr>
          <w:rFonts w:ascii="Arial" w:hAnsi="Arial" w:cs="Arial"/>
          <w:sz w:val="20"/>
          <w:szCs w:val="20"/>
        </w:rPr>
        <w:t>s</w:t>
      </w:r>
      <w:r w:rsidR="00416CB3" w:rsidRPr="00416CB3">
        <w:rPr>
          <w:rFonts w:ascii="Arial" w:hAnsi="Arial" w:cs="Arial"/>
          <w:sz w:val="20"/>
          <w:szCs w:val="20"/>
        </w:rPr>
        <w:t xml:space="preserve"> in the well-being of people, in particular women, childr</w:t>
      </w:r>
      <w:r w:rsidR="00EC1A49">
        <w:rPr>
          <w:rFonts w:ascii="Arial" w:hAnsi="Arial" w:cs="Arial"/>
          <w:sz w:val="20"/>
          <w:szCs w:val="20"/>
        </w:rPr>
        <w:t>en and people with a disability.</w:t>
      </w:r>
    </w:p>
    <w:p w14:paraId="51203B39" w14:textId="37D6DEE0" w:rsidR="00416CB3" w:rsidRPr="00416CB3" w:rsidRDefault="00F55C9D" w:rsidP="00B01D15">
      <w:pPr>
        <w:pStyle w:val="ListParagraph"/>
        <w:numPr>
          <w:ilvl w:val="0"/>
          <w:numId w:val="6"/>
        </w:numPr>
        <w:jc w:val="both"/>
        <w:rPr>
          <w:rFonts w:ascii="Arial" w:hAnsi="Arial" w:cs="Arial"/>
          <w:sz w:val="20"/>
          <w:szCs w:val="20"/>
        </w:rPr>
      </w:pPr>
      <w:r>
        <w:rPr>
          <w:rFonts w:ascii="Arial" w:hAnsi="Arial" w:cs="Arial"/>
          <w:sz w:val="20"/>
          <w:szCs w:val="20"/>
        </w:rPr>
        <w:t>Increase</w:t>
      </w:r>
      <w:r w:rsidR="00377242">
        <w:rPr>
          <w:rFonts w:ascii="Arial" w:hAnsi="Arial" w:cs="Arial"/>
          <w:sz w:val="20"/>
          <w:szCs w:val="20"/>
        </w:rPr>
        <w:t xml:space="preserve"> cross</w:t>
      </w:r>
      <w:r w:rsidR="00416CB3" w:rsidRPr="00416CB3">
        <w:rPr>
          <w:rFonts w:ascii="Arial" w:hAnsi="Arial" w:cs="Arial"/>
          <w:sz w:val="20"/>
          <w:szCs w:val="20"/>
        </w:rPr>
        <w:t>-sector</w:t>
      </w:r>
      <w:r w:rsidR="00377242">
        <w:rPr>
          <w:rFonts w:ascii="Arial" w:hAnsi="Arial" w:cs="Arial"/>
          <w:sz w:val="20"/>
          <w:szCs w:val="20"/>
        </w:rPr>
        <w:t>al</w:t>
      </w:r>
      <w:r w:rsidR="00416CB3" w:rsidRPr="00416CB3">
        <w:rPr>
          <w:rFonts w:ascii="Arial" w:hAnsi="Arial" w:cs="Arial"/>
          <w:sz w:val="20"/>
          <w:szCs w:val="20"/>
        </w:rPr>
        <w:t xml:space="preserve"> collaboration that maximises delivery of quality services and benefits for people, in particular women, chil</w:t>
      </w:r>
      <w:r w:rsidR="00E27F41">
        <w:rPr>
          <w:rFonts w:ascii="Arial" w:hAnsi="Arial" w:cs="Arial"/>
          <w:sz w:val="20"/>
          <w:szCs w:val="20"/>
        </w:rPr>
        <w:t>dren and people with disability</w:t>
      </w:r>
      <w:r w:rsidR="00EC1A49">
        <w:rPr>
          <w:rFonts w:ascii="Arial" w:hAnsi="Arial" w:cs="Arial"/>
          <w:sz w:val="20"/>
          <w:szCs w:val="20"/>
        </w:rPr>
        <w:t>.</w:t>
      </w:r>
    </w:p>
    <w:p w14:paraId="5C8CDEDC" w14:textId="675CA0D0" w:rsidR="00416CB3" w:rsidRPr="00416CB3" w:rsidRDefault="00F55C9D" w:rsidP="00B01D15">
      <w:pPr>
        <w:pStyle w:val="ListParagraph"/>
        <w:numPr>
          <w:ilvl w:val="0"/>
          <w:numId w:val="6"/>
        </w:numPr>
        <w:jc w:val="both"/>
        <w:rPr>
          <w:rFonts w:ascii="Arial" w:hAnsi="Arial" w:cs="Arial"/>
          <w:sz w:val="20"/>
          <w:szCs w:val="20"/>
        </w:rPr>
      </w:pPr>
      <w:r>
        <w:rPr>
          <w:rFonts w:ascii="Arial" w:hAnsi="Arial" w:cs="Arial"/>
          <w:sz w:val="20"/>
          <w:szCs w:val="20"/>
        </w:rPr>
        <w:t>Support and produce t</w:t>
      </w:r>
      <w:r w:rsidR="00416CB3" w:rsidRPr="00416CB3">
        <w:rPr>
          <w:rFonts w:ascii="Arial" w:hAnsi="Arial" w:cs="Arial"/>
          <w:sz w:val="20"/>
          <w:szCs w:val="20"/>
        </w:rPr>
        <w:t>ransparent and well-communicated research and evidence that provides PHD</w:t>
      </w:r>
      <w:r>
        <w:rPr>
          <w:rFonts w:ascii="Arial" w:hAnsi="Arial" w:cs="Arial"/>
          <w:sz w:val="20"/>
          <w:szCs w:val="20"/>
        </w:rPr>
        <w:t>,</w:t>
      </w:r>
      <w:r w:rsidR="00416CB3" w:rsidRPr="00416CB3">
        <w:rPr>
          <w:rFonts w:ascii="Arial" w:hAnsi="Arial" w:cs="Arial"/>
          <w:sz w:val="20"/>
          <w:szCs w:val="20"/>
        </w:rPr>
        <w:t xml:space="preserve"> </w:t>
      </w:r>
      <w:r>
        <w:rPr>
          <w:rFonts w:ascii="Arial" w:hAnsi="Arial" w:cs="Arial"/>
          <w:sz w:val="20"/>
          <w:szCs w:val="20"/>
        </w:rPr>
        <w:t>the Government of Timor-Leste</w:t>
      </w:r>
      <w:r w:rsidR="00416CB3" w:rsidRPr="00416CB3">
        <w:rPr>
          <w:rFonts w:ascii="Arial" w:hAnsi="Arial" w:cs="Arial"/>
          <w:sz w:val="20"/>
          <w:szCs w:val="20"/>
        </w:rPr>
        <w:t xml:space="preserve"> and others with sufficient</w:t>
      </w:r>
      <w:r>
        <w:rPr>
          <w:rFonts w:ascii="Arial" w:hAnsi="Arial" w:cs="Arial"/>
          <w:sz w:val="20"/>
          <w:szCs w:val="20"/>
        </w:rPr>
        <w:t xml:space="preserve"> and accurate</w:t>
      </w:r>
      <w:r w:rsidR="00416CB3" w:rsidRPr="00416CB3">
        <w:rPr>
          <w:rFonts w:ascii="Arial" w:hAnsi="Arial" w:cs="Arial"/>
          <w:sz w:val="20"/>
          <w:szCs w:val="20"/>
        </w:rPr>
        <w:t xml:space="preserve"> information</w:t>
      </w:r>
      <w:r>
        <w:rPr>
          <w:rFonts w:ascii="Arial" w:hAnsi="Arial" w:cs="Arial"/>
          <w:sz w:val="20"/>
          <w:szCs w:val="20"/>
        </w:rPr>
        <w:t xml:space="preserve"> and knowledge for continued </w:t>
      </w:r>
      <w:r w:rsidR="00416CB3" w:rsidRPr="00416CB3">
        <w:rPr>
          <w:rFonts w:ascii="Arial" w:hAnsi="Arial" w:cs="Arial"/>
          <w:sz w:val="20"/>
          <w:szCs w:val="20"/>
        </w:rPr>
        <w:t>effective implementation</w:t>
      </w:r>
      <w:r>
        <w:rPr>
          <w:rFonts w:ascii="Arial" w:hAnsi="Arial" w:cs="Arial"/>
          <w:sz w:val="20"/>
          <w:szCs w:val="20"/>
        </w:rPr>
        <w:t xml:space="preserve"> and innovation</w:t>
      </w:r>
      <w:r w:rsidR="00416CB3" w:rsidRPr="00416CB3">
        <w:rPr>
          <w:rFonts w:ascii="Arial" w:hAnsi="Arial" w:cs="Arial"/>
          <w:sz w:val="20"/>
          <w:szCs w:val="20"/>
        </w:rPr>
        <w:t>.</w:t>
      </w:r>
    </w:p>
    <w:p w14:paraId="390D228F" w14:textId="12BC6EDC" w:rsidR="00260336" w:rsidRDefault="00416CB3" w:rsidP="00E27F41">
      <w:r>
        <w:rPr>
          <w:lang w:val="en-US"/>
        </w:rPr>
        <w:t>Given the evolving</w:t>
      </w:r>
      <w:r w:rsidR="00F55C9D">
        <w:rPr>
          <w:lang w:val="en-US"/>
        </w:rPr>
        <w:t xml:space="preserve"> and emerging nature of PHD, this</w:t>
      </w:r>
      <w:r>
        <w:rPr>
          <w:lang w:val="en-US"/>
        </w:rPr>
        <w:t xml:space="preserve"> Strategic Framework will be reviewed on an annual basis.</w:t>
      </w:r>
    </w:p>
    <w:p w14:paraId="17E0B492" w14:textId="76BB64F6" w:rsidR="00257475" w:rsidRPr="00880571" w:rsidRDefault="00257475" w:rsidP="00E168BE">
      <w:pPr>
        <w:pStyle w:val="TOAHeading"/>
      </w:pPr>
      <w:r w:rsidRPr="004754EB">
        <w:lastRenderedPageBreak/>
        <w:t>Glossary</w:t>
      </w:r>
    </w:p>
    <w:tbl>
      <w:tblPr>
        <w:tblStyle w:val="TableGrid"/>
        <w:tblW w:w="0" w:type="auto"/>
        <w:tblBorders>
          <w:top w:val="single" w:sz="4" w:space="0" w:color="FF931E"/>
          <w:left w:val="none" w:sz="0" w:space="0" w:color="auto"/>
          <w:bottom w:val="single" w:sz="4" w:space="0" w:color="FF931E"/>
          <w:right w:val="none" w:sz="0" w:space="0" w:color="auto"/>
          <w:insideH w:val="single" w:sz="4" w:space="0" w:color="FF931E"/>
          <w:insideV w:val="none" w:sz="0" w:space="0" w:color="auto"/>
        </w:tblBorders>
        <w:tblLook w:val="04A0" w:firstRow="1" w:lastRow="0" w:firstColumn="1" w:lastColumn="0" w:noHBand="0" w:noVBand="1"/>
      </w:tblPr>
      <w:tblGrid>
        <w:gridCol w:w="1271"/>
        <w:gridCol w:w="7745"/>
      </w:tblGrid>
      <w:tr w:rsidR="00A17D71" w:rsidRPr="001B7B34" w14:paraId="21846055" w14:textId="77777777" w:rsidTr="00880571">
        <w:tc>
          <w:tcPr>
            <w:tcW w:w="1271" w:type="dxa"/>
            <w:shd w:val="clear" w:color="auto" w:fill="FFFFFF" w:themeFill="background1"/>
          </w:tcPr>
          <w:p w14:paraId="19D01E2D" w14:textId="77777777" w:rsidR="00A17D71" w:rsidRPr="000A30B0" w:rsidRDefault="00A17D71" w:rsidP="00880571">
            <w:pPr>
              <w:pStyle w:val="TableText"/>
            </w:pPr>
            <w:r>
              <w:t>ANCP</w:t>
            </w:r>
          </w:p>
        </w:tc>
        <w:tc>
          <w:tcPr>
            <w:tcW w:w="7745" w:type="dxa"/>
            <w:shd w:val="clear" w:color="auto" w:fill="FFFFFF" w:themeFill="background1"/>
          </w:tcPr>
          <w:p w14:paraId="60225E31" w14:textId="77777777" w:rsidR="00A17D71" w:rsidRPr="000A30B0" w:rsidRDefault="0025140B" w:rsidP="00880571">
            <w:pPr>
              <w:pStyle w:val="TableText"/>
            </w:pPr>
            <w:r>
              <w:t>Australian NGO Cooperation Program</w:t>
            </w:r>
          </w:p>
        </w:tc>
      </w:tr>
      <w:tr w:rsidR="00C507FD" w:rsidRPr="001B7B34" w14:paraId="0FA57B0D" w14:textId="77777777" w:rsidTr="00E27F41">
        <w:tc>
          <w:tcPr>
            <w:tcW w:w="1271" w:type="dxa"/>
            <w:shd w:val="clear" w:color="auto" w:fill="FFFFFF" w:themeFill="background1"/>
          </w:tcPr>
          <w:p w14:paraId="5C810AAC" w14:textId="2BD1E5AD" w:rsidR="00C507FD" w:rsidRDefault="00C507FD" w:rsidP="00E27F41">
            <w:pPr>
              <w:pStyle w:val="TableText"/>
            </w:pPr>
            <w:r>
              <w:t>CHC</w:t>
            </w:r>
          </w:p>
        </w:tc>
        <w:tc>
          <w:tcPr>
            <w:tcW w:w="7745" w:type="dxa"/>
            <w:shd w:val="clear" w:color="auto" w:fill="FFFFFF" w:themeFill="background1"/>
          </w:tcPr>
          <w:p w14:paraId="5D8342C6" w14:textId="3E0A48C1" w:rsidR="00C507FD" w:rsidRPr="000A30B0" w:rsidDel="00B42FFE" w:rsidRDefault="00C507FD" w:rsidP="00E27F41">
            <w:pPr>
              <w:pStyle w:val="TableText"/>
            </w:pPr>
            <w:r>
              <w:t>Community Health Centre</w:t>
            </w:r>
          </w:p>
        </w:tc>
      </w:tr>
      <w:tr w:rsidR="00DD53E0" w:rsidRPr="001B7B34" w14:paraId="19AC1806" w14:textId="77777777" w:rsidTr="00E27F41">
        <w:tc>
          <w:tcPr>
            <w:tcW w:w="1271" w:type="dxa"/>
            <w:shd w:val="clear" w:color="auto" w:fill="FFFFFF" w:themeFill="background1"/>
          </w:tcPr>
          <w:p w14:paraId="75693EF9" w14:textId="113ED03C" w:rsidR="00DD53E0" w:rsidRDefault="00DD53E0" w:rsidP="00E27F41">
            <w:pPr>
              <w:pStyle w:val="TableText"/>
            </w:pPr>
            <w:r>
              <w:t>CSO</w:t>
            </w:r>
          </w:p>
        </w:tc>
        <w:tc>
          <w:tcPr>
            <w:tcW w:w="7745" w:type="dxa"/>
            <w:shd w:val="clear" w:color="auto" w:fill="FFFFFF" w:themeFill="background1"/>
          </w:tcPr>
          <w:p w14:paraId="61A1DD1A" w14:textId="747C88D4" w:rsidR="00DD53E0" w:rsidRPr="000A30B0" w:rsidDel="00B42FFE" w:rsidRDefault="00DD53E0" w:rsidP="00E27F41">
            <w:pPr>
              <w:pStyle w:val="TableText"/>
            </w:pPr>
            <w:r>
              <w:t>Civil Society Organisation</w:t>
            </w:r>
          </w:p>
        </w:tc>
      </w:tr>
      <w:tr w:rsidR="005623BD" w:rsidRPr="001B7B34" w14:paraId="5FD78717" w14:textId="77777777" w:rsidTr="00880571">
        <w:tc>
          <w:tcPr>
            <w:tcW w:w="1271" w:type="dxa"/>
            <w:shd w:val="clear" w:color="auto" w:fill="FFFFFF" w:themeFill="background1"/>
          </w:tcPr>
          <w:p w14:paraId="070C3358" w14:textId="77777777" w:rsidR="005623BD" w:rsidRPr="000A30B0" w:rsidRDefault="005623BD" w:rsidP="00880571">
            <w:pPr>
              <w:pStyle w:val="TableText"/>
            </w:pPr>
            <w:r w:rsidRPr="000A30B0">
              <w:t>Embassy</w:t>
            </w:r>
          </w:p>
        </w:tc>
        <w:tc>
          <w:tcPr>
            <w:tcW w:w="7745" w:type="dxa"/>
            <w:shd w:val="clear" w:color="auto" w:fill="FFFFFF" w:themeFill="background1"/>
          </w:tcPr>
          <w:p w14:paraId="7A1A590F" w14:textId="5FEA41B5" w:rsidR="005623BD" w:rsidRPr="000A30B0" w:rsidRDefault="005623BD" w:rsidP="00880571">
            <w:pPr>
              <w:pStyle w:val="TableText"/>
            </w:pPr>
            <w:r w:rsidRPr="000A30B0">
              <w:t xml:space="preserve">Australian Embassy </w:t>
            </w:r>
            <w:r w:rsidR="00FA695F" w:rsidRPr="000A30B0">
              <w:t>(</w:t>
            </w:r>
            <w:r w:rsidRPr="000A30B0">
              <w:t>Timor-Leste</w:t>
            </w:r>
            <w:r w:rsidR="00FA695F" w:rsidRPr="000A30B0">
              <w:t>)</w:t>
            </w:r>
          </w:p>
        </w:tc>
      </w:tr>
      <w:tr w:rsidR="00257475" w:rsidRPr="001B7B34" w14:paraId="78D2674B" w14:textId="77777777" w:rsidTr="00880571">
        <w:tc>
          <w:tcPr>
            <w:tcW w:w="1271" w:type="dxa"/>
            <w:shd w:val="clear" w:color="auto" w:fill="FFFFFF" w:themeFill="background1"/>
          </w:tcPr>
          <w:p w14:paraId="036436BC" w14:textId="77777777" w:rsidR="00257475" w:rsidRPr="000A30B0" w:rsidRDefault="00257475" w:rsidP="00880571">
            <w:pPr>
              <w:pStyle w:val="TableText"/>
            </w:pPr>
            <w:r w:rsidRPr="000A30B0">
              <w:t>EOPO</w:t>
            </w:r>
          </w:p>
        </w:tc>
        <w:tc>
          <w:tcPr>
            <w:tcW w:w="7745" w:type="dxa"/>
            <w:shd w:val="clear" w:color="auto" w:fill="FFFFFF" w:themeFill="background1"/>
          </w:tcPr>
          <w:p w14:paraId="36947828" w14:textId="77777777" w:rsidR="00257475" w:rsidRPr="000A30B0" w:rsidRDefault="00257475" w:rsidP="00880571">
            <w:pPr>
              <w:pStyle w:val="TableText"/>
            </w:pPr>
            <w:r w:rsidRPr="000A30B0">
              <w:t>End Of Program Outcomes</w:t>
            </w:r>
          </w:p>
        </w:tc>
      </w:tr>
      <w:tr w:rsidR="00257475" w:rsidRPr="001B7B34" w14:paraId="18514519" w14:textId="77777777" w:rsidTr="00880571">
        <w:tc>
          <w:tcPr>
            <w:tcW w:w="1271" w:type="dxa"/>
            <w:shd w:val="clear" w:color="auto" w:fill="FFFFFF" w:themeFill="background1"/>
          </w:tcPr>
          <w:p w14:paraId="0CE82A81" w14:textId="77777777" w:rsidR="00257475" w:rsidRPr="000A30B0" w:rsidRDefault="00257475" w:rsidP="00880571">
            <w:pPr>
              <w:pStyle w:val="TableText"/>
            </w:pPr>
            <w:r w:rsidRPr="000A30B0">
              <w:t>DFAT</w:t>
            </w:r>
          </w:p>
        </w:tc>
        <w:tc>
          <w:tcPr>
            <w:tcW w:w="7745" w:type="dxa"/>
            <w:shd w:val="clear" w:color="auto" w:fill="FFFFFF" w:themeFill="background1"/>
          </w:tcPr>
          <w:p w14:paraId="41B3585A" w14:textId="61F5AC69" w:rsidR="00257475" w:rsidRPr="000A30B0" w:rsidRDefault="00E27F41" w:rsidP="00880571">
            <w:pPr>
              <w:pStyle w:val="TableText"/>
            </w:pPr>
            <w:r>
              <w:t xml:space="preserve">Australian </w:t>
            </w:r>
            <w:r w:rsidR="00257475" w:rsidRPr="000A30B0">
              <w:t>Department of Foreign Affairs and Trade</w:t>
            </w:r>
          </w:p>
        </w:tc>
      </w:tr>
      <w:tr w:rsidR="00EB2F1D" w:rsidRPr="001B7B34" w14:paraId="56E52353" w14:textId="77777777" w:rsidTr="00880571">
        <w:tc>
          <w:tcPr>
            <w:tcW w:w="1271" w:type="dxa"/>
            <w:shd w:val="clear" w:color="auto" w:fill="FFFFFF" w:themeFill="background1"/>
          </w:tcPr>
          <w:p w14:paraId="5BC49697" w14:textId="77777777" w:rsidR="00EB2F1D" w:rsidRPr="000A30B0" w:rsidRDefault="00EB2F1D" w:rsidP="00880571">
            <w:pPr>
              <w:pStyle w:val="TableText"/>
            </w:pPr>
            <w:r>
              <w:t>DNSA</w:t>
            </w:r>
          </w:p>
        </w:tc>
        <w:tc>
          <w:tcPr>
            <w:tcW w:w="7745" w:type="dxa"/>
            <w:shd w:val="clear" w:color="auto" w:fill="FFFFFF" w:themeFill="background1"/>
          </w:tcPr>
          <w:p w14:paraId="1FD203B6" w14:textId="542E6FBA" w:rsidR="00EB2F1D" w:rsidRPr="00EB2F1D" w:rsidRDefault="00967FC2" w:rsidP="00880571">
            <w:pPr>
              <w:pStyle w:val="TableText"/>
            </w:pPr>
            <w:r w:rsidRPr="00967FC2">
              <w:t>National Directorate for Water Supply</w:t>
            </w:r>
          </w:p>
        </w:tc>
      </w:tr>
      <w:tr w:rsidR="00B80A1B" w:rsidRPr="001B7B34" w14:paraId="22FF5DC0" w14:textId="77777777" w:rsidTr="00880571">
        <w:tc>
          <w:tcPr>
            <w:tcW w:w="1271" w:type="dxa"/>
            <w:shd w:val="clear" w:color="auto" w:fill="FFFFFF" w:themeFill="background1"/>
          </w:tcPr>
          <w:p w14:paraId="1C2850A7" w14:textId="77777777" w:rsidR="00B80A1B" w:rsidRPr="000A30B0" w:rsidRDefault="00B80A1B" w:rsidP="00880571">
            <w:pPr>
              <w:pStyle w:val="TableText"/>
            </w:pPr>
            <w:r w:rsidRPr="000A30B0">
              <w:t>GfD</w:t>
            </w:r>
          </w:p>
        </w:tc>
        <w:tc>
          <w:tcPr>
            <w:tcW w:w="7745" w:type="dxa"/>
            <w:shd w:val="clear" w:color="auto" w:fill="FFFFFF" w:themeFill="background1"/>
          </w:tcPr>
          <w:p w14:paraId="51AADD79" w14:textId="190ADFDA" w:rsidR="00B80A1B" w:rsidRPr="00BA2829" w:rsidRDefault="00B80A1B" w:rsidP="00880571">
            <w:pPr>
              <w:pStyle w:val="TableText"/>
            </w:pPr>
            <w:r w:rsidRPr="00BA2829">
              <w:t xml:space="preserve">Governance </w:t>
            </w:r>
            <w:r w:rsidR="00DD53E0">
              <w:t>for Development [Program]</w:t>
            </w:r>
          </w:p>
        </w:tc>
      </w:tr>
      <w:tr w:rsidR="00B15F44" w:rsidRPr="001B7B34" w14:paraId="65AE52AA" w14:textId="77777777" w:rsidTr="00880571">
        <w:tc>
          <w:tcPr>
            <w:tcW w:w="1271" w:type="dxa"/>
            <w:shd w:val="clear" w:color="auto" w:fill="FFFFFF" w:themeFill="background1"/>
          </w:tcPr>
          <w:p w14:paraId="3638F1B8" w14:textId="77777777" w:rsidR="00B15F44" w:rsidRPr="00B15F44" w:rsidRDefault="00B15F44" w:rsidP="00880571">
            <w:pPr>
              <w:pStyle w:val="TableText"/>
            </w:pPr>
            <w:r>
              <w:t>GMF</w:t>
            </w:r>
          </w:p>
        </w:tc>
        <w:tc>
          <w:tcPr>
            <w:tcW w:w="7745" w:type="dxa"/>
            <w:shd w:val="clear" w:color="auto" w:fill="FFFFFF" w:themeFill="background1"/>
          </w:tcPr>
          <w:p w14:paraId="419E018D" w14:textId="61FC80D0" w:rsidR="00B15F44" w:rsidRPr="00B15F44" w:rsidRDefault="00B15F44" w:rsidP="00880571">
            <w:pPr>
              <w:pStyle w:val="TableText"/>
            </w:pPr>
            <w:r>
              <w:t>Groupu Manage Facilidade</w:t>
            </w:r>
            <w:r w:rsidR="009D33C0">
              <w:t xml:space="preserve"> | Water Management Group</w:t>
            </w:r>
          </w:p>
        </w:tc>
      </w:tr>
      <w:tr w:rsidR="00DD53E0" w:rsidRPr="001B7B34" w14:paraId="76B97542" w14:textId="77777777" w:rsidTr="00E27F41">
        <w:tc>
          <w:tcPr>
            <w:tcW w:w="1271" w:type="dxa"/>
            <w:shd w:val="clear" w:color="auto" w:fill="FFFFFF" w:themeFill="background1"/>
          </w:tcPr>
          <w:p w14:paraId="010A1041" w14:textId="43D45299" w:rsidR="00DD53E0" w:rsidRDefault="00DD53E0" w:rsidP="00E27F41">
            <w:pPr>
              <w:pStyle w:val="TableText"/>
            </w:pPr>
            <w:r>
              <w:t>INGO</w:t>
            </w:r>
          </w:p>
        </w:tc>
        <w:tc>
          <w:tcPr>
            <w:tcW w:w="7745" w:type="dxa"/>
            <w:shd w:val="clear" w:color="auto" w:fill="FFFFFF" w:themeFill="background1"/>
          </w:tcPr>
          <w:p w14:paraId="7A1E47E7" w14:textId="43718788" w:rsidR="00DD53E0" w:rsidRPr="000A30B0" w:rsidDel="00B42FFE" w:rsidRDefault="00DD53E0" w:rsidP="00E27F41">
            <w:pPr>
              <w:pStyle w:val="TableText"/>
            </w:pPr>
            <w:r>
              <w:t>International Non-Government Organisation</w:t>
            </w:r>
          </w:p>
        </w:tc>
      </w:tr>
      <w:tr w:rsidR="005623BD" w:rsidRPr="001B7B34" w14:paraId="18E261C6" w14:textId="77777777" w:rsidTr="00880571">
        <w:tc>
          <w:tcPr>
            <w:tcW w:w="1271" w:type="dxa"/>
            <w:shd w:val="clear" w:color="auto" w:fill="FFFFFF" w:themeFill="background1"/>
          </w:tcPr>
          <w:p w14:paraId="6C2A23E3" w14:textId="77777777" w:rsidR="005623BD" w:rsidRPr="000A30B0" w:rsidRDefault="005623BD" w:rsidP="00880571">
            <w:pPr>
              <w:pStyle w:val="TableText"/>
            </w:pPr>
            <w:r w:rsidRPr="000A30B0">
              <w:t>M&amp;E</w:t>
            </w:r>
          </w:p>
        </w:tc>
        <w:tc>
          <w:tcPr>
            <w:tcW w:w="7745" w:type="dxa"/>
            <w:shd w:val="clear" w:color="auto" w:fill="FFFFFF" w:themeFill="background1"/>
          </w:tcPr>
          <w:p w14:paraId="27AFA890" w14:textId="77777777" w:rsidR="005623BD" w:rsidRPr="000A30B0" w:rsidRDefault="005623BD" w:rsidP="00880571">
            <w:pPr>
              <w:pStyle w:val="TableText"/>
            </w:pPr>
            <w:r w:rsidRPr="000A30B0">
              <w:t>Monitoring and Evaluation</w:t>
            </w:r>
          </w:p>
        </w:tc>
      </w:tr>
      <w:tr w:rsidR="00C507FD" w:rsidRPr="001B7B34" w14:paraId="4C58099F" w14:textId="77777777" w:rsidTr="00E27F41">
        <w:tc>
          <w:tcPr>
            <w:tcW w:w="1271" w:type="dxa"/>
            <w:shd w:val="clear" w:color="auto" w:fill="FFFFFF" w:themeFill="background1"/>
          </w:tcPr>
          <w:p w14:paraId="2018E9F7" w14:textId="2BF5D0FD" w:rsidR="00C507FD" w:rsidRPr="000A30B0" w:rsidRDefault="00C507FD" w:rsidP="00E27F41">
            <w:pPr>
              <w:pStyle w:val="TableText"/>
            </w:pPr>
            <w:r>
              <w:t>M</w:t>
            </w:r>
            <w:r w:rsidRPr="000A30B0">
              <w:t>E</w:t>
            </w:r>
            <w:r>
              <w:t>LF</w:t>
            </w:r>
          </w:p>
        </w:tc>
        <w:tc>
          <w:tcPr>
            <w:tcW w:w="7745" w:type="dxa"/>
            <w:shd w:val="clear" w:color="auto" w:fill="FFFFFF" w:themeFill="background1"/>
          </w:tcPr>
          <w:p w14:paraId="76D45F46" w14:textId="2F5192A0" w:rsidR="00C507FD" w:rsidRPr="000A30B0" w:rsidRDefault="00C507FD" w:rsidP="00E27F41">
            <w:pPr>
              <w:pStyle w:val="TableText"/>
            </w:pPr>
            <w:r>
              <w:t>Monitoring,</w:t>
            </w:r>
            <w:r w:rsidRPr="000A30B0">
              <w:t xml:space="preserve"> Evaluation</w:t>
            </w:r>
            <w:r>
              <w:t xml:space="preserve"> and Learning Framework</w:t>
            </w:r>
          </w:p>
        </w:tc>
      </w:tr>
      <w:tr w:rsidR="00257475" w:rsidRPr="001B7B34" w14:paraId="73F7CB35" w14:textId="77777777" w:rsidTr="00880571">
        <w:tc>
          <w:tcPr>
            <w:tcW w:w="1271" w:type="dxa"/>
            <w:shd w:val="clear" w:color="auto" w:fill="FFFFFF" w:themeFill="background1"/>
          </w:tcPr>
          <w:p w14:paraId="3FCDAB04" w14:textId="77777777" w:rsidR="00257475" w:rsidRPr="000A30B0" w:rsidRDefault="00257475" w:rsidP="00880571">
            <w:pPr>
              <w:pStyle w:val="TableText"/>
            </w:pPr>
            <w:r w:rsidRPr="000A30B0">
              <w:t>MoE</w:t>
            </w:r>
          </w:p>
        </w:tc>
        <w:tc>
          <w:tcPr>
            <w:tcW w:w="7745" w:type="dxa"/>
            <w:shd w:val="clear" w:color="auto" w:fill="FFFFFF" w:themeFill="background1"/>
          </w:tcPr>
          <w:p w14:paraId="50269A3C" w14:textId="77777777" w:rsidR="00257475" w:rsidRPr="000A30B0" w:rsidRDefault="00257475" w:rsidP="00880571">
            <w:pPr>
              <w:pStyle w:val="TableText"/>
            </w:pPr>
            <w:r w:rsidRPr="000A30B0">
              <w:t>Ministry of Education</w:t>
            </w:r>
          </w:p>
        </w:tc>
      </w:tr>
      <w:tr w:rsidR="00257475" w:rsidRPr="001B7B34" w14:paraId="4A29F7EA" w14:textId="77777777" w:rsidTr="00880571">
        <w:tc>
          <w:tcPr>
            <w:tcW w:w="1271" w:type="dxa"/>
            <w:shd w:val="clear" w:color="auto" w:fill="FFFFFF" w:themeFill="background1"/>
          </w:tcPr>
          <w:p w14:paraId="043BA12D" w14:textId="77777777" w:rsidR="00257475" w:rsidRPr="000A30B0" w:rsidRDefault="00257475" w:rsidP="00880571">
            <w:pPr>
              <w:pStyle w:val="TableText"/>
            </w:pPr>
            <w:r w:rsidRPr="000A30B0">
              <w:t>MoH</w:t>
            </w:r>
          </w:p>
        </w:tc>
        <w:tc>
          <w:tcPr>
            <w:tcW w:w="7745" w:type="dxa"/>
            <w:shd w:val="clear" w:color="auto" w:fill="FFFFFF" w:themeFill="background1"/>
          </w:tcPr>
          <w:p w14:paraId="7EA2E4A1" w14:textId="77777777" w:rsidR="00257475" w:rsidRPr="000A30B0" w:rsidRDefault="00257475" w:rsidP="00880571">
            <w:pPr>
              <w:pStyle w:val="TableText"/>
            </w:pPr>
            <w:r w:rsidRPr="000A30B0">
              <w:t>Ministry of Health</w:t>
            </w:r>
          </w:p>
        </w:tc>
      </w:tr>
      <w:tr w:rsidR="0025140B" w:rsidRPr="001B7B34" w14:paraId="69F989FC" w14:textId="77777777" w:rsidTr="00880571">
        <w:tc>
          <w:tcPr>
            <w:tcW w:w="1271" w:type="dxa"/>
            <w:shd w:val="clear" w:color="auto" w:fill="FFFFFF" w:themeFill="background1"/>
          </w:tcPr>
          <w:p w14:paraId="3845177A" w14:textId="77777777" w:rsidR="0025140B" w:rsidRPr="000A30B0" w:rsidRDefault="0025140B" w:rsidP="00880571">
            <w:pPr>
              <w:pStyle w:val="TableText"/>
            </w:pPr>
            <w:r>
              <w:t>MSS</w:t>
            </w:r>
          </w:p>
        </w:tc>
        <w:tc>
          <w:tcPr>
            <w:tcW w:w="7745" w:type="dxa"/>
            <w:shd w:val="clear" w:color="auto" w:fill="FFFFFF" w:themeFill="background1"/>
          </w:tcPr>
          <w:p w14:paraId="4DA26495" w14:textId="5F6CF180" w:rsidR="0025140B" w:rsidRPr="0025140B" w:rsidRDefault="009D33C0" w:rsidP="00880571">
            <w:pPr>
              <w:pStyle w:val="TableText"/>
            </w:pPr>
            <w:r>
              <w:t>Ministry of Social</w:t>
            </w:r>
            <w:r w:rsidR="0025140B" w:rsidRPr="00BA2829">
              <w:t xml:space="preserve"> Solidarity</w:t>
            </w:r>
          </w:p>
        </w:tc>
      </w:tr>
      <w:tr w:rsidR="00A17D71" w:rsidRPr="001B7B34" w14:paraId="63E63060" w14:textId="77777777" w:rsidTr="00880571">
        <w:tc>
          <w:tcPr>
            <w:tcW w:w="1271" w:type="dxa"/>
            <w:shd w:val="clear" w:color="auto" w:fill="FFFFFF" w:themeFill="background1"/>
          </w:tcPr>
          <w:p w14:paraId="7A9D794D" w14:textId="77777777" w:rsidR="00A17D71" w:rsidRDefault="00A17D71" w:rsidP="00880571">
            <w:pPr>
              <w:pStyle w:val="TableText"/>
            </w:pPr>
            <w:r>
              <w:t>NGO</w:t>
            </w:r>
          </w:p>
        </w:tc>
        <w:tc>
          <w:tcPr>
            <w:tcW w:w="7745" w:type="dxa"/>
            <w:shd w:val="clear" w:color="auto" w:fill="FFFFFF" w:themeFill="background1"/>
          </w:tcPr>
          <w:p w14:paraId="06436E2C" w14:textId="77777777" w:rsidR="00A17D71" w:rsidRPr="000A30B0" w:rsidDel="00B42FFE" w:rsidRDefault="00A17D71" w:rsidP="00880571">
            <w:pPr>
              <w:pStyle w:val="TableText"/>
            </w:pPr>
            <w:r>
              <w:t>Non-Government Organisation</w:t>
            </w:r>
          </w:p>
        </w:tc>
      </w:tr>
      <w:tr w:rsidR="00257475" w:rsidRPr="001B7B34" w14:paraId="6B3A3EE6" w14:textId="77777777" w:rsidTr="00880571">
        <w:tc>
          <w:tcPr>
            <w:tcW w:w="1271" w:type="dxa"/>
            <w:shd w:val="clear" w:color="auto" w:fill="FFFFFF" w:themeFill="background1"/>
          </w:tcPr>
          <w:p w14:paraId="6110F39E" w14:textId="77777777" w:rsidR="00257475" w:rsidRPr="000A30B0" w:rsidRDefault="00257475" w:rsidP="00880571">
            <w:pPr>
              <w:pStyle w:val="TableText"/>
            </w:pPr>
            <w:r w:rsidRPr="000A30B0">
              <w:t>PHD</w:t>
            </w:r>
          </w:p>
        </w:tc>
        <w:tc>
          <w:tcPr>
            <w:tcW w:w="7745" w:type="dxa"/>
            <w:shd w:val="clear" w:color="auto" w:fill="FFFFFF" w:themeFill="background1"/>
          </w:tcPr>
          <w:p w14:paraId="625ED5BB" w14:textId="71799230" w:rsidR="00257475" w:rsidRPr="000A30B0" w:rsidRDefault="009D33C0" w:rsidP="00880571">
            <w:pPr>
              <w:pStyle w:val="TableText"/>
            </w:pPr>
            <w:r>
              <w:t xml:space="preserve">Australia Timor-Leste </w:t>
            </w:r>
            <w:r w:rsidR="00257475" w:rsidRPr="000A30B0">
              <w:t>Partnership for Human Development</w:t>
            </w:r>
          </w:p>
        </w:tc>
      </w:tr>
      <w:tr w:rsidR="00C510B8" w:rsidRPr="001B7B34" w14:paraId="49AC3A45" w14:textId="77777777" w:rsidTr="00880571">
        <w:tc>
          <w:tcPr>
            <w:tcW w:w="1271" w:type="dxa"/>
            <w:shd w:val="clear" w:color="auto" w:fill="FFFFFF" w:themeFill="background1"/>
          </w:tcPr>
          <w:p w14:paraId="348BE0D6" w14:textId="77777777" w:rsidR="00C510B8" w:rsidRPr="00BA2829" w:rsidRDefault="00C510B8" w:rsidP="00880571">
            <w:pPr>
              <w:pStyle w:val="TableText"/>
            </w:pPr>
            <w:r w:rsidRPr="00BA2829">
              <w:t>PFM</w:t>
            </w:r>
          </w:p>
        </w:tc>
        <w:tc>
          <w:tcPr>
            <w:tcW w:w="7745" w:type="dxa"/>
            <w:shd w:val="clear" w:color="auto" w:fill="FFFFFF" w:themeFill="background1"/>
          </w:tcPr>
          <w:p w14:paraId="753D3F24" w14:textId="77777777" w:rsidR="00C510B8" w:rsidRPr="00BA2829" w:rsidRDefault="00C510B8" w:rsidP="00880571">
            <w:pPr>
              <w:pStyle w:val="TableText"/>
            </w:pPr>
            <w:r w:rsidRPr="00BA2829">
              <w:t>Public Financial Management</w:t>
            </w:r>
          </w:p>
        </w:tc>
      </w:tr>
      <w:tr w:rsidR="005E42C4" w:rsidRPr="001B7B34" w14:paraId="264C9BBF" w14:textId="77777777" w:rsidTr="00880571">
        <w:tc>
          <w:tcPr>
            <w:tcW w:w="1271" w:type="dxa"/>
            <w:shd w:val="clear" w:color="auto" w:fill="FFFFFF" w:themeFill="background1"/>
          </w:tcPr>
          <w:p w14:paraId="734C5DCE" w14:textId="77777777" w:rsidR="005E42C4" w:rsidRPr="000A30B0" w:rsidRDefault="005E42C4" w:rsidP="00880571">
            <w:pPr>
              <w:pStyle w:val="TableText"/>
            </w:pPr>
            <w:r w:rsidRPr="000A30B0">
              <w:t>PNDS</w:t>
            </w:r>
          </w:p>
        </w:tc>
        <w:tc>
          <w:tcPr>
            <w:tcW w:w="7745" w:type="dxa"/>
            <w:shd w:val="clear" w:color="auto" w:fill="FFFFFF" w:themeFill="background1"/>
          </w:tcPr>
          <w:p w14:paraId="53B796CE" w14:textId="77777777" w:rsidR="00B80A1B" w:rsidRPr="00BA2829" w:rsidRDefault="00B80A1B" w:rsidP="00880571">
            <w:pPr>
              <w:pStyle w:val="TableText"/>
            </w:pPr>
            <w:r w:rsidRPr="00BA2829">
              <w:t>Programa Nasional Dezenvolvimentu Suku or National Program for</w:t>
            </w:r>
          </w:p>
          <w:p w14:paraId="45213720" w14:textId="4CD58072" w:rsidR="005E42C4" w:rsidRPr="000A30B0" w:rsidRDefault="00C507FD" w:rsidP="00880571">
            <w:pPr>
              <w:pStyle w:val="TableText"/>
            </w:pPr>
            <w:r>
              <w:t>Village Development [Program]</w:t>
            </w:r>
          </w:p>
        </w:tc>
      </w:tr>
      <w:tr w:rsidR="00C507FD" w:rsidRPr="001B7B34" w14:paraId="55032A73" w14:textId="77777777" w:rsidTr="00E27F41">
        <w:tc>
          <w:tcPr>
            <w:tcW w:w="1271" w:type="dxa"/>
            <w:shd w:val="clear" w:color="auto" w:fill="FFFFFF" w:themeFill="background1"/>
          </w:tcPr>
          <w:p w14:paraId="70BA6AA7" w14:textId="5715C0EC" w:rsidR="00C507FD" w:rsidRPr="000A30B0" w:rsidRDefault="00C507FD" w:rsidP="00E27F41">
            <w:pPr>
              <w:pStyle w:val="TableText"/>
            </w:pPr>
            <w:r>
              <w:t>SEM</w:t>
            </w:r>
          </w:p>
        </w:tc>
        <w:tc>
          <w:tcPr>
            <w:tcW w:w="7745" w:type="dxa"/>
            <w:shd w:val="clear" w:color="auto" w:fill="FFFFFF" w:themeFill="background1"/>
          </w:tcPr>
          <w:p w14:paraId="3A9A8593" w14:textId="6E802DC4" w:rsidR="00C507FD" w:rsidRPr="000A30B0" w:rsidRDefault="00CA2E0F" w:rsidP="00E27F41">
            <w:pPr>
              <w:pStyle w:val="TableText"/>
            </w:pPr>
            <w:r>
              <w:t>The Secretary of State for the Support and Socio-economic Promotion for Women</w:t>
            </w:r>
          </w:p>
        </w:tc>
      </w:tr>
      <w:tr w:rsidR="00C507FD" w:rsidRPr="001B7B34" w14:paraId="25765BAA" w14:textId="77777777" w:rsidTr="00E27F41">
        <w:tc>
          <w:tcPr>
            <w:tcW w:w="1271" w:type="dxa"/>
            <w:shd w:val="clear" w:color="auto" w:fill="FFFFFF" w:themeFill="background1"/>
          </w:tcPr>
          <w:p w14:paraId="64F705DB" w14:textId="3AE47A9D" w:rsidR="00C507FD" w:rsidRPr="000A30B0" w:rsidRDefault="00CA2E0F" w:rsidP="00E27F41">
            <w:pPr>
              <w:pStyle w:val="TableText"/>
            </w:pPr>
            <w:r>
              <w:t>SISCa</w:t>
            </w:r>
          </w:p>
        </w:tc>
        <w:tc>
          <w:tcPr>
            <w:tcW w:w="7745" w:type="dxa"/>
            <w:shd w:val="clear" w:color="auto" w:fill="FFFFFF" w:themeFill="background1"/>
          </w:tcPr>
          <w:p w14:paraId="73A89559" w14:textId="647F9F66" w:rsidR="00C507FD" w:rsidRPr="000A30B0" w:rsidRDefault="00DA595E" w:rsidP="00DA595E">
            <w:pPr>
              <w:pStyle w:val="TableText"/>
            </w:pPr>
            <w:r>
              <w:t xml:space="preserve">Integrated </w:t>
            </w:r>
            <w:r w:rsidR="009D33C0">
              <w:t>Community Health Services</w:t>
            </w:r>
          </w:p>
        </w:tc>
      </w:tr>
      <w:tr w:rsidR="00C507FD" w:rsidRPr="001B7B34" w14:paraId="6CCB30AB" w14:textId="77777777" w:rsidTr="00E27F41">
        <w:tc>
          <w:tcPr>
            <w:tcW w:w="1271" w:type="dxa"/>
            <w:shd w:val="clear" w:color="auto" w:fill="FFFFFF" w:themeFill="background1"/>
          </w:tcPr>
          <w:p w14:paraId="2D2F0FBA" w14:textId="77777777" w:rsidR="00C507FD" w:rsidRPr="000A30B0" w:rsidRDefault="00C507FD" w:rsidP="00E27F41">
            <w:pPr>
              <w:pStyle w:val="TableText"/>
            </w:pPr>
            <w:r w:rsidRPr="000A30B0">
              <w:t>TOMAK</w:t>
            </w:r>
          </w:p>
        </w:tc>
        <w:tc>
          <w:tcPr>
            <w:tcW w:w="7745" w:type="dxa"/>
            <w:shd w:val="clear" w:color="auto" w:fill="FFFFFF" w:themeFill="background1"/>
          </w:tcPr>
          <w:p w14:paraId="017B2871" w14:textId="3FDE9E89" w:rsidR="00C507FD" w:rsidRPr="000A30B0" w:rsidRDefault="00C507FD" w:rsidP="00C507FD">
            <w:pPr>
              <w:pStyle w:val="TableText"/>
            </w:pPr>
            <w:r w:rsidRPr="00BA2829">
              <w:t xml:space="preserve">To'os Ba Moris </w:t>
            </w:r>
            <w:r>
              <w:t>Di'ak / Farming for Prosperity [Program]</w:t>
            </w:r>
          </w:p>
        </w:tc>
      </w:tr>
      <w:tr w:rsidR="003A08CE" w:rsidRPr="001B7B34" w14:paraId="679565D3" w14:textId="77777777" w:rsidTr="00880571">
        <w:tc>
          <w:tcPr>
            <w:tcW w:w="1271" w:type="dxa"/>
            <w:shd w:val="clear" w:color="auto" w:fill="FFFFFF" w:themeFill="background1"/>
          </w:tcPr>
          <w:p w14:paraId="41FDE114" w14:textId="70059271" w:rsidR="003A08CE" w:rsidRPr="000A30B0" w:rsidRDefault="00C507FD" w:rsidP="00880571">
            <w:pPr>
              <w:pStyle w:val="TableText"/>
            </w:pPr>
            <w:r>
              <w:t>USD</w:t>
            </w:r>
          </w:p>
        </w:tc>
        <w:tc>
          <w:tcPr>
            <w:tcW w:w="7745" w:type="dxa"/>
            <w:shd w:val="clear" w:color="auto" w:fill="FFFFFF" w:themeFill="background1"/>
          </w:tcPr>
          <w:p w14:paraId="43B0901C" w14:textId="2419258B" w:rsidR="003A08CE" w:rsidRPr="000A30B0" w:rsidRDefault="00C507FD" w:rsidP="00880571">
            <w:pPr>
              <w:pStyle w:val="TableText"/>
            </w:pPr>
            <w:r>
              <w:t>United States Dollar</w:t>
            </w:r>
          </w:p>
        </w:tc>
      </w:tr>
    </w:tbl>
    <w:p w14:paraId="69C4856F" w14:textId="77777777" w:rsidR="00880571" w:rsidRDefault="00880571" w:rsidP="00880571"/>
    <w:p w14:paraId="6101E8A9" w14:textId="77777777" w:rsidR="00410BBB" w:rsidRDefault="00410BBB">
      <w:pPr>
        <w:spacing w:before="0" w:after="160" w:line="259" w:lineRule="auto"/>
        <w:jc w:val="left"/>
        <w:rPr>
          <w:rFonts w:eastAsiaTheme="majorEastAsia"/>
          <w:b/>
          <w:color w:val="FF931E"/>
          <w:sz w:val="36"/>
          <w:szCs w:val="30"/>
        </w:rPr>
      </w:pPr>
      <w:r>
        <w:br w:type="page"/>
      </w:r>
    </w:p>
    <w:p w14:paraId="1A69488F" w14:textId="24DA2D20" w:rsidR="00410BBB" w:rsidRDefault="00410BBB" w:rsidP="00E168BE">
      <w:pPr>
        <w:pStyle w:val="TOAHeading"/>
      </w:pPr>
      <w:r>
        <w:lastRenderedPageBreak/>
        <w:t>Contents</w:t>
      </w:r>
    </w:p>
    <w:p w14:paraId="00BE6FF8" w14:textId="77777777" w:rsidR="00410BBB" w:rsidRDefault="00410BBB" w:rsidP="00880571"/>
    <w:p w14:paraId="25024CA1" w14:textId="77777777" w:rsidR="009D379A" w:rsidRDefault="00410BBB">
      <w:pPr>
        <w:pStyle w:val="TOC1"/>
        <w:rPr>
          <w:rFonts w:asciiTheme="minorHAnsi" w:hAnsiTheme="minorHAnsi" w:cstheme="minorBidi"/>
          <w:b w:val="0"/>
          <w:sz w:val="22"/>
          <w:lang w:eastAsia="en-AU"/>
        </w:rPr>
      </w:pPr>
      <w:r>
        <w:fldChar w:fldCharType="begin"/>
      </w:r>
      <w:r>
        <w:instrText xml:space="preserve"> TOC \o "2-3" \h \z \t "Heading 1,1" </w:instrText>
      </w:r>
      <w:r>
        <w:fldChar w:fldCharType="separate"/>
      </w:r>
      <w:hyperlink w:anchor="_Toc487186311" w:history="1">
        <w:r w:rsidR="009D379A" w:rsidRPr="00B00175">
          <w:rPr>
            <w:rStyle w:val="Hyperlink"/>
          </w:rPr>
          <w:t>1.</w:t>
        </w:r>
        <w:r w:rsidR="009D379A">
          <w:rPr>
            <w:rFonts w:asciiTheme="minorHAnsi" w:hAnsiTheme="minorHAnsi" w:cstheme="minorBidi"/>
            <w:b w:val="0"/>
            <w:sz w:val="22"/>
            <w:lang w:eastAsia="en-AU"/>
          </w:rPr>
          <w:tab/>
        </w:r>
        <w:r w:rsidR="009D379A" w:rsidRPr="00B00175">
          <w:rPr>
            <w:rStyle w:val="Hyperlink"/>
          </w:rPr>
          <w:t>Introduction</w:t>
        </w:r>
        <w:r w:rsidR="009D379A">
          <w:rPr>
            <w:webHidden/>
          </w:rPr>
          <w:tab/>
        </w:r>
        <w:r w:rsidR="009D379A">
          <w:rPr>
            <w:webHidden/>
          </w:rPr>
          <w:fldChar w:fldCharType="begin"/>
        </w:r>
        <w:r w:rsidR="009D379A">
          <w:rPr>
            <w:webHidden/>
          </w:rPr>
          <w:instrText xml:space="preserve"> PAGEREF _Toc487186311 \h </w:instrText>
        </w:r>
        <w:r w:rsidR="009D379A">
          <w:rPr>
            <w:webHidden/>
          </w:rPr>
        </w:r>
        <w:r w:rsidR="009D379A">
          <w:rPr>
            <w:webHidden/>
          </w:rPr>
          <w:fldChar w:fldCharType="separate"/>
        </w:r>
        <w:r w:rsidR="00B84559">
          <w:rPr>
            <w:webHidden/>
          </w:rPr>
          <w:t>1</w:t>
        </w:r>
        <w:r w:rsidR="009D379A">
          <w:rPr>
            <w:webHidden/>
          </w:rPr>
          <w:fldChar w:fldCharType="end"/>
        </w:r>
      </w:hyperlink>
    </w:p>
    <w:p w14:paraId="64428192" w14:textId="77777777" w:rsidR="009D379A" w:rsidRDefault="004436FB">
      <w:pPr>
        <w:pStyle w:val="TOC1"/>
        <w:rPr>
          <w:rFonts w:asciiTheme="minorHAnsi" w:hAnsiTheme="minorHAnsi" w:cstheme="minorBidi"/>
          <w:b w:val="0"/>
          <w:sz w:val="22"/>
          <w:lang w:eastAsia="en-AU"/>
        </w:rPr>
      </w:pPr>
      <w:hyperlink w:anchor="_Toc487186312" w:history="1">
        <w:r w:rsidR="009D379A" w:rsidRPr="00B00175">
          <w:rPr>
            <w:rStyle w:val="Hyperlink"/>
          </w:rPr>
          <w:t>2.</w:t>
        </w:r>
        <w:r w:rsidR="009D379A">
          <w:rPr>
            <w:rFonts w:asciiTheme="minorHAnsi" w:hAnsiTheme="minorHAnsi" w:cstheme="minorBidi"/>
            <w:b w:val="0"/>
            <w:sz w:val="22"/>
            <w:lang w:eastAsia="en-AU"/>
          </w:rPr>
          <w:tab/>
        </w:r>
        <w:r w:rsidR="009D379A" w:rsidRPr="00B00175">
          <w:rPr>
            <w:rStyle w:val="Hyperlink"/>
          </w:rPr>
          <w:t>Focus for Change</w:t>
        </w:r>
        <w:r w:rsidR="009D379A">
          <w:rPr>
            <w:webHidden/>
          </w:rPr>
          <w:tab/>
        </w:r>
        <w:r w:rsidR="009D379A">
          <w:rPr>
            <w:webHidden/>
          </w:rPr>
          <w:fldChar w:fldCharType="begin"/>
        </w:r>
        <w:r w:rsidR="009D379A">
          <w:rPr>
            <w:webHidden/>
          </w:rPr>
          <w:instrText xml:space="preserve"> PAGEREF _Toc487186312 \h </w:instrText>
        </w:r>
        <w:r w:rsidR="009D379A">
          <w:rPr>
            <w:webHidden/>
          </w:rPr>
        </w:r>
        <w:r w:rsidR="009D379A">
          <w:rPr>
            <w:webHidden/>
          </w:rPr>
          <w:fldChar w:fldCharType="separate"/>
        </w:r>
        <w:r w:rsidR="00B84559">
          <w:rPr>
            <w:webHidden/>
          </w:rPr>
          <w:t>2</w:t>
        </w:r>
        <w:r w:rsidR="009D379A">
          <w:rPr>
            <w:webHidden/>
          </w:rPr>
          <w:fldChar w:fldCharType="end"/>
        </w:r>
      </w:hyperlink>
    </w:p>
    <w:p w14:paraId="6671AA02" w14:textId="77777777" w:rsidR="009D379A" w:rsidRDefault="004436FB">
      <w:pPr>
        <w:pStyle w:val="TOC1"/>
        <w:rPr>
          <w:rFonts w:asciiTheme="minorHAnsi" w:hAnsiTheme="minorHAnsi" w:cstheme="minorBidi"/>
          <w:b w:val="0"/>
          <w:sz w:val="22"/>
          <w:lang w:eastAsia="en-AU"/>
        </w:rPr>
      </w:pPr>
      <w:hyperlink w:anchor="_Toc487186313" w:history="1">
        <w:r w:rsidR="009D379A" w:rsidRPr="00B00175">
          <w:rPr>
            <w:rStyle w:val="Hyperlink"/>
          </w:rPr>
          <w:t>3.</w:t>
        </w:r>
        <w:r w:rsidR="009D379A">
          <w:rPr>
            <w:rFonts w:asciiTheme="minorHAnsi" w:hAnsiTheme="minorHAnsi" w:cstheme="minorBidi"/>
            <w:b w:val="0"/>
            <w:sz w:val="22"/>
            <w:lang w:eastAsia="en-AU"/>
          </w:rPr>
          <w:tab/>
        </w:r>
        <w:r w:rsidR="009D379A" w:rsidRPr="00B00175">
          <w:rPr>
            <w:rStyle w:val="Hyperlink"/>
          </w:rPr>
          <w:t>Approach to Change</w:t>
        </w:r>
        <w:r w:rsidR="009D379A">
          <w:rPr>
            <w:webHidden/>
          </w:rPr>
          <w:tab/>
        </w:r>
        <w:r w:rsidR="009D379A">
          <w:rPr>
            <w:webHidden/>
          </w:rPr>
          <w:fldChar w:fldCharType="begin"/>
        </w:r>
        <w:r w:rsidR="009D379A">
          <w:rPr>
            <w:webHidden/>
          </w:rPr>
          <w:instrText xml:space="preserve"> PAGEREF _Toc487186313 \h </w:instrText>
        </w:r>
        <w:r w:rsidR="009D379A">
          <w:rPr>
            <w:webHidden/>
          </w:rPr>
        </w:r>
        <w:r w:rsidR="009D379A">
          <w:rPr>
            <w:webHidden/>
          </w:rPr>
          <w:fldChar w:fldCharType="separate"/>
        </w:r>
        <w:r w:rsidR="00B84559">
          <w:rPr>
            <w:webHidden/>
          </w:rPr>
          <w:t>2</w:t>
        </w:r>
        <w:r w:rsidR="009D379A">
          <w:rPr>
            <w:webHidden/>
          </w:rPr>
          <w:fldChar w:fldCharType="end"/>
        </w:r>
      </w:hyperlink>
    </w:p>
    <w:p w14:paraId="3194051D" w14:textId="77777777" w:rsidR="009D379A" w:rsidRDefault="004436FB">
      <w:pPr>
        <w:pStyle w:val="TOC2"/>
        <w:rPr>
          <w:rFonts w:asciiTheme="minorHAnsi" w:hAnsiTheme="minorHAnsi" w:cstheme="minorBidi"/>
          <w:sz w:val="22"/>
          <w:lang w:eastAsia="en-AU"/>
        </w:rPr>
      </w:pPr>
      <w:hyperlink w:anchor="_Toc487186314" w:history="1">
        <w:r w:rsidR="009D379A" w:rsidRPr="00B00175">
          <w:rPr>
            <w:rStyle w:val="Hyperlink"/>
          </w:rPr>
          <w:t>3.1.</w:t>
        </w:r>
        <w:r w:rsidR="009D379A">
          <w:rPr>
            <w:rFonts w:asciiTheme="minorHAnsi" w:hAnsiTheme="minorHAnsi" w:cstheme="minorBidi"/>
            <w:sz w:val="22"/>
            <w:lang w:eastAsia="en-AU"/>
          </w:rPr>
          <w:tab/>
        </w:r>
        <w:r w:rsidR="009D379A" w:rsidRPr="00B00175">
          <w:rPr>
            <w:rStyle w:val="Hyperlink"/>
          </w:rPr>
          <w:t>Cross-sectoral Strategies</w:t>
        </w:r>
        <w:r w:rsidR="009D379A">
          <w:rPr>
            <w:webHidden/>
          </w:rPr>
          <w:tab/>
        </w:r>
        <w:r w:rsidR="009D379A">
          <w:rPr>
            <w:webHidden/>
          </w:rPr>
          <w:fldChar w:fldCharType="begin"/>
        </w:r>
        <w:r w:rsidR="009D379A">
          <w:rPr>
            <w:webHidden/>
          </w:rPr>
          <w:instrText xml:space="preserve"> PAGEREF _Toc487186314 \h </w:instrText>
        </w:r>
        <w:r w:rsidR="009D379A">
          <w:rPr>
            <w:webHidden/>
          </w:rPr>
        </w:r>
        <w:r w:rsidR="009D379A">
          <w:rPr>
            <w:webHidden/>
          </w:rPr>
          <w:fldChar w:fldCharType="separate"/>
        </w:r>
        <w:r w:rsidR="00B84559">
          <w:rPr>
            <w:webHidden/>
          </w:rPr>
          <w:t>2</w:t>
        </w:r>
        <w:r w:rsidR="009D379A">
          <w:rPr>
            <w:webHidden/>
          </w:rPr>
          <w:fldChar w:fldCharType="end"/>
        </w:r>
      </w:hyperlink>
    </w:p>
    <w:p w14:paraId="16950314" w14:textId="77777777" w:rsidR="009D379A" w:rsidRDefault="004436FB">
      <w:pPr>
        <w:pStyle w:val="TOC2"/>
        <w:rPr>
          <w:rFonts w:asciiTheme="minorHAnsi" w:hAnsiTheme="minorHAnsi" w:cstheme="minorBidi"/>
          <w:sz w:val="22"/>
          <w:lang w:eastAsia="en-AU"/>
        </w:rPr>
      </w:pPr>
      <w:hyperlink w:anchor="_Toc487186315" w:history="1">
        <w:r w:rsidR="009D379A" w:rsidRPr="00B00175">
          <w:rPr>
            <w:rStyle w:val="Hyperlink"/>
          </w:rPr>
          <w:t>3.2.</w:t>
        </w:r>
        <w:r w:rsidR="009D379A">
          <w:rPr>
            <w:rFonts w:asciiTheme="minorHAnsi" w:hAnsiTheme="minorHAnsi" w:cstheme="minorBidi"/>
            <w:sz w:val="22"/>
            <w:lang w:eastAsia="en-AU"/>
          </w:rPr>
          <w:tab/>
        </w:r>
        <w:r w:rsidR="009D379A" w:rsidRPr="00B00175">
          <w:rPr>
            <w:rStyle w:val="Hyperlink"/>
          </w:rPr>
          <w:t>Program Goal</w:t>
        </w:r>
        <w:r w:rsidR="009D379A">
          <w:rPr>
            <w:webHidden/>
          </w:rPr>
          <w:tab/>
        </w:r>
        <w:r w:rsidR="009D379A">
          <w:rPr>
            <w:webHidden/>
          </w:rPr>
          <w:fldChar w:fldCharType="begin"/>
        </w:r>
        <w:r w:rsidR="009D379A">
          <w:rPr>
            <w:webHidden/>
          </w:rPr>
          <w:instrText xml:space="preserve"> PAGEREF _Toc487186315 \h </w:instrText>
        </w:r>
        <w:r w:rsidR="009D379A">
          <w:rPr>
            <w:webHidden/>
          </w:rPr>
        </w:r>
        <w:r w:rsidR="009D379A">
          <w:rPr>
            <w:webHidden/>
          </w:rPr>
          <w:fldChar w:fldCharType="separate"/>
        </w:r>
        <w:r w:rsidR="00B84559">
          <w:rPr>
            <w:webHidden/>
          </w:rPr>
          <w:t>3</w:t>
        </w:r>
        <w:r w:rsidR="009D379A">
          <w:rPr>
            <w:webHidden/>
          </w:rPr>
          <w:fldChar w:fldCharType="end"/>
        </w:r>
      </w:hyperlink>
    </w:p>
    <w:p w14:paraId="6DA3CC10" w14:textId="77777777" w:rsidR="009D379A" w:rsidRDefault="004436FB">
      <w:pPr>
        <w:pStyle w:val="TOC2"/>
        <w:rPr>
          <w:rFonts w:asciiTheme="minorHAnsi" w:hAnsiTheme="minorHAnsi" w:cstheme="minorBidi"/>
          <w:sz w:val="22"/>
          <w:lang w:eastAsia="en-AU"/>
        </w:rPr>
      </w:pPr>
      <w:hyperlink w:anchor="_Toc487186316" w:history="1">
        <w:r w:rsidR="009D379A" w:rsidRPr="00B00175">
          <w:rPr>
            <w:rStyle w:val="Hyperlink"/>
          </w:rPr>
          <w:t>3.3.</w:t>
        </w:r>
        <w:r w:rsidR="009D379A">
          <w:rPr>
            <w:rFonts w:asciiTheme="minorHAnsi" w:hAnsiTheme="minorHAnsi" w:cstheme="minorBidi"/>
            <w:sz w:val="22"/>
            <w:lang w:eastAsia="en-AU"/>
          </w:rPr>
          <w:tab/>
        </w:r>
        <w:r w:rsidR="009D379A" w:rsidRPr="00B00175">
          <w:rPr>
            <w:rStyle w:val="Hyperlink"/>
          </w:rPr>
          <w:t>Lessons Learned</w:t>
        </w:r>
        <w:r w:rsidR="009D379A">
          <w:rPr>
            <w:webHidden/>
          </w:rPr>
          <w:tab/>
        </w:r>
        <w:r w:rsidR="009D379A">
          <w:rPr>
            <w:webHidden/>
          </w:rPr>
          <w:fldChar w:fldCharType="begin"/>
        </w:r>
        <w:r w:rsidR="009D379A">
          <w:rPr>
            <w:webHidden/>
          </w:rPr>
          <w:instrText xml:space="preserve"> PAGEREF _Toc487186316 \h </w:instrText>
        </w:r>
        <w:r w:rsidR="009D379A">
          <w:rPr>
            <w:webHidden/>
          </w:rPr>
        </w:r>
        <w:r w:rsidR="009D379A">
          <w:rPr>
            <w:webHidden/>
          </w:rPr>
          <w:fldChar w:fldCharType="separate"/>
        </w:r>
        <w:r w:rsidR="00B84559">
          <w:rPr>
            <w:webHidden/>
          </w:rPr>
          <w:t>3</w:t>
        </w:r>
        <w:r w:rsidR="009D379A">
          <w:rPr>
            <w:webHidden/>
          </w:rPr>
          <w:fldChar w:fldCharType="end"/>
        </w:r>
      </w:hyperlink>
    </w:p>
    <w:p w14:paraId="3FD86BB0" w14:textId="77777777" w:rsidR="009D379A" w:rsidRDefault="004436FB">
      <w:pPr>
        <w:pStyle w:val="TOC1"/>
        <w:rPr>
          <w:rFonts w:asciiTheme="minorHAnsi" w:hAnsiTheme="minorHAnsi" w:cstheme="minorBidi"/>
          <w:b w:val="0"/>
          <w:sz w:val="22"/>
          <w:lang w:eastAsia="en-AU"/>
        </w:rPr>
      </w:pPr>
      <w:hyperlink w:anchor="_Toc487186317" w:history="1">
        <w:r w:rsidR="009D379A" w:rsidRPr="00B00175">
          <w:rPr>
            <w:rStyle w:val="Hyperlink"/>
          </w:rPr>
          <w:t>4.</w:t>
        </w:r>
        <w:r w:rsidR="009D379A">
          <w:rPr>
            <w:rFonts w:asciiTheme="minorHAnsi" w:hAnsiTheme="minorHAnsi" w:cstheme="minorBidi"/>
            <w:b w:val="0"/>
            <w:sz w:val="22"/>
            <w:lang w:eastAsia="en-AU"/>
          </w:rPr>
          <w:tab/>
        </w:r>
        <w:r w:rsidR="009D379A" w:rsidRPr="00B00175">
          <w:rPr>
            <w:rStyle w:val="Hyperlink"/>
          </w:rPr>
          <w:t>Operating Framework</w:t>
        </w:r>
        <w:r w:rsidR="009D379A">
          <w:rPr>
            <w:webHidden/>
          </w:rPr>
          <w:tab/>
        </w:r>
        <w:r w:rsidR="009D379A">
          <w:rPr>
            <w:webHidden/>
          </w:rPr>
          <w:fldChar w:fldCharType="begin"/>
        </w:r>
        <w:r w:rsidR="009D379A">
          <w:rPr>
            <w:webHidden/>
          </w:rPr>
          <w:instrText xml:space="preserve"> PAGEREF _Toc487186317 \h </w:instrText>
        </w:r>
        <w:r w:rsidR="009D379A">
          <w:rPr>
            <w:webHidden/>
          </w:rPr>
        </w:r>
        <w:r w:rsidR="009D379A">
          <w:rPr>
            <w:webHidden/>
          </w:rPr>
          <w:fldChar w:fldCharType="separate"/>
        </w:r>
        <w:r w:rsidR="00B84559">
          <w:rPr>
            <w:webHidden/>
          </w:rPr>
          <w:t>4</w:t>
        </w:r>
        <w:r w:rsidR="009D379A">
          <w:rPr>
            <w:webHidden/>
          </w:rPr>
          <w:fldChar w:fldCharType="end"/>
        </w:r>
      </w:hyperlink>
    </w:p>
    <w:p w14:paraId="6CA80BBD" w14:textId="77777777" w:rsidR="009D379A" w:rsidRDefault="004436FB">
      <w:pPr>
        <w:pStyle w:val="TOC1"/>
        <w:rPr>
          <w:rFonts w:asciiTheme="minorHAnsi" w:hAnsiTheme="minorHAnsi" w:cstheme="minorBidi"/>
          <w:b w:val="0"/>
          <w:sz w:val="22"/>
          <w:lang w:eastAsia="en-AU"/>
        </w:rPr>
      </w:pPr>
      <w:hyperlink w:anchor="_Toc487186318" w:history="1">
        <w:r w:rsidR="009D379A" w:rsidRPr="00B00175">
          <w:rPr>
            <w:rStyle w:val="Hyperlink"/>
          </w:rPr>
          <w:t>5.</w:t>
        </w:r>
        <w:r w:rsidR="009D379A">
          <w:rPr>
            <w:rFonts w:asciiTheme="minorHAnsi" w:hAnsiTheme="minorHAnsi" w:cstheme="minorBidi"/>
            <w:b w:val="0"/>
            <w:sz w:val="22"/>
            <w:lang w:eastAsia="en-AU"/>
          </w:rPr>
          <w:tab/>
        </w:r>
        <w:r w:rsidR="009D379A" w:rsidRPr="00B00175">
          <w:rPr>
            <w:rStyle w:val="Hyperlink"/>
          </w:rPr>
          <w:t>Program Implementation</w:t>
        </w:r>
        <w:r w:rsidR="009D379A">
          <w:rPr>
            <w:webHidden/>
          </w:rPr>
          <w:tab/>
        </w:r>
        <w:r w:rsidR="009D379A">
          <w:rPr>
            <w:webHidden/>
          </w:rPr>
          <w:fldChar w:fldCharType="begin"/>
        </w:r>
        <w:r w:rsidR="009D379A">
          <w:rPr>
            <w:webHidden/>
          </w:rPr>
          <w:instrText xml:space="preserve"> PAGEREF _Toc487186318 \h </w:instrText>
        </w:r>
        <w:r w:rsidR="009D379A">
          <w:rPr>
            <w:webHidden/>
          </w:rPr>
        </w:r>
        <w:r w:rsidR="009D379A">
          <w:rPr>
            <w:webHidden/>
          </w:rPr>
          <w:fldChar w:fldCharType="separate"/>
        </w:r>
        <w:r w:rsidR="00B84559">
          <w:rPr>
            <w:webHidden/>
          </w:rPr>
          <w:t>5</w:t>
        </w:r>
        <w:r w:rsidR="009D379A">
          <w:rPr>
            <w:webHidden/>
          </w:rPr>
          <w:fldChar w:fldCharType="end"/>
        </w:r>
      </w:hyperlink>
    </w:p>
    <w:p w14:paraId="05D73279" w14:textId="77777777" w:rsidR="009D379A" w:rsidRDefault="004436FB">
      <w:pPr>
        <w:pStyle w:val="TOC2"/>
        <w:rPr>
          <w:rFonts w:asciiTheme="minorHAnsi" w:hAnsiTheme="minorHAnsi" w:cstheme="minorBidi"/>
          <w:sz w:val="22"/>
          <w:lang w:eastAsia="en-AU"/>
        </w:rPr>
      </w:pPr>
      <w:hyperlink w:anchor="_Toc487186319" w:history="1">
        <w:r w:rsidR="009D379A" w:rsidRPr="00B00175">
          <w:rPr>
            <w:rStyle w:val="Hyperlink"/>
          </w:rPr>
          <w:t>5.1.</w:t>
        </w:r>
        <w:r w:rsidR="009D379A">
          <w:rPr>
            <w:rFonts w:asciiTheme="minorHAnsi" w:hAnsiTheme="minorHAnsi" w:cstheme="minorBidi"/>
            <w:sz w:val="22"/>
            <w:lang w:eastAsia="en-AU"/>
          </w:rPr>
          <w:tab/>
        </w:r>
        <w:r w:rsidR="009D379A" w:rsidRPr="00B00175">
          <w:rPr>
            <w:rStyle w:val="Hyperlink"/>
          </w:rPr>
          <w:t>Current Program Context</w:t>
        </w:r>
        <w:r w:rsidR="009D379A">
          <w:rPr>
            <w:webHidden/>
          </w:rPr>
          <w:tab/>
        </w:r>
        <w:r w:rsidR="009D379A">
          <w:rPr>
            <w:webHidden/>
          </w:rPr>
          <w:fldChar w:fldCharType="begin"/>
        </w:r>
        <w:r w:rsidR="009D379A">
          <w:rPr>
            <w:webHidden/>
          </w:rPr>
          <w:instrText xml:space="preserve"> PAGEREF _Toc487186319 \h </w:instrText>
        </w:r>
        <w:r w:rsidR="009D379A">
          <w:rPr>
            <w:webHidden/>
          </w:rPr>
        </w:r>
        <w:r w:rsidR="009D379A">
          <w:rPr>
            <w:webHidden/>
          </w:rPr>
          <w:fldChar w:fldCharType="separate"/>
        </w:r>
        <w:r w:rsidR="00B84559">
          <w:rPr>
            <w:webHidden/>
          </w:rPr>
          <w:t>5</w:t>
        </w:r>
        <w:r w:rsidR="009D379A">
          <w:rPr>
            <w:webHidden/>
          </w:rPr>
          <w:fldChar w:fldCharType="end"/>
        </w:r>
      </w:hyperlink>
    </w:p>
    <w:p w14:paraId="2BB7F325" w14:textId="77777777" w:rsidR="009D379A" w:rsidRDefault="004436FB">
      <w:pPr>
        <w:pStyle w:val="TOC2"/>
        <w:rPr>
          <w:rFonts w:asciiTheme="minorHAnsi" w:hAnsiTheme="minorHAnsi" w:cstheme="minorBidi"/>
          <w:sz w:val="22"/>
          <w:lang w:eastAsia="en-AU"/>
        </w:rPr>
      </w:pPr>
      <w:hyperlink w:anchor="_Toc487186320" w:history="1">
        <w:r w:rsidR="009D379A" w:rsidRPr="00B00175">
          <w:rPr>
            <w:rStyle w:val="Hyperlink"/>
            <w:lang w:val="en-US"/>
          </w:rPr>
          <w:t>5.2.</w:t>
        </w:r>
        <w:r w:rsidR="009D379A">
          <w:rPr>
            <w:rFonts w:asciiTheme="minorHAnsi" w:hAnsiTheme="minorHAnsi" w:cstheme="minorBidi"/>
            <w:sz w:val="22"/>
            <w:lang w:eastAsia="en-AU"/>
          </w:rPr>
          <w:tab/>
        </w:r>
        <w:r w:rsidR="009D379A" w:rsidRPr="00B00175">
          <w:rPr>
            <w:rStyle w:val="Hyperlink"/>
            <w:lang w:val="en-US"/>
          </w:rPr>
          <w:t>Strategies</w:t>
        </w:r>
        <w:r w:rsidR="009D379A">
          <w:rPr>
            <w:webHidden/>
          </w:rPr>
          <w:tab/>
        </w:r>
        <w:r w:rsidR="009D379A">
          <w:rPr>
            <w:webHidden/>
          </w:rPr>
          <w:fldChar w:fldCharType="begin"/>
        </w:r>
        <w:r w:rsidR="009D379A">
          <w:rPr>
            <w:webHidden/>
          </w:rPr>
          <w:instrText xml:space="preserve"> PAGEREF _Toc487186320 \h </w:instrText>
        </w:r>
        <w:r w:rsidR="009D379A">
          <w:rPr>
            <w:webHidden/>
          </w:rPr>
        </w:r>
        <w:r w:rsidR="009D379A">
          <w:rPr>
            <w:webHidden/>
          </w:rPr>
          <w:fldChar w:fldCharType="separate"/>
        </w:r>
        <w:r w:rsidR="00B84559">
          <w:rPr>
            <w:webHidden/>
          </w:rPr>
          <w:t>6</w:t>
        </w:r>
        <w:r w:rsidR="009D379A">
          <w:rPr>
            <w:webHidden/>
          </w:rPr>
          <w:fldChar w:fldCharType="end"/>
        </w:r>
      </w:hyperlink>
    </w:p>
    <w:p w14:paraId="4AF7AC35" w14:textId="77777777" w:rsidR="009D379A" w:rsidRDefault="004436FB">
      <w:pPr>
        <w:pStyle w:val="TOC1"/>
        <w:rPr>
          <w:rFonts w:asciiTheme="minorHAnsi" w:hAnsiTheme="minorHAnsi" w:cstheme="minorBidi"/>
          <w:b w:val="0"/>
          <w:sz w:val="22"/>
          <w:lang w:eastAsia="en-AU"/>
        </w:rPr>
      </w:pPr>
      <w:hyperlink w:anchor="_Toc487186321" w:history="1">
        <w:r w:rsidR="009D379A" w:rsidRPr="00B00175">
          <w:rPr>
            <w:rStyle w:val="Hyperlink"/>
          </w:rPr>
          <w:t>6.</w:t>
        </w:r>
        <w:r w:rsidR="009D379A">
          <w:rPr>
            <w:rFonts w:asciiTheme="minorHAnsi" w:hAnsiTheme="minorHAnsi" w:cstheme="minorBidi"/>
            <w:b w:val="0"/>
            <w:sz w:val="22"/>
            <w:lang w:eastAsia="en-AU"/>
          </w:rPr>
          <w:tab/>
        </w:r>
        <w:r w:rsidR="009D379A" w:rsidRPr="00B00175">
          <w:rPr>
            <w:rStyle w:val="Hyperlink"/>
          </w:rPr>
          <w:t>First Year Objectives</w:t>
        </w:r>
        <w:r w:rsidR="009D379A">
          <w:rPr>
            <w:webHidden/>
          </w:rPr>
          <w:tab/>
        </w:r>
        <w:r w:rsidR="009D379A">
          <w:rPr>
            <w:webHidden/>
          </w:rPr>
          <w:fldChar w:fldCharType="begin"/>
        </w:r>
        <w:r w:rsidR="009D379A">
          <w:rPr>
            <w:webHidden/>
          </w:rPr>
          <w:instrText xml:space="preserve"> PAGEREF _Toc487186321 \h </w:instrText>
        </w:r>
        <w:r w:rsidR="009D379A">
          <w:rPr>
            <w:webHidden/>
          </w:rPr>
        </w:r>
        <w:r w:rsidR="009D379A">
          <w:rPr>
            <w:webHidden/>
          </w:rPr>
          <w:fldChar w:fldCharType="separate"/>
        </w:r>
        <w:r w:rsidR="00B84559">
          <w:rPr>
            <w:webHidden/>
          </w:rPr>
          <w:t>9</w:t>
        </w:r>
        <w:r w:rsidR="009D379A">
          <w:rPr>
            <w:webHidden/>
          </w:rPr>
          <w:fldChar w:fldCharType="end"/>
        </w:r>
      </w:hyperlink>
    </w:p>
    <w:p w14:paraId="1A9637F6" w14:textId="77777777" w:rsidR="009D379A" w:rsidRDefault="004436FB">
      <w:pPr>
        <w:pStyle w:val="TOC1"/>
        <w:rPr>
          <w:rFonts w:asciiTheme="minorHAnsi" w:hAnsiTheme="minorHAnsi" w:cstheme="minorBidi"/>
          <w:b w:val="0"/>
          <w:sz w:val="22"/>
          <w:lang w:eastAsia="en-AU"/>
        </w:rPr>
      </w:pPr>
      <w:hyperlink w:anchor="_Toc487186322" w:history="1">
        <w:r w:rsidR="009D379A" w:rsidRPr="00B00175">
          <w:rPr>
            <w:rStyle w:val="Hyperlink"/>
          </w:rPr>
          <w:t>7.</w:t>
        </w:r>
        <w:r w:rsidR="009D379A">
          <w:rPr>
            <w:rFonts w:asciiTheme="minorHAnsi" w:hAnsiTheme="minorHAnsi" w:cstheme="minorBidi"/>
            <w:b w:val="0"/>
            <w:sz w:val="22"/>
            <w:lang w:eastAsia="en-AU"/>
          </w:rPr>
          <w:tab/>
        </w:r>
        <w:r w:rsidR="009D379A" w:rsidRPr="00B00175">
          <w:rPr>
            <w:rStyle w:val="Hyperlink"/>
          </w:rPr>
          <w:t>Implementation and Resourcing</w:t>
        </w:r>
        <w:r w:rsidR="009D379A">
          <w:rPr>
            <w:webHidden/>
          </w:rPr>
          <w:tab/>
        </w:r>
        <w:r w:rsidR="009D379A">
          <w:rPr>
            <w:webHidden/>
          </w:rPr>
          <w:fldChar w:fldCharType="begin"/>
        </w:r>
        <w:r w:rsidR="009D379A">
          <w:rPr>
            <w:webHidden/>
          </w:rPr>
          <w:instrText xml:space="preserve"> PAGEREF _Toc487186322 \h </w:instrText>
        </w:r>
        <w:r w:rsidR="009D379A">
          <w:rPr>
            <w:webHidden/>
          </w:rPr>
        </w:r>
        <w:r w:rsidR="009D379A">
          <w:rPr>
            <w:webHidden/>
          </w:rPr>
          <w:fldChar w:fldCharType="separate"/>
        </w:r>
        <w:r w:rsidR="00B84559">
          <w:rPr>
            <w:webHidden/>
          </w:rPr>
          <w:t>10</w:t>
        </w:r>
        <w:r w:rsidR="009D379A">
          <w:rPr>
            <w:webHidden/>
          </w:rPr>
          <w:fldChar w:fldCharType="end"/>
        </w:r>
      </w:hyperlink>
    </w:p>
    <w:p w14:paraId="0FED8F85" w14:textId="77777777" w:rsidR="009D379A" w:rsidRDefault="004436FB">
      <w:pPr>
        <w:pStyle w:val="TOC1"/>
        <w:rPr>
          <w:rFonts w:asciiTheme="minorHAnsi" w:hAnsiTheme="minorHAnsi" w:cstheme="minorBidi"/>
          <w:b w:val="0"/>
          <w:sz w:val="22"/>
          <w:lang w:eastAsia="en-AU"/>
        </w:rPr>
      </w:pPr>
      <w:hyperlink w:anchor="_Toc487186323" w:history="1">
        <w:r w:rsidR="009D379A" w:rsidRPr="00B00175">
          <w:rPr>
            <w:rStyle w:val="Hyperlink"/>
          </w:rPr>
          <w:t>8.</w:t>
        </w:r>
        <w:r w:rsidR="009D379A">
          <w:rPr>
            <w:rFonts w:asciiTheme="minorHAnsi" w:hAnsiTheme="minorHAnsi" w:cstheme="minorBidi"/>
            <w:b w:val="0"/>
            <w:sz w:val="22"/>
            <w:lang w:eastAsia="en-AU"/>
          </w:rPr>
          <w:tab/>
        </w:r>
        <w:r w:rsidR="009D379A" w:rsidRPr="00B00175">
          <w:rPr>
            <w:rStyle w:val="Hyperlink"/>
          </w:rPr>
          <w:t>Principles and Ways of Working</w:t>
        </w:r>
        <w:r w:rsidR="009D379A">
          <w:rPr>
            <w:webHidden/>
          </w:rPr>
          <w:tab/>
        </w:r>
        <w:r w:rsidR="009D379A">
          <w:rPr>
            <w:webHidden/>
          </w:rPr>
          <w:fldChar w:fldCharType="begin"/>
        </w:r>
        <w:r w:rsidR="009D379A">
          <w:rPr>
            <w:webHidden/>
          </w:rPr>
          <w:instrText xml:space="preserve"> PAGEREF _Toc487186323 \h </w:instrText>
        </w:r>
        <w:r w:rsidR="009D379A">
          <w:rPr>
            <w:webHidden/>
          </w:rPr>
        </w:r>
        <w:r w:rsidR="009D379A">
          <w:rPr>
            <w:webHidden/>
          </w:rPr>
          <w:fldChar w:fldCharType="separate"/>
        </w:r>
        <w:r w:rsidR="00B84559">
          <w:rPr>
            <w:webHidden/>
          </w:rPr>
          <w:t>10</w:t>
        </w:r>
        <w:r w:rsidR="009D379A">
          <w:rPr>
            <w:webHidden/>
          </w:rPr>
          <w:fldChar w:fldCharType="end"/>
        </w:r>
      </w:hyperlink>
    </w:p>
    <w:p w14:paraId="27A788CE" w14:textId="77777777" w:rsidR="009D379A" w:rsidRDefault="004436FB">
      <w:pPr>
        <w:pStyle w:val="TOC1"/>
        <w:rPr>
          <w:rFonts w:asciiTheme="minorHAnsi" w:hAnsiTheme="minorHAnsi" w:cstheme="minorBidi"/>
          <w:b w:val="0"/>
          <w:sz w:val="22"/>
          <w:lang w:eastAsia="en-AU"/>
        </w:rPr>
      </w:pPr>
      <w:hyperlink w:anchor="_Toc487186324" w:history="1">
        <w:r w:rsidR="009D379A" w:rsidRPr="00B00175">
          <w:rPr>
            <w:rStyle w:val="Hyperlink"/>
          </w:rPr>
          <w:t>9.</w:t>
        </w:r>
        <w:r w:rsidR="009D379A">
          <w:rPr>
            <w:rFonts w:asciiTheme="minorHAnsi" w:hAnsiTheme="minorHAnsi" w:cstheme="minorBidi"/>
            <w:b w:val="0"/>
            <w:sz w:val="22"/>
            <w:lang w:eastAsia="en-AU"/>
          </w:rPr>
          <w:tab/>
        </w:r>
        <w:r w:rsidR="009D379A" w:rsidRPr="00B00175">
          <w:rPr>
            <w:rStyle w:val="Hyperlink"/>
          </w:rPr>
          <w:t>Review of the Strategic Framework</w:t>
        </w:r>
        <w:r w:rsidR="009D379A">
          <w:rPr>
            <w:webHidden/>
          </w:rPr>
          <w:tab/>
        </w:r>
        <w:r w:rsidR="009D379A">
          <w:rPr>
            <w:webHidden/>
          </w:rPr>
          <w:fldChar w:fldCharType="begin"/>
        </w:r>
        <w:r w:rsidR="009D379A">
          <w:rPr>
            <w:webHidden/>
          </w:rPr>
          <w:instrText xml:space="preserve"> PAGEREF _Toc487186324 \h </w:instrText>
        </w:r>
        <w:r w:rsidR="009D379A">
          <w:rPr>
            <w:webHidden/>
          </w:rPr>
        </w:r>
        <w:r w:rsidR="009D379A">
          <w:rPr>
            <w:webHidden/>
          </w:rPr>
          <w:fldChar w:fldCharType="separate"/>
        </w:r>
        <w:r w:rsidR="00B84559">
          <w:rPr>
            <w:webHidden/>
          </w:rPr>
          <w:t>11</w:t>
        </w:r>
        <w:r w:rsidR="009D379A">
          <w:rPr>
            <w:webHidden/>
          </w:rPr>
          <w:fldChar w:fldCharType="end"/>
        </w:r>
      </w:hyperlink>
    </w:p>
    <w:p w14:paraId="1AA17832" w14:textId="77777777" w:rsidR="00584A9D" w:rsidRDefault="00410BBB" w:rsidP="00243884">
      <w:pPr>
        <w:tabs>
          <w:tab w:val="right" w:leader="dot" w:pos="9214"/>
        </w:tabs>
      </w:pPr>
      <w:r>
        <w:fldChar w:fldCharType="end"/>
      </w:r>
    </w:p>
    <w:p w14:paraId="3F8CD567" w14:textId="77777777" w:rsidR="00584A9D" w:rsidRDefault="00584A9D" w:rsidP="00243884">
      <w:pPr>
        <w:tabs>
          <w:tab w:val="right" w:leader="dot" w:pos="9214"/>
        </w:tabs>
      </w:pPr>
    </w:p>
    <w:p w14:paraId="333FF600" w14:textId="77777777" w:rsidR="00880571" w:rsidRDefault="00880571" w:rsidP="00243884">
      <w:pPr>
        <w:tabs>
          <w:tab w:val="right" w:leader="dot" w:pos="9214"/>
        </w:tabs>
      </w:pPr>
    </w:p>
    <w:p w14:paraId="069A7E0D" w14:textId="77777777" w:rsidR="00B74E92" w:rsidRDefault="00B74E92" w:rsidP="00243884">
      <w:pPr>
        <w:tabs>
          <w:tab w:val="right" w:leader="dot" w:pos="9214"/>
        </w:tabs>
      </w:pPr>
    </w:p>
    <w:p w14:paraId="2ADF4E5C" w14:textId="77777777" w:rsidR="00B74E92" w:rsidRDefault="00B74E92" w:rsidP="00243884">
      <w:pPr>
        <w:tabs>
          <w:tab w:val="right" w:leader="dot" w:pos="9214"/>
        </w:tabs>
      </w:pPr>
    </w:p>
    <w:p w14:paraId="53CDDD76" w14:textId="77777777" w:rsidR="00B74E92" w:rsidRDefault="00B74E92" w:rsidP="00243884">
      <w:pPr>
        <w:tabs>
          <w:tab w:val="right" w:leader="dot" w:pos="9214"/>
        </w:tabs>
      </w:pPr>
    </w:p>
    <w:p w14:paraId="1BB5E0FE" w14:textId="77777777" w:rsidR="00B74E92" w:rsidRDefault="00B74E92" w:rsidP="00243884">
      <w:pPr>
        <w:tabs>
          <w:tab w:val="right" w:leader="dot" w:pos="9214"/>
        </w:tabs>
      </w:pPr>
    </w:p>
    <w:p w14:paraId="2B85440B" w14:textId="77777777" w:rsidR="00B74E92" w:rsidRDefault="00B74E92" w:rsidP="00243884">
      <w:pPr>
        <w:tabs>
          <w:tab w:val="right" w:leader="dot" w:pos="9214"/>
        </w:tabs>
      </w:pPr>
    </w:p>
    <w:p w14:paraId="329036AF" w14:textId="77777777" w:rsidR="00B74E92" w:rsidRDefault="00B74E92" w:rsidP="00243884">
      <w:pPr>
        <w:tabs>
          <w:tab w:val="right" w:leader="dot" w:pos="9214"/>
        </w:tabs>
      </w:pPr>
    </w:p>
    <w:p w14:paraId="618EA57F" w14:textId="77777777" w:rsidR="00B74E92" w:rsidRDefault="00B74E92" w:rsidP="00243884">
      <w:pPr>
        <w:tabs>
          <w:tab w:val="right" w:leader="dot" w:pos="9214"/>
        </w:tabs>
      </w:pPr>
    </w:p>
    <w:p w14:paraId="386FF5BE" w14:textId="77777777" w:rsidR="00B74E92" w:rsidRDefault="00B74E92" w:rsidP="00243884">
      <w:pPr>
        <w:tabs>
          <w:tab w:val="right" w:leader="dot" w:pos="9214"/>
        </w:tabs>
      </w:pPr>
    </w:p>
    <w:p w14:paraId="3A33567C" w14:textId="77777777" w:rsidR="00B74E92" w:rsidRDefault="00B74E92" w:rsidP="00243884">
      <w:pPr>
        <w:tabs>
          <w:tab w:val="right" w:leader="dot" w:pos="9214"/>
        </w:tabs>
      </w:pPr>
    </w:p>
    <w:p w14:paraId="638F0891" w14:textId="77777777" w:rsidR="00B74E92" w:rsidRDefault="00B74E92" w:rsidP="00243884">
      <w:pPr>
        <w:tabs>
          <w:tab w:val="right" w:leader="dot" w:pos="9214"/>
        </w:tabs>
      </w:pPr>
    </w:p>
    <w:p w14:paraId="01487E04" w14:textId="77777777" w:rsidR="00B74E92" w:rsidRDefault="00B74E92" w:rsidP="00243884">
      <w:pPr>
        <w:tabs>
          <w:tab w:val="right" w:leader="dot" w:pos="9214"/>
        </w:tabs>
      </w:pPr>
    </w:p>
    <w:p w14:paraId="5517230A" w14:textId="77777777" w:rsidR="00B74E92" w:rsidRDefault="00B74E92" w:rsidP="00243884">
      <w:pPr>
        <w:tabs>
          <w:tab w:val="right" w:leader="dot" w:pos="9214"/>
        </w:tabs>
      </w:pPr>
    </w:p>
    <w:p w14:paraId="73A80A53" w14:textId="77777777" w:rsidR="00B74E92" w:rsidRDefault="00B74E92" w:rsidP="00243884">
      <w:pPr>
        <w:tabs>
          <w:tab w:val="right" w:leader="dot" w:pos="9214"/>
        </w:tabs>
      </w:pPr>
    </w:p>
    <w:p w14:paraId="3964DCBE" w14:textId="77777777" w:rsidR="00C043E4" w:rsidRDefault="00A472D6">
      <w:pPr>
        <w:pStyle w:val="TableofFigures"/>
        <w:tabs>
          <w:tab w:val="right" w:leader="dot" w:pos="9344"/>
        </w:tabs>
        <w:rPr>
          <w:rFonts w:asciiTheme="minorHAnsi" w:hAnsiTheme="minorHAnsi" w:cstheme="minorBidi"/>
          <w:noProof/>
          <w:sz w:val="22"/>
          <w:lang w:eastAsia="en-AU"/>
        </w:rPr>
      </w:pPr>
      <w:r>
        <w:fldChar w:fldCharType="begin"/>
      </w:r>
      <w:r>
        <w:instrText xml:space="preserve"> TOC \h \z \c "Annex" </w:instrText>
      </w:r>
      <w:r>
        <w:fldChar w:fldCharType="separate"/>
      </w:r>
      <w:hyperlink w:anchor="_Toc487186260" w:history="1">
        <w:r w:rsidR="00C043E4" w:rsidRPr="00506BB1">
          <w:rPr>
            <w:rStyle w:val="Hyperlink"/>
            <w:b/>
            <w:noProof/>
          </w:rPr>
          <w:t>Annex 1: PHD Guiding Principles</w:t>
        </w:r>
        <w:r w:rsidR="00C043E4">
          <w:rPr>
            <w:noProof/>
            <w:webHidden/>
          </w:rPr>
          <w:tab/>
        </w:r>
        <w:r w:rsidR="00C043E4">
          <w:rPr>
            <w:noProof/>
            <w:webHidden/>
          </w:rPr>
          <w:fldChar w:fldCharType="begin"/>
        </w:r>
        <w:r w:rsidR="00C043E4">
          <w:rPr>
            <w:noProof/>
            <w:webHidden/>
          </w:rPr>
          <w:instrText xml:space="preserve"> PAGEREF _Toc487186260 \h </w:instrText>
        </w:r>
        <w:r w:rsidR="00C043E4">
          <w:rPr>
            <w:noProof/>
            <w:webHidden/>
          </w:rPr>
        </w:r>
        <w:r w:rsidR="00C043E4">
          <w:rPr>
            <w:noProof/>
            <w:webHidden/>
          </w:rPr>
          <w:fldChar w:fldCharType="separate"/>
        </w:r>
        <w:r w:rsidR="00B84559">
          <w:rPr>
            <w:noProof/>
            <w:webHidden/>
          </w:rPr>
          <w:t>12</w:t>
        </w:r>
        <w:r w:rsidR="00C043E4">
          <w:rPr>
            <w:noProof/>
            <w:webHidden/>
          </w:rPr>
          <w:fldChar w:fldCharType="end"/>
        </w:r>
      </w:hyperlink>
    </w:p>
    <w:p w14:paraId="6D754A40" w14:textId="77777777" w:rsidR="00C043E4" w:rsidRDefault="004436FB">
      <w:pPr>
        <w:pStyle w:val="TableofFigures"/>
        <w:tabs>
          <w:tab w:val="right" w:leader="dot" w:pos="9344"/>
        </w:tabs>
        <w:rPr>
          <w:rFonts w:asciiTheme="minorHAnsi" w:hAnsiTheme="minorHAnsi" w:cstheme="minorBidi"/>
          <w:noProof/>
          <w:sz w:val="22"/>
          <w:lang w:eastAsia="en-AU"/>
        </w:rPr>
      </w:pPr>
      <w:hyperlink w:anchor="_Toc487186261" w:history="1">
        <w:r w:rsidR="00C043E4" w:rsidRPr="00506BB1">
          <w:rPr>
            <w:rStyle w:val="Hyperlink"/>
            <w:b/>
            <w:noProof/>
          </w:rPr>
          <w:t>Annex 2: Government Counterparts</w:t>
        </w:r>
        <w:r w:rsidR="00C043E4">
          <w:rPr>
            <w:noProof/>
            <w:webHidden/>
          </w:rPr>
          <w:tab/>
        </w:r>
        <w:r w:rsidR="00C043E4">
          <w:rPr>
            <w:noProof/>
            <w:webHidden/>
          </w:rPr>
          <w:fldChar w:fldCharType="begin"/>
        </w:r>
        <w:r w:rsidR="00C043E4">
          <w:rPr>
            <w:noProof/>
            <w:webHidden/>
          </w:rPr>
          <w:instrText xml:space="preserve"> PAGEREF _Toc487186261 \h </w:instrText>
        </w:r>
        <w:r w:rsidR="00C043E4">
          <w:rPr>
            <w:noProof/>
            <w:webHidden/>
          </w:rPr>
        </w:r>
        <w:r w:rsidR="00C043E4">
          <w:rPr>
            <w:noProof/>
            <w:webHidden/>
          </w:rPr>
          <w:fldChar w:fldCharType="separate"/>
        </w:r>
        <w:r w:rsidR="00B84559">
          <w:rPr>
            <w:noProof/>
            <w:webHidden/>
          </w:rPr>
          <w:t>14</w:t>
        </w:r>
        <w:r w:rsidR="00C043E4">
          <w:rPr>
            <w:noProof/>
            <w:webHidden/>
          </w:rPr>
          <w:fldChar w:fldCharType="end"/>
        </w:r>
      </w:hyperlink>
    </w:p>
    <w:p w14:paraId="47AE624D" w14:textId="77777777" w:rsidR="00C043E4" w:rsidRDefault="004436FB">
      <w:pPr>
        <w:pStyle w:val="TableofFigures"/>
        <w:tabs>
          <w:tab w:val="right" w:leader="dot" w:pos="9344"/>
        </w:tabs>
        <w:rPr>
          <w:rFonts w:asciiTheme="minorHAnsi" w:hAnsiTheme="minorHAnsi" w:cstheme="minorBidi"/>
          <w:noProof/>
          <w:sz w:val="22"/>
          <w:lang w:eastAsia="en-AU"/>
        </w:rPr>
      </w:pPr>
      <w:hyperlink w:anchor="_Toc487186262" w:history="1">
        <w:r w:rsidR="00C043E4" w:rsidRPr="00506BB1">
          <w:rPr>
            <w:rStyle w:val="Hyperlink"/>
            <w:b/>
            <w:noProof/>
          </w:rPr>
          <w:t>Annex 3: Framework Implementation</w:t>
        </w:r>
        <w:r w:rsidR="00C043E4">
          <w:rPr>
            <w:noProof/>
            <w:webHidden/>
          </w:rPr>
          <w:tab/>
        </w:r>
        <w:r w:rsidR="00C043E4">
          <w:rPr>
            <w:noProof/>
            <w:webHidden/>
          </w:rPr>
          <w:fldChar w:fldCharType="begin"/>
        </w:r>
        <w:r w:rsidR="00C043E4">
          <w:rPr>
            <w:noProof/>
            <w:webHidden/>
          </w:rPr>
          <w:instrText xml:space="preserve"> PAGEREF _Toc487186262 \h </w:instrText>
        </w:r>
        <w:r w:rsidR="00C043E4">
          <w:rPr>
            <w:noProof/>
            <w:webHidden/>
          </w:rPr>
        </w:r>
        <w:r w:rsidR="00C043E4">
          <w:rPr>
            <w:noProof/>
            <w:webHidden/>
          </w:rPr>
          <w:fldChar w:fldCharType="separate"/>
        </w:r>
        <w:r w:rsidR="00B84559">
          <w:rPr>
            <w:noProof/>
            <w:webHidden/>
          </w:rPr>
          <w:t>15</w:t>
        </w:r>
        <w:r w:rsidR="00C043E4">
          <w:rPr>
            <w:noProof/>
            <w:webHidden/>
          </w:rPr>
          <w:fldChar w:fldCharType="end"/>
        </w:r>
      </w:hyperlink>
    </w:p>
    <w:p w14:paraId="07FDF0EE" w14:textId="77777777" w:rsidR="00C043E4" w:rsidRDefault="004436FB">
      <w:pPr>
        <w:pStyle w:val="TableofFigures"/>
        <w:tabs>
          <w:tab w:val="right" w:leader="dot" w:pos="9344"/>
        </w:tabs>
        <w:rPr>
          <w:rFonts w:asciiTheme="minorHAnsi" w:hAnsiTheme="minorHAnsi" w:cstheme="minorBidi"/>
          <w:noProof/>
          <w:sz w:val="22"/>
          <w:lang w:eastAsia="en-AU"/>
        </w:rPr>
      </w:pPr>
      <w:hyperlink w:anchor="_Toc487186263" w:history="1">
        <w:r w:rsidR="00C043E4" w:rsidRPr="00506BB1">
          <w:rPr>
            <w:rStyle w:val="Hyperlink"/>
            <w:b/>
            <w:noProof/>
          </w:rPr>
          <w:t>Annex 4: Criteria for Considering Municipal Scale-up Under PHD</w:t>
        </w:r>
        <w:r w:rsidR="00C043E4">
          <w:rPr>
            <w:noProof/>
            <w:webHidden/>
          </w:rPr>
          <w:tab/>
        </w:r>
        <w:r w:rsidR="00C043E4">
          <w:rPr>
            <w:noProof/>
            <w:webHidden/>
          </w:rPr>
          <w:fldChar w:fldCharType="begin"/>
        </w:r>
        <w:r w:rsidR="00C043E4">
          <w:rPr>
            <w:noProof/>
            <w:webHidden/>
          </w:rPr>
          <w:instrText xml:space="preserve"> PAGEREF _Toc487186263 \h </w:instrText>
        </w:r>
        <w:r w:rsidR="00C043E4">
          <w:rPr>
            <w:noProof/>
            <w:webHidden/>
          </w:rPr>
        </w:r>
        <w:r w:rsidR="00C043E4">
          <w:rPr>
            <w:noProof/>
            <w:webHidden/>
          </w:rPr>
          <w:fldChar w:fldCharType="separate"/>
        </w:r>
        <w:r w:rsidR="00B84559">
          <w:rPr>
            <w:noProof/>
            <w:webHidden/>
          </w:rPr>
          <w:t>22</w:t>
        </w:r>
        <w:r w:rsidR="00C043E4">
          <w:rPr>
            <w:noProof/>
            <w:webHidden/>
          </w:rPr>
          <w:fldChar w:fldCharType="end"/>
        </w:r>
      </w:hyperlink>
    </w:p>
    <w:p w14:paraId="51F699E1" w14:textId="77777777" w:rsidR="00880571" w:rsidRPr="00880571" w:rsidRDefault="00A472D6" w:rsidP="00243884">
      <w:pPr>
        <w:tabs>
          <w:tab w:val="right" w:leader="dot" w:pos="9214"/>
        </w:tabs>
        <w:sectPr w:rsidR="00880571" w:rsidRPr="00880571" w:rsidSect="00880B9D">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418" w:header="851" w:footer="851" w:gutter="0"/>
          <w:pgNumType w:fmt="lowerRoman" w:start="1"/>
          <w:cols w:space="708"/>
          <w:titlePg/>
          <w:docGrid w:linePitch="360"/>
        </w:sectPr>
      </w:pPr>
      <w:r>
        <w:fldChar w:fldCharType="end"/>
      </w:r>
    </w:p>
    <w:p w14:paraId="7D346E39" w14:textId="53CA1553" w:rsidR="00BC7CDA" w:rsidRDefault="00BC7CDA" w:rsidP="00BC7CDA">
      <w:pPr>
        <w:pStyle w:val="Heading1"/>
        <w:tabs>
          <w:tab w:val="clear" w:pos="0"/>
          <w:tab w:val="left" w:pos="851"/>
        </w:tabs>
        <w:ind w:left="851" w:hanging="851"/>
      </w:pPr>
      <w:bookmarkStart w:id="2" w:name="_Toc487186311"/>
      <w:r>
        <w:lastRenderedPageBreak/>
        <w:t>Introduction</w:t>
      </w:r>
      <w:bookmarkEnd w:id="2"/>
    </w:p>
    <w:p w14:paraId="15893AC3" w14:textId="6B7422AB" w:rsidR="00416CB3" w:rsidRDefault="00416CB3" w:rsidP="00416CB3">
      <w:r w:rsidRPr="00DA138B">
        <w:t xml:space="preserve">The Partnership for Human Development </w:t>
      </w:r>
      <w:r>
        <w:t xml:space="preserve">(PHD) </w:t>
      </w:r>
      <w:r w:rsidRPr="00DA138B">
        <w:t>between the Australian and Timor</w:t>
      </w:r>
      <w:r>
        <w:t>-</w:t>
      </w:r>
      <w:r w:rsidRPr="00DA138B">
        <w:t>Leste Governments supports the people of Timor</w:t>
      </w:r>
      <w:r>
        <w:t>-</w:t>
      </w:r>
      <w:r w:rsidRPr="00DA138B">
        <w:t>Leste to reach their potential.</w:t>
      </w:r>
    </w:p>
    <w:p w14:paraId="31C5ED69" w14:textId="59F52066" w:rsidR="0093488F" w:rsidRDefault="00416CB3" w:rsidP="00416CB3">
      <w:r>
        <w:t xml:space="preserve">The Australian Government has, until recently, supported </w:t>
      </w:r>
      <w:r w:rsidR="00E27F41">
        <w:t xml:space="preserve">separate </w:t>
      </w:r>
      <w:r>
        <w:t>developme</w:t>
      </w:r>
      <w:r w:rsidR="0093488F">
        <w:t xml:space="preserve">nt activities in Timor-Leste within the </w:t>
      </w:r>
      <w:r>
        <w:t>sectors of health, education, water, sanitation, social protection, nutrition, gender and disabili</w:t>
      </w:r>
      <w:r w:rsidR="0093488F">
        <w:t xml:space="preserve">ty. While individual activities </w:t>
      </w:r>
      <w:r>
        <w:t>have achieved good outcomes, the separate management of these sectors has sometimes overlooked the interconnection between each area</w:t>
      </w:r>
      <w:r w:rsidR="0093488F">
        <w:t>, and the benefits that sectoral work may have on the development outcomes of other sectoral areas, which has</w:t>
      </w:r>
      <w:r>
        <w:t xml:space="preserve"> </w:t>
      </w:r>
      <w:r w:rsidR="0093488F">
        <w:t>t</w:t>
      </w:r>
      <w:r>
        <w:t xml:space="preserve">he potential to achieve greater impact. For example, we know that improved sanitation facilities </w:t>
      </w:r>
      <w:r w:rsidR="0093488F">
        <w:t xml:space="preserve">in schools </w:t>
      </w:r>
      <w:r>
        <w:t>will probably lead to more adolescent girls attending school</w:t>
      </w:r>
      <w:r w:rsidR="0093488F">
        <w:t>, and similarly, improved education outcomes for girls would lead to better health and nutrition outcomes in the future, as they understand the benefits of and are more likely to access health care services and eat more nutritious foods</w:t>
      </w:r>
      <w:r>
        <w:t xml:space="preserve">. </w:t>
      </w:r>
    </w:p>
    <w:p w14:paraId="4CA00E33" w14:textId="61B19345" w:rsidR="00416CB3" w:rsidRDefault="00416CB3" w:rsidP="00416CB3">
      <w:r>
        <w:t>Towards that end, PHD has brought together the eight sectors with an intention to deliver more comprehensive</w:t>
      </w:r>
      <w:r w:rsidR="0093488F">
        <w:t xml:space="preserve"> and coherent support for women and</w:t>
      </w:r>
      <w:r>
        <w:t xml:space="preserve"> men, girls and boys</w:t>
      </w:r>
      <w:r w:rsidR="0093488F">
        <w:t>,</w:t>
      </w:r>
      <w:r>
        <w:t xml:space="preserve"> including those living with </w:t>
      </w:r>
      <w:r w:rsidR="0093488F">
        <w:t>a disability</w:t>
      </w:r>
      <w:r>
        <w:t xml:space="preserve">. </w:t>
      </w:r>
    </w:p>
    <w:tbl>
      <w:tblPr>
        <w:tblStyle w:val="TableGrid"/>
        <w:tblW w:w="0" w:type="auto"/>
        <w:tblBorders>
          <w:top w:val="single" w:sz="8" w:space="0" w:color="FF931E"/>
          <w:left w:val="single" w:sz="8" w:space="0" w:color="FF931E"/>
          <w:bottom w:val="single" w:sz="8" w:space="0" w:color="FF931E"/>
          <w:right w:val="single" w:sz="8" w:space="0" w:color="FF931E"/>
          <w:insideH w:val="single" w:sz="8" w:space="0" w:color="FF931E"/>
          <w:insideV w:val="single" w:sz="8" w:space="0" w:color="FF931E"/>
        </w:tblBorders>
        <w:shd w:val="clear" w:color="auto" w:fill="FDE5CC" w:themeFill="accent1" w:themeFillTint="33"/>
        <w:tblLook w:val="04A0" w:firstRow="1" w:lastRow="0" w:firstColumn="1" w:lastColumn="0" w:noHBand="0" w:noVBand="1"/>
      </w:tblPr>
      <w:tblGrid>
        <w:gridCol w:w="9335"/>
      </w:tblGrid>
      <w:tr w:rsidR="00416CB3" w:rsidRPr="00416CB3" w14:paraId="724B619E" w14:textId="77777777" w:rsidTr="00F76E96">
        <w:tc>
          <w:tcPr>
            <w:tcW w:w="9345" w:type="dxa"/>
            <w:shd w:val="clear" w:color="auto" w:fill="FDE5CC" w:themeFill="accent1" w:themeFillTint="33"/>
          </w:tcPr>
          <w:p w14:paraId="73EF665E" w14:textId="4FB8C1B7" w:rsidR="00416CB3" w:rsidRPr="00F76E96" w:rsidRDefault="00546AA0" w:rsidP="00416CB3">
            <w:pPr>
              <w:jc w:val="center"/>
              <w:rPr>
                <w:b/>
                <w:color w:val="FF931E"/>
                <w:sz w:val="22"/>
              </w:rPr>
            </w:pPr>
            <w:r>
              <w:rPr>
                <w:b/>
                <w:color w:val="FF931E"/>
                <w:sz w:val="22"/>
              </w:rPr>
              <w:t>Cross</w:t>
            </w:r>
            <w:r w:rsidR="00416CB3" w:rsidRPr="00F76E96">
              <w:rPr>
                <w:b/>
                <w:color w:val="FF931E"/>
                <w:sz w:val="22"/>
              </w:rPr>
              <w:t>-sector</w:t>
            </w:r>
            <w:r>
              <w:rPr>
                <w:b/>
                <w:color w:val="FF931E"/>
                <w:sz w:val="22"/>
              </w:rPr>
              <w:t>al</w:t>
            </w:r>
            <w:r w:rsidR="00416CB3" w:rsidRPr="00F76E96">
              <w:rPr>
                <w:b/>
                <w:color w:val="FF931E"/>
                <w:sz w:val="22"/>
              </w:rPr>
              <w:t xml:space="preserve"> Approaches</w:t>
            </w:r>
          </w:p>
          <w:p w14:paraId="42370D46" w14:textId="52E53078" w:rsidR="00416CB3" w:rsidRPr="00416CB3" w:rsidRDefault="00416CB3" w:rsidP="00416CB3">
            <w:pPr>
              <w:rPr>
                <w:szCs w:val="20"/>
              </w:rPr>
            </w:pPr>
            <w:r w:rsidRPr="00416CB3">
              <w:rPr>
                <w:szCs w:val="20"/>
              </w:rPr>
              <w:t>PHD will e</w:t>
            </w:r>
            <w:r w:rsidR="00546AA0">
              <w:rPr>
                <w:szCs w:val="20"/>
              </w:rPr>
              <w:t>mploy cross</w:t>
            </w:r>
            <w:r w:rsidRPr="00416CB3">
              <w:rPr>
                <w:szCs w:val="20"/>
              </w:rPr>
              <w:t>-sector</w:t>
            </w:r>
            <w:r w:rsidR="00546AA0">
              <w:rPr>
                <w:szCs w:val="20"/>
              </w:rPr>
              <w:t>al</w:t>
            </w:r>
            <w:r w:rsidR="00E27F41">
              <w:rPr>
                <w:szCs w:val="20"/>
              </w:rPr>
              <w:t xml:space="preserve"> approaches in how the program operate</w:t>
            </w:r>
            <w:r w:rsidRPr="00416CB3">
              <w:rPr>
                <w:szCs w:val="20"/>
              </w:rPr>
              <w:t xml:space="preserve">s. For the purposes of this strategy, </w:t>
            </w:r>
            <w:r w:rsidR="00546AA0">
              <w:rPr>
                <w:b/>
                <w:szCs w:val="20"/>
              </w:rPr>
              <w:t>cross</w:t>
            </w:r>
            <w:r w:rsidRPr="00416CB3">
              <w:rPr>
                <w:b/>
                <w:szCs w:val="20"/>
              </w:rPr>
              <w:t>-sector</w:t>
            </w:r>
            <w:r w:rsidR="00546AA0">
              <w:rPr>
                <w:b/>
                <w:szCs w:val="20"/>
              </w:rPr>
              <w:t>al</w:t>
            </w:r>
            <w:r w:rsidRPr="00416CB3">
              <w:rPr>
                <w:szCs w:val="20"/>
              </w:rPr>
              <w:t xml:space="preserve"> refers to instances whereby two </w:t>
            </w:r>
            <w:r w:rsidR="00546AA0">
              <w:rPr>
                <w:szCs w:val="20"/>
              </w:rPr>
              <w:t>or more</w:t>
            </w:r>
            <w:r w:rsidRPr="00416CB3">
              <w:rPr>
                <w:szCs w:val="20"/>
              </w:rPr>
              <w:t xml:space="preserve"> sectors work together to address a single, or set of, development challenges</w:t>
            </w:r>
            <w:r w:rsidR="00546AA0">
              <w:rPr>
                <w:szCs w:val="20"/>
              </w:rPr>
              <w:t xml:space="preserve"> to achieve greater development outcomes</w:t>
            </w:r>
            <w:r w:rsidRPr="00416CB3">
              <w:rPr>
                <w:szCs w:val="20"/>
              </w:rPr>
              <w:t xml:space="preserve">. </w:t>
            </w:r>
            <w:r w:rsidR="00546AA0">
              <w:rPr>
                <w:szCs w:val="20"/>
              </w:rPr>
              <w:t>An example of this is the PHD geographic approach being trialled in Bobonaro whereby multiple sectors are</w:t>
            </w:r>
            <w:r w:rsidRPr="00416CB3">
              <w:rPr>
                <w:szCs w:val="20"/>
              </w:rPr>
              <w:t xml:space="preserve"> work</w:t>
            </w:r>
            <w:r w:rsidR="00546AA0">
              <w:rPr>
                <w:szCs w:val="20"/>
              </w:rPr>
              <w:t>ing</w:t>
            </w:r>
            <w:r w:rsidRPr="00416CB3">
              <w:rPr>
                <w:szCs w:val="20"/>
              </w:rPr>
              <w:t xml:space="preserve"> in a coordinated and collaborative </w:t>
            </w:r>
            <w:r w:rsidR="00546AA0">
              <w:rPr>
                <w:szCs w:val="20"/>
              </w:rPr>
              <w:t>way</w:t>
            </w:r>
            <w:r w:rsidRPr="00416CB3">
              <w:rPr>
                <w:szCs w:val="20"/>
              </w:rPr>
              <w:t xml:space="preserve"> to improve the accessibility and functioning of local facilities</w:t>
            </w:r>
            <w:r w:rsidR="00546AA0">
              <w:rPr>
                <w:szCs w:val="20"/>
              </w:rPr>
              <w:t xml:space="preserve"> and services</w:t>
            </w:r>
            <w:r w:rsidRPr="00416CB3">
              <w:rPr>
                <w:szCs w:val="20"/>
              </w:rPr>
              <w:t xml:space="preserve">. </w:t>
            </w:r>
          </w:p>
          <w:p w14:paraId="66F22391" w14:textId="23FB1D5E" w:rsidR="00416CB3" w:rsidRPr="00416CB3" w:rsidRDefault="00416CB3" w:rsidP="00546AA0">
            <w:pPr>
              <w:rPr>
                <w:szCs w:val="20"/>
              </w:rPr>
            </w:pPr>
            <w:r w:rsidRPr="00416CB3">
              <w:rPr>
                <w:szCs w:val="20"/>
              </w:rPr>
              <w:t xml:space="preserve">The number of sectors engaged around an issue will ultimately be determined by the </w:t>
            </w:r>
            <w:r w:rsidRPr="00416CB3">
              <w:rPr>
                <w:b/>
                <w:szCs w:val="20"/>
              </w:rPr>
              <w:t>nature of the development challenge</w:t>
            </w:r>
            <w:r w:rsidRPr="00416CB3">
              <w:rPr>
                <w:szCs w:val="20"/>
              </w:rPr>
              <w:t xml:space="preserve"> </w:t>
            </w:r>
            <w:r w:rsidR="00546AA0">
              <w:rPr>
                <w:szCs w:val="20"/>
              </w:rPr>
              <w:t xml:space="preserve">that </w:t>
            </w:r>
            <w:r w:rsidRPr="00416CB3">
              <w:rPr>
                <w:szCs w:val="20"/>
              </w:rPr>
              <w:t xml:space="preserve">PHD is supporting </w:t>
            </w:r>
            <w:r w:rsidR="00546AA0">
              <w:rPr>
                <w:szCs w:val="20"/>
              </w:rPr>
              <w:t xml:space="preserve">the </w:t>
            </w:r>
            <w:r w:rsidRPr="00416CB3">
              <w:rPr>
                <w:szCs w:val="20"/>
              </w:rPr>
              <w:t>Go</w:t>
            </w:r>
            <w:r w:rsidR="00546AA0">
              <w:rPr>
                <w:szCs w:val="20"/>
              </w:rPr>
              <w:t xml:space="preserve">vernment of </w:t>
            </w:r>
            <w:r w:rsidRPr="00416CB3">
              <w:rPr>
                <w:szCs w:val="20"/>
              </w:rPr>
              <w:t>T</w:t>
            </w:r>
            <w:r w:rsidR="00546AA0">
              <w:rPr>
                <w:szCs w:val="20"/>
              </w:rPr>
              <w:t>imor-</w:t>
            </w:r>
            <w:r w:rsidRPr="00416CB3">
              <w:rPr>
                <w:szCs w:val="20"/>
              </w:rPr>
              <w:t>L</w:t>
            </w:r>
            <w:r w:rsidR="00546AA0">
              <w:rPr>
                <w:szCs w:val="20"/>
              </w:rPr>
              <w:t>este</w:t>
            </w:r>
            <w:r w:rsidR="00E27F41">
              <w:rPr>
                <w:szCs w:val="20"/>
              </w:rPr>
              <w:t xml:space="preserve"> and</w:t>
            </w:r>
            <w:r w:rsidRPr="00416CB3">
              <w:rPr>
                <w:szCs w:val="20"/>
              </w:rPr>
              <w:t xml:space="preserve"> its citizens to address. The succe</w:t>
            </w:r>
            <w:r w:rsidR="00546AA0">
              <w:rPr>
                <w:szCs w:val="20"/>
              </w:rPr>
              <w:t>ss of these approaches also relies</w:t>
            </w:r>
            <w:r w:rsidRPr="00416CB3">
              <w:rPr>
                <w:szCs w:val="20"/>
              </w:rPr>
              <w:t xml:space="preserve">, critically, on the capacity of </w:t>
            </w:r>
            <w:r w:rsidR="00546AA0">
              <w:rPr>
                <w:b/>
                <w:szCs w:val="20"/>
              </w:rPr>
              <w:t>Government of Timor-Leste</w:t>
            </w:r>
            <w:r w:rsidRPr="00416CB3">
              <w:rPr>
                <w:b/>
                <w:szCs w:val="20"/>
              </w:rPr>
              <w:t xml:space="preserve"> to also coordinate</w:t>
            </w:r>
            <w:r w:rsidRPr="00416CB3">
              <w:rPr>
                <w:szCs w:val="20"/>
              </w:rPr>
              <w:t xml:space="preserve"> policy and resources across </w:t>
            </w:r>
            <w:r w:rsidR="00546AA0">
              <w:rPr>
                <w:szCs w:val="20"/>
              </w:rPr>
              <w:t xml:space="preserve">its </w:t>
            </w:r>
            <w:r w:rsidRPr="00416CB3">
              <w:rPr>
                <w:szCs w:val="20"/>
              </w:rPr>
              <w:t>different agencies and organisations</w:t>
            </w:r>
            <w:r w:rsidR="00546AA0">
              <w:rPr>
                <w:szCs w:val="20"/>
              </w:rPr>
              <w:t>.</w:t>
            </w:r>
          </w:p>
        </w:tc>
      </w:tr>
    </w:tbl>
    <w:p w14:paraId="334D9FAE" w14:textId="31F42245" w:rsidR="00416CB3" w:rsidRDefault="00416CB3" w:rsidP="00416CB3">
      <w:r>
        <w:t>Bringing eight sectors together under one program is an innovative con</w:t>
      </w:r>
      <w:r w:rsidR="00D27807">
        <w:t>cept. While there is evidence that</w:t>
      </w:r>
      <w:r>
        <w:t xml:space="preserve"> show</w:t>
      </w:r>
      <w:r w:rsidR="00D27807">
        <w:t>s</w:t>
      </w:r>
      <w:r>
        <w:t xml:space="preserve"> working across more than one sector often delivers better development outcomes, the number and type of sectors </w:t>
      </w:r>
      <w:r w:rsidR="00D27807">
        <w:t>that</w:t>
      </w:r>
      <w:r>
        <w:t xml:space="preserve"> PHD will coordinate is unique.</w:t>
      </w:r>
      <w:r>
        <w:rPr>
          <w:rStyle w:val="FootnoteReference"/>
        </w:rPr>
        <w:footnoteReference w:id="1"/>
      </w:r>
      <w:r>
        <w:t xml:space="preserve"> As such, PHD is func</w:t>
      </w:r>
      <w:r w:rsidR="00621A48">
        <w:t>tioning as an ‘emergent design’.</w:t>
      </w:r>
      <w:r>
        <w:t xml:space="preserve"> </w:t>
      </w:r>
      <w:r w:rsidR="00621A48">
        <w:t>This means</w:t>
      </w:r>
      <w:r>
        <w:t xml:space="preserve"> that it will test</w:t>
      </w:r>
      <w:r w:rsidR="00D27807">
        <w:t>, reflect</w:t>
      </w:r>
      <w:r>
        <w:t xml:space="preserve"> and learn as it goes. It will aim </w:t>
      </w:r>
      <w:r w:rsidR="00D27807">
        <w:t>to understand when and why cross</w:t>
      </w:r>
      <w:r>
        <w:t>-sector</w:t>
      </w:r>
      <w:r w:rsidR="00D27807">
        <w:t>al</w:t>
      </w:r>
      <w:r>
        <w:t xml:space="preserve"> coordination works best to achieve</w:t>
      </w:r>
      <w:r w:rsidR="00E27F41">
        <w:t xml:space="preserve"> positive</w:t>
      </w:r>
      <w:r>
        <w:t xml:space="preserve"> impact</w:t>
      </w:r>
      <w:r w:rsidR="00E27F41">
        <w:t>s</w:t>
      </w:r>
      <w:r>
        <w:t xml:space="preserve"> for the people of Timor-Leste.</w:t>
      </w:r>
    </w:p>
    <w:p w14:paraId="77F1E62A" w14:textId="678DE4AC" w:rsidR="00416CB3" w:rsidRDefault="00416CB3" w:rsidP="00416CB3">
      <w:r>
        <w:t>In addition, given that there</w:t>
      </w:r>
      <w:r w:rsidR="00D27807">
        <w:t xml:space="preserve"> are several existing</w:t>
      </w:r>
      <w:r>
        <w:t xml:space="preserve"> high-quality activities under each of the eight sectors, and because th</w:t>
      </w:r>
      <w:r w:rsidR="00D27807">
        <w:t>is is a new and untested approach</w:t>
      </w:r>
      <w:r>
        <w:t xml:space="preserve">, DFAT has made the decision to transition the program over time. </w:t>
      </w:r>
      <w:r w:rsidR="00D27807">
        <w:t>This may take the shape</w:t>
      </w:r>
      <w:r w:rsidR="00E27F41">
        <w:t xml:space="preserve"> of a phased approach. </w:t>
      </w:r>
      <w:r w:rsidR="00D27807">
        <w:t>PHD will</w:t>
      </w:r>
      <w:r>
        <w:t xml:space="preserve"> initially continue </w:t>
      </w:r>
      <w:r w:rsidR="00D27807">
        <w:t xml:space="preserve">with </w:t>
      </w:r>
      <w:r>
        <w:t xml:space="preserve">existing disparate activities in each sector, and through a </w:t>
      </w:r>
      <w:r w:rsidR="00D27807">
        <w:t xml:space="preserve">careful </w:t>
      </w:r>
      <w:r>
        <w:t xml:space="preserve">strategic planning and implementation approach, over time PHD </w:t>
      </w:r>
      <w:r w:rsidR="00D27807">
        <w:t xml:space="preserve">may </w:t>
      </w:r>
      <w:r>
        <w:t xml:space="preserve">shift to a program addressing a common goal and set of objectives. </w:t>
      </w:r>
    </w:p>
    <w:p w14:paraId="49110879" w14:textId="200ADFB5" w:rsidR="00416CB3" w:rsidRPr="00416CB3" w:rsidRDefault="00D27807" w:rsidP="00416CB3">
      <w:r>
        <w:t>This document provides a</w:t>
      </w:r>
      <w:r w:rsidR="00416CB3">
        <w:t xml:space="preserve"> </w:t>
      </w:r>
      <w:r>
        <w:t>f</w:t>
      </w:r>
      <w:r w:rsidR="00416CB3">
        <w:t>ramework that will underpin the further development of PHD</w:t>
      </w:r>
      <w:r>
        <w:t>’s strategic direction</w:t>
      </w:r>
      <w:r w:rsidR="00416CB3">
        <w:t xml:space="preserve"> </w:t>
      </w:r>
      <w:r>
        <w:t>over the next five years</w:t>
      </w:r>
      <w:r w:rsidR="00416CB3">
        <w:t xml:space="preserve"> (2017-2021) recognising that the implementation approach will be flexible and adaptive</w:t>
      </w:r>
      <w:r>
        <w:t>,</w:t>
      </w:r>
      <w:r w:rsidR="00416CB3">
        <w:t xml:space="preserve"> and regularly reviewed. It outlines the </w:t>
      </w:r>
      <w:r>
        <w:t>PHD goal and approach to change,</w:t>
      </w:r>
      <w:r w:rsidR="00416CB3">
        <w:t xml:space="preserve"> </w:t>
      </w:r>
      <w:r>
        <w:t xml:space="preserve">offers guidance on </w:t>
      </w:r>
      <w:r w:rsidR="00416CB3">
        <w:t xml:space="preserve">the strategic approach that will take PHD from eight </w:t>
      </w:r>
      <w:r w:rsidR="008A66DA">
        <w:t>individual</w:t>
      </w:r>
      <w:r w:rsidR="00416CB3">
        <w:t xml:space="preserve"> sectors to a cohesive and coordinated program</w:t>
      </w:r>
      <w:r w:rsidR="008A66DA">
        <w:t>,</w:t>
      </w:r>
      <w:r w:rsidR="00416CB3">
        <w:t xml:space="preserve"> and </w:t>
      </w:r>
      <w:r w:rsidR="008A66DA">
        <w:t>sets out the accompanying program wide objectives. This framework complements the PHD Annual P</w:t>
      </w:r>
      <w:r w:rsidR="00416CB3">
        <w:t>lan, identifying additional roles, responsibilities and timing for key strategic program development. It provides the overarching framework for th</w:t>
      </w:r>
      <w:r w:rsidR="008A66DA">
        <w:t>e PHD sector plans and the PHD Monitoring, Evaluation and Learning F</w:t>
      </w:r>
      <w:r w:rsidR="00416CB3">
        <w:t>ramework</w:t>
      </w:r>
      <w:r w:rsidR="00D95132">
        <w:t xml:space="preserve"> (MELF)</w:t>
      </w:r>
      <w:r w:rsidR="00416CB3">
        <w:t>. Along with the</w:t>
      </w:r>
      <w:r w:rsidR="008A66DA">
        <w:t xml:space="preserve"> annual</w:t>
      </w:r>
      <w:r w:rsidR="00416CB3">
        <w:t xml:space="preserve"> program budget and activities, </w:t>
      </w:r>
      <w:r w:rsidR="008A66DA">
        <w:t>this framework</w:t>
      </w:r>
      <w:r w:rsidR="00416CB3">
        <w:t xml:space="preserve"> will require updating on an annual basis to remain relevant to the Timorese context and needs of the Governments of Timor-Leste and Australia.</w:t>
      </w:r>
    </w:p>
    <w:p w14:paraId="60E48B8E" w14:textId="6FB253B0" w:rsidR="00BC7CDA" w:rsidRDefault="00BC7CDA" w:rsidP="00BC7CDA">
      <w:pPr>
        <w:pStyle w:val="Heading1"/>
        <w:tabs>
          <w:tab w:val="clear" w:pos="0"/>
          <w:tab w:val="left" w:pos="851"/>
        </w:tabs>
        <w:ind w:left="851" w:hanging="851"/>
      </w:pPr>
      <w:bookmarkStart w:id="3" w:name="_Toc487186312"/>
      <w:r>
        <w:lastRenderedPageBreak/>
        <w:t>Focus for Change</w:t>
      </w:r>
      <w:bookmarkEnd w:id="3"/>
    </w:p>
    <w:p w14:paraId="235BAA38" w14:textId="657CC708" w:rsidR="00416CB3" w:rsidRDefault="00416CB3" w:rsidP="00416CB3">
      <w:r>
        <w:t>The Australian Government</w:t>
      </w:r>
      <w:r w:rsidR="00105AE1">
        <w:t>’s</w:t>
      </w:r>
      <w:r>
        <w:t xml:space="preserve"> aid policy in </w:t>
      </w:r>
      <w:r w:rsidR="00F76E96">
        <w:t>Timor-Leste</w:t>
      </w:r>
      <w:r>
        <w:t xml:space="preserve"> includes a specific objective of ‘Enhancing Human Development’</w:t>
      </w:r>
      <w:r>
        <w:rPr>
          <w:rStyle w:val="FootnoteReference"/>
        </w:rPr>
        <w:footnoteReference w:id="2"/>
      </w:r>
      <w:r w:rsidR="00105AE1">
        <w:t>.</w:t>
      </w:r>
      <w:r>
        <w:t xml:space="preserve"> This is in line with </w:t>
      </w:r>
      <w:r w:rsidR="008A66DA">
        <w:t xml:space="preserve">the </w:t>
      </w:r>
      <w:r>
        <w:t xml:space="preserve">Government of </w:t>
      </w:r>
      <w:r w:rsidR="00F76E96">
        <w:t>Timor-Leste</w:t>
      </w:r>
      <w:r w:rsidR="008A66DA">
        <w:t>’s</w:t>
      </w:r>
      <w:r>
        <w:t xml:space="preserve"> policy, which is committed to reducing poverty and increasing well-being of its people, especially those living in rural areas</w:t>
      </w:r>
      <w:r w:rsidR="008A66DA">
        <w:t>.</w:t>
      </w:r>
      <w:r>
        <w:rPr>
          <w:rStyle w:val="FootnoteReference"/>
        </w:rPr>
        <w:footnoteReference w:id="3"/>
      </w:r>
    </w:p>
    <w:p w14:paraId="0E9DEF2D" w14:textId="32464434" w:rsidR="00416CB3" w:rsidRDefault="00416CB3" w:rsidP="00416CB3">
      <w:r>
        <w:t>While there have been significant improvements in people’s lives since independence</w:t>
      </w:r>
      <w:r w:rsidR="008A66DA">
        <w:t>,</w:t>
      </w:r>
      <w:r>
        <w:rPr>
          <w:rStyle w:val="FootnoteReference"/>
        </w:rPr>
        <w:footnoteReference w:id="4"/>
      </w:r>
      <w:r>
        <w:t xml:space="preserve"> several reports, including those referenced in the design document for PHD, identify the ongoing challenges faced by women, men and children living in rural areas of </w:t>
      </w:r>
      <w:r w:rsidR="00F76E96">
        <w:t>Timor-Leste</w:t>
      </w:r>
      <w:r>
        <w:t>. These include limited access to some essential services</w:t>
      </w:r>
      <w:r w:rsidR="008A66DA">
        <w:t>,</w:t>
      </w:r>
      <w:r>
        <w:t xml:space="preserve"> particularly </w:t>
      </w:r>
      <w:r w:rsidR="008A66DA">
        <w:t xml:space="preserve">basic </w:t>
      </w:r>
      <w:r>
        <w:t>health</w:t>
      </w:r>
      <w:r w:rsidR="008A66DA">
        <w:t xml:space="preserve"> services and good quality education;</w:t>
      </w:r>
      <w:r>
        <w:t xml:space="preserve"> very high rates of maternal and child morbidity and mortality</w:t>
      </w:r>
      <w:r w:rsidR="008A66DA">
        <w:t>;</w:t>
      </w:r>
      <w:r>
        <w:t xml:space="preserve"> poor nutrition in some locations </w:t>
      </w:r>
      <w:r w:rsidR="008A66DA">
        <w:t xml:space="preserve">leading </w:t>
      </w:r>
      <w:r>
        <w:t>to significant problems with malnutrition</w:t>
      </w:r>
      <w:r w:rsidR="008A66DA">
        <w:t>;</w:t>
      </w:r>
      <w:r>
        <w:t xml:space="preserve"> limited access to water and sanitation</w:t>
      </w:r>
      <w:r w:rsidR="008A66DA">
        <w:t>;</w:t>
      </w:r>
      <w:r>
        <w:t xml:space="preserve"> and limited opportunity for economic development. Women and people living with </w:t>
      </w:r>
      <w:r w:rsidR="008A66DA">
        <w:t xml:space="preserve">a </w:t>
      </w:r>
      <w:r>
        <w:t>disability are especially vulnerable to many of these challenges.</w:t>
      </w:r>
      <w:r>
        <w:rPr>
          <w:rStyle w:val="FootnoteReference"/>
        </w:rPr>
        <w:footnoteReference w:id="5"/>
      </w:r>
      <w:r>
        <w:t xml:space="preserve"> </w:t>
      </w:r>
    </w:p>
    <w:p w14:paraId="5BED5A1A" w14:textId="4775CDD2" w:rsidR="00416CB3" w:rsidRDefault="00416CB3" w:rsidP="00416CB3">
      <w:r>
        <w:t>Further inquiry undertaken for this planning process indicates that while people living in rural areas have high capability and self-reliance</w:t>
      </w:r>
      <w:r w:rsidR="008A66DA">
        <w:t>,</w:t>
      </w:r>
      <w:r>
        <w:rPr>
          <w:rStyle w:val="FootnoteReference"/>
        </w:rPr>
        <w:footnoteReference w:id="6"/>
      </w:r>
      <w:r>
        <w:t xml:space="preserve"> they often lack the information and opportunity to realise their full potential. Alongside the challenges outlined above, people do not necessarily know the services and opportunities to which they are entitled</w:t>
      </w:r>
      <w:r w:rsidR="008A66DA">
        <w:t>,</w:t>
      </w:r>
      <w:r>
        <w:t xml:space="preserve"> nor how to work with government and others to </w:t>
      </w:r>
      <w:r w:rsidR="008A66DA">
        <w:t xml:space="preserve">effect change and </w:t>
      </w:r>
      <w:r>
        <w:t xml:space="preserve">see improvements in their </w:t>
      </w:r>
      <w:r w:rsidR="008A66DA">
        <w:t>localities</w:t>
      </w:r>
      <w:r>
        <w:t xml:space="preserve">. Furthermore, where there are signs that local services are working in </w:t>
      </w:r>
      <w:r w:rsidR="008A66DA">
        <w:t xml:space="preserve">rural </w:t>
      </w:r>
      <w:r w:rsidR="00F76E96">
        <w:t>Timor-Leste</w:t>
      </w:r>
      <w:r>
        <w:t>, it is often the case that these improvements are not connected to national level support</w:t>
      </w:r>
      <w:r w:rsidR="008A66DA">
        <w:t>.</w:t>
      </w:r>
      <w:r>
        <w:rPr>
          <w:rStyle w:val="FootnoteReference"/>
        </w:rPr>
        <w:footnoteReference w:id="7"/>
      </w:r>
    </w:p>
    <w:p w14:paraId="3BA67F99" w14:textId="7EEC7BC8" w:rsidR="00416CB3" w:rsidRDefault="00416CB3" w:rsidP="00416CB3">
      <w:r>
        <w:t xml:space="preserve">Looking at the whole experience of people in </w:t>
      </w:r>
      <w:r w:rsidR="00F76E96">
        <w:t>Timor-Leste</w:t>
      </w:r>
      <w:r>
        <w:t xml:space="preserve">, especially those living in rural areas and people living with </w:t>
      </w:r>
      <w:r w:rsidR="00105AE1">
        <w:t xml:space="preserve">a </w:t>
      </w:r>
      <w:r>
        <w:t xml:space="preserve">disability, suggests that the barriers to their human development and well-being are multifaceted and interconnected. The World Bank describes poverty in </w:t>
      </w:r>
      <w:r w:rsidR="00F76E96">
        <w:t>Timor-Leste</w:t>
      </w:r>
      <w:r>
        <w:t xml:space="preserve"> as ‘multidimensional’</w:t>
      </w:r>
      <w:r>
        <w:rPr>
          <w:rStyle w:val="FootnoteReference"/>
        </w:rPr>
        <w:footnoteReference w:id="8"/>
      </w:r>
      <w:r>
        <w:t xml:space="preserve">. </w:t>
      </w:r>
    </w:p>
    <w:p w14:paraId="4156ADFF" w14:textId="3393C559" w:rsidR="00605964" w:rsidRDefault="00416CB3" w:rsidP="00416CB3">
      <w:r>
        <w:t>In the past DFAT has supported individual sector programs to address specific elements of this complex system. While these various activities have been effective in bringing about change in aspects of people’s lives, or in certain parts of the service delivery system, the</w:t>
      </w:r>
      <w:r w:rsidR="00621A48">
        <w:t>ir impact and sustainability have</w:t>
      </w:r>
      <w:r>
        <w:t xml:space="preserve"> been limited because of their narrow secto</w:t>
      </w:r>
      <w:r w:rsidR="00105AE1">
        <w:t xml:space="preserve">r or geographic focus </w:t>
      </w:r>
      <w:r w:rsidR="006D3BA1">
        <w:t>(for example,</w:t>
      </w:r>
      <w:r w:rsidR="00105AE1">
        <w:t xml:space="preserve"> too Dili-</w:t>
      </w:r>
      <w:r>
        <w:t>centric or too focused along the national road corridor)</w:t>
      </w:r>
      <w:r w:rsidR="00105AE1">
        <w:t>.</w:t>
      </w:r>
      <w:r>
        <w:rPr>
          <w:rStyle w:val="FootnoteReference"/>
        </w:rPr>
        <w:footnoteReference w:id="9"/>
      </w:r>
      <w:r>
        <w:t xml:space="preserve"> </w:t>
      </w:r>
      <w:r>
        <w:rPr>
          <w:lang w:val="en-US"/>
        </w:rPr>
        <w:t>The limitations of this approach within the whole Australian aid program are increasingly coming into question</w:t>
      </w:r>
      <w:r w:rsidR="00105AE1">
        <w:rPr>
          <w:lang w:val="en-US"/>
        </w:rPr>
        <w:t>.</w:t>
      </w:r>
      <w:r>
        <w:rPr>
          <w:rStyle w:val="FootnoteReference"/>
          <w:lang w:val="en-US"/>
        </w:rPr>
        <w:footnoteReference w:id="10"/>
      </w:r>
      <w:r>
        <w:rPr>
          <w:lang w:val="en-US"/>
        </w:rPr>
        <w:t xml:space="preserve"> </w:t>
      </w:r>
      <w:r>
        <w:t>Recent review</w:t>
      </w:r>
      <w:r w:rsidR="00105AE1">
        <w:t>s</w:t>
      </w:r>
      <w:r>
        <w:t xml:space="preserve"> of aid programs in </w:t>
      </w:r>
      <w:r w:rsidR="00F76E96">
        <w:t>Timor-Leste</w:t>
      </w:r>
      <w:r>
        <w:t xml:space="preserve"> suggests that single sector programs have introduced good quality solutions to narrow and </w:t>
      </w:r>
      <w:r w:rsidRPr="00A245FF">
        <w:rPr>
          <w:i/>
        </w:rPr>
        <w:t>complicated</w:t>
      </w:r>
      <w:r>
        <w:t xml:space="preserve"> problems, but have not addressed the multiple and </w:t>
      </w:r>
      <w:r w:rsidRPr="00105AE1">
        <w:rPr>
          <w:i/>
        </w:rPr>
        <w:t xml:space="preserve">highly </w:t>
      </w:r>
      <w:r w:rsidRPr="00A245FF">
        <w:rPr>
          <w:i/>
        </w:rPr>
        <w:t>complex</w:t>
      </w:r>
      <w:r>
        <w:t xml:space="preserve"> burdens faced by people living in rural areas.</w:t>
      </w:r>
      <w:r>
        <w:rPr>
          <w:rStyle w:val="FootnoteReference"/>
        </w:rPr>
        <w:footnoteReference w:id="11"/>
      </w:r>
    </w:p>
    <w:p w14:paraId="5EC13750" w14:textId="77777777" w:rsidR="00BC7CDA" w:rsidRDefault="00BC7CDA" w:rsidP="00BC7CDA">
      <w:pPr>
        <w:pStyle w:val="Heading1"/>
        <w:tabs>
          <w:tab w:val="clear" w:pos="0"/>
          <w:tab w:val="left" w:pos="851"/>
        </w:tabs>
        <w:ind w:left="851" w:hanging="851"/>
      </w:pPr>
      <w:bookmarkStart w:id="4" w:name="_Toc487186313"/>
      <w:r>
        <w:lastRenderedPageBreak/>
        <w:t>Approach to Change</w:t>
      </w:r>
      <w:bookmarkEnd w:id="4"/>
    </w:p>
    <w:p w14:paraId="73A15422" w14:textId="77777777" w:rsidR="00FC7160" w:rsidRPr="00FC7160" w:rsidRDefault="00FC7160" w:rsidP="00FC7160">
      <w:pPr>
        <w:pStyle w:val="ListParagraph"/>
        <w:keepNext/>
        <w:keepLines/>
        <w:numPr>
          <w:ilvl w:val="0"/>
          <w:numId w:val="5"/>
        </w:numPr>
        <w:tabs>
          <w:tab w:val="left" w:pos="851"/>
        </w:tabs>
        <w:spacing w:before="240" w:after="240" w:line="240" w:lineRule="auto"/>
        <w:contextualSpacing w:val="0"/>
        <w:jc w:val="both"/>
        <w:outlineLvl w:val="1"/>
        <w:rPr>
          <w:rFonts w:ascii="Arial" w:eastAsiaTheme="majorEastAsia" w:hAnsi="Arial" w:cs="Arial"/>
          <w:b/>
          <w:vanish/>
          <w:color w:val="FF931E"/>
          <w:sz w:val="28"/>
          <w:szCs w:val="28"/>
        </w:rPr>
      </w:pPr>
    </w:p>
    <w:p w14:paraId="2F221A49" w14:textId="77777777" w:rsidR="00FC7160" w:rsidRPr="00FC7160" w:rsidRDefault="00FC7160" w:rsidP="00FC7160">
      <w:pPr>
        <w:pStyle w:val="ListParagraph"/>
        <w:keepNext/>
        <w:keepLines/>
        <w:numPr>
          <w:ilvl w:val="0"/>
          <w:numId w:val="5"/>
        </w:numPr>
        <w:tabs>
          <w:tab w:val="left" w:pos="851"/>
        </w:tabs>
        <w:spacing w:before="240" w:after="240" w:line="240" w:lineRule="auto"/>
        <w:contextualSpacing w:val="0"/>
        <w:jc w:val="both"/>
        <w:outlineLvl w:val="1"/>
        <w:rPr>
          <w:rFonts w:ascii="Arial" w:eastAsiaTheme="majorEastAsia" w:hAnsi="Arial" w:cs="Arial"/>
          <w:b/>
          <w:vanish/>
          <w:color w:val="FF931E"/>
          <w:sz w:val="28"/>
          <w:szCs w:val="28"/>
        </w:rPr>
      </w:pPr>
    </w:p>
    <w:p w14:paraId="0D3DE36B" w14:textId="77777777" w:rsidR="00FC7160" w:rsidRPr="00FC7160" w:rsidRDefault="00FC7160" w:rsidP="00FC7160">
      <w:pPr>
        <w:pStyle w:val="ListParagraph"/>
        <w:keepNext/>
        <w:keepLines/>
        <w:numPr>
          <w:ilvl w:val="0"/>
          <w:numId w:val="5"/>
        </w:numPr>
        <w:tabs>
          <w:tab w:val="left" w:pos="851"/>
        </w:tabs>
        <w:spacing w:before="240" w:after="240" w:line="240" w:lineRule="auto"/>
        <w:contextualSpacing w:val="0"/>
        <w:jc w:val="both"/>
        <w:outlineLvl w:val="1"/>
        <w:rPr>
          <w:rFonts w:ascii="Arial" w:eastAsiaTheme="majorEastAsia" w:hAnsi="Arial" w:cs="Arial"/>
          <w:b/>
          <w:vanish/>
          <w:color w:val="FF931E"/>
          <w:sz w:val="28"/>
          <w:szCs w:val="28"/>
        </w:rPr>
      </w:pPr>
    </w:p>
    <w:p w14:paraId="39ED0C4A" w14:textId="1B2DA511" w:rsidR="00BC7CDA" w:rsidRDefault="00863C3D" w:rsidP="00FC7160">
      <w:pPr>
        <w:pStyle w:val="Heading2"/>
      </w:pPr>
      <w:bookmarkStart w:id="5" w:name="_Toc487186314"/>
      <w:r>
        <w:t>Cross</w:t>
      </w:r>
      <w:r w:rsidR="00FC7160">
        <w:t>-sector</w:t>
      </w:r>
      <w:r w:rsidR="009D379A">
        <w:t>al</w:t>
      </w:r>
      <w:r w:rsidR="00FC7160">
        <w:t xml:space="preserve"> Strategies</w:t>
      </w:r>
      <w:bookmarkEnd w:id="5"/>
    </w:p>
    <w:p w14:paraId="48E308F0" w14:textId="76DCD6A4" w:rsidR="00416CB3" w:rsidRPr="00416CB3" w:rsidRDefault="00416CB3" w:rsidP="00416CB3">
      <w:r>
        <w:t>Given that there is increasing evidence that multi-sector</w:t>
      </w:r>
      <w:r w:rsidR="00BB08FA">
        <w:t>al</w:t>
      </w:r>
      <w:r>
        <w:t xml:space="preserve"> programs are able to make more difference to people’s lives</w:t>
      </w:r>
      <w:r w:rsidR="00BB08FA">
        <w:t>,</w:t>
      </w:r>
      <w:r>
        <w:rPr>
          <w:rStyle w:val="FootnoteReference"/>
          <w:lang w:val="en-US"/>
        </w:rPr>
        <w:footnoteReference w:id="12"/>
      </w:r>
      <w:r>
        <w:t xml:space="preserve"> PHD was designed with an ambitious intent</w:t>
      </w:r>
      <w:r w:rsidR="00BB08FA">
        <w:t xml:space="preserve"> – to leverage off the opportunity to work cross-sectorally</w:t>
      </w:r>
      <w:r>
        <w:t>. The investment design propose</w:t>
      </w:r>
      <w:r w:rsidR="00BB08FA">
        <w:t>d</w:t>
      </w:r>
      <w:r>
        <w:t xml:space="preserve"> that by taking an integrated approach, DFAT will be able to make a more effective and efficient contribution to human development. PHD will bring together DFAT </w:t>
      </w:r>
      <w:r w:rsidR="00BB08FA">
        <w:t>investments</w:t>
      </w:r>
      <w:r>
        <w:t xml:space="preserve"> across the </w:t>
      </w:r>
      <w:r w:rsidR="00BB08FA">
        <w:t xml:space="preserve">eight </w:t>
      </w:r>
      <w:r>
        <w:t xml:space="preserve">sectors, and coordinate the work, so that interventions address multiple and interrelated issues </w:t>
      </w:r>
      <w:r w:rsidR="00BB08FA">
        <w:t xml:space="preserve">through this cross-sector approach </w:t>
      </w:r>
      <w:r>
        <w:t xml:space="preserve">that limit the development of people in </w:t>
      </w:r>
      <w:r w:rsidR="00F76E96">
        <w:t>Timor-Leste</w:t>
      </w:r>
      <w:r>
        <w:t>.</w:t>
      </w:r>
    </w:p>
    <w:p w14:paraId="7DD70F73" w14:textId="0FD21D17" w:rsidR="00D001A2" w:rsidRDefault="00717E83" w:rsidP="00B01D15">
      <w:pPr>
        <w:pStyle w:val="Heading2"/>
      </w:pPr>
      <w:bookmarkStart w:id="6" w:name="_Toc487186315"/>
      <w:r>
        <w:t>Program</w:t>
      </w:r>
      <w:r w:rsidR="00416CB3">
        <w:t xml:space="preserve"> Goal</w:t>
      </w:r>
      <w:bookmarkEnd w:id="6"/>
    </w:p>
    <w:p w14:paraId="15572966" w14:textId="784095BD" w:rsidR="00416CB3" w:rsidRDefault="00416CB3" w:rsidP="00416CB3">
      <w:r>
        <w:t>In order t</w:t>
      </w:r>
      <w:r w:rsidR="00FB1CEF">
        <w:t>o support and facilitate a cross</w:t>
      </w:r>
      <w:r>
        <w:t>-sector</w:t>
      </w:r>
      <w:r w:rsidR="00FB1CEF">
        <w:t>al</w:t>
      </w:r>
      <w:r>
        <w:t xml:space="preserve"> approach that addresses the felt needs of peop</w:t>
      </w:r>
      <w:r w:rsidR="00FB1CEF">
        <w:t>le, PHD has developed one common</w:t>
      </w:r>
      <w:r>
        <w:t xml:space="preserve"> goal to which all activities will contribute.</w:t>
      </w:r>
      <w:r w:rsidRPr="009B3129">
        <w:t xml:space="preserve"> </w:t>
      </w:r>
      <w:r>
        <w:t xml:space="preserve">The </w:t>
      </w:r>
      <w:r w:rsidRPr="009B3129">
        <w:t>goal</w:t>
      </w:r>
      <w:r>
        <w:t xml:space="preserve"> identifies the long term change to which PHD will contribu</w:t>
      </w:r>
      <w:r w:rsidR="00EC1A49">
        <w:t>te over the life of the program.</w:t>
      </w:r>
    </w:p>
    <w:p w14:paraId="4BDBF2B0" w14:textId="77381805" w:rsidR="00416CB3" w:rsidRPr="00717E83" w:rsidRDefault="00416CB3" w:rsidP="00621A48">
      <w:pPr>
        <w:ind w:left="720" w:right="850"/>
        <w:jc w:val="right"/>
        <w:rPr>
          <w:b/>
          <w:i/>
          <w:color w:val="FF931E"/>
          <w:lang w:val="en-US"/>
        </w:rPr>
      </w:pPr>
      <w:r w:rsidRPr="00717E83">
        <w:rPr>
          <w:b/>
          <w:i/>
          <w:color w:val="FF931E"/>
        </w:rPr>
        <w:t xml:space="preserve">The Partnership for Human Development will </w:t>
      </w:r>
      <w:r w:rsidRPr="00717E83">
        <w:rPr>
          <w:b/>
          <w:i/>
          <w:color w:val="FF931E"/>
          <w:lang w:val="en-US"/>
        </w:rPr>
        <w:t xml:space="preserve">support the people and Government of </w:t>
      </w:r>
      <w:r w:rsidR="00F76E96" w:rsidRPr="00717E83">
        <w:rPr>
          <w:b/>
          <w:i/>
          <w:color w:val="FF931E"/>
          <w:lang w:val="en-US"/>
        </w:rPr>
        <w:t>Timor-Leste</w:t>
      </w:r>
      <w:r w:rsidRPr="00717E83">
        <w:rPr>
          <w:b/>
          <w:i/>
          <w:color w:val="FF931E"/>
          <w:lang w:val="en-US"/>
        </w:rPr>
        <w:t xml:space="preserve"> to build and sustain healthy, educated and prosperous individuals and communities who live with dignity and determine their own future.</w:t>
      </w:r>
    </w:p>
    <w:p w14:paraId="4FFA3276" w14:textId="2BAA2CDE" w:rsidR="00416CB3" w:rsidRDefault="00416CB3" w:rsidP="00416CB3">
      <w:r>
        <w:t xml:space="preserve">By focusing on one </w:t>
      </w:r>
      <w:r w:rsidR="00717E83">
        <w:t xml:space="preserve">common </w:t>
      </w:r>
      <w:r>
        <w:t>goal, each sector is incentivised to uti</w:t>
      </w:r>
      <w:r w:rsidR="00717E83">
        <w:t xml:space="preserve">lise the expertise of other </w:t>
      </w:r>
      <w:r>
        <w:t>s</w:t>
      </w:r>
      <w:r w:rsidR="00717E83">
        <w:t>ectors</w:t>
      </w:r>
      <w:r>
        <w:t xml:space="preserve"> to achieve change that is greater than simply the ‘sum’ of </w:t>
      </w:r>
      <w:r w:rsidR="00717E83">
        <w:t xml:space="preserve">the </w:t>
      </w:r>
      <w:r>
        <w:t>sector outcomes. The goal facilitates a</w:t>
      </w:r>
      <w:r w:rsidR="00717E83">
        <w:t xml:space="preserve"> cross</w:t>
      </w:r>
      <w:r>
        <w:t>-sector</w:t>
      </w:r>
      <w:r w:rsidR="00717E83">
        <w:t>al</w:t>
      </w:r>
      <w:r>
        <w:t xml:space="preserve"> approach.</w:t>
      </w:r>
    </w:p>
    <w:p w14:paraId="26DAFC1F" w14:textId="44FC81D4" w:rsidR="00416CB3" w:rsidRPr="00416CB3" w:rsidRDefault="00717E83" w:rsidP="00416CB3">
      <w:r>
        <w:t>The</w:t>
      </w:r>
      <w:r w:rsidR="00416CB3">
        <w:t xml:space="preserve"> program goal also provides an important ‘line of sight’ for the whole program. Programs with multiple partners and many activities run some risk of being so ‘busy’ that they lose sight of what they are trying to change. With this clear and concrete goal, PHD</w:t>
      </w:r>
      <w:r w:rsidR="00621A48">
        <w:t>’s</w:t>
      </w:r>
      <w:r w:rsidR="00416CB3">
        <w:t xml:space="preserve"> activities will be assessed against how they contribute to </w:t>
      </w:r>
      <w:r>
        <w:t xml:space="preserve">the </w:t>
      </w:r>
      <w:r w:rsidR="00416CB3">
        <w:t>sustained we</w:t>
      </w:r>
      <w:r>
        <w:t>ll-being of people at the front</w:t>
      </w:r>
      <w:r w:rsidR="00416CB3">
        <w:t xml:space="preserve">line: women, men, girls and boys, including people </w:t>
      </w:r>
      <w:r>
        <w:t xml:space="preserve">living </w:t>
      </w:r>
      <w:r w:rsidR="00416CB3">
        <w:t>with</w:t>
      </w:r>
      <w:r>
        <w:t xml:space="preserve"> a</w:t>
      </w:r>
      <w:r w:rsidR="00416CB3">
        <w:t xml:space="preserve"> disability. All activities will need to demonstrate how they make the most effective and efficient contribution to this end.</w:t>
      </w:r>
    </w:p>
    <w:p w14:paraId="07AE8B8C" w14:textId="36C08BE5" w:rsidR="003E3CE5" w:rsidRDefault="00416CB3" w:rsidP="00B01D15">
      <w:pPr>
        <w:pStyle w:val="Heading2"/>
      </w:pPr>
      <w:bookmarkStart w:id="7" w:name="_Toc487186316"/>
      <w:r>
        <w:t>Lessons Learned</w:t>
      </w:r>
      <w:bookmarkEnd w:id="7"/>
    </w:p>
    <w:p w14:paraId="74044815" w14:textId="77777777" w:rsidR="00863C3D" w:rsidRDefault="00416CB3" w:rsidP="00863C3D">
      <w:pPr>
        <w:pStyle w:val="Heading4"/>
        <w:numPr>
          <w:ilvl w:val="0"/>
          <w:numId w:val="0"/>
        </w:numPr>
        <w:ind w:left="864" w:hanging="864"/>
        <w:rPr>
          <w:lang w:val="en-US"/>
        </w:rPr>
      </w:pPr>
      <w:r w:rsidRPr="00416CB3">
        <w:rPr>
          <w:lang w:val="en-US"/>
        </w:rPr>
        <w:t>Effectiveness</w:t>
      </w:r>
    </w:p>
    <w:p w14:paraId="3B361CC9" w14:textId="27C0A3B1" w:rsidR="00416CB3" w:rsidRPr="00416CB3" w:rsidRDefault="00904A5A" w:rsidP="00416CB3">
      <w:pPr>
        <w:rPr>
          <w:szCs w:val="20"/>
          <w:lang w:val="en-US"/>
        </w:rPr>
      </w:pPr>
      <w:r>
        <w:rPr>
          <w:szCs w:val="20"/>
          <w:lang w:val="en-US"/>
        </w:rPr>
        <w:t>The process of development (that is,</w:t>
      </w:r>
      <w:r w:rsidR="00416CB3" w:rsidRPr="00416CB3">
        <w:rPr>
          <w:szCs w:val="20"/>
          <w:lang w:val="en-US"/>
        </w:rPr>
        <w:t xml:space="preserve"> change) in </w:t>
      </w:r>
      <w:r w:rsidR="00F76E96">
        <w:rPr>
          <w:szCs w:val="20"/>
          <w:lang w:val="en-US"/>
        </w:rPr>
        <w:t>Timor-Leste</w:t>
      </w:r>
      <w:r w:rsidR="00416CB3" w:rsidRPr="00416CB3">
        <w:rPr>
          <w:szCs w:val="20"/>
          <w:lang w:val="en-US"/>
        </w:rPr>
        <w:t xml:space="preserve"> is complex, unpredictable and often political. Aid responses must take this complexity into account by designing and implementing programs which are capable of adapting as they go.</w:t>
      </w:r>
      <w:r w:rsidR="00416CB3" w:rsidRPr="00416CB3">
        <w:rPr>
          <w:szCs w:val="20"/>
        </w:rPr>
        <w:t xml:space="preserve"> </w:t>
      </w:r>
      <w:r w:rsidR="00416CB3" w:rsidRPr="00416CB3">
        <w:rPr>
          <w:szCs w:val="20"/>
          <w:lang w:val="en-US"/>
        </w:rPr>
        <w:t>Experience from els</w:t>
      </w:r>
      <w:r w:rsidR="00863C3D">
        <w:rPr>
          <w:szCs w:val="20"/>
          <w:lang w:val="en-US"/>
        </w:rPr>
        <w:t>ewhere shows that beyond a cross</w:t>
      </w:r>
      <w:r w:rsidR="00416CB3" w:rsidRPr="00416CB3">
        <w:rPr>
          <w:szCs w:val="20"/>
          <w:lang w:val="en-US"/>
        </w:rPr>
        <w:t>-sector</w:t>
      </w:r>
      <w:r w:rsidR="00863C3D">
        <w:rPr>
          <w:szCs w:val="20"/>
          <w:lang w:val="en-US"/>
        </w:rPr>
        <w:t>al</w:t>
      </w:r>
      <w:r w:rsidR="00416CB3" w:rsidRPr="00416CB3">
        <w:rPr>
          <w:szCs w:val="20"/>
          <w:lang w:val="en-US"/>
        </w:rPr>
        <w:t xml:space="preserve"> approach, combining the specific technical expertise of se</w:t>
      </w:r>
      <w:r w:rsidR="006D3BA1">
        <w:rPr>
          <w:szCs w:val="20"/>
          <w:lang w:val="en-US"/>
        </w:rPr>
        <w:t>rvice delivery sectors (for example,</w:t>
      </w:r>
      <w:r w:rsidR="00416CB3" w:rsidRPr="00416CB3">
        <w:rPr>
          <w:szCs w:val="20"/>
          <w:lang w:val="en-US"/>
        </w:rPr>
        <w:t xml:space="preserve"> health systems financing or teacher training) with a broader understanding of the political, economic and social aspects of change, and adapting activities to these contextual realities achieves more significant and sustained change</w:t>
      </w:r>
      <w:r w:rsidR="00863C3D">
        <w:rPr>
          <w:szCs w:val="20"/>
          <w:lang w:val="en-US"/>
        </w:rPr>
        <w:t>.</w:t>
      </w:r>
      <w:r w:rsidR="00416CB3" w:rsidRPr="00416CB3">
        <w:rPr>
          <w:rStyle w:val="FootnoteReference"/>
          <w:szCs w:val="20"/>
          <w:lang w:val="en-US"/>
        </w:rPr>
        <w:footnoteReference w:id="13"/>
      </w:r>
      <w:r w:rsidR="00416CB3" w:rsidRPr="00416CB3">
        <w:rPr>
          <w:szCs w:val="20"/>
          <w:lang w:val="en-US"/>
        </w:rPr>
        <w:t xml:space="preserve"> </w:t>
      </w:r>
    </w:p>
    <w:p w14:paraId="32C018DB" w14:textId="77777777" w:rsidR="00EC1A49" w:rsidRDefault="00416CB3" w:rsidP="00416CB3">
      <w:pPr>
        <w:rPr>
          <w:szCs w:val="20"/>
        </w:rPr>
      </w:pPr>
      <w:r w:rsidRPr="00416CB3">
        <w:rPr>
          <w:szCs w:val="20"/>
          <w:lang w:val="en-US"/>
        </w:rPr>
        <w:lastRenderedPageBreak/>
        <w:t>T</w:t>
      </w:r>
      <w:r w:rsidRPr="00416CB3">
        <w:rPr>
          <w:szCs w:val="20"/>
        </w:rPr>
        <w:t>he PHD design outlines a set of practice principles (</w:t>
      </w:r>
      <w:r w:rsidR="00863C3D" w:rsidRPr="00863C3D">
        <w:rPr>
          <w:szCs w:val="20"/>
        </w:rPr>
        <w:t xml:space="preserve">refer to </w:t>
      </w:r>
      <w:r w:rsidR="00863C3D" w:rsidRPr="00863C3D">
        <w:rPr>
          <w:szCs w:val="20"/>
        </w:rPr>
        <w:fldChar w:fldCharType="begin"/>
      </w:r>
      <w:r w:rsidR="00863C3D" w:rsidRPr="00863C3D">
        <w:rPr>
          <w:szCs w:val="20"/>
        </w:rPr>
        <w:instrText xml:space="preserve"> REF _Ref487029522 \h  \* MERGEFORMAT </w:instrText>
      </w:r>
      <w:r w:rsidR="00863C3D" w:rsidRPr="00863C3D">
        <w:rPr>
          <w:szCs w:val="20"/>
        </w:rPr>
      </w:r>
      <w:r w:rsidR="00863C3D" w:rsidRPr="00863C3D">
        <w:rPr>
          <w:szCs w:val="20"/>
        </w:rPr>
        <w:fldChar w:fldCharType="separate"/>
      </w:r>
      <w:r w:rsidR="00B84559" w:rsidRPr="00B84559">
        <w:rPr>
          <w:szCs w:val="20"/>
        </w:rPr>
        <w:t xml:space="preserve">Annex </w:t>
      </w:r>
      <w:r w:rsidR="00B84559" w:rsidRPr="00B84559">
        <w:rPr>
          <w:noProof/>
          <w:szCs w:val="20"/>
        </w:rPr>
        <w:t>1</w:t>
      </w:r>
      <w:r w:rsidR="00863C3D" w:rsidRPr="00863C3D">
        <w:rPr>
          <w:szCs w:val="20"/>
        </w:rPr>
        <w:fldChar w:fldCharType="end"/>
      </w:r>
      <w:r w:rsidRPr="00416CB3">
        <w:rPr>
          <w:szCs w:val="20"/>
        </w:rPr>
        <w:t xml:space="preserve">) that reflect lessons learned and past DFAT experience in </w:t>
      </w:r>
      <w:r w:rsidR="00F76E96">
        <w:rPr>
          <w:szCs w:val="20"/>
        </w:rPr>
        <w:t>Timor-Leste</w:t>
      </w:r>
      <w:r w:rsidRPr="00416CB3">
        <w:rPr>
          <w:szCs w:val="20"/>
        </w:rPr>
        <w:t>. Based on these and wider development experience it proposes key strategies for PHD implementation.</w:t>
      </w:r>
      <w:r w:rsidRPr="00863C3D">
        <w:rPr>
          <w:rStyle w:val="FootnoteReference"/>
          <w:bCs/>
          <w:szCs w:val="20"/>
        </w:rPr>
        <w:footnoteReference w:id="14"/>
      </w:r>
      <w:r w:rsidRPr="00863C3D">
        <w:rPr>
          <w:szCs w:val="20"/>
        </w:rPr>
        <w:t xml:space="preserve"> </w:t>
      </w:r>
    </w:p>
    <w:p w14:paraId="25FB2E60" w14:textId="0E865C35" w:rsidR="00416CB3" w:rsidRPr="00416CB3" w:rsidRDefault="00416CB3" w:rsidP="00416CB3">
      <w:pPr>
        <w:rPr>
          <w:szCs w:val="20"/>
        </w:rPr>
      </w:pPr>
      <w:r w:rsidRPr="00416CB3">
        <w:rPr>
          <w:szCs w:val="20"/>
        </w:rPr>
        <w:t>In summary, these include:</w:t>
      </w:r>
    </w:p>
    <w:p w14:paraId="302EED2C" w14:textId="5E15C269" w:rsidR="00416CB3" w:rsidRPr="00416CB3" w:rsidRDefault="00416CB3" w:rsidP="00621A48">
      <w:pPr>
        <w:pStyle w:val="TableBullet"/>
      </w:pPr>
      <w:r w:rsidRPr="00416CB3">
        <w:t>Giving good attention to context, adjusting activities and interventions</w:t>
      </w:r>
      <w:r w:rsidR="00621A48">
        <w:t xml:space="preserve"> as</w:t>
      </w:r>
      <w:r w:rsidR="00EC1A49">
        <w:t xml:space="preserve"> required by the conditions.</w:t>
      </w:r>
    </w:p>
    <w:p w14:paraId="134D71BA" w14:textId="6396FEF6" w:rsidR="00416CB3" w:rsidRPr="00416CB3" w:rsidRDefault="00863C3D" w:rsidP="00621A48">
      <w:pPr>
        <w:pStyle w:val="TableBullet"/>
      </w:pPr>
      <w:r>
        <w:t>Increasing</w:t>
      </w:r>
      <w:r w:rsidR="00416CB3" w:rsidRPr="00416CB3">
        <w:t xml:space="preserve"> cooperation and work with leaders and service providers at national and local level, and with communities at the frontline, to assist them </w:t>
      </w:r>
      <w:r w:rsidR="00621A48">
        <w:t xml:space="preserve">to </w:t>
      </w:r>
      <w:r w:rsidR="00EC1A49">
        <w:t>develop their own solutions.</w:t>
      </w:r>
    </w:p>
    <w:p w14:paraId="1D109DA7" w14:textId="77777777" w:rsidR="00416CB3" w:rsidRPr="00416CB3" w:rsidRDefault="00416CB3" w:rsidP="00621A48">
      <w:pPr>
        <w:pStyle w:val="TableBullet"/>
      </w:pPr>
      <w:r w:rsidRPr="00416CB3">
        <w:t>Working in a flexible way, learning from experience and improving over time.</w:t>
      </w:r>
    </w:p>
    <w:p w14:paraId="217CC22C" w14:textId="0F28B1D0" w:rsidR="00416CB3" w:rsidRPr="00416CB3" w:rsidRDefault="00416CB3" w:rsidP="00416CB3">
      <w:pPr>
        <w:rPr>
          <w:szCs w:val="20"/>
        </w:rPr>
      </w:pPr>
      <w:r w:rsidRPr="00416CB3">
        <w:rPr>
          <w:szCs w:val="20"/>
        </w:rPr>
        <w:t>PHD will draw from specific analysis and research exercises</w:t>
      </w:r>
      <w:r w:rsidR="005D63AB">
        <w:rPr>
          <w:szCs w:val="20"/>
        </w:rPr>
        <w:t>,</w:t>
      </w:r>
      <w:r w:rsidRPr="00416CB3">
        <w:rPr>
          <w:rStyle w:val="FootnoteReference"/>
          <w:szCs w:val="20"/>
        </w:rPr>
        <w:footnoteReference w:id="15"/>
      </w:r>
      <w:r w:rsidRPr="00416CB3">
        <w:rPr>
          <w:szCs w:val="20"/>
        </w:rPr>
        <w:t xml:space="preserve"> information available fr</w:t>
      </w:r>
      <w:r w:rsidR="00621A48">
        <w:rPr>
          <w:szCs w:val="20"/>
        </w:rPr>
        <w:t>om other DFAT program and advise</w:t>
      </w:r>
      <w:r w:rsidRPr="00416CB3">
        <w:rPr>
          <w:szCs w:val="20"/>
        </w:rPr>
        <w:t>rs</w:t>
      </w:r>
      <w:r w:rsidR="00A356E4">
        <w:rPr>
          <w:szCs w:val="20"/>
        </w:rPr>
        <w:t>,</w:t>
      </w:r>
      <w:r w:rsidRPr="00416CB3">
        <w:rPr>
          <w:rStyle w:val="FootnoteReference"/>
          <w:szCs w:val="20"/>
        </w:rPr>
        <w:footnoteReference w:id="16"/>
      </w:r>
      <w:r w:rsidR="00A356E4">
        <w:rPr>
          <w:szCs w:val="20"/>
        </w:rPr>
        <w:t xml:space="preserve"> and the knowledge of the</w:t>
      </w:r>
      <w:r w:rsidRPr="00416CB3">
        <w:rPr>
          <w:szCs w:val="20"/>
        </w:rPr>
        <w:t xml:space="preserve"> well-informed Timorese senior staff within the program</w:t>
      </w:r>
      <w:r w:rsidR="00A356E4">
        <w:rPr>
          <w:szCs w:val="20"/>
        </w:rPr>
        <w:t>,</w:t>
      </w:r>
      <w:r w:rsidRPr="00416CB3">
        <w:rPr>
          <w:szCs w:val="20"/>
        </w:rPr>
        <w:t xml:space="preserve"> to ensure regular review and updates of the political and social contexts in Timor</w:t>
      </w:r>
      <w:r w:rsidR="00A356E4">
        <w:rPr>
          <w:szCs w:val="20"/>
        </w:rPr>
        <w:t>-Leste</w:t>
      </w:r>
      <w:r w:rsidRPr="00416CB3">
        <w:rPr>
          <w:szCs w:val="20"/>
        </w:rPr>
        <w:t>. PHD will utilise this information to undertake regular  environmental ‘scans’ to ensure its programs are relevant</w:t>
      </w:r>
      <w:r w:rsidR="00A356E4">
        <w:rPr>
          <w:szCs w:val="20"/>
        </w:rPr>
        <w:t>,</w:t>
      </w:r>
      <w:r w:rsidRPr="00416CB3">
        <w:rPr>
          <w:szCs w:val="20"/>
        </w:rPr>
        <w:t xml:space="preserve"> and are responding appropriately to political and other social and cultural changes or opportunities.</w:t>
      </w:r>
    </w:p>
    <w:p w14:paraId="692DEB65" w14:textId="6F008264" w:rsidR="00A356E4" w:rsidRDefault="00416CB3" w:rsidP="00A356E4">
      <w:pPr>
        <w:pStyle w:val="Heading4"/>
        <w:numPr>
          <w:ilvl w:val="0"/>
          <w:numId w:val="0"/>
        </w:numPr>
        <w:ind w:left="864" w:hanging="864"/>
        <w:rPr>
          <w:lang w:val="en-US"/>
        </w:rPr>
      </w:pPr>
      <w:r w:rsidRPr="00416CB3">
        <w:rPr>
          <w:lang w:val="en-US"/>
        </w:rPr>
        <w:t>Efficiency</w:t>
      </w:r>
    </w:p>
    <w:p w14:paraId="79471369" w14:textId="1CF420FC" w:rsidR="00416CB3" w:rsidRDefault="00416CB3" w:rsidP="00416CB3">
      <w:pPr>
        <w:rPr>
          <w:szCs w:val="20"/>
          <w:lang w:val="en-US"/>
        </w:rPr>
      </w:pPr>
      <w:r w:rsidRPr="00416CB3">
        <w:rPr>
          <w:szCs w:val="20"/>
          <w:lang w:val="en-US"/>
        </w:rPr>
        <w:t xml:space="preserve">Previously, the Australian Government used multiple managing contractors and grantees to deliver its sector interventions in </w:t>
      </w:r>
      <w:r w:rsidR="00F76E96">
        <w:rPr>
          <w:szCs w:val="20"/>
          <w:lang w:val="en-US"/>
        </w:rPr>
        <w:t>Timor-Leste</w:t>
      </w:r>
      <w:r w:rsidRPr="00416CB3">
        <w:rPr>
          <w:szCs w:val="20"/>
          <w:lang w:val="en-US"/>
        </w:rPr>
        <w:t xml:space="preserve">. A core assumption underpinning the move to the PHD </w:t>
      </w:r>
      <w:r w:rsidR="00A356E4">
        <w:rPr>
          <w:szCs w:val="20"/>
          <w:lang w:val="en-US"/>
        </w:rPr>
        <w:t>model</w:t>
      </w:r>
      <w:r w:rsidRPr="00416CB3">
        <w:rPr>
          <w:szCs w:val="20"/>
          <w:lang w:val="en-US"/>
        </w:rPr>
        <w:t xml:space="preserve"> has been that it can support a reduction in overhead costs – as programs are now able to work under a single, and more efficient, operating platform (rather than multiple or duplicative platforms). Experience from elsewhere also shows that</w:t>
      </w:r>
      <w:r w:rsidR="00A356E4">
        <w:rPr>
          <w:szCs w:val="20"/>
          <w:lang w:val="en-US"/>
        </w:rPr>
        <w:t>, under the right conditions,</w:t>
      </w:r>
      <w:r w:rsidRPr="00416CB3">
        <w:rPr>
          <w:szCs w:val="20"/>
          <w:lang w:val="en-US"/>
        </w:rPr>
        <w:t xml:space="preserve"> working in more flexible and adaptive ways can be cost effective over time.</w:t>
      </w:r>
      <w:r w:rsidRPr="00416CB3">
        <w:rPr>
          <w:rStyle w:val="FootnoteReference"/>
          <w:szCs w:val="20"/>
          <w:lang w:val="en-US"/>
        </w:rPr>
        <w:footnoteReference w:id="17"/>
      </w:r>
      <w:r w:rsidRPr="00416CB3">
        <w:rPr>
          <w:szCs w:val="20"/>
          <w:lang w:val="en-US"/>
        </w:rPr>
        <w:t xml:space="preserve"> This is b</w:t>
      </w:r>
      <w:r w:rsidR="00A356E4">
        <w:rPr>
          <w:szCs w:val="20"/>
          <w:lang w:val="en-US"/>
        </w:rPr>
        <w:t>ecause programs are able to adjust or cease</w:t>
      </w:r>
      <w:r w:rsidRPr="00416CB3">
        <w:rPr>
          <w:szCs w:val="20"/>
          <w:lang w:val="en-US"/>
        </w:rPr>
        <w:t xml:space="preserve"> activities </w:t>
      </w:r>
      <w:r w:rsidR="00A356E4">
        <w:rPr>
          <w:szCs w:val="20"/>
          <w:lang w:val="en-US"/>
        </w:rPr>
        <w:t>that</w:t>
      </w:r>
      <w:r w:rsidRPr="00416CB3">
        <w:rPr>
          <w:szCs w:val="20"/>
          <w:lang w:val="en-US"/>
        </w:rPr>
        <w:t xml:space="preserve"> are underperforming</w:t>
      </w:r>
      <w:r w:rsidR="00A356E4">
        <w:rPr>
          <w:szCs w:val="20"/>
          <w:lang w:val="en-US"/>
        </w:rPr>
        <w:t xml:space="preserve"> or not delivering desired results</w:t>
      </w:r>
      <w:r w:rsidRPr="00416CB3">
        <w:rPr>
          <w:szCs w:val="20"/>
          <w:lang w:val="en-US"/>
        </w:rPr>
        <w:t xml:space="preserve">, and </w:t>
      </w:r>
      <w:r w:rsidR="00A356E4">
        <w:rPr>
          <w:szCs w:val="20"/>
          <w:lang w:val="en-US"/>
        </w:rPr>
        <w:t>redirect those activity funds</w:t>
      </w:r>
      <w:r w:rsidRPr="00416CB3">
        <w:rPr>
          <w:szCs w:val="20"/>
          <w:lang w:val="en-US"/>
        </w:rPr>
        <w:t xml:space="preserve"> </w:t>
      </w:r>
      <w:r w:rsidR="00A356E4">
        <w:rPr>
          <w:szCs w:val="20"/>
          <w:lang w:val="en-US"/>
        </w:rPr>
        <w:t>to</w:t>
      </w:r>
      <w:r w:rsidRPr="00416CB3">
        <w:rPr>
          <w:szCs w:val="20"/>
          <w:lang w:val="en-US"/>
        </w:rPr>
        <w:t xml:space="preserve"> other activities </w:t>
      </w:r>
      <w:r w:rsidR="00A356E4">
        <w:rPr>
          <w:szCs w:val="20"/>
          <w:lang w:val="en-US"/>
        </w:rPr>
        <w:t xml:space="preserve">that would be </w:t>
      </w:r>
      <w:r w:rsidRPr="00416CB3">
        <w:rPr>
          <w:szCs w:val="20"/>
          <w:lang w:val="en-US"/>
        </w:rPr>
        <w:t>more likely to achieve impact.</w:t>
      </w:r>
    </w:p>
    <w:p w14:paraId="756E05B2" w14:textId="4A30AD1A" w:rsidR="00FC7160" w:rsidRDefault="00FC7160" w:rsidP="00FC7160">
      <w:pPr>
        <w:pStyle w:val="Heading1"/>
        <w:tabs>
          <w:tab w:val="clear" w:pos="0"/>
          <w:tab w:val="left" w:pos="851"/>
        </w:tabs>
        <w:ind w:left="851" w:hanging="851"/>
      </w:pPr>
      <w:bookmarkStart w:id="8" w:name="_Toc487186317"/>
      <w:r>
        <w:t>Operating Framework</w:t>
      </w:r>
      <w:bookmarkEnd w:id="8"/>
    </w:p>
    <w:p w14:paraId="3F8778ED" w14:textId="657CC4B1" w:rsidR="00416CB3" w:rsidRPr="00416CB3" w:rsidRDefault="00CB7744" w:rsidP="00416CB3">
      <w:pPr>
        <w:rPr>
          <w:szCs w:val="20"/>
          <w:lang w:val="en-US"/>
        </w:rPr>
      </w:pPr>
      <w:r>
        <w:rPr>
          <w:szCs w:val="20"/>
          <w:lang w:val="en-US"/>
        </w:rPr>
        <w:t>These lessons learned – a cross</w:t>
      </w:r>
      <w:r w:rsidR="00416CB3" w:rsidRPr="00416CB3">
        <w:rPr>
          <w:szCs w:val="20"/>
          <w:lang w:val="en-US"/>
        </w:rPr>
        <w:t>-sector</w:t>
      </w:r>
      <w:r>
        <w:rPr>
          <w:szCs w:val="20"/>
          <w:lang w:val="en-US"/>
        </w:rPr>
        <w:t>al</w:t>
      </w:r>
      <w:r w:rsidR="00416CB3" w:rsidRPr="00416CB3">
        <w:rPr>
          <w:szCs w:val="20"/>
          <w:lang w:val="en-US"/>
        </w:rPr>
        <w:t xml:space="preserve"> approach, combining technical sector inputs with a broader understanding of the political, economic and social aspects of change, under a single operating platform</w:t>
      </w:r>
      <w:r>
        <w:rPr>
          <w:szCs w:val="20"/>
          <w:lang w:val="en-US"/>
        </w:rPr>
        <w:t xml:space="preserve"> –</w:t>
      </w:r>
      <w:r w:rsidR="00416CB3" w:rsidRPr="00416CB3">
        <w:rPr>
          <w:szCs w:val="20"/>
          <w:lang w:val="en-US"/>
        </w:rPr>
        <w:t xml:space="preserve"> form the initial operating framework for PHD. As outlined in the original design document, it is assumed that by drawing upon the wide-ranging technical expertise available through sector programs</w:t>
      </w:r>
      <w:r>
        <w:rPr>
          <w:szCs w:val="20"/>
          <w:lang w:val="en-US"/>
        </w:rPr>
        <w:t>,</w:t>
      </w:r>
      <w:r w:rsidR="00416CB3" w:rsidRPr="00416CB3">
        <w:rPr>
          <w:szCs w:val="20"/>
          <w:lang w:val="en-US"/>
        </w:rPr>
        <w:t xml:space="preserve"> </w:t>
      </w:r>
      <w:r>
        <w:rPr>
          <w:szCs w:val="20"/>
          <w:lang w:val="en-US"/>
        </w:rPr>
        <w:t>and combining this with practical</w:t>
      </w:r>
      <w:r w:rsidR="00416CB3" w:rsidRPr="00416CB3">
        <w:rPr>
          <w:szCs w:val="20"/>
          <w:lang w:val="en-US"/>
        </w:rPr>
        <w:t xml:space="preserve"> approaches that work </w:t>
      </w:r>
      <w:r>
        <w:rPr>
          <w:szCs w:val="20"/>
          <w:lang w:val="en-US"/>
        </w:rPr>
        <w:t>within the</w:t>
      </w:r>
      <w:r w:rsidR="00416CB3" w:rsidRPr="00416CB3">
        <w:rPr>
          <w:szCs w:val="20"/>
          <w:lang w:val="en-US"/>
        </w:rPr>
        <w:t xml:space="preserve"> </w:t>
      </w:r>
      <w:r w:rsidR="00F76E96">
        <w:rPr>
          <w:szCs w:val="20"/>
          <w:lang w:val="en-US"/>
        </w:rPr>
        <w:t>Timor-Leste</w:t>
      </w:r>
      <w:r w:rsidR="00416CB3" w:rsidRPr="00416CB3">
        <w:rPr>
          <w:szCs w:val="20"/>
          <w:lang w:val="en-US"/>
        </w:rPr>
        <w:t xml:space="preserve"> context, PHD will be able to make a substantial contributio</w:t>
      </w:r>
      <w:r>
        <w:rPr>
          <w:szCs w:val="20"/>
          <w:lang w:val="en-US"/>
        </w:rPr>
        <w:t>n to the well-being of people in</w:t>
      </w:r>
      <w:r w:rsidR="00416CB3" w:rsidRPr="00416CB3">
        <w:rPr>
          <w:szCs w:val="20"/>
          <w:lang w:val="en-US"/>
        </w:rPr>
        <w:t xml:space="preserve"> </w:t>
      </w:r>
      <w:r w:rsidR="00F76E96">
        <w:rPr>
          <w:szCs w:val="20"/>
          <w:lang w:val="en-US"/>
        </w:rPr>
        <w:t>Timor-Leste</w:t>
      </w:r>
      <w:r w:rsidR="00416CB3" w:rsidRPr="00416CB3">
        <w:rPr>
          <w:szCs w:val="20"/>
          <w:lang w:val="en-US"/>
        </w:rPr>
        <w:t>.</w:t>
      </w:r>
    </w:p>
    <w:p w14:paraId="4B36F3D7" w14:textId="7096E218" w:rsidR="00416CB3" w:rsidRPr="00416CB3" w:rsidRDefault="00416CB3" w:rsidP="00416CB3">
      <w:pPr>
        <w:rPr>
          <w:szCs w:val="20"/>
          <w:lang w:val="en-US"/>
        </w:rPr>
      </w:pPr>
      <w:r w:rsidRPr="00416CB3">
        <w:rPr>
          <w:szCs w:val="20"/>
          <w:lang w:val="en-US"/>
        </w:rPr>
        <w:t xml:space="preserve">A key feature of this approach is that it specifies common outcomes, to which all PHD activities must contribute to, and be accountable for. This is an important shift in how the Australian Government </w:t>
      </w:r>
      <w:r w:rsidR="00CB7744">
        <w:rPr>
          <w:szCs w:val="20"/>
          <w:lang w:val="en-US"/>
        </w:rPr>
        <w:t>is managing its sector programs –</w:t>
      </w:r>
      <w:r w:rsidRPr="00416CB3">
        <w:rPr>
          <w:szCs w:val="20"/>
          <w:lang w:val="en-US"/>
        </w:rPr>
        <w:t xml:space="preserve"> programs that were previously only responsible for their sector-specific outcomes or goals. </w:t>
      </w:r>
    </w:p>
    <w:p w14:paraId="16354D7C" w14:textId="416D3075" w:rsidR="00416CB3" w:rsidRPr="00416CB3" w:rsidRDefault="00416CB3" w:rsidP="00416CB3">
      <w:pPr>
        <w:rPr>
          <w:szCs w:val="20"/>
          <w:lang w:val="en-US"/>
        </w:rPr>
      </w:pPr>
      <w:r w:rsidRPr="00416CB3">
        <w:rPr>
          <w:szCs w:val="20"/>
          <w:lang w:val="en-US"/>
        </w:rPr>
        <w:t>At the highest goal level, PHD will track its overall contr</w:t>
      </w:r>
      <w:r w:rsidR="00EC1A49">
        <w:rPr>
          <w:szCs w:val="20"/>
          <w:lang w:val="en-US"/>
        </w:rPr>
        <w:t>ibution to change in three ways.</w:t>
      </w:r>
    </w:p>
    <w:p w14:paraId="15EA4160" w14:textId="065473DC" w:rsidR="00416CB3" w:rsidRPr="006F60B1" w:rsidRDefault="00416CB3" w:rsidP="00820CC6">
      <w:pPr>
        <w:pStyle w:val="ListParagraph"/>
        <w:numPr>
          <w:ilvl w:val="0"/>
          <w:numId w:val="10"/>
        </w:numPr>
        <w:spacing w:before="120" w:after="120" w:line="240" w:lineRule="auto"/>
        <w:contextualSpacing w:val="0"/>
        <w:jc w:val="both"/>
        <w:rPr>
          <w:rFonts w:ascii="Arial" w:hAnsi="Arial" w:cs="Arial"/>
          <w:sz w:val="20"/>
          <w:szCs w:val="20"/>
          <w:lang w:val="en-US"/>
        </w:rPr>
      </w:pPr>
      <w:r w:rsidRPr="00EC1A49">
        <w:rPr>
          <w:rFonts w:ascii="Arial" w:hAnsi="Arial" w:cs="Arial"/>
          <w:b/>
          <w:i/>
          <w:sz w:val="20"/>
          <w:szCs w:val="20"/>
          <w:lang w:val="en-US"/>
        </w:rPr>
        <w:t>Changes for people</w:t>
      </w:r>
      <w:r w:rsidR="00CB7744" w:rsidRPr="00EC1A49">
        <w:rPr>
          <w:rFonts w:ascii="Arial" w:hAnsi="Arial" w:cs="Arial"/>
          <w:b/>
          <w:i/>
          <w:sz w:val="20"/>
          <w:szCs w:val="20"/>
          <w:lang w:val="en-US"/>
        </w:rPr>
        <w:t>,</w:t>
      </w:r>
      <w:r w:rsidR="00CB7744" w:rsidRPr="006F60B1">
        <w:rPr>
          <w:rFonts w:ascii="Arial" w:hAnsi="Arial" w:cs="Arial"/>
          <w:sz w:val="20"/>
          <w:szCs w:val="20"/>
          <w:lang w:val="en-US"/>
        </w:rPr>
        <w:t xml:space="preserve"> </w:t>
      </w:r>
      <w:r w:rsidRPr="00EC1A49">
        <w:rPr>
          <w:rFonts w:ascii="Arial" w:hAnsi="Arial" w:cs="Arial"/>
          <w:b/>
          <w:i/>
          <w:sz w:val="20"/>
          <w:szCs w:val="20"/>
          <w:lang w:val="en-US"/>
        </w:rPr>
        <w:t xml:space="preserve">especially women, children and </w:t>
      </w:r>
      <w:r w:rsidR="00CB7744" w:rsidRPr="00EC1A49">
        <w:rPr>
          <w:rFonts w:ascii="Arial" w:hAnsi="Arial" w:cs="Arial"/>
          <w:b/>
          <w:i/>
          <w:sz w:val="20"/>
          <w:szCs w:val="20"/>
          <w:lang w:val="en-US"/>
        </w:rPr>
        <w:t>people living with a disability</w:t>
      </w:r>
      <w:r w:rsidRPr="00EC1A49">
        <w:rPr>
          <w:rFonts w:ascii="Arial" w:hAnsi="Arial" w:cs="Arial"/>
          <w:b/>
          <w:i/>
          <w:sz w:val="20"/>
          <w:szCs w:val="20"/>
          <w:lang w:val="en-US"/>
        </w:rPr>
        <w:t>.</w:t>
      </w:r>
      <w:r w:rsidRPr="006F60B1">
        <w:rPr>
          <w:rFonts w:ascii="Arial" w:hAnsi="Arial" w:cs="Arial"/>
          <w:sz w:val="20"/>
          <w:szCs w:val="20"/>
          <w:lang w:val="en-US"/>
        </w:rPr>
        <w:t xml:space="preserve"> This change will be </w:t>
      </w:r>
      <w:r w:rsidR="00CB7744" w:rsidRPr="006F60B1">
        <w:rPr>
          <w:rFonts w:ascii="Arial" w:hAnsi="Arial" w:cs="Arial"/>
          <w:sz w:val="20"/>
          <w:szCs w:val="20"/>
          <w:lang w:val="en-US"/>
        </w:rPr>
        <w:t>measure</w:t>
      </w:r>
      <w:r w:rsidRPr="006F60B1">
        <w:rPr>
          <w:rFonts w:ascii="Arial" w:hAnsi="Arial" w:cs="Arial"/>
          <w:sz w:val="20"/>
          <w:szCs w:val="20"/>
          <w:lang w:val="en-US"/>
        </w:rPr>
        <w:t xml:space="preserve">d by improved scores from baseline in the municipalities in which PHD </w:t>
      </w:r>
      <w:r w:rsidRPr="006F60B1">
        <w:rPr>
          <w:rFonts w:ascii="Arial" w:hAnsi="Arial" w:cs="Arial"/>
          <w:sz w:val="20"/>
          <w:szCs w:val="20"/>
          <w:lang w:val="en-US"/>
        </w:rPr>
        <w:lastRenderedPageBreak/>
        <w:t>works, using a multidimensional tool that assesses people’s well-being and allows for differ</w:t>
      </w:r>
      <w:r w:rsidR="006D3BA1">
        <w:rPr>
          <w:rFonts w:ascii="Arial" w:hAnsi="Arial" w:cs="Arial"/>
          <w:sz w:val="20"/>
          <w:szCs w:val="20"/>
          <w:lang w:val="en-US"/>
        </w:rPr>
        <w:t>ential measurement (for example,</w:t>
      </w:r>
      <w:r w:rsidR="006F60B1" w:rsidRPr="006F60B1">
        <w:rPr>
          <w:rFonts w:ascii="Arial" w:hAnsi="Arial" w:cs="Arial"/>
          <w:sz w:val="20"/>
          <w:szCs w:val="20"/>
          <w:lang w:val="en-US"/>
        </w:rPr>
        <w:t xml:space="preserve"> what are</w:t>
      </w:r>
      <w:r w:rsidRPr="006F60B1">
        <w:rPr>
          <w:rFonts w:ascii="Arial" w:hAnsi="Arial" w:cs="Arial"/>
          <w:sz w:val="20"/>
          <w:szCs w:val="20"/>
          <w:lang w:val="en-US"/>
        </w:rPr>
        <w:t xml:space="preserve"> the differen</w:t>
      </w:r>
      <w:r w:rsidR="006F60B1" w:rsidRPr="006F60B1">
        <w:rPr>
          <w:rFonts w:ascii="Arial" w:hAnsi="Arial" w:cs="Arial"/>
          <w:sz w:val="20"/>
          <w:szCs w:val="20"/>
          <w:lang w:val="en-US"/>
        </w:rPr>
        <w:t>ces in</w:t>
      </w:r>
      <w:r w:rsidRPr="006F60B1">
        <w:rPr>
          <w:rFonts w:ascii="Arial" w:hAnsi="Arial" w:cs="Arial"/>
          <w:sz w:val="20"/>
          <w:szCs w:val="20"/>
          <w:lang w:val="en-US"/>
        </w:rPr>
        <w:t xml:space="preserve"> experience of men versus women).</w:t>
      </w:r>
      <w:r w:rsidRPr="00416CB3">
        <w:rPr>
          <w:rStyle w:val="FootnoteReference"/>
          <w:rFonts w:ascii="Arial" w:hAnsi="Arial" w:cs="Arial"/>
          <w:sz w:val="20"/>
          <w:szCs w:val="20"/>
          <w:lang w:val="en-US"/>
        </w:rPr>
        <w:footnoteReference w:id="18"/>
      </w:r>
      <w:r w:rsidRPr="006F60B1">
        <w:rPr>
          <w:rFonts w:ascii="Arial" w:hAnsi="Arial" w:cs="Arial"/>
          <w:sz w:val="20"/>
          <w:szCs w:val="20"/>
          <w:lang w:val="en-US"/>
        </w:rPr>
        <w:t xml:space="preserve"> </w:t>
      </w:r>
    </w:p>
    <w:p w14:paraId="56DAC39C" w14:textId="690B8954" w:rsidR="00416CB3" w:rsidRPr="006F60B1" w:rsidRDefault="00416CB3" w:rsidP="00820CC6">
      <w:pPr>
        <w:pStyle w:val="ListParagraph"/>
        <w:numPr>
          <w:ilvl w:val="0"/>
          <w:numId w:val="10"/>
        </w:numPr>
        <w:spacing w:before="120" w:after="120" w:line="240" w:lineRule="auto"/>
        <w:ind w:left="714" w:hanging="357"/>
        <w:contextualSpacing w:val="0"/>
        <w:jc w:val="both"/>
        <w:rPr>
          <w:rFonts w:ascii="Arial" w:hAnsi="Arial" w:cs="Arial"/>
          <w:sz w:val="20"/>
          <w:szCs w:val="20"/>
        </w:rPr>
      </w:pPr>
      <w:r w:rsidRPr="00EC1A49">
        <w:rPr>
          <w:rFonts w:ascii="Arial" w:hAnsi="Arial" w:cs="Arial"/>
          <w:b/>
          <w:i/>
          <w:sz w:val="20"/>
          <w:szCs w:val="20"/>
        </w:rPr>
        <w:t>Change in government commitment to service delivery</w:t>
      </w:r>
      <w:r w:rsidRPr="00EC1A49">
        <w:rPr>
          <w:rFonts w:ascii="Arial" w:hAnsi="Arial" w:cs="Arial"/>
          <w:b/>
          <w:sz w:val="20"/>
          <w:szCs w:val="20"/>
        </w:rPr>
        <w:t>.</w:t>
      </w:r>
      <w:r w:rsidRPr="006F60B1">
        <w:rPr>
          <w:rFonts w:ascii="Arial" w:hAnsi="Arial" w:cs="Arial"/>
          <w:sz w:val="20"/>
          <w:szCs w:val="20"/>
        </w:rPr>
        <w:t xml:space="preserve"> This change will be tracked through qualitative methods (including policy engagement) i</w:t>
      </w:r>
      <w:r w:rsidR="006F60B1">
        <w:rPr>
          <w:rFonts w:ascii="Arial" w:hAnsi="Arial" w:cs="Arial"/>
          <w:sz w:val="20"/>
          <w:szCs w:val="20"/>
        </w:rPr>
        <w:t xml:space="preserve">n sectors which are delivering </w:t>
      </w:r>
      <w:r w:rsidRPr="006F60B1">
        <w:rPr>
          <w:rFonts w:ascii="Arial" w:hAnsi="Arial" w:cs="Arial"/>
          <w:sz w:val="20"/>
          <w:szCs w:val="20"/>
        </w:rPr>
        <w:t>at the sub-national level</w:t>
      </w:r>
      <w:r w:rsidR="006F60B1">
        <w:rPr>
          <w:rFonts w:ascii="Arial" w:hAnsi="Arial" w:cs="Arial"/>
          <w:sz w:val="20"/>
          <w:szCs w:val="20"/>
        </w:rPr>
        <w:t>,</w:t>
      </w:r>
      <w:r w:rsidRPr="006F60B1">
        <w:rPr>
          <w:rFonts w:ascii="Arial" w:hAnsi="Arial" w:cs="Arial"/>
          <w:sz w:val="20"/>
          <w:szCs w:val="20"/>
        </w:rPr>
        <w:t xml:space="preserve"> through an analysis of budget allocations to key service sectors at the national and municipal level, as</w:t>
      </w:r>
      <w:r w:rsidR="006F60B1">
        <w:rPr>
          <w:rFonts w:ascii="Arial" w:hAnsi="Arial" w:cs="Arial"/>
          <w:sz w:val="20"/>
          <w:szCs w:val="20"/>
        </w:rPr>
        <w:t xml:space="preserve"> well as disbursement rates </w:t>
      </w:r>
      <w:r w:rsidR="00916A1E">
        <w:rPr>
          <w:rFonts w:ascii="Arial" w:hAnsi="Arial" w:cs="Arial"/>
          <w:sz w:val="20"/>
          <w:szCs w:val="20"/>
        </w:rPr>
        <w:t>or municipal budget prioritis</w:t>
      </w:r>
      <w:r w:rsidRPr="006F60B1">
        <w:rPr>
          <w:rFonts w:ascii="Arial" w:hAnsi="Arial" w:cs="Arial"/>
          <w:sz w:val="20"/>
          <w:szCs w:val="20"/>
        </w:rPr>
        <w:t>ation documents</w:t>
      </w:r>
      <w:r w:rsidR="006F60B1">
        <w:rPr>
          <w:rFonts w:ascii="Arial" w:hAnsi="Arial" w:cs="Arial"/>
          <w:sz w:val="20"/>
          <w:szCs w:val="20"/>
        </w:rPr>
        <w:t>,</w:t>
      </w:r>
      <w:r w:rsidRPr="00416CB3">
        <w:rPr>
          <w:rStyle w:val="FootnoteReference"/>
          <w:rFonts w:ascii="Arial" w:hAnsi="Arial" w:cs="Arial"/>
          <w:sz w:val="20"/>
          <w:szCs w:val="20"/>
        </w:rPr>
        <w:footnoteReference w:id="19"/>
      </w:r>
      <w:r w:rsidRPr="006F60B1">
        <w:rPr>
          <w:rFonts w:ascii="Arial" w:hAnsi="Arial" w:cs="Arial"/>
          <w:sz w:val="20"/>
          <w:szCs w:val="20"/>
        </w:rPr>
        <w:t xml:space="preserve"> as far as possible. Such measures will reflect a clear indication of government focus and commitment to recurrent and capital service delivery costs – as well as indicate the effectiveness of PHD advocacy efforts across the various sectors. </w:t>
      </w:r>
    </w:p>
    <w:p w14:paraId="5F3589AC" w14:textId="77EAA4E1" w:rsidR="00416CB3" w:rsidRPr="006F60B1" w:rsidRDefault="00416CB3" w:rsidP="00820CC6">
      <w:pPr>
        <w:pStyle w:val="ListParagraph"/>
        <w:numPr>
          <w:ilvl w:val="0"/>
          <w:numId w:val="10"/>
        </w:numPr>
        <w:spacing w:before="120" w:after="120" w:line="240" w:lineRule="auto"/>
        <w:ind w:left="714" w:hanging="357"/>
        <w:contextualSpacing w:val="0"/>
        <w:jc w:val="both"/>
        <w:rPr>
          <w:rFonts w:ascii="Arial" w:hAnsi="Arial" w:cs="Arial"/>
          <w:sz w:val="20"/>
          <w:szCs w:val="20"/>
        </w:rPr>
      </w:pPr>
      <w:r w:rsidRPr="00EC1A49">
        <w:rPr>
          <w:rFonts w:ascii="Arial" w:hAnsi="Arial" w:cs="Arial"/>
          <w:b/>
          <w:i/>
          <w:sz w:val="20"/>
          <w:szCs w:val="20"/>
        </w:rPr>
        <w:t>Improvements in service delivery out</w:t>
      </w:r>
      <w:r w:rsidR="006F60B1" w:rsidRPr="00EC1A49">
        <w:rPr>
          <w:rFonts w:ascii="Arial" w:hAnsi="Arial" w:cs="Arial"/>
          <w:b/>
          <w:i/>
          <w:sz w:val="20"/>
          <w:szCs w:val="20"/>
        </w:rPr>
        <w:t>comes as a result of PHD’s cross</w:t>
      </w:r>
      <w:r w:rsidRPr="00EC1A49">
        <w:rPr>
          <w:rFonts w:ascii="Arial" w:hAnsi="Arial" w:cs="Arial"/>
          <w:b/>
          <w:i/>
          <w:sz w:val="20"/>
          <w:szCs w:val="20"/>
        </w:rPr>
        <w:t>-sector</w:t>
      </w:r>
      <w:r w:rsidR="006F60B1" w:rsidRPr="00EC1A49">
        <w:rPr>
          <w:rFonts w:ascii="Arial" w:hAnsi="Arial" w:cs="Arial"/>
          <w:b/>
          <w:i/>
          <w:sz w:val="20"/>
          <w:szCs w:val="20"/>
        </w:rPr>
        <w:t>al</w:t>
      </w:r>
      <w:r w:rsidRPr="00EC1A49">
        <w:rPr>
          <w:rFonts w:ascii="Arial" w:hAnsi="Arial" w:cs="Arial"/>
          <w:b/>
          <w:i/>
          <w:sz w:val="20"/>
          <w:szCs w:val="20"/>
        </w:rPr>
        <w:t xml:space="preserve"> approach.</w:t>
      </w:r>
      <w:r w:rsidR="006F60B1" w:rsidRPr="006F60B1">
        <w:rPr>
          <w:rFonts w:ascii="Arial" w:hAnsi="Arial" w:cs="Arial"/>
          <w:sz w:val="20"/>
          <w:szCs w:val="20"/>
        </w:rPr>
        <w:t xml:space="preserve"> </w:t>
      </w:r>
      <w:r w:rsidRPr="006F60B1">
        <w:rPr>
          <w:rFonts w:ascii="Arial" w:hAnsi="Arial" w:cs="Arial"/>
          <w:sz w:val="20"/>
          <w:szCs w:val="20"/>
        </w:rPr>
        <w:t>This change will be tracked through two indicators</w:t>
      </w:r>
      <w:r w:rsidR="006F60B1">
        <w:rPr>
          <w:rFonts w:ascii="Arial" w:hAnsi="Arial" w:cs="Arial"/>
          <w:sz w:val="20"/>
          <w:szCs w:val="20"/>
        </w:rPr>
        <w:t>:</w:t>
      </w:r>
      <w:r w:rsidRPr="006F60B1">
        <w:rPr>
          <w:rFonts w:ascii="Arial" w:hAnsi="Arial" w:cs="Arial"/>
          <w:sz w:val="20"/>
          <w:szCs w:val="20"/>
        </w:rPr>
        <w:t xml:space="preserve"> (1</w:t>
      </w:r>
      <w:r w:rsidR="006F60B1">
        <w:rPr>
          <w:rFonts w:ascii="Arial" w:hAnsi="Arial" w:cs="Arial"/>
          <w:sz w:val="20"/>
          <w:szCs w:val="20"/>
        </w:rPr>
        <w:t>) improved ‘readiness’ of front</w:t>
      </w:r>
      <w:r w:rsidRPr="006F60B1">
        <w:rPr>
          <w:rFonts w:ascii="Arial" w:hAnsi="Arial" w:cs="Arial"/>
          <w:sz w:val="20"/>
          <w:szCs w:val="20"/>
        </w:rPr>
        <w:t>line service delivery facilities to meet the needs of their clients (noting that the actual data</w:t>
      </w:r>
      <w:r w:rsidR="006F60B1">
        <w:rPr>
          <w:rFonts w:ascii="Arial" w:hAnsi="Arial" w:cs="Arial"/>
          <w:sz w:val="20"/>
          <w:szCs w:val="20"/>
        </w:rPr>
        <w:t xml:space="preserve"> available will vary by sector); and</w:t>
      </w:r>
      <w:r w:rsidRPr="006F60B1">
        <w:rPr>
          <w:rFonts w:ascii="Arial" w:hAnsi="Arial" w:cs="Arial"/>
          <w:sz w:val="20"/>
          <w:szCs w:val="20"/>
        </w:rPr>
        <w:t xml:space="preserve"> (2) the increased use of facilities by </w:t>
      </w:r>
      <w:r w:rsidR="006F60B1">
        <w:rPr>
          <w:rFonts w:ascii="Arial" w:hAnsi="Arial" w:cs="Arial"/>
          <w:sz w:val="20"/>
          <w:szCs w:val="20"/>
        </w:rPr>
        <w:t>the Timorese people</w:t>
      </w:r>
      <w:r w:rsidRPr="006F60B1">
        <w:rPr>
          <w:rFonts w:ascii="Arial" w:hAnsi="Arial" w:cs="Arial"/>
          <w:sz w:val="20"/>
          <w:szCs w:val="20"/>
        </w:rPr>
        <w:t>, especially women and girls</w:t>
      </w:r>
      <w:r w:rsidR="006F60B1">
        <w:rPr>
          <w:rFonts w:ascii="Arial" w:hAnsi="Arial" w:cs="Arial"/>
          <w:sz w:val="20"/>
          <w:szCs w:val="20"/>
        </w:rPr>
        <w:t>,</w:t>
      </w:r>
      <w:r w:rsidRPr="006F60B1">
        <w:rPr>
          <w:rFonts w:ascii="Arial" w:hAnsi="Arial" w:cs="Arial"/>
          <w:sz w:val="20"/>
          <w:szCs w:val="20"/>
        </w:rPr>
        <w:t xml:space="preserve"> and people living with a disability (with the assumption being that if more </w:t>
      </w:r>
      <w:r w:rsidR="006F60B1">
        <w:rPr>
          <w:rFonts w:ascii="Arial" w:hAnsi="Arial" w:cs="Arial"/>
          <w:sz w:val="20"/>
          <w:szCs w:val="20"/>
        </w:rPr>
        <w:t>people are using the</w:t>
      </w:r>
      <w:r w:rsidRPr="006F60B1">
        <w:rPr>
          <w:rFonts w:ascii="Arial" w:hAnsi="Arial" w:cs="Arial"/>
          <w:sz w:val="20"/>
          <w:szCs w:val="20"/>
        </w:rPr>
        <w:t xml:space="preserve"> facilities they believe they have the right do so</w:t>
      </w:r>
      <w:r w:rsidR="006F60B1">
        <w:rPr>
          <w:rFonts w:ascii="Arial" w:hAnsi="Arial" w:cs="Arial"/>
          <w:sz w:val="20"/>
          <w:szCs w:val="20"/>
        </w:rPr>
        <w:t>,</w:t>
      </w:r>
      <w:r w:rsidRPr="006F60B1">
        <w:rPr>
          <w:rFonts w:ascii="Arial" w:hAnsi="Arial" w:cs="Arial"/>
          <w:sz w:val="20"/>
          <w:szCs w:val="20"/>
        </w:rPr>
        <w:t xml:space="preserve"> and </w:t>
      </w:r>
      <w:r w:rsidR="001B1219">
        <w:rPr>
          <w:rFonts w:ascii="Arial" w:hAnsi="Arial" w:cs="Arial"/>
          <w:sz w:val="20"/>
          <w:szCs w:val="20"/>
        </w:rPr>
        <w:t>a</w:t>
      </w:r>
      <w:r w:rsidR="006F60B1">
        <w:rPr>
          <w:rFonts w:ascii="Arial" w:hAnsi="Arial" w:cs="Arial"/>
          <w:sz w:val="20"/>
          <w:szCs w:val="20"/>
        </w:rPr>
        <w:t>re able</w:t>
      </w:r>
      <w:r w:rsidRPr="006F60B1">
        <w:rPr>
          <w:rFonts w:ascii="Arial" w:hAnsi="Arial" w:cs="Arial"/>
          <w:sz w:val="20"/>
          <w:szCs w:val="20"/>
        </w:rPr>
        <w:t xml:space="preserve"> to access these services).</w:t>
      </w:r>
    </w:p>
    <w:p w14:paraId="486D913E" w14:textId="0185133E" w:rsidR="00FC7160" w:rsidRDefault="00FC7160" w:rsidP="00FC7160">
      <w:pPr>
        <w:pStyle w:val="Heading1"/>
        <w:tabs>
          <w:tab w:val="clear" w:pos="0"/>
          <w:tab w:val="left" w:pos="851"/>
        </w:tabs>
        <w:ind w:left="851" w:hanging="851"/>
      </w:pPr>
      <w:bookmarkStart w:id="9" w:name="_Toc487186318"/>
      <w:r>
        <w:t>Program Implementation</w:t>
      </w:r>
      <w:bookmarkEnd w:id="9"/>
    </w:p>
    <w:p w14:paraId="73C95777" w14:textId="77777777" w:rsidR="00FC7160" w:rsidRPr="00FC7160" w:rsidRDefault="00FC7160" w:rsidP="00FC7160">
      <w:pPr>
        <w:pStyle w:val="ListParagraph"/>
        <w:keepNext/>
        <w:keepLines/>
        <w:numPr>
          <w:ilvl w:val="0"/>
          <w:numId w:val="5"/>
        </w:numPr>
        <w:tabs>
          <w:tab w:val="left" w:pos="851"/>
        </w:tabs>
        <w:spacing w:before="240" w:after="240" w:line="240" w:lineRule="auto"/>
        <w:contextualSpacing w:val="0"/>
        <w:jc w:val="both"/>
        <w:outlineLvl w:val="1"/>
        <w:rPr>
          <w:rFonts w:ascii="Arial" w:eastAsiaTheme="majorEastAsia" w:hAnsi="Arial" w:cs="Arial"/>
          <w:b/>
          <w:vanish/>
          <w:color w:val="FF931E"/>
          <w:sz w:val="28"/>
          <w:szCs w:val="28"/>
        </w:rPr>
      </w:pPr>
    </w:p>
    <w:p w14:paraId="7E5C39CB" w14:textId="77777777" w:rsidR="00FC7160" w:rsidRPr="00FC7160" w:rsidRDefault="00FC7160" w:rsidP="00FC7160">
      <w:pPr>
        <w:pStyle w:val="ListParagraph"/>
        <w:keepNext/>
        <w:keepLines/>
        <w:numPr>
          <w:ilvl w:val="0"/>
          <w:numId w:val="5"/>
        </w:numPr>
        <w:tabs>
          <w:tab w:val="left" w:pos="851"/>
        </w:tabs>
        <w:spacing w:before="240" w:after="240" w:line="240" w:lineRule="auto"/>
        <w:contextualSpacing w:val="0"/>
        <w:jc w:val="both"/>
        <w:outlineLvl w:val="1"/>
        <w:rPr>
          <w:rFonts w:ascii="Arial" w:eastAsiaTheme="majorEastAsia" w:hAnsi="Arial" w:cs="Arial"/>
          <w:b/>
          <w:vanish/>
          <w:color w:val="FF931E"/>
          <w:sz w:val="28"/>
          <w:szCs w:val="28"/>
        </w:rPr>
      </w:pPr>
    </w:p>
    <w:p w14:paraId="4AD960A0" w14:textId="0E2D63D9" w:rsidR="00416CB3" w:rsidRDefault="00416CB3" w:rsidP="00FC7160">
      <w:pPr>
        <w:pStyle w:val="Heading2"/>
      </w:pPr>
      <w:bookmarkStart w:id="10" w:name="_Toc487186319"/>
      <w:r>
        <w:t>Current Program Context</w:t>
      </w:r>
      <w:bookmarkEnd w:id="10"/>
    </w:p>
    <w:p w14:paraId="52D3F87F" w14:textId="6C74497C" w:rsidR="00416CB3" w:rsidRPr="00416CB3" w:rsidRDefault="000E44BE" w:rsidP="00416CB3">
      <w:pPr>
        <w:rPr>
          <w:szCs w:val="20"/>
          <w:lang w:val="en-US"/>
        </w:rPr>
      </w:pPr>
      <w:r>
        <w:rPr>
          <w:szCs w:val="20"/>
          <w:lang w:val="en-US"/>
        </w:rPr>
        <w:t xml:space="preserve">When PHD commenced it took on </w:t>
      </w:r>
      <w:r w:rsidR="00416CB3" w:rsidRPr="00416CB3">
        <w:rPr>
          <w:szCs w:val="20"/>
          <w:lang w:val="en-US"/>
        </w:rPr>
        <w:t>existing activities</w:t>
      </w:r>
      <w:r>
        <w:rPr>
          <w:szCs w:val="20"/>
          <w:lang w:val="en-US"/>
        </w:rPr>
        <w:t xml:space="preserve"> from previous DFAT-funded programs</w:t>
      </w:r>
      <w:r w:rsidR="00416CB3" w:rsidRPr="00416CB3">
        <w:rPr>
          <w:szCs w:val="20"/>
          <w:lang w:val="en-US"/>
        </w:rPr>
        <w:t>, financial pre-commitments</w:t>
      </w:r>
      <w:r>
        <w:rPr>
          <w:szCs w:val="20"/>
          <w:lang w:val="en-US"/>
        </w:rPr>
        <w:t>,</w:t>
      </w:r>
      <w:r w:rsidR="00416CB3" w:rsidRPr="00416CB3">
        <w:rPr>
          <w:szCs w:val="20"/>
          <w:lang w:val="en-US"/>
        </w:rPr>
        <w:t xml:space="preserve"> and </w:t>
      </w:r>
      <w:r>
        <w:rPr>
          <w:szCs w:val="20"/>
          <w:lang w:val="en-US"/>
        </w:rPr>
        <w:t xml:space="preserve">implementing </w:t>
      </w:r>
      <w:r w:rsidR="00416CB3" w:rsidRPr="00416CB3">
        <w:rPr>
          <w:szCs w:val="20"/>
          <w:lang w:val="en-US"/>
        </w:rPr>
        <w:t>partners. While these are expected to change over</w:t>
      </w:r>
      <w:r w:rsidR="00D95132">
        <w:rPr>
          <w:szCs w:val="20"/>
          <w:lang w:val="en-US"/>
        </w:rPr>
        <w:t xml:space="preserve"> time as opportunities for cross</w:t>
      </w:r>
      <w:r w:rsidR="00416CB3" w:rsidRPr="00416CB3">
        <w:rPr>
          <w:szCs w:val="20"/>
          <w:lang w:val="en-US"/>
        </w:rPr>
        <w:t>-sector</w:t>
      </w:r>
      <w:r w:rsidR="00D95132">
        <w:rPr>
          <w:szCs w:val="20"/>
          <w:lang w:val="en-US"/>
        </w:rPr>
        <w:t>al</w:t>
      </w:r>
      <w:r w:rsidR="00416CB3" w:rsidRPr="00416CB3">
        <w:rPr>
          <w:szCs w:val="20"/>
          <w:lang w:val="en-US"/>
        </w:rPr>
        <w:t xml:space="preserve"> collaboration and different ways of working emerge, this will be a gradual process. </w:t>
      </w:r>
    </w:p>
    <w:p w14:paraId="28F0FE19" w14:textId="24772A4E" w:rsidR="00416CB3" w:rsidRPr="00416CB3" w:rsidRDefault="00416CB3" w:rsidP="00A472D6">
      <w:pPr>
        <w:rPr>
          <w:szCs w:val="20"/>
          <w:lang w:val="en-US"/>
        </w:rPr>
      </w:pPr>
      <w:r w:rsidRPr="00416CB3">
        <w:rPr>
          <w:szCs w:val="20"/>
          <w:lang w:val="en-US"/>
        </w:rPr>
        <w:t xml:space="preserve">Furthermore, it </w:t>
      </w:r>
      <w:r w:rsidR="00D95132">
        <w:rPr>
          <w:szCs w:val="20"/>
          <w:lang w:val="en-US"/>
        </w:rPr>
        <w:t>is clear that the process of shift</w:t>
      </w:r>
      <w:r w:rsidRPr="00416CB3">
        <w:rPr>
          <w:szCs w:val="20"/>
          <w:lang w:val="en-US"/>
        </w:rPr>
        <w:t>ing previously siloed sector pro</w:t>
      </w:r>
      <w:r w:rsidR="00D95132">
        <w:rPr>
          <w:szCs w:val="20"/>
          <w:lang w:val="en-US"/>
        </w:rPr>
        <w:t>grams</w:t>
      </w:r>
      <w:r w:rsidRPr="00416CB3">
        <w:rPr>
          <w:szCs w:val="20"/>
          <w:lang w:val="en-US"/>
        </w:rPr>
        <w:t xml:space="preserve"> and technical experts</w:t>
      </w:r>
      <w:r w:rsidR="00D95132">
        <w:rPr>
          <w:szCs w:val="20"/>
          <w:lang w:val="en-US"/>
        </w:rPr>
        <w:t xml:space="preserve"> </w:t>
      </w:r>
      <w:r w:rsidRPr="00416CB3">
        <w:rPr>
          <w:szCs w:val="20"/>
          <w:lang w:val="en-US"/>
        </w:rPr>
        <w:t xml:space="preserve">into </w:t>
      </w:r>
      <w:r w:rsidR="00D95132">
        <w:rPr>
          <w:szCs w:val="20"/>
          <w:lang w:val="en-US"/>
        </w:rPr>
        <w:t>one</w:t>
      </w:r>
      <w:r w:rsidRPr="00416CB3">
        <w:rPr>
          <w:szCs w:val="20"/>
          <w:lang w:val="en-US"/>
        </w:rPr>
        <w:t xml:space="preserve"> program that is highly integrated and able to</w:t>
      </w:r>
      <w:r w:rsidR="00D95132">
        <w:rPr>
          <w:szCs w:val="20"/>
          <w:lang w:val="en-US"/>
        </w:rPr>
        <w:t xml:space="preserve"> work in interdisciplinary ways </w:t>
      </w:r>
      <w:r w:rsidRPr="00416CB3">
        <w:rPr>
          <w:szCs w:val="20"/>
          <w:lang w:val="en-US"/>
        </w:rPr>
        <w:t>is a significant change management proc</w:t>
      </w:r>
      <w:r w:rsidR="00D95132">
        <w:rPr>
          <w:szCs w:val="20"/>
          <w:lang w:val="en-US"/>
        </w:rPr>
        <w:t>ess. After consolidating program</w:t>
      </w:r>
      <w:r w:rsidRPr="00416CB3">
        <w:rPr>
          <w:szCs w:val="20"/>
          <w:lang w:val="en-US"/>
        </w:rPr>
        <w:t>s under the new PHD operating plat</w:t>
      </w:r>
      <w:r w:rsidR="00D95132">
        <w:rPr>
          <w:szCs w:val="20"/>
          <w:lang w:val="en-US"/>
        </w:rPr>
        <w:t>form, and establishing an overarching</w:t>
      </w:r>
      <w:r w:rsidRPr="00416CB3">
        <w:rPr>
          <w:szCs w:val="20"/>
          <w:lang w:val="en-US"/>
        </w:rPr>
        <w:t xml:space="preserve"> strategic direction for the program, teams will then need to better integrate activities </w:t>
      </w:r>
      <w:r w:rsidRPr="00416CB3">
        <w:rPr>
          <w:i/>
          <w:szCs w:val="20"/>
          <w:lang w:val="en-US"/>
        </w:rPr>
        <w:t>within</w:t>
      </w:r>
      <w:r w:rsidR="00D95132">
        <w:rPr>
          <w:szCs w:val="20"/>
          <w:lang w:val="en-US"/>
        </w:rPr>
        <w:t xml:space="preserve"> each</w:t>
      </w:r>
      <w:r w:rsidRPr="00416CB3">
        <w:rPr>
          <w:szCs w:val="20"/>
          <w:lang w:val="en-US"/>
        </w:rPr>
        <w:t xml:space="preserve"> sector. For example, under the health program, there is work to better match ‘supply side’ support (i.e. advisers working on the upstream functions of government) with those working on the ‘demand side’ (i.e. downstream with communities and facilities). After this initial intra-sector integration work teams will be in </w:t>
      </w:r>
      <w:r w:rsidR="00D95132">
        <w:rPr>
          <w:szCs w:val="20"/>
          <w:lang w:val="en-US"/>
        </w:rPr>
        <w:t>a better position to adopt cross</w:t>
      </w:r>
      <w:r w:rsidRPr="00416CB3">
        <w:rPr>
          <w:szCs w:val="20"/>
          <w:lang w:val="en-US"/>
        </w:rPr>
        <w:t>-sector</w:t>
      </w:r>
      <w:r w:rsidR="00D95132">
        <w:rPr>
          <w:szCs w:val="20"/>
          <w:lang w:val="en-US"/>
        </w:rPr>
        <w:t>al</w:t>
      </w:r>
      <w:r w:rsidRPr="00416CB3">
        <w:rPr>
          <w:szCs w:val="20"/>
          <w:lang w:val="en-US"/>
        </w:rPr>
        <w:t xml:space="preserve"> programming approaches.     </w:t>
      </w:r>
    </w:p>
    <w:p w14:paraId="19E6E4A3" w14:textId="77777777" w:rsidR="00EC1A49" w:rsidRDefault="00D95132" w:rsidP="00A472D6">
      <w:pPr>
        <w:rPr>
          <w:szCs w:val="20"/>
          <w:lang w:val="en-US"/>
        </w:rPr>
      </w:pPr>
      <w:r>
        <w:rPr>
          <w:szCs w:val="20"/>
          <w:lang w:val="en-US"/>
        </w:rPr>
        <w:t xml:space="preserve">Over the coming 12 to </w:t>
      </w:r>
      <w:r w:rsidR="00416CB3" w:rsidRPr="00416CB3">
        <w:rPr>
          <w:szCs w:val="20"/>
          <w:lang w:val="en-US"/>
        </w:rPr>
        <w:t xml:space="preserve">18 months, PHD will undertake a phased approach to transitioning the </w:t>
      </w:r>
      <w:r>
        <w:rPr>
          <w:szCs w:val="20"/>
          <w:lang w:val="en-US"/>
        </w:rPr>
        <w:t xml:space="preserve">program. </w:t>
      </w:r>
    </w:p>
    <w:p w14:paraId="4050D661" w14:textId="49DE0B2B" w:rsidR="00416CB3" w:rsidRPr="00416CB3" w:rsidRDefault="00416CB3" w:rsidP="00A472D6">
      <w:pPr>
        <w:rPr>
          <w:szCs w:val="20"/>
          <w:lang w:val="en-US"/>
        </w:rPr>
      </w:pPr>
      <w:r w:rsidRPr="00416CB3">
        <w:rPr>
          <w:szCs w:val="20"/>
          <w:lang w:val="en-US"/>
        </w:rPr>
        <w:t xml:space="preserve">This will include: </w:t>
      </w:r>
    </w:p>
    <w:p w14:paraId="783D2425" w14:textId="1FEF6C88" w:rsidR="00416CB3" w:rsidRPr="00416CB3" w:rsidRDefault="00416CB3" w:rsidP="00D95132">
      <w:pPr>
        <w:pStyle w:val="TableBullet"/>
        <w:jc w:val="both"/>
      </w:pPr>
      <w:r w:rsidRPr="00416CB3">
        <w:rPr>
          <w:b/>
          <w:i/>
        </w:rPr>
        <w:t>Consolidation (0</w:t>
      </w:r>
      <w:r w:rsidR="00D95132">
        <w:rPr>
          <w:b/>
          <w:i/>
        </w:rPr>
        <w:t xml:space="preserve"> to </w:t>
      </w:r>
      <w:r w:rsidRPr="00416CB3">
        <w:rPr>
          <w:b/>
          <w:i/>
        </w:rPr>
        <w:t xml:space="preserve">12 months). </w:t>
      </w:r>
      <w:r w:rsidRPr="00416CB3">
        <w:t>This period will focus on the c</w:t>
      </w:r>
      <w:r w:rsidR="00D95132">
        <w:t>onsolidation of existing program</w:t>
      </w:r>
      <w:r w:rsidRPr="00416CB3">
        <w:t>s and integration of novated partners under the new PHD operating platform, as well as setting</w:t>
      </w:r>
      <w:r w:rsidR="00D95132">
        <w:t xml:space="preserve"> the overarching</w:t>
      </w:r>
      <w:r w:rsidRPr="00416CB3">
        <w:t xml:space="preserve"> strategic </w:t>
      </w:r>
      <w:r w:rsidR="00D95132">
        <w:t xml:space="preserve">direction for </w:t>
      </w:r>
      <w:r w:rsidRPr="00416CB3">
        <w:t>PHD (this document</w:t>
      </w:r>
      <w:r w:rsidR="00D95132">
        <w:t xml:space="preserve"> and yet-to-be developed Strategic Plan</w:t>
      </w:r>
      <w:r w:rsidRPr="00416CB3">
        <w:t xml:space="preserve">). During this period, the program will </w:t>
      </w:r>
      <w:r w:rsidR="00D95132">
        <w:t>also need to engage and socialise partners to the program’s overarching</w:t>
      </w:r>
      <w:r w:rsidRPr="00416CB3">
        <w:t xml:space="preserve"> strategic </w:t>
      </w:r>
      <w:r w:rsidR="00D95132">
        <w:t>direction</w:t>
      </w:r>
      <w:r w:rsidRPr="00416CB3">
        <w:t xml:space="preserve"> and goal – including the re-shaping of work plans. The marker of success will be the smoot</w:t>
      </w:r>
      <w:r w:rsidR="00D95132">
        <w:t>h transition of existing programs into</w:t>
      </w:r>
      <w:r w:rsidRPr="00416CB3">
        <w:t xml:space="preserve"> PHD</w:t>
      </w:r>
      <w:r w:rsidR="00D95132">
        <w:t xml:space="preserve">, the </w:t>
      </w:r>
      <w:r w:rsidR="00916A1E">
        <w:t>finalis</w:t>
      </w:r>
      <w:r w:rsidR="00D95132">
        <w:t>ation of this Strategic Framework, and</w:t>
      </w:r>
      <w:r w:rsidRPr="00416CB3">
        <w:t xml:space="preserve"> the developmen</w:t>
      </w:r>
      <w:r w:rsidR="00D95132">
        <w:t xml:space="preserve">t of a widely agreed Strategic Plan for </w:t>
      </w:r>
      <w:r w:rsidRPr="00416CB3">
        <w:t>PHD.</w:t>
      </w:r>
      <w:r w:rsidR="00D95132">
        <w:t xml:space="preserve"> The development of the MELF will also be a key component of this period.</w:t>
      </w:r>
    </w:p>
    <w:p w14:paraId="5CA0A8A2" w14:textId="0DEB036D" w:rsidR="00416CB3" w:rsidRPr="00416CB3" w:rsidRDefault="00416CB3" w:rsidP="00D95132">
      <w:pPr>
        <w:pStyle w:val="TableBullet"/>
        <w:jc w:val="both"/>
      </w:pPr>
      <w:r w:rsidRPr="00416CB3">
        <w:rPr>
          <w:b/>
          <w:i/>
        </w:rPr>
        <w:t>Intra-sector Integration (12</w:t>
      </w:r>
      <w:r w:rsidR="00D95132">
        <w:rPr>
          <w:b/>
          <w:i/>
        </w:rPr>
        <w:t xml:space="preserve"> to </w:t>
      </w:r>
      <w:r w:rsidRPr="00416CB3">
        <w:rPr>
          <w:b/>
          <w:i/>
        </w:rPr>
        <w:t>18 months)</w:t>
      </w:r>
      <w:r w:rsidR="00C810F2">
        <w:rPr>
          <w:b/>
          <w:i/>
        </w:rPr>
        <w:t>.</w:t>
      </w:r>
      <w:r w:rsidRPr="00416CB3">
        <w:rPr>
          <w:b/>
          <w:i/>
        </w:rPr>
        <w:t xml:space="preserve"> </w:t>
      </w:r>
      <w:r w:rsidRPr="00416CB3">
        <w:t>This period will</w:t>
      </w:r>
      <w:r w:rsidR="00D95132">
        <w:t xml:space="preserve"> focus on integration of program</w:t>
      </w:r>
      <w:r w:rsidRPr="00416CB3">
        <w:t xml:space="preserve">s and activities </w:t>
      </w:r>
      <w:r w:rsidRPr="00416CB3">
        <w:rPr>
          <w:i/>
        </w:rPr>
        <w:t>within</w:t>
      </w:r>
      <w:r w:rsidR="00D95132">
        <w:t xml:space="preserve"> each</w:t>
      </w:r>
      <w:r w:rsidRPr="00416CB3">
        <w:t xml:space="preserve"> sector to be more effective and co</w:t>
      </w:r>
      <w:r w:rsidR="006D3BA1">
        <w:t>herent in how they operate (for example,</w:t>
      </w:r>
      <w:r w:rsidRPr="00416CB3">
        <w:t xml:space="preserve"> matching supply and demand, linking support to different levels of government, </w:t>
      </w:r>
      <w:r w:rsidR="006D3BA1">
        <w:t xml:space="preserve">and </w:t>
      </w:r>
      <w:r w:rsidRPr="00416CB3">
        <w:t>combining part</w:t>
      </w:r>
      <w:r w:rsidR="006D3BA1">
        <w:t>ner data collection systems</w:t>
      </w:r>
      <w:r w:rsidRPr="00416CB3">
        <w:t>); mainstreaming g</w:t>
      </w:r>
      <w:r w:rsidR="00D95132">
        <w:t xml:space="preserve">ender and disability across </w:t>
      </w:r>
      <w:r w:rsidRPr="00416CB3">
        <w:t>PHD’s existi</w:t>
      </w:r>
      <w:r w:rsidR="00D95132">
        <w:t>ng portfolio of activities;</w:t>
      </w:r>
      <w:r w:rsidRPr="00416CB3">
        <w:t xml:space="preserve"> and identifying immediate areas where it makes sense for sectors to begin </w:t>
      </w:r>
      <w:r w:rsidR="00D95132">
        <w:t xml:space="preserve">planning and </w:t>
      </w:r>
      <w:r w:rsidR="00D95132">
        <w:lastRenderedPageBreak/>
        <w:t>working</w:t>
      </w:r>
      <w:r w:rsidRPr="00416CB3">
        <w:t xml:space="preserve"> together (this includes the design of the geographic clustering activity – detailed below). Some sectors will use evaluative techniques (detailed below) to assist in this process. The marker of success will be the articulation of a clear plan for how each sector and its partners will operate, contribute to each other’s sector activities, and rea</w:t>
      </w:r>
      <w:r w:rsidR="00C810F2">
        <w:t>lign to work towards PHD’s overarching</w:t>
      </w:r>
      <w:r w:rsidRPr="00416CB3">
        <w:t xml:space="preserve"> goal.  </w:t>
      </w:r>
    </w:p>
    <w:p w14:paraId="1A723F2C" w14:textId="3F2372AD" w:rsidR="00416CB3" w:rsidRPr="00416CB3" w:rsidRDefault="00D95132" w:rsidP="00D95132">
      <w:pPr>
        <w:pStyle w:val="TableBullet"/>
        <w:jc w:val="both"/>
      </w:pPr>
      <w:r>
        <w:rPr>
          <w:b/>
          <w:i/>
        </w:rPr>
        <w:t>Cross</w:t>
      </w:r>
      <w:r w:rsidR="00416CB3" w:rsidRPr="00416CB3">
        <w:rPr>
          <w:b/>
          <w:i/>
        </w:rPr>
        <w:t>-</w:t>
      </w:r>
      <w:r>
        <w:rPr>
          <w:b/>
          <w:i/>
        </w:rPr>
        <w:t>sector I</w:t>
      </w:r>
      <w:r w:rsidR="00C810F2">
        <w:rPr>
          <w:b/>
          <w:i/>
        </w:rPr>
        <w:t>ntegration (18 months and ongoing</w:t>
      </w:r>
      <w:r w:rsidR="00416CB3" w:rsidRPr="00416CB3">
        <w:rPr>
          <w:b/>
          <w:i/>
        </w:rPr>
        <w:t>)</w:t>
      </w:r>
      <w:r w:rsidR="00C810F2">
        <w:rPr>
          <w:b/>
          <w:i/>
        </w:rPr>
        <w:t>.</w:t>
      </w:r>
      <w:r w:rsidR="00416CB3" w:rsidRPr="00416CB3">
        <w:rPr>
          <w:b/>
          <w:i/>
        </w:rPr>
        <w:t xml:space="preserve"> </w:t>
      </w:r>
      <w:r w:rsidR="00C810F2">
        <w:t>This period will be characteris</w:t>
      </w:r>
      <w:r w:rsidR="00416CB3" w:rsidRPr="00416CB3">
        <w:t xml:space="preserve">ed by full implementation of the PHD </w:t>
      </w:r>
      <w:r w:rsidR="00C810F2">
        <w:t>S</w:t>
      </w:r>
      <w:r w:rsidR="00416CB3" w:rsidRPr="00416CB3">
        <w:t xml:space="preserve">trategic </w:t>
      </w:r>
      <w:r w:rsidR="00C810F2">
        <w:t>F</w:t>
      </w:r>
      <w:r w:rsidR="00416CB3" w:rsidRPr="00416CB3">
        <w:t>ramework</w:t>
      </w:r>
      <w:r w:rsidR="00C810F2">
        <w:t xml:space="preserve"> and development of the PHD Strategic Plan,</w:t>
      </w:r>
      <w:r w:rsidR="00416CB3" w:rsidRPr="00416CB3">
        <w:t xml:space="preserve"> inc</w:t>
      </w:r>
      <w:r w:rsidR="00C810F2">
        <w:t>luding the planning and rollout of key cross</w:t>
      </w:r>
      <w:r w:rsidR="00416CB3" w:rsidRPr="00416CB3">
        <w:t>-sector</w:t>
      </w:r>
      <w:r w:rsidR="00C810F2">
        <w:t>al</w:t>
      </w:r>
      <w:r w:rsidR="00416CB3" w:rsidRPr="00416CB3">
        <w:t xml:space="preserve"> activities, particularly at the municipal level. The markers of success will be the contribution each sector makes to the 2017 objectives listed under ‘Five Year Objectives’.</w:t>
      </w:r>
    </w:p>
    <w:p w14:paraId="2BEE392D" w14:textId="2F5F7391" w:rsidR="00416CB3" w:rsidRPr="00416CB3" w:rsidRDefault="00416CB3" w:rsidP="00A472D6">
      <w:pPr>
        <w:rPr>
          <w:szCs w:val="20"/>
          <w:lang w:val="en-US"/>
        </w:rPr>
      </w:pPr>
      <w:r w:rsidRPr="00416CB3">
        <w:rPr>
          <w:szCs w:val="20"/>
          <w:lang w:val="en-US"/>
        </w:rPr>
        <w:t>In addition, it should be noted that PHD works within what is best understood as a complex context.</w:t>
      </w:r>
      <w:r w:rsidRPr="00416CB3">
        <w:rPr>
          <w:rStyle w:val="FootnoteReference"/>
          <w:szCs w:val="20"/>
          <w:lang w:val="en-US"/>
        </w:rPr>
        <w:footnoteReference w:id="20"/>
      </w:r>
      <w:r w:rsidRPr="00416CB3">
        <w:rPr>
          <w:szCs w:val="20"/>
          <w:lang w:val="en-US"/>
        </w:rPr>
        <w:t xml:space="preserve"> There are many actors who influence how services are delivered </w:t>
      </w:r>
      <w:r w:rsidR="00312731">
        <w:rPr>
          <w:szCs w:val="20"/>
          <w:lang w:val="en-US"/>
        </w:rPr>
        <w:t xml:space="preserve">in Timor-Leste, </w:t>
      </w:r>
      <w:r w:rsidRPr="00416CB3">
        <w:rPr>
          <w:szCs w:val="20"/>
          <w:lang w:val="en-US"/>
        </w:rPr>
        <w:t xml:space="preserve">and there are multiple reasons </w:t>
      </w:r>
      <w:r w:rsidR="00312731">
        <w:rPr>
          <w:szCs w:val="20"/>
          <w:lang w:val="en-US"/>
        </w:rPr>
        <w:t>why Timorese people face challenges in accessing</w:t>
      </w:r>
      <w:r w:rsidRPr="00416CB3">
        <w:rPr>
          <w:szCs w:val="20"/>
          <w:lang w:val="en-US"/>
        </w:rPr>
        <w:t xml:space="preserve"> service delivery. PHD is </w:t>
      </w:r>
      <w:r w:rsidR="00312731">
        <w:rPr>
          <w:szCs w:val="20"/>
          <w:lang w:val="en-US"/>
        </w:rPr>
        <w:t xml:space="preserve">widespread within this context – </w:t>
      </w:r>
      <w:r w:rsidRPr="00416CB3">
        <w:rPr>
          <w:szCs w:val="20"/>
          <w:lang w:val="en-US"/>
        </w:rPr>
        <w:t xml:space="preserve">besides its partnerships with the Government of </w:t>
      </w:r>
      <w:r w:rsidR="00F76E96">
        <w:rPr>
          <w:szCs w:val="20"/>
          <w:lang w:val="en-US"/>
        </w:rPr>
        <w:t>Timor-Leste</w:t>
      </w:r>
      <w:r w:rsidR="00312731">
        <w:rPr>
          <w:szCs w:val="20"/>
          <w:lang w:val="en-US"/>
        </w:rPr>
        <w:t xml:space="preserve"> (r</w:t>
      </w:r>
      <w:r w:rsidR="00312731" w:rsidRPr="00312731">
        <w:rPr>
          <w:szCs w:val="20"/>
          <w:lang w:val="en-US"/>
        </w:rPr>
        <w:t xml:space="preserve">efer to </w:t>
      </w:r>
      <w:r w:rsidR="00312731" w:rsidRPr="00312731">
        <w:rPr>
          <w:szCs w:val="20"/>
          <w:u w:val="single"/>
          <w:lang w:val="en-US"/>
        </w:rPr>
        <w:fldChar w:fldCharType="begin"/>
      </w:r>
      <w:r w:rsidR="00312731" w:rsidRPr="00312731">
        <w:rPr>
          <w:szCs w:val="20"/>
          <w:u w:val="single"/>
          <w:lang w:val="en-US"/>
        </w:rPr>
        <w:instrText xml:space="preserve"> REF _Ref487100590 \h  \* MERGEFORMAT </w:instrText>
      </w:r>
      <w:r w:rsidR="00312731" w:rsidRPr="00312731">
        <w:rPr>
          <w:szCs w:val="20"/>
          <w:u w:val="single"/>
          <w:lang w:val="en-US"/>
        </w:rPr>
      </w:r>
      <w:r w:rsidR="00312731" w:rsidRPr="00312731">
        <w:rPr>
          <w:szCs w:val="20"/>
          <w:u w:val="single"/>
          <w:lang w:val="en-US"/>
        </w:rPr>
        <w:fldChar w:fldCharType="separate"/>
      </w:r>
      <w:r w:rsidR="00B84559" w:rsidRPr="00B84559">
        <w:rPr>
          <w:szCs w:val="20"/>
        </w:rPr>
        <w:t xml:space="preserve">Annex </w:t>
      </w:r>
      <w:r w:rsidR="00B84559" w:rsidRPr="00B84559">
        <w:rPr>
          <w:noProof/>
          <w:szCs w:val="20"/>
        </w:rPr>
        <w:t>2</w:t>
      </w:r>
      <w:r w:rsidR="00312731" w:rsidRPr="00312731">
        <w:rPr>
          <w:szCs w:val="20"/>
          <w:u w:val="single"/>
          <w:lang w:val="en-US"/>
        </w:rPr>
        <w:fldChar w:fldCharType="end"/>
      </w:r>
      <w:r w:rsidR="00312731" w:rsidRPr="00904A5A">
        <w:rPr>
          <w:szCs w:val="20"/>
          <w:lang w:val="en-US"/>
        </w:rPr>
        <w:t>)</w:t>
      </w:r>
      <w:r w:rsidRPr="00416CB3">
        <w:rPr>
          <w:szCs w:val="20"/>
          <w:lang w:val="en-US"/>
        </w:rPr>
        <w:t>, PHD works with mu</w:t>
      </w:r>
      <w:r w:rsidR="00312731">
        <w:rPr>
          <w:szCs w:val="20"/>
          <w:lang w:val="en-US"/>
        </w:rPr>
        <w:t>ltiple implementing partners, and</w:t>
      </w:r>
      <w:r w:rsidRPr="00416CB3">
        <w:rPr>
          <w:szCs w:val="20"/>
          <w:lang w:val="en-US"/>
        </w:rPr>
        <w:t xml:space="preserve"> acro</w:t>
      </w:r>
      <w:r w:rsidR="00312731">
        <w:rPr>
          <w:szCs w:val="20"/>
          <w:lang w:val="en-US"/>
        </w:rPr>
        <w:t>ss several locations and levels</w:t>
      </w:r>
      <w:r w:rsidRPr="00416CB3">
        <w:rPr>
          <w:szCs w:val="20"/>
          <w:lang w:val="en-US"/>
        </w:rPr>
        <w:t xml:space="preserve"> across its eight sectors. However, the program does not engage with all actors</w:t>
      </w:r>
      <w:r w:rsidR="00312731">
        <w:rPr>
          <w:szCs w:val="20"/>
          <w:lang w:val="en-US"/>
        </w:rPr>
        <w:t>, nor does it address all problems within a sector</w:t>
      </w:r>
      <w:r w:rsidRPr="00416CB3">
        <w:rPr>
          <w:szCs w:val="20"/>
          <w:lang w:val="en-US"/>
        </w:rPr>
        <w:t>. It d</w:t>
      </w:r>
      <w:r w:rsidR="00312731">
        <w:rPr>
          <w:szCs w:val="20"/>
          <w:lang w:val="en-US"/>
        </w:rPr>
        <w:t>oes not, and will never be able</w:t>
      </w:r>
      <w:r w:rsidRPr="00416CB3">
        <w:rPr>
          <w:szCs w:val="20"/>
          <w:lang w:val="en-US"/>
        </w:rPr>
        <w:t xml:space="preserve"> to</w:t>
      </w:r>
      <w:r w:rsidR="00312731">
        <w:rPr>
          <w:szCs w:val="20"/>
          <w:lang w:val="en-US"/>
        </w:rPr>
        <w:t>,</w:t>
      </w:r>
      <w:r w:rsidRPr="00416CB3">
        <w:rPr>
          <w:szCs w:val="20"/>
          <w:lang w:val="en-US"/>
        </w:rPr>
        <w:t xml:space="preserve"> support a comprehensive approach to </w:t>
      </w:r>
      <w:r w:rsidR="00312731">
        <w:rPr>
          <w:szCs w:val="20"/>
          <w:lang w:val="en-US"/>
        </w:rPr>
        <w:t xml:space="preserve">achieving </w:t>
      </w:r>
      <w:r w:rsidRPr="00416CB3">
        <w:rPr>
          <w:szCs w:val="20"/>
          <w:lang w:val="en-US"/>
        </w:rPr>
        <w:t xml:space="preserve">well-being in </w:t>
      </w:r>
      <w:r w:rsidR="00F76E96">
        <w:rPr>
          <w:szCs w:val="20"/>
          <w:lang w:val="en-US"/>
        </w:rPr>
        <w:t>Timor-Leste</w:t>
      </w:r>
      <w:r w:rsidRPr="00416CB3">
        <w:rPr>
          <w:szCs w:val="20"/>
          <w:lang w:val="en-US"/>
        </w:rPr>
        <w:t xml:space="preserve"> on its own. The challenge for PHD therefore is to both manage</w:t>
      </w:r>
      <w:r w:rsidR="00312731">
        <w:rPr>
          <w:szCs w:val="20"/>
          <w:lang w:val="en-US"/>
        </w:rPr>
        <w:t>,</w:t>
      </w:r>
      <w:r w:rsidRPr="00416CB3">
        <w:rPr>
          <w:szCs w:val="20"/>
          <w:lang w:val="en-US"/>
        </w:rPr>
        <w:t xml:space="preserve"> and further develop existing activities, while also trying to create new strategies and activities, which will leverage the greatest possible pos</w:t>
      </w:r>
      <w:r w:rsidR="00312731">
        <w:rPr>
          <w:szCs w:val="20"/>
          <w:lang w:val="en-US"/>
        </w:rPr>
        <w:t>itive change in a complex multi-</w:t>
      </w:r>
      <w:r w:rsidRPr="00416CB3">
        <w:rPr>
          <w:szCs w:val="20"/>
          <w:lang w:val="en-US"/>
        </w:rPr>
        <w:t xml:space="preserve">actor system. </w:t>
      </w:r>
    </w:p>
    <w:p w14:paraId="0D86BF64" w14:textId="7253700B" w:rsidR="00312731" w:rsidRDefault="00416CB3" w:rsidP="00621A48">
      <w:pPr>
        <w:rPr>
          <w:szCs w:val="20"/>
          <w:lang w:val="en-US"/>
        </w:rPr>
      </w:pPr>
      <w:r w:rsidRPr="00416CB3">
        <w:rPr>
          <w:szCs w:val="20"/>
          <w:lang w:val="en-US"/>
        </w:rPr>
        <w:t>Towards this end, PHD will use the following guidelines to determine which projec</w:t>
      </w:r>
      <w:r w:rsidR="00EC1A49">
        <w:rPr>
          <w:szCs w:val="20"/>
          <w:lang w:val="en-US"/>
        </w:rPr>
        <w:t>ts it will or will not support.</w:t>
      </w:r>
    </w:p>
    <w:p w14:paraId="3D834BE3" w14:textId="53B2C653" w:rsidR="00416CB3" w:rsidRPr="00EC1A49" w:rsidRDefault="00312731" w:rsidP="00B51834">
      <w:pPr>
        <w:pStyle w:val="ListParagraph"/>
        <w:numPr>
          <w:ilvl w:val="0"/>
          <w:numId w:val="12"/>
        </w:numPr>
        <w:spacing w:after="60"/>
        <w:contextualSpacing w:val="0"/>
        <w:jc w:val="both"/>
        <w:rPr>
          <w:szCs w:val="20"/>
          <w:lang w:val="en-US"/>
        </w:rPr>
      </w:pPr>
      <w:r w:rsidRPr="00EC1A49">
        <w:rPr>
          <w:rFonts w:ascii="Arial" w:hAnsi="Arial" w:cs="Arial"/>
          <w:b/>
          <w:i/>
          <w:sz w:val="20"/>
          <w:szCs w:val="20"/>
          <w:lang w:val="en-US"/>
        </w:rPr>
        <w:t xml:space="preserve">Changing </w:t>
      </w:r>
      <w:r w:rsidR="00EC1A49" w:rsidRPr="00EC1A49">
        <w:rPr>
          <w:rFonts w:ascii="Arial" w:hAnsi="Arial" w:cs="Arial"/>
          <w:b/>
          <w:i/>
          <w:sz w:val="20"/>
          <w:szCs w:val="20"/>
          <w:lang w:val="en-US"/>
        </w:rPr>
        <w:t>behavior.</w:t>
      </w:r>
      <w:r w:rsidRPr="00EC1A49">
        <w:rPr>
          <w:rFonts w:ascii="Arial" w:hAnsi="Arial" w:cs="Arial"/>
          <w:b/>
          <w:sz w:val="20"/>
          <w:szCs w:val="20"/>
          <w:lang w:val="en-US"/>
        </w:rPr>
        <w:t xml:space="preserve"> </w:t>
      </w:r>
      <w:r w:rsidRPr="00EC1A49">
        <w:rPr>
          <w:rFonts w:ascii="Arial" w:hAnsi="Arial" w:cs="Arial"/>
          <w:sz w:val="20"/>
          <w:szCs w:val="20"/>
          <w:lang w:val="en-US"/>
        </w:rPr>
        <w:t>W</w:t>
      </w:r>
      <w:r w:rsidR="00416CB3" w:rsidRPr="00EC1A49">
        <w:rPr>
          <w:rFonts w:ascii="Arial" w:hAnsi="Arial" w:cs="Arial"/>
          <w:sz w:val="20"/>
          <w:szCs w:val="20"/>
          <w:lang w:val="en-US"/>
        </w:rPr>
        <w:t>ill the project change actual behavior and incentives</w:t>
      </w:r>
      <w:r w:rsidRPr="00EC1A49">
        <w:rPr>
          <w:rFonts w:ascii="Arial" w:hAnsi="Arial" w:cs="Arial"/>
          <w:sz w:val="20"/>
          <w:szCs w:val="20"/>
          <w:lang w:val="en-US"/>
        </w:rPr>
        <w:t xml:space="preserve">, </w:t>
      </w:r>
      <w:r w:rsidR="00416CB3" w:rsidRPr="00EC1A49">
        <w:rPr>
          <w:rFonts w:ascii="Arial" w:hAnsi="Arial" w:cs="Arial"/>
          <w:sz w:val="20"/>
          <w:szCs w:val="20"/>
          <w:lang w:val="en-US"/>
        </w:rPr>
        <w:t>particularly relating to service delivery</w:t>
      </w:r>
      <w:r w:rsidRPr="00EC1A49">
        <w:rPr>
          <w:rFonts w:ascii="Arial" w:hAnsi="Arial" w:cs="Arial"/>
          <w:sz w:val="20"/>
          <w:szCs w:val="20"/>
          <w:lang w:val="en-US"/>
        </w:rPr>
        <w:t>,</w:t>
      </w:r>
      <w:r w:rsidR="00416CB3" w:rsidRPr="00EC1A49">
        <w:rPr>
          <w:rFonts w:ascii="Arial" w:hAnsi="Arial" w:cs="Arial"/>
          <w:sz w:val="20"/>
          <w:szCs w:val="20"/>
          <w:lang w:val="en-US"/>
        </w:rPr>
        <w:t xml:space="preserve"> to improve well</w:t>
      </w:r>
      <w:r w:rsidRPr="00EC1A49">
        <w:rPr>
          <w:rFonts w:ascii="Arial" w:hAnsi="Arial" w:cs="Arial"/>
          <w:sz w:val="20"/>
          <w:szCs w:val="20"/>
          <w:lang w:val="en-US"/>
        </w:rPr>
        <w:t>-</w:t>
      </w:r>
      <w:r w:rsidR="00416CB3" w:rsidRPr="00EC1A49">
        <w:rPr>
          <w:rFonts w:ascii="Arial" w:hAnsi="Arial" w:cs="Arial"/>
          <w:sz w:val="20"/>
          <w:szCs w:val="20"/>
          <w:lang w:val="en-US"/>
        </w:rPr>
        <w:t xml:space="preserve">being for the </w:t>
      </w:r>
      <w:r w:rsidRPr="00EC1A49">
        <w:rPr>
          <w:rFonts w:ascii="Arial" w:hAnsi="Arial" w:cs="Arial"/>
          <w:sz w:val="20"/>
          <w:szCs w:val="20"/>
          <w:lang w:val="en-US"/>
        </w:rPr>
        <w:t xml:space="preserve">people </w:t>
      </w:r>
      <w:r w:rsidR="00416CB3" w:rsidRPr="00EC1A49">
        <w:rPr>
          <w:rFonts w:ascii="Arial" w:hAnsi="Arial" w:cs="Arial"/>
          <w:sz w:val="20"/>
          <w:szCs w:val="20"/>
          <w:lang w:val="en-US"/>
        </w:rPr>
        <w:t xml:space="preserve">of </w:t>
      </w:r>
      <w:r w:rsidR="00F76E96" w:rsidRPr="00EC1A49">
        <w:rPr>
          <w:rFonts w:ascii="Arial" w:hAnsi="Arial" w:cs="Arial"/>
          <w:sz w:val="20"/>
          <w:szCs w:val="20"/>
          <w:lang w:val="en-US"/>
        </w:rPr>
        <w:t>Timor-Leste</w:t>
      </w:r>
      <w:r w:rsidR="00416CB3" w:rsidRPr="00EC1A49">
        <w:rPr>
          <w:rFonts w:ascii="Arial" w:hAnsi="Arial" w:cs="Arial"/>
          <w:sz w:val="20"/>
          <w:szCs w:val="20"/>
          <w:lang w:val="en-US"/>
        </w:rPr>
        <w:t>?</w:t>
      </w:r>
      <w:r w:rsidR="00416CB3" w:rsidRPr="00EC1A49">
        <w:rPr>
          <w:szCs w:val="20"/>
          <w:lang w:val="en-US"/>
        </w:rPr>
        <w:t xml:space="preserve"> </w:t>
      </w:r>
    </w:p>
    <w:p w14:paraId="710320E6" w14:textId="5E6B009D" w:rsidR="00416CB3" w:rsidRPr="00EC1A49" w:rsidRDefault="00416CB3" w:rsidP="00976A98">
      <w:pPr>
        <w:pStyle w:val="ListParagraph"/>
        <w:numPr>
          <w:ilvl w:val="0"/>
          <w:numId w:val="12"/>
        </w:numPr>
        <w:spacing w:after="120"/>
        <w:contextualSpacing w:val="0"/>
        <w:jc w:val="both"/>
        <w:rPr>
          <w:rFonts w:ascii="Arial" w:hAnsi="Arial" w:cs="Arial"/>
          <w:sz w:val="20"/>
          <w:szCs w:val="20"/>
          <w:lang w:val="en-US"/>
        </w:rPr>
      </w:pPr>
      <w:r w:rsidRPr="00EC1A49">
        <w:rPr>
          <w:rFonts w:ascii="Arial" w:hAnsi="Arial" w:cs="Arial"/>
          <w:b/>
          <w:i/>
          <w:sz w:val="20"/>
          <w:szCs w:val="20"/>
          <w:lang w:val="en-US"/>
        </w:rPr>
        <w:t>S</w:t>
      </w:r>
      <w:r w:rsidR="00621A48" w:rsidRPr="00EC1A49">
        <w:rPr>
          <w:rFonts w:ascii="Arial" w:hAnsi="Arial" w:cs="Arial"/>
          <w:b/>
          <w:i/>
          <w:sz w:val="20"/>
          <w:szCs w:val="20"/>
          <w:lang w:val="en-US"/>
        </w:rPr>
        <w:t>cale of impact</w:t>
      </w:r>
      <w:r w:rsidR="00EC1A49" w:rsidRPr="00EC1A49">
        <w:rPr>
          <w:rFonts w:ascii="Arial" w:hAnsi="Arial" w:cs="Arial"/>
          <w:b/>
          <w:i/>
          <w:sz w:val="20"/>
          <w:szCs w:val="20"/>
          <w:lang w:val="en-US"/>
        </w:rPr>
        <w:t xml:space="preserve">. </w:t>
      </w:r>
      <w:r w:rsidR="00312731" w:rsidRPr="00EC1A49">
        <w:rPr>
          <w:rFonts w:ascii="Arial" w:hAnsi="Arial" w:cs="Arial"/>
          <w:sz w:val="20"/>
          <w:szCs w:val="20"/>
          <w:lang w:val="en-US"/>
        </w:rPr>
        <w:t>W</w:t>
      </w:r>
      <w:r w:rsidRPr="00EC1A49">
        <w:rPr>
          <w:rFonts w:ascii="Arial" w:hAnsi="Arial" w:cs="Arial"/>
          <w:sz w:val="20"/>
          <w:szCs w:val="20"/>
          <w:lang w:val="en-US"/>
        </w:rPr>
        <w:t>ill the</w:t>
      </w:r>
      <w:r w:rsidRPr="00EC1A49">
        <w:rPr>
          <w:rFonts w:ascii="Arial" w:hAnsi="Arial" w:cs="Arial"/>
          <w:b/>
          <w:sz w:val="20"/>
          <w:szCs w:val="20"/>
          <w:lang w:val="en-US"/>
        </w:rPr>
        <w:t xml:space="preserve"> </w:t>
      </w:r>
      <w:r w:rsidRPr="00EC1A49">
        <w:rPr>
          <w:rFonts w:ascii="Arial" w:hAnsi="Arial" w:cs="Arial"/>
          <w:sz w:val="20"/>
          <w:szCs w:val="20"/>
          <w:lang w:val="en-US"/>
        </w:rPr>
        <w:t xml:space="preserve">effects go beyond </w:t>
      </w:r>
      <w:r w:rsidR="00312731" w:rsidRPr="00EC1A49">
        <w:rPr>
          <w:rFonts w:ascii="Arial" w:hAnsi="Arial" w:cs="Arial"/>
          <w:sz w:val="20"/>
          <w:szCs w:val="20"/>
          <w:lang w:val="en-US"/>
        </w:rPr>
        <w:t xml:space="preserve">the </w:t>
      </w:r>
      <w:r w:rsidRPr="00EC1A49">
        <w:rPr>
          <w:rFonts w:ascii="Arial" w:hAnsi="Arial" w:cs="Arial"/>
          <w:sz w:val="20"/>
          <w:szCs w:val="20"/>
          <w:lang w:val="en-US"/>
        </w:rPr>
        <w:t>pr</w:t>
      </w:r>
      <w:r w:rsidR="00312731" w:rsidRPr="00EC1A49">
        <w:rPr>
          <w:rFonts w:ascii="Arial" w:hAnsi="Arial" w:cs="Arial"/>
          <w:sz w:val="20"/>
          <w:szCs w:val="20"/>
          <w:lang w:val="en-US"/>
        </w:rPr>
        <w:t>ogram</w:t>
      </w:r>
      <w:r w:rsidRPr="00EC1A49">
        <w:rPr>
          <w:rFonts w:ascii="Arial" w:hAnsi="Arial" w:cs="Arial"/>
          <w:sz w:val="20"/>
          <w:szCs w:val="20"/>
          <w:lang w:val="en-US"/>
        </w:rPr>
        <w:t xml:space="preserve"> area</w:t>
      </w:r>
      <w:r w:rsidR="00312731" w:rsidRPr="00EC1A49">
        <w:rPr>
          <w:rFonts w:ascii="Arial" w:hAnsi="Arial" w:cs="Arial"/>
          <w:sz w:val="20"/>
          <w:szCs w:val="20"/>
          <w:lang w:val="en-US"/>
        </w:rPr>
        <w:t>s</w:t>
      </w:r>
      <w:r w:rsidRPr="00EC1A49">
        <w:rPr>
          <w:rFonts w:ascii="Arial" w:hAnsi="Arial" w:cs="Arial"/>
          <w:sz w:val="20"/>
          <w:szCs w:val="20"/>
          <w:lang w:val="en-US"/>
        </w:rPr>
        <w:t>?</w:t>
      </w:r>
    </w:p>
    <w:p w14:paraId="201204CD" w14:textId="33F8EBD5" w:rsidR="00416CB3" w:rsidRPr="00EC1A49" w:rsidRDefault="00312731" w:rsidP="0080230C">
      <w:pPr>
        <w:pStyle w:val="ListParagraph"/>
        <w:numPr>
          <w:ilvl w:val="0"/>
          <w:numId w:val="12"/>
        </w:numPr>
        <w:spacing w:after="120"/>
        <w:contextualSpacing w:val="0"/>
        <w:jc w:val="both"/>
        <w:rPr>
          <w:rFonts w:ascii="Arial" w:hAnsi="Arial" w:cs="Arial"/>
          <w:sz w:val="20"/>
          <w:szCs w:val="20"/>
          <w:lang w:val="en-US"/>
        </w:rPr>
      </w:pPr>
      <w:r w:rsidRPr="00EC1A49">
        <w:rPr>
          <w:rFonts w:ascii="Arial" w:hAnsi="Arial" w:cs="Arial"/>
          <w:b/>
          <w:i/>
          <w:sz w:val="20"/>
          <w:szCs w:val="20"/>
          <w:lang w:val="en-US"/>
        </w:rPr>
        <w:t xml:space="preserve">Champions/change </w:t>
      </w:r>
      <w:r w:rsidR="00621A48" w:rsidRPr="00EC1A49">
        <w:rPr>
          <w:rFonts w:ascii="Arial" w:hAnsi="Arial" w:cs="Arial"/>
          <w:b/>
          <w:i/>
          <w:sz w:val="20"/>
          <w:szCs w:val="20"/>
          <w:lang w:val="en-US"/>
        </w:rPr>
        <w:t>agents</w:t>
      </w:r>
      <w:r w:rsidR="00EC1A49" w:rsidRPr="00EC1A49">
        <w:rPr>
          <w:rFonts w:ascii="Arial" w:hAnsi="Arial" w:cs="Arial"/>
          <w:b/>
          <w:i/>
          <w:sz w:val="20"/>
          <w:szCs w:val="20"/>
          <w:lang w:val="en-US"/>
        </w:rPr>
        <w:t xml:space="preserve">. </w:t>
      </w:r>
      <w:r w:rsidRPr="00EC1A49">
        <w:rPr>
          <w:rFonts w:ascii="Arial" w:hAnsi="Arial" w:cs="Arial"/>
          <w:sz w:val="20"/>
          <w:szCs w:val="20"/>
          <w:lang w:val="en-US"/>
        </w:rPr>
        <w:t>Does the program</w:t>
      </w:r>
      <w:r w:rsidR="00416CB3" w:rsidRPr="00EC1A49">
        <w:rPr>
          <w:rFonts w:ascii="Arial" w:hAnsi="Arial" w:cs="Arial"/>
          <w:sz w:val="20"/>
          <w:szCs w:val="20"/>
          <w:lang w:val="en-US"/>
        </w:rPr>
        <w:t xml:space="preserve"> </w:t>
      </w:r>
      <w:r w:rsidRPr="00EC1A49">
        <w:rPr>
          <w:rFonts w:ascii="Arial" w:hAnsi="Arial" w:cs="Arial"/>
          <w:sz w:val="20"/>
          <w:szCs w:val="20"/>
          <w:lang w:val="en-US"/>
        </w:rPr>
        <w:t xml:space="preserve">or activity </w:t>
      </w:r>
      <w:r w:rsidR="00416CB3" w:rsidRPr="00EC1A49">
        <w:rPr>
          <w:rFonts w:ascii="Arial" w:hAnsi="Arial" w:cs="Arial"/>
          <w:sz w:val="20"/>
          <w:szCs w:val="20"/>
          <w:lang w:val="en-US"/>
        </w:rPr>
        <w:t>engage with others w</w:t>
      </w:r>
      <w:r w:rsidRPr="00EC1A49">
        <w:rPr>
          <w:rFonts w:ascii="Arial" w:hAnsi="Arial" w:cs="Arial"/>
          <w:sz w:val="20"/>
          <w:szCs w:val="20"/>
          <w:lang w:val="en-US"/>
        </w:rPr>
        <w:t xml:space="preserve">ho are either champions for </w:t>
      </w:r>
      <w:r w:rsidR="00416CB3" w:rsidRPr="00EC1A49">
        <w:rPr>
          <w:rFonts w:ascii="Arial" w:hAnsi="Arial" w:cs="Arial"/>
          <w:sz w:val="20"/>
          <w:szCs w:val="20"/>
          <w:lang w:val="en-US"/>
        </w:rPr>
        <w:t>change or able to act as change agents to support the change process? Will these people be in place</w:t>
      </w:r>
      <w:r w:rsidRPr="00EC1A49">
        <w:rPr>
          <w:rFonts w:ascii="Arial" w:hAnsi="Arial" w:cs="Arial"/>
          <w:sz w:val="20"/>
          <w:szCs w:val="20"/>
          <w:lang w:val="en-US"/>
        </w:rPr>
        <w:t xml:space="preserve"> beyond the life of this program</w:t>
      </w:r>
      <w:r w:rsidR="00416CB3" w:rsidRPr="00EC1A49">
        <w:rPr>
          <w:rFonts w:ascii="Arial" w:hAnsi="Arial" w:cs="Arial"/>
          <w:sz w:val="20"/>
          <w:szCs w:val="20"/>
          <w:lang w:val="en-US"/>
        </w:rPr>
        <w:t xml:space="preserve">? </w:t>
      </w:r>
    </w:p>
    <w:p w14:paraId="6E4F0004" w14:textId="4A4A5ACB" w:rsidR="00416CB3" w:rsidRPr="00EC1A49" w:rsidRDefault="00416CB3" w:rsidP="004424EB">
      <w:pPr>
        <w:pStyle w:val="ListParagraph"/>
        <w:numPr>
          <w:ilvl w:val="0"/>
          <w:numId w:val="12"/>
        </w:numPr>
        <w:spacing w:after="120"/>
        <w:contextualSpacing w:val="0"/>
        <w:jc w:val="both"/>
        <w:rPr>
          <w:rFonts w:ascii="Arial" w:hAnsi="Arial" w:cs="Arial"/>
          <w:sz w:val="20"/>
          <w:szCs w:val="20"/>
          <w:lang w:val="en-US"/>
        </w:rPr>
      </w:pPr>
      <w:r w:rsidRPr="00EC1A49">
        <w:rPr>
          <w:rFonts w:ascii="Arial" w:hAnsi="Arial" w:cs="Arial"/>
          <w:b/>
          <w:i/>
          <w:sz w:val="20"/>
          <w:szCs w:val="20"/>
          <w:lang w:val="en-US"/>
        </w:rPr>
        <w:t>Pol</w:t>
      </w:r>
      <w:r w:rsidR="00621A48" w:rsidRPr="00EC1A49">
        <w:rPr>
          <w:rFonts w:ascii="Arial" w:hAnsi="Arial" w:cs="Arial"/>
          <w:b/>
          <w:i/>
          <w:sz w:val="20"/>
          <w:szCs w:val="20"/>
          <w:lang w:val="en-US"/>
        </w:rPr>
        <w:t>itically important and possible</w:t>
      </w:r>
      <w:r w:rsidR="00EC1A49" w:rsidRPr="00EC1A49">
        <w:rPr>
          <w:rFonts w:ascii="Arial" w:hAnsi="Arial" w:cs="Arial"/>
          <w:b/>
          <w:i/>
          <w:sz w:val="20"/>
          <w:szCs w:val="20"/>
          <w:lang w:val="en-US"/>
        </w:rPr>
        <w:t xml:space="preserve">. </w:t>
      </w:r>
      <w:r w:rsidR="00312731" w:rsidRPr="00EC1A49">
        <w:rPr>
          <w:rFonts w:ascii="Arial" w:hAnsi="Arial" w:cs="Arial"/>
          <w:sz w:val="20"/>
          <w:szCs w:val="20"/>
          <w:lang w:val="en-US"/>
        </w:rPr>
        <w:t>D</w:t>
      </w:r>
      <w:r w:rsidRPr="00EC1A49">
        <w:rPr>
          <w:rFonts w:ascii="Arial" w:hAnsi="Arial" w:cs="Arial"/>
          <w:sz w:val="20"/>
          <w:szCs w:val="20"/>
          <w:lang w:val="en-US"/>
        </w:rPr>
        <w:t xml:space="preserve">oes it align with </w:t>
      </w:r>
      <w:r w:rsidR="00312731" w:rsidRPr="00EC1A49">
        <w:rPr>
          <w:rFonts w:ascii="Arial" w:hAnsi="Arial" w:cs="Arial"/>
          <w:sz w:val="20"/>
          <w:szCs w:val="20"/>
          <w:lang w:val="en-US"/>
        </w:rPr>
        <w:t>the Australian and Timor-Leste Government’s</w:t>
      </w:r>
      <w:r w:rsidRPr="00EC1A49">
        <w:rPr>
          <w:rFonts w:ascii="Arial" w:hAnsi="Arial" w:cs="Arial"/>
          <w:sz w:val="20"/>
          <w:szCs w:val="20"/>
          <w:lang w:val="en-US"/>
        </w:rPr>
        <w:t xml:space="preserve"> policies and approaches, and</w:t>
      </w:r>
      <w:r w:rsidRPr="00EC1A49">
        <w:rPr>
          <w:rFonts w:ascii="Arial" w:hAnsi="Arial" w:cs="Arial"/>
          <w:b/>
          <w:sz w:val="20"/>
          <w:szCs w:val="20"/>
          <w:lang w:val="en-US"/>
        </w:rPr>
        <w:t xml:space="preserve"> </w:t>
      </w:r>
      <w:r w:rsidRPr="00EC1A49">
        <w:rPr>
          <w:rFonts w:ascii="Arial" w:hAnsi="Arial" w:cs="Arial"/>
          <w:sz w:val="20"/>
          <w:szCs w:val="20"/>
          <w:lang w:val="en-US"/>
        </w:rPr>
        <w:t>are</w:t>
      </w:r>
      <w:r w:rsidRPr="00EC1A49">
        <w:rPr>
          <w:rFonts w:ascii="Arial" w:hAnsi="Arial" w:cs="Arial"/>
          <w:b/>
          <w:sz w:val="20"/>
          <w:szCs w:val="20"/>
          <w:lang w:val="en-US"/>
        </w:rPr>
        <w:t xml:space="preserve"> </w:t>
      </w:r>
      <w:r w:rsidRPr="00EC1A49">
        <w:rPr>
          <w:rFonts w:ascii="Arial" w:hAnsi="Arial" w:cs="Arial"/>
          <w:sz w:val="20"/>
          <w:szCs w:val="20"/>
          <w:lang w:val="en-US"/>
        </w:rPr>
        <w:t>those with power willing to spend capital making it happen?</w:t>
      </w:r>
    </w:p>
    <w:p w14:paraId="67C08798" w14:textId="23453B00" w:rsidR="00416CB3" w:rsidRPr="00EC1A49" w:rsidRDefault="00416CB3" w:rsidP="00FB74FA">
      <w:pPr>
        <w:pStyle w:val="ListParagraph"/>
        <w:numPr>
          <w:ilvl w:val="0"/>
          <w:numId w:val="12"/>
        </w:numPr>
        <w:spacing w:after="120"/>
        <w:contextualSpacing w:val="0"/>
        <w:jc w:val="both"/>
        <w:rPr>
          <w:rFonts w:ascii="Arial" w:hAnsi="Arial" w:cs="Arial"/>
          <w:sz w:val="20"/>
          <w:szCs w:val="20"/>
          <w:lang w:val="en-US"/>
        </w:rPr>
      </w:pPr>
      <w:r w:rsidRPr="00EC1A49">
        <w:rPr>
          <w:rFonts w:ascii="Arial" w:hAnsi="Arial" w:cs="Arial"/>
          <w:b/>
          <w:i/>
          <w:sz w:val="20"/>
          <w:szCs w:val="20"/>
          <w:lang w:val="en-US"/>
        </w:rPr>
        <w:t>Durable</w:t>
      </w:r>
      <w:r w:rsidR="00312731" w:rsidRPr="00EC1A49">
        <w:rPr>
          <w:rFonts w:ascii="Arial" w:hAnsi="Arial" w:cs="Arial"/>
          <w:b/>
          <w:i/>
          <w:sz w:val="20"/>
          <w:szCs w:val="20"/>
          <w:lang w:val="en-US"/>
        </w:rPr>
        <w:t>/sustainability</w:t>
      </w:r>
      <w:r w:rsidR="00EC1A49" w:rsidRPr="00EC1A49">
        <w:rPr>
          <w:rFonts w:ascii="Arial" w:hAnsi="Arial" w:cs="Arial"/>
          <w:b/>
          <w:i/>
          <w:sz w:val="20"/>
          <w:szCs w:val="20"/>
          <w:lang w:val="en-US"/>
        </w:rPr>
        <w:t xml:space="preserve">. </w:t>
      </w:r>
      <w:r w:rsidR="00312731" w:rsidRPr="00EC1A49">
        <w:rPr>
          <w:rFonts w:ascii="Arial" w:hAnsi="Arial" w:cs="Arial"/>
          <w:sz w:val="20"/>
          <w:szCs w:val="20"/>
          <w:lang w:val="en-US"/>
        </w:rPr>
        <w:t>W</w:t>
      </w:r>
      <w:r w:rsidRPr="00EC1A49">
        <w:rPr>
          <w:rFonts w:ascii="Arial" w:hAnsi="Arial" w:cs="Arial"/>
          <w:sz w:val="20"/>
          <w:szCs w:val="20"/>
          <w:lang w:val="en-US"/>
        </w:rPr>
        <w:t xml:space="preserve">ill it </w:t>
      </w:r>
      <w:r w:rsidR="00621A48" w:rsidRPr="00EC1A49">
        <w:rPr>
          <w:rFonts w:ascii="Arial" w:hAnsi="Arial" w:cs="Arial"/>
          <w:sz w:val="20"/>
          <w:szCs w:val="20"/>
          <w:lang w:val="en-US"/>
        </w:rPr>
        <w:t>continue to create</w:t>
      </w:r>
      <w:r w:rsidRPr="00EC1A49">
        <w:rPr>
          <w:rFonts w:ascii="Arial" w:hAnsi="Arial" w:cs="Arial"/>
          <w:sz w:val="20"/>
          <w:szCs w:val="20"/>
          <w:lang w:val="en-US"/>
        </w:rPr>
        <w:t xml:space="preserve"> </w:t>
      </w:r>
      <w:r w:rsidR="00621A48" w:rsidRPr="00EC1A49">
        <w:rPr>
          <w:rFonts w:ascii="Arial" w:hAnsi="Arial" w:cs="Arial"/>
          <w:sz w:val="20"/>
          <w:szCs w:val="20"/>
          <w:lang w:val="en-US"/>
        </w:rPr>
        <w:t xml:space="preserve">positive </w:t>
      </w:r>
      <w:r w:rsidRPr="00EC1A49">
        <w:rPr>
          <w:rFonts w:ascii="Arial" w:hAnsi="Arial" w:cs="Arial"/>
          <w:sz w:val="20"/>
          <w:szCs w:val="20"/>
          <w:lang w:val="en-US"/>
        </w:rPr>
        <w:t xml:space="preserve">change for the lives of </w:t>
      </w:r>
      <w:r w:rsidR="00312731" w:rsidRPr="00EC1A49">
        <w:rPr>
          <w:rFonts w:ascii="Arial" w:hAnsi="Arial" w:cs="Arial"/>
          <w:sz w:val="20"/>
          <w:szCs w:val="20"/>
          <w:lang w:val="en-US"/>
        </w:rPr>
        <w:t xml:space="preserve">the people of </w:t>
      </w:r>
      <w:r w:rsidR="00F76E96" w:rsidRPr="00EC1A49">
        <w:rPr>
          <w:rFonts w:ascii="Arial" w:hAnsi="Arial" w:cs="Arial"/>
          <w:sz w:val="20"/>
          <w:szCs w:val="20"/>
          <w:lang w:val="en-US"/>
        </w:rPr>
        <w:t>Timor-Leste</w:t>
      </w:r>
      <w:r w:rsidR="00312731" w:rsidRPr="00EC1A49">
        <w:rPr>
          <w:rFonts w:ascii="Arial" w:hAnsi="Arial" w:cs="Arial"/>
          <w:sz w:val="20"/>
          <w:szCs w:val="20"/>
          <w:lang w:val="en-US"/>
        </w:rPr>
        <w:t>,</w:t>
      </w:r>
      <w:r w:rsidRPr="00EC1A49">
        <w:rPr>
          <w:rFonts w:ascii="Arial" w:hAnsi="Arial" w:cs="Arial"/>
          <w:sz w:val="20"/>
          <w:szCs w:val="20"/>
          <w:lang w:val="en-US"/>
        </w:rPr>
        <w:t xml:space="preserve"> even when the intervention has ended?</w:t>
      </w:r>
    </w:p>
    <w:p w14:paraId="601ED305" w14:textId="40BA259C" w:rsidR="00416CB3" w:rsidRPr="00EC1A49" w:rsidRDefault="00621A48" w:rsidP="00E420F5">
      <w:pPr>
        <w:pStyle w:val="ListParagraph"/>
        <w:numPr>
          <w:ilvl w:val="0"/>
          <w:numId w:val="12"/>
        </w:numPr>
        <w:spacing w:after="120"/>
        <w:contextualSpacing w:val="0"/>
        <w:jc w:val="both"/>
        <w:rPr>
          <w:rFonts w:ascii="Arial" w:hAnsi="Arial" w:cs="Arial"/>
          <w:sz w:val="20"/>
          <w:szCs w:val="20"/>
          <w:lang w:val="en-US"/>
        </w:rPr>
      </w:pPr>
      <w:r w:rsidRPr="00EC1A49">
        <w:rPr>
          <w:rFonts w:ascii="Arial" w:hAnsi="Arial" w:cs="Arial"/>
          <w:b/>
          <w:i/>
          <w:sz w:val="20"/>
          <w:szCs w:val="20"/>
          <w:lang w:val="en-US"/>
        </w:rPr>
        <w:t>Inclusion and gender</w:t>
      </w:r>
      <w:r w:rsidR="00EC1A49" w:rsidRPr="00EC1A49">
        <w:rPr>
          <w:rFonts w:ascii="Arial" w:hAnsi="Arial" w:cs="Arial"/>
          <w:b/>
          <w:i/>
          <w:sz w:val="20"/>
          <w:szCs w:val="20"/>
          <w:lang w:val="en-US"/>
        </w:rPr>
        <w:t xml:space="preserve">. </w:t>
      </w:r>
      <w:r w:rsidR="00312731" w:rsidRPr="00EC1A49">
        <w:rPr>
          <w:rFonts w:ascii="Arial" w:hAnsi="Arial" w:cs="Arial"/>
          <w:sz w:val="20"/>
          <w:szCs w:val="20"/>
          <w:lang w:val="en-US"/>
        </w:rPr>
        <w:t>Will the program</w:t>
      </w:r>
      <w:r w:rsidR="00416CB3" w:rsidRPr="00EC1A49">
        <w:rPr>
          <w:rFonts w:ascii="Arial" w:hAnsi="Arial" w:cs="Arial"/>
          <w:sz w:val="20"/>
          <w:szCs w:val="20"/>
          <w:lang w:val="en-US"/>
        </w:rPr>
        <w:t xml:space="preserve"> also improve the lives of women, girls, people living with a disability and o</w:t>
      </w:r>
      <w:r w:rsidR="00312731" w:rsidRPr="00EC1A49">
        <w:rPr>
          <w:rFonts w:ascii="Arial" w:hAnsi="Arial" w:cs="Arial"/>
          <w:sz w:val="20"/>
          <w:szCs w:val="20"/>
          <w:lang w:val="en-US"/>
        </w:rPr>
        <w:t>ther marginalis</w:t>
      </w:r>
      <w:r w:rsidR="00416CB3" w:rsidRPr="00EC1A49">
        <w:rPr>
          <w:rFonts w:ascii="Arial" w:hAnsi="Arial" w:cs="Arial"/>
          <w:sz w:val="20"/>
          <w:szCs w:val="20"/>
          <w:lang w:val="en-US"/>
        </w:rPr>
        <w:t>ed groups?</w:t>
      </w:r>
    </w:p>
    <w:p w14:paraId="7E6B0B92" w14:textId="5D4885B3" w:rsidR="00416CB3" w:rsidRPr="00EC1A49" w:rsidRDefault="00416CB3" w:rsidP="00386ED9">
      <w:pPr>
        <w:pStyle w:val="ListParagraph"/>
        <w:numPr>
          <w:ilvl w:val="0"/>
          <w:numId w:val="12"/>
        </w:numPr>
        <w:spacing w:after="120"/>
        <w:contextualSpacing w:val="0"/>
        <w:jc w:val="both"/>
        <w:rPr>
          <w:rFonts w:ascii="Arial" w:hAnsi="Arial" w:cs="Arial"/>
          <w:sz w:val="20"/>
          <w:szCs w:val="20"/>
          <w:lang w:val="en-US"/>
        </w:rPr>
      </w:pPr>
      <w:r w:rsidRPr="00EC1A49">
        <w:rPr>
          <w:rFonts w:ascii="Arial" w:hAnsi="Arial" w:cs="Arial"/>
          <w:b/>
          <w:i/>
          <w:sz w:val="20"/>
          <w:szCs w:val="20"/>
          <w:lang w:val="en-US"/>
        </w:rPr>
        <w:t>Beneficiaries at the front line</w:t>
      </w:r>
      <w:r w:rsidR="00EC1A49" w:rsidRPr="00EC1A49">
        <w:rPr>
          <w:rFonts w:ascii="Arial" w:hAnsi="Arial" w:cs="Arial"/>
          <w:b/>
          <w:i/>
          <w:sz w:val="20"/>
          <w:szCs w:val="20"/>
          <w:lang w:val="en-US"/>
        </w:rPr>
        <w:t xml:space="preserve">. </w:t>
      </w:r>
      <w:r w:rsidR="00312731" w:rsidRPr="00EC1A49">
        <w:rPr>
          <w:rFonts w:ascii="Arial" w:hAnsi="Arial" w:cs="Arial"/>
          <w:sz w:val="20"/>
          <w:szCs w:val="20"/>
          <w:lang w:val="en-US"/>
        </w:rPr>
        <w:t>D</w:t>
      </w:r>
      <w:r w:rsidRPr="00EC1A49">
        <w:rPr>
          <w:rFonts w:ascii="Arial" w:hAnsi="Arial" w:cs="Arial"/>
          <w:sz w:val="20"/>
          <w:szCs w:val="20"/>
          <w:lang w:val="en-US"/>
        </w:rPr>
        <w:t>oes our a</w:t>
      </w:r>
      <w:r w:rsidR="00312731" w:rsidRPr="00EC1A49">
        <w:rPr>
          <w:rFonts w:ascii="Arial" w:hAnsi="Arial" w:cs="Arial"/>
          <w:sz w:val="20"/>
          <w:szCs w:val="20"/>
          <w:lang w:val="en-US"/>
        </w:rPr>
        <w:t>nalysis tell us that end users/</w:t>
      </w:r>
      <w:r w:rsidRPr="00EC1A49">
        <w:rPr>
          <w:rFonts w:ascii="Arial" w:hAnsi="Arial" w:cs="Arial"/>
          <w:sz w:val="20"/>
          <w:szCs w:val="20"/>
          <w:lang w:val="en-US"/>
        </w:rPr>
        <w:t>b</w:t>
      </w:r>
      <w:r w:rsidR="00312731" w:rsidRPr="00EC1A49">
        <w:rPr>
          <w:rFonts w:ascii="Arial" w:hAnsi="Arial" w:cs="Arial"/>
          <w:sz w:val="20"/>
          <w:szCs w:val="20"/>
          <w:lang w:val="en-US"/>
        </w:rPr>
        <w:t>eneficiaries believe the program</w:t>
      </w:r>
      <w:r w:rsidRPr="00EC1A49">
        <w:rPr>
          <w:rFonts w:ascii="Arial" w:hAnsi="Arial" w:cs="Arial"/>
          <w:sz w:val="20"/>
          <w:szCs w:val="20"/>
          <w:lang w:val="en-US"/>
        </w:rPr>
        <w:t xml:space="preserve"> will be of value to them</w:t>
      </w:r>
      <w:r w:rsidR="00312731" w:rsidRPr="00EC1A49">
        <w:rPr>
          <w:rFonts w:ascii="Arial" w:hAnsi="Arial" w:cs="Arial"/>
          <w:sz w:val="20"/>
          <w:szCs w:val="20"/>
          <w:lang w:val="en-US"/>
        </w:rPr>
        <w:t>,</w:t>
      </w:r>
      <w:r w:rsidRPr="00EC1A49">
        <w:rPr>
          <w:rFonts w:ascii="Arial" w:hAnsi="Arial" w:cs="Arial"/>
          <w:sz w:val="20"/>
          <w:szCs w:val="20"/>
          <w:lang w:val="en-US"/>
        </w:rPr>
        <w:t xml:space="preserve"> and meet their development needs?</w:t>
      </w:r>
    </w:p>
    <w:p w14:paraId="2A16AA73" w14:textId="6ACC5345" w:rsidR="00416CB3" w:rsidRPr="00EC1A49" w:rsidRDefault="00621A48" w:rsidP="00EF682B">
      <w:pPr>
        <w:pStyle w:val="ListParagraph"/>
        <w:numPr>
          <w:ilvl w:val="0"/>
          <w:numId w:val="12"/>
        </w:numPr>
        <w:spacing w:after="120"/>
        <w:contextualSpacing w:val="0"/>
        <w:jc w:val="both"/>
        <w:rPr>
          <w:rFonts w:ascii="Arial" w:hAnsi="Arial" w:cs="Arial"/>
          <w:sz w:val="20"/>
          <w:szCs w:val="20"/>
          <w:lang w:val="en-US"/>
        </w:rPr>
      </w:pPr>
      <w:r w:rsidRPr="00EC1A49">
        <w:rPr>
          <w:rFonts w:ascii="Arial" w:hAnsi="Arial" w:cs="Arial"/>
          <w:b/>
          <w:i/>
          <w:sz w:val="20"/>
          <w:szCs w:val="20"/>
          <w:lang w:val="en-US"/>
        </w:rPr>
        <w:t>Learning</w:t>
      </w:r>
      <w:r w:rsidR="00EC1A49" w:rsidRPr="00EC1A49">
        <w:rPr>
          <w:rFonts w:ascii="Arial" w:hAnsi="Arial" w:cs="Arial"/>
          <w:b/>
          <w:i/>
          <w:sz w:val="20"/>
          <w:szCs w:val="20"/>
          <w:lang w:val="en-US"/>
        </w:rPr>
        <w:t xml:space="preserve">. </w:t>
      </w:r>
      <w:r w:rsidR="00312731" w:rsidRPr="00EC1A49">
        <w:rPr>
          <w:rFonts w:ascii="Arial" w:hAnsi="Arial" w:cs="Arial"/>
          <w:sz w:val="20"/>
          <w:szCs w:val="20"/>
          <w:lang w:val="en-US"/>
        </w:rPr>
        <w:t>C</w:t>
      </w:r>
      <w:r w:rsidRPr="00EC1A49">
        <w:rPr>
          <w:rFonts w:ascii="Arial" w:hAnsi="Arial" w:cs="Arial"/>
          <w:sz w:val="20"/>
          <w:szCs w:val="20"/>
          <w:lang w:val="en-US"/>
        </w:rPr>
        <w:t>an we learn from our programming</w:t>
      </w:r>
      <w:r w:rsidR="00416CB3" w:rsidRPr="00EC1A49">
        <w:rPr>
          <w:rFonts w:ascii="Arial" w:hAnsi="Arial" w:cs="Arial"/>
          <w:sz w:val="20"/>
          <w:szCs w:val="20"/>
          <w:lang w:val="en-US"/>
        </w:rPr>
        <w:t xml:space="preserve"> to improve other investments or to replicate itself?</w:t>
      </w:r>
    </w:p>
    <w:p w14:paraId="554EEF42" w14:textId="2A05C052" w:rsidR="00416CB3" w:rsidRDefault="00B01D15" w:rsidP="00B01D15">
      <w:pPr>
        <w:pStyle w:val="Heading2"/>
        <w:rPr>
          <w:lang w:val="en-US"/>
        </w:rPr>
      </w:pPr>
      <w:bookmarkStart w:id="11" w:name="_Toc487186320"/>
      <w:r>
        <w:rPr>
          <w:lang w:val="en-US"/>
        </w:rPr>
        <w:t>Strategies</w:t>
      </w:r>
      <w:bookmarkEnd w:id="11"/>
    </w:p>
    <w:p w14:paraId="6EF66460" w14:textId="1C30B5D1" w:rsidR="00B01D15" w:rsidRPr="00B01D15" w:rsidRDefault="00B01D15" w:rsidP="00B01D15">
      <w:pPr>
        <w:rPr>
          <w:szCs w:val="20"/>
          <w:lang w:val="en-US"/>
        </w:rPr>
      </w:pPr>
      <w:r w:rsidRPr="00B01D15">
        <w:rPr>
          <w:szCs w:val="20"/>
          <w:lang w:val="en-US"/>
        </w:rPr>
        <w:t>It is proposed that PHD should move deliberately</w:t>
      </w:r>
      <w:r w:rsidR="006B6D03">
        <w:rPr>
          <w:szCs w:val="20"/>
          <w:lang w:val="en-US"/>
        </w:rPr>
        <w:t>,</w:t>
      </w:r>
      <w:r w:rsidRPr="00B01D15">
        <w:rPr>
          <w:szCs w:val="20"/>
          <w:lang w:val="en-US"/>
        </w:rPr>
        <w:t xml:space="preserve"> but ca</w:t>
      </w:r>
      <w:r w:rsidR="006B6D03">
        <w:rPr>
          <w:szCs w:val="20"/>
          <w:lang w:val="en-US"/>
        </w:rPr>
        <w:t>refully,</w:t>
      </w:r>
      <w:r w:rsidRPr="00B01D15" w:rsidDel="00B76362">
        <w:rPr>
          <w:szCs w:val="20"/>
          <w:lang w:val="en-US"/>
        </w:rPr>
        <w:t xml:space="preserve"> </w:t>
      </w:r>
      <w:r w:rsidR="006B6D03">
        <w:rPr>
          <w:szCs w:val="20"/>
          <w:lang w:val="en-US"/>
        </w:rPr>
        <w:t>towards an integrated and cross</w:t>
      </w:r>
      <w:r w:rsidRPr="00B01D15">
        <w:rPr>
          <w:szCs w:val="20"/>
          <w:lang w:val="en-US"/>
        </w:rPr>
        <w:t>-sector</w:t>
      </w:r>
      <w:r w:rsidR="006B6D03">
        <w:rPr>
          <w:szCs w:val="20"/>
          <w:lang w:val="en-US"/>
        </w:rPr>
        <w:t>al</w:t>
      </w:r>
      <w:r w:rsidRPr="00B01D15">
        <w:rPr>
          <w:szCs w:val="20"/>
          <w:lang w:val="en-US"/>
        </w:rPr>
        <w:t xml:space="preserve"> approach</w:t>
      </w:r>
      <w:r w:rsidR="006B6D03">
        <w:rPr>
          <w:szCs w:val="20"/>
          <w:lang w:val="en-US"/>
        </w:rPr>
        <w:t xml:space="preserve"> to programming</w:t>
      </w:r>
      <w:r w:rsidRPr="00B01D15">
        <w:rPr>
          <w:szCs w:val="20"/>
          <w:lang w:val="en-US"/>
        </w:rPr>
        <w:t xml:space="preserve"> – noting that the success of th</w:t>
      </w:r>
      <w:r w:rsidR="00BC56C8">
        <w:rPr>
          <w:szCs w:val="20"/>
          <w:lang w:val="en-US"/>
        </w:rPr>
        <w:t>is approach will also depend,</w:t>
      </w:r>
      <w:r w:rsidRPr="00B01D15">
        <w:rPr>
          <w:szCs w:val="20"/>
          <w:lang w:val="en-US"/>
        </w:rPr>
        <w:t xml:space="preserve"> large</w:t>
      </w:r>
      <w:r w:rsidR="00BC56C8">
        <w:rPr>
          <w:szCs w:val="20"/>
          <w:lang w:val="en-US"/>
        </w:rPr>
        <w:t xml:space="preserve">ly in part, on the ability of the Government of Timor-Leste to </w:t>
      </w:r>
      <w:r w:rsidRPr="00B01D15">
        <w:rPr>
          <w:szCs w:val="20"/>
          <w:lang w:val="en-US"/>
        </w:rPr>
        <w:t>work across government silos</w:t>
      </w:r>
      <w:r w:rsidR="00BC56C8">
        <w:rPr>
          <w:szCs w:val="20"/>
          <w:lang w:val="en-US"/>
        </w:rPr>
        <w:t>,</w:t>
      </w:r>
      <w:r w:rsidRPr="00B01D15">
        <w:rPr>
          <w:szCs w:val="20"/>
          <w:lang w:val="en-US"/>
        </w:rPr>
        <w:t xml:space="preserve"> and different administrative levels. Such</w:t>
      </w:r>
      <w:r w:rsidR="00BC56C8">
        <w:rPr>
          <w:szCs w:val="20"/>
          <w:lang w:val="en-US"/>
        </w:rPr>
        <w:t xml:space="preserve"> factors can be ‘nudged’ by </w:t>
      </w:r>
      <w:r w:rsidRPr="00B01D15">
        <w:rPr>
          <w:szCs w:val="20"/>
          <w:lang w:val="en-US"/>
        </w:rPr>
        <w:t>PHD</w:t>
      </w:r>
      <w:r w:rsidR="00BC56C8">
        <w:rPr>
          <w:szCs w:val="20"/>
          <w:lang w:val="en-US"/>
        </w:rPr>
        <w:t>,</w:t>
      </w:r>
      <w:r w:rsidRPr="00B01D15">
        <w:rPr>
          <w:szCs w:val="20"/>
          <w:lang w:val="en-US"/>
        </w:rPr>
        <w:t xml:space="preserve"> but remain largely out of the program’s control. </w:t>
      </w:r>
    </w:p>
    <w:p w14:paraId="7D75B3B4" w14:textId="7DAAC64F" w:rsidR="00B01D15" w:rsidRPr="00B01D15" w:rsidRDefault="00B01D15" w:rsidP="00B01D15">
      <w:pPr>
        <w:rPr>
          <w:b/>
          <w:szCs w:val="20"/>
          <w:lang w:val="en-US"/>
        </w:rPr>
      </w:pPr>
      <w:r w:rsidRPr="00B01D15">
        <w:rPr>
          <w:szCs w:val="20"/>
          <w:lang w:val="en-US"/>
        </w:rPr>
        <w:t>PHD needs to test a</w:t>
      </w:r>
      <w:r w:rsidR="00BC56C8">
        <w:rPr>
          <w:szCs w:val="20"/>
          <w:lang w:val="en-US"/>
        </w:rPr>
        <w:t xml:space="preserve">nd adapt this approach as it implements it. </w:t>
      </w:r>
      <w:r w:rsidRPr="00B01D15">
        <w:rPr>
          <w:szCs w:val="20"/>
          <w:lang w:val="en-US"/>
        </w:rPr>
        <w:t>PHD should thus underpin its activities with a strong focus on review and evidence in order to ensure all stakeh</w:t>
      </w:r>
      <w:r w:rsidR="00BC56C8">
        <w:rPr>
          <w:szCs w:val="20"/>
          <w:lang w:val="en-US"/>
        </w:rPr>
        <w:t>olders identify the value of this</w:t>
      </w:r>
      <w:r w:rsidRPr="00B01D15">
        <w:rPr>
          <w:szCs w:val="20"/>
          <w:lang w:val="en-US"/>
        </w:rPr>
        <w:t xml:space="preserve"> new approach.</w:t>
      </w:r>
      <w:r w:rsidRPr="00B01D15">
        <w:rPr>
          <w:b/>
          <w:szCs w:val="20"/>
          <w:lang w:val="en-US"/>
        </w:rPr>
        <w:t xml:space="preserve"> </w:t>
      </w:r>
    </w:p>
    <w:p w14:paraId="3BA35EA6" w14:textId="77777777" w:rsidR="00EC1A49" w:rsidRDefault="00B01D15" w:rsidP="00B01D15">
      <w:pPr>
        <w:rPr>
          <w:szCs w:val="20"/>
          <w:lang w:val="en-US"/>
        </w:rPr>
      </w:pPr>
      <w:r w:rsidRPr="00B01D15">
        <w:rPr>
          <w:szCs w:val="20"/>
          <w:lang w:val="en-US"/>
        </w:rPr>
        <w:t xml:space="preserve">Drawing on the overall change strategies that form part of the approach, PHD has several implementation strategies. </w:t>
      </w:r>
    </w:p>
    <w:p w14:paraId="277BF1E9" w14:textId="0572E565" w:rsidR="00B01D15" w:rsidRPr="00B01D15" w:rsidRDefault="00B01D15" w:rsidP="00B01D15">
      <w:pPr>
        <w:rPr>
          <w:szCs w:val="20"/>
          <w:lang w:val="en-US"/>
        </w:rPr>
      </w:pPr>
      <w:r w:rsidRPr="00B01D15">
        <w:rPr>
          <w:szCs w:val="20"/>
          <w:lang w:val="en-US"/>
        </w:rPr>
        <w:lastRenderedPageBreak/>
        <w:t>These strategies will be adjusted annually but will include:</w:t>
      </w:r>
    </w:p>
    <w:p w14:paraId="58FC3250" w14:textId="085DCF46" w:rsidR="00B01D15" w:rsidRPr="00B01D15" w:rsidRDefault="00B01D15" w:rsidP="00A32B3F">
      <w:pPr>
        <w:pStyle w:val="TableBullet"/>
        <w:jc w:val="both"/>
      </w:pPr>
      <w:r w:rsidRPr="00B01D15">
        <w:t>Geographic clustering of activities</w:t>
      </w:r>
      <w:r w:rsidR="00EC1A49">
        <w:t>.</w:t>
      </w:r>
    </w:p>
    <w:p w14:paraId="5E230984" w14:textId="2A6713BC" w:rsidR="00B01D15" w:rsidRPr="00B01D15" w:rsidRDefault="00B01D15" w:rsidP="00A32B3F">
      <w:pPr>
        <w:pStyle w:val="TableBullet"/>
        <w:jc w:val="both"/>
      </w:pPr>
      <w:r w:rsidRPr="00B01D15">
        <w:t xml:space="preserve">Strategic engagement with </w:t>
      </w:r>
      <w:r w:rsidR="00BC56C8">
        <w:t xml:space="preserve">the </w:t>
      </w:r>
      <w:r w:rsidRPr="00B01D15">
        <w:t xml:space="preserve">Government of </w:t>
      </w:r>
      <w:r w:rsidR="00F76E96">
        <w:t>Timor-Leste</w:t>
      </w:r>
      <w:r w:rsidR="00EC1A49">
        <w:t>.</w:t>
      </w:r>
    </w:p>
    <w:p w14:paraId="013100B9" w14:textId="210E86AC" w:rsidR="00B01D15" w:rsidRPr="00B01D15" w:rsidRDefault="00EC1A49" w:rsidP="00A32B3F">
      <w:pPr>
        <w:pStyle w:val="TableBullet"/>
        <w:jc w:val="both"/>
      </w:pPr>
      <w:r>
        <w:t>Review and improvement.</w:t>
      </w:r>
    </w:p>
    <w:p w14:paraId="4FF55EAC" w14:textId="59ACC98A" w:rsidR="00B01D15" w:rsidRPr="00B01D15" w:rsidRDefault="00B01D15" w:rsidP="00A32B3F">
      <w:pPr>
        <w:pStyle w:val="TableBullet"/>
        <w:jc w:val="both"/>
      </w:pPr>
      <w:r w:rsidRPr="00B01D15">
        <w:t>Engaging with people and their solutions</w:t>
      </w:r>
      <w:r w:rsidR="00EC1A49">
        <w:t>.</w:t>
      </w:r>
    </w:p>
    <w:p w14:paraId="133DBF6F" w14:textId="56E91DDD" w:rsidR="00B01D15" w:rsidRPr="00B01D15" w:rsidRDefault="00B01D15" w:rsidP="00A32B3F">
      <w:pPr>
        <w:pStyle w:val="TableBullet"/>
        <w:jc w:val="both"/>
      </w:pPr>
      <w:r w:rsidRPr="00B01D15">
        <w:t>Addressing specific problems in the service delivery system</w:t>
      </w:r>
      <w:r w:rsidR="00BC56C8">
        <w:t>.</w:t>
      </w:r>
    </w:p>
    <w:p w14:paraId="42E5C730" w14:textId="47DEBD9E" w:rsidR="00B01D15" w:rsidRDefault="00B01D15" w:rsidP="00B01D15">
      <w:pPr>
        <w:rPr>
          <w:szCs w:val="20"/>
          <w:lang w:val="en-US"/>
        </w:rPr>
      </w:pPr>
      <w:r w:rsidRPr="00B01D15">
        <w:rPr>
          <w:szCs w:val="20"/>
          <w:lang w:val="en-US"/>
        </w:rPr>
        <w:t>Each of these strategies are outlined in detail below (</w:t>
      </w:r>
      <w:r w:rsidRPr="00BC56C8">
        <w:rPr>
          <w:szCs w:val="20"/>
          <w:lang w:val="en-US"/>
        </w:rPr>
        <w:t>with more detailed information in</w:t>
      </w:r>
      <w:r w:rsidR="002434CD">
        <w:rPr>
          <w:szCs w:val="20"/>
          <w:lang w:val="en-US"/>
        </w:rPr>
        <w:t xml:space="preserve"> </w:t>
      </w:r>
      <w:r w:rsidR="002434CD" w:rsidRPr="002434CD">
        <w:rPr>
          <w:szCs w:val="20"/>
          <w:lang w:val="en-US"/>
        </w:rPr>
        <w:fldChar w:fldCharType="begin"/>
      </w:r>
      <w:r w:rsidR="002434CD" w:rsidRPr="002434CD">
        <w:rPr>
          <w:szCs w:val="20"/>
          <w:lang w:val="en-US"/>
        </w:rPr>
        <w:instrText xml:space="preserve"> REF _Ref487116118 \h  \* MERGEFORMAT </w:instrText>
      </w:r>
      <w:r w:rsidR="002434CD" w:rsidRPr="002434CD">
        <w:rPr>
          <w:szCs w:val="20"/>
          <w:lang w:val="en-US"/>
        </w:rPr>
      </w:r>
      <w:r w:rsidR="002434CD" w:rsidRPr="002434CD">
        <w:rPr>
          <w:szCs w:val="20"/>
          <w:lang w:val="en-US"/>
        </w:rPr>
        <w:fldChar w:fldCharType="separate"/>
      </w:r>
      <w:r w:rsidR="00B84559" w:rsidRPr="00B84559">
        <w:rPr>
          <w:szCs w:val="20"/>
        </w:rPr>
        <w:t xml:space="preserve">Annex </w:t>
      </w:r>
      <w:r w:rsidR="00B84559" w:rsidRPr="00B84559">
        <w:rPr>
          <w:noProof/>
          <w:szCs w:val="20"/>
        </w:rPr>
        <w:t>3</w:t>
      </w:r>
      <w:r w:rsidR="002434CD" w:rsidRPr="002434CD">
        <w:rPr>
          <w:szCs w:val="20"/>
          <w:lang w:val="en-US"/>
        </w:rPr>
        <w:fldChar w:fldCharType="end"/>
      </w:r>
      <w:r w:rsidRPr="00BC56C8">
        <w:rPr>
          <w:szCs w:val="20"/>
          <w:lang w:val="en-US"/>
        </w:rPr>
        <w:t>).</w:t>
      </w:r>
    </w:p>
    <w:p w14:paraId="3CB53E9D" w14:textId="77777777" w:rsidR="00621A48" w:rsidRDefault="00B01D15" w:rsidP="00B01D15">
      <w:pPr>
        <w:pStyle w:val="Heading4"/>
        <w:numPr>
          <w:ilvl w:val="0"/>
          <w:numId w:val="0"/>
        </w:numPr>
        <w:rPr>
          <w:lang w:val="en-US"/>
        </w:rPr>
      </w:pPr>
      <w:r w:rsidRPr="00B01D15">
        <w:rPr>
          <w:lang w:val="en-US"/>
        </w:rPr>
        <w:t xml:space="preserve">Strategy 1 </w:t>
      </w:r>
      <w:r>
        <w:rPr>
          <w:lang w:val="en-US"/>
        </w:rPr>
        <w:t>–</w:t>
      </w:r>
      <w:r w:rsidRPr="00B01D15">
        <w:rPr>
          <w:lang w:val="en-US"/>
        </w:rPr>
        <w:t xml:space="preserve"> Geog</w:t>
      </w:r>
      <w:r w:rsidR="00621A48">
        <w:rPr>
          <w:lang w:val="en-US"/>
        </w:rPr>
        <w:t>raphic clustering of activities</w:t>
      </w:r>
    </w:p>
    <w:p w14:paraId="04174951" w14:textId="102FF257" w:rsidR="00B01D15" w:rsidRPr="00B01D15" w:rsidRDefault="00B01D15" w:rsidP="00621A48">
      <w:pPr>
        <w:rPr>
          <w:lang w:val="en-US"/>
        </w:rPr>
      </w:pPr>
      <w:r w:rsidRPr="00621A48">
        <w:rPr>
          <w:lang w:val="en-US"/>
        </w:rPr>
        <w:t xml:space="preserve">In line with the Government of </w:t>
      </w:r>
      <w:r w:rsidR="00F76E96" w:rsidRPr="00621A48">
        <w:rPr>
          <w:lang w:val="en-US"/>
        </w:rPr>
        <w:t>Timor-Leste</w:t>
      </w:r>
      <w:r w:rsidRPr="00621A48">
        <w:rPr>
          <w:lang w:val="en-US"/>
        </w:rPr>
        <w:t xml:space="preserve"> </w:t>
      </w:r>
      <w:r w:rsidR="00BC56C8" w:rsidRPr="00621A48">
        <w:rPr>
          <w:lang w:val="en-US"/>
        </w:rPr>
        <w:t>policy for decentralis</w:t>
      </w:r>
      <w:r w:rsidRPr="00621A48">
        <w:rPr>
          <w:lang w:val="en-US"/>
        </w:rPr>
        <w:t xml:space="preserve">ation, PHD will begin to work </w:t>
      </w:r>
      <w:r w:rsidR="00BC56C8" w:rsidRPr="00621A48">
        <w:rPr>
          <w:lang w:val="en-US"/>
        </w:rPr>
        <w:t xml:space="preserve">in </w:t>
      </w:r>
      <w:r w:rsidRPr="00621A48">
        <w:rPr>
          <w:lang w:val="en-US"/>
        </w:rPr>
        <w:t>coordinated ways at the municipal level.</w:t>
      </w:r>
      <w:r w:rsidRPr="00B01D15">
        <w:rPr>
          <w:lang w:val="en-US"/>
        </w:rPr>
        <w:t xml:space="preserve"> </w:t>
      </w:r>
    </w:p>
    <w:p w14:paraId="75CBE7D7" w14:textId="77777777" w:rsidR="00BC56C8" w:rsidRDefault="00B01D15" w:rsidP="00B01D15">
      <w:pPr>
        <w:rPr>
          <w:szCs w:val="20"/>
          <w:lang w:val="en-US"/>
        </w:rPr>
      </w:pPr>
      <w:r w:rsidRPr="00B01D15">
        <w:rPr>
          <w:szCs w:val="20"/>
          <w:lang w:val="en-US"/>
        </w:rPr>
        <w:t xml:space="preserve">This strategy is consistent with the Government of </w:t>
      </w:r>
      <w:r w:rsidR="00F76E96">
        <w:rPr>
          <w:szCs w:val="20"/>
          <w:lang w:val="en-US"/>
        </w:rPr>
        <w:t>Timor-Leste</w:t>
      </w:r>
      <w:r w:rsidR="00BC56C8">
        <w:rPr>
          <w:szCs w:val="20"/>
          <w:lang w:val="en-US"/>
        </w:rPr>
        <w:t>’s</w:t>
      </w:r>
      <w:r w:rsidRPr="00B01D15">
        <w:rPr>
          <w:szCs w:val="20"/>
          <w:lang w:val="en-US"/>
        </w:rPr>
        <w:t xml:space="preserve"> decentrali</w:t>
      </w:r>
      <w:r w:rsidR="00BC56C8">
        <w:rPr>
          <w:szCs w:val="20"/>
          <w:lang w:val="en-US"/>
        </w:rPr>
        <w:t>sation program that will</w:t>
      </w:r>
      <w:r w:rsidRPr="00B01D15">
        <w:rPr>
          <w:szCs w:val="20"/>
          <w:lang w:val="en-US"/>
        </w:rPr>
        <w:t xml:space="preserve"> be implemented in 2017</w:t>
      </w:r>
      <w:r w:rsidR="00BC56C8">
        <w:rPr>
          <w:szCs w:val="20"/>
          <w:lang w:val="en-US"/>
        </w:rPr>
        <w:t>, and reflects the overarching</w:t>
      </w:r>
      <w:r w:rsidRPr="00B01D15">
        <w:rPr>
          <w:szCs w:val="20"/>
          <w:lang w:val="en-US"/>
        </w:rPr>
        <w:t xml:space="preserve"> strategy of adjusting the program to address the different contexts within which it is implemented. It will be a priority strategy for </w:t>
      </w:r>
      <w:r w:rsidR="00BC56C8">
        <w:rPr>
          <w:szCs w:val="20"/>
          <w:lang w:val="en-US"/>
        </w:rPr>
        <w:t>PHD’s first year of implementation</w:t>
      </w:r>
      <w:r w:rsidRPr="00B01D15">
        <w:rPr>
          <w:szCs w:val="20"/>
          <w:lang w:val="en-US"/>
        </w:rPr>
        <w:t xml:space="preserve">. </w:t>
      </w:r>
    </w:p>
    <w:p w14:paraId="0C6469D7" w14:textId="6486AF71" w:rsidR="00B01D15" w:rsidRPr="00B01D15" w:rsidRDefault="00B01D15" w:rsidP="00A32B3F">
      <w:pPr>
        <w:rPr>
          <w:szCs w:val="20"/>
          <w:lang w:val="en-US"/>
        </w:rPr>
      </w:pPr>
      <w:r w:rsidRPr="00B01D15">
        <w:rPr>
          <w:szCs w:val="20"/>
          <w:lang w:val="en-US"/>
        </w:rPr>
        <w:t>The purpose of this strategy is three</w:t>
      </w:r>
      <w:r w:rsidR="00621A48">
        <w:rPr>
          <w:szCs w:val="20"/>
          <w:lang w:val="en-US"/>
        </w:rPr>
        <w:t>-</w:t>
      </w:r>
      <w:r w:rsidR="00EC1A49">
        <w:rPr>
          <w:szCs w:val="20"/>
          <w:lang w:val="en-US"/>
        </w:rPr>
        <w:t>fold.</w:t>
      </w:r>
    </w:p>
    <w:p w14:paraId="033D268A" w14:textId="4FD69DA9" w:rsidR="00B01D15" w:rsidRPr="00B01D15" w:rsidRDefault="00B01D15" w:rsidP="00A32B3F">
      <w:pPr>
        <w:pStyle w:val="TableBullet"/>
        <w:jc w:val="both"/>
      </w:pPr>
      <w:r w:rsidRPr="00B01D15">
        <w:t xml:space="preserve">Demonstrate solutions at </w:t>
      </w:r>
      <w:r w:rsidR="00BC56C8">
        <w:t>the local level which are cross</w:t>
      </w:r>
      <w:r w:rsidRPr="00B01D15">
        <w:t>-sector</w:t>
      </w:r>
      <w:r w:rsidR="00EC1A49">
        <w:t>al.</w:t>
      </w:r>
    </w:p>
    <w:p w14:paraId="5BFC2FE8" w14:textId="69E3ACBF" w:rsidR="00B01D15" w:rsidRPr="00B01D15" w:rsidRDefault="00B01D15" w:rsidP="00A32B3F">
      <w:pPr>
        <w:pStyle w:val="TableBullet"/>
        <w:jc w:val="both"/>
      </w:pPr>
      <w:r w:rsidRPr="00B01D15">
        <w:t xml:space="preserve">Demonstrate increased effectiveness and efficiency through coordinated engagement with </w:t>
      </w:r>
      <w:r w:rsidR="00621A48">
        <w:t xml:space="preserve">the </w:t>
      </w:r>
      <w:r w:rsidR="00EC1A49">
        <w:t>municipalities.</w:t>
      </w:r>
    </w:p>
    <w:p w14:paraId="74C6C4D3" w14:textId="4368B431" w:rsidR="00B01D15" w:rsidRPr="00B01D15" w:rsidRDefault="00B01D15" w:rsidP="00A32B3F">
      <w:pPr>
        <w:pStyle w:val="TableBullet"/>
        <w:jc w:val="both"/>
      </w:pPr>
      <w:r w:rsidRPr="00B01D15">
        <w:t>Demonstrate ways of working with local leadership and others to resolve barriers to service delivery at the local level</w:t>
      </w:r>
      <w:r w:rsidR="00BC56C8">
        <w:t xml:space="preserve"> to contribute</w:t>
      </w:r>
      <w:r w:rsidRPr="00B01D15">
        <w:t xml:space="preserve"> to </w:t>
      </w:r>
      <w:r w:rsidR="00BC56C8">
        <w:t xml:space="preserve">the </w:t>
      </w:r>
      <w:r w:rsidRPr="00B01D15">
        <w:t>evidence and experience that can be replicated elsewhere.</w:t>
      </w:r>
    </w:p>
    <w:p w14:paraId="0879D8ED" w14:textId="3CDFD3FA" w:rsidR="00B01D15" w:rsidRPr="00B01D15" w:rsidRDefault="00B01D15" w:rsidP="00B01D15">
      <w:pPr>
        <w:rPr>
          <w:szCs w:val="20"/>
          <w:lang w:val="en-US"/>
        </w:rPr>
      </w:pPr>
      <w:r w:rsidRPr="00B01D15">
        <w:rPr>
          <w:szCs w:val="20"/>
          <w:lang w:val="en-US"/>
        </w:rPr>
        <w:t xml:space="preserve">For 2017, PHD sectors will </w:t>
      </w:r>
      <w:r w:rsidR="00DB6751">
        <w:rPr>
          <w:szCs w:val="20"/>
          <w:lang w:val="en-US"/>
        </w:rPr>
        <w:t xml:space="preserve">identify opportunities to work together </w:t>
      </w:r>
      <w:r w:rsidRPr="00B01D15">
        <w:rPr>
          <w:szCs w:val="20"/>
          <w:lang w:val="en-US"/>
        </w:rPr>
        <w:t xml:space="preserve">to address </w:t>
      </w:r>
      <w:r w:rsidR="00DB6751">
        <w:rPr>
          <w:szCs w:val="20"/>
          <w:lang w:val="en-US"/>
        </w:rPr>
        <w:t>barrier’s attaining</w:t>
      </w:r>
      <w:r w:rsidRPr="00B01D15">
        <w:rPr>
          <w:szCs w:val="20"/>
          <w:lang w:val="en-US"/>
        </w:rPr>
        <w:t xml:space="preserve"> </w:t>
      </w:r>
      <w:r w:rsidR="00DB6751">
        <w:rPr>
          <w:szCs w:val="20"/>
          <w:lang w:val="en-US"/>
        </w:rPr>
        <w:t xml:space="preserve">a state of </w:t>
      </w:r>
      <w:r w:rsidRPr="00B01D15">
        <w:rPr>
          <w:szCs w:val="20"/>
          <w:lang w:val="en-US"/>
        </w:rPr>
        <w:t>well-being</w:t>
      </w:r>
      <w:r w:rsidR="00DB6751">
        <w:rPr>
          <w:szCs w:val="20"/>
          <w:lang w:val="en-US"/>
        </w:rPr>
        <w:t xml:space="preserve"> for Timorese people</w:t>
      </w:r>
      <w:r w:rsidR="00A20ACA">
        <w:rPr>
          <w:szCs w:val="20"/>
          <w:lang w:val="en-US"/>
        </w:rPr>
        <w:t xml:space="preserve">. This will be initiated </w:t>
      </w:r>
      <w:r w:rsidRPr="00B01D15">
        <w:rPr>
          <w:szCs w:val="20"/>
          <w:lang w:val="en-US"/>
        </w:rPr>
        <w:t>in Bobonaro</w:t>
      </w:r>
      <w:r w:rsidR="00A20ACA">
        <w:rPr>
          <w:szCs w:val="20"/>
          <w:lang w:val="en-US"/>
        </w:rPr>
        <w:t xml:space="preserve"> prior to </w:t>
      </w:r>
      <w:r w:rsidRPr="00B01D15">
        <w:rPr>
          <w:szCs w:val="20"/>
          <w:lang w:val="en-US"/>
        </w:rPr>
        <w:t>the elections, where several PHD sectors are already implementing activities. The a</w:t>
      </w:r>
      <w:r w:rsidR="00A20ACA">
        <w:rPr>
          <w:szCs w:val="20"/>
          <w:lang w:val="en-US"/>
        </w:rPr>
        <w:t>im will be to have the</w:t>
      </w:r>
      <w:r w:rsidRPr="00B01D15">
        <w:rPr>
          <w:szCs w:val="20"/>
          <w:lang w:val="en-US"/>
        </w:rPr>
        <w:t xml:space="preserve">se sectors plan and </w:t>
      </w:r>
      <w:r w:rsidR="00A20ACA">
        <w:rPr>
          <w:szCs w:val="20"/>
          <w:lang w:val="en-US"/>
        </w:rPr>
        <w:t xml:space="preserve">coordinate </w:t>
      </w:r>
      <w:r w:rsidRPr="00B01D15">
        <w:rPr>
          <w:szCs w:val="20"/>
          <w:lang w:val="en-US"/>
        </w:rPr>
        <w:t>together, identifying opportunities to complement and utilise each other’s activities to both maximi</w:t>
      </w:r>
      <w:r w:rsidR="00A20ACA">
        <w:rPr>
          <w:szCs w:val="20"/>
          <w:lang w:val="en-US"/>
        </w:rPr>
        <w:t>s</w:t>
      </w:r>
      <w:r w:rsidRPr="00B01D15">
        <w:rPr>
          <w:szCs w:val="20"/>
          <w:lang w:val="en-US"/>
        </w:rPr>
        <w:t>e outcomes</w:t>
      </w:r>
      <w:r w:rsidR="00A20ACA">
        <w:rPr>
          <w:szCs w:val="20"/>
          <w:lang w:val="en-US"/>
        </w:rPr>
        <w:t>,</w:t>
      </w:r>
      <w:r w:rsidRPr="00B01D15">
        <w:rPr>
          <w:szCs w:val="20"/>
          <w:lang w:val="en-US"/>
        </w:rPr>
        <w:t xml:space="preserve"> and increase the qu</w:t>
      </w:r>
      <w:r w:rsidR="00A20ACA">
        <w:rPr>
          <w:szCs w:val="20"/>
          <w:lang w:val="en-US"/>
        </w:rPr>
        <w:t>ality of services for the women and</w:t>
      </w:r>
      <w:r w:rsidRPr="00B01D15">
        <w:rPr>
          <w:szCs w:val="20"/>
          <w:lang w:val="en-US"/>
        </w:rPr>
        <w:t xml:space="preserve"> men, girls and boys</w:t>
      </w:r>
      <w:r w:rsidR="00A20ACA">
        <w:rPr>
          <w:szCs w:val="20"/>
          <w:lang w:val="en-US"/>
        </w:rPr>
        <w:t>, including people living with a disability,</w:t>
      </w:r>
      <w:r w:rsidRPr="00B01D15">
        <w:rPr>
          <w:szCs w:val="20"/>
          <w:lang w:val="en-US"/>
        </w:rPr>
        <w:t xml:space="preserve"> in </w:t>
      </w:r>
      <w:r w:rsidR="00A20ACA">
        <w:rPr>
          <w:szCs w:val="20"/>
          <w:lang w:val="en-US"/>
        </w:rPr>
        <w:t>Bobonaro</w:t>
      </w:r>
      <w:r w:rsidRPr="00B01D15">
        <w:rPr>
          <w:szCs w:val="20"/>
          <w:lang w:val="en-US"/>
        </w:rPr>
        <w:t>. The program will also reach out to other partners,</w:t>
      </w:r>
      <w:r w:rsidR="00A20ACA">
        <w:rPr>
          <w:szCs w:val="20"/>
          <w:lang w:val="en-US"/>
        </w:rPr>
        <w:t xml:space="preserve"> in particular other Australian-funded programs (such as</w:t>
      </w:r>
      <w:r w:rsidR="00DD53E0">
        <w:rPr>
          <w:szCs w:val="20"/>
          <w:lang w:val="en-US"/>
        </w:rPr>
        <w:t xml:space="preserve"> TOMAK, PNDS, Nabilan, GfD</w:t>
      </w:r>
      <w:r w:rsidR="00A20ACA">
        <w:rPr>
          <w:szCs w:val="20"/>
          <w:lang w:val="en-US"/>
        </w:rPr>
        <w:t>; including</w:t>
      </w:r>
      <w:r w:rsidRPr="00B01D15">
        <w:rPr>
          <w:szCs w:val="20"/>
          <w:lang w:val="en-US"/>
        </w:rPr>
        <w:t xml:space="preserve"> ANCP partners) and seek to increase the complementarity of assistance. </w:t>
      </w:r>
      <w:r w:rsidR="00A20ACA">
        <w:rPr>
          <w:szCs w:val="20"/>
          <w:lang w:val="en-US"/>
        </w:rPr>
        <w:t xml:space="preserve">This </w:t>
      </w:r>
      <w:r w:rsidRPr="00B01D15">
        <w:rPr>
          <w:szCs w:val="20"/>
          <w:lang w:val="en-US"/>
        </w:rPr>
        <w:t xml:space="preserve">also </w:t>
      </w:r>
      <w:r w:rsidR="00A20ACA">
        <w:rPr>
          <w:szCs w:val="20"/>
          <w:lang w:val="en-US"/>
        </w:rPr>
        <w:t>provides an opportunity to learn</w:t>
      </w:r>
      <w:r w:rsidRPr="00B01D15">
        <w:rPr>
          <w:szCs w:val="20"/>
          <w:lang w:val="en-US"/>
        </w:rPr>
        <w:t xml:space="preserve"> how</w:t>
      </w:r>
      <w:r w:rsidR="00A20ACA">
        <w:rPr>
          <w:szCs w:val="20"/>
          <w:lang w:val="en-US"/>
        </w:rPr>
        <w:t xml:space="preserve"> to</w:t>
      </w:r>
      <w:r w:rsidRPr="00B01D15">
        <w:rPr>
          <w:szCs w:val="20"/>
          <w:lang w:val="en-US"/>
        </w:rPr>
        <w:t xml:space="preserve"> tailor</w:t>
      </w:r>
      <w:r w:rsidR="00A20ACA">
        <w:rPr>
          <w:szCs w:val="20"/>
          <w:lang w:val="en-US"/>
        </w:rPr>
        <w:t xml:space="preserve"> the delivery of cross</w:t>
      </w:r>
      <w:r w:rsidRPr="00B01D15">
        <w:rPr>
          <w:szCs w:val="20"/>
          <w:lang w:val="en-US"/>
        </w:rPr>
        <w:t>-sector</w:t>
      </w:r>
      <w:r w:rsidR="00A20ACA">
        <w:rPr>
          <w:szCs w:val="20"/>
          <w:lang w:val="en-US"/>
        </w:rPr>
        <w:t>al</w:t>
      </w:r>
      <w:r w:rsidRPr="00B01D15">
        <w:rPr>
          <w:szCs w:val="20"/>
          <w:lang w:val="en-US"/>
        </w:rPr>
        <w:t xml:space="preserve"> activities to better meet the particular needs of people in a specific location. </w:t>
      </w:r>
    </w:p>
    <w:p w14:paraId="4583C2C1" w14:textId="165D7BFE" w:rsidR="00B01D15" w:rsidRPr="00B01D15" w:rsidRDefault="00B01D15" w:rsidP="00B01D15">
      <w:pPr>
        <w:rPr>
          <w:szCs w:val="20"/>
          <w:lang w:val="en-US"/>
        </w:rPr>
      </w:pPr>
      <w:r w:rsidRPr="00B01D15">
        <w:rPr>
          <w:szCs w:val="20"/>
          <w:lang w:val="en-US"/>
        </w:rPr>
        <w:t>It is expected</w:t>
      </w:r>
      <w:r w:rsidR="00A20ACA">
        <w:rPr>
          <w:szCs w:val="20"/>
          <w:lang w:val="en-US"/>
        </w:rPr>
        <w:t xml:space="preserve"> that after the elections </w:t>
      </w:r>
      <w:r w:rsidRPr="00B01D15">
        <w:rPr>
          <w:szCs w:val="20"/>
          <w:lang w:val="en-US"/>
        </w:rPr>
        <w:t xml:space="preserve">PHD will work closely with </w:t>
      </w:r>
      <w:r w:rsidR="00A20ACA">
        <w:rPr>
          <w:szCs w:val="20"/>
          <w:lang w:val="en-US"/>
        </w:rPr>
        <w:t>the G</w:t>
      </w:r>
      <w:r w:rsidRPr="00B01D15">
        <w:rPr>
          <w:szCs w:val="20"/>
          <w:lang w:val="en-US"/>
        </w:rPr>
        <w:t xml:space="preserve">overnment on the selection of the next </w:t>
      </w:r>
      <w:r w:rsidR="00A20ACA">
        <w:rPr>
          <w:szCs w:val="20"/>
          <w:lang w:val="en-US"/>
        </w:rPr>
        <w:t xml:space="preserve">focus </w:t>
      </w:r>
      <w:r w:rsidRPr="00B01D15">
        <w:rPr>
          <w:szCs w:val="20"/>
          <w:lang w:val="en-US"/>
        </w:rPr>
        <w:t>municipality</w:t>
      </w:r>
      <w:r w:rsidR="00A20ACA">
        <w:rPr>
          <w:szCs w:val="20"/>
          <w:lang w:val="en-US"/>
        </w:rPr>
        <w:t>, including defining</w:t>
      </w:r>
      <w:r w:rsidRPr="00B01D15">
        <w:rPr>
          <w:szCs w:val="20"/>
          <w:lang w:val="en-US"/>
        </w:rPr>
        <w:t xml:space="preserve"> appropriate criteria for scale</w:t>
      </w:r>
      <w:r w:rsidR="00621A48">
        <w:rPr>
          <w:szCs w:val="20"/>
          <w:lang w:val="en-US"/>
        </w:rPr>
        <w:t>-</w:t>
      </w:r>
      <w:r w:rsidRPr="00B01D15">
        <w:rPr>
          <w:szCs w:val="20"/>
          <w:lang w:val="en-US"/>
        </w:rPr>
        <w:t>up (</w:t>
      </w:r>
      <w:r w:rsidRPr="00A20ACA">
        <w:rPr>
          <w:szCs w:val="20"/>
          <w:lang w:val="en-US"/>
        </w:rPr>
        <w:t>initial draft criteria to guide the selection of municipalities are listed at</w:t>
      </w:r>
      <w:r w:rsidR="00A20ACA">
        <w:rPr>
          <w:szCs w:val="20"/>
          <w:lang w:val="en-US"/>
        </w:rPr>
        <w:t xml:space="preserve"> </w:t>
      </w:r>
      <w:r w:rsidR="00A20ACA" w:rsidRPr="00A20ACA">
        <w:rPr>
          <w:szCs w:val="20"/>
          <w:lang w:val="en-US"/>
        </w:rPr>
        <w:fldChar w:fldCharType="begin"/>
      </w:r>
      <w:r w:rsidR="00A20ACA" w:rsidRPr="00A20ACA">
        <w:rPr>
          <w:szCs w:val="20"/>
          <w:lang w:val="en-US"/>
        </w:rPr>
        <w:instrText xml:space="preserve"> REF _Ref487101956 \h  \* MERGEFORMAT </w:instrText>
      </w:r>
      <w:r w:rsidR="00A20ACA" w:rsidRPr="00A20ACA">
        <w:rPr>
          <w:szCs w:val="20"/>
          <w:lang w:val="en-US"/>
        </w:rPr>
      </w:r>
      <w:r w:rsidR="00A20ACA" w:rsidRPr="00A20ACA">
        <w:rPr>
          <w:szCs w:val="20"/>
          <w:lang w:val="en-US"/>
        </w:rPr>
        <w:fldChar w:fldCharType="separate"/>
      </w:r>
      <w:r w:rsidR="00B84559" w:rsidRPr="00B84559">
        <w:rPr>
          <w:szCs w:val="20"/>
        </w:rPr>
        <w:t xml:space="preserve">Annex </w:t>
      </w:r>
      <w:r w:rsidR="00B84559" w:rsidRPr="00B84559">
        <w:rPr>
          <w:noProof/>
          <w:szCs w:val="20"/>
        </w:rPr>
        <w:t>4</w:t>
      </w:r>
      <w:r w:rsidR="00A20ACA" w:rsidRPr="00A20ACA">
        <w:rPr>
          <w:szCs w:val="20"/>
          <w:lang w:val="en-US"/>
        </w:rPr>
        <w:fldChar w:fldCharType="end"/>
      </w:r>
      <w:r w:rsidRPr="00A20ACA">
        <w:rPr>
          <w:rStyle w:val="FootnoteReference"/>
          <w:szCs w:val="20"/>
          <w:lang w:val="en-US"/>
        </w:rPr>
        <w:footnoteReference w:id="21"/>
      </w:r>
      <w:r w:rsidRPr="00A20ACA">
        <w:rPr>
          <w:szCs w:val="20"/>
          <w:lang w:val="en-US"/>
        </w:rPr>
        <w:t>)</w:t>
      </w:r>
      <w:r w:rsidRPr="00B01D15">
        <w:rPr>
          <w:szCs w:val="20"/>
          <w:lang w:val="en-US"/>
        </w:rPr>
        <w:t xml:space="preserve">. PHD will then </w:t>
      </w:r>
      <w:r w:rsidR="00A20ACA">
        <w:rPr>
          <w:szCs w:val="20"/>
          <w:lang w:val="en-US"/>
        </w:rPr>
        <w:t>look</w:t>
      </w:r>
      <w:r w:rsidRPr="00B01D15">
        <w:rPr>
          <w:szCs w:val="20"/>
          <w:lang w:val="en-US"/>
        </w:rPr>
        <w:t xml:space="preserve"> to </w:t>
      </w:r>
      <w:r w:rsidR="005D0304">
        <w:rPr>
          <w:szCs w:val="20"/>
          <w:lang w:val="en-US"/>
        </w:rPr>
        <w:t>commence implementation in other municipalities (possibly another two) in early 2018.</w:t>
      </w:r>
    </w:p>
    <w:p w14:paraId="6AD34AF7" w14:textId="146CB3F2" w:rsidR="00B01D15" w:rsidRPr="00B01D15" w:rsidRDefault="00B01D15" w:rsidP="00B01D15">
      <w:pPr>
        <w:rPr>
          <w:szCs w:val="20"/>
          <w:lang w:val="en-US"/>
        </w:rPr>
      </w:pPr>
      <w:r w:rsidRPr="00B01D15">
        <w:rPr>
          <w:szCs w:val="20"/>
          <w:lang w:val="en-US"/>
        </w:rPr>
        <w:t>Drawing on the</w:t>
      </w:r>
      <w:r w:rsidR="005D0304">
        <w:rPr>
          <w:szCs w:val="20"/>
          <w:lang w:val="en-US"/>
        </w:rPr>
        <w:t xml:space="preserve"> experience of working in Bobonaro, from other Australian-funded </w:t>
      </w:r>
      <w:r w:rsidRPr="00B01D15">
        <w:rPr>
          <w:szCs w:val="20"/>
          <w:lang w:val="en-US"/>
        </w:rPr>
        <w:t>programs</w:t>
      </w:r>
      <w:r w:rsidR="005D0304">
        <w:rPr>
          <w:szCs w:val="20"/>
          <w:lang w:val="en-US"/>
        </w:rPr>
        <w:t>,</w:t>
      </w:r>
      <w:r w:rsidRPr="00B01D15">
        <w:rPr>
          <w:szCs w:val="20"/>
          <w:lang w:val="en-US"/>
        </w:rPr>
        <w:t xml:space="preserve"> and a wider examination of opportunities, a PHD approach to working in municipalities</w:t>
      </w:r>
      <w:r w:rsidR="005D0304">
        <w:rPr>
          <w:szCs w:val="20"/>
          <w:lang w:val="en-US"/>
        </w:rPr>
        <w:t>, particularly with municipal authorities, will then be designed. This model</w:t>
      </w:r>
      <w:r w:rsidRPr="00B01D15">
        <w:rPr>
          <w:szCs w:val="20"/>
          <w:lang w:val="en-US"/>
        </w:rPr>
        <w:t xml:space="preserve"> </w:t>
      </w:r>
      <w:r w:rsidR="005D0304">
        <w:rPr>
          <w:szCs w:val="20"/>
          <w:lang w:val="en-US"/>
        </w:rPr>
        <w:t xml:space="preserve">will </w:t>
      </w:r>
      <w:r w:rsidRPr="00B01D15">
        <w:rPr>
          <w:szCs w:val="20"/>
          <w:lang w:val="en-US"/>
        </w:rPr>
        <w:t>includ</w:t>
      </w:r>
      <w:r w:rsidR="005D0304">
        <w:rPr>
          <w:szCs w:val="20"/>
          <w:lang w:val="en-US"/>
        </w:rPr>
        <w:t>e</w:t>
      </w:r>
      <w:r w:rsidRPr="00B01D15">
        <w:rPr>
          <w:szCs w:val="20"/>
          <w:lang w:val="en-US"/>
        </w:rPr>
        <w:t xml:space="preserve"> a plan for resourcing and logistics</w:t>
      </w:r>
      <w:r w:rsidR="005D0304">
        <w:rPr>
          <w:szCs w:val="20"/>
          <w:lang w:val="en-US"/>
        </w:rPr>
        <w:t xml:space="preserve"> that also incorporates support and assistance from the Australian Embassy. This model will </w:t>
      </w:r>
      <w:r w:rsidRPr="00B01D15">
        <w:rPr>
          <w:szCs w:val="20"/>
          <w:lang w:val="en-US"/>
        </w:rPr>
        <w:t xml:space="preserve">be progressively rolled out nation-wide, in agreement with the Government of </w:t>
      </w:r>
      <w:r w:rsidR="00F76E96">
        <w:rPr>
          <w:szCs w:val="20"/>
          <w:lang w:val="en-US"/>
        </w:rPr>
        <w:t>Timor-Leste</w:t>
      </w:r>
      <w:r w:rsidRPr="00B01D15">
        <w:rPr>
          <w:szCs w:val="20"/>
          <w:lang w:val="en-US"/>
        </w:rPr>
        <w:t>, over the next four years of the program. Each location will be sub</w:t>
      </w:r>
      <w:r w:rsidR="005D0304">
        <w:rPr>
          <w:szCs w:val="20"/>
          <w:lang w:val="en-US"/>
        </w:rPr>
        <w:t>ject to tailored analysis to ensure</w:t>
      </w:r>
      <w:r w:rsidRPr="00B01D15">
        <w:rPr>
          <w:szCs w:val="20"/>
          <w:lang w:val="en-US"/>
        </w:rPr>
        <w:t xml:space="preserve"> that the </w:t>
      </w:r>
      <w:r w:rsidR="005D0304">
        <w:rPr>
          <w:szCs w:val="20"/>
          <w:lang w:val="en-US"/>
        </w:rPr>
        <w:t xml:space="preserve">approach employed, and the desired </w:t>
      </w:r>
      <w:r w:rsidRPr="00B01D15">
        <w:rPr>
          <w:szCs w:val="20"/>
          <w:lang w:val="en-US"/>
        </w:rPr>
        <w:t>outcomes</w:t>
      </w:r>
      <w:r w:rsidR="005D0304">
        <w:rPr>
          <w:szCs w:val="20"/>
          <w:lang w:val="en-US"/>
        </w:rPr>
        <w:t xml:space="preserve"> are </w:t>
      </w:r>
      <w:r w:rsidRPr="00B01D15">
        <w:rPr>
          <w:szCs w:val="20"/>
          <w:lang w:val="en-US"/>
        </w:rPr>
        <w:t>best suited to that location.</w:t>
      </w:r>
      <w:r w:rsidRPr="00B01D15">
        <w:rPr>
          <w:rStyle w:val="FootnoteReference"/>
          <w:szCs w:val="20"/>
          <w:lang w:val="en-US"/>
        </w:rPr>
        <w:footnoteReference w:id="22"/>
      </w:r>
    </w:p>
    <w:p w14:paraId="1DE878A9" w14:textId="72197C04" w:rsidR="00621A48" w:rsidRDefault="00B01D15" w:rsidP="00B01D15">
      <w:pPr>
        <w:pStyle w:val="Heading4"/>
        <w:numPr>
          <w:ilvl w:val="0"/>
          <w:numId w:val="0"/>
        </w:numPr>
      </w:pPr>
      <w:r w:rsidRPr="00B01D15">
        <w:rPr>
          <w:lang w:val="en-US"/>
        </w:rPr>
        <w:t xml:space="preserve">Strategy 2 </w:t>
      </w:r>
      <w:r>
        <w:rPr>
          <w:lang w:val="en-US"/>
        </w:rPr>
        <w:t>–</w:t>
      </w:r>
      <w:r w:rsidRPr="00B01D15">
        <w:rPr>
          <w:lang w:val="en-US"/>
        </w:rPr>
        <w:t xml:space="preserve"> </w:t>
      </w:r>
      <w:r w:rsidR="005D0304" w:rsidRPr="00B01D15">
        <w:t>Strategic engagement with Government</w:t>
      </w:r>
    </w:p>
    <w:p w14:paraId="46EFD24D" w14:textId="16348ECF" w:rsidR="00B01D15" w:rsidRPr="00B01D15" w:rsidRDefault="00B01D15" w:rsidP="00621A48">
      <w:pPr>
        <w:rPr>
          <w:lang w:val="en-US"/>
        </w:rPr>
      </w:pPr>
      <w:r w:rsidRPr="00B01D15">
        <w:rPr>
          <w:lang w:val="en-US"/>
        </w:rPr>
        <w:lastRenderedPageBreak/>
        <w:t>Existing programs will continue to be implemented and future activities developed, with attention to maximising efficien</w:t>
      </w:r>
      <w:r w:rsidR="005D0304">
        <w:rPr>
          <w:lang w:val="en-US"/>
        </w:rPr>
        <w:t>cies and opportunities for cross</w:t>
      </w:r>
      <w:r w:rsidRPr="00B01D15">
        <w:rPr>
          <w:lang w:val="en-US"/>
        </w:rPr>
        <w:t>-sector</w:t>
      </w:r>
      <w:r w:rsidR="005D0304">
        <w:rPr>
          <w:lang w:val="en-US"/>
        </w:rPr>
        <w:t>al</w:t>
      </w:r>
      <w:r w:rsidRPr="00B01D15">
        <w:rPr>
          <w:lang w:val="en-US"/>
        </w:rPr>
        <w:t xml:space="preserve"> cooperation with the Government of </w:t>
      </w:r>
      <w:r w:rsidR="00F76E96">
        <w:rPr>
          <w:lang w:val="en-US"/>
        </w:rPr>
        <w:t>Timor-Leste</w:t>
      </w:r>
      <w:r w:rsidR="00621A48">
        <w:rPr>
          <w:lang w:val="en-US"/>
        </w:rPr>
        <w:t>, at national and s</w:t>
      </w:r>
      <w:r w:rsidRPr="00B01D15">
        <w:rPr>
          <w:lang w:val="en-US"/>
        </w:rPr>
        <w:t xml:space="preserve">ub-national level.  </w:t>
      </w:r>
    </w:p>
    <w:p w14:paraId="58C94F86" w14:textId="77777777" w:rsidR="00621A48" w:rsidRDefault="00EB0A85" w:rsidP="00B01D15">
      <w:pPr>
        <w:rPr>
          <w:szCs w:val="20"/>
          <w:lang w:val="en-US"/>
        </w:rPr>
      </w:pPr>
      <w:r>
        <w:rPr>
          <w:szCs w:val="20"/>
          <w:lang w:val="en-US"/>
        </w:rPr>
        <w:t xml:space="preserve">In </w:t>
      </w:r>
      <w:r w:rsidR="00B01D15" w:rsidRPr="00B01D15">
        <w:rPr>
          <w:szCs w:val="20"/>
          <w:lang w:val="en-US"/>
        </w:rPr>
        <w:t xml:space="preserve">line with the intention to improve coordination and communication with Government of </w:t>
      </w:r>
      <w:r w:rsidR="00F76E96">
        <w:rPr>
          <w:szCs w:val="20"/>
          <w:lang w:val="en-US"/>
        </w:rPr>
        <w:t>Timor-Leste</w:t>
      </w:r>
      <w:r w:rsidR="00B01D15" w:rsidRPr="00B01D15">
        <w:rPr>
          <w:szCs w:val="20"/>
          <w:lang w:val="en-US"/>
        </w:rPr>
        <w:t xml:space="preserve">, PHD will develop a program wide strategy for government engagement. </w:t>
      </w:r>
    </w:p>
    <w:p w14:paraId="7963B574" w14:textId="3DFC9F0C" w:rsidR="00B01D15" w:rsidRPr="00B01D15" w:rsidRDefault="00B01D15" w:rsidP="00B01D15">
      <w:pPr>
        <w:rPr>
          <w:szCs w:val="20"/>
          <w:lang w:val="en-US"/>
        </w:rPr>
      </w:pPr>
      <w:r w:rsidRPr="00B01D15">
        <w:rPr>
          <w:szCs w:val="20"/>
          <w:lang w:val="en-US"/>
        </w:rPr>
        <w:t>The purpose will be to:</w:t>
      </w:r>
    </w:p>
    <w:p w14:paraId="0135090C" w14:textId="33864DF2" w:rsidR="00B01D15" w:rsidRPr="00B01D15" w:rsidRDefault="00820CC6" w:rsidP="00A32B3F">
      <w:pPr>
        <w:pStyle w:val="TableBullet"/>
        <w:jc w:val="both"/>
      </w:pPr>
      <w:r>
        <w:t>Maximis</w:t>
      </w:r>
      <w:r w:rsidR="00B01D15" w:rsidRPr="00B01D15">
        <w:t>e the benefit</w:t>
      </w:r>
      <w:r>
        <w:t>s</w:t>
      </w:r>
      <w:r w:rsidR="00B01D15" w:rsidRPr="00B01D15">
        <w:t xml:space="preserve"> from existing activities t</w:t>
      </w:r>
      <w:r w:rsidR="00621A48">
        <w:t>hrough collaborative s</w:t>
      </w:r>
      <w:r w:rsidR="00EC1A49">
        <w:t>trategies.</w:t>
      </w:r>
    </w:p>
    <w:p w14:paraId="6AA8C608" w14:textId="5095AA15" w:rsidR="00B01D15" w:rsidRPr="00B01D15" w:rsidRDefault="00820CC6" w:rsidP="00A32B3F">
      <w:pPr>
        <w:pStyle w:val="TableBullet"/>
        <w:jc w:val="both"/>
      </w:pPr>
      <w:r>
        <w:t>Engage effectively with the G</w:t>
      </w:r>
      <w:r w:rsidR="00B01D15" w:rsidRPr="00B01D15">
        <w:t xml:space="preserve">overnment at all levels to </w:t>
      </w:r>
      <w:r>
        <w:t xml:space="preserve">maximise </w:t>
      </w:r>
      <w:r w:rsidR="00B01D15" w:rsidRPr="00B01D15">
        <w:t>PHD</w:t>
      </w:r>
      <w:r>
        <w:t>’s</w:t>
      </w:r>
      <w:r w:rsidR="00EC1A49">
        <w:t xml:space="preserve"> influence.</w:t>
      </w:r>
    </w:p>
    <w:p w14:paraId="67C21558" w14:textId="0B136362" w:rsidR="00B01D15" w:rsidRPr="00B01D15" w:rsidRDefault="00B01D15" w:rsidP="00A32B3F">
      <w:pPr>
        <w:pStyle w:val="TableBullet"/>
        <w:jc w:val="both"/>
      </w:pPr>
      <w:r w:rsidRPr="00B01D15">
        <w:t xml:space="preserve">Share information </w:t>
      </w:r>
      <w:r w:rsidR="00820CC6">
        <w:t>demonstrating the work being done with the G</w:t>
      </w:r>
      <w:r w:rsidRPr="00B01D15">
        <w:t>overnment and other partners to maximise the quality of PHD activities.</w:t>
      </w:r>
    </w:p>
    <w:p w14:paraId="1BB9C09D" w14:textId="0C2D81C8" w:rsidR="00B01D15" w:rsidRPr="00B01D15" w:rsidRDefault="00B01D15" w:rsidP="00B01D15">
      <w:pPr>
        <w:rPr>
          <w:szCs w:val="20"/>
          <w:lang w:val="en-US"/>
        </w:rPr>
      </w:pPr>
      <w:r w:rsidRPr="00B01D15">
        <w:rPr>
          <w:szCs w:val="20"/>
          <w:lang w:val="en-US"/>
        </w:rPr>
        <w:t>Experience has shown that a respectful, coordinated and transparent approach to working with</w:t>
      </w:r>
      <w:r w:rsidR="00820CC6">
        <w:rPr>
          <w:szCs w:val="20"/>
          <w:lang w:val="en-US"/>
        </w:rPr>
        <w:t xml:space="preserve"> the</w:t>
      </w:r>
      <w:r w:rsidRPr="00B01D15">
        <w:rPr>
          <w:szCs w:val="20"/>
          <w:lang w:val="en-US"/>
        </w:rPr>
        <w:t xml:space="preserve"> Government of </w:t>
      </w:r>
      <w:r w:rsidR="00F76E96">
        <w:rPr>
          <w:szCs w:val="20"/>
          <w:lang w:val="en-US"/>
        </w:rPr>
        <w:t>Timor-Leste</w:t>
      </w:r>
      <w:r w:rsidRPr="00B01D15">
        <w:rPr>
          <w:szCs w:val="20"/>
          <w:lang w:val="en-US"/>
        </w:rPr>
        <w:t>, at</w:t>
      </w:r>
      <w:r w:rsidR="00820CC6">
        <w:rPr>
          <w:szCs w:val="20"/>
          <w:lang w:val="en-US"/>
        </w:rPr>
        <w:t xml:space="preserve"> the national, m</w:t>
      </w:r>
      <w:r w:rsidRPr="00B01D15">
        <w:rPr>
          <w:szCs w:val="20"/>
          <w:lang w:val="en-US"/>
        </w:rPr>
        <w:t xml:space="preserve">unicipal and local level supports the Government </w:t>
      </w:r>
      <w:r w:rsidR="00820CC6">
        <w:rPr>
          <w:szCs w:val="20"/>
          <w:lang w:val="en-US"/>
        </w:rPr>
        <w:t>to</w:t>
      </w:r>
      <w:r w:rsidRPr="00B01D15">
        <w:rPr>
          <w:szCs w:val="20"/>
          <w:lang w:val="en-US"/>
        </w:rPr>
        <w:t xml:space="preserve"> engage with donor activities and utilise the learning and ideas within its own systems. For the sector activities (and those within the </w:t>
      </w:r>
      <w:r w:rsidR="00820CC6">
        <w:rPr>
          <w:szCs w:val="20"/>
          <w:lang w:val="en-US"/>
        </w:rPr>
        <w:t>selected focus</w:t>
      </w:r>
      <w:r w:rsidRPr="00B01D15">
        <w:rPr>
          <w:szCs w:val="20"/>
          <w:lang w:val="en-US"/>
        </w:rPr>
        <w:t xml:space="preserve"> municipality), PHD will have a coordinated approach to working with </w:t>
      </w:r>
      <w:r w:rsidR="00820CC6">
        <w:rPr>
          <w:szCs w:val="20"/>
          <w:lang w:val="en-US"/>
        </w:rPr>
        <w:t xml:space="preserve">the </w:t>
      </w:r>
      <w:r w:rsidRPr="00B01D15">
        <w:rPr>
          <w:szCs w:val="20"/>
          <w:lang w:val="en-US"/>
        </w:rPr>
        <w:t>Government</w:t>
      </w:r>
      <w:r w:rsidR="00820CC6">
        <w:rPr>
          <w:szCs w:val="20"/>
          <w:lang w:val="en-US"/>
        </w:rPr>
        <w:t xml:space="preserve"> that</w:t>
      </w:r>
      <w:r w:rsidRPr="00B01D15">
        <w:rPr>
          <w:szCs w:val="20"/>
          <w:lang w:val="en-US"/>
        </w:rPr>
        <w:t xml:space="preserve"> focuses on good quality relationships, evidence and engagement. The aim will be to provide a coherent engagement that minimi</w:t>
      </w:r>
      <w:r w:rsidR="00820CC6">
        <w:rPr>
          <w:szCs w:val="20"/>
          <w:lang w:val="en-US"/>
        </w:rPr>
        <w:t>s</w:t>
      </w:r>
      <w:r w:rsidRPr="00B01D15">
        <w:rPr>
          <w:szCs w:val="20"/>
          <w:lang w:val="en-US"/>
        </w:rPr>
        <w:t xml:space="preserve">es </w:t>
      </w:r>
      <w:r w:rsidR="00820CC6">
        <w:rPr>
          <w:szCs w:val="20"/>
          <w:lang w:val="en-US"/>
        </w:rPr>
        <w:t xml:space="preserve">the </w:t>
      </w:r>
      <w:r w:rsidRPr="00B01D15">
        <w:rPr>
          <w:szCs w:val="20"/>
          <w:lang w:val="en-US"/>
        </w:rPr>
        <w:t>duplication of mee</w:t>
      </w:r>
      <w:r w:rsidR="00820CC6">
        <w:rPr>
          <w:szCs w:val="20"/>
          <w:lang w:val="en-US"/>
        </w:rPr>
        <w:t>tings and resources, and maximis</w:t>
      </w:r>
      <w:r w:rsidRPr="00B01D15">
        <w:rPr>
          <w:szCs w:val="20"/>
          <w:lang w:val="en-US"/>
        </w:rPr>
        <w:t xml:space="preserve">es </w:t>
      </w:r>
      <w:r w:rsidR="00820CC6">
        <w:rPr>
          <w:szCs w:val="20"/>
          <w:lang w:val="en-US"/>
        </w:rPr>
        <w:t xml:space="preserve">on </w:t>
      </w:r>
      <w:r w:rsidRPr="00B01D15">
        <w:rPr>
          <w:szCs w:val="20"/>
          <w:lang w:val="en-US"/>
        </w:rPr>
        <w:t xml:space="preserve">the key lessons and ideas being communicated to the Government of </w:t>
      </w:r>
      <w:r w:rsidR="00F76E96">
        <w:rPr>
          <w:szCs w:val="20"/>
          <w:lang w:val="en-US"/>
        </w:rPr>
        <w:t>Timor-Leste</w:t>
      </w:r>
      <w:r w:rsidRPr="00B01D15">
        <w:rPr>
          <w:szCs w:val="20"/>
          <w:lang w:val="en-US"/>
        </w:rPr>
        <w:t>.</w:t>
      </w:r>
    </w:p>
    <w:p w14:paraId="401F133D" w14:textId="6824FDBC" w:rsidR="00B01D15" w:rsidRPr="00B01D15" w:rsidRDefault="00B01D15" w:rsidP="00B01D15">
      <w:pPr>
        <w:rPr>
          <w:szCs w:val="20"/>
          <w:lang w:val="en-US"/>
        </w:rPr>
      </w:pPr>
      <w:r w:rsidRPr="00B01D15">
        <w:rPr>
          <w:szCs w:val="20"/>
        </w:rPr>
        <w:t>Opportunities to design and implement programs in more efficient ways – including by reducing duplication, using common program resources</w:t>
      </w:r>
      <w:r w:rsidR="00D73753">
        <w:rPr>
          <w:szCs w:val="20"/>
        </w:rPr>
        <w:t>,</w:t>
      </w:r>
      <w:r w:rsidRPr="00B01D15">
        <w:rPr>
          <w:szCs w:val="20"/>
        </w:rPr>
        <w:t xml:space="preserve"> and testing new and more effective program approach</w:t>
      </w:r>
      <w:r w:rsidR="00D73753">
        <w:rPr>
          <w:szCs w:val="20"/>
        </w:rPr>
        <w:t>es – will also be pursued by</w:t>
      </w:r>
      <w:r w:rsidRPr="00B01D15">
        <w:rPr>
          <w:szCs w:val="20"/>
        </w:rPr>
        <w:t xml:space="preserve"> PHD. Progress will be measured from a baseline set by the Embassy (based on past contr</w:t>
      </w:r>
      <w:r w:rsidR="00D73753">
        <w:rPr>
          <w:szCs w:val="20"/>
        </w:rPr>
        <w:t>actor cost estimates and program</w:t>
      </w:r>
      <w:r w:rsidRPr="00B01D15">
        <w:rPr>
          <w:szCs w:val="20"/>
        </w:rPr>
        <w:t xml:space="preserve"> performance history).</w:t>
      </w:r>
    </w:p>
    <w:p w14:paraId="2898603F" w14:textId="77777777" w:rsidR="00621A48" w:rsidRDefault="00B01D15" w:rsidP="00B01D15">
      <w:pPr>
        <w:pStyle w:val="Heading4"/>
        <w:numPr>
          <w:ilvl w:val="0"/>
          <w:numId w:val="0"/>
        </w:numPr>
        <w:rPr>
          <w:lang w:val="en-US"/>
        </w:rPr>
      </w:pPr>
      <w:r w:rsidRPr="00B01D15">
        <w:rPr>
          <w:lang w:val="en-US"/>
        </w:rPr>
        <w:t xml:space="preserve">Strategy 3 </w:t>
      </w:r>
      <w:r>
        <w:rPr>
          <w:lang w:val="en-US"/>
        </w:rPr>
        <w:t>–</w:t>
      </w:r>
      <w:r w:rsidR="00621A48">
        <w:rPr>
          <w:lang w:val="en-US"/>
        </w:rPr>
        <w:t xml:space="preserve"> Review and Improvement</w:t>
      </w:r>
    </w:p>
    <w:p w14:paraId="0331DA97" w14:textId="78B11225" w:rsidR="00B01D15" w:rsidRPr="00B01D15" w:rsidRDefault="00B01D15" w:rsidP="00621A48">
      <w:pPr>
        <w:rPr>
          <w:lang w:val="en-US"/>
        </w:rPr>
      </w:pPr>
      <w:r w:rsidRPr="00B01D15">
        <w:rPr>
          <w:lang w:val="en-US"/>
        </w:rPr>
        <w:t xml:space="preserve">PHD will ensure its approach is underpinned by a rolling process of review and improvement. </w:t>
      </w:r>
    </w:p>
    <w:p w14:paraId="776E72CE" w14:textId="77777777" w:rsidR="00621A48" w:rsidRDefault="00B01D15" w:rsidP="00B01D15">
      <w:pPr>
        <w:rPr>
          <w:szCs w:val="20"/>
          <w:lang w:val="en-US"/>
        </w:rPr>
      </w:pPr>
      <w:r w:rsidRPr="00B01D15">
        <w:rPr>
          <w:szCs w:val="20"/>
          <w:lang w:val="en-US"/>
        </w:rPr>
        <w:t>In line with a general strategy of learning from experience and seeking to continuously improve, PHD will start</w:t>
      </w:r>
      <w:r w:rsidR="00D73753">
        <w:rPr>
          <w:szCs w:val="20"/>
          <w:lang w:val="en-US"/>
        </w:rPr>
        <w:t>,</w:t>
      </w:r>
      <w:r w:rsidRPr="00B01D15">
        <w:rPr>
          <w:szCs w:val="20"/>
          <w:lang w:val="en-US"/>
        </w:rPr>
        <w:t xml:space="preserve"> and continue a process of review and development across all work areas. </w:t>
      </w:r>
    </w:p>
    <w:p w14:paraId="2A9B74A6" w14:textId="63373A6D" w:rsidR="00B01D15" w:rsidRPr="00B01D15" w:rsidRDefault="00B01D15" w:rsidP="00B01D15">
      <w:pPr>
        <w:rPr>
          <w:szCs w:val="20"/>
          <w:lang w:val="en-US"/>
        </w:rPr>
      </w:pPr>
      <w:r w:rsidRPr="00B01D15">
        <w:rPr>
          <w:szCs w:val="20"/>
          <w:lang w:val="en-US"/>
        </w:rPr>
        <w:t>The purpose of this is</w:t>
      </w:r>
      <w:r w:rsidR="00D73753">
        <w:rPr>
          <w:szCs w:val="20"/>
          <w:lang w:val="en-US"/>
        </w:rPr>
        <w:t xml:space="preserve"> to</w:t>
      </w:r>
      <w:r w:rsidRPr="00B01D15">
        <w:rPr>
          <w:szCs w:val="20"/>
          <w:lang w:val="en-US"/>
        </w:rPr>
        <w:t>:</w:t>
      </w:r>
    </w:p>
    <w:p w14:paraId="28D6DB13" w14:textId="6C5C4CC7" w:rsidR="00B01D15" w:rsidRPr="00B01D15" w:rsidRDefault="00D73753" w:rsidP="00A32B3F">
      <w:pPr>
        <w:pStyle w:val="TableBullet"/>
        <w:jc w:val="both"/>
      </w:pPr>
      <w:r>
        <w:t>E</w:t>
      </w:r>
      <w:r w:rsidR="00B01D15" w:rsidRPr="00B01D15">
        <w:t>nsure that there is a program culture of learning and improvement that will support ongoin</w:t>
      </w:r>
      <w:r w:rsidR="00621A48">
        <w:t xml:space="preserve">g development of PHD </w:t>
      </w:r>
      <w:r w:rsidR="00EC1A49">
        <w:t>strategies.</w:t>
      </w:r>
    </w:p>
    <w:p w14:paraId="559F3F6B" w14:textId="3E883140" w:rsidR="00B01D15" w:rsidRPr="00B01D15" w:rsidRDefault="00D73753" w:rsidP="00A32B3F">
      <w:pPr>
        <w:pStyle w:val="TableBullet"/>
        <w:jc w:val="both"/>
      </w:pPr>
      <w:r>
        <w:t>P</w:t>
      </w:r>
      <w:r w:rsidR="00B01D15" w:rsidRPr="00B01D15">
        <w:t>rovide the information and evidence for decision-m</w:t>
      </w:r>
      <w:r w:rsidR="00EC1A49">
        <w:t>aking around program activities.</w:t>
      </w:r>
    </w:p>
    <w:p w14:paraId="5950CBB4" w14:textId="7A6F31A7" w:rsidR="00B01D15" w:rsidRPr="00B01D15" w:rsidRDefault="00D73753" w:rsidP="00A32B3F">
      <w:pPr>
        <w:pStyle w:val="TableBullet"/>
        <w:jc w:val="both"/>
      </w:pPr>
      <w:r>
        <w:t>P</w:t>
      </w:r>
      <w:r w:rsidR="00B01D15" w:rsidRPr="00B01D15">
        <w:t>rov</w:t>
      </w:r>
      <w:r>
        <w:t>ide evidence and information to communicate</w:t>
      </w:r>
      <w:r w:rsidR="00B01D15" w:rsidRPr="00B01D15">
        <w:t xml:space="preserve"> to</w:t>
      </w:r>
      <w:r>
        <w:t xml:space="preserve"> the</w:t>
      </w:r>
      <w:r w:rsidR="00B01D15" w:rsidRPr="00B01D15">
        <w:t xml:space="preserve"> Government of </w:t>
      </w:r>
      <w:r w:rsidR="00F76E96">
        <w:t>Timor-Leste</w:t>
      </w:r>
      <w:r w:rsidR="00B01D15" w:rsidRPr="00B01D15">
        <w:t xml:space="preserve"> and other partners to ensure that all stakeholders have a clear basis for understanding and evaluating changed</w:t>
      </w:r>
      <w:r w:rsidR="00621A48">
        <w:t xml:space="preserve"> PH</w:t>
      </w:r>
      <w:r w:rsidR="00EC1A49">
        <w:t>D strategies and approaches.</w:t>
      </w:r>
    </w:p>
    <w:p w14:paraId="0BA39E72" w14:textId="33155919" w:rsidR="00B01D15" w:rsidRPr="00B01D15" w:rsidRDefault="00D73753" w:rsidP="00A32B3F">
      <w:pPr>
        <w:pStyle w:val="TableBullet"/>
        <w:jc w:val="both"/>
      </w:pPr>
      <w:r>
        <w:t>E</w:t>
      </w:r>
      <w:r w:rsidR="00B01D15" w:rsidRPr="00B01D15">
        <w:t>nsure good accountability for program resources and implementation.</w:t>
      </w:r>
    </w:p>
    <w:p w14:paraId="1F023E07" w14:textId="3B477954" w:rsidR="00B01D15" w:rsidRPr="00B01D15" w:rsidRDefault="00B01D15" w:rsidP="00B01D15">
      <w:pPr>
        <w:rPr>
          <w:szCs w:val="20"/>
          <w:lang w:val="en-US"/>
        </w:rPr>
      </w:pPr>
      <w:r w:rsidRPr="00B01D15">
        <w:rPr>
          <w:szCs w:val="20"/>
          <w:lang w:val="en-US"/>
        </w:rPr>
        <w:t>The focus of this review process is to improve effectiveness and efficiency. To this end, while all of PHD</w:t>
      </w:r>
      <w:r w:rsidR="00D73753">
        <w:rPr>
          <w:szCs w:val="20"/>
          <w:lang w:val="en-US"/>
        </w:rPr>
        <w:t>’s</w:t>
      </w:r>
      <w:r w:rsidRPr="00B01D15">
        <w:rPr>
          <w:szCs w:val="20"/>
          <w:lang w:val="en-US"/>
        </w:rPr>
        <w:t xml:space="preserve"> activities will be subject to review, signific</w:t>
      </w:r>
      <w:r w:rsidR="00D73753">
        <w:rPr>
          <w:szCs w:val="20"/>
          <w:lang w:val="en-US"/>
        </w:rPr>
        <w:t>ant focus will be given to cross</w:t>
      </w:r>
      <w:r w:rsidRPr="00B01D15">
        <w:rPr>
          <w:szCs w:val="20"/>
          <w:lang w:val="en-US"/>
        </w:rPr>
        <w:t>-sector</w:t>
      </w:r>
      <w:r w:rsidR="00D73753">
        <w:rPr>
          <w:szCs w:val="20"/>
          <w:lang w:val="en-US"/>
        </w:rPr>
        <w:t>al</w:t>
      </w:r>
      <w:r w:rsidRPr="00B01D15">
        <w:rPr>
          <w:szCs w:val="20"/>
          <w:lang w:val="en-US"/>
        </w:rPr>
        <w:t xml:space="preserve"> activities. Additional focus will also be given to </w:t>
      </w:r>
      <w:r w:rsidR="00D73753">
        <w:rPr>
          <w:szCs w:val="20"/>
          <w:lang w:val="en-US"/>
        </w:rPr>
        <w:t xml:space="preserve">the </w:t>
      </w:r>
      <w:r w:rsidRPr="00B01D15">
        <w:rPr>
          <w:szCs w:val="20"/>
          <w:lang w:val="en-US"/>
        </w:rPr>
        <w:t xml:space="preserve">review of activities </w:t>
      </w:r>
      <w:r w:rsidR="00D73753">
        <w:rPr>
          <w:szCs w:val="20"/>
          <w:lang w:val="en-US"/>
        </w:rPr>
        <w:t>that aim to</w:t>
      </w:r>
      <w:r w:rsidRPr="00B01D15">
        <w:rPr>
          <w:szCs w:val="20"/>
          <w:lang w:val="en-US"/>
        </w:rPr>
        <w:t xml:space="preserve"> improve working relationship</w:t>
      </w:r>
      <w:r w:rsidR="00D73753">
        <w:rPr>
          <w:szCs w:val="20"/>
          <w:lang w:val="en-US"/>
        </w:rPr>
        <w:t>s</w:t>
      </w:r>
      <w:r w:rsidRPr="00B01D15">
        <w:rPr>
          <w:szCs w:val="20"/>
          <w:lang w:val="en-US"/>
        </w:rPr>
        <w:t xml:space="preserve"> and influence with </w:t>
      </w:r>
      <w:r w:rsidR="00D73753">
        <w:rPr>
          <w:szCs w:val="20"/>
          <w:lang w:val="en-US"/>
        </w:rPr>
        <w:t xml:space="preserve">the </w:t>
      </w:r>
      <w:r w:rsidRPr="00B01D15">
        <w:rPr>
          <w:szCs w:val="20"/>
          <w:lang w:val="en-US"/>
        </w:rPr>
        <w:t xml:space="preserve">Government of </w:t>
      </w:r>
      <w:r w:rsidR="00F76E96">
        <w:rPr>
          <w:szCs w:val="20"/>
          <w:lang w:val="en-US"/>
        </w:rPr>
        <w:t>Timor-Leste</w:t>
      </w:r>
      <w:r w:rsidRPr="00B01D15">
        <w:rPr>
          <w:szCs w:val="20"/>
          <w:lang w:val="en-US"/>
        </w:rPr>
        <w:t>.</w:t>
      </w:r>
    </w:p>
    <w:p w14:paraId="34125861" w14:textId="3320423B" w:rsidR="00B01D15" w:rsidRPr="00B01D15" w:rsidRDefault="00B01D15" w:rsidP="00B01D15">
      <w:pPr>
        <w:rPr>
          <w:szCs w:val="20"/>
          <w:lang w:val="en-US"/>
        </w:rPr>
      </w:pPr>
      <w:r w:rsidRPr="00B01D15">
        <w:rPr>
          <w:szCs w:val="20"/>
          <w:lang w:val="en-US"/>
        </w:rPr>
        <w:t xml:space="preserve">This strategy will start with review of existing activities, </w:t>
      </w:r>
      <w:r w:rsidR="00D73753">
        <w:rPr>
          <w:szCs w:val="20"/>
          <w:lang w:val="en-US"/>
        </w:rPr>
        <w:t>including those of</w:t>
      </w:r>
      <w:r w:rsidRPr="00B01D15">
        <w:rPr>
          <w:szCs w:val="20"/>
          <w:lang w:val="en-US"/>
        </w:rPr>
        <w:t xml:space="preserve"> existing partners. PHD has</w:t>
      </w:r>
      <w:r w:rsidR="00D73753">
        <w:rPr>
          <w:szCs w:val="20"/>
          <w:lang w:val="en-US"/>
        </w:rPr>
        <w:t xml:space="preserve"> not been developed from</w:t>
      </w:r>
      <w:r w:rsidRPr="00B01D15">
        <w:rPr>
          <w:szCs w:val="20"/>
          <w:lang w:val="en-US"/>
        </w:rPr>
        <w:t xml:space="preserve"> a ‘blank slate’. There are a </w:t>
      </w:r>
      <w:r w:rsidR="00D73753">
        <w:rPr>
          <w:szCs w:val="20"/>
          <w:lang w:val="en-US"/>
        </w:rPr>
        <w:t>number</w:t>
      </w:r>
      <w:r w:rsidRPr="00B01D15">
        <w:rPr>
          <w:szCs w:val="20"/>
          <w:lang w:val="en-US"/>
        </w:rPr>
        <w:t xml:space="preserve"> of</w:t>
      </w:r>
      <w:r w:rsidR="00D73753">
        <w:rPr>
          <w:szCs w:val="20"/>
          <w:lang w:val="en-US"/>
        </w:rPr>
        <w:t xml:space="preserve"> existing activities (and partners) within the sectors</w:t>
      </w:r>
      <w:r w:rsidRPr="00B01D15">
        <w:rPr>
          <w:szCs w:val="20"/>
          <w:lang w:val="en-US"/>
        </w:rPr>
        <w:t>. While these individual activities each have a reasonable (and sometimes compelling) rationa</w:t>
      </w:r>
      <w:r w:rsidR="00D73753">
        <w:rPr>
          <w:szCs w:val="20"/>
          <w:lang w:val="en-US"/>
        </w:rPr>
        <w:t>le, there is now an opportunity</w:t>
      </w:r>
      <w:r w:rsidRPr="00B01D15">
        <w:rPr>
          <w:szCs w:val="20"/>
          <w:lang w:val="en-US"/>
        </w:rPr>
        <w:t xml:space="preserve"> under PHD to examine their ‘fit’</w:t>
      </w:r>
      <w:r w:rsidR="00D73753">
        <w:rPr>
          <w:szCs w:val="20"/>
          <w:lang w:val="en-US"/>
        </w:rPr>
        <w:t xml:space="preserve"> and relevance within this</w:t>
      </w:r>
      <w:r w:rsidRPr="00B01D15">
        <w:rPr>
          <w:szCs w:val="20"/>
          <w:lang w:val="en-US"/>
        </w:rPr>
        <w:t xml:space="preserve"> coordinated and complementary program. In other words, given the resources available and the opportunities opened up by working together, what is the best mix of activities </w:t>
      </w:r>
      <w:r w:rsidR="00D73753">
        <w:rPr>
          <w:szCs w:val="20"/>
          <w:lang w:val="en-US"/>
        </w:rPr>
        <w:t xml:space="preserve">required </w:t>
      </w:r>
      <w:r w:rsidRPr="00B01D15">
        <w:rPr>
          <w:szCs w:val="20"/>
          <w:lang w:val="en-US"/>
        </w:rPr>
        <w:t xml:space="preserve">to achieve the PHD goal? </w:t>
      </w:r>
    </w:p>
    <w:p w14:paraId="3ED53FCE" w14:textId="79CA8A2C" w:rsidR="00B01D15" w:rsidRPr="00B01D15" w:rsidRDefault="00CF2FD0" w:rsidP="00B01D15">
      <w:pPr>
        <w:rPr>
          <w:szCs w:val="20"/>
          <w:lang w:val="en-US"/>
        </w:rPr>
      </w:pPr>
      <w:r>
        <w:rPr>
          <w:szCs w:val="20"/>
          <w:lang w:val="en-US"/>
        </w:rPr>
        <w:t>The largest sector program, H</w:t>
      </w:r>
      <w:r w:rsidRPr="00B01D15">
        <w:rPr>
          <w:szCs w:val="20"/>
          <w:lang w:val="en-US"/>
        </w:rPr>
        <w:t>ealth</w:t>
      </w:r>
      <w:r>
        <w:rPr>
          <w:szCs w:val="20"/>
          <w:lang w:val="en-US"/>
        </w:rPr>
        <w:t>, will be the first to undergo this review process in</w:t>
      </w:r>
      <w:r w:rsidR="00B01D15" w:rsidRPr="00B01D15">
        <w:rPr>
          <w:szCs w:val="20"/>
          <w:lang w:val="en-US"/>
        </w:rPr>
        <w:t xml:space="preserve"> 2017. </w:t>
      </w:r>
      <w:r>
        <w:rPr>
          <w:szCs w:val="20"/>
          <w:lang w:val="en-US"/>
        </w:rPr>
        <w:t xml:space="preserve">The Education sector will also undergo a </w:t>
      </w:r>
      <w:r w:rsidR="00B01D15" w:rsidRPr="00B01D15">
        <w:rPr>
          <w:szCs w:val="20"/>
          <w:lang w:val="en-US"/>
        </w:rPr>
        <w:t xml:space="preserve">review </w:t>
      </w:r>
      <w:r>
        <w:rPr>
          <w:szCs w:val="20"/>
          <w:lang w:val="en-US"/>
        </w:rPr>
        <w:t xml:space="preserve">later </w:t>
      </w:r>
      <w:r w:rsidR="00B01D15" w:rsidRPr="00B01D15">
        <w:rPr>
          <w:szCs w:val="20"/>
          <w:lang w:val="en-US"/>
        </w:rPr>
        <w:t xml:space="preserve">in 2017, </w:t>
      </w:r>
      <w:r w:rsidR="00DD53E0">
        <w:rPr>
          <w:szCs w:val="20"/>
          <w:lang w:val="en-US"/>
        </w:rPr>
        <w:t>while the Water and Sanitation</w:t>
      </w:r>
      <w:r>
        <w:rPr>
          <w:szCs w:val="20"/>
          <w:lang w:val="en-US"/>
        </w:rPr>
        <w:t xml:space="preserve"> sector will also undergo</w:t>
      </w:r>
      <w:r w:rsidR="00B01D15" w:rsidRPr="00B01D15">
        <w:rPr>
          <w:szCs w:val="20"/>
          <w:lang w:val="en-US"/>
        </w:rPr>
        <w:t xml:space="preserve"> a rapid review</w:t>
      </w:r>
      <w:r>
        <w:rPr>
          <w:szCs w:val="20"/>
          <w:lang w:val="en-US"/>
        </w:rPr>
        <w:t xml:space="preserve"> in</w:t>
      </w:r>
      <w:r w:rsidR="00B01D15" w:rsidRPr="00B01D15">
        <w:rPr>
          <w:szCs w:val="20"/>
          <w:lang w:val="en-US"/>
        </w:rPr>
        <w:t xml:space="preserve"> 2017. It will be important that these reviews do not simply look at </w:t>
      </w:r>
      <w:r w:rsidR="00A32B3F">
        <w:rPr>
          <w:szCs w:val="20"/>
          <w:lang w:val="en-US"/>
        </w:rPr>
        <w:t>whether the</w:t>
      </w:r>
      <w:r w:rsidR="00B01D15" w:rsidRPr="00B01D15">
        <w:rPr>
          <w:szCs w:val="20"/>
          <w:lang w:val="en-US"/>
        </w:rPr>
        <w:t xml:space="preserve"> sector work </w:t>
      </w:r>
      <w:r w:rsidR="00A32B3F">
        <w:rPr>
          <w:szCs w:val="20"/>
          <w:lang w:val="en-US"/>
        </w:rPr>
        <w:t xml:space="preserve">can be done </w:t>
      </w:r>
      <w:r w:rsidR="00B01D15" w:rsidRPr="00B01D15">
        <w:rPr>
          <w:szCs w:val="20"/>
          <w:lang w:val="en-US"/>
        </w:rPr>
        <w:t>bet</w:t>
      </w:r>
      <w:r w:rsidR="00A32B3F">
        <w:rPr>
          <w:szCs w:val="20"/>
          <w:lang w:val="en-US"/>
        </w:rPr>
        <w:t>ter to achieve its sector goals</w:t>
      </w:r>
      <w:r w:rsidR="00B01D15" w:rsidRPr="00B01D15">
        <w:rPr>
          <w:szCs w:val="20"/>
          <w:lang w:val="en-US"/>
        </w:rPr>
        <w:t>,</w:t>
      </w:r>
      <w:r w:rsidR="00A32B3F">
        <w:rPr>
          <w:szCs w:val="20"/>
          <w:lang w:val="en-US"/>
        </w:rPr>
        <w:t xml:space="preserve"> but rather at </w:t>
      </w:r>
      <w:r w:rsidR="00B01D15" w:rsidRPr="00B01D15">
        <w:rPr>
          <w:szCs w:val="20"/>
          <w:lang w:val="en-US"/>
        </w:rPr>
        <w:t xml:space="preserve">how </w:t>
      </w:r>
      <w:r w:rsidR="00A32B3F">
        <w:rPr>
          <w:szCs w:val="20"/>
          <w:lang w:val="en-US"/>
        </w:rPr>
        <w:t>the</w:t>
      </w:r>
      <w:r w:rsidR="00B01D15" w:rsidRPr="00B01D15">
        <w:rPr>
          <w:szCs w:val="20"/>
          <w:lang w:val="en-US"/>
        </w:rPr>
        <w:t xml:space="preserve"> sector work</w:t>
      </w:r>
      <w:r w:rsidR="00A32B3F">
        <w:rPr>
          <w:szCs w:val="20"/>
          <w:lang w:val="en-US"/>
        </w:rPr>
        <w:t xml:space="preserve"> can be done</w:t>
      </w:r>
      <w:r w:rsidR="00B01D15" w:rsidRPr="00B01D15">
        <w:rPr>
          <w:szCs w:val="20"/>
          <w:lang w:val="en-US"/>
        </w:rPr>
        <w:t xml:space="preserve"> differently in combination with other sectors</w:t>
      </w:r>
      <w:r w:rsidR="00A32B3F">
        <w:rPr>
          <w:szCs w:val="20"/>
          <w:lang w:val="en-US"/>
        </w:rPr>
        <w:t xml:space="preserve"> </w:t>
      </w:r>
      <w:r w:rsidR="00B01D15" w:rsidRPr="00B01D15">
        <w:rPr>
          <w:szCs w:val="20"/>
          <w:lang w:val="en-US"/>
        </w:rPr>
        <w:t>to contribute to</w:t>
      </w:r>
      <w:r w:rsidR="00A32B3F">
        <w:rPr>
          <w:szCs w:val="20"/>
          <w:lang w:val="en-US"/>
        </w:rPr>
        <w:t xml:space="preserve"> achieving</w:t>
      </w:r>
      <w:r w:rsidR="00B01D15" w:rsidRPr="00B01D15">
        <w:rPr>
          <w:szCs w:val="20"/>
          <w:lang w:val="en-US"/>
        </w:rPr>
        <w:t xml:space="preserve"> the PHD goal. In each case, current program partners will be involved in the review process to help inform and shape the futu</w:t>
      </w:r>
      <w:r w:rsidR="00A32B3F">
        <w:rPr>
          <w:szCs w:val="20"/>
          <w:lang w:val="en-US"/>
        </w:rPr>
        <w:t>re direction of each sector</w:t>
      </w:r>
      <w:r w:rsidR="00B01D15" w:rsidRPr="00B01D15">
        <w:rPr>
          <w:szCs w:val="20"/>
          <w:lang w:val="en-US"/>
        </w:rPr>
        <w:t xml:space="preserve">. </w:t>
      </w:r>
      <w:r w:rsidR="00A32B3F">
        <w:rPr>
          <w:szCs w:val="20"/>
          <w:lang w:val="en-US"/>
        </w:rPr>
        <w:t>Ongoing</w:t>
      </w:r>
      <w:r w:rsidR="00B01D15" w:rsidRPr="00B01D15">
        <w:rPr>
          <w:szCs w:val="20"/>
          <w:lang w:val="en-US"/>
        </w:rPr>
        <w:t xml:space="preserve"> research and review of </w:t>
      </w:r>
      <w:r w:rsidR="00A32B3F">
        <w:rPr>
          <w:szCs w:val="20"/>
          <w:lang w:val="en-US"/>
        </w:rPr>
        <w:t xml:space="preserve">program activities will </w:t>
      </w:r>
      <w:r w:rsidR="00B01D15" w:rsidRPr="00B01D15">
        <w:rPr>
          <w:szCs w:val="20"/>
          <w:lang w:val="en-US"/>
        </w:rPr>
        <w:t xml:space="preserve">be a feature of the program, likely in close cooperation with M&amp;E house. </w:t>
      </w:r>
    </w:p>
    <w:p w14:paraId="15FD8F04" w14:textId="50A826EC" w:rsidR="00B01D15" w:rsidRPr="00B01D15" w:rsidRDefault="00B01D15" w:rsidP="00B01D15">
      <w:pPr>
        <w:rPr>
          <w:b/>
          <w:szCs w:val="20"/>
          <w:lang w:val="en-US"/>
        </w:rPr>
      </w:pPr>
      <w:r w:rsidRPr="00B01D15">
        <w:rPr>
          <w:szCs w:val="20"/>
          <w:lang w:val="en-US"/>
        </w:rPr>
        <w:lastRenderedPageBreak/>
        <w:t xml:space="preserve">Moving ahead, every six months, in line with the </w:t>
      </w:r>
      <w:r w:rsidR="00A32B3F">
        <w:rPr>
          <w:szCs w:val="20"/>
          <w:lang w:val="en-US"/>
        </w:rPr>
        <w:t>MELF</w:t>
      </w:r>
      <w:r w:rsidRPr="00B01D15">
        <w:rPr>
          <w:szCs w:val="20"/>
          <w:lang w:val="en-US"/>
        </w:rPr>
        <w:t>, PHD will undertake an evidence based review and reflection exercise for the whole program that will allow it to examine the current mix of its portfolio and make recommendations for change and improvement. This process will be transparent and will include</w:t>
      </w:r>
      <w:r w:rsidR="00A32B3F">
        <w:rPr>
          <w:szCs w:val="20"/>
          <w:lang w:val="en-US"/>
        </w:rPr>
        <w:t xml:space="preserve"> the</w:t>
      </w:r>
      <w:r w:rsidRPr="00B01D15">
        <w:rPr>
          <w:szCs w:val="20"/>
          <w:lang w:val="en-US"/>
        </w:rPr>
        <w:t xml:space="preserve"> Government of </w:t>
      </w:r>
      <w:r w:rsidR="00F76E96">
        <w:rPr>
          <w:szCs w:val="20"/>
          <w:lang w:val="en-US"/>
        </w:rPr>
        <w:t>Timor-Leste</w:t>
      </w:r>
      <w:r w:rsidRPr="00B01D15">
        <w:rPr>
          <w:szCs w:val="20"/>
          <w:lang w:val="en-US"/>
        </w:rPr>
        <w:t xml:space="preserve"> and other partners</w:t>
      </w:r>
      <w:r w:rsidR="00A32B3F">
        <w:rPr>
          <w:szCs w:val="20"/>
          <w:lang w:val="en-US"/>
        </w:rPr>
        <w:t>,</w:t>
      </w:r>
      <w:r w:rsidRPr="00B01D15">
        <w:rPr>
          <w:szCs w:val="20"/>
          <w:lang w:val="en-US"/>
        </w:rPr>
        <w:t xml:space="preserve"> as relevant. The aim will be to ensure PHD maintains a clear ‘line of sight’ to the b</w:t>
      </w:r>
      <w:r w:rsidR="00A32B3F">
        <w:rPr>
          <w:szCs w:val="20"/>
          <w:lang w:val="en-US"/>
        </w:rPr>
        <w:t>est possible outcomes for women and</w:t>
      </w:r>
      <w:r w:rsidRPr="00B01D15">
        <w:rPr>
          <w:szCs w:val="20"/>
          <w:lang w:val="en-US"/>
        </w:rPr>
        <w:t xml:space="preserve"> men, girls and boys</w:t>
      </w:r>
      <w:r w:rsidR="00A32B3F">
        <w:rPr>
          <w:szCs w:val="20"/>
          <w:lang w:val="en-US"/>
        </w:rPr>
        <w:t>,</w:t>
      </w:r>
      <w:r w:rsidRPr="00B01D15">
        <w:rPr>
          <w:szCs w:val="20"/>
          <w:lang w:val="en-US"/>
        </w:rPr>
        <w:t xml:space="preserve"> including people</w:t>
      </w:r>
      <w:r w:rsidR="00A32B3F">
        <w:rPr>
          <w:szCs w:val="20"/>
          <w:lang w:val="en-US"/>
        </w:rPr>
        <w:t xml:space="preserve"> living</w:t>
      </w:r>
      <w:r w:rsidRPr="00B01D15">
        <w:rPr>
          <w:szCs w:val="20"/>
          <w:lang w:val="en-US"/>
        </w:rPr>
        <w:t xml:space="preserve"> with</w:t>
      </w:r>
      <w:r w:rsidR="00A32B3F">
        <w:rPr>
          <w:szCs w:val="20"/>
          <w:lang w:val="en-US"/>
        </w:rPr>
        <w:t xml:space="preserve"> a</w:t>
      </w:r>
      <w:r w:rsidRPr="00B01D15">
        <w:rPr>
          <w:szCs w:val="20"/>
          <w:lang w:val="en-US"/>
        </w:rPr>
        <w:t xml:space="preserve"> disability</w:t>
      </w:r>
      <w:r w:rsidR="00A32B3F">
        <w:rPr>
          <w:szCs w:val="20"/>
          <w:lang w:val="en-US"/>
        </w:rPr>
        <w:t>,</w:t>
      </w:r>
      <w:r w:rsidRPr="00B01D15">
        <w:rPr>
          <w:szCs w:val="20"/>
          <w:lang w:val="en-US"/>
        </w:rPr>
        <w:t xml:space="preserve"> at all times. These rev</w:t>
      </w:r>
      <w:r w:rsidR="00A32B3F">
        <w:rPr>
          <w:szCs w:val="20"/>
          <w:lang w:val="en-US"/>
        </w:rPr>
        <w:t>iew and reflection sessions may</w:t>
      </w:r>
      <w:r w:rsidRPr="00B01D15">
        <w:rPr>
          <w:szCs w:val="20"/>
          <w:lang w:val="en-US"/>
        </w:rPr>
        <w:t xml:space="preserve"> have implications for how future activities and budgets are structured. </w:t>
      </w:r>
    </w:p>
    <w:p w14:paraId="3B644360" w14:textId="6C4C1BAC" w:rsidR="00B01D15" w:rsidRDefault="00B01D15" w:rsidP="00B01D15">
      <w:pPr>
        <w:pStyle w:val="Heading4"/>
        <w:numPr>
          <w:ilvl w:val="0"/>
          <w:numId w:val="0"/>
        </w:numPr>
        <w:rPr>
          <w:lang w:val="en-US"/>
        </w:rPr>
      </w:pPr>
      <w:r w:rsidRPr="00B01D15">
        <w:rPr>
          <w:lang w:val="en-US"/>
        </w:rPr>
        <w:t xml:space="preserve">Strategy 4 </w:t>
      </w:r>
      <w:r>
        <w:rPr>
          <w:lang w:val="en-US"/>
        </w:rPr>
        <w:t>–</w:t>
      </w:r>
      <w:r w:rsidRPr="00B01D15">
        <w:rPr>
          <w:lang w:val="en-US"/>
        </w:rPr>
        <w:t xml:space="preserve"> Engage </w:t>
      </w:r>
      <w:r w:rsidR="00621A48">
        <w:rPr>
          <w:lang w:val="en-US"/>
        </w:rPr>
        <w:t>people in their own development</w:t>
      </w:r>
      <w:r w:rsidRPr="00B01D15">
        <w:rPr>
          <w:lang w:val="en-US"/>
        </w:rPr>
        <w:t xml:space="preserve"> </w:t>
      </w:r>
    </w:p>
    <w:p w14:paraId="3DFDFF7C" w14:textId="3FA80C41" w:rsidR="00621A48" w:rsidRPr="00621A48" w:rsidRDefault="00621A48" w:rsidP="00621A48">
      <w:pPr>
        <w:spacing w:before="0"/>
        <w:rPr>
          <w:lang w:val="en-US"/>
        </w:rPr>
      </w:pPr>
      <w:r>
        <w:rPr>
          <w:lang w:val="en-US"/>
        </w:rPr>
        <w:t xml:space="preserve">Engage Timorese people in their own development to ensure the </w:t>
      </w:r>
      <w:r w:rsidRPr="00B93F3E">
        <w:rPr>
          <w:lang w:val="en-US"/>
        </w:rPr>
        <w:t xml:space="preserve">needs </w:t>
      </w:r>
      <w:r>
        <w:rPr>
          <w:lang w:val="en-US"/>
        </w:rPr>
        <w:t xml:space="preserve">of the people are addressed, and outcomes are sustainable. </w:t>
      </w:r>
    </w:p>
    <w:p w14:paraId="1307C106" w14:textId="77777777" w:rsidR="00A32B3F" w:rsidRDefault="00B01D15" w:rsidP="00B01D15">
      <w:pPr>
        <w:rPr>
          <w:szCs w:val="20"/>
          <w:lang w:val="en-US"/>
        </w:rPr>
      </w:pPr>
      <w:r w:rsidRPr="00B01D15">
        <w:rPr>
          <w:szCs w:val="20"/>
        </w:rPr>
        <w:t xml:space="preserve">Global evidence indicates that only focusing on improving how up-stream government departments and policies function will rarely translate into tangible improvements for poor people on the ground. Therefore, in line with the intent to facilitate people developing their own sustainable systems for service delivery, </w:t>
      </w:r>
      <w:r w:rsidRPr="00B01D15">
        <w:rPr>
          <w:szCs w:val="20"/>
          <w:lang w:val="en-US"/>
        </w:rPr>
        <w:t>PHD will engage with people and communities, as well as local service providers at the frontline</w:t>
      </w:r>
      <w:r w:rsidR="00A32B3F">
        <w:rPr>
          <w:szCs w:val="20"/>
          <w:lang w:val="en-US"/>
        </w:rPr>
        <w:t>,</w:t>
      </w:r>
      <w:r w:rsidRPr="00B01D15">
        <w:rPr>
          <w:szCs w:val="20"/>
          <w:lang w:val="en-US"/>
        </w:rPr>
        <w:t xml:space="preserve"> and leaders. </w:t>
      </w:r>
    </w:p>
    <w:p w14:paraId="10799930" w14:textId="30364AF6" w:rsidR="00B01D15" w:rsidRPr="00B01D15" w:rsidRDefault="00B01D15" w:rsidP="00B01D15">
      <w:pPr>
        <w:rPr>
          <w:szCs w:val="20"/>
          <w:lang w:val="en-US"/>
        </w:rPr>
      </w:pPr>
      <w:r w:rsidRPr="00B01D15">
        <w:rPr>
          <w:szCs w:val="20"/>
          <w:lang w:val="en-US"/>
        </w:rPr>
        <w:t>The purpose of this strategy will be</w:t>
      </w:r>
      <w:r w:rsidR="00A32B3F">
        <w:rPr>
          <w:szCs w:val="20"/>
          <w:lang w:val="en-US"/>
        </w:rPr>
        <w:t xml:space="preserve"> to</w:t>
      </w:r>
      <w:r w:rsidRPr="00B01D15">
        <w:rPr>
          <w:szCs w:val="20"/>
          <w:lang w:val="en-US"/>
        </w:rPr>
        <w:t>:</w:t>
      </w:r>
    </w:p>
    <w:p w14:paraId="23F67BB7" w14:textId="663CEE3C" w:rsidR="00B01D15" w:rsidRPr="00B01D15" w:rsidRDefault="00A32B3F" w:rsidP="00A32B3F">
      <w:pPr>
        <w:pStyle w:val="TableBullet"/>
        <w:jc w:val="both"/>
      </w:pPr>
      <w:r>
        <w:t>S</w:t>
      </w:r>
      <w:r w:rsidR="00B01D15" w:rsidRPr="00B01D15">
        <w:t>trengthen accountability, connections and relationships between PHD programs</w:t>
      </w:r>
      <w:r>
        <w:t>,</w:t>
      </w:r>
      <w:r w:rsidR="00B01D15" w:rsidRPr="00B01D15">
        <w:t xml:space="preserve"> the local community</w:t>
      </w:r>
      <w:r>
        <w:t>,</w:t>
      </w:r>
      <w:r w:rsidR="00B01D15" w:rsidRPr="00B01D15">
        <w:t xml:space="preserve"> and its local government structures</w:t>
      </w:r>
      <w:r w:rsidR="00EC1A49">
        <w:t>.</w:t>
      </w:r>
    </w:p>
    <w:p w14:paraId="41F4D493" w14:textId="05E9BC9A" w:rsidR="00B01D15" w:rsidRPr="00B01D15" w:rsidRDefault="00A32B3F" w:rsidP="00A32B3F">
      <w:pPr>
        <w:pStyle w:val="TableBullet"/>
        <w:jc w:val="both"/>
      </w:pPr>
      <w:r>
        <w:t>E</w:t>
      </w:r>
      <w:r w:rsidR="00B01D15" w:rsidRPr="00B01D15">
        <w:t>nsure PHD programs hear</w:t>
      </w:r>
      <w:r>
        <w:t>,</w:t>
      </w:r>
      <w:r w:rsidR="00B01D15" w:rsidRPr="00B01D15">
        <w:t xml:space="preserve"> and are responsive to</w:t>
      </w:r>
      <w:r>
        <w:t>,</w:t>
      </w:r>
      <w:r w:rsidR="00B01D15" w:rsidRPr="00B01D15">
        <w:t xml:space="preserve"> community voice</w:t>
      </w:r>
      <w:r>
        <w:t>,</w:t>
      </w:r>
      <w:r w:rsidR="00B01D15" w:rsidRPr="00B01D15">
        <w:t xml:space="preserve"> and </w:t>
      </w:r>
      <w:r>
        <w:t xml:space="preserve">are </w:t>
      </w:r>
      <w:r w:rsidR="00B01D15" w:rsidRPr="00B01D15">
        <w:t xml:space="preserve">relevant to </w:t>
      </w:r>
      <w:r>
        <w:t xml:space="preserve">addressing </w:t>
      </w:r>
      <w:r w:rsidR="00B01D15" w:rsidRPr="00B01D15">
        <w:t>community priorities</w:t>
      </w:r>
      <w:r w:rsidR="00EC1A49">
        <w:t>.</w:t>
      </w:r>
    </w:p>
    <w:p w14:paraId="688BF4F9" w14:textId="10B17726" w:rsidR="00B01D15" w:rsidRPr="00B01D15" w:rsidRDefault="00A32B3F" w:rsidP="00A32B3F">
      <w:pPr>
        <w:pStyle w:val="TableBullet"/>
        <w:jc w:val="both"/>
      </w:pPr>
      <w:r>
        <w:t>E</w:t>
      </w:r>
      <w:r w:rsidR="00B01D15" w:rsidRPr="00B01D15">
        <w:t>nsure PHD understands and leverages off existing community assets and knowledge to build community ownership and agency</w:t>
      </w:r>
      <w:r>
        <w:t>,</w:t>
      </w:r>
      <w:r w:rsidR="00B01D15" w:rsidRPr="00B01D15">
        <w:t xml:space="preserve"> and utilise this in addressing problems of service delivery. </w:t>
      </w:r>
    </w:p>
    <w:p w14:paraId="5C41F209" w14:textId="498DEB55" w:rsidR="00B01D15" w:rsidRPr="00B01D15" w:rsidRDefault="00B01D15" w:rsidP="00B01D15">
      <w:pPr>
        <w:rPr>
          <w:szCs w:val="20"/>
          <w:lang w:val="en-US"/>
        </w:rPr>
      </w:pPr>
      <w:r w:rsidRPr="00B01D15">
        <w:rPr>
          <w:szCs w:val="20"/>
          <w:lang w:val="en-US"/>
        </w:rPr>
        <w:t>This strategy is expected to take a vari</w:t>
      </w:r>
      <w:r w:rsidR="00A32B3F">
        <w:rPr>
          <w:szCs w:val="20"/>
          <w:lang w:val="en-US"/>
        </w:rPr>
        <w:t>ety of forms. For example, the S</w:t>
      </w:r>
      <w:r w:rsidRPr="00B01D15">
        <w:rPr>
          <w:szCs w:val="20"/>
          <w:lang w:val="en-US"/>
        </w:rPr>
        <w:t>anitation sector has demonstrated what can be achieved in one municipality through engagement with local leaders and communities in worki</w:t>
      </w:r>
      <w:r w:rsidR="00A32B3F">
        <w:rPr>
          <w:szCs w:val="20"/>
          <w:lang w:val="en-US"/>
        </w:rPr>
        <w:t>ng for their own outcomes. The E</w:t>
      </w:r>
      <w:r w:rsidRPr="00B01D15">
        <w:rPr>
          <w:szCs w:val="20"/>
          <w:lang w:val="en-US"/>
        </w:rPr>
        <w:t>ducation sector has demonstrated the value of engaging with principals and teacher</w:t>
      </w:r>
      <w:r w:rsidR="00A32B3F">
        <w:rPr>
          <w:szCs w:val="20"/>
          <w:lang w:val="en-US"/>
        </w:rPr>
        <w:t>s to shape the program approach. T</w:t>
      </w:r>
      <w:r w:rsidRPr="00B01D15">
        <w:rPr>
          <w:szCs w:val="20"/>
          <w:lang w:val="en-US"/>
        </w:rPr>
        <w:t>he education sector is now poised to expand their work to includ</w:t>
      </w:r>
      <w:r w:rsidR="00A32B3F">
        <w:rPr>
          <w:szCs w:val="20"/>
          <w:lang w:val="en-US"/>
        </w:rPr>
        <w:t>e parents and community leaders</w:t>
      </w:r>
      <w:r w:rsidRPr="00B01D15">
        <w:rPr>
          <w:szCs w:val="20"/>
          <w:lang w:val="en-US"/>
        </w:rPr>
        <w:t xml:space="preserve">. Other activities might include providing information to communities so that they are better able to demand high quality services </w:t>
      </w:r>
      <w:r w:rsidR="00A32B3F">
        <w:rPr>
          <w:szCs w:val="20"/>
          <w:lang w:val="en-US"/>
        </w:rPr>
        <w:t>o</w:t>
      </w:r>
      <w:r w:rsidRPr="00B01D15">
        <w:rPr>
          <w:szCs w:val="20"/>
          <w:lang w:val="en-US"/>
        </w:rPr>
        <w:t xml:space="preserve">r working with PNDS to engage communities </w:t>
      </w:r>
      <w:r w:rsidR="00A32B3F">
        <w:rPr>
          <w:szCs w:val="20"/>
          <w:lang w:val="en-US"/>
        </w:rPr>
        <w:t>in thinking about how they can be better organis</w:t>
      </w:r>
      <w:r w:rsidRPr="00B01D15">
        <w:rPr>
          <w:szCs w:val="20"/>
          <w:lang w:val="en-US"/>
        </w:rPr>
        <w:t>e</w:t>
      </w:r>
      <w:r w:rsidR="00A32B3F">
        <w:rPr>
          <w:szCs w:val="20"/>
          <w:lang w:val="en-US"/>
        </w:rPr>
        <w:t>d</w:t>
      </w:r>
      <w:r w:rsidRPr="00B01D15">
        <w:rPr>
          <w:szCs w:val="20"/>
          <w:lang w:val="en-US"/>
        </w:rPr>
        <w:t xml:space="preserve"> to address their own development needs. </w:t>
      </w:r>
    </w:p>
    <w:p w14:paraId="68EF2D97" w14:textId="1907AB91" w:rsidR="00B01D15" w:rsidRPr="00B01D15" w:rsidRDefault="00B01D15" w:rsidP="00B01D15">
      <w:pPr>
        <w:rPr>
          <w:szCs w:val="20"/>
          <w:lang w:val="en-US"/>
        </w:rPr>
      </w:pPr>
      <w:r w:rsidRPr="00B01D15">
        <w:rPr>
          <w:szCs w:val="20"/>
          <w:lang w:val="en-US"/>
        </w:rPr>
        <w:t>Investment will also be made in behavio</w:t>
      </w:r>
      <w:r w:rsidR="005E3831">
        <w:rPr>
          <w:szCs w:val="20"/>
          <w:lang w:val="en-US"/>
        </w:rPr>
        <w:t>u</w:t>
      </w:r>
      <w:r w:rsidRPr="00B01D15">
        <w:rPr>
          <w:szCs w:val="20"/>
          <w:lang w:val="en-US"/>
        </w:rPr>
        <w:t>ral change, political economy</w:t>
      </w:r>
      <w:r w:rsidR="00A32B3F">
        <w:rPr>
          <w:szCs w:val="20"/>
          <w:lang w:val="en-US"/>
        </w:rPr>
        <w:t>,</w:t>
      </w:r>
      <w:r w:rsidRPr="00B01D15">
        <w:rPr>
          <w:szCs w:val="20"/>
          <w:lang w:val="en-US"/>
        </w:rPr>
        <w:t xml:space="preserve"> and frontline </w:t>
      </w:r>
      <w:r w:rsidR="00A32B3F">
        <w:rPr>
          <w:szCs w:val="20"/>
          <w:lang w:val="en-US"/>
        </w:rPr>
        <w:t>research and analysis, to utilis</w:t>
      </w:r>
      <w:r w:rsidRPr="00B01D15">
        <w:rPr>
          <w:szCs w:val="20"/>
          <w:lang w:val="en-US"/>
        </w:rPr>
        <w:t xml:space="preserve">e the local knowledge and ideas from staff </w:t>
      </w:r>
      <w:r w:rsidR="00D86DC4">
        <w:rPr>
          <w:szCs w:val="20"/>
          <w:lang w:val="en-US"/>
        </w:rPr>
        <w:t>in facilities and administrative</w:t>
      </w:r>
      <w:r w:rsidRPr="00B01D15">
        <w:rPr>
          <w:szCs w:val="20"/>
          <w:lang w:val="en-US"/>
        </w:rPr>
        <w:t xml:space="preserve"> posts. Rece</w:t>
      </w:r>
      <w:r w:rsidR="00D86DC4">
        <w:rPr>
          <w:szCs w:val="20"/>
          <w:lang w:val="en-US"/>
        </w:rPr>
        <w:t>nt research f</w:t>
      </w:r>
      <w:r w:rsidR="005E3831">
        <w:rPr>
          <w:szCs w:val="20"/>
          <w:lang w:val="en-US"/>
        </w:rPr>
        <w:t xml:space="preserve">rom the PHD Frontline </w:t>
      </w:r>
      <w:r w:rsidR="00D86DC4">
        <w:rPr>
          <w:szCs w:val="20"/>
          <w:lang w:val="en-US"/>
        </w:rPr>
        <w:t>Specialist</w:t>
      </w:r>
      <w:r w:rsidRPr="00B01D15">
        <w:rPr>
          <w:szCs w:val="20"/>
          <w:lang w:val="en-US"/>
        </w:rPr>
        <w:t xml:space="preserve"> shows many of these people are working under very difficult circumstances</w:t>
      </w:r>
      <w:r w:rsidR="00D86DC4">
        <w:rPr>
          <w:szCs w:val="20"/>
          <w:lang w:val="en-US"/>
        </w:rPr>
        <w:t>,</w:t>
      </w:r>
      <w:r w:rsidRPr="00B01D15">
        <w:rPr>
          <w:szCs w:val="20"/>
          <w:lang w:val="en-US"/>
        </w:rPr>
        <w:t xml:space="preserve"> but are still managing to del</w:t>
      </w:r>
      <w:r w:rsidR="00D86DC4">
        <w:rPr>
          <w:szCs w:val="20"/>
          <w:lang w:val="en-US"/>
        </w:rPr>
        <w:t xml:space="preserve">iver some services. Using the </w:t>
      </w:r>
      <w:r w:rsidRPr="00B01D15">
        <w:rPr>
          <w:szCs w:val="20"/>
          <w:lang w:val="en-US"/>
        </w:rPr>
        <w:t xml:space="preserve">local knowledge and innovation </w:t>
      </w:r>
      <w:r w:rsidR="00D86DC4">
        <w:rPr>
          <w:szCs w:val="20"/>
          <w:lang w:val="en-US"/>
        </w:rPr>
        <w:t xml:space="preserve">will ensure the best, and suitable, </w:t>
      </w:r>
      <w:r w:rsidRPr="00B01D15">
        <w:rPr>
          <w:szCs w:val="20"/>
          <w:lang w:val="en-US"/>
        </w:rPr>
        <w:t xml:space="preserve">ideas are developed, </w:t>
      </w:r>
      <w:r w:rsidR="00D86DC4">
        <w:rPr>
          <w:szCs w:val="20"/>
          <w:lang w:val="en-US"/>
        </w:rPr>
        <w:t>which are</w:t>
      </w:r>
      <w:r w:rsidRPr="00B01D15">
        <w:rPr>
          <w:szCs w:val="20"/>
          <w:lang w:val="en-US"/>
        </w:rPr>
        <w:t xml:space="preserve"> more likely to be sustained when the </w:t>
      </w:r>
      <w:r w:rsidR="00D86DC4">
        <w:rPr>
          <w:szCs w:val="20"/>
          <w:lang w:val="en-US"/>
        </w:rPr>
        <w:t>support from the Australian Government concludes</w:t>
      </w:r>
      <w:r w:rsidRPr="00B01D15">
        <w:rPr>
          <w:szCs w:val="20"/>
          <w:lang w:val="en-US"/>
        </w:rPr>
        <w:t xml:space="preserve">. </w:t>
      </w:r>
    </w:p>
    <w:p w14:paraId="7C2954ED" w14:textId="77777777" w:rsidR="005E3831" w:rsidRDefault="00B01D15" w:rsidP="00B01D15">
      <w:pPr>
        <w:pStyle w:val="Heading4"/>
        <w:numPr>
          <w:ilvl w:val="0"/>
          <w:numId w:val="0"/>
        </w:numPr>
        <w:rPr>
          <w:lang w:val="en-US"/>
        </w:rPr>
      </w:pPr>
      <w:r w:rsidRPr="00B01D15">
        <w:rPr>
          <w:lang w:val="en-US"/>
        </w:rPr>
        <w:t xml:space="preserve">Strategy 5 – </w:t>
      </w:r>
      <w:r w:rsidR="005E3831">
        <w:rPr>
          <w:lang w:val="en-US"/>
        </w:rPr>
        <w:t>Service Delivery Improvement</w:t>
      </w:r>
    </w:p>
    <w:p w14:paraId="3AB4F065" w14:textId="30D714CF" w:rsidR="00B01D15" w:rsidRPr="00B01D15" w:rsidRDefault="00B01D15" w:rsidP="005E3831">
      <w:pPr>
        <w:rPr>
          <w:lang w:val="en-US"/>
        </w:rPr>
      </w:pPr>
      <w:r w:rsidRPr="00B01D15">
        <w:rPr>
          <w:lang w:val="en-US"/>
        </w:rPr>
        <w:t xml:space="preserve">Identify and address specific problems in the service delivery system in </w:t>
      </w:r>
      <w:r w:rsidR="00F76E96">
        <w:rPr>
          <w:lang w:val="en-US"/>
        </w:rPr>
        <w:t>Timor-Leste</w:t>
      </w:r>
      <w:r w:rsidR="00D86DC4">
        <w:rPr>
          <w:lang w:val="en-US"/>
        </w:rPr>
        <w:t>,</w:t>
      </w:r>
      <w:r w:rsidRPr="00B01D15">
        <w:rPr>
          <w:lang w:val="en-US"/>
        </w:rPr>
        <w:t xml:space="preserve"> </w:t>
      </w:r>
      <w:r w:rsidR="00D86DC4">
        <w:rPr>
          <w:lang w:val="en-US"/>
        </w:rPr>
        <w:t>i</w:t>
      </w:r>
      <w:r w:rsidRPr="00B01D15">
        <w:rPr>
          <w:lang w:val="en-US"/>
        </w:rPr>
        <w:t>ncluding procurement</w:t>
      </w:r>
      <w:r w:rsidR="00D86DC4">
        <w:rPr>
          <w:lang w:val="en-US"/>
        </w:rPr>
        <w:t>,</w:t>
      </w:r>
      <w:r w:rsidRPr="00B01D15">
        <w:rPr>
          <w:lang w:val="en-US"/>
        </w:rPr>
        <w:t xml:space="preserve"> distribution</w:t>
      </w:r>
      <w:r w:rsidR="00D86DC4">
        <w:rPr>
          <w:lang w:val="en-US"/>
        </w:rPr>
        <w:t>, and PFM.</w:t>
      </w:r>
    </w:p>
    <w:p w14:paraId="6450EC9C" w14:textId="77777777" w:rsidR="00D86DC4" w:rsidRDefault="00B01D15" w:rsidP="00B01D15">
      <w:pPr>
        <w:rPr>
          <w:szCs w:val="20"/>
          <w:lang w:eastAsia="en-AU"/>
        </w:rPr>
      </w:pPr>
      <w:r w:rsidRPr="00B01D15">
        <w:rPr>
          <w:szCs w:val="20"/>
          <w:lang w:val="en-US"/>
        </w:rPr>
        <w:t>P</w:t>
      </w:r>
      <w:r w:rsidR="00D86DC4">
        <w:rPr>
          <w:szCs w:val="20"/>
          <w:lang w:val="en-US"/>
        </w:rPr>
        <w:t xml:space="preserve">olitical economy analysis will </w:t>
      </w:r>
      <w:r w:rsidRPr="00B01D15">
        <w:rPr>
          <w:szCs w:val="20"/>
          <w:lang w:val="en-US"/>
        </w:rPr>
        <w:t xml:space="preserve">occur </w:t>
      </w:r>
      <w:r w:rsidRPr="00B01D15">
        <w:rPr>
          <w:iCs/>
          <w:szCs w:val="20"/>
          <w:lang w:eastAsia="en-AU"/>
        </w:rPr>
        <w:t xml:space="preserve">at all levels of the program </w:t>
      </w:r>
      <w:r w:rsidRPr="00B01D15">
        <w:rPr>
          <w:szCs w:val="20"/>
          <w:lang w:eastAsia="en-AU"/>
        </w:rPr>
        <w:t xml:space="preserve">to ensure </w:t>
      </w:r>
      <w:r w:rsidR="00D86DC4">
        <w:rPr>
          <w:szCs w:val="20"/>
          <w:lang w:eastAsia="en-AU"/>
        </w:rPr>
        <w:t>understanding of</w:t>
      </w:r>
      <w:r w:rsidRPr="00B01D15">
        <w:rPr>
          <w:szCs w:val="20"/>
          <w:lang w:eastAsia="en-AU"/>
        </w:rPr>
        <w:t xml:space="preserve"> the interests, incentives</w:t>
      </w:r>
      <w:r w:rsidR="00D86DC4">
        <w:rPr>
          <w:szCs w:val="20"/>
          <w:lang w:eastAsia="en-AU"/>
        </w:rPr>
        <w:t>,</w:t>
      </w:r>
      <w:r w:rsidRPr="00B01D15">
        <w:rPr>
          <w:szCs w:val="20"/>
          <w:lang w:eastAsia="en-AU"/>
        </w:rPr>
        <w:t xml:space="preserve"> and institutions that are supporting or blocking change, and what role, if any, the program might play in trying to influence positive developmental outcomes. </w:t>
      </w:r>
    </w:p>
    <w:p w14:paraId="4A7713CE" w14:textId="0F92068D" w:rsidR="00B01D15" w:rsidRPr="00B01D15" w:rsidRDefault="00B01D15" w:rsidP="00B01D15">
      <w:pPr>
        <w:rPr>
          <w:szCs w:val="20"/>
          <w:lang w:eastAsia="en-AU"/>
        </w:rPr>
      </w:pPr>
      <w:r w:rsidRPr="00B01D15">
        <w:rPr>
          <w:szCs w:val="20"/>
          <w:lang w:eastAsia="en-AU"/>
        </w:rPr>
        <w:t>The purpose of this work will be to:</w:t>
      </w:r>
    </w:p>
    <w:p w14:paraId="553F99C1" w14:textId="40D13291" w:rsidR="00B01D15" w:rsidRPr="00B01D15" w:rsidRDefault="00B01D15" w:rsidP="005E3831">
      <w:pPr>
        <w:pStyle w:val="TableBullet"/>
        <w:jc w:val="both"/>
      </w:pPr>
      <w:r w:rsidRPr="00B01D15">
        <w:t>Minimise gaps in service delivery which are clearly due to system wide problems</w:t>
      </w:r>
      <w:r w:rsidR="00EC1A49">
        <w:t>.</w:t>
      </w:r>
    </w:p>
    <w:p w14:paraId="03FA6BBD" w14:textId="31894803" w:rsidR="00B01D15" w:rsidRPr="00B01D15" w:rsidRDefault="00D86DC4" w:rsidP="005E3831">
      <w:pPr>
        <w:pStyle w:val="TableBullet"/>
        <w:jc w:val="both"/>
        <w:rPr>
          <w:b/>
        </w:rPr>
      </w:pPr>
      <w:r>
        <w:t>Develop capacity within the G</w:t>
      </w:r>
      <w:r w:rsidR="00B01D15" w:rsidRPr="00B01D15">
        <w:t>overnment and other stakeholders to identify and address systems wide issues</w:t>
      </w:r>
      <w:r>
        <w:t>.</w:t>
      </w:r>
    </w:p>
    <w:p w14:paraId="32C34AB6" w14:textId="71D404B2" w:rsidR="00B01D15" w:rsidRDefault="00B01D15" w:rsidP="00B01D15">
      <w:pPr>
        <w:rPr>
          <w:szCs w:val="20"/>
          <w:lang w:eastAsia="en-AU"/>
        </w:rPr>
      </w:pPr>
      <w:r w:rsidRPr="00B01D15">
        <w:rPr>
          <w:szCs w:val="20"/>
          <w:lang w:val="en-US"/>
        </w:rPr>
        <w:t xml:space="preserve">Rather than trying to do ‘everything all at once’ and improve the entire system of service delivery in </w:t>
      </w:r>
      <w:r w:rsidR="00F76E96">
        <w:rPr>
          <w:szCs w:val="20"/>
          <w:lang w:val="en-US"/>
        </w:rPr>
        <w:t>Timor-Leste</w:t>
      </w:r>
      <w:r w:rsidRPr="00B01D15">
        <w:rPr>
          <w:szCs w:val="20"/>
          <w:lang w:val="en-US"/>
        </w:rPr>
        <w:t>, P</w:t>
      </w:r>
      <w:r w:rsidR="00D86DC4">
        <w:rPr>
          <w:szCs w:val="20"/>
          <w:lang w:val="en-US"/>
        </w:rPr>
        <w:t>HD will work with Governance for Development</w:t>
      </w:r>
      <w:r w:rsidR="00DD53E0">
        <w:rPr>
          <w:szCs w:val="20"/>
          <w:lang w:val="en-US"/>
        </w:rPr>
        <w:t xml:space="preserve"> (GfD)</w:t>
      </w:r>
      <w:r w:rsidR="00D86DC4">
        <w:rPr>
          <w:szCs w:val="20"/>
          <w:lang w:val="en-US"/>
        </w:rPr>
        <w:t xml:space="preserve"> program and other programs</w:t>
      </w:r>
      <w:r w:rsidRPr="00B01D15">
        <w:rPr>
          <w:szCs w:val="20"/>
          <w:lang w:val="en-US"/>
        </w:rPr>
        <w:t xml:space="preserve"> to hone in on specific problems preventing quality services from reaching people (especially those in rural areas). Given previous experience, this will not involve a large program resource focused at </w:t>
      </w:r>
      <w:r w:rsidR="00E8551B">
        <w:rPr>
          <w:szCs w:val="20"/>
          <w:lang w:val="en-US"/>
        </w:rPr>
        <w:t xml:space="preserve">the </w:t>
      </w:r>
      <w:r w:rsidRPr="00B01D15">
        <w:rPr>
          <w:szCs w:val="20"/>
          <w:lang w:val="en-US"/>
        </w:rPr>
        <w:t>national level. PHD will use its local level experience to identify specific bottlenecks (s</w:t>
      </w:r>
      <w:r w:rsidR="00E8551B">
        <w:rPr>
          <w:szCs w:val="20"/>
          <w:lang w:val="en-US"/>
        </w:rPr>
        <w:t>uch as procurement challenges and access to</w:t>
      </w:r>
      <w:r w:rsidRPr="00B01D15">
        <w:rPr>
          <w:szCs w:val="20"/>
          <w:lang w:val="en-US"/>
        </w:rPr>
        <w:t xml:space="preserve"> wages for facility staff), and will work directly to improve the quality and accessi</w:t>
      </w:r>
      <w:r w:rsidR="00E8551B">
        <w:rPr>
          <w:szCs w:val="20"/>
          <w:lang w:val="en-US"/>
        </w:rPr>
        <w:t>bility of services at the front</w:t>
      </w:r>
      <w:r w:rsidRPr="00B01D15">
        <w:rPr>
          <w:szCs w:val="20"/>
          <w:lang w:val="en-US"/>
        </w:rPr>
        <w:t>line.</w:t>
      </w:r>
      <w:r w:rsidRPr="00B01D15" w:rsidDel="00223BD9">
        <w:rPr>
          <w:szCs w:val="20"/>
          <w:lang w:val="en-US"/>
        </w:rPr>
        <w:t xml:space="preserve"> </w:t>
      </w:r>
      <w:r w:rsidRPr="00B01D15">
        <w:rPr>
          <w:szCs w:val="20"/>
          <w:lang w:eastAsia="en-AU"/>
        </w:rPr>
        <w:t xml:space="preserve">PHD will only support activities that are </w:t>
      </w:r>
      <w:r w:rsidRPr="00B01D15">
        <w:rPr>
          <w:iCs/>
          <w:szCs w:val="20"/>
          <w:lang w:eastAsia="en-AU"/>
        </w:rPr>
        <w:t>both</w:t>
      </w:r>
      <w:r w:rsidRPr="00B01D15">
        <w:rPr>
          <w:i/>
          <w:iCs/>
          <w:szCs w:val="20"/>
          <w:lang w:eastAsia="en-AU"/>
        </w:rPr>
        <w:t xml:space="preserve"> </w:t>
      </w:r>
      <w:r w:rsidRPr="00B01D15">
        <w:rPr>
          <w:szCs w:val="20"/>
          <w:lang w:eastAsia="en-AU"/>
        </w:rPr>
        <w:t xml:space="preserve">technically sound </w:t>
      </w:r>
      <w:r w:rsidRPr="00E8551B">
        <w:rPr>
          <w:iCs/>
          <w:szCs w:val="20"/>
          <w:lang w:eastAsia="en-AU"/>
        </w:rPr>
        <w:t>and</w:t>
      </w:r>
      <w:r w:rsidRPr="00B01D15">
        <w:rPr>
          <w:szCs w:val="20"/>
          <w:lang w:eastAsia="en-AU"/>
        </w:rPr>
        <w:t xml:space="preserve"> politically feasible.</w:t>
      </w:r>
    </w:p>
    <w:p w14:paraId="15F886F0" w14:textId="621127B1" w:rsidR="00FC7160" w:rsidRDefault="00FC7160" w:rsidP="00FC7160">
      <w:pPr>
        <w:pStyle w:val="Heading1"/>
        <w:tabs>
          <w:tab w:val="clear" w:pos="0"/>
          <w:tab w:val="left" w:pos="851"/>
        </w:tabs>
        <w:ind w:left="851" w:hanging="851"/>
      </w:pPr>
      <w:bookmarkStart w:id="12" w:name="_Toc487186321"/>
      <w:r>
        <w:lastRenderedPageBreak/>
        <w:t>First Year Objectives</w:t>
      </w:r>
      <w:bookmarkEnd w:id="12"/>
    </w:p>
    <w:p w14:paraId="2E638F4D" w14:textId="3008EB89" w:rsidR="00B01D15" w:rsidRPr="00B01D15" w:rsidRDefault="00B01D15" w:rsidP="00B01D15">
      <w:pPr>
        <w:rPr>
          <w:szCs w:val="20"/>
        </w:rPr>
      </w:pPr>
      <w:r w:rsidRPr="00B01D15">
        <w:rPr>
          <w:szCs w:val="20"/>
        </w:rPr>
        <w:t>In light of the proposed strategic approach outlined above, PHD has identified three objectives for 2017. These are a mixture of outcome and process assessment, looking to identify both what PHD has achieved in 2017 and how well the strategic approach has served those ends</w:t>
      </w:r>
      <w:r w:rsidR="00A04E2C">
        <w:rPr>
          <w:szCs w:val="20"/>
        </w:rPr>
        <w:t>.</w:t>
      </w:r>
    </w:p>
    <w:p w14:paraId="3C7D41D5" w14:textId="77777777" w:rsidR="00B01D15" w:rsidRDefault="00B01D15" w:rsidP="00B01D15">
      <w:pPr>
        <w:rPr>
          <w:szCs w:val="20"/>
        </w:rPr>
      </w:pPr>
      <w:r w:rsidRPr="00B01D15">
        <w:rPr>
          <w:szCs w:val="20"/>
        </w:rPr>
        <w:t>The 2017 objectives include:</w:t>
      </w:r>
    </w:p>
    <w:p w14:paraId="2C535F72" w14:textId="471D42BF" w:rsidR="00B01D15" w:rsidRPr="005E3831" w:rsidRDefault="00377242" w:rsidP="005E3831">
      <w:pPr>
        <w:pStyle w:val="Heading4"/>
        <w:numPr>
          <w:ilvl w:val="0"/>
          <w:numId w:val="0"/>
        </w:numPr>
      </w:pPr>
      <w:r w:rsidRPr="005E3831">
        <w:t>Contribution to the</w:t>
      </w:r>
      <w:r w:rsidR="002434CD" w:rsidRPr="005E3831">
        <w:t xml:space="preserve"> </w:t>
      </w:r>
      <w:r w:rsidRPr="005E3831">
        <w:t>i</w:t>
      </w:r>
      <w:r w:rsidR="00B01D15" w:rsidRPr="005E3831">
        <w:t xml:space="preserve">mprovement in the well-being of people, in particular women, children and people </w:t>
      </w:r>
      <w:r w:rsidR="00A04E2C" w:rsidRPr="005E3831">
        <w:t xml:space="preserve">living </w:t>
      </w:r>
      <w:r w:rsidR="00B01D15" w:rsidRPr="005E3831">
        <w:t>with a disability.</w:t>
      </w:r>
    </w:p>
    <w:p w14:paraId="158174CE" w14:textId="2C249DAA" w:rsidR="00B01D15" w:rsidRPr="00B01D15" w:rsidRDefault="00B01D15" w:rsidP="005E3831">
      <w:pPr>
        <w:rPr>
          <w:szCs w:val="20"/>
        </w:rPr>
      </w:pPr>
      <w:r w:rsidRPr="00B01D15">
        <w:rPr>
          <w:szCs w:val="20"/>
        </w:rPr>
        <w:t>Outcomes from this objective are expected to include both sector specific measures</w:t>
      </w:r>
      <w:r w:rsidR="00377242">
        <w:rPr>
          <w:szCs w:val="20"/>
        </w:rPr>
        <w:t>,</w:t>
      </w:r>
      <w:r w:rsidRPr="00B01D15">
        <w:rPr>
          <w:szCs w:val="20"/>
        </w:rPr>
        <w:t xml:space="preserve"> as well as qualitative information from women, children and people </w:t>
      </w:r>
      <w:r w:rsidR="00377242">
        <w:rPr>
          <w:szCs w:val="20"/>
        </w:rPr>
        <w:t xml:space="preserve">living </w:t>
      </w:r>
      <w:r w:rsidRPr="00B01D15">
        <w:rPr>
          <w:szCs w:val="20"/>
        </w:rPr>
        <w:t>with</w:t>
      </w:r>
      <w:r w:rsidR="00377242">
        <w:rPr>
          <w:szCs w:val="20"/>
        </w:rPr>
        <w:t xml:space="preserve"> a</w:t>
      </w:r>
      <w:r w:rsidRPr="00B01D15">
        <w:rPr>
          <w:szCs w:val="20"/>
        </w:rPr>
        <w:t xml:space="preserve"> disability. The qualitative information will focus on both the quality and value of the service people have received</w:t>
      </w:r>
      <w:r w:rsidR="00377242">
        <w:rPr>
          <w:szCs w:val="20"/>
        </w:rPr>
        <w:t xml:space="preserve"> or are receiving</w:t>
      </w:r>
      <w:r w:rsidRPr="00B01D15">
        <w:rPr>
          <w:szCs w:val="20"/>
        </w:rPr>
        <w:t xml:space="preserve">. These two sets of information will be important in </w:t>
      </w:r>
      <w:r w:rsidR="00377242">
        <w:rPr>
          <w:szCs w:val="20"/>
        </w:rPr>
        <w:t>gaining an</w:t>
      </w:r>
      <w:r w:rsidRPr="00B01D15">
        <w:rPr>
          <w:szCs w:val="20"/>
        </w:rPr>
        <w:t xml:space="preserve"> understanding about the value of particular activities</w:t>
      </w:r>
      <w:r w:rsidR="00377242">
        <w:rPr>
          <w:szCs w:val="20"/>
        </w:rPr>
        <w:t xml:space="preserve"> and services,</w:t>
      </w:r>
      <w:r w:rsidRPr="00B01D15">
        <w:rPr>
          <w:szCs w:val="20"/>
        </w:rPr>
        <w:t xml:space="preserve"> and the degree to which the program has addressed the most significant development needs of </w:t>
      </w:r>
      <w:r w:rsidR="00377242">
        <w:rPr>
          <w:szCs w:val="20"/>
        </w:rPr>
        <w:t xml:space="preserve">Timorese </w:t>
      </w:r>
      <w:r w:rsidRPr="00B01D15">
        <w:rPr>
          <w:szCs w:val="20"/>
        </w:rPr>
        <w:t xml:space="preserve">people. </w:t>
      </w:r>
    </w:p>
    <w:p w14:paraId="226AB4E4" w14:textId="7B6372C0" w:rsidR="00B01D15" w:rsidRPr="00B01D15" w:rsidRDefault="00B01D15" w:rsidP="005E3831">
      <w:pPr>
        <w:rPr>
          <w:szCs w:val="20"/>
        </w:rPr>
      </w:pPr>
      <w:r w:rsidRPr="00B01D15">
        <w:rPr>
          <w:szCs w:val="20"/>
        </w:rPr>
        <w:t>The assessment will also provide information about the effectiveness of service delivery strategies</w:t>
      </w:r>
      <w:r w:rsidR="00377242">
        <w:rPr>
          <w:szCs w:val="20"/>
        </w:rPr>
        <w:t>,</w:t>
      </w:r>
      <w:r w:rsidRPr="00B01D15">
        <w:rPr>
          <w:szCs w:val="20"/>
        </w:rPr>
        <w:t xml:space="preserve"> and the degree to which they have given attention to factors such as difference in context, local knowledge and resources, local leadership</w:t>
      </w:r>
      <w:r w:rsidR="00377242">
        <w:rPr>
          <w:szCs w:val="20"/>
        </w:rPr>
        <w:t>,</w:t>
      </w:r>
      <w:r w:rsidRPr="00B01D15">
        <w:rPr>
          <w:szCs w:val="20"/>
        </w:rPr>
        <w:t xml:space="preserve"> and so on. </w:t>
      </w:r>
    </w:p>
    <w:p w14:paraId="72AA4F30" w14:textId="44A48B14" w:rsidR="00B01D15" w:rsidRPr="00B01D15" w:rsidRDefault="00B01D15" w:rsidP="005E3831">
      <w:pPr>
        <w:rPr>
          <w:szCs w:val="20"/>
        </w:rPr>
      </w:pPr>
      <w:r w:rsidRPr="00B01D15">
        <w:rPr>
          <w:szCs w:val="20"/>
        </w:rPr>
        <w:t>Particular attention wil</w:t>
      </w:r>
      <w:r w:rsidR="00377242">
        <w:rPr>
          <w:szCs w:val="20"/>
        </w:rPr>
        <w:t>l be given to the value of cross</w:t>
      </w:r>
      <w:r w:rsidRPr="00B01D15">
        <w:rPr>
          <w:szCs w:val="20"/>
        </w:rPr>
        <w:t>-sector</w:t>
      </w:r>
      <w:r w:rsidR="00377242">
        <w:rPr>
          <w:szCs w:val="20"/>
        </w:rPr>
        <w:t>al</w:t>
      </w:r>
      <w:r w:rsidRPr="00B01D15">
        <w:rPr>
          <w:szCs w:val="20"/>
        </w:rPr>
        <w:t xml:space="preserve"> collaboration in specific locations and how effectively activity implementation was able to adjust to local opportunities and conditions.</w:t>
      </w:r>
    </w:p>
    <w:p w14:paraId="0AACE5C4" w14:textId="5381C519" w:rsidR="00B01D15" w:rsidRDefault="00B01D15" w:rsidP="005E3831">
      <w:pPr>
        <w:rPr>
          <w:szCs w:val="20"/>
        </w:rPr>
      </w:pPr>
      <w:r w:rsidRPr="00B01D15">
        <w:rPr>
          <w:szCs w:val="20"/>
        </w:rPr>
        <w:t xml:space="preserve">Results for 2017 under this objective are expected to provide significant </w:t>
      </w:r>
      <w:r w:rsidR="00377242">
        <w:rPr>
          <w:szCs w:val="20"/>
        </w:rPr>
        <w:t>insight</w:t>
      </w:r>
      <w:r w:rsidRPr="00B01D15">
        <w:rPr>
          <w:szCs w:val="20"/>
        </w:rPr>
        <w:t xml:space="preserve"> and evidence </w:t>
      </w:r>
      <w:r w:rsidR="00377242">
        <w:rPr>
          <w:szCs w:val="20"/>
        </w:rPr>
        <w:t>to further shape</w:t>
      </w:r>
      <w:r w:rsidRPr="00B01D15">
        <w:rPr>
          <w:szCs w:val="20"/>
        </w:rPr>
        <w:t xml:space="preserve"> activities going forward.</w:t>
      </w:r>
    </w:p>
    <w:p w14:paraId="25F75776" w14:textId="77886618" w:rsidR="00B01D15" w:rsidRPr="005E3831" w:rsidRDefault="00377242" w:rsidP="005E3831">
      <w:pPr>
        <w:pStyle w:val="Heading4"/>
        <w:numPr>
          <w:ilvl w:val="0"/>
          <w:numId w:val="0"/>
        </w:numPr>
      </w:pPr>
      <w:r w:rsidRPr="005E3831">
        <w:t>Increase cross</w:t>
      </w:r>
      <w:r w:rsidR="00B01D15" w:rsidRPr="005E3831">
        <w:t>-sector</w:t>
      </w:r>
      <w:r w:rsidRPr="005E3831">
        <w:t>al</w:t>
      </w:r>
      <w:r w:rsidR="00B01D15" w:rsidRPr="005E3831">
        <w:t xml:space="preserve"> collaboration that maximises delivery of quality services and benefits for people, in particular women, children and people </w:t>
      </w:r>
      <w:r w:rsidRPr="005E3831">
        <w:t xml:space="preserve">living </w:t>
      </w:r>
      <w:r w:rsidR="00B01D15" w:rsidRPr="005E3831">
        <w:t>with</w:t>
      </w:r>
      <w:r w:rsidRPr="005E3831">
        <w:t xml:space="preserve"> a</w:t>
      </w:r>
      <w:r w:rsidR="00B01D15" w:rsidRPr="005E3831">
        <w:t xml:space="preserve"> disability.</w:t>
      </w:r>
    </w:p>
    <w:p w14:paraId="1CE319BE" w14:textId="1DFB7289" w:rsidR="00B01D15" w:rsidRPr="00B01D15" w:rsidRDefault="00B01D15" w:rsidP="005E3831">
      <w:pPr>
        <w:rPr>
          <w:szCs w:val="20"/>
        </w:rPr>
      </w:pPr>
      <w:r w:rsidRPr="00B01D15">
        <w:rPr>
          <w:szCs w:val="20"/>
        </w:rPr>
        <w:t>Outcomes from this objective will be drawn</w:t>
      </w:r>
      <w:r w:rsidR="00377242">
        <w:rPr>
          <w:szCs w:val="20"/>
        </w:rPr>
        <w:t xml:space="preserve"> from specific examples of cross</w:t>
      </w:r>
      <w:r w:rsidRPr="00B01D15">
        <w:rPr>
          <w:szCs w:val="20"/>
        </w:rPr>
        <w:t>-sector</w:t>
      </w:r>
      <w:r w:rsidR="00377242">
        <w:rPr>
          <w:szCs w:val="20"/>
        </w:rPr>
        <w:t>al</w:t>
      </w:r>
      <w:r w:rsidRPr="00B01D15">
        <w:rPr>
          <w:szCs w:val="20"/>
        </w:rPr>
        <w:t xml:space="preserve"> collaboration. The work undertaken in municipalities will also be examined under this objective, with particular attention given to the most effective strategies and examples in order to promote these more widely across all of PHD implementation. </w:t>
      </w:r>
    </w:p>
    <w:p w14:paraId="4F5F59A0" w14:textId="55188225" w:rsidR="00B01D15" w:rsidRPr="00B01D15" w:rsidRDefault="00B01D15" w:rsidP="005E3831">
      <w:pPr>
        <w:rPr>
          <w:szCs w:val="20"/>
        </w:rPr>
      </w:pPr>
      <w:r w:rsidRPr="00B01D15">
        <w:rPr>
          <w:szCs w:val="20"/>
        </w:rPr>
        <w:t xml:space="preserve">This will provide learning and direction for further program </w:t>
      </w:r>
      <w:r w:rsidR="00377242">
        <w:rPr>
          <w:szCs w:val="20"/>
        </w:rPr>
        <w:t xml:space="preserve">planning and </w:t>
      </w:r>
      <w:r w:rsidRPr="00B01D15">
        <w:rPr>
          <w:szCs w:val="20"/>
        </w:rPr>
        <w:t xml:space="preserve">development. It will also inform the PHD approach to change, identifying further elements in the process that are required for a more effective integrated program. </w:t>
      </w:r>
    </w:p>
    <w:p w14:paraId="17FE3388" w14:textId="464622E3" w:rsidR="00B01D15" w:rsidRPr="00B01D15" w:rsidRDefault="00377242" w:rsidP="005E3831">
      <w:pPr>
        <w:rPr>
          <w:szCs w:val="20"/>
        </w:rPr>
      </w:pPr>
      <w:r>
        <w:rPr>
          <w:szCs w:val="20"/>
        </w:rPr>
        <w:t>T</w:t>
      </w:r>
      <w:r w:rsidR="00B01D15" w:rsidRPr="00B01D15">
        <w:rPr>
          <w:szCs w:val="20"/>
        </w:rPr>
        <w:t>o address the efficiency of the approach,</w:t>
      </w:r>
      <w:r>
        <w:rPr>
          <w:szCs w:val="20"/>
        </w:rPr>
        <w:t xml:space="preserve"> an efficiency baseline for </w:t>
      </w:r>
      <w:r w:rsidR="00B01D15" w:rsidRPr="00B01D15">
        <w:rPr>
          <w:szCs w:val="20"/>
        </w:rPr>
        <w:t>PHD will be determine</w:t>
      </w:r>
      <w:r w:rsidR="004D3F0B">
        <w:rPr>
          <w:szCs w:val="20"/>
        </w:rPr>
        <w:t>d</w:t>
      </w:r>
      <w:r w:rsidR="00B01D15" w:rsidRPr="00B01D15">
        <w:rPr>
          <w:szCs w:val="20"/>
        </w:rPr>
        <w:t xml:space="preserve"> by the Embassy (based on past contractor cost estimates), and reported against by PHD to determine savings over the life of the program. </w:t>
      </w:r>
    </w:p>
    <w:p w14:paraId="0E0BAB2C" w14:textId="0A37BBE3" w:rsidR="00B01D15" w:rsidRPr="005E3831" w:rsidRDefault="00377242" w:rsidP="005E3831">
      <w:pPr>
        <w:pStyle w:val="Heading4"/>
        <w:numPr>
          <w:ilvl w:val="0"/>
          <w:numId w:val="0"/>
        </w:numPr>
      </w:pPr>
      <w:r w:rsidRPr="005E3831">
        <w:t>Support and produce t</w:t>
      </w:r>
      <w:r w:rsidR="00B01D15" w:rsidRPr="005E3831">
        <w:t>ransparent and well-communicated research and evidence that provides PHD</w:t>
      </w:r>
      <w:r w:rsidRPr="005E3831">
        <w:t>,</w:t>
      </w:r>
      <w:r w:rsidR="00B01D15" w:rsidRPr="005E3831">
        <w:t xml:space="preserve"> the Government of </w:t>
      </w:r>
      <w:r w:rsidR="00F76E96" w:rsidRPr="005E3831">
        <w:t>Timor-Leste</w:t>
      </w:r>
      <w:r w:rsidR="00B01D15" w:rsidRPr="005E3831">
        <w:t xml:space="preserve"> and others with sufficient </w:t>
      </w:r>
      <w:r w:rsidRPr="005E3831">
        <w:t xml:space="preserve">and accurate </w:t>
      </w:r>
      <w:r w:rsidR="00B01D15" w:rsidRPr="005E3831">
        <w:t xml:space="preserve">information and knowledge for </w:t>
      </w:r>
      <w:r w:rsidRPr="005E3831">
        <w:t>continued</w:t>
      </w:r>
      <w:r w:rsidR="00B01D15" w:rsidRPr="005E3831">
        <w:t xml:space="preserve"> effective implementation and innovation.</w:t>
      </w:r>
    </w:p>
    <w:p w14:paraId="70B26463" w14:textId="60CF64F3" w:rsidR="00B01D15" w:rsidRPr="00B01D15" w:rsidRDefault="00B01D15" w:rsidP="005E3831">
      <w:pPr>
        <w:rPr>
          <w:szCs w:val="20"/>
        </w:rPr>
      </w:pPr>
      <w:r w:rsidRPr="00B01D15">
        <w:rPr>
          <w:szCs w:val="20"/>
        </w:rPr>
        <w:t xml:space="preserve">The outcomes </w:t>
      </w:r>
      <w:r w:rsidR="00377242">
        <w:rPr>
          <w:szCs w:val="20"/>
        </w:rPr>
        <w:t>from</w:t>
      </w:r>
      <w:r w:rsidRPr="00B01D15">
        <w:rPr>
          <w:szCs w:val="20"/>
        </w:rPr>
        <w:t xml:space="preserve"> this objective will be </w:t>
      </w:r>
      <w:r w:rsidR="00377242">
        <w:rPr>
          <w:szCs w:val="20"/>
        </w:rPr>
        <w:t>demonstrated</w:t>
      </w:r>
      <w:r w:rsidRPr="00B01D15">
        <w:rPr>
          <w:szCs w:val="20"/>
        </w:rPr>
        <w:t xml:space="preserve"> through engagement with </w:t>
      </w:r>
      <w:r w:rsidR="00377242">
        <w:rPr>
          <w:szCs w:val="20"/>
        </w:rPr>
        <w:t xml:space="preserve">the </w:t>
      </w:r>
      <w:r w:rsidRPr="00B01D15">
        <w:rPr>
          <w:szCs w:val="20"/>
        </w:rPr>
        <w:t xml:space="preserve">Government of </w:t>
      </w:r>
      <w:r w:rsidR="00F76E96">
        <w:rPr>
          <w:szCs w:val="20"/>
        </w:rPr>
        <w:t>Timor-Leste</w:t>
      </w:r>
      <w:r w:rsidRPr="00B01D15">
        <w:rPr>
          <w:szCs w:val="20"/>
        </w:rPr>
        <w:t xml:space="preserve"> and partners in program activities</w:t>
      </w:r>
      <w:r w:rsidR="00B52C63">
        <w:rPr>
          <w:szCs w:val="20"/>
        </w:rPr>
        <w:t>,</w:t>
      </w:r>
      <w:r w:rsidRPr="00B01D15">
        <w:rPr>
          <w:szCs w:val="20"/>
        </w:rPr>
        <w:t xml:space="preserve"> and through evidence that program learning and experience is being utilised both </w:t>
      </w:r>
      <w:r w:rsidR="00B52C63">
        <w:rPr>
          <w:szCs w:val="20"/>
        </w:rPr>
        <w:t>within Government policies</w:t>
      </w:r>
      <w:r w:rsidRPr="00B01D15">
        <w:rPr>
          <w:szCs w:val="20"/>
        </w:rPr>
        <w:t xml:space="preserve"> and in the practice of </w:t>
      </w:r>
      <w:r w:rsidR="00B52C63">
        <w:rPr>
          <w:szCs w:val="20"/>
        </w:rPr>
        <w:t xml:space="preserve">the </w:t>
      </w:r>
      <w:r w:rsidRPr="00B01D15">
        <w:rPr>
          <w:szCs w:val="20"/>
        </w:rPr>
        <w:t>Government and other stakeholders. Where possible, PHD will also commission primary analysis – or work to consolidate existing research on service delivery challenges and approaches – thro</w:t>
      </w:r>
      <w:r w:rsidR="00B52C63">
        <w:rPr>
          <w:szCs w:val="20"/>
        </w:rPr>
        <w:t>ugh the expertise of the Frontl</w:t>
      </w:r>
      <w:r w:rsidRPr="00B01D15">
        <w:rPr>
          <w:szCs w:val="20"/>
        </w:rPr>
        <w:t xml:space="preserve">ine </w:t>
      </w:r>
      <w:r w:rsidR="00B52C63">
        <w:rPr>
          <w:szCs w:val="20"/>
        </w:rPr>
        <w:t>Specialist,</w:t>
      </w:r>
      <w:r w:rsidRPr="00B01D15">
        <w:rPr>
          <w:szCs w:val="20"/>
        </w:rPr>
        <w:t xml:space="preserve"> and other effective partners.  </w:t>
      </w:r>
    </w:p>
    <w:p w14:paraId="43A96196" w14:textId="774C963E" w:rsidR="00B01D15" w:rsidRDefault="00B52C63" w:rsidP="00B01D15">
      <w:pPr>
        <w:rPr>
          <w:szCs w:val="20"/>
        </w:rPr>
      </w:pPr>
      <w:r>
        <w:rPr>
          <w:szCs w:val="20"/>
        </w:rPr>
        <w:t>As part of its</w:t>
      </w:r>
      <w:r w:rsidR="00B01D15" w:rsidRPr="00B01D15">
        <w:rPr>
          <w:szCs w:val="20"/>
        </w:rPr>
        <w:t xml:space="preserve"> commitment to ongoing review, PHD is intending to trial, with DFAT, a new measure</w:t>
      </w:r>
      <w:r>
        <w:rPr>
          <w:szCs w:val="20"/>
        </w:rPr>
        <w:t xml:space="preserve"> – the Individual Deprivation Measure – </w:t>
      </w:r>
      <w:r w:rsidR="00B01D15" w:rsidRPr="00B01D15">
        <w:rPr>
          <w:szCs w:val="20"/>
        </w:rPr>
        <w:t>w</w:t>
      </w:r>
      <w:r>
        <w:rPr>
          <w:szCs w:val="20"/>
        </w:rPr>
        <w:t>hich looks at</w:t>
      </w:r>
      <w:r w:rsidR="00B01D15" w:rsidRPr="00B01D15">
        <w:rPr>
          <w:szCs w:val="20"/>
        </w:rPr>
        <w:t xml:space="preserve"> assess</w:t>
      </w:r>
      <w:r>
        <w:rPr>
          <w:szCs w:val="20"/>
        </w:rPr>
        <w:t>ing</w:t>
      </w:r>
      <w:r w:rsidR="00B01D15" w:rsidRPr="00B01D15">
        <w:rPr>
          <w:szCs w:val="20"/>
        </w:rPr>
        <w:t xml:space="preserve"> multiple dimensions of poverty for individuals.</w:t>
      </w:r>
      <w:r w:rsidR="00B01D15" w:rsidRPr="00B01D15">
        <w:rPr>
          <w:rStyle w:val="FootnoteReference"/>
          <w:szCs w:val="20"/>
        </w:rPr>
        <w:footnoteReference w:id="23"/>
      </w:r>
      <w:r w:rsidR="00B01D15" w:rsidRPr="00B01D15">
        <w:rPr>
          <w:szCs w:val="20"/>
        </w:rPr>
        <w:t xml:space="preserve"> Application of this measure is expected to provide considerable valuable information for PHD in understanding progress towards </w:t>
      </w:r>
      <w:r>
        <w:rPr>
          <w:szCs w:val="20"/>
        </w:rPr>
        <w:t>achieving its goal of well-being. The measure</w:t>
      </w:r>
      <w:r w:rsidR="00B01D15" w:rsidRPr="00B01D15">
        <w:rPr>
          <w:szCs w:val="20"/>
        </w:rPr>
        <w:t xml:space="preserve"> is also expec</w:t>
      </w:r>
      <w:r>
        <w:rPr>
          <w:szCs w:val="20"/>
        </w:rPr>
        <w:t>ted to assist DFAT in assessing</w:t>
      </w:r>
      <w:r w:rsidR="00B01D15" w:rsidRPr="00B01D15">
        <w:rPr>
          <w:szCs w:val="20"/>
        </w:rPr>
        <w:t xml:space="preserve"> its overall aid program in </w:t>
      </w:r>
      <w:r w:rsidR="00F76E96">
        <w:rPr>
          <w:szCs w:val="20"/>
        </w:rPr>
        <w:t>Timor-Leste</w:t>
      </w:r>
      <w:r>
        <w:rPr>
          <w:szCs w:val="20"/>
        </w:rPr>
        <w:t xml:space="preserve">. </w:t>
      </w:r>
      <w:r w:rsidR="00454E2E">
        <w:rPr>
          <w:szCs w:val="20"/>
        </w:rPr>
        <w:t xml:space="preserve">PHD has not yet discussed the use of this measure </w:t>
      </w:r>
      <w:r w:rsidR="00B01D15" w:rsidRPr="00B01D15">
        <w:rPr>
          <w:szCs w:val="20"/>
        </w:rPr>
        <w:t xml:space="preserve">with </w:t>
      </w:r>
      <w:r>
        <w:rPr>
          <w:szCs w:val="20"/>
        </w:rPr>
        <w:t xml:space="preserve">the </w:t>
      </w:r>
      <w:r w:rsidR="00B01D15" w:rsidRPr="00B01D15">
        <w:rPr>
          <w:szCs w:val="20"/>
        </w:rPr>
        <w:t xml:space="preserve">Government of </w:t>
      </w:r>
      <w:r w:rsidR="00F76E96">
        <w:rPr>
          <w:szCs w:val="20"/>
        </w:rPr>
        <w:t>Timor-Leste</w:t>
      </w:r>
      <w:r w:rsidR="00454E2E">
        <w:rPr>
          <w:szCs w:val="20"/>
        </w:rPr>
        <w:t>,</w:t>
      </w:r>
      <w:r w:rsidR="00B01D15" w:rsidRPr="00B01D15">
        <w:rPr>
          <w:szCs w:val="20"/>
        </w:rPr>
        <w:t xml:space="preserve"> </w:t>
      </w:r>
      <w:r w:rsidR="00454E2E">
        <w:rPr>
          <w:szCs w:val="20"/>
        </w:rPr>
        <w:t xml:space="preserve">but </w:t>
      </w:r>
      <w:r w:rsidR="00B01D15" w:rsidRPr="00B01D15">
        <w:rPr>
          <w:szCs w:val="20"/>
        </w:rPr>
        <w:t>anticipate</w:t>
      </w:r>
      <w:r w:rsidR="00454E2E">
        <w:rPr>
          <w:szCs w:val="20"/>
        </w:rPr>
        <w:t>s to do so post-election.</w:t>
      </w:r>
      <w:r w:rsidR="00B01D15" w:rsidRPr="00B01D15">
        <w:rPr>
          <w:szCs w:val="20"/>
        </w:rPr>
        <w:t xml:space="preserve"> </w:t>
      </w:r>
      <w:r w:rsidR="00454E2E">
        <w:rPr>
          <w:szCs w:val="20"/>
        </w:rPr>
        <w:t>T</w:t>
      </w:r>
      <w:r w:rsidR="00B01D15" w:rsidRPr="00B01D15">
        <w:rPr>
          <w:szCs w:val="20"/>
        </w:rPr>
        <w:t>he measure will have wider application and benefits</w:t>
      </w:r>
      <w:r w:rsidR="00454E2E">
        <w:rPr>
          <w:szCs w:val="20"/>
        </w:rPr>
        <w:t xml:space="preserve"> beyond its support to the Government of Timor-Leste</w:t>
      </w:r>
      <w:r w:rsidR="00B01D15" w:rsidRPr="00B01D15">
        <w:rPr>
          <w:szCs w:val="20"/>
        </w:rPr>
        <w:t>.</w:t>
      </w:r>
    </w:p>
    <w:p w14:paraId="173B23B4" w14:textId="0352F6E5" w:rsidR="00FC7160" w:rsidRDefault="00FC7160" w:rsidP="00FC7160">
      <w:pPr>
        <w:pStyle w:val="Heading1"/>
        <w:tabs>
          <w:tab w:val="clear" w:pos="0"/>
          <w:tab w:val="left" w:pos="851"/>
        </w:tabs>
        <w:ind w:left="851" w:hanging="851"/>
      </w:pPr>
      <w:bookmarkStart w:id="13" w:name="_Toc487186322"/>
      <w:r>
        <w:lastRenderedPageBreak/>
        <w:t>Implementation and Resourcing</w:t>
      </w:r>
      <w:bookmarkEnd w:id="13"/>
    </w:p>
    <w:p w14:paraId="3294D7ED" w14:textId="752A8326" w:rsidR="00B01D15" w:rsidRDefault="00B01D15" w:rsidP="00B01D15">
      <w:pPr>
        <w:rPr>
          <w:lang w:val="en-US"/>
        </w:rPr>
      </w:pPr>
      <w:r>
        <w:rPr>
          <w:lang w:val="en-US"/>
        </w:rPr>
        <w:t>Further details a</w:t>
      </w:r>
      <w:r w:rsidR="002434CD">
        <w:rPr>
          <w:lang w:val="en-US"/>
        </w:rPr>
        <w:t>bout the implementation of the S</w:t>
      </w:r>
      <w:r>
        <w:rPr>
          <w:lang w:val="en-US"/>
        </w:rPr>
        <w:t>trategic</w:t>
      </w:r>
      <w:r w:rsidR="00F208CF">
        <w:rPr>
          <w:lang w:val="en-US"/>
        </w:rPr>
        <w:t xml:space="preserve"> </w:t>
      </w:r>
      <w:r w:rsidR="002434CD">
        <w:rPr>
          <w:lang w:val="en-US"/>
        </w:rPr>
        <w:t>F</w:t>
      </w:r>
      <w:r>
        <w:rPr>
          <w:lang w:val="en-US"/>
        </w:rPr>
        <w:t xml:space="preserve">ramework are available in the PHD Annual Plan and the </w:t>
      </w:r>
      <w:r w:rsidR="002434CD">
        <w:rPr>
          <w:lang w:val="en-US"/>
        </w:rPr>
        <w:t>MELF</w:t>
      </w:r>
      <w:r>
        <w:rPr>
          <w:lang w:val="en-US"/>
        </w:rPr>
        <w:t xml:space="preserve">. </w:t>
      </w:r>
      <w:r w:rsidR="002434CD" w:rsidRPr="002434CD">
        <w:rPr>
          <w:szCs w:val="20"/>
          <w:lang w:val="en-US"/>
        </w:rPr>
        <w:fldChar w:fldCharType="begin"/>
      </w:r>
      <w:r w:rsidR="002434CD" w:rsidRPr="002434CD">
        <w:rPr>
          <w:szCs w:val="20"/>
          <w:lang w:val="en-US"/>
        </w:rPr>
        <w:instrText xml:space="preserve"> REF _Ref487116118 \h  \* MERGEFORMAT </w:instrText>
      </w:r>
      <w:r w:rsidR="002434CD" w:rsidRPr="002434CD">
        <w:rPr>
          <w:szCs w:val="20"/>
          <w:lang w:val="en-US"/>
        </w:rPr>
      </w:r>
      <w:r w:rsidR="002434CD" w:rsidRPr="002434CD">
        <w:rPr>
          <w:szCs w:val="20"/>
          <w:lang w:val="en-US"/>
        </w:rPr>
        <w:fldChar w:fldCharType="separate"/>
      </w:r>
      <w:r w:rsidR="00B84559" w:rsidRPr="00B84559">
        <w:rPr>
          <w:szCs w:val="20"/>
        </w:rPr>
        <w:t xml:space="preserve">Annex </w:t>
      </w:r>
      <w:r w:rsidR="00B84559" w:rsidRPr="00B84559">
        <w:rPr>
          <w:noProof/>
          <w:szCs w:val="20"/>
        </w:rPr>
        <w:t>3</w:t>
      </w:r>
      <w:r w:rsidR="002434CD" w:rsidRPr="002434CD">
        <w:rPr>
          <w:szCs w:val="20"/>
          <w:lang w:val="en-US"/>
        </w:rPr>
        <w:fldChar w:fldCharType="end"/>
      </w:r>
      <w:r w:rsidR="002434CD">
        <w:rPr>
          <w:szCs w:val="20"/>
          <w:lang w:val="en-US"/>
        </w:rPr>
        <w:t xml:space="preserve"> </w:t>
      </w:r>
      <w:r>
        <w:rPr>
          <w:lang w:val="en-US"/>
        </w:rPr>
        <w:t>outlines key steps for strategic implementation and identifies how these are likely to be resourced.</w:t>
      </w:r>
    </w:p>
    <w:p w14:paraId="5A4C5A8A" w14:textId="247096DA" w:rsidR="00FC7160" w:rsidRDefault="00FC7160" w:rsidP="00FC7160">
      <w:pPr>
        <w:pStyle w:val="Heading1"/>
        <w:tabs>
          <w:tab w:val="clear" w:pos="0"/>
          <w:tab w:val="left" w:pos="851"/>
        </w:tabs>
        <w:ind w:left="851" w:hanging="851"/>
      </w:pPr>
      <w:bookmarkStart w:id="14" w:name="_Toc487186323"/>
      <w:r>
        <w:t>Principles and Ways of Working</w:t>
      </w:r>
      <w:bookmarkEnd w:id="14"/>
    </w:p>
    <w:p w14:paraId="471D0229" w14:textId="3E598E09" w:rsidR="00B01D15" w:rsidRPr="00B01D15" w:rsidRDefault="00B01D15" w:rsidP="00B01D15">
      <w:pPr>
        <w:rPr>
          <w:szCs w:val="20"/>
        </w:rPr>
      </w:pPr>
      <w:r w:rsidRPr="00B01D15">
        <w:rPr>
          <w:szCs w:val="20"/>
        </w:rPr>
        <w:t xml:space="preserve">Decisions at all levels of the program will be guided by the following </w:t>
      </w:r>
      <w:r w:rsidRPr="00C043E4">
        <w:rPr>
          <w:szCs w:val="20"/>
        </w:rPr>
        <w:t>core principles</w:t>
      </w:r>
      <w:r w:rsidRPr="00B01D15">
        <w:rPr>
          <w:szCs w:val="20"/>
        </w:rPr>
        <w:t>, as identified in the PHD Design Document (</w:t>
      </w:r>
      <w:r w:rsidRPr="002434CD">
        <w:rPr>
          <w:szCs w:val="20"/>
        </w:rPr>
        <w:t xml:space="preserve">further detail is </w:t>
      </w:r>
      <w:r w:rsidR="002434CD" w:rsidRPr="002434CD">
        <w:rPr>
          <w:szCs w:val="20"/>
        </w:rPr>
        <w:t xml:space="preserve">available </w:t>
      </w:r>
      <w:r w:rsidRPr="002434CD">
        <w:rPr>
          <w:szCs w:val="20"/>
        </w:rPr>
        <w:t xml:space="preserve">at </w:t>
      </w:r>
      <w:r w:rsidR="002434CD" w:rsidRPr="002434CD">
        <w:rPr>
          <w:szCs w:val="20"/>
        </w:rPr>
        <w:fldChar w:fldCharType="begin"/>
      </w:r>
      <w:r w:rsidR="002434CD" w:rsidRPr="002434CD">
        <w:rPr>
          <w:szCs w:val="20"/>
        </w:rPr>
        <w:instrText xml:space="preserve"> REF _Ref487029522 \h  \* MERGEFORMAT </w:instrText>
      </w:r>
      <w:r w:rsidR="002434CD" w:rsidRPr="002434CD">
        <w:rPr>
          <w:szCs w:val="20"/>
        </w:rPr>
      </w:r>
      <w:r w:rsidR="002434CD" w:rsidRPr="002434CD">
        <w:rPr>
          <w:szCs w:val="20"/>
        </w:rPr>
        <w:fldChar w:fldCharType="separate"/>
      </w:r>
      <w:r w:rsidR="00B84559" w:rsidRPr="00B84559">
        <w:rPr>
          <w:szCs w:val="20"/>
        </w:rPr>
        <w:t xml:space="preserve">Annex </w:t>
      </w:r>
      <w:r w:rsidR="00B84559" w:rsidRPr="00B84559">
        <w:rPr>
          <w:noProof/>
          <w:szCs w:val="20"/>
        </w:rPr>
        <w:t>1</w:t>
      </w:r>
      <w:r w:rsidR="002434CD" w:rsidRPr="002434CD">
        <w:rPr>
          <w:szCs w:val="20"/>
        </w:rPr>
        <w:fldChar w:fldCharType="end"/>
      </w:r>
      <w:r w:rsidR="00EC1A49">
        <w:rPr>
          <w:szCs w:val="20"/>
        </w:rPr>
        <w:t>).</w:t>
      </w:r>
    </w:p>
    <w:p w14:paraId="3EE8C938" w14:textId="28C2E786" w:rsidR="00B01D15" w:rsidRPr="00B01D15" w:rsidRDefault="00B01D15" w:rsidP="005E3831">
      <w:pPr>
        <w:ind w:left="720" w:hanging="720"/>
        <w:rPr>
          <w:szCs w:val="20"/>
        </w:rPr>
      </w:pPr>
      <w:r w:rsidRPr="00210022">
        <w:rPr>
          <w:b/>
          <w:szCs w:val="20"/>
        </w:rPr>
        <w:t>Principle 1</w:t>
      </w:r>
      <w:r>
        <w:rPr>
          <w:szCs w:val="20"/>
        </w:rPr>
        <w:tab/>
      </w:r>
      <w:r w:rsidRPr="00B01D15">
        <w:rPr>
          <w:szCs w:val="20"/>
        </w:rPr>
        <w:t xml:space="preserve">Political economy approach.  </w:t>
      </w:r>
    </w:p>
    <w:p w14:paraId="037C3985" w14:textId="2831F5D3" w:rsidR="00B01D15" w:rsidRPr="00B01D15" w:rsidRDefault="00B01D15" w:rsidP="005E3831">
      <w:pPr>
        <w:ind w:left="1440" w:hanging="1440"/>
        <w:rPr>
          <w:szCs w:val="20"/>
        </w:rPr>
      </w:pPr>
      <w:r w:rsidRPr="00210022">
        <w:rPr>
          <w:b/>
          <w:szCs w:val="20"/>
        </w:rPr>
        <w:t>Principle 2</w:t>
      </w:r>
      <w:r>
        <w:rPr>
          <w:szCs w:val="20"/>
        </w:rPr>
        <w:tab/>
      </w:r>
      <w:r w:rsidRPr="00B01D15">
        <w:rPr>
          <w:szCs w:val="20"/>
        </w:rPr>
        <w:t xml:space="preserve">Partnerships that support </w:t>
      </w:r>
      <w:r w:rsidR="002434CD">
        <w:rPr>
          <w:szCs w:val="20"/>
        </w:rPr>
        <w:t xml:space="preserve">the </w:t>
      </w:r>
      <w:r w:rsidRPr="00B01D15">
        <w:rPr>
          <w:szCs w:val="20"/>
        </w:rPr>
        <w:t>Gov</w:t>
      </w:r>
      <w:r>
        <w:rPr>
          <w:szCs w:val="20"/>
        </w:rPr>
        <w:t>ernment of Timor-</w:t>
      </w:r>
      <w:r w:rsidRPr="00B01D15">
        <w:rPr>
          <w:szCs w:val="20"/>
        </w:rPr>
        <w:t>Leste</w:t>
      </w:r>
      <w:r w:rsidR="002434CD">
        <w:rPr>
          <w:szCs w:val="20"/>
        </w:rPr>
        <w:t>’s policies</w:t>
      </w:r>
      <w:r w:rsidRPr="00B01D15">
        <w:rPr>
          <w:szCs w:val="20"/>
        </w:rPr>
        <w:t xml:space="preserve"> and investments will be prioritised.  </w:t>
      </w:r>
    </w:p>
    <w:p w14:paraId="4FB7646E" w14:textId="465F8880" w:rsidR="00B01D15" w:rsidRPr="00B01D15" w:rsidRDefault="00B01D15" w:rsidP="005E3831">
      <w:pPr>
        <w:ind w:left="720" w:hanging="720"/>
        <w:rPr>
          <w:szCs w:val="20"/>
        </w:rPr>
      </w:pPr>
      <w:r w:rsidRPr="00210022">
        <w:rPr>
          <w:b/>
          <w:szCs w:val="20"/>
        </w:rPr>
        <w:t>Principle 3</w:t>
      </w:r>
      <w:r>
        <w:rPr>
          <w:szCs w:val="20"/>
        </w:rPr>
        <w:tab/>
      </w:r>
      <w:r w:rsidRPr="00B01D15">
        <w:rPr>
          <w:szCs w:val="20"/>
        </w:rPr>
        <w:t xml:space="preserve">Working across sectors where it enhances development outcomes. </w:t>
      </w:r>
    </w:p>
    <w:p w14:paraId="4994A3E1" w14:textId="361AB05B" w:rsidR="00B01D15" w:rsidRPr="00B01D15" w:rsidRDefault="00B01D15" w:rsidP="005E3831">
      <w:pPr>
        <w:ind w:left="720" w:hanging="720"/>
        <w:rPr>
          <w:szCs w:val="20"/>
        </w:rPr>
      </w:pPr>
      <w:r w:rsidRPr="00210022">
        <w:rPr>
          <w:b/>
          <w:szCs w:val="20"/>
        </w:rPr>
        <w:t>Principle 4</w:t>
      </w:r>
      <w:r>
        <w:rPr>
          <w:szCs w:val="20"/>
        </w:rPr>
        <w:tab/>
      </w:r>
      <w:r w:rsidRPr="00B01D15">
        <w:rPr>
          <w:szCs w:val="20"/>
        </w:rPr>
        <w:t xml:space="preserve">Prioritising investments that benefit women and girls. </w:t>
      </w:r>
    </w:p>
    <w:p w14:paraId="665FD95C" w14:textId="576D1DFE" w:rsidR="00B01D15" w:rsidRPr="00B01D15" w:rsidRDefault="00B01D15" w:rsidP="005E3831">
      <w:pPr>
        <w:ind w:left="1440" w:hanging="1440"/>
        <w:rPr>
          <w:szCs w:val="20"/>
        </w:rPr>
      </w:pPr>
      <w:r w:rsidRPr="00210022">
        <w:rPr>
          <w:b/>
          <w:szCs w:val="20"/>
        </w:rPr>
        <w:t>Principle 5</w:t>
      </w:r>
      <w:r>
        <w:rPr>
          <w:szCs w:val="20"/>
        </w:rPr>
        <w:tab/>
      </w:r>
      <w:r w:rsidRPr="00B01D15">
        <w:rPr>
          <w:szCs w:val="20"/>
        </w:rPr>
        <w:t>Government of</w:t>
      </w:r>
      <w:r>
        <w:rPr>
          <w:szCs w:val="20"/>
        </w:rPr>
        <w:t xml:space="preserve"> Timor-</w:t>
      </w:r>
      <w:r w:rsidRPr="00B01D15">
        <w:rPr>
          <w:szCs w:val="20"/>
        </w:rPr>
        <w:t xml:space="preserve">Leste’s fiscal position means service delivery models need to be affordable and sustainable.  </w:t>
      </w:r>
    </w:p>
    <w:p w14:paraId="06228A79" w14:textId="73BDC179" w:rsidR="00B01D15" w:rsidRPr="00B01D15" w:rsidRDefault="00B01D15" w:rsidP="005E3831">
      <w:pPr>
        <w:ind w:left="720" w:hanging="720"/>
        <w:rPr>
          <w:szCs w:val="20"/>
        </w:rPr>
      </w:pPr>
      <w:r w:rsidRPr="00210022">
        <w:rPr>
          <w:b/>
          <w:szCs w:val="20"/>
        </w:rPr>
        <w:t>Principle 6</w:t>
      </w:r>
      <w:r>
        <w:rPr>
          <w:szCs w:val="20"/>
        </w:rPr>
        <w:tab/>
      </w:r>
      <w:r w:rsidRPr="00B01D15">
        <w:rPr>
          <w:szCs w:val="20"/>
        </w:rPr>
        <w:t xml:space="preserve">Working responsively and flexibly but with an end goal in sight.  </w:t>
      </w:r>
    </w:p>
    <w:p w14:paraId="7626F495" w14:textId="07898071" w:rsidR="00B01D15" w:rsidRPr="00B01D15" w:rsidRDefault="00B01D15" w:rsidP="005E3831">
      <w:pPr>
        <w:ind w:left="720" w:hanging="720"/>
        <w:rPr>
          <w:szCs w:val="20"/>
        </w:rPr>
      </w:pPr>
      <w:r w:rsidRPr="00210022">
        <w:rPr>
          <w:b/>
          <w:szCs w:val="20"/>
        </w:rPr>
        <w:t>Principle 7</w:t>
      </w:r>
      <w:r>
        <w:rPr>
          <w:szCs w:val="20"/>
        </w:rPr>
        <w:tab/>
      </w:r>
      <w:r w:rsidRPr="00B01D15">
        <w:rPr>
          <w:szCs w:val="20"/>
        </w:rPr>
        <w:t xml:space="preserve">Continual analysis and learning by doing.  </w:t>
      </w:r>
    </w:p>
    <w:p w14:paraId="4F81F3E9" w14:textId="4BADEC76" w:rsidR="00B01D15" w:rsidRPr="00B01D15" w:rsidRDefault="00B01D15" w:rsidP="005E3831">
      <w:pPr>
        <w:ind w:left="720" w:hanging="720"/>
        <w:rPr>
          <w:szCs w:val="20"/>
        </w:rPr>
      </w:pPr>
      <w:r w:rsidRPr="00210022">
        <w:rPr>
          <w:b/>
          <w:szCs w:val="20"/>
        </w:rPr>
        <w:t>Principle 8</w:t>
      </w:r>
      <w:r>
        <w:rPr>
          <w:szCs w:val="20"/>
        </w:rPr>
        <w:tab/>
      </w:r>
      <w:r w:rsidRPr="00B01D15">
        <w:rPr>
          <w:szCs w:val="20"/>
        </w:rPr>
        <w:t>Innovation and use of the private sector.</w:t>
      </w:r>
      <w:r w:rsidRPr="00B01D15">
        <w:rPr>
          <w:b/>
          <w:szCs w:val="20"/>
        </w:rPr>
        <w:t xml:space="preserve"> </w:t>
      </w:r>
    </w:p>
    <w:p w14:paraId="47770E2E" w14:textId="111FAFC2" w:rsidR="00B01D15" w:rsidRPr="00B01D15" w:rsidRDefault="005E3831" w:rsidP="00B01D15">
      <w:pPr>
        <w:rPr>
          <w:b/>
          <w:szCs w:val="20"/>
          <w:lang w:val="en-US"/>
        </w:rPr>
      </w:pPr>
      <w:r>
        <w:rPr>
          <w:szCs w:val="20"/>
          <w:lang w:val="en-US"/>
        </w:rPr>
        <w:t xml:space="preserve">The following </w:t>
      </w:r>
      <w:r w:rsidR="00B01D15" w:rsidRPr="00B01D15">
        <w:rPr>
          <w:szCs w:val="20"/>
          <w:lang w:val="en-US"/>
        </w:rPr>
        <w:t>pr</w:t>
      </w:r>
      <w:r w:rsidR="00054103">
        <w:rPr>
          <w:szCs w:val="20"/>
          <w:lang w:val="en-US"/>
        </w:rPr>
        <w:t>inciples will also guide how</w:t>
      </w:r>
      <w:r w:rsidR="00B01D15" w:rsidRPr="00B01D15">
        <w:rPr>
          <w:b/>
          <w:szCs w:val="20"/>
          <w:lang w:val="en-US"/>
        </w:rPr>
        <w:t xml:space="preserve"> </w:t>
      </w:r>
      <w:r w:rsidR="00B01D15" w:rsidRPr="00C043E4">
        <w:rPr>
          <w:szCs w:val="20"/>
          <w:lang w:val="en-US"/>
        </w:rPr>
        <w:t>PHD engages with the Government of Timor-</w:t>
      </w:r>
      <w:r w:rsidR="00EC1A49" w:rsidRPr="00C043E4">
        <w:rPr>
          <w:szCs w:val="20"/>
          <w:lang w:val="en-US"/>
        </w:rPr>
        <w:t>Leste.</w:t>
      </w:r>
    </w:p>
    <w:p w14:paraId="3D67E110" w14:textId="63384871" w:rsidR="00B01D15" w:rsidRPr="00B01D15" w:rsidRDefault="00916A1E" w:rsidP="005E3831">
      <w:pPr>
        <w:pStyle w:val="TableBullet"/>
        <w:jc w:val="both"/>
      </w:pPr>
      <w:r w:rsidRPr="00210022">
        <w:rPr>
          <w:b/>
        </w:rPr>
        <w:t>Prioritis</w:t>
      </w:r>
      <w:r w:rsidR="00B01D15" w:rsidRPr="00210022">
        <w:rPr>
          <w:b/>
        </w:rPr>
        <w:t>e</w:t>
      </w:r>
      <w:r w:rsidR="00B01D15" w:rsidRPr="00B01D15">
        <w:t xml:space="preserve"> – not just our priorities but their priorities</w:t>
      </w:r>
      <w:r w:rsidR="00054103">
        <w:t>.</w:t>
      </w:r>
    </w:p>
    <w:p w14:paraId="5532014C" w14:textId="5574CB76" w:rsidR="00B01D15" w:rsidRPr="00B01D15" w:rsidRDefault="00B01D15" w:rsidP="005E3831">
      <w:pPr>
        <w:pStyle w:val="TableBullet"/>
        <w:jc w:val="both"/>
      </w:pPr>
      <w:r w:rsidRPr="00210022">
        <w:rPr>
          <w:b/>
        </w:rPr>
        <w:t>Response</w:t>
      </w:r>
      <w:r w:rsidRPr="00B01D15">
        <w:t xml:space="preserve"> – be clear </w:t>
      </w:r>
      <w:r w:rsidR="00054103">
        <w:t xml:space="preserve">about </w:t>
      </w:r>
      <w:r w:rsidRPr="00B01D15">
        <w:t>wha</w:t>
      </w:r>
      <w:r w:rsidR="00054103">
        <w:t>t we are responding to so we do no</w:t>
      </w:r>
      <w:r w:rsidRPr="00B01D15">
        <w:t>t just ‘gap fill’</w:t>
      </w:r>
      <w:r w:rsidR="00054103">
        <w:t>.</w:t>
      </w:r>
    </w:p>
    <w:p w14:paraId="7A689C52" w14:textId="7CAE4D79" w:rsidR="00B01D15" w:rsidRPr="00B01D15" w:rsidRDefault="00B01D15" w:rsidP="005E3831">
      <w:pPr>
        <w:pStyle w:val="TableBullet"/>
        <w:jc w:val="both"/>
      </w:pPr>
      <w:r w:rsidRPr="00210022">
        <w:rPr>
          <w:b/>
        </w:rPr>
        <w:t>Practical and sustainable</w:t>
      </w:r>
      <w:r w:rsidRPr="00B01D15">
        <w:t xml:space="preserve"> – realistic solutions which are not unduly complex</w:t>
      </w:r>
      <w:r w:rsidR="00054103">
        <w:t>.</w:t>
      </w:r>
    </w:p>
    <w:p w14:paraId="1A41DC38" w14:textId="5F034001" w:rsidR="00B01D15" w:rsidRPr="00B01D15" w:rsidRDefault="00B01D15" w:rsidP="005E3831">
      <w:pPr>
        <w:pStyle w:val="TableBullet"/>
        <w:jc w:val="both"/>
      </w:pPr>
      <w:r w:rsidRPr="00210022">
        <w:rPr>
          <w:b/>
        </w:rPr>
        <w:t>Evidence</w:t>
      </w:r>
      <w:r w:rsidRPr="00B01D15">
        <w:t xml:space="preserve"> – </w:t>
      </w:r>
      <w:r w:rsidR="00054103" w:rsidRPr="00B01D15">
        <w:t>show how things change through evidence and monitoring</w:t>
      </w:r>
      <w:r w:rsidR="00054103">
        <w:t>,</w:t>
      </w:r>
      <w:r w:rsidR="00054103" w:rsidRPr="00B01D15">
        <w:t xml:space="preserve"> </w:t>
      </w:r>
      <w:r w:rsidRPr="00B01D15">
        <w:t xml:space="preserve">not only </w:t>
      </w:r>
      <w:r w:rsidR="00054103">
        <w:t>what we are doing.</w:t>
      </w:r>
    </w:p>
    <w:p w14:paraId="6BAA0F82" w14:textId="11FB3F30" w:rsidR="00B01D15" w:rsidRPr="00B01D15" w:rsidRDefault="00054103" w:rsidP="005E3831">
      <w:pPr>
        <w:pStyle w:val="TableBullet"/>
        <w:jc w:val="both"/>
      </w:pPr>
      <w:r w:rsidRPr="00210022">
        <w:rPr>
          <w:b/>
        </w:rPr>
        <w:t>Present a range of options/</w:t>
      </w:r>
      <w:r w:rsidR="00B01D15" w:rsidRPr="00210022">
        <w:rPr>
          <w:b/>
        </w:rPr>
        <w:t>actions</w:t>
      </w:r>
      <w:r>
        <w:t xml:space="preserve"> </w:t>
      </w:r>
      <w:r w:rsidR="00B01D15" w:rsidRPr="00B01D15">
        <w:t xml:space="preserve">– to enable </w:t>
      </w:r>
      <w:r>
        <w:t>the Government of Timor-Leste to then decide which option/</w:t>
      </w:r>
      <w:r w:rsidR="00B01D15" w:rsidRPr="00B01D15">
        <w:t xml:space="preserve">action is the best </w:t>
      </w:r>
      <w:r>
        <w:t>for the future of their country.</w:t>
      </w:r>
    </w:p>
    <w:p w14:paraId="7621CCC8" w14:textId="77777777" w:rsidR="00B01D15" w:rsidRPr="00B01D15" w:rsidRDefault="00B01D15" w:rsidP="005E3831">
      <w:pPr>
        <w:pStyle w:val="TableBullet"/>
        <w:jc w:val="both"/>
      </w:pPr>
      <w:r w:rsidRPr="00210022">
        <w:rPr>
          <w:b/>
        </w:rPr>
        <w:t>Ensure the voices of all Timorese are included</w:t>
      </w:r>
      <w:r w:rsidRPr="00B01D15">
        <w:t xml:space="preserve"> – including the most vulnerable and disadvantaged. </w:t>
      </w:r>
    </w:p>
    <w:p w14:paraId="09BA1DDB" w14:textId="42DA2957" w:rsidR="00B01D15" w:rsidRPr="00B01D15" w:rsidRDefault="00B01D15" w:rsidP="00B01D15">
      <w:pPr>
        <w:rPr>
          <w:szCs w:val="20"/>
          <w:lang w:val="en-US"/>
        </w:rPr>
      </w:pPr>
      <w:r w:rsidRPr="00B01D15">
        <w:rPr>
          <w:szCs w:val="20"/>
          <w:lang w:val="en-US"/>
        </w:rPr>
        <w:t>In order to take f</w:t>
      </w:r>
      <w:r w:rsidR="00054103">
        <w:rPr>
          <w:szCs w:val="20"/>
          <w:lang w:val="en-US"/>
        </w:rPr>
        <w:t>orward the key elements of the Strategic F</w:t>
      </w:r>
      <w:r w:rsidRPr="00B01D15">
        <w:rPr>
          <w:szCs w:val="20"/>
          <w:lang w:val="en-US"/>
        </w:rPr>
        <w:t xml:space="preserve">ramework </w:t>
      </w:r>
      <w:r w:rsidR="00054103" w:rsidRPr="00C043E4">
        <w:rPr>
          <w:szCs w:val="20"/>
          <w:lang w:val="en-US"/>
        </w:rPr>
        <w:t>existing human resources</w:t>
      </w:r>
      <w:r w:rsidR="00054103" w:rsidRPr="00B01D15">
        <w:rPr>
          <w:szCs w:val="20"/>
          <w:lang w:val="en-US"/>
        </w:rPr>
        <w:t xml:space="preserve"> </w:t>
      </w:r>
      <w:r w:rsidR="00054103">
        <w:rPr>
          <w:szCs w:val="20"/>
          <w:lang w:val="en-US"/>
        </w:rPr>
        <w:t xml:space="preserve">must also be utilised in the </w:t>
      </w:r>
      <w:r w:rsidRPr="00B01D15">
        <w:rPr>
          <w:szCs w:val="20"/>
          <w:lang w:val="en-US"/>
        </w:rPr>
        <w:t>best</w:t>
      </w:r>
      <w:r w:rsidR="00054103">
        <w:rPr>
          <w:szCs w:val="20"/>
          <w:lang w:val="en-US"/>
        </w:rPr>
        <w:t xml:space="preserve"> way possible. This includes clarifying</w:t>
      </w:r>
      <w:r w:rsidRPr="00B01D15">
        <w:rPr>
          <w:szCs w:val="20"/>
          <w:lang w:val="en-US"/>
        </w:rPr>
        <w:t xml:space="preserve"> </w:t>
      </w:r>
      <w:r w:rsidR="00054103">
        <w:rPr>
          <w:szCs w:val="20"/>
          <w:lang w:val="en-US"/>
        </w:rPr>
        <w:t>the roles and responsibilities</w:t>
      </w:r>
      <w:r w:rsidRPr="00B01D15">
        <w:rPr>
          <w:szCs w:val="20"/>
          <w:lang w:val="en-US"/>
        </w:rPr>
        <w:t xml:space="preserve"> </w:t>
      </w:r>
      <w:r w:rsidR="00054103">
        <w:rPr>
          <w:szCs w:val="20"/>
          <w:lang w:val="en-US"/>
        </w:rPr>
        <w:t>of the</w:t>
      </w:r>
      <w:r w:rsidRPr="00B01D15">
        <w:rPr>
          <w:szCs w:val="20"/>
          <w:lang w:val="en-US"/>
        </w:rPr>
        <w:t xml:space="preserve"> </w:t>
      </w:r>
      <w:r w:rsidR="00054103">
        <w:rPr>
          <w:szCs w:val="20"/>
          <w:lang w:val="en-US"/>
        </w:rPr>
        <w:t xml:space="preserve">Australian </w:t>
      </w:r>
      <w:r w:rsidRPr="00B01D15">
        <w:rPr>
          <w:szCs w:val="20"/>
          <w:lang w:val="en-US"/>
        </w:rPr>
        <w:t>Embassy and Abt</w:t>
      </w:r>
      <w:r w:rsidR="00054103">
        <w:rPr>
          <w:szCs w:val="20"/>
          <w:lang w:val="en-US"/>
        </w:rPr>
        <w:t xml:space="preserve"> Associates personnel, and ensuring respectful and</w:t>
      </w:r>
      <w:r w:rsidRPr="00B01D15">
        <w:rPr>
          <w:szCs w:val="20"/>
          <w:lang w:val="en-US"/>
        </w:rPr>
        <w:t xml:space="preserve"> enabling workplace environments.</w:t>
      </w:r>
    </w:p>
    <w:p w14:paraId="4417FE26" w14:textId="3C6F4BA1" w:rsidR="00B01D15" w:rsidRPr="00B01D15" w:rsidRDefault="00B01D15" w:rsidP="00B01D15">
      <w:pPr>
        <w:rPr>
          <w:szCs w:val="20"/>
          <w:lang w:val="en-US"/>
        </w:rPr>
      </w:pPr>
      <w:r w:rsidRPr="00B01D15">
        <w:rPr>
          <w:szCs w:val="20"/>
          <w:lang w:val="en-US"/>
        </w:rPr>
        <w:t xml:space="preserve">As detailed in the ‘Ways of Working’ </w:t>
      </w:r>
      <w:r w:rsidR="00054103">
        <w:rPr>
          <w:szCs w:val="20"/>
          <w:lang w:val="en-US"/>
        </w:rPr>
        <w:t xml:space="preserve">Partnership Agreement </w:t>
      </w:r>
      <w:r w:rsidRPr="00B01D15">
        <w:rPr>
          <w:szCs w:val="20"/>
          <w:lang w:val="en-US"/>
        </w:rPr>
        <w:t xml:space="preserve">there </w:t>
      </w:r>
      <w:r w:rsidR="00054103">
        <w:rPr>
          <w:szCs w:val="20"/>
          <w:lang w:val="en-US"/>
        </w:rPr>
        <w:t>is a clear delineation</w:t>
      </w:r>
      <w:r w:rsidRPr="00B01D15">
        <w:rPr>
          <w:szCs w:val="20"/>
          <w:lang w:val="en-US"/>
        </w:rPr>
        <w:t xml:space="preserve"> between the roles undertaken by </w:t>
      </w:r>
      <w:r w:rsidR="00054103">
        <w:rPr>
          <w:szCs w:val="20"/>
          <w:lang w:val="en-US"/>
        </w:rPr>
        <w:t xml:space="preserve">the </w:t>
      </w:r>
      <w:r w:rsidRPr="00B01D15">
        <w:rPr>
          <w:szCs w:val="20"/>
          <w:lang w:val="en-US"/>
        </w:rPr>
        <w:t xml:space="preserve">PHD technical and operational </w:t>
      </w:r>
      <w:r w:rsidR="00054103">
        <w:rPr>
          <w:szCs w:val="20"/>
          <w:lang w:val="en-US"/>
        </w:rPr>
        <w:t>teams and Australian E</w:t>
      </w:r>
      <w:r w:rsidRPr="00B01D15">
        <w:rPr>
          <w:szCs w:val="20"/>
          <w:lang w:val="en-US"/>
        </w:rPr>
        <w:t xml:space="preserve">mbassy </w:t>
      </w:r>
      <w:r w:rsidR="00054103">
        <w:rPr>
          <w:szCs w:val="20"/>
          <w:lang w:val="en-US"/>
        </w:rPr>
        <w:t>personnel</w:t>
      </w:r>
      <w:r w:rsidRPr="00B01D15">
        <w:rPr>
          <w:szCs w:val="20"/>
          <w:lang w:val="en-US"/>
        </w:rPr>
        <w:t>. This includes providing an enabling workplace for people from all cultures and backgrounds to contribute to PHD.</w:t>
      </w:r>
    </w:p>
    <w:p w14:paraId="14040C92" w14:textId="3C67EB64" w:rsidR="00B01D15" w:rsidRDefault="00B01D15" w:rsidP="00B01D15">
      <w:pPr>
        <w:rPr>
          <w:szCs w:val="20"/>
          <w:lang w:val="en-US"/>
        </w:rPr>
      </w:pPr>
      <w:r w:rsidRPr="00B01D15">
        <w:rPr>
          <w:szCs w:val="20"/>
          <w:lang w:val="en-US"/>
        </w:rPr>
        <w:t xml:space="preserve">Given the significant challenges identified in shifting PHD from a </w:t>
      </w:r>
      <w:r w:rsidR="00054103">
        <w:rPr>
          <w:szCs w:val="20"/>
          <w:lang w:val="en-US"/>
        </w:rPr>
        <w:t>program focused in</w:t>
      </w:r>
      <w:r w:rsidRPr="00B01D15">
        <w:rPr>
          <w:szCs w:val="20"/>
          <w:lang w:val="en-US"/>
        </w:rPr>
        <w:t xml:space="preserve"> eight </w:t>
      </w:r>
      <w:r w:rsidR="00054103">
        <w:rPr>
          <w:szCs w:val="20"/>
          <w:lang w:val="en-US"/>
        </w:rPr>
        <w:t xml:space="preserve">individual </w:t>
      </w:r>
      <w:r w:rsidRPr="00B01D15">
        <w:rPr>
          <w:szCs w:val="20"/>
          <w:lang w:val="en-US"/>
        </w:rPr>
        <w:t xml:space="preserve">sectors to </w:t>
      </w:r>
      <w:r w:rsidR="00054103">
        <w:rPr>
          <w:szCs w:val="20"/>
          <w:lang w:val="en-US"/>
        </w:rPr>
        <w:t>a comprehensive program</w:t>
      </w:r>
      <w:r w:rsidRPr="00B01D15">
        <w:rPr>
          <w:szCs w:val="20"/>
          <w:lang w:val="en-US"/>
        </w:rPr>
        <w:t xml:space="preserve"> focused on shared objectives and </w:t>
      </w:r>
      <w:r w:rsidR="00054103">
        <w:rPr>
          <w:szCs w:val="20"/>
          <w:lang w:val="en-US"/>
        </w:rPr>
        <w:t>a common goal, it is expected that personnel</w:t>
      </w:r>
      <w:r w:rsidRPr="00B01D15">
        <w:rPr>
          <w:szCs w:val="20"/>
          <w:lang w:val="en-US"/>
        </w:rPr>
        <w:t xml:space="preserve"> will require </w:t>
      </w:r>
      <w:r w:rsidR="00054103">
        <w:rPr>
          <w:szCs w:val="20"/>
          <w:lang w:val="en-US"/>
        </w:rPr>
        <w:t>guidance</w:t>
      </w:r>
      <w:r w:rsidRPr="00B01D15">
        <w:rPr>
          <w:szCs w:val="20"/>
          <w:lang w:val="en-US"/>
        </w:rPr>
        <w:t xml:space="preserve"> and </w:t>
      </w:r>
      <w:r w:rsidR="00054103">
        <w:rPr>
          <w:szCs w:val="20"/>
          <w:lang w:val="en-US"/>
        </w:rPr>
        <w:t>support</w:t>
      </w:r>
      <w:r w:rsidRPr="00B01D15">
        <w:rPr>
          <w:szCs w:val="20"/>
          <w:lang w:val="en-US"/>
        </w:rPr>
        <w:t xml:space="preserve"> to move ahead. </w:t>
      </w:r>
      <w:r w:rsidR="00054103">
        <w:rPr>
          <w:szCs w:val="20"/>
          <w:lang w:val="en-US"/>
        </w:rPr>
        <w:t>Individual staff</w:t>
      </w:r>
      <w:r w:rsidRPr="00B01D15">
        <w:rPr>
          <w:szCs w:val="20"/>
          <w:lang w:val="en-US"/>
        </w:rPr>
        <w:t xml:space="preserve"> development plans will be produced in the </w:t>
      </w:r>
      <w:r w:rsidR="00054103">
        <w:rPr>
          <w:szCs w:val="20"/>
          <w:lang w:val="en-US"/>
        </w:rPr>
        <w:t>first half of</w:t>
      </w:r>
      <w:r w:rsidRPr="00B01D15">
        <w:rPr>
          <w:szCs w:val="20"/>
          <w:lang w:val="en-US"/>
        </w:rPr>
        <w:t xml:space="preserve"> 2017 to address systematic opportunities for staff development and capability building.</w:t>
      </w:r>
    </w:p>
    <w:p w14:paraId="5C23DF5F" w14:textId="4670C4B3" w:rsidR="00FC7160" w:rsidRDefault="00FC7160" w:rsidP="00FC7160">
      <w:pPr>
        <w:pStyle w:val="Heading1"/>
        <w:tabs>
          <w:tab w:val="clear" w:pos="0"/>
          <w:tab w:val="left" w:pos="851"/>
        </w:tabs>
        <w:ind w:left="851" w:hanging="851"/>
      </w:pPr>
      <w:bookmarkStart w:id="15" w:name="_Toc487186324"/>
      <w:r>
        <w:t>Review of the Strategic Framework</w:t>
      </w:r>
      <w:bookmarkEnd w:id="15"/>
    </w:p>
    <w:p w14:paraId="7C8A66A0" w14:textId="05CE490B" w:rsidR="00B01D15" w:rsidRDefault="00054103" w:rsidP="00B01D15">
      <w:pPr>
        <w:rPr>
          <w:lang w:val="en-US"/>
        </w:rPr>
      </w:pPr>
      <w:r>
        <w:rPr>
          <w:lang w:val="en-US"/>
        </w:rPr>
        <w:t>Given</w:t>
      </w:r>
      <w:r w:rsidR="00B01D15">
        <w:rPr>
          <w:lang w:val="en-US"/>
        </w:rPr>
        <w:t xml:space="preserve"> the evolving and emerging nature of PHD, th</w:t>
      </w:r>
      <w:r>
        <w:rPr>
          <w:lang w:val="en-US"/>
        </w:rPr>
        <w:t>is</w:t>
      </w:r>
      <w:r w:rsidR="00B01D15">
        <w:rPr>
          <w:lang w:val="en-US"/>
        </w:rPr>
        <w:t xml:space="preserve"> Strategic</w:t>
      </w:r>
      <w:r w:rsidR="00F208CF">
        <w:rPr>
          <w:lang w:val="en-US"/>
        </w:rPr>
        <w:t xml:space="preserve"> </w:t>
      </w:r>
      <w:r w:rsidR="00B01D15">
        <w:rPr>
          <w:lang w:val="en-US"/>
        </w:rPr>
        <w:t>Framework will be reviewed on an annual basis. The Framework will utilise the evidence base</w:t>
      </w:r>
      <w:r>
        <w:rPr>
          <w:lang w:val="en-US"/>
        </w:rPr>
        <w:t xml:space="preserve"> derived</w:t>
      </w:r>
      <w:r w:rsidR="00B01D15">
        <w:rPr>
          <w:lang w:val="en-US"/>
        </w:rPr>
        <w:t xml:space="preserve"> from PHD to ensure strategic directions are reviewed, budgets and activities updated </w:t>
      </w:r>
      <w:r>
        <w:rPr>
          <w:lang w:val="en-US"/>
        </w:rPr>
        <w:t>as required</w:t>
      </w:r>
      <w:r w:rsidR="00B01D15">
        <w:rPr>
          <w:lang w:val="en-US"/>
        </w:rPr>
        <w:t>, and a revised Plan developed for each year of the program.</w:t>
      </w:r>
    </w:p>
    <w:p w14:paraId="2866F994" w14:textId="6F36D58D" w:rsidR="00014079" w:rsidRPr="00E168BE" w:rsidRDefault="00054103" w:rsidP="00014079">
      <w:pPr>
        <w:rPr>
          <w:lang w:val="en-US"/>
        </w:rPr>
      </w:pPr>
      <w:r>
        <w:rPr>
          <w:lang w:val="en-US"/>
        </w:rPr>
        <w:t>This</w:t>
      </w:r>
      <w:r w:rsidR="00B01D15">
        <w:rPr>
          <w:lang w:val="en-US"/>
        </w:rPr>
        <w:t xml:space="preserve"> Strategic Framework will be accompanied on an annual basis by </w:t>
      </w:r>
      <w:r>
        <w:rPr>
          <w:lang w:val="en-US"/>
        </w:rPr>
        <w:t>the PHD Annual Plan, and</w:t>
      </w:r>
      <w:r w:rsidR="00B01D15">
        <w:rPr>
          <w:lang w:val="en-US"/>
        </w:rPr>
        <w:t xml:space="preserve"> as appropriate, by PHD sector </w:t>
      </w:r>
      <w:r>
        <w:rPr>
          <w:lang w:val="en-US"/>
        </w:rPr>
        <w:t xml:space="preserve">implementation </w:t>
      </w:r>
      <w:r w:rsidR="00B01D15">
        <w:rPr>
          <w:lang w:val="en-US"/>
        </w:rPr>
        <w:t>plans.</w:t>
      </w:r>
    </w:p>
    <w:p w14:paraId="197E7ABA" w14:textId="77777777" w:rsidR="00B01D15" w:rsidRDefault="00B01D15" w:rsidP="008E28F6">
      <w:pPr>
        <w:sectPr w:rsidR="00B01D15" w:rsidSect="00014079">
          <w:pgSz w:w="11907" w:h="16840" w:code="9"/>
          <w:pgMar w:top="1418" w:right="1134" w:bottom="1134" w:left="1418" w:header="851" w:footer="851" w:gutter="0"/>
          <w:pgNumType w:start="1"/>
          <w:cols w:space="708"/>
          <w:docGrid w:linePitch="360"/>
        </w:sectPr>
      </w:pPr>
    </w:p>
    <w:p w14:paraId="145FA893" w14:textId="4F327333" w:rsidR="00FC7160" w:rsidRPr="00FC7160" w:rsidRDefault="00FC7160" w:rsidP="00FC7160">
      <w:pPr>
        <w:pStyle w:val="Caption"/>
        <w:rPr>
          <w:b/>
          <w:color w:val="FF931E"/>
          <w:sz w:val="36"/>
          <w:szCs w:val="36"/>
        </w:rPr>
      </w:pPr>
      <w:bookmarkStart w:id="16" w:name="_Ref487029522"/>
      <w:bookmarkStart w:id="17" w:name="_Toc487186260"/>
      <w:r w:rsidRPr="00FC7160">
        <w:rPr>
          <w:b/>
          <w:color w:val="FF931E"/>
          <w:sz w:val="36"/>
          <w:szCs w:val="36"/>
        </w:rPr>
        <w:lastRenderedPageBreak/>
        <w:t xml:space="preserve">Annex </w:t>
      </w:r>
      <w:r w:rsidRPr="00FC7160">
        <w:rPr>
          <w:b/>
          <w:color w:val="FF931E"/>
          <w:sz w:val="36"/>
          <w:szCs w:val="36"/>
        </w:rPr>
        <w:fldChar w:fldCharType="begin"/>
      </w:r>
      <w:r w:rsidRPr="00FC7160">
        <w:rPr>
          <w:b/>
          <w:color w:val="FF931E"/>
          <w:sz w:val="36"/>
          <w:szCs w:val="36"/>
        </w:rPr>
        <w:instrText xml:space="preserve"> SEQ Annex \* ARABIC </w:instrText>
      </w:r>
      <w:r w:rsidRPr="00FC7160">
        <w:rPr>
          <w:b/>
          <w:color w:val="FF931E"/>
          <w:sz w:val="36"/>
          <w:szCs w:val="36"/>
        </w:rPr>
        <w:fldChar w:fldCharType="separate"/>
      </w:r>
      <w:r w:rsidR="00B84559">
        <w:rPr>
          <w:b/>
          <w:noProof/>
          <w:color w:val="FF931E"/>
          <w:sz w:val="36"/>
          <w:szCs w:val="36"/>
        </w:rPr>
        <w:t>1</w:t>
      </w:r>
      <w:r w:rsidRPr="00FC7160">
        <w:rPr>
          <w:b/>
          <w:color w:val="FF931E"/>
          <w:sz w:val="36"/>
          <w:szCs w:val="36"/>
        </w:rPr>
        <w:fldChar w:fldCharType="end"/>
      </w:r>
      <w:bookmarkEnd w:id="16"/>
      <w:r>
        <w:rPr>
          <w:b/>
          <w:color w:val="FF931E"/>
          <w:sz w:val="36"/>
          <w:szCs w:val="36"/>
        </w:rPr>
        <w:t xml:space="preserve">: </w:t>
      </w:r>
      <w:r w:rsidRPr="00FC7160">
        <w:rPr>
          <w:b/>
          <w:color w:val="FF931E"/>
          <w:sz w:val="36"/>
          <w:szCs w:val="36"/>
        </w:rPr>
        <w:t>PHD Guiding Principles</w:t>
      </w:r>
      <w:bookmarkEnd w:id="17"/>
    </w:p>
    <w:p w14:paraId="2C7E19E2" w14:textId="4A898AB9" w:rsidR="00992DC7" w:rsidRPr="00992DC7" w:rsidRDefault="00992DC7" w:rsidP="00992DC7">
      <w:r w:rsidRPr="00992DC7">
        <w:rPr>
          <w:rStyle w:val="Heading4Char"/>
          <w:b w:val="0"/>
          <w:color w:val="auto"/>
        </w:rPr>
        <w:t>(Taken from the PHD Design Document</w:t>
      </w:r>
      <w:r w:rsidRPr="00992DC7">
        <w:t>)</w:t>
      </w:r>
    </w:p>
    <w:p w14:paraId="7CB3B1D0" w14:textId="29C4702B" w:rsidR="00992DC7" w:rsidRPr="00992DC7" w:rsidRDefault="00992DC7" w:rsidP="00992DC7">
      <w:pPr>
        <w:rPr>
          <w:szCs w:val="20"/>
        </w:rPr>
      </w:pPr>
      <w:r w:rsidRPr="00992DC7">
        <w:rPr>
          <w:szCs w:val="20"/>
        </w:rPr>
        <w:t>Decisions at all levels of the program will be guided by the followi</w:t>
      </w:r>
      <w:r w:rsidR="004B093F">
        <w:rPr>
          <w:szCs w:val="20"/>
        </w:rPr>
        <w:t xml:space="preserve">ng </w:t>
      </w:r>
      <w:r w:rsidRPr="00992DC7">
        <w:rPr>
          <w:szCs w:val="20"/>
        </w:rPr>
        <w:t>core principles:</w:t>
      </w:r>
    </w:p>
    <w:p w14:paraId="17B6D50F" w14:textId="407BA5C3" w:rsidR="00992DC7" w:rsidRPr="00992DC7" w:rsidRDefault="00D15146" w:rsidP="00D15146">
      <w:pPr>
        <w:pStyle w:val="Heading4"/>
        <w:numPr>
          <w:ilvl w:val="0"/>
          <w:numId w:val="0"/>
        </w:numPr>
        <w:ind w:left="864" w:hanging="864"/>
      </w:pPr>
      <w:r>
        <w:t>Principle 1</w:t>
      </w:r>
      <w:r w:rsidR="005E3831">
        <w:t xml:space="preserve"> –</w:t>
      </w:r>
      <w:r>
        <w:t xml:space="preserve"> </w:t>
      </w:r>
      <w:r w:rsidR="00992DC7" w:rsidRPr="00992DC7">
        <w:t xml:space="preserve">Political economy approach.  </w:t>
      </w:r>
    </w:p>
    <w:p w14:paraId="14B97A0B" w14:textId="399A6C18" w:rsidR="00992DC7" w:rsidRPr="00992DC7" w:rsidRDefault="00992DC7" w:rsidP="00992DC7">
      <w:pPr>
        <w:rPr>
          <w:szCs w:val="20"/>
          <w:lang w:eastAsia="en-AU"/>
        </w:rPr>
      </w:pPr>
      <w:r w:rsidRPr="00992DC7">
        <w:rPr>
          <w:szCs w:val="20"/>
        </w:rPr>
        <w:t xml:space="preserve">The choice and scale of interventions at all levels will be guided by an assessment of value for money, including an appreciation of </w:t>
      </w:r>
      <w:r w:rsidR="004B093F">
        <w:rPr>
          <w:szCs w:val="20"/>
        </w:rPr>
        <w:t xml:space="preserve">the institutional environment. </w:t>
      </w:r>
      <w:r w:rsidRPr="00992DC7">
        <w:rPr>
          <w:szCs w:val="20"/>
        </w:rPr>
        <w:t xml:space="preserve">Australia will prioritise support where there is political will, strong leadership and we </w:t>
      </w:r>
      <w:r w:rsidR="004B093F">
        <w:rPr>
          <w:szCs w:val="20"/>
        </w:rPr>
        <w:t>can make the best contribution.</w:t>
      </w:r>
      <w:r w:rsidRPr="00992DC7">
        <w:rPr>
          <w:szCs w:val="20"/>
        </w:rPr>
        <w:t xml:space="preserve"> We will actively assess our engagement and, in consultation with the Government of </w:t>
      </w:r>
      <w:r w:rsidR="00F76E96">
        <w:rPr>
          <w:szCs w:val="20"/>
        </w:rPr>
        <w:t>Timor-Leste</w:t>
      </w:r>
      <w:r w:rsidRPr="00992DC7">
        <w:rPr>
          <w:szCs w:val="20"/>
        </w:rPr>
        <w:t>, where activities are not progressing and results are poor, we will exit or modify our investment.</w:t>
      </w:r>
      <w:r w:rsidRPr="00992DC7">
        <w:rPr>
          <w:rStyle w:val="FootnoteReference"/>
          <w:szCs w:val="20"/>
        </w:rPr>
        <w:footnoteReference w:id="24"/>
      </w:r>
      <w:r w:rsidRPr="00992DC7">
        <w:rPr>
          <w:szCs w:val="20"/>
        </w:rPr>
        <w:t xml:space="preserve"> </w:t>
      </w:r>
      <w:r w:rsidRPr="00992DC7">
        <w:rPr>
          <w:szCs w:val="20"/>
          <w:lang w:eastAsia="en-AU"/>
        </w:rPr>
        <w:t xml:space="preserve">Analysis of political economy drivers will occur </w:t>
      </w:r>
      <w:r w:rsidRPr="00992DC7">
        <w:rPr>
          <w:i/>
          <w:iCs/>
          <w:szCs w:val="20"/>
          <w:lang w:eastAsia="en-AU"/>
        </w:rPr>
        <w:t xml:space="preserve">at all levels of the program </w:t>
      </w:r>
      <w:r w:rsidRPr="00992DC7">
        <w:rPr>
          <w:szCs w:val="20"/>
          <w:lang w:eastAsia="en-AU"/>
        </w:rPr>
        <w:t xml:space="preserve">to ensure we understand the interests, incentives and institutions that are supporting or blocking change, and what role, if any, the program might play in trying to influence positive developmental outcomes. We will only support activities that are </w:t>
      </w:r>
      <w:r w:rsidRPr="00992DC7">
        <w:rPr>
          <w:i/>
          <w:iCs/>
          <w:szCs w:val="20"/>
          <w:lang w:eastAsia="en-AU"/>
        </w:rPr>
        <w:t xml:space="preserve">both </w:t>
      </w:r>
      <w:r w:rsidRPr="00992DC7">
        <w:rPr>
          <w:szCs w:val="20"/>
          <w:lang w:eastAsia="en-AU"/>
        </w:rPr>
        <w:t xml:space="preserve">technically sound </w:t>
      </w:r>
      <w:r w:rsidRPr="00992DC7">
        <w:rPr>
          <w:i/>
          <w:iCs/>
          <w:szCs w:val="20"/>
          <w:lang w:eastAsia="en-AU"/>
        </w:rPr>
        <w:t>and</w:t>
      </w:r>
      <w:r w:rsidRPr="00992DC7">
        <w:rPr>
          <w:szCs w:val="20"/>
          <w:lang w:eastAsia="en-AU"/>
        </w:rPr>
        <w:t xml:space="preserve"> politically feasible.</w:t>
      </w:r>
    </w:p>
    <w:p w14:paraId="2C94DA0E" w14:textId="288E96CD" w:rsidR="00992DC7" w:rsidRPr="00992DC7" w:rsidRDefault="005E3831" w:rsidP="00D15146">
      <w:pPr>
        <w:pStyle w:val="Heading4"/>
        <w:numPr>
          <w:ilvl w:val="0"/>
          <w:numId w:val="0"/>
        </w:numPr>
      </w:pPr>
      <w:r>
        <w:t>Principle 2</w:t>
      </w:r>
      <w:r w:rsidR="00D15146">
        <w:t xml:space="preserve"> </w:t>
      </w:r>
      <w:r>
        <w:t xml:space="preserve">– </w:t>
      </w:r>
      <w:r w:rsidR="00992DC7" w:rsidRPr="00992DC7">
        <w:t xml:space="preserve">Partnerships that support Government of </w:t>
      </w:r>
      <w:r w:rsidR="00F76E96">
        <w:t>Timor-Leste</w:t>
      </w:r>
      <w:r w:rsidR="00992DC7" w:rsidRPr="00992DC7">
        <w:t xml:space="preserve"> policy and investments will be prioritised.  </w:t>
      </w:r>
    </w:p>
    <w:p w14:paraId="2A8BA6AE" w14:textId="07DF7262" w:rsidR="00992DC7" w:rsidRPr="00992DC7" w:rsidRDefault="00992DC7" w:rsidP="00992DC7">
      <w:pPr>
        <w:rPr>
          <w:szCs w:val="20"/>
        </w:rPr>
      </w:pPr>
      <w:r w:rsidRPr="00992DC7">
        <w:rPr>
          <w:szCs w:val="20"/>
        </w:rPr>
        <w:t xml:space="preserve">The program will prioritise investments that support and catalyse the Government of </w:t>
      </w:r>
      <w:r w:rsidR="00F76E96">
        <w:rPr>
          <w:szCs w:val="20"/>
        </w:rPr>
        <w:t>Timor-Leste</w:t>
      </w:r>
      <w:r w:rsidRPr="00992DC7">
        <w:rPr>
          <w:szCs w:val="20"/>
        </w:rPr>
        <w:t xml:space="preserve">’s own pro-poor policies and spending in the social sectors. Activities will be designed around Australia’s value add, and leveraging knowledge and finance, so </w:t>
      </w:r>
      <w:r w:rsidR="004B093F">
        <w:rPr>
          <w:szCs w:val="20"/>
        </w:rPr>
        <w:t xml:space="preserve">the </w:t>
      </w:r>
      <w:r w:rsidRPr="00992DC7">
        <w:rPr>
          <w:szCs w:val="20"/>
        </w:rPr>
        <w:t xml:space="preserve">Government of </w:t>
      </w:r>
      <w:r w:rsidR="00F76E96">
        <w:rPr>
          <w:szCs w:val="20"/>
        </w:rPr>
        <w:t>Timor-Leste</w:t>
      </w:r>
      <w:r w:rsidRPr="00992DC7">
        <w:rPr>
          <w:szCs w:val="20"/>
        </w:rPr>
        <w:t xml:space="preserve">’s social sector spending has greater impact for beneficiaries. Mutual accountability will apply to all investments and form a central plank of discussion </w:t>
      </w:r>
      <w:r w:rsidR="004B093F">
        <w:rPr>
          <w:szCs w:val="20"/>
        </w:rPr>
        <w:t>in the governance arrangements</w:t>
      </w:r>
      <w:r w:rsidRPr="00992DC7">
        <w:rPr>
          <w:szCs w:val="20"/>
        </w:rPr>
        <w:t>.</w:t>
      </w:r>
    </w:p>
    <w:p w14:paraId="7D388DA1" w14:textId="057EE252" w:rsidR="00D15146" w:rsidRPr="00D15146" w:rsidRDefault="005E3831" w:rsidP="00D15146">
      <w:pPr>
        <w:pStyle w:val="Heading4"/>
        <w:numPr>
          <w:ilvl w:val="0"/>
          <w:numId w:val="0"/>
        </w:numPr>
        <w:ind w:left="864" w:hanging="864"/>
      </w:pPr>
      <w:r>
        <w:t>Principle 3 –</w:t>
      </w:r>
      <w:r w:rsidR="00992DC7" w:rsidRPr="00D15146">
        <w:t xml:space="preserve"> Working across sectors where it enhances development outcomes. </w:t>
      </w:r>
    </w:p>
    <w:p w14:paraId="4A861AE8" w14:textId="7148A206" w:rsidR="00992DC7" w:rsidRPr="00992DC7" w:rsidRDefault="004B093F" w:rsidP="00992DC7">
      <w:pPr>
        <w:rPr>
          <w:szCs w:val="20"/>
        </w:rPr>
      </w:pPr>
      <w:r>
        <w:rPr>
          <w:szCs w:val="20"/>
        </w:rPr>
        <w:t>The p</w:t>
      </w:r>
      <w:r w:rsidR="00992DC7" w:rsidRPr="00992DC7">
        <w:rPr>
          <w:szCs w:val="20"/>
        </w:rPr>
        <w:t xml:space="preserve">rogram will operate so there is coherence across the </w:t>
      </w:r>
      <w:r>
        <w:rPr>
          <w:szCs w:val="20"/>
        </w:rPr>
        <w:t>sectors</w:t>
      </w:r>
      <w:r w:rsidR="00992DC7" w:rsidRPr="00992DC7">
        <w:rPr>
          <w:szCs w:val="20"/>
        </w:rPr>
        <w:t xml:space="preserve"> in annual planning, activities and monitoring, and the</w:t>
      </w:r>
      <w:r>
        <w:rPr>
          <w:szCs w:val="20"/>
        </w:rPr>
        <w:t xml:space="preserve"> achievement of synergy in the p</w:t>
      </w:r>
      <w:r w:rsidR="00992DC7" w:rsidRPr="00992DC7">
        <w:rPr>
          <w:szCs w:val="20"/>
        </w:rPr>
        <w:t xml:space="preserve">rogram’s </w:t>
      </w:r>
      <w:r>
        <w:rPr>
          <w:szCs w:val="20"/>
        </w:rPr>
        <w:t>end of program objectives (EOPO)</w:t>
      </w:r>
      <w:r w:rsidR="00992DC7" w:rsidRPr="00992DC7">
        <w:rPr>
          <w:szCs w:val="20"/>
        </w:rPr>
        <w:t xml:space="preserve">. </w:t>
      </w:r>
    </w:p>
    <w:p w14:paraId="402B5E4E" w14:textId="4B98F083" w:rsidR="00D15146" w:rsidRPr="00D15146" w:rsidRDefault="005E3831" w:rsidP="00D15146">
      <w:pPr>
        <w:pStyle w:val="Heading4"/>
        <w:numPr>
          <w:ilvl w:val="0"/>
          <w:numId w:val="0"/>
        </w:numPr>
        <w:ind w:left="864" w:hanging="864"/>
      </w:pPr>
      <w:r>
        <w:t>Principle 4 –</w:t>
      </w:r>
      <w:r w:rsidR="00D15146">
        <w:t xml:space="preserve"> </w:t>
      </w:r>
      <w:r w:rsidR="00992DC7" w:rsidRPr="00D15146">
        <w:t xml:space="preserve">Prioritising investments that benefit women and girls.  </w:t>
      </w:r>
    </w:p>
    <w:p w14:paraId="15C30AE1" w14:textId="5CC38C91" w:rsidR="00992DC7" w:rsidRPr="00992DC7" w:rsidRDefault="00992DC7" w:rsidP="00992DC7">
      <w:pPr>
        <w:rPr>
          <w:szCs w:val="20"/>
        </w:rPr>
      </w:pPr>
      <w:r w:rsidRPr="00992DC7">
        <w:rPr>
          <w:szCs w:val="20"/>
        </w:rPr>
        <w:t>All activity designs need to demonstrate how th</w:t>
      </w:r>
      <w:r w:rsidR="004B093F">
        <w:rPr>
          <w:szCs w:val="20"/>
        </w:rPr>
        <w:t xml:space="preserve">ey prioritise women and girls. </w:t>
      </w:r>
      <w:r w:rsidRPr="00992DC7">
        <w:rPr>
          <w:szCs w:val="20"/>
        </w:rPr>
        <w:t xml:space="preserve">The “if not, why not” principle to show how it benefits women shall apply to all choices at the </w:t>
      </w:r>
      <w:r w:rsidR="004B093F">
        <w:rPr>
          <w:szCs w:val="20"/>
        </w:rPr>
        <w:t>sector</w:t>
      </w:r>
      <w:r w:rsidRPr="00992DC7">
        <w:rPr>
          <w:szCs w:val="20"/>
        </w:rPr>
        <w:t xml:space="preserve">, EOPO and activity level.  Monitoring and reporting will need to disaggregate benefits for women and girls (including those </w:t>
      </w:r>
      <w:r w:rsidR="004B093F">
        <w:rPr>
          <w:szCs w:val="20"/>
        </w:rPr>
        <w:t xml:space="preserve">living </w:t>
      </w:r>
      <w:r w:rsidRPr="00992DC7">
        <w:rPr>
          <w:szCs w:val="20"/>
        </w:rPr>
        <w:t>with</w:t>
      </w:r>
      <w:r w:rsidR="004B093F">
        <w:rPr>
          <w:szCs w:val="20"/>
        </w:rPr>
        <w:t xml:space="preserve"> a disability</w:t>
      </w:r>
      <w:r w:rsidRPr="00992DC7">
        <w:rPr>
          <w:szCs w:val="20"/>
        </w:rPr>
        <w:t>).</w:t>
      </w:r>
    </w:p>
    <w:p w14:paraId="1F7F44F0" w14:textId="6BF9EC06" w:rsidR="00D15146" w:rsidRDefault="00D15146" w:rsidP="00D15146">
      <w:pPr>
        <w:pStyle w:val="Heading4"/>
        <w:numPr>
          <w:ilvl w:val="0"/>
          <w:numId w:val="0"/>
        </w:numPr>
      </w:pPr>
      <w:r>
        <w:t>Principle 5</w:t>
      </w:r>
      <w:r w:rsidR="005E3831">
        <w:t xml:space="preserve"> –</w:t>
      </w:r>
      <w:r>
        <w:t xml:space="preserve"> </w:t>
      </w:r>
      <w:r w:rsidR="00992DC7" w:rsidRPr="00992DC7">
        <w:t xml:space="preserve">Government of </w:t>
      </w:r>
      <w:r w:rsidR="00F76E96">
        <w:t>Timor-Leste</w:t>
      </w:r>
      <w:r w:rsidR="00992DC7" w:rsidRPr="00992DC7">
        <w:t xml:space="preserve">’s fiscal position means service delivery models need to be affordable and sustainable.  </w:t>
      </w:r>
    </w:p>
    <w:p w14:paraId="76850FFC" w14:textId="78604829" w:rsidR="00992DC7" w:rsidRPr="00992DC7" w:rsidRDefault="00992DC7" w:rsidP="00992DC7">
      <w:pPr>
        <w:rPr>
          <w:szCs w:val="20"/>
        </w:rPr>
      </w:pPr>
      <w:r w:rsidRPr="00992DC7">
        <w:rPr>
          <w:szCs w:val="20"/>
        </w:rPr>
        <w:t xml:space="preserve">The Government of </w:t>
      </w:r>
      <w:r w:rsidR="00F76E96">
        <w:rPr>
          <w:szCs w:val="20"/>
        </w:rPr>
        <w:t>Timor-Leste</w:t>
      </w:r>
      <w:r w:rsidRPr="00992DC7">
        <w:rPr>
          <w:szCs w:val="20"/>
        </w:rPr>
        <w:t>’s declining revenue base and plans for increased fiscal austerity in 2016 onwards will underpin all investment choices, policy engagement and activity design. It is acknowledged that fungibility is a risk that will need to be carefully assessed and managed through activity choices and dialogue.</w:t>
      </w:r>
    </w:p>
    <w:p w14:paraId="2197ECC7" w14:textId="49B4A8ED" w:rsidR="00D15146" w:rsidRDefault="005E3831" w:rsidP="00D15146">
      <w:pPr>
        <w:pStyle w:val="Heading4"/>
        <w:numPr>
          <w:ilvl w:val="0"/>
          <w:numId w:val="0"/>
        </w:numPr>
        <w:ind w:left="864" w:hanging="864"/>
      </w:pPr>
      <w:r>
        <w:t>Principle 6 –</w:t>
      </w:r>
      <w:r w:rsidR="00992DC7" w:rsidRPr="00992DC7">
        <w:t xml:space="preserve"> Working responsively and flexibly but with an end goal in sight.  </w:t>
      </w:r>
    </w:p>
    <w:p w14:paraId="69C323DD" w14:textId="427DD895" w:rsidR="00992DC7" w:rsidRPr="00992DC7" w:rsidRDefault="00992DC7" w:rsidP="00992DC7">
      <w:pPr>
        <w:rPr>
          <w:szCs w:val="20"/>
        </w:rPr>
      </w:pPr>
      <w:r w:rsidRPr="00992DC7">
        <w:rPr>
          <w:szCs w:val="20"/>
        </w:rPr>
        <w:t xml:space="preserve">The program will have scope to provide high priority advice and responsive evidence-based information that can inform </w:t>
      </w:r>
      <w:r w:rsidR="004B093F">
        <w:rPr>
          <w:szCs w:val="20"/>
        </w:rPr>
        <w:t xml:space="preserve">the </w:t>
      </w:r>
      <w:r w:rsidRPr="00992DC7">
        <w:rPr>
          <w:szCs w:val="20"/>
        </w:rPr>
        <w:t xml:space="preserve">Government of </w:t>
      </w:r>
      <w:r w:rsidR="00F76E96">
        <w:rPr>
          <w:szCs w:val="20"/>
        </w:rPr>
        <w:t>Timor-Leste</w:t>
      </w:r>
      <w:r w:rsidR="004B093F">
        <w:rPr>
          <w:szCs w:val="20"/>
        </w:rPr>
        <w:t>’s</w:t>
      </w:r>
      <w:r w:rsidRPr="00992DC7">
        <w:rPr>
          <w:szCs w:val="20"/>
        </w:rPr>
        <w:t xml:space="preserve"> decision-making, including informing annual planning,</w:t>
      </w:r>
      <w:r w:rsidR="004B093F">
        <w:rPr>
          <w:szCs w:val="20"/>
        </w:rPr>
        <w:t xml:space="preserve"> budgets and policy decisions. </w:t>
      </w:r>
      <w:r w:rsidRPr="00992DC7">
        <w:rPr>
          <w:szCs w:val="20"/>
        </w:rPr>
        <w:t xml:space="preserve">With limited resources, priority will be for activities that contribute to the agreed </w:t>
      </w:r>
      <w:r w:rsidR="004B093F">
        <w:rPr>
          <w:szCs w:val="20"/>
        </w:rPr>
        <w:t>sector</w:t>
      </w:r>
      <w:r w:rsidRPr="00992DC7">
        <w:rPr>
          <w:szCs w:val="20"/>
        </w:rPr>
        <w:t xml:space="preserve"> level end of program goals but with an appreciation that whole systems need to operate for services to be delivered sustainably. We will not default to large international technical assistance programs that operate at the national level only – there needs to be a link to service delivery and the EOPO to focus the activity. </w:t>
      </w:r>
    </w:p>
    <w:p w14:paraId="6796EBF6" w14:textId="5F0D70B0" w:rsidR="00D15146" w:rsidRDefault="005E3831" w:rsidP="00D15146">
      <w:pPr>
        <w:pStyle w:val="Heading4"/>
        <w:numPr>
          <w:ilvl w:val="0"/>
          <w:numId w:val="0"/>
        </w:numPr>
        <w:ind w:left="864" w:hanging="864"/>
      </w:pPr>
      <w:r>
        <w:t>Principle 7 –</w:t>
      </w:r>
      <w:r w:rsidR="00D15146">
        <w:t xml:space="preserve"> </w:t>
      </w:r>
      <w:r w:rsidR="00992DC7" w:rsidRPr="00992DC7">
        <w:t xml:space="preserve">Continual analysis and learning by doing.  </w:t>
      </w:r>
    </w:p>
    <w:p w14:paraId="7E43D615" w14:textId="1151CB00" w:rsidR="00992DC7" w:rsidRPr="00992DC7" w:rsidRDefault="00992DC7" w:rsidP="00992DC7">
      <w:pPr>
        <w:rPr>
          <w:szCs w:val="20"/>
        </w:rPr>
      </w:pPr>
      <w:r w:rsidRPr="00992DC7">
        <w:rPr>
          <w:szCs w:val="20"/>
        </w:rPr>
        <w:t xml:space="preserve">The program will have the capability to undertake analysis and evaluations and ensure lessons and best practice are fed into program level decisions and activity design across the </w:t>
      </w:r>
      <w:r w:rsidR="004B093F">
        <w:rPr>
          <w:szCs w:val="20"/>
        </w:rPr>
        <w:t>sectors</w:t>
      </w:r>
      <w:r w:rsidRPr="00992DC7">
        <w:rPr>
          <w:szCs w:val="20"/>
        </w:rPr>
        <w:t xml:space="preserve">. It will use pilots and evidence to demonstrate to the Government of </w:t>
      </w:r>
      <w:r w:rsidR="00F76E96">
        <w:rPr>
          <w:szCs w:val="20"/>
        </w:rPr>
        <w:t>Timor-Leste</w:t>
      </w:r>
      <w:r w:rsidRPr="00992DC7">
        <w:rPr>
          <w:szCs w:val="20"/>
        </w:rPr>
        <w:t xml:space="preserve">, DFAT, the contractor, and other partners why certain approaches can improve services, outcomes and value for money. Where appropriate this information should go beyond the program, enabled through the communication strategy. </w:t>
      </w:r>
    </w:p>
    <w:p w14:paraId="73F2796C" w14:textId="7FB02B24" w:rsidR="00D15146" w:rsidRDefault="00992DC7" w:rsidP="00D15146">
      <w:pPr>
        <w:pStyle w:val="Heading4"/>
        <w:numPr>
          <w:ilvl w:val="0"/>
          <w:numId w:val="0"/>
        </w:numPr>
        <w:ind w:left="864" w:hanging="864"/>
      </w:pPr>
      <w:r w:rsidRPr="00992DC7">
        <w:lastRenderedPageBreak/>
        <w:t>Principle 8</w:t>
      </w:r>
      <w:r w:rsidR="005E3831">
        <w:t xml:space="preserve"> –</w:t>
      </w:r>
      <w:r w:rsidRPr="00992DC7">
        <w:t xml:space="preserve"> Innovation and use of the private sector. </w:t>
      </w:r>
    </w:p>
    <w:p w14:paraId="62884F30" w14:textId="5324949C" w:rsidR="00992DC7" w:rsidRDefault="00992DC7" w:rsidP="00992DC7">
      <w:pPr>
        <w:rPr>
          <w:szCs w:val="20"/>
        </w:rPr>
      </w:pPr>
      <w:r w:rsidRPr="00992DC7">
        <w:rPr>
          <w:szCs w:val="20"/>
        </w:rPr>
        <w:t xml:space="preserve">The program will engage with risk and strive to find innovative and transformational approaches to help solve service delivery problems. This program will build on innovations that are working in existing programs in the </w:t>
      </w:r>
      <w:r w:rsidR="00F76E96">
        <w:rPr>
          <w:szCs w:val="20"/>
        </w:rPr>
        <w:t>Timor-Leste</w:t>
      </w:r>
      <w:r w:rsidRPr="00992DC7">
        <w:rPr>
          <w:szCs w:val="20"/>
        </w:rPr>
        <w:t xml:space="preserve"> context including through partnerships with private sector.</w:t>
      </w:r>
    </w:p>
    <w:p w14:paraId="1CDD5A49" w14:textId="44536102" w:rsidR="00BC556E" w:rsidRDefault="00BC556E" w:rsidP="00992DC7">
      <w:pPr>
        <w:rPr>
          <w:szCs w:val="20"/>
        </w:rPr>
      </w:pPr>
    </w:p>
    <w:p w14:paraId="3A34F40F" w14:textId="77777777" w:rsidR="00BC556E" w:rsidRPr="00BC556E" w:rsidRDefault="00BC556E" w:rsidP="00BC556E">
      <w:pPr>
        <w:rPr>
          <w:szCs w:val="20"/>
        </w:rPr>
      </w:pPr>
    </w:p>
    <w:p w14:paraId="0266AF90" w14:textId="77777777" w:rsidR="00BC556E" w:rsidRPr="00BC556E" w:rsidRDefault="00BC556E" w:rsidP="00BC556E">
      <w:pPr>
        <w:rPr>
          <w:szCs w:val="20"/>
        </w:rPr>
      </w:pPr>
    </w:p>
    <w:p w14:paraId="4F770F01" w14:textId="77777777" w:rsidR="00BC556E" w:rsidRPr="00BC556E" w:rsidRDefault="00BC556E" w:rsidP="00BC556E">
      <w:pPr>
        <w:rPr>
          <w:szCs w:val="20"/>
        </w:rPr>
      </w:pPr>
    </w:p>
    <w:p w14:paraId="5B666084" w14:textId="77777777" w:rsidR="00BC556E" w:rsidRPr="00BC556E" w:rsidRDefault="00BC556E" w:rsidP="00BC556E">
      <w:pPr>
        <w:rPr>
          <w:szCs w:val="20"/>
        </w:rPr>
      </w:pPr>
    </w:p>
    <w:p w14:paraId="45780291" w14:textId="77777777" w:rsidR="00BC556E" w:rsidRPr="00BC556E" w:rsidRDefault="00BC556E" w:rsidP="00BC556E">
      <w:pPr>
        <w:rPr>
          <w:szCs w:val="20"/>
        </w:rPr>
      </w:pPr>
    </w:p>
    <w:p w14:paraId="39F4AB41" w14:textId="77777777" w:rsidR="00BC556E" w:rsidRPr="00BC556E" w:rsidRDefault="00BC556E" w:rsidP="00BC556E">
      <w:pPr>
        <w:rPr>
          <w:szCs w:val="20"/>
        </w:rPr>
      </w:pPr>
    </w:p>
    <w:p w14:paraId="0647041C" w14:textId="77777777" w:rsidR="00BC556E" w:rsidRPr="00BC556E" w:rsidRDefault="00BC556E" w:rsidP="00BC556E">
      <w:pPr>
        <w:rPr>
          <w:szCs w:val="20"/>
        </w:rPr>
      </w:pPr>
    </w:p>
    <w:p w14:paraId="4DBD71BA" w14:textId="091638B0" w:rsidR="00BC556E" w:rsidRDefault="00BC556E" w:rsidP="00BC556E">
      <w:pPr>
        <w:tabs>
          <w:tab w:val="left" w:pos="6810"/>
        </w:tabs>
        <w:rPr>
          <w:szCs w:val="20"/>
        </w:rPr>
      </w:pPr>
      <w:r>
        <w:rPr>
          <w:szCs w:val="20"/>
        </w:rPr>
        <w:tab/>
      </w:r>
    </w:p>
    <w:p w14:paraId="47B2A15C" w14:textId="4AC52B2D" w:rsidR="00D15146" w:rsidRPr="00BC556E" w:rsidRDefault="00BC556E" w:rsidP="00BC556E">
      <w:pPr>
        <w:tabs>
          <w:tab w:val="left" w:pos="6810"/>
        </w:tabs>
        <w:rPr>
          <w:szCs w:val="20"/>
        </w:rPr>
        <w:sectPr w:rsidR="00D15146" w:rsidRPr="00BC556E" w:rsidSect="00A472D6">
          <w:pgSz w:w="11907" w:h="16840" w:code="9"/>
          <w:pgMar w:top="1418" w:right="1134" w:bottom="1134" w:left="1418" w:header="851" w:footer="851" w:gutter="0"/>
          <w:cols w:space="708"/>
          <w:docGrid w:linePitch="360"/>
        </w:sectPr>
      </w:pPr>
      <w:r>
        <w:rPr>
          <w:szCs w:val="20"/>
        </w:rPr>
        <w:tab/>
      </w:r>
    </w:p>
    <w:p w14:paraId="587E3308" w14:textId="2D858B5A" w:rsidR="00FC7160" w:rsidRPr="00FC7160" w:rsidRDefault="00FC7160" w:rsidP="00FC7160">
      <w:pPr>
        <w:pStyle w:val="Caption"/>
        <w:rPr>
          <w:b/>
          <w:color w:val="FF931E"/>
          <w:sz w:val="36"/>
          <w:szCs w:val="36"/>
        </w:rPr>
      </w:pPr>
      <w:bookmarkStart w:id="18" w:name="_Ref487100590"/>
      <w:bookmarkStart w:id="19" w:name="_Toc487186261"/>
      <w:bookmarkStart w:id="20" w:name="_Toc472091379"/>
      <w:r w:rsidRPr="00FC7160">
        <w:rPr>
          <w:b/>
          <w:color w:val="FF931E"/>
          <w:sz w:val="36"/>
          <w:szCs w:val="36"/>
        </w:rPr>
        <w:lastRenderedPageBreak/>
        <w:t xml:space="preserve">Annex </w:t>
      </w:r>
      <w:r w:rsidRPr="00FC7160">
        <w:rPr>
          <w:b/>
          <w:color w:val="FF931E"/>
          <w:sz w:val="36"/>
          <w:szCs w:val="36"/>
        </w:rPr>
        <w:fldChar w:fldCharType="begin"/>
      </w:r>
      <w:r w:rsidRPr="00FC7160">
        <w:rPr>
          <w:b/>
          <w:color w:val="FF931E"/>
          <w:sz w:val="36"/>
          <w:szCs w:val="36"/>
        </w:rPr>
        <w:instrText xml:space="preserve"> SEQ Annex \* ARABIC </w:instrText>
      </w:r>
      <w:r w:rsidRPr="00FC7160">
        <w:rPr>
          <w:b/>
          <w:color w:val="FF931E"/>
          <w:sz w:val="36"/>
          <w:szCs w:val="36"/>
        </w:rPr>
        <w:fldChar w:fldCharType="separate"/>
      </w:r>
      <w:r w:rsidR="00B84559">
        <w:rPr>
          <w:b/>
          <w:noProof/>
          <w:color w:val="FF931E"/>
          <w:sz w:val="36"/>
          <w:szCs w:val="36"/>
        </w:rPr>
        <w:t>2</w:t>
      </w:r>
      <w:r w:rsidRPr="00FC7160">
        <w:rPr>
          <w:b/>
          <w:color w:val="FF931E"/>
          <w:sz w:val="36"/>
          <w:szCs w:val="36"/>
        </w:rPr>
        <w:fldChar w:fldCharType="end"/>
      </w:r>
      <w:bookmarkEnd w:id="18"/>
      <w:r>
        <w:rPr>
          <w:b/>
          <w:color w:val="FF931E"/>
          <w:sz w:val="36"/>
          <w:szCs w:val="36"/>
        </w:rPr>
        <w:t>:</w:t>
      </w:r>
      <w:r w:rsidR="004B093F">
        <w:rPr>
          <w:b/>
          <w:color w:val="FF931E"/>
          <w:sz w:val="36"/>
          <w:szCs w:val="36"/>
        </w:rPr>
        <w:t xml:space="preserve"> Government</w:t>
      </w:r>
      <w:r w:rsidRPr="00FC7160">
        <w:rPr>
          <w:b/>
          <w:color w:val="FF931E"/>
          <w:sz w:val="36"/>
          <w:szCs w:val="36"/>
        </w:rPr>
        <w:t xml:space="preserve"> </w:t>
      </w:r>
      <w:r w:rsidR="004B093F">
        <w:rPr>
          <w:b/>
          <w:color w:val="FF931E"/>
          <w:sz w:val="36"/>
          <w:szCs w:val="36"/>
        </w:rPr>
        <w:t>Counterparts</w:t>
      </w:r>
      <w:bookmarkEnd w:id="19"/>
    </w:p>
    <w:bookmarkEnd w:id="20"/>
    <w:p w14:paraId="5B55D632" w14:textId="08E79A16" w:rsidR="00D15146" w:rsidRDefault="000F5235" w:rsidP="000F5235">
      <w:pPr>
        <w:jc w:val="center"/>
      </w:pPr>
      <w:r>
        <w:rPr>
          <w:noProof/>
          <w:lang w:eastAsia="en-AU"/>
        </w:rPr>
        <w:drawing>
          <wp:inline distT="0" distB="0" distL="0" distR="0" wp14:anchorId="380EEC73" wp14:editId="64F1068E">
            <wp:extent cx="7376160" cy="504257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3078"/>
                    <a:stretch/>
                  </pic:blipFill>
                  <pic:spPr bwMode="auto">
                    <a:xfrm>
                      <a:off x="0" y="0"/>
                      <a:ext cx="7385275" cy="5048803"/>
                    </a:xfrm>
                    <a:prstGeom prst="rect">
                      <a:avLst/>
                    </a:prstGeom>
                    <a:ln>
                      <a:noFill/>
                    </a:ln>
                    <a:extLst>
                      <a:ext uri="{53640926-AAD7-44D8-BBD7-CCE9431645EC}">
                        <a14:shadowObscured xmlns:a14="http://schemas.microsoft.com/office/drawing/2010/main"/>
                      </a:ext>
                    </a:extLst>
                  </pic:spPr>
                </pic:pic>
              </a:graphicData>
            </a:graphic>
          </wp:inline>
        </w:drawing>
      </w:r>
    </w:p>
    <w:p w14:paraId="1BAFFE1C" w14:textId="77777777" w:rsidR="00D15146" w:rsidRDefault="00D15146" w:rsidP="000F5235">
      <w:pPr>
        <w:jc w:val="center"/>
        <w:sectPr w:rsidR="00D15146" w:rsidSect="00BC556E">
          <w:headerReference w:type="default" r:id="rId16"/>
          <w:footerReference w:type="default" r:id="rId17"/>
          <w:pgSz w:w="16840" w:h="11907" w:orient="landscape" w:code="9"/>
          <w:pgMar w:top="1418" w:right="1418" w:bottom="1134" w:left="1134" w:header="851" w:footer="851" w:gutter="0"/>
          <w:cols w:space="708"/>
          <w:docGrid w:linePitch="360"/>
        </w:sectPr>
      </w:pPr>
    </w:p>
    <w:p w14:paraId="2E3CAE62" w14:textId="48ADD90B" w:rsidR="00FC7160" w:rsidRPr="00FC7160" w:rsidRDefault="00FC7160" w:rsidP="00FC7160">
      <w:pPr>
        <w:pStyle w:val="Caption"/>
        <w:rPr>
          <w:b/>
          <w:color w:val="FF931E"/>
          <w:sz w:val="36"/>
          <w:szCs w:val="36"/>
        </w:rPr>
      </w:pPr>
      <w:bookmarkStart w:id="21" w:name="_Ref487116118"/>
      <w:bookmarkStart w:id="22" w:name="_Toc487186262"/>
      <w:r w:rsidRPr="00FC7160">
        <w:rPr>
          <w:b/>
          <w:color w:val="FF931E"/>
          <w:sz w:val="36"/>
          <w:szCs w:val="36"/>
        </w:rPr>
        <w:lastRenderedPageBreak/>
        <w:t xml:space="preserve">Annex </w:t>
      </w:r>
      <w:r w:rsidRPr="00FC7160">
        <w:rPr>
          <w:b/>
          <w:color w:val="FF931E"/>
          <w:sz w:val="36"/>
          <w:szCs w:val="36"/>
        </w:rPr>
        <w:fldChar w:fldCharType="begin"/>
      </w:r>
      <w:r w:rsidRPr="00FC7160">
        <w:rPr>
          <w:b/>
          <w:color w:val="FF931E"/>
          <w:sz w:val="36"/>
          <w:szCs w:val="36"/>
        </w:rPr>
        <w:instrText xml:space="preserve"> SEQ Annex \* ARABIC </w:instrText>
      </w:r>
      <w:r w:rsidRPr="00FC7160">
        <w:rPr>
          <w:b/>
          <w:color w:val="FF931E"/>
          <w:sz w:val="36"/>
          <w:szCs w:val="36"/>
        </w:rPr>
        <w:fldChar w:fldCharType="separate"/>
      </w:r>
      <w:r w:rsidR="00B84559">
        <w:rPr>
          <w:b/>
          <w:noProof/>
          <w:color w:val="FF931E"/>
          <w:sz w:val="36"/>
          <w:szCs w:val="36"/>
        </w:rPr>
        <w:t>3</w:t>
      </w:r>
      <w:r w:rsidRPr="00FC7160">
        <w:rPr>
          <w:b/>
          <w:color w:val="FF931E"/>
          <w:sz w:val="36"/>
          <w:szCs w:val="36"/>
        </w:rPr>
        <w:fldChar w:fldCharType="end"/>
      </w:r>
      <w:bookmarkEnd w:id="21"/>
      <w:r w:rsidRPr="00FC7160">
        <w:rPr>
          <w:b/>
          <w:color w:val="FF931E"/>
          <w:sz w:val="36"/>
          <w:szCs w:val="36"/>
        </w:rPr>
        <w:t>: Framework Implementation</w:t>
      </w:r>
      <w:bookmarkEnd w:id="22"/>
    </w:p>
    <w:tbl>
      <w:tblPr>
        <w:tblStyle w:val="TableGrid"/>
        <w:tblW w:w="0" w:type="auto"/>
        <w:tblBorders>
          <w:top w:val="single" w:sz="8" w:space="0" w:color="FF931E"/>
          <w:left w:val="single" w:sz="8" w:space="0" w:color="FF931E"/>
          <w:bottom w:val="single" w:sz="8" w:space="0" w:color="FF931E"/>
          <w:right w:val="single" w:sz="8" w:space="0" w:color="FF931E"/>
          <w:insideH w:val="single" w:sz="8" w:space="0" w:color="FF931E"/>
          <w:insideV w:val="single" w:sz="8" w:space="0" w:color="FF931E"/>
        </w:tblBorders>
        <w:tblLook w:val="04A0" w:firstRow="1" w:lastRow="0" w:firstColumn="1" w:lastColumn="0" w:noHBand="0" w:noVBand="1"/>
      </w:tblPr>
      <w:tblGrid>
        <w:gridCol w:w="2258"/>
        <w:gridCol w:w="7088"/>
        <w:gridCol w:w="2126"/>
        <w:gridCol w:w="2410"/>
      </w:tblGrid>
      <w:tr w:rsidR="00D15146" w:rsidRPr="00D15146" w14:paraId="3C903295" w14:textId="77777777" w:rsidTr="00D15146">
        <w:tc>
          <w:tcPr>
            <w:tcW w:w="2258" w:type="dxa"/>
            <w:shd w:val="clear" w:color="auto" w:fill="FDE5CC" w:themeFill="accent1" w:themeFillTint="33"/>
          </w:tcPr>
          <w:p w14:paraId="40D11877" w14:textId="77777777" w:rsidR="00D15146" w:rsidRPr="00D15146" w:rsidRDefault="00D15146" w:rsidP="00D15146">
            <w:pPr>
              <w:spacing w:before="60" w:after="60" w:line="259" w:lineRule="auto"/>
              <w:rPr>
                <w:b/>
                <w:sz w:val="18"/>
                <w:szCs w:val="18"/>
                <w:lang w:val="en-US"/>
              </w:rPr>
            </w:pPr>
            <w:r w:rsidRPr="00D15146">
              <w:rPr>
                <w:b/>
                <w:sz w:val="18"/>
                <w:szCs w:val="18"/>
                <w:lang w:val="en-US"/>
              </w:rPr>
              <w:t>Strategy</w:t>
            </w:r>
          </w:p>
        </w:tc>
        <w:tc>
          <w:tcPr>
            <w:tcW w:w="7088" w:type="dxa"/>
            <w:shd w:val="clear" w:color="auto" w:fill="FDE5CC" w:themeFill="accent1" w:themeFillTint="33"/>
          </w:tcPr>
          <w:p w14:paraId="30A46280" w14:textId="77777777" w:rsidR="00D15146" w:rsidRPr="00D15146" w:rsidRDefault="00D15146" w:rsidP="00D15146">
            <w:pPr>
              <w:spacing w:before="60" w:after="60" w:line="259" w:lineRule="auto"/>
              <w:rPr>
                <w:b/>
                <w:sz w:val="18"/>
                <w:szCs w:val="18"/>
                <w:lang w:val="en-US"/>
              </w:rPr>
            </w:pPr>
            <w:r w:rsidRPr="00D15146">
              <w:rPr>
                <w:b/>
                <w:sz w:val="18"/>
                <w:szCs w:val="18"/>
                <w:lang w:val="en-US"/>
              </w:rPr>
              <w:t>Implementation</w:t>
            </w:r>
          </w:p>
        </w:tc>
        <w:tc>
          <w:tcPr>
            <w:tcW w:w="2126" w:type="dxa"/>
            <w:shd w:val="clear" w:color="auto" w:fill="FDE5CC" w:themeFill="accent1" w:themeFillTint="33"/>
          </w:tcPr>
          <w:p w14:paraId="2D63971A" w14:textId="77777777" w:rsidR="00D15146" w:rsidRPr="00D15146" w:rsidRDefault="00D15146" w:rsidP="00D15146">
            <w:pPr>
              <w:spacing w:before="60" w:after="60" w:line="259" w:lineRule="auto"/>
              <w:rPr>
                <w:b/>
                <w:sz w:val="18"/>
                <w:szCs w:val="18"/>
                <w:lang w:val="en-US"/>
              </w:rPr>
            </w:pPr>
            <w:r w:rsidRPr="00D15146">
              <w:rPr>
                <w:b/>
                <w:sz w:val="18"/>
                <w:szCs w:val="18"/>
                <w:lang w:val="en-US"/>
              </w:rPr>
              <w:t>Timing</w:t>
            </w:r>
          </w:p>
        </w:tc>
        <w:tc>
          <w:tcPr>
            <w:tcW w:w="2410" w:type="dxa"/>
            <w:shd w:val="clear" w:color="auto" w:fill="FDE5CC" w:themeFill="accent1" w:themeFillTint="33"/>
          </w:tcPr>
          <w:p w14:paraId="60A888AD" w14:textId="77777777" w:rsidR="00D15146" w:rsidRPr="00D15146" w:rsidRDefault="00D15146" w:rsidP="00D15146">
            <w:pPr>
              <w:spacing w:before="60" w:after="60" w:line="259" w:lineRule="auto"/>
              <w:rPr>
                <w:b/>
                <w:sz w:val="18"/>
                <w:szCs w:val="18"/>
                <w:lang w:val="en-US"/>
              </w:rPr>
            </w:pPr>
            <w:r w:rsidRPr="00D15146">
              <w:rPr>
                <w:b/>
                <w:sz w:val="18"/>
                <w:szCs w:val="18"/>
                <w:lang w:val="en-US"/>
              </w:rPr>
              <w:t>Responsibility/ Resourcing</w:t>
            </w:r>
          </w:p>
        </w:tc>
      </w:tr>
      <w:tr w:rsidR="00D15146" w:rsidRPr="00D15146" w14:paraId="68C22FD6" w14:textId="77777777" w:rsidTr="00D15146">
        <w:trPr>
          <w:trHeight w:val="2304"/>
        </w:trPr>
        <w:tc>
          <w:tcPr>
            <w:tcW w:w="2258" w:type="dxa"/>
            <w:vMerge w:val="restart"/>
          </w:tcPr>
          <w:p w14:paraId="02F160E3" w14:textId="77777777" w:rsidR="00D15146" w:rsidRPr="00703546" w:rsidRDefault="00D15146" w:rsidP="00703546">
            <w:pPr>
              <w:spacing w:before="60" w:after="60" w:line="259" w:lineRule="auto"/>
              <w:jc w:val="left"/>
              <w:rPr>
                <w:b/>
                <w:sz w:val="18"/>
                <w:szCs w:val="18"/>
                <w:lang w:val="en-US"/>
              </w:rPr>
            </w:pPr>
            <w:r w:rsidRPr="00703546">
              <w:rPr>
                <w:b/>
                <w:sz w:val="18"/>
                <w:szCs w:val="18"/>
                <w:lang w:val="en-US"/>
              </w:rPr>
              <w:t>Geographic clustering of activities</w:t>
            </w:r>
          </w:p>
        </w:tc>
        <w:tc>
          <w:tcPr>
            <w:tcW w:w="7088" w:type="dxa"/>
          </w:tcPr>
          <w:p w14:paraId="011EA761" w14:textId="77777777" w:rsidR="00D15146" w:rsidRPr="004B093F" w:rsidRDefault="00D15146" w:rsidP="00D15146">
            <w:pPr>
              <w:spacing w:before="60" w:after="60" w:line="259" w:lineRule="auto"/>
              <w:rPr>
                <w:sz w:val="18"/>
                <w:szCs w:val="18"/>
                <w:u w:val="single"/>
                <w:lang w:val="en-US"/>
              </w:rPr>
            </w:pPr>
            <w:r w:rsidRPr="004B093F">
              <w:rPr>
                <w:sz w:val="18"/>
                <w:szCs w:val="18"/>
                <w:u w:val="single"/>
                <w:lang w:val="en-US"/>
              </w:rPr>
              <w:t>Purpose:</w:t>
            </w:r>
          </w:p>
          <w:p w14:paraId="1007EF96" w14:textId="78A4D802" w:rsidR="00D15146" w:rsidRPr="00597825" w:rsidRDefault="00D15146" w:rsidP="00597825">
            <w:pPr>
              <w:pStyle w:val="TableBullet"/>
              <w:rPr>
                <w:sz w:val="18"/>
                <w:szCs w:val="18"/>
              </w:rPr>
            </w:pPr>
            <w:r w:rsidRPr="00597825">
              <w:rPr>
                <w:sz w:val="18"/>
                <w:szCs w:val="18"/>
              </w:rPr>
              <w:t>Demonstrate solutions at</w:t>
            </w:r>
            <w:r w:rsidR="004B093F" w:rsidRPr="00597825">
              <w:rPr>
                <w:sz w:val="18"/>
                <w:szCs w:val="18"/>
              </w:rPr>
              <w:t xml:space="preserve"> the local level which are cross</w:t>
            </w:r>
            <w:r w:rsidRPr="00597825">
              <w:rPr>
                <w:sz w:val="18"/>
                <w:szCs w:val="18"/>
              </w:rPr>
              <w:t>-sector</w:t>
            </w:r>
            <w:r w:rsidR="004B093F" w:rsidRPr="00597825">
              <w:rPr>
                <w:sz w:val="18"/>
                <w:szCs w:val="18"/>
              </w:rPr>
              <w:t>al.</w:t>
            </w:r>
          </w:p>
          <w:p w14:paraId="1B7F1293" w14:textId="7E97202B" w:rsidR="00D15146" w:rsidRPr="00597825" w:rsidRDefault="00D15146" w:rsidP="00597825">
            <w:pPr>
              <w:pStyle w:val="TableBullet"/>
              <w:rPr>
                <w:sz w:val="18"/>
                <w:szCs w:val="18"/>
              </w:rPr>
            </w:pPr>
            <w:r w:rsidRPr="00597825">
              <w:rPr>
                <w:sz w:val="18"/>
                <w:szCs w:val="18"/>
              </w:rPr>
              <w:t xml:space="preserve">Demonstrated increased effectiveness and efficiency through coordinated engagement with </w:t>
            </w:r>
            <w:r w:rsidR="004B093F" w:rsidRPr="00597825">
              <w:rPr>
                <w:sz w:val="18"/>
                <w:szCs w:val="18"/>
              </w:rPr>
              <w:t xml:space="preserve">the </w:t>
            </w:r>
            <w:r w:rsidRPr="00597825">
              <w:rPr>
                <w:sz w:val="18"/>
                <w:szCs w:val="18"/>
              </w:rPr>
              <w:t>municipality</w:t>
            </w:r>
            <w:r w:rsidR="004B093F" w:rsidRPr="00597825">
              <w:rPr>
                <w:sz w:val="18"/>
                <w:szCs w:val="18"/>
              </w:rPr>
              <w:t>.</w:t>
            </w:r>
          </w:p>
          <w:p w14:paraId="74F843E2" w14:textId="77777777" w:rsidR="00D15146" w:rsidRPr="00597825" w:rsidRDefault="00D15146" w:rsidP="00597825">
            <w:pPr>
              <w:pStyle w:val="TableBullet"/>
              <w:rPr>
                <w:sz w:val="18"/>
                <w:szCs w:val="18"/>
              </w:rPr>
            </w:pPr>
            <w:r w:rsidRPr="00597825">
              <w:rPr>
                <w:sz w:val="18"/>
                <w:szCs w:val="18"/>
              </w:rPr>
              <w:t>Demonstrate ways of working with local leadership and others to resolve barriers to service delivery at the local level in order that this contributes to evidence and experience that can be replicated elsewhere.</w:t>
            </w:r>
          </w:p>
          <w:p w14:paraId="73512724" w14:textId="77777777" w:rsidR="00D15146" w:rsidRPr="004B093F" w:rsidRDefault="00D15146" w:rsidP="00D15146">
            <w:pPr>
              <w:spacing w:before="60" w:after="60" w:line="259" w:lineRule="auto"/>
              <w:rPr>
                <w:sz w:val="18"/>
                <w:szCs w:val="18"/>
                <w:u w:val="single"/>
                <w:lang w:val="en-US"/>
              </w:rPr>
            </w:pPr>
            <w:r w:rsidRPr="004B093F">
              <w:rPr>
                <w:sz w:val="18"/>
                <w:szCs w:val="18"/>
                <w:u w:val="single"/>
                <w:lang w:val="en-US"/>
              </w:rPr>
              <w:t xml:space="preserve">Location: </w:t>
            </w:r>
          </w:p>
          <w:p w14:paraId="0B577B9B" w14:textId="77777777" w:rsidR="00D15146" w:rsidRPr="00597825" w:rsidRDefault="00D15146" w:rsidP="00597825">
            <w:pPr>
              <w:pStyle w:val="TableBullet"/>
              <w:rPr>
                <w:sz w:val="18"/>
                <w:szCs w:val="18"/>
              </w:rPr>
            </w:pPr>
            <w:r w:rsidRPr="00597825">
              <w:rPr>
                <w:sz w:val="18"/>
                <w:szCs w:val="18"/>
              </w:rPr>
              <w:t>Initial location proposed to be Bobonaro (based on review of existing activities and partner relationships).</w:t>
            </w:r>
          </w:p>
        </w:tc>
        <w:tc>
          <w:tcPr>
            <w:tcW w:w="2126" w:type="dxa"/>
          </w:tcPr>
          <w:p w14:paraId="362D8F99" w14:textId="339EF84A" w:rsidR="00D15146" w:rsidRPr="00D15146" w:rsidRDefault="004B093F" w:rsidP="004B093F">
            <w:pPr>
              <w:spacing w:before="60" w:after="60" w:line="259" w:lineRule="auto"/>
              <w:jc w:val="left"/>
              <w:rPr>
                <w:sz w:val="18"/>
                <w:szCs w:val="18"/>
                <w:lang w:val="en-US"/>
              </w:rPr>
            </w:pPr>
            <w:r>
              <w:rPr>
                <w:sz w:val="18"/>
                <w:szCs w:val="18"/>
                <w:lang w:val="en-US"/>
              </w:rPr>
              <w:t>Initial exploration early 2017</w:t>
            </w:r>
          </w:p>
          <w:p w14:paraId="0CEAB375" w14:textId="493E20E4" w:rsidR="00D15146" w:rsidRPr="00D15146" w:rsidRDefault="00D15146" w:rsidP="004B093F">
            <w:pPr>
              <w:spacing w:before="60" w:after="60" w:line="259" w:lineRule="auto"/>
              <w:jc w:val="left"/>
              <w:rPr>
                <w:sz w:val="18"/>
                <w:szCs w:val="18"/>
                <w:lang w:val="en-US"/>
              </w:rPr>
            </w:pPr>
            <w:r w:rsidRPr="00D15146">
              <w:rPr>
                <w:sz w:val="18"/>
                <w:szCs w:val="18"/>
                <w:lang w:val="en-US"/>
              </w:rPr>
              <w:t>More comprehensive planning and imp</w:t>
            </w:r>
            <w:r w:rsidR="004B093F">
              <w:rPr>
                <w:sz w:val="18"/>
                <w:szCs w:val="18"/>
                <w:lang w:val="en-US"/>
              </w:rPr>
              <w:t>lementation post elections 2017</w:t>
            </w:r>
          </w:p>
        </w:tc>
        <w:tc>
          <w:tcPr>
            <w:tcW w:w="2410" w:type="dxa"/>
          </w:tcPr>
          <w:p w14:paraId="22F33EF0"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PHD and Embassy</w:t>
            </w:r>
          </w:p>
        </w:tc>
      </w:tr>
      <w:tr w:rsidR="00D15146" w:rsidRPr="00D15146" w14:paraId="7293CE32" w14:textId="77777777" w:rsidTr="00D15146">
        <w:trPr>
          <w:trHeight w:val="528"/>
        </w:trPr>
        <w:tc>
          <w:tcPr>
            <w:tcW w:w="2258" w:type="dxa"/>
            <w:vMerge/>
          </w:tcPr>
          <w:p w14:paraId="7CB21CD9" w14:textId="77777777" w:rsidR="00D15146" w:rsidRPr="00D15146" w:rsidRDefault="00D15146" w:rsidP="00D15146">
            <w:pPr>
              <w:spacing w:before="60" w:after="60" w:line="259" w:lineRule="auto"/>
              <w:rPr>
                <w:sz w:val="18"/>
                <w:szCs w:val="18"/>
                <w:lang w:val="en-US"/>
              </w:rPr>
            </w:pPr>
          </w:p>
        </w:tc>
        <w:tc>
          <w:tcPr>
            <w:tcW w:w="7088" w:type="dxa"/>
          </w:tcPr>
          <w:p w14:paraId="5809B78D" w14:textId="5B4537D6" w:rsidR="00D15146" w:rsidRPr="00D15146" w:rsidRDefault="00D15146" w:rsidP="00D15146">
            <w:pPr>
              <w:spacing w:before="60" w:after="60" w:line="259" w:lineRule="auto"/>
              <w:rPr>
                <w:sz w:val="18"/>
                <w:szCs w:val="18"/>
                <w:lang w:val="en-US"/>
              </w:rPr>
            </w:pPr>
            <w:r w:rsidRPr="00D15146">
              <w:rPr>
                <w:sz w:val="18"/>
                <w:szCs w:val="18"/>
                <w:lang w:val="en-US"/>
              </w:rPr>
              <w:t xml:space="preserve">Second location to be identified in collaboration with Government of </w:t>
            </w:r>
            <w:r w:rsidR="00F76E96">
              <w:rPr>
                <w:sz w:val="18"/>
                <w:szCs w:val="18"/>
                <w:lang w:val="en-US"/>
              </w:rPr>
              <w:t>Timor-Leste</w:t>
            </w:r>
            <w:r w:rsidRPr="00D15146">
              <w:rPr>
                <w:sz w:val="18"/>
                <w:szCs w:val="18"/>
                <w:lang w:val="en-US"/>
              </w:rPr>
              <w:t xml:space="preserve"> and following a transparent set of agreed criteria. These cri</w:t>
            </w:r>
            <w:r w:rsidR="00DD53E0">
              <w:rPr>
                <w:sz w:val="18"/>
                <w:szCs w:val="18"/>
                <w:lang w:val="en-US"/>
              </w:rPr>
              <w:t xml:space="preserve">teria are included at </w:t>
            </w:r>
            <w:r w:rsidR="00DD53E0" w:rsidRPr="00DD53E0">
              <w:rPr>
                <w:sz w:val="18"/>
                <w:szCs w:val="18"/>
                <w:lang w:val="en-US"/>
              </w:rPr>
              <w:fldChar w:fldCharType="begin"/>
            </w:r>
            <w:r w:rsidR="00DD53E0" w:rsidRPr="00DD53E0">
              <w:rPr>
                <w:sz w:val="18"/>
                <w:szCs w:val="18"/>
                <w:lang w:val="en-US"/>
              </w:rPr>
              <w:instrText xml:space="preserve"> REF _Ref487101956 \h  \* MERGEFORMAT </w:instrText>
            </w:r>
            <w:r w:rsidR="00DD53E0" w:rsidRPr="00DD53E0">
              <w:rPr>
                <w:sz w:val="18"/>
                <w:szCs w:val="18"/>
                <w:lang w:val="en-US"/>
              </w:rPr>
            </w:r>
            <w:r w:rsidR="00DD53E0" w:rsidRPr="00DD53E0">
              <w:rPr>
                <w:sz w:val="18"/>
                <w:szCs w:val="18"/>
                <w:lang w:val="en-US"/>
              </w:rPr>
              <w:fldChar w:fldCharType="separate"/>
            </w:r>
            <w:r w:rsidR="00B84559" w:rsidRPr="00B84559">
              <w:rPr>
                <w:sz w:val="18"/>
                <w:szCs w:val="18"/>
              </w:rPr>
              <w:t xml:space="preserve">Annex </w:t>
            </w:r>
            <w:r w:rsidR="00B84559" w:rsidRPr="00B84559">
              <w:rPr>
                <w:noProof/>
                <w:sz w:val="18"/>
                <w:szCs w:val="18"/>
              </w:rPr>
              <w:t>4</w:t>
            </w:r>
            <w:r w:rsidR="00DD53E0" w:rsidRPr="00DD53E0">
              <w:rPr>
                <w:sz w:val="18"/>
                <w:szCs w:val="18"/>
                <w:lang w:val="en-US"/>
              </w:rPr>
              <w:fldChar w:fldCharType="end"/>
            </w:r>
            <w:r w:rsidRPr="00D15146">
              <w:rPr>
                <w:sz w:val="18"/>
                <w:szCs w:val="18"/>
                <w:lang w:val="en-US"/>
              </w:rPr>
              <w:t>.</w:t>
            </w:r>
          </w:p>
        </w:tc>
        <w:tc>
          <w:tcPr>
            <w:tcW w:w="2126" w:type="dxa"/>
          </w:tcPr>
          <w:p w14:paraId="07D38CD8"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Post-elections</w:t>
            </w:r>
          </w:p>
        </w:tc>
        <w:tc>
          <w:tcPr>
            <w:tcW w:w="2410" w:type="dxa"/>
          </w:tcPr>
          <w:p w14:paraId="59CEEE2B" w14:textId="6AA8A8D0" w:rsidR="00D15146" w:rsidRPr="00D15146" w:rsidRDefault="00D15146" w:rsidP="004B093F">
            <w:pPr>
              <w:spacing w:before="60" w:after="60" w:line="259" w:lineRule="auto"/>
              <w:jc w:val="left"/>
              <w:rPr>
                <w:sz w:val="18"/>
                <w:szCs w:val="18"/>
                <w:lang w:val="en-US"/>
              </w:rPr>
            </w:pPr>
            <w:r w:rsidRPr="00D15146">
              <w:rPr>
                <w:sz w:val="18"/>
                <w:szCs w:val="18"/>
                <w:lang w:val="en-US"/>
              </w:rPr>
              <w:t xml:space="preserve">Embassy supported by PHD </w:t>
            </w:r>
            <w:r w:rsidR="004B093F">
              <w:rPr>
                <w:sz w:val="18"/>
                <w:szCs w:val="18"/>
                <w:lang w:val="en-US"/>
              </w:rPr>
              <w:t>Deputy Team Leader - Technical</w:t>
            </w:r>
          </w:p>
        </w:tc>
      </w:tr>
      <w:tr w:rsidR="00D15146" w:rsidRPr="00D15146" w14:paraId="2F866707" w14:textId="77777777" w:rsidTr="00703546">
        <w:trPr>
          <w:trHeight w:val="615"/>
        </w:trPr>
        <w:tc>
          <w:tcPr>
            <w:tcW w:w="2258" w:type="dxa"/>
            <w:vMerge/>
          </w:tcPr>
          <w:p w14:paraId="2B5A478E" w14:textId="77777777" w:rsidR="00D15146" w:rsidRPr="00D15146" w:rsidRDefault="00D15146" w:rsidP="00D15146">
            <w:pPr>
              <w:spacing w:before="60" w:after="60" w:line="259" w:lineRule="auto"/>
              <w:rPr>
                <w:sz w:val="18"/>
                <w:szCs w:val="18"/>
                <w:lang w:val="en-US"/>
              </w:rPr>
            </w:pPr>
          </w:p>
        </w:tc>
        <w:tc>
          <w:tcPr>
            <w:tcW w:w="7088" w:type="dxa"/>
            <w:tcBorders>
              <w:bottom w:val="single" w:sz="8" w:space="0" w:color="FF931E"/>
            </w:tcBorders>
          </w:tcPr>
          <w:p w14:paraId="4177E1EF" w14:textId="77777777" w:rsidR="00D15146" w:rsidRPr="00FC5A24" w:rsidRDefault="00D15146" w:rsidP="00D15146">
            <w:pPr>
              <w:spacing w:before="60" w:after="60" w:line="259" w:lineRule="auto"/>
              <w:rPr>
                <w:sz w:val="18"/>
                <w:szCs w:val="18"/>
                <w:u w:val="single"/>
                <w:lang w:val="en-US"/>
              </w:rPr>
            </w:pPr>
            <w:r w:rsidRPr="00FC5A24">
              <w:rPr>
                <w:sz w:val="18"/>
                <w:szCs w:val="18"/>
                <w:u w:val="single"/>
                <w:lang w:val="en-US"/>
              </w:rPr>
              <w:t>Approach:</w:t>
            </w:r>
          </w:p>
          <w:p w14:paraId="2F237560" w14:textId="7F4AF004" w:rsidR="00D15146" w:rsidRPr="00703546" w:rsidRDefault="00D15146" w:rsidP="00703546">
            <w:pPr>
              <w:pStyle w:val="TableBullet"/>
              <w:rPr>
                <w:sz w:val="18"/>
                <w:szCs w:val="18"/>
              </w:rPr>
            </w:pPr>
            <w:r w:rsidRPr="00597825">
              <w:rPr>
                <w:sz w:val="18"/>
                <w:szCs w:val="18"/>
              </w:rPr>
              <w:t xml:space="preserve">Initial municipality would be a low-key approach utilising existing connections. </w:t>
            </w:r>
          </w:p>
        </w:tc>
        <w:tc>
          <w:tcPr>
            <w:tcW w:w="2126" w:type="dxa"/>
            <w:tcBorders>
              <w:bottom w:val="single" w:sz="8" w:space="0" w:color="FF931E"/>
            </w:tcBorders>
          </w:tcPr>
          <w:p w14:paraId="7E5ABEC2" w14:textId="77777777" w:rsidR="00D15146" w:rsidRPr="00D15146" w:rsidRDefault="00D15146" w:rsidP="004B093F">
            <w:pPr>
              <w:spacing w:before="60" w:after="60" w:line="259" w:lineRule="auto"/>
              <w:jc w:val="left"/>
              <w:rPr>
                <w:sz w:val="18"/>
                <w:szCs w:val="18"/>
                <w:lang w:val="en-US"/>
              </w:rPr>
            </w:pPr>
          </w:p>
        </w:tc>
        <w:tc>
          <w:tcPr>
            <w:tcW w:w="2410" w:type="dxa"/>
            <w:tcBorders>
              <w:bottom w:val="single" w:sz="8" w:space="0" w:color="FF931E"/>
            </w:tcBorders>
          </w:tcPr>
          <w:p w14:paraId="7A552557" w14:textId="77777777" w:rsidR="00D15146" w:rsidRPr="00D15146" w:rsidRDefault="00D15146" w:rsidP="004B093F">
            <w:pPr>
              <w:spacing w:before="60" w:after="60" w:line="259" w:lineRule="auto"/>
              <w:jc w:val="left"/>
              <w:rPr>
                <w:sz w:val="18"/>
                <w:szCs w:val="18"/>
                <w:lang w:val="en-US"/>
              </w:rPr>
            </w:pPr>
          </w:p>
        </w:tc>
      </w:tr>
      <w:tr w:rsidR="00703546" w:rsidRPr="00D15146" w14:paraId="128E6834" w14:textId="77777777" w:rsidTr="00703546">
        <w:trPr>
          <w:trHeight w:val="456"/>
        </w:trPr>
        <w:tc>
          <w:tcPr>
            <w:tcW w:w="2258" w:type="dxa"/>
            <w:vMerge/>
          </w:tcPr>
          <w:p w14:paraId="6D7BFC3F" w14:textId="77777777" w:rsidR="00703546" w:rsidRPr="00D15146" w:rsidRDefault="00703546" w:rsidP="00D15146">
            <w:pPr>
              <w:spacing w:before="60" w:after="60" w:line="259" w:lineRule="auto"/>
              <w:rPr>
                <w:sz w:val="18"/>
                <w:szCs w:val="18"/>
                <w:lang w:val="en-US"/>
              </w:rPr>
            </w:pPr>
          </w:p>
        </w:tc>
        <w:tc>
          <w:tcPr>
            <w:tcW w:w="7088" w:type="dxa"/>
            <w:tcBorders>
              <w:bottom w:val="single" w:sz="4" w:space="0" w:color="FFFFFF" w:themeColor="background1"/>
            </w:tcBorders>
          </w:tcPr>
          <w:p w14:paraId="4888E0B1" w14:textId="3242AF79" w:rsidR="00703546" w:rsidRPr="00597825" w:rsidRDefault="00703546" w:rsidP="00703546">
            <w:pPr>
              <w:pStyle w:val="TableBullet"/>
              <w:numPr>
                <w:ilvl w:val="0"/>
                <w:numId w:val="0"/>
              </w:numPr>
              <w:ind w:left="397" w:hanging="397"/>
              <w:rPr>
                <w:sz w:val="18"/>
                <w:szCs w:val="18"/>
              </w:rPr>
            </w:pPr>
            <w:r w:rsidRPr="00597825">
              <w:rPr>
                <w:sz w:val="18"/>
                <w:szCs w:val="18"/>
              </w:rPr>
              <w:t>Activities will include:</w:t>
            </w:r>
          </w:p>
        </w:tc>
        <w:tc>
          <w:tcPr>
            <w:tcW w:w="2126" w:type="dxa"/>
            <w:tcBorders>
              <w:bottom w:val="single" w:sz="4" w:space="0" w:color="FFFFFF" w:themeColor="background1"/>
            </w:tcBorders>
          </w:tcPr>
          <w:p w14:paraId="4620BE0B" w14:textId="77777777" w:rsidR="00703546" w:rsidRPr="00D15146" w:rsidRDefault="00703546" w:rsidP="004B093F">
            <w:pPr>
              <w:spacing w:before="60" w:after="60" w:line="259" w:lineRule="auto"/>
              <w:jc w:val="left"/>
              <w:rPr>
                <w:sz w:val="18"/>
                <w:szCs w:val="18"/>
                <w:lang w:val="en-US"/>
              </w:rPr>
            </w:pPr>
          </w:p>
        </w:tc>
        <w:tc>
          <w:tcPr>
            <w:tcW w:w="2410" w:type="dxa"/>
            <w:tcBorders>
              <w:bottom w:val="single" w:sz="4" w:space="0" w:color="FFFFFF" w:themeColor="background1"/>
            </w:tcBorders>
          </w:tcPr>
          <w:p w14:paraId="71277A5E" w14:textId="77777777" w:rsidR="00703546" w:rsidRDefault="00703546" w:rsidP="004B093F">
            <w:pPr>
              <w:spacing w:before="60" w:after="60" w:line="259" w:lineRule="auto"/>
              <w:jc w:val="left"/>
              <w:rPr>
                <w:sz w:val="18"/>
                <w:szCs w:val="18"/>
                <w:lang w:val="en-US"/>
              </w:rPr>
            </w:pPr>
          </w:p>
        </w:tc>
      </w:tr>
      <w:tr w:rsidR="00D15146" w:rsidRPr="00D15146" w14:paraId="03E982B7" w14:textId="77777777" w:rsidTr="00703546">
        <w:trPr>
          <w:trHeight w:val="456"/>
        </w:trPr>
        <w:tc>
          <w:tcPr>
            <w:tcW w:w="2258" w:type="dxa"/>
            <w:vMerge/>
          </w:tcPr>
          <w:p w14:paraId="522B4B16"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61EC7923" w14:textId="26679ECC" w:rsidR="00D15146" w:rsidRPr="00597825" w:rsidRDefault="00D15146" w:rsidP="00597825">
            <w:pPr>
              <w:pStyle w:val="TableBullet"/>
              <w:rPr>
                <w:sz w:val="18"/>
                <w:szCs w:val="18"/>
              </w:rPr>
            </w:pPr>
            <w:r w:rsidRPr="00597825">
              <w:rPr>
                <w:sz w:val="18"/>
                <w:szCs w:val="18"/>
              </w:rPr>
              <w:t>All sectors commit to s</w:t>
            </w:r>
            <w:r w:rsidR="00FC5A24" w:rsidRPr="00597825">
              <w:rPr>
                <w:sz w:val="18"/>
                <w:szCs w:val="18"/>
              </w:rPr>
              <w:t>ome activities in this location.</w:t>
            </w:r>
          </w:p>
        </w:tc>
        <w:tc>
          <w:tcPr>
            <w:tcW w:w="2126" w:type="dxa"/>
            <w:tcBorders>
              <w:top w:val="single" w:sz="4" w:space="0" w:color="FFFFFF" w:themeColor="background1"/>
              <w:bottom w:val="single" w:sz="4" w:space="0" w:color="FFFFFF" w:themeColor="background1"/>
            </w:tcBorders>
          </w:tcPr>
          <w:p w14:paraId="47F00E01"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December 2016</w:t>
            </w:r>
          </w:p>
        </w:tc>
        <w:tc>
          <w:tcPr>
            <w:tcW w:w="2410" w:type="dxa"/>
            <w:tcBorders>
              <w:top w:val="single" w:sz="4" w:space="0" w:color="FFFFFF" w:themeColor="background1"/>
              <w:bottom w:val="single" w:sz="4" w:space="0" w:color="FFFFFF" w:themeColor="background1"/>
            </w:tcBorders>
          </w:tcPr>
          <w:p w14:paraId="5F56117B" w14:textId="69A91DD0" w:rsidR="00D15146" w:rsidRPr="00D15146" w:rsidRDefault="004B093F" w:rsidP="004B093F">
            <w:pPr>
              <w:spacing w:before="60" w:after="60" w:line="259" w:lineRule="auto"/>
              <w:jc w:val="left"/>
              <w:rPr>
                <w:sz w:val="18"/>
                <w:szCs w:val="18"/>
                <w:lang w:val="en-US"/>
              </w:rPr>
            </w:pPr>
            <w:r>
              <w:rPr>
                <w:sz w:val="18"/>
                <w:szCs w:val="18"/>
                <w:lang w:val="en-US"/>
              </w:rPr>
              <w:t>Sector L</w:t>
            </w:r>
            <w:r w:rsidR="00D15146" w:rsidRPr="00D15146">
              <w:rPr>
                <w:sz w:val="18"/>
                <w:szCs w:val="18"/>
                <w:lang w:val="en-US"/>
              </w:rPr>
              <w:t>eads</w:t>
            </w:r>
          </w:p>
        </w:tc>
      </w:tr>
      <w:tr w:rsidR="00D15146" w:rsidRPr="00D15146" w14:paraId="1C2E2998" w14:textId="77777777" w:rsidTr="00703546">
        <w:trPr>
          <w:trHeight w:val="258"/>
        </w:trPr>
        <w:tc>
          <w:tcPr>
            <w:tcW w:w="2258" w:type="dxa"/>
            <w:vMerge/>
          </w:tcPr>
          <w:p w14:paraId="30485097"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61488DD7" w14:textId="7489AC91" w:rsidR="00D15146" w:rsidRPr="00597825" w:rsidRDefault="00D15146" w:rsidP="00597825">
            <w:pPr>
              <w:pStyle w:val="TableBullet"/>
              <w:rPr>
                <w:sz w:val="18"/>
                <w:szCs w:val="18"/>
              </w:rPr>
            </w:pPr>
            <w:r w:rsidRPr="00597825">
              <w:rPr>
                <w:sz w:val="18"/>
                <w:szCs w:val="18"/>
              </w:rPr>
              <w:t>Mapping of existing part</w:t>
            </w:r>
            <w:r w:rsidR="00FC5A24" w:rsidRPr="00597825">
              <w:rPr>
                <w:sz w:val="18"/>
                <w:szCs w:val="18"/>
              </w:rPr>
              <w:t>nerships and program activities.</w:t>
            </w:r>
          </w:p>
        </w:tc>
        <w:tc>
          <w:tcPr>
            <w:tcW w:w="2126" w:type="dxa"/>
            <w:tcBorders>
              <w:top w:val="single" w:sz="4" w:space="0" w:color="FFFFFF" w:themeColor="background1"/>
              <w:bottom w:val="single" w:sz="4" w:space="0" w:color="FFFFFF" w:themeColor="background1"/>
            </w:tcBorders>
          </w:tcPr>
          <w:p w14:paraId="37765AE8"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Across 2017 as Openly is populated</w:t>
            </w:r>
          </w:p>
        </w:tc>
        <w:tc>
          <w:tcPr>
            <w:tcW w:w="2410" w:type="dxa"/>
            <w:tcBorders>
              <w:top w:val="single" w:sz="4" w:space="0" w:color="FFFFFF" w:themeColor="background1"/>
              <w:bottom w:val="single" w:sz="4" w:space="0" w:color="FFFFFF" w:themeColor="background1"/>
            </w:tcBorders>
          </w:tcPr>
          <w:p w14:paraId="528A3C0A"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PHD Technical teams and Catalpa via Openly</w:t>
            </w:r>
          </w:p>
        </w:tc>
      </w:tr>
      <w:tr w:rsidR="00D15146" w:rsidRPr="00D15146" w14:paraId="16CFE1E2" w14:textId="77777777" w:rsidTr="004B3DEB">
        <w:trPr>
          <w:trHeight w:val="261"/>
        </w:trPr>
        <w:tc>
          <w:tcPr>
            <w:tcW w:w="2258" w:type="dxa"/>
            <w:vMerge/>
          </w:tcPr>
          <w:p w14:paraId="31FE7D84"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0B220DDE" w14:textId="167C277D" w:rsidR="00D15146" w:rsidRPr="00597825" w:rsidRDefault="00D15146" w:rsidP="00597825">
            <w:pPr>
              <w:pStyle w:val="TableBullet"/>
              <w:rPr>
                <w:sz w:val="18"/>
                <w:szCs w:val="18"/>
              </w:rPr>
            </w:pPr>
            <w:r w:rsidRPr="00597825">
              <w:rPr>
                <w:sz w:val="18"/>
                <w:szCs w:val="18"/>
              </w:rPr>
              <w:t>Engagement with munic</w:t>
            </w:r>
            <w:r w:rsidR="00FC5A24" w:rsidRPr="00597825">
              <w:rPr>
                <w:sz w:val="18"/>
                <w:szCs w:val="18"/>
              </w:rPr>
              <w:t>ipal leaders and administration.</w:t>
            </w:r>
          </w:p>
        </w:tc>
        <w:tc>
          <w:tcPr>
            <w:tcW w:w="2126" w:type="dxa"/>
            <w:tcBorders>
              <w:top w:val="single" w:sz="4" w:space="0" w:color="FFFFFF" w:themeColor="background1"/>
              <w:bottom w:val="single" w:sz="4" w:space="0" w:color="FFFFFF" w:themeColor="background1"/>
            </w:tcBorders>
          </w:tcPr>
          <w:p w14:paraId="347ABA1E"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February 2017</w:t>
            </w:r>
          </w:p>
        </w:tc>
        <w:tc>
          <w:tcPr>
            <w:tcW w:w="2410" w:type="dxa"/>
            <w:tcBorders>
              <w:top w:val="single" w:sz="4" w:space="0" w:color="FFFFFF" w:themeColor="background1"/>
              <w:bottom w:val="single" w:sz="4" w:space="0" w:color="FFFFFF" w:themeColor="background1"/>
            </w:tcBorders>
          </w:tcPr>
          <w:p w14:paraId="6342DAC7"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Embassy</w:t>
            </w:r>
          </w:p>
        </w:tc>
      </w:tr>
      <w:tr w:rsidR="00D15146" w:rsidRPr="00D15146" w14:paraId="6402A3CD" w14:textId="77777777" w:rsidTr="004B3DEB">
        <w:trPr>
          <w:trHeight w:val="261"/>
        </w:trPr>
        <w:tc>
          <w:tcPr>
            <w:tcW w:w="2258" w:type="dxa"/>
            <w:vMerge/>
          </w:tcPr>
          <w:p w14:paraId="4019498F"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931E"/>
            </w:tcBorders>
          </w:tcPr>
          <w:p w14:paraId="2527BE1B" w14:textId="55BAC6A8" w:rsidR="00D15146" w:rsidRPr="00597825" w:rsidRDefault="00D15146" w:rsidP="00597825">
            <w:pPr>
              <w:pStyle w:val="TableBullet"/>
              <w:rPr>
                <w:sz w:val="18"/>
                <w:szCs w:val="18"/>
              </w:rPr>
            </w:pPr>
            <w:r w:rsidRPr="00597825">
              <w:rPr>
                <w:sz w:val="18"/>
                <w:szCs w:val="18"/>
              </w:rPr>
              <w:t xml:space="preserve">Appoint </w:t>
            </w:r>
            <w:r w:rsidR="00FC5A24" w:rsidRPr="00597825">
              <w:rPr>
                <w:sz w:val="18"/>
                <w:szCs w:val="18"/>
              </w:rPr>
              <w:t>PHD municipal focal</w:t>
            </w:r>
            <w:r w:rsidRPr="00597825">
              <w:rPr>
                <w:sz w:val="18"/>
                <w:szCs w:val="18"/>
              </w:rPr>
              <w:t xml:space="preserve"> </w:t>
            </w:r>
            <w:r w:rsidR="00FC5A24" w:rsidRPr="00597825">
              <w:rPr>
                <w:sz w:val="18"/>
                <w:szCs w:val="18"/>
              </w:rPr>
              <w:t>points.</w:t>
            </w:r>
          </w:p>
        </w:tc>
        <w:tc>
          <w:tcPr>
            <w:tcW w:w="2126" w:type="dxa"/>
            <w:tcBorders>
              <w:top w:val="single" w:sz="4" w:space="0" w:color="FFFFFF" w:themeColor="background1"/>
              <w:bottom w:val="single" w:sz="4" w:space="0" w:color="FF931E"/>
            </w:tcBorders>
          </w:tcPr>
          <w:p w14:paraId="00B4CC68"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February 2017</w:t>
            </w:r>
          </w:p>
        </w:tc>
        <w:tc>
          <w:tcPr>
            <w:tcW w:w="2410" w:type="dxa"/>
            <w:tcBorders>
              <w:top w:val="single" w:sz="4" w:space="0" w:color="FFFFFF" w:themeColor="background1"/>
              <w:bottom w:val="single" w:sz="4" w:space="0" w:color="FF931E"/>
            </w:tcBorders>
          </w:tcPr>
          <w:p w14:paraId="331266E8" w14:textId="50D7CE70" w:rsidR="00D15146" w:rsidRPr="00D15146" w:rsidRDefault="004B093F" w:rsidP="004B093F">
            <w:pPr>
              <w:spacing w:before="60" w:after="60" w:line="259" w:lineRule="auto"/>
              <w:jc w:val="left"/>
              <w:rPr>
                <w:sz w:val="18"/>
                <w:szCs w:val="18"/>
                <w:lang w:val="en-US"/>
              </w:rPr>
            </w:pPr>
            <w:r>
              <w:rPr>
                <w:sz w:val="18"/>
                <w:szCs w:val="18"/>
                <w:lang w:val="en-US"/>
              </w:rPr>
              <w:t xml:space="preserve">PHD </w:t>
            </w:r>
            <w:r w:rsidR="00D15146" w:rsidRPr="00D15146">
              <w:rPr>
                <w:sz w:val="18"/>
                <w:szCs w:val="18"/>
                <w:lang w:val="en-US"/>
              </w:rPr>
              <w:t>and Embassy personnel</w:t>
            </w:r>
          </w:p>
        </w:tc>
      </w:tr>
      <w:tr w:rsidR="00D15146" w:rsidRPr="00D15146" w14:paraId="1D0E5A55" w14:textId="77777777" w:rsidTr="004B3DEB">
        <w:trPr>
          <w:trHeight w:val="285"/>
        </w:trPr>
        <w:tc>
          <w:tcPr>
            <w:tcW w:w="2258" w:type="dxa"/>
            <w:vMerge/>
          </w:tcPr>
          <w:p w14:paraId="5452ECCA"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931E"/>
              <w:bottom w:val="single" w:sz="8" w:space="0" w:color="FF931E"/>
            </w:tcBorders>
          </w:tcPr>
          <w:p w14:paraId="0C52E68A" w14:textId="3161FA0F" w:rsidR="00D15146" w:rsidRPr="00597825" w:rsidRDefault="00FC5A24" w:rsidP="00597825">
            <w:pPr>
              <w:pStyle w:val="TableBullet"/>
              <w:rPr>
                <w:sz w:val="18"/>
                <w:szCs w:val="18"/>
              </w:rPr>
            </w:pPr>
            <w:r w:rsidRPr="00597825">
              <w:rPr>
                <w:sz w:val="18"/>
                <w:szCs w:val="18"/>
              </w:rPr>
              <w:t>Identify</w:t>
            </w:r>
            <w:r w:rsidR="00D15146" w:rsidRPr="00597825">
              <w:rPr>
                <w:sz w:val="18"/>
                <w:szCs w:val="18"/>
              </w:rPr>
              <w:t xml:space="preserve"> opportunities to coordinate and streamline activities through shared resourcing and knowledge.</w:t>
            </w:r>
          </w:p>
        </w:tc>
        <w:tc>
          <w:tcPr>
            <w:tcW w:w="2126" w:type="dxa"/>
            <w:tcBorders>
              <w:top w:val="single" w:sz="4" w:space="0" w:color="FF931E"/>
              <w:bottom w:val="single" w:sz="8" w:space="0" w:color="FF931E"/>
            </w:tcBorders>
          </w:tcPr>
          <w:p w14:paraId="6362F7D9" w14:textId="6361247A" w:rsidR="00D15146" w:rsidRPr="00D15146" w:rsidRDefault="00D15146" w:rsidP="004B093F">
            <w:pPr>
              <w:spacing w:before="60" w:after="60" w:line="259" w:lineRule="auto"/>
              <w:jc w:val="left"/>
              <w:rPr>
                <w:sz w:val="18"/>
                <w:szCs w:val="18"/>
                <w:lang w:val="en-US"/>
              </w:rPr>
            </w:pPr>
            <w:r w:rsidRPr="00D15146">
              <w:rPr>
                <w:sz w:val="18"/>
                <w:szCs w:val="18"/>
                <w:lang w:val="en-US"/>
              </w:rPr>
              <w:t xml:space="preserve">March 2017 </w:t>
            </w:r>
            <w:r w:rsidR="004B093F">
              <w:rPr>
                <w:sz w:val="18"/>
                <w:szCs w:val="18"/>
                <w:lang w:val="en-US"/>
              </w:rPr>
              <w:t xml:space="preserve">and </w:t>
            </w:r>
            <w:r w:rsidRPr="00D15146">
              <w:rPr>
                <w:sz w:val="18"/>
                <w:szCs w:val="18"/>
                <w:lang w:val="en-US"/>
              </w:rPr>
              <w:t>ongoing</w:t>
            </w:r>
          </w:p>
        </w:tc>
        <w:tc>
          <w:tcPr>
            <w:tcW w:w="2410" w:type="dxa"/>
            <w:tcBorders>
              <w:top w:val="single" w:sz="4" w:space="0" w:color="FF931E"/>
              <w:bottom w:val="single" w:sz="8" w:space="0" w:color="FF931E"/>
            </w:tcBorders>
          </w:tcPr>
          <w:p w14:paraId="66CB371E" w14:textId="05F0E451" w:rsidR="00D15146" w:rsidRPr="00D15146" w:rsidRDefault="00D15146" w:rsidP="004B093F">
            <w:pPr>
              <w:spacing w:before="60" w:after="60" w:line="259" w:lineRule="auto"/>
              <w:jc w:val="left"/>
              <w:rPr>
                <w:sz w:val="18"/>
                <w:szCs w:val="18"/>
                <w:lang w:val="en-US"/>
              </w:rPr>
            </w:pPr>
            <w:r w:rsidRPr="00D15146">
              <w:rPr>
                <w:sz w:val="18"/>
                <w:szCs w:val="18"/>
                <w:lang w:val="en-US"/>
              </w:rPr>
              <w:t xml:space="preserve">PHD </w:t>
            </w:r>
            <w:r w:rsidR="004B093F">
              <w:rPr>
                <w:sz w:val="18"/>
                <w:szCs w:val="18"/>
                <w:lang w:val="en-US"/>
              </w:rPr>
              <w:t>Deputy Team Leader - Technical</w:t>
            </w:r>
            <w:r w:rsidRPr="00D15146">
              <w:rPr>
                <w:sz w:val="18"/>
                <w:szCs w:val="18"/>
                <w:lang w:val="en-US"/>
              </w:rPr>
              <w:t xml:space="preserve"> together with sector leads</w:t>
            </w:r>
          </w:p>
        </w:tc>
      </w:tr>
      <w:tr w:rsidR="00D15146" w:rsidRPr="00D15146" w14:paraId="13BB46BF" w14:textId="77777777" w:rsidTr="00703546">
        <w:trPr>
          <w:trHeight w:val="285"/>
        </w:trPr>
        <w:tc>
          <w:tcPr>
            <w:tcW w:w="2258" w:type="dxa"/>
            <w:vMerge/>
          </w:tcPr>
          <w:p w14:paraId="4AAC3FF3" w14:textId="77777777" w:rsidR="00D15146" w:rsidRPr="00D15146" w:rsidRDefault="00D15146" w:rsidP="00D15146">
            <w:pPr>
              <w:spacing w:before="60" w:after="60" w:line="259" w:lineRule="auto"/>
              <w:rPr>
                <w:sz w:val="18"/>
                <w:szCs w:val="18"/>
                <w:lang w:val="en-US"/>
              </w:rPr>
            </w:pPr>
          </w:p>
        </w:tc>
        <w:tc>
          <w:tcPr>
            <w:tcW w:w="7088" w:type="dxa"/>
            <w:tcBorders>
              <w:bottom w:val="single" w:sz="4" w:space="0" w:color="FFFFFF" w:themeColor="background1"/>
            </w:tcBorders>
          </w:tcPr>
          <w:p w14:paraId="4D1E3BA5" w14:textId="16C2DB55" w:rsidR="00D15146" w:rsidRPr="00597825" w:rsidRDefault="00D15146" w:rsidP="00597825">
            <w:pPr>
              <w:pStyle w:val="TableBullet"/>
              <w:rPr>
                <w:sz w:val="18"/>
                <w:szCs w:val="18"/>
              </w:rPr>
            </w:pPr>
            <w:r w:rsidRPr="00597825">
              <w:rPr>
                <w:sz w:val="18"/>
                <w:szCs w:val="18"/>
              </w:rPr>
              <w:t>Implementation of identified opportunities</w:t>
            </w:r>
            <w:r w:rsidR="00FC5A24" w:rsidRPr="00597825">
              <w:rPr>
                <w:sz w:val="18"/>
                <w:szCs w:val="18"/>
              </w:rPr>
              <w:t>.</w:t>
            </w:r>
          </w:p>
        </w:tc>
        <w:tc>
          <w:tcPr>
            <w:tcW w:w="2126" w:type="dxa"/>
            <w:tcBorders>
              <w:bottom w:val="single" w:sz="4" w:space="0" w:color="FFFFFF" w:themeColor="background1"/>
            </w:tcBorders>
          </w:tcPr>
          <w:p w14:paraId="1BE31823" w14:textId="20C15242" w:rsidR="00D15146" w:rsidRPr="00D15146" w:rsidRDefault="00D15146" w:rsidP="004B093F">
            <w:pPr>
              <w:spacing w:before="60" w:after="60" w:line="259" w:lineRule="auto"/>
              <w:jc w:val="left"/>
              <w:rPr>
                <w:sz w:val="18"/>
                <w:szCs w:val="18"/>
                <w:lang w:val="en-US"/>
              </w:rPr>
            </w:pPr>
            <w:r w:rsidRPr="00D15146">
              <w:rPr>
                <w:sz w:val="18"/>
                <w:szCs w:val="18"/>
                <w:lang w:val="en-US"/>
              </w:rPr>
              <w:t xml:space="preserve">March 2017 </w:t>
            </w:r>
            <w:r w:rsidR="004B093F">
              <w:rPr>
                <w:sz w:val="18"/>
                <w:szCs w:val="18"/>
                <w:lang w:val="en-US"/>
              </w:rPr>
              <w:t xml:space="preserve">and </w:t>
            </w:r>
            <w:r w:rsidRPr="00D15146">
              <w:rPr>
                <w:sz w:val="18"/>
                <w:szCs w:val="18"/>
                <w:lang w:val="en-US"/>
              </w:rPr>
              <w:t>ongoing</w:t>
            </w:r>
          </w:p>
        </w:tc>
        <w:tc>
          <w:tcPr>
            <w:tcW w:w="2410" w:type="dxa"/>
            <w:tcBorders>
              <w:bottom w:val="single" w:sz="4" w:space="0" w:color="FFFFFF" w:themeColor="background1"/>
            </w:tcBorders>
          </w:tcPr>
          <w:p w14:paraId="7221BF78" w14:textId="440DF375" w:rsidR="00D15146" w:rsidRPr="00D15146" w:rsidRDefault="004B093F" w:rsidP="004B093F">
            <w:pPr>
              <w:spacing w:before="60" w:after="60" w:line="259" w:lineRule="auto"/>
              <w:jc w:val="left"/>
              <w:rPr>
                <w:sz w:val="18"/>
                <w:szCs w:val="18"/>
                <w:lang w:val="en-US"/>
              </w:rPr>
            </w:pPr>
            <w:r>
              <w:rPr>
                <w:sz w:val="18"/>
                <w:szCs w:val="18"/>
                <w:lang w:val="en-US"/>
              </w:rPr>
              <w:t>Sector L</w:t>
            </w:r>
            <w:r w:rsidR="00D15146" w:rsidRPr="00D15146">
              <w:rPr>
                <w:sz w:val="18"/>
                <w:szCs w:val="18"/>
                <w:lang w:val="en-US"/>
              </w:rPr>
              <w:t>eads</w:t>
            </w:r>
          </w:p>
        </w:tc>
      </w:tr>
      <w:tr w:rsidR="00D15146" w:rsidRPr="00D15146" w14:paraId="61E89E66" w14:textId="77777777" w:rsidTr="00703546">
        <w:trPr>
          <w:trHeight w:val="825"/>
        </w:trPr>
        <w:tc>
          <w:tcPr>
            <w:tcW w:w="2258" w:type="dxa"/>
            <w:vMerge/>
          </w:tcPr>
          <w:p w14:paraId="1295D373"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06E5B848" w14:textId="11364193" w:rsidR="00D15146" w:rsidRPr="00597825" w:rsidRDefault="00D15146" w:rsidP="00597825">
            <w:pPr>
              <w:pStyle w:val="TableBullet"/>
              <w:rPr>
                <w:sz w:val="18"/>
                <w:szCs w:val="18"/>
              </w:rPr>
            </w:pPr>
            <w:r w:rsidRPr="00597825">
              <w:rPr>
                <w:sz w:val="18"/>
                <w:szCs w:val="18"/>
              </w:rPr>
              <w:t xml:space="preserve">The approach to the second location would be designed throughout the </w:t>
            </w:r>
            <w:r w:rsidR="00FC5A24" w:rsidRPr="00597825">
              <w:rPr>
                <w:sz w:val="18"/>
                <w:szCs w:val="18"/>
              </w:rPr>
              <w:t>latter</w:t>
            </w:r>
            <w:r w:rsidRPr="00597825">
              <w:rPr>
                <w:sz w:val="18"/>
                <w:szCs w:val="18"/>
              </w:rPr>
              <w:t xml:space="preserve"> six months of 2017, with attention to maximising cooperation between the sectors and opportunities available w</w:t>
            </w:r>
            <w:r w:rsidR="00FC5A24" w:rsidRPr="00597825">
              <w:rPr>
                <w:sz w:val="18"/>
                <w:szCs w:val="18"/>
              </w:rPr>
              <w:t xml:space="preserve">ithin the particular location. </w:t>
            </w:r>
            <w:r w:rsidRPr="00597825">
              <w:rPr>
                <w:sz w:val="18"/>
                <w:szCs w:val="18"/>
              </w:rPr>
              <w:t xml:space="preserve">Lessons learned from the initial location would be drawn into this design. </w:t>
            </w:r>
          </w:p>
        </w:tc>
        <w:tc>
          <w:tcPr>
            <w:tcW w:w="2126" w:type="dxa"/>
            <w:tcBorders>
              <w:top w:val="single" w:sz="4" w:space="0" w:color="FFFFFF" w:themeColor="background1"/>
              <w:bottom w:val="single" w:sz="4" w:space="0" w:color="FFFFFF" w:themeColor="background1"/>
            </w:tcBorders>
          </w:tcPr>
          <w:p w14:paraId="35DB5A34" w14:textId="6641A7C4" w:rsidR="00D15146" w:rsidRPr="00D15146" w:rsidRDefault="00D15146" w:rsidP="004B093F">
            <w:pPr>
              <w:spacing w:before="60" w:after="60" w:line="259" w:lineRule="auto"/>
              <w:jc w:val="left"/>
              <w:rPr>
                <w:sz w:val="18"/>
                <w:szCs w:val="18"/>
                <w:lang w:val="en-US"/>
              </w:rPr>
            </w:pPr>
            <w:r w:rsidRPr="00D15146">
              <w:rPr>
                <w:sz w:val="18"/>
                <w:szCs w:val="18"/>
                <w:lang w:val="en-US"/>
              </w:rPr>
              <w:t>June-December 2017</w:t>
            </w:r>
          </w:p>
        </w:tc>
        <w:tc>
          <w:tcPr>
            <w:tcW w:w="2410" w:type="dxa"/>
            <w:tcBorders>
              <w:top w:val="single" w:sz="4" w:space="0" w:color="FFFFFF" w:themeColor="background1"/>
              <w:bottom w:val="single" w:sz="4" w:space="0" w:color="FFFFFF" w:themeColor="background1"/>
            </w:tcBorders>
          </w:tcPr>
          <w:p w14:paraId="3B2051A3" w14:textId="2C31AB04" w:rsidR="00D15146" w:rsidRPr="00D15146" w:rsidRDefault="00D15146" w:rsidP="004B093F">
            <w:pPr>
              <w:spacing w:before="60" w:after="60" w:line="259" w:lineRule="auto"/>
              <w:jc w:val="left"/>
              <w:rPr>
                <w:sz w:val="18"/>
                <w:szCs w:val="18"/>
                <w:lang w:val="en-US"/>
              </w:rPr>
            </w:pPr>
            <w:r w:rsidRPr="00D15146">
              <w:rPr>
                <w:sz w:val="18"/>
                <w:szCs w:val="18"/>
                <w:lang w:val="en-US"/>
              </w:rPr>
              <w:t xml:space="preserve">PHD </w:t>
            </w:r>
            <w:r w:rsidR="004B093F">
              <w:rPr>
                <w:sz w:val="18"/>
                <w:szCs w:val="18"/>
                <w:lang w:val="en-US"/>
              </w:rPr>
              <w:t xml:space="preserve">Deputy Team Leader – Technical </w:t>
            </w:r>
          </w:p>
        </w:tc>
      </w:tr>
      <w:tr w:rsidR="00D15146" w:rsidRPr="00D15146" w14:paraId="1A176602" w14:textId="77777777" w:rsidTr="00703546">
        <w:trPr>
          <w:trHeight w:val="463"/>
        </w:trPr>
        <w:tc>
          <w:tcPr>
            <w:tcW w:w="2258" w:type="dxa"/>
            <w:vMerge/>
          </w:tcPr>
          <w:p w14:paraId="34119422"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216CB777" w14:textId="697E6FDA" w:rsidR="00D15146" w:rsidRPr="00597825" w:rsidRDefault="00D15146" w:rsidP="00597825">
            <w:pPr>
              <w:pStyle w:val="TableBullet"/>
              <w:rPr>
                <w:sz w:val="18"/>
                <w:szCs w:val="18"/>
              </w:rPr>
            </w:pPr>
            <w:r w:rsidRPr="00597825">
              <w:rPr>
                <w:sz w:val="18"/>
                <w:szCs w:val="18"/>
              </w:rPr>
              <w:t>Implement second location municipal approach</w:t>
            </w:r>
            <w:r w:rsidR="00FC5A24" w:rsidRPr="00597825">
              <w:rPr>
                <w:sz w:val="18"/>
                <w:szCs w:val="18"/>
              </w:rPr>
              <w:t>.</w:t>
            </w:r>
          </w:p>
        </w:tc>
        <w:tc>
          <w:tcPr>
            <w:tcW w:w="2126" w:type="dxa"/>
            <w:tcBorders>
              <w:top w:val="single" w:sz="4" w:space="0" w:color="FFFFFF" w:themeColor="background1"/>
              <w:bottom w:val="single" w:sz="4" w:space="0" w:color="FFFFFF" w:themeColor="background1"/>
            </w:tcBorders>
          </w:tcPr>
          <w:p w14:paraId="3CF76968" w14:textId="77777777" w:rsidR="004B093F" w:rsidRDefault="00D15146" w:rsidP="004B093F">
            <w:pPr>
              <w:spacing w:before="60" w:after="60" w:line="259" w:lineRule="auto"/>
              <w:jc w:val="left"/>
              <w:rPr>
                <w:sz w:val="18"/>
                <w:szCs w:val="18"/>
                <w:lang w:val="en-US"/>
              </w:rPr>
            </w:pPr>
            <w:r w:rsidRPr="00D15146">
              <w:rPr>
                <w:sz w:val="18"/>
                <w:szCs w:val="18"/>
                <w:lang w:val="en-US"/>
              </w:rPr>
              <w:t>(</w:t>
            </w:r>
            <w:r w:rsidR="004B093F">
              <w:rPr>
                <w:sz w:val="18"/>
                <w:szCs w:val="18"/>
                <w:lang w:val="en-US"/>
              </w:rPr>
              <w:t>P</w:t>
            </w:r>
            <w:r w:rsidRPr="00D15146">
              <w:rPr>
                <w:sz w:val="18"/>
                <w:szCs w:val="18"/>
                <w:lang w:val="en-US"/>
              </w:rPr>
              <w:t xml:space="preserve">ost-election) </w:t>
            </w:r>
          </w:p>
          <w:p w14:paraId="62C72546" w14:textId="0B858041" w:rsidR="00D15146" w:rsidRPr="00D15146" w:rsidRDefault="00D15146" w:rsidP="004B093F">
            <w:pPr>
              <w:spacing w:before="60" w:after="60" w:line="259" w:lineRule="auto"/>
              <w:jc w:val="left"/>
              <w:rPr>
                <w:sz w:val="18"/>
                <w:szCs w:val="18"/>
                <w:lang w:val="en-US"/>
              </w:rPr>
            </w:pPr>
            <w:r w:rsidRPr="00D15146">
              <w:rPr>
                <w:sz w:val="18"/>
                <w:szCs w:val="18"/>
                <w:lang w:val="en-US"/>
              </w:rPr>
              <w:t xml:space="preserve">January 2018 </w:t>
            </w:r>
            <w:r w:rsidR="004B093F">
              <w:rPr>
                <w:sz w:val="18"/>
                <w:szCs w:val="18"/>
                <w:lang w:val="en-US"/>
              </w:rPr>
              <w:t xml:space="preserve">and </w:t>
            </w:r>
            <w:r w:rsidRPr="00D15146">
              <w:rPr>
                <w:sz w:val="18"/>
                <w:szCs w:val="18"/>
                <w:lang w:val="en-US"/>
              </w:rPr>
              <w:t>ongoing</w:t>
            </w:r>
          </w:p>
        </w:tc>
        <w:tc>
          <w:tcPr>
            <w:tcW w:w="2410" w:type="dxa"/>
            <w:tcBorders>
              <w:top w:val="single" w:sz="4" w:space="0" w:color="FFFFFF" w:themeColor="background1"/>
              <w:bottom w:val="single" w:sz="4" w:space="0" w:color="FFFFFF" w:themeColor="background1"/>
            </w:tcBorders>
          </w:tcPr>
          <w:p w14:paraId="0CEDCE7E"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All of PHD</w:t>
            </w:r>
          </w:p>
        </w:tc>
      </w:tr>
      <w:tr w:rsidR="00D15146" w:rsidRPr="00D15146" w14:paraId="1156F3CF" w14:textId="77777777" w:rsidTr="00703546">
        <w:trPr>
          <w:trHeight w:val="285"/>
        </w:trPr>
        <w:tc>
          <w:tcPr>
            <w:tcW w:w="2258" w:type="dxa"/>
            <w:vMerge/>
          </w:tcPr>
          <w:p w14:paraId="0EB110FA"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39E50DC7" w14:textId="3295FB07" w:rsidR="00D15146" w:rsidRPr="00597825" w:rsidRDefault="00D15146" w:rsidP="00597825">
            <w:pPr>
              <w:pStyle w:val="TableBullet"/>
              <w:rPr>
                <w:sz w:val="18"/>
                <w:szCs w:val="18"/>
              </w:rPr>
            </w:pPr>
            <w:r w:rsidRPr="00597825">
              <w:rPr>
                <w:sz w:val="18"/>
                <w:szCs w:val="18"/>
              </w:rPr>
              <w:t>Establish local PHD office</w:t>
            </w:r>
            <w:r w:rsidR="00FC5A24" w:rsidRPr="00597825">
              <w:rPr>
                <w:sz w:val="18"/>
                <w:szCs w:val="18"/>
              </w:rPr>
              <w:t>.</w:t>
            </w:r>
          </w:p>
        </w:tc>
        <w:tc>
          <w:tcPr>
            <w:tcW w:w="2126" w:type="dxa"/>
            <w:tcBorders>
              <w:top w:val="single" w:sz="4" w:space="0" w:color="FFFFFF" w:themeColor="background1"/>
              <w:bottom w:val="single" w:sz="4" w:space="0" w:color="FFFFFF" w:themeColor="background1"/>
            </w:tcBorders>
          </w:tcPr>
          <w:p w14:paraId="234E65A9"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August 2017</w:t>
            </w:r>
          </w:p>
        </w:tc>
        <w:tc>
          <w:tcPr>
            <w:tcW w:w="2410" w:type="dxa"/>
            <w:tcBorders>
              <w:top w:val="single" w:sz="4" w:space="0" w:color="FFFFFF" w:themeColor="background1"/>
              <w:bottom w:val="single" w:sz="4" w:space="0" w:color="FFFFFF" w:themeColor="background1"/>
            </w:tcBorders>
          </w:tcPr>
          <w:p w14:paraId="119EBA1F" w14:textId="2686B0FE" w:rsidR="00D15146" w:rsidRPr="00D15146" w:rsidRDefault="004B093F" w:rsidP="004B093F">
            <w:pPr>
              <w:spacing w:before="60" w:after="60" w:line="259" w:lineRule="auto"/>
              <w:jc w:val="left"/>
              <w:rPr>
                <w:sz w:val="18"/>
                <w:szCs w:val="18"/>
                <w:lang w:val="en-US"/>
              </w:rPr>
            </w:pPr>
            <w:r>
              <w:rPr>
                <w:sz w:val="18"/>
                <w:szCs w:val="18"/>
                <w:lang w:val="en-US"/>
              </w:rPr>
              <w:t xml:space="preserve">Deputy Team Leader – Operations </w:t>
            </w:r>
          </w:p>
        </w:tc>
      </w:tr>
      <w:tr w:rsidR="00D15146" w:rsidRPr="00D15146" w14:paraId="0101B1A9" w14:textId="77777777" w:rsidTr="00703546">
        <w:trPr>
          <w:trHeight w:val="688"/>
        </w:trPr>
        <w:tc>
          <w:tcPr>
            <w:tcW w:w="2258" w:type="dxa"/>
            <w:vMerge/>
          </w:tcPr>
          <w:p w14:paraId="4FD3F6AF"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tcBorders>
          </w:tcPr>
          <w:p w14:paraId="11AB710B" w14:textId="77777777" w:rsidR="00D15146" w:rsidRPr="00597825" w:rsidRDefault="00D15146" w:rsidP="00597825">
            <w:pPr>
              <w:pStyle w:val="TableBullet"/>
              <w:rPr>
                <w:sz w:val="18"/>
                <w:szCs w:val="18"/>
              </w:rPr>
            </w:pPr>
            <w:r w:rsidRPr="00597825">
              <w:rPr>
                <w:sz w:val="18"/>
                <w:szCs w:val="18"/>
              </w:rPr>
              <w:t xml:space="preserve">In 2018 PHD would showcase its municipal approach, inviting expressions of interest from other municipalities. This is expected to lead to a countrywide program redesigned around municipal and local interests and needs by the end of program life. </w:t>
            </w:r>
          </w:p>
        </w:tc>
        <w:tc>
          <w:tcPr>
            <w:tcW w:w="2126" w:type="dxa"/>
            <w:tcBorders>
              <w:top w:val="single" w:sz="4" w:space="0" w:color="FFFFFF" w:themeColor="background1"/>
            </w:tcBorders>
          </w:tcPr>
          <w:p w14:paraId="791C61D3"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February 2018</w:t>
            </w:r>
          </w:p>
        </w:tc>
        <w:tc>
          <w:tcPr>
            <w:tcW w:w="2410" w:type="dxa"/>
            <w:tcBorders>
              <w:top w:val="single" w:sz="4" w:space="0" w:color="FFFFFF" w:themeColor="background1"/>
            </w:tcBorders>
          </w:tcPr>
          <w:p w14:paraId="50E1C9A5"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All of PHD</w:t>
            </w:r>
          </w:p>
        </w:tc>
      </w:tr>
      <w:tr w:rsidR="00D15146" w:rsidRPr="00D15146" w14:paraId="5BD44F90" w14:textId="77777777" w:rsidTr="00D15146">
        <w:trPr>
          <w:trHeight w:val="1471"/>
        </w:trPr>
        <w:tc>
          <w:tcPr>
            <w:tcW w:w="2258" w:type="dxa"/>
            <w:vMerge w:val="restart"/>
          </w:tcPr>
          <w:p w14:paraId="39095765" w14:textId="41C85FA0" w:rsidR="00D15146" w:rsidRPr="00703546" w:rsidRDefault="00D15146" w:rsidP="00703546">
            <w:pPr>
              <w:spacing w:before="60" w:after="60" w:line="259" w:lineRule="auto"/>
              <w:jc w:val="left"/>
              <w:rPr>
                <w:b/>
                <w:sz w:val="18"/>
                <w:szCs w:val="18"/>
                <w:lang w:val="en-US"/>
              </w:rPr>
            </w:pPr>
            <w:r w:rsidRPr="00703546">
              <w:rPr>
                <w:b/>
                <w:sz w:val="18"/>
                <w:szCs w:val="18"/>
                <w:lang w:val="en-US"/>
              </w:rPr>
              <w:t>Ma</w:t>
            </w:r>
            <w:r w:rsidR="00703546">
              <w:rPr>
                <w:b/>
                <w:sz w:val="18"/>
                <w:szCs w:val="18"/>
                <w:lang w:val="en-US"/>
              </w:rPr>
              <w:t>ximising opportunities for cross</w:t>
            </w:r>
            <w:r w:rsidRPr="00703546">
              <w:rPr>
                <w:b/>
                <w:sz w:val="18"/>
                <w:szCs w:val="18"/>
                <w:lang w:val="en-US"/>
              </w:rPr>
              <w:t>-sector</w:t>
            </w:r>
            <w:r w:rsidR="00703546">
              <w:rPr>
                <w:b/>
                <w:sz w:val="18"/>
                <w:szCs w:val="18"/>
                <w:lang w:val="en-US"/>
              </w:rPr>
              <w:t>al co</w:t>
            </w:r>
            <w:r w:rsidRPr="00703546">
              <w:rPr>
                <w:b/>
                <w:sz w:val="18"/>
                <w:szCs w:val="18"/>
                <w:lang w:val="en-US"/>
              </w:rPr>
              <w:t xml:space="preserve">operation with the Government of </w:t>
            </w:r>
            <w:r w:rsidR="00F76E96" w:rsidRPr="00703546">
              <w:rPr>
                <w:b/>
                <w:sz w:val="18"/>
                <w:szCs w:val="18"/>
                <w:lang w:val="en-US"/>
              </w:rPr>
              <w:t>Timor-Leste</w:t>
            </w:r>
            <w:r w:rsidRPr="00703546">
              <w:rPr>
                <w:b/>
                <w:sz w:val="18"/>
                <w:szCs w:val="18"/>
                <w:lang w:val="en-US"/>
              </w:rPr>
              <w:t>, at National and Sub-national level</w:t>
            </w:r>
          </w:p>
        </w:tc>
        <w:tc>
          <w:tcPr>
            <w:tcW w:w="7088" w:type="dxa"/>
          </w:tcPr>
          <w:p w14:paraId="366A7D9B" w14:textId="77777777" w:rsidR="00D15146" w:rsidRPr="00FC5A24" w:rsidRDefault="00D15146" w:rsidP="00D15146">
            <w:pPr>
              <w:spacing w:before="60" w:after="60" w:line="259" w:lineRule="auto"/>
              <w:rPr>
                <w:sz w:val="18"/>
                <w:szCs w:val="18"/>
                <w:u w:val="single"/>
                <w:lang w:val="en-US"/>
              </w:rPr>
            </w:pPr>
            <w:r w:rsidRPr="00FC5A24">
              <w:rPr>
                <w:sz w:val="18"/>
                <w:szCs w:val="18"/>
                <w:u w:val="single"/>
                <w:lang w:val="en-US"/>
              </w:rPr>
              <w:t>Purpose:</w:t>
            </w:r>
          </w:p>
          <w:p w14:paraId="2E61864A" w14:textId="3423FBE2" w:rsidR="00D15146" w:rsidRPr="00597825" w:rsidRDefault="00FC5A24" w:rsidP="00597825">
            <w:pPr>
              <w:pStyle w:val="TableBullet"/>
              <w:rPr>
                <w:sz w:val="18"/>
                <w:szCs w:val="18"/>
              </w:rPr>
            </w:pPr>
            <w:r w:rsidRPr="00597825">
              <w:rPr>
                <w:sz w:val="18"/>
                <w:szCs w:val="18"/>
              </w:rPr>
              <w:t>Maximis</w:t>
            </w:r>
            <w:r w:rsidR="00D15146" w:rsidRPr="00597825">
              <w:rPr>
                <w:sz w:val="18"/>
                <w:szCs w:val="18"/>
              </w:rPr>
              <w:t>e the benefit from existing activities through collaborative strategies.</w:t>
            </w:r>
          </w:p>
          <w:p w14:paraId="6E699CB2" w14:textId="0DFFABB3" w:rsidR="00D15146" w:rsidRPr="00597825" w:rsidRDefault="00D15146" w:rsidP="00597825">
            <w:pPr>
              <w:pStyle w:val="TableBullet"/>
              <w:rPr>
                <w:sz w:val="18"/>
                <w:szCs w:val="18"/>
              </w:rPr>
            </w:pPr>
            <w:r w:rsidRPr="00597825">
              <w:rPr>
                <w:sz w:val="18"/>
                <w:szCs w:val="18"/>
              </w:rPr>
              <w:t xml:space="preserve">Engage effectively with government at all levels to ensure </w:t>
            </w:r>
            <w:r w:rsidR="00FC5A24" w:rsidRPr="00597825">
              <w:rPr>
                <w:sz w:val="18"/>
                <w:szCs w:val="18"/>
              </w:rPr>
              <w:t xml:space="preserve">PHD maximises its </w:t>
            </w:r>
            <w:r w:rsidRPr="00597825">
              <w:rPr>
                <w:sz w:val="18"/>
                <w:szCs w:val="18"/>
              </w:rPr>
              <w:t>influence.</w:t>
            </w:r>
          </w:p>
          <w:p w14:paraId="64AD545E" w14:textId="08737402" w:rsidR="00D15146" w:rsidRPr="00597825" w:rsidRDefault="00D15146" w:rsidP="00597825">
            <w:pPr>
              <w:pStyle w:val="TableBullet"/>
              <w:rPr>
                <w:sz w:val="18"/>
                <w:szCs w:val="18"/>
              </w:rPr>
            </w:pPr>
            <w:r w:rsidRPr="00597825">
              <w:rPr>
                <w:sz w:val="18"/>
                <w:szCs w:val="18"/>
              </w:rPr>
              <w:t>Share information around working with</w:t>
            </w:r>
            <w:r w:rsidR="00FC5A24" w:rsidRPr="00597825">
              <w:rPr>
                <w:sz w:val="18"/>
                <w:szCs w:val="18"/>
              </w:rPr>
              <w:t xml:space="preserve"> the</w:t>
            </w:r>
            <w:r w:rsidRPr="00597825">
              <w:rPr>
                <w:sz w:val="18"/>
                <w:szCs w:val="18"/>
              </w:rPr>
              <w:t xml:space="preserve"> </w:t>
            </w:r>
            <w:r w:rsidR="00FC5A24" w:rsidRPr="00597825">
              <w:rPr>
                <w:sz w:val="18"/>
                <w:szCs w:val="18"/>
              </w:rPr>
              <w:t>G</w:t>
            </w:r>
            <w:r w:rsidRPr="00597825">
              <w:rPr>
                <w:sz w:val="18"/>
                <w:szCs w:val="18"/>
              </w:rPr>
              <w:t>overnment and other partners in order to maximise the quality of PHD activities.</w:t>
            </w:r>
          </w:p>
          <w:p w14:paraId="688A9627" w14:textId="487C4C09" w:rsidR="00D15146" w:rsidRPr="00FC5A24" w:rsidRDefault="00FC5A24" w:rsidP="00D15146">
            <w:pPr>
              <w:spacing w:before="60" w:after="60" w:line="259" w:lineRule="auto"/>
              <w:rPr>
                <w:sz w:val="18"/>
                <w:szCs w:val="18"/>
                <w:u w:val="single"/>
                <w:lang w:val="en-US"/>
              </w:rPr>
            </w:pPr>
            <w:r>
              <w:rPr>
                <w:sz w:val="18"/>
                <w:szCs w:val="18"/>
                <w:u w:val="single"/>
                <w:lang w:val="en-US"/>
              </w:rPr>
              <w:t>Focus:</w:t>
            </w:r>
          </w:p>
          <w:p w14:paraId="0A5B05AA" w14:textId="637DD7E0" w:rsidR="00D15146" w:rsidRPr="00597825" w:rsidRDefault="00D15146" w:rsidP="00597825">
            <w:pPr>
              <w:pStyle w:val="TableBullet"/>
              <w:rPr>
                <w:sz w:val="18"/>
                <w:szCs w:val="18"/>
              </w:rPr>
            </w:pPr>
            <w:r w:rsidRPr="00597825">
              <w:rPr>
                <w:sz w:val="18"/>
                <w:szCs w:val="18"/>
              </w:rPr>
              <w:t>Strategy and communication with government at national municipal and local levels</w:t>
            </w:r>
            <w:r w:rsidR="00FC5A24" w:rsidRPr="00597825">
              <w:rPr>
                <w:sz w:val="18"/>
                <w:szCs w:val="18"/>
              </w:rPr>
              <w:t>.</w:t>
            </w:r>
          </w:p>
        </w:tc>
        <w:tc>
          <w:tcPr>
            <w:tcW w:w="2126" w:type="dxa"/>
          </w:tcPr>
          <w:p w14:paraId="60F50400" w14:textId="77777777" w:rsidR="00D15146" w:rsidRPr="00D15146" w:rsidRDefault="00D15146" w:rsidP="004B093F">
            <w:pPr>
              <w:spacing w:before="60" w:after="60" w:line="259" w:lineRule="auto"/>
              <w:jc w:val="left"/>
              <w:rPr>
                <w:sz w:val="18"/>
                <w:szCs w:val="18"/>
                <w:lang w:val="en-US"/>
              </w:rPr>
            </w:pPr>
          </w:p>
        </w:tc>
        <w:tc>
          <w:tcPr>
            <w:tcW w:w="2410" w:type="dxa"/>
          </w:tcPr>
          <w:p w14:paraId="32A76B83" w14:textId="77777777" w:rsidR="00D15146" w:rsidRPr="00D15146" w:rsidRDefault="00D15146" w:rsidP="004B093F">
            <w:pPr>
              <w:spacing w:before="60" w:after="60" w:line="259" w:lineRule="auto"/>
              <w:jc w:val="left"/>
              <w:rPr>
                <w:sz w:val="18"/>
                <w:szCs w:val="18"/>
                <w:lang w:val="en-US"/>
              </w:rPr>
            </w:pPr>
          </w:p>
        </w:tc>
      </w:tr>
      <w:tr w:rsidR="00D15146" w:rsidRPr="00D15146" w14:paraId="196E6698" w14:textId="77777777" w:rsidTr="000D15A6">
        <w:tc>
          <w:tcPr>
            <w:tcW w:w="2258" w:type="dxa"/>
            <w:vMerge/>
          </w:tcPr>
          <w:p w14:paraId="7AFD3262" w14:textId="77777777" w:rsidR="00D15146" w:rsidRPr="00D15146" w:rsidRDefault="00D15146" w:rsidP="00D15146">
            <w:pPr>
              <w:spacing w:before="60" w:after="60" w:line="259" w:lineRule="auto"/>
              <w:rPr>
                <w:sz w:val="18"/>
                <w:szCs w:val="18"/>
                <w:lang w:val="en-US"/>
              </w:rPr>
            </w:pPr>
          </w:p>
        </w:tc>
        <w:tc>
          <w:tcPr>
            <w:tcW w:w="7088" w:type="dxa"/>
            <w:tcBorders>
              <w:bottom w:val="single" w:sz="8" w:space="0" w:color="FF931E"/>
            </w:tcBorders>
          </w:tcPr>
          <w:p w14:paraId="5E82C918" w14:textId="77777777" w:rsidR="00D15146" w:rsidRPr="00FC5A24" w:rsidRDefault="00D15146" w:rsidP="00D15146">
            <w:pPr>
              <w:spacing w:before="60" w:after="60" w:line="259" w:lineRule="auto"/>
              <w:rPr>
                <w:sz w:val="18"/>
                <w:szCs w:val="18"/>
                <w:u w:val="single"/>
                <w:lang w:val="en-US"/>
              </w:rPr>
            </w:pPr>
            <w:r w:rsidRPr="00FC5A24">
              <w:rPr>
                <w:sz w:val="18"/>
                <w:szCs w:val="18"/>
                <w:u w:val="single"/>
                <w:lang w:val="en-US"/>
              </w:rPr>
              <w:t>Approach:</w:t>
            </w:r>
          </w:p>
          <w:p w14:paraId="5A698259" w14:textId="45D757A4" w:rsidR="00D15146" w:rsidRPr="00597825" w:rsidRDefault="00597825" w:rsidP="00597825">
            <w:pPr>
              <w:pStyle w:val="TableBullet"/>
              <w:rPr>
                <w:sz w:val="18"/>
                <w:szCs w:val="18"/>
              </w:rPr>
            </w:pPr>
            <w:r w:rsidRPr="00597825">
              <w:rPr>
                <w:sz w:val="18"/>
                <w:szCs w:val="18"/>
              </w:rPr>
              <w:t>PHD</w:t>
            </w:r>
            <w:r w:rsidR="00D15146" w:rsidRPr="00597825">
              <w:rPr>
                <w:sz w:val="18"/>
                <w:szCs w:val="18"/>
              </w:rPr>
              <w:t xml:space="preserve"> </w:t>
            </w:r>
            <w:r w:rsidRPr="00597825">
              <w:rPr>
                <w:sz w:val="18"/>
                <w:szCs w:val="18"/>
              </w:rPr>
              <w:t>Sector L</w:t>
            </w:r>
            <w:r w:rsidR="00D15146" w:rsidRPr="00597825">
              <w:rPr>
                <w:sz w:val="18"/>
                <w:szCs w:val="18"/>
              </w:rPr>
              <w:t>eads and other re</w:t>
            </w:r>
            <w:r w:rsidRPr="00597825">
              <w:rPr>
                <w:sz w:val="18"/>
                <w:szCs w:val="18"/>
              </w:rPr>
              <w:t>levant technical personnel</w:t>
            </w:r>
            <w:r w:rsidR="00D15146" w:rsidRPr="00597825">
              <w:rPr>
                <w:sz w:val="18"/>
                <w:szCs w:val="18"/>
              </w:rPr>
              <w:t xml:space="preserve"> required to m</w:t>
            </w:r>
            <w:r w:rsidRPr="00597825">
              <w:rPr>
                <w:sz w:val="18"/>
                <w:szCs w:val="18"/>
              </w:rPr>
              <w:t xml:space="preserve">eet once </w:t>
            </w:r>
            <w:r w:rsidRPr="00597825">
              <w:rPr>
                <w:sz w:val="18"/>
                <w:szCs w:val="18"/>
              </w:rPr>
              <w:lastRenderedPageBreak/>
              <w:t>a month to review cross</w:t>
            </w:r>
            <w:r w:rsidR="00D15146" w:rsidRPr="00597825">
              <w:rPr>
                <w:sz w:val="18"/>
                <w:szCs w:val="18"/>
              </w:rPr>
              <w:t>-sector</w:t>
            </w:r>
            <w:r w:rsidRPr="00597825">
              <w:rPr>
                <w:sz w:val="18"/>
                <w:szCs w:val="18"/>
              </w:rPr>
              <w:t>al</w:t>
            </w:r>
            <w:r w:rsidR="00D15146" w:rsidRPr="00597825">
              <w:rPr>
                <w:sz w:val="18"/>
                <w:szCs w:val="18"/>
              </w:rPr>
              <w:t xml:space="preserve"> opportunities and implementation.</w:t>
            </w:r>
          </w:p>
        </w:tc>
        <w:tc>
          <w:tcPr>
            <w:tcW w:w="2126" w:type="dxa"/>
            <w:tcBorders>
              <w:bottom w:val="single" w:sz="8" w:space="0" w:color="FF931E"/>
            </w:tcBorders>
          </w:tcPr>
          <w:p w14:paraId="1CBA6800"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lastRenderedPageBreak/>
              <w:t>Monthly from April 2017</w:t>
            </w:r>
          </w:p>
        </w:tc>
        <w:tc>
          <w:tcPr>
            <w:tcW w:w="2410" w:type="dxa"/>
            <w:tcBorders>
              <w:bottom w:val="single" w:sz="8" w:space="0" w:color="FF931E"/>
            </w:tcBorders>
          </w:tcPr>
          <w:p w14:paraId="36348F68" w14:textId="70FA69ED" w:rsidR="00D15146" w:rsidRPr="00D15146" w:rsidRDefault="0040076A" w:rsidP="004B093F">
            <w:pPr>
              <w:spacing w:before="60" w:after="60" w:line="259" w:lineRule="auto"/>
              <w:jc w:val="left"/>
              <w:rPr>
                <w:sz w:val="18"/>
                <w:szCs w:val="18"/>
                <w:lang w:val="en-US"/>
              </w:rPr>
            </w:pPr>
            <w:r>
              <w:rPr>
                <w:sz w:val="18"/>
                <w:szCs w:val="18"/>
                <w:lang w:val="en-US"/>
              </w:rPr>
              <w:t>PHD Sector Leads and other technical personnel</w:t>
            </w:r>
          </w:p>
        </w:tc>
      </w:tr>
      <w:tr w:rsidR="00D15146" w:rsidRPr="00D15146" w14:paraId="5D37E03E" w14:textId="77777777" w:rsidTr="000D15A6">
        <w:tc>
          <w:tcPr>
            <w:tcW w:w="2258" w:type="dxa"/>
            <w:vMerge/>
          </w:tcPr>
          <w:p w14:paraId="3B629894" w14:textId="77777777" w:rsidR="00D15146" w:rsidRPr="00D15146" w:rsidRDefault="00D15146" w:rsidP="00D15146">
            <w:pPr>
              <w:spacing w:before="60" w:after="60" w:line="259" w:lineRule="auto"/>
              <w:rPr>
                <w:sz w:val="18"/>
                <w:szCs w:val="18"/>
                <w:lang w:val="en-US"/>
              </w:rPr>
            </w:pPr>
          </w:p>
        </w:tc>
        <w:tc>
          <w:tcPr>
            <w:tcW w:w="7088" w:type="dxa"/>
            <w:tcBorders>
              <w:bottom w:val="single" w:sz="4" w:space="0" w:color="FFFFFF" w:themeColor="background1"/>
            </w:tcBorders>
          </w:tcPr>
          <w:p w14:paraId="50844AEB" w14:textId="77777777" w:rsidR="00D15146" w:rsidRPr="00597825" w:rsidRDefault="00D15146" w:rsidP="00D15146">
            <w:pPr>
              <w:spacing w:before="60" w:after="60" w:line="259" w:lineRule="auto"/>
              <w:rPr>
                <w:sz w:val="18"/>
                <w:szCs w:val="18"/>
                <w:u w:val="single"/>
                <w:lang w:val="en-US"/>
              </w:rPr>
            </w:pPr>
            <w:r w:rsidRPr="00597825">
              <w:rPr>
                <w:sz w:val="18"/>
                <w:szCs w:val="18"/>
                <w:u w:val="single"/>
                <w:lang w:val="en-US"/>
              </w:rPr>
              <w:t>National level:</w:t>
            </w:r>
          </w:p>
        </w:tc>
        <w:tc>
          <w:tcPr>
            <w:tcW w:w="2126" w:type="dxa"/>
            <w:tcBorders>
              <w:bottom w:val="single" w:sz="4" w:space="0" w:color="FFFFFF" w:themeColor="background1"/>
            </w:tcBorders>
          </w:tcPr>
          <w:p w14:paraId="7E3AFB73" w14:textId="77777777" w:rsidR="00D15146" w:rsidRPr="00D15146" w:rsidRDefault="00D15146" w:rsidP="004B093F">
            <w:pPr>
              <w:spacing w:before="60" w:after="60" w:line="259" w:lineRule="auto"/>
              <w:jc w:val="left"/>
              <w:rPr>
                <w:sz w:val="18"/>
                <w:szCs w:val="18"/>
                <w:lang w:val="en-US"/>
              </w:rPr>
            </w:pPr>
          </w:p>
        </w:tc>
        <w:tc>
          <w:tcPr>
            <w:tcW w:w="2410" w:type="dxa"/>
            <w:tcBorders>
              <w:bottom w:val="single" w:sz="4" w:space="0" w:color="FFFFFF" w:themeColor="background1"/>
            </w:tcBorders>
          </w:tcPr>
          <w:p w14:paraId="37CD6210" w14:textId="77777777" w:rsidR="00D15146" w:rsidRPr="00D15146" w:rsidRDefault="00D15146" w:rsidP="004B093F">
            <w:pPr>
              <w:spacing w:before="60" w:after="60" w:line="259" w:lineRule="auto"/>
              <w:jc w:val="left"/>
              <w:rPr>
                <w:sz w:val="18"/>
                <w:szCs w:val="18"/>
                <w:lang w:val="en-US"/>
              </w:rPr>
            </w:pPr>
          </w:p>
        </w:tc>
      </w:tr>
      <w:tr w:rsidR="00D15146" w:rsidRPr="00D15146" w14:paraId="67901860" w14:textId="77777777" w:rsidTr="000D15A6">
        <w:tc>
          <w:tcPr>
            <w:tcW w:w="2258" w:type="dxa"/>
            <w:vMerge/>
          </w:tcPr>
          <w:p w14:paraId="43A2A1F6"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8" w:space="0" w:color="FF931E"/>
            </w:tcBorders>
          </w:tcPr>
          <w:p w14:paraId="512C225F" w14:textId="3301EE2D" w:rsidR="00D15146" w:rsidRPr="00597825" w:rsidRDefault="00D15146" w:rsidP="00597825">
            <w:pPr>
              <w:pStyle w:val="TableBullet"/>
              <w:rPr>
                <w:sz w:val="18"/>
                <w:szCs w:val="18"/>
              </w:rPr>
            </w:pPr>
            <w:r w:rsidRPr="00597825">
              <w:rPr>
                <w:sz w:val="18"/>
                <w:szCs w:val="18"/>
              </w:rPr>
              <w:t xml:space="preserve">Prior to </w:t>
            </w:r>
            <w:r w:rsidR="00597825" w:rsidRPr="00597825">
              <w:rPr>
                <w:sz w:val="18"/>
                <w:szCs w:val="18"/>
              </w:rPr>
              <w:t>elections, provide the current G</w:t>
            </w:r>
            <w:r w:rsidRPr="00597825">
              <w:rPr>
                <w:sz w:val="18"/>
                <w:szCs w:val="18"/>
              </w:rPr>
              <w:t>overnment with thorough briefing about PHD. It should be communicated to line ministries, senior and influential people in government and all other partners.</w:t>
            </w:r>
          </w:p>
        </w:tc>
        <w:tc>
          <w:tcPr>
            <w:tcW w:w="2126" w:type="dxa"/>
            <w:tcBorders>
              <w:top w:val="single" w:sz="4" w:space="0" w:color="FFFFFF" w:themeColor="background1"/>
              <w:bottom w:val="single" w:sz="8" w:space="0" w:color="FF931E"/>
            </w:tcBorders>
          </w:tcPr>
          <w:p w14:paraId="252F85B5"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April/May 2017</w:t>
            </w:r>
          </w:p>
        </w:tc>
        <w:tc>
          <w:tcPr>
            <w:tcW w:w="2410" w:type="dxa"/>
            <w:tcBorders>
              <w:top w:val="single" w:sz="4" w:space="0" w:color="FFFFFF" w:themeColor="background1"/>
              <w:bottom w:val="single" w:sz="8" w:space="0" w:color="FF931E"/>
            </w:tcBorders>
          </w:tcPr>
          <w:p w14:paraId="2B293983" w14:textId="5AC53BE7" w:rsidR="00D15146" w:rsidRPr="00D15146" w:rsidRDefault="00D15146" w:rsidP="0040076A">
            <w:pPr>
              <w:spacing w:before="60" w:after="60" w:line="259" w:lineRule="auto"/>
              <w:jc w:val="left"/>
              <w:rPr>
                <w:sz w:val="18"/>
                <w:szCs w:val="18"/>
                <w:lang w:val="en-US"/>
              </w:rPr>
            </w:pPr>
            <w:r w:rsidRPr="00D15146">
              <w:rPr>
                <w:sz w:val="18"/>
                <w:szCs w:val="18"/>
                <w:lang w:val="en-US"/>
              </w:rPr>
              <w:t xml:space="preserve">Embassy </w:t>
            </w:r>
            <w:r w:rsidR="0040076A">
              <w:rPr>
                <w:sz w:val="18"/>
                <w:szCs w:val="18"/>
                <w:lang w:val="en-US"/>
              </w:rPr>
              <w:t>Sector personnel</w:t>
            </w:r>
          </w:p>
        </w:tc>
      </w:tr>
      <w:tr w:rsidR="00D15146" w:rsidRPr="00D15146" w14:paraId="31F3AE06" w14:textId="77777777" w:rsidTr="000D15A6">
        <w:tc>
          <w:tcPr>
            <w:tcW w:w="2258" w:type="dxa"/>
            <w:vMerge/>
          </w:tcPr>
          <w:p w14:paraId="1E040726" w14:textId="77777777" w:rsidR="00D15146" w:rsidRPr="00D15146" w:rsidRDefault="00D15146" w:rsidP="00D15146">
            <w:pPr>
              <w:spacing w:before="60" w:after="60" w:line="259" w:lineRule="auto"/>
              <w:rPr>
                <w:sz w:val="18"/>
                <w:szCs w:val="18"/>
                <w:lang w:val="en-US"/>
              </w:rPr>
            </w:pPr>
          </w:p>
        </w:tc>
        <w:tc>
          <w:tcPr>
            <w:tcW w:w="7088" w:type="dxa"/>
            <w:tcBorders>
              <w:bottom w:val="single" w:sz="4" w:space="0" w:color="FFFFFF" w:themeColor="background1"/>
            </w:tcBorders>
          </w:tcPr>
          <w:p w14:paraId="1B930257" w14:textId="714A092A" w:rsidR="00D15146" w:rsidRPr="00597825" w:rsidRDefault="00D15146" w:rsidP="00597825">
            <w:pPr>
              <w:pStyle w:val="TableBullet"/>
              <w:rPr>
                <w:sz w:val="18"/>
                <w:szCs w:val="18"/>
              </w:rPr>
            </w:pPr>
            <w:r w:rsidRPr="00597825">
              <w:rPr>
                <w:sz w:val="18"/>
                <w:szCs w:val="18"/>
              </w:rPr>
              <w:t>Prior to the elections</w:t>
            </w:r>
            <w:r w:rsidR="00597825" w:rsidRPr="00597825">
              <w:rPr>
                <w:sz w:val="18"/>
                <w:szCs w:val="18"/>
              </w:rPr>
              <w:t>,</w:t>
            </w:r>
            <w:r w:rsidRPr="00597825">
              <w:rPr>
                <w:sz w:val="18"/>
                <w:szCs w:val="18"/>
              </w:rPr>
              <w:t xml:space="preserve"> launch the program through a public ceremony ensuring the presence of senior members of the Government of </w:t>
            </w:r>
            <w:r w:rsidR="00F76E96" w:rsidRPr="00597825">
              <w:rPr>
                <w:sz w:val="18"/>
                <w:szCs w:val="18"/>
              </w:rPr>
              <w:t>Timor-Leste</w:t>
            </w:r>
            <w:r w:rsidRPr="00597825">
              <w:rPr>
                <w:sz w:val="18"/>
                <w:szCs w:val="18"/>
              </w:rPr>
              <w:t>, the Ambassador, implementing partners, other development partners (including women’s organisations and organisations representing people living with a disability).</w:t>
            </w:r>
          </w:p>
        </w:tc>
        <w:tc>
          <w:tcPr>
            <w:tcW w:w="2126" w:type="dxa"/>
            <w:tcBorders>
              <w:bottom w:val="single" w:sz="4" w:space="0" w:color="FFFFFF" w:themeColor="background1"/>
            </w:tcBorders>
          </w:tcPr>
          <w:p w14:paraId="71CD8CA8" w14:textId="77777777" w:rsidR="00D15146" w:rsidRPr="00D15146" w:rsidRDefault="00D15146" w:rsidP="004B093F">
            <w:pPr>
              <w:spacing w:before="60" w:after="60" w:line="259" w:lineRule="auto"/>
              <w:jc w:val="left"/>
              <w:rPr>
                <w:sz w:val="18"/>
                <w:szCs w:val="18"/>
                <w:lang w:val="en-US"/>
              </w:rPr>
            </w:pPr>
            <w:r w:rsidRPr="00D15146">
              <w:rPr>
                <w:sz w:val="18"/>
                <w:szCs w:val="18"/>
                <w:lang w:val="en-US"/>
              </w:rPr>
              <w:t>April/May 2017</w:t>
            </w:r>
          </w:p>
        </w:tc>
        <w:tc>
          <w:tcPr>
            <w:tcW w:w="2410" w:type="dxa"/>
            <w:tcBorders>
              <w:bottom w:val="single" w:sz="4" w:space="0" w:color="FFFFFF" w:themeColor="background1"/>
            </w:tcBorders>
          </w:tcPr>
          <w:p w14:paraId="759A0D0D" w14:textId="785F1FB7" w:rsidR="00D15146" w:rsidRPr="00D15146" w:rsidRDefault="00597825" w:rsidP="0040076A">
            <w:pPr>
              <w:spacing w:before="60" w:after="60" w:line="259" w:lineRule="auto"/>
              <w:jc w:val="left"/>
              <w:rPr>
                <w:sz w:val="18"/>
                <w:szCs w:val="18"/>
                <w:lang w:val="en-US"/>
              </w:rPr>
            </w:pPr>
            <w:r>
              <w:rPr>
                <w:sz w:val="18"/>
                <w:szCs w:val="18"/>
                <w:lang w:val="en-US"/>
              </w:rPr>
              <w:t>All of PHD</w:t>
            </w:r>
          </w:p>
        </w:tc>
      </w:tr>
      <w:tr w:rsidR="00D15146" w:rsidRPr="00D15146" w14:paraId="4E88C396" w14:textId="77777777" w:rsidTr="000D15A6">
        <w:tc>
          <w:tcPr>
            <w:tcW w:w="2258" w:type="dxa"/>
            <w:vMerge/>
          </w:tcPr>
          <w:p w14:paraId="6C67F139"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6A9DF7C3" w14:textId="6D8EE435" w:rsidR="00D15146" w:rsidRPr="00597825" w:rsidRDefault="00D15146" w:rsidP="00597825">
            <w:pPr>
              <w:pStyle w:val="TableBullet"/>
              <w:rPr>
                <w:sz w:val="18"/>
                <w:szCs w:val="18"/>
              </w:rPr>
            </w:pPr>
            <w:r w:rsidRPr="00597825">
              <w:rPr>
                <w:sz w:val="18"/>
                <w:szCs w:val="18"/>
              </w:rPr>
              <w:t xml:space="preserve">Regular program reporting should be provided for </w:t>
            </w:r>
            <w:r w:rsidR="00597825" w:rsidRPr="00597825">
              <w:rPr>
                <w:sz w:val="18"/>
                <w:szCs w:val="18"/>
              </w:rPr>
              <w:t>G</w:t>
            </w:r>
            <w:r w:rsidRPr="00597825">
              <w:rPr>
                <w:sz w:val="18"/>
                <w:szCs w:val="18"/>
              </w:rPr>
              <w:t>overnment. These reports should be flexible and provide accessible information about prog</w:t>
            </w:r>
            <w:r w:rsidR="00597825" w:rsidRPr="00597825">
              <w:rPr>
                <w:sz w:val="18"/>
                <w:szCs w:val="18"/>
              </w:rPr>
              <w:t>ram progress, analysis and cross</w:t>
            </w:r>
            <w:r w:rsidRPr="00597825">
              <w:rPr>
                <w:sz w:val="18"/>
                <w:szCs w:val="18"/>
              </w:rPr>
              <w:t>-sector</w:t>
            </w:r>
            <w:r w:rsidR="00597825" w:rsidRPr="00597825">
              <w:rPr>
                <w:sz w:val="18"/>
                <w:szCs w:val="18"/>
              </w:rPr>
              <w:t>al</w:t>
            </w:r>
            <w:r w:rsidRPr="00597825">
              <w:rPr>
                <w:sz w:val="18"/>
                <w:szCs w:val="18"/>
              </w:rPr>
              <w:t xml:space="preserve"> approaches. </w:t>
            </w:r>
          </w:p>
          <w:p w14:paraId="4936EEF2" w14:textId="0EF8B007" w:rsidR="00D15146" w:rsidRPr="00597825" w:rsidRDefault="00D15146" w:rsidP="00597825">
            <w:pPr>
              <w:pStyle w:val="TableBullet"/>
              <w:rPr>
                <w:sz w:val="18"/>
                <w:szCs w:val="18"/>
              </w:rPr>
            </w:pPr>
            <w:r w:rsidRPr="00597825">
              <w:rPr>
                <w:sz w:val="18"/>
                <w:szCs w:val="18"/>
              </w:rPr>
              <w:t xml:space="preserve">Consistent information should be provided across forms </w:t>
            </w:r>
            <w:r w:rsidR="00597825" w:rsidRPr="00597825">
              <w:rPr>
                <w:sz w:val="18"/>
                <w:szCs w:val="18"/>
              </w:rPr>
              <w:t>–</w:t>
            </w:r>
            <w:r w:rsidRPr="00597825">
              <w:rPr>
                <w:sz w:val="18"/>
                <w:szCs w:val="18"/>
              </w:rPr>
              <w:t xml:space="preserve"> informal meetings, high-level meetings, technical group meetings</w:t>
            </w:r>
            <w:r w:rsidR="00597825" w:rsidRPr="00597825">
              <w:rPr>
                <w:sz w:val="18"/>
                <w:szCs w:val="18"/>
              </w:rPr>
              <w:t>,</w:t>
            </w:r>
            <w:r w:rsidRPr="00597825">
              <w:rPr>
                <w:sz w:val="18"/>
                <w:szCs w:val="18"/>
              </w:rPr>
              <w:t xml:space="preserve"> and through PHD newsletter and website.</w:t>
            </w:r>
          </w:p>
          <w:p w14:paraId="5B79A476" w14:textId="3018F8AD" w:rsidR="00D15146" w:rsidRPr="00597825" w:rsidRDefault="00D15146" w:rsidP="00597825">
            <w:pPr>
              <w:pStyle w:val="TableBullet"/>
              <w:rPr>
                <w:sz w:val="18"/>
                <w:szCs w:val="18"/>
              </w:rPr>
            </w:pPr>
            <w:r w:rsidRPr="00597825">
              <w:rPr>
                <w:sz w:val="18"/>
                <w:szCs w:val="18"/>
              </w:rPr>
              <w:t>Reports should be evidenced-based to demonstrate PHD</w:t>
            </w:r>
            <w:r w:rsidR="00597825" w:rsidRPr="00597825">
              <w:rPr>
                <w:sz w:val="18"/>
                <w:szCs w:val="18"/>
              </w:rPr>
              <w:t>’s</w:t>
            </w:r>
            <w:r w:rsidRPr="00597825">
              <w:rPr>
                <w:sz w:val="18"/>
                <w:szCs w:val="18"/>
              </w:rPr>
              <w:t xml:space="preserve"> commitment to evidence and value of this for decision-making.</w:t>
            </w:r>
          </w:p>
        </w:tc>
        <w:tc>
          <w:tcPr>
            <w:tcW w:w="2126" w:type="dxa"/>
            <w:tcBorders>
              <w:top w:val="single" w:sz="4" w:space="0" w:color="FFFFFF" w:themeColor="background1"/>
              <w:bottom w:val="single" w:sz="4" w:space="0" w:color="FFFFFF" w:themeColor="background1"/>
            </w:tcBorders>
          </w:tcPr>
          <w:p w14:paraId="64A727F2" w14:textId="77777777" w:rsidR="00D15146" w:rsidRPr="00D15146" w:rsidRDefault="00D15146" w:rsidP="0040076A">
            <w:pPr>
              <w:spacing w:before="60" w:after="60" w:line="259" w:lineRule="auto"/>
              <w:jc w:val="left"/>
              <w:rPr>
                <w:sz w:val="18"/>
                <w:szCs w:val="18"/>
                <w:lang w:val="en-US"/>
              </w:rPr>
            </w:pPr>
            <w:r w:rsidRPr="00D15146">
              <w:rPr>
                <w:sz w:val="18"/>
                <w:szCs w:val="18"/>
                <w:lang w:val="en-US"/>
              </w:rPr>
              <w:t>April/May 2017 onwards</w:t>
            </w:r>
          </w:p>
        </w:tc>
        <w:tc>
          <w:tcPr>
            <w:tcW w:w="2410" w:type="dxa"/>
            <w:tcBorders>
              <w:top w:val="single" w:sz="4" w:space="0" w:color="FFFFFF" w:themeColor="background1"/>
              <w:bottom w:val="single" w:sz="4" w:space="0" w:color="FFFFFF" w:themeColor="background1"/>
            </w:tcBorders>
          </w:tcPr>
          <w:p w14:paraId="7BB44A06" w14:textId="1910BC7F" w:rsidR="00D15146" w:rsidRPr="00D15146" w:rsidRDefault="00D15146" w:rsidP="0040076A">
            <w:pPr>
              <w:spacing w:before="60" w:after="60" w:line="259" w:lineRule="auto"/>
              <w:jc w:val="left"/>
              <w:rPr>
                <w:sz w:val="18"/>
                <w:szCs w:val="18"/>
                <w:lang w:val="en-US"/>
              </w:rPr>
            </w:pPr>
            <w:r w:rsidRPr="00D15146">
              <w:rPr>
                <w:sz w:val="18"/>
                <w:szCs w:val="18"/>
                <w:lang w:val="en-US"/>
              </w:rPr>
              <w:t xml:space="preserve">Embassy </w:t>
            </w:r>
            <w:r w:rsidR="0040076A">
              <w:rPr>
                <w:sz w:val="18"/>
                <w:szCs w:val="18"/>
                <w:lang w:val="en-US"/>
              </w:rPr>
              <w:t>personnel and PHD Sector Lea</w:t>
            </w:r>
            <w:r w:rsidRPr="00D15146">
              <w:rPr>
                <w:sz w:val="18"/>
                <w:szCs w:val="18"/>
                <w:lang w:val="en-US"/>
              </w:rPr>
              <w:t xml:space="preserve">ds supported by PHD </w:t>
            </w:r>
            <w:r w:rsidR="0040076A">
              <w:rPr>
                <w:sz w:val="18"/>
                <w:szCs w:val="18"/>
                <w:lang w:val="en-US"/>
              </w:rPr>
              <w:t>C</w:t>
            </w:r>
            <w:r w:rsidRPr="00D15146">
              <w:rPr>
                <w:sz w:val="18"/>
                <w:szCs w:val="18"/>
                <w:lang w:val="en-US"/>
              </w:rPr>
              <w:t>ommunication</w:t>
            </w:r>
            <w:r w:rsidR="0040076A">
              <w:rPr>
                <w:sz w:val="18"/>
                <w:szCs w:val="18"/>
                <w:lang w:val="en-US"/>
              </w:rPr>
              <w:t>s</w:t>
            </w:r>
            <w:r w:rsidRPr="00D15146">
              <w:rPr>
                <w:sz w:val="18"/>
                <w:szCs w:val="18"/>
                <w:lang w:val="en-US"/>
              </w:rPr>
              <w:t xml:space="preserve"> </w:t>
            </w:r>
            <w:r w:rsidR="0040076A">
              <w:rPr>
                <w:sz w:val="18"/>
                <w:szCs w:val="18"/>
                <w:lang w:val="en-US"/>
              </w:rPr>
              <w:t xml:space="preserve">Adviser </w:t>
            </w:r>
            <w:r w:rsidRPr="00D15146">
              <w:rPr>
                <w:sz w:val="18"/>
                <w:szCs w:val="18"/>
                <w:lang w:val="en-US"/>
              </w:rPr>
              <w:t xml:space="preserve">and PHD M&amp;E </w:t>
            </w:r>
            <w:r w:rsidR="0040076A">
              <w:rPr>
                <w:sz w:val="18"/>
                <w:szCs w:val="18"/>
                <w:lang w:val="en-US"/>
              </w:rPr>
              <w:t>resource(s)</w:t>
            </w:r>
          </w:p>
        </w:tc>
      </w:tr>
      <w:tr w:rsidR="00D15146" w:rsidRPr="00D15146" w14:paraId="635E60DE" w14:textId="77777777" w:rsidTr="000D15A6">
        <w:tc>
          <w:tcPr>
            <w:tcW w:w="2258" w:type="dxa"/>
            <w:vMerge/>
          </w:tcPr>
          <w:p w14:paraId="6FC4319F"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54B0A2B0" w14:textId="4A0CE315" w:rsidR="00D15146" w:rsidRPr="00597825" w:rsidRDefault="00597825" w:rsidP="00597825">
            <w:pPr>
              <w:pStyle w:val="TableBullet"/>
              <w:rPr>
                <w:sz w:val="18"/>
                <w:szCs w:val="18"/>
              </w:rPr>
            </w:pPr>
            <w:r w:rsidRPr="00597825">
              <w:rPr>
                <w:sz w:val="18"/>
                <w:szCs w:val="18"/>
              </w:rPr>
              <w:t>Regular sector meetings with the G</w:t>
            </w:r>
            <w:r w:rsidR="00D15146" w:rsidRPr="00597825">
              <w:rPr>
                <w:sz w:val="18"/>
                <w:szCs w:val="18"/>
              </w:rPr>
              <w:t>overnment</w:t>
            </w:r>
            <w:r w:rsidRPr="00597825">
              <w:rPr>
                <w:sz w:val="18"/>
                <w:szCs w:val="18"/>
              </w:rPr>
              <w:t>.</w:t>
            </w:r>
          </w:p>
        </w:tc>
        <w:tc>
          <w:tcPr>
            <w:tcW w:w="2126" w:type="dxa"/>
            <w:tcBorders>
              <w:top w:val="single" w:sz="4" w:space="0" w:color="FFFFFF" w:themeColor="background1"/>
              <w:bottom w:val="single" w:sz="4" w:space="0" w:color="FFFFFF" w:themeColor="background1"/>
            </w:tcBorders>
          </w:tcPr>
          <w:p w14:paraId="175E1295" w14:textId="77777777" w:rsidR="00D15146" w:rsidRPr="00D15146" w:rsidRDefault="00D15146" w:rsidP="0040076A">
            <w:pPr>
              <w:spacing w:before="60" w:after="60" w:line="259" w:lineRule="auto"/>
              <w:jc w:val="left"/>
              <w:rPr>
                <w:sz w:val="18"/>
                <w:szCs w:val="18"/>
              </w:rPr>
            </w:pPr>
            <w:r w:rsidRPr="00D15146">
              <w:rPr>
                <w:sz w:val="18"/>
                <w:szCs w:val="18"/>
                <w:lang w:val="en-US"/>
              </w:rPr>
              <w:t>April/May 2017 onwards</w:t>
            </w:r>
          </w:p>
        </w:tc>
        <w:tc>
          <w:tcPr>
            <w:tcW w:w="2410" w:type="dxa"/>
            <w:tcBorders>
              <w:top w:val="single" w:sz="4" w:space="0" w:color="FFFFFF" w:themeColor="background1"/>
              <w:bottom w:val="single" w:sz="4" w:space="0" w:color="FFFFFF" w:themeColor="background1"/>
            </w:tcBorders>
          </w:tcPr>
          <w:p w14:paraId="0EFB8D0A" w14:textId="7AE5F14C" w:rsidR="00D15146" w:rsidRPr="00D15146" w:rsidRDefault="0040076A" w:rsidP="0040076A">
            <w:pPr>
              <w:spacing w:before="60" w:after="60" w:line="259" w:lineRule="auto"/>
              <w:jc w:val="left"/>
              <w:rPr>
                <w:sz w:val="18"/>
                <w:szCs w:val="18"/>
                <w:lang w:val="en-US"/>
              </w:rPr>
            </w:pPr>
            <w:r>
              <w:rPr>
                <w:sz w:val="18"/>
                <w:szCs w:val="18"/>
                <w:lang w:val="en-US"/>
              </w:rPr>
              <w:t>PHD Sector L</w:t>
            </w:r>
            <w:r w:rsidR="00D15146" w:rsidRPr="00D15146">
              <w:rPr>
                <w:sz w:val="18"/>
                <w:szCs w:val="18"/>
                <w:lang w:val="en-US"/>
              </w:rPr>
              <w:t>eads</w:t>
            </w:r>
          </w:p>
        </w:tc>
      </w:tr>
      <w:tr w:rsidR="00D15146" w:rsidRPr="00D15146" w14:paraId="32DC5D3D" w14:textId="77777777" w:rsidTr="004B3DEB">
        <w:tc>
          <w:tcPr>
            <w:tcW w:w="2258" w:type="dxa"/>
            <w:vMerge/>
          </w:tcPr>
          <w:p w14:paraId="36B7133E"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286A0F43" w14:textId="2F47244D" w:rsidR="00D15146" w:rsidRPr="00597825" w:rsidRDefault="00597825" w:rsidP="00597825">
            <w:pPr>
              <w:pStyle w:val="TableBullet"/>
              <w:rPr>
                <w:sz w:val="18"/>
                <w:szCs w:val="18"/>
              </w:rPr>
            </w:pPr>
            <w:r w:rsidRPr="00597825">
              <w:rPr>
                <w:sz w:val="18"/>
                <w:szCs w:val="18"/>
              </w:rPr>
              <w:t>Regular high-</w:t>
            </w:r>
            <w:r w:rsidR="00D15146" w:rsidRPr="00597825">
              <w:rPr>
                <w:sz w:val="18"/>
                <w:szCs w:val="18"/>
              </w:rPr>
              <w:t xml:space="preserve">level or </w:t>
            </w:r>
            <w:r w:rsidRPr="00597825">
              <w:rPr>
                <w:sz w:val="18"/>
                <w:szCs w:val="18"/>
              </w:rPr>
              <w:t>cross</w:t>
            </w:r>
            <w:r w:rsidR="00D15146" w:rsidRPr="00597825">
              <w:rPr>
                <w:sz w:val="18"/>
                <w:szCs w:val="18"/>
              </w:rPr>
              <w:t>-sector</w:t>
            </w:r>
            <w:r w:rsidRPr="00597825">
              <w:rPr>
                <w:sz w:val="18"/>
                <w:szCs w:val="18"/>
              </w:rPr>
              <w:t>al</w:t>
            </w:r>
            <w:r w:rsidR="00D15146" w:rsidRPr="00597825">
              <w:rPr>
                <w:sz w:val="18"/>
                <w:szCs w:val="18"/>
              </w:rPr>
              <w:t xml:space="preserve"> meetings with </w:t>
            </w:r>
            <w:r w:rsidRPr="00597825">
              <w:rPr>
                <w:sz w:val="18"/>
                <w:szCs w:val="18"/>
              </w:rPr>
              <w:t xml:space="preserve">the </w:t>
            </w:r>
            <w:r w:rsidR="00D15146" w:rsidRPr="00597825">
              <w:rPr>
                <w:sz w:val="18"/>
                <w:szCs w:val="18"/>
              </w:rPr>
              <w:t>Governmen</w:t>
            </w:r>
            <w:r w:rsidRPr="00597825">
              <w:rPr>
                <w:sz w:val="18"/>
                <w:szCs w:val="18"/>
              </w:rPr>
              <w:t>t.</w:t>
            </w:r>
          </w:p>
        </w:tc>
        <w:tc>
          <w:tcPr>
            <w:tcW w:w="2126" w:type="dxa"/>
            <w:tcBorders>
              <w:top w:val="single" w:sz="4" w:space="0" w:color="FFFFFF" w:themeColor="background1"/>
              <w:bottom w:val="single" w:sz="4" w:space="0" w:color="FFFFFF" w:themeColor="background1"/>
            </w:tcBorders>
          </w:tcPr>
          <w:p w14:paraId="07D839BC" w14:textId="77777777" w:rsidR="00D15146" w:rsidRPr="00D15146" w:rsidRDefault="00D15146" w:rsidP="0040076A">
            <w:pPr>
              <w:spacing w:before="60" w:after="60" w:line="259" w:lineRule="auto"/>
              <w:jc w:val="left"/>
              <w:rPr>
                <w:sz w:val="18"/>
                <w:szCs w:val="18"/>
              </w:rPr>
            </w:pPr>
            <w:r w:rsidRPr="00D15146">
              <w:rPr>
                <w:sz w:val="18"/>
                <w:szCs w:val="18"/>
                <w:lang w:val="en-US"/>
              </w:rPr>
              <w:t>April/May 2017 onwards</w:t>
            </w:r>
          </w:p>
        </w:tc>
        <w:tc>
          <w:tcPr>
            <w:tcW w:w="2410" w:type="dxa"/>
            <w:tcBorders>
              <w:top w:val="single" w:sz="4" w:space="0" w:color="FFFFFF" w:themeColor="background1"/>
              <w:bottom w:val="single" w:sz="4" w:space="0" w:color="FFFFFF" w:themeColor="background1"/>
            </w:tcBorders>
          </w:tcPr>
          <w:p w14:paraId="0D2BA436" w14:textId="6266FBAD" w:rsidR="00D15146" w:rsidRPr="00D15146" w:rsidRDefault="0040076A" w:rsidP="0040076A">
            <w:pPr>
              <w:spacing w:before="60" w:after="60" w:line="259" w:lineRule="auto"/>
              <w:jc w:val="left"/>
              <w:rPr>
                <w:sz w:val="18"/>
                <w:szCs w:val="18"/>
                <w:lang w:val="en-US"/>
              </w:rPr>
            </w:pPr>
            <w:r>
              <w:rPr>
                <w:sz w:val="18"/>
                <w:szCs w:val="18"/>
                <w:lang w:val="en-US"/>
              </w:rPr>
              <w:t xml:space="preserve">Australian </w:t>
            </w:r>
            <w:r w:rsidR="00D15146" w:rsidRPr="00D15146">
              <w:rPr>
                <w:sz w:val="18"/>
                <w:szCs w:val="18"/>
                <w:lang w:val="en-US"/>
              </w:rPr>
              <w:t xml:space="preserve">Ambassador </w:t>
            </w:r>
          </w:p>
          <w:p w14:paraId="5E4766F5" w14:textId="47FBDD10" w:rsidR="00D15146" w:rsidRPr="00D15146" w:rsidRDefault="0040076A" w:rsidP="0040076A">
            <w:pPr>
              <w:spacing w:before="60" w:after="60" w:line="259" w:lineRule="auto"/>
              <w:jc w:val="left"/>
              <w:rPr>
                <w:sz w:val="18"/>
                <w:szCs w:val="18"/>
                <w:lang w:val="en-US"/>
              </w:rPr>
            </w:pPr>
            <w:r>
              <w:rPr>
                <w:sz w:val="18"/>
                <w:szCs w:val="18"/>
                <w:lang w:val="en-US"/>
              </w:rPr>
              <w:t>DFAT C</w:t>
            </w:r>
            <w:r w:rsidR="00D15146" w:rsidRPr="00D15146">
              <w:rPr>
                <w:sz w:val="18"/>
                <w:szCs w:val="18"/>
                <w:lang w:val="en-US"/>
              </w:rPr>
              <w:t>ounsellor</w:t>
            </w:r>
            <w:r>
              <w:rPr>
                <w:sz w:val="18"/>
                <w:szCs w:val="18"/>
                <w:lang w:val="en-US"/>
              </w:rPr>
              <w:t>, Human Development</w:t>
            </w:r>
          </w:p>
          <w:p w14:paraId="7445BFCF" w14:textId="60E5DFFF" w:rsidR="00D15146" w:rsidRPr="00D15146" w:rsidRDefault="00D15146" w:rsidP="0040076A">
            <w:pPr>
              <w:spacing w:before="60" w:after="60" w:line="259" w:lineRule="auto"/>
              <w:jc w:val="left"/>
              <w:rPr>
                <w:sz w:val="18"/>
                <w:szCs w:val="18"/>
                <w:lang w:val="en-US"/>
              </w:rPr>
            </w:pPr>
            <w:r w:rsidRPr="00D15146">
              <w:rPr>
                <w:sz w:val="18"/>
                <w:szCs w:val="18"/>
                <w:lang w:val="en-US"/>
              </w:rPr>
              <w:t xml:space="preserve">PHD </w:t>
            </w:r>
            <w:r w:rsidR="0040076A">
              <w:rPr>
                <w:sz w:val="18"/>
                <w:szCs w:val="18"/>
                <w:lang w:val="en-US"/>
              </w:rPr>
              <w:t xml:space="preserve">Team Leader </w:t>
            </w:r>
          </w:p>
        </w:tc>
      </w:tr>
      <w:tr w:rsidR="00D15146" w:rsidRPr="00D15146" w14:paraId="0F9BEF40" w14:textId="77777777" w:rsidTr="004B3DEB">
        <w:tc>
          <w:tcPr>
            <w:tcW w:w="2258" w:type="dxa"/>
            <w:vMerge/>
          </w:tcPr>
          <w:p w14:paraId="4AF1BC82"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931E"/>
            </w:tcBorders>
          </w:tcPr>
          <w:p w14:paraId="36D9AEC7" w14:textId="7BE08D37" w:rsidR="00D15146" w:rsidRPr="00597825" w:rsidRDefault="00D15146" w:rsidP="00597825">
            <w:pPr>
              <w:pStyle w:val="TableBullet"/>
              <w:rPr>
                <w:sz w:val="18"/>
                <w:szCs w:val="18"/>
              </w:rPr>
            </w:pPr>
            <w:r w:rsidRPr="00597825">
              <w:rPr>
                <w:sz w:val="18"/>
                <w:szCs w:val="18"/>
              </w:rPr>
              <w:t>Following the elections</w:t>
            </w:r>
            <w:r w:rsidR="00597825" w:rsidRPr="00597825">
              <w:rPr>
                <w:sz w:val="18"/>
                <w:szCs w:val="18"/>
              </w:rPr>
              <w:t>, there needs to be a plan for G</w:t>
            </w:r>
            <w:r w:rsidRPr="00597825">
              <w:rPr>
                <w:sz w:val="18"/>
                <w:szCs w:val="18"/>
              </w:rPr>
              <w:t xml:space="preserve">overnment wide courtesy calls, slowly and consistently presenting PHD and its </w:t>
            </w:r>
            <w:r w:rsidR="00597825" w:rsidRPr="00597825">
              <w:rPr>
                <w:sz w:val="18"/>
                <w:szCs w:val="18"/>
              </w:rPr>
              <w:t>approach to supporting the new G</w:t>
            </w:r>
            <w:r w:rsidRPr="00597825">
              <w:rPr>
                <w:sz w:val="18"/>
                <w:szCs w:val="18"/>
              </w:rPr>
              <w:t>overnment</w:t>
            </w:r>
            <w:r w:rsidR="00597825" w:rsidRPr="00597825">
              <w:rPr>
                <w:sz w:val="18"/>
                <w:szCs w:val="18"/>
              </w:rPr>
              <w:t>.</w:t>
            </w:r>
          </w:p>
        </w:tc>
        <w:tc>
          <w:tcPr>
            <w:tcW w:w="2126" w:type="dxa"/>
            <w:tcBorders>
              <w:top w:val="single" w:sz="4" w:space="0" w:color="FFFFFF" w:themeColor="background1"/>
              <w:bottom w:val="single" w:sz="4" w:space="0" w:color="FF931E"/>
            </w:tcBorders>
          </w:tcPr>
          <w:p w14:paraId="5812E32E" w14:textId="40E9DB4A" w:rsidR="00D15146" w:rsidRPr="00D15146" w:rsidRDefault="0040076A" w:rsidP="0040076A">
            <w:pPr>
              <w:spacing w:before="60" w:after="60" w:line="259" w:lineRule="auto"/>
              <w:jc w:val="left"/>
              <w:rPr>
                <w:sz w:val="18"/>
                <w:szCs w:val="18"/>
                <w:lang w:val="en-US"/>
              </w:rPr>
            </w:pPr>
            <w:r>
              <w:rPr>
                <w:sz w:val="18"/>
                <w:szCs w:val="18"/>
                <w:lang w:val="en-US"/>
              </w:rPr>
              <w:t>Mid-</w:t>
            </w:r>
            <w:r w:rsidR="00D15146" w:rsidRPr="00D15146">
              <w:rPr>
                <w:sz w:val="18"/>
                <w:szCs w:val="18"/>
                <w:lang w:val="en-US"/>
              </w:rPr>
              <w:t>2017 onwards</w:t>
            </w:r>
          </w:p>
          <w:p w14:paraId="67A24236" w14:textId="743BA1FF" w:rsidR="00D15146" w:rsidRPr="00D15146" w:rsidRDefault="00D15146" w:rsidP="0040076A">
            <w:pPr>
              <w:spacing w:before="60" w:after="60" w:line="259" w:lineRule="auto"/>
              <w:jc w:val="left"/>
              <w:rPr>
                <w:sz w:val="18"/>
                <w:szCs w:val="18"/>
                <w:lang w:val="en-US"/>
              </w:rPr>
            </w:pPr>
            <w:r w:rsidRPr="00D15146">
              <w:rPr>
                <w:i/>
                <w:sz w:val="18"/>
                <w:szCs w:val="18"/>
                <w:lang w:val="en-US"/>
              </w:rPr>
              <w:t>(depending on election outcomes and Go</w:t>
            </w:r>
            <w:r w:rsidR="0040076A">
              <w:rPr>
                <w:i/>
                <w:sz w:val="18"/>
                <w:szCs w:val="18"/>
                <w:lang w:val="en-US"/>
              </w:rPr>
              <w:t xml:space="preserve">vernment of </w:t>
            </w:r>
            <w:r w:rsidRPr="00D15146">
              <w:rPr>
                <w:i/>
                <w:sz w:val="18"/>
                <w:szCs w:val="18"/>
                <w:lang w:val="en-US"/>
              </w:rPr>
              <w:t>T</w:t>
            </w:r>
            <w:r w:rsidR="0040076A">
              <w:rPr>
                <w:i/>
                <w:sz w:val="18"/>
                <w:szCs w:val="18"/>
                <w:lang w:val="en-US"/>
              </w:rPr>
              <w:t>imor-</w:t>
            </w:r>
            <w:r w:rsidRPr="00D15146">
              <w:rPr>
                <w:i/>
                <w:sz w:val="18"/>
                <w:szCs w:val="18"/>
                <w:lang w:val="en-US"/>
              </w:rPr>
              <w:t>L</w:t>
            </w:r>
            <w:r w:rsidR="0040076A">
              <w:rPr>
                <w:i/>
                <w:sz w:val="18"/>
                <w:szCs w:val="18"/>
                <w:lang w:val="en-US"/>
              </w:rPr>
              <w:t>este</w:t>
            </w:r>
            <w:r w:rsidRPr="00D15146">
              <w:rPr>
                <w:i/>
                <w:sz w:val="18"/>
                <w:szCs w:val="18"/>
                <w:lang w:val="en-US"/>
              </w:rPr>
              <w:t xml:space="preserve"> timelines)</w:t>
            </w:r>
          </w:p>
        </w:tc>
        <w:tc>
          <w:tcPr>
            <w:tcW w:w="2410" w:type="dxa"/>
            <w:tcBorders>
              <w:top w:val="single" w:sz="4" w:space="0" w:color="FFFFFF" w:themeColor="background1"/>
              <w:bottom w:val="single" w:sz="4" w:space="0" w:color="FF931E"/>
            </w:tcBorders>
          </w:tcPr>
          <w:p w14:paraId="56D2FE0A" w14:textId="6DCF1B1E" w:rsidR="00D15146" w:rsidRPr="00D15146" w:rsidRDefault="0040076A" w:rsidP="0040076A">
            <w:pPr>
              <w:spacing w:before="60" w:after="60" w:line="259" w:lineRule="auto"/>
              <w:jc w:val="left"/>
              <w:rPr>
                <w:sz w:val="18"/>
                <w:szCs w:val="18"/>
                <w:lang w:val="en-US"/>
              </w:rPr>
            </w:pPr>
            <w:r>
              <w:rPr>
                <w:sz w:val="18"/>
                <w:szCs w:val="18"/>
                <w:lang w:val="en-US"/>
              </w:rPr>
              <w:t xml:space="preserve">Australian </w:t>
            </w:r>
            <w:r w:rsidR="00D15146" w:rsidRPr="00D15146">
              <w:rPr>
                <w:sz w:val="18"/>
                <w:szCs w:val="18"/>
                <w:lang w:val="en-US"/>
              </w:rPr>
              <w:t xml:space="preserve">Ambassador </w:t>
            </w:r>
          </w:p>
          <w:p w14:paraId="7768991A" w14:textId="05859EEB" w:rsidR="00D15146" w:rsidRPr="00D15146" w:rsidRDefault="00D15146" w:rsidP="0040076A">
            <w:pPr>
              <w:spacing w:before="60" w:after="60" w:line="259" w:lineRule="auto"/>
              <w:jc w:val="left"/>
              <w:rPr>
                <w:sz w:val="18"/>
                <w:szCs w:val="18"/>
                <w:lang w:val="en-US"/>
              </w:rPr>
            </w:pPr>
            <w:r w:rsidRPr="00D15146">
              <w:rPr>
                <w:sz w:val="18"/>
                <w:szCs w:val="18"/>
                <w:lang w:val="en-US"/>
              </w:rPr>
              <w:t xml:space="preserve">DFAT </w:t>
            </w:r>
            <w:r w:rsidR="0040076A">
              <w:rPr>
                <w:sz w:val="18"/>
                <w:szCs w:val="18"/>
                <w:lang w:val="en-US"/>
              </w:rPr>
              <w:t>C</w:t>
            </w:r>
            <w:r w:rsidRPr="00D15146">
              <w:rPr>
                <w:sz w:val="18"/>
                <w:szCs w:val="18"/>
                <w:lang w:val="en-US"/>
              </w:rPr>
              <w:t>ounsellor</w:t>
            </w:r>
            <w:r w:rsidR="0040076A">
              <w:rPr>
                <w:sz w:val="18"/>
                <w:szCs w:val="18"/>
                <w:lang w:val="en-US"/>
              </w:rPr>
              <w:t>, Human Development</w:t>
            </w:r>
            <w:r w:rsidRPr="00D15146">
              <w:rPr>
                <w:sz w:val="18"/>
                <w:szCs w:val="18"/>
                <w:lang w:val="en-US"/>
              </w:rPr>
              <w:t xml:space="preserve"> and Embassy </w:t>
            </w:r>
            <w:r w:rsidR="0040076A">
              <w:rPr>
                <w:sz w:val="18"/>
                <w:szCs w:val="18"/>
                <w:lang w:val="en-US"/>
              </w:rPr>
              <w:t>personnel</w:t>
            </w:r>
          </w:p>
          <w:p w14:paraId="02C661A0" w14:textId="6108421B" w:rsidR="00D15146" w:rsidRPr="00D15146" w:rsidRDefault="00D15146" w:rsidP="0040076A">
            <w:pPr>
              <w:spacing w:before="60" w:after="60" w:line="259" w:lineRule="auto"/>
              <w:jc w:val="left"/>
              <w:rPr>
                <w:sz w:val="18"/>
                <w:szCs w:val="18"/>
                <w:lang w:val="en-US"/>
              </w:rPr>
            </w:pPr>
            <w:r w:rsidRPr="00D15146">
              <w:rPr>
                <w:sz w:val="18"/>
                <w:szCs w:val="18"/>
                <w:lang w:val="en-US"/>
              </w:rPr>
              <w:t xml:space="preserve">PHD </w:t>
            </w:r>
            <w:r w:rsidR="0040076A">
              <w:rPr>
                <w:sz w:val="18"/>
                <w:szCs w:val="18"/>
                <w:lang w:val="en-US"/>
              </w:rPr>
              <w:t xml:space="preserve">Team Leader </w:t>
            </w:r>
          </w:p>
        </w:tc>
      </w:tr>
      <w:tr w:rsidR="00D15146" w:rsidRPr="00D15146" w14:paraId="3173EB71" w14:textId="77777777" w:rsidTr="004B3DEB">
        <w:tc>
          <w:tcPr>
            <w:tcW w:w="2258" w:type="dxa"/>
            <w:vMerge/>
          </w:tcPr>
          <w:p w14:paraId="6C361F99"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931E"/>
              <w:bottom w:val="single" w:sz="4" w:space="0" w:color="FFFFFF" w:themeColor="background1"/>
            </w:tcBorders>
          </w:tcPr>
          <w:p w14:paraId="73672E02" w14:textId="3A4E961C" w:rsidR="00D15146" w:rsidRPr="00597825" w:rsidRDefault="00D15146" w:rsidP="00597825">
            <w:pPr>
              <w:pStyle w:val="TableBullet"/>
              <w:rPr>
                <w:sz w:val="18"/>
                <w:szCs w:val="18"/>
              </w:rPr>
            </w:pPr>
            <w:r w:rsidRPr="00597825">
              <w:rPr>
                <w:sz w:val="18"/>
                <w:szCs w:val="18"/>
              </w:rPr>
              <w:t>Consid</w:t>
            </w:r>
            <w:r w:rsidR="00597825" w:rsidRPr="00597825">
              <w:rPr>
                <w:sz w:val="18"/>
                <w:szCs w:val="18"/>
              </w:rPr>
              <w:t>er establishing a national cross</w:t>
            </w:r>
            <w:r w:rsidRPr="00597825">
              <w:rPr>
                <w:sz w:val="18"/>
                <w:szCs w:val="18"/>
              </w:rPr>
              <w:t>-sector</w:t>
            </w:r>
            <w:r w:rsidR="00597825" w:rsidRPr="00597825">
              <w:rPr>
                <w:sz w:val="18"/>
                <w:szCs w:val="18"/>
              </w:rPr>
              <w:t>al</w:t>
            </w:r>
            <w:r w:rsidRPr="00597825">
              <w:rPr>
                <w:sz w:val="18"/>
                <w:szCs w:val="18"/>
              </w:rPr>
              <w:t xml:space="preserve"> working group</w:t>
            </w:r>
            <w:r w:rsidR="00597825" w:rsidRPr="00597825">
              <w:rPr>
                <w:sz w:val="18"/>
                <w:szCs w:val="18"/>
              </w:rPr>
              <w:t>.</w:t>
            </w:r>
          </w:p>
        </w:tc>
        <w:tc>
          <w:tcPr>
            <w:tcW w:w="2126" w:type="dxa"/>
            <w:tcBorders>
              <w:top w:val="single" w:sz="4" w:space="0" w:color="FF931E"/>
              <w:bottom w:val="single" w:sz="4" w:space="0" w:color="FFFFFF" w:themeColor="background1"/>
            </w:tcBorders>
          </w:tcPr>
          <w:p w14:paraId="585D05A0" w14:textId="73AD7FC2" w:rsidR="00D15146" w:rsidRPr="00D15146" w:rsidRDefault="00D15146" w:rsidP="0040076A">
            <w:pPr>
              <w:spacing w:before="60" w:after="60" w:line="259" w:lineRule="auto"/>
              <w:jc w:val="left"/>
              <w:rPr>
                <w:sz w:val="18"/>
                <w:szCs w:val="18"/>
                <w:lang w:val="en-US"/>
              </w:rPr>
            </w:pPr>
            <w:r w:rsidRPr="00D15146">
              <w:rPr>
                <w:sz w:val="18"/>
                <w:szCs w:val="18"/>
                <w:lang w:val="en-US"/>
              </w:rPr>
              <w:t>Mid</w:t>
            </w:r>
            <w:r w:rsidR="0040076A">
              <w:rPr>
                <w:sz w:val="18"/>
                <w:szCs w:val="18"/>
                <w:lang w:val="en-US"/>
              </w:rPr>
              <w:t>-</w:t>
            </w:r>
            <w:r w:rsidRPr="00D15146">
              <w:rPr>
                <w:sz w:val="18"/>
                <w:szCs w:val="18"/>
                <w:lang w:val="en-US"/>
              </w:rPr>
              <w:t xml:space="preserve">2017 onwards </w:t>
            </w:r>
            <w:r w:rsidRPr="00D15146">
              <w:rPr>
                <w:i/>
                <w:sz w:val="18"/>
                <w:szCs w:val="18"/>
                <w:lang w:val="en-US"/>
              </w:rPr>
              <w:t xml:space="preserve">(depending on election outcomes and </w:t>
            </w:r>
            <w:r w:rsidR="0040076A" w:rsidRPr="00D15146">
              <w:rPr>
                <w:i/>
                <w:sz w:val="18"/>
                <w:szCs w:val="18"/>
                <w:lang w:val="en-US"/>
              </w:rPr>
              <w:t>Go</w:t>
            </w:r>
            <w:r w:rsidR="0040076A">
              <w:rPr>
                <w:i/>
                <w:sz w:val="18"/>
                <w:szCs w:val="18"/>
                <w:lang w:val="en-US"/>
              </w:rPr>
              <w:t xml:space="preserve">vernment of </w:t>
            </w:r>
            <w:r w:rsidR="0040076A" w:rsidRPr="00D15146">
              <w:rPr>
                <w:i/>
                <w:sz w:val="18"/>
                <w:szCs w:val="18"/>
                <w:lang w:val="en-US"/>
              </w:rPr>
              <w:t>T</w:t>
            </w:r>
            <w:r w:rsidR="0040076A">
              <w:rPr>
                <w:i/>
                <w:sz w:val="18"/>
                <w:szCs w:val="18"/>
                <w:lang w:val="en-US"/>
              </w:rPr>
              <w:t>imor-</w:t>
            </w:r>
            <w:r w:rsidR="0040076A" w:rsidRPr="00D15146">
              <w:rPr>
                <w:i/>
                <w:sz w:val="18"/>
                <w:szCs w:val="18"/>
                <w:lang w:val="en-US"/>
              </w:rPr>
              <w:t>L</w:t>
            </w:r>
            <w:r w:rsidR="0040076A">
              <w:rPr>
                <w:i/>
                <w:sz w:val="18"/>
                <w:szCs w:val="18"/>
                <w:lang w:val="en-US"/>
              </w:rPr>
              <w:t>este</w:t>
            </w:r>
            <w:r w:rsidRPr="00D15146">
              <w:rPr>
                <w:i/>
                <w:sz w:val="18"/>
                <w:szCs w:val="18"/>
                <w:lang w:val="en-US"/>
              </w:rPr>
              <w:t xml:space="preserve"> timelines)</w:t>
            </w:r>
          </w:p>
        </w:tc>
        <w:tc>
          <w:tcPr>
            <w:tcW w:w="2410" w:type="dxa"/>
            <w:tcBorders>
              <w:top w:val="single" w:sz="4" w:space="0" w:color="FF931E"/>
              <w:bottom w:val="single" w:sz="4" w:space="0" w:color="FFFFFF" w:themeColor="background1"/>
            </w:tcBorders>
          </w:tcPr>
          <w:p w14:paraId="27A75D62" w14:textId="77777777" w:rsidR="0040076A" w:rsidRPr="00D15146" w:rsidRDefault="0040076A" w:rsidP="0040076A">
            <w:pPr>
              <w:spacing w:before="60" w:after="60" w:line="259" w:lineRule="auto"/>
              <w:jc w:val="left"/>
              <w:rPr>
                <w:sz w:val="18"/>
                <w:szCs w:val="18"/>
                <w:lang w:val="en-US"/>
              </w:rPr>
            </w:pPr>
            <w:r w:rsidRPr="00D15146">
              <w:rPr>
                <w:sz w:val="18"/>
                <w:szCs w:val="18"/>
                <w:lang w:val="en-US"/>
              </w:rPr>
              <w:t xml:space="preserve">DFAT </w:t>
            </w:r>
            <w:r>
              <w:rPr>
                <w:sz w:val="18"/>
                <w:szCs w:val="18"/>
                <w:lang w:val="en-US"/>
              </w:rPr>
              <w:t>C</w:t>
            </w:r>
            <w:r w:rsidRPr="00D15146">
              <w:rPr>
                <w:sz w:val="18"/>
                <w:szCs w:val="18"/>
                <w:lang w:val="en-US"/>
              </w:rPr>
              <w:t>ounsellor</w:t>
            </w:r>
            <w:r>
              <w:rPr>
                <w:sz w:val="18"/>
                <w:szCs w:val="18"/>
                <w:lang w:val="en-US"/>
              </w:rPr>
              <w:t>, Human Development</w:t>
            </w:r>
            <w:r w:rsidRPr="00D15146">
              <w:rPr>
                <w:sz w:val="18"/>
                <w:szCs w:val="18"/>
                <w:lang w:val="en-US"/>
              </w:rPr>
              <w:t xml:space="preserve"> and Embassy </w:t>
            </w:r>
            <w:r>
              <w:rPr>
                <w:sz w:val="18"/>
                <w:szCs w:val="18"/>
                <w:lang w:val="en-US"/>
              </w:rPr>
              <w:t>personnel</w:t>
            </w:r>
          </w:p>
          <w:p w14:paraId="398153AD" w14:textId="2F99EB52" w:rsidR="00D15146" w:rsidRPr="00D15146" w:rsidRDefault="0040076A" w:rsidP="0040076A">
            <w:pPr>
              <w:spacing w:before="60" w:after="60" w:line="259" w:lineRule="auto"/>
              <w:jc w:val="left"/>
              <w:rPr>
                <w:sz w:val="18"/>
                <w:szCs w:val="18"/>
                <w:lang w:val="en-US"/>
              </w:rPr>
            </w:pPr>
            <w:r w:rsidRPr="00D15146">
              <w:rPr>
                <w:sz w:val="18"/>
                <w:szCs w:val="18"/>
                <w:lang w:val="en-US"/>
              </w:rPr>
              <w:t xml:space="preserve">PHD </w:t>
            </w:r>
            <w:r>
              <w:rPr>
                <w:sz w:val="18"/>
                <w:szCs w:val="18"/>
                <w:lang w:val="en-US"/>
              </w:rPr>
              <w:t>Team Leader and Sector L</w:t>
            </w:r>
            <w:r w:rsidR="00D15146" w:rsidRPr="00D15146">
              <w:rPr>
                <w:sz w:val="18"/>
                <w:szCs w:val="18"/>
                <w:lang w:val="en-US"/>
              </w:rPr>
              <w:t>eads</w:t>
            </w:r>
          </w:p>
        </w:tc>
      </w:tr>
      <w:tr w:rsidR="00D15146" w:rsidRPr="00D15146" w14:paraId="09E069C1" w14:textId="77777777" w:rsidTr="000D15A6">
        <w:tc>
          <w:tcPr>
            <w:tcW w:w="2258" w:type="dxa"/>
            <w:vMerge/>
          </w:tcPr>
          <w:p w14:paraId="471C0E7D"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1A64B358" w14:textId="1C979A0D" w:rsidR="00D15146" w:rsidRPr="00597825" w:rsidRDefault="00597825" w:rsidP="00597825">
            <w:pPr>
              <w:pStyle w:val="TableBullet"/>
              <w:rPr>
                <w:sz w:val="18"/>
                <w:szCs w:val="18"/>
              </w:rPr>
            </w:pPr>
            <w:r w:rsidRPr="00597825">
              <w:rPr>
                <w:sz w:val="18"/>
                <w:szCs w:val="18"/>
              </w:rPr>
              <w:t>Each s</w:t>
            </w:r>
            <w:r w:rsidR="00D15146" w:rsidRPr="00597825">
              <w:rPr>
                <w:sz w:val="18"/>
                <w:szCs w:val="18"/>
              </w:rPr>
              <w:t>ector to plan and undertake regular joint monitoring t</w:t>
            </w:r>
            <w:r w:rsidRPr="00597825">
              <w:rPr>
                <w:sz w:val="18"/>
                <w:szCs w:val="18"/>
              </w:rPr>
              <w:t>rips with other sectors and</w:t>
            </w:r>
            <w:r w:rsidR="00D15146" w:rsidRPr="00597825">
              <w:rPr>
                <w:sz w:val="18"/>
                <w:szCs w:val="18"/>
              </w:rPr>
              <w:t xml:space="preserve"> government representatives.</w:t>
            </w:r>
          </w:p>
        </w:tc>
        <w:tc>
          <w:tcPr>
            <w:tcW w:w="2126" w:type="dxa"/>
            <w:tcBorders>
              <w:top w:val="single" w:sz="4" w:space="0" w:color="FFFFFF" w:themeColor="background1"/>
              <w:bottom w:val="single" w:sz="4" w:space="0" w:color="FFFFFF" w:themeColor="background1"/>
            </w:tcBorders>
          </w:tcPr>
          <w:p w14:paraId="2440F9F5" w14:textId="77777777" w:rsidR="00D15146" w:rsidRPr="00D15146" w:rsidRDefault="00D15146" w:rsidP="0040076A">
            <w:pPr>
              <w:spacing w:before="60" w:after="60" w:line="259" w:lineRule="auto"/>
              <w:jc w:val="left"/>
              <w:rPr>
                <w:sz w:val="18"/>
                <w:szCs w:val="18"/>
                <w:lang w:val="en-US"/>
              </w:rPr>
            </w:pPr>
            <w:r w:rsidRPr="00D15146">
              <w:rPr>
                <w:sz w:val="18"/>
                <w:szCs w:val="18"/>
                <w:lang w:val="en-US"/>
              </w:rPr>
              <w:t>August 2017 onwards</w:t>
            </w:r>
          </w:p>
        </w:tc>
        <w:tc>
          <w:tcPr>
            <w:tcW w:w="2410" w:type="dxa"/>
            <w:tcBorders>
              <w:top w:val="single" w:sz="4" w:space="0" w:color="FFFFFF" w:themeColor="background1"/>
              <w:bottom w:val="single" w:sz="4" w:space="0" w:color="FFFFFF" w:themeColor="background1"/>
            </w:tcBorders>
          </w:tcPr>
          <w:p w14:paraId="6BC1EE50" w14:textId="0666A570" w:rsidR="00D15146" w:rsidRPr="00D15146" w:rsidRDefault="0040076A" w:rsidP="0040076A">
            <w:pPr>
              <w:spacing w:before="60" w:after="60" w:line="259" w:lineRule="auto"/>
              <w:jc w:val="left"/>
              <w:rPr>
                <w:sz w:val="18"/>
                <w:szCs w:val="18"/>
                <w:lang w:val="en-US"/>
              </w:rPr>
            </w:pPr>
            <w:r>
              <w:rPr>
                <w:sz w:val="18"/>
                <w:szCs w:val="18"/>
                <w:lang w:val="en-US"/>
              </w:rPr>
              <w:t>Sector L</w:t>
            </w:r>
            <w:r w:rsidR="00D15146" w:rsidRPr="00D15146">
              <w:rPr>
                <w:sz w:val="18"/>
                <w:szCs w:val="18"/>
                <w:lang w:val="en-US"/>
              </w:rPr>
              <w:t>eads</w:t>
            </w:r>
          </w:p>
        </w:tc>
      </w:tr>
      <w:tr w:rsidR="00D15146" w:rsidRPr="00D15146" w14:paraId="0A06F5DF" w14:textId="77777777" w:rsidTr="000D15A6">
        <w:tc>
          <w:tcPr>
            <w:tcW w:w="2258" w:type="dxa"/>
            <w:vMerge/>
          </w:tcPr>
          <w:p w14:paraId="0145B9CE"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8" w:space="0" w:color="FF931E"/>
            </w:tcBorders>
          </w:tcPr>
          <w:p w14:paraId="6AF5B926" w14:textId="415B2A14" w:rsidR="00D15146" w:rsidRPr="00597825" w:rsidRDefault="00597825" w:rsidP="00597825">
            <w:pPr>
              <w:pStyle w:val="TableBullet"/>
              <w:rPr>
                <w:sz w:val="18"/>
                <w:szCs w:val="18"/>
              </w:rPr>
            </w:pPr>
            <w:r w:rsidRPr="00597825">
              <w:rPr>
                <w:sz w:val="18"/>
                <w:szCs w:val="18"/>
              </w:rPr>
              <w:t>Municipal and lower levels (A</w:t>
            </w:r>
            <w:r w:rsidR="00D15146" w:rsidRPr="00597825">
              <w:rPr>
                <w:sz w:val="18"/>
                <w:szCs w:val="18"/>
              </w:rPr>
              <w:t>dministrative post, Suco and Aldeia):</w:t>
            </w:r>
          </w:p>
        </w:tc>
        <w:tc>
          <w:tcPr>
            <w:tcW w:w="2126" w:type="dxa"/>
            <w:tcBorders>
              <w:top w:val="single" w:sz="4" w:space="0" w:color="FFFFFF" w:themeColor="background1"/>
              <w:bottom w:val="single" w:sz="8" w:space="0" w:color="FF931E"/>
            </w:tcBorders>
          </w:tcPr>
          <w:p w14:paraId="6FCCD22D" w14:textId="77777777" w:rsidR="00D15146" w:rsidRPr="00D15146" w:rsidRDefault="00D15146" w:rsidP="0040076A">
            <w:pPr>
              <w:spacing w:before="60" w:after="60" w:line="259" w:lineRule="auto"/>
              <w:jc w:val="left"/>
              <w:rPr>
                <w:sz w:val="18"/>
                <w:szCs w:val="18"/>
                <w:lang w:val="en-US"/>
              </w:rPr>
            </w:pPr>
          </w:p>
        </w:tc>
        <w:tc>
          <w:tcPr>
            <w:tcW w:w="2410" w:type="dxa"/>
            <w:tcBorders>
              <w:top w:val="single" w:sz="4" w:space="0" w:color="FFFFFF" w:themeColor="background1"/>
              <w:bottom w:val="single" w:sz="8" w:space="0" w:color="FF931E"/>
            </w:tcBorders>
          </w:tcPr>
          <w:p w14:paraId="1FA7F8F8" w14:textId="77777777" w:rsidR="00D15146" w:rsidRPr="00D15146" w:rsidRDefault="00D15146" w:rsidP="0040076A">
            <w:pPr>
              <w:spacing w:before="60" w:after="60" w:line="259" w:lineRule="auto"/>
              <w:jc w:val="left"/>
              <w:rPr>
                <w:sz w:val="18"/>
                <w:szCs w:val="18"/>
                <w:lang w:val="en-US"/>
              </w:rPr>
            </w:pPr>
          </w:p>
        </w:tc>
      </w:tr>
      <w:tr w:rsidR="00D15146" w:rsidRPr="00D15146" w14:paraId="5EF990CB" w14:textId="77777777" w:rsidTr="000D15A6">
        <w:tc>
          <w:tcPr>
            <w:tcW w:w="2258" w:type="dxa"/>
            <w:vMerge/>
          </w:tcPr>
          <w:p w14:paraId="48133332" w14:textId="77777777" w:rsidR="00D15146" w:rsidRPr="00D15146" w:rsidRDefault="00D15146" w:rsidP="00D15146">
            <w:pPr>
              <w:spacing w:before="60" w:after="60" w:line="259" w:lineRule="auto"/>
              <w:rPr>
                <w:sz w:val="18"/>
                <w:szCs w:val="18"/>
                <w:lang w:val="en-US"/>
              </w:rPr>
            </w:pPr>
          </w:p>
        </w:tc>
        <w:tc>
          <w:tcPr>
            <w:tcW w:w="7088" w:type="dxa"/>
            <w:tcBorders>
              <w:bottom w:val="single" w:sz="4" w:space="0" w:color="FFFFFF" w:themeColor="background1"/>
            </w:tcBorders>
          </w:tcPr>
          <w:p w14:paraId="239FCE12" w14:textId="7EFD944C" w:rsidR="00D15146" w:rsidRPr="00597825" w:rsidRDefault="00D15146" w:rsidP="00597825">
            <w:pPr>
              <w:pStyle w:val="TableBullet"/>
              <w:rPr>
                <w:sz w:val="18"/>
                <w:szCs w:val="18"/>
              </w:rPr>
            </w:pPr>
            <w:r w:rsidRPr="00597825">
              <w:rPr>
                <w:sz w:val="18"/>
                <w:szCs w:val="18"/>
              </w:rPr>
              <w:t>Enquire about current priorities both within the present and the long-term intentions</w:t>
            </w:r>
            <w:r w:rsidR="00597825" w:rsidRPr="00597825">
              <w:rPr>
                <w:sz w:val="18"/>
                <w:szCs w:val="18"/>
              </w:rPr>
              <w:t>.</w:t>
            </w:r>
          </w:p>
        </w:tc>
        <w:tc>
          <w:tcPr>
            <w:tcW w:w="2126" w:type="dxa"/>
            <w:tcBorders>
              <w:bottom w:val="single" w:sz="4" w:space="0" w:color="FFFFFF" w:themeColor="background1"/>
            </w:tcBorders>
          </w:tcPr>
          <w:p w14:paraId="44B15843" w14:textId="77777777" w:rsidR="00D15146" w:rsidRPr="00D15146" w:rsidRDefault="00D15146" w:rsidP="0040076A">
            <w:pPr>
              <w:spacing w:before="60" w:after="60" w:line="259" w:lineRule="auto"/>
              <w:jc w:val="left"/>
              <w:rPr>
                <w:sz w:val="18"/>
                <w:szCs w:val="18"/>
                <w:lang w:val="en-US"/>
              </w:rPr>
            </w:pPr>
            <w:r w:rsidRPr="00D15146">
              <w:rPr>
                <w:sz w:val="18"/>
                <w:szCs w:val="18"/>
                <w:lang w:val="en-US"/>
              </w:rPr>
              <w:t>April/May 2017 onwards</w:t>
            </w:r>
          </w:p>
        </w:tc>
        <w:tc>
          <w:tcPr>
            <w:tcW w:w="2410" w:type="dxa"/>
            <w:tcBorders>
              <w:bottom w:val="single" w:sz="4" w:space="0" w:color="FFFFFF" w:themeColor="background1"/>
            </w:tcBorders>
          </w:tcPr>
          <w:p w14:paraId="6293E65E" w14:textId="117348BD" w:rsidR="00D15146" w:rsidRPr="00D15146" w:rsidRDefault="00D15146" w:rsidP="0040076A">
            <w:pPr>
              <w:spacing w:before="60" w:after="60" w:line="259" w:lineRule="auto"/>
              <w:jc w:val="left"/>
              <w:rPr>
                <w:sz w:val="18"/>
                <w:szCs w:val="18"/>
                <w:lang w:val="en-US"/>
              </w:rPr>
            </w:pPr>
            <w:r w:rsidRPr="00D15146">
              <w:rPr>
                <w:sz w:val="18"/>
                <w:szCs w:val="18"/>
                <w:lang w:val="en-US"/>
              </w:rPr>
              <w:t xml:space="preserve">Embassy </w:t>
            </w:r>
            <w:r w:rsidR="0040076A">
              <w:rPr>
                <w:sz w:val="18"/>
                <w:szCs w:val="18"/>
                <w:lang w:val="en-US"/>
              </w:rPr>
              <w:t>personnel and Sector L</w:t>
            </w:r>
            <w:r w:rsidRPr="00D15146">
              <w:rPr>
                <w:sz w:val="18"/>
                <w:szCs w:val="18"/>
                <w:lang w:val="en-US"/>
              </w:rPr>
              <w:t>eads</w:t>
            </w:r>
          </w:p>
        </w:tc>
      </w:tr>
      <w:tr w:rsidR="00D15146" w:rsidRPr="00D15146" w14:paraId="5E14FDBE" w14:textId="77777777" w:rsidTr="000D15A6">
        <w:tc>
          <w:tcPr>
            <w:tcW w:w="2258" w:type="dxa"/>
            <w:vMerge/>
          </w:tcPr>
          <w:p w14:paraId="2734A41F"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29891414" w14:textId="612F34EC" w:rsidR="00D15146" w:rsidRPr="00597825" w:rsidRDefault="00D15146" w:rsidP="00597825">
            <w:pPr>
              <w:pStyle w:val="TableBullet"/>
              <w:rPr>
                <w:sz w:val="18"/>
                <w:szCs w:val="18"/>
              </w:rPr>
            </w:pPr>
            <w:r w:rsidRPr="00597825">
              <w:rPr>
                <w:sz w:val="18"/>
                <w:szCs w:val="18"/>
              </w:rPr>
              <w:t>Provide information about current PHD activities</w:t>
            </w:r>
            <w:r w:rsidR="00597825" w:rsidRPr="00597825">
              <w:rPr>
                <w:sz w:val="18"/>
                <w:szCs w:val="18"/>
              </w:rPr>
              <w:t>.</w:t>
            </w:r>
          </w:p>
        </w:tc>
        <w:tc>
          <w:tcPr>
            <w:tcW w:w="2126" w:type="dxa"/>
            <w:tcBorders>
              <w:top w:val="single" w:sz="4" w:space="0" w:color="FFFFFF" w:themeColor="background1"/>
              <w:bottom w:val="single" w:sz="4" w:space="0" w:color="FFFFFF" w:themeColor="background1"/>
            </w:tcBorders>
          </w:tcPr>
          <w:p w14:paraId="0AD3FC71" w14:textId="77777777" w:rsidR="00D15146" w:rsidRPr="00D15146" w:rsidRDefault="00D15146" w:rsidP="0040076A">
            <w:pPr>
              <w:spacing w:before="60" w:after="60" w:line="259" w:lineRule="auto"/>
              <w:jc w:val="left"/>
              <w:rPr>
                <w:sz w:val="18"/>
                <w:szCs w:val="18"/>
              </w:rPr>
            </w:pPr>
            <w:r w:rsidRPr="00D15146">
              <w:rPr>
                <w:sz w:val="18"/>
                <w:szCs w:val="18"/>
                <w:lang w:val="en-US"/>
              </w:rPr>
              <w:t>April/May 2017 onwards</w:t>
            </w:r>
          </w:p>
        </w:tc>
        <w:tc>
          <w:tcPr>
            <w:tcW w:w="2410" w:type="dxa"/>
            <w:tcBorders>
              <w:top w:val="single" w:sz="4" w:space="0" w:color="FFFFFF" w:themeColor="background1"/>
              <w:bottom w:val="single" w:sz="4" w:space="0" w:color="FFFFFF" w:themeColor="background1"/>
            </w:tcBorders>
          </w:tcPr>
          <w:p w14:paraId="01881EDF" w14:textId="1EEB6227" w:rsidR="00D15146" w:rsidRPr="00D15146" w:rsidRDefault="0040076A" w:rsidP="0040076A">
            <w:pPr>
              <w:spacing w:before="60" w:after="60" w:line="259" w:lineRule="auto"/>
              <w:jc w:val="left"/>
              <w:rPr>
                <w:sz w:val="18"/>
                <w:szCs w:val="18"/>
              </w:rPr>
            </w:pPr>
            <w:r w:rsidRPr="00D15146">
              <w:rPr>
                <w:sz w:val="18"/>
                <w:szCs w:val="18"/>
                <w:lang w:val="en-US"/>
              </w:rPr>
              <w:t xml:space="preserve">Embassy </w:t>
            </w:r>
            <w:r>
              <w:rPr>
                <w:sz w:val="18"/>
                <w:szCs w:val="18"/>
                <w:lang w:val="en-US"/>
              </w:rPr>
              <w:t>personnel and Sector L</w:t>
            </w:r>
            <w:r w:rsidRPr="00D15146">
              <w:rPr>
                <w:sz w:val="18"/>
                <w:szCs w:val="18"/>
                <w:lang w:val="en-US"/>
              </w:rPr>
              <w:t>eads</w:t>
            </w:r>
          </w:p>
        </w:tc>
      </w:tr>
      <w:tr w:rsidR="00D15146" w:rsidRPr="00D15146" w14:paraId="34BB522C" w14:textId="77777777" w:rsidTr="000D15A6">
        <w:tc>
          <w:tcPr>
            <w:tcW w:w="2258" w:type="dxa"/>
            <w:vMerge/>
          </w:tcPr>
          <w:p w14:paraId="66574CB8"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3E272D53" w14:textId="6B0E31C0" w:rsidR="00D15146" w:rsidRPr="00597825" w:rsidRDefault="00D15146" w:rsidP="00597825">
            <w:pPr>
              <w:pStyle w:val="TableBullet"/>
              <w:rPr>
                <w:sz w:val="18"/>
                <w:szCs w:val="18"/>
              </w:rPr>
            </w:pPr>
            <w:r w:rsidRPr="00597825">
              <w:rPr>
                <w:sz w:val="18"/>
                <w:szCs w:val="18"/>
              </w:rPr>
              <w:t>Provide regular updates and information</w:t>
            </w:r>
            <w:r w:rsidR="00597825" w:rsidRPr="00597825">
              <w:rPr>
                <w:sz w:val="18"/>
                <w:szCs w:val="18"/>
              </w:rPr>
              <w:t>.</w:t>
            </w:r>
          </w:p>
        </w:tc>
        <w:tc>
          <w:tcPr>
            <w:tcW w:w="2126" w:type="dxa"/>
            <w:tcBorders>
              <w:top w:val="single" w:sz="4" w:space="0" w:color="FFFFFF" w:themeColor="background1"/>
              <w:bottom w:val="single" w:sz="4" w:space="0" w:color="FFFFFF" w:themeColor="background1"/>
            </w:tcBorders>
          </w:tcPr>
          <w:p w14:paraId="00029403" w14:textId="77777777" w:rsidR="00D15146" w:rsidRPr="00D15146" w:rsidRDefault="00D15146" w:rsidP="0040076A">
            <w:pPr>
              <w:spacing w:before="60" w:after="60" w:line="259" w:lineRule="auto"/>
              <w:jc w:val="left"/>
              <w:rPr>
                <w:sz w:val="18"/>
                <w:szCs w:val="18"/>
              </w:rPr>
            </w:pPr>
            <w:r w:rsidRPr="00D15146">
              <w:rPr>
                <w:sz w:val="18"/>
                <w:szCs w:val="18"/>
                <w:lang w:val="en-US"/>
              </w:rPr>
              <w:t>April/May 2017 onwards</w:t>
            </w:r>
          </w:p>
        </w:tc>
        <w:tc>
          <w:tcPr>
            <w:tcW w:w="2410" w:type="dxa"/>
            <w:tcBorders>
              <w:top w:val="single" w:sz="4" w:space="0" w:color="FFFFFF" w:themeColor="background1"/>
              <w:bottom w:val="single" w:sz="4" w:space="0" w:color="FFFFFF" w:themeColor="background1"/>
            </w:tcBorders>
          </w:tcPr>
          <w:p w14:paraId="7DF4D5CF" w14:textId="4721366D" w:rsidR="00D15146" w:rsidRPr="00D15146" w:rsidRDefault="0040076A" w:rsidP="0040076A">
            <w:pPr>
              <w:spacing w:before="60" w:after="60" w:line="259" w:lineRule="auto"/>
              <w:jc w:val="left"/>
              <w:rPr>
                <w:sz w:val="18"/>
                <w:szCs w:val="18"/>
              </w:rPr>
            </w:pPr>
            <w:r w:rsidRPr="00D15146">
              <w:rPr>
                <w:sz w:val="18"/>
                <w:szCs w:val="18"/>
                <w:lang w:val="en-US"/>
              </w:rPr>
              <w:t xml:space="preserve">Embassy </w:t>
            </w:r>
            <w:r>
              <w:rPr>
                <w:sz w:val="18"/>
                <w:szCs w:val="18"/>
                <w:lang w:val="en-US"/>
              </w:rPr>
              <w:t>personnel and Sector L</w:t>
            </w:r>
            <w:r w:rsidRPr="00D15146">
              <w:rPr>
                <w:sz w:val="18"/>
                <w:szCs w:val="18"/>
                <w:lang w:val="en-US"/>
              </w:rPr>
              <w:t>eads</w:t>
            </w:r>
          </w:p>
        </w:tc>
      </w:tr>
      <w:tr w:rsidR="00D15146" w:rsidRPr="00D15146" w14:paraId="7D7078E2" w14:textId="77777777" w:rsidTr="000D15A6">
        <w:tc>
          <w:tcPr>
            <w:tcW w:w="2258" w:type="dxa"/>
            <w:vMerge/>
          </w:tcPr>
          <w:p w14:paraId="114C3FDF"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bottom w:val="single" w:sz="4" w:space="0" w:color="FFFFFF" w:themeColor="background1"/>
            </w:tcBorders>
          </w:tcPr>
          <w:p w14:paraId="353B1857" w14:textId="616A193B" w:rsidR="00D15146" w:rsidRPr="00597825" w:rsidRDefault="00D15146" w:rsidP="00597825">
            <w:pPr>
              <w:pStyle w:val="TableBullet"/>
              <w:rPr>
                <w:sz w:val="18"/>
                <w:szCs w:val="18"/>
              </w:rPr>
            </w:pPr>
            <w:r w:rsidRPr="00597825">
              <w:rPr>
                <w:sz w:val="18"/>
                <w:szCs w:val="18"/>
              </w:rPr>
              <w:t>Showcase PHD activities and local engagement</w:t>
            </w:r>
            <w:r w:rsidR="00597825" w:rsidRPr="00597825">
              <w:rPr>
                <w:sz w:val="18"/>
                <w:szCs w:val="18"/>
              </w:rPr>
              <w:t>.</w:t>
            </w:r>
          </w:p>
        </w:tc>
        <w:tc>
          <w:tcPr>
            <w:tcW w:w="2126" w:type="dxa"/>
            <w:tcBorders>
              <w:top w:val="single" w:sz="4" w:space="0" w:color="FFFFFF" w:themeColor="background1"/>
              <w:bottom w:val="single" w:sz="4" w:space="0" w:color="FFFFFF" w:themeColor="background1"/>
            </w:tcBorders>
          </w:tcPr>
          <w:p w14:paraId="3721A2A3" w14:textId="745D93EE" w:rsidR="00D15146" w:rsidRPr="00D15146" w:rsidRDefault="0040076A" w:rsidP="0040076A">
            <w:pPr>
              <w:spacing w:before="60" w:after="60" w:line="259" w:lineRule="auto"/>
              <w:jc w:val="left"/>
              <w:rPr>
                <w:sz w:val="18"/>
                <w:szCs w:val="18"/>
              </w:rPr>
            </w:pPr>
            <w:r>
              <w:rPr>
                <w:sz w:val="18"/>
                <w:szCs w:val="18"/>
                <w:lang w:val="en-US"/>
              </w:rPr>
              <w:t>April/</w:t>
            </w:r>
            <w:r w:rsidR="00D15146" w:rsidRPr="00D15146">
              <w:rPr>
                <w:sz w:val="18"/>
                <w:szCs w:val="18"/>
                <w:lang w:val="en-US"/>
              </w:rPr>
              <w:t>May 2017 onwards</w:t>
            </w:r>
          </w:p>
        </w:tc>
        <w:tc>
          <w:tcPr>
            <w:tcW w:w="2410" w:type="dxa"/>
            <w:tcBorders>
              <w:top w:val="single" w:sz="4" w:space="0" w:color="FFFFFF" w:themeColor="background1"/>
              <w:bottom w:val="single" w:sz="4" w:space="0" w:color="FFFFFF" w:themeColor="background1"/>
            </w:tcBorders>
          </w:tcPr>
          <w:p w14:paraId="206929AC" w14:textId="276BFC72" w:rsidR="00D15146" w:rsidRPr="00D15146" w:rsidRDefault="0040076A" w:rsidP="0040076A">
            <w:pPr>
              <w:spacing w:before="60" w:after="60" w:line="259" w:lineRule="auto"/>
              <w:jc w:val="left"/>
              <w:rPr>
                <w:sz w:val="18"/>
                <w:szCs w:val="18"/>
              </w:rPr>
            </w:pPr>
            <w:r w:rsidRPr="00D15146">
              <w:rPr>
                <w:sz w:val="18"/>
                <w:szCs w:val="18"/>
                <w:lang w:val="en-US"/>
              </w:rPr>
              <w:t xml:space="preserve">Embassy </w:t>
            </w:r>
            <w:r>
              <w:rPr>
                <w:sz w:val="18"/>
                <w:szCs w:val="18"/>
                <w:lang w:val="en-US"/>
              </w:rPr>
              <w:t>personnel and Sector L</w:t>
            </w:r>
            <w:r w:rsidRPr="00D15146">
              <w:rPr>
                <w:sz w:val="18"/>
                <w:szCs w:val="18"/>
                <w:lang w:val="en-US"/>
              </w:rPr>
              <w:t>eads</w:t>
            </w:r>
          </w:p>
        </w:tc>
      </w:tr>
      <w:tr w:rsidR="00D15146" w:rsidRPr="00D15146" w14:paraId="4D5AB77E" w14:textId="77777777" w:rsidTr="000D15A6">
        <w:trPr>
          <w:trHeight w:val="707"/>
        </w:trPr>
        <w:tc>
          <w:tcPr>
            <w:tcW w:w="2258" w:type="dxa"/>
            <w:vMerge/>
          </w:tcPr>
          <w:p w14:paraId="5EDA684A"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tcBorders>
          </w:tcPr>
          <w:p w14:paraId="5575AC90" w14:textId="2DDC587E" w:rsidR="00D15146" w:rsidRPr="00597825" w:rsidRDefault="00D15146" w:rsidP="00597825">
            <w:pPr>
              <w:pStyle w:val="TableBullet"/>
              <w:rPr>
                <w:sz w:val="18"/>
                <w:szCs w:val="18"/>
              </w:rPr>
            </w:pPr>
            <w:r w:rsidRPr="00597825">
              <w:rPr>
                <w:sz w:val="18"/>
                <w:szCs w:val="18"/>
              </w:rPr>
              <w:t>In focus municipalities, employ a local</w:t>
            </w:r>
            <w:r w:rsidR="00597825" w:rsidRPr="00597825">
              <w:rPr>
                <w:sz w:val="18"/>
                <w:szCs w:val="18"/>
              </w:rPr>
              <w:t>ly based focal</w:t>
            </w:r>
            <w:r w:rsidRPr="00597825">
              <w:rPr>
                <w:sz w:val="18"/>
                <w:szCs w:val="18"/>
              </w:rPr>
              <w:t xml:space="preserve"> person who would be responsible for overseeing and facilitating communication and engagement</w:t>
            </w:r>
            <w:r w:rsidR="00597825" w:rsidRPr="00597825">
              <w:rPr>
                <w:sz w:val="18"/>
                <w:szCs w:val="18"/>
              </w:rPr>
              <w:t xml:space="preserve"> with Government.</w:t>
            </w:r>
          </w:p>
        </w:tc>
        <w:tc>
          <w:tcPr>
            <w:tcW w:w="2126" w:type="dxa"/>
            <w:tcBorders>
              <w:top w:val="single" w:sz="4" w:space="0" w:color="FFFFFF" w:themeColor="background1"/>
            </w:tcBorders>
          </w:tcPr>
          <w:p w14:paraId="1E69E55C" w14:textId="77777777" w:rsidR="00D15146" w:rsidRPr="00D15146" w:rsidRDefault="00D15146" w:rsidP="0040076A">
            <w:pPr>
              <w:spacing w:before="60" w:after="60" w:line="259" w:lineRule="auto"/>
              <w:jc w:val="left"/>
              <w:rPr>
                <w:sz w:val="18"/>
                <w:szCs w:val="18"/>
                <w:lang w:val="en-US"/>
              </w:rPr>
            </w:pPr>
            <w:r w:rsidRPr="00D15146">
              <w:rPr>
                <w:sz w:val="18"/>
                <w:szCs w:val="18"/>
                <w:lang w:val="en-US"/>
              </w:rPr>
              <w:t xml:space="preserve">In line with municipal engagement </w:t>
            </w:r>
          </w:p>
        </w:tc>
        <w:tc>
          <w:tcPr>
            <w:tcW w:w="2410" w:type="dxa"/>
            <w:tcBorders>
              <w:top w:val="single" w:sz="4" w:space="0" w:color="FFFFFF" w:themeColor="background1"/>
            </w:tcBorders>
          </w:tcPr>
          <w:p w14:paraId="5F90B41D" w14:textId="15E0CE53" w:rsidR="00D15146" w:rsidRPr="00D15146" w:rsidRDefault="0040076A" w:rsidP="0040076A">
            <w:pPr>
              <w:spacing w:before="60" w:after="60" w:line="259" w:lineRule="auto"/>
              <w:jc w:val="left"/>
              <w:rPr>
                <w:sz w:val="18"/>
                <w:szCs w:val="18"/>
                <w:lang w:val="en-US"/>
              </w:rPr>
            </w:pPr>
            <w:r>
              <w:rPr>
                <w:sz w:val="18"/>
                <w:szCs w:val="18"/>
                <w:lang w:val="en-US"/>
              </w:rPr>
              <w:t>PHD Team Leader</w:t>
            </w:r>
          </w:p>
        </w:tc>
      </w:tr>
      <w:tr w:rsidR="00D15146" w:rsidRPr="00D15146" w14:paraId="6CA2427B" w14:textId="77777777" w:rsidTr="00D15146">
        <w:trPr>
          <w:trHeight w:val="3377"/>
        </w:trPr>
        <w:tc>
          <w:tcPr>
            <w:tcW w:w="2258" w:type="dxa"/>
            <w:vMerge w:val="restart"/>
          </w:tcPr>
          <w:p w14:paraId="758D7BE3" w14:textId="77777777" w:rsidR="00D15146" w:rsidRPr="00703546" w:rsidRDefault="00D15146" w:rsidP="00703546">
            <w:pPr>
              <w:spacing w:before="60" w:after="60" w:line="259" w:lineRule="auto"/>
              <w:jc w:val="left"/>
              <w:rPr>
                <w:b/>
                <w:sz w:val="18"/>
                <w:szCs w:val="18"/>
                <w:lang w:val="en-US"/>
              </w:rPr>
            </w:pPr>
            <w:r w:rsidRPr="00703546">
              <w:rPr>
                <w:b/>
                <w:sz w:val="18"/>
                <w:szCs w:val="18"/>
                <w:lang w:val="en-US"/>
              </w:rPr>
              <w:lastRenderedPageBreak/>
              <w:t>Review and Improvement</w:t>
            </w:r>
          </w:p>
        </w:tc>
        <w:tc>
          <w:tcPr>
            <w:tcW w:w="7088" w:type="dxa"/>
          </w:tcPr>
          <w:p w14:paraId="4FD6B34B" w14:textId="77777777" w:rsidR="00D15146" w:rsidRPr="00597825" w:rsidRDefault="00D15146" w:rsidP="00D15146">
            <w:pPr>
              <w:spacing w:before="60" w:after="60" w:line="259" w:lineRule="auto"/>
              <w:rPr>
                <w:sz w:val="18"/>
                <w:szCs w:val="18"/>
                <w:u w:val="single"/>
                <w:lang w:val="en-US"/>
              </w:rPr>
            </w:pPr>
            <w:r w:rsidRPr="00597825">
              <w:rPr>
                <w:sz w:val="18"/>
                <w:szCs w:val="18"/>
                <w:u w:val="single"/>
                <w:lang w:val="en-US"/>
              </w:rPr>
              <w:t>Purpose:</w:t>
            </w:r>
          </w:p>
          <w:p w14:paraId="7AA91996" w14:textId="77777777" w:rsidR="00D15146" w:rsidRPr="00597825" w:rsidRDefault="00D15146" w:rsidP="00597825">
            <w:pPr>
              <w:pStyle w:val="TableBullet"/>
              <w:rPr>
                <w:sz w:val="18"/>
                <w:szCs w:val="18"/>
              </w:rPr>
            </w:pPr>
            <w:r w:rsidRPr="00597825">
              <w:rPr>
                <w:sz w:val="18"/>
                <w:szCs w:val="18"/>
              </w:rPr>
              <w:t>To ensure that there is a program culture of learning and improvement that will support ongoing development of PHD strategies.</w:t>
            </w:r>
          </w:p>
          <w:p w14:paraId="44478B6C" w14:textId="77777777" w:rsidR="00D15146" w:rsidRPr="00597825" w:rsidRDefault="00D15146" w:rsidP="00597825">
            <w:pPr>
              <w:pStyle w:val="TableBullet"/>
              <w:rPr>
                <w:sz w:val="18"/>
                <w:szCs w:val="18"/>
              </w:rPr>
            </w:pPr>
            <w:r w:rsidRPr="00597825">
              <w:rPr>
                <w:sz w:val="18"/>
                <w:szCs w:val="18"/>
              </w:rPr>
              <w:t>To provide the information and evidence for decision-making around program activities.</w:t>
            </w:r>
          </w:p>
          <w:p w14:paraId="07BC98DC" w14:textId="28116F51" w:rsidR="00D15146" w:rsidRPr="00597825" w:rsidRDefault="00D15146" w:rsidP="00597825">
            <w:pPr>
              <w:pStyle w:val="TableBullet"/>
              <w:rPr>
                <w:sz w:val="18"/>
                <w:szCs w:val="18"/>
              </w:rPr>
            </w:pPr>
            <w:r w:rsidRPr="00597825">
              <w:rPr>
                <w:sz w:val="18"/>
                <w:szCs w:val="18"/>
              </w:rPr>
              <w:t xml:space="preserve">To provide evidence and information for communication to Government of </w:t>
            </w:r>
            <w:r w:rsidR="00F76E96" w:rsidRPr="00597825">
              <w:rPr>
                <w:sz w:val="18"/>
                <w:szCs w:val="18"/>
              </w:rPr>
              <w:t>Timor-Leste</w:t>
            </w:r>
            <w:r w:rsidRPr="00597825">
              <w:rPr>
                <w:sz w:val="18"/>
                <w:szCs w:val="18"/>
              </w:rPr>
              <w:t xml:space="preserve"> and other partners.</w:t>
            </w:r>
          </w:p>
          <w:p w14:paraId="6940F59A" w14:textId="77777777" w:rsidR="00D15146" w:rsidRPr="00597825" w:rsidRDefault="00D15146" w:rsidP="00597825">
            <w:pPr>
              <w:pStyle w:val="TableBullet"/>
              <w:rPr>
                <w:sz w:val="18"/>
                <w:szCs w:val="18"/>
              </w:rPr>
            </w:pPr>
            <w:r w:rsidRPr="00597825">
              <w:rPr>
                <w:sz w:val="18"/>
                <w:szCs w:val="18"/>
              </w:rPr>
              <w:t>To ensure good accountability for program resources and implementation.</w:t>
            </w:r>
          </w:p>
          <w:p w14:paraId="7C1B124C" w14:textId="77777777" w:rsidR="00D15146" w:rsidRPr="00597825" w:rsidRDefault="00D15146" w:rsidP="00D15146">
            <w:pPr>
              <w:spacing w:before="60" w:after="60" w:line="259" w:lineRule="auto"/>
              <w:rPr>
                <w:sz w:val="18"/>
                <w:szCs w:val="18"/>
                <w:u w:val="single"/>
                <w:lang w:val="en-US"/>
              </w:rPr>
            </w:pPr>
            <w:r w:rsidRPr="00597825">
              <w:rPr>
                <w:sz w:val="18"/>
                <w:szCs w:val="18"/>
                <w:u w:val="single"/>
                <w:lang w:val="en-US"/>
              </w:rPr>
              <w:t>Focus:</w:t>
            </w:r>
          </w:p>
          <w:p w14:paraId="3599E964" w14:textId="04146562" w:rsidR="00D15146" w:rsidRPr="00597825" w:rsidRDefault="00D15146" w:rsidP="00597825">
            <w:pPr>
              <w:pStyle w:val="TableBullet"/>
              <w:rPr>
                <w:sz w:val="18"/>
                <w:szCs w:val="18"/>
              </w:rPr>
            </w:pPr>
            <w:r w:rsidRPr="00597825">
              <w:rPr>
                <w:sz w:val="18"/>
                <w:szCs w:val="18"/>
              </w:rPr>
              <w:t>The focus of this review process is to improve effectiveness and efficiency. To this end, while all of PHD activities will be subject to review, significant focus will be g</w:t>
            </w:r>
            <w:r w:rsidR="00597825">
              <w:rPr>
                <w:sz w:val="18"/>
                <w:szCs w:val="18"/>
              </w:rPr>
              <w:t>iven to cross</w:t>
            </w:r>
            <w:r w:rsidRPr="00597825">
              <w:rPr>
                <w:sz w:val="18"/>
                <w:szCs w:val="18"/>
              </w:rPr>
              <w:t>-sector</w:t>
            </w:r>
            <w:r w:rsidR="00597825">
              <w:rPr>
                <w:sz w:val="18"/>
                <w:szCs w:val="18"/>
              </w:rPr>
              <w:t>al</w:t>
            </w:r>
            <w:r w:rsidRPr="00597825">
              <w:rPr>
                <w:sz w:val="18"/>
                <w:szCs w:val="18"/>
              </w:rPr>
              <w:t xml:space="preserve"> activities.</w:t>
            </w:r>
          </w:p>
          <w:p w14:paraId="6C9B7DDD" w14:textId="1D820DA3" w:rsidR="00D15146" w:rsidRPr="00D15146" w:rsidRDefault="00D15146" w:rsidP="00597825">
            <w:pPr>
              <w:pStyle w:val="TableBullet"/>
            </w:pPr>
            <w:r w:rsidRPr="00597825">
              <w:rPr>
                <w:sz w:val="18"/>
                <w:szCs w:val="18"/>
              </w:rPr>
              <w:t xml:space="preserve">Additional focus will also be given to review of activities aiming for improved working relationship and influence with </w:t>
            </w:r>
            <w:r w:rsidR="00597825">
              <w:rPr>
                <w:sz w:val="18"/>
                <w:szCs w:val="18"/>
              </w:rPr>
              <w:t xml:space="preserve">the </w:t>
            </w:r>
            <w:r w:rsidRPr="00597825">
              <w:rPr>
                <w:sz w:val="18"/>
                <w:szCs w:val="18"/>
              </w:rPr>
              <w:t xml:space="preserve">Government of </w:t>
            </w:r>
            <w:r w:rsidR="00F76E96" w:rsidRPr="00597825">
              <w:rPr>
                <w:sz w:val="18"/>
                <w:szCs w:val="18"/>
              </w:rPr>
              <w:t>Timor-Leste</w:t>
            </w:r>
            <w:r w:rsidRPr="00597825">
              <w:rPr>
                <w:sz w:val="18"/>
                <w:szCs w:val="18"/>
              </w:rPr>
              <w:t>.</w:t>
            </w:r>
          </w:p>
        </w:tc>
        <w:tc>
          <w:tcPr>
            <w:tcW w:w="2126" w:type="dxa"/>
          </w:tcPr>
          <w:p w14:paraId="24386DA4" w14:textId="77777777" w:rsidR="00D15146" w:rsidRPr="00D15146" w:rsidRDefault="00D15146" w:rsidP="0040076A">
            <w:pPr>
              <w:spacing w:before="60" w:after="60" w:line="259" w:lineRule="auto"/>
              <w:jc w:val="left"/>
              <w:rPr>
                <w:sz w:val="18"/>
                <w:szCs w:val="18"/>
                <w:lang w:val="en-US"/>
              </w:rPr>
            </w:pPr>
          </w:p>
        </w:tc>
        <w:tc>
          <w:tcPr>
            <w:tcW w:w="2410" w:type="dxa"/>
          </w:tcPr>
          <w:p w14:paraId="23D2E4DA" w14:textId="77777777" w:rsidR="00D15146" w:rsidRPr="00D15146" w:rsidRDefault="00D15146" w:rsidP="0040076A">
            <w:pPr>
              <w:spacing w:before="60" w:after="60" w:line="259" w:lineRule="auto"/>
              <w:jc w:val="left"/>
              <w:rPr>
                <w:sz w:val="18"/>
                <w:szCs w:val="18"/>
                <w:lang w:val="en-US"/>
              </w:rPr>
            </w:pPr>
          </w:p>
        </w:tc>
      </w:tr>
      <w:tr w:rsidR="00D15146" w:rsidRPr="00D15146" w14:paraId="6CECF300" w14:textId="77777777" w:rsidTr="00D15146">
        <w:tc>
          <w:tcPr>
            <w:tcW w:w="2258" w:type="dxa"/>
            <w:vMerge/>
          </w:tcPr>
          <w:p w14:paraId="27DD46DF" w14:textId="77777777" w:rsidR="00D15146" w:rsidRPr="00D15146" w:rsidRDefault="00D15146" w:rsidP="00D15146">
            <w:pPr>
              <w:spacing w:before="60" w:after="60" w:line="259" w:lineRule="auto"/>
              <w:rPr>
                <w:sz w:val="18"/>
                <w:szCs w:val="18"/>
                <w:lang w:val="en-US"/>
              </w:rPr>
            </w:pPr>
          </w:p>
        </w:tc>
        <w:tc>
          <w:tcPr>
            <w:tcW w:w="7088" w:type="dxa"/>
          </w:tcPr>
          <w:p w14:paraId="6EF498EC" w14:textId="77777777" w:rsidR="00D15146" w:rsidRPr="00597825" w:rsidRDefault="00D15146" w:rsidP="00D15146">
            <w:pPr>
              <w:spacing w:before="60" w:after="60" w:line="259" w:lineRule="auto"/>
              <w:rPr>
                <w:sz w:val="18"/>
                <w:szCs w:val="18"/>
                <w:u w:val="single"/>
                <w:lang w:val="en-US"/>
              </w:rPr>
            </w:pPr>
            <w:r w:rsidRPr="00597825">
              <w:rPr>
                <w:sz w:val="18"/>
                <w:szCs w:val="18"/>
                <w:u w:val="single"/>
                <w:lang w:val="en-US"/>
              </w:rPr>
              <w:t>Approach:</w:t>
            </w:r>
          </w:p>
          <w:p w14:paraId="389B939D" w14:textId="269351A2" w:rsidR="00D15146" w:rsidRPr="00597825" w:rsidRDefault="00D15146" w:rsidP="00597825">
            <w:pPr>
              <w:pStyle w:val="TableBullet"/>
              <w:rPr>
                <w:sz w:val="18"/>
                <w:szCs w:val="18"/>
              </w:rPr>
            </w:pPr>
            <w:r w:rsidRPr="00597825">
              <w:rPr>
                <w:sz w:val="18"/>
                <w:szCs w:val="18"/>
              </w:rPr>
              <w:t>Comprehensive monitoring and evaluation: all sector activities and sector strategies</w:t>
            </w:r>
            <w:r w:rsidR="00597825">
              <w:rPr>
                <w:sz w:val="18"/>
                <w:szCs w:val="18"/>
              </w:rPr>
              <w:t>, together with any cross-</w:t>
            </w:r>
            <w:r w:rsidRPr="00597825">
              <w:rPr>
                <w:sz w:val="18"/>
                <w:szCs w:val="18"/>
              </w:rPr>
              <w:t>sector</w:t>
            </w:r>
            <w:r w:rsidR="00597825">
              <w:rPr>
                <w:sz w:val="18"/>
                <w:szCs w:val="18"/>
              </w:rPr>
              <w:t>al</w:t>
            </w:r>
            <w:r w:rsidRPr="00597825">
              <w:rPr>
                <w:sz w:val="18"/>
                <w:szCs w:val="18"/>
              </w:rPr>
              <w:t xml:space="preserve"> activities</w:t>
            </w:r>
            <w:r w:rsidR="00597825">
              <w:rPr>
                <w:sz w:val="18"/>
                <w:szCs w:val="18"/>
              </w:rPr>
              <w:t>,</w:t>
            </w:r>
            <w:r w:rsidRPr="00597825">
              <w:rPr>
                <w:sz w:val="18"/>
                <w:szCs w:val="18"/>
              </w:rPr>
              <w:t xml:space="preserve"> will be expected to accompany monitoring and evaluation frameworks. </w:t>
            </w:r>
            <w:r w:rsidR="00597825">
              <w:rPr>
                <w:sz w:val="18"/>
                <w:szCs w:val="18"/>
              </w:rPr>
              <w:t xml:space="preserve">These be included under the </w:t>
            </w:r>
            <w:r w:rsidRPr="00597825">
              <w:rPr>
                <w:sz w:val="18"/>
                <w:szCs w:val="18"/>
              </w:rPr>
              <w:t>MELF.</w:t>
            </w:r>
          </w:p>
        </w:tc>
        <w:tc>
          <w:tcPr>
            <w:tcW w:w="2126" w:type="dxa"/>
          </w:tcPr>
          <w:p w14:paraId="437ACDDE" w14:textId="5465E00F" w:rsidR="00D15146" w:rsidRPr="00D15146" w:rsidRDefault="0040076A" w:rsidP="0040076A">
            <w:pPr>
              <w:spacing w:before="60" w:after="60" w:line="259" w:lineRule="auto"/>
              <w:jc w:val="left"/>
              <w:rPr>
                <w:sz w:val="18"/>
                <w:szCs w:val="18"/>
                <w:lang w:val="en-US"/>
              </w:rPr>
            </w:pPr>
            <w:r>
              <w:rPr>
                <w:sz w:val="18"/>
                <w:szCs w:val="18"/>
                <w:lang w:val="en-US"/>
              </w:rPr>
              <w:t>April/</w:t>
            </w:r>
            <w:r w:rsidR="00D15146" w:rsidRPr="00D15146">
              <w:rPr>
                <w:sz w:val="18"/>
                <w:szCs w:val="18"/>
                <w:lang w:val="en-US"/>
              </w:rPr>
              <w:t>May 2017 onwards</w:t>
            </w:r>
          </w:p>
        </w:tc>
        <w:tc>
          <w:tcPr>
            <w:tcW w:w="2410" w:type="dxa"/>
          </w:tcPr>
          <w:p w14:paraId="5938A3B3" w14:textId="7748F01F" w:rsidR="00D15146" w:rsidRPr="00D15146" w:rsidRDefault="0040076A" w:rsidP="0040076A">
            <w:pPr>
              <w:spacing w:before="60" w:after="60" w:line="259" w:lineRule="auto"/>
              <w:jc w:val="left"/>
              <w:rPr>
                <w:sz w:val="18"/>
                <w:szCs w:val="18"/>
                <w:lang w:val="en-US"/>
              </w:rPr>
            </w:pPr>
            <w:r>
              <w:rPr>
                <w:sz w:val="18"/>
                <w:szCs w:val="18"/>
                <w:lang w:val="en-US"/>
              </w:rPr>
              <w:t>M&amp;E resource(s)</w:t>
            </w:r>
          </w:p>
        </w:tc>
      </w:tr>
      <w:tr w:rsidR="00D15146" w:rsidRPr="00D15146" w14:paraId="22C4B634" w14:textId="77777777" w:rsidTr="004B3DEB">
        <w:tc>
          <w:tcPr>
            <w:tcW w:w="2258" w:type="dxa"/>
            <w:vMerge w:val="restart"/>
          </w:tcPr>
          <w:p w14:paraId="59333332" w14:textId="77777777" w:rsidR="00D15146" w:rsidRPr="00D15146" w:rsidRDefault="00D15146" w:rsidP="00D15146">
            <w:pPr>
              <w:spacing w:before="60" w:after="60" w:line="259" w:lineRule="auto"/>
              <w:rPr>
                <w:sz w:val="18"/>
                <w:szCs w:val="18"/>
                <w:lang w:val="en-US"/>
              </w:rPr>
            </w:pPr>
          </w:p>
        </w:tc>
        <w:tc>
          <w:tcPr>
            <w:tcW w:w="7088" w:type="dxa"/>
            <w:tcBorders>
              <w:bottom w:val="single" w:sz="8" w:space="0" w:color="FF931E"/>
            </w:tcBorders>
          </w:tcPr>
          <w:p w14:paraId="1C3FEA18" w14:textId="42AFF415" w:rsidR="00D15146" w:rsidRPr="00597825" w:rsidRDefault="00D15146" w:rsidP="00597825">
            <w:pPr>
              <w:pStyle w:val="TableBullet"/>
              <w:rPr>
                <w:sz w:val="18"/>
                <w:szCs w:val="18"/>
              </w:rPr>
            </w:pPr>
            <w:r w:rsidRPr="00597825">
              <w:rPr>
                <w:sz w:val="18"/>
                <w:szCs w:val="18"/>
              </w:rPr>
              <w:t>Regular review: PHD will undertake six</w:t>
            </w:r>
            <w:r w:rsidR="00597825">
              <w:rPr>
                <w:sz w:val="18"/>
                <w:szCs w:val="18"/>
              </w:rPr>
              <w:t>-</w:t>
            </w:r>
            <w:r w:rsidRPr="00597825">
              <w:rPr>
                <w:sz w:val="18"/>
                <w:szCs w:val="18"/>
              </w:rPr>
              <w:t>monthly review and reflection</w:t>
            </w:r>
            <w:r w:rsidR="00597825">
              <w:rPr>
                <w:sz w:val="18"/>
                <w:szCs w:val="18"/>
              </w:rPr>
              <w:t>s. All Sector L</w:t>
            </w:r>
            <w:r w:rsidRPr="00597825">
              <w:rPr>
                <w:sz w:val="18"/>
                <w:szCs w:val="18"/>
              </w:rPr>
              <w:t>eads and key</w:t>
            </w:r>
            <w:r w:rsidR="00597825">
              <w:rPr>
                <w:sz w:val="18"/>
                <w:szCs w:val="18"/>
              </w:rPr>
              <w:t xml:space="preserve"> technical and operational personnel</w:t>
            </w:r>
            <w:r w:rsidRPr="00597825">
              <w:rPr>
                <w:sz w:val="18"/>
                <w:szCs w:val="18"/>
              </w:rPr>
              <w:t xml:space="preserve"> will be expected to at</w:t>
            </w:r>
            <w:r w:rsidR="00597825">
              <w:rPr>
                <w:sz w:val="18"/>
                <w:szCs w:val="18"/>
              </w:rPr>
              <w:t>tend together with Embassy personnel. This may</w:t>
            </w:r>
            <w:r w:rsidRPr="00597825">
              <w:rPr>
                <w:sz w:val="18"/>
                <w:szCs w:val="18"/>
              </w:rPr>
              <w:t xml:space="preserve"> be externally facilitated by M&amp;E House</w:t>
            </w:r>
            <w:r w:rsidR="00597825">
              <w:rPr>
                <w:sz w:val="18"/>
                <w:szCs w:val="18"/>
              </w:rPr>
              <w:t>,</w:t>
            </w:r>
            <w:r w:rsidRPr="00597825">
              <w:rPr>
                <w:sz w:val="18"/>
                <w:szCs w:val="18"/>
              </w:rPr>
              <w:t xml:space="preserve"> and will draw from monitoring and evaluation evidence, additional information and perspectives from partners and other stakeholders.</w:t>
            </w:r>
          </w:p>
          <w:p w14:paraId="5B0467E5" w14:textId="2B36D113" w:rsidR="00D15146" w:rsidRPr="00597825" w:rsidRDefault="00D15146" w:rsidP="00597825">
            <w:pPr>
              <w:pStyle w:val="TableBullet"/>
              <w:rPr>
                <w:sz w:val="18"/>
                <w:szCs w:val="18"/>
              </w:rPr>
            </w:pPr>
            <w:r w:rsidRPr="00597825">
              <w:rPr>
                <w:sz w:val="18"/>
                <w:szCs w:val="18"/>
              </w:rPr>
              <w:t>The outcome of the mid-ye</w:t>
            </w:r>
            <w:r w:rsidR="000D15A6">
              <w:rPr>
                <w:sz w:val="18"/>
                <w:szCs w:val="18"/>
              </w:rPr>
              <w:t>ar review will be input to the six-</w:t>
            </w:r>
            <w:r w:rsidRPr="00597825">
              <w:rPr>
                <w:sz w:val="18"/>
                <w:szCs w:val="18"/>
              </w:rPr>
              <w:t>month reporting</w:t>
            </w:r>
            <w:r w:rsidR="000D15A6">
              <w:rPr>
                <w:sz w:val="18"/>
                <w:szCs w:val="18"/>
              </w:rPr>
              <w:t>.</w:t>
            </w:r>
          </w:p>
          <w:p w14:paraId="5312997A" w14:textId="70FFA1D6" w:rsidR="00D15146" w:rsidRPr="00597825" w:rsidRDefault="00D15146" w:rsidP="00597825">
            <w:pPr>
              <w:pStyle w:val="TableBullet"/>
              <w:rPr>
                <w:sz w:val="18"/>
                <w:szCs w:val="18"/>
              </w:rPr>
            </w:pPr>
            <w:r w:rsidRPr="00597825">
              <w:rPr>
                <w:sz w:val="18"/>
                <w:szCs w:val="18"/>
              </w:rPr>
              <w:t>The outcome of the end year review will be a revised annual plan</w:t>
            </w:r>
            <w:r w:rsidR="000D15A6">
              <w:rPr>
                <w:sz w:val="18"/>
                <w:szCs w:val="18"/>
              </w:rPr>
              <w:t>.</w:t>
            </w:r>
          </w:p>
        </w:tc>
        <w:tc>
          <w:tcPr>
            <w:tcW w:w="2126" w:type="dxa"/>
            <w:tcBorders>
              <w:bottom w:val="single" w:sz="8" w:space="0" w:color="FF931E"/>
            </w:tcBorders>
          </w:tcPr>
          <w:p w14:paraId="0B96BCA2" w14:textId="77777777" w:rsidR="00D15146" w:rsidRPr="00D15146" w:rsidRDefault="00D15146" w:rsidP="0040076A">
            <w:pPr>
              <w:spacing w:before="60" w:after="60" w:line="259" w:lineRule="auto"/>
              <w:jc w:val="left"/>
              <w:rPr>
                <w:sz w:val="18"/>
                <w:szCs w:val="18"/>
                <w:lang w:val="en-US"/>
              </w:rPr>
            </w:pPr>
            <w:r w:rsidRPr="00D15146">
              <w:rPr>
                <w:sz w:val="18"/>
                <w:szCs w:val="18"/>
                <w:lang w:val="en-US"/>
              </w:rPr>
              <w:t>June 2017 and following at six monthly intervals</w:t>
            </w:r>
          </w:p>
        </w:tc>
        <w:tc>
          <w:tcPr>
            <w:tcW w:w="2410" w:type="dxa"/>
            <w:tcBorders>
              <w:bottom w:val="single" w:sz="8" w:space="0" w:color="FF931E"/>
            </w:tcBorders>
          </w:tcPr>
          <w:p w14:paraId="30CF4820" w14:textId="4E18CD52" w:rsidR="00D15146" w:rsidRPr="00D15146" w:rsidRDefault="0040076A" w:rsidP="0040076A">
            <w:pPr>
              <w:spacing w:before="60" w:after="60" w:line="259" w:lineRule="auto"/>
              <w:jc w:val="left"/>
              <w:rPr>
                <w:sz w:val="18"/>
                <w:szCs w:val="18"/>
                <w:lang w:val="en-US"/>
              </w:rPr>
            </w:pPr>
            <w:r>
              <w:rPr>
                <w:sz w:val="18"/>
                <w:szCs w:val="18"/>
                <w:lang w:val="en-US"/>
              </w:rPr>
              <w:t>M&amp;E resource(s)</w:t>
            </w:r>
          </w:p>
          <w:p w14:paraId="1B0ED316" w14:textId="510021EC" w:rsidR="00D15146" w:rsidRPr="00D15146" w:rsidRDefault="0040076A" w:rsidP="0040076A">
            <w:pPr>
              <w:spacing w:before="60" w:after="60" w:line="259" w:lineRule="auto"/>
              <w:jc w:val="left"/>
              <w:rPr>
                <w:sz w:val="18"/>
                <w:szCs w:val="18"/>
                <w:lang w:val="en-US"/>
              </w:rPr>
            </w:pPr>
            <w:r>
              <w:rPr>
                <w:sz w:val="18"/>
                <w:szCs w:val="18"/>
                <w:lang w:val="en-US"/>
              </w:rPr>
              <w:t xml:space="preserve">Deputy Team Leader – Technical </w:t>
            </w:r>
          </w:p>
        </w:tc>
      </w:tr>
      <w:tr w:rsidR="00D15146" w:rsidRPr="00D15146" w14:paraId="1AFB1F37" w14:textId="77777777" w:rsidTr="004B3DEB">
        <w:trPr>
          <w:trHeight w:val="765"/>
        </w:trPr>
        <w:tc>
          <w:tcPr>
            <w:tcW w:w="2258" w:type="dxa"/>
            <w:vMerge/>
          </w:tcPr>
          <w:p w14:paraId="6F8EC01B" w14:textId="77777777" w:rsidR="00D15146" w:rsidRPr="00D15146" w:rsidRDefault="00D15146" w:rsidP="00D15146">
            <w:pPr>
              <w:spacing w:before="60" w:after="60" w:line="259" w:lineRule="auto"/>
              <w:rPr>
                <w:sz w:val="18"/>
                <w:szCs w:val="18"/>
                <w:lang w:val="en-US"/>
              </w:rPr>
            </w:pPr>
          </w:p>
        </w:tc>
        <w:tc>
          <w:tcPr>
            <w:tcW w:w="7088" w:type="dxa"/>
            <w:tcBorders>
              <w:bottom w:val="single" w:sz="4" w:space="0" w:color="FF931E"/>
            </w:tcBorders>
          </w:tcPr>
          <w:p w14:paraId="3BEDD424" w14:textId="77777777" w:rsidR="000D15A6" w:rsidRDefault="00D15146" w:rsidP="000D15A6">
            <w:pPr>
              <w:pStyle w:val="TableBullet"/>
              <w:rPr>
                <w:sz w:val="18"/>
                <w:szCs w:val="18"/>
              </w:rPr>
            </w:pPr>
            <w:r w:rsidRPr="000D15A6">
              <w:rPr>
                <w:sz w:val="18"/>
                <w:szCs w:val="18"/>
              </w:rPr>
              <w:t xml:space="preserve">A series of rolling reviews be undertaken major sectors to assess this strategic fit </w:t>
            </w:r>
            <w:r w:rsidR="000D15A6">
              <w:rPr>
                <w:sz w:val="18"/>
                <w:szCs w:val="18"/>
              </w:rPr>
              <w:t xml:space="preserve">and suitability </w:t>
            </w:r>
            <w:r w:rsidRPr="000D15A6">
              <w:rPr>
                <w:sz w:val="18"/>
                <w:szCs w:val="18"/>
              </w:rPr>
              <w:t xml:space="preserve">within the intention and approach of PHD. </w:t>
            </w:r>
          </w:p>
          <w:p w14:paraId="2F94069A" w14:textId="1F07A025" w:rsidR="00D15146" w:rsidRPr="000D15A6" w:rsidRDefault="00D15146" w:rsidP="000D15A6">
            <w:pPr>
              <w:pStyle w:val="TableBullet"/>
              <w:numPr>
                <w:ilvl w:val="0"/>
                <w:numId w:val="0"/>
              </w:numPr>
              <w:rPr>
                <w:sz w:val="18"/>
                <w:szCs w:val="18"/>
              </w:rPr>
            </w:pPr>
            <w:r w:rsidRPr="000D15A6">
              <w:rPr>
                <w:sz w:val="18"/>
                <w:szCs w:val="18"/>
              </w:rPr>
              <w:t>These will include:</w:t>
            </w:r>
          </w:p>
        </w:tc>
        <w:tc>
          <w:tcPr>
            <w:tcW w:w="2126" w:type="dxa"/>
            <w:tcBorders>
              <w:bottom w:val="single" w:sz="4" w:space="0" w:color="FF931E"/>
            </w:tcBorders>
          </w:tcPr>
          <w:p w14:paraId="6EF2BA9A" w14:textId="19212712" w:rsidR="00D15146" w:rsidRPr="00D15146" w:rsidRDefault="00D15146" w:rsidP="0040076A">
            <w:pPr>
              <w:spacing w:before="60" w:after="60" w:line="259" w:lineRule="auto"/>
              <w:jc w:val="left"/>
              <w:rPr>
                <w:sz w:val="18"/>
                <w:szCs w:val="18"/>
                <w:lang w:val="en-US"/>
              </w:rPr>
            </w:pPr>
          </w:p>
        </w:tc>
        <w:tc>
          <w:tcPr>
            <w:tcW w:w="2410" w:type="dxa"/>
            <w:tcBorders>
              <w:bottom w:val="single" w:sz="4" w:space="0" w:color="FF931E"/>
            </w:tcBorders>
          </w:tcPr>
          <w:p w14:paraId="4A077407" w14:textId="0727EF50" w:rsidR="00D15146" w:rsidRPr="00D15146" w:rsidRDefault="00D15146" w:rsidP="0040076A">
            <w:pPr>
              <w:spacing w:before="60" w:after="60" w:line="259" w:lineRule="auto"/>
              <w:jc w:val="left"/>
              <w:rPr>
                <w:sz w:val="18"/>
                <w:szCs w:val="18"/>
                <w:lang w:val="en-US"/>
              </w:rPr>
            </w:pPr>
          </w:p>
        </w:tc>
      </w:tr>
      <w:tr w:rsidR="000D15A6" w:rsidRPr="00D15146" w14:paraId="63BB61A0" w14:textId="77777777" w:rsidTr="004B3DEB">
        <w:trPr>
          <w:trHeight w:val="330"/>
        </w:trPr>
        <w:tc>
          <w:tcPr>
            <w:tcW w:w="2258" w:type="dxa"/>
            <w:vMerge/>
          </w:tcPr>
          <w:p w14:paraId="58FA0D6F" w14:textId="77777777" w:rsidR="000D15A6" w:rsidRPr="00D15146" w:rsidRDefault="000D15A6" w:rsidP="00D15146">
            <w:pPr>
              <w:spacing w:before="60" w:after="60" w:line="259" w:lineRule="auto"/>
              <w:rPr>
                <w:sz w:val="18"/>
                <w:szCs w:val="18"/>
                <w:lang w:val="en-US"/>
              </w:rPr>
            </w:pPr>
          </w:p>
        </w:tc>
        <w:tc>
          <w:tcPr>
            <w:tcW w:w="7088" w:type="dxa"/>
            <w:tcBorders>
              <w:top w:val="single" w:sz="4" w:space="0" w:color="FF931E"/>
              <w:bottom w:val="single" w:sz="4" w:space="0" w:color="FFFFFF" w:themeColor="background1"/>
            </w:tcBorders>
          </w:tcPr>
          <w:p w14:paraId="0BE24580" w14:textId="4FA61C7F" w:rsidR="000D15A6" w:rsidRPr="000D15A6" w:rsidRDefault="000D15A6" w:rsidP="000D15A6">
            <w:pPr>
              <w:pStyle w:val="TableBullet"/>
              <w:rPr>
                <w:sz w:val="18"/>
                <w:szCs w:val="18"/>
              </w:rPr>
            </w:pPr>
            <w:r w:rsidRPr="000D15A6">
              <w:rPr>
                <w:sz w:val="18"/>
                <w:szCs w:val="18"/>
              </w:rPr>
              <w:t>Health</w:t>
            </w:r>
          </w:p>
        </w:tc>
        <w:tc>
          <w:tcPr>
            <w:tcW w:w="2126" w:type="dxa"/>
            <w:tcBorders>
              <w:top w:val="single" w:sz="4" w:space="0" w:color="FF931E"/>
              <w:bottom w:val="single" w:sz="4" w:space="0" w:color="FFFFFF" w:themeColor="background1"/>
            </w:tcBorders>
          </w:tcPr>
          <w:p w14:paraId="029101BE" w14:textId="27E4AB3E" w:rsidR="000D15A6" w:rsidRPr="00D15146" w:rsidRDefault="000D15A6" w:rsidP="0040076A">
            <w:pPr>
              <w:spacing w:before="60" w:after="60" w:line="259" w:lineRule="auto"/>
              <w:jc w:val="left"/>
              <w:rPr>
                <w:sz w:val="18"/>
                <w:szCs w:val="18"/>
                <w:lang w:val="en-US"/>
              </w:rPr>
            </w:pPr>
            <w:r w:rsidRPr="00D15146">
              <w:rPr>
                <w:sz w:val="18"/>
                <w:szCs w:val="18"/>
                <w:lang w:val="en-US"/>
              </w:rPr>
              <w:t>July-Dec</w:t>
            </w:r>
            <w:r>
              <w:rPr>
                <w:sz w:val="18"/>
                <w:szCs w:val="18"/>
                <w:lang w:val="en-US"/>
              </w:rPr>
              <w:t>ember</w:t>
            </w:r>
            <w:r w:rsidRPr="00D15146">
              <w:rPr>
                <w:sz w:val="18"/>
                <w:szCs w:val="18"/>
                <w:lang w:val="en-US"/>
              </w:rPr>
              <w:t xml:space="preserve"> 2017</w:t>
            </w:r>
          </w:p>
        </w:tc>
        <w:tc>
          <w:tcPr>
            <w:tcW w:w="2410" w:type="dxa"/>
            <w:tcBorders>
              <w:top w:val="single" w:sz="4" w:space="0" w:color="FF931E"/>
              <w:bottom w:val="single" w:sz="4" w:space="0" w:color="FFFFFF" w:themeColor="background1"/>
            </w:tcBorders>
          </w:tcPr>
          <w:p w14:paraId="22147B60" w14:textId="77777777" w:rsidR="000D15A6" w:rsidRPr="00D15146" w:rsidRDefault="000D15A6" w:rsidP="000D15A6">
            <w:pPr>
              <w:spacing w:before="60" w:after="60" w:line="259" w:lineRule="auto"/>
              <w:jc w:val="left"/>
              <w:rPr>
                <w:sz w:val="18"/>
                <w:szCs w:val="18"/>
                <w:lang w:val="en-US"/>
              </w:rPr>
            </w:pPr>
            <w:r w:rsidRPr="00D15146">
              <w:rPr>
                <w:sz w:val="18"/>
                <w:szCs w:val="18"/>
                <w:lang w:val="en-US"/>
              </w:rPr>
              <w:t xml:space="preserve">Health </w:t>
            </w:r>
            <w:r>
              <w:rPr>
                <w:sz w:val="18"/>
                <w:szCs w:val="18"/>
                <w:lang w:val="en-US"/>
              </w:rPr>
              <w:t>Sector</w:t>
            </w:r>
            <w:r w:rsidRPr="00D15146">
              <w:rPr>
                <w:sz w:val="18"/>
                <w:szCs w:val="18"/>
                <w:lang w:val="en-US"/>
              </w:rPr>
              <w:t xml:space="preserve"> </w:t>
            </w:r>
            <w:r>
              <w:rPr>
                <w:sz w:val="18"/>
                <w:szCs w:val="18"/>
                <w:lang w:val="en-US"/>
              </w:rPr>
              <w:t>Lead and Embassy personnel</w:t>
            </w:r>
          </w:p>
          <w:p w14:paraId="0FFC7905" w14:textId="06CDC4E8" w:rsidR="000D15A6" w:rsidRPr="00D15146" w:rsidRDefault="000D15A6" w:rsidP="000D15A6">
            <w:pPr>
              <w:spacing w:before="60" w:after="60" w:line="259" w:lineRule="auto"/>
              <w:jc w:val="left"/>
              <w:rPr>
                <w:sz w:val="18"/>
                <w:szCs w:val="18"/>
                <w:lang w:val="en-US"/>
              </w:rPr>
            </w:pPr>
            <w:r w:rsidRPr="00D15146">
              <w:rPr>
                <w:sz w:val="18"/>
                <w:szCs w:val="18"/>
                <w:lang w:val="en-US"/>
              </w:rPr>
              <w:t>Additional review resource</w:t>
            </w:r>
            <w:r>
              <w:rPr>
                <w:sz w:val="18"/>
                <w:szCs w:val="18"/>
                <w:lang w:val="en-US"/>
              </w:rPr>
              <w:t>(s)</w:t>
            </w:r>
          </w:p>
        </w:tc>
      </w:tr>
      <w:tr w:rsidR="00D15146" w:rsidRPr="00D15146" w14:paraId="430D31B9" w14:textId="77777777" w:rsidTr="000D15A6">
        <w:trPr>
          <w:trHeight w:val="330"/>
        </w:trPr>
        <w:tc>
          <w:tcPr>
            <w:tcW w:w="2258" w:type="dxa"/>
            <w:vMerge/>
          </w:tcPr>
          <w:p w14:paraId="2EE93F52" w14:textId="77777777" w:rsidR="00D15146" w:rsidRPr="00D15146" w:rsidRDefault="00D15146" w:rsidP="00D15146">
            <w:pPr>
              <w:spacing w:before="60" w:after="60" w:line="259" w:lineRule="auto"/>
              <w:rPr>
                <w:sz w:val="18"/>
                <w:szCs w:val="18"/>
                <w:lang w:val="en-US"/>
              </w:rPr>
            </w:pPr>
          </w:p>
        </w:tc>
        <w:tc>
          <w:tcPr>
            <w:tcW w:w="7088" w:type="dxa"/>
            <w:tcBorders>
              <w:top w:val="single" w:sz="4" w:space="0" w:color="FFFFFF" w:themeColor="background1"/>
            </w:tcBorders>
          </w:tcPr>
          <w:p w14:paraId="452F0B6C" w14:textId="77777777" w:rsidR="00D15146" w:rsidRPr="000D15A6" w:rsidRDefault="00D15146" w:rsidP="000D15A6">
            <w:pPr>
              <w:pStyle w:val="TableBullet"/>
              <w:rPr>
                <w:sz w:val="18"/>
                <w:szCs w:val="18"/>
              </w:rPr>
            </w:pPr>
            <w:r w:rsidRPr="000D15A6">
              <w:rPr>
                <w:sz w:val="18"/>
                <w:szCs w:val="18"/>
              </w:rPr>
              <w:t>Education</w:t>
            </w:r>
          </w:p>
        </w:tc>
        <w:tc>
          <w:tcPr>
            <w:tcW w:w="2126" w:type="dxa"/>
            <w:tcBorders>
              <w:top w:val="single" w:sz="4" w:space="0" w:color="FFFFFF" w:themeColor="background1"/>
            </w:tcBorders>
          </w:tcPr>
          <w:p w14:paraId="38D617E2" w14:textId="577D7DB7" w:rsidR="00D15146" w:rsidRPr="00D15146" w:rsidRDefault="00D15146" w:rsidP="0040076A">
            <w:pPr>
              <w:spacing w:before="60" w:after="60" w:line="259" w:lineRule="auto"/>
              <w:jc w:val="left"/>
              <w:rPr>
                <w:sz w:val="18"/>
                <w:szCs w:val="18"/>
                <w:lang w:val="en-US"/>
              </w:rPr>
            </w:pPr>
            <w:r w:rsidRPr="00D15146">
              <w:rPr>
                <w:sz w:val="18"/>
                <w:szCs w:val="18"/>
                <w:lang w:val="en-US"/>
              </w:rPr>
              <w:t>July-Dec</w:t>
            </w:r>
            <w:r w:rsidR="0040076A">
              <w:rPr>
                <w:sz w:val="18"/>
                <w:szCs w:val="18"/>
                <w:lang w:val="en-US"/>
              </w:rPr>
              <w:t>ember</w:t>
            </w:r>
            <w:r w:rsidRPr="00D15146">
              <w:rPr>
                <w:sz w:val="18"/>
                <w:szCs w:val="18"/>
                <w:lang w:val="en-US"/>
              </w:rPr>
              <w:t xml:space="preserve"> 2017 </w:t>
            </w:r>
            <w:r w:rsidR="0040076A">
              <w:rPr>
                <w:sz w:val="18"/>
                <w:szCs w:val="18"/>
                <w:lang w:val="en-US"/>
              </w:rPr>
              <w:t xml:space="preserve">and </w:t>
            </w:r>
            <w:r w:rsidRPr="00D15146">
              <w:rPr>
                <w:sz w:val="18"/>
                <w:szCs w:val="18"/>
                <w:lang w:val="en-US"/>
              </w:rPr>
              <w:t>ongoing</w:t>
            </w:r>
          </w:p>
        </w:tc>
        <w:tc>
          <w:tcPr>
            <w:tcW w:w="2410" w:type="dxa"/>
            <w:tcBorders>
              <w:top w:val="single" w:sz="4" w:space="0" w:color="FFFFFF" w:themeColor="background1"/>
            </w:tcBorders>
          </w:tcPr>
          <w:p w14:paraId="085F174A" w14:textId="77777777" w:rsidR="00D15146" w:rsidRPr="00D15146" w:rsidRDefault="00D15146" w:rsidP="0040076A">
            <w:pPr>
              <w:spacing w:before="60" w:after="60" w:line="259" w:lineRule="auto"/>
              <w:jc w:val="left"/>
              <w:rPr>
                <w:sz w:val="18"/>
                <w:szCs w:val="18"/>
                <w:lang w:val="en-US"/>
              </w:rPr>
            </w:pPr>
            <w:r w:rsidRPr="00D15146">
              <w:rPr>
                <w:sz w:val="18"/>
                <w:szCs w:val="18"/>
                <w:lang w:val="en-US"/>
              </w:rPr>
              <w:t>DFAT Office of Development Effectiveness</w:t>
            </w:r>
          </w:p>
        </w:tc>
      </w:tr>
      <w:tr w:rsidR="00D15146" w:rsidRPr="00D15146" w14:paraId="44341535" w14:textId="77777777" w:rsidTr="00D15146">
        <w:trPr>
          <w:trHeight w:val="626"/>
        </w:trPr>
        <w:tc>
          <w:tcPr>
            <w:tcW w:w="2258" w:type="dxa"/>
            <w:vMerge/>
          </w:tcPr>
          <w:p w14:paraId="6C3956C1" w14:textId="77777777" w:rsidR="00D15146" w:rsidRPr="00D15146" w:rsidRDefault="00D15146" w:rsidP="00D15146">
            <w:pPr>
              <w:spacing w:before="60" w:after="60" w:line="259" w:lineRule="auto"/>
              <w:rPr>
                <w:sz w:val="18"/>
                <w:szCs w:val="18"/>
                <w:lang w:val="en-US"/>
              </w:rPr>
            </w:pPr>
          </w:p>
        </w:tc>
        <w:tc>
          <w:tcPr>
            <w:tcW w:w="7088" w:type="dxa"/>
          </w:tcPr>
          <w:p w14:paraId="6EC20E11" w14:textId="77777777" w:rsidR="00D15146" w:rsidRPr="000D15A6" w:rsidRDefault="00D15146" w:rsidP="000D15A6">
            <w:pPr>
              <w:pStyle w:val="TableBullet"/>
              <w:rPr>
                <w:sz w:val="18"/>
                <w:szCs w:val="18"/>
              </w:rPr>
            </w:pPr>
            <w:r w:rsidRPr="000D15A6">
              <w:rPr>
                <w:sz w:val="18"/>
                <w:szCs w:val="18"/>
              </w:rPr>
              <w:t xml:space="preserve">Additional sector reviews will be undertaken in discussion with Embassy and M&amp;E House. </w:t>
            </w:r>
          </w:p>
        </w:tc>
        <w:tc>
          <w:tcPr>
            <w:tcW w:w="2126" w:type="dxa"/>
          </w:tcPr>
          <w:p w14:paraId="25A28801" w14:textId="77777777" w:rsidR="00D15146" w:rsidRPr="00D15146" w:rsidRDefault="00D15146" w:rsidP="0040076A">
            <w:pPr>
              <w:spacing w:before="60" w:after="60" w:line="259" w:lineRule="auto"/>
              <w:jc w:val="left"/>
              <w:rPr>
                <w:sz w:val="18"/>
                <w:szCs w:val="18"/>
                <w:lang w:val="en-US"/>
              </w:rPr>
            </w:pPr>
          </w:p>
        </w:tc>
        <w:tc>
          <w:tcPr>
            <w:tcW w:w="2410" w:type="dxa"/>
          </w:tcPr>
          <w:p w14:paraId="67486281" w14:textId="2683F166" w:rsidR="00D15146" w:rsidRPr="00D15146" w:rsidRDefault="00D15146" w:rsidP="0040076A">
            <w:pPr>
              <w:spacing w:before="60" w:after="60" w:line="259" w:lineRule="auto"/>
              <w:jc w:val="left"/>
              <w:rPr>
                <w:sz w:val="18"/>
                <w:szCs w:val="18"/>
                <w:lang w:val="en-US"/>
              </w:rPr>
            </w:pPr>
            <w:r w:rsidRPr="00D15146">
              <w:rPr>
                <w:sz w:val="18"/>
                <w:szCs w:val="18"/>
                <w:lang w:val="en-US"/>
              </w:rPr>
              <w:t>Additional review resource</w:t>
            </w:r>
            <w:r w:rsidR="0040076A">
              <w:rPr>
                <w:sz w:val="18"/>
                <w:szCs w:val="18"/>
                <w:lang w:val="en-US"/>
              </w:rPr>
              <w:t>(s)</w:t>
            </w:r>
          </w:p>
          <w:p w14:paraId="5EF7EE64" w14:textId="154F4902" w:rsidR="00D15146" w:rsidRPr="00D15146" w:rsidRDefault="0040076A" w:rsidP="0040076A">
            <w:pPr>
              <w:spacing w:before="60" w:after="60" w:line="259" w:lineRule="auto"/>
              <w:jc w:val="left"/>
              <w:rPr>
                <w:sz w:val="18"/>
                <w:szCs w:val="18"/>
                <w:lang w:val="en-US"/>
              </w:rPr>
            </w:pPr>
            <w:r>
              <w:rPr>
                <w:sz w:val="18"/>
                <w:szCs w:val="18"/>
                <w:lang w:val="en-US"/>
              </w:rPr>
              <w:t>Embassy personnel</w:t>
            </w:r>
          </w:p>
          <w:p w14:paraId="68815202" w14:textId="77777777" w:rsidR="00D15146" w:rsidRPr="00D15146" w:rsidRDefault="00D15146" w:rsidP="0040076A">
            <w:pPr>
              <w:spacing w:before="60" w:after="60" w:line="259" w:lineRule="auto"/>
              <w:jc w:val="left"/>
              <w:rPr>
                <w:sz w:val="18"/>
                <w:szCs w:val="18"/>
                <w:lang w:val="en-US"/>
              </w:rPr>
            </w:pPr>
            <w:r w:rsidRPr="00D15146">
              <w:rPr>
                <w:sz w:val="18"/>
                <w:szCs w:val="18"/>
                <w:lang w:val="en-US"/>
              </w:rPr>
              <w:t>M&amp;E House</w:t>
            </w:r>
          </w:p>
        </w:tc>
      </w:tr>
      <w:tr w:rsidR="00D15146" w:rsidRPr="00D15146" w14:paraId="44FFF47E" w14:textId="77777777" w:rsidTr="00D15146">
        <w:tc>
          <w:tcPr>
            <w:tcW w:w="2258" w:type="dxa"/>
            <w:vMerge/>
          </w:tcPr>
          <w:p w14:paraId="1D1E5D1C" w14:textId="77777777" w:rsidR="00D15146" w:rsidRPr="00D15146" w:rsidRDefault="00D15146" w:rsidP="00D15146">
            <w:pPr>
              <w:spacing w:before="60" w:after="60" w:line="259" w:lineRule="auto"/>
              <w:rPr>
                <w:sz w:val="18"/>
                <w:szCs w:val="18"/>
                <w:lang w:val="en-US"/>
              </w:rPr>
            </w:pPr>
          </w:p>
        </w:tc>
        <w:tc>
          <w:tcPr>
            <w:tcW w:w="7088" w:type="dxa"/>
          </w:tcPr>
          <w:p w14:paraId="30E6C042" w14:textId="77777777" w:rsidR="00D15146" w:rsidRPr="000D15A6" w:rsidRDefault="00D15146" w:rsidP="000D15A6">
            <w:pPr>
              <w:pStyle w:val="TableBullet"/>
              <w:rPr>
                <w:sz w:val="18"/>
                <w:szCs w:val="18"/>
              </w:rPr>
            </w:pPr>
            <w:r w:rsidRPr="000D15A6">
              <w:rPr>
                <w:sz w:val="18"/>
                <w:szCs w:val="18"/>
              </w:rPr>
              <w:t>As far as possible field monitoring visits will be undertaken in cooperation with other sectors encouraging opportunities for peer exchange and learning. As far as possible government representatives will be included in these monitoring visits.</w:t>
            </w:r>
          </w:p>
        </w:tc>
        <w:tc>
          <w:tcPr>
            <w:tcW w:w="2126" w:type="dxa"/>
          </w:tcPr>
          <w:p w14:paraId="1F6A6996" w14:textId="19DD3BE4" w:rsidR="00D15146" w:rsidRPr="00D15146" w:rsidRDefault="0040076A" w:rsidP="0040076A">
            <w:pPr>
              <w:spacing w:before="60" w:after="60" w:line="259" w:lineRule="auto"/>
              <w:jc w:val="left"/>
              <w:rPr>
                <w:sz w:val="18"/>
                <w:szCs w:val="18"/>
                <w:lang w:val="en-US"/>
              </w:rPr>
            </w:pPr>
            <w:r>
              <w:rPr>
                <w:sz w:val="18"/>
                <w:szCs w:val="18"/>
                <w:lang w:val="en-US"/>
              </w:rPr>
              <w:t>Mid-</w:t>
            </w:r>
            <w:r w:rsidR="00D15146" w:rsidRPr="00D15146">
              <w:rPr>
                <w:sz w:val="18"/>
                <w:szCs w:val="18"/>
                <w:lang w:val="en-US"/>
              </w:rPr>
              <w:t>2017</w:t>
            </w:r>
            <w:r>
              <w:rPr>
                <w:sz w:val="18"/>
                <w:szCs w:val="18"/>
                <w:lang w:val="en-US"/>
              </w:rPr>
              <w:t xml:space="preserve"> and</w:t>
            </w:r>
            <w:r w:rsidR="00D15146" w:rsidRPr="00D15146">
              <w:rPr>
                <w:sz w:val="18"/>
                <w:szCs w:val="18"/>
                <w:lang w:val="en-US"/>
              </w:rPr>
              <w:t xml:space="preserve"> ongoing</w:t>
            </w:r>
          </w:p>
        </w:tc>
        <w:tc>
          <w:tcPr>
            <w:tcW w:w="2410" w:type="dxa"/>
          </w:tcPr>
          <w:p w14:paraId="50616F84" w14:textId="67C95187" w:rsidR="00D15146" w:rsidRPr="00D15146" w:rsidRDefault="0040076A" w:rsidP="0040076A">
            <w:pPr>
              <w:spacing w:before="60" w:after="60" w:line="259" w:lineRule="auto"/>
              <w:jc w:val="left"/>
              <w:rPr>
                <w:sz w:val="18"/>
                <w:szCs w:val="18"/>
                <w:lang w:val="en-US"/>
              </w:rPr>
            </w:pPr>
            <w:r>
              <w:rPr>
                <w:sz w:val="18"/>
                <w:szCs w:val="18"/>
                <w:lang w:val="en-US"/>
              </w:rPr>
              <w:t>Sector L</w:t>
            </w:r>
            <w:r w:rsidR="00D15146" w:rsidRPr="00D15146">
              <w:rPr>
                <w:sz w:val="18"/>
                <w:szCs w:val="18"/>
                <w:lang w:val="en-US"/>
              </w:rPr>
              <w:t>eads</w:t>
            </w:r>
          </w:p>
        </w:tc>
      </w:tr>
      <w:tr w:rsidR="00D15146" w:rsidRPr="00D15146" w14:paraId="01779D51" w14:textId="77777777" w:rsidTr="00D15146">
        <w:tc>
          <w:tcPr>
            <w:tcW w:w="2258" w:type="dxa"/>
            <w:vMerge/>
          </w:tcPr>
          <w:p w14:paraId="2A5361F0" w14:textId="77777777" w:rsidR="00D15146" w:rsidRPr="00D15146" w:rsidRDefault="00D15146" w:rsidP="00D15146">
            <w:pPr>
              <w:spacing w:before="60" w:after="60" w:line="259" w:lineRule="auto"/>
              <w:rPr>
                <w:sz w:val="18"/>
                <w:szCs w:val="18"/>
                <w:lang w:val="en-US"/>
              </w:rPr>
            </w:pPr>
          </w:p>
        </w:tc>
        <w:tc>
          <w:tcPr>
            <w:tcW w:w="7088" w:type="dxa"/>
          </w:tcPr>
          <w:p w14:paraId="5BE0F7B2" w14:textId="77777777" w:rsidR="00D15146" w:rsidRPr="000D15A6" w:rsidRDefault="00D15146" w:rsidP="000D15A6">
            <w:pPr>
              <w:pStyle w:val="TableBullet"/>
              <w:rPr>
                <w:sz w:val="18"/>
                <w:szCs w:val="18"/>
              </w:rPr>
            </w:pPr>
            <w:r w:rsidRPr="000D15A6">
              <w:rPr>
                <w:sz w:val="18"/>
                <w:szCs w:val="18"/>
              </w:rPr>
              <w:t>A program wide internal communication strategy will be developed to ensure easy sharing of lessons ideas and experiences.</w:t>
            </w:r>
          </w:p>
        </w:tc>
        <w:tc>
          <w:tcPr>
            <w:tcW w:w="2126" w:type="dxa"/>
          </w:tcPr>
          <w:p w14:paraId="608B5AC1" w14:textId="27F26434" w:rsidR="00D15146" w:rsidRPr="00D15146" w:rsidRDefault="0040076A" w:rsidP="0040076A">
            <w:pPr>
              <w:spacing w:before="60" w:after="60" w:line="259" w:lineRule="auto"/>
              <w:jc w:val="left"/>
              <w:rPr>
                <w:sz w:val="18"/>
                <w:szCs w:val="18"/>
                <w:lang w:val="en-US"/>
              </w:rPr>
            </w:pPr>
            <w:r>
              <w:rPr>
                <w:sz w:val="18"/>
                <w:szCs w:val="18"/>
                <w:lang w:val="en-US"/>
              </w:rPr>
              <w:t>Mid-</w:t>
            </w:r>
            <w:r w:rsidR="00D15146" w:rsidRPr="00D15146">
              <w:rPr>
                <w:sz w:val="18"/>
                <w:szCs w:val="18"/>
                <w:lang w:val="en-US"/>
              </w:rPr>
              <w:t xml:space="preserve">2017 </w:t>
            </w:r>
            <w:r>
              <w:rPr>
                <w:sz w:val="18"/>
                <w:szCs w:val="18"/>
                <w:lang w:val="en-US"/>
              </w:rPr>
              <w:t xml:space="preserve">and </w:t>
            </w:r>
            <w:r w:rsidR="00D15146" w:rsidRPr="00D15146">
              <w:rPr>
                <w:sz w:val="18"/>
                <w:szCs w:val="18"/>
                <w:lang w:val="en-US"/>
              </w:rPr>
              <w:t>ongoing</w:t>
            </w:r>
          </w:p>
        </w:tc>
        <w:tc>
          <w:tcPr>
            <w:tcW w:w="2410" w:type="dxa"/>
          </w:tcPr>
          <w:p w14:paraId="5D2577F3" w14:textId="4F6CE236" w:rsidR="00D15146" w:rsidRPr="00D15146" w:rsidRDefault="0040076A" w:rsidP="0040076A">
            <w:pPr>
              <w:spacing w:before="60" w:after="60" w:line="259" w:lineRule="auto"/>
              <w:jc w:val="left"/>
              <w:rPr>
                <w:sz w:val="18"/>
                <w:szCs w:val="18"/>
                <w:lang w:val="en-US"/>
              </w:rPr>
            </w:pPr>
            <w:r>
              <w:rPr>
                <w:sz w:val="18"/>
                <w:szCs w:val="18"/>
                <w:lang w:val="en-US"/>
              </w:rPr>
              <w:t>Communications Adviser</w:t>
            </w:r>
          </w:p>
        </w:tc>
      </w:tr>
      <w:tr w:rsidR="000D15A6" w:rsidRPr="00D15146" w14:paraId="336AA69D" w14:textId="77777777" w:rsidTr="00D15146">
        <w:tc>
          <w:tcPr>
            <w:tcW w:w="2258" w:type="dxa"/>
            <w:vMerge w:val="restart"/>
          </w:tcPr>
          <w:p w14:paraId="64DADF73" w14:textId="77777777" w:rsidR="000D15A6" w:rsidRPr="00703546" w:rsidRDefault="000D15A6" w:rsidP="00703546">
            <w:pPr>
              <w:spacing w:before="60" w:after="60" w:line="259" w:lineRule="auto"/>
              <w:jc w:val="left"/>
              <w:rPr>
                <w:b/>
                <w:sz w:val="18"/>
                <w:szCs w:val="18"/>
                <w:lang w:val="en-US"/>
              </w:rPr>
            </w:pPr>
            <w:r w:rsidRPr="00703546">
              <w:rPr>
                <w:b/>
                <w:sz w:val="18"/>
                <w:szCs w:val="18"/>
                <w:lang w:val="en-US"/>
              </w:rPr>
              <w:t>Engage people in their own development</w:t>
            </w:r>
          </w:p>
        </w:tc>
        <w:tc>
          <w:tcPr>
            <w:tcW w:w="7088" w:type="dxa"/>
          </w:tcPr>
          <w:p w14:paraId="3BBB335E" w14:textId="77777777" w:rsidR="000D15A6" w:rsidRPr="000D15A6" w:rsidRDefault="000D15A6" w:rsidP="00D15146">
            <w:pPr>
              <w:spacing w:before="60" w:after="60" w:line="259" w:lineRule="auto"/>
              <w:rPr>
                <w:sz w:val="18"/>
                <w:szCs w:val="18"/>
                <w:u w:val="single"/>
                <w:lang w:val="en-US"/>
              </w:rPr>
            </w:pPr>
            <w:r w:rsidRPr="000D15A6">
              <w:rPr>
                <w:sz w:val="18"/>
                <w:szCs w:val="18"/>
                <w:u w:val="single"/>
                <w:lang w:val="en-US"/>
              </w:rPr>
              <w:t>Purpose:</w:t>
            </w:r>
          </w:p>
          <w:p w14:paraId="17AE745E" w14:textId="64DFEEAD" w:rsidR="000D15A6" w:rsidRPr="000D15A6" w:rsidRDefault="000D15A6" w:rsidP="000D15A6">
            <w:pPr>
              <w:pStyle w:val="TableBullet"/>
              <w:rPr>
                <w:sz w:val="18"/>
                <w:szCs w:val="18"/>
              </w:rPr>
            </w:pPr>
            <w:r w:rsidRPr="000D15A6">
              <w:rPr>
                <w:sz w:val="18"/>
                <w:szCs w:val="18"/>
              </w:rPr>
              <w:t>To strengthen accountability, connections and relationships between PHD programs and the l</w:t>
            </w:r>
            <w:r>
              <w:rPr>
                <w:sz w:val="18"/>
                <w:szCs w:val="18"/>
              </w:rPr>
              <w:t>ocal community and its local government</w:t>
            </w:r>
            <w:r w:rsidRPr="000D15A6">
              <w:rPr>
                <w:sz w:val="18"/>
                <w:szCs w:val="18"/>
              </w:rPr>
              <w:t xml:space="preserve"> structures</w:t>
            </w:r>
            <w:r>
              <w:rPr>
                <w:sz w:val="18"/>
                <w:szCs w:val="18"/>
              </w:rPr>
              <w:t>.</w:t>
            </w:r>
          </w:p>
          <w:p w14:paraId="1AB2FE1C" w14:textId="7DD456FC" w:rsidR="000D15A6" w:rsidRPr="000D15A6" w:rsidRDefault="000D15A6" w:rsidP="000D15A6">
            <w:pPr>
              <w:pStyle w:val="TableBullet"/>
              <w:rPr>
                <w:sz w:val="18"/>
                <w:szCs w:val="18"/>
              </w:rPr>
            </w:pPr>
            <w:r w:rsidRPr="000D15A6">
              <w:rPr>
                <w:sz w:val="18"/>
                <w:szCs w:val="18"/>
              </w:rPr>
              <w:t>Ensure PHD programs hear and are responsive to community voice and relevant to community priorities</w:t>
            </w:r>
            <w:r>
              <w:rPr>
                <w:sz w:val="18"/>
                <w:szCs w:val="18"/>
              </w:rPr>
              <w:t>.</w:t>
            </w:r>
          </w:p>
          <w:p w14:paraId="5FCB4858" w14:textId="77777777" w:rsidR="000D15A6" w:rsidRPr="000D15A6" w:rsidRDefault="000D15A6" w:rsidP="000D15A6">
            <w:pPr>
              <w:pStyle w:val="TableBullet"/>
              <w:rPr>
                <w:sz w:val="18"/>
                <w:szCs w:val="18"/>
              </w:rPr>
            </w:pPr>
            <w:r w:rsidRPr="000D15A6">
              <w:rPr>
                <w:sz w:val="18"/>
                <w:szCs w:val="18"/>
              </w:rPr>
              <w:t xml:space="preserve">PHD understands and leverages off existing community assets and knowledge to build community ownership and agency and utilise this in addressing problems of service delivery. </w:t>
            </w:r>
          </w:p>
          <w:p w14:paraId="14A33F73" w14:textId="77777777" w:rsidR="000D15A6" w:rsidRPr="000D15A6" w:rsidRDefault="000D15A6" w:rsidP="00D15146">
            <w:pPr>
              <w:spacing w:before="60" w:after="60" w:line="259" w:lineRule="auto"/>
              <w:rPr>
                <w:sz w:val="18"/>
                <w:szCs w:val="18"/>
                <w:u w:val="single"/>
                <w:lang w:val="en-US"/>
              </w:rPr>
            </w:pPr>
            <w:r w:rsidRPr="000D15A6">
              <w:rPr>
                <w:sz w:val="18"/>
                <w:szCs w:val="18"/>
                <w:u w:val="single"/>
                <w:lang w:val="en-US"/>
              </w:rPr>
              <w:t>Focus:</w:t>
            </w:r>
          </w:p>
          <w:p w14:paraId="55C5CC55" w14:textId="31D25ECB" w:rsidR="000D15A6" w:rsidRPr="000D15A6" w:rsidRDefault="000D15A6" w:rsidP="000D15A6">
            <w:pPr>
              <w:pStyle w:val="TableBullet"/>
              <w:rPr>
                <w:sz w:val="18"/>
                <w:szCs w:val="18"/>
              </w:rPr>
            </w:pPr>
            <w:r w:rsidRPr="000D15A6">
              <w:rPr>
                <w:sz w:val="18"/>
                <w:szCs w:val="18"/>
              </w:rPr>
              <w:t xml:space="preserve">The focus will be different in </w:t>
            </w:r>
            <w:r>
              <w:rPr>
                <w:sz w:val="18"/>
                <w:szCs w:val="18"/>
              </w:rPr>
              <w:t>each</w:t>
            </w:r>
            <w:r w:rsidRPr="000D15A6">
              <w:rPr>
                <w:sz w:val="18"/>
                <w:szCs w:val="18"/>
              </w:rPr>
              <w:t xml:space="preserve"> sector but should include attention to local communities and local community structures. </w:t>
            </w:r>
          </w:p>
          <w:p w14:paraId="203CC381" w14:textId="77777777" w:rsidR="000D15A6" w:rsidRPr="000D15A6" w:rsidRDefault="000D15A6" w:rsidP="000D15A6">
            <w:pPr>
              <w:pStyle w:val="TableBullet"/>
              <w:rPr>
                <w:sz w:val="18"/>
                <w:szCs w:val="18"/>
              </w:rPr>
            </w:pPr>
            <w:r w:rsidRPr="000D15A6">
              <w:rPr>
                <w:sz w:val="18"/>
                <w:szCs w:val="18"/>
              </w:rPr>
              <w:t xml:space="preserve">For some sectors, focus should also include facilities and/or the administrative posts. </w:t>
            </w:r>
          </w:p>
        </w:tc>
        <w:tc>
          <w:tcPr>
            <w:tcW w:w="2126" w:type="dxa"/>
          </w:tcPr>
          <w:p w14:paraId="5624F18C" w14:textId="77777777" w:rsidR="000D15A6" w:rsidRPr="00D15146" w:rsidRDefault="000D15A6" w:rsidP="0040076A">
            <w:pPr>
              <w:spacing w:before="60" w:after="60" w:line="259" w:lineRule="auto"/>
              <w:jc w:val="left"/>
              <w:rPr>
                <w:sz w:val="18"/>
                <w:szCs w:val="18"/>
                <w:lang w:val="en-US"/>
              </w:rPr>
            </w:pPr>
          </w:p>
        </w:tc>
        <w:tc>
          <w:tcPr>
            <w:tcW w:w="2410" w:type="dxa"/>
          </w:tcPr>
          <w:p w14:paraId="62535ED9" w14:textId="77777777" w:rsidR="000D15A6" w:rsidRPr="00D15146" w:rsidRDefault="000D15A6" w:rsidP="0040076A">
            <w:pPr>
              <w:spacing w:before="60" w:after="60" w:line="259" w:lineRule="auto"/>
              <w:jc w:val="left"/>
              <w:rPr>
                <w:sz w:val="18"/>
                <w:szCs w:val="18"/>
                <w:lang w:val="en-US"/>
              </w:rPr>
            </w:pPr>
          </w:p>
        </w:tc>
      </w:tr>
      <w:tr w:rsidR="000D15A6" w:rsidRPr="00D15146" w14:paraId="3EECE8E4" w14:textId="77777777" w:rsidTr="00D15146">
        <w:tc>
          <w:tcPr>
            <w:tcW w:w="2258" w:type="dxa"/>
            <w:vMerge/>
          </w:tcPr>
          <w:p w14:paraId="1D86B193" w14:textId="77777777" w:rsidR="000D15A6" w:rsidRPr="00D15146" w:rsidRDefault="000D15A6" w:rsidP="00D15146">
            <w:pPr>
              <w:spacing w:before="60" w:after="60" w:line="259" w:lineRule="auto"/>
              <w:rPr>
                <w:sz w:val="18"/>
                <w:szCs w:val="18"/>
                <w:lang w:val="en-US"/>
              </w:rPr>
            </w:pPr>
          </w:p>
        </w:tc>
        <w:tc>
          <w:tcPr>
            <w:tcW w:w="7088" w:type="dxa"/>
          </w:tcPr>
          <w:p w14:paraId="53571464" w14:textId="77777777" w:rsidR="000D15A6" w:rsidRPr="000D15A6" w:rsidRDefault="000D15A6" w:rsidP="00D15146">
            <w:pPr>
              <w:spacing w:before="60" w:after="60" w:line="259" w:lineRule="auto"/>
              <w:rPr>
                <w:sz w:val="18"/>
                <w:szCs w:val="18"/>
                <w:u w:val="single"/>
                <w:lang w:val="en-US"/>
              </w:rPr>
            </w:pPr>
            <w:r w:rsidRPr="000D15A6">
              <w:rPr>
                <w:sz w:val="18"/>
                <w:szCs w:val="18"/>
                <w:u w:val="single"/>
                <w:lang w:val="en-US"/>
              </w:rPr>
              <w:t>Approach:</w:t>
            </w:r>
          </w:p>
          <w:p w14:paraId="4EB61ED0" w14:textId="0FE62B86" w:rsidR="000D15A6" w:rsidRPr="000D15A6" w:rsidRDefault="000D15A6" w:rsidP="000D15A6">
            <w:pPr>
              <w:pStyle w:val="TableBullet"/>
              <w:numPr>
                <w:ilvl w:val="0"/>
                <w:numId w:val="0"/>
              </w:numPr>
              <w:ind w:left="397" w:hanging="397"/>
              <w:rPr>
                <w:sz w:val="18"/>
                <w:szCs w:val="18"/>
              </w:rPr>
            </w:pPr>
            <w:r w:rsidRPr="000D15A6">
              <w:rPr>
                <w:sz w:val="18"/>
                <w:szCs w:val="18"/>
              </w:rPr>
              <w:t xml:space="preserve">PHD’s approach </w:t>
            </w:r>
            <w:r w:rsidR="00916A1E">
              <w:rPr>
                <w:sz w:val="18"/>
                <w:szCs w:val="18"/>
              </w:rPr>
              <w:t>to this work will be characteris</w:t>
            </w:r>
            <w:r w:rsidRPr="000D15A6">
              <w:rPr>
                <w:sz w:val="18"/>
                <w:szCs w:val="18"/>
              </w:rPr>
              <w:t xml:space="preserve">ed by the following: </w:t>
            </w:r>
          </w:p>
          <w:p w14:paraId="3BC8ED46" w14:textId="312C3F11" w:rsidR="000D15A6" w:rsidRPr="000D15A6" w:rsidRDefault="000D15A6" w:rsidP="000D15A6">
            <w:pPr>
              <w:pStyle w:val="TableBullet"/>
              <w:rPr>
                <w:sz w:val="18"/>
                <w:szCs w:val="18"/>
              </w:rPr>
            </w:pPr>
            <w:r w:rsidRPr="000D15A6">
              <w:rPr>
                <w:sz w:val="18"/>
                <w:szCs w:val="18"/>
              </w:rPr>
              <w:t>Understanding the structures and relationships at the suco level</w:t>
            </w:r>
            <w:r>
              <w:rPr>
                <w:sz w:val="18"/>
                <w:szCs w:val="18"/>
              </w:rPr>
              <w:t>.</w:t>
            </w:r>
          </w:p>
          <w:p w14:paraId="26437CDC" w14:textId="097C2FFE" w:rsidR="000D15A6" w:rsidRPr="000D15A6" w:rsidRDefault="000D15A6" w:rsidP="000D15A6">
            <w:pPr>
              <w:pStyle w:val="TableBullet"/>
              <w:rPr>
                <w:sz w:val="18"/>
                <w:szCs w:val="18"/>
              </w:rPr>
            </w:pPr>
            <w:r w:rsidRPr="000D15A6">
              <w:rPr>
                <w:sz w:val="18"/>
                <w:szCs w:val="18"/>
              </w:rPr>
              <w:t>Understanding what assets exist at the suco level</w:t>
            </w:r>
            <w:r>
              <w:rPr>
                <w:sz w:val="18"/>
                <w:szCs w:val="18"/>
              </w:rPr>
              <w:t>.</w:t>
            </w:r>
          </w:p>
          <w:p w14:paraId="0619C304" w14:textId="7C49DB51" w:rsidR="000D15A6" w:rsidRPr="000D15A6" w:rsidRDefault="000D15A6" w:rsidP="000D15A6">
            <w:pPr>
              <w:pStyle w:val="TableBullet"/>
              <w:rPr>
                <w:sz w:val="18"/>
                <w:szCs w:val="18"/>
              </w:rPr>
            </w:pPr>
            <w:r w:rsidRPr="000D15A6">
              <w:rPr>
                <w:sz w:val="18"/>
                <w:szCs w:val="18"/>
              </w:rPr>
              <w:t>Focusing on strengthening and utilising the capacity that exists</w:t>
            </w:r>
            <w:r>
              <w:rPr>
                <w:sz w:val="18"/>
                <w:szCs w:val="18"/>
              </w:rPr>
              <w:t>.</w:t>
            </w:r>
          </w:p>
          <w:p w14:paraId="255B21AF" w14:textId="386FAD89" w:rsidR="000D15A6" w:rsidRPr="000D15A6" w:rsidRDefault="000D15A6" w:rsidP="000D15A6">
            <w:pPr>
              <w:pStyle w:val="TableBullet"/>
              <w:rPr>
                <w:sz w:val="18"/>
                <w:szCs w:val="18"/>
              </w:rPr>
            </w:pPr>
            <w:r w:rsidRPr="000D15A6">
              <w:rPr>
                <w:sz w:val="18"/>
                <w:szCs w:val="18"/>
              </w:rPr>
              <w:t>Ensuring responsiveness to community voice and needs</w:t>
            </w:r>
            <w:r>
              <w:rPr>
                <w:sz w:val="18"/>
                <w:szCs w:val="18"/>
              </w:rPr>
              <w:t>.</w:t>
            </w:r>
          </w:p>
          <w:p w14:paraId="3427F703" w14:textId="3CD66997" w:rsidR="000D15A6" w:rsidRPr="000D15A6" w:rsidRDefault="000D15A6" w:rsidP="000D15A6">
            <w:pPr>
              <w:pStyle w:val="TableBullet"/>
              <w:rPr>
                <w:sz w:val="18"/>
                <w:szCs w:val="18"/>
              </w:rPr>
            </w:pPr>
            <w:r w:rsidRPr="000D15A6">
              <w:rPr>
                <w:sz w:val="18"/>
                <w:szCs w:val="18"/>
              </w:rPr>
              <w:t>Monitorin</w:t>
            </w:r>
            <w:r>
              <w:rPr>
                <w:sz w:val="18"/>
                <w:szCs w:val="18"/>
              </w:rPr>
              <w:t>g and learning from the process.</w:t>
            </w:r>
          </w:p>
          <w:p w14:paraId="7C3C1005" w14:textId="089D9CDA" w:rsidR="000D15A6" w:rsidRPr="000D15A6" w:rsidRDefault="000D15A6" w:rsidP="000D15A6">
            <w:pPr>
              <w:pStyle w:val="TableBullet"/>
              <w:rPr>
                <w:sz w:val="18"/>
                <w:szCs w:val="18"/>
              </w:rPr>
            </w:pPr>
            <w:r w:rsidRPr="000D15A6">
              <w:rPr>
                <w:sz w:val="18"/>
                <w:szCs w:val="18"/>
              </w:rPr>
              <w:t>Ensure learning is communicated to national level</w:t>
            </w:r>
            <w:r>
              <w:rPr>
                <w:sz w:val="18"/>
                <w:szCs w:val="18"/>
              </w:rPr>
              <w:t>.</w:t>
            </w:r>
          </w:p>
        </w:tc>
        <w:tc>
          <w:tcPr>
            <w:tcW w:w="2126" w:type="dxa"/>
          </w:tcPr>
          <w:p w14:paraId="273F792B" w14:textId="79676562" w:rsidR="000D15A6" w:rsidRPr="00D15146" w:rsidRDefault="000D15A6" w:rsidP="0040076A">
            <w:pPr>
              <w:spacing w:before="60" w:after="60" w:line="259" w:lineRule="auto"/>
              <w:jc w:val="left"/>
              <w:rPr>
                <w:sz w:val="18"/>
                <w:szCs w:val="18"/>
                <w:lang w:val="en-US"/>
              </w:rPr>
            </w:pPr>
            <w:r>
              <w:rPr>
                <w:sz w:val="18"/>
                <w:szCs w:val="18"/>
                <w:lang w:val="en-US"/>
              </w:rPr>
              <w:t>A</w:t>
            </w:r>
            <w:r w:rsidRPr="00D15146">
              <w:rPr>
                <w:sz w:val="18"/>
                <w:szCs w:val="18"/>
                <w:lang w:val="en-US"/>
              </w:rPr>
              <w:t>s relevant from February 2017</w:t>
            </w:r>
          </w:p>
        </w:tc>
        <w:tc>
          <w:tcPr>
            <w:tcW w:w="2410" w:type="dxa"/>
          </w:tcPr>
          <w:p w14:paraId="49182915" w14:textId="4F46E7ED" w:rsidR="000D15A6" w:rsidRPr="00D15146" w:rsidRDefault="000D15A6" w:rsidP="0040076A">
            <w:pPr>
              <w:spacing w:before="60" w:after="60" w:line="259" w:lineRule="auto"/>
              <w:jc w:val="left"/>
              <w:rPr>
                <w:sz w:val="18"/>
                <w:szCs w:val="18"/>
                <w:lang w:val="en-US"/>
              </w:rPr>
            </w:pPr>
            <w:r>
              <w:rPr>
                <w:sz w:val="18"/>
                <w:szCs w:val="18"/>
                <w:lang w:val="en-US"/>
              </w:rPr>
              <w:t>Sector Leads and technical personnel</w:t>
            </w:r>
            <w:r w:rsidRPr="00D15146">
              <w:rPr>
                <w:sz w:val="18"/>
                <w:szCs w:val="18"/>
                <w:lang w:val="en-US"/>
              </w:rPr>
              <w:t xml:space="preserve"> together with </w:t>
            </w:r>
            <w:r>
              <w:rPr>
                <w:sz w:val="18"/>
                <w:szCs w:val="18"/>
                <w:lang w:val="en-US"/>
              </w:rPr>
              <w:t xml:space="preserve">Deputy Team Leader – Technical </w:t>
            </w:r>
          </w:p>
        </w:tc>
      </w:tr>
      <w:tr w:rsidR="000D15A6" w:rsidRPr="00D15146" w14:paraId="36442331" w14:textId="77777777" w:rsidTr="00D15146">
        <w:tc>
          <w:tcPr>
            <w:tcW w:w="2258" w:type="dxa"/>
            <w:vMerge w:val="restart"/>
          </w:tcPr>
          <w:p w14:paraId="21AF39A3" w14:textId="3EA1FB6B" w:rsidR="000D15A6" w:rsidRPr="00703546" w:rsidRDefault="000D15A6" w:rsidP="00703546">
            <w:pPr>
              <w:spacing w:before="60" w:after="60" w:line="259" w:lineRule="auto"/>
              <w:jc w:val="left"/>
              <w:rPr>
                <w:b/>
                <w:sz w:val="18"/>
                <w:szCs w:val="18"/>
                <w:lang w:val="en-US"/>
              </w:rPr>
            </w:pPr>
            <w:r w:rsidRPr="00703546">
              <w:rPr>
                <w:b/>
                <w:sz w:val="18"/>
                <w:szCs w:val="18"/>
                <w:lang w:val="en-US"/>
              </w:rPr>
              <w:t>Address systems wide issues in service delivery in Timor-Leste</w:t>
            </w:r>
          </w:p>
        </w:tc>
        <w:tc>
          <w:tcPr>
            <w:tcW w:w="7088" w:type="dxa"/>
          </w:tcPr>
          <w:p w14:paraId="5A42EEA4" w14:textId="77777777" w:rsidR="000D15A6" w:rsidRPr="000D15A6" w:rsidRDefault="000D15A6" w:rsidP="00D15146">
            <w:pPr>
              <w:spacing w:before="60" w:after="60" w:line="259" w:lineRule="auto"/>
              <w:rPr>
                <w:sz w:val="18"/>
                <w:szCs w:val="18"/>
                <w:u w:val="single"/>
                <w:lang w:val="en-US"/>
              </w:rPr>
            </w:pPr>
            <w:r w:rsidRPr="000D15A6">
              <w:rPr>
                <w:sz w:val="18"/>
                <w:szCs w:val="18"/>
                <w:u w:val="single"/>
                <w:lang w:val="en-US"/>
              </w:rPr>
              <w:t>Purpose:</w:t>
            </w:r>
          </w:p>
          <w:p w14:paraId="54C9EDE8" w14:textId="69D289ED" w:rsidR="000D15A6" w:rsidRPr="000D15A6" w:rsidRDefault="000D15A6" w:rsidP="000D15A6">
            <w:pPr>
              <w:pStyle w:val="TableBullet"/>
              <w:rPr>
                <w:sz w:val="18"/>
                <w:szCs w:val="18"/>
              </w:rPr>
            </w:pPr>
            <w:r w:rsidRPr="000D15A6">
              <w:rPr>
                <w:sz w:val="18"/>
                <w:szCs w:val="18"/>
              </w:rPr>
              <w:t>Minimise gaps in service delivery which are clearly due to system wide problems</w:t>
            </w:r>
            <w:r>
              <w:rPr>
                <w:sz w:val="18"/>
                <w:szCs w:val="18"/>
              </w:rPr>
              <w:t>.</w:t>
            </w:r>
          </w:p>
          <w:p w14:paraId="61B8BF70" w14:textId="44026C19" w:rsidR="000D15A6" w:rsidRPr="000D15A6" w:rsidRDefault="000D15A6" w:rsidP="000D15A6">
            <w:pPr>
              <w:pStyle w:val="TableBullet"/>
              <w:rPr>
                <w:sz w:val="18"/>
                <w:szCs w:val="18"/>
              </w:rPr>
            </w:pPr>
            <w:r>
              <w:rPr>
                <w:sz w:val="18"/>
                <w:szCs w:val="18"/>
              </w:rPr>
              <w:t>Develop</w:t>
            </w:r>
            <w:r w:rsidRPr="000D15A6">
              <w:rPr>
                <w:sz w:val="18"/>
                <w:szCs w:val="18"/>
              </w:rPr>
              <w:t xml:space="preserve"> capacity </w:t>
            </w:r>
            <w:r>
              <w:rPr>
                <w:sz w:val="18"/>
                <w:szCs w:val="18"/>
              </w:rPr>
              <w:t>with</w:t>
            </w:r>
            <w:r w:rsidRPr="000D15A6">
              <w:rPr>
                <w:sz w:val="18"/>
                <w:szCs w:val="18"/>
              </w:rPr>
              <w:t>in government and other stakeholders to identify and address systems wide issues</w:t>
            </w:r>
            <w:r>
              <w:rPr>
                <w:sz w:val="18"/>
                <w:szCs w:val="18"/>
              </w:rPr>
              <w:t>.</w:t>
            </w:r>
          </w:p>
          <w:p w14:paraId="07950395" w14:textId="77777777" w:rsidR="000D15A6" w:rsidRPr="000D15A6" w:rsidRDefault="000D15A6" w:rsidP="00D15146">
            <w:pPr>
              <w:spacing w:before="60" w:after="60" w:line="259" w:lineRule="auto"/>
              <w:rPr>
                <w:sz w:val="18"/>
                <w:szCs w:val="18"/>
                <w:u w:val="single"/>
                <w:lang w:val="en-US"/>
              </w:rPr>
            </w:pPr>
            <w:r w:rsidRPr="000D15A6">
              <w:rPr>
                <w:sz w:val="18"/>
                <w:szCs w:val="18"/>
                <w:u w:val="single"/>
                <w:lang w:val="en-US"/>
              </w:rPr>
              <w:t>Focus:</w:t>
            </w:r>
          </w:p>
          <w:p w14:paraId="7AB72113" w14:textId="14798C56" w:rsidR="000D15A6" w:rsidRPr="000D15A6" w:rsidRDefault="000D15A6" w:rsidP="000D15A6">
            <w:pPr>
              <w:pStyle w:val="TableBullet"/>
              <w:rPr>
                <w:sz w:val="18"/>
                <w:szCs w:val="18"/>
              </w:rPr>
            </w:pPr>
            <w:r w:rsidRPr="000D15A6">
              <w:rPr>
                <w:sz w:val="18"/>
                <w:szCs w:val="18"/>
              </w:rPr>
              <w:t xml:space="preserve">Particular attention needs to be given to systems of procurement, distribution and </w:t>
            </w:r>
            <w:r>
              <w:rPr>
                <w:sz w:val="18"/>
                <w:szCs w:val="18"/>
              </w:rPr>
              <w:t>PFM</w:t>
            </w:r>
            <w:r w:rsidRPr="000D15A6">
              <w:rPr>
                <w:sz w:val="18"/>
                <w:szCs w:val="18"/>
              </w:rPr>
              <w:t>.</w:t>
            </w:r>
          </w:p>
        </w:tc>
        <w:tc>
          <w:tcPr>
            <w:tcW w:w="2126" w:type="dxa"/>
          </w:tcPr>
          <w:p w14:paraId="5E7CCDB6" w14:textId="77777777" w:rsidR="000D15A6" w:rsidRPr="00D15146" w:rsidRDefault="000D15A6" w:rsidP="0040076A">
            <w:pPr>
              <w:spacing w:before="60" w:after="60" w:line="259" w:lineRule="auto"/>
              <w:jc w:val="left"/>
              <w:rPr>
                <w:sz w:val="18"/>
                <w:szCs w:val="18"/>
                <w:lang w:val="en-US"/>
              </w:rPr>
            </w:pPr>
          </w:p>
        </w:tc>
        <w:tc>
          <w:tcPr>
            <w:tcW w:w="2410" w:type="dxa"/>
          </w:tcPr>
          <w:p w14:paraId="74ECAA09" w14:textId="77777777" w:rsidR="000D15A6" w:rsidRPr="00D15146" w:rsidRDefault="000D15A6" w:rsidP="0040076A">
            <w:pPr>
              <w:spacing w:before="60" w:after="60" w:line="259" w:lineRule="auto"/>
              <w:jc w:val="left"/>
              <w:rPr>
                <w:sz w:val="18"/>
                <w:szCs w:val="18"/>
                <w:lang w:val="en-US"/>
              </w:rPr>
            </w:pPr>
          </w:p>
        </w:tc>
      </w:tr>
      <w:tr w:rsidR="000D15A6" w:rsidRPr="00D15146" w14:paraId="2986D7AA" w14:textId="77777777" w:rsidTr="00D15146">
        <w:tc>
          <w:tcPr>
            <w:tcW w:w="2258" w:type="dxa"/>
            <w:vMerge/>
          </w:tcPr>
          <w:p w14:paraId="6F06D575" w14:textId="77777777" w:rsidR="000D15A6" w:rsidRPr="00D15146" w:rsidRDefault="000D15A6" w:rsidP="00D15146">
            <w:pPr>
              <w:spacing w:before="60" w:after="60" w:line="259" w:lineRule="auto"/>
              <w:rPr>
                <w:sz w:val="18"/>
                <w:szCs w:val="18"/>
                <w:lang w:val="en-US"/>
              </w:rPr>
            </w:pPr>
          </w:p>
        </w:tc>
        <w:tc>
          <w:tcPr>
            <w:tcW w:w="7088" w:type="dxa"/>
          </w:tcPr>
          <w:p w14:paraId="7437CE5B" w14:textId="77777777" w:rsidR="000D15A6" w:rsidRPr="000D15A6" w:rsidRDefault="000D15A6" w:rsidP="00D15146">
            <w:pPr>
              <w:spacing w:before="60" w:after="60" w:line="259" w:lineRule="auto"/>
              <w:rPr>
                <w:sz w:val="18"/>
                <w:szCs w:val="18"/>
                <w:u w:val="single"/>
                <w:lang w:val="en-US"/>
              </w:rPr>
            </w:pPr>
            <w:r w:rsidRPr="000D15A6">
              <w:rPr>
                <w:sz w:val="18"/>
                <w:szCs w:val="18"/>
                <w:u w:val="single"/>
                <w:lang w:val="en-US"/>
              </w:rPr>
              <w:t>Approach:</w:t>
            </w:r>
          </w:p>
          <w:p w14:paraId="1BF465C8" w14:textId="039B30C3" w:rsidR="000D15A6" w:rsidRPr="000D15A6" w:rsidRDefault="000D15A6" w:rsidP="000D15A6">
            <w:pPr>
              <w:pStyle w:val="TableBullet"/>
              <w:rPr>
                <w:sz w:val="18"/>
                <w:szCs w:val="18"/>
              </w:rPr>
            </w:pPr>
            <w:r w:rsidRPr="000D15A6">
              <w:rPr>
                <w:sz w:val="18"/>
                <w:szCs w:val="18"/>
              </w:rPr>
              <w:t>To be developed in coop</w:t>
            </w:r>
            <w:r>
              <w:rPr>
                <w:sz w:val="18"/>
                <w:szCs w:val="18"/>
              </w:rPr>
              <w:t>eration with GfD and other Australian-funded</w:t>
            </w:r>
            <w:r w:rsidRPr="000D15A6">
              <w:rPr>
                <w:sz w:val="18"/>
                <w:szCs w:val="18"/>
              </w:rPr>
              <w:t xml:space="preserve"> programs</w:t>
            </w:r>
            <w:r>
              <w:rPr>
                <w:sz w:val="18"/>
                <w:szCs w:val="18"/>
              </w:rPr>
              <w:t>,</w:t>
            </w:r>
            <w:r w:rsidRPr="000D15A6">
              <w:rPr>
                <w:sz w:val="18"/>
                <w:szCs w:val="18"/>
              </w:rPr>
              <w:t xml:space="preserve"> as well as Government of Timor-Leste and other relevant partners.</w:t>
            </w:r>
          </w:p>
        </w:tc>
        <w:tc>
          <w:tcPr>
            <w:tcW w:w="2126" w:type="dxa"/>
          </w:tcPr>
          <w:p w14:paraId="09F172B7" w14:textId="0FDD1413" w:rsidR="000D15A6" w:rsidRPr="00D15146" w:rsidRDefault="000D15A6" w:rsidP="0040076A">
            <w:pPr>
              <w:spacing w:before="60" w:after="60" w:line="259" w:lineRule="auto"/>
              <w:jc w:val="left"/>
              <w:rPr>
                <w:sz w:val="18"/>
                <w:szCs w:val="18"/>
                <w:lang w:val="en-US"/>
              </w:rPr>
            </w:pPr>
            <w:r>
              <w:rPr>
                <w:sz w:val="18"/>
                <w:szCs w:val="18"/>
                <w:lang w:val="en-US"/>
              </w:rPr>
              <w:t>A</w:t>
            </w:r>
            <w:r w:rsidRPr="00D15146">
              <w:rPr>
                <w:sz w:val="18"/>
                <w:szCs w:val="18"/>
                <w:lang w:val="en-US"/>
              </w:rPr>
              <w:t>s relevant from February 2017</w:t>
            </w:r>
          </w:p>
        </w:tc>
        <w:tc>
          <w:tcPr>
            <w:tcW w:w="2410" w:type="dxa"/>
          </w:tcPr>
          <w:p w14:paraId="0ECA8DC8" w14:textId="1A6509C0" w:rsidR="000D15A6" w:rsidRPr="00D15146" w:rsidRDefault="000D15A6" w:rsidP="0040076A">
            <w:pPr>
              <w:spacing w:before="60" w:after="60" w:line="259" w:lineRule="auto"/>
              <w:jc w:val="left"/>
              <w:rPr>
                <w:sz w:val="18"/>
                <w:szCs w:val="18"/>
                <w:lang w:val="en-US"/>
              </w:rPr>
            </w:pPr>
            <w:r w:rsidRPr="00D15146">
              <w:rPr>
                <w:sz w:val="18"/>
                <w:szCs w:val="18"/>
                <w:lang w:val="en-US"/>
              </w:rPr>
              <w:t>PFM specialist toge</w:t>
            </w:r>
            <w:r>
              <w:rPr>
                <w:sz w:val="18"/>
                <w:szCs w:val="18"/>
                <w:lang w:val="en-US"/>
              </w:rPr>
              <w:t>ther with other technical personnel</w:t>
            </w:r>
          </w:p>
          <w:p w14:paraId="0BADE715" w14:textId="77777777" w:rsidR="000D15A6" w:rsidRPr="00D15146" w:rsidRDefault="000D15A6" w:rsidP="0040076A">
            <w:pPr>
              <w:spacing w:before="60" w:after="60" w:line="259" w:lineRule="auto"/>
              <w:jc w:val="left"/>
              <w:rPr>
                <w:sz w:val="18"/>
                <w:szCs w:val="18"/>
                <w:lang w:val="en-US"/>
              </w:rPr>
            </w:pPr>
          </w:p>
        </w:tc>
      </w:tr>
    </w:tbl>
    <w:p w14:paraId="1C756B1E" w14:textId="77777777" w:rsidR="00D15146" w:rsidRPr="00D15146" w:rsidRDefault="00D15146" w:rsidP="00D15146"/>
    <w:p w14:paraId="347DF94F" w14:textId="77777777" w:rsidR="00D15146" w:rsidRPr="00D15146" w:rsidRDefault="00D15146" w:rsidP="00D15146">
      <w:pPr>
        <w:sectPr w:rsidR="00D15146" w:rsidRPr="00D15146" w:rsidSect="00BC556E">
          <w:pgSz w:w="16840" w:h="11907" w:orient="landscape" w:code="9"/>
          <w:pgMar w:top="1418" w:right="1418" w:bottom="1134" w:left="1134" w:header="851" w:footer="851" w:gutter="0"/>
          <w:cols w:space="708"/>
          <w:docGrid w:linePitch="360"/>
        </w:sectPr>
      </w:pPr>
    </w:p>
    <w:p w14:paraId="62440AAE" w14:textId="2AED8E01" w:rsidR="00FC7160" w:rsidRPr="00FC7160" w:rsidRDefault="00FC7160" w:rsidP="00FC7160">
      <w:pPr>
        <w:pStyle w:val="Caption"/>
        <w:rPr>
          <w:b/>
          <w:color w:val="FF931E"/>
          <w:sz w:val="36"/>
          <w:szCs w:val="36"/>
        </w:rPr>
      </w:pPr>
      <w:bookmarkStart w:id="23" w:name="_Ref487101956"/>
      <w:bookmarkStart w:id="24" w:name="_Toc487186263"/>
      <w:r w:rsidRPr="00FC7160">
        <w:rPr>
          <w:b/>
          <w:color w:val="FF931E"/>
          <w:sz w:val="36"/>
          <w:szCs w:val="36"/>
        </w:rPr>
        <w:lastRenderedPageBreak/>
        <w:t xml:space="preserve">Annex </w:t>
      </w:r>
      <w:r w:rsidRPr="00FC7160">
        <w:rPr>
          <w:b/>
          <w:color w:val="FF931E"/>
          <w:sz w:val="36"/>
          <w:szCs w:val="36"/>
        </w:rPr>
        <w:fldChar w:fldCharType="begin"/>
      </w:r>
      <w:r w:rsidRPr="00FC7160">
        <w:rPr>
          <w:b/>
          <w:color w:val="FF931E"/>
          <w:sz w:val="36"/>
          <w:szCs w:val="36"/>
        </w:rPr>
        <w:instrText xml:space="preserve"> SEQ Annex \* ARABIC </w:instrText>
      </w:r>
      <w:r w:rsidRPr="00FC7160">
        <w:rPr>
          <w:b/>
          <w:color w:val="FF931E"/>
          <w:sz w:val="36"/>
          <w:szCs w:val="36"/>
        </w:rPr>
        <w:fldChar w:fldCharType="separate"/>
      </w:r>
      <w:r w:rsidR="00B84559">
        <w:rPr>
          <w:b/>
          <w:noProof/>
          <w:color w:val="FF931E"/>
          <w:sz w:val="36"/>
          <w:szCs w:val="36"/>
        </w:rPr>
        <w:t>4</w:t>
      </w:r>
      <w:r w:rsidRPr="00FC7160">
        <w:rPr>
          <w:b/>
          <w:color w:val="FF931E"/>
          <w:sz w:val="36"/>
          <w:szCs w:val="36"/>
        </w:rPr>
        <w:fldChar w:fldCharType="end"/>
      </w:r>
      <w:bookmarkEnd w:id="23"/>
      <w:r w:rsidRPr="00FC7160">
        <w:rPr>
          <w:b/>
          <w:color w:val="FF931E"/>
          <w:sz w:val="36"/>
          <w:szCs w:val="36"/>
        </w:rPr>
        <w:t>: Criteria for Considering Municipal Scale-up Under PHD</w:t>
      </w:r>
      <w:bookmarkEnd w:id="24"/>
    </w:p>
    <w:p w14:paraId="23B299E9" w14:textId="77777777" w:rsidR="005E3831" w:rsidRDefault="00D15146" w:rsidP="00E168BE">
      <w:pPr>
        <w:ind w:left="1440" w:hanging="1440"/>
        <w:rPr>
          <w:b/>
          <w:szCs w:val="20"/>
        </w:rPr>
      </w:pPr>
      <w:r w:rsidRPr="00E168BE">
        <w:rPr>
          <w:b/>
          <w:szCs w:val="20"/>
        </w:rPr>
        <w:t>Purpose</w:t>
      </w:r>
      <w:r w:rsidRPr="00E168BE">
        <w:rPr>
          <w:b/>
          <w:szCs w:val="20"/>
        </w:rPr>
        <w:tab/>
      </w:r>
    </w:p>
    <w:p w14:paraId="7EF51D99" w14:textId="15C75391" w:rsidR="00D15146" w:rsidRDefault="006573D7" w:rsidP="005E3831">
      <w:pPr>
        <w:rPr>
          <w:szCs w:val="20"/>
        </w:rPr>
      </w:pPr>
      <w:r w:rsidRPr="006573D7">
        <w:rPr>
          <w:szCs w:val="20"/>
        </w:rPr>
        <w:t>P</w:t>
      </w:r>
      <w:r w:rsidR="00D15146" w:rsidRPr="00E168BE">
        <w:rPr>
          <w:szCs w:val="20"/>
        </w:rPr>
        <w:t>otential criteria for PHD teams, the Australian Embassy</w:t>
      </w:r>
      <w:r>
        <w:rPr>
          <w:szCs w:val="20"/>
        </w:rPr>
        <w:t>,</w:t>
      </w:r>
      <w:r w:rsidR="00D15146" w:rsidRPr="00E168BE">
        <w:rPr>
          <w:szCs w:val="20"/>
        </w:rPr>
        <w:t xml:space="preserve"> </w:t>
      </w:r>
      <w:r>
        <w:rPr>
          <w:szCs w:val="20"/>
        </w:rPr>
        <w:t xml:space="preserve">the </w:t>
      </w:r>
      <w:r w:rsidR="00D15146" w:rsidRPr="00E168BE">
        <w:rPr>
          <w:szCs w:val="20"/>
        </w:rPr>
        <w:t>Go</w:t>
      </w:r>
      <w:r>
        <w:rPr>
          <w:szCs w:val="20"/>
        </w:rPr>
        <w:t xml:space="preserve">vernment of </w:t>
      </w:r>
      <w:r w:rsidR="00D15146" w:rsidRPr="00E168BE">
        <w:rPr>
          <w:szCs w:val="20"/>
        </w:rPr>
        <w:t>T</w:t>
      </w:r>
      <w:r>
        <w:rPr>
          <w:szCs w:val="20"/>
        </w:rPr>
        <w:t>imor-</w:t>
      </w:r>
      <w:r w:rsidR="00D15146" w:rsidRPr="00E168BE">
        <w:rPr>
          <w:szCs w:val="20"/>
        </w:rPr>
        <w:t>L</w:t>
      </w:r>
      <w:r>
        <w:rPr>
          <w:szCs w:val="20"/>
        </w:rPr>
        <w:t>este,</w:t>
      </w:r>
      <w:r w:rsidR="00D15146" w:rsidRPr="00E168BE">
        <w:rPr>
          <w:szCs w:val="20"/>
        </w:rPr>
        <w:t xml:space="preserve"> and </w:t>
      </w:r>
      <w:r w:rsidR="00F76E96">
        <w:rPr>
          <w:szCs w:val="20"/>
        </w:rPr>
        <w:t>Timor-Leste</w:t>
      </w:r>
      <w:r w:rsidR="00D15146" w:rsidRPr="00E168BE">
        <w:rPr>
          <w:szCs w:val="20"/>
        </w:rPr>
        <w:t xml:space="preserve"> partners to consider when determining whether to scale up or enter </w:t>
      </w:r>
      <w:r>
        <w:rPr>
          <w:szCs w:val="20"/>
        </w:rPr>
        <w:t xml:space="preserve">a </w:t>
      </w:r>
      <w:r w:rsidR="00D15146" w:rsidRPr="00E168BE">
        <w:rPr>
          <w:szCs w:val="20"/>
        </w:rPr>
        <w:t>new munic</w:t>
      </w:r>
      <w:r>
        <w:rPr>
          <w:szCs w:val="20"/>
        </w:rPr>
        <w:t>ipality</w:t>
      </w:r>
      <w:r w:rsidR="00D15146" w:rsidRPr="00E168BE">
        <w:rPr>
          <w:szCs w:val="20"/>
        </w:rPr>
        <w:t>.</w:t>
      </w:r>
      <w:r w:rsidR="00D15146" w:rsidRPr="00E168BE">
        <w:rPr>
          <w:b/>
          <w:szCs w:val="20"/>
        </w:rPr>
        <w:t xml:space="preserve"> </w:t>
      </w:r>
      <w:r w:rsidR="00D15146" w:rsidRPr="00E168BE">
        <w:rPr>
          <w:szCs w:val="20"/>
        </w:rPr>
        <w:t xml:space="preserve"> </w:t>
      </w:r>
    </w:p>
    <w:p w14:paraId="247401A9" w14:textId="77777777" w:rsidR="005E3831" w:rsidRPr="00E168BE" w:rsidRDefault="005E3831" w:rsidP="00E168BE">
      <w:pPr>
        <w:ind w:left="1440" w:hanging="1440"/>
        <w:rPr>
          <w:b/>
          <w:szCs w:val="20"/>
        </w:rPr>
      </w:pPr>
    </w:p>
    <w:p w14:paraId="1C7D7D88" w14:textId="222C973C" w:rsidR="00D15146" w:rsidRPr="00E168BE" w:rsidRDefault="005E3831" w:rsidP="00E168BE">
      <w:pPr>
        <w:rPr>
          <w:b/>
          <w:szCs w:val="20"/>
        </w:rPr>
      </w:pPr>
      <w:r>
        <w:rPr>
          <w:b/>
          <w:szCs w:val="20"/>
        </w:rPr>
        <w:t>Prposed</w:t>
      </w:r>
      <w:r w:rsidR="00D15146" w:rsidRPr="00E168BE">
        <w:rPr>
          <w:b/>
          <w:szCs w:val="20"/>
        </w:rPr>
        <w:t xml:space="preserve"> Criteria to Apply</w:t>
      </w:r>
    </w:p>
    <w:p w14:paraId="15458321" w14:textId="4433ADDF" w:rsidR="00D15146" w:rsidRPr="00E168BE" w:rsidRDefault="00D15146" w:rsidP="00E168BE">
      <w:pPr>
        <w:pStyle w:val="TableBullet"/>
        <w:jc w:val="both"/>
        <w:rPr>
          <w:szCs w:val="20"/>
        </w:rPr>
      </w:pPr>
      <w:r w:rsidRPr="00E168BE">
        <w:rPr>
          <w:b/>
          <w:szCs w:val="20"/>
        </w:rPr>
        <w:t>Commitment to change</w:t>
      </w:r>
      <w:r w:rsidRPr="00E168BE">
        <w:rPr>
          <w:szCs w:val="20"/>
        </w:rPr>
        <w:t xml:space="preserve"> (leadership and po</w:t>
      </w:r>
      <w:r w:rsidR="005E3831">
        <w:rPr>
          <w:szCs w:val="20"/>
        </w:rPr>
        <w:t>tential for collective action),</w:t>
      </w:r>
      <w:r w:rsidRPr="00E168BE">
        <w:rPr>
          <w:szCs w:val="20"/>
        </w:rPr>
        <w:t xml:space="preserve"> defined as:</w:t>
      </w:r>
    </w:p>
    <w:p w14:paraId="26C44FB9" w14:textId="1489D07D" w:rsidR="00D15146" w:rsidRPr="00E168BE" w:rsidRDefault="00D15146" w:rsidP="00E168BE">
      <w:pPr>
        <w:pStyle w:val="TableBullet"/>
        <w:numPr>
          <w:ilvl w:val="1"/>
          <w:numId w:val="4"/>
        </w:numPr>
        <w:jc w:val="both"/>
        <w:rPr>
          <w:szCs w:val="20"/>
        </w:rPr>
      </w:pPr>
      <w:r w:rsidRPr="00E168BE">
        <w:rPr>
          <w:i/>
          <w:szCs w:val="20"/>
        </w:rPr>
        <w:t>Individual ‘champions’</w:t>
      </w:r>
      <w:r w:rsidRPr="00E168BE">
        <w:rPr>
          <w:szCs w:val="20"/>
        </w:rPr>
        <w:t>: municipal administrators and national Ministers are key stakeholders and their commitment is critical i</w:t>
      </w:r>
      <w:r w:rsidR="00EC1A49">
        <w:rPr>
          <w:szCs w:val="20"/>
        </w:rPr>
        <w:t>n influencing the impact of aid.</w:t>
      </w:r>
    </w:p>
    <w:p w14:paraId="543331AA" w14:textId="2DAF67C7" w:rsidR="00D15146" w:rsidRPr="00E168BE" w:rsidRDefault="00D15146" w:rsidP="00E168BE">
      <w:pPr>
        <w:pStyle w:val="TableBullet"/>
        <w:numPr>
          <w:ilvl w:val="1"/>
          <w:numId w:val="4"/>
        </w:numPr>
        <w:jc w:val="both"/>
        <w:rPr>
          <w:szCs w:val="20"/>
        </w:rPr>
      </w:pPr>
      <w:r w:rsidRPr="00E168BE">
        <w:rPr>
          <w:i/>
          <w:szCs w:val="20"/>
        </w:rPr>
        <w:t xml:space="preserve">Political and administrative alignment: </w:t>
      </w:r>
      <w:r w:rsidRPr="00E168BE">
        <w:rPr>
          <w:szCs w:val="20"/>
        </w:rPr>
        <w:t>The work of individual leaders is more likely to succeed where there is administrative commitment and alignment (suco and</w:t>
      </w:r>
      <w:r w:rsidR="005E3831">
        <w:rPr>
          <w:szCs w:val="20"/>
        </w:rPr>
        <w:t xml:space="preserve"> mun</w:t>
      </w:r>
      <w:r w:rsidR="00EC1A49">
        <w:rPr>
          <w:szCs w:val="20"/>
        </w:rPr>
        <w:t>icipal) to the intervention.</w:t>
      </w:r>
    </w:p>
    <w:p w14:paraId="4B052F35" w14:textId="30ECC951" w:rsidR="00D15146" w:rsidRPr="00E168BE" w:rsidRDefault="00D15146" w:rsidP="00E168BE">
      <w:pPr>
        <w:pStyle w:val="TableBullet"/>
        <w:numPr>
          <w:ilvl w:val="1"/>
          <w:numId w:val="4"/>
        </w:numPr>
        <w:jc w:val="both"/>
        <w:rPr>
          <w:szCs w:val="20"/>
        </w:rPr>
      </w:pPr>
      <w:r w:rsidRPr="00E168BE">
        <w:rPr>
          <w:i/>
          <w:szCs w:val="20"/>
        </w:rPr>
        <w:t>Potential for collective action:</w:t>
      </w:r>
      <w:r w:rsidRPr="00E168BE">
        <w:rPr>
          <w:szCs w:val="20"/>
        </w:rPr>
        <w:t xml:space="preserve"> Reform minded individuals need to be buttressed by the wider popular movemen</w:t>
      </w:r>
      <w:r w:rsidR="006D3BA1">
        <w:rPr>
          <w:szCs w:val="20"/>
        </w:rPr>
        <w:t xml:space="preserve">ts – such as community groups and </w:t>
      </w:r>
      <w:r w:rsidR="00CB5EA2">
        <w:rPr>
          <w:szCs w:val="20"/>
        </w:rPr>
        <w:t>civil society organisations (CSOs)</w:t>
      </w:r>
      <w:r w:rsidR="006D3BA1">
        <w:rPr>
          <w:szCs w:val="20"/>
        </w:rPr>
        <w:t>.</w:t>
      </w:r>
    </w:p>
    <w:p w14:paraId="20F0E60A" w14:textId="0E6694EC" w:rsidR="00D15146" w:rsidRPr="00E168BE" w:rsidRDefault="006573D7" w:rsidP="00E168BE">
      <w:pPr>
        <w:pStyle w:val="TableBullet"/>
        <w:jc w:val="both"/>
        <w:rPr>
          <w:szCs w:val="20"/>
        </w:rPr>
      </w:pPr>
      <w:r>
        <w:rPr>
          <w:b/>
          <w:szCs w:val="20"/>
        </w:rPr>
        <w:t>L</w:t>
      </w:r>
      <w:r w:rsidR="00D15146" w:rsidRPr="00E168BE">
        <w:rPr>
          <w:b/>
          <w:szCs w:val="20"/>
        </w:rPr>
        <w:t>ow</w:t>
      </w:r>
      <w:r>
        <w:rPr>
          <w:b/>
          <w:szCs w:val="20"/>
        </w:rPr>
        <w:t xml:space="preserve"> development and/or</w:t>
      </w:r>
      <w:r w:rsidR="00D15146" w:rsidRPr="00E168BE">
        <w:rPr>
          <w:b/>
          <w:szCs w:val="20"/>
        </w:rPr>
        <w:t xml:space="preserve"> economic status</w:t>
      </w:r>
      <w:r>
        <w:rPr>
          <w:b/>
          <w:szCs w:val="20"/>
        </w:rPr>
        <w:t xml:space="preserve"> (including poverty and/or poor services)</w:t>
      </w:r>
      <w:r w:rsidR="00D15146" w:rsidRPr="00E168BE">
        <w:rPr>
          <w:b/>
          <w:szCs w:val="20"/>
        </w:rPr>
        <w:t>.</w:t>
      </w:r>
      <w:r w:rsidR="00D15146" w:rsidRPr="00E168BE">
        <w:rPr>
          <w:szCs w:val="20"/>
        </w:rPr>
        <w:t xml:space="preserve"> Focus on municipalities where </w:t>
      </w:r>
      <w:r>
        <w:rPr>
          <w:szCs w:val="20"/>
        </w:rPr>
        <w:t>the greatest development need exists</w:t>
      </w:r>
      <w:r w:rsidR="00D15146" w:rsidRPr="00E168BE">
        <w:rPr>
          <w:szCs w:val="20"/>
        </w:rPr>
        <w:t xml:space="preserve"> – defined by poverty indicators</w:t>
      </w:r>
      <w:r>
        <w:rPr>
          <w:szCs w:val="20"/>
        </w:rPr>
        <w:t xml:space="preserve"> (such as the Individual Deprivation Measure)</w:t>
      </w:r>
      <w:r w:rsidR="00D15146" w:rsidRPr="00E168BE">
        <w:rPr>
          <w:szCs w:val="20"/>
        </w:rPr>
        <w:t>, gender indicators, service quality indicators and growth rates.</w:t>
      </w:r>
    </w:p>
    <w:p w14:paraId="54B5C2AE" w14:textId="35465362" w:rsidR="00D15146" w:rsidRPr="00E168BE" w:rsidRDefault="00D15146" w:rsidP="00E168BE">
      <w:pPr>
        <w:pStyle w:val="TableBullet"/>
        <w:jc w:val="both"/>
        <w:rPr>
          <w:szCs w:val="20"/>
        </w:rPr>
      </w:pPr>
      <w:r w:rsidRPr="00E168BE">
        <w:rPr>
          <w:b/>
          <w:szCs w:val="20"/>
        </w:rPr>
        <w:t xml:space="preserve">Government of </w:t>
      </w:r>
      <w:r w:rsidR="00F76E96">
        <w:rPr>
          <w:b/>
          <w:szCs w:val="20"/>
        </w:rPr>
        <w:t>Timor-Leste</w:t>
      </w:r>
      <w:r w:rsidR="006573D7">
        <w:rPr>
          <w:b/>
          <w:szCs w:val="20"/>
        </w:rPr>
        <w:t>/key Government</w:t>
      </w:r>
      <w:r w:rsidRPr="00E168BE">
        <w:rPr>
          <w:b/>
          <w:szCs w:val="20"/>
        </w:rPr>
        <w:t xml:space="preserve"> central agency preferences for certain municipalities</w:t>
      </w:r>
      <w:r w:rsidRPr="006573D7">
        <w:rPr>
          <w:b/>
          <w:szCs w:val="20"/>
        </w:rPr>
        <w:t xml:space="preserve">. </w:t>
      </w:r>
      <w:r w:rsidR="006573D7">
        <w:rPr>
          <w:szCs w:val="20"/>
        </w:rPr>
        <w:t>The Government of Timor-Leste</w:t>
      </w:r>
      <w:r w:rsidRPr="00E168BE">
        <w:rPr>
          <w:szCs w:val="20"/>
        </w:rPr>
        <w:t xml:space="preserve"> is working to realise a vision for decentralisation. PHD may consider prioriti</w:t>
      </w:r>
      <w:r w:rsidR="006573D7">
        <w:rPr>
          <w:szCs w:val="20"/>
        </w:rPr>
        <w:t>s</w:t>
      </w:r>
      <w:r w:rsidRPr="00E168BE">
        <w:rPr>
          <w:szCs w:val="20"/>
        </w:rPr>
        <w:t>ing its activities at</w:t>
      </w:r>
      <w:r w:rsidR="006573D7">
        <w:rPr>
          <w:szCs w:val="20"/>
        </w:rPr>
        <w:t xml:space="preserve"> the sub-</w:t>
      </w:r>
      <w:r w:rsidRPr="00E168BE">
        <w:rPr>
          <w:szCs w:val="20"/>
        </w:rPr>
        <w:t>national level, in</w:t>
      </w:r>
      <w:r w:rsidR="006573D7">
        <w:rPr>
          <w:szCs w:val="20"/>
        </w:rPr>
        <w:t xml:space="preserve"> line with </w:t>
      </w:r>
      <w:r w:rsidR="005E3831">
        <w:rPr>
          <w:szCs w:val="20"/>
        </w:rPr>
        <w:t>g</w:t>
      </w:r>
      <w:r w:rsidR="006573D7">
        <w:rPr>
          <w:szCs w:val="20"/>
        </w:rPr>
        <w:t>overnment</w:t>
      </w:r>
      <w:r w:rsidRPr="00E168BE">
        <w:rPr>
          <w:szCs w:val="20"/>
        </w:rPr>
        <w:t xml:space="preserve"> mandated processes for administering decentralisation.  </w:t>
      </w:r>
    </w:p>
    <w:p w14:paraId="5BFA7E20" w14:textId="52C6E1E9" w:rsidR="00D15146" w:rsidRPr="00E168BE" w:rsidRDefault="004B093F" w:rsidP="00E168BE">
      <w:pPr>
        <w:pStyle w:val="TableBullet"/>
        <w:jc w:val="both"/>
        <w:rPr>
          <w:szCs w:val="20"/>
        </w:rPr>
      </w:pPr>
      <w:r>
        <w:rPr>
          <w:b/>
          <w:szCs w:val="20"/>
        </w:rPr>
        <w:t>Cross</w:t>
      </w:r>
      <w:r w:rsidR="00D15146" w:rsidRPr="00E168BE">
        <w:rPr>
          <w:b/>
          <w:szCs w:val="20"/>
        </w:rPr>
        <w:t>-sector</w:t>
      </w:r>
      <w:r>
        <w:rPr>
          <w:b/>
          <w:szCs w:val="20"/>
        </w:rPr>
        <w:t>al</w:t>
      </w:r>
      <w:r w:rsidR="00D15146" w:rsidRPr="00E168BE">
        <w:rPr>
          <w:b/>
          <w:szCs w:val="20"/>
        </w:rPr>
        <w:t xml:space="preserve"> opportunities.</w:t>
      </w:r>
      <w:r w:rsidR="006573D7">
        <w:rPr>
          <w:szCs w:val="20"/>
        </w:rPr>
        <w:t xml:space="preserve"> Under</w:t>
      </w:r>
      <w:r w:rsidR="00D15146" w:rsidRPr="00E168BE">
        <w:rPr>
          <w:szCs w:val="20"/>
        </w:rPr>
        <w:t xml:space="preserve"> PHD there is significant opportunity to leverage results, operating platforms or programmatic presence in one sector for </w:t>
      </w:r>
      <w:r w:rsidR="006573D7">
        <w:rPr>
          <w:szCs w:val="20"/>
        </w:rPr>
        <w:t>better outcomes in another (for example</w:t>
      </w:r>
      <w:r w:rsidR="00D15146" w:rsidRPr="00E168BE">
        <w:rPr>
          <w:szCs w:val="20"/>
        </w:rPr>
        <w:t xml:space="preserve"> water supply for better sanitation outcomes). </w:t>
      </w:r>
    </w:p>
    <w:p w14:paraId="33C58790" w14:textId="6BEAD7DF" w:rsidR="00D15146" w:rsidRPr="00E168BE" w:rsidRDefault="00D15146" w:rsidP="00E168BE">
      <w:pPr>
        <w:pStyle w:val="TableBullet"/>
        <w:jc w:val="both"/>
        <w:rPr>
          <w:szCs w:val="20"/>
        </w:rPr>
      </w:pPr>
      <w:r w:rsidRPr="00E168BE">
        <w:rPr>
          <w:b/>
          <w:szCs w:val="20"/>
        </w:rPr>
        <w:t>Profile and coordination with other DFAT/Embassy programs at the municipality level for leveraged impact</w:t>
      </w:r>
      <w:r w:rsidR="006573D7" w:rsidRPr="006573D7">
        <w:rPr>
          <w:b/>
          <w:szCs w:val="20"/>
        </w:rPr>
        <w:t>.</w:t>
      </w:r>
      <w:r w:rsidRPr="00E168BE">
        <w:rPr>
          <w:szCs w:val="20"/>
        </w:rPr>
        <w:t xml:space="preserve"> Other </w:t>
      </w:r>
      <w:r w:rsidR="006573D7">
        <w:rPr>
          <w:szCs w:val="20"/>
        </w:rPr>
        <w:t>Australian-funded</w:t>
      </w:r>
      <w:r w:rsidRPr="00E168BE">
        <w:rPr>
          <w:szCs w:val="20"/>
        </w:rPr>
        <w:t xml:space="preserve"> programs are engaging independently across various municipalities. </w:t>
      </w:r>
      <w:r w:rsidR="006573D7">
        <w:rPr>
          <w:szCs w:val="20"/>
        </w:rPr>
        <w:t>The p</w:t>
      </w:r>
      <w:r w:rsidRPr="00E168BE">
        <w:rPr>
          <w:szCs w:val="20"/>
        </w:rPr>
        <w:t xml:space="preserve">resence of these programs could complement PHD and would help leverage greater impact and better profile for Australian aid. The Embassy may also have specific interests in certain municipalities. </w:t>
      </w:r>
    </w:p>
    <w:p w14:paraId="3BEE7568" w14:textId="66155E10" w:rsidR="00D15146" w:rsidRPr="00E168BE" w:rsidRDefault="00D15146" w:rsidP="00E168BE">
      <w:pPr>
        <w:pStyle w:val="TableBullet"/>
        <w:jc w:val="both"/>
        <w:rPr>
          <w:szCs w:val="20"/>
        </w:rPr>
      </w:pPr>
      <w:r w:rsidRPr="00E168BE">
        <w:rPr>
          <w:b/>
          <w:szCs w:val="20"/>
        </w:rPr>
        <w:t>Other non</w:t>
      </w:r>
      <w:r w:rsidRPr="00E168BE">
        <w:rPr>
          <w:szCs w:val="20"/>
        </w:rPr>
        <w:t>-</w:t>
      </w:r>
      <w:r w:rsidRPr="00E168BE">
        <w:rPr>
          <w:b/>
          <w:szCs w:val="20"/>
        </w:rPr>
        <w:t>government actors</w:t>
      </w:r>
      <w:r w:rsidRPr="006573D7">
        <w:rPr>
          <w:b/>
          <w:szCs w:val="20"/>
        </w:rPr>
        <w:t>.</w:t>
      </w:r>
      <w:r w:rsidRPr="00E168BE">
        <w:rPr>
          <w:szCs w:val="20"/>
        </w:rPr>
        <w:t xml:space="preserve"> Depending on the program, opportunities to coordinate with other non-government actors (</w:t>
      </w:r>
      <w:r w:rsidR="006573D7">
        <w:rPr>
          <w:szCs w:val="20"/>
        </w:rPr>
        <w:t>such as INGOs, NGOs, CSOs</w:t>
      </w:r>
      <w:r w:rsidRPr="00E168BE">
        <w:rPr>
          <w:szCs w:val="20"/>
        </w:rPr>
        <w:t>) may produce better results.</w:t>
      </w:r>
    </w:p>
    <w:p w14:paraId="461AE54E" w14:textId="627F8933" w:rsidR="00D15146" w:rsidRPr="00E168BE" w:rsidRDefault="00D15146" w:rsidP="00E168BE">
      <w:pPr>
        <w:pStyle w:val="TableBullet"/>
        <w:jc w:val="both"/>
        <w:rPr>
          <w:szCs w:val="20"/>
        </w:rPr>
      </w:pPr>
      <w:r w:rsidRPr="00E168BE">
        <w:rPr>
          <w:b/>
          <w:szCs w:val="20"/>
        </w:rPr>
        <w:t>Administrative capacity</w:t>
      </w:r>
      <w:r w:rsidRPr="006573D7">
        <w:rPr>
          <w:b/>
          <w:szCs w:val="20"/>
        </w:rPr>
        <w:t>.</w:t>
      </w:r>
      <w:r w:rsidRPr="00E168BE">
        <w:rPr>
          <w:szCs w:val="20"/>
        </w:rPr>
        <w:t xml:space="preserve"> Some municipalities may be assessed as more operational and functional </w:t>
      </w:r>
      <w:r w:rsidR="006573D7">
        <w:rPr>
          <w:szCs w:val="20"/>
        </w:rPr>
        <w:t>–</w:t>
      </w:r>
      <w:r w:rsidRPr="00E168BE">
        <w:rPr>
          <w:szCs w:val="20"/>
        </w:rPr>
        <w:t xml:space="preserve"> and thus more viable to operate in. This is a specific consideration for </w:t>
      </w:r>
      <w:r w:rsidR="006573D7">
        <w:rPr>
          <w:szCs w:val="20"/>
        </w:rPr>
        <w:t xml:space="preserve">sector </w:t>
      </w:r>
      <w:r w:rsidRPr="00E168BE">
        <w:rPr>
          <w:szCs w:val="20"/>
        </w:rPr>
        <w:t xml:space="preserve">teams looking to work through government systems and strengthen the relationship between citizens and the state.   </w:t>
      </w:r>
    </w:p>
    <w:p w14:paraId="6AC490F1" w14:textId="77777777" w:rsidR="005E3831" w:rsidRDefault="005E3831" w:rsidP="00E168BE">
      <w:pPr>
        <w:rPr>
          <w:szCs w:val="20"/>
        </w:rPr>
      </w:pPr>
    </w:p>
    <w:p w14:paraId="3481FC8D" w14:textId="030A67C9" w:rsidR="006573D7" w:rsidRPr="006573D7" w:rsidRDefault="00D15146" w:rsidP="00E168BE">
      <w:pPr>
        <w:rPr>
          <w:szCs w:val="20"/>
        </w:rPr>
      </w:pPr>
      <w:r w:rsidRPr="006573D7">
        <w:rPr>
          <w:szCs w:val="20"/>
        </w:rPr>
        <w:t xml:space="preserve">A number of </w:t>
      </w:r>
      <w:r w:rsidR="005E3831">
        <w:rPr>
          <w:szCs w:val="20"/>
        </w:rPr>
        <w:t>other</w:t>
      </w:r>
      <w:r w:rsidRPr="006573D7">
        <w:rPr>
          <w:szCs w:val="20"/>
        </w:rPr>
        <w:t xml:space="preserve"> issues m</w:t>
      </w:r>
      <w:r w:rsidR="005E3831">
        <w:rPr>
          <w:szCs w:val="20"/>
        </w:rPr>
        <w:t>ay also require consideration.</w:t>
      </w:r>
    </w:p>
    <w:p w14:paraId="3404022C" w14:textId="330A2B01" w:rsidR="006573D7" w:rsidRDefault="00D15146" w:rsidP="005E3831">
      <w:pPr>
        <w:pStyle w:val="TableBullet"/>
        <w:jc w:val="both"/>
      </w:pPr>
      <w:r w:rsidRPr="005E3831">
        <w:rPr>
          <w:b/>
        </w:rPr>
        <w:t>Cost consideration</w:t>
      </w:r>
      <w:r w:rsidR="005E3831" w:rsidRPr="005E3831">
        <w:rPr>
          <w:b/>
        </w:rPr>
        <w:t xml:space="preserve">. </w:t>
      </w:r>
      <w:r w:rsidR="006573D7">
        <w:t>A</w:t>
      </w:r>
      <w:r w:rsidRPr="00E168BE">
        <w:t>ccessibility is more challe</w:t>
      </w:r>
      <w:r w:rsidR="005E3831">
        <w:t>nging and costly in some areas.</w:t>
      </w:r>
    </w:p>
    <w:p w14:paraId="1C9009ED" w14:textId="1BE70E0C" w:rsidR="00D15146" w:rsidRPr="00E168BE" w:rsidRDefault="00D15146" w:rsidP="005E3831">
      <w:pPr>
        <w:pStyle w:val="TableBullet"/>
        <w:jc w:val="both"/>
      </w:pPr>
      <w:r w:rsidRPr="005E3831">
        <w:rPr>
          <w:b/>
        </w:rPr>
        <w:t>Equal Distribution</w:t>
      </w:r>
      <w:r w:rsidR="005E3831" w:rsidRPr="005E3831">
        <w:rPr>
          <w:b/>
        </w:rPr>
        <w:t>.</w:t>
      </w:r>
      <w:r w:rsidR="005E3831">
        <w:t xml:space="preserve"> </w:t>
      </w:r>
      <w:r w:rsidR="006573D7">
        <w:t>I</w:t>
      </w:r>
      <w:r w:rsidRPr="00E168BE">
        <w:t>t might also be necessary to give consideration to ‘equity’ in the selection of municipalities (</w:t>
      </w:r>
      <w:r w:rsidR="005E3831">
        <w:t xml:space="preserve">for example, identify municipalities that are </w:t>
      </w:r>
      <w:r w:rsidRPr="00E168BE">
        <w:t xml:space="preserve">better </w:t>
      </w:r>
      <w:r w:rsidR="005E3831">
        <w:t xml:space="preserve">performing and others that are performing </w:t>
      </w:r>
      <w:r w:rsidRPr="00E168BE">
        <w:t>poorer).</w:t>
      </w:r>
    </w:p>
    <w:sectPr w:rsidR="00D15146" w:rsidRPr="00E168BE" w:rsidSect="00BC556E">
      <w:headerReference w:type="default" r:id="rId18"/>
      <w:footerReference w:type="default" r:id="rId19"/>
      <w:pgSz w:w="11907" w:h="16840" w:code="9"/>
      <w:pgMar w:top="1418" w:right="1134"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44DEB" w14:textId="77777777" w:rsidR="001D1DF1" w:rsidRDefault="001D1DF1" w:rsidP="00656D19">
      <w:r>
        <w:separator/>
      </w:r>
    </w:p>
  </w:endnote>
  <w:endnote w:type="continuationSeparator" w:id="0">
    <w:p w14:paraId="4F761B53" w14:textId="77777777" w:rsidR="001D1DF1" w:rsidRDefault="001D1DF1" w:rsidP="0065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172237"/>
      <w:docPartObj>
        <w:docPartGallery w:val="Page Numbers (Bottom of Page)"/>
        <w:docPartUnique/>
      </w:docPartObj>
    </w:sdtPr>
    <w:sdtEndPr/>
    <w:sdtContent>
      <w:p w14:paraId="09B404CE" w14:textId="2D9EC817" w:rsidR="00E27F41" w:rsidRPr="008A28F8" w:rsidRDefault="00E27F41" w:rsidP="00014079">
        <w:pPr>
          <w:pStyle w:val="Footer"/>
        </w:pPr>
        <w:r w:rsidRPr="00BA2829">
          <w:fldChar w:fldCharType="begin"/>
        </w:r>
        <w:r w:rsidRPr="00BA2829">
          <w:instrText xml:space="preserve"> PAGE   \* MERGEFORMAT </w:instrText>
        </w:r>
        <w:r w:rsidRPr="00BA2829">
          <w:fldChar w:fldCharType="separate"/>
        </w:r>
        <w:r>
          <w:rPr>
            <w:noProof/>
          </w:rPr>
          <w:t>ii</w:t>
        </w:r>
        <w:r w:rsidRPr="00BA2829">
          <w:rPr>
            <w:noProof/>
          </w:rPr>
          <w:fldChar w:fldCharType="end"/>
        </w:r>
        <w:r>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B80FC" w14:textId="4622A589" w:rsidR="00E27F41" w:rsidRPr="00CB1EEB" w:rsidRDefault="00E27F41" w:rsidP="004741EB">
    <w:pPr>
      <w:pStyle w:val="Footer"/>
      <w:tabs>
        <w:tab w:val="clear" w:pos="4820"/>
      </w:tabs>
      <w:rPr>
        <w:sz w:val="16"/>
        <w:szCs w:val="16"/>
      </w:rPr>
    </w:pPr>
    <w:r w:rsidRPr="00CB1EEB">
      <w:rPr>
        <w:sz w:val="16"/>
        <w:szCs w:val="16"/>
      </w:rPr>
      <w:fldChar w:fldCharType="begin"/>
    </w:r>
    <w:r w:rsidRPr="00CB1EEB">
      <w:rPr>
        <w:sz w:val="16"/>
        <w:szCs w:val="16"/>
      </w:rPr>
      <w:instrText xml:space="preserve"> STYLEREF  Title  \* MERGEFORMAT </w:instrText>
    </w:r>
    <w:r w:rsidRPr="00CB1EEB">
      <w:rPr>
        <w:sz w:val="16"/>
        <w:szCs w:val="16"/>
      </w:rPr>
      <w:fldChar w:fldCharType="separate"/>
    </w:r>
    <w:r w:rsidR="004436FB">
      <w:rPr>
        <w:noProof/>
        <w:sz w:val="16"/>
        <w:szCs w:val="16"/>
      </w:rPr>
      <w:t>Strategic Framework</w:t>
    </w:r>
    <w:r w:rsidRPr="00CB1EEB">
      <w:rPr>
        <w:sz w:val="16"/>
        <w:szCs w:val="16"/>
      </w:rPr>
      <w:fldChar w:fldCharType="end"/>
    </w:r>
    <w:r w:rsidRPr="00CB1EEB">
      <w:rPr>
        <w:sz w:val="16"/>
        <w:szCs w:val="16"/>
      </w:rPr>
      <w:tab/>
    </w:r>
    <w:sdt>
      <w:sdtPr>
        <w:rPr>
          <w:rFonts w:asciiTheme="majorHAnsi" w:hAnsiTheme="majorHAnsi"/>
          <w:sz w:val="16"/>
          <w:szCs w:val="16"/>
        </w:rPr>
        <w:id w:val="1297034360"/>
        <w:docPartObj>
          <w:docPartGallery w:val="Page Numbers (Bottom of Page)"/>
          <w:docPartUnique/>
        </w:docPartObj>
      </w:sdtPr>
      <w:sdtEndPr>
        <w:rPr>
          <w:rFonts w:ascii="Arial" w:hAnsi="Arial"/>
        </w:rPr>
      </w:sdtEndPr>
      <w:sdtContent>
        <w:r w:rsidRPr="00CB1EEB">
          <w:rPr>
            <w:sz w:val="16"/>
            <w:szCs w:val="16"/>
          </w:rPr>
          <w:t xml:space="preserve">| </w:t>
        </w:r>
        <w:r w:rsidRPr="00CB1EEB">
          <w:rPr>
            <w:sz w:val="16"/>
            <w:szCs w:val="16"/>
          </w:rPr>
          <w:fldChar w:fldCharType="begin"/>
        </w:r>
        <w:r w:rsidRPr="00CB1EEB">
          <w:rPr>
            <w:sz w:val="16"/>
            <w:szCs w:val="16"/>
          </w:rPr>
          <w:instrText xml:space="preserve"> PAGE   \* MERGEFORMAT </w:instrText>
        </w:r>
        <w:r w:rsidRPr="00CB1EEB">
          <w:rPr>
            <w:sz w:val="16"/>
            <w:szCs w:val="16"/>
          </w:rPr>
          <w:fldChar w:fldCharType="separate"/>
        </w:r>
        <w:r w:rsidR="004436FB">
          <w:rPr>
            <w:noProof/>
            <w:sz w:val="16"/>
            <w:szCs w:val="16"/>
          </w:rPr>
          <w:t>iv</w:t>
        </w:r>
        <w:r w:rsidRPr="00CB1EEB">
          <w:rPr>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CEBC" w14:textId="77777777" w:rsidR="004436FB" w:rsidRDefault="004436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C815" w14:textId="2A276EB2" w:rsidR="00E27F41" w:rsidRPr="00CB1EEB" w:rsidRDefault="00E27F41" w:rsidP="00FC7160">
    <w:pPr>
      <w:pStyle w:val="Footer"/>
      <w:tabs>
        <w:tab w:val="clear" w:pos="4820"/>
      </w:tabs>
      <w:jc w:val="both"/>
      <w:rPr>
        <w:sz w:val="16"/>
        <w:szCs w:val="16"/>
      </w:rPr>
    </w:pPr>
    <w:r w:rsidRPr="00CB1EEB">
      <w:rPr>
        <w:sz w:val="16"/>
        <w:szCs w:val="16"/>
      </w:rPr>
      <w:fldChar w:fldCharType="begin"/>
    </w:r>
    <w:r w:rsidRPr="00CB1EEB">
      <w:rPr>
        <w:sz w:val="16"/>
        <w:szCs w:val="16"/>
      </w:rPr>
      <w:instrText xml:space="preserve"> STYLEREF  Title  \* MERGEFORMAT </w:instrText>
    </w:r>
    <w:r w:rsidRPr="00CB1EEB">
      <w:rPr>
        <w:sz w:val="16"/>
        <w:szCs w:val="16"/>
      </w:rPr>
      <w:fldChar w:fldCharType="separate"/>
    </w:r>
    <w:r w:rsidR="004436FB">
      <w:rPr>
        <w:noProof/>
        <w:sz w:val="16"/>
        <w:szCs w:val="16"/>
      </w:rPr>
      <w:t>Strategic Framework</w:t>
    </w:r>
    <w:r w:rsidRPr="00CB1EEB">
      <w:rPr>
        <w:sz w:val="16"/>
        <w:szCs w:val="16"/>
      </w:rPr>
      <w:fldChar w:fldCharType="end"/>
    </w:r>
    <w:r w:rsidRPr="00CB1EEB">
      <w:rPr>
        <w:sz w:val="16"/>
        <w:szCs w:val="16"/>
      </w:rPr>
      <w:tab/>
    </w:r>
    <w:sdt>
      <w:sdtPr>
        <w:rPr>
          <w:rFonts w:asciiTheme="majorHAnsi" w:hAnsiTheme="majorHAnsi"/>
          <w:sz w:val="16"/>
          <w:szCs w:val="16"/>
        </w:rPr>
        <w:id w:val="-1741007051"/>
        <w:docPartObj>
          <w:docPartGallery w:val="Page Numbers (Bottom of Page)"/>
          <w:docPartUnique/>
        </w:docPartObj>
      </w:sdtPr>
      <w:sdtEndPr>
        <w:rPr>
          <w:rFonts w:ascii="Arial" w:hAnsi="Arial"/>
        </w:rPr>
      </w:sdtEndPr>
      <w:sdtContent>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sidRPr="00CB1EEB">
          <w:rPr>
            <w:sz w:val="16"/>
            <w:szCs w:val="16"/>
          </w:rPr>
          <w:t xml:space="preserve">| </w:t>
        </w:r>
        <w:r w:rsidRPr="00CB1EEB">
          <w:rPr>
            <w:sz w:val="16"/>
            <w:szCs w:val="16"/>
          </w:rPr>
          <w:fldChar w:fldCharType="begin"/>
        </w:r>
        <w:r w:rsidRPr="00CB1EEB">
          <w:rPr>
            <w:sz w:val="16"/>
            <w:szCs w:val="16"/>
          </w:rPr>
          <w:instrText xml:space="preserve"> PAGE   \* MERGEFORMAT </w:instrText>
        </w:r>
        <w:r w:rsidRPr="00CB1EEB">
          <w:rPr>
            <w:sz w:val="16"/>
            <w:szCs w:val="16"/>
          </w:rPr>
          <w:fldChar w:fldCharType="separate"/>
        </w:r>
        <w:r w:rsidR="004436FB">
          <w:rPr>
            <w:noProof/>
            <w:sz w:val="16"/>
            <w:szCs w:val="16"/>
          </w:rPr>
          <w:t>17</w:t>
        </w:r>
        <w:r w:rsidRPr="00CB1EEB">
          <w:rPr>
            <w:sz w:val="16"/>
            <w:szCs w:val="16"/>
          </w:rPr>
          <w:fldChar w:fldCharType="end"/>
        </w:r>
      </w:sdtContent>
    </w:sdt>
  </w:p>
  <w:p w14:paraId="75FBDDF1" w14:textId="77777777" w:rsidR="007E083C" w:rsidRDefault="007E083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B276" w14:textId="55C3E99E" w:rsidR="00E27F41" w:rsidRPr="00CB1EEB" w:rsidRDefault="00E27F41" w:rsidP="004741EB">
    <w:pPr>
      <w:pStyle w:val="Footer"/>
      <w:tabs>
        <w:tab w:val="clear" w:pos="4820"/>
      </w:tabs>
      <w:rPr>
        <w:sz w:val="16"/>
        <w:szCs w:val="16"/>
      </w:rPr>
    </w:pPr>
    <w:r w:rsidRPr="00CB1EEB">
      <w:rPr>
        <w:sz w:val="16"/>
        <w:szCs w:val="16"/>
      </w:rPr>
      <w:fldChar w:fldCharType="begin"/>
    </w:r>
    <w:r w:rsidRPr="00CB1EEB">
      <w:rPr>
        <w:sz w:val="16"/>
        <w:szCs w:val="16"/>
      </w:rPr>
      <w:instrText xml:space="preserve"> STYLEREF  Title  \* MERGEFORMAT </w:instrText>
    </w:r>
    <w:r w:rsidRPr="00CB1EEB">
      <w:rPr>
        <w:sz w:val="16"/>
        <w:szCs w:val="16"/>
      </w:rPr>
      <w:fldChar w:fldCharType="separate"/>
    </w:r>
    <w:r w:rsidR="004436FB">
      <w:rPr>
        <w:noProof/>
        <w:sz w:val="16"/>
        <w:szCs w:val="16"/>
      </w:rPr>
      <w:t>Strategic Framework</w:t>
    </w:r>
    <w:r w:rsidRPr="00CB1EEB">
      <w:rPr>
        <w:sz w:val="16"/>
        <w:szCs w:val="16"/>
      </w:rPr>
      <w:fldChar w:fldCharType="end"/>
    </w:r>
    <w:r w:rsidRPr="00CB1EEB">
      <w:rPr>
        <w:sz w:val="16"/>
        <w:szCs w:val="16"/>
      </w:rPr>
      <w:tab/>
    </w:r>
    <w:sdt>
      <w:sdtPr>
        <w:rPr>
          <w:rFonts w:asciiTheme="majorHAnsi" w:hAnsiTheme="majorHAnsi"/>
          <w:sz w:val="16"/>
          <w:szCs w:val="16"/>
        </w:rPr>
        <w:id w:val="1252238975"/>
        <w:docPartObj>
          <w:docPartGallery w:val="Page Numbers (Bottom of Page)"/>
          <w:docPartUnique/>
        </w:docPartObj>
      </w:sdtPr>
      <w:sdtEndPr>
        <w:rPr>
          <w:rFonts w:ascii="Arial" w:hAnsi="Arial"/>
        </w:rPr>
      </w:sdtEndPr>
      <w:sdtContent>
        <w:r w:rsidRPr="00CB1EEB">
          <w:rPr>
            <w:sz w:val="16"/>
            <w:szCs w:val="16"/>
          </w:rPr>
          <w:t xml:space="preserve">| </w:t>
        </w:r>
        <w:r w:rsidRPr="00CB1EEB">
          <w:rPr>
            <w:sz w:val="16"/>
            <w:szCs w:val="16"/>
          </w:rPr>
          <w:fldChar w:fldCharType="begin"/>
        </w:r>
        <w:r w:rsidRPr="00CB1EEB">
          <w:rPr>
            <w:sz w:val="16"/>
            <w:szCs w:val="16"/>
          </w:rPr>
          <w:instrText xml:space="preserve"> PAGE   \* MERGEFORMAT </w:instrText>
        </w:r>
        <w:r w:rsidRPr="00CB1EEB">
          <w:rPr>
            <w:sz w:val="16"/>
            <w:szCs w:val="16"/>
          </w:rPr>
          <w:fldChar w:fldCharType="separate"/>
        </w:r>
        <w:r w:rsidR="004436FB">
          <w:rPr>
            <w:noProof/>
            <w:sz w:val="16"/>
            <w:szCs w:val="16"/>
          </w:rPr>
          <w:t>22</w:t>
        </w:r>
        <w:r w:rsidRPr="00CB1EEB">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776E4" w14:textId="77777777" w:rsidR="001D1DF1" w:rsidRDefault="001D1DF1" w:rsidP="00656D19">
      <w:r>
        <w:separator/>
      </w:r>
    </w:p>
  </w:footnote>
  <w:footnote w:type="continuationSeparator" w:id="0">
    <w:p w14:paraId="1D448385" w14:textId="77777777" w:rsidR="001D1DF1" w:rsidRDefault="001D1DF1" w:rsidP="00656D19">
      <w:r>
        <w:continuationSeparator/>
      </w:r>
    </w:p>
  </w:footnote>
  <w:footnote w:id="1">
    <w:p w14:paraId="3B4CA6A4" w14:textId="77777777" w:rsidR="00E27F41" w:rsidRPr="00416CB3" w:rsidRDefault="00E27F41" w:rsidP="00416CB3">
      <w:pPr>
        <w:pStyle w:val="FootnoteText"/>
        <w:rPr>
          <w:sz w:val="14"/>
          <w:szCs w:val="14"/>
          <w:lang w:val="en-US"/>
        </w:rPr>
      </w:pPr>
      <w:r w:rsidRPr="00416CB3">
        <w:rPr>
          <w:rStyle w:val="FootnoteReference"/>
          <w:sz w:val="14"/>
          <w:szCs w:val="14"/>
        </w:rPr>
        <w:footnoteRef/>
      </w:r>
      <w:r w:rsidRPr="00416CB3">
        <w:rPr>
          <w:sz w:val="14"/>
          <w:szCs w:val="14"/>
        </w:rPr>
        <w:t xml:space="preserve"> </w:t>
      </w:r>
      <w:r w:rsidRPr="00416CB3">
        <w:rPr>
          <w:sz w:val="14"/>
          <w:szCs w:val="14"/>
          <w:lang w:val="en-US"/>
        </w:rPr>
        <w:t xml:space="preserve">A review of significant, publically available international program evaluations and documentations suggests that an eight sector approach to development encompassing health, education, nutrition, water, sanitation, gender, disability and social protection – as is being tested by PHD – has not been trialed before. </w:t>
      </w:r>
    </w:p>
  </w:footnote>
  <w:footnote w:id="2">
    <w:p w14:paraId="4626654F" w14:textId="769F7186" w:rsidR="00E27F41" w:rsidRPr="00416CB3" w:rsidRDefault="00E27F41" w:rsidP="00863C3D">
      <w:pPr>
        <w:pStyle w:val="FootnoteText"/>
        <w:spacing w:before="60"/>
        <w:rPr>
          <w:sz w:val="14"/>
          <w:szCs w:val="14"/>
        </w:rPr>
      </w:pPr>
      <w:r w:rsidRPr="00416CB3">
        <w:rPr>
          <w:rStyle w:val="FootnoteReference"/>
          <w:sz w:val="14"/>
          <w:szCs w:val="14"/>
        </w:rPr>
        <w:footnoteRef/>
      </w:r>
      <w:r w:rsidRPr="00416CB3">
        <w:rPr>
          <w:sz w:val="14"/>
          <w:szCs w:val="14"/>
        </w:rPr>
        <w:t xml:space="preserve"> DFAT (2015) Aid Investment Plan, </w:t>
      </w:r>
      <w:r>
        <w:rPr>
          <w:sz w:val="14"/>
          <w:szCs w:val="14"/>
        </w:rPr>
        <w:t>Timor-Leste</w:t>
      </w:r>
      <w:r w:rsidRPr="00416CB3">
        <w:rPr>
          <w:sz w:val="14"/>
          <w:szCs w:val="14"/>
        </w:rPr>
        <w:t>. 2015- 16 to 2018-19.</w:t>
      </w:r>
    </w:p>
  </w:footnote>
  <w:footnote w:id="3">
    <w:p w14:paraId="4A0950C1" w14:textId="0820C8EB" w:rsidR="00E27F41" w:rsidRPr="00416CB3" w:rsidRDefault="00E27F41" w:rsidP="00863C3D">
      <w:pPr>
        <w:pStyle w:val="FootnoteText"/>
        <w:spacing w:before="60"/>
        <w:rPr>
          <w:sz w:val="14"/>
          <w:szCs w:val="14"/>
        </w:rPr>
      </w:pPr>
      <w:r w:rsidRPr="00416CB3">
        <w:rPr>
          <w:rStyle w:val="FootnoteReference"/>
          <w:sz w:val="14"/>
          <w:szCs w:val="14"/>
        </w:rPr>
        <w:footnoteRef/>
      </w:r>
      <w:r w:rsidRPr="00416CB3">
        <w:rPr>
          <w:sz w:val="14"/>
          <w:szCs w:val="14"/>
        </w:rPr>
        <w:t xml:space="preserve"> Government of </w:t>
      </w:r>
      <w:r>
        <w:rPr>
          <w:sz w:val="14"/>
          <w:szCs w:val="14"/>
        </w:rPr>
        <w:t>Timor-Leste</w:t>
      </w:r>
      <w:r w:rsidRPr="00416CB3">
        <w:rPr>
          <w:sz w:val="14"/>
          <w:szCs w:val="14"/>
        </w:rPr>
        <w:t xml:space="preserve"> (2010) </w:t>
      </w:r>
      <w:r w:rsidRPr="00416CB3">
        <w:rPr>
          <w:i/>
          <w:sz w:val="14"/>
          <w:szCs w:val="14"/>
        </w:rPr>
        <w:t>Strategic Development Plan 2011-2030.</w:t>
      </w:r>
    </w:p>
  </w:footnote>
  <w:footnote w:id="4">
    <w:p w14:paraId="626BD9C6" w14:textId="65D5FF14" w:rsidR="00E27F41" w:rsidRPr="00416CB3" w:rsidRDefault="00E27F41" w:rsidP="00863C3D">
      <w:pPr>
        <w:pStyle w:val="FootnoteText"/>
        <w:spacing w:before="60"/>
        <w:rPr>
          <w:sz w:val="14"/>
          <w:szCs w:val="14"/>
        </w:rPr>
      </w:pPr>
      <w:r w:rsidRPr="00416CB3">
        <w:rPr>
          <w:rStyle w:val="FootnoteReference"/>
          <w:sz w:val="14"/>
          <w:szCs w:val="14"/>
        </w:rPr>
        <w:footnoteRef/>
      </w:r>
      <w:r w:rsidRPr="00416CB3">
        <w:rPr>
          <w:sz w:val="14"/>
          <w:szCs w:val="14"/>
        </w:rPr>
        <w:t xml:space="preserve"> World Bank (2016) ‘Poverty in </w:t>
      </w:r>
      <w:r>
        <w:rPr>
          <w:sz w:val="14"/>
          <w:szCs w:val="14"/>
        </w:rPr>
        <w:t>Timor-Leste</w:t>
      </w:r>
      <w:r w:rsidRPr="00416CB3">
        <w:rPr>
          <w:sz w:val="14"/>
          <w:szCs w:val="14"/>
        </w:rPr>
        <w:t xml:space="preserve">’, 2014 </w:t>
      </w:r>
    </w:p>
  </w:footnote>
  <w:footnote w:id="5">
    <w:p w14:paraId="5E8E5CB7" w14:textId="77777777" w:rsidR="00E27F41" w:rsidRPr="00416CB3" w:rsidRDefault="00E27F41" w:rsidP="00863C3D">
      <w:pPr>
        <w:pStyle w:val="FootnoteText"/>
        <w:spacing w:before="60"/>
        <w:rPr>
          <w:sz w:val="14"/>
          <w:szCs w:val="14"/>
        </w:rPr>
      </w:pPr>
      <w:r w:rsidRPr="00416CB3">
        <w:rPr>
          <w:rStyle w:val="FootnoteReference"/>
          <w:sz w:val="14"/>
          <w:szCs w:val="14"/>
        </w:rPr>
        <w:footnoteRef/>
      </w:r>
      <w:r w:rsidRPr="00416CB3">
        <w:rPr>
          <w:sz w:val="14"/>
          <w:szCs w:val="14"/>
        </w:rPr>
        <w:t xml:space="preserve"> See PHD design document for more comprehensive analysis. </w:t>
      </w:r>
    </w:p>
  </w:footnote>
  <w:footnote w:id="6">
    <w:p w14:paraId="1687C5E1" w14:textId="01F6F3F2" w:rsidR="00E27F41" w:rsidRPr="00416CB3" w:rsidRDefault="00E27F41" w:rsidP="00863C3D">
      <w:pPr>
        <w:spacing w:before="60" w:after="0"/>
        <w:rPr>
          <w:b/>
          <w:sz w:val="14"/>
          <w:szCs w:val="14"/>
        </w:rPr>
      </w:pPr>
      <w:r w:rsidRPr="00416CB3">
        <w:rPr>
          <w:rStyle w:val="FootnoteReference"/>
          <w:sz w:val="14"/>
          <w:szCs w:val="14"/>
        </w:rPr>
        <w:footnoteRef/>
      </w:r>
      <w:r w:rsidRPr="00416CB3">
        <w:rPr>
          <w:sz w:val="14"/>
          <w:szCs w:val="14"/>
        </w:rPr>
        <w:t xml:space="preserve"> Anderson, B. (2016) ‘An Analysis of Frontline Service Delivery in Rural </w:t>
      </w:r>
      <w:r>
        <w:rPr>
          <w:sz w:val="14"/>
          <w:szCs w:val="14"/>
        </w:rPr>
        <w:t>Timor-Leste</w:t>
      </w:r>
      <w:r w:rsidRPr="00416CB3">
        <w:rPr>
          <w:sz w:val="14"/>
          <w:szCs w:val="14"/>
        </w:rPr>
        <w:t>’, internal PHD report.</w:t>
      </w:r>
      <w:r w:rsidRPr="00416CB3">
        <w:rPr>
          <w:b/>
          <w:sz w:val="14"/>
          <w:szCs w:val="14"/>
        </w:rPr>
        <w:t xml:space="preserve"> </w:t>
      </w:r>
    </w:p>
  </w:footnote>
  <w:footnote w:id="7">
    <w:p w14:paraId="71BF03B4" w14:textId="77777777" w:rsidR="00E27F41" w:rsidRPr="00416CB3" w:rsidRDefault="00E27F41" w:rsidP="00863C3D">
      <w:pPr>
        <w:pStyle w:val="FootnoteText"/>
        <w:spacing w:before="60"/>
        <w:rPr>
          <w:sz w:val="14"/>
          <w:szCs w:val="14"/>
          <w:lang w:val="en-US"/>
        </w:rPr>
      </w:pPr>
      <w:r w:rsidRPr="00416CB3">
        <w:rPr>
          <w:rStyle w:val="FootnoteReference"/>
          <w:sz w:val="14"/>
          <w:szCs w:val="14"/>
        </w:rPr>
        <w:footnoteRef/>
      </w:r>
      <w:r w:rsidRPr="00416CB3">
        <w:rPr>
          <w:sz w:val="14"/>
          <w:szCs w:val="14"/>
        </w:rPr>
        <w:t xml:space="preserve"> </w:t>
      </w:r>
      <w:r w:rsidRPr="00416CB3">
        <w:rPr>
          <w:sz w:val="14"/>
          <w:szCs w:val="14"/>
          <w:lang w:val="en-US"/>
        </w:rPr>
        <w:t xml:space="preserve">Internal PHD Front-Line Analytics Report, 2016. </w:t>
      </w:r>
    </w:p>
  </w:footnote>
  <w:footnote w:id="8">
    <w:p w14:paraId="47FE0EB8" w14:textId="67127413" w:rsidR="00E27F41" w:rsidRPr="00416CB3" w:rsidRDefault="00E27F41" w:rsidP="00863C3D">
      <w:pPr>
        <w:pStyle w:val="FootnoteText"/>
        <w:spacing w:before="60"/>
        <w:rPr>
          <w:sz w:val="14"/>
          <w:szCs w:val="14"/>
        </w:rPr>
      </w:pPr>
      <w:r w:rsidRPr="00416CB3">
        <w:rPr>
          <w:rStyle w:val="FootnoteReference"/>
          <w:sz w:val="14"/>
          <w:szCs w:val="14"/>
        </w:rPr>
        <w:footnoteRef/>
      </w:r>
      <w:r w:rsidRPr="00416CB3">
        <w:rPr>
          <w:sz w:val="14"/>
          <w:szCs w:val="14"/>
        </w:rPr>
        <w:t xml:space="preserve"> World Bank (2016) ‘Poverty in </w:t>
      </w:r>
      <w:r>
        <w:rPr>
          <w:sz w:val="14"/>
          <w:szCs w:val="14"/>
        </w:rPr>
        <w:t>Timor-Leste</w:t>
      </w:r>
      <w:r w:rsidRPr="00416CB3">
        <w:rPr>
          <w:sz w:val="14"/>
          <w:szCs w:val="14"/>
        </w:rPr>
        <w:t>’, 2014.</w:t>
      </w:r>
    </w:p>
  </w:footnote>
  <w:footnote w:id="9">
    <w:p w14:paraId="78878C45" w14:textId="77777777" w:rsidR="00E27F41" w:rsidRPr="00416CB3" w:rsidRDefault="00E27F41" w:rsidP="00863C3D">
      <w:pPr>
        <w:pStyle w:val="FootnoteText"/>
        <w:spacing w:before="60"/>
        <w:rPr>
          <w:sz w:val="14"/>
          <w:szCs w:val="14"/>
        </w:rPr>
      </w:pPr>
      <w:r w:rsidRPr="00416CB3">
        <w:rPr>
          <w:rStyle w:val="FootnoteReference"/>
          <w:sz w:val="14"/>
          <w:szCs w:val="14"/>
        </w:rPr>
        <w:footnoteRef/>
      </w:r>
      <w:r w:rsidRPr="00416CB3">
        <w:rPr>
          <w:sz w:val="14"/>
          <w:szCs w:val="14"/>
          <w:vertAlign w:val="superscript"/>
        </w:rPr>
        <w:t xml:space="preserve"> </w:t>
      </w:r>
      <w:r w:rsidRPr="00416CB3">
        <w:rPr>
          <w:sz w:val="14"/>
          <w:szCs w:val="14"/>
        </w:rPr>
        <w:t>This is not unusual in large-scale aid programs. Apart from programs in emergency and relief situations where coordination is required because of limited resources and poor security, technical sectors such as health and education tend to focus on the application of their well-developed standards and approaches (for example, identifying what is required to achieve safe birth practice for women), rather than what more they might achieve by deliberate cooperation with others.</w:t>
      </w:r>
    </w:p>
  </w:footnote>
  <w:footnote w:id="10">
    <w:p w14:paraId="031D34B2" w14:textId="77777777" w:rsidR="00E27F41" w:rsidRPr="00416CB3" w:rsidRDefault="00E27F41" w:rsidP="00863C3D">
      <w:pPr>
        <w:pStyle w:val="FootnoteText"/>
        <w:spacing w:before="60"/>
        <w:rPr>
          <w:sz w:val="14"/>
          <w:szCs w:val="14"/>
        </w:rPr>
      </w:pPr>
      <w:r w:rsidRPr="00416CB3">
        <w:rPr>
          <w:rStyle w:val="FootnoteReference"/>
          <w:sz w:val="14"/>
          <w:szCs w:val="14"/>
        </w:rPr>
        <w:footnoteRef/>
      </w:r>
      <w:r w:rsidRPr="00416CB3">
        <w:rPr>
          <w:sz w:val="14"/>
          <w:szCs w:val="14"/>
          <w:vertAlign w:val="superscript"/>
        </w:rPr>
        <w:t xml:space="preserve"> </w:t>
      </w:r>
      <w:r w:rsidRPr="00416CB3">
        <w:rPr>
          <w:sz w:val="14"/>
          <w:szCs w:val="14"/>
        </w:rPr>
        <w:t>The recent Australian Government inquiry into developing partnerships in agriculture and agribusiness focused on reducing poverty and enhancing stability in the Indo-Pacific region (Commonwealth of Australia (2016) ‘Food For Thought: Improving Health and Nutrition in the Indo Pacific region’, Joint Standing Committee on Foreign Affairs, Defence and Trade, Canberra, May)  specifically recommended that the Australian Government ought to develop intersectional strategies (for example engaging education, agriculture, health, women's empowerment, climate change, and credit support) to underpin Australia's international policy and programme engagement for nutrition under the Australian aid program.</w:t>
      </w:r>
    </w:p>
  </w:footnote>
  <w:footnote w:id="11">
    <w:p w14:paraId="127B4D6F" w14:textId="5EBD396F" w:rsidR="00E27F41" w:rsidRPr="00416CB3" w:rsidRDefault="00E27F41" w:rsidP="00863C3D">
      <w:pPr>
        <w:pStyle w:val="FootnoteText"/>
        <w:spacing w:before="60"/>
        <w:rPr>
          <w:sz w:val="14"/>
          <w:szCs w:val="14"/>
        </w:rPr>
      </w:pPr>
      <w:r w:rsidRPr="00416CB3">
        <w:rPr>
          <w:rStyle w:val="FootnoteReference"/>
          <w:sz w:val="14"/>
          <w:szCs w:val="14"/>
        </w:rPr>
        <w:footnoteRef/>
      </w:r>
      <w:r w:rsidRPr="00416CB3">
        <w:rPr>
          <w:sz w:val="14"/>
          <w:szCs w:val="14"/>
        </w:rPr>
        <w:t xml:space="preserve"> Myat Thu, P. (2014) ‘The dry seasons ‘triple burden’ on rural lives in </w:t>
      </w:r>
      <w:r>
        <w:rPr>
          <w:sz w:val="14"/>
          <w:szCs w:val="14"/>
        </w:rPr>
        <w:t>Timor-Leste</w:t>
      </w:r>
      <w:r w:rsidRPr="00416CB3">
        <w:rPr>
          <w:sz w:val="14"/>
          <w:szCs w:val="14"/>
        </w:rPr>
        <w:t>’, Development Policy Centre, Australian National University.</w:t>
      </w:r>
    </w:p>
  </w:footnote>
  <w:footnote w:id="12">
    <w:p w14:paraId="6D386080" w14:textId="77777777" w:rsidR="00E27F41" w:rsidRPr="00416CB3" w:rsidRDefault="00E27F41" w:rsidP="00863C3D">
      <w:pPr>
        <w:pStyle w:val="FootnoteText"/>
        <w:spacing w:before="60"/>
        <w:rPr>
          <w:sz w:val="14"/>
          <w:szCs w:val="14"/>
        </w:rPr>
      </w:pPr>
      <w:r w:rsidRPr="00416CB3">
        <w:rPr>
          <w:rStyle w:val="FootnoteReference"/>
          <w:sz w:val="14"/>
          <w:szCs w:val="14"/>
        </w:rPr>
        <w:footnoteRef/>
      </w:r>
      <w:r w:rsidRPr="00416CB3">
        <w:rPr>
          <w:sz w:val="14"/>
          <w:szCs w:val="14"/>
        </w:rPr>
        <w:t xml:space="preserve"> </w:t>
      </w:r>
      <w:r w:rsidRPr="00416CB3">
        <w:rPr>
          <w:sz w:val="14"/>
          <w:szCs w:val="14"/>
          <w:lang w:val="en-US"/>
        </w:rPr>
        <w:t>For example, there is an emerging evidence that as well as access to affordable and appropriate food, the social and living environments of people and their access to health services, water and sanitation are all factors which come together to influence nutritional status (</w:t>
      </w:r>
      <w:r w:rsidRPr="00416CB3">
        <w:rPr>
          <w:i/>
          <w:sz w:val="14"/>
          <w:szCs w:val="14"/>
        </w:rPr>
        <w:t>Global Nutrition Report (2016) ‘From Promise to Impact. Ending Malnutrition by 2030’, International Food Policy Research Group, Washington</w:t>
      </w:r>
      <w:r w:rsidRPr="00416CB3">
        <w:rPr>
          <w:sz w:val="14"/>
          <w:szCs w:val="14"/>
        </w:rPr>
        <w:t xml:space="preserve">). </w:t>
      </w:r>
      <w:r w:rsidRPr="00416CB3">
        <w:rPr>
          <w:sz w:val="14"/>
          <w:szCs w:val="14"/>
          <w:lang w:val="en-US"/>
        </w:rPr>
        <w:t>The health of women and children is now understood to be intrinsically linked to their social and economic well-being</w:t>
      </w:r>
      <w:r w:rsidRPr="00416CB3">
        <w:rPr>
          <w:sz w:val="14"/>
          <w:szCs w:val="14"/>
        </w:rPr>
        <w:t xml:space="preserve"> (The Study Group for the Global Investment Framework for Women's Children's Health (2014) ‘Advancing social and economic development by investing in women's children's health: a new global investment framework’, </w:t>
      </w:r>
      <w:r w:rsidRPr="00416CB3">
        <w:rPr>
          <w:i/>
          <w:sz w:val="14"/>
          <w:szCs w:val="14"/>
        </w:rPr>
        <w:t>The Lancet, vol 383, no. 9925, pages 1333-1354, 12 April</w:t>
      </w:r>
      <w:r w:rsidRPr="00416CB3">
        <w:rPr>
          <w:sz w:val="14"/>
          <w:szCs w:val="14"/>
        </w:rPr>
        <w:t>).</w:t>
      </w:r>
    </w:p>
  </w:footnote>
  <w:footnote w:id="13">
    <w:p w14:paraId="74E3B558" w14:textId="77777777" w:rsidR="00E27F41" w:rsidRPr="00416CB3" w:rsidRDefault="00E27F41" w:rsidP="00416CB3">
      <w:pPr>
        <w:pStyle w:val="FootnoteText"/>
        <w:rPr>
          <w:sz w:val="14"/>
          <w:szCs w:val="14"/>
        </w:rPr>
      </w:pPr>
      <w:r w:rsidRPr="00416CB3">
        <w:rPr>
          <w:rStyle w:val="FootnoteReference"/>
          <w:sz w:val="14"/>
          <w:szCs w:val="14"/>
        </w:rPr>
        <w:footnoteRef/>
      </w:r>
      <w:r w:rsidRPr="00416CB3">
        <w:rPr>
          <w:sz w:val="14"/>
          <w:szCs w:val="14"/>
        </w:rPr>
        <w:t xml:space="preserve"> </w:t>
      </w:r>
      <w:r w:rsidRPr="00416CB3">
        <w:rPr>
          <w:sz w:val="14"/>
          <w:szCs w:val="14"/>
          <w:lang w:val="en-US"/>
        </w:rPr>
        <w:t xml:space="preserve"> Research shows that sustained health and nutrition outcomes in rural communities requires both technical inputs and work to mobilise communities and advocate with policymakers (</w:t>
      </w:r>
      <w:r w:rsidRPr="00416CB3">
        <w:rPr>
          <w:sz w:val="14"/>
          <w:szCs w:val="14"/>
        </w:rPr>
        <w:t>Scaling Up Nutrition in Practice (2014) ‘Social Mobilisation, Advocacy and Communication for Nutrition’, Briefing Paper 3, July)</w:t>
      </w:r>
      <w:r w:rsidRPr="00416CB3">
        <w:rPr>
          <w:sz w:val="14"/>
          <w:szCs w:val="14"/>
          <w:lang w:val="en-US"/>
        </w:rPr>
        <w:t>. Results from various programs suggest that sustained impact from technical interventions requires attention to underlying change processes, including social protection, women’s empowerment and strategies that address inequality (</w:t>
      </w:r>
      <w:r w:rsidRPr="00416CB3">
        <w:rPr>
          <w:sz w:val="14"/>
          <w:szCs w:val="14"/>
        </w:rPr>
        <w:t>Global Nutrition Report (2016) ‘From Promise to Impact. Ending Malnutrition by 2030’, International Food Policy Research Group, Washington</w:t>
      </w:r>
      <w:r w:rsidRPr="00416CB3">
        <w:rPr>
          <w:rStyle w:val="FootnoteReference"/>
          <w:sz w:val="14"/>
          <w:szCs w:val="14"/>
          <w:lang w:val="en-US"/>
        </w:rPr>
        <w:t xml:space="preserve"> </w:t>
      </w:r>
      <w:r w:rsidRPr="00416CB3">
        <w:rPr>
          <w:sz w:val="14"/>
          <w:szCs w:val="14"/>
          <w:lang w:val="en-US"/>
        </w:rPr>
        <w:t>).</w:t>
      </w:r>
    </w:p>
  </w:footnote>
  <w:footnote w:id="14">
    <w:p w14:paraId="5EB0E0AF" w14:textId="73A3D53C" w:rsidR="00E27F41" w:rsidRPr="00416CB3" w:rsidRDefault="00E27F41" w:rsidP="00416CB3">
      <w:pPr>
        <w:pStyle w:val="NoSpacing"/>
        <w:rPr>
          <w:rFonts w:ascii="Arial" w:hAnsi="Arial" w:cs="Arial"/>
          <w:sz w:val="14"/>
          <w:szCs w:val="14"/>
        </w:rPr>
      </w:pPr>
      <w:r w:rsidRPr="00416CB3">
        <w:rPr>
          <w:rStyle w:val="FootnoteReference"/>
          <w:rFonts w:ascii="Arial" w:hAnsi="Arial" w:cs="Arial"/>
          <w:sz w:val="14"/>
          <w:szCs w:val="14"/>
        </w:rPr>
        <w:footnoteRef/>
      </w:r>
      <w:r w:rsidRPr="00416CB3">
        <w:rPr>
          <w:rFonts w:ascii="Arial" w:hAnsi="Arial" w:cs="Arial"/>
          <w:sz w:val="14"/>
          <w:szCs w:val="14"/>
        </w:rPr>
        <w:t xml:space="preserve"> The PHD design proposes that PHD should learn from previous DFAT programs in </w:t>
      </w:r>
      <w:r>
        <w:rPr>
          <w:rFonts w:ascii="Arial" w:hAnsi="Arial" w:cs="Arial"/>
          <w:sz w:val="14"/>
          <w:szCs w:val="14"/>
        </w:rPr>
        <w:t>Timor-Leste</w:t>
      </w:r>
      <w:r w:rsidRPr="00416CB3">
        <w:rPr>
          <w:rFonts w:ascii="Arial" w:hAnsi="Arial" w:cs="Arial"/>
          <w:sz w:val="14"/>
          <w:szCs w:val="14"/>
        </w:rPr>
        <w:t xml:space="preserve"> and utilise strategies that have been shown to be effective, including:</w:t>
      </w:r>
    </w:p>
    <w:p w14:paraId="42A8932F" w14:textId="77777777" w:rsidR="00E27F41" w:rsidRPr="00416CB3" w:rsidRDefault="00E27F41" w:rsidP="00B01D15">
      <w:pPr>
        <w:pStyle w:val="NoSpacing"/>
        <w:numPr>
          <w:ilvl w:val="0"/>
          <w:numId w:val="8"/>
        </w:numPr>
        <w:rPr>
          <w:rFonts w:ascii="Arial" w:hAnsi="Arial" w:cs="Arial"/>
          <w:sz w:val="14"/>
          <w:szCs w:val="14"/>
        </w:rPr>
      </w:pPr>
      <w:r w:rsidRPr="00416CB3">
        <w:rPr>
          <w:rFonts w:ascii="Arial" w:hAnsi="Arial" w:cs="Arial"/>
          <w:sz w:val="14"/>
          <w:szCs w:val="14"/>
        </w:rPr>
        <w:t xml:space="preserve">Build effective partnerships based on trust and mutual understanding. </w:t>
      </w:r>
    </w:p>
    <w:p w14:paraId="58234458" w14:textId="77777777" w:rsidR="00E27F41" w:rsidRPr="00416CB3" w:rsidRDefault="00E27F41" w:rsidP="00B01D15">
      <w:pPr>
        <w:pStyle w:val="NoSpacing"/>
        <w:numPr>
          <w:ilvl w:val="0"/>
          <w:numId w:val="8"/>
        </w:numPr>
        <w:rPr>
          <w:rFonts w:ascii="Arial" w:hAnsi="Arial" w:cs="Arial"/>
          <w:sz w:val="14"/>
          <w:szCs w:val="14"/>
        </w:rPr>
      </w:pPr>
      <w:r w:rsidRPr="00416CB3">
        <w:rPr>
          <w:rFonts w:ascii="Arial" w:hAnsi="Arial" w:cs="Arial"/>
          <w:sz w:val="14"/>
          <w:szCs w:val="14"/>
        </w:rPr>
        <w:t xml:space="preserve">Jointly solving particular service delivery problems with counterparts at the national and local level. </w:t>
      </w:r>
    </w:p>
    <w:p w14:paraId="5C01CEBD" w14:textId="77777777" w:rsidR="00E27F41" w:rsidRPr="00416CB3" w:rsidRDefault="00E27F41" w:rsidP="00B01D15">
      <w:pPr>
        <w:pStyle w:val="NoSpacing"/>
        <w:numPr>
          <w:ilvl w:val="0"/>
          <w:numId w:val="8"/>
        </w:numPr>
        <w:rPr>
          <w:rFonts w:ascii="Arial" w:hAnsi="Arial" w:cs="Arial"/>
          <w:sz w:val="14"/>
          <w:szCs w:val="14"/>
        </w:rPr>
      </w:pPr>
      <w:r w:rsidRPr="00416CB3">
        <w:rPr>
          <w:rFonts w:ascii="Arial" w:hAnsi="Arial" w:cs="Arial"/>
          <w:sz w:val="14"/>
          <w:szCs w:val="14"/>
        </w:rPr>
        <w:t xml:space="preserve">Using accessible evidence for joint decision-making and policy dialogue with Government.  </w:t>
      </w:r>
    </w:p>
    <w:p w14:paraId="4C6522A5" w14:textId="77777777" w:rsidR="00E27F41" w:rsidRPr="00416CB3" w:rsidRDefault="00E27F41" w:rsidP="00B01D15">
      <w:pPr>
        <w:pStyle w:val="NoSpacing"/>
        <w:numPr>
          <w:ilvl w:val="0"/>
          <w:numId w:val="8"/>
        </w:numPr>
        <w:rPr>
          <w:rFonts w:ascii="Arial" w:hAnsi="Arial" w:cs="Arial"/>
          <w:bCs/>
          <w:i/>
          <w:sz w:val="14"/>
          <w:szCs w:val="14"/>
        </w:rPr>
      </w:pPr>
      <w:r w:rsidRPr="00416CB3">
        <w:rPr>
          <w:rFonts w:ascii="Arial" w:hAnsi="Arial" w:cs="Arial"/>
          <w:bCs/>
          <w:sz w:val="14"/>
          <w:szCs w:val="14"/>
        </w:rPr>
        <w:t>Manage flexibility transparently and systematically</w:t>
      </w:r>
    </w:p>
    <w:p w14:paraId="5EEEE2B1" w14:textId="5F7C21F0" w:rsidR="00E27F41" w:rsidRPr="00416CB3" w:rsidRDefault="00E27F41" w:rsidP="00416CB3">
      <w:pPr>
        <w:pStyle w:val="NoSpacing"/>
        <w:rPr>
          <w:rFonts w:ascii="Arial" w:hAnsi="Arial" w:cs="Arial"/>
          <w:sz w:val="14"/>
          <w:szCs w:val="14"/>
        </w:rPr>
      </w:pPr>
      <w:r w:rsidRPr="00416CB3">
        <w:rPr>
          <w:rFonts w:ascii="Arial" w:hAnsi="Arial" w:cs="Arial"/>
          <w:sz w:val="14"/>
          <w:szCs w:val="14"/>
        </w:rPr>
        <w:t xml:space="preserve">(DFAT (2016) Australia </w:t>
      </w:r>
      <w:r>
        <w:rPr>
          <w:rFonts w:ascii="Arial" w:hAnsi="Arial" w:cs="Arial"/>
          <w:sz w:val="14"/>
          <w:szCs w:val="14"/>
        </w:rPr>
        <w:t>Timor-Leste</w:t>
      </w:r>
      <w:r w:rsidRPr="00416CB3">
        <w:rPr>
          <w:rFonts w:ascii="Arial" w:hAnsi="Arial" w:cs="Arial"/>
          <w:sz w:val="14"/>
          <w:szCs w:val="14"/>
        </w:rPr>
        <w:t xml:space="preserve"> Partnership for Human Development. Investment Design Document)</w:t>
      </w:r>
    </w:p>
  </w:footnote>
  <w:footnote w:id="15">
    <w:p w14:paraId="0D7B7679" w14:textId="5DAB147E" w:rsidR="00E27F41" w:rsidRPr="00416CB3" w:rsidRDefault="00E27F41" w:rsidP="00416CB3">
      <w:pPr>
        <w:pStyle w:val="FootnoteText"/>
        <w:rPr>
          <w:sz w:val="14"/>
          <w:szCs w:val="14"/>
        </w:rPr>
      </w:pPr>
      <w:r w:rsidRPr="00416CB3">
        <w:rPr>
          <w:rStyle w:val="FootnoteReference"/>
          <w:sz w:val="14"/>
          <w:szCs w:val="14"/>
        </w:rPr>
        <w:footnoteRef/>
      </w:r>
      <w:r w:rsidR="004D3F0B">
        <w:rPr>
          <w:sz w:val="14"/>
          <w:szCs w:val="14"/>
        </w:rPr>
        <w:t xml:space="preserve"> PHD employs a Frontline Specialist</w:t>
      </w:r>
      <w:r w:rsidRPr="00416CB3">
        <w:rPr>
          <w:sz w:val="14"/>
          <w:szCs w:val="14"/>
        </w:rPr>
        <w:t xml:space="preserve"> who is available to undertake regular font line ‘scans’ of service delivery contexts and related political, social and other influences. In addition, the program has the capacity to commission specific research and inquiry, as discussed later in this document. </w:t>
      </w:r>
    </w:p>
  </w:footnote>
  <w:footnote w:id="16">
    <w:p w14:paraId="547CAF16" w14:textId="77777777" w:rsidR="00E27F41" w:rsidRPr="00416CB3" w:rsidRDefault="00E27F41" w:rsidP="00416CB3">
      <w:pPr>
        <w:pStyle w:val="FootnoteText"/>
        <w:rPr>
          <w:sz w:val="14"/>
          <w:szCs w:val="14"/>
        </w:rPr>
      </w:pPr>
      <w:r w:rsidRPr="00416CB3">
        <w:rPr>
          <w:rStyle w:val="FootnoteReference"/>
          <w:sz w:val="14"/>
          <w:szCs w:val="14"/>
        </w:rPr>
        <w:footnoteRef/>
      </w:r>
      <w:r w:rsidRPr="00416CB3">
        <w:rPr>
          <w:sz w:val="14"/>
          <w:szCs w:val="14"/>
        </w:rPr>
        <w:t xml:space="preserve"> PHD has a dedicated systems advisor, working across multiple sectors to examine the common challenges and ways forward. PHD is also able to call upon the experience of the DFAT Governance for Development program for increased economic understanding, as well as the community based PNDS program for relevant local information and insight. </w:t>
      </w:r>
    </w:p>
  </w:footnote>
  <w:footnote w:id="17">
    <w:p w14:paraId="4E55C27F" w14:textId="77777777" w:rsidR="00E27F41" w:rsidRPr="00416CB3" w:rsidRDefault="00E27F41" w:rsidP="00416CB3">
      <w:pPr>
        <w:pStyle w:val="FootnoteText"/>
        <w:rPr>
          <w:sz w:val="14"/>
          <w:szCs w:val="14"/>
          <w:lang w:val="en-US"/>
        </w:rPr>
      </w:pPr>
      <w:r w:rsidRPr="00416CB3">
        <w:rPr>
          <w:rStyle w:val="FootnoteReference"/>
          <w:sz w:val="14"/>
          <w:szCs w:val="14"/>
        </w:rPr>
        <w:footnoteRef/>
      </w:r>
      <w:r w:rsidRPr="00416CB3">
        <w:rPr>
          <w:sz w:val="14"/>
          <w:szCs w:val="14"/>
        </w:rPr>
        <w:t xml:space="preserve"> In absolute terms, The Asia Foundation found that teams working in highly adaptive and flexible ways spent between approx. $200,000 - $1million USD over several years to contribute to economic and social policy reforms that (in some cases) are posed to return millions of dollars back to the local economy. For more information see Cole, Ladner, Koenig and Tyrrel (2016) ‘Lessons on Implementing Politically informed Searching Programs: Lessons for Aid Practioners and Policy Makers’ and The Asia Foundation (2011) ‘Built on Dreams, Grounded in Reality: Economic Policy Reform in the Philippines’ </w:t>
      </w:r>
    </w:p>
  </w:footnote>
  <w:footnote w:id="18">
    <w:p w14:paraId="09CA92D1" w14:textId="77777777" w:rsidR="00E27F41" w:rsidRPr="00416CB3" w:rsidRDefault="00E27F41" w:rsidP="00416CB3">
      <w:pPr>
        <w:pStyle w:val="FootnoteText"/>
        <w:rPr>
          <w:sz w:val="14"/>
          <w:szCs w:val="14"/>
        </w:rPr>
      </w:pPr>
      <w:r w:rsidRPr="00416CB3">
        <w:rPr>
          <w:rStyle w:val="FootnoteReference"/>
          <w:sz w:val="14"/>
          <w:szCs w:val="14"/>
        </w:rPr>
        <w:footnoteRef/>
      </w:r>
      <w:r w:rsidRPr="00416CB3">
        <w:rPr>
          <w:sz w:val="14"/>
          <w:szCs w:val="14"/>
        </w:rPr>
        <w:t xml:space="preserve"> This is likely to be the Individual Deprivation Measure (see </w:t>
      </w:r>
      <w:hyperlink r:id="rId1" w:history="1">
        <w:r w:rsidRPr="00416CB3">
          <w:rPr>
            <w:rStyle w:val="Hyperlink"/>
            <w:sz w:val="14"/>
            <w:szCs w:val="14"/>
          </w:rPr>
          <w:t>https://www.iwda.org.au/assets/files/IDM-Report-16.02.15_FINAL.pdf</w:t>
        </w:r>
      </w:hyperlink>
      <w:r w:rsidRPr="00416CB3">
        <w:rPr>
          <w:sz w:val="14"/>
          <w:szCs w:val="14"/>
        </w:rPr>
        <w:t xml:space="preserve">). </w:t>
      </w:r>
    </w:p>
  </w:footnote>
  <w:footnote w:id="19">
    <w:p w14:paraId="3B6F085C" w14:textId="1D05B44A" w:rsidR="00E27F41" w:rsidRPr="00416CB3" w:rsidRDefault="00E27F41" w:rsidP="00416CB3">
      <w:pPr>
        <w:pStyle w:val="FootnoteText"/>
        <w:rPr>
          <w:sz w:val="14"/>
          <w:szCs w:val="14"/>
          <w:lang w:val="en-US"/>
        </w:rPr>
      </w:pPr>
      <w:r w:rsidRPr="00416CB3">
        <w:rPr>
          <w:rStyle w:val="FootnoteReference"/>
          <w:sz w:val="14"/>
          <w:szCs w:val="14"/>
        </w:rPr>
        <w:footnoteRef/>
      </w:r>
      <w:r w:rsidRPr="00416CB3">
        <w:rPr>
          <w:sz w:val="14"/>
          <w:szCs w:val="14"/>
        </w:rPr>
        <w:t xml:space="preserve"> </w:t>
      </w:r>
      <w:r w:rsidRPr="00416CB3">
        <w:rPr>
          <w:sz w:val="14"/>
          <w:szCs w:val="14"/>
          <w:lang w:val="en-US"/>
        </w:rPr>
        <w:t>This reflects the fact that, even if not all service delivery functions are decentrali</w:t>
      </w:r>
      <w:r>
        <w:rPr>
          <w:sz w:val="14"/>
          <w:szCs w:val="14"/>
          <w:lang w:val="en-US"/>
        </w:rPr>
        <w:t>s</w:t>
      </w:r>
      <w:r w:rsidRPr="00416CB3">
        <w:rPr>
          <w:sz w:val="14"/>
          <w:szCs w:val="14"/>
          <w:lang w:val="en-US"/>
        </w:rPr>
        <w:t>ed to the muni</w:t>
      </w:r>
      <w:r>
        <w:rPr>
          <w:sz w:val="14"/>
          <w:szCs w:val="14"/>
          <w:lang w:val="en-US"/>
        </w:rPr>
        <w:t>cipal level, municipal prioritis</w:t>
      </w:r>
      <w:r w:rsidRPr="00416CB3">
        <w:rPr>
          <w:sz w:val="14"/>
          <w:szCs w:val="14"/>
          <w:lang w:val="en-US"/>
        </w:rPr>
        <w:t xml:space="preserve">ation or budget commitment documents could indicate their level of commitment to service delivery. </w:t>
      </w:r>
    </w:p>
  </w:footnote>
  <w:footnote w:id="20">
    <w:p w14:paraId="64923954" w14:textId="77777777" w:rsidR="00E27F41" w:rsidRPr="00B01D15" w:rsidRDefault="00E27F41" w:rsidP="00416CB3">
      <w:pPr>
        <w:rPr>
          <w:sz w:val="14"/>
          <w:szCs w:val="14"/>
        </w:rPr>
      </w:pPr>
      <w:r w:rsidRPr="00B01D15">
        <w:rPr>
          <w:rStyle w:val="FootnoteReference"/>
          <w:sz w:val="14"/>
          <w:szCs w:val="14"/>
        </w:rPr>
        <w:footnoteRef/>
      </w:r>
      <w:r w:rsidRPr="00B01D15">
        <w:rPr>
          <w:sz w:val="14"/>
          <w:szCs w:val="14"/>
        </w:rPr>
        <w:t xml:space="preserve"> </w:t>
      </w:r>
      <w:r w:rsidRPr="00B01D15">
        <w:rPr>
          <w:rFonts w:cstheme="minorHAnsi"/>
          <w:sz w:val="14"/>
          <w:szCs w:val="14"/>
          <w:lang w:val="en-GB"/>
        </w:rPr>
        <w:t>Kelly, L. &amp; Roche, C (2012)</w:t>
      </w:r>
      <w:r w:rsidRPr="00B01D15">
        <w:rPr>
          <w:sz w:val="14"/>
          <w:szCs w:val="14"/>
        </w:rPr>
        <w:t xml:space="preserve"> “The evaluation of politics and the politics of evaluation”, Developmental Leadership background Paper 11, August. </w:t>
      </w:r>
    </w:p>
    <w:p w14:paraId="58AE47D2" w14:textId="77777777" w:rsidR="00E27F41" w:rsidRDefault="00E27F41" w:rsidP="00416CB3">
      <w:pPr>
        <w:pStyle w:val="FootnoteText"/>
      </w:pPr>
    </w:p>
  </w:footnote>
  <w:footnote w:id="21">
    <w:p w14:paraId="6834C1F5" w14:textId="77777777" w:rsidR="00E27F41" w:rsidRPr="00B01D15" w:rsidRDefault="00E27F41" w:rsidP="00B01D15">
      <w:pPr>
        <w:pStyle w:val="FootnoteText"/>
        <w:rPr>
          <w:sz w:val="14"/>
          <w:szCs w:val="14"/>
        </w:rPr>
      </w:pPr>
      <w:r w:rsidRPr="00B01D15">
        <w:rPr>
          <w:rStyle w:val="FootnoteReference"/>
          <w:sz w:val="14"/>
          <w:szCs w:val="14"/>
        </w:rPr>
        <w:footnoteRef/>
      </w:r>
      <w:r w:rsidRPr="00B01D15">
        <w:rPr>
          <w:sz w:val="14"/>
          <w:szCs w:val="14"/>
        </w:rPr>
        <w:t xml:space="preserve"> The length of work in each municipality will need to be considered, with a sustainability strategy developed as part of the overall approach within that location. The strategies related to building local solutions and using research to build evidence for change are deliberately intended to establish a more sustainable path for change beyond the life of PHD. </w:t>
      </w:r>
    </w:p>
  </w:footnote>
  <w:footnote w:id="22">
    <w:p w14:paraId="4B01CFC9" w14:textId="458C776E" w:rsidR="00E27F41" w:rsidRPr="00B01D15" w:rsidRDefault="00E27F41" w:rsidP="00B01D15">
      <w:pPr>
        <w:pStyle w:val="FootnoteText"/>
        <w:rPr>
          <w:sz w:val="14"/>
          <w:szCs w:val="14"/>
        </w:rPr>
      </w:pPr>
      <w:r w:rsidRPr="00B01D15">
        <w:rPr>
          <w:rStyle w:val="FootnoteReference"/>
          <w:sz w:val="14"/>
          <w:szCs w:val="14"/>
        </w:rPr>
        <w:footnoteRef/>
      </w:r>
      <w:r w:rsidRPr="00B01D15">
        <w:rPr>
          <w:sz w:val="14"/>
          <w:szCs w:val="14"/>
        </w:rPr>
        <w:t xml:space="preserve"> While this approach will be developed in detail following review of the first municipal engagement, it is likely to include particular attention to a mixture of the specific needs of people in that location, the engagement and focus of local government, the availability of other service providers, including NGOs and other donors, and the existing strengths, contacts and oppo</w:t>
      </w:r>
      <w:r>
        <w:rPr>
          <w:sz w:val="14"/>
          <w:szCs w:val="14"/>
        </w:rPr>
        <w:t>rtunities PHD is able to mobilis</w:t>
      </w:r>
      <w:r w:rsidRPr="00B01D15">
        <w:rPr>
          <w:sz w:val="14"/>
          <w:szCs w:val="14"/>
        </w:rPr>
        <w:t xml:space="preserve">e in that situation. It is possible that on this basis some municipalities or some areas within a municipality are not prioritised initially by PHD. Alternatively, work in those locations is kept to a minimum level. This will need to be negotiated with government and with a view to most effective use of DFAT resources. </w:t>
      </w:r>
    </w:p>
    <w:p w14:paraId="1F8D2E8F" w14:textId="77777777" w:rsidR="00E27F41" w:rsidRPr="00B01D15" w:rsidRDefault="00E27F41" w:rsidP="00B01D15">
      <w:pPr>
        <w:pStyle w:val="FootnoteText"/>
        <w:rPr>
          <w:sz w:val="14"/>
          <w:szCs w:val="14"/>
        </w:rPr>
      </w:pPr>
      <w:r w:rsidRPr="00B01D15">
        <w:rPr>
          <w:sz w:val="14"/>
          <w:szCs w:val="14"/>
        </w:rPr>
        <w:t xml:space="preserve">In light of this, a specific strategy for each municipality that combines feasibility of inputs with a political and social assessment of opportunity for those inputs, will underpin all work. </w:t>
      </w:r>
    </w:p>
  </w:footnote>
  <w:footnote w:id="23">
    <w:p w14:paraId="6245C074" w14:textId="77777777" w:rsidR="00E27F41" w:rsidRPr="00B01D15" w:rsidRDefault="00E27F41" w:rsidP="00B01D15">
      <w:pPr>
        <w:pStyle w:val="FootnoteText"/>
        <w:rPr>
          <w:sz w:val="14"/>
          <w:szCs w:val="14"/>
        </w:rPr>
      </w:pPr>
      <w:r w:rsidRPr="00B01D15">
        <w:rPr>
          <w:rStyle w:val="FootnoteReference"/>
          <w:sz w:val="14"/>
          <w:szCs w:val="14"/>
        </w:rPr>
        <w:footnoteRef/>
      </w:r>
      <w:r w:rsidRPr="00B01D15">
        <w:rPr>
          <w:sz w:val="14"/>
          <w:szCs w:val="14"/>
        </w:rPr>
        <w:t xml:space="preserve"> This is likely to be the Individual Deprivation Measure (see </w:t>
      </w:r>
      <w:hyperlink r:id="rId2" w:history="1">
        <w:r w:rsidRPr="00B01D15">
          <w:rPr>
            <w:rStyle w:val="Hyperlink"/>
            <w:sz w:val="14"/>
            <w:szCs w:val="14"/>
          </w:rPr>
          <w:t>https://www.iwda.org.au/assets/files/IDM-Report-16.02.15_FINAL.pdf</w:t>
        </w:r>
      </w:hyperlink>
      <w:r w:rsidRPr="00B01D15">
        <w:rPr>
          <w:sz w:val="14"/>
          <w:szCs w:val="14"/>
        </w:rPr>
        <w:t>).</w:t>
      </w:r>
    </w:p>
  </w:footnote>
  <w:footnote w:id="24">
    <w:p w14:paraId="392AC44B" w14:textId="77777777" w:rsidR="00E27F41" w:rsidRPr="00DD53E0" w:rsidRDefault="00E27F41" w:rsidP="00992DC7">
      <w:pPr>
        <w:pStyle w:val="FootnoteText"/>
        <w:rPr>
          <w:sz w:val="14"/>
          <w:szCs w:val="14"/>
        </w:rPr>
      </w:pPr>
      <w:r w:rsidRPr="00DD53E0">
        <w:rPr>
          <w:rStyle w:val="FootnoteReference"/>
          <w:sz w:val="14"/>
          <w:szCs w:val="14"/>
        </w:rPr>
        <w:footnoteRef/>
      </w:r>
      <w:r w:rsidRPr="00DD53E0">
        <w:rPr>
          <w:sz w:val="14"/>
          <w:szCs w:val="14"/>
        </w:rPr>
        <w:t xml:space="preserve"> In line with principles of Australian aid, Julie Bishop, Foreign Minister, The New Aid Paradigm,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F4B9F" w14:textId="45FFA018" w:rsidR="00E27F41" w:rsidRDefault="004436FB" w:rsidP="00014079">
    <w:pPr>
      <w:pStyle w:val="Header"/>
    </w:pPr>
    <w:r>
      <w:fldChar w:fldCharType="begin"/>
    </w:r>
    <w:r>
      <w:instrText xml:space="preserve"> STYLEREF  Title  \* MERGEFORMAT </w:instrText>
    </w:r>
    <w:r>
      <w:fldChar w:fldCharType="separate"/>
    </w:r>
    <w:r w:rsidR="00B84559">
      <w:rPr>
        <w:noProof/>
      </w:rPr>
      <w:t>Strategic Framework</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1FFC" w14:textId="7CA0E2E7" w:rsidR="00E27F41" w:rsidRDefault="00E27F41" w:rsidP="00014079">
    <w:pPr>
      <w:pStyle w:val="Header"/>
    </w:pPr>
    <w:r w:rsidRPr="00014079">
      <w:t>Partnership for Human Development</w:t>
    </w:r>
  </w:p>
  <w:p w14:paraId="03251CD8" w14:textId="5543C574" w:rsidR="00E27F41" w:rsidRPr="00014079" w:rsidRDefault="004436FB" w:rsidP="00014079">
    <w:pPr>
      <w:pStyle w:val="Header"/>
    </w:pPr>
    <w:r>
      <w:fldChar w:fldCharType="begin"/>
    </w:r>
    <w:r>
      <w:instrText xml:space="preserve"> STYLEREF  "Heading 1"  \* MERGEFORMAT </w:instrText>
    </w:r>
    <w:r>
      <w:fldChar w:fldCharType="separate"/>
    </w:r>
    <w:r>
      <w:rPr>
        <w:noProof/>
      </w:rPr>
      <w:t>Introduction</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83" w:type="pc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3312"/>
    </w:tblGrid>
    <w:tr w:rsidR="00E27F41" w14:paraId="6A65B9B8" w14:textId="77777777" w:rsidTr="00CF3615">
      <w:tc>
        <w:tcPr>
          <w:tcW w:w="6758" w:type="dxa"/>
        </w:tcPr>
        <w:p w14:paraId="513915F4" w14:textId="1A426CE4" w:rsidR="00E27F41" w:rsidRDefault="00E27F41" w:rsidP="00F41666">
          <w:pPr>
            <w:pStyle w:val="Header"/>
            <w:jc w:val="left"/>
          </w:pPr>
          <w:r w:rsidRPr="00347550">
            <w:rPr>
              <w:noProof/>
              <w:lang w:val="en-AU" w:eastAsia="en-AU"/>
            </w:rPr>
            <w:drawing>
              <wp:inline distT="0" distB="0" distL="0" distR="0" wp14:anchorId="69E48125" wp14:editId="21D6A4F5">
                <wp:extent cx="3534310" cy="829872"/>
                <wp:effectExtent l="0" t="0" r="0" b="8890"/>
                <wp:docPr id="15" name="Picture 15" descr="Approved_Logo_Intrim_Approved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oved_Logo_Intrim_Approved_lar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53215" cy="834311"/>
                        </a:xfrm>
                        <a:prstGeom prst="rect">
                          <a:avLst/>
                        </a:prstGeom>
                        <a:noFill/>
                      </pic:spPr>
                    </pic:pic>
                  </a:graphicData>
                </a:graphic>
              </wp:inline>
            </w:drawing>
          </w:r>
        </w:p>
      </w:tc>
      <w:tc>
        <w:tcPr>
          <w:tcW w:w="3312" w:type="dxa"/>
        </w:tcPr>
        <w:p w14:paraId="160C2149" w14:textId="41FF6CBE" w:rsidR="00E27F41" w:rsidRDefault="00E27F41" w:rsidP="00014079">
          <w:pPr>
            <w:pStyle w:val="Header"/>
          </w:pPr>
          <w:r>
            <w:rPr>
              <w:noProof/>
              <w:lang w:val="en-AU" w:eastAsia="en-AU"/>
            </w:rPr>
            <w:drawing>
              <wp:inline distT="0" distB="0" distL="0" distR="0" wp14:anchorId="7EFB9707" wp14:editId="73481F82">
                <wp:extent cx="1314858" cy="590186"/>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AID-Identifier-black-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3054" cy="593865"/>
                        </a:xfrm>
                        <a:prstGeom prst="rect">
                          <a:avLst/>
                        </a:prstGeom>
                      </pic:spPr>
                    </pic:pic>
                  </a:graphicData>
                </a:graphic>
              </wp:inline>
            </w:drawing>
          </w:r>
        </w:p>
      </w:tc>
    </w:tr>
  </w:tbl>
  <w:p w14:paraId="162BA006" w14:textId="29CC80CC" w:rsidR="00E27F41" w:rsidRDefault="00E27F41" w:rsidP="00014079">
    <w:pPr>
      <w:pStyle w:val="Header"/>
    </w:pPr>
    <w:r>
      <w:rPr>
        <w:noProof/>
        <w:lang w:val="en-AU" w:eastAsia="en-AU"/>
      </w:rPr>
      <w:drawing>
        <wp:anchor distT="0" distB="0" distL="114300" distR="114300" simplePos="0" relativeHeight="251659264" behindDoc="1" locked="0" layoutInCell="1" allowOverlap="1" wp14:anchorId="7069BC7F" wp14:editId="73C8F7A6">
          <wp:simplePos x="0" y="0"/>
          <wp:positionH relativeFrom="page">
            <wp:align>right</wp:align>
          </wp:positionH>
          <wp:positionV relativeFrom="paragraph">
            <wp:posOffset>352946</wp:posOffset>
          </wp:positionV>
          <wp:extent cx="7553096" cy="105822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553096" cy="10582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D99B" w14:textId="77777777" w:rsidR="00E27F41" w:rsidRDefault="00E27F41" w:rsidP="00014079">
    <w:pPr>
      <w:pStyle w:val="Header"/>
    </w:pPr>
    <w:r w:rsidRPr="00014079">
      <w:t>Partnership for Human Development</w:t>
    </w:r>
  </w:p>
  <w:p w14:paraId="2B48FE21" w14:textId="72A4CCB5" w:rsidR="00E27F41" w:rsidRPr="00014079" w:rsidRDefault="004436FB" w:rsidP="00014079">
    <w:pPr>
      <w:pStyle w:val="Header"/>
    </w:pPr>
    <w:r>
      <w:fldChar w:fldCharType="begin"/>
    </w:r>
    <w:r>
      <w:instrText xml:space="preserve"> STYLEREF  "Heading 1"  \* MERGEFORMAT </w:instrText>
    </w:r>
    <w:r>
      <w:fldChar w:fldCharType="separate"/>
    </w:r>
    <w:r>
      <w:rPr>
        <w:noProof/>
      </w:rPr>
      <w:t>Review of the Strategic Framework</w:t>
    </w:r>
    <w:r>
      <w:rPr>
        <w:noProof/>
      </w:rPr>
      <w:fldChar w:fldCharType="end"/>
    </w:r>
  </w:p>
  <w:p w14:paraId="2DD931B2" w14:textId="77777777" w:rsidR="007E083C" w:rsidRDefault="007E083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C348" w14:textId="77777777" w:rsidR="00E27F41" w:rsidRDefault="00E27F41" w:rsidP="00014079">
    <w:pPr>
      <w:pStyle w:val="Header"/>
    </w:pPr>
    <w:r w:rsidRPr="00014079">
      <w:t>Partnership for Human Development</w:t>
    </w:r>
  </w:p>
  <w:p w14:paraId="09C8590E" w14:textId="1D921598" w:rsidR="00E27F41" w:rsidRPr="00014079" w:rsidRDefault="004436FB" w:rsidP="00014079">
    <w:pPr>
      <w:pStyle w:val="Header"/>
    </w:pPr>
    <w:r>
      <w:fldChar w:fldCharType="begin"/>
    </w:r>
    <w:r>
      <w:instrText xml:space="preserve"> STYLEREF  "Heading 1"  \* MERGEFORMAT </w:instrText>
    </w:r>
    <w:r>
      <w:fldChar w:fldCharType="separate"/>
    </w:r>
    <w:r>
      <w:rPr>
        <w:noProof/>
      </w:rPr>
      <w:t>Review of the Strategic Framework</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B5E425C"/>
    <w:lvl w:ilvl="0">
      <w:start w:val="1"/>
      <w:numFmt w:val="decimal"/>
      <w:lvlText w:val="%1."/>
      <w:lvlJc w:val="left"/>
      <w:pPr>
        <w:tabs>
          <w:tab w:val="num" w:pos="926"/>
        </w:tabs>
        <w:ind w:left="926" w:hanging="360"/>
      </w:pPr>
    </w:lvl>
  </w:abstractNum>
  <w:abstractNum w:abstractNumId="1" w15:restartNumberingAfterBreak="0">
    <w:nsid w:val="00770E06"/>
    <w:multiLevelType w:val="hybridMultilevel"/>
    <w:tmpl w:val="7E0E6F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4661C3"/>
    <w:multiLevelType w:val="multilevel"/>
    <w:tmpl w:val="7D20CDA2"/>
    <w:lvl w:ilvl="0">
      <w:start w:val="1"/>
      <w:numFmt w:val="bullet"/>
      <w:pStyle w:val="ListBullet"/>
      <w:lvlText w:val=""/>
      <w:lvlJc w:val="left"/>
      <w:pPr>
        <w:ind w:left="851" w:hanging="454"/>
      </w:pPr>
      <w:rPr>
        <w:rFonts w:ascii="Symbol" w:hAnsi="Symbol" w:hint="default"/>
        <w:color w:val="FF931E"/>
      </w:rPr>
    </w:lvl>
    <w:lvl w:ilvl="1">
      <w:start w:val="1"/>
      <w:numFmt w:val="bullet"/>
      <w:lvlText w:val=""/>
      <w:lvlJc w:val="left"/>
      <w:pPr>
        <w:ind w:left="1304" w:hanging="453"/>
      </w:pPr>
      <w:rPr>
        <w:rFonts w:ascii="Symbol" w:hAnsi="Symbol" w:hint="default"/>
        <w:color w:val="FF931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3206F"/>
    <w:multiLevelType w:val="multilevel"/>
    <w:tmpl w:val="3E42DE28"/>
    <w:lvl w:ilvl="0">
      <w:start w:val="1"/>
      <w:numFmt w:val="decimal"/>
      <w:pStyle w:val="ListNumber"/>
      <w:lvlText w:val="%1."/>
      <w:lvlJc w:val="left"/>
      <w:pPr>
        <w:ind w:left="851" w:hanging="454"/>
      </w:pPr>
      <w:rPr>
        <w:rFonts w:hint="default"/>
      </w:rPr>
    </w:lvl>
    <w:lvl w:ilvl="1">
      <w:start w:val="1"/>
      <w:numFmt w:val="lowerLetter"/>
      <w:lvlText w:val="%2."/>
      <w:lvlJc w:val="left"/>
      <w:pPr>
        <w:ind w:left="1304" w:hanging="453"/>
      </w:pPr>
      <w:rPr>
        <w:rFonts w:hint="default"/>
      </w:rPr>
    </w:lvl>
    <w:lvl w:ilvl="2">
      <w:start w:val="1"/>
      <w:numFmt w:val="lowerRoman"/>
      <w:lvlText w:val="%3."/>
      <w:lvlJc w:val="left"/>
      <w:pPr>
        <w:ind w:left="1758" w:hanging="454"/>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4" w15:restartNumberingAfterBreak="0">
    <w:nsid w:val="1B3B6779"/>
    <w:multiLevelType w:val="hybridMultilevel"/>
    <w:tmpl w:val="BE08B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8252C6"/>
    <w:multiLevelType w:val="hybridMultilevel"/>
    <w:tmpl w:val="5EC08A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00607B"/>
    <w:multiLevelType w:val="hybridMultilevel"/>
    <w:tmpl w:val="445848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D63451"/>
    <w:multiLevelType w:val="hybridMultilevel"/>
    <w:tmpl w:val="8F7056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743C9F"/>
    <w:multiLevelType w:val="hybridMultilevel"/>
    <w:tmpl w:val="151E745A"/>
    <w:lvl w:ilvl="0" w:tplc="765663D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D71767"/>
    <w:multiLevelType w:val="hybridMultilevel"/>
    <w:tmpl w:val="18BA0406"/>
    <w:lvl w:ilvl="0" w:tplc="B602F73A">
      <w:start w:val="3"/>
      <w:numFmt w:val="bullet"/>
      <w:lvlText w:val="-"/>
      <w:lvlJc w:val="left"/>
      <w:pPr>
        <w:ind w:left="405" w:hanging="360"/>
      </w:pPr>
      <w:rPr>
        <w:rFonts w:ascii="Calibri" w:eastAsiaTheme="minorHAnsi" w:hAnsi="Calibri" w:cstheme="minorBidi" w:hint="default"/>
        <w:b/>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0" w15:restartNumberingAfterBreak="0">
    <w:nsid w:val="370213A1"/>
    <w:multiLevelType w:val="hybridMultilevel"/>
    <w:tmpl w:val="1FB8488E"/>
    <w:lvl w:ilvl="0" w:tplc="D9AC184C">
      <w:start w:val="1"/>
      <w:numFmt w:val="decimal"/>
      <w:lvlText w:val="%1."/>
      <w:lvlJc w:val="left"/>
      <w:pPr>
        <w:ind w:left="720" w:hanging="360"/>
      </w:pPr>
      <w:rPr>
        <w:rFonts w:ascii="Arial" w:hAnsi="Arial" w:cs="Arial" w:hint="default"/>
        <w:b/>
        <w:color w:val="FF931E"/>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C46839"/>
    <w:multiLevelType w:val="hybridMultilevel"/>
    <w:tmpl w:val="1DDCC07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3AD959AC"/>
    <w:multiLevelType w:val="hybridMultilevel"/>
    <w:tmpl w:val="B4F83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5B4B3B"/>
    <w:multiLevelType w:val="hybridMultilevel"/>
    <w:tmpl w:val="90AA4700"/>
    <w:styleLink w:val="ImportedStyle10"/>
    <w:lvl w:ilvl="0" w:tplc="50F4F5AA">
      <w:start w:val="1"/>
      <w:numFmt w:val="bullet"/>
      <w:lvlText w:val="•"/>
      <w:lvlJc w:val="left"/>
      <w:pPr>
        <w:ind w:left="325" w:hanging="3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FCD8C6">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DFAD928">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42CF0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A469C6">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805FEC">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C6CCC8">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7495D8">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F4E8CC">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6422435"/>
    <w:multiLevelType w:val="hybridMultilevel"/>
    <w:tmpl w:val="ECD66DC2"/>
    <w:lvl w:ilvl="0" w:tplc="25C45D68">
      <w:start w:val="1"/>
      <w:numFmt w:val="decimal"/>
      <w:lvlText w:val="%1."/>
      <w:lvlJc w:val="right"/>
      <w:pPr>
        <w:ind w:left="720" w:hanging="360"/>
      </w:pPr>
      <w:rPr>
        <w:rFonts w:ascii="Arial" w:eastAsiaTheme="minorEastAsia" w:hAnsi="Arial" w:cs="Arial"/>
        <w:b/>
        <w:color w:val="FF931E"/>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71413C5"/>
    <w:multiLevelType w:val="multilevel"/>
    <w:tmpl w:val="E5487DA2"/>
    <w:lvl w:ilvl="0">
      <w:start w:val="1"/>
      <w:numFmt w:val="bullet"/>
      <w:pStyle w:val="TableBullet"/>
      <w:lvlText w:val=""/>
      <w:lvlJc w:val="left"/>
      <w:pPr>
        <w:ind w:left="397" w:hanging="397"/>
      </w:pPr>
      <w:rPr>
        <w:rFonts w:ascii="Symbol" w:hAnsi="Symbol" w:hint="default"/>
        <w:color w:val="FF931E"/>
      </w:rPr>
    </w:lvl>
    <w:lvl w:ilvl="1">
      <w:start w:val="1"/>
      <w:numFmt w:val="bullet"/>
      <w:lvlText w:val=""/>
      <w:lvlJc w:val="left"/>
      <w:pPr>
        <w:ind w:left="737" w:hanging="340"/>
      </w:pPr>
      <w:rPr>
        <w:rFonts w:ascii="Symbol" w:hAnsi="Symbol" w:hint="default"/>
        <w:color w:val="FF931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2D286A"/>
    <w:multiLevelType w:val="hybridMultilevel"/>
    <w:tmpl w:val="55B2E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AD2952"/>
    <w:multiLevelType w:val="hybridMultilevel"/>
    <w:tmpl w:val="028CF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F536073"/>
    <w:multiLevelType w:val="hybridMultilevel"/>
    <w:tmpl w:val="C9347A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8269D5"/>
    <w:multiLevelType w:val="multilevel"/>
    <w:tmpl w:val="A73AF92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F1C056C"/>
    <w:multiLevelType w:val="multilevel"/>
    <w:tmpl w:val="319EF66A"/>
    <w:lvl w:ilvl="0">
      <w:start w:val="1"/>
      <w:numFmt w:val="decimal"/>
      <w:lvlText w:val="%1."/>
      <w:lvlJc w:val="left"/>
      <w:pPr>
        <w:ind w:left="720" w:hanging="360"/>
      </w:pPr>
      <w:rPr>
        <w:rFonts w:hint="default"/>
        <w:b/>
        <w:color w:val="FF931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10410D9"/>
    <w:multiLevelType w:val="hybridMultilevel"/>
    <w:tmpl w:val="F2E60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523477"/>
    <w:multiLevelType w:val="hybridMultilevel"/>
    <w:tmpl w:val="E45A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263D49"/>
    <w:multiLevelType w:val="hybridMultilevel"/>
    <w:tmpl w:val="CA048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996AFB"/>
    <w:multiLevelType w:val="hybridMultilevel"/>
    <w:tmpl w:val="6C36D7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7D3B2C"/>
    <w:multiLevelType w:val="hybridMultilevel"/>
    <w:tmpl w:val="266EAFBA"/>
    <w:lvl w:ilvl="0" w:tplc="132E2B94">
      <w:start w:val="1"/>
      <w:numFmt w:val="decimal"/>
      <w:lvlText w:val="%1."/>
      <w:lvlJc w:val="right"/>
      <w:pPr>
        <w:ind w:left="720" w:hanging="360"/>
      </w:pPr>
      <w:rPr>
        <w:rFonts w:ascii="Arial" w:eastAsiaTheme="minorEastAsia" w:hAnsi="Arial" w:cs="Arial"/>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CA6782A"/>
    <w:multiLevelType w:val="hybridMultilevel"/>
    <w:tmpl w:val="9D321B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CC6DBC"/>
    <w:multiLevelType w:val="hybridMultilevel"/>
    <w:tmpl w:val="73DEAE84"/>
    <w:lvl w:ilvl="0" w:tplc="7E1A2F70">
      <w:start w:val="1"/>
      <w:numFmt w:val="decimal"/>
      <w:lvlText w:val="%1."/>
      <w:lvlJc w:val="left"/>
      <w:pPr>
        <w:ind w:left="720" w:hanging="360"/>
      </w:pPr>
      <w:rPr>
        <w:rFonts w:hint="default"/>
        <w:b/>
        <w:color w:val="FF931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E16A23"/>
    <w:multiLevelType w:val="hybridMultilevel"/>
    <w:tmpl w:val="CD827418"/>
    <w:lvl w:ilvl="0" w:tplc="4C6C3AD4">
      <w:start w:val="1"/>
      <w:numFmt w:val="decimal"/>
      <w:lvlText w:val="%1."/>
      <w:lvlJc w:val="left"/>
      <w:pPr>
        <w:ind w:left="720" w:hanging="360"/>
      </w:pPr>
      <w:rPr>
        <w:rFonts w:ascii="Arial" w:hAnsi="Arial" w:cs="Arial" w:hint="default"/>
        <w:b/>
        <w:color w:val="FF931E"/>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85D6CD8"/>
    <w:multiLevelType w:val="hybridMultilevel"/>
    <w:tmpl w:val="9E7A29D4"/>
    <w:lvl w:ilvl="0" w:tplc="CD386C28">
      <w:start w:val="1"/>
      <w:numFmt w:val="lowerRoman"/>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C0F0FFF"/>
    <w:multiLevelType w:val="hybridMultilevel"/>
    <w:tmpl w:val="1540B6C6"/>
    <w:lvl w:ilvl="0" w:tplc="374EFF92">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6B33DC"/>
    <w:multiLevelType w:val="hybridMultilevel"/>
    <w:tmpl w:val="805E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3"/>
  </w:num>
  <w:num w:numId="4">
    <w:abstractNumId w:val="15"/>
  </w:num>
  <w:num w:numId="5">
    <w:abstractNumId w:val="19"/>
  </w:num>
  <w:num w:numId="6">
    <w:abstractNumId w:val="14"/>
  </w:num>
  <w:num w:numId="7">
    <w:abstractNumId w:val="20"/>
  </w:num>
  <w:num w:numId="8">
    <w:abstractNumId w:val="22"/>
  </w:num>
  <w:num w:numId="9">
    <w:abstractNumId w:val="11"/>
  </w:num>
  <w:num w:numId="10">
    <w:abstractNumId w:val="28"/>
  </w:num>
  <w:num w:numId="11">
    <w:abstractNumId w:val="7"/>
  </w:num>
  <w:num w:numId="12">
    <w:abstractNumId w:val="10"/>
  </w:num>
  <w:num w:numId="13">
    <w:abstractNumId w:val="9"/>
  </w:num>
  <w:num w:numId="14">
    <w:abstractNumId w:val="12"/>
  </w:num>
  <w:num w:numId="15">
    <w:abstractNumId w:val="6"/>
  </w:num>
  <w:num w:numId="16">
    <w:abstractNumId w:val="21"/>
  </w:num>
  <w:num w:numId="17">
    <w:abstractNumId w:val="5"/>
  </w:num>
  <w:num w:numId="18">
    <w:abstractNumId w:val="31"/>
  </w:num>
  <w:num w:numId="19">
    <w:abstractNumId w:val="29"/>
  </w:num>
  <w:num w:numId="20">
    <w:abstractNumId w:val="27"/>
  </w:num>
  <w:num w:numId="21">
    <w:abstractNumId w:val="18"/>
  </w:num>
  <w:num w:numId="22">
    <w:abstractNumId w:val="16"/>
  </w:num>
  <w:num w:numId="23">
    <w:abstractNumId w:val="17"/>
  </w:num>
  <w:num w:numId="24">
    <w:abstractNumId w:val="24"/>
  </w:num>
  <w:num w:numId="25">
    <w:abstractNumId w:val="1"/>
  </w:num>
  <w:num w:numId="26">
    <w:abstractNumId w:val="26"/>
  </w:num>
  <w:num w:numId="27">
    <w:abstractNumId w:val="4"/>
  </w:num>
  <w:num w:numId="28">
    <w:abstractNumId w:val="8"/>
  </w:num>
  <w:num w:numId="29">
    <w:abstractNumId w:val="30"/>
  </w:num>
  <w:num w:numId="30">
    <w:abstractNumId w:val="0"/>
  </w:num>
  <w:num w:numId="31">
    <w:abstractNumId w:val="23"/>
  </w:num>
  <w:num w:numId="3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F1"/>
    <w:rsid w:val="00001DD0"/>
    <w:rsid w:val="00003032"/>
    <w:rsid w:val="00012535"/>
    <w:rsid w:val="000126E9"/>
    <w:rsid w:val="0001356B"/>
    <w:rsid w:val="00014079"/>
    <w:rsid w:val="00020404"/>
    <w:rsid w:val="00020993"/>
    <w:rsid w:val="0002547A"/>
    <w:rsid w:val="000257F8"/>
    <w:rsid w:val="00025BC2"/>
    <w:rsid w:val="00026CE1"/>
    <w:rsid w:val="00031162"/>
    <w:rsid w:val="00033D3A"/>
    <w:rsid w:val="00037ACC"/>
    <w:rsid w:val="00046288"/>
    <w:rsid w:val="0004637E"/>
    <w:rsid w:val="00046C4A"/>
    <w:rsid w:val="0005200C"/>
    <w:rsid w:val="000533AF"/>
    <w:rsid w:val="00054103"/>
    <w:rsid w:val="000545D5"/>
    <w:rsid w:val="000619B8"/>
    <w:rsid w:val="00070339"/>
    <w:rsid w:val="00071B05"/>
    <w:rsid w:val="000720E1"/>
    <w:rsid w:val="00073529"/>
    <w:rsid w:val="0007525E"/>
    <w:rsid w:val="000767ED"/>
    <w:rsid w:val="00076F3B"/>
    <w:rsid w:val="00077E08"/>
    <w:rsid w:val="00080026"/>
    <w:rsid w:val="000809D1"/>
    <w:rsid w:val="000814C4"/>
    <w:rsid w:val="000838BF"/>
    <w:rsid w:val="00093A8A"/>
    <w:rsid w:val="00094CEF"/>
    <w:rsid w:val="00096DB5"/>
    <w:rsid w:val="000A1ECE"/>
    <w:rsid w:val="000A24EE"/>
    <w:rsid w:val="000A30B0"/>
    <w:rsid w:val="000A4B5C"/>
    <w:rsid w:val="000A5187"/>
    <w:rsid w:val="000B34F1"/>
    <w:rsid w:val="000C03B7"/>
    <w:rsid w:val="000C0E95"/>
    <w:rsid w:val="000C1E2C"/>
    <w:rsid w:val="000C4A24"/>
    <w:rsid w:val="000C591C"/>
    <w:rsid w:val="000C7D4F"/>
    <w:rsid w:val="000D15A6"/>
    <w:rsid w:val="000D21DD"/>
    <w:rsid w:val="000D37FE"/>
    <w:rsid w:val="000D487F"/>
    <w:rsid w:val="000D5C33"/>
    <w:rsid w:val="000E44BE"/>
    <w:rsid w:val="000E507E"/>
    <w:rsid w:val="000E71ED"/>
    <w:rsid w:val="000E76E5"/>
    <w:rsid w:val="000F5235"/>
    <w:rsid w:val="000F607D"/>
    <w:rsid w:val="000F7C7E"/>
    <w:rsid w:val="00105AE1"/>
    <w:rsid w:val="00107AA8"/>
    <w:rsid w:val="00113CD2"/>
    <w:rsid w:val="00117343"/>
    <w:rsid w:val="00120187"/>
    <w:rsid w:val="00120A86"/>
    <w:rsid w:val="001230F2"/>
    <w:rsid w:val="001233D7"/>
    <w:rsid w:val="00123742"/>
    <w:rsid w:val="00131601"/>
    <w:rsid w:val="00131B5D"/>
    <w:rsid w:val="00133020"/>
    <w:rsid w:val="00135C86"/>
    <w:rsid w:val="0013616F"/>
    <w:rsid w:val="00137479"/>
    <w:rsid w:val="001376C3"/>
    <w:rsid w:val="00140618"/>
    <w:rsid w:val="0014185E"/>
    <w:rsid w:val="0014252E"/>
    <w:rsid w:val="00142F32"/>
    <w:rsid w:val="0014377E"/>
    <w:rsid w:val="00147F2B"/>
    <w:rsid w:val="00151B63"/>
    <w:rsid w:val="001629C6"/>
    <w:rsid w:val="00166EA1"/>
    <w:rsid w:val="001721E1"/>
    <w:rsid w:val="00177366"/>
    <w:rsid w:val="00181695"/>
    <w:rsid w:val="00184685"/>
    <w:rsid w:val="00185C67"/>
    <w:rsid w:val="001A0877"/>
    <w:rsid w:val="001A0D6D"/>
    <w:rsid w:val="001A745F"/>
    <w:rsid w:val="001B1219"/>
    <w:rsid w:val="001B52EB"/>
    <w:rsid w:val="001B6D97"/>
    <w:rsid w:val="001B757F"/>
    <w:rsid w:val="001B7B34"/>
    <w:rsid w:val="001C0B71"/>
    <w:rsid w:val="001C2040"/>
    <w:rsid w:val="001C4DB3"/>
    <w:rsid w:val="001C698C"/>
    <w:rsid w:val="001D1DF1"/>
    <w:rsid w:val="001D2BCB"/>
    <w:rsid w:val="001D5310"/>
    <w:rsid w:val="001D67B1"/>
    <w:rsid w:val="001E2952"/>
    <w:rsid w:val="001E408B"/>
    <w:rsid w:val="001E4B3F"/>
    <w:rsid w:val="001F081D"/>
    <w:rsid w:val="001F5BAD"/>
    <w:rsid w:val="001F63A4"/>
    <w:rsid w:val="0020064F"/>
    <w:rsid w:val="00201D2A"/>
    <w:rsid w:val="00202614"/>
    <w:rsid w:val="00204209"/>
    <w:rsid w:val="00206640"/>
    <w:rsid w:val="00206F76"/>
    <w:rsid w:val="00210022"/>
    <w:rsid w:val="00212FE2"/>
    <w:rsid w:val="00217CE5"/>
    <w:rsid w:val="0022033C"/>
    <w:rsid w:val="002211F6"/>
    <w:rsid w:val="00221DFE"/>
    <w:rsid w:val="00222731"/>
    <w:rsid w:val="00231623"/>
    <w:rsid w:val="0023456C"/>
    <w:rsid w:val="002349A6"/>
    <w:rsid w:val="00235263"/>
    <w:rsid w:val="00240A29"/>
    <w:rsid w:val="00241922"/>
    <w:rsid w:val="002434CD"/>
    <w:rsid w:val="00243884"/>
    <w:rsid w:val="0025120C"/>
    <w:rsid w:val="0025140B"/>
    <w:rsid w:val="00257475"/>
    <w:rsid w:val="002579A5"/>
    <w:rsid w:val="00260336"/>
    <w:rsid w:val="00261AF6"/>
    <w:rsid w:val="002646C4"/>
    <w:rsid w:val="00264A7A"/>
    <w:rsid w:val="00271808"/>
    <w:rsid w:val="0028470F"/>
    <w:rsid w:val="002920A2"/>
    <w:rsid w:val="00292398"/>
    <w:rsid w:val="00293515"/>
    <w:rsid w:val="00297E2B"/>
    <w:rsid w:val="002A59A0"/>
    <w:rsid w:val="002A59D6"/>
    <w:rsid w:val="002B03F7"/>
    <w:rsid w:val="002B1A08"/>
    <w:rsid w:val="002B2DA8"/>
    <w:rsid w:val="002B530F"/>
    <w:rsid w:val="002B7949"/>
    <w:rsid w:val="002C1CAC"/>
    <w:rsid w:val="002C7554"/>
    <w:rsid w:val="002D2659"/>
    <w:rsid w:val="002D2CCE"/>
    <w:rsid w:val="002E5B2D"/>
    <w:rsid w:val="002F1830"/>
    <w:rsid w:val="002F4FD0"/>
    <w:rsid w:val="00301AF7"/>
    <w:rsid w:val="003022BD"/>
    <w:rsid w:val="003078BB"/>
    <w:rsid w:val="00310687"/>
    <w:rsid w:val="00310EC8"/>
    <w:rsid w:val="00312731"/>
    <w:rsid w:val="00313378"/>
    <w:rsid w:val="0032493F"/>
    <w:rsid w:val="003262E7"/>
    <w:rsid w:val="00326CA3"/>
    <w:rsid w:val="00330FDE"/>
    <w:rsid w:val="003331B3"/>
    <w:rsid w:val="0033343A"/>
    <w:rsid w:val="0033344F"/>
    <w:rsid w:val="003341E2"/>
    <w:rsid w:val="00337E08"/>
    <w:rsid w:val="003457F9"/>
    <w:rsid w:val="00347550"/>
    <w:rsid w:val="00347C45"/>
    <w:rsid w:val="003505F2"/>
    <w:rsid w:val="00352FD3"/>
    <w:rsid w:val="00355592"/>
    <w:rsid w:val="00357BAB"/>
    <w:rsid w:val="00357CD5"/>
    <w:rsid w:val="00362F13"/>
    <w:rsid w:val="00371F53"/>
    <w:rsid w:val="003724F8"/>
    <w:rsid w:val="00373412"/>
    <w:rsid w:val="00376820"/>
    <w:rsid w:val="00377242"/>
    <w:rsid w:val="00377CEA"/>
    <w:rsid w:val="003804B5"/>
    <w:rsid w:val="0038596C"/>
    <w:rsid w:val="00387B79"/>
    <w:rsid w:val="00394EC5"/>
    <w:rsid w:val="003A08CE"/>
    <w:rsid w:val="003A63D6"/>
    <w:rsid w:val="003A785D"/>
    <w:rsid w:val="003A7CFC"/>
    <w:rsid w:val="003B0324"/>
    <w:rsid w:val="003B0729"/>
    <w:rsid w:val="003B69BD"/>
    <w:rsid w:val="003C26AB"/>
    <w:rsid w:val="003C553B"/>
    <w:rsid w:val="003D7D49"/>
    <w:rsid w:val="003E21CE"/>
    <w:rsid w:val="003E3CE5"/>
    <w:rsid w:val="003E7A7B"/>
    <w:rsid w:val="003F13F4"/>
    <w:rsid w:val="003F20EF"/>
    <w:rsid w:val="003F25DB"/>
    <w:rsid w:val="003F54AE"/>
    <w:rsid w:val="0040076A"/>
    <w:rsid w:val="00404714"/>
    <w:rsid w:val="00404868"/>
    <w:rsid w:val="00404A87"/>
    <w:rsid w:val="004066B1"/>
    <w:rsid w:val="00406BF4"/>
    <w:rsid w:val="00410BBB"/>
    <w:rsid w:val="00411B3F"/>
    <w:rsid w:val="00416CB3"/>
    <w:rsid w:val="00421F76"/>
    <w:rsid w:val="00423718"/>
    <w:rsid w:val="004245B0"/>
    <w:rsid w:val="00426994"/>
    <w:rsid w:val="00431555"/>
    <w:rsid w:val="00432501"/>
    <w:rsid w:val="00433CAB"/>
    <w:rsid w:val="004350E1"/>
    <w:rsid w:val="00441118"/>
    <w:rsid w:val="00441E44"/>
    <w:rsid w:val="004436FB"/>
    <w:rsid w:val="00444CBD"/>
    <w:rsid w:val="00446517"/>
    <w:rsid w:val="004465D8"/>
    <w:rsid w:val="00446F65"/>
    <w:rsid w:val="00451B1F"/>
    <w:rsid w:val="00454E2E"/>
    <w:rsid w:val="00465E99"/>
    <w:rsid w:val="004678BA"/>
    <w:rsid w:val="0047154A"/>
    <w:rsid w:val="004741EB"/>
    <w:rsid w:val="004754EB"/>
    <w:rsid w:val="0047641E"/>
    <w:rsid w:val="00476879"/>
    <w:rsid w:val="00477880"/>
    <w:rsid w:val="004830CE"/>
    <w:rsid w:val="004855B5"/>
    <w:rsid w:val="004900DE"/>
    <w:rsid w:val="00497AF5"/>
    <w:rsid w:val="004A25BC"/>
    <w:rsid w:val="004A3973"/>
    <w:rsid w:val="004B093F"/>
    <w:rsid w:val="004B28C2"/>
    <w:rsid w:val="004B30EC"/>
    <w:rsid w:val="004B3DEB"/>
    <w:rsid w:val="004B5F32"/>
    <w:rsid w:val="004C5410"/>
    <w:rsid w:val="004D3E2D"/>
    <w:rsid w:val="004D3F0B"/>
    <w:rsid w:val="004D41C9"/>
    <w:rsid w:val="004D48D3"/>
    <w:rsid w:val="004E3DC7"/>
    <w:rsid w:val="004F15D2"/>
    <w:rsid w:val="004F4900"/>
    <w:rsid w:val="00500F4D"/>
    <w:rsid w:val="00501A30"/>
    <w:rsid w:val="00512604"/>
    <w:rsid w:val="005147F2"/>
    <w:rsid w:val="00515796"/>
    <w:rsid w:val="00526351"/>
    <w:rsid w:val="005272A3"/>
    <w:rsid w:val="005323FA"/>
    <w:rsid w:val="005336A9"/>
    <w:rsid w:val="00541C31"/>
    <w:rsid w:val="00543E4C"/>
    <w:rsid w:val="00546AA0"/>
    <w:rsid w:val="0054761C"/>
    <w:rsid w:val="0055194C"/>
    <w:rsid w:val="00552056"/>
    <w:rsid w:val="00554A3F"/>
    <w:rsid w:val="005550E7"/>
    <w:rsid w:val="00557182"/>
    <w:rsid w:val="005623BD"/>
    <w:rsid w:val="00564DD2"/>
    <w:rsid w:val="00565557"/>
    <w:rsid w:val="00566817"/>
    <w:rsid w:val="00567386"/>
    <w:rsid w:val="00574656"/>
    <w:rsid w:val="00581F71"/>
    <w:rsid w:val="005821F8"/>
    <w:rsid w:val="005835C9"/>
    <w:rsid w:val="00584A9D"/>
    <w:rsid w:val="00584E48"/>
    <w:rsid w:val="00585E20"/>
    <w:rsid w:val="0059056C"/>
    <w:rsid w:val="00592649"/>
    <w:rsid w:val="0059291B"/>
    <w:rsid w:val="00594977"/>
    <w:rsid w:val="00596D97"/>
    <w:rsid w:val="005972C1"/>
    <w:rsid w:val="00597825"/>
    <w:rsid w:val="005A1B51"/>
    <w:rsid w:val="005A36C5"/>
    <w:rsid w:val="005A386B"/>
    <w:rsid w:val="005A3E8E"/>
    <w:rsid w:val="005A4FB5"/>
    <w:rsid w:val="005A5B4A"/>
    <w:rsid w:val="005B0365"/>
    <w:rsid w:val="005B15F1"/>
    <w:rsid w:val="005B43C0"/>
    <w:rsid w:val="005B4DBF"/>
    <w:rsid w:val="005B69DA"/>
    <w:rsid w:val="005B6C8E"/>
    <w:rsid w:val="005C56F8"/>
    <w:rsid w:val="005C56FF"/>
    <w:rsid w:val="005C6EAA"/>
    <w:rsid w:val="005D0304"/>
    <w:rsid w:val="005D1C59"/>
    <w:rsid w:val="005D4822"/>
    <w:rsid w:val="005D63AB"/>
    <w:rsid w:val="005D69F9"/>
    <w:rsid w:val="005E2633"/>
    <w:rsid w:val="005E3831"/>
    <w:rsid w:val="005E42C4"/>
    <w:rsid w:val="005E4B86"/>
    <w:rsid w:val="005E4E96"/>
    <w:rsid w:val="005E7839"/>
    <w:rsid w:val="005F0431"/>
    <w:rsid w:val="005F0D4E"/>
    <w:rsid w:val="005F64B7"/>
    <w:rsid w:val="006027C4"/>
    <w:rsid w:val="00605964"/>
    <w:rsid w:val="006059AE"/>
    <w:rsid w:val="006059E1"/>
    <w:rsid w:val="00611CA1"/>
    <w:rsid w:val="0061329C"/>
    <w:rsid w:val="006137D7"/>
    <w:rsid w:val="00621A48"/>
    <w:rsid w:val="00622809"/>
    <w:rsid w:val="006256CD"/>
    <w:rsid w:val="00626305"/>
    <w:rsid w:val="00626E07"/>
    <w:rsid w:val="00626E7B"/>
    <w:rsid w:val="006341EC"/>
    <w:rsid w:val="006345FF"/>
    <w:rsid w:val="006419E7"/>
    <w:rsid w:val="00642EF4"/>
    <w:rsid w:val="006461DF"/>
    <w:rsid w:val="006532A2"/>
    <w:rsid w:val="00653DAA"/>
    <w:rsid w:val="00656138"/>
    <w:rsid w:val="00656D19"/>
    <w:rsid w:val="00656EF7"/>
    <w:rsid w:val="006573D7"/>
    <w:rsid w:val="006600BD"/>
    <w:rsid w:val="006620B2"/>
    <w:rsid w:val="0066266A"/>
    <w:rsid w:val="006648B5"/>
    <w:rsid w:val="0066698E"/>
    <w:rsid w:val="00670688"/>
    <w:rsid w:val="00672D3A"/>
    <w:rsid w:val="00674065"/>
    <w:rsid w:val="006742BA"/>
    <w:rsid w:val="00675893"/>
    <w:rsid w:val="00680164"/>
    <w:rsid w:val="00681909"/>
    <w:rsid w:val="00683EB2"/>
    <w:rsid w:val="00687C40"/>
    <w:rsid w:val="00691FC3"/>
    <w:rsid w:val="0069277F"/>
    <w:rsid w:val="00697992"/>
    <w:rsid w:val="006A28E4"/>
    <w:rsid w:val="006A341B"/>
    <w:rsid w:val="006A3E26"/>
    <w:rsid w:val="006A6816"/>
    <w:rsid w:val="006A6B46"/>
    <w:rsid w:val="006B0236"/>
    <w:rsid w:val="006B5629"/>
    <w:rsid w:val="006B6187"/>
    <w:rsid w:val="006B6D03"/>
    <w:rsid w:val="006C0612"/>
    <w:rsid w:val="006C161F"/>
    <w:rsid w:val="006D031D"/>
    <w:rsid w:val="006D04F1"/>
    <w:rsid w:val="006D2606"/>
    <w:rsid w:val="006D3BA1"/>
    <w:rsid w:val="006D7146"/>
    <w:rsid w:val="006D770B"/>
    <w:rsid w:val="006E18D0"/>
    <w:rsid w:val="006E53FB"/>
    <w:rsid w:val="006E56C3"/>
    <w:rsid w:val="006F1632"/>
    <w:rsid w:val="006F2F8F"/>
    <w:rsid w:val="006F60B1"/>
    <w:rsid w:val="00703546"/>
    <w:rsid w:val="007040B1"/>
    <w:rsid w:val="007057B9"/>
    <w:rsid w:val="007067D8"/>
    <w:rsid w:val="00716677"/>
    <w:rsid w:val="0071690D"/>
    <w:rsid w:val="00717E83"/>
    <w:rsid w:val="00720C76"/>
    <w:rsid w:val="00737DAC"/>
    <w:rsid w:val="0074060D"/>
    <w:rsid w:val="00742429"/>
    <w:rsid w:val="00743BD8"/>
    <w:rsid w:val="00752382"/>
    <w:rsid w:val="007530E4"/>
    <w:rsid w:val="007553CA"/>
    <w:rsid w:val="00755BA7"/>
    <w:rsid w:val="007606D5"/>
    <w:rsid w:val="00763371"/>
    <w:rsid w:val="0076446A"/>
    <w:rsid w:val="00764645"/>
    <w:rsid w:val="00765C56"/>
    <w:rsid w:val="00767B9A"/>
    <w:rsid w:val="00767FFD"/>
    <w:rsid w:val="007727D3"/>
    <w:rsid w:val="00773D62"/>
    <w:rsid w:val="00774412"/>
    <w:rsid w:val="00774B97"/>
    <w:rsid w:val="00775841"/>
    <w:rsid w:val="0077769F"/>
    <w:rsid w:val="0078055A"/>
    <w:rsid w:val="0078275C"/>
    <w:rsid w:val="007869EB"/>
    <w:rsid w:val="007908C9"/>
    <w:rsid w:val="007911CB"/>
    <w:rsid w:val="0079795B"/>
    <w:rsid w:val="007A3922"/>
    <w:rsid w:val="007A554B"/>
    <w:rsid w:val="007B12B5"/>
    <w:rsid w:val="007B1B05"/>
    <w:rsid w:val="007B60D6"/>
    <w:rsid w:val="007B6130"/>
    <w:rsid w:val="007C2005"/>
    <w:rsid w:val="007C4DFE"/>
    <w:rsid w:val="007C5257"/>
    <w:rsid w:val="007D2757"/>
    <w:rsid w:val="007D6458"/>
    <w:rsid w:val="007D7090"/>
    <w:rsid w:val="007E083C"/>
    <w:rsid w:val="007E2BDE"/>
    <w:rsid w:val="007E3C87"/>
    <w:rsid w:val="007E4523"/>
    <w:rsid w:val="007E4ED9"/>
    <w:rsid w:val="007F3043"/>
    <w:rsid w:val="007F361A"/>
    <w:rsid w:val="007F375C"/>
    <w:rsid w:val="007F378E"/>
    <w:rsid w:val="007F46F4"/>
    <w:rsid w:val="008006D9"/>
    <w:rsid w:val="008055A9"/>
    <w:rsid w:val="00806B01"/>
    <w:rsid w:val="00806E1E"/>
    <w:rsid w:val="0080726A"/>
    <w:rsid w:val="00807837"/>
    <w:rsid w:val="0081143D"/>
    <w:rsid w:val="00811763"/>
    <w:rsid w:val="00812E29"/>
    <w:rsid w:val="00812F3D"/>
    <w:rsid w:val="00820CC6"/>
    <w:rsid w:val="00822CD4"/>
    <w:rsid w:val="0082469E"/>
    <w:rsid w:val="00830597"/>
    <w:rsid w:val="008312AE"/>
    <w:rsid w:val="008335D5"/>
    <w:rsid w:val="008408F4"/>
    <w:rsid w:val="00843410"/>
    <w:rsid w:val="00843AE8"/>
    <w:rsid w:val="0084416F"/>
    <w:rsid w:val="00851D19"/>
    <w:rsid w:val="008536B9"/>
    <w:rsid w:val="00855ED2"/>
    <w:rsid w:val="008564D9"/>
    <w:rsid w:val="008572AA"/>
    <w:rsid w:val="00857B7A"/>
    <w:rsid w:val="00863C3D"/>
    <w:rsid w:val="00865A3A"/>
    <w:rsid w:val="0086666F"/>
    <w:rsid w:val="00871E21"/>
    <w:rsid w:val="00875E2A"/>
    <w:rsid w:val="00880571"/>
    <w:rsid w:val="00880B9D"/>
    <w:rsid w:val="00881E17"/>
    <w:rsid w:val="00892A9E"/>
    <w:rsid w:val="0089461E"/>
    <w:rsid w:val="008A28F8"/>
    <w:rsid w:val="008A2F32"/>
    <w:rsid w:val="008A3833"/>
    <w:rsid w:val="008A66DA"/>
    <w:rsid w:val="008A7CAD"/>
    <w:rsid w:val="008B274D"/>
    <w:rsid w:val="008B2814"/>
    <w:rsid w:val="008C01D0"/>
    <w:rsid w:val="008C6B85"/>
    <w:rsid w:val="008D1474"/>
    <w:rsid w:val="008D2380"/>
    <w:rsid w:val="008D34E2"/>
    <w:rsid w:val="008D70E6"/>
    <w:rsid w:val="008E09AF"/>
    <w:rsid w:val="008E15B3"/>
    <w:rsid w:val="008E28F6"/>
    <w:rsid w:val="008E3893"/>
    <w:rsid w:val="008E7C9B"/>
    <w:rsid w:val="008F1E63"/>
    <w:rsid w:val="008F22E4"/>
    <w:rsid w:val="008F2C3B"/>
    <w:rsid w:val="008F67CF"/>
    <w:rsid w:val="008F7CAE"/>
    <w:rsid w:val="00903E15"/>
    <w:rsid w:val="00904A5A"/>
    <w:rsid w:val="00910DE4"/>
    <w:rsid w:val="0091238E"/>
    <w:rsid w:val="00914081"/>
    <w:rsid w:val="00916A1E"/>
    <w:rsid w:val="00924533"/>
    <w:rsid w:val="00930FCB"/>
    <w:rsid w:val="0093488F"/>
    <w:rsid w:val="0093610A"/>
    <w:rsid w:val="00936A8B"/>
    <w:rsid w:val="00937D7E"/>
    <w:rsid w:val="00941C25"/>
    <w:rsid w:val="00941D18"/>
    <w:rsid w:val="00943834"/>
    <w:rsid w:val="00945C88"/>
    <w:rsid w:val="00947238"/>
    <w:rsid w:val="00955D55"/>
    <w:rsid w:val="00956636"/>
    <w:rsid w:val="00960192"/>
    <w:rsid w:val="009625B0"/>
    <w:rsid w:val="009627F3"/>
    <w:rsid w:val="00965253"/>
    <w:rsid w:val="00966321"/>
    <w:rsid w:val="00967EA5"/>
    <w:rsid w:val="00967FC2"/>
    <w:rsid w:val="00972C65"/>
    <w:rsid w:val="00977D35"/>
    <w:rsid w:val="00982E46"/>
    <w:rsid w:val="00983589"/>
    <w:rsid w:val="00983725"/>
    <w:rsid w:val="009929DF"/>
    <w:rsid w:val="00992B1B"/>
    <w:rsid w:val="00992DC7"/>
    <w:rsid w:val="00993154"/>
    <w:rsid w:val="00994464"/>
    <w:rsid w:val="009B66CD"/>
    <w:rsid w:val="009C4D8D"/>
    <w:rsid w:val="009C53C6"/>
    <w:rsid w:val="009D0E85"/>
    <w:rsid w:val="009D2EB0"/>
    <w:rsid w:val="009D33C0"/>
    <w:rsid w:val="009D379A"/>
    <w:rsid w:val="009D50B0"/>
    <w:rsid w:val="009D51E5"/>
    <w:rsid w:val="009D58D5"/>
    <w:rsid w:val="009E0937"/>
    <w:rsid w:val="009E3694"/>
    <w:rsid w:val="009E5864"/>
    <w:rsid w:val="009F3141"/>
    <w:rsid w:val="009F57BB"/>
    <w:rsid w:val="009F6019"/>
    <w:rsid w:val="00A00823"/>
    <w:rsid w:val="00A00AC0"/>
    <w:rsid w:val="00A00E86"/>
    <w:rsid w:val="00A02EDB"/>
    <w:rsid w:val="00A04E2C"/>
    <w:rsid w:val="00A07ECD"/>
    <w:rsid w:val="00A14531"/>
    <w:rsid w:val="00A14B16"/>
    <w:rsid w:val="00A15427"/>
    <w:rsid w:val="00A1698F"/>
    <w:rsid w:val="00A17D71"/>
    <w:rsid w:val="00A20ACA"/>
    <w:rsid w:val="00A27404"/>
    <w:rsid w:val="00A30777"/>
    <w:rsid w:val="00A3284E"/>
    <w:rsid w:val="00A32B3F"/>
    <w:rsid w:val="00A341AE"/>
    <w:rsid w:val="00A356E4"/>
    <w:rsid w:val="00A36D52"/>
    <w:rsid w:val="00A40331"/>
    <w:rsid w:val="00A42BBE"/>
    <w:rsid w:val="00A43CB8"/>
    <w:rsid w:val="00A44593"/>
    <w:rsid w:val="00A449B7"/>
    <w:rsid w:val="00A44F7F"/>
    <w:rsid w:val="00A45B50"/>
    <w:rsid w:val="00A46D1E"/>
    <w:rsid w:val="00A4714C"/>
    <w:rsid w:val="00A472D6"/>
    <w:rsid w:val="00A4748C"/>
    <w:rsid w:val="00A5048D"/>
    <w:rsid w:val="00A6352E"/>
    <w:rsid w:val="00A63D5E"/>
    <w:rsid w:val="00A641CF"/>
    <w:rsid w:val="00A70E8E"/>
    <w:rsid w:val="00A76A8A"/>
    <w:rsid w:val="00A76DA8"/>
    <w:rsid w:val="00A80208"/>
    <w:rsid w:val="00A93573"/>
    <w:rsid w:val="00A94C36"/>
    <w:rsid w:val="00A96001"/>
    <w:rsid w:val="00AA05C6"/>
    <w:rsid w:val="00AA090D"/>
    <w:rsid w:val="00AA2EBD"/>
    <w:rsid w:val="00AA4939"/>
    <w:rsid w:val="00AA79AB"/>
    <w:rsid w:val="00AB2386"/>
    <w:rsid w:val="00AB2F05"/>
    <w:rsid w:val="00AB4123"/>
    <w:rsid w:val="00AB4768"/>
    <w:rsid w:val="00AC3C17"/>
    <w:rsid w:val="00AD0C82"/>
    <w:rsid w:val="00AD3413"/>
    <w:rsid w:val="00AD362F"/>
    <w:rsid w:val="00AE0477"/>
    <w:rsid w:val="00AE18EA"/>
    <w:rsid w:val="00AE21D9"/>
    <w:rsid w:val="00AE32A9"/>
    <w:rsid w:val="00AE725A"/>
    <w:rsid w:val="00AF4E19"/>
    <w:rsid w:val="00AF74FB"/>
    <w:rsid w:val="00AF77C5"/>
    <w:rsid w:val="00B019CE"/>
    <w:rsid w:val="00B01D15"/>
    <w:rsid w:val="00B0222B"/>
    <w:rsid w:val="00B03910"/>
    <w:rsid w:val="00B07707"/>
    <w:rsid w:val="00B138CD"/>
    <w:rsid w:val="00B14B94"/>
    <w:rsid w:val="00B158A4"/>
    <w:rsid w:val="00B15F44"/>
    <w:rsid w:val="00B26485"/>
    <w:rsid w:val="00B272B7"/>
    <w:rsid w:val="00B304AD"/>
    <w:rsid w:val="00B306C6"/>
    <w:rsid w:val="00B3300A"/>
    <w:rsid w:val="00B36448"/>
    <w:rsid w:val="00B42FFE"/>
    <w:rsid w:val="00B4621E"/>
    <w:rsid w:val="00B506D1"/>
    <w:rsid w:val="00B52C63"/>
    <w:rsid w:val="00B53132"/>
    <w:rsid w:val="00B53F6B"/>
    <w:rsid w:val="00B5735D"/>
    <w:rsid w:val="00B57C9C"/>
    <w:rsid w:val="00B61F86"/>
    <w:rsid w:val="00B62CC8"/>
    <w:rsid w:val="00B63557"/>
    <w:rsid w:val="00B66032"/>
    <w:rsid w:val="00B67DF6"/>
    <w:rsid w:val="00B71140"/>
    <w:rsid w:val="00B74977"/>
    <w:rsid w:val="00B74E92"/>
    <w:rsid w:val="00B76134"/>
    <w:rsid w:val="00B7749A"/>
    <w:rsid w:val="00B80A1B"/>
    <w:rsid w:val="00B8276D"/>
    <w:rsid w:val="00B82B01"/>
    <w:rsid w:val="00B82E88"/>
    <w:rsid w:val="00B830C4"/>
    <w:rsid w:val="00B84559"/>
    <w:rsid w:val="00BA08BC"/>
    <w:rsid w:val="00BA1277"/>
    <w:rsid w:val="00BA2829"/>
    <w:rsid w:val="00BB08FA"/>
    <w:rsid w:val="00BB0962"/>
    <w:rsid w:val="00BB4D7F"/>
    <w:rsid w:val="00BB7D41"/>
    <w:rsid w:val="00BC1655"/>
    <w:rsid w:val="00BC2A40"/>
    <w:rsid w:val="00BC2DCA"/>
    <w:rsid w:val="00BC556E"/>
    <w:rsid w:val="00BC56C8"/>
    <w:rsid w:val="00BC655A"/>
    <w:rsid w:val="00BC7CDA"/>
    <w:rsid w:val="00BD2149"/>
    <w:rsid w:val="00BD2BDD"/>
    <w:rsid w:val="00BD556E"/>
    <w:rsid w:val="00BD5618"/>
    <w:rsid w:val="00BD6E64"/>
    <w:rsid w:val="00BE1446"/>
    <w:rsid w:val="00BE1CC7"/>
    <w:rsid w:val="00BE1CFA"/>
    <w:rsid w:val="00BF7D8E"/>
    <w:rsid w:val="00BF7FAD"/>
    <w:rsid w:val="00C03403"/>
    <w:rsid w:val="00C03BB2"/>
    <w:rsid w:val="00C043E4"/>
    <w:rsid w:val="00C073E0"/>
    <w:rsid w:val="00C078A3"/>
    <w:rsid w:val="00C11181"/>
    <w:rsid w:val="00C2550C"/>
    <w:rsid w:val="00C2603A"/>
    <w:rsid w:val="00C326B7"/>
    <w:rsid w:val="00C34AE0"/>
    <w:rsid w:val="00C37965"/>
    <w:rsid w:val="00C37C50"/>
    <w:rsid w:val="00C461BF"/>
    <w:rsid w:val="00C47F72"/>
    <w:rsid w:val="00C507FD"/>
    <w:rsid w:val="00C510B8"/>
    <w:rsid w:val="00C522B6"/>
    <w:rsid w:val="00C5258A"/>
    <w:rsid w:val="00C53C5B"/>
    <w:rsid w:val="00C57DB2"/>
    <w:rsid w:val="00C62D7A"/>
    <w:rsid w:val="00C64C0A"/>
    <w:rsid w:val="00C75367"/>
    <w:rsid w:val="00C810F2"/>
    <w:rsid w:val="00C82F0C"/>
    <w:rsid w:val="00C838ED"/>
    <w:rsid w:val="00C84908"/>
    <w:rsid w:val="00C91293"/>
    <w:rsid w:val="00C92897"/>
    <w:rsid w:val="00C9664E"/>
    <w:rsid w:val="00CA0463"/>
    <w:rsid w:val="00CA2E0F"/>
    <w:rsid w:val="00CA32D8"/>
    <w:rsid w:val="00CA3AD5"/>
    <w:rsid w:val="00CA6006"/>
    <w:rsid w:val="00CA7653"/>
    <w:rsid w:val="00CB1EEB"/>
    <w:rsid w:val="00CB4EAB"/>
    <w:rsid w:val="00CB5EA2"/>
    <w:rsid w:val="00CB7744"/>
    <w:rsid w:val="00CB7A15"/>
    <w:rsid w:val="00CC5CBA"/>
    <w:rsid w:val="00CD08A9"/>
    <w:rsid w:val="00CD3837"/>
    <w:rsid w:val="00CD469B"/>
    <w:rsid w:val="00CD55A5"/>
    <w:rsid w:val="00CE0090"/>
    <w:rsid w:val="00CE0EB5"/>
    <w:rsid w:val="00CE3C47"/>
    <w:rsid w:val="00CE445E"/>
    <w:rsid w:val="00CE47BA"/>
    <w:rsid w:val="00CE73C2"/>
    <w:rsid w:val="00CE7D1D"/>
    <w:rsid w:val="00CF2FD0"/>
    <w:rsid w:val="00CF3615"/>
    <w:rsid w:val="00CF6E5A"/>
    <w:rsid w:val="00D001A2"/>
    <w:rsid w:val="00D03DB3"/>
    <w:rsid w:val="00D05090"/>
    <w:rsid w:val="00D06E35"/>
    <w:rsid w:val="00D15146"/>
    <w:rsid w:val="00D1564D"/>
    <w:rsid w:val="00D27807"/>
    <w:rsid w:val="00D34A29"/>
    <w:rsid w:val="00D35DBE"/>
    <w:rsid w:val="00D376CB"/>
    <w:rsid w:val="00D37F46"/>
    <w:rsid w:val="00D44A6B"/>
    <w:rsid w:val="00D4787F"/>
    <w:rsid w:val="00D52086"/>
    <w:rsid w:val="00D520AF"/>
    <w:rsid w:val="00D62DC6"/>
    <w:rsid w:val="00D62ED3"/>
    <w:rsid w:val="00D707A4"/>
    <w:rsid w:val="00D73753"/>
    <w:rsid w:val="00D742C1"/>
    <w:rsid w:val="00D750DA"/>
    <w:rsid w:val="00D80853"/>
    <w:rsid w:val="00D848A2"/>
    <w:rsid w:val="00D86DC4"/>
    <w:rsid w:val="00D93C5D"/>
    <w:rsid w:val="00D94BCE"/>
    <w:rsid w:val="00D95132"/>
    <w:rsid w:val="00D95B3B"/>
    <w:rsid w:val="00DA595E"/>
    <w:rsid w:val="00DB03C1"/>
    <w:rsid w:val="00DB654E"/>
    <w:rsid w:val="00DB6751"/>
    <w:rsid w:val="00DD127F"/>
    <w:rsid w:val="00DD27AF"/>
    <w:rsid w:val="00DD47FD"/>
    <w:rsid w:val="00DD53E0"/>
    <w:rsid w:val="00DD718B"/>
    <w:rsid w:val="00DE6CCC"/>
    <w:rsid w:val="00DF2704"/>
    <w:rsid w:val="00DF27A4"/>
    <w:rsid w:val="00DF2A42"/>
    <w:rsid w:val="00DF3062"/>
    <w:rsid w:val="00DF3165"/>
    <w:rsid w:val="00DF3384"/>
    <w:rsid w:val="00DF7AA9"/>
    <w:rsid w:val="00E078F0"/>
    <w:rsid w:val="00E122F8"/>
    <w:rsid w:val="00E14C13"/>
    <w:rsid w:val="00E1507C"/>
    <w:rsid w:val="00E168BE"/>
    <w:rsid w:val="00E20CF0"/>
    <w:rsid w:val="00E27736"/>
    <w:rsid w:val="00E27B54"/>
    <w:rsid w:val="00E27F41"/>
    <w:rsid w:val="00E31E6A"/>
    <w:rsid w:val="00E33620"/>
    <w:rsid w:val="00E33E8F"/>
    <w:rsid w:val="00E34D83"/>
    <w:rsid w:val="00E37284"/>
    <w:rsid w:val="00E4018C"/>
    <w:rsid w:val="00E42F38"/>
    <w:rsid w:val="00E45AF0"/>
    <w:rsid w:val="00E45B3A"/>
    <w:rsid w:val="00E464BF"/>
    <w:rsid w:val="00E55BC8"/>
    <w:rsid w:val="00E567FA"/>
    <w:rsid w:val="00E60BB4"/>
    <w:rsid w:val="00E61AFA"/>
    <w:rsid w:val="00E62D82"/>
    <w:rsid w:val="00E6498A"/>
    <w:rsid w:val="00E75C2D"/>
    <w:rsid w:val="00E8157A"/>
    <w:rsid w:val="00E82D8F"/>
    <w:rsid w:val="00E8551B"/>
    <w:rsid w:val="00E91355"/>
    <w:rsid w:val="00E92595"/>
    <w:rsid w:val="00E92F61"/>
    <w:rsid w:val="00E94C31"/>
    <w:rsid w:val="00E95A62"/>
    <w:rsid w:val="00E965C6"/>
    <w:rsid w:val="00E96914"/>
    <w:rsid w:val="00E976D5"/>
    <w:rsid w:val="00EA07B2"/>
    <w:rsid w:val="00EA0A85"/>
    <w:rsid w:val="00EA3298"/>
    <w:rsid w:val="00EB01BD"/>
    <w:rsid w:val="00EB0A85"/>
    <w:rsid w:val="00EB20CC"/>
    <w:rsid w:val="00EB26A7"/>
    <w:rsid w:val="00EB2F1D"/>
    <w:rsid w:val="00EB5574"/>
    <w:rsid w:val="00EB7B38"/>
    <w:rsid w:val="00EC06A9"/>
    <w:rsid w:val="00EC1A49"/>
    <w:rsid w:val="00ED055B"/>
    <w:rsid w:val="00ED70D4"/>
    <w:rsid w:val="00EE00D6"/>
    <w:rsid w:val="00EE19CA"/>
    <w:rsid w:val="00EF2086"/>
    <w:rsid w:val="00EF20A7"/>
    <w:rsid w:val="00EF2233"/>
    <w:rsid w:val="00EF311F"/>
    <w:rsid w:val="00EF3CF0"/>
    <w:rsid w:val="00EF6979"/>
    <w:rsid w:val="00F02425"/>
    <w:rsid w:val="00F04AE1"/>
    <w:rsid w:val="00F0646C"/>
    <w:rsid w:val="00F07618"/>
    <w:rsid w:val="00F176E4"/>
    <w:rsid w:val="00F204DA"/>
    <w:rsid w:val="00F208CF"/>
    <w:rsid w:val="00F21C03"/>
    <w:rsid w:val="00F22EEE"/>
    <w:rsid w:val="00F25EC6"/>
    <w:rsid w:val="00F27F3E"/>
    <w:rsid w:val="00F3378E"/>
    <w:rsid w:val="00F344D9"/>
    <w:rsid w:val="00F36696"/>
    <w:rsid w:val="00F40E26"/>
    <w:rsid w:val="00F41666"/>
    <w:rsid w:val="00F47C2F"/>
    <w:rsid w:val="00F51598"/>
    <w:rsid w:val="00F55C9D"/>
    <w:rsid w:val="00F56140"/>
    <w:rsid w:val="00F57F32"/>
    <w:rsid w:val="00F6023C"/>
    <w:rsid w:val="00F7063F"/>
    <w:rsid w:val="00F721A0"/>
    <w:rsid w:val="00F74FAA"/>
    <w:rsid w:val="00F76E96"/>
    <w:rsid w:val="00F8696F"/>
    <w:rsid w:val="00F90007"/>
    <w:rsid w:val="00F94610"/>
    <w:rsid w:val="00F97C59"/>
    <w:rsid w:val="00FA15A1"/>
    <w:rsid w:val="00FA2A5A"/>
    <w:rsid w:val="00FA4C7A"/>
    <w:rsid w:val="00FA695F"/>
    <w:rsid w:val="00FB0F7F"/>
    <w:rsid w:val="00FB1455"/>
    <w:rsid w:val="00FB1CEF"/>
    <w:rsid w:val="00FB2314"/>
    <w:rsid w:val="00FB3CD3"/>
    <w:rsid w:val="00FB437B"/>
    <w:rsid w:val="00FB5023"/>
    <w:rsid w:val="00FC10F5"/>
    <w:rsid w:val="00FC2189"/>
    <w:rsid w:val="00FC2520"/>
    <w:rsid w:val="00FC3022"/>
    <w:rsid w:val="00FC5A24"/>
    <w:rsid w:val="00FC7160"/>
    <w:rsid w:val="00FD0397"/>
    <w:rsid w:val="00FE75A6"/>
    <w:rsid w:val="00FE7DBF"/>
    <w:rsid w:val="00FF4024"/>
    <w:rsid w:val="00FF68AF"/>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4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952"/>
    <w:pPr>
      <w:spacing w:before="120" w:after="120" w:line="240" w:lineRule="auto"/>
      <w:jc w:val="both"/>
    </w:pPr>
    <w:rPr>
      <w:rFonts w:ascii="Arial" w:hAnsi="Arial" w:cs="Arial"/>
      <w:sz w:val="20"/>
    </w:rPr>
  </w:style>
  <w:style w:type="paragraph" w:styleId="Heading1">
    <w:name w:val="heading 1"/>
    <w:basedOn w:val="Normal"/>
    <w:next w:val="Normal"/>
    <w:link w:val="Heading1Char"/>
    <w:autoRedefine/>
    <w:uiPriority w:val="9"/>
    <w:qFormat/>
    <w:rsid w:val="00BC7CDA"/>
    <w:pPr>
      <w:keepNext/>
      <w:keepLines/>
      <w:numPr>
        <w:numId w:val="29"/>
      </w:numPr>
      <w:tabs>
        <w:tab w:val="left" w:pos="0"/>
        <w:tab w:val="left" w:leader="underscore" w:pos="851"/>
      </w:tabs>
      <w:spacing w:before="240" w:after="240"/>
      <w:outlineLvl w:val="0"/>
    </w:pPr>
    <w:rPr>
      <w:rFonts w:eastAsiaTheme="majorEastAsia"/>
      <w:b/>
      <w:color w:val="FF931E"/>
      <w:sz w:val="36"/>
      <w:szCs w:val="30"/>
    </w:rPr>
  </w:style>
  <w:style w:type="paragraph" w:styleId="Heading2">
    <w:name w:val="heading 2"/>
    <w:basedOn w:val="Normal"/>
    <w:next w:val="Normal"/>
    <w:link w:val="Heading2Char"/>
    <w:autoRedefine/>
    <w:uiPriority w:val="9"/>
    <w:unhideWhenUsed/>
    <w:qFormat/>
    <w:rsid w:val="00605964"/>
    <w:pPr>
      <w:keepNext/>
      <w:keepLines/>
      <w:numPr>
        <w:ilvl w:val="1"/>
        <w:numId w:val="5"/>
      </w:numPr>
      <w:tabs>
        <w:tab w:val="left" w:pos="851"/>
      </w:tabs>
      <w:spacing w:before="240" w:after="240"/>
      <w:ind w:left="851" w:hanging="851"/>
      <w:outlineLvl w:val="1"/>
    </w:pPr>
    <w:rPr>
      <w:rFonts w:eastAsiaTheme="majorEastAsia"/>
      <w:b/>
      <w:color w:val="FF931E"/>
      <w:sz w:val="28"/>
      <w:szCs w:val="28"/>
    </w:rPr>
  </w:style>
  <w:style w:type="paragraph" w:styleId="Heading3">
    <w:name w:val="heading 3"/>
    <w:basedOn w:val="Normal"/>
    <w:next w:val="Normal"/>
    <w:link w:val="Heading3Char"/>
    <w:uiPriority w:val="9"/>
    <w:unhideWhenUsed/>
    <w:qFormat/>
    <w:rsid w:val="00E4018C"/>
    <w:pPr>
      <w:keepNext/>
      <w:keepLines/>
      <w:numPr>
        <w:ilvl w:val="2"/>
        <w:numId w:val="5"/>
      </w:numPr>
      <w:spacing w:before="240" w:after="240"/>
      <w:outlineLvl w:val="2"/>
    </w:pPr>
    <w:rPr>
      <w:rFonts w:eastAsiaTheme="majorEastAsia"/>
      <w:b/>
      <w:color w:val="FF931E"/>
      <w:sz w:val="24"/>
      <w:szCs w:val="26"/>
    </w:rPr>
  </w:style>
  <w:style w:type="paragraph" w:styleId="Heading4">
    <w:name w:val="heading 4"/>
    <w:basedOn w:val="Normal"/>
    <w:next w:val="Normal"/>
    <w:link w:val="Heading4Char"/>
    <w:uiPriority w:val="9"/>
    <w:unhideWhenUsed/>
    <w:qFormat/>
    <w:rsid w:val="00966321"/>
    <w:pPr>
      <w:numPr>
        <w:ilvl w:val="3"/>
        <w:numId w:val="5"/>
      </w:numPr>
      <w:outlineLvl w:val="3"/>
    </w:pPr>
    <w:rPr>
      <w:b/>
      <w:color w:val="898D8D"/>
      <w:sz w:val="22"/>
    </w:rPr>
  </w:style>
  <w:style w:type="paragraph" w:styleId="Heading5">
    <w:name w:val="heading 5"/>
    <w:basedOn w:val="Normal"/>
    <w:next w:val="Normal"/>
    <w:link w:val="Heading5Char"/>
    <w:uiPriority w:val="9"/>
    <w:unhideWhenUsed/>
    <w:qFormat/>
    <w:rsid w:val="00E4018C"/>
    <w:pPr>
      <w:numPr>
        <w:ilvl w:val="4"/>
        <w:numId w:val="5"/>
      </w:numPr>
      <w:outlineLvl w:val="4"/>
    </w:pPr>
    <w:rPr>
      <w:i/>
      <w:color w:val="898D8D"/>
    </w:rPr>
  </w:style>
  <w:style w:type="paragraph" w:styleId="Heading6">
    <w:name w:val="heading 6"/>
    <w:basedOn w:val="Normal"/>
    <w:next w:val="Normal"/>
    <w:link w:val="Heading6Char"/>
    <w:unhideWhenUsed/>
    <w:rsid w:val="000B34F1"/>
    <w:pPr>
      <w:keepNext/>
      <w:keepLines/>
      <w:numPr>
        <w:ilvl w:val="5"/>
        <w:numId w:val="5"/>
      </w:numPr>
      <w:spacing w:before="40" w:after="0"/>
      <w:outlineLvl w:val="5"/>
    </w:pPr>
    <w:rPr>
      <w:rFonts w:asciiTheme="majorHAnsi" w:eastAsiaTheme="majorEastAsia" w:hAnsiTheme="majorHAnsi" w:cstheme="majorBidi"/>
      <w:i/>
      <w:iCs/>
      <w:color w:val="664D26" w:themeColor="accent6" w:themeShade="80"/>
      <w:sz w:val="23"/>
      <w:szCs w:val="23"/>
    </w:rPr>
  </w:style>
  <w:style w:type="paragraph" w:styleId="Heading7">
    <w:name w:val="heading 7"/>
    <w:basedOn w:val="Normal"/>
    <w:next w:val="Normal"/>
    <w:link w:val="Heading7Char"/>
    <w:uiPriority w:val="9"/>
    <w:semiHidden/>
    <w:unhideWhenUsed/>
    <w:qFormat/>
    <w:rsid w:val="000B34F1"/>
    <w:pPr>
      <w:keepNext/>
      <w:keepLines/>
      <w:numPr>
        <w:ilvl w:val="6"/>
        <w:numId w:val="5"/>
      </w:numPr>
      <w:spacing w:before="40" w:after="0"/>
      <w:outlineLvl w:val="6"/>
    </w:pPr>
    <w:rPr>
      <w:rFonts w:asciiTheme="majorHAnsi" w:eastAsiaTheme="majorEastAsia" w:hAnsiTheme="majorHAnsi" w:cstheme="majorBidi"/>
      <w:color w:val="783F04" w:themeColor="accent1" w:themeShade="80"/>
    </w:rPr>
  </w:style>
  <w:style w:type="paragraph" w:styleId="Heading8">
    <w:name w:val="heading 8"/>
    <w:basedOn w:val="Normal"/>
    <w:next w:val="Normal"/>
    <w:link w:val="Heading8Char"/>
    <w:uiPriority w:val="9"/>
    <w:semiHidden/>
    <w:unhideWhenUsed/>
    <w:qFormat/>
    <w:rsid w:val="000B34F1"/>
    <w:pPr>
      <w:keepNext/>
      <w:keepLines/>
      <w:numPr>
        <w:ilvl w:val="7"/>
        <w:numId w:val="5"/>
      </w:numPr>
      <w:spacing w:before="40" w:after="0"/>
      <w:outlineLvl w:val="7"/>
    </w:pPr>
    <w:rPr>
      <w:rFonts w:asciiTheme="majorHAnsi" w:eastAsiaTheme="majorEastAsia" w:hAnsiTheme="majorHAnsi" w:cstheme="majorBidi"/>
      <w:color w:val="4F141B" w:themeColor="accent2" w:themeShade="80"/>
      <w:sz w:val="21"/>
      <w:szCs w:val="21"/>
    </w:rPr>
  </w:style>
  <w:style w:type="paragraph" w:styleId="Heading9">
    <w:name w:val="heading 9"/>
    <w:basedOn w:val="Normal"/>
    <w:next w:val="Normal"/>
    <w:link w:val="Heading9Char"/>
    <w:uiPriority w:val="9"/>
    <w:semiHidden/>
    <w:unhideWhenUsed/>
    <w:qFormat/>
    <w:rsid w:val="000B34F1"/>
    <w:pPr>
      <w:keepNext/>
      <w:keepLines/>
      <w:numPr>
        <w:ilvl w:val="8"/>
        <w:numId w:val="5"/>
      </w:numPr>
      <w:spacing w:before="40" w:after="0"/>
      <w:outlineLvl w:val="8"/>
    </w:pPr>
    <w:rPr>
      <w:rFonts w:asciiTheme="majorHAnsi" w:eastAsiaTheme="majorEastAsia" w:hAnsiTheme="majorHAnsi" w:cstheme="majorBidi"/>
      <w:color w:val="664D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CDA"/>
    <w:rPr>
      <w:rFonts w:ascii="Arial" w:eastAsiaTheme="majorEastAsia" w:hAnsi="Arial" w:cs="Arial"/>
      <w:b/>
      <w:color w:val="FF931E"/>
      <w:sz w:val="36"/>
      <w:szCs w:val="30"/>
    </w:rPr>
  </w:style>
  <w:style w:type="character" w:customStyle="1" w:styleId="Heading2Char">
    <w:name w:val="Heading 2 Char"/>
    <w:basedOn w:val="DefaultParagraphFont"/>
    <w:link w:val="Heading2"/>
    <w:uiPriority w:val="9"/>
    <w:rsid w:val="00605964"/>
    <w:rPr>
      <w:rFonts w:ascii="Arial" w:eastAsiaTheme="majorEastAsia" w:hAnsi="Arial" w:cs="Arial"/>
      <w:b/>
      <w:color w:val="FF931E"/>
      <w:sz w:val="28"/>
      <w:szCs w:val="28"/>
    </w:rPr>
  </w:style>
  <w:style w:type="character" w:customStyle="1" w:styleId="Heading3Char">
    <w:name w:val="Heading 3 Char"/>
    <w:basedOn w:val="DefaultParagraphFont"/>
    <w:link w:val="Heading3"/>
    <w:uiPriority w:val="9"/>
    <w:rsid w:val="00E4018C"/>
    <w:rPr>
      <w:rFonts w:ascii="Arial" w:eastAsiaTheme="majorEastAsia" w:hAnsi="Arial" w:cs="Arial"/>
      <w:b/>
      <w:color w:val="FF931E"/>
      <w:sz w:val="24"/>
      <w:szCs w:val="26"/>
    </w:rPr>
  </w:style>
  <w:style w:type="character" w:customStyle="1" w:styleId="Heading4Char">
    <w:name w:val="Heading 4 Char"/>
    <w:basedOn w:val="DefaultParagraphFont"/>
    <w:link w:val="Heading4"/>
    <w:uiPriority w:val="9"/>
    <w:rsid w:val="00966321"/>
    <w:rPr>
      <w:rFonts w:ascii="Arial" w:hAnsi="Arial" w:cs="Arial"/>
      <w:b/>
      <w:color w:val="898D8D"/>
    </w:rPr>
  </w:style>
  <w:style w:type="character" w:customStyle="1" w:styleId="Heading5Char">
    <w:name w:val="Heading 5 Char"/>
    <w:basedOn w:val="DefaultParagraphFont"/>
    <w:link w:val="Heading5"/>
    <w:uiPriority w:val="9"/>
    <w:rsid w:val="00E4018C"/>
    <w:rPr>
      <w:rFonts w:ascii="Arial" w:hAnsi="Arial" w:cs="Arial"/>
      <w:i/>
      <w:color w:val="898D8D"/>
      <w:sz w:val="20"/>
    </w:rPr>
  </w:style>
  <w:style w:type="character" w:customStyle="1" w:styleId="Heading6Char">
    <w:name w:val="Heading 6 Char"/>
    <w:basedOn w:val="DefaultParagraphFont"/>
    <w:link w:val="Heading6"/>
    <w:rsid w:val="000B34F1"/>
    <w:rPr>
      <w:rFonts w:asciiTheme="majorHAnsi" w:eastAsiaTheme="majorEastAsia" w:hAnsiTheme="majorHAnsi" w:cstheme="majorBidi"/>
      <w:i/>
      <w:iCs/>
      <w:color w:val="664D26" w:themeColor="accent6" w:themeShade="80"/>
      <w:sz w:val="23"/>
      <w:szCs w:val="23"/>
    </w:rPr>
  </w:style>
  <w:style w:type="character" w:customStyle="1" w:styleId="Heading7Char">
    <w:name w:val="Heading 7 Char"/>
    <w:basedOn w:val="DefaultParagraphFont"/>
    <w:link w:val="Heading7"/>
    <w:uiPriority w:val="9"/>
    <w:semiHidden/>
    <w:rsid w:val="000B34F1"/>
    <w:rPr>
      <w:rFonts w:asciiTheme="majorHAnsi" w:eastAsiaTheme="majorEastAsia" w:hAnsiTheme="majorHAnsi" w:cstheme="majorBidi"/>
      <w:color w:val="783F04" w:themeColor="accent1" w:themeShade="80"/>
      <w:sz w:val="20"/>
    </w:rPr>
  </w:style>
  <w:style w:type="character" w:customStyle="1" w:styleId="Heading8Char">
    <w:name w:val="Heading 8 Char"/>
    <w:basedOn w:val="DefaultParagraphFont"/>
    <w:link w:val="Heading8"/>
    <w:uiPriority w:val="9"/>
    <w:semiHidden/>
    <w:rsid w:val="000B34F1"/>
    <w:rPr>
      <w:rFonts w:asciiTheme="majorHAnsi" w:eastAsiaTheme="majorEastAsia" w:hAnsiTheme="majorHAnsi" w:cstheme="majorBidi"/>
      <w:color w:val="4F141B" w:themeColor="accent2" w:themeShade="80"/>
      <w:sz w:val="21"/>
      <w:szCs w:val="21"/>
    </w:rPr>
  </w:style>
  <w:style w:type="character" w:customStyle="1" w:styleId="Heading9Char">
    <w:name w:val="Heading 9 Char"/>
    <w:basedOn w:val="DefaultParagraphFont"/>
    <w:link w:val="Heading9"/>
    <w:uiPriority w:val="9"/>
    <w:semiHidden/>
    <w:rsid w:val="000B34F1"/>
    <w:rPr>
      <w:rFonts w:asciiTheme="majorHAnsi" w:eastAsiaTheme="majorEastAsia" w:hAnsiTheme="majorHAnsi" w:cstheme="majorBidi"/>
      <w:color w:val="664D26" w:themeColor="accent6" w:themeShade="80"/>
      <w:sz w:val="20"/>
    </w:rPr>
  </w:style>
  <w:style w:type="paragraph" w:styleId="Caption">
    <w:name w:val="caption"/>
    <w:basedOn w:val="Normal"/>
    <w:next w:val="Normal"/>
    <w:unhideWhenUsed/>
    <w:rsid w:val="00626E07"/>
    <w:rPr>
      <w:bCs/>
      <w:color w:val="898D8D"/>
      <w:spacing w:val="6"/>
      <w:sz w:val="18"/>
      <w:szCs w:val="16"/>
    </w:rPr>
  </w:style>
  <w:style w:type="paragraph" w:styleId="Title">
    <w:name w:val="Title"/>
    <w:basedOn w:val="Normal"/>
    <w:next w:val="Normal"/>
    <w:link w:val="TitleChar"/>
    <w:uiPriority w:val="10"/>
    <w:qFormat/>
    <w:rsid w:val="00CF3615"/>
    <w:rPr>
      <w:b/>
      <w:caps/>
      <w:sz w:val="48"/>
      <w:szCs w:val="48"/>
    </w:rPr>
  </w:style>
  <w:style w:type="character" w:customStyle="1" w:styleId="TitleChar">
    <w:name w:val="Title Char"/>
    <w:basedOn w:val="DefaultParagraphFont"/>
    <w:link w:val="Title"/>
    <w:uiPriority w:val="10"/>
    <w:rsid w:val="00CF3615"/>
    <w:rPr>
      <w:rFonts w:ascii="Arial" w:hAnsi="Arial" w:cs="Arial"/>
      <w:b/>
      <w:caps/>
      <w:sz w:val="48"/>
      <w:szCs w:val="48"/>
    </w:rPr>
  </w:style>
  <w:style w:type="paragraph" w:styleId="Subtitle">
    <w:name w:val="Subtitle"/>
    <w:basedOn w:val="Normal"/>
    <w:next w:val="Normal"/>
    <w:link w:val="SubtitleChar"/>
    <w:uiPriority w:val="11"/>
    <w:qFormat/>
    <w:rsid w:val="00D37F46"/>
    <w:pPr>
      <w:numPr>
        <w:ilvl w:val="1"/>
      </w:numPr>
    </w:pPr>
    <w:rPr>
      <w:rFonts w:eastAsiaTheme="majorEastAsia"/>
      <w:b/>
      <w:color w:val="898D8D"/>
      <w:sz w:val="32"/>
      <w:szCs w:val="32"/>
    </w:rPr>
  </w:style>
  <w:style w:type="character" w:customStyle="1" w:styleId="SubtitleChar">
    <w:name w:val="Subtitle Char"/>
    <w:basedOn w:val="DefaultParagraphFont"/>
    <w:link w:val="Subtitle"/>
    <w:uiPriority w:val="11"/>
    <w:rsid w:val="00D37F46"/>
    <w:rPr>
      <w:rFonts w:ascii="Arial" w:eastAsiaTheme="majorEastAsia" w:hAnsi="Arial" w:cs="Arial"/>
      <w:b/>
      <w:color w:val="898D8D"/>
      <w:sz w:val="32"/>
      <w:szCs w:val="32"/>
    </w:rPr>
  </w:style>
  <w:style w:type="character" w:styleId="Emphasis">
    <w:name w:val="Emphasis"/>
    <w:basedOn w:val="DefaultParagraphFont"/>
    <w:uiPriority w:val="20"/>
    <w:qFormat/>
    <w:rsid w:val="000B34F1"/>
    <w:rPr>
      <w:i/>
      <w:iCs/>
    </w:rPr>
  </w:style>
  <w:style w:type="paragraph" w:styleId="TOCHeading">
    <w:name w:val="TOC Heading"/>
    <w:basedOn w:val="Heading1"/>
    <w:next w:val="Normal"/>
    <w:uiPriority w:val="39"/>
    <w:unhideWhenUsed/>
    <w:qFormat/>
    <w:rsid w:val="00E33620"/>
    <w:pPr>
      <w:numPr>
        <w:numId w:val="0"/>
      </w:numPr>
      <w:ind w:left="426" w:hanging="426"/>
      <w:outlineLvl w:val="9"/>
    </w:pPr>
  </w:style>
  <w:style w:type="table" w:customStyle="1" w:styleId="ListTable3-Accent21">
    <w:name w:val="List Table 3 - Accent 21"/>
    <w:basedOn w:val="TableNormal"/>
    <w:uiPriority w:val="48"/>
    <w:rsid w:val="0078275C"/>
    <w:pPr>
      <w:spacing w:after="0" w:line="240" w:lineRule="auto"/>
    </w:pPr>
    <w:rPr>
      <w:sz w:val="20"/>
      <w:szCs w:val="20"/>
      <w:lang w:val="en-US" w:eastAsia="ja-JP"/>
    </w:r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TableGrid">
    <w:name w:val="Table Grid"/>
    <w:basedOn w:val="TableNormal"/>
    <w:uiPriority w:val="39"/>
    <w:rsid w:val="0074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078BB"/>
    <w:pPr>
      <w:tabs>
        <w:tab w:val="left" w:pos="567"/>
        <w:tab w:val="right" w:leader="dot" w:pos="9016"/>
      </w:tabs>
    </w:pPr>
    <w:rPr>
      <w:b/>
      <w:noProof/>
    </w:rPr>
  </w:style>
  <w:style w:type="paragraph" w:styleId="TOC2">
    <w:name w:val="toc 2"/>
    <w:basedOn w:val="Normal"/>
    <w:next w:val="Normal"/>
    <w:autoRedefine/>
    <w:uiPriority w:val="39"/>
    <w:unhideWhenUsed/>
    <w:rsid w:val="003078BB"/>
    <w:pPr>
      <w:tabs>
        <w:tab w:val="left" w:pos="1134"/>
        <w:tab w:val="right" w:leader="dot" w:pos="9016"/>
      </w:tabs>
      <w:ind w:left="1134" w:hanging="567"/>
    </w:pPr>
    <w:rPr>
      <w:noProof/>
    </w:rPr>
  </w:style>
  <w:style w:type="character" w:styleId="Hyperlink">
    <w:name w:val="Hyperlink"/>
    <w:basedOn w:val="DefaultParagraphFont"/>
    <w:uiPriority w:val="99"/>
    <w:unhideWhenUsed/>
    <w:rsid w:val="005D69F9"/>
    <w:rPr>
      <w:color w:val="FF931E"/>
      <w:u w:val="single"/>
    </w:rPr>
  </w:style>
  <w:style w:type="paragraph" w:styleId="Header">
    <w:name w:val="header"/>
    <w:basedOn w:val="Normal"/>
    <w:link w:val="HeaderChar"/>
    <w:uiPriority w:val="99"/>
    <w:unhideWhenUsed/>
    <w:rsid w:val="00014079"/>
    <w:pPr>
      <w:spacing w:before="0" w:after="0"/>
      <w:jc w:val="right"/>
    </w:pPr>
    <w:rPr>
      <w:color w:val="FF931E"/>
      <w:sz w:val="18"/>
      <w:szCs w:val="18"/>
      <w:lang w:val="en-US"/>
    </w:rPr>
  </w:style>
  <w:style w:type="character" w:customStyle="1" w:styleId="HeaderChar">
    <w:name w:val="Header Char"/>
    <w:basedOn w:val="DefaultParagraphFont"/>
    <w:link w:val="Header"/>
    <w:uiPriority w:val="99"/>
    <w:rsid w:val="00014079"/>
    <w:rPr>
      <w:rFonts w:ascii="Arial" w:hAnsi="Arial" w:cs="Arial"/>
      <w:color w:val="FF931E"/>
      <w:sz w:val="18"/>
      <w:szCs w:val="18"/>
      <w:lang w:val="en-US"/>
    </w:rPr>
  </w:style>
  <w:style w:type="paragraph" w:styleId="Footer">
    <w:name w:val="footer"/>
    <w:basedOn w:val="Normal"/>
    <w:link w:val="FooterChar"/>
    <w:uiPriority w:val="99"/>
    <w:unhideWhenUsed/>
    <w:rsid w:val="00014079"/>
    <w:pPr>
      <w:tabs>
        <w:tab w:val="center" w:pos="4820"/>
        <w:tab w:val="right" w:pos="9354"/>
      </w:tabs>
      <w:spacing w:after="0"/>
      <w:jc w:val="right"/>
    </w:pPr>
    <w:rPr>
      <w:color w:val="FF931E"/>
      <w:sz w:val="18"/>
      <w:szCs w:val="18"/>
    </w:rPr>
  </w:style>
  <w:style w:type="character" w:customStyle="1" w:styleId="FooterChar">
    <w:name w:val="Footer Char"/>
    <w:basedOn w:val="DefaultParagraphFont"/>
    <w:link w:val="Footer"/>
    <w:uiPriority w:val="99"/>
    <w:rsid w:val="00014079"/>
    <w:rPr>
      <w:rFonts w:ascii="Arial" w:hAnsi="Arial" w:cs="Arial"/>
      <w:color w:val="FF931E"/>
      <w:sz w:val="18"/>
      <w:szCs w:val="18"/>
    </w:rPr>
  </w:style>
  <w:style w:type="paragraph" w:styleId="BalloonText">
    <w:name w:val="Balloon Text"/>
    <w:basedOn w:val="Normal"/>
    <w:link w:val="BalloonTextChar"/>
    <w:uiPriority w:val="99"/>
    <w:semiHidden/>
    <w:unhideWhenUsed/>
    <w:rsid w:val="001D53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310"/>
    <w:rPr>
      <w:rFonts w:ascii="Tahoma" w:hAnsi="Tahoma" w:cs="Tahoma"/>
      <w:sz w:val="16"/>
      <w:szCs w:val="16"/>
    </w:rPr>
  </w:style>
  <w:style w:type="paragraph" w:styleId="FootnoteText">
    <w:name w:val="footnote text"/>
    <w:aliases w:val="single space,fn,FOOTNOTES,ft,Footnote Text Char2,Footnote Text Char1 Char,Footnote Text Char Char Char1,Footnote Text Char1 Char Char Char1,Footnote Text Char1 Char1 Char,Footnote Text Char Char Char Char,ALTS FOOTNOTE,Char Char Char,footn"/>
    <w:basedOn w:val="Normal"/>
    <w:link w:val="FootnoteTextChar"/>
    <w:uiPriority w:val="99"/>
    <w:unhideWhenUsed/>
    <w:qFormat/>
    <w:rsid w:val="00071B05"/>
    <w:pPr>
      <w:spacing w:after="0"/>
    </w:pPr>
    <w:rPr>
      <w:szCs w:val="20"/>
    </w:rPr>
  </w:style>
  <w:style w:type="character" w:customStyle="1" w:styleId="FootnoteTextChar">
    <w:name w:val="Footnote Text Char"/>
    <w:aliases w:val="single space Char,fn Char,FOOTNOTES Char,ft Char,Footnote Text Char2 Char,Footnote Text Char1 Char Char,Footnote Text Char Char Char1 Char,Footnote Text Char1 Char Char Char1 Char,Footnote Text Char1 Char1 Char Char,ALTS FOOTNOTE Char"/>
    <w:basedOn w:val="DefaultParagraphFont"/>
    <w:link w:val="FootnoteText"/>
    <w:uiPriority w:val="99"/>
    <w:rsid w:val="00071B05"/>
    <w:rPr>
      <w:sz w:val="20"/>
      <w:szCs w:val="20"/>
    </w:rPr>
  </w:style>
  <w:style w:type="character" w:styleId="FootnoteReference">
    <w:name w:val="footnote reference"/>
    <w:aliases w:val="ftref,Normal + Font:9 Point,Superscript 3 Point Times,16 Point,Superscript 6 Point,Fußnotenzeichen DISS,fr,BVI fnr,(NECG) Footnote Reference,footnote ref,Char Char Char Char Car Char,Ref,de nota al pie,Superscript 6 Point + 11 pt"/>
    <w:basedOn w:val="DefaultParagraphFont"/>
    <w:link w:val="referencianotaalpieChar"/>
    <w:uiPriority w:val="99"/>
    <w:unhideWhenUsed/>
    <w:qFormat/>
    <w:rsid w:val="00071B05"/>
    <w:rPr>
      <w:vertAlign w:val="superscript"/>
    </w:rPr>
  </w:style>
  <w:style w:type="table" w:customStyle="1" w:styleId="BenTenderTable">
    <w:name w:val="Ben Tender Table"/>
    <w:basedOn w:val="TableNormal"/>
    <w:uiPriority w:val="99"/>
    <w:rsid w:val="00310687"/>
    <w:pPr>
      <w:spacing w:before="40" w:after="40" w:line="240" w:lineRule="auto"/>
    </w:pPr>
    <w:rPr>
      <w:rFonts w:eastAsia="MS Mincho"/>
      <w:color w:val="595959" w:themeColor="text1" w:themeTint="A6"/>
      <w:sz w:val="20"/>
      <w:szCs w:val="20"/>
      <w:lang w:val="en-US" w:eastAsia="ja-JP"/>
    </w:rPr>
    <w:tblPr>
      <w:tblStyleRowBandSize w:val="1"/>
      <w:tblCellMar>
        <w:top w:w="28" w:type="dxa"/>
        <w:bottom w:w="28" w:type="dxa"/>
      </w:tblCellMar>
    </w:tblPr>
    <w:tblStylePr w:type="firstRow">
      <w:rPr>
        <w:rFonts w:ascii="Arial" w:hAnsi="Arial"/>
        <w:b/>
        <w:color w:val="FFFFFF" w:themeColor="background1"/>
        <w:sz w:val="20"/>
      </w:rPr>
      <w:tblPr/>
      <w:tcPr>
        <w:shd w:val="clear" w:color="auto" w:fill="DA291C"/>
      </w:tcPr>
    </w:tblStylePr>
    <w:tblStylePr w:type="band1Horz">
      <w:rPr>
        <w:rFonts w:ascii="Arial" w:hAnsi="Arial"/>
        <w:color w:val="auto"/>
        <w:sz w:val="20"/>
      </w:rPr>
    </w:tblStylePr>
    <w:tblStylePr w:type="band2Horz">
      <w:rPr>
        <w:rFonts w:ascii="Arial" w:hAnsi="Arial"/>
        <w:color w:val="auto"/>
        <w:sz w:val="20"/>
      </w:rPr>
      <w:tblPr/>
      <w:tcPr>
        <w:shd w:val="clear" w:color="auto" w:fill="F2F2F2" w:themeFill="background1" w:themeFillShade="F2"/>
      </w:tcPr>
    </w:tblStylePr>
  </w:style>
  <w:style w:type="character" w:styleId="CommentReference">
    <w:name w:val="annotation reference"/>
    <w:basedOn w:val="DefaultParagraphFont"/>
    <w:uiPriority w:val="99"/>
    <w:unhideWhenUsed/>
    <w:rsid w:val="00310687"/>
    <w:rPr>
      <w:sz w:val="16"/>
      <w:szCs w:val="16"/>
    </w:rPr>
  </w:style>
  <w:style w:type="paragraph" w:styleId="CommentText">
    <w:name w:val="annotation text"/>
    <w:basedOn w:val="Normal"/>
    <w:link w:val="CommentTextChar"/>
    <w:uiPriority w:val="99"/>
    <w:unhideWhenUsed/>
    <w:rsid w:val="00310687"/>
    <w:rPr>
      <w:rFonts w:ascii="Franklin Gothic Book" w:eastAsia="MS Mincho" w:hAnsi="Franklin Gothic Book"/>
      <w:color w:val="262626" w:themeColor="text1" w:themeTint="D9"/>
      <w:kern w:val="20"/>
      <w:szCs w:val="20"/>
      <w:lang w:eastAsia="en-AU"/>
    </w:rPr>
  </w:style>
  <w:style w:type="paragraph" w:styleId="CommentSubject">
    <w:name w:val="annotation subject"/>
    <w:basedOn w:val="Normal"/>
    <w:next w:val="CommentText"/>
    <w:link w:val="CommentSubjectChar"/>
    <w:uiPriority w:val="99"/>
    <w:semiHidden/>
    <w:unhideWhenUsed/>
    <w:rsid w:val="00B5735D"/>
    <w:pPr>
      <w:spacing w:before="0" w:after="160"/>
      <w:jc w:val="left"/>
    </w:pPr>
    <w:rPr>
      <w:rFonts w:asciiTheme="minorHAnsi" w:hAnsiTheme="minorHAnsi" w:cstheme="minorBidi"/>
      <w:b/>
      <w:bCs/>
    </w:rPr>
  </w:style>
  <w:style w:type="character" w:customStyle="1" w:styleId="CommentSubjectChar">
    <w:name w:val="Comment Subject Char"/>
    <w:basedOn w:val="DefaultParagraphFont"/>
    <w:link w:val="CommentSubject"/>
    <w:uiPriority w:val="99"/>
    <w:semiHidden/>
    <w:rsid w:val="0025120C"/>
    <w:rPr>
      <w:rFonts w:ascii="Franklin Gothic Book" w:eastAsia="MS Mincho" w:hAnsi="Franklin Gothic Book" w:cs="Arial"/>
      <w:b/>
      <w:bCs/>
      <w:color w:val="262626" w:themeColor="text1" w:themeTint="D9"/>
      <w:kern w:val="20"/>
      <w:sz w:val="20"/>
      <w:szCs w:val="20"/>
      <w:lang w:eastAsia="en-AU"/>
    </w:rPr>
  </w:style>
  <w:style w:type="table" w:styleId="MediumShading1-Accent1">
    <w:name w:val="Medium Shading 1 Accent 1"/>
    <w:basedOn w:val="TableNormal"/>
    <w:uiPriority w:val="63"/>
    <w:rsid w:val="00A40331"/>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A40331"/>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Shading1-Accent3">
    <w:name w:val="Medium Shading 1 Accent 3"/>
    <w:basedOn w:val="TableNormal"/>
    <w:uiPriority w:val="63"/>
    <w:rsid w:val="00A40331"/>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3078BB"/>
    <w:pPr>
      <w:tabs>
        <w:tab w:val="left" w:pos="1843"/>
        <w:tab w:val="right" w:leader="dot" w:pos="9016"/>
      </w:tabs>
      <w:spacing w:before="60"/>
      <w:ind w:left="1134"/>
    </w:pPr>
    <w:rPr>
      <w:noProof/>
    </w:rPr>
  </w:style>
  <w:style w:type="paragraph" w:customStyle="1" w:styleId="TableHeader">
    <w:name w:val="Table Header"/>
    <w:basedOn w:val="TableText"/>
    <w:qFormat/>
    <w:rsid w:val="00B138CD"/>
    <w:rPr>
      <w:b/>
    </w:rPr>
  </w:style>
  <w:style w:type="character" w:styleId="FollowedHyperlink">
    <w:name w:val="FollowedHyperlink"/>
    <w:basedOn w:val="DefaultParagraphFont"/>
    <w:uiPriority w:val="99"/>
    <w:semiHidden/>
    <w:unhideWhenUsed/>
    <w:rsid w:val="00FB437B"/>
    <w:rPr>
      <w:color w:val="954F72"/>
      <w:u w:val="single"/>
    </w:rPr>
  </w:style>
  <w:style w:type="numbering" w:customStyle="1" w:styleId="ImportedStyle10">
    <w:name w:val="Imported Style 10"/>
    <w:rsid w:val="00F27F3E"/>
    <w:pPr>
      <w:numPr>
        <w:numId w:val="3"/>
      </w:numPr>
    </w:pPr>
  </w:style>
  <w:style w:type="paragraph" w:styleId="Revision">
    <w:name w:val="Revision"/>
    <w:hidden/>
    <w:uiPriority w:val="99"/>
    <w:semiHidden/>
    <w:rsid w:val="009E5864"/>
    <w:pPr>
      <w:spacing w:after="0" w:line="240" w:lineRule="auto"/>
    </w:pPr>
    <w:rPr>
      <w:rFonts w:ascii="Arial" w:hAnsi="Arial" w:cs="Arial"/>
    </w:rPr>
  </w:style>
  <w:style w:type="paragraph" w:customStyle="1" w:styleId="TableText">
    <w:name w:val="Table Text"/>
    <w:basedOn w:val="Normal"/>
    <w:rsid w:val="006137D7"/>
    <w:pPr>
      <w:widowControl w:val="0"/>
      <w:autoSpaceDE w:val="0"/>
      <w:autoSpaceDN w:val="0"/>
      <w:adjustRightInd w:val="0"/>
      <w:jc w:val="left"/>
    </w:pPr>
    <w:rPr>
      <w:rFonts w:eastAsia="Times New Roman" w:cs="Times New Roman"/>
      <w:sz w:val="18"/>
      <w:szCs w:val="24"/>
      <w:lang w:val="en-US"/>
    </w:rPr>
  </w:style>
  <w:style w:type="paragraph" w:styleId="TOAHeading">
    <w:name w:val="toa heading"/>
    <w:basedOn w:val="Heading1"/>
    <w:next w:val="Normal"/>
    <w:uiPriority w:val="99"/>
    <w:unhideWhenUsed/>
    <w:rsid w:val="00E33620"/>
    <w:pPr>
      <w:numPr>
        <w:numId w:val="0"/>
      </w:numPr>
    </w:pPr>
  </w:style>
  <w:style w:type="paragraph" w:styleId="ListBullet">
    <w:name w:val="List Bullet"/>
    <w:basedOn w:val="Normal"/>
    <w:uiPriority w:val="99"/>
    <w:unhideWhenUsed/>
    <w:rsid w:val="000D37FE"/>
    <w:pPr>
      <w:numPr>
        <w:numId w:val="1"/>
      </w:numPr>
    </w:pPr>
  </w:style>
  <w:style w:type="paragraph" w:styleId="ListNumber">
    <w:name w:val="List Number"/>
    <w:basedOn w:val="Normal"/>
    <w:uiPriority w:val="99"/>
    <w:unhideWhenUsed/>
    <w:rsid w:val="00CA7653"/>
    <w:pPr>
      <w:numPr>
        <w:numId w:val="2"/>
      </w:numPr>
    </w:pPr>
  </w:style>
  <w:style w:type="paragraph" w:customStyle="1" w:styleId="TableBullet">
    <w:name w:val="Table Bullet"/>
    <w:basedOn w:val="TableText"/>
    <w:qFormat/>
    <w:rsid w:val="00D001A2"/>
    <w:pPr>
      <w:numPr>
        <w:numId w:val="4"/>
      </w:numPr>
      <w:tabs>
        <w:tab w:val="left" w:pos="383"/>
      </w:tabs>
    </w:pPr>
    <w:rPr>
      <w:sz w:val="20"/>
    </w:rPr>
  </w:style>
  <w:style w:type="paragraph" w:customStyle="1" w:styleId="TableTextCentre">
    <w:name w:val="Table Text Centre"/>
    <w:basedOn w:val="TableText"/>
    <w:qFormat/>
    <w:rsid w:val="003078BB"/>
    <w:pPr>
      <w:jc w:val="center"/>
    </w:pPr>
  </w:style>
  <w:style w:type="paragraph" w:customStyle="1" w:styleId="TableHeaderCentre">
    <w:name w:val="Table Header Centre"/>
    <w:basedOn w:val="TableTextCentre"/>
    <w:qFormat/>
    <w:rsid w:val="003078BB"/>
    <w:rPr>
      <w:b/>
    </w:rPr>
  </w:style>
  <w:style w:type="paragraph" w:styleId="ListParagraph">
    <w:name w:val="List Paragraph"/>
    <w:aliases w:val="List Paragraph1,List Paragraph11,L,Recommendation,CV text,Table text"/>
    <w:basedOn w:val="Normal"/>
    <w:link w:val="ListParagraphChar"/>
    <w:uiPriority w:val="34"/>
    <w:qFormat/>
    <w:rsid w:val="00416CB3"/>
    <w:pPr>
      <w:spacing w:before="0" w:after="160" w:line="259" w:lineRule="auto"/>
      <w:ind w:left="720"/>
      <w:contextualSpacing/>
      <w:jc w:val="left"/>
    </w:pPr>
    <w:rPr>
      <w:rFonts w:asciiTheme="minorHAnsi" w:eastAsiaTheme="minorHAnsi" w:hAnsiTheme="minorHAnsi" w:cstheme="minorBidi"/>
      <w:sz w:val="22"/>
    </w:rPr>
  </w:style>
  <w:style w:type="character" w:customStyle="1" w:styleId="ListParagraphChar">
    <w:name w:val="List Paragraph Char"/>
    <w:aliases w:val="List Paragraph1 Char,List Paragraph11 Char,L Char,Recommendation Char,CV text Char,Table text Char"/>
    <w:basedOn w:val="DefaultParagraphFont"/>
    <w:link w:val="ListParagraph"/>
    <w:uiPriority w:val="34"/>
    <w:rsid w:val="00416CB3"/>
    <w:rPr>
      <w:rFonts w:eastAsiaTheme="minorHAnsi"/>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416CB3"/>
    <w:pPr>
      <w:spacing w:before="0" w:after="160" w:line="240" w:lineRule="exact"/>
      <w:jc w:val="left"/>
    </w:pPr>
    <w:rPr>
      <w:rFonts w:asciiTheme="minorHAnsi" w:hAnsiTheme="minorHAnsi" w:cstheme="minorBidi"/>
      <w:sz w:val="22"/>
      <w:vertAlign w:val="superscript"/>
    </w:rPr>
  </w:style>
  <w:style w:type="paragraph" w:styleId="NoSpacing">
    <w:name w:val="No Spacing"/>
    <w:link w:val="NoSpacingChar"/>
    <w:uiPriority w:val="1"/>
    <w:qFormat/>
    <w:rsid w:val="00416CB3"/>
    <w:pPr>
      <w:spacing w:after="0" w:line="240" w:lineRule="auto"/>
    </w:pPr>
    <w:rPr>
      <w:rFonts w:eastAsiaTheme="minorHAnsi"/>
    </w:rPr>
  </w:style>
  <w:style w:type="character" w:customStyle="1" w:styleId="NoSpacingChar">
    <w:name w:val="No Spacing Char"/>
    <w:basedOn w:val="DefaultParagraphFont"/>
    <w:link w:val="NoSpacing"/>
    <w:uiPriority w:val="1"/>
    <w:rsid w:val="00416CB3"/>
    <w:rPr>
      <w:rFonts w:eastAsiaTheme="minorHAnsi"/>
    </w:rPr>
  </w:style>
  <w:style w:type="character" w:customStyle="1" w:styleId="CommentTextChar">
    <w:name w:val="Comment Text Char"/>
    <w:basedOn w:val="DefaultParagraphFont"/>
    <w:link w:val="CommentText"/>
    <w:uiPriority w:val="99"/>
    <w:rsid w:val="00D15146"/>
    <w:rPr>
      <w:rFonts w:ascii="Franklin Gothic Book" w:eastAsia="MS Mincho" w:hAnsi="Franklin Gothic Book" w:cs="Arial"/>
      <w:color w:val="262626" w:themeColor="text1" w:themeTint="D9"/>
      <w:kern w:val="20"/>
      <w:sz w:val="20"/>
      <w:szCs w:val="20"/>
      <w:lang w:eastAsia="en-AU"/>
    </w:rPr>
  </w:style>
  <w:style w:type="paragraph" w:styleId="TableofFigures">
    <w:name w:val="table of figures"/>
    <w:basedOn w:val="Normal"/>
    <w:next w:val="Normal"/>
    <w:uiPriority w:val="99"/>
    <w:unhideWhenUsed/>
    <w:rsid w:val="00A472D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3204">
      <w:bodyDiv w:val="1"/>
      <w:marLeft w:val="0"/>
      <w:marRight w:val="0"/>
      <w:marTop w:val="0"/>
      <w:marBottom w:val="0"/>
      <w:divBdr>
        <w:top w:val="none" w:sz="0" w:space="0" w:color="auto"/>
        <w:left w:val="none" w:sz="0" w:space="0" w:color="auto"/>
        <w:bottom w:val="none" w:sz="0" w:space="0" w:color="auto"/>
        <w:right w:val="none" w:sz="0" w:space="0" w:color="auto"/>
      </w:divBdr>
    </w:div>
    <w:div w:id="83691270">
      <w:bodyDiv w:val="1"/>
      <w:marLeft w:val="0"/>
      <w:marRight w:val="0"/>
      <w:marTop w:val="0"/>
      <w:marBottom w:val="0"/>
      <w:divBdr>
        <w:top w:val="none" w:sz="0" w:space="0" w:color="auto"/>
        <w:left w:val="none" w:sz="0" w:space="0" w:color="auto"/>
        <w:bottom w:val="none" w:sz="0" w:space="0" w:color="auto"/>
        <w:right w:val="none" w:sz="0" w:space="0" w:color="auto"/>
      </w:divBdr>
    </w:div>
    <w:div w:id="144783289">
      <w:bodyDiv w:val="1"/>
      <w:marLeft w:val="0"/>
      <w:marRight w:val="0"/>
      <w:marTop w:val="0"/>
      <w:marBottom w:val="0"/>
      <w:divBdr>
        <w:top w:val="none" w:sz="0" w:space="0" w:color="auto"/>
        <w:left w:val="none" w:sz="0" w:space="0" w:color="auto"/>
        <w:bottom w:val="none" w:sz="0" w:space="0" w:color="auto"/>
        <w:right w:val="none" w:sz="0" w:space="0" w:color="auto"/>
      </w:divBdr>
    </w:div>
    <w:div w:id="297103744">
      <w:bodyDiv w:val="1"/>
      <w:marLeft w:val="0"/>
      <w:marRight w:val="0"/>
      <w:marTop w:val="0"/>
      <w:marBottom w:val="0"/>
      <w:divBdr>
        <w:top w:val="none" w:sz="0" w:space="0" w:color="auto"/>
        <w:left w:val="none" w:sz="0" w:space="0" w:color="auto"/>
        <w:bottom w:val="none" w:sz="0" w:space="0" w:color="auto"/>
        <w:right w:val="none" w:sz="0" w:space="0" w:color="auto"/>
      </w:divBdr>
    </w:div>
    <w:div w:id="571349099">
      <w:bodyDiv w:val="1"/>
      <w:marLeft w:val="0"/>
      <w:marRight w:val="0"/>
      <w:marTop w:val="0"/>
      <w:marBottom w:val="0"/>
      <w:divBdr>
        <w:top w:val="none" w:sz="0" w:space="0" w:color="auto"/>
        <w:left w:val="none" w:sz="0" w:space="0" w:color="auto"/>
        <w:bottom w:val="none" w:sz="0" w:space="0" w:color="auto"/>
        <w:right w:val="none" w:sz="0" w:space="0" w:color="auto"/>
      </w:divBdr>
    </w:div>
    <w:div w:id="828055351">
      <w:bodyDiv w:val="1"/>
      <w:marLeft w:val="0"/>
      <w:marRight w:val="0"/>
      <w:marTop w:val="0"/>
      <w:marBottom w:val="0"/>
      <w:divBdr>
        <w:top w:val="none" w:sz="0" w:space="0" w:color="auto"/>
        <w:left w:val="none" w:sz="0" w:space="0" w:color="auto"/>
        <w:bottom w:val="none" w:sz="0" w:space="0" w:color="auto"/>
        <w:right w:val="none" w:sz="0" w:space="0" w:color="auto"/>
      </w:divBdr>
    </w:div>
    <w:div w:id="991251175">
      <w:bodyDiv w:val="1"/>
      <w:marLeft w:val="0"/>
      <w:marRight w:val="0"/>
      <w:marTop w:val="0"/>
      <w:marBottom w:val="0"/>
      <w:divBdr>
        <w:top w:val="none" w:sz="0" w:space="0" w:color="auto"/>
        <w:left w:val="none" w:sz="0" w:space="0" w:color="auto"/>
        <w:bottom w:val="none" w:sz="0" w:space="0" w:color="auto"/>
        <w:right w:val="none" w:sz="0" w:space="0" w:color="auto"/>
      </w:divBdr>
    </w:div>
    <w:div w:id="1035279235">
      <w:bodyDiv w:val="1"/>
      <w:marLeft w:val="0"/>
      <w:marRight w:val="0"/>
      <w:marTop w:val="0"/>
      <w:marBottom w:val="0"/>
      <w:divBdr>
        <w:top w:val="none" w:sz="0" w:space="0" w:color="auto"/>
        <w:left w:val="none" w:sz="0" w:space="0" w:color="auto"/>
        <w:bottom w:val="none" w:sz="0" w:space="0" w:color="auto"/>
        <w:right w:val="none" w:sz="0" w:space="0" w:color="auto"/>
      </w:divBdr>
    </w:div>
    <w:div w:id="1053237949">
      <w:bodyDiv w:val="1"/>
      <w:marLeft w:val="0"/>
      <w:marRight w:val="0"/>
      <w:marTop w:val="0"/>
      <w:marBottom w:val="0"/>
      <w:divBdr>
        <w:top w:val="none" w:sz="0" w:space="0" w:color="auto"/>
        <w:left w:val="none" w:sz="0" w:space="0" w:color="auto"/>
        <w:bottom w:val="none" w:sz="0" w:space="0" w:color="auto"/>
        <w:right w:val="none" w:sz="0" w:space="0" w:color="auto"/>
      </w:divBdr>
    </w:div>
    <w:div w:id="1351179929">
      <w:bodyDiv w:val="1"/>
      <w:marLeft w:val="0"/>
      <w:marRight w:val="0"/>
      <w:marTop w:val="0"/>
      <w:marBottom w:val="0"/>
      <w:divBdr>
        <w:top w:val="none" w:sz="0" w:space="0" w:color="auto"/>
        <w:left w:val="none" w:sz="0" w:space="0" w:color="auto"/>
        <w:bottom w:val="none" w:sz="0" w:space="0" w:color="auto"/>
        <w:right w:val="none" w:sz="0" w:space="0" w:color="auto"/>
      </w:divBdr>
    </w:div>
    <w:div w:id="1584299120">
      <w:bodyDiv w:val="1"/>
      <w:marLeft w:val="0"/>
      <w:marRight w:val="0"/>
      <w:marTop w:val="0"/>
      <w:marBottom w:val="0"/>
      <w:divBdr>
        <w:top w:val="none" w:sz="0" w:space="0" w:color="auto"/>
        <w:left w:val="none" w:sz="0" w:space="0" w:color="auto"/>
        <w:bottom w:val="none" w:sz="0" w:space="0" w:color="auto"/>
        <w:right w:val="none" w:sz="0" w:space="0" w:color="auto"/>
      </w:divBdr>
    </w:div>
    <w:div w:id="1609040045">
      <w:bodyDiv w:val="1"/>
      <w:marLeft w:val="0"/>
      <w:marRight w:val="0"/>
      <w:marTop w:val="0"/>
      <w:marBottom w:val="0"/>
      <w:divBdr>
        <w:top w:val="none" w:sz="0" w:space="0" w:color="auto"/>
        <w:left w:val="none" w:sz="0" w:space="0" w:color="auto"/>
        <w:bottom w:val="none" w:sz="0" w:space="0" w:color="auto"/>
        <w:right w:val="none" w:sz="0" w:space="0" w:color="auto"/>
      </w:divBdr>
    </w:div>
    <w:div w:id="1652441071">
      <w:bodyDiv w:val="1"/>
      <w:marLeft w:val="0"/>
      <w:marRight w:val="0"/>
      <w:marTop w:val="0"/>
      <w:marBottom w:val="0"/>
      <w:divBdr>
        <w:top w:val="none" w:sz="0" w:space="0" w:color="auto"/>
        <w:left w:val="none" w:sz="0" w:space="0" w:color="auto"/>
        <w:bottom w:val="none" w:sz="0" w:space="0" w:color="auto"/>
        <w:right w:val="none" w:sz="0" w:space="0" w:color="auto"/>
      </w:divBdr>
    </w:div>
    <w:div w:id="1807897299">
      <w:bodyDiv w:val="1"/>
      <w:marLeft w:val="0"/>
      <w:marRight w:val="0"/>
      <w:marTop w:val="0"/>
      <w:marBottom w:val="0"/>
      <w:divBdr>
        <w:top w:val="none" w:sz="0" w:space="0" w:color="auto"/>
        <w:left w:val="none" w:sz="0" w:space="0" w:color="auto"/>
        <w:bottom w:val="none" w:sz="0" w:space="0" w:color="auto"/>
        <w:right w:val="none" w:sz="0" w:space="0" w:color="auto"/>
      </w:divBdr>
    </w:div>
    <w:div w:id="1881555334">
      <w:bodyDiv w:val="1"/>
      <w:marLeft w:val="0"/>
      <w:marRight w:val="0"/>
      <w:marTop w:val="0"/>
      <w:marBottom w:val="0"/>
      <w:divBdr>
        <w:top w:val="none" w:sz="0" w:space="0" w:color="auto"/>
        <w:left w:val="none" w:sz="0" w:space="0" w:color="auto"/>
        <w:bottom w:val="none" w:sz="0" w:space="0" w:color="auto"/>
        <w:right w:val="none" w:sz="0" w:space="0" w:color="auto"/>
      </w:divBdr>
    </w:div>
    <w:div w:id="1898977908">
      <w:bodyDiv w:val="1"/>
      <w:marLeft w:val="0"/>
      <w:marRight w:val="0"/>
      <w:marTop w:val="0"/>
      <w:marBottom w:val="0"/>
      <w:divBdr>
        <w:top w:val="none" w:sz="0" w:space="0" w:color="auto"/>
        <w:left w:val="none" w:sz="0" w:space="0" w:color="auto"/>
        <w:bottom w:val="none" w:sz="0" w:space="0" w:color="auto"/>
        <w:right w:val="none" w:sz="0" w:space="0" w:color="auto"/>
      </w:divBdr>
    </w:div>
    <w:div w:id="19037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ja.litz@phd.tl"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iwda.org.au/assets/files/IDM-Report-16.02.15_FINAL.pdf" TargetMode="External"/><Relationship Id="rId1" Type="http://schemas.openxmlformats.org/officeDocument/2006/relationships/hyperlink" Target="https://www.iwda.org.au/assets/files/IDM-Report-16.02.15_FINAL.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Basis">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Basis">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11D775-8C53-445D-AEF9-F437375B027A}"/>
</file>

<file path=customXml/itemProps2.xml><?xml version="1.0" encoding="utf-8"?>
<ds:datastoreItem xmlns:ds="http://schemas.openxmlformats.org/officeDocument/2006/customXml" ds:itemID="{AA830590-E8D5-4BF3-9C56-9D80908974E0}"/>
</file>

<file path=customXml/itemProps3.xml><?xml version="1.0" encoding="utf-8"?>
<ds:datastoreItem xmlns:ds="http://schemas.openxmlformats.org/officeDocument/2006/customXml" ds:itemID="{52250D4A-D1DF-4D8E-8189-59AAA9CE8E2C}"/>
</file>

<file path=customXml/itemProps4.xml><?xml version="1.0" encoding="utf-8"?>
<ds:datastoreItem xmlns:ds="http://schemas.openxmlformats.org/officeDocument/2006/customXml" ds:itemID="{4B1164BB-B248-4F1A-A5F9-9830B89AAEDF}"/>
</file>

<file path=docProps/app.xml><?xml version="1.0" encoding="utf-8"?>
<Properties xmlns="http://schemas.openxmlformats.org/officeDocument/2006/extended-properties" xmlns:vt="http://schemas.openxmlformats.org/officeDocument/2006/docPropsVTypes">
  <Template>Normal.dotm</Template>
  <TotalTime>0</TotalTime>
  <Pages>28</Pages>
  <Words>9770</Words>
  <Characters>55691</Characters>
  <Application>Microsoft Office Word</Application>
  <DocSecurity>0</DocSecurity>
  <Lines>464</Lines>
  <Paragraphs>130</Paragraphs>
  <ScaleCrop>false</ScaleCrop>
  <Company/>
  <LinksUpToDate>false</LinksUpToDate>
  <CharactersWithSpaces>65331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2018-04-25T23:51:00Z</dcterms:created>
  <dcterms:modified xsi:type="dcterms:W3CDTF">2018-04-25T23:51:00Z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f2439d9e-728a-4486-be28-a16343ce5a80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1163100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