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92" w:rsidRPr="00033C5C" w:rsidRDefault="004F7592" w:rsidP="004F7592">
      <w:pPr>
        <w:pStyle w:val="Heading1"/>
        <w:spacing w:after="300"/>
        <w:rPr>
          <w:color w:val="auto"/>
        </w:rPr>
      </w:pPr>
      <w:bookmarkStart w:id="0" w:name="_GoBack"/>
      <w:bookmarkEnd w:id="0"/>
      <w:r w:rsidRPr="00033C5C">
        <w:rPr>
          <w:color w:val="auto"/>
        </w:rPr>
        <w:t xml:space="preserve">Management Response </w:t>
      </w:r>
      <w:r w:rsidR="0082344A" w:rsidRPr="00033C5C">
        <w:rPr>
          <w:color w:val="auto"/>
        </w:rPr>
        <w:t xml:space="preserve">to </w:t>
      </w:r>
      <w:r w:rsidR="00B31EF2">
        <w:rPr>
          <w:color w:val="auto"/>
        </w:rPr>
        <w:t xml:space="preserve">Timor-Leste Strategic </w:t>
      </w:r>
      <w:r w:rsidR="00661E93" w:rsidRPr="00033C5C">
        <w:rPr>
          <w:color w:val="auto"/>
        </w:rPr>
        <w:t xml:space="preserve">NutRition review </w:t>
      </w:r>
    </w:p>
    <w:p w:rsidR="001F4720" w:rsidRPr="00B31EF2" w:rsidRDefault="001F4720" w:rsidP="00F36652">
      <w:pPr>
        <w:pStyle w:val="Heading2"/>
        <w:rPr>
          <w:b/>
          <w:color w:val="auto"/>
          <w:szCs w:val="24"/>
          <w:lang w:val="en-AU"/>
        </w:rPr>
      </w:pPr>
      <w:r w:rsidRPr="00B31EF2">
        <w:rPr>
          <w:b/>
          <w:color w:val="auto"/>
          <w:szCs w:val="24"/>
        </w:rPr>
        <w:t xml:space="preserve">Activity summary </w:t>
      </w:r>
    </w:p>
    <w:p w:rsidR="0083661D" w:rsidRPr="00033C5C" w:rsidRDefault="0083661D" w:rsidP="0083661D">
      <w:pPr>
        <w:pStyle w:val="Pa7"/>
        <w:spacing w:before="100"/>
        <w:rPr>
          <w:rFonts w:asciiTheme="minorHAnsi" w:hAnsiTheme="minorHAnsi" w:cs="HelveticaNeueLT Std Thin"/>
          <w:sz w:val="22"/>
          <w:szCs w:val="22"/>
        </w:rPr>
      </w:pPr>
      <w:r w:rsidRPr="00033C5C">
        <w:rPr>
          <w:rFonts w:asciiTheme="minorHAnsi" w:hAnsiTheme="minorHAnsi" w:cs="HelveticaNeueLT Std Thin"/>
          <w:sz w:val="22"/>
          <w:szCs w:val="22"/>
        </w:rPr>
        <w:t>Despite ongoing efforts to improve nutritional status, undernutrition remains one of Timor- Leste’s most pressing development challenges, with rates of stunting amongst the highest in the world, and wasting levels representing a serious public health problem. Responding to this challenge, Australia has shaped its investments over the years to contribute to addressing malnutrition in an increasingly deliberate manner. The current draft Australian Embassy Nutrition Strategy (2017-2020</w:t>
      </w:r>
      <w:r w:rsidR="005935DB" w:rsidRPr="00033C5C">
        <w:rPr>
          <w:rFonts w:asciiTheme="minorHAnsi" w:hAnsiTheme="minorHAnsi" w:cs="HelveticaNeueLT Std Thin"/>
          <w:sz w:val="22"/>
          <w:szCs w:val="22"/>
        </w:rPr>
        <w:t>)</w:t>
      </w:r>
      <w:r w:rsidRPr="00033C5C">
        <w:rPr>
          <w:rFonts w:asciiTheme="minorHAnsi" w:hAnsiTheme="minorHAnsi" w:cs="HelveticaNeueLT Std Thin"/>
          <w:sz w:val="22"/>
          <w:szCs w:val="22"/>
        </w:rPr>
        <w:t xml:space="preserve"> was developed to articulate the nutrition-related outcomes exp</w:t>
      </w:r>
      <w:r w:rsidR="00B1544A">
        <w:rPr>
          <w:rFonts w:asciiTheme="minorHAnsi" w:hAnsiTheme="minorHAnsi" w:cs="HelveticaNeueLT Std Thin"/>
          <w:sz w:val="22"/>
          <w:szCs w:val="22"/>
        </w:rPr>
        <w:t xml:space="preserve">ected from existing </w:t>
      </w:r>
      <w:r w:rsidRPr="00033C5C">
        <w:rPr>
          <w:rFonts w:asciiTheme="minorHAnsi" w:hAnsiTheme="minorHAnsi" w:cs="HelveticaNeueLT Std Thin"/>
          <w:sz w:val="22"/>
          <w:szCs w:val="22"/>
        </w:rPr>
        <w:t xml:space="preserve">activities developed under the 2015-2019 Aid Investment Plan (AIP). These are: </w:t>
      </w:r>
    </w:p>
    <w:p w:rsidR="0083661D" w:rsidRPr="00033C5C" w:rsidRDefault="0083661D" w:rsidP="0083661D">
      <w:pPr>
        <w:pStyle w:val="Default"/>
        <w:numPr>
          <w:ilvl w:val="0"/>
          <w:numId w:val="18"/>
        </w:numPr>
        <w:spacing w:after="86"/>
        <w:ind w:left="284" w:hanging="284"/>
        <w:rPr>
          <w:rFonts w:asciiTheme="minorHAnsi" w:hAnsiTheme="minorHAnsi"/>
          <w:color w:val="auto"/>
          <w:sz w:val="22"/>
          <w:szCs w:val="22"/>
        </w:rPr>
      </w:pPr>
      <w:r w:rsidRPr="00033C5C">
        <w:rPr>
          <w:rFonts w:asciiTheme="minorHAnsi" w:hAnsiTheme="minorHAnsi"/>
          <w:color w:val="auto"/>
          <w:sz w:val="22"/>
          <w:szCs w:val="22"/>
        </w:rPr>
        <w:t xml:space="preserve">support to the </w:t>
      </w:r>
      <w:r w:rsidRPr="00033C5C">
        <w:rPr>
          <w:rFonts w:asciiTheme="minorHAnsi" w:hAnsiTheme="minorHAnsi" w:cs="HelveticaNeueLT Std"/>
          <w:b/>
          <w:bCs/>
          <w:color w:val="auto"/>
          <w:sz w:val="22"/>
          <w:szCs w:val="22"/>
        </w:rPr>
        <w:t>President’s Nutrition Program (2014-2017)</w:t>
      </w:r>
      <w:r w:rsidRPr="00033C5C">
        <w:rPr>
          <w:rFonts w:asciiTheme="minorHAnsi" w:hAnsiTheme="minorHAnsi"/>
          <w:color w:val="auto"/>
          <w:sz w:val="22"/>
          <w:szCs w:val="22"/>
        </w:rPr>
        <w:t xml:space="preserve">, initially designed to raise awareness about the nutrition situation and reward community effort in seeking solutions; </w:t>
      </w:r>
    </w:p>
    <w:p w:rsidR="0083661D" w:rsidRPr="00033C5C" w:rsidRDefault="0083661D" w:rsidP="0083661D">
      <w:pPr>
        <w:pStyle w:val="Default"/>
        <w:numPr>
          <w:ilvl w:val="0"/>
          <w:numId w:val="18"/>
        </w:numPr>
        <w:spacing w:after="86"/>
        <w:ind w:left="284" w:hanging="284"/>
        <w:rPr>
          <w:rFonts w:asciiTheme="minorHAnsi" w:hAnsiTheme="minorHAnsi"/>
          <w:color w:val="auto"/>
          <w:sz w:val="22"/>
          <w:szCs w:val="22"/>
        </w:rPr>
      </w:pPr>
      <w:r w:rsidRPr="00033C5C">
        <w:rPr>
          <w:rFonts w:asciiTheme="minorHAnsi" w:hAnsiTheme="minorHAnsi" w:cs="HelveticaNeueLT Std"/>
          <w:b/>
          <w:bCs/>
          <w:color w:val="auto"/>
          <w:sz w:val="22"/>
          <w:szCs w:val="22"/>
        </w:rPr>
        <w:t xml:space="preserve">technical assistance </w:t>
      </w:r>
      <w:r w:rsidRPr="00033C5C">
        <w:rPr>
          <w:rFonts w:asciiTheme="minorHAnsi" w:hAnsiTheme="minorHAnsi"/>
          <w:color w:val="auto"/>
          <w:sz w:val="22"/>
          <w:szCs w:val="22"/>
        </w:rPr>
        <w:t xml:space="preserve">to the National Council for Food Security, Sovereignty and Nutrition in Timor-Leste (KONSSANTIL); </w:t>
      </w:r>
    </w:p>
    <w:p w:rsidR="0083661D" w:rsidRPr="00033C5C" w:rsidRDefault="0083661D" w:rsidP="0083661D">
      <w:pPr>
        <w:pStyle w:val="Default"/>
        <w:numPr>
          <w:ilvl w:val="0"/>
          <w:numId w:val="18"/>
        </w:numPr>
        <w:spacing w:after="86"/>
        <w:ind w:left="284" w:hanging="284"/>
        <w:rPr>
          <w:rFonts w:asciiTheme="minorHAnsi" w:hAnsiTheme="minorHAnsi"/>
          <w:color w:val="auto"/>
          <w:sz w:val="22"/>
          <w:szCs w:val="22"/>
        </w:rPr>
      </w:pPr>
      <w:r w:rsidRPr="00033C5C">
        <w:rPr>
          <w:rFonts w:asciiTheme="minorHAnsi" w:hAnsiTheme="minorHAnsi" w:cs="HelveticaNeueLT Std"/>
          <w:b/>
          <w:bCs/>
          <w:color w:val="auto"/>
          <w:sz w:val="22"/>
          <w:szCs w:val="22"/>
        </w:rPr>
        <w:t>Hamutuk (2016-2019)</w:t>
      </w:r>
      <w:r w:rsidRPr="00033C5C">
        <w:rPr>
          <w:rFonts w:asciiTheme="minorHAnsi" w:hAnsiTheme="minorHAnsi"/>
          <w:color w:val="auto"/>
          <w:sz w:val="22"/>
          <w:szCs w:val="22"/>
        </w:rPr>
        <w:t xml:space="preserve">, a collective action program, developing targeted, multi-sectoral behaviour change messages and delivery methods, and researching their effectiveness; </w:t>
      </w:r>
    </w:p>
    <w:p w:rsidR="0083661D" w:rsidRPr="00033C5C" w:rsidRDefault="0083661D" w:rsidP="0083661D">
      <w:pPr>
        <w:pStyle w:val="Default"/>
        <w:numPr>
          <w:ilvl w:val="0"/>
          <w:numId w:val="18"/>
        </w:numPr>
        <w:spacing w:after="86"/>
        <w:ind w:left="284" w:hanging="284"/>
        <w:rPr>
          <w:rFonts w:asciiTheme="minorHAnsi" w:hAnsiTheme="minorHAnsi"/>
          <w:color w:val="auto"/>
          <w:sz w:val="22"/>
          <w:szCs w:val="22"/>
        </w:rPr>
      </w:pPr>
      <w:r w:rsidRPr="00033C5C">
        <w:rPr>
          <w:rFonts w:asciiTheme="minorHAnsi" w:hAnsiTheme="minorHAnsi" w:cs="HelveticaNeueLT Std"/>
          <w:b/>
          <w:bCs/>
          <w:color w:val="auto"/>
          <w:sz w:val="22"/>
          <w:szCs w:val="22"/>
        </w:rPr>
        <w:t xml:space="preserve">TOMAK (2016-2020) </w:t>
      </w:r>
      <w:r w:rsidRPr="00033C5C">
        <w:rPr>
          <w:rFonts w:asciiTheme="minorHAnsi" w:hAnsiTheme="minorHAnsi"/>
          <w:color w:val="auto"/>
          <w:sz w:val="22"/>
          <w:szCs w:val="22"/>
        </w:rPr>
        <w:t xml:space="preserve">(To’os Ba Moris Diak - Farming for Prosperity), a nutrition-sensitive agriculture program; and </w:t>
      </w:r>
    </w:p>
    <w:p w:rsidR="0083661D" w:rsidRPr="00033C5C" w:rsidRDefault="0083661D" w:rsidP="0083661D">
      <w:pPr>
        <w:pStyle w:val="Default"/>
        <w:numPr>
          <w:ilvl w:val="0"/>
          <w:numId w:val="18"/>
        </w:numPr>
        <w:ind w:left="284" w:hanging="284"/>
        <w:rPr>
          <w:rFonts w:asciiTheme="minorHAnsi" w:hAnsiTheme="minorHAnsi"/>
          <w:color w:val="auto"/>
          <w:sz w:val="22"/>
          <w:szCs w:val="22"/>
        </w:rPr>
      </w:pPr>
      <w:r w:rsidRPr="00033C5C">
        <w:rPr>
          <w:rFonts w:asciiTheme="minorHAnsi" w:hAnsiTheme="minorHAnsi" w:cs="HelveticaNeueLT Std"/>
          <w:b/>
          <w:bCs/>
          <w:color w:val="auto"/>
          <w:sz w:val="22"/>
          <w:szCs w:val="22"/>
        </w:rPr>
        <w:t xml:space="preserve">Nutrition-sensitive programming </w:t>
      </w:r>
      <w:r w:rsidRPr="00033C5C">
        <w:rPr>
          <w:rFonts w:asciiTheme="minorHAnsi" w:hAnsiTheme="minorHAnsi"/>
          <w:color w:val="auto"/>
          <w:sz w:val="22"/>
          <w:szCs w:val="22"/>
        </w:rPr>
        <w:t xml:space="preserve">through the </w:t>
      </w:r>
      <w:r w:rsidRPr="00033C5C">
        <w:rPr>
          <w:rFonts w:asciiTheme="minorHAnsi" w:hAnsiTheme="minorHAnsi" w:cs="HelveticaNeueLT Std"/>
          <w:b/>
          <w:bCs/>
          <w:color w:val="auto"/>
          <w:sz w:val="22"/>
          <w:szCs w:val="22"/>
        </w:rPr>
        <w:t xml:space="preserve">Australia Timor-Leste Partnership for Human Development (PHD) (2016-2020) </w:t>
      </w:r>
      <w:r w:rsidRPr="00033C5C">
        <w:rPr>
          <w:rFonts w:asciiTheme="minorHAnsi" w:hAnsiTheme="minorHAnsi"/>
          <w:color w:val="auto"/>
          <w:sz w:val="22"/>
          <w:szCs w:val="22"/>
        </w:rPr>
        <w:t>in the sectors of health, education, water and sanitation, nutrition, gender, disability and social protection.</w:t>
      </w:r>
    </w:p>
    <w:p w:rsidR="0083661D" w:rsidRPr="00033C5C" w:rsidRDefault="0083661D" w:rsidP="0083661D">
      <w:pPr>
        <w:pStyle w:val="Pa7"/>
        <w:spacing w:before="100"/>
        <w:rPr>
          <w:rFonts w:asciiTheme="minorHAnsi" w:hAnsiTheme="minorHAnsi" w:cs="HelveticaNeueLT Std Thin"/>
          <w:sz w:val="22"/>
          <w:szCs w:val="22"/>
        </w:rPr>
      </w:pPr>
      <w:r w:rsidRPr="00033C5C">
        <w:rPr>
          <w:rFonts w:asciiTheme="minorHAnsi" w:hAnsiTheme="minorHAnsi" w:cs="HelveticaNeueLT Std Thin"/>
          <w:sz w:val="22"/>
          <w:szCs w:val="22"/>
        </w:rPr>
        <w:t>The draft Nutrition Strategy’s long-term objective is to support the G</w:t>
      </w:r>
      <w:r w:rsidR="00B31EF2">
        <w:rPr>
          <w:rFonts w:asciiTheme="minorHAnsi" w:hAnsiTheme="minorHAnsi" w:cs="HelveticaNeueLT Std Thin"/>
          <w:sz w:val="22"/>
          <w:szCs w:val="22"/>
        </w:rPr>
        <w:t>overnment of Timor- Leste</w:t>
      </w:r>
      <w:r w:rsidRPr="00033C5C">
        <w:rPr>
          <w:rFonts w:asciiTheme="minorHAnsi" w:hAnsiTheme="minorHAnsi" w:cs="HelveticaNeueLT Std Thin"/>
          <w:sz w:val="22"/>
          <w:szCs w:val="22"/>
        </w:rPr>
        <w:t xml:space="preserve"> to reduce the prevalence of stunting in children aged 0-23 months.</w:t>
      </w:r>
    </w:p>
    <w:p w:rsidR="0083661D" w:rsidRPr="00033C5C" w:rsidRDefault="0083661D" w:rsidP="001F4720">
      <w:pPr>
        <w:pStyle w:val="Heading2"/>
        <w:rPr>
          <w:color w:val="auto"/>
          <w:szCs w:val="24"/>
        </w:rPr>
      </w:pPr>
    </w:p>
    <w:p w:rsidR="001F4720" w:rsidRPr="00B31EF2" w:rsidRDefault="001F4720" w:rsidP="001F4720">
      <w:pPr>
        <w:pStyle w:val="Heading2"/>
        <w:rPr>
          <w:rFonts w:ascii="Arial" w:hAnsi="Arial"/>
          <w:b/>
          <w:color w:val="auto"/>
          <w:sz w:val="24"/>
          <w:szCs w:val="24"/>
        </w:rPr>
      </w:pPr>
      <w:r w:rsidRPr="00B31EF2">
        <w:rPr>
          <w:b/>
          <w:color w:val="auto"/>
          <w:szCs w:val="24"/>
        </w:rPr>
        <w:t>Evaluation Summary</w:t>
      </w:r>
    </w:p>
    <w:p w:rsidR="0083661D" w:rsidRPr="00033C5C" w:rsidRDefault="005935DB" w:rsidP="0083661D">
      <w:pPr>
        <w:pStyle w:val="Pa7"/>
        <w:spacing w:before="100"/>
        <w:rPr>
          <w:rFonts w:asciiTheme="minorHAnsi" w:hAnsiTheme="minorHAnsi" w:cs="HelveticaNeueLT Std Thin"/>
          <w:sz w:val="22"/>
          <w:szCs w:val="22"/>
        </w:rPr>
      </w:pPr>
      <w:r w:rsidRPr="00033C5C">
        <w:rPr>
          <w:rFonts w:asciiTheme="minorHAnsi" w:hAnsiTheme="minorHAnsi" w:cs="HelveticaNeueLT Std Thin"/>
          <w:sz w:val="22"/>
          <w:szCs w:val="22"/>
        </w:rPr>
        <w:t xml:space="preserve">The </w:t>
      </w:r>
      <w:r w:rsidR="0083661D" w:rsidRPr="00033C5C">
        <w:rPr>
          <w:rFonts w:asciiTheme="minorHAnsi" w:hAnsiTheme="minorHAnsi" w:cs="HelveticaNeueLT Std Thin"/>
          <w:sz w:val="22"/>
          <w:szCs w:val="22"/>
        </w:rPr>
        <w:t>Department of Foreign Affairs and Trade (DFAT) commissioned this Strategic Review to determine whether the</w:t>
      </w:r>
      <w:r w:rsidR="00941B30" w:rsidRPr="00033C5C">
        <w:rPr>
          <w:rFonts w:asciiTheme="minorHAnsi" w:hAnsiTheme="minorHAnsi" w:cs="HelveticaNeueLT Std Thin"/>
          <w:sz w:val="22"/>
          <w:szCs w:val="22"/>
        </w:rPr>
        <w:t xml:space="preserve"> Australian development program has the</w:t>
      </w:r>
      <w:r w:rsidR="0083661D" w:rsidRPr="00033C5C">
        <w:rPr>
          <w:rFonts w:asciiTheme="minorHAnsi" w:hAnsiTheme="minorHAnsi" w:cs="HelveticaNeueLT Std Thin"/>
          <w:sz w:val="22"/>
          <w:szCs w:val="22"/>
        </w:rPr>
        <w:t xml:space="preserve"> right approaches and strategy in place to contribute to reducing malnutrition in Timor-Leste, and to identify broad opportunities for improvements. It addressed the following key questions: </w:t>
      </w:r>
    </w:p>
    <w:p w:rsidR="0083661D" w:rsidRPr="00033C5C" w:rsidRDefault="0083661D" w:rsidP="0083661D">
      <w:pPr>
        <w:pStyle w:val="Pa14"/>
        <w:spacing w:before="100"/>
        <w:ind w:left="440"/>
        <w:rPr>
          <w:rFonts w:asciiTheme="minorHAnsi" w:hAnsiTheme="minorHAnsi" w:cs="HelveticaNeueLT Std Thin"/>
          <w:sz w:val="22"/>
          <w:szCs w:val="22"/>
        </w:rPr>
      </w:pPr>
      <w:r w:rsidRPr="00033C5C">
        <w:rPr>
          <w:rFonts w:asciiTheme="minorHAnsi" w:hAnsiTheme="minorHAnsi" w:cs="HelveticaNeueLT Std"/>
          <w:b/>
          <w:bCs/>
          <w:sz w:val="22"/>
          <w:szCs w:val="22"/>
        </w:rPr>
        <w:t xml:space="preserve">Relevance: </w:t>
      </w:r>
      <w:r w:rsidRPr="00033C5C">
        <w:rPr>
          <w:rFonts w:asciiTheme="minorHAnsi" w:hAnsiTheme="minorHAnsi" w:cs="HelveticaNeueLT Std Thin"/>
          <w:sz w:val="22"/>
          <w:szCs w:val="22"/>
        </w:rPr>
        <w:t xml:space="preserve">To what extent are existing initiatives relevant to the current context of undernutrition and the development priorities of the governments of Australia and Timor-Leste? </w:t>
      </w:r>
    </w:p>
    <w:p w:rsidR="0083661D" w:rsidRPr="00033C5C" w:rsidRDefault="0083661D" w:rsidP="0083661D">
      <w:pPr>
        <w:pStyle w:val="Pa14"/>
        <w:spacing w:before="100"/>
        <w:ind w:left="440"/>
        <w:rPr>
          <w:rFonts w:asciiTheme="minorHAnsi" w:hAnsiTheme="minorHAnsi" w:cs="HelveticaNeueLT Std Thin"/>
          <w:sz w:val="22"/>
          <w:szCs w:val="22"/>
        </w:rPr>
      </w:pPr>
      <w:r w:rsidRPr="00033C5C">
        <w:rPr>
          <w:rFonts w:asciiTheme="minorHAnsi" w:hAnsiTheme="minorHAnsi" w:cs="HelveticaNeueLT Std"/>
          <w:b/>
          <w:bCs/>
          <w:sz w:val="22"/>
          <w:szCs w:val="22"/>
        </w:rPr>
        <w:t xml:space="preserve">Strategy: </w:t>
      </w:r>
      <w:r w:rsidRPr="00033C5C">
        <w:rPr>
          <w:rFonts w:asciiTheme="minorHAnsi" w:hAnsiTheme="minorHAnsi" w:cs="HelveticaNeueLT Std Thin"/>
          <w:sz w:val="22"/>
          <w:szCs w:val="22"/>
        </w:rPr>
        <w:t xml:space="preserve">Does Australia have the right objectives and strategies? Which approaches and outcomes to improving nutrition-related indicators are most appropriate to the needs and capacity of Timor-Leste? </w:t>
      </w:r>
    </w:p>
    <w:p w:rsidR="0083661D" w:rsidRPr="00033C5C" w:rsidRDefault="0083661D" w:rsidP="0083661D">
      <w:pPr>
        <w:pStyle w:val="Pa7"/>
        <w:spacing w:before="100"/>
        <w:rPr>
          <w:rFonts w:asciiTheme="minorHAnsi" w:hAnsiTheme="minorHAnsi"/>
          <w:sz w:val="22"/>
          <w:szCs w:val="22"/>
        </w:rPr>
      </w:pPr>
      <w:r w:rsidRPr="00033C5C">
        <w:rPr>
          <w:rFonts w:asciiTheme="minorHAnsi" w:hAnsiTheme="minorHAnsi" w:cs="HelveticaNeueLT Std Thin"/>
          <w:sz w:val="22"/>
          <w:szCs w:val="22"/>
        </w:rPr>
        <w:t xml:space="preserve">The review team </w:t>
      </w:r>
      <w:r w:rsidR="00C236EC">
        <w:rPr>
          <w:rFonts w:asciiTheme="minorHAnsi" w:hAnsiTheme="minorHAnsi" w:cs="HelveticaNeueLT Std Thin"/>
          <w:sz w:val="22"/>
          <w:szCs w:val="22"/>
        </w:rPr>
        <w:t>meth</w:t>
      </w:r>
      <w:r w:rsidRPr="00033C5C">
        <w:rPr>
          <w:rFonts w:asciiTheme="minorHAnsi" w:hAnsiTheme="minorHAnsi" w:cs="HelveticaNeueLT Std Thin"/>
          <w:sz w:val="22"/>
          <w:szCs w:val="22"/>
        </w:rPr>
        <w:t>ods included an initial document review, followed by a 16-day in-country</w:t>
      </w:r>
      <w:r w:rsidR="00D87C78" w:rsidRPr="00033C5C">
        <w:rPr>
          <w:rFonts w:asciiTheme="minorHAnsi" w:hAnsiTheme="minorHAnsi" w:cs="HelveticaNeueLT Std Thin"/>
          <w:sz w:val="22"/>
          <w:szCs w:val="22"/>
        </w:rPr>
        <w:t xml:space="preserve"> visit (13-30 August) </w:t>
      </w:r>
      <w:r w:rsidRPr="00033C5C">
        <w:rPr>
          <w:rFonts w:asciiTheme="minorHAnsi" w:hAnsiTheme="minorHAnsi" w:cs="HelveticaNeueLT Std Thin"/>
          <w:sz w:val="22"/>
          <w:szCs w:val="22"/>
        </w:rPr>
        <w:t xml:space="preserve">to: </w:t>
      </w:r>
      <w:r w:rsidRPr="00033C5C">
        <w:rPr>
          <w:rFonts w:asciiTheme="minorHAnsi" w:hAnsiTheme="minorHAnsi"/>
          <w:sz w:val="22"/>
          <w:szCs w:val="22"/>
        </w:rPr>
        <w:t>conduct interviews with more than 70 key stakeholders engaged in the sector; visit sites in Baucau and Manufahi to meet with recipients of the President’s National Healthy Families Nutrition Award, TOMAK partners, Hamutuk partners and community-based nutrition activities; and present preliminary findings and recommendations and receive initial feedback and comments.</w:t>
      </w:r>
    </w:p>
    <w:p w:rsidR="0083661D" w:rsidRPr="00033C5C" w:rsidRDefault="0083661D" w:rsidP="0083661D">
      <w:pPr>
        <w:pStyle w:val="Default"/>
        <w:rPr>
          <w:rFonts w:asciiTheme="minorHAnsi" w:hAnsiTheme="minorHAnsi"/>
          <w:color w:val="auto"/>
          <w:sz w:val="22"/>
          <w:szCs w:val="22"/>
        </w:rPr>
      </w:pPr>
    </w:p>
    <w:p w:rsidR="0083661D" w:rsidRPr="00033C5C" w:rsidRDefault="0083661D" w:rsidP="0083661D">
      <w:pPr>
        <w:pStyle w:val="Pa12"/>
        <w:spacing w:before="220"/>
        <w:rPr>
          <w:rFonts w:asciiTheme="minorHAnsi" w:hAnsiTheme="minorHAnsi" w:cs="HelveticaNeueLT Std"/>
          <w:sz w:val="22"/>
          <w:szCs w:val="22"/>
        </w:rPr>
      </w:pPr>
      <w:r w:rsidRPr="00033C5C">
        <w:rPr>
          <w:rFonts w:asciiTheme="minorHAnsi" w:hAnsiTheme="minorHAnsi" w:cs="HelveticaNeueLT Std"/>
          <w:b/>
          <w:bCs/>
          <w:sz w:val="22"/>
          <w:szCs w:val="22"/>
        </w:rPr>
        <w:t>Main Findings</w:t>
      </w:r>
    </w:p>
    <w:p w:rsidR="00CE4761" w:rsidRPr="00033C5C" w:rsidRDefault="0083661D" w:rsidP="00CE4761">
      <w:pPr>
        <w:pStyle w:val="Pa14"/>
        <w:spacing w:before="100"/>
        <w:ind w:left="440"/>
        <w:rPr>
          <w:rFonts w:asciiTheme="minorHAnsi" w:hAnsiTheme="minorHAnsi" w:cs="HelveticaNeueLT Std Thin"/>
          <w:sz w:val="22"/>
          <w:szCs w:val="22"/>
        </w:rPr>
      </w:pPr>
      <w:r w:rsidRPr="00033C5C">
        <w:rPr>
          <w:rFonts w:asciiTheme="minorHAnsi" w:hAnsiTheme="minorHAnsi" w:cs="HelveticaNeueLT Std"/>
          <w:b/>
          <w:bCs/>
          <w:sz w:val="22"/>
          <w:szCs w:val="22"/>
        </w:rPr>
        <w:lastRenderedPageBreak/>
        <w:t xml:space="preserve">Relevance: </w:t>
      </w:r>
      <w:r w:rsidRPr="00033C5C">
        <w:rPr>
          <w:rFonts w:asciiTheme="minorHAnsi" w:hAnsiTheme="minorHAnsi" w:cs="HelveticaNeueLT Std Thin"/>
          <w:sz w:val="22"/>
          <w:szCs w:val="22"/>
        </w:rPr>
        <w:t>DFAT’s current nutrition program in Timor-Leste is highly relevant</w:t>
      </w:r>
      <w:r w:rsidR="00D87C78" w:rsidRPr="00033C5C">
        <w:rPr>
          <w:rFonts w:asciiTheme="minorHAnsi" w:hAnsiTheme="minorHAnsi" w:cs="HelveticaNeueLT Std Thin"/>
          <w:sz w:val="22"/>
          <w:szCs w:val="22"/>
        </w:rPr>
        <w:t xml:space="preserve"> to Australian development program </w:t>
      </w:r>
      <w:r w:rsidRPr="00033C5C">
        <w:rPr>
          <w:rFonts w:asciiTheme="minorHAnsi" w:hAnsiTheme="minorHAnsi" w:cs="HelveticaNeueLT Std Thin"/>
          <w:sz w:val="22"/>
          <w:szCs w:val="22"/>
        </w:rPr>
        <w:t>priorities</w:t>
      </w:r>
      <w:r w:rsidR="00D87C78" w:rsidRPr="00033C5C">
        <w:rPr>
          <w:rFonts w:asciiTheme="minorHAnsi" w:hAnsiTheme="minorHAnsi" w:cs="HelveticaNeueLT Std Thin"/>
          <w:sz w:val="22"/>
          <w:szCs w:val="22"/>
        </w:rPr>
        <w:t>, and to the Government of Timor- Leste’s commitment</w:t>
      </w:r>
      <w:r w:rsidR="00CE4761" w:rsidRPr="00033C5C">
        <w:rPr>
          <w:rFonts w:asciiTheme="minorHAnsi" w:hAnsiTheme="minorHAnsi" w:cs="HelveticaNeueLT Std Thin"/>
          <w:sz w:val="22"/>
          <w:szCs w:val="22"/>
        </w:rPr>
        <w:t xml:space="preserve">s to achieve Sustainable Development Goal (SDG) 2: </w:t>
      </w:r>
      <w:r w:rsidR="00CE4761" w:rsidRPr="00033C5C">
        <w:rPr>
          <w:rFonts w:asciiTheme="minorHAnsi" w:hAnsiTheme="minorHAnsi" w:cs="HelveticaNeueLT Std Thin"/>
          <w:i/>
          <w:iCs/>
          <w:sz w:val="22"/>
          <w:szCs w:val="22"/>
        </w:rPr>
        <w:t xml:space="preserve">End hunger, achieve food security and improved nutrition, and promote sustainable agriculture.  </w:t>
      </w:r>
      <w:r w:rsidR="00CE4761" w:rsidRPr="00033C5C">
        <w:rPr>
          <w:rFonts w:asciiTheme="minorHAnsi" w:hAnsiTheme="minorHAnsi" w:cs="HelveticaNeueLT Std Thin"/>
          <w:sz w:val="22"/>
          <w:szCs w:val="22"/>
        </w:rPr>
        <w:t xml:space="preserve">The </w:t>
      </w:r>
      <w:r w:rsidR="00B31EF2" w:rsidRPr="00033C5C">
        <w:rPr>
          <w:rFonts w:asciiTheme="minorHAnsi" w:hAnsiTheme="minorHAnsi" w:cs="HelveticaNeueLT Std Thin"/>
          <w:sz w:val="22"/>
          <w:szCs w:val="22"/>
        </w:rPr>
        <w:t>Government</w:t>
      </w:r>
      <w:r w:rsidR="00196F5D" w:rsidRPr="00033C5C">
        <w:rPr>
          <w:rFonts w:asciiTheme="minorHAnsi" w:hAnsiTheme="minorHAnsi" w:cs="HelveticaNeueLT Std Thin"/>
          <w:sz w:val="22"/>
          <w:szCs w:val="22"/>
        </w:rPr>
        <w:t xml:space="preserve"> of Timor-Leste</w:t>
      </w:r>
      <w:r w:rsidR="00CE4761" w:rsidRPr="00033C5C">
        <w:rPr>
          <w:rFonts w:asciiTheme="minorHAnsi" w:hAnsiTheme="minorHAnsi" w:cs="HelveticaNeueLT Std Thin"/>
          <w:sz w:val="22"/>
          <w:szCs w:val="22"/>
        </w:rPr>
        <w:t>’s renewed focus on nutrition under SDG 2 presents a timely opportunity for Australia, as a trusted leader in the area, to build on its responsive and valued support in future programming.</w:t>
      </w:r>
    </w:p>
    <w:p w:rsidR="0083661D" w:rsidRPr="00033C5C" w:rsidRDefault="0083661D" w:rsidP="0083661D">
      <w:pPr>
        <w:pStyle w:val="Pa14"/>
        <w:spacing w:before="100"/>
        <w:ind w:left="440"/>
        <w:rPr>
          <w:rFonts w:asciiTheme="minorHAnsi" w:hAnsiTheme="minorHAnsi" w:cs="HelveticaNeueLT Std Thin"/>
          <w:sz w:val="22"/>
          <w:szCs w:val="22"/>
        </w:rPr>
      </w:pPr>
      <w:r w:rsidRPr="00033C5C">
        <w:rPr>
          <w:rFonts w:asciiTheme="minorHAnsi" w:hAnsiTheme="minorHAnsi" w:cs="HelveticaNeueLT Std"/>
          <w:b/>
          <w:bCs/>
          <w:sz w:val="22"/>
          <w:szCs w:val="22"/>
        </w:rPr>
        <w:t xml:space="preserve">Strategy: </w:t>
      </w:r>
      <w:r w:rsidRPr="00033C5C">
        <w:rPr>
          <w:rFonts w:asciiTheme="minorHAnsi" w:hAnsiTheme="minorHAnsi" w:cs="HelveticaNeueLT Std Thin"/>
          <w:sz w:val="22"/>
          <w:szCs w:val="22"/>
        </w:rPr>
        <w:t>The current DFAT portfolio of investments under the draft Nutrition Strategy does not yet adequately reflect an effective multi-sectoral approach.</w:t>
      </w:r>
      <w:r w:rsidR="00CD53EF" w:rsidRPr="00033C5C">
        <w:rPr>
          <w:rFonts w:asciiTheme="minorHAnsi" w:hAnsiTheme="minorHAnsi" w:cs="HelveticaNeueLT Std Thin"/>
          <w:sz w:val="22"/>
          <w:szCs w:val="22"/>
        </w:rPr>
        <w:t xml:space="preserve"> </w:t>
      </w:r>
      <w:r w:rsidRPr="00033C5C">
        <w:rPr>
          <w:rFonts w:asciiTheme="minorHAnsi" w:hAnsiTheme="minorHAnsi" w:cs="HelveticaNeueLT Std Thin"/>
          <w:sz w:val="22"/>
          <w:szCs w:val="22"/>
        </w:rPr>
        <w:t xml:space="preserve">The two key limitations are a lack of geographic convergence that would enable nutrition-specific and nutrition-sensitive activities to complement and strengthen each other, and an </w:t>
      </w:r>
      <w:r w:rsidR="00CE4761" w:rsidRPr="00033C5C">
        <w:rPr>
          <w:rFonts w:asciiTheme="minorHAnsi" w:hAnsiTheme="minorHAnsi" w:cs="HelveticaNeueLT Std Thin"/>
          <w:sz w:val="22"/>
          <w:szCs w:val="22"/>
        </w:rPr>
        <w:t>in</w:t>
      </w:r>
      <w:r w:rsidRPr="00033C5C">
        <w:rPr>
          <w:rFonts w:asciiTheme="minorHAnsi" w:hAnsiTheme="minorHAnsi" w:cs="HelveticaNeueLT Std Thin"/>
          <w:sz w:val="22"/>
          <w:szCs w:val="22"/>
        </w:rPr>
        <w:t>adequate balance of nutrition-specific and nutrition-sensitive interventions.</w:t>
      </w:r>
      <w:r w:rsidR="00CD53EF" w:rsidRPr="00033C5C">
        <w:rPr>
          <w:rFonts w:asciiTheme="minorHAnsi" w:hAnsiTheme="minorHAnsi" w:cs="HelveticaNeueLT Std Thin"/>
          <w:sz w:val="22"/>
          <w:szCs w:val="22"/>
        </w:rPr>
        <w:t xml:space="preserve"> </w:t>
      </w:r>
    </w:p>
    <w:p w:rsidR="00FF21E4" w:rsidRPr="00033C5C" w:rsidRDefault="00FF21E4" w:rsidP="00FF21E4">
      <w:pPr>
        <w:pStyle w:val="Default"/>
        <w:rPr>
          <w:color w:val="auto"/>
        </w:rPr>
      </w:pPr>
    </w:p>
    <w:p w:rsidR="004F7592" w:rsidRPr="00B31EF2" w:rsidRDefault="004F7592" w:rsidP="00FF21E4">
      <w:pPr>
        <w:pStyle w:val="Heading2"/>
        <w:rPr>
          <w:b/>
          <w:color w:val="auto"/>
          <w:szCs w:val="24"/>
        </w:rPr>
      </w:pPr>
      <w:r w:rsidRPr="00B31EF2">
        <w:rPr>
          <w:b/>
          <w:color w:val="auto"/>
          <w:szCs w:val="24"/>
        </w:rPr>
        <w:t xml:space="preserve">Summary of management response </w:t>
      </w:r>
    </w:p>
    <w:p w:rsidR="00CE4761" w:rsidRPr="00033C5C" w:rsidRDefault="00CE4761" w:rsidP="00AE45B9">
      <w:pPr>
        <w:spacing w:after="120"/>
        <w:rPr>
          <w:rFonts w:cs="HelveticaNeueLT Std Thin"/>
          <w:color w:val="auto"/>
          <w:lang w:val="en-AU"/>
        </w:rPr>
      </w:pPr>
      <w:r w:rsidRPr="00033C5C">
        <w:rPr>
          <w:rFonts w:cs="HelveticaNeueLT Std Thin"/>
          <w:color w:val="auto"/>
          <w:lang w:val="en-AU"/>
        </w:rPr>
        <w:t xml:space="preserve">The recommendations provide a valuable opportunity </w:t>
      </w:r>
      <w:r w:rsidR="00AE45B9" w:rsidRPr="00033C5C">
        <w:rPr>
          <w:rFonts w:cs="HelveticaNeueLT Std Thin"/>
          <w:color w:val="auto"/>
          <w:lang w:val="en-AU"/>
        </w:rPr>
        <w:t xml:space="preserve">to reflect on </w:t>
      </w:r>
      <w:r w:rsidR="007E4F9E" w:rsidRPr="00033C5C">
        <w:rPr>
          <w:rFonts w:cs="HelveticaNeueLT Std Thin"/>
          <w:color w:val="auto"/>
          <w:lang w:val="en-AU"/>
        </w:rPr>
        <w:t xml:space="preserve">Australia’s work to improve </w:t>
      </w:r>
      <w:r w:rsidR="001A5761" w:rsidRPr="00033C5C">
        <w:rPr>
          <w:rFonts w:cs="HelveticaNeueLT Std Thin"/>
          <w:color w:val="auto"/>
          <w:lang w:val="en-AU"/>
        </w:rPr>
        <w:t>nutrition</w:t>
      </w:r>
      <w:r w:rsidR="007E4F9E" w:rsidRPr="00033C5C">
        <w:rPr>
          <w:rFonts w:cs="HelveticaNeueLT Std Thin"/>
          <w:color w:val="auto"/>
          <w:lang w:val="en-AU"/>
        </w:rPr>
        <w:t xml:space="preserve"> in Timor-Leste across several programs in the development cooperation program. </w:t>
      </w:r>
      <w:r w:rsidR="00AE45B9" w:rsidRPr="00033C5C">
        <w:rPr>
          <w:rFonts w:cs="HelveticaNeueLT Std Thin"/>
          <w:color w:val="auto"/>
          <w:lang w:val="en-AU"/>
        </w:rPr>
        <w:t xml:space="preserve"> </w:t>
      </w:r>
      <w:r w:rsidR="007E4F9E" w:rsidRPr="00033C5C">
        <w:rPr>
          <w:rFonts w:cs="HelveticaNeueLT Std Thin"/>
          <w:color w:val="auto"/>
          <w:lang w:val="en-AU"/>
        </w:rPr>
        <w:t>Australia’s Department of Foreign Affairs and Trade (DFAT) agrees</w:t>
      </w:r>
      <w:r w:rsidR="00196F5D" w:rsidRPr="00033C5C">
        <w:rPr>
          <w:rFonts w:cs="HelveticaNeueLT Std Thin"/>
          <w:color w:val="auto"/>
          <w:lang w:val="en-AU"/>
        </w:rPr>
        <w:t>, at least in part,</w:t>
      </w:r>
      <w:r w:rsidR="007E4F9E" w:rsidRPr="00033C5C">
        <w:rPr>
          <w:rFonts w:cs="HelveticaNeueLT Std Thin"/>
          <w:color w:val="auto"/>
          <w:lang w:val="en-AU"/>
        </w:rPr>
        <w:t xml:space="preserve"> to all of the</w:t>
      </w:r>
      <w:r w:rsidRPr="00033C5C">
        <w:rPr>
          <w:rFonts w:cs="HelveticaNeueLT Std Thin"/>
          <w:color w:val="auto"/>
          <w:lang w:val="en-AU"/>
        </w:rPr>
        <w:t xml:space="preserve"> </w:t>
      </w:r>
      <w:r w:rsidR="007E4F9E" w:rsidRPr="00033C5C">
        <w:rPr>
          <w:rFonts w:cs="HelveticaNeueLT Std Thin"/>
          <w:color w:val="auto"/>
          <w:lang w:val="en-AU"/>
        </w:rPr>
        <w:t xml:space="preserve">eight </w:t>
      </w:r>
      <w:r w:rsidRPr="00033C5C">
        <w:rPr>
          <w:rFonts w:cs="HelveticaNeueLT Std Thin"/>
          <w:color w:val="auto"/>
          <w:lang w:val="en-AU"/>
        </w:rPr>
        <w:t xml:space="preserve">recommendations made by the </w:t>
      </w:r>
      <w:r w:rsidR="007E4F9E" w:rsidRPr="00033C5C">
        <w:rPr>
          <w:rFonts w:cs="HelveticaNeueLT Std Thin"/>
          <w:color w:val="auto"/>
          <w:lang w:val="en-AU"/>
        </w:rPr>
        <w:t xml:space="preserve">review team. </w:t>
      </w:r>
      <w:r w:rsidRPr="00033C5C">
        <w:rPr>
          <w:rFonts w:cs="HelveticaNeueLT Std Thin"/>
          <w:color w:val="auto"/>
          <w:lang w:val="en-AU"/>
        </w:rPr>
        <w:t xml:space="preserve"> </w:t>
      </w:r>
    </w:p>
    <w:p w:rsidR="007E4F9E" w:rsidRDefault="00CE4761" w:rsidP="00AE45B9">
      <w:pPr>
        <w:spacing w:after="120"/>
        <w:rPr>
          <w:rFonts w:cs="HelveticaNeueLT Std Thin"/>
          <w:color w:val="auto"/>
          <w:lang w:val="en-AU"/>
        </w:rPr>
      </w:pPr>
      <w:r w:rsidRPr="00033C5C">
        <w:rPr>
          <w:rFonts w:cs="HelveticaNeueLT Std Thin"/>
          <w:color w:val="auto"/>
          <w:lang w:val="en-AU"/>
        </w:rPr>
        <w:t>DFAT notes that some recommendations require the</w:t>
      </w:r>
      <w:r w:rsidR="007E4F9E" w:rsidRPr="00033C5C">
        <w:rPr>
          <w:rFonts w:cs="HelveticaNeueLT Std Thin"/>
          <w:color w:val="auto"/>
          <w:lang w:val="en-AU"/>
        </w:rPr>
        <w:t xml:space="preserve"> Timor-Leste </w:t>
      </w:r>
      <w:r w:rsidRPr="00033C5C">
        <w:rPr>
          <w:rFonts w:cs="HelveticaNeueLT Std Thin"/>
          <w:color w:val="auto"/>
          <w:lang w:val="en-AU"/>
        </w:rPr>
        <w:t xml:space="preserve">Government’s agreement and guidance. </w:t>
      </w:r>
      <w:r w:rsidR="007E4F9E" w:rsidRPr="00033C5C">
        <w:rPr>
          <w:rFonts w:cs="HelveticaNeueLT Std Thin"/>
          <w:color w:val="auto"/>
          <w:lang w:val="en-AU"/>
        </w:rPr>
        <w:t xml:space="preserve">There is some </w:t>
      </w:r>
      <w:r w:rsidR="00101919" w:rsidRPr="00033C5C">
        <w:rPr>
          <w:rFonts w:cs="HelveticaNeueLT Std Thin"/>
          <w:color w:val="auto"/>
          <w:lang w:val="en-AU"/>
        </w:rPr>
        <w:t xml:space="preserve">political uncertainty in the Government of Timor-Leste </w:t>
      </w:r>
      <w:r w:rsidR="004D686A" w:rsidRPr="00033C5C">
        <w:rPr>
          <w:rFonts w:cs="HelveticaNeueLT Std Thin"/>
          <w:color w:val="auto"/>
          <w:lang w:val="en-AU"/>
        </w:rPr>
        <w:t>at the end of 2017, so t</w:t>
      </w:r>
      <w:r w:rsidR="00101919" w:rsidRPr="00033C5C">
        <w:rPr>
          <w:rFonts w:cs="HelveticaNeueLT Std Thin"/>
          <w:color w:val="auto"/>
          <w:lang w:val="en-AU"/>
        </w:rPr>
        <w:t xml:space="preserve">his </w:t>
      </w:r>
      <w:r w:rsidR="004D686A" w:rsidRPr="00033C5C">
        <w:rPr>
          <w:rFonts w:cs="HelveticaNeueLT Std Thin"/>
          <w:color w:val="auto"/>
          <w:lang w:val="en-AU"/>
        </w:rPr>
        <w:t xml:space="preserve">will likely delay </w:t>
      </w:r>
      <w:r w:rsidR="006F7E7A" w:rsidRPr="00033C5C">
        <w:rPr>
          <w:rFonts w:cs="HelveticaNeueLT Std Thin"/>
          <w:color w:val="auto"/>
          <w:lang w:val="en-AU"/>
        </w:rPr>
        <w:t xml:space="preserve">detailed consideration and </w:t>
      </w:r>
      <w:r w:rsidR="004D686A" w:rsidRPr="00033C5C">
        <w:rPr>
          <w:rFonts w:cs="HelveticaNeueLT Std Thin"/>
          <w:color w:val="auto"/>
          <w:lang w:val="en-AU"/>
        </w:rPr>
        <w:t xml:space="preserve">implementation of many of the recommendations. </w:t>
      </w:r>
    </w:p>
    <w:p w:rsidR="00521EAC" w:rsidRDefault="00521EAC" w:rsidP="00AE45B9">
      <w:pPr>
        <w:spacing w:after="120"/>
        <w:rPr>
          <w:rFonts w:cs="HelveticaNeueLT Std Thin"/>
          <w:color w:val="auto"/>
          <w:lang w:val="en-AU"/>
        </w:rPr>
      </w:pPr>
    </w:p>
    <w:p w:rsidR="00521EAC" w:rsidRPr="00521EAC" w:rsidRDefault="00521EAC" w:rsidP="00AE45B9">
      <w:pPr>
        <w:spacing w:after="120"/>
        <w:rPr>
          <w:rFonts w:ascii="Calibri Light" w:hAnsi="Calibri Light"/>
          <w:b/>
          <w:color w:val="000000" w:themeColor="text1"/>
          <w:sz w:val="20"/>
          <w:szCs w:val="20"/>
          <w:lang w:val="en-AU"/>
        </w:rPr>
      </w:pPr>
      <w:r w:rsidRPr="00521EAC">
        <w:rPr>
          <w:rFonts w:ascii="Calibri Light" w:hAnsi="Calibri Light"/>
          <w:b/>
          <w:color w:val="000000" w:themeColor="text1"/>
          <w:sz w:val="20"/>
          <w:szCs w:val="20"/>
          <w:lang w:val="en-AU"/>
        </w:rPr>
        <w:t xml:space="preserve">Acronym list </w:t>
      </w:r>
    </w:p>
    <w:tbl>
      <w:tblPr>
        <w:tblStyle w:val="TableGrid1"/>
        <w:tblW w:w="0" w:type="auto"/>
        <w:tblLook w:val="04A0" w:firstRow="1" w:lastRow="0" w:firstColumn="1" w:lastColumn="0" w:noHBand="0" w:noVBand="1"/>
      </w:tblPr>
      <w:tblGrid>
        <w:gridCol w:w="1271"/>
        <w:gridCol w:w="6379"/>
      </w:tblGrid>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AIP</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Aid Investment Plan</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BMI</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Body Mass Index</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CMAM</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Community-based management of acute malnutrition</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CSO</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Civil Society Organisation</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DFAT</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Australia’s Department of Foreign Affairs and Trade</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FAO</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rPr>
              <w:t>Food and Agriculture Organisation</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INGO</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International non-government organisations</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IYCF</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rPr>
            </w:pPr>
            <w:r w:rsidRPr="00521EAC">
              <w:rPr>
                <w:rFonts w:ascii="Calibri Light" w:hAnsi="Calibri Light"/>
                <w:color w:val="000000" w:themeColor="text1"/>
                <w:sz w:val="20"/>
                <w:szCs w:val="20"/>
              </w:rPr>
              <w:t>Infant and young child feeding</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KONSSANTIL</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rPr>
              <w:t>National Council for Food Security, Sovereignty and Nutrition in Timor-Leste</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LBW</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Low birth weight</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MCH</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Maternal and Child Health</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MoH</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Ministry of Health</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NSA</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Nutrition Sensitive Agriculture</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PHD</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Partnership for Human Development</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PNP</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 xml:space="preserve">President’s Nutrition Program </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SAM</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severe acute malnutrition</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SDG</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rPr>
            </w:pPr>
            <w:r w:rsidRPr="00521EAC">
              <w:rPr>
                <w:rFonts w:ascii="Calibri Light" w:hAnsi="Calibri Light"/>
                <w:color w:val="000000" w:themeColor="text1"/>
                <w:sz w:val="20"/>
                <w:szCs w:val="20"/>
              </w:rPr>
              <w:t>Sustainable Development Goal</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SNIP</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eastAsia="Cambria" w:hAnsi="Calibri Light" w:cs="Times New Roman"/>
                <w:color w:val="000000" w:themeColor="text1"/>
                <w:sz w:val="20"/>
                <w:szCs w:val="20"/>
                <w:lang w:val="en-AU"/>
              </w:rPr>
              <w:t>Specific Nutrition Intervention Package</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TOMAK</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To’os ba Moris Di’ak (Farming for Prosperity)</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UNFPA</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United Nations Population Fund</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UNICEF</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United Nations Children's Fund</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USAID</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The United States Agency for International Development</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WFP</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 xml:space="preserve">World Food Program </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WHO</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 xml:space="preserve">World Health Organization </w:t>
            </w:r>
          </w:p>
        </w:tc>
      </w:tr>
      <w:tr w:rsidR="00521EAC" w:rsidRPr="00521EAC" w:rsidTr="00367E65">
        <w:tc>
          <w:tcPr>
            <w:tcW w:w="1271" w:type="dxa"/>
            <w:vAlign w:val="center"/>
          </w:tcPr>
          <w:p w:rsidR="00521EAC" w:rsidRPr="00521EAC" w:rsidRDefault="00521EAC" w:rsidP="00521EAC">
            <w:pPr>
              <w:suppressAutoHyphens w:val="0"/>
              <w:spacing w:before="0" w:after="0" w:line="240" w:lineRule="auto"/>
              <w:rPr>
                <w:rFonts w:ascii="Calibri" w:hAnsi="Calibri"/>
                <w:bCs/>
                <w:color w:val="000000" w:themeColor="text1"/>
                <w:sz w:val="20"/>
                <w:szCs w:val="20"/>
                <w:lang w:val="en-AU"/>
              </w:rPr>
            </w:pPr>
            <w:r w:rsidRPr="00521EAC">
              <w:rPr>
                <w:rFonts w:ascii="Calibri" w:hAnsi="Calibri"/>
                <w:bCs/>
                <w:color w:val="000000" w:themeColor="text1"/>
                <w:sz w:val="20"/>
                <w:szCs w:val="20"/>
                <w:lang w:val="en-AU"/>
              </w:rPr>
              <w:t>WRA</w:t>
            </w:r>
          </w:p>
        </w:tc>
        <w:tc>
          <w:tcPr>
            <w:tcW w:w="6379" w:type="dxa"/>
            <w:vAlign w:val="center"/>
          </w:tcPr>
          <w:p w:rsidR="00521EAC" w:rsidRPr="00521EAC" w:rsidRDefault="00521EAC" w:rsidP="00521EAC">
            <w:pPr>
              <w:suppressAutoHyphens w:val="0"/>
              <w:spacing w:before="0" w:after="0" w:line="240" w:lineRule="auto"/>
              <w:rPr>
                <w:rFonts w:ascii="Calibri Light" w:hAnsi="Calibri Light"/>
                <w:color w:val="000000" w:themeColor="text1"/>
                <w:sz w:val="20"/>
                <w:szCs w:val="20"/>
                <w:lang w:val="en-AU"/>
              </w:rPr>
            </w:pPr>
            <w:r w:rsidRPr="00521EAC">
              <w:rPr>
                <w:rFonts w:ascii="Calibri Light" w:hAnsi="Calibri Light"/>
                <w:color w:val="000000" w:themeColor="text1"/>
                <w:sz w:val="20"/>
                <w:szCs w:val="20"/>
                <w:lang w:val="en-AU"/>
              </w:rPr>
              <w:t>Women of reproductive age</w:t>
            </w:r>
          </w:p>
        </w:tc>
      </w:tr>
    </w:tbl>
    <w:p w:rsidR="00292806" w:rsidRPr="00033C5C" w:rsidRDefault="00292806" w:rsidP="00521EAC">
      <w:pPr>
        <w:suppressAutoHyphens w:val="0"/>
        <w:spacing w:before="0" w:after="160" w:line="259" w:lineRule="auto"/>
        <w:jc w:val="both"/>
        <w:rPr>
          <w:rFonts w:cs="HelveticaNeueLT Std Thin"/>
          <w:color w:val="auto"/>
          <w:lang w:val="en-AU"/>
        </w:rPr>
      </w:pPr>
      <w:r w:rsidRPr="00033C5C">
        <w:rPr>
          <w:rFonts w:cs="HelveticaNeueLT Std Thin"/>
          <w:color w:val="auto"/>
          <w:lang w:val="en-AU"/>
        </w:rPr>
        <w:br w:type="page"/>
      </w:r>
    </w:p>
    <w:p w:rsidR="00292806" w:rsidRPr="00033C5C" w:rsidRDefault="00292806" w:rsidP="004F7592">
      <w:pPr>
        <w:pStyle w:val="Heading3"/>
        <w:rPr>
          <w:rFonts w:asciiTheme="minorHAnsi" w:eastAsiaTheme="minorHAnsi" w:hAnsiTheme="minorHAnsi" w:cs="HelveticaNeueLT Std Thin"/>
          <w:bCs w:val="0"/>
          <w:color w:val="auto"/>
          <w:sz w:val="22"/>
          <w:szCs w:val="22"/>
        </w:rPr>
        <w:sectPr w:rsidR="00292806" w:rsidRPr="00033C5C" w:rsidSect="002928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4F7592" w:rsidRPr="00033C5C" w:rsidRDefault="006F7E7A" w:rsidP="004F7592">
      <w:pPr>
        <w:pStyle w:val="Heading3"/>
        <w:rPr>
          <w:color w:val="auto"/>
        </w:rPr>
      </w:pPr>
      <w:r w:rsidRPr="00033C5C">
        <w:rPr>
          <w:color w:val="auto"/>
        </w:rPr>
        <w:lastRenderedPageBreak/>
        <w:t>M</w:t>
      </w:r>
      <w:r w:rsidR="004F7592" w:rsidRPr="00033C5C">
        <w:rPr>
          <w:color w:val="auto"/>
        </w:rPr>
        <w:t>anagement response</w:t>
      </w:r>
      <w:r w:rsidRPr="00033C5C">
        <w:rPr>
          <w:color w:val="auto"/>
        </w:rPr>
        <w:t>s</w:t>
      </w:r>
      <w:r w:rsidR="004F7592" w:rsidRPr="00033C5C">
        <w:rPr>
          <w:color w:val="auto"/>
        </w:rPr>
        <w:t xml:space="preserve"> to the recommendations </w:t>
      </w:r>
      <w:r w:rsidR="001A5761" w:rsidRPr="00033C5C">
        <w:rPr>
          <w:color w:val="auto"/>
        </w:rPr>
        <w:t>– December 2018</w:t>
      </w:r>
    </w:p>
    <w:p w:rsidR="00F6661E" w:rsidRPr="00033C5C" w:rsidRDefault="00F6661E" w:rsidP="00F6661E">
      <w:pPr>
        <w:rPr>
          <w:color w:val="auto"/>
          <w:lang w:val="en-AU"/>
        </w:rPr>
      </w:pPr>
    </w:p>
    <w:tbl>
      <w:tblPr>
        <w:tblStyle w:val="TableGrid"/>
        <w:tblW w:w="14737" w:type="dxa"/>
        <w:tblInd w:w="-431" w:type="dxa"/>
        <w:tblLook w:val="04A0" w:firstRow="1" w:lastRow="0" w:firstColumn="1" w:lastColumn="0" w:noHBand="0" w:noVBand="1"/>
      </w:tblPr>
      <w:tblGrid>
        <w:gridCol w:w="7316"/>
        <w:gridCol w:w="1326"/>
        <w:gridCol w:w="4394"/>
        <w:gridCol w:w="1701"/>
      </w:tblGrid>
      <w:tr w:rsidR="00033C5C" w:rsidRPr="00033C5C" w:rsidTr="00B1544A">
        <w:trPr>
          <w:tblHeader/>
        </w:trPr>
        <w:tc>
          <w:tcPr>
            <w:tcW w:w="7316" w:type="dxa"/>
            <w:shd w:val="clear" w:color="auto" w:fill="D9D9D9" w:themeFill="background1" w:themeFillShade="D9"/>
          </w:tcPr>
          <w:p w:rsidR="00F6661E" w:rsidRPr="00033C5C" w:rsidRDefault="00F6661E" w:rsidP="00F6661E">
            <w:pPr>
              <w:rPr>
                <w:color w:val="auto"/>
                <w:lang w:val="en-AU"/>
              </w:rPr>
            </w:pPr>
            <w:r w:rsidRPr="00033C5C">
              <w:rPr>
                <w:color w:val="auto"/>
              </w:rPr>
              <w:t>Recommendation</w:t>
            </w:r>
          </w:p>
        </w:tc>
        <w:tc>
          <w:tcPr>
            <w:tcW w:w="1326" w:type="dxa"/>
            <w:shd w:val="clear" w:color="auto" w:fill="D9D9D9" w:themeFill="background1" w:themeFillShade="D9"/>
          </w:tcPr>
          <w:p w:rsidR="00F6661E" w:rsidRPr="00033C5C" w:rsidRDefault="00412778" w:rsidP="00412778">
            <w:pPr>
              <w:rPr>
                <w:color w:val="auto"/>
                <w:lang w:val="en-AU"/>
              </w:rPr>
            </w:pPr>
            <w:r w:rsidRPr="00033C5C">
              <w:rPr>
                <w:color w:val="auto"/>
              </w:rPr>
              <w:t xml:space="preserve">Response </w:t>
            </w:r>
          </w:p>
        </w:tc>
        <w:tc>
          <w:tcPr>
            <w:tcW w:w="4394" w:type="dxa"/>
            <w:shd w:val="clear" w:color="auto" w:fill="D9D9D9" w:themeFill="background1" w:themeFillShade="D9"/>
          </w:tcPr>
          <w:p w:rsidR="00F6661E" w:rsidRPr="00033C5C" w:rsidRDefault="00F6661E" w:rsidP="00F6661E">
            <w:pPr>
              <w:rPr>
                <w:color w:val="auto"/>
              </w:rPr>
            </w:pPr>
            <w:r w:rsidRPr="00033C5C">
              <w:rPr>
                <w:color w:val="auto"/>
              </w:rPr>
              <w:t xml:space="preserve">Action plan </w:t>
            </w:r>
          </w:p>
        </w:tc>
        <w:tc>
          <w:tcPr>
            <w:tcW w:w="1701" w:type="dxa"/>
            <w:shd w:val="clear" w:color="auto" w:fill="D9D9D9" w:themeFill="background1" w:themeFillShade="D9"/>
          </w:tcPr>
          <w:p w:rsidR="00F6661E" w:rsidRPr="00033C5C" w:rsidRDefault="00F6661E" w:rsidP="00F6661E">
            <w:pPr>
              <w:pStyle w:val="TableHeaderRow"/>
              <w:rPr>
                <w:rFonts w:asciiTheme="minorHAnsi" w:hAnsiTheme="minorHAnsi"/>
                <w:b w:val="0"/>
                <w:color w:val="auto"/>
                <w:szCs w:val="22"/>
              </w:rPr>
            </w:pPr>
            <w:r w:rsidRPr="00033C5C">
              <w:rPr>
                <w:rFonts w:asciiTheme="minorHAnsi" w:hAnsiTheme="minorHAnsi"/>
                <w:b w:val="0"/>
                <w:color w:val="auto"/>
                <w:szCs w:val="22"/>
              </w:rPr>
              <w:t>Timeframe</w:t>
            </w:r>
          </w:p>
        </w:tc>
      </w:tr>
      <w:tr w:rsidR="00033C5C" w:rsidRPr="00033C5C" w:rsidTr="00B1544A">
        <w:tc>
          <w:tcPr>
            <w:tcW w:w="7316" w:type="dxa"/>
          </w:tcPr>
          <w:p w:rsidR="00F6661E" w:rsidRPr="00033C5C" w:rsidRDefault="00F6661E" w:rsidP="00B31EF2">
            <w:pPr>
              <w:rPr>
                <w:color w:val="auto"/>
                <w:lang w:val="en-AU"/>
              </w:rPr>
            </w:pPr>
            <w:r w:rsidRPr="00033C5C">
              <w:rPr>
                <w:rFonts w:cs="HelveticaNeueLT Std Thin"/>
                <w:b/>
                <w:color w:val="auto"/>
                <w:sz w:val="23"/>
                <w:szCs w:val="23"/>
              </w:rPr>
              <w:t>Recommendation 1</w:t>
            </w:r>
            <w:r w:rsidRPr="00033C5C">
              <w:rPr>
                <w:rFonts w:cs="HelveticaNeueLT Std Thin"/>
                <w:color w:val="auto"/>
                <w:sz w:val="23"/>
                <w:szCs w:val="23"/>
              </w:rPr>
              <w:t>: The emphasis of the DFAT Timor-Leste Country Program in supporting the nutrition aspirations of the Government of Timor-Leste is relevant to the priorities of the Australian Government; addresses an urgent country need; is well aligned with</w:t>
            </w:r>
            <w:r w:rsidR="00B31EF2">
              <w:rPr>
                <w:rFonts w:cs="HelveticaNeueLT Std Thin"/>
                <w:color w:val="auto"/>
                <w:sz w:val="23"/>
                <w:szCs w:val="23"/>
              </w:rPr>
              <w:t xml:space="preserve"> </w:t>
            </w:r>
            <w:r w:rsidR="00B31EF2" w:rsidRPr="00033C5C">
              <w:rPr>
                <w:rFonts w:cs="HelveticaNeueLT Std Thin"/>
                <w:color w:val="auto"/>
                <w:sz w:val="23"/>
                <w:szCs w:val="23"/>
              </w:rPr>
              <w:t>Government of Timor-Leste</w:t>
            </w:r>
            <w:r w:rsidRPr="00033C5C">
              <w:rPr>
                <w:rFonts w:cs="HelveticaNeueLT Std Thin"/>
                <w:color w:val="auto"/>
                <w:sz w:val="23"/>
                <w:szCs w:val="23"/>
              </w:rPr>
              <w:t xml:space="preserve"> priorities; is timely; and is broadly very well received. Addressing malnutrition should continue to be a high priority of the overall aid program in Timor-Leste.</w:t>
            </w:r>
          </w:p>
        </w:tc>
        <w:tc>
          <w:tcPr>
            <w:tcW w:w="1326" w:type="dxa"/>
          </w:tcPr>
          <w:p w:rsidR="00F6661E" w:rsidRPr="00033C5C" w:rsidRDefault="00F6661E" w:rsidP="00F6661E">
            <w:pPr>
              <w:rPr>
                <w:color w:val="auto"/>
                <w:lang w:val="en-AU"/>
              </w:rPr>
            </w:pPr>
            <w:r w:rsidRPr="00033C5C">
              <w:rPr>
                <w:color w:val="auto"/>
                <w:lang w:val="en-AU"/>
              </w:rPr>
              <w:t>Agree</w:t>
            </w:r>
          </w:p>
        </w:tc>
        <w:tc>
          <w:tcPr>
            <w:tcW w:w="4394" w:type="dxa"/>
          </w:tcPr>
          <w:p w:rsidR="00F6661E" w:rsidRPr="00033C5C" w:rsidRDefault="004D686A" w:rsidP="00B31EF2">
            <w:pPr>
              <w:rPr>
                <w:color w:val="auto"/>
                <w:lang w:val="en-AU"/>
              </w:rPr>
            </w:pPr>
            <w:r w:rsidRPr="00033C5C">
              <w:rPr>
                <w:color w:val="auto"/>
                <w:lang w:val="en-AU"/>
              </w:rPr>
              <w:t>DFAT will continue to support G</w:t>
            </w:r>
            <w:r w:rsidR="00B31EF2">
              <w:rPr>
                <w:color w:val="auto"/>
                <w:lang w:val="en-AU"/>
              </w:rPr>
              <w:t>overnment of Timor-Leste</w:t>
            </w:r>
            <w:r w:rsidR="00B1544A">
              <w:rPr>
                <w:color w:val="auto"/>
                <w:lang w:val="en-AU"/>
              </w:rPr>
              <w:t xml:space="preserve"> in</w:t>
            </w:r>
            <w:r w:rsidRPr="00033C5C">
              <w:rPr>
                <w:color w:val="auto"/>
                <w:lang w:val="en-AU"/>
              </w:rPr>
              <w:t xml:space="preserve"> its efforts </w:t>
            </w:r>
            <w:r w:rsidR="006F7E7A" w:rsidRPr="00033C5C">
              <w:rPr>
                <w:color w:val="auto"/>
                <w:lang w:val="en-AU"/>
              </w:rPr>
              <w:t xml:space="preserve">to </w:t>
            </w:r>
            <w:r w:rsidRPr="00033C5C">
              <w:rPr>
                <w:color w:val="auto"/>
                <w:lang w:val="en-AU"/>
              </w:rPr>
              <w:t xml:space="preserve">address malnutrition. </w:t>
            </w:r>
            <w:r w:rsidR="006F7E7A" w:rsidRPr="00033C5C">
              <w:rPr>
                <w:color w:val="auto"/>
                <w:lang w:val="en-AU"/>
              </w:rPr>
              <w:t>Addressing malnutrition will continue to be a high priority of the overall aid program in Timor-Leste.</w:t>
            </w:r>
          </w:p>
        </w:tc>
        <w:tc>
          <w:tcPr>
            <w:tcW w:w="1701" w:type="dxa"/>
          </w:tcPr>
          <w:p w:rsidR="00F6661E" w:rsidRPr="00033C5C" w:rsidRDefault="004D686A" w:rsidP="00F6661E">
            <w:pPr>
              <w:rPr>
                <w:color w:val="auto"/>
                <w:lang w:val="en-AU"/>
              </w:rPr>
            </w:pPr>
            <w:r w:rsidRPr="00033C5C">
              <w:rPr>
                <w:color w:val="auto"/>
                <w:lang w:val="en-AU"/>
              </w:rPr>
              <w:t xml:space="preserve">Ongoing </w:t>
            </w:r>
          </w:p>
        </w:tc>
      </w:tr>
      <w:tr w:rsidR="00033C5C" w:rsidRPr="00033C5C" w:rsidTr="00B1544A">
        <w:tc>
          <w:tcPr>
            <w:tcW w:w="7316" w:type="dxa"/>
          </w:tcPr>
          <w:p w:rsidR="00F6661E" w:rsidRPr="00033C5C" w:rsidRDefault="00F6661E" w:rsidP="00F6661E">
            <w:pPr>
              <w:pStyle w:val="boxred"/>
              <w:rPr>
                <w:rFonts w:ascii="Calibri" w:hAnsi="Calibri" w:cs="HelveticaNeueLT Std Thin"/>
                <w:color w:val="auto"/>
                <w:sz w:val="23"/>
                <w:szCs w:val="23"/>
                <w:lang w:val="en-GB"/>
              </w:rPr>
            </w:pPr>
            <w:r w:rsidRPr="00033C5C">
              <w:rPr>
                <w:rFonts w:ascii="Calibri" w:hAnsi="Calibri" w:cs="HelveticaNeueLT Std Thin"/>
                <w:b/>
                <w:color w:val="auto"/>
                <w:sz w:val="23"/>
                <w:szCs w:val="23"/>
                <w:lang w:val="en-GB"/>
              </w:rPr>
              <w:t>Recommendation 2</w:t>
            </w:r>
            <w:r w:rsidRPr="00033C5C">
              <w:rPr>
                <w:rFonts w:ascii="Calibri" w:hAnsi="Calibri" w:cs="HelveticaNeueLT Std Thin"/>
                <w:color w:val="auto"/>
                <w:sz w:val="23"/>
                <w:szCs w:val="23"/>
                <w:lang w:val="en-GB"/>
              </w:rPr>
              <w:t xml:space="preserve">: DFAT needs to increase its emphasis on nutrition within its overall portfolio – whether mainstreaming (as a loosely defined cross-cutting issue) or adopting a more fully realised multi-sectoral approach. In order to demonstrate current good practice in nutrition programming, and in line with Australia’s status as the largest bilateral donor to Timor-Leste, the Review team recommends that DFAT consider adopting </w:t>
            </w:r>
            <w:r w:rsidRPr="00033C5C">
              <w:rPr>
                <w:rFonts w:ascii="Calibri" w:hAnsi="Calibri" w:cs="HelveticaNeueLT Std Thin"/>
                <w:b/>
                <w:i/>
                <w:color w:val="auto"/>
                <w:sz w:val="23"/>
                <w:szCs w:val="23"/>
                <w:lang w:val="en-GB"/>
              </w:rPr>
              <w:t>a more deliberate, multi-sectoral strategy with a converged geographic focus in a single municipality</w:t>
            </w:r>
            <w:r w:rsidRPr="00033C5C">
              <w:rPr>
                <w:rFonts w:ascii="Calibri" w:hAnsi="Calibri" w:cs="HelveticaNeueLT Std Thin"/>
                <w:color w:val="auto"/>
                <w:sz w:val="23"/>
                <w:szCs w:val="23"/>
                <w:lang w:val="en-GB"/>
              </w:rPr>
              <w:t xml:space="preserve">. </w:t>
            </w:r>
          </w:p>
          <w:p w:rsidR="00F6661E" w:rsidRPr="00033C5C" w:rsidRDefault="00F6661E" w:rsidP="00F6661E">
            <w:pPr>
              <w:pStyle w:val="boxred"/>
              <w:rPr>
                <w:rFonts w:ascii="Calibri" w:hAnsi="Calibri" w:cs="HelveticaNeueLT Std Thin"/>
                <w:color w:val="auto"/>
                <w:sz w:val="23"/>
                <w:szCs w:val="23"/>
                <w:lang w:val="en-GB"/>
              </w:rPr>
            </w:pPr>
            <w:r w:rsidRPr="00033C5C">
              <w:rPr>
                <w:rFonts w:ascii="Calibri" w:hAnsi="Calibri" w:cs="HelveticaNeueLT Std Thin"/>
                <w:color w:val="auto"/>
                <w:sz w:val="23"/>
                <w:szCs w:val="23"/>
                <w:lang w:val="en-GB"/>
              </w:rPr>
              <w:t xml:space="preserve">Converging the nutrition-sensitive sector activities of PHD and TOMAK, and including key nutrition-specific interventions in a single municipality – starting in a single suco and progressively scaling out – has several benefits. It will provide a scale which is sufficiently broad to align all the required sectors; provide significant learning on cross program and cross ministry cooperation; enable greater attribution of real nutrition outcomes; and is within DFAT’s financial capacity to support. Selection of the municipality should ideally preference Bobonaro, Manufahi and Baucau, where KONSSANTIL currently plans to trial a converged approach at a suco level. Additional selection considerations should include:  </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lastRenderedPageBreak/>
              <w:t>municipal government interest and capacity to scale out to municipal coverage in partnership with DFAT;</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the relative prevalence of malnutrition;</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 xml:space="preserve">existing service gaps; and </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existing DFAT nutrition-related program coverage.</w:t>
            </w:r>
          </w:p>
          <w:p w:rsidR="00F6661E" w:rsidRPr="00033C5C" w:rsidRDefault="00F6661E" w:rsidP="00033C5C">
            <w:pPr>
              <w:pStyle w:val="boxred"/>
              <w:rPr>
                <w:color w:val="auto"/>
              </w:rPr>
            </w:pPr>
            <w:r w:rsidRPr="00033C5C">
              <w:rPr>
                <w:rFonts w:ascii="Calibri" w:hAnsi="Calibri" w:cs="HelveticaNeueLT Std Thin"/>
                <w:color w:val="auto"/>
                <w:sz w:val="23"/>
                <w:szCs w:val="23"/>
                <w:lang w:val="en-GB"/>
              </w:rPr>
              <w:t>This recommendation forms only the preliminary basis for further ta</w:t>
            </w:r>
            <w:r w:rsidR="00B31EF2">
              <w:rPr>
                <w:rFonts w:ascii="Calibri" w:hAnsi="Calibri" w:cs="HelveticaNeueLT Std Thin"/>
                <w:color w:val="auto"/>
                <w:sz w:val="23"/>
                <w:szCs w:val="23"/>
                <w:lang w:val="en-GB"/>
              </w:rPr>
              <w:t xml:space="preserve">lks with KONSSANTIL and the </w:t>
            </w:r>
            <w:r w:rsidR="00B31EF2" w:rsidRPr="00B31EF2">
              <w:rPr>
                <w:rFonts w:ascii="Calibri" w:hAnsi="Calibri" w:cs="HelveticaNeueLT Std Thin"/>
                <w:color w:val="auto"/>
                <w:sz w:val="23"/>
                <w:szCs w:val="23"/>
                <w:lang w:val="en-GB"/>
              </w:rPr>
              <w:t>Government of Timor-Leste</w:t>
            </w:r>
            <w:r w:rsidRPr="00033C5C">
              <w:rPr>
                <w:rFonts w:ascii="Calibri" w:hAnsi="Calibri" w:cs="HelveticaNeueLT Std Thin"/>
                <w:color w:val="auto"/>
                <w:sz w:val="23"/>
                <w:szCs w:val="23"/>
                <w:lang w:val="en-GB"/>
              </w:rPr>
              <w:t xml:space="preserve"> to agree on the geographic scope and location of a more converged approach.</w:t>
            </w:r>
          </w:p>
        </w:tc>
        <w:tc>
          <w:tcPr>
            <w:tcW w:w="1326" w:type="dxa"/>
          </w:tcPr>
          <w:p w:rsidR="00F6661E" w:rsidRPr="00033C5C" w:rsidRDefault="00662E31" w:rsidP="00F6661E">
            <w:pPr>
              <w:rPr>
                <w:color w:val="auto"/>
                <w:lang w:val="en-AU"/>
              </w:rPr>
            </w:pPr>
            <w:r w:rsidRPr="00033C5C">
              <w:rPr>
                <w:color w:val="auto"/>
                <w:lang w:val="en-AU"/>
              </w:rPr>
              <w:lastRenderedPageBreak/>
              <w:t>Partially a</w:t>
            </w:r>
            <w:r w:rsidR="00F6661E" w:rsidRPr="00033C5C">
              <w:rPr>
                <w:color w:val="auto"/>
                <w:lang w:val="en-AU"/>
              </w:rPr>
              <w:t>gree</w:t>
            </w:r>
          </w:p>
        </w:tc>
        <w:tc>
          <w:tcPr>
            <w:tcW w:w="4394" w:type="dxa"/>
          </w:tcPr>
          <w:p w:rsidR="00662E31" w:rsidRPr="00033C5C" w:rsidRDefault="00662E31" w:rsidP="00F6661E">
            <w:pPr>
              <w:rPr>
                <w:color w:val="auto"/>
                <w:lang w:val="en-AU"/>
              </w:rPr>
            </w:pPr>
            <w:r w:rsidRPr="00033C5C">
              <w:rPr>
                <w:color w:val="auto"/>
                <w:lang w:val="en-AU"/>
              </w:rPr>
              <w:t xml:space="preserve">DFAT agrees that it should </w:t>
            </w:r>
            <w:r w:rsidR="00D511CA" w:rsidRPr="00033C5C">
              <w:rPr>
                <w:color w:val="auto"/>
                <w:lang w:val="en-AU"/>
              </w:rPr>
              <w:t>continue to</w:t>
            </w:r>
            <w:r w:rsidRPr="00033C5C">
              <w:rPr>
                <w:color w:val="auto"/>
                <w:lang w:val="en-AU"/>
              </w:rPr>
              <w:t xml:space="preserve"> emphasis</w:t>
            </w:r>
            <w:r w:rsidR="00D511CA" w:rsidRPr="00033C5C">
              <w:rPr>
                <w:color w:val="auto"/>
                <w:lang w:val="en-AU"/>
              </w:rPr>
              <w:t>e</w:t>
            </w:r>
            <w:r w:rsidRPr="00033C5C">
              <w:rPr>
                <w:color w:val="auto"/>
                <w:lang w:val="en-AU"/>
              </w:rPr>
              <w:t xml:space="preserve"> nutrition across </w:t>
            </w:r>
            <w:r w:rsidR="00D511CA" w:rsidRPr="00033C5C">
              <w:rPr>
                <w:color w:val="auto"/>
                <w:lang w:val="en-AU"/>
              </w:rPr>
              <w:t>its development programs</w:t>
            </w:r>
            <w:r w:rsidRPr="00033C5C">
              <w:rPr>
                <w:color w:val="auto"/>
                <w:lang w:val="en-AU"/>
              </w:rPr>
              <w:t xml:space="preserve">, both through nutrition-sensitive </w:t>
            </w:r>
            <w:r w:rsidR="00D511CA" w:rsidRPr="00033C5C">
              <w:rPr>
                <w:color w:val="auto"/>
                <w:lang w:val="en-AU"/>
              </w:rPr>
              <w:t>approaches</w:t>
            </w:r>
            <w:r w:rsidRPr="00033C5C">
              <w:rPr>
                <w:color w:val="auto"/>
                <w:lang w:val="en-AU"/>
              </w:rPr>
              <w:t xml:space="preserve"> and through nutrition-specific </w:t>
            </w:r>
            <w:r w:rsidR="006F7E7A" w:rsidRPr="00033C5C">
              <w:rPr>
                <w:color w:val="auto"/>
                <w:lang w:val="en-AU"/>
              </w:rPr>
              <w:t>activities</w:t>
            </w:r>
            <w:r w:rsidRPr="00033C5C">
              <w:rPr>
                <w:color w:val="auto"/>
                <w:lang w:val="en-AU"/>
              </w:rPr>
              <w:t xml:space="preserve">. </w:t>
            </w:r>
          </w:p>
          <w:p w:rsidR="00F6661E" w:rsidRDefault="00662E31">
            <w:pPr>
              <w:rPr>
                <w:color w:val="auto"/>
                <w:lang w:val="en-AU"/>
              </w:rPr>
            </w:pPr>
            <w:r w:rsidRPr="00033C5C">
              <w:rPr>
                <w:color w:val="auto"/>
                <w:lang w:val="en-AU"/>
              </w:rPr>
              <w:t>DFAT acknowledges the value of considering a standalone multi-sectoral nutrition investment focused on one municipality that could then be rolled out across other municipalities. DFAT will further consider this, noting that any such investment would require significant financial and staffing resources</w:t>
            </w:r>
            <w:r w:rsidR="00D511CA" w:rsidRPr="00033C5C">
              <w:rPr>
                <w:color w:val="auto"/>
                <w:lang w:val="en-AU"/>
              </w:rPr>
              <w:t xml:space="preserve"> and a reprioritisation of other development programs. Any consideration would</w:t>
            </w:r>
            <w:r w:rsidR="00157B49" w:rsidRPr="00033C5C">
              <w:rPr>
                <w:color w:val="auto"/>
                <w:lang w:val="en-AU"/>
              </w:rPr>
              <w:t xml:space="preserve"> also</w:t>
            </w:r>
            <w:r w:rsidR="00D511CA" w:rsidRPr="00033C5C">
              <w:rPr>
                <w:color w:val="auto"/>
                <w:lang w:val="en-AU"/>
              </w:rPr>
              <w:t xml:space="preserve"> have to be undertaken in close consultation with the Government of Timor-Leste. </w:t>
            </w:r>
          </w:p>
          <w:p w:rsidR="00E50F4B" w:rsidRPr="00033C5C" w:rsidRDefault="00E50F4B" w:rsidP="005D79DB">
            <w:pPr>
              <w:rPr>
                <w:color w:val="auto"/>
                <w:lang w:val="en-AU"/>
              </w:rPr>
            </w:pPr>
            <w:r>
              <w:rPr>
                <w:color w:val="auto"/>
                <w:lang w:val="en-AU"/>
              </w:rPr>
              <w:t xml:space="preserve">DFAT is implementing activities in </w:t>
            </w:r>
            <w:r w:rsidR="005D79DB">
              <w:rPr>
                <w:color w:val="auto"/>
                <w:lang w:val="en-AU"/>
              </w:rPr>
              <w:t>a multi</w:t>
            </w:r>
            <w:r>
              <w:rPr>
                <w:color w:val="auto"/>
                <w:lang w:val="en-AU"/>
              </w:rPr>
              <w:t xml:space="preserve">-sectoral way in two locations: Hamutuk in </w:t>
            </w:r>
            <w:r>
              <w:rPr>
                <w:color w:val="auto"/>
                <w:lang w:val="en-AU"/>
              </w:rPr>
              <w:lastRenderedPageBreak/>
              <w:t>Manufahi and PHD in Bobonaro. Lessons from these program</w:t>
            </w:r>
            <w:r w:rsidR="005D79DB">
              <w:rPr>
                <w:color w:val="auto"/>
                <w:lang w:val="en-AU"/>
              </w:rPr>
              <w:t>s</w:t>
            </w:r>
            <w:r>
              <w:rPr>
                <w:color w:val="auto"/>
                <w:lang w:val="en-AU"/>
              </w:rPr>
              <w:t xml:space="preserve"> will inform consideration of </w:t>
            </w:r>
            <w:r w:rsidR="005D79DB">
              <w:rPr>
                <w:color w:val="auto"/>
                <w:lang w:val="en-AU"/>
              </w:rPr>
              <w:t xml:space="preserve">approaches to work in a single municipality. </w:t>
            </w:r>
          </w:p>
        </w:tc>
        <w:tc>
          <w:tcPr>
            <w:tcW w:w="1701" w:type="dxa"/>
          </w:tcPr>
          <w:p w:rsidR="00F6661E" w:rsidRPr="00033C5C" w:rsidRDefault="00F6661E" w:rsidP="00F6661E">
            <w:pPr>
              <w:rPr>
                <w:color w:val="auto"/>
                <w:lang w:val="en-AU"/>
              </w:rPr>
            </w:pPr>
            <w:r w:rsidRPr="00033C5C">
              <w:rPr>
                <w:color w:val="auto"/>
                <w:lang w:val="en-AU"/>
              </w:rPr>
              <w:lastRenderedPageBreak/>
              <w:t>6-12 months</w:t>
            </w:r>
          </w:p>
        </w:tc>
      </w:tr>
      <w:tr w:rsidR="00033C5C" w:rsidRPr="00033C5C" w:rsidTr="00B1544A">
        <w:tc>
          <w:tcPr>
            <w:tcW w:w="7316" w:type="dxa"/>
          </w:tcPr>
          <w:p w:rsidR="00F6661E" w:rsidRPr="00033C5C" w:rsidRDefault="00F6661E" w:rsidP="006F7E7A">
            <w:pPr>
              <w:rPr>
                <w:color w:val="auto"/>
                <w:lang w:val="en-AU"/>
              </w:rPr>
            </w:pPr>
            <w:r w:rsidRPr="00033C5C">
              <w:rPr>
                <w:rFonts w:ascii="Calibri" w:hAnsi="Calibri" w:cs="HelveticaNeueLT Std Thin"/>
                <w:b/>
                <w:color w:val="auto"/>
                <w:sz w:val="23"/>
                <w:szCs w:val="23"/>
              </w:rPr>
              <w:t>Recommendation 3:</w:t>
            </w:r>
            <w:r w:rsidRPr="00033C5C">
              <w:rPr>
                <w:rFonts w:ascii="Calibri" w:hAnsi="Calibri" w:cs="HelveticaNeueLT Std Thin"/>
                <w:color w:val="auto"/>
                <w:sz w:val="23"/>
                <w:szCs w:val="23"/>
              </w:rPr>
              <w:t xml:space="preserve"> In the currently crowded policy arena, the 15 priorities that will emerge from the 2nd roundtable process in </w:t>
            </w:r>
            <w:r w:rsidR="006F7E7A" w:rsidRPr="00033C5C">
              <w:rPr>
                <w:rFonts w:ascii="Calibri" w:hAnsi="Calibri" w:cs="HelveticaNeueLT Std Thin"/>
                <w:color w:val="auto"/>
                <w:sz w:val="23"/>
                <w:szCs w:val="23"/>
              </w:rPr>
              <w:t>May</w:t>
            </w:r>
            <w:r w:rsidRPr="00033C5C">
              <w:rPr>
                <w:rFonts w:ascii="Calibri" w:hAnsi="Calibri" w:cs="HelveticaNeueLT Std Thin"/>
                <w:color w:val="auto"/>
                <w:sz w:val="23"/>
                <w:szCs w:val="23"/>
              </w:rPr>
              <w:t xml:space="preserve"> 2017 represent a promising agenda for action around which to plan and test a more convergent approach in the selected municipality. Although not yet agreed, it is reasonable to assume that these priorities will be sufficiently broad to align closely with the priorities of the new government, as they have been derived from the recommended actions of the Food and Nutrition Security Policy, the National Nutrition Strategy, and the Zero Hunger Action Plan. </w:t>
            </w:r>
            <w:r w:rsidRPr="00033C5C">
              <w:rPr>
                <w:rFonts w:ascii="Calibri" w:hAnsi="Calibri" w:cs="HelveticaNeueLT Std Thin"/>
                <w:b/>
                <w:i/>
                <w:color w:val="auto"/>
                <w:sz w:val="23"/>
                <w:szCs w:val="23"/>
              </w:rPr>
              <w:t>The 15 priorities from the roundtable process could guide the selection of DFAT’s future interventions while also drawing on the existing global evidence base of ‘what works’.</w:t>
            </w:r>
          </w:p>
        </w:tc>
        <w:tc>
          <w:tcPr>
            <w:tcW w:w="1326" w:type="dxa"/>
          </w:tcPr>
          <w:p w:rsidR="00F6661E" w:rsidRPr="00033C5C" w:rsidRDefault="00F6661E" w:rsidP="00F6661E">
            <w:pPr>
              <w:rPr>
                <w:color w:val="auto"/>
                <w:lang w:val="en-AU"/>
              </w:rPr>
            </w:pPr>
            <w:r w:rsidRPr="00033C5C">
              <w:rPr>
                <w:color w:val="auto"/>
                <w:lang w:val="en-AU"/>
              </w:rPr>
              <w:t>Agree</w:t>
            </w:r>
          </w:p>
        </w:tc>
        <w:tc>
          <w:tcPr>
            <w:tcW w:w="4394" w:type="dxa"/>
          </w:tcPr>
          <w:p w:rsidR="00F6661E" w:rsidRPr="00033C5C" w:rsidRDefault="00F6661E" w:rsidP="00F6661E">
            <w:pPr>
              <w:rPr>
                <w:color w:val="auto"/>
                <w:lang w:val="en-AU"/>
              </w:rPr>
            </w:pPr>
            <w:r w:rsidRPr="00033C5C">
              <w:rPr>
                <w:color w:val="auto"/>
                <w:lang w:val="en-AU"/>
              </w:rPr>
              <w:t xml:space="preserve">The current draft priorities were developed through an extensive </w:t>
            </w:r>
            <w:r w:rsidR="001A5761" w:rsidRPr="00033C5C">
              <w:rPr>
                <w:color w:val="auto"/>
                <w:lang w:val="en-AU"/>
              </w:rPr>
              <w:t>consultation</w:t>
            </w:r>
            <w:r w:rsidRPr="00033C5C">
              <w:rPr>
                <w:color w:val="auto"/>
                <w:lang w:val="en-AU"/>
              </w:rPr>
              <w:t xml:space="preserve"> process in 2017. If these </w:t>
            </w:r>
            <w:r w:rsidR="0049158C" w:rsidRPr="00033C5C">
              <w:rPr>
                <w:color w:val="auto"/>
                <w:lang w:val="en-AU"/>
              </w:rPr>
              <w:t>priorities</w:t>
            </w:r>
            <w:r w:rsidRPr="00033C5C">
              <w:rPr>
                <w:color w:val="auto"/>
                <w:lang w:val="en-AU"/>
              </w:rPr>
              <w:t xml:space="preserve"> are a</w:t>
            </w:r>
            <w:r w:rsidR="004D686A" w:rsidRPr="00033C5C">
              <w:rPr>
                <w:color w:val="auto"/>
                <w:lang w:val="en-AU"/>
              </w:rPr>
              <w:t xml:space="preserve">ccepted and endorsed by the </w:t>
            </w:r>
            <w:r w:rsidRPr="00033C5C">
              <w:rPr>
                <w:color w:val="auto"/>
                <w:lang w:val="en-AU"/>
              </w:rPr>
              <w:t xml:space="preserve">Government of Timor-Leste, </w:t>
            </w:r>
            <w:r w:rsidR="0049158C" w:rsidRPr="00033C5C">
              <w:rPr>
                <w:color w:val="auto"/>
                <w:lang w:val="en-AU"/>
              </w:rPr>
              <w:t>Australia</w:t>
            </w:r>
            <w:r w:rsidRPr="00033C5C">
              <w:rPr>
                <w:color w:val="auto"/>
                <w:lang w:val="en-AU"/>
              </w:rPr>
              <w:t xml:space="preserve"> will work with </w:t>
            </w:r>
            <w:r w:rsidR="0049158C" w:rsidRPr="00033C5C">
              <w:rPr>
                <w:color w:val="auto"/>
                <w:lang w:val="en-AU"/>
              </w:rPr>
              <w:t xml:space="preserve">stakeholders across government and our implementing partners to determine how Australian programs can best support these priorities. </w:t>
            </w:r>
          </w:p>
        </w:tc>
        <w:tc>
          <w:tcPr>
            <w:tcW w:w="1701" w:type="dxa"/>
          </w:tcPr>
          <w:p w:rsidR="00F6661E" w:rsidRPr="00033C5C" w:rsidRDefault="00B1544A" w:rsidP="00F6661E">
            <w:pPr>
              <w:rPr>
                <w:color w:val="auto"/>
                <w:lang w:val="en-AU"/>
              </w:rPr>
            </w:pPr>
            <w:r>
              <w:rPr>
                <w:color w:val="auto"/>
                <w:lang w:val="en-AU"/>
              </w:rPr>
              <w:t xml:space="preserve">While advocating for early action, </w:t>
            </w:r>
            <w:r w:rsidR="0049158C" w:rsidRPr="00033C5C">
              <w:rPr>
                <w:color w:val="auto"/>
                <w:lang w:val="en-AU"/>
              </w:rPr>
              <w:t xml:space="preserve">DFAT will respond to </w:t>
            </w:r>
            <w:r w:rsidR="00B31EF2" w:rsidRPr="00033C5C">
              <w:rPr>
                <w:color w:val="auto"/>
                <w:lang w:val="en-AU"/>
              </w:rPr>
              <w:t>G</w:t>
            </w:r>
            <w:r w:rsidR="00B31EF2">
              <w:rPr>
                <w:color w:val="auto"/>
                <w:lang w:val="en-AU"/>
              </w:rPr>
              <w:t>overnment of Timor-Leste</w:t>
            </w:r>
            <w:r w:rsidR="0049158C" w:rsidRPr="00033C5C">
              <w:rPr>
                <w:color w:val="auto"/>
                <w:lang w:val="en-AU"/>
              </w:rPr>
              <w:t xml:space="preserve"> processes and timelines</w:t>
            </w:r>
          </w:p>
        </w:tc>
      </w:tr>
      <w:tr w:rsidR="00033C5C" w:rsidRPr="00033C5C" w:rsidTr="00B1544A">
        <w:tc>
          <w:tcPr>
            <w:tcW w:w="7316" w:type="dxa"/>
          </w:tcPr>
          <w:p w:rsidR="00F6661E" w:rsidRPr="00033C5C" w:rsidRDefault="00F6661E" w:rsidP="00F6661E">
            <w:pPr>
              <w:pStyle w:val="boxred"/>
              <w:rPr>
                <w:rFonts w:ascii="Calibri" w:hAnsi="Calibri" w:cs="HelveticaNeueLT Std Thin"/>
                <w:color w:val="auto"/>
                <w:sz w:val="23"/>
                <w:szCs w:val="23"/>
                <w:lang w:val="en-GB"/>
              </w:rPr>
            </w:pPr>
            <w:r w:rsidRPr="00033C5C">
              <w:rPr>
                <w:rFonts w:ascii="Calibri" w:hAnsi="Calibri" w:cs="HelveticaNeueLT Std Thin"/>
                <w:b/>
                <w:color w:val="auto"/>
                <w:sz w:val="23"/>
                <w:szCs w:val="23"/>
                <w:lang w:val="en-GB"/>
              </w:rPr>
              <w:t>Recommendation 4</w:t>
            </w:r>
            <w:r w:rsidRPr="00033C5C">
              <w:rPr>
                <w:rFonts w:ascii="Calibri" w:hAnsi="Calibri" w:cs="HelveticaNeueLT Std Thin"/>
                <w:color w:val="auto"/>
                <w:sz w:val="23"/>
                <w:szCs w:val="23"/>
                <w:lang w:val="en-GB"/>
              </w:rPr>
              <w:t xml:space="preserve">: As the current portfolio of activities is weighted in favour of nutrition-sensitive programming, </w:t>
            </w:r>
            <w:r w:rsidRPr="00033C5C">
              <w:rPr>
                <w:rFonts w:ascii="Calibri" w:hAnsi="Calibri" w:cs="HelveticaNeueLT Std Thin"/>
                <w:b/>
                <w:i/>
                <w:color w:val="auto"/>
                <w:sz w:val="23"/>
                <w:szCs w:val="23"/>
                <w:lang w:val="en-GB"/>
              </w:rPr>
              <w:t>DFAT should undertake a detailed review of options for investing more heavily in nutrition-specific (direct cause) interventions</w:t>
            </w:r>
            <w:r w:rsidRPr="00033C5C">
              <w:rPr>
                <w:rFonts w:ascii="Calibri" w:hAnsi="Calibri" w:cs="HelveticaNeueLT Std Thin"/>
                <w:color w:val="auto"/>
                <w:sz w:val="23"/>
                <w:szCs w:val="23"/>
                <w:lang w:val="en-GB"/>
              </w:rPr>
              <w:t xml:space="preserve">. These could include reducing anaemia and underweight (BMI ≤ 18.5) in WRA to interrupt the LBW cycle. Supply chains for supplementary feeding and micronutrients could also be examined to determine whether inadequacy relates to supplies or their distribution. </w:t>
            </w:r>
            <w:r w:rsidRPr="00033C5C">
              <w:rPr>
                <w:rFonts w:ascii="Calibri" w:hAnsi="Calibri" w:cs="HelveticaNeueLT Std Thin"/>
                <w:color w:val="auto"/>
                <w:sz w:val="23"/>
                <w:szCs w:val="23"/>
                <w:lang w:val="en-GB"/>
              </w:rPr>
              <w:lastRenderedPageBreak/>
              <w:t>Priority nutrition-specific interventions most aligned with current needs and gaps in lifecycle programming in Timor-Leste could include:</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 xml:space="preserve">intermittent iron and folic acid supplementation for adolescent girls; </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supplementary feeding for underweight pregnant women;</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multi micronutrient supplements (which should include iron and folic acid) for pregnant women;</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 xml:space="preserve">supplementary feeding for wasted infants and young children and use of SAM protocols; and </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 xml:space="preserve">scaling-up of Community-based Moderate Acute Malnutrition (CMAM) for more moderately malnourished infants and young children, including the use of multiple micronutrient powders.  </w:t>
            </w:r>
          </w:p>
          <w:p w:rsidR="00F6661E" w:rsidRPr="00033C5C" w:rsidRDefault="00F6661E" w:rsidP="00F6661E">
            <w:pPr>
              <w:rPr>
                <w:color w:val="auto"/>
                <w:lang w:val="en-AU"/>
              </w:rPr>
            </w:pPr>
            <w:r w:rsidRPr="00033C5C">
              <w:rPr>
                <w:rFonts w:ascii="Calibri" w:hAnsi="Calibri" w:cs="HelveticaNeueLT Std Thin"/>
                <w:color w:val="auto"/>
                <w:sz w:val="23"/>
                <w:szCs w:val="23"/>
              </w:rPr>
              <w:t>It is recommended that DFAT consider giving increased attention to complementing the existing SNIP and other existing packages such as obstetric care. While initially focused on achieving adequate scale in the selected convergence municipality, DFAT could consider exploring the possibility of partnering with other donors already involved in assisting the MoH in order to improve national coverage of these key nutrition-specific interventions (UNICEF, WFP, WHO, EU, UNFPA, etc.). Determination of DFAT’s optimal role will require a more thorough joint review of the current need and implementation issues than was possible during this Strategic Review.</w:t>
            </w:r>
          </w:p>
        </w:tc>
        <w:tc>
          <w:tcPr>
            <w:tcW w:w="1326" w:type="dxa"/>
          </w:tcPr>
          <w:p w:rsidR="00F6661E" w:rsidRPr="00033C5C" w:rsidRDefault="00157B49" w:rsidP="00F6661E">
            <w:pPr>
              <w:rPr>
                <w:color w:val="auto"/>
                <w:lang w:val="en-AU"/>
              </w:rPr>
            </w:pPr>
            <w:r w:rsidRPr="00033C5C">
              <w:rPr>
                <w:color w:val="auto"/>
                <w:lang w:val="en-AU"/>
              </w:rPr>
              <w:lastRenderedPageBreak/>
              <w:t>Partially a</w:t>
            </w:r>
            <w:r w:rsidR="00E755E1" w:rsidRPr="00033C5C">
              <w:rPr>
                <w:color w:val="auto"/>
                <w:lang w:val="en-AU"/>
              </w:rPr>
              <w:t>gree</w:t>
            </w:r>
          </w:p>
        </w:tc>
        <w:tc>
          <w:tcPr>
            <w:tcW w:w="4394" w:type="dxa"/>
          </w:tcPr>
          <w:p w:rsidR="00501A3C" w:rsidRPr="00033C5C" w:rsidRDefault="00157B49" w:rsidP="00412778">
            <w:pPr>
              <w:rPr>
                <w:color w:val="auto"/>
                <w:lang w:val="en-AU"/>
              </w:rPr>
            </w:pPr>
            <w:r w:rsidRPr="00033C5C">
              <w:rPr>
                <w:color w:val="auto"/>
                <w:lang w:val="en-AU"/>
              </w:rPr>
              <w:t xml:space="preserve">DFAT acknowledges the value of considering investing in direct cause interventions, while noting that a comprehensive program that addressed nutrition needs across the life cycle, even in a </w:t>
            </w:r>
            <w:r w:rsidR="00501A3C" w:rsidRPr="00033C5C">
              <w:rPr>
                <w:color w:val="auto"/>
                <w:lang w:val="en-AU"/>
              </w:rPr>
              <w:t xml:space="preserve">limited geographic area, would require a significant financial and management commitment and a </w:t>
            </w:r>
            <w:r w:rsidR="00501A3C" w:rsidRPr="00033C5C">
              <w:rPr>
                <w:color w:val="auto"/>
                <w:lang w:val="en-AU"/>
              </w:rPr>
              <w:lastRenderedPageBreak/>
              <w:t xml:space="preserve">reprioritisation of other development programs. </w:t>
            </w:r>
          </w:p>
          <w:p w:rsidR="00412778" w:rsidRPr="00033C5C" w:rsidRDefault="00501A3C" w:rsidP="00412778">
            <w:pPr>
              <w:rPr>
                <w:color w:val="auto"/>
                <w:lang w:val="en-AU"/>
              </w:rPr>
            </w:pPr>
            <w:r w:rsidRPr="00033C5C">
              <w:rPr>
                <w:color w:val="auto"/>
                <w:lang w:val="en-AU"/>
              </w:rPr>
              <w:t>Direct intervention will be considered in the context of a limited development budget, competing development priorities also supported by Australia, the range of assistance being provided by other donors, and Government of Timor-Leste priorities and commitments.</w:t>
            </w:r>
            <w:r w:rsidR="00412778" w:rsidRPr="00033C5C">
              <w:rPr>
                <w:color w:val="auto"/>
                <w:lang w:val="en-AU"/>
              </w:rPr>
              <w:t xml:space="preserve"> </w:t>
            </w:r>
          </w:p>
        </w:tc>
        <w:tc>
          <w:tcPr>
            <w:tcW w:w="1701" w:type="dxa"/>
          </w:tcPr>
          <w:p w:rsidR="00F6661E" w:rsidRPr="00033C5C" w:rsidRDefault="00412778" w:rsidP="00F6661E">
            <w:pPr>
              <w:rPr>
                <w:color w:val="auto"/>
                <w:lang w:val="en-AU"/>
              </w:rPr>
            </w:pPr>
            <w:r w:rsidRPr="00033C5C">
              <w:rPr>
                <w:color w:val="auto"/>
                <w:lang w:val="en-AU"/>
              </w:rPr>
              <w:lastRenderedPageBreak/>
              <w:t>6-12 months</w:t>
            </w:r>
          </w:p>
        </w:tc>
      </w:tr>
      <w:tr w:rsidR="00033C5C" w:rsidRPr="00033C5C" w:rsidTr="00B1544A">
        <w:tc>
          <w:tcPr>
            <w:tcW w:w="7316" w:type="dxa"/>
          </w:tcPr>
          <w:p w:rsidR="00F6661E" w:rsidRPr="00033C5C" w:rsidRDefault="00F6661E" w:rsidP="00F6661E">
            <w:pPr>
              <w:rPr>
                <w:color w:val="auto"/>
                <w:lang w:val="en-AU"/>
              </w:rPr>
            </w:pPr>
            <w:r w:rsidRPr="00033C5C">
              <w:rPr>
                <w:rFonts w:ascii="Calibri" w:hAnsi="Calibri" w:cs="HelveticaNeueLT Std Thin"/>
                <w:b/>
                <w:color w:val="auto"/>
                <w:sz w:val="23"/>
                <w:szCs w:val="23"/>
              </w:rPr>
              <w:t>Recommendation 5</w:t>
            </w:r>
            <w:r w:rsidRPr="00033C5C">
              <w:rPr>
                <w:rFonts w:ascii="Calibri" w:hAnsi="Calibri" w:cs="HelveticaNeueLT Std Thin"/>
                <w:color w:val="auto"/>
                <w:sz w:val="23"/>
                <w:szCs w:val="23"/>
              </w:rPr>
              <w:t xml:space="preserve">: Beyond initial convergence of activities in one municipality, DFAT should make available the evidence-based learning from ongoing operational research (such as Hamutuk in Manufahi), applied research (such as TOMAK’s NSA innovations) and convergence (i.e. from the convergence municipality) available for application on a larger scale. </w:t>
            </w:r>
            <w:r w:rsidRPr="00033C5C">
              <w:rPr>
                <w:rFonts w:ascii="Calibri" w:hAnsi="Calibri" w:cs="HelveticaNeueLT Std Thin"/>
                <w:b/>
                <w:i/>
                <w:color w:val="auto"/>
                <w:sz w:val="23"/>
                <w:szCs w:val="23"/>
              </w:rPr>
              <w:lastRenderedPageBreak/>
              <w:t>Support should also be provided for progressive rollout of ‘proven’ approaches to the other two municipalities where KONSSANTIL has selected vulnerable sucos for trialling approaches, depending on progress, available resourcing and KONSSANTIL’s interest and capacity.</w:t>
            </w:r>
          </w:p>
        </w:tc>
        <w:tc>
          <w:tcPr>
            <w:tcW w:w="1326" w:type="dxa"/>
          </w:tcPr>
          <w:p w:rsidR="00F6661E" w:rsidRPr="00033C5C" w:rsidRDefault="00E755E1" w:rsidP="00F6661E">
            <w:pPr>
              <w:rPr>
                <w:color w:val="auto"/>
                <w:lang w:val="en-AU"/>
              </w:rPr>
            </w:pPr>
            <w:r w:rsidRPr="00033C5C">
              <w:rPr>
                <w:color w:val="auto"/>
                <w:lang w:val="en-AU"/>
              </w:rPr>
              <w:lastRenderedPageBreak/>
              <w:t>Agree</w:t>
            </w:r>
          </w:p>
        </w:tc>
        <w:tc>
          <w:tcPr>
            <w:tcW w:w="4394" w:type="dxa"/>
          </w:tcPr>
          <w:p w:rsidR="00F6661E" w:rsidRPr="00033C5C" w:rsidRDefault="00E755E1" w:rsidP="00F6661E">
            <w:pPr>
              <w:rPr>
                <w:color w:val="auto"/>
                <w:lang w:val="en-AU"/>
              </w:rPr>
            </w:pPr>
            <w:r w:rsidRPr="00033C5C">
              <w:rPr>
                <w:color w:val="auto"/>
                <w:lang w:val="en-AU"/>
              </w:rPr>
              <w:t xml:space="preserve">DFAT will share lessons and approaches from Hamutuk and TOMAK with KONSSANTIL and relevant municipal authorities. </w:t>
            </w:r>
          </w:p>
        </w:tc>
        <w:tc>
          <w:tcPr>
            <w:tcW w:w="1701" w:type="dxa"/>
          </w:tcPr>
          <w:p w:rsidR="00F6661E" w:rsidRPr="00033C5C" w:rsidRDefault="001A5761" w:rsidP="00F6661E">
            <w:pPr>
              <w:rPr>
                <w:color w:val="auto"/>
                <w:lang w:val="en-AU"/>
              </w:rPr>
            </w:pPr>
            <w:r w:rsidRPr="00033C5C">
              <w:rPr>
                <w:color w:val="auto"/>
                <w:lang w:val="en-AU"/>
              </w:rPr>
              <w:t>Ongoing</w:t>
            </w:r>
          </w:p>
        </w:tc>
      </w:tr>
      <w:tr w:rsidR="00033C5C" w:rsidRPr="00033C5C" w:rsidTr="00B1544A">
        <w:tc>
          <w:tcPr>
            <w:tcW w:w="7316" w:type="dxa"/>
          </w:tcPr>
          <w:p w:rsidR="00F6661E" w:rsidRPr="00033C5C" w:rsidRDefault="00F6661E" w:rsidP="00F6661E">
            <w:pPr>
              <w:pStyle w:val="boxredbullet"/>
              <w:numPr>
                <w:ilvl w:val="0"/>
                <w:numId w:val="0"/>
              </w:numPr>
              <w:rPr>
                <w:rFonts w:ascii="Calibri" w:hAnsi="Calibri" w:cs="HelveticaNeueLT Std Thin"/>
                <w:sz w:val="23"/>
                <w:szCs w:val="23"/>
                <w:lang w:val="en-GB"/>
              </w:rPr>
            </w:pPr>
            <w:r w:rsidRPr="00033C5C">
              <w:rPr>
                <w:rFonts w:ascii="Calibri" w:hAnsi="Calibri" w:cs="HelveticaNeueLT Std Thin"/>
                <w:b/>
                <w:sz w:val="23"/>
                <w:szCs w:val="23"/>
                <w:lang w:val="en-GB"/>
              </w:rPr>
              <w:t>Recommendation 6</w:t>
            </w:r>
            <w:r w:rsidRPr="00033C5C">
              <w:rPr>
                <w:rFonts w:ascii="Calibri" w:hAnsi="Calibri" w:cs="HelveticaNeueLT Std Thin"/>
                <w:sz w:val="23"/>
                <w:szCs w:val="23"/>
                <w:lang w:val="en-GB"/>
              </w:rPr>
              <w:t xml:space="preserve">:  Assuming a more converged multi-sector approach with an increased focus on nutrition-specific interventions, DFAT should consider the inclusion of more specific nutritional status outcomes for their converged Nutrition Strategy, and systematically monitor and report on them. These could include committing to the </w:t>
            </w:r>
            <w:r w:rsidR="00B31EF2" w:rsidRPr="00B31EF2">
              <w:rPr>
                <w:rFonts w:ascii="Calibri" w:hAnsi="Calibri" w:cs="HelveticaNeueLT Std Thin"/>
                <w:sz w:val="23"/>
                <w:szCs w:val="23"/>
                <w:lang w:val="en-GB"/>
              </w:rPr>
              <w:t>Government of Timor-Leste</w:t>
            </w:r>
            <w:r w:rsidRPr="00033C5C">
              <w:rPr>
                <w:rFonts w:ascii="Calibri" w:hAnsi="Calibri" w:cs="HelveticaNeueLT Std Thin"/>
                <w:sz w:val="23"/>
                <w:szCs w:val="23"/>
                <w:lang w:val="en-GB"/>
              </w:rPr>
              <w:t>’s SDG 2.2 targets, which are that by 2025, Timor-Leste will achieve:</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a 40% reduction in stunting in children aged under 5 years  [Current rate of 50% to 30% - a 20% reduction in 9 years];</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less than 5% wasting prevalence in children aged under 5 years [Current rate of 11%];</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a 30% reduction in low birthweight; and</w:t>
            </w:r>
          </w:p>
          <w:p w:rsidR="00F6661E" w:rsidRPr="00033C5C" w:rsidRDefault="00F6661E" w:rsidP="00F6661E">
            <w:pPr>
              <w:pStyle w:val="boxredbullet"/>
              <w:rPr>
                <w:rFonts w:ascii="Calibri" w:hAnsi="Calibri" w:cs="HelveticaNeueLT Std Thin"/>
                <w:sz w:val="23"/>
                <w:szCs w:val="23"/>
                <w:lang w:val="en-GB"/>
              </w:rPr>
            </w:pPr>
            <w:r w:rsidRPr="00033C5C">
              <w:rPr>
                <w:rFonts w:ascii="Calibri" w:hAnsi="Calibri" w:cs="HelveticaNeueLT Std Thin"/>
                <w:sz w:val="23"/>
                <w:szCs w:val="23"/>
                <w:lang w:val="en-GB"/>
              </w:rPr>
              <w:t xml:space="preserve">a 50% reduction in anaemia in WRA aged 15-49 years [Current rate of 39% to 19%]. </w:t>
            </w:r>
          </w:p>
          <w:p w:rsidR="00F6661E" w:rsidRPr="00033C5C" w:rsidRDefault="00F6661E" w:rsidP="00F6661E">
            <w:pPr>
              <w:pStyle w:val="boxredbullet"/>
              <w:numPr>
                <w:ilvl w:val="0"/>
                <w:numId w:val="0"/>
              </w:numPr>
              <w:rPr>
                <w:rFonts w:ascii="Calibri" w:hAnsi="Calibri" w:cs="HelveticaNeueLT Std Thin"/>
                <w:sz w:val="23"/>
                <w:szCs w:val="23"/>
                <w:lang w:val="en-GB"/>
              </w:rPr>
            </w:pPr>
            <w:r w:rsidRPr="00033C5C">
              <w:rPr>
                <w:rFonts w:ascii="Calibri" w:hAnsi="Calibri" w:cs="HelveticaNeueLT Std Thin"/>
                <w:sz w:val="23"/>
                <w:szCs w:val="23"/>
                <w:lang w:val="en-GB"/>
              </w:rPr>
              <w:t xml:space="preserve">DFAT should work with KONSSANTIL to estimate the achievable percentage reduction in the selected convergence municipality within the timeframe, adjusted to be accommodated within the next AIP benchmarks. Other medium-term, intermediate outcomes relating to aspects of behaviour change across sectors and workforce capacity outcomes (for example) would also need to be progressively developed under each sector as each program defines more nutrition-focused programming outcomes. </w:t>
            </w:r>
          </w:p>
          <w:p w:rsidR="00F6661E" w:rsidRPr="00033C5C" w:rsidRDefault="00F6661E" w:rsidP="00F6661E">
            <w:pPr>
              <w:rPr>
                <w:color w:val="auto"/>
                <w:lang w:val="en-AU"/>
              </w:rPr>
            </w:pPr>
          </w:p>
        </w:tc>
        <w:tc>
          <w:tcPr>
            <w:tcW w:w="1326" w:type="dxa"/>
          </w:tcPr>
          <w:p w:rsidR="00F6661E" w:rsidRPr="00033C5C" w:rsidRDefault="00E755E1" w:rsidP="00F6661E">
            <w:pPr>
              <w:rPr>
                <w:color w:val="auto"/>
                <w:lang w:val="en-AU"/>
              </w:rPr>
            </w:pPr>
            <w:r w:rsidRPr="00033C5C">
              <w:rPr>
                <w:color w:val="auto"/>
                <w:lang w:val="en-AU"/>
              </w:rPr>
              <w:t>Agree</w:t>
            </w:r>
          </w:p>
        </w:tc>
        <w:tc>
          <w:tcPr>
            <w:tcW w:w="4394" w:type="dxa"/>
          </w:tcPr>
          <w:p w:rsidR="00F6661E" w:rsidRPr="00033C5C" w:rsidRDefault="00412778" w:rsidP="00412778">
            <w:pPr>
              <w:rPr>
                <w:color w:val="auto"/>
                <w:lang w:val="en-AU"/>
              </w:rPr>
            </w:pPr>
            <w:r w:rsidRPr="00033C5C">
              <w:rPr>
                <w:color w:val="auto"/>
                <w:lang w:val="en-AU"/>
              </w:rPr>
              <w:t>DFAT</w:t>
            </w:r>
            <w:r w:rsidR="00E755E1" w:rsidRPr="00033C5C">
              <w:rPr>
                <w:color w:val="auto"/>
                <w:lang w:val="en-AU"/>
              </w:rPr>
              <w:t xml:space="preserve"> will consider </w:t>
            </w:r>
            <w:r w:rsidRPr="00033C5C">
              <w:rPr>
                <w:color w:val="auto"/>
                <w:lang w:val="en-AU"/>
              </w:rPr>
              <w:t xml:space="preserve">how to adopt </w:t>
            </w:r>
            <w:r w:rsidR="00E755E1" w:rsidRPr="00033C5C">
              <w:rPr>
                <w:color w:val="auto"/>
                <w:lang w:val="en-AU"/>
              </w:rPr>
              <w:t>specific nutritional status outcomes</w:t>
            </w:r>
            <w:r w:rsidR="001C4896" w:rsidRPr="00033C5C">
              <w:rPr>
                <w:color w:val="auto"/>
                <w:lang w:val="en-AU"/>
              </w:rPr>
              <w:t xml:space="preserve"> in our programs, once we have considered our response to recommendation</w:t>
            </w:r>
            <w:r w:rsidR="00B1544A">
              <w:rPr>
                <w:color w:val="auto"/>
                <w:lang w:val="en-AU"/>
              </w:rPr>
              <w:t>s</w:t>
            </w:r>
            <w:r w:rsidR="001C4896" w:rsidRPr="00033C5C">
              <w:rPr>
                <w:color w:val="auto"/>
                <w:lang w:val="en-AU"/>
              </w:rPr>
              <w:t xml:space="preserve"> 2</w:t>
            </w:r>
            <w:r w:rsidRPr="00033C5C">
              <w:rPr>
                <w:color w:val="auto"/>
                <w:lang w:val="en-AU"/>
              </w:rPr>
              <w:t xml:space="preserve"> and 4</w:t>
            </w:r>
            <w:r w:rsidR="001C4896" w:rsidRPr="00033C5C">
              <w:rPr>
                <w:color w:val="auto"/>
                <w:lang w:val="en-AU"/>
              </w:rPr>
              <w:t>. Regardless</w:t>
            </w:r>
            <w:r w:rsidRPr="00033C5C">
              <w:rPr>
                <w:color w:val="auto"/>
                <w:lang w:val="en-AU"/>
              </w:rPr>
              <w:t xml:space="preserve"> </w:t>
            </w:r>
            <w:r w:rsidR="001C4896" w:rsidRPr="00033C5C">
              <w:rPr>
                <w:color w:val="auto"/>
                <w:lang w:val="en-AU"/>
              </w:rPr>
              <w:t xml:space="preserve">of our programming response, DFAT will adopt more defined nutrition targets in the next AIP and monitor progress in the Performance Assessment Framework. </w:t>
            </w:r>
          </w:p>
        </w:tc>
        <w:tc>
          <w:tcPr>
            <w:tcW w:w="1701" w:type="dxa"/>
          </w:tcPr>
          <w:p w:rsidR="00F6661E" w:rsidRPr="00033C5C" w:rsidRDefault="001A5761" w:rsidP="00F6661E">
            <w:pPr>
              <w:rPr>
                <w:color w:val="auto"/>
                <w:lang w:val="en-AU"/>
              </w:rPr>
            </w:pPr>
            <w:r w:rsidRPr="00033C5C">
              <w:rPr>
                <w:color w:val="auto"/>
                <w:lang w:val="en-AU"/>
              </w:rPr>
              <w:t>6-12 months</w:t>
            </w:r>
          </w:p>
        </w:tc>
      </w:tr>
      <w:tr w:rsidR="00033C5C" w:rsidRPr="00033C5C" w:rsidTr="00B1544A">
        <w:tc>
          <w:tcPr>
            <w:tcW w:w="7316" w:type="dxa"/>
          </w:tcPr>
          <w:p w:rsidR="00F6661E" w:rsidRPr="00033C5C" w:rsidRDefault="00F6661E" w:rsidP="00F6661E">
            <w:pPr>
              <w:pStyle w:val="boxredbullet"/>
              <w:numPr>
                <w:ilvl w:val="0"/>
                <w:numId w:val="0"/>
              </w:numPr>
              <w:rPr>
                <w:rFonts w:ascii="Calibri" w:hAnsi="Calibri" w:cs="HelveticaNeueLT Std Thin"/>
                <w:sz w:val="23"/>
                <w:szCs w:val="23"/>
                <w:lang w:val="en-GB"/>
              </w:rPr>
            </w:pPr>
            <w:r w:rsidRPr="00033C5C">
              <w:rPr>
                <w:rFonts w:ascii="Calibri" w:hAnsi="Calibri" w:cs="HelveticaNeueLT Std Thin"/>
                <w:b/>
                <w:sz w:val="23"/>
                <w:szCs w:val="23"/>
                <w:lang w:val="en-GB"/>
              </w:rPr>
              <w:lastRenderedPageBreak/>
              <w:t>Recommendation 7:</w:t>
            </w:r>
            <w:r w:rsidRPr="00033C5C">
              <w:rPr>
                <w:rFonts w:ascii="Calibri" w:hAnsi="Calibri" w:cs="HelveticaNeueLT Std Thin"/>
                <w:sz w:val="23"/>
                <w:szCs w:val="23"/>
                <w:lang w:val="en-GB"/>
              </w:rPr>
              <w:t xml:space="preserve"> Given the near-complete amalgamation of nutrition-related initiatives and sectors under the flagship PHD and TOMAK programs, development of an overarching Nutrition Strategy which captures the synergies of both programs and reports on joint overall outcomes of a converged nutrition program in the selected municipality should be considered. This would require agreement between the respective managing contractors, </w:t>
            </w:r>
            <w:r w:rsidRPr="00033C5C">
              <w:rPr>
                <w:rFonts w:cs="HelveticaNeueLT Std Thin"/>
                <w:sz w:val="23"/>
                <w:szCs w:val="23"/>
                <w:lang w:val="en-GB"/>
              </w:rPr>
              <w:t>and would need to take into account resource implications</w:t>
            </w:r>
            <w:r w:rsidRPr="00033C5C">
              <w:rPr>
                <w:rFonts w:ascii="Calibri" w:hAnsi="Calibri" w:cs="HelveticaNeueLT Std Thin"/>
                <w:sz w:val="23"/>
                <w:szCs w:val="23"/>
                <w:lang w:val="en-GB"/>
              </w:rPr>
              <w:t xml:space="preserve">. (TOMAK would also retain its current MELF for overall program monitoring, as would Hamutuk, as a stand-alone, research-focused program.) This strategy would seek to achieve and report on the nutritional status outcomes in Recommendation 6. </w:t>
            </w:r>
          </w:p>
          <w:p w:rsidR="00F6661E" w:rsidRPr="004512BC" w:rsidRDefault="00F6661E" w:rsidP="004512BC">
            <w:pPr>
              <w:pStyle w:val="boxredbullet"/>
              <w:numPr>
                <w:ilvl w:val="0"/>
                <w:numId w:val="0"/>
              </w:numPr>
              <w:rPr>
                <w:rFonts w:ascii="Calibri" w:hAnsi="Calibri" w:cs="HelveticaNeueLT Std Thin"/>
                <w:sz w:val="23"/>
                <w:szCs w:val="23"/>
                <w:lang w:val="en-GB"/>
              </w:rPr>
            </w:pPr>
            <w:r w:rsidRPr="00033C5C">
              <w:rPr>
                <w:rFonts w:ascii="Calibri" w:hAnsi="Calibri" w:cs="HelveticaNeueLT Std Thin"/>
                <w:sz w:val="23"/>
                <w:szCs w:val="23"/>
                <w:lang w:val="en-GB"/>
              </w:rPr>
              <w:t xml:space="preserve">Once an overarching Nutrition Strategy for a converged municipal program is developed, DFAT should consider the need for an Embassy-wide nutrition strategy as well. The need for such a strategy and the type of outcomes it could expect to achieve will be dependent on the extent to which DFAT finances and implements additional nutrition-related activities beyond PHD and TOMAK’s converged program (for example, the nationwide rollout of nutrition-specific interventions in Recommendation 4, support for national KONSSANTIL strengthening in Recommendation 8 below, or whether PNP continues to be financed). If these broader recommendations are actioned, an Embassy-wide nutrition strategy would also need to be developed to articulate and capture expected outcomes. </w:t>
            </w:r>
          </w:p>
        </w:tc>
        <w:tc>
          <w:tcPr>
            <w:tcW w:w="1326" w:type="dxa"/>
          </w:tcPr>
          <w:p w:rsidR="00F6661E" w:rsidRPr="00033C5C" w:rsidRDefault="0012014B" w:rsidP="00F6661E">
            <w:pPr>
              <w:rPr>
                <w:color w:val="auto"/>
                <w:lang w:val="en-AU"/>
              </w:rPr>
            </w:pPr>
            <w:r w:rsidRPr="00033C5C">
              <w:rPr>
                <w:color w:val="auto"/>
                <w:lang w:val="en-AU"/>
              </w:rPr>
              <w:t>Agree</w:t>
            </w:r>
          </w:p>
        </w:tc>
        <w:tc>
          <w:tcPr>
            <w:tcW w:w="4394" w:type="dxa"/>
          </w:tcPr>
          <w:p w:rsidR="00F6661E" w:rsidRPr="00033C5C" w:rsidRDefault="0012014B" w:rsidP="001A5761">
            <w:pPr>
              <w:rPr>
                <w:color w:val="auto"/>
                <w:lang w:val="en-AU"/>
              </w:rPr>
            </w:pPr>
            <w:r w:rsidRPr="00033C5C">
              <w:rPr>
                <w:color w:val="auto"/>
                <w:lang w:val="en-AU"/>
              </w:rPr>
              <w:t xml:space="preserve">DFAT’s strategic framework for nutrition will evolve as DFAT implements our response to </w:t>
            </w:r>
            <w:r w:rsidR="00412778" w:rsidRPr="00033C5C">
              <w:rPr>
                <w:color w:val="auto"/>
                <w:lang w:val="en-AU"/>
              </w:rPr>
              <w:t>recommendations</w:t>
            </w:r>
            <w:r w:rsidRPr="00033C5C">
              <w:rPr>
                <w:color w:val="auto"/>
                <w:lang w:val="en-AU"/>
              </w:rPr>
              <w:t xml:space="preserve"> 2, 4 and 6. </w:t>
            </w:r>
          </w:p>
        </w:tc>
        <w:tc>
          <w:tcPr>
            <w:tcW w:w="1701" w:type="dxa"/>
          </w:tcPr>
          <w:p w:rsidR="00F6661E" w:rsidRPr="00033C5C" w:rsidRDefault="0012014B" w:rsidP="00F6661E">
            <w:pPr>
              <w:rPr>
                <w:color w:val="auto"/>
                <w:lang w:val="en-AU"/>
              </w:rPr>
            </w:pPr>
            <w:r w:rsidRPr="00033C5C">
              <w:rPr>
                <w:color w:val="auto"/>
                <w:lang w:val="en-AU"/>
              </w:rPr>
              <w:t>6-12 months</w:t>
            </w:r>
          </w:p>
        </w:tc>
      </w:tr>
      <w:tr w:rsidR="00B31EF2" w:rsidRPr="00033C5C" w:rsidTr="00B1544A">
        <w:tc>
          <w:tcPr>
            <w:tcW w:w="7316" w:type="dxa"/>
          </w:tcPr>
          <w:p w:rsidR="00F6661E" w:rsidRPr="00033C5C" w:rsidRDefault="00F6661E" w:rsidP="00F6661E">
            <w:pPr>
              <w:pStyle w:val="boxred"/>
              <w:rPr>
                <w:rFonts w:ascii="Calibri" w:hAnsi="Calibri" w:cs="HelveticaNeueLT Std Thin"/>
                <w:color w:val="auto"/>
                <w:sz w:val="23"/>
                <w:szCs w:val="23"/>
                <w:lang w:val="en-GB"/>
              </w:rPr>
            </w:pPr>
            <w:r w:rsidRPr="00033C5C">
              <w:rPr>
                <w:rFonts w:ascii="Calibri" w:hAnsi="Calibri" w:cs="HelveticaNeueLT Std Thin"/>
                <w:b/>
                <w:color w:val="auto"/>
                <w:sz w:val="23"/>
                <w:szCs w:val="23"/>
                <w:lang w:val="en-GB"/>
              </w:rPr>
              <w:t>Recommendation 8:</w:t>
            </w:r>
            <w:r w:rsidRPr="00033C5C">
              <w:rPr>
                <w:rFonts w:ascii="Calibri" w:hAnsi="Calibri" w:cs="HelveticaNeueLT Std Thin"/>
                <w:color w:val="auto"/>
                <w:sz w:val="23"/>
                <w:szCs w:val="23"/>
                <w:lang w:val="en-GB"/>
              </w:rPr>
              <w:t xml:space="preserve"> DFAT should focus on strengthening KONSSANTIL at both the national and sub-national levels. </w:t>
            </w:r>
          </w:p>
          <w:p w:rsidR="00F6661E" w:rsidRPr="00033C5C" w:rsidRDefault="00F6661E" w:rsidP="00F6661E">
            <w:pPr>
              <w:pStyle w:val="boxred"/>
              <w:rPr>
                <w:rFonts w:ascii="Calibri" w:hAnsi="Calibri" w:cs="HelveticaNeueLT Std Thin"/>
                <w:color w:val="auto"/>
                <w:sz w:val="23"/>
                <w:szCs w:val="23"/>
                <w:lang w:val="en-GB"/>
              </w:rPr>
            </w:pPr>
            <w:r w:rsidRPr="00033C5C">
              <w:rPr>
                <w:rFonts w:ascii="Calibri" w:hAnsi="Calibri" w:cs="HelveticaNeueLT Std Thin"/>
                <w:b/>
                <w:i/>
                <w:color w:val="auto"/>
                <w:sz w:val="23"/>
                <w:szCs w:val="23"/>
                <w:u w:val="single"/>
                <w:lang w:val="en-GB"/>
              </w:rPr>
              <w:t>At the sub-national level</w:t>
            </w:r>
            <w:r w:rsidRPr="00033C5C">
              <w:rPr>
                <w:rFonts w:ascii="Calibri" w:hAnsi="Calibri" w:cs="HelveticaNeueLT Std Thin"/>
                <w:b/>
                <w:i/>
                <w:color w:val="auto"/>
                <w:sz w:val="23"/>
                <w:szCs w:val="23"/>
                <w:lang w:val="en-GB"/>
              </w:rPr>
              <w:t>, the focus of strengthening KONSSANTIL should be to build its capacity to effectively plan, implement and monitor a converged, multi-sectoral program in the selected convergence municipality</w:t>
            </w:r>
            <w:r w:rsidRPr="00033C5C">
              <w:rPr>
                <w:rFonts w:ascii="Calibri" w:hAnsi="Calibri" w:cs="HelveticaNeueLT Std Thin"/>
                <w:color w:val="auto"/>
                <w:sz w:val="23"/>
                <w:szCs w:val="23"/>
                <w:lang w:val="en-GB"/>
              </w:rPr>
              <w:t xml:space="preserve">. National-level KONSSANTIL should be seen as an integral driver </w:t>
            </w:r>
            <w:r w:rsidRPr="00033C5C">
              <w:rPr>
                <w:rFonts w:ascii="Calibri" w:hAnsi="Calibri" w:cs="HelveticaNeueLT Std Thin"/>
                <w:color w:val="auto"/>
                <w:sz w:val="23"/>
                <w:szCs w:val="23"/>
                <w:lang w:val="en-GB"/>
              </w:rPr>
              <w:lastRenderedPageBreak/>
              <w:t>of this process, but as it is not tasked with implementation, its role would be an oversight one in which DFAT and their partners engage with KONSSANTIL through a process of joint learning under the converged municipal program. Applying multi-sectoral planning principles and encouraging practical, joint sectoral planning at sub-national level will offer lessons for strengthening initially municipal, and ultimately national planning approaches, which National level KONSSANTIL might utilise in other municipalities.</w:t>
            </w:r>
          </w:p>
          <w:p w:rsidR="00F6661E" w:rsidRPr="00033C5C" w:rsidRDefault="00F6661E" w:rsidP="00B31EF2">
            <w:pPr>
              <w:pStyle w:val="boxred"/>
              <w:rPr>
                <w:rFonts w:ascii="Calibri" w:hAnsi="Calibri" w:cs="HelveticaNeueLT Std Thin"/>
                <w:color w:val="auto"/>
                <w:sz w:val="23"/>
                <w:szCs w:val="23"/>
                <w:lang w:val="en-GB"/>
              </w:rPr>
            </w:pPr>
            <w:r w:rsidRPr="00033C5C">
              <w:rPr>
                <w:rFonts w:ascii="Calibri" w:hAnsi="Calibri" w:cs="HelveticaNeueLT Std Thin"/>
                <w:b/>
                <w:i/>
                <w:color w:val="auto"/>
                <w:sz w:val="23"/>
                <w:szCs w:val="23"/>
                <w:u w:val="single"/>
                <w:lang w:val="en-GB"/>
              </w:rPr>
              <w:t>At the national level</w:t>
            </w:r>
            <w:r w:rsidRPr="00033C5C">
              <w:rPr>
                <w:rFonts w:ascii="Calibri" w:hAnsi="Calibri" w:cs="HelveticaNeueLT Std Thin"/>
                <w:b/>
                <w:i/>
                <w:color w:val="auto"/>
                <w:sz w:val="23"/>
                <w:szCs w:val="23"/>
                <w:lang w:val="en-GB"/>
              </w:rPr>
              <w:t>, DFAT, under G</w:t>
            </w:r>
            <w:r w:rsidR="00B31EF2">
              <w:rPr>
                <w:rFonts w:ascii="Calibri" w:hAnsi="Calibri" w:cs="HelveticaNeueLT Std Thin"/>
                <w:b/>
                <w:i/>
                <w:color w:val="auto"/>
                <w:sz w:val="23"/>
                <w:szCs w:val="23"/>
                <w:lang w:val="en-GB"/>
              </w:rPr>
              <w:t>overnment of Timor-Leste</w:t>
            </w:r>
            <w:r w:rsidRPr="00033C5C">
              <w:rPr>
                <w:rFonts w:ascii="Calibri" w:hAnsi="Calibri" w:cs="HelveticaNeueLT Std Thin"/>
                <w:b/>
                <w:i/>
                <w:color w:val="auto"/>
                <w:sz w:val="23"/>
                <w:szCs w:val="23"/>
                <w:lang w:val="en-GB"/>
              </w:rPr>
              <w:t xml:space="preserve"> leadership and in close consultation with other stakeholders, should create a useful role and capacity development program which strengthens the national-level KONSSANTIL to carry out its mandate,</w:t>
            </w:r>
            <w:r w:rsidRPr="00033C5C">
              <w:rPr>
                <w:rFonts w:ascii="Calibri" w:hAnsi="Calibri" w:cs="HelveticaNeueLT Std Thin"/>
                <w:color w:val="auto"/>
                <w:sz w:val="23"/>
                <w:szCs w:val="23"/>
                <w:lang w:val="en-GB"/>
              </w:rPr>
              <w:t xml:space="preserve"> (managed through the Embassy or by PHD). This would require a strategic capacity review of KONSSANTIL against the extensive expectations of their current role and purpose and the fundamental barriers they face in fulfilling them. It would also take into consideration the priorities of the new government and the support other donors provide. The capacity review could also consider the merits of elevating KONSSANTIL institutionally to empower its coordination capacity, and resourcing a dedicated secretariat. Other areas for support could include strengthening capacity in broader strategic, inter-ministerial planning; nutrition budgeting / finance planning; ongoing advocacy to keep nutrition on the national agenda; the development of a common results framework to facilitate tracking of progress against SDGs; and advocacy for policy changes (including, for example, addressing overweight and obesity rates, and the regulation of breastmilk substitute formula usage). </w:t>
            </w:r>
          </w:p>
        </w:tc>
        <w:tc>
          <w:tcPr>
            <w:tcW w:w="1326" w:type="dxa"/>
          </w:tcPr>
          <w:p w:rsidR="00F6661E" w:rsidRPr="00033C5C" w:rsidRDefault="0012014B" w:rsidP="00F6661E">
            <w:pPr>
              <w:rPr>
                <w:color w:val="auto"/>
                <w:lang w:val="en-AU"/>
              </w:rPr>
            </w:pPr>
            <w:r w:rsidRPr="00033C5C">
              <w:rPr>
                <w:color w:val="auto"/>
                <w:lang w:val="en-AU"/>
              </w:rPr>
              <w:lastRenderedPageBreak/>
              <w:t>Agree</w:t>
            </w:r>
          </w:p>
        </w:tc>
        <w:tc>
          <w:tcPr>
            <w:tcW w:w="4394" w:type="dxa"/>
          </w:tcPr>
          <w:p w:rsidR="00F6661E" w:rsidRPr="00033C5C" w:rsidRDefault="0012014B" w:rsidP="001A5761">
            <w:pPr>
              <w:rPr>
                <w:color w:val="auto"/>
                <w:lang w:val="en-AU"/>
              </w:rPr>
            </w:pPr>
            <w:r w:rsidRPr="00033C5C">
              <w:rPr>
                <w:color w:val="auto"/>
                <w:lang w:val="en-AU"/>
              </w:rPr>
              <w:t xml:space="preserve">DFAT will continue to work with KONSSANTIL. The extent of support to KONSSANTIL will relate to Government </w:t>
            </w:r>
            <w:r w:rsidR="001A5761" w:rsidRPr="00033C5C">
              <w:rPr>
                <w:color w:val="auto"/>
                <w:lang w:val="en-AU"/>
              </w:rPr>
              <w:t>commitment</w:t>
            </w:r>
            <w:r w:rsidRPr="00033C5C">
              <w:rPr>
                <w:color w:val="auto"/>
                <w:lang w:val="en-AU"/>
              </w:rPr>
              <w:t xml:space="preserve"> and resourcing of KONSSANTIL and </w:t>
            </w:r>
            <w:r w:rsidR="001A5761" w:rsidRPr="00033C5C">
              <w:rPr>
                <w:color w:val="auto"/>
                <w:lang w:val="en-AU"/>
              </w:rPr>
              <w:t>consultation</w:t>
            </w:r>
            <w:r w:rsidRPr="00033C5C">
              <w:rPr>
                <w:color w:val="auto"/>
                <w:lang w:val="en-AU"/>
              </w:rPr>
              <w:t xml:space="preserve"> with KONSSANTIL on their capacity development needs. </w:t>
            </w:r>
          </w:p>
        </w:tc>
        <w:tc>
          <w:tcPr>
            <w:tcW w:w="1701" w:type="dxa"/>
          </w:tcPr>
          <w:p w:rsidR="00F6661E" w:rsidRPr="00033C5C" w:rsidRDefault="001A5761" w:rsidP="00F6661E">
            <w:pPr>
              <w:rPr>
                <w:color w:val="auto"/>
                <w:lang w:val="en-AU"/>
              </w:rPr>
            </w:pPr>
            <w:r w:rsidRPr="00033C5C">
              <w:rPr>
                <w:color w:val="auto"/>
                <w:lang w:val="en-AU"/>
              </w:rPr>
              <w:t xml:space="preserve">6 months </w:t>
            </w:r>
          </w:p>
        </w:tc>
      </w:tr>
    </w:tbl>
    <w:p w:rsidR="00F6661E" w:rsidRPr="00033C5C" w:rsidRDefault="00F6661E" w:rsidP="00F6661E">
      <w:pPr>
        <w:rPr>
          <w:color w:val="auto"/>
          <w:lang w:val="en-AU"/>
        </w:rPr>
      </w:pPr>
    </w:p>
    <w:p w:rsidR="004F7592" w:rsidRPr="00033C5C" w:rsidRDefault="004F7592" w:rsidP="004F7592">
      <w:pPr>
        <w:pStyle w:val="BodyText"/>
        <w:rPr>
          <w:rFonts w:ascii="Franklin Gothic Book" w:hAnsi="Franklin Gothic Book"/>
          <w:color w:val="auto"/>
          <w:sz w:val="21"/>
        </w:rPr>
      </w:pPr>
    </w:p>
    <w:sectPr w:rsidR="004F7592" w:rsidRPr="00033C5C" w:rsidSect="0029280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4B" w:rsidRDefault="00FB1A4B" w:rsidP="00FB1A4B">
      <w:pPr>
        <w:spacing w:before="0" w:after="0" w:line="240" w:lineRule="auto"/>
      </w:pPr>
      <w:r>
        <w:separator/>
      </w:r>
    </w:p>
  </w:endnote>
  <w:endnote w:type="continuationSeparator" w:id="0">
    <w:p w:rsidR="00FB1A4B" w:rsidRDefault="00FB1A4B" w:rsidP="00FB1A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4B" w:rsidRDefault="00FB1A4B" w:rsidP="00FB1A4B">
      <w:pPr>
        <w:spacing w:before="0" w:after="0" w:line="240" w:lineRule="auto"/>
      </w:pPr>
      <w:r>
        <w:separator/>
      </w:r>
    </w:p>
  </w:footnote>
  <w:footnote w:type="continuationSeparator" w:id="0">
    <w:p w:rsidR="00FB1A4B" w:rsidRDefault="00FB1A4B" w:rsidP="00FB1A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4B" w:rsidRDefault="00FB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15:restartNumberingAfterBreak="0">
    <w:nsid w:val="84F40BD8"/>
    <w:multiLevelType w:val="hybridMultilevel"/>
    <w:tmpl w:val="3E5F9F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545FB"/>
    <w:multiLevelType w:val="hybridMultilevel"/>
    <w:tmpl w:val="CCE4BCFA"/>
    <w:lvl w:ilvl="0" w:tplc="7F6CD782">
      <w:start w:val="1"/>
      <w:numFmt w:val="bullet"/>
      <w:lvlText w:val="̶"/>
      <w:lvlJc w:val="left"/>
      <w:pPr>
        <w:ind w:left="720" w:hanging="360"/>
      </w:pPr>
      <w:rPr>
        <w:rFonts w:ascii="Calibri" w:hAnsi="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5AFDC36"/>
    <w:multiLevelType w:val="hybridMultilevel"/>
    <w:tmpl w:val="83F9BF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E063D9"/>
    <w:multiLevelType w:val="hybridMultilevel"/>
    <w:tmpl w:val="C70A5E8C"/>
    <w:lvl w:ilvl="0" w:tplc="31200F9A">
      <w:start w:val="1"/>
      <w:numFmt w:val="bullet"/>
      <w:pStyle w:val="Bullets"/>
      <w:lvlText w:val=""/>
      <w:lvlJc w:val="left"/>
      <w:pPr>
        <w:ind w:left="454" w:hanging="170"/>
      </w:pPr>
      <w:rPr>
        <w:rFonts w:ascii="Wingdings" w:hAnsi="Wingdings" w:hint="default"/>
        <w:b w:val="0"/>
        <w:i w:val="0"/>
        <w:color w:val="7F7F7F" w:themeColor="text1" w:themeTint="80"/>
        <w:sz w:val="18"/>
      </w:rPr>
    </w:lvl>
    <w:lvl w:ilvl="1" w:tplc="AE8821F8">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E66384F"/>
    <w:multiLevelType w:val="hybridMultilevel"/>
    <w:tmpl w:val="CC3C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1234E"/>
    <w:multiLevelType w:val="hybridMultilevel"/>
    <w:tmpl w:val="9FAC3A2C"/>
    <w:lvl w:ilvl="0" w:tplc="2CDA1A2A">
      <w:start w:val="1"/>
      <w:numFmt w:val="decimal"/>
      <w:lvlText w:val="%1."/>
      <w:lvlJc w:val="left"/>
      <w:pPr>
        <w:ind w:left="720" w:hanging="360"/>
      </w:pPr>
      <w:rPr>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463B37"/>
    <w:multiLevelType w:val="hybridMultilevel"/>
    <w:tmpl w:val="ECA4F3B6"/>
    <w:lvl w:ilvl="0" w:tplc="2A0A2946">
      <w:start w:val="1"/>
      <w:numFmt w:val="bullet"/>
      <w:pStyle w:val="boxredbullet"/>
      <w:lvlText w:val=""/>
      <w:lvlJc w:val="left"/>
      <w:pPr>
        <w:ind w:left="454" w:hanging="17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15:restartNumberingAfterBreak="0">
    <w:nsid w:val="4C3020AD"/>
    <w:multiLevelType w:val="hybridMultilevel"/>
    <w:tmpl w:val="7D488F02"/>
    <w:lvl w:ilvl="0" w:tplc="D0002BC0">
      <w:start w:val="6"/>
      <w:numFmt w:val="bullet"/>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webHidden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620D3F"/>
    <w:multiLevelType w:val="hybridMultilevel"/>
    <w:tmpl w:val="02DAD91C"/>
    <w:lvl w:ilvl="0" w:tplc="4A6A34FE">
      <w:numFmt w:val="bullet"/>
      <w:lvlText w:val="-"/>
      <w:lvlJc w:val="left"/>
      <w:pPr>
        <w:ind w:left="720" w:hanging="360"/>
      </w:pPr>
      <w:rPr>
        <w:rFonts w:ascii="Calibri" w:eastAsiaTheme="minorHAnsi" w:hAnsi="Calibri" w:cs="Calibr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56043A"/>
    <w:multiLevelType w:val="multilevel"/>
    <w:tmpl w:val="69AEB596"/>
    <w:numStyleLink w:val="BulletsList"/>
  </w:abstractNum>
  <w:abstractNum w:abstractNumId="10" w15:restartNumberingAfterBreak="0">
    <w:nsid w:val="7210324A"/>
    <w:multiLevelType w:val="hybridMultilevel"/>
    <w:tmpl w:val="1E585DF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1"/>
  </w:num>
  <w:num w:numId="2">
    <w:abstractNumId w:val="9"/>
  </w:num>
  <w:num w:numId="3">
    <w:abstractNumId w:val="7"/>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1"/>
  </w:num>
  <w:num w:numId="10">
    <w:abstractNumId w:val="3"/>
  </w:num>
  <w:num w:numId="11">
    <w:abstractNumId w:val="6"/>
  </w:num>
  <w:num w:numId="12">
    <w:abstractNumId w:val="3"/>
  </w:num>
  <w:num w:numId="13">
    <w:abstractNumId w:val="4"/>
  </w:num>
  <w:num w:numId="14">
    <w:abstractNumId w:val="6"/>
  </w:num>
  <w:num w:numId="15">
    <w:abstractNumId w:val="6"/>
  </w:num>
  <w:num w:numId="16">
    <w:abstractNumId w:val="8"/>
  </w:num>
  <w:num w:numId="17">
    <w:abstractNumId w:val="0"/>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2"/>
    <w:rsid w:val="00033C5C"/>
    <w:rsid w:val="00075049"/>
    <w:rsid w:val="000B61B6"/>
    <w:rsid w:val="00101919"/>
    <w:rsid w:val="0012014B"/>
    <w:rsid w:val="00157B49"/>
    <w:rsid w:val="00196F5D"/>
    <w:rsid w:val="001A5761"/>
    <w:rsid w:val="001C4896"/>
    <w:rsid w:val="001E1DBC"/>
    <w:rsid w:val="001F4720"/>
    <w:rsid w:val="002551A8"/>
    <w:rsid w:val="002659A0"/>
    <w:rsid w:val="00292806"/>
    <w:rsid w:val="003252D3"/>
    <w:rsid w:val="003558C0"/>
    <w:rsid w:val="00412778"/>
    <w:rsid w:val="004512BC"/>
    <w:rsid w:val="0049158C"/>
    <w:rsid w:val="004D686A"/>
    <w:rsid w:val="004F7592"/>
    <w:rsid w:val="00501A3C"/>
    <w:rsid w:val="00521EAC"/>
    <w:rsid w:val="005935DB"/>
    <w:rsid w:val="005D79DB"/>
    <w:rsid w:val="00661E93"/>
    <w:rsid w:val="00662E31"/>
    <w:rsid w:val="00695277"/>
    <w:rsid w:val="006F7E7A"/>
    <w:rsid w:val="00716C9F"/>
    <w:rsid w:val="007C5758"/>
    <w:rsid w:val="007D11E8"/>
    <w:rsid w:val="007E318A"/>
    <w:rsid w:val="007E4F9E"/>
    <w:rsid w:val="0082344A"/>
    <w:rsid w:val="0083661D"/>
    <w:rsid w:val="009015E5"/>
    <w:rsid w:val="00941B30"/>
    <w:rsid w:val="00A8159D"/>
    <w:rsid w:val="00AD0445"/>
    <w:rsid w:val="00AE45B9"/>
    <w:rsid w:val="00B1544A"/>
    <w:rsid w:val="00B31EF2"/>
    <w:rsid w:val="00B84A1B"/>
    <w:rsid w:val="00BA20AD"/>
    <w:rsid w:val="00C236EC"/>
    <w:rsid w:val="00CD0E8E"/>
    <w:rsid w:val="00CD53EF"/>
    <w:rsid w:val="00CE4761"/>
    <w:rsid w:val="00D320DE"/>
    <w:rsid w:val="00D511CA"/>
    <w:rsid w:val="00D87C78"/>
    <w:rsid w:val="00DA122A"/>
    <w:rsid w:val="00E50F4B"/>
    <w:rsid w:val="00E755E1"/>
    <w:rsid w:val="00F36652"/>
    <w:rsid w:val="00F6661E"/>
    <w:rsid w:val="00FB1A4B"/>
    <w:rsid w:val="00FF2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link w:val="Bullet1Char"/>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rsid w:val="004F7592"/>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69527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77"/>
    <w:rPr>
      <w:rFonts w:ascii="Segoe UI" w:hAnsi="Segoe UI" w:cs="Segoe UI"/>
      <w:color w:val="44546A" w:themeColor="text2"/>
      <w:sz w:val="18"/>
      <w:szCs w:val="18"/>
      <w:lang w:val="en-GB"/>
    </w:rPr>
  </w:style>
  <w:style w:type="paragraph" w:styleId="ListParagraph">
    <w:name w:val="List Paragraph"/>
    <w:basedOn w:val="Normal"/>
    <w:qFormat/>
    <w:rsid w:val="001F4720"/>
    <w:pPr>
      <w:suppressAutoHyphens w:val="0"/>
      <w:spacing w:before="0" w:after="0" w:line="240" w:lineRule="auto"/>
      <w:ind w:left="720"/>
      <w:contextualSpacing/>
    </w:pPr>
    <w:rPr>
      <w:rFonts w:ascii="Times New Roman" w:eastAsia="Times New Roman" w:hAnsi="Times New Roman" w:cs="Times New Roman"/>
      <w:color w:val="auto"/>
      <w:sz w:val="24"/>
      <w:szCs w:val="24"/>
      <w:lang w:val="fr-FR" w:eastAsia="fr-FR"/>
    </w:rPr>
  </w:style>
  <w:style w:type="paragraph" w:customStyle="1" w:styleId="Table-normal-text">
    <w:name w:val="Table-normal-text"/>
    <w:basedOn w:val="Normal"/>
    <w:rsid w:val="001F4720"/>
    <w:pPr>
      <w:suppressAutoHyphens w:val="0"/>
      <w:spacing w:before="60" w:after="0" w:line="240" w:lineRule="auto"/>
    </w:pPr>
    <w:rPr>
      <w:rFonts w:ascii="Arial" w:eastAsia="Times New Roman" w:hAnsi="Arial" w:cs="Times New Roman"/>
      <w:color w:val="auto"/>
      <w:sz w:val="20"/>
      <w:szCs w:val="24"/>
      <w:lang w:val="en-AU"/>
    </w:rPr>
  </w:style>
  <w:style w:type="character" w:customStyle="1" w:styleId="Bullet1Char">
    <w:name w:val="Bullet 1 Char"/>
    <w:link w:val="Bullet1"/>
    <w:locked/>
    <w:rsid w:val="001F4720"/>
    <w:rPr>
      <w:color w:val="44546A" w:themeColor="text2"/>
      <w:lang w:val="en-GB"/>
    </w:rPr>
  </w:style>
  <w:style w:type="paragraph" w:customStyle="1" w:styleId="boxred">
    <w:name w:val="box red"/>
    <w:basedOn w:val="Normal"/>
    <w:rsid w:val="00292806"/>
    <w:pPr>
      <w:suppressAutoHyphens w:val="0"/>
      <w:spacing w:before="0" w:after="200" w:line="240" w:lineRule="auto"/>
      <w:jc w:val="both"/>
    </w:pPr>
    <w:rPr>
      <w:rFonts w:ascii="Calibri Light" w:hAnsi="Calibri Light"/>
      <w:color w:val="FFFFFF" w:themeColor="background1"/>
      <w:sz w:val="20"/>
      <w:szCs w:val="20"/>
      <w:lang w:val="en-AU"/>
    </w:rPr>
  </w:style>
  <w:style w:type="paragraph" w:customStyle="1" w:styleId="boxredbullet">
    <w:name w:val="box red bullet"/>
    <w:rsid w:val="00292806"/>
    <w:pPr>
      <w:numPr>
        <w:numId w:val="6"/>
      </w:numPr>
      <w:spacing w:after="120" w:line="240" w:lineRule="auto"/>
      <w:jc w:val="both"/>
    </w:pPr>
    <w:rPr>
      <w:rFonts w:ascii="Calibri Light" w:hAnsi="Calibri Light"/>
      <w:sz w:val="20"/>
    </w:rPr>
  </w:style>
  <w:style w:type="paragraph" w:customStyle="1" w:styleId="Bullets">
    <w:name w:val="Bullets"/>
    <w:basedOn w:val="Normal"/>
    <w:qFormat/>
    <w:rsid w:val="00292806"/>
    <w:pPr>
      <w:numPr>
        <w:numId w:val="10"/>
      </w:numPr>
      <w:suppressAutoHyphens w:val="0"/>
      <w:spacing w:before="0" w:after="120" w:line="240" w:lineRule="auto"/>
    </w:pPr>
    <w:rPr>
      <w:rFonts w:ascii="Calibri Light" w:hAnsi="Calibri Light"/>
      <w:color w:val="auto"/>
      <w:sz w:val="20"/>
      <w:lang w:val="en-AU"/>
    </w:rPr>
  </w:style>
  <w:style w:type="character" w:customStyle="1" w:styleId="BodyChar">
    <w:name w:val="Body Char"/>
    <w:basedOn w:val="DefaultParagraphFont"/>
    <w:link w:val="Body"/>
    <w:locked/>
    <w:rsid w:val="00292806"/>
    <w:rPr>
      <w:rFonts w:ascii="Calibri" w:eastAsia="Calibri" w:hAnsi="Calibri" w:cs="Calibri"/>
      <w:color w:val="000000"/>
      <w:u w:color="000000"/>
      <w:bdr w:val="none" w:sz="0" w:space="0" w:color="auto" w:frame="1"/>
      <w:lang w:val="en-US"/>
    </w:rPr>
  </w:style>
  <w:style w:type="paragraph" w:customStyle="1" w:styleId="Body">
    <w:name w:val="Body"/>
    <w:link w:val="BodyChar"/>
    <w:qFormat/>
    <w:rsid w:val="00292806"/>
    <w:pPr>
      <w:spacing w:after="200" w:line="276" w:lineRule="auto"/>
    </w:pPr>
    <w:rPr>
      <w:rFonts w:ascii="Calibri" w:eastAsia="Calibri" w:hAnsi="Calibri" w:cs="Calibri"/>
      <w:color w:val="000000"/>
      <w:u w:color="000000"/>
      <w:bdr w:val="none" w:sz="0" w:space="0" w:color="auto" w:frame="1"/>
      <w:lang w:val="en-US"/>
    </w:rPr>
  </w:style>
  <w:style w:type="paragraph" w:customStyle="1" w:styleId="Default">
    <w:name w:val="Default"/>
    <w:rsid w:val="00F36652"/>
    <w:pPr>
      <w:autoSpaceDE w:val="0"/>
      <w:autoSpaceDN w:val="0"/>
      <w:adjustRightInd w:val="0"/>
      <w:spacing w:after="0" w:line="240" w:lineRule="auto"/>
    </w:pPr>
    <w:rPr>
      <w:rFonts w:ascii="Calibri" w:hAnsi="Calibri" w:cs="Calibri"/>
      <w:color w:val="000000"/>
      <w:sz w:val="24"/>
      <w:szCs w:val="24"/>
    </w:rPr>
  </w:style>
  <w:style w:type="paragraph" w:customStyle="1" w:styleId="Pa7">
    <w:name w:val="Pa7"/>
    <w:basedOn w:val="Default"/>
    <w:next w:val="Default"/>
    <w:uiPriority w:val="99"/>
    <w:rsid w:val="0083661D"/>
    <w:pPr>
      <w:spacing w:line="241" w:lineRule="atLeast"/>
    </w:pPr>
    <w:rPr>
      <w:rFonts w:ascii="HelveticaNeueLT Std Thin" w:hAnsi="HelveticaNeueLT Std Thin" w:cstheme="minorBidi"/>
      <w:color w:val="auto"/>
    </w:rPr>
  </w:style>
  <w:style w:type="paragraph" w:customStyle="1" w:styleId="Pa12">
    <w:name w:val="Pa12"/>
    <w:basedOn w:val="Default"/>
    <w:next w:val="Default"/>
    <w:uiPriority w:val="99"/>
    <w:rsid w:val="0083661D"/>
    <w:pPr>
      <w:spacing w:line="281" w:lineRule="atLeast"/>
    </w:pPr>
    <w:rPr>
      <w:rFonts w:ascii="HelveticaNeueLT Std Thin" w:hAnsi="HelveticaNeueLT Std Thin" w:cstheme="minorBidi"/>
      <w:color w:val="auto"/>
    </w:rPr>
  </w:style>
  <w:style w:type="paragraph" w:customStyle="1" w:styleId="Pa14">
    <w:name w:val="Pa14"/>
    <w:basedOn w:val="Default"/>
    <w:next w:val="Default"/>
    <w:uiPriority w:val="99"/>
    <w:rsid w:val="0083661D"/>
    <w:pPr>
      <w:spacing w:line="241" w:lineRule="atLeast"/>
    </w:pPr>
    <w:rPr>
      <w:rFonts w:ascii="HelveticaNeueLT Std Thin" w:hAnsi="HelveticaNeueLT Std Thin" w:cstheme="minorBidi"/>
      <w:color w:val="auto"/>
    </w:rPr>
  </w:style>
  <w:style w:type="table" w:styleId="TableGrid">
    <w:name w:val="Table Grid"/>
    <w:basedOn w:val="TableNormal"/>
    <w:rsid w:val="00F6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E7A"/>
    <w:rPr>
      <w:sz w:val="16"/>
      <w:szCs w:val="16"/>
    </w:rPr>
  </w:style>
  <w:style w:type="paragraph" w:styleId="CommentText">
    <w:name w:val="annotation text"/>
    <w:basedOn w:val="Normal"/>
    <w:link w:val="CommentTextChar"/>
    <w:uiPriority w:val="99"/>
    <w:semiHidden/>
    <w:unhideWhenUsed/>
    <w:rsid w:val="006F7E7A"/>
    <w:pPr>
      <w:spacing w:line="240" w:lineRule="auto"/>
    </w:pPr>
    <w:rPr>
      <w:sz w:val="20"/>
      <w:szCs w:val="20"/>
    </w:rPr>
  </w:style>
  <w:style w:type="character" w:customStyle="1" w:styleId="CommentTextChar">
    <w:name w:val="Comment Text Char"/>
    <w:basedOn w:val="DefaultParagraphFont"/>
    <w:link w:val="CommentText"/>
    <w:uiPriority w:val="99"/>
    <w:semiHidden/>
    <w:rsid w:val="006F7E7A"/>
    <w:rPr>
      <w:color w:val="44546A" w:themeColor="text2"/>
      <w:sz w:val="20"/>
      <w:szCs w:val="20"/>
      <w:lang w:val="en-GB"/>
    </w:rPr>
  </w:style>
  <w:style w:type="table" w:customStyle="1" w:styleId="TableGrid1">
    <w:name w:val="Table Grid1"/>
    <w:basedOn w:val="TableNormal"/>
    <w:next w:val="TableGrid"/>
    <w:uiPriority w:val="39"/>
    <w:rsid w:val="0052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A4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1A4B"/>
    <w:rPr>
      <w:color w:val="44546A" w:themeColor="text2"/>
      <w:lang w:val="en-GB"/>
    </w:rPr>
  </w:style>
  <w:style w:type="paragraph" w:styleId="Footer">
    <w:name w:val="footer"/>
    <w:basedOn w:val="Normal"/>
    <w:link w:val="FooterChar"/>
    <w:uiPriority w:val="99"/>
    <w:unhideWhenUsed/>
    <w:rsid w:val="00FB1A4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B1A4B"/>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148">
      <w:bodyDiv w:val="1"/>
      <w:marLeft w:val="0"/>
      <w:marRight w:val="0"/>
      <w:marTop w:val="0"/>
      <w:marBottom w:val="0"/>
      <w:divBdr>
        <w:top w:val="none" w:sz="0" w:space="0" w:color="auto"/>
        <w:left w:val="none" w:sz="0" w:space="0" w:color="auto"/>
        <w:bottom w:val="none" w:sz="0" w:space="0" w:color="auto"/>
        <w:right w:val="none" w:sz="0" w:space="0" w:color="auto"/>
      </w:divBdr>
    </w:div>
    <w:div w:id="315572237">
      <w:bodyDiv w:val="1"/>
      <w:marLeft w:val="0"/>
      <w:marRight w:val="0"/>
      <w:marTop w:val="0"/>
      <w:marBottom w:val="0"/>
      <w:divBdr>
        <w:top w:val="none" w:sz="0" w:space="0" w:color="auto"/>
        <w:left w:val="none" w:sz="0" w:space="0" w:color="auto"/>
        <w:bottom w:val="none" w:sz="0" w:space="0" w:color="auto"/>
        <w:right w:val="none" w:sz="0" w:space="0" w:color="auto"/>
      </w:divBdr>
    </w:div>
    <w:div w:id="559639407">
      <w:bodyDiv w:val="1"/>
      <w:marLeft w:val="0"/>
      <w:marRight w:val="0"/>
      <w:marTop w:val="0"/>
      <w:marBottom w:val="0"/>
      <w:divBdr>
        <w:top w:val="none" w:sz="0" w:space="0" w:color="auto"/>
        <w:left w:val="none" w:sz="0" w:space="0" w:color="auto"/>
        <w:bottom w:val="none" w:sz="0" w:space="0" w:color="auto"/>
        <w:right w:val="none" w:sz="0" w:space="0" w:color="auto"/>
      </w:divBdr>
    </w:div>
    <w:div w:id="750547679">
      <w:bodyDiv w:val="1"/>
      <w:marLeft w:val="0"/>
      <w:marRight w:val="0"/>
      <w:marTop w:val="0"/>
      <w:marBottom w:val="0"/>
      <w:divBdr>
        <w:top w:val="none" w:sz="0" w:space="0" w:color="auto"/>
        <w:left w:val="none" w:sz="0" w:space="0" w:color="auto"/>
        <w:bottom w:val="none" w:sz="0" w:space="0" w:color="auto"/>
        <w:right w:val="none" w:sz="0" w:space="0" w:color="auto"/>
      </w:divBdr>
    </w:div>
    <w:div w:id="803741386">
      <w:bodyDiv w:val="1"/>
      <w:marLeft w:val="0"/>
      <w:marRight w:val="0"/>
      <w:marTop w:val="0"/>
      <w:marBottom w:val="0"/>
      <w:divBdr>
        <w:top w:val="none" w:sz="0" w:space="0" w:color="auto"/>
        <w:left w:val="none" w:sz="0" w:space="0" w:color="auto"/>
        <w:bottom w:val="none" w:sz="0" w:space="0" w:color="auto"/>
        <w:right w:val="none" w:sz="0" w:space="0" w:color="auto"/>
      </w:divBdr>
    </w:div>
    <w:div w:id="804541398">
      <w:bodyDiv w:val="1"/>
      <w:marLeft w:val="0"/>
      <w:marRight w:val="0"/>
      <w:marTop w:val="0"/>
      <w:marBottom w:val="0"/>
      <w:divBdr>
        <w:top w:val="none" w:sz="0" w:space="0" w:color="auto"/>
        <w:left w:val="none" w:sz="0" w:space="0" w:color="auto"/>
        <w:bottom w:val="none" w:sz="0" w:space="0" w:color="auto"/>
        <w:right w:val="none" w:sz="0" w:space="0" w:color="auto"/>
      </w:divBdr>
    </w:div>
    <w:div w:id="1208687745">
      <w:bodyDiv w:val="1"/>
      <w:marLeft w:val="0"/>
      <w:marRight w:val="0"/>
      <w:marTop w:val="0"/>
      <w:marBottom w:val="0"/>
      <w:divBdr>
        <w:top w:val="none" w:sz="0" w:space="0" w:color="auto"/>
        <w:left w:val="none" w:sz="0" w:space="0" w:color="auto"/>
        <w:bottom w:val="none" w:sz="0" w:space="0" w:color="auto"/>
        <w:right w:val="none" w:sz="0" w:space="0" w:color="auto"/>
      </w:divBdr>
    </w:div>
    <w:div w:id="1376737528">
      <w:bodyDiv w:val="1"/>
      <w:marLeft w:val="0"/>
      <w:marRight w:val="0"/>
      <w:marTop w:val="0"/>
      <w:marBottom w:val="0"/>
      <w:divBdr>
        <w:top w:val="none" w:sz="0" w:space="0" w:color="auto"/>
        <w:left w:val="none" w:sz="0" w:space="0" w:color="auto"/>
        <w:bottom w:val="none" w:sz="0" w:space="0" w:color="auto"/>
        <w:right w:val="none" w:sz="0" w:space="0" w:color="auto"/>
      </w:divBdr>
    </w:div>
    <w:div w:id="19203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E7F0C-CA9E-40FB-A3E9-84A59F220184}"/>
</file>

<file path=customXml/itemProps2.xml><?xml version="1.0" encoding="utf-8"?>
<ds:datastoreItem xmlns:ds="http://schemas.openxmlformats.org/officeDocument/2006/customXml" ds:itemID="{2DECFB02-8AD8-42B2-8EFF-9B2CC3722DC7}"/>
</file>

<file path=customXml/itemProps3.xml><?xml version="1.0" encoding="utf-8"?>
<ds:datastoreItem xmlns:ds="http://schemas.openxmlformats.org/officeDocument/2006/customXml" ds:itemID="{950C4CF3-0A57-4A8B-A5EB-3A5180A07CD5}"/>
</file>

<file path=customXml/itemProps4.xml><?xml version="1.0" encoding="utf-8"?>
<ds:datastoreItem xmlns:ds="http://schemas.openxmlformats.org/officeDocument/2006/customXml" ds:itemID="{2BE0F608-9A19-479B-8BB5-2DE777994B13}"/>
</file>

<file path=docProps/app.xml><?xml version="1.0" encoding="utf-8"?>
<Properties xmlns="http://schemas.openxmlformats.org/officeDocument/2006/extended-properties" xmlns:vt="http://schemas.openxmlformats.org/officeDocument/2006/docPropsVTypes">
  <Template>Normal.dotm</Template>
  <TotalTime>0</TotalTime>
  <Pages>8</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2017-12-22T00:52:00Z</dcterms:created>
  <dcterms:modified xsi:type="dcterms:W3CDTF">2017-12-22T00:52:00Z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a6584d22-628c-4752-9d8d-2bfa952eadbd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