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4C1F1" w14:textId="30DC5B0C" w:rsidR="00140669" w:rsidRDefault="0020551D" w:rsidP="002E7313">
      <w:pPr>
        <w:suppressAutoHyphens w:val="0"/>
        <w:spacing w:before="0" w:after="120" w:line="440" w:lineRule="atLeast"/>
        <w:rPr>
          <w:rFonts w:asciiTheme="majorHAnsi" w:hAnsiTheme="majorHAnsi" w:cs="Arial"/>
          <w:color w:val="FF0000"/>
          <w:szCs w:val="21"/>
        </w:rPr>
      </w:pPr>
      <w:r w:rsidRPr="008A51A6">
        <w:rPr>
          <w:b/>
          <w:noProof/>
          <w:lang w:val="en-AU" w:eastAsia="en-AU"/>
        </w:rPr>
        <w:drawing>
          <wp:inline distT="0" distB="0" distL="0" distR="0" wp14:anchorId="109D986E" wp14:editId="0DA17DC5">
            <wp:extent cx="3166110" cy="553720"/>
            <wp:effectExtent l="0" t="0" r="0" b="0"/>
            <wp:docPr id="42" name="Picture 42" descr="Australian Government Department of Foreign Affairs and Trad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ustralian Government Department of Foreign Affairs and Trade cres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67AF7" w14:textId="28477C8F" w:rsidR="000F3962" w:rsidRPr="00CA7BEF" w:rsidRDefault="0020551D" w:rsidP="00CA7BEF">
      <w:pPr>
        <w:pStyle w:val="SpacebeforeTitle"/>
        <w:tabs>
          <w:tab w:val="left" w:pos="1114"/>
          <w:tab w:val="left" w:pos="2205"/>
        </w:tabs>
        <w:spacing w:after="0"/>
        <w:rPr>
          <w:b/>
          <w:sz w:val="36"/>
          <w:szCs w:val="36"/>
        </w:rPr>
      </w:pPr>
      <w:r w:rsidRPr="000F3962">
        <w:rPr>
          <w:rStyle w:val="Heading1Char"/>
        </w:rPr>
        <w:t xml:space="preserve">Independent Evaluation of </w:t>
      </w:r>
      <w:proofErr w:type="spellStart"/>
      <w:r w:rsidRPr="000F3962">
        <w:rPr>
          <w:rStyle w:val="Heading1Char"/>
          <w:i/>
          <w:iCs/>
        </w:rPr>
        <w:t>Nabilan</w:t>
      </w:r>
      <w:proofErr w:type="spellEnd"/>
      <w:r w:rsidRPr="000F3962">
        <w:rPr>
          <w:rStyle w:val="Heading1Char"/>
          <w:i/>
          <w:iCs/>
        </w:rPr>
        <w:t xml:space="preserve">: Ending Violence Against Women and Children in Timor-Leste </w:t>
      </w:r>
      <w:r w:rsidRPr="000F3962">
        <w:rPr>
          <w:rStyle w:val="Heading1Char"/>
          <w:b/>
          <w:bCs w:val="0"/>
        </w:rPr>
        <w:t>| MANAGEMENT RESPONSE</w:t>
      </w:r>
    </w:p>
    <w:p w14:paraId="6DD589A5" w14:textId="340E72C8" w:rsidR="000F3962" w:rsidRDefault="009460AA" w:rsidP="00CA7BEF">
      <w:pPr>
        <w:tabs>
          <w:tab w:val="left" w:pos="284"/>
        </w:tabs>
        <w:suppressAutoHyphens w:val="0"/>
        <w:spacing w:line="280" w:lineRule="exact"/>
      </w:pPr>
      <w:r w:rsidRPr="00F61E4F">
        <w:t xml:space="preserve">With the goal of ending violence against women in Timor-Leste, the </w:t>
      </w:r>
      <w:proofErr w:type="spellStart"/>
      <w:r w:rsidRPr="009460AA">
        <w:rPr>
          <w:i/>
          <w:iCs/>
        </w:rPr>
        <w:t>Nabilan</w:t>
      </w:r>
      <w:proofErr w:type="spellEnd"/>
      <w:r w:rsidRPr="00F61E4F">
        <w:t xml:space="preserve"> program was created as an eight-year partnership between the governments of Australia and Timor-Leste. </w:t>
      </w:r>
      <w:proofErr w:type="spellStart"/>
      <w:r w:rsidRPr="009460AA">
        <w:rPr>
          <w:i/>
          <w:iCs/>
        </w:rPr>
        <w:t>Nabilan</w:t>
      </w:r>
      <w:proofErr w:type="spellEnd"/>
      <w:r w:rsidRPr="00F61E4F">
        <w:t xml:space="preserve"> is implemented by The Asia Foundation (TAF) in collaboration with Timor-Leste’s Ministry for Social Solidarity and Inclusion</w:t>
      </w:r>
      <w:r>
        <w:t xml:space="preserve"> (MSSI)</w:t>
      </w:r>
      <w:r w:rsidRPr="00F61E4F">
        <w:t xml:space="preserve"> and Secretary of State for Equality and Inclusion</w:t>
      </w:r>
      <w:r>
        <w:t xml:space="preserve"> (SEII)</w:t>
      </w:r>
      <w:r w:rsidRPr="00F61E4F">
        <w:t xml:space="preserve">. </w:t>
      </w:r>
    </w:p>
    <w:p w14:paraId="59BE3020" w14:textId="42833A5F" w:rsidR="009460AA" w:rsidRDefault="009460AA" w:rsidP="00CA7BEF">
      <w:pPr>
        <w:tabs>
          <w:tab w:val="left" w:pos="284"/>
        </w:tabs>
        <w:suppressAutoHyphens w:val="0"/>
        <w:spacing w:line="280" w:lineRule="exact"/>
      </w:pPr>
      <w:r>
        <w:t xml:space="preserve">The 2021 review, undertaken by DESI Consulting, assessed progress against </w:t>
      </w:r>
      <w:proofErr w:type="spellStart"/>
      <w:r w:rsidRPr="009460AA">
        <w:rPr>
          <w:i/>
          <w:iCs/>
        </w:rPr>
        <w:t>Nabilan</w:t>
      </w:r>
      <w:r>
        <w:t>’s</w:t>
      </w:r>
      <w:proofErr w:type="spellEnd"/>
      <w:r>
        <w:t xml:space="preserve"> end of program outcomes with an emphasis on Phase 2 programming with a view to informing the design process for Phase 3. </w:t>
      </w:r>
    </w:p>
    <w:p w14:paraId="24BA2A08" w14:textId="6C7908DB" w:rsidR="009460AA" w:rsidRDefault="009460AA" w:rsidP="00CA7BEF">
      <w:pPr>
        <w:tabs>
          <w:tab w:val="left" w:pos="284"/>
        </w:tabs>
        <w:suppressAutoHyphens w:val="0"/>
        <w:spacing w:line="280" w:lineRule="exact"/>
      </w:pPr>
      <w:r>
        <w:t>Of the 1</w:t>
      </w:r>
      <w:r w:rsidR="00927107">
        <w:t>9</w:t>
      </w:r>
      <w:r>
        <w:t xml:space="preserve"> recommendations, the Department of Foreign Affairs and Trade (DFAT) agrees with 1</w:t>
      </w:r>
      <w:r w:rsidR="00927107">
        <w:t>6</w:t>
      </w:r>
      <w:r>
        <w:t xml:space="preserve"> and partially agrees with </w:t>
      </w:r>
      <w:r w:rsidR="006707E4">
        <w:t>three</w:t>
      </w:r>
      <w:r>
        <w:t xml:space="preserve">. Many of the recommendations have already been actioned as part of the design of </w:t>
      </w:r>
      <w:proofErr w:type="spellStart"/>
      <w:r>
        <w:t>Nabilan</w:t>
      </w:r>
      <w:proofErr w:type="spellEnd"/>
      <w:r>
        <w:t xml:space="preserve"> Phase </w:t>
      </w:r>
      <w:r w:rsidR="00CB3DA3">
        <w:t>3</w:t>
      </w:r>
      <w:r>
        <w:t xml:space="preserve"> process. </w:t>
      </w:r>
      <w:proofErr w:type="spellStart"/>
      <w:r>
        <w:t>Nabilan</w:t>
      </w:r>
      <w:proofErr w:type="spellEnd"/>
      <w:r>
        <w:t xml:space="preserve"> Phase </w:t>
      </w:r>
      <w:r w:rsidR="00CB3DA3">
        <w:t>3</w:t>
      </w:r>
      <w:r>
        <w:t xml:space="preserve"> is due to commence in July 2022.</w:t>
      </w:r>
    </w:p>
    <w:p w14:paraId="055759B3" w14:textId="0A0CAC81" w:rsidR="0020551D" w:rsidRPr="000F3962" w:rsidRDefault="000F3962" w:rsidP="000F3962">
      <w:pPr>
        <w:pStyle w:val="Heading2"/>
      </w:pPr>
      <w:r w:rsidRPr="000F3962">
        <w:t>DFAT</w:t>
      </w:r>
    </w:p>
    <w:tbl>
      <w:tblPr>
        <w:tblStyle w:val="TableGrid"/>
        <w:tblW w:w="13183" w:type="dxa"/>
        <w:tblInd w:w="-147" w:type="dxa"/>
        <w:tblLook w:val="04A0" w:firstRow="1" w:lastRow="0" w:firstColumn="1" w:lastColumn="0" w:noHBand="0" w:noVBand="1"/>
      </w:tblPr>
      <w:tblGrid>
        <w:gridCol w:w="4448"/>
        <w:gridCol w:w="988"/>
        <w:gridCol w:w="5479"/>
        <w:gridCol w:w="2268"/>
      </w:tblGrid>
      <w:tr w:rsidR="00CA7BEF" w:rsidRPr="00CA7BEF" w14:paraId="5F08BFB6" w14:textId="77777777" w:rsidTr="00CA7BEF">
        <w:tc>
          <w:tcPr>
            <w:tcW w:w="4448" w:type="dxa"/>
          </w:tcPr>
          <w:p w14:paraId="3629298F" w14:textId="77777777" w:rsidR="000F3962" w:rsidRPr="00CA7BEF" w:rsidRDefault="000F3962" w:rsidP="009748AB">
            <w:pPr>
              <w:spacing w:line="240" w:lineRule="auto"/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  <w:t>Recommendation</w:t>
            </w:r>
          </w:p>
        </w:tc>
        <w:tc>
          <w:tcPr>
            <w:tcW w:w="988" w:type="dxa"/>
          </w:tcPr>
          <w:p w14:paraId="642C10C3" w14:textId="77777777" w:rsidR="000F3962" w:rsidRPr="00CA7BEF" w:rsidRDefault="000F3962" w:rsidP="009748AB">
            <w:pPr>
              <w:spacing w:line="240" w:lineRule="auto"/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  <w:t>Response</w:t>
            </w:r>
          </w:p>
        </w:tc>
        <w:tc>
          <w:tcPr>
            <w:tcW w:w="5479" w:type="dxa"/>
          </w:tcPr>
          <w:p w14:paraId="098C036D" w14:textId="77777777" w:rsidR="000F3962" w:rsidRPr="00CA7BEF" w:rsidRDefault="000F3962" w:rsidP="009748AB">
            <w:pPr>
              <w:spacing w:line="240" w:lineRule="auto"/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  <w:t>Action plan</w:t>
            </w:r>
          </w:p>
        </w:tc>
        <w:tc>
          <w:tcPr>
            <w:tcW w:w="2268" w:type="dxa"/>
          </w:tcPr>
          <w:p w14:paraId="5B6C265E" w14:textId="77777777" w:rsidR="000F3962" w:rsidRPr="00CA7BEF" w:rsidRDefault="000F3962" w:rsidP="009748AB">
            <w:pPr>
              <w:spacing w:line="240" w:lineRule="auto"/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  <w:t>Timeframe</w:t>
            </w:r>
          </w:p>
        </w:tc>
      </w:tr>
      <w:tr w:rsidR="00CA7BEF" w:rsidRPr="00CA7BEF" w14:paraId="6F1135B7" w14:textId="77777777" w:rsidTr="00CA7BEF">
        <w:tc>
          <w:tcPr>
            <w:tcW w:w="4448" w:type="dxa"/>
          </w:tcPr>
          <w:p w14:paraId="010C0502" w14:textId="53670A3E" w:rsidR="000F3962" w:rsidRPr="00CA7BEF" w:rsidRDefault="000F3962" w:rsidP="009748A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1. Initiate a design/procurement process for Phase 3 ASAP that will ensure continuity of programming in both pillars, and retain </w:t>
            </w:r>
            <w:proofErr w:type="spellStart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Nabilan</w:t>
            </w:r>
            <w:proofErr w:type="spellEnd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in-country staff</w:t>
            </w:r>
          </w:p>
        </w:tc>
        <w:tc>
          <w:tcPr>
            <w:tcW w:w="988" w:type="dxa"/>
            <w:shd w:val="clear" w:color="auto" w:fill="92D050"/>
          </w:tcPr>
          <w:p w14:paraId="4528CE35" w14:textId="77777777" w:rsidR="000F3962" w:rsidRPr="00CA7BEF" w:rsidRDefault="000F3962" w:rsidP="009748A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5479" w:type="dxa"/>
          </w:tcPr>
          <w:p w14:paraId="497B8EBD" w14:textId="22F74006" w:rsidR="000F3962" w:rsidRPr="00CA7BEF" w:rsidRDefault="000F3962" w:rsidP="009748A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The design process for phase 3 commenced in August 2021 with an approach that supports continuity of essential services and staff retention.</w:t>
            </w:r>
          </w:p>
        </w:tc>
        <w:tc>
          <w:tcPr>
            <w:tcW w:w="2268" w:type="dxa"/>
          </w:tcPr>
          <w:p w14:paraId="241FB28B" w14:textId="177F66C6" w:rsidR="000F3962" w:rsidRPr="00CA7BEF" w:rsidRDefault="000F3962" w:rsidP="009748A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Already commenced and ongoing to July 2022</w:t>
            </w:r>
          </w:p>
        </w:tc>
      </w:tr>
      <w:tr w:rsidR="00CA7BEF" w:rsidRPr="00CA7BEF" w14:paraId="1640077C" w14:textId="77777777" w:rsidTr="00CA7BEF">
        <w:tc>
          <w:tcPr>
            <w:tcW w:w="4448" w:type="dxa"/>
          </w:tcPr>
          <w:p w14:paraId="6BC14CE9" w14:textId="0445B1C9" w:rsidR="000F3962" w:rsidRPr="00CA7BEF" w:rsidRDefault="000F3962" w:rsidP="009748A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2. The Asia Foundation is best placed to ensure continuity. It has proven ability to deliver quality programming and is flexible and adaptable in a changing context. DFAT’s grant model is an enabling factor.</w:t>
            </w:r>
          </w:p>
        </w:tc>
        <w:tc>
          <w:tcPr>
            <w:tcW w:w="988" w:type="dxa"/>
            <w:shd w:val="clear" w:color="auto" w:fill="92D050"/>
          </w:tcPr>
          <w:p w14:paraId="71B0679A" w14:textId="77777777" w:rsidR="000F3962" w:rsidRPr="00CA7BEF" w:rsidRDefault="000F3962" w:rsidP="009748A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5479" w:type="dxa"/>
          </w:tcPr>
          <w:p w14:paraId="17837183" w14:textId="06879D9E" w:rsidR="000F3962" w:rsidRPr="00CA7BEF" w:rsidRDefault="000F3962" w:rsidP="009748A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Initial DFAT assessment of available EVAWC partners with Timor-Leste context knowledge accords with review assessment. Specific design pathway to be confirmed.</w:t>
            </w:r>
          </w:p>
        </w:tc>
        <w:tc>
          <w:tcPr>
            <w:tcW w:w="2268" w:type="dxa"/>
          </w:tcPr>
          <w:p w14:paraId="28A67E17" w14:textId="3FFD0891" w:rsidR="000F3962" w:rsidRPr="00CA7BEF" w:rsidRDefault="000F3962" w:rsidP="009748A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Design pathway to be confirmed by mid-December 2021</w:t>
            </w:r>
          </w:p>
        </w:tc>
      </w:tr>
      <w:tr w:rsidR="00CA7BEF" w:rsidRPr="00CA7BEF" w14:paraId="2F7472D2" w14:textId="77777777" w:rsidTr="00CA7BEF">
        <w:tc>
          <w:tcPr>
            <w:tcW w:w="4448" w:type="dxa"/>
          </w:tcPr>
          <w:p w14:paraId="0F8A99C5" w14:textId="4E1FBEFA" w:rsidR="000F3962" w:rsidRPr="00CA7BEF" w:rsidRDefault="000F3962" w:rsidP="009748A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3. DFAT Post to consider complementing existing donor coordination mechanisms, such as attendance at steering committee meetings, with more informal interactions, particularly with the European Union, </w:t>
            </w:r>
            <w:proofErr w:type="gramStart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KOICA</w:t>
            </w:r>
            <w:proofErr w:type="gramEnd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and the UN Resident Coordinator (and USAID and ADB in the future) with a view to supporting </w:t>
            </w:r>
            <w:proofErr w:type="spellStart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GoTL</w:t>
            </w:r>
            <w:proofErr w:type="spellEnd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coordination efforts, provide real time updates on program implementation learning/challenges that could impact on each other’s investments, and other strategic questions as they arise.</w:t>
            </w:r>
          </w:p>
        </w:tc>
        <w:tc>
          <w:tcPr>
            <w:tcW w:w="988" w:type="dxa"/>
            <w:shd w:val="clear" w:color="auto" w:fill="92D050"/>
          </w:tcPr>
          <w:p w14:paraId="5339D995" w14:textId="77777777" w:rsidR="000F3962" w:rsidRPr="00CA7BEF" w:rsidRDefault="000F3962" w:rsidP="009748A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5479" w:type="dxa"/>
          </w:tcPr>
          <w:p w14:paraId="6D5CF9C0" w14:textId="77777777" w:rsidR="000F3962" w:rsidRPr="00CA7BEF" w:rsidRDefault="000F3962" w:rsidP="009748A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Detailed design to establish roles and responsibilities (</w:t>
            </w:r>
            <w:proofErr w:type="spellStart"/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Nabilan</w:t>
            </w:r>
            <w:proofErr w:type="spellEnd"/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 xml:space="preserve"> team, TAF country representative, Embassy team) vis-à-vis donor coordination.</w:t>
            </w:r>
          </w:p>
          <w:p w14:paraId="22E625AD" w14:textId="77777777" w:rsidR="000F3962" w:rsidRPr="00CA7BEF" w:rsidRDefault="000F3962" w:rsidP="009748A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 xml:space="preserve">Detailed design to embed DFAT/MSSI/SEII steering committee (HOM/minister level) and program management team (working level) for </w:t>
            </w:r>
            <w:proofErr w:type="spellStart"/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GoTL</w:t>
            </w:r>
            <w:proofErr w:type="spellEnd"/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 xml:space="preserve"> coordination.</w:t>
            </w:r>
          </w:p>
          <w:p w14:paraId="7240191D" w14:textId="77777777" w:rsidR="000F3962" w:rsidRPr="00CA7BEF" w:rsidRDefault="000F3962" w:rsidP="009748A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Detailed design to consider appropriateness of PHD support to MSSI/SEII leadership on donor coordination.</w:t>
            </w:r>
          </w:p>
        </w:tc>
        <w:tc>
          <w:tcPr>
            <w:tcW w:w="2268" w:type="dxa"/>
          </w:tcPr>
          <w:p w14:paraId="20106160" w14:textId="4126F3B0" w:rsidR="000F3962" w:rsidRPr="00CA7BEF" w:rsidRDefault="000F3962" w:rsidP="009748A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Detailed design document to be completed by April 2022</w:t>
            </w:r>
          </w:p>
        </w:tc>
      </w:tr>
      <w:tr w:rsidR="00CA7BEF" w:rsidRPr="00CA7BEF" w14:paraId="45B86CC7" w14:textId="77777777" w:rsidTr="00CA7BEF">
        <w:tc>
          <w:tcPr>
            <w:tcW w:w="4448" w:type="dxa"/>
          </w:tcPr>
          <w:p w14:paraId="575F2A9E" w14:textId="485DF33E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4. DFAT Canberra create further opportunities for </w:t>
            </w:r>
            <w:proofErr w:type="spellStart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Nabilan</w:t>
            </w:r>
            <w:proofErr w:type="spellEnd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program staff to share good practices in regional forums</w:t>
            </w:r>
          </w:p>
        </w:tc>
        <w:tc>
          <w:tcPr>
            <w:tcW w:w="988" w:type="dxa"/>
            <w:shd w:val="clear" w:color="auto" w:fill="92D050"/>
          </w:tcPr>
          <w:p w14:paraId="78F2C184" w14:textId="06E0AFEC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5479" w:type="dxa"/>
          </w:tcPr>
          <w:p w14:paraId="13F6E828" w14:textId="05E4D3B0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Currently under consideration as part of regional gender strategy and support and to be considered as part of detailed design.</w:t>
            </w:r>
          </w:p>
        </w:tc>
        <w:tc>
          <w:tcPr>
            <w:tcW w:w="2268" w:type="dxa"/>
          </w:tcPr>
          <w:p w14:paraId="0234FC1C" w14:textId="39316934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Detailed design document to be completed by April 2022</w:t>
            </w:r>
          </w:p>
        </w:tc>
      </w:tr>
      <w:tr w:rsidR="00CA7BEF" w:rsidRPr="00CA7BEF" w14:paraId="5D0B5D91" w14:textId="77777777" w:rsidTr="00CA7BEF">
        <w:tc>
          <w:tcPr>
            <w:tcW w:w="4448" w:type="dxa"/>
          </w:tcPr>
          <w:p w14:paraId="48868A52" w14:textId="6693227C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5. Further explore </w:t>
            </w:r>
            <w:proofErr w:type="spellStart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GoTL</w:t>
            </w:r>
            <w:proofErr w:type="spellEnd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request for support for a specialist centre for trauma survivors</w:t>
            </w:r>
          </w:p>
        </w:tc>
        <w:tc>
          <w:tcPr>
            <w:tcW w:w="988" w:type="dxa"/>
            <w:shd w:val="clear" w:color="auto" w:fill="FFF371" w:themeFill="accent4" w:themeFillShade="E6"/>
          </w:tcPr>
          <w:p w14:paraId="6C753EF5" w14:textId="777777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Partially agree</w:t>
            </w:r>
          </w:p>
        </w:tc>
        <w:tc>
          <w:tcPr>
            <w:tcW w:w="5479" w:type="dxa"/>
          </w:tcPr>
          <w:p w14:paraId="68FD2EAB" w14:textId="3491E781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 xml:space="preserve">To be considered as part of detailed design and </w:t>
            </w:r>
            <w:proofErr w:type="spellStart"/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GoTL</w:t>
            </w:r>
            <w:proofErr w:type="spellEnd"/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 xml:space="preserve"> consultation process, noting DFAT’s position that support for current service delivery partners through Nabilan likely to be more effective and sustainable than a specialist trauma centre.</w:t>
            </w:r>
          </w:p>
        </w:tc>
        <w:tc>
          <w:tcPr>
            <w:tcW w:w="2268" w:type="dxa"/>
          </w:tcPr>
          <w:p w14:paraId="53F44517" w14:textId="314B2A59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Detailed design document to be completed by April 2022</w:t>
            </w:r>
          </w:p>
        </w:tc>
      </w:tr>
    </w:tbl>
    <w:p w14:paraId="16E2173A" w14:textId="5C483E7E" w:rsidR="000F3962" w:rsidRDefault="000F3962" w:rsidP="000F3962">
      <w:pPr>
        <w:pStyle w:val="Heading2"/>
      </w:pPr>
      <w:r w:rsidRPr="00A351D2">
        <w:t>The Asia Foundation</w:t>
      </w:r>
    </w:p>
    <w:tbl>
      <w:tblPr>
        <w:tblStyle w:val="TableGrid"/>
        <w:tblW w:w="13183" w:type="dxa"/>
        <w:tblInd w:w="-147" w:type="dxa"/>
        <w:tblLook w:val="04A0" w:firstRow="1" w:lastRow="0" w:firstColumn="1" w:lastColumn="0" w:noHBand="0" w:noVBand="1"/>
      </w:tblPr>
      <w:tblGrid>
        <w:gridCol w:w="4448"/>
        <w:gridCol w:w="988"/>
        <w:gridCol w:w="5479"/>
        <w:gridCol w:w="2268"/>
      </w:tblGrid>
      <w:tr w:rsidR="00CA7BEF" w:rsidRPr="00CA7BEF" w14:paraId="164FECCB" w14:textId="77777777" w:rsidTr="00CA7BEF">
        <w:tc>
          <w:tcPr>
            <w:tcW w:w="4448" w:type="dxa"/>
          </w:tcPr>
          <w:p w14:paraId="713CB495" w14:textId="4C9BAC08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6. More purposefully strengthen existing synergies between Timor-Leste programs: Nabilan, CSCP and Inclusive Tourism Program</w:t>
            </w:r>
          </w:p>
        </w:tc>
        <w:tc>
          <w:tcPr>
            <w:tcW w:w="988" w:type="dxa"/>
            <w:shd w:val="clear" w:color="auto" w:fill="92D050"/>
          </w:tcPr>
          <w:p w14:paraId="40E8AE97" w14:textId="777777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5479" w:type="dxa"/>
          </w:tcPr>
          <w:p w14:paraId="397EB770" w14:textId="777777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To be considered as part of detailed design.</w:t>
            </w:r>
          </w:p>
        </w:tc>
        <w:tc>
          <w:tcPr>
            <w:tcW w:w="2268" w:type="dxa"/>
          </w:tcPr>
          <w:p w14:paraId="4D5022B2" w14:textId="12A3A421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Detailed design document to be completed by April 2022</w:t>
            </w:r>
          </w:p>
        </w:tc>
      </w:tr>
      <w:tr w:rsidR="00CA7BEF" w:rsidRPr="00CA7BEF" w14:paraId="0858DE2E" w14:textId="77777777" w:rsidTr="00CA7BEF">
        <w:tc>
          <w:tcPr>
            <w:tcW w:w="4448" w:type="dxa"/>
          </w:tcPr>
          <w:p w14:paraId="7DA5E539" w14:textId="2677E098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7. Take up a stronger donor coordination role to support Nabilan, particularly with the six relevant UN heads of agencies</w:t>
            </w:r>
          </w:p>
        </w:tc>
        <w:tc>
          <w:tcPr>
            <w:tcW w:w="988" w:type="dxa"/>
            <w:shd w:val="clear" w:color="auto" w:fill="FFF371" w:themeFill="accent4" w:themeFillShade="E6"/>
          </w:tcPr>
          <w:p w14:paraId="6057C75F" w14:textId="777777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Partially agree</w:t>
            </w:r>
          </w:p>
        </w:tc>
        <w:tc>
          <w:tcPr>
            <w:tcW w:w="5479" w:type="dxa"/>
          </w:tcPr>
          <w:p w14:paraId="22887788" w14:textId="098465B0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To be considered as part of detailed design, noting preference for Nabilan team to be focussed on program delivery with The Asia Foundation Country Representative and Embassy leading on donor coordination.</w:t>
            </w:r>
          </w:p>
        </w:tc>
        <w:tc>
          <w:tcPr>
            <w:tcW w:w="2268" w:type="dxa"/>
          </w:tcPr>
          <w:p w14:paraId="685E6516" w14:textId="2ADC508B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Detailed design document to be completed by April 2022</w:t>
            </w:r>
          </w:p>
        </w:tc>
      </w:tr>
      <w:tr w:rsidR="00CA7BEF" w:rsidRPr="00CA7BEF" w14:paraId="21A7A22F" w14:textId="77777777" w:rsidTr="00CA7BEF">
        <w:tc>
          <w:tcPr>
            <w:tcW w:w="4448" w:type="dxa"/>
          </w:tcPr>
          <w:p w14:paraId="23100466" w14:textId="2F95926C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8. Create opportunities for learning forums to amplify impact of research and learning in Timor-Leste</w:t>
            </w:r>
          </w:p>
        </w:tc>
        <w:tc>
          <w:tcPr>
            <w:tcW w:w="988" w:type="dxa"/>
            <w:shd w:val="clear" w:color="auto" w:fill="92D050"/>
          </w:tcPr>
          <w:p w14:paraId="388589A2" w14:textId="777777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5479" w:type="dxa"/>
          </w:tcPr>
          <w:p w14:paraId="75FDD7C0" w14:textId="777777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Currently being established under Phase II and to be continued in new design.</w:t>
            </w:r>
          </w:p>
        </w:tc>
        <w:tc>
          <w:tcPr>
            <w:tcW w:w="2268" w:type="dxa"/>
          </w:tcPr>
          <w:p w14:paraId="264AE107" w14:textId="4E517A6E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Ongoing</w:t>
            </w:r>
          </w:p>
        </w:tc>
      </w:tr>
      <w:tr w:rsidR="00CA7BEF" w:rsidRPr="00CA7BEF" w14:paraId="728FB16B" w14:textId="77777777" w:rsidTr="00CA7BEF">
        <w:tc>
          <w:tcPr>
            <w:tcW w:w="4448" w:type="dxa"/>
          </w:tcPr>
          <w:p w14:paraId="71CA9091" w14:textId="63B29854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9. Facilitate amplification of Nabilan’s profile and lessons learned in region through the Foundation’s network</w:t>
            </w:r>
          </w:p>
        </w:tc>
        <w:tc>
          <w:tcPr>
            <w:tcW w:w="988" w:type="dxa"/>
            <w:shd w:val="clear" w:color="auto" w:fill="92D050"/>
          </w:tcPr>
          <w:p w14:paraId="0318F946" w14:textId="777777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5479" w:type="dxa"/>
          </w:tcPr>
          <w:p w14:paraId="701FA9CD" w14:textId="39BC9872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To be discussed with The Asia Foundation Country Representative and considered as part of detailed design.</w:t>
            </w:r>
          </w:p>
        </w:tc>
        <w:tc>
          <w:tcPr>
            <w:tcW w:w="2268" w:type="dxa"/>
          </w:tcPr>
          <w:p w14:paraId="09C2003C" w14:textId="0ABD1D4A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December 2021; detailed design document to be completed by April 2022</w:t>
            </w:r>
          </w:p>
        </w:tc>
      </w:tr>
    </w:tbl>
    <w:p w14:paraId="7918DFCD" w14:textId="77777777" w:rsidR="00CA7BEF" w:rsidRDefault="00CA7BEF" w:rsidP="000F3962">
      <w:pPr>
        <w:pStyle w:val="Heading2"/>
      </w:pPr>
    </w:p>
    <w:p w14:paraId="7AA1C6A9" w14:textId="54A92C64" w:rsidR="000F3962" w:rsidRDefault="000F3962" w:rsidP="000F3962">
      <w:pPr>
        <w:pStyle w:val="Heading2"/>
      </w:pPr>
      <w:r w:rsidRPr="00A351D2">
        <w:t>Design</w:t>
      </w:r>
      <w:r>
        <w:t xml:space="preserve"> of </w:t>
      </w:r>
      <w:proofErr w:type="spellStart"/>
      <w:r>
        <w:t>Nabilan</w:t>
      </w:r>
      <w:proofErr w:type="spellEnd"/>
      <w:r>
        <w:t xml:space="preserve"> Phase III</w:t>
      </w:r>
    </w:p>
    <w:tbl>
      <w:tblPr>
        <w:tblStyle w:val="TableGrid"/>
        <w:tblW w:w="13183" w:type="dxa"/>
        <w:tblInd w:w="-147" w:type="dxa"/>
        <w:tblLook w:val="04A0" w:firstRow="1" w:lastRow="0" w:firstColumn="1" w:lastColumn="0" w:noHBand="0" w:noVBand="1"/>
      </w:tblPr>
      <w:tblGrid>
        <w:gridCol w:w="4448"/>
        <w:gridCol w:w="988"/>
        <w:gridCol w:w="5479"/>
        <w:gridCol w:w="2268"/>
      </w:tblGrid>
      <w:tr w:rsidR="00CA7BEF" w:rsidRPr="00CA7BEF" w14:paraId="736BB863" w14:textId="77777777" w:rsidTr="00CA7BEF">
        <w:tc>
          <w:tcPr>
            <w:tcW w:w="4448" w:type="dxa"/>
          </w:tcPr>
          <w:p w14:paraId="5C4E3E9D" w14:textId="57126CC9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10. Revisit Theory of Change, particularly look for opportunities for joint action with </w:t>
            </w:r>
            <w:proofErr w:type="spellStart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GoTL</w:t>
            </w:r>
            <w:proofErr w:type="spellEnd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and Judicial Actors either directly or through partners to complement advocacy and delivery of services</w:t>
            </w:r>
          </w:p>
        </w:tc>
        <w:tc>
          <w:tcPr>
            <w:tcW w:w="988" w:type="dxa"/>
            <w:shd w:val="clear" w:color="auto" w:fill="FFF371" w:themeFill="accent4" w:themeFillShade="E6"/>
          </w:tcPr>
          <w:p w14:paraId="40C50260" w14:textId="777777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Partially agree</w:t>
            </w:r>
          </w:p>
        </w:tc>
        <w:tc>
          <w:tcPr>
            <w:tcW w:w="5479" w:type="dxa"/>
          </w:tcPr>
          <w:p w14:paraId="60F8E195" w14:textId="2A628334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 xml:space="preserve">To be considered as part of detailed design, including consultation process with other development partners (including TLPDP) and </w:t>
            </w:r>
            <w:proofErr w:type="spellStart"/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GoTL</w:t>
            </w:r>
            <w:proofErr w:type="spellEnd"/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 xml:space="preserve">. Extent of support to Judicial Actors being considered but unlikely to be substantial given substantial resourcing required for effective interventions. </w:t>
            </w:r>
          </w:p>
        </w:tc>
        <w:tc>
          <w:tcPr>
            <w:tcW w:w="2268" w:type="dxa"/>
          </w:tcPr>
          <w:p w14:paraId="46F3009F" w14:textId="0785297E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Detailed design document to be completed by April 2022</w:t>
            </w:r>
          </w:p>
        </w:tc>
      </w:tr>
      <w:tr w:rsidR="00CA7BEF" w:rsidRPr="00CA7BEF" w14:paraId="2053E144" w14:textId="77777777" w:rsidTr="00CA7BEF">
        <w:tc>
          <w:tcPr>
            <w:tcW w:w="4448" w:type="dxa"/>
          </w:tcPr>
          <w:p w14:paraId="040C1D32" w14:textId="317127C5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11. Building on findings from research currently underway, contribute to sector-wide understanding of the link between violence against children and gender-based violence in Timor-Leste, and develop a more explicit strategy for the prevention of violence against children into the program’s Theory of Change</w:t>
            </w:r>
          </w:p>
        </w:tc>
        <w:tc>
          <w:tcPr>
            <w:tcW w:w="988" w:type="dxa"/>
            <w:shd w:val="clear" w:color="auto" w:fill="92D050"/>
          </w:tcPr>
          <w:p w14:paraId="5FC8CC8C" w14:textId="777777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5479" w:type="dxa"/>
          </w:tcPr>
          <w:p w14:paraId="355BF858" w14:textId="777777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 xml:space="preserve">To be considered as part of detailed design, leveraging the recent finalisation of </w:t>
            </w:r>
            <w:r w:rsidRPr="00CA7BEF">
              <w:rPr>
                <w:rFonts w:cstheme="minorHAnsi"/>
                <w:i/>
                <w:color w:val="auto"/>
                <w:sz w:val="20"/>
                <w:szCs w:val="20"/>
              </w:rPr>
              <w:t>Secondary Data Analysis of Nabilan Baseline Survey Data: Violence Against Children in Timor-Leste and Consequences on Adult Health and Exposure to Adversity</w:t>
            </w: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4530783" w14:textId="1A958D49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Detailed design document to be completed by April 2022</w:t>
            </w:r>
          </w:p>
        </w:tc>
      </w:tr>
      <w:tr w:rsidR="00CA7BEF" w:rsidRPr="00CA7BEF" w14:paraId="2032BC61" w14:textId="77777777" w:rsidTr="00CA7BEF">
        <w:tc>
          <w:tcPr>
            <w:tcW w:w="4448" w:type="dxa"/>
          </w:tcPr>
          <w:p w14:paraId="0A31A57A" w14:textId="7057E36D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12. Map professional development needs to strengthen national management and leadership capacity and confidence</w:t>
            </w:r>
          </w:p>
        </w:tc>
        <w:tc>
          <w:tcPr>
            <w:tcW w:w="988" w:type="dxa"/>
            <w:shd w:val="clear" w:color="auto" w:fill="92D050"/>
          </w:tcPr>
          <w:p w14:paraId="2DA5E72E" w14:textId="777777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5479" w:type="dxa"/>
          </w:tcPr>
          <w:p w14:paraId="50A2897B" w14:textId="66AACC5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To be considered as part of detailed design.</w:t>
            </w:r>
          </w:p>
        </w:tc>
        <w:tc>
          <w:tcPr>
            <w:tcW w:w="2268" w:type="dxa"/>
          </w:tcPr>
          <w:p w14:paraId="06810F40" w14:textId="7659DA12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Detailed design document to be completed by April 2022</w:t>
            </w:r>
          </w:p>
        </w:tc>
      </w:tr>
      <w:tr w:rsidR="00CA7BEF" w:rsidRPr="00CA7BEF" w14:paraId="308DA4ED" w14:textId="77777777" w:rsidTr="00CA7BEF">
        <w:tc>
          <w:tcPr>
            <w:tcW w:w="4448" w:type="dxa"/>
          </w:tcPr>
          <w:p w14:paraId="029063E3" w14:textId="26DCA8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13. Work with DFAT and The Asia Foundation to delineate coordination roles with other ending VAWC stakeholders</w:t>
            </w:r>
          </w:p>
        </w:tc>
        <w:tc>
          <w:tcPr>
            <w:tcW w:w="988" w:type="dxa"/>
            <w:shd w:val="clear" w:color="auto" w:fill="92D050"/>
          </w:tcPr>
          <w:p w14:paraId="78549C94" w14:textId="777777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5479" w:type="dxa"/>
          </w:tcPr>
          <w:p w14:paraId="6107E4E8" w14:textId="2FC0F9D5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To be considered as part of detailed design.</w:t>
            </w:r>
          </w:p>
        </w:tc>
        <w:tc>
          <w:tcPr>
            <w:tcW w:w="2268" w:type="dxa"/>
          </w:tcPr>
          <w:p w14:paraId="06E594E4" w14:textId="700FD95A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Detailed design document to be completed by April 2022</w:t>
            </w:r>
          </w:p>
        </w:tc>
      </w:tr>
      <w:tr w:rsidR="00CA7BEF" w:rsidRPr="00CA7BEF" w14:paraId="4BE38745" w14:textId="77777777" w:rsidTr="00CA7BEF">
        <w:tc>
          <w:tcPr>
            <w:tcW w:w="4448" w:type="dxa"/>
          </w:tcPr>
          <w:p w14:paraId="37AF0C4A" w14:textId="7C7C1004" w:rsidR="000F3962" w:rsidRPr="00CA7BEF" w:rsidRDefault="000F3962" w:rsidP="006707E4">
            <w:pPr>
              <w:spacing w:line="240" w:lineRule="auto"/>
              <w:rPr>
                <w:rFonts w:cstheme="minorHAnsi"/>
                <w:color w:val="auto"/>
                <w:sz w:val="20"/>
                <w:szCs w:val="20"/>
                <w:lang w:val="en-AU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14. Step out a sustainability strategy for service delivery, and what a national framework for prevention of violence against women and children might look like, including supports</w:t>
            </w:r>
          </w:p>
        </w:tc>
        <w:tc>
          <w:tcPr>
            <w:tcW w:w="988" w:type="dxa"/>
            <w:shd w:val="clear" w:color="auto" w:fill="92D050"/>
          </w:tcPr>
          <w:p w14:paraId="51774E38" w14:textId="777777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5479" w:type="dxa"/>
          </w:tcPr>
          <w:p w14:paraId="6900A44A" w14:textId="777777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To be considered as part of detailed design.</w:t>
            </w:r>
          </w:p>
        </w:tc>
        <w:tc>
          <w:tcPr>
            <w:tcW w:w="2268" w:type="dxa"/>
          </w:tcPr>
          <w:p w14:paraId="58ABA4F1" w14:textId="2B12326E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Detailed design document to be completed by April 2022</w:t>
            </w:r>
          </w:p>
        </w:tc>
      </w:tr>
      <w:tr w:rsidR="00CA7BEF" w:rsidRPr="00CA7BEF" w14:paraId="2669FCAA" w14:textId="77777777" w:rsidTr="00CA7BEF">
        <w:tc>
          <w:tcPr>
            <w:tcW w:w="4448" w:type="dxa"/>
          </w:tcPr>
          <w:p w14:paraId="2BE11268" w14:textId="60E9B138" w:rsidR="000F3962" w:rsidRPr="00CA7BEF" w:rsidRDefault="000F3962" w:rsidP="006707E4">
            <w:pPr>
              <w:spacing w:line="240" w:lineRule="auto"/>
              <w:rPr>
                <w:rFonts w:cstheme="minorHAnsi"/>
                <w:color w:val="auto"/>
                <w:sz w:val="20"/>
                <w:szCs w:val="20"/>
                <w:lang w:val="en-AU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15. Consider promoting and using the </w:t>
            </w:r>
            <w:proofErr w:type="spellStart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NeNaMu</w:t>
            </w:r>
            <w:proofErr w:type="spellEnd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curriculum as a foundational course for organisations and individuals working in gender equality programming in Timor-Leste. It could be viewed as the prevention equivalent of the Certificate III course in Social </w:t>
            </w:r>
            <w:proofErr w:type="gramStart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Services, and</w:t>
            </w:r>
            <w:proofErr w:type="gramEnd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provide the professional skills for implementing other prevention programs like KOKASA!</w:t>
            </w:r>
          </w:p>
        </w:tc>
        <w:tc>
          <w:tcPr>
            <w:tcW w:w="988" w:type="dxa"/>
            <w:shd w:val="clear" w:color="auto" w:fill="92D050"/>
          </w:tcPr>
          <w:p w14:paraId="748BD98C" w14:textId="777777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5479" w:type="dxa"/>
          </w:tcPr>
          <w:p w14:paraId="3425D1C9" w14:textId="77777777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To be considered as part of detailed design.</w:t>
            </w:r>
          </w:p>
        </w:tc>
        <w:tc>
          <w:tcPr>
            <w:tcW w:w="2268" w:type="dxa"/>
          </w:tcPr>
          <w:p w14:paraId="29EDE4A9" w14:textId="74256C9E" w:rsidR="000F3962" w:rsidRPr="00CA7BEF" w:rsidRDefault="000F3962" w:rsidP="006707E4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Detailed design document to be completed by April 2022</w:t>
            </w:r>
          </w:p>
        </w:tc>
      </w:tr>
      <w:tr w:rsidR="00CA7BEF" w:rsidRPr="00CA7BEF" w14:paraId="2D6DDD80" w14:textId="77777777" w:rsidTr="00CA7BEF">
        <w:tc>
          <w:tcPr>
            <w:tcW w:w="4448" w:type="dxa"/>
          </w:tcPr>
          <w:p w14:paraId="12F595A8" w14:textId="50890C5B" w:rsidR="000F3962" w:rsidRPr="00CA7BEF" w:rsidRDefault="000F3962" w:rsidP="00970BDB">
            <w:pPr>
              <w:spacing w:line="240" w:lineRule="auto"/>
              <w:rPr>
                <w:rFonts w:cstheme="minorHAnsi"/>
                <w:color w:val="auto"/>
                <w:sz w:val="20"/>
                <w:szCs w:val="20"/>
                <w:lang w:val="en-AU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16. Plan how prevention programming can be rolled out to municipalities through local partners in a sustainable manner</w:t>
            </w:r>
          </w:p>
        </w:tc>
        <w:tc>
          <w:tcPr>
            <w:tcW w:w="988" w:type="dxa"/>
            <w:shd w:val="clear" w:color="auto" w:fill="92D050"/>
          </w:tcPr>
          <w:p w14:paraId="727B0567" w14:textId="77777777" w:rsidR="000F3962" w:rsidRPr="00CA7BEF" w:rsidRDefault="000F3962" w:rsidP="00970BD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5479" w:type="dxa"/>
          </w:tcPr>
          <w:p w14:paraId="748B232C" w14:textId="77777777" w:rsidR="000F3962" w:rsidRPr="00CA7BEF" w:rsidRDefault="000F3962" w:rsidP="00970BD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To be considered as part of detailed design.</w:t>
            </w:r>
          </w:p>
        </w:tc>
        <w:tc>
          <w:tcPr>
            <w:tcW w:w="2268" w:type="dxa"/>
          </w:tcPr>
          <w:p w14:paraId="18D13869" w14:textId="106AF9A1" w:rsidR="000F3962" w:rsidRPr="00CA7BEF" w:rsidRDefault="000F3962" w:rsidP="00970BD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Detailed design document to be completed by April 2022</w:t>
            </w:r>
          </w:p>
        </w:tc>
      </w:tr>
    </w:tbl>
    <w:p w14:paraId="2B4F433F" w14:textId="36F3519B" w:rsidR="000F3962" w:rsidRDefault="000F3962" w:rsidP="000F3962">
      <w:pPr>
        <w:pStyle w:val="Heading2"/>
      </w:pPr>
      <w:r>
        <w:t>Shared (Timor-Leste government, The Asia Foundation, DFAT)</w:t>
      </w:r>
    </w:p>
    <w:tbl>
      <w:tblPr>
        <w:tblStyle w:val="TableGrid"/>
        <w:tblW w:w="13183" w:type="dxa"/>
        <w:tblInd w:w="-147" w:type="dxa"/>
        <w:tblLook w:val="04A0" w:firstRow="1" w:lastRow="0" w:firstColumn="1" w:lastColumn="0" w:noHBand="0" w:noVBand="1"/>
      </w:tblPr>
      <w:tblGrid>
        <w:gridCol w:w="4448"/>
        <w:gridCol w:w="988"/>
        <w:gridCol w:w="5479"/>
        <w:gridCol w:w="2268"/>
      </w:tblGrid>
      <w:tr w:rsidR="00CA7BEF" w:rsidRPr="00CA7BEF" w14:paraId="1E4F3414" w14:textId="77777777" w:rsidTr="00CA7BEF">
        <w:tc>
          <w:tcPr>
            <w:tcW w:w="4448" w:type="dxa"/>
          </w:tcPr>
          <w:p w14:paraId="605873C9" w14:textId="73112C2A" w:rsidR="000F3962" w:rsidRPr="00CA7BEF" w:rsidRDefault="000F3962" w:rsidP="00970BDB">
            <w:pPr>
              <w:spacing w:line="240" w:lineRule="auto"/>
              <w:rPr>
                <w:rFonts w:cstheme="minorHAnsi"/>
                <w:color w:val="auto"/>
                <w:sz w:val="20"/>
                <w:szCs w:val="20"/>
                <w:lang w:val="en-AU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17. Building on UN Women’s mapping of existing programming in ending VAWC by identifying: 1) gaps; 2) duplications, 3) opportunities for collaboration; and 4) risks.</w:t>
            </w:r>
          </w:p>
        </w:tc>
        <w:tc>
          <w:tcPr>
            <w:tcW w:w="988" w:type="dxa"/>
            <w:shd w:val="clear" w:color="auto" w:fill="92D050"/>
          </w:tcPr>
          <w:p w14:paraId="3C5ED4FD" w14:textId="77777777" w:rsidR="000F3962" w:rsidRPr="00CA7BEF" w:rsidRDefault="000F3962" w:rsidP="00970BD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5479" w:type="dxa"/>
          </w:tcPr>
          <w:p w14:paraId="1D1DC820" w14:textId="77777777" w:rsidR="000F3962" w:rsidRPr="00CA7BEF" w:rsidRDefault="000F3962" w:rsidP="00970BD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Analysis of mapping exercise to be annexed in detailed design (with view of periodically updating throughout Phase III).</w:t>
            </w:r>
          </w:p>
        </w:tc>
        <w:tc>
          <w:tcPr>
            <w:tcW w:w="2268" w:type="dxa"/>
          </w:tcPr>
          <w:p w14:paraId="1A9341C7" w14:textId="46659A87" w:rsidR="000F3962" w:rsidRPr="00CA7BEF" w:rsidRDefault="000F3962" w:rsidP="00970BD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Detailed design document to be completed by April 2022</w:t>
            </w:r>
          </w:p>
        </w:tc>
      </w:tr>
      <w:tr w:rsidR="00CA7BEF" w:rsidRPr="00CA7BEF" w14:paraId="09DFE12B" w14:textId="77777777" w:rsidTr="00CA7BEF">
        <w:tc>
          <w:tcPr>
            <w:tcW w:w="4448" w:type="dxa"/>
          </w:tcPr>
          <w:p w14:paraId="5A26D74B" w14:textId="60978550" w:rsidR="000F3962" w:rsidRPr="00CA7BEF" w:rsidRDefault="000F3962" w:rsidP="00970BDB">
            <w:pPr>
              <w:spacing w:line="240" w:lineRule="auto"/>
              <w:rPr>
                <w:rFonts w:cstheme="minorHAnsi"/>
                <w:color w:val="auto"/>
                <w:sz w:val="20"/>
                <w:szCs w:val="20"/>
                <w:lang w:val="en-AU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18. Use upcoming National Action Plan process as an opportunity to: 1) address sustainability of service delivery; 2) to inform </w:t>
            </w:r>
            <w:proofErr w:type="spellStart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GoTL’s</w:t>
            </w:r>
            <w:proofErr w:type="spellEnd"/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evidence-based approach to preventing violence against women, around which sector-wide consensus can be built; and 3) to make a connection between GBV and violence against children and intergenerational cycle of violence</w:t>
            </w:r>
          </w:p>
        </w:tc>
        <w:tc>
          <w:tcPr>
            <w:tcW w:w="988" w:type="dxa"/>
            <w:shd w:val="clear" w:color="auto" w:fill="92D050"/>
          </w:tcPr>
          <w:p w14:paraId="1F1E304A" w14:textId="77777777" w:rsidR="000F3962" w:rsidRPr="00CA7BEF" w:rsidRDefault="000F3962" w:rsidP="00970BD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5479" w:type="dxa"/>
          </w:tcPr>
          <w:p w14:paraId="642F4AC4" w14:textId="77777777" w:rsidR="000F3962" w:rsidRPr="00CA7BEF" w:rsidRDefault="000F3962" w:rsidP="00970BD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Currently underway.</w:t>
            </w:r>
          </w:p>
        </w:tc>
        <w:tc>
          <w:tcPr>
            <w:tcW w:w="2268" w:type="dxa"/>
          </w:tcPr>
          <w:p w14:paraId="055430C6" w14:textId="4B81C243" w:rsidR="000F3962" w:rsidRPr="00CA7BEF" w:rsidRDefault="000F3962" w:rsidP="00970BD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Ongoing</w:t>
            </w:r>
          </w:p>
        </w:tc>
      </w:tr>
      <w:tr w:rsidR="00CA7BEF" w:rsidRPr="00CA7BEF" w14:paraId="15094E6B" w14:textId="77777777" w:rsidTr="00CA7BEF">
        <w:tc>
          <w:tcPr>
            <w:tcW w:w="4448" w:type="dxa"/>
          </w:tcPr>
          <w:p w14:paraId="3076359E" w14:textId="65965E7F" w:rsidR="000F3962" w:rsidRPr="00CA7BEF" w:rsidRDefault="000F3962" w:rsidP="00970BDB">
            <w:pPr>
              <w:spacing w:line="240" w:lineRule="auto"/>
              <w:rPr>
                <w:rFonts w:cstheme="minorHAnsi"/>
                <w:color w:val="auto"/>
                <w:sz w:val="20"/>
                <w:szCs w:val="20"/>
                <w:lang w:val="en-AU"/>
              </w:rPr>
            </w:pPr>
            <w:r w:rsidRPr="00CA7BEF">
              <w:rPr>
                <w:rFonts w:cstheme="minorHAnsi"/>
                <w:color w:val="auto"/>
                <w:sz w:val="20"/>
                <w:szCs w:val="20"/>
                <w:lang w:val="en-AU"/>
              </w:rPr>
              <w:t>19. Explore linkages between MSSI/DFAT joint programming in social protection for women and services for victims of violence with a view to including sufficient budget for services for victims of violence into the national budget</w:t>
            </w:r>
          </w:p>
        </w:tc>
        <w:tc>
          <w:tcPr>
            <w:tcW w:w="988" w:type="dxa"/>
            <w:shd w:val="clear" w:color="auto" w:fill="92D050"/>
          </w:tcPr>
          <w:p w14:paraId="41F3C8D6" w14:textId="77777777" w:rsidR="000F3962" w:rsidRPr="00CA7BEF" w:rsidRDefault="000F3962" w:rsidP="00970BD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5479" w:type="dxa"/>
          </w:tcPr>
          <w:p w14:paraId="406C9CCC" w14:textId="77777777" w:rsidR="000F3962" w:rsidRPr="00CA7BEF" w:rsidRDefault="000F3962" w:rsidP="00970BD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To be considered as part of detailed design.</w:t>
            </w:r>
          </w:p>
        </w:tc>
        <w:tc>
          <w:tcPr>
            <w:tcW w:w="2268" w:type="dxa"/>
          </w:tcPr>
          <w:p w14:paraId="21C81CE5" w14:textId="2B96742F" w:rsidR="000F3962" w:rsidRPr="00CA7BEF" w:rsidRDefault="000F3962" w:rsidP="00970BDB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CA7BEF">
              <w:rPr>
                <w:rFonts w:cstheme="minorHAnsi"/>
                <w:iCs/>
                <w:color w:val="auto"/>
                <w:sz w:val="20"/>
                <w:szCs w:val="20"/>
              </w:rPr>
              <w:t>Detailed design document to be completed by April 2022</w:t>
            </w:r>
          </w:p>
        </w:tc>
      </w:tr>
    </w:tbl>
    <w:p w14:paraId="21120E74" w14:textId="77777777" w:rsidR="0020551D" w:rsidRDefault="0020551D" w:rsidP="0020551D">
      <w:pPr>
        <w:spacing w:line="240" w:lineRule="auto"/>
        <w:rPr>
          <w:iCs/>
          <w:color w:val="000000" w:themeColor="text1"/>
          <w:sz w:val="24"/>
          <w:szCs w:val="24"/>
        </w:rPr>
      </w:pPr>
    </w:p>
    <w:p w14:paraId="371E3CB3" w14:textId="3BF048F3" w:rsidR="0020551D" w:rsidRPr="00DB3079" w:rsidRDefault="0020551D" w:rsidP="002E7313">
      <w:pPr>
        <w:suppressAutoHyphens w:val="0"/>
        <w:spacing w:before="0" w:after="120" w:line="440" w:lineRule="atLeast"/>
        <w:rPr>
          <w:rFonts w:asciiTheme="majorHAnsi" w:hAnsiTheme="majorHAnsi" w:cs="Arial"/>
          <w:color w:val="FF0000"/>
          <w:szCs w:val="21"/>
        </w:rPr>
      </w:pPr>
    </w:p>
    <w:sectPr w:rsidR="0020551D" w:rsidRPr="00DB3079" w:rsidSect="0020551D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C15EB" w14:textId="77777777" w:rsidR="003140F5" w:rsidRDefault="003140F5" w:rsidP="00D37B04">
      <w:r>
        <w:separator/>
      </w:r>
    </w:p>
  </w:endnote>
  <w:endnote w:type="continuationSeparator" w:id="0">
    <w:p w14:paraId="7933B59E" w14:textId="77777777" w:rsidR="003140F5" w:rsidRDefault="003140F5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A5668" w14:textId="2EC72513" w:rsidR="00453888" w:rsidRDefault="00453888">
    <w:pPr>
      <w:pStyle w:val="Footer"/>
      <w:jc w:val="right"/>
    </w:pPr>
  </w:p>
  <w:p w14:paraId="6C71B39D" w14:textId="77777777" w:rsidR="00FC322F" w:rsidRPr="00FC322F" w:rsidRDefault="00FC322F" w:rsidP="00FC322F">
    <w:pPr>
      <w:pStyle w:val="Footer"/>
      <w:rPr>
        <w:b/>
      </w:rPr>
    </w:pPr>
  </w:p>
  <w:p w14:paraId="44723676" w14:textId="77777777" w:rsidR="0050695E" w:rsidRDefault="005069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00A07" w14:textId="77777777" w:rsidR="003140F5" w:rsidRPr="008C5A0E" w:rsidRDefault="003140F5" w:rsidP="00D37B04">
      <w:pPr>
        <w:pStyle w:val="Footer"/>
      </w:pPr>
    </w:p>
  </w:footnote>
  <w:footnote w:type="continuationSeparator" w:id="0">
    <w:p w14:paraId="2FFBA904" w14:textId="77777777" w:rsidR="003140F5" w:rsidRDefault="003140F5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0CACB" w14:textId="77777777" w:rsidR="00EE5F36" w:rsidRDefault="00EE5F36">
    <w:pPr>
      <w:pStyle w:val="Header"/>
    </w:pPr>
  </w:p>
  <w:p w14:paraId="5403B843" w14:textId="77777777" w:rsidR="002810DD" w:rsidRDefault="002810DD"/>
  <w:p w14:paraId="3C7BF2DA" w14:textId="57851C6A" w:rsidR="002D5B25" w:rsidRPr="000854FD" w:rsidRDefault="002D5B25" w:rsidP="002D5B25">
    <w:pPr>
      <w:pStyle w:val="Header"/>
    </w:pPr>
    <w:r w:rsidRPr="00943730">
      <w:rPr>
        <w:noProof/>
        <w:lang w:val="en-AU" w:eastAsia="en-AU"/>
      </w:rPr>
      <w:drawing>
        <wp:inline distT="0" distB="0" distL="0" distR="0" wp14:anchorId="00FE8894" wp14:editId="6126FF63">
          <wp:extent cx="10658475" cy="10692765"/>
          <wp:effectExtent l="0" t="0" r="9525" b="0"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475" cy="1069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900E3E" w14:textId="77777777" w:rsidR="0050695E" w:rsidRDefault="005069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C0BA6" w14:textId="6B845E2C" w:rsidR="0020551D" w:rsidRDefault="0020551D" w:rsidP="00CA7BEF">
    <w:pPr>
      <w:pStyle w:val="Header"/>
      <w:tabs>
        <w:tab w:val="clear" w:pos="4513"/>
        <w:tab w:val="clear" w:pos="9026"/>
        <w:tab w:val="left" w:pos="5430"/>
      </w:tabs>
      <w:ind w:left="0"/>
    </w:pPr>
    <w:r w:rsidRPr="00943730"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5DF91C06" wp14:editId="302064F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048875" cy="7753350"/>
          <wp:effectExtent l="0" t="0" r="9525" b="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8875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938EB" w14:textId="28E623BE" w:rsidR="00D37B04" w:rsidRPr="00943730" w:rsidRDefault="002D5B25" w:rsidP="00943730">
    <w:pPr>
      <w:pStyle w:val="Header"/>
    </w:pPr>
    <w:r w:rsidRPr="00943730">
      <w:rPr>
        <w:noProof/>
        <w:lang w:val="en-AU" w:eastAsia="en-AU"/>
      </w:rPr>
      <w:drawing>
        <wp:inline distT="0" distB="0" distL="0" distR="0" wp14:anchorId="736E0EE7" wp14:editId="0899C029">
          <wp:extent cx="10668000" cy="10692130"/>
          <wp:effectExtent l="0" t="0" r="0" b="0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0" cy="1069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55AD">
      <w:t xml:space="preserve">  </w:t>
    </w:r>
  </w:p>
  <w:p w14:paraId="399C1483" w14:textId="77777777" w:rsidR="0050695E" w:rsidRDefault="005069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28DCD11"/>
    <w:multiLevelType w:val="hybridMultilevel"/>
    <w:tmpl w:val="7BAB8DA0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1F6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A7A24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CE2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A4C4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3A00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00AF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8967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B147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4C07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6FEE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8C24D1"/>
    <w:multiLevelType w:val="hybridMultilevel"/>
    <w:tmpl w:val="4F12C788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495965" w:themeColor="text2"/>
        <w:sz w:val="22"/>
        <w:szCs w:val="22"/>
      </w:rPr>
    </w:lvl>
    <w:lvl w:ilvl="1" w:tplc="17768A98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cs="Times New Roman" w:hint="default"/>
        <w:color w:val="495965" w:themeColor="text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5F26C4BC">
      <w:start w:val="1"/>
      <w:numFmt w:val="lowerRoman"/>
      <w:lvlText w:val="%6)"/>
      <w:lvlJc w:val="left"/>
      <w:pPr>
        <w:ind w:left="4860" w:hanging="72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5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379781D"/>
    <w:multiLevelType w:val="hybridMultilevel"/>
    <w:tmpl w:val="6FE2B8F4"/>
    <w:lvl w:ilvl="0" w:tplc="8D20A9EE">
      <w:start w:val="1"/>
      <w:numFmt w:val="upperLetter"/>
      <w:lvlText w:val="%1."/>
      <w:lvlJc w:val="left"/>
      <w:pPr>
        <w:ind w:left="720" w:hanging="360"/>
      </w:pPr>
      <w:rPr>
        <w:b/>
        <w:color w:val="495965" w:themeColor="text2"/>
        <w:sz w:val="22"/>
        <w:szCs w:val="22"/>
      </w:rPr>
    </w:lvl>
    <w:lvl w:ilvl="1" w:tplc="17768A98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cs="Times New Roman" w:hint="default"/>
        <w:color w:val="495965" w:themeColor="text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76964"/>
    <w:multiLevelType w:val="hybridMultilevel"/>
    <w:tmpl w:val="11069A28"/>
    <w:lvl w:ilvl="0" w:tplc="8D20A9EE">
      <w:start w:val="1"/>
      <w:numFmt w:val="upperLetter"/>
      <w:lvlText w:val="%1."/>
      <w:lvlJc w:val="left"/>
      <w:pPr>
        <w:ind w:left="720" w:hanging="360"/>
      </w:pPr>
      <w:rPr>
        <w:b/>
        <w:color w:val="495965" w:themeColor="text2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15B0F"/>
    <w:multiLevelType w:val="hybridMultilevel"/>
    <w:tmpl w:val="4F12C788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495965" w:themeColor="text2"/>
        <w:sz w:val="22"/>
        <w:szCs w:val="22"/>
      </w:rPr>
    </w:lvl>
    <w:lvl w:ilvl="1" w:tplc="17768A98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cs="Times New Roman" w:hint="default"/>
        <w:color w:val="495965" w:themeColor="text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5F26C4BC">
      <w:start w:val="1"/>
      <w:numFmt w:val="lowerRoman"/>
      <w:lvlText w:val="%6)"/>
      <w:lvlJc w:val="left"/>
      <w:pPr>
        <w:ind w:left="4860" w:hanging="72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26C1F"/>
    <w:multiLevelType w:val="hybridMultilevel"/>
    <w:tmpl w:val="843691DE"/>
    <w:lvl w:ilvl="0" w:tplc="17768A98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53D9F"/>
    <w:multiLevelType w:val="multilevel"/>
    <w:tmpl w:val="A6FA45D0"/>
    <w:numStyleLink w:val="BulletsList"/>
  </w:abstractNum>
  <w:abstractNum w:abstractNumId="21" w15:restartNumberingAfterBreak="0">
    <w:nsid w:val="5917009C"/>
    <w:multiLevelType w:val="hybridMultilevel"/>
    <w:tmpl w:val="06763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3" w15:restartNumberingAfterBreak="0">
    <w:nsid w:val="5D3C1EA7"/>
    <w:multiLevelType w:val="multilevel"/>
    <w:tmpl w:val="A6FA45D0"/>
    <w:numStyleLink w:val="BulletsList"/>
  </w:abstractNum>
  <w:abstractNum w:abstractNumId="24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5" w15:restartNumberingAfterBreak="0">
    <w:nsid w:val="66C903F3"/>
    <w:multiLevelType w:val="hybridMultilevel"/>
    <w:tmpl w:val="64209724"/>
    <w:lvl w:ilvl="0" w:tplc="8D20A9EE">
      <w:start w:val="1"/>
      <w:numFmt w:val="upperLetter"/>
      <w:lvlText w:val="%1."/>
      <w:lvlJc w:val="left"/>
      <w:pPr>
        <w:ind w:left="1211" w:hanging="360"/>
      </w:pPr>
      <w:rPr>
        <w:b/>
        <w:color w:val="495965" w:themeColor="text2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CDE583D"/>
    <w:multiLevelType w:val="hybridMultilevel"/>
    <w:tmpl w:val="DB7A5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A559E"/>
    <w:multiLevelType w:val="hybridMultilevel"/>
    <w:tmpl w:val="AADA1280"/>
    <w:lvl w:ilvl="0" w:tplc="17768A98">
      <w:start w:val="1"/>
      <w:numFmt w:val="bullet"/>
      <w:lvlText w:val="›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2DB1565"/>
    <w:multiLevelType w:val="hybridMultilevel"/>
    <w:tmpl w:val="011AB2C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07305"/>
    <w:multiLevelType w:val="multilevel"/>
    <w:tmpl w:val="A6FA45D0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763E74F5"/>
    <w:multiLevelType w:val="hybridMultilevel"/>
    <w:tmpl w:val="6FDCC37E"/>
    <w:lvl w:ilvl="0" w:tplc="AE2A178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color w:val="495965" w:themeColor="text2"/>
        <w:sz w:val="22"/>
        <w:szCs w:val="22"/>
      </w:rPr>
    </w:lvl>
    <w:lvl w:ilvl="1" w:tplc="17768A98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cs="Times New Roman" w:hint="default"/>
        <w:color w:val="495965" w:themeColor="text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5F26C4BC">
      <w:start w:val="1"/>
      <w:numFmt w:val="lowerRoman"/>
      <w:lvlText w:val="%6)"/>
      <w:lvlJc w:val="left"/>
      <w:pPr>
        <w:ind w:left="4860" w:hanging="72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7A528B"/>
    <w:multiLevelType w:val="hybridMultilevel"/>
    <w:tmpl w:val="A39658C0"/>
    <w:lvl w:ilvl="0" w:tplc="7B640FF6">
      <w:start w:val="1"/>
      <w:numFmt w:val="bullet"/>
      <w:pStyle w:val="ListBullet"/>
      <w:lvlText w:val="›"/>
      <w:lvlJc w:val="left"/>
      <w:pPr>
        <w:ind w:left="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2"/>
  </w:num>
  <w:num w:numId="10">
    <w:abstractNumId w:val="24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3"/>
  </w:num>
  <w:num w:numId="22">
    <w:abstractNumId w:val="15"/>
  </w:num>
  <w:num w:numId="23">
    <w:abstractNumId w:val="15"/>
  </w:num>
  <w:num w:numId="24">
    <w:abstractNumId w:val="23"/>
  </w:num>
  <w:num w:numId="25">
    <w:abstractNumId w:val="23"/>
  </w:num>
  <w:num w:numId="26">
    <w:abstractNumId w:val="23"/>
  </w:num>
  <w:num w:numId="27">
    <w:abstractNumId w:val="2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31"/>
  </w:num>
  <w:num w:numId="33">
    <w:abstractNumId w:val="20"/>
  </w:num>
  <w:num w:numId="34">
    <w:abstractNumId w:val="17"/>
  </w:num>
  <w:num w:numId="35">
    <w:abstractNumId w:val="27"/>
  </w:num>
  <w:num w:numId="36">
    <w:abstractNumId w:val="19"/>
  </w:num>
  <w:num w:numId="37">
    <w:abstractNumId w:val="32"/>
  </w:num>
  <w:num w:numId="38">
    <w:abstractNumId w:val="25"/>
  </w:num>
  <w:num w:numId="39">
    <w:abstractNumId w:val="16"/>
  </w:num>
  <w:num w:numId="40">
    <w:abstractNumId w:val="21"/>
  </w:num>
  <w:num w:numId="41">
    <w:abstractNumId w:val="18"/>
  </w:num>
  <w:num w:numId="42">
    <w:abstractNumId w:val="28"/>
  </w:num>
  <w:num w:numId="43">
    <w:abstractNumId w:val="26"/>
  </w:num>
  <w:num w:numId="44">
    <w:abstractNumId w:val="11"/>
  </w:num>
  <w:num w:numId="45">
    <w:abstractNumId w:val="30"/>
  </w:num>
  <w:num w:numId="4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57"/>
    <w:rsid w:val="00001DA8"/>
    <w:rsid w:val="000020C1"/>
    <w:rsid w:val="0002080A"/>
    <w:rsid w:val="0002240A"/>
    <w:rsid w:val="0002782F"/>
    <w:rsid w:val="00035BBF"/>
    <w:rsid w:val="000415BB"/>
    <w:rsid w:val="00050806"/>
    <w:rsid w:val="00050C68"/>
    <w:rsid w:val="000546D9"/>
    <w:rsid w:val="00054E4D"/>
    <w:rsid w:val="00060073"/>
    <w:rsid w:val="000616C6"/>
    <w:rsid w:val="00072B6A"/>
    <w:rsid w:val="00075A7F"/>
    <w:rsid w:val="000854FD"/>
    <w:rsid w:val="0008610E"/>
    <w:rsid w:val="000B37F5"/>
    <w:rsid w:val="000D0D92"/>
    <w:rsid w:val="000D66D6"/>
    <w:rsid w:val="000F3962"/>
    <w:rsid w:val="00113288"/>
    <w:rsid w:val="001214BE"/>
    <w:rsid w:val="0012651C"/>
    <w:rsid w:val="00130F0B"/>
    <w:rsid w:val="0013101C"/>
    <w:rsid w:val="0013233F"/>
    <w:rsid w:val="00140669"/>
    <w:rsid w:val="001461D6"/>
    <w:rsid w:val="001541EA"/>
    <w:rsid w:val="00193353"/>
    <w:rsid w:val="00193962"/>
    <w:rsid w:val="00195590"/>
    <w:rsid w:val="001C066E"/>
    <w:rsid w:val="001D663E"/>
    <w:rsid w:val="001E1DC0"/>
    <w:rsid w:val="001F31BC"/>
    <w:rsid w:val="001F439D"/>
    <w:rsid w:val="001F60F9"/>
    <w:rsid w:val="00203277"/>
    <w:rsid w:val="0020551D"/>
    <w:rsid w:val="00205B2E"/>
    <w:rsid w:val="00207C4D"/>
    <w:rsid w:val="00214BC5"/>
    <w:rsid w:val="002215EC"/>
    <w:rsid w:val="00235821"/>
    <w:rsid w:val="00252C04"/>
    <w:rsid w:val="00265D14"/>
    <w:rsid w:val="002810DD"/>
    <w:rsid w:val="00281602"/>
    <w:rsid w:val="0028602A"/>
    <w:rsid w:val="002A110D"/>
    <w:rsid w:val="002B0C57"/>
    <w:rsid w:val="002B0FE0"/>
    <w:rsid w:val="002B5E10"/>
    <w:rsid w:val="002C634A"/>
    <w:rsid w:val="002C793D"/>
    <w:rsid w:val="002D5B25"/>
    <w:rsid w:val="002D6362"/>
    <w:rsid w:val="002D7361"/>
    <w:rsid w:val="002D780B"/>
    <w:rsid w:val="002E1BEF"/>
    <w:rsid w:val="002E2B7F"/>
    <w:rsid w:val="002E62F2"/>
    <w:rsid w:val="002E7313"/>
    <w:rsid w:val="002F4F2B"/>
    <w:rsid w:val="003002C0"/>
    <w:rsid w:val="00301144"/>
    <w:rsid w:val="003031C6"/>
    <w:rsid w:val="00304984"/>
    <w:rsid w:val="00311EAB"/>
    <w:rsid w:val="00312BF8"/>
    <w:rsid w:val="003140F5"/>
    <w:rsid w:val="003148B7"/>
    <w:rsid w:val="003158C3"/>
    <w:rsid w:val="00317661"/>
    <w:rsid w:val="003274CD"/>
    <w:rsid w:val="00333501"/>
    <w:rsid w:val="003457C4"/>
    <w:rsid w:val="0035119D"/>
    <w:rsid w:val="003555AD"/>
    <w:rsid w:val="00361C89"/>
    <w:rsid w:val="0037149C"/>
    <w:rsid w:val="00384D40"/>
    <w:rsid w:val="0039344A"/>
    <w:rsid w:val="00395163"/>
    <w:rsid w:val="003A0822"/>
    <w:rsid w:val="003B4F12"/>
    <w:rsid w:val="003C2747"/>
    <w:rsid w:val="003C741D"/>
    <w:rsid w:val="003F2041"/>
    <w:rsid w:val="004016D3"/>
    <w:rsid w:val="00402ACC"/>
    <w:rsid w:val="00406133"/>
    <w:rsid w:val="004120EC"/>
    <w:rsid w:val="0041662B"/>
    <w:rsid w:val="00423F31"/>
    <w:rsid w:val="00424ED7"/>
    <w:rsid w:val="00431899"/>
    <w:rsid w:val="00431BDD"/>
    <w:rsid w:val="004326E7"/>
    <w:rsid w:val="00442055"/>
    <w:rsid w:val="00446E11"/>
    <w:rsid w:val="00453888"/>
    <w:rsid w:val="004602A2"/>
    <w:rsid w:val="00463991"/>
    <w:rsid w:val="004776A5"/>
    <w:rsid w:val="00482AE8"/>
    <w:rsid w:val="0048492D"/>
    <w:rsid w:val="00486804"/>
    <w:rsid w:val="00490CDB"/>
    <w:rsid w:val="004939C4"/>
    <w:rsid w:val="00493A0B"/>
    <w:rsid w:val="004A4DAB"/>
    <w:rsid w:val="004B3775"/>
    <w:rsid w:val="004C3552"/>
    <w:rsid w:val="004C6342"/>
    <w:rsid w:val="004D0BA0"/>
    <w:rsid w:val="004E058F"/>
    <w:rsid w:val="004E15B0"/>
    <w:rsid w:val="004E2F72"/>
    <w:rsid w:val="004E3B87"/>
    <w:rsid w:val="004F2AF9"/>
    <w:rsid w:val="0050614F"/>
    <w:rsid w:val="0050695E"/>
    <w:rsid w:val="00510921"/>
    <w:rsid w:val="00510AD3"/>
    <w:rsid w:val="00513348"/>
    <w:rsid w:val="00513760"/>
    <w:rsid w:val="00513AD8"/>
    <w:rsid w:val="00515BEC"/>
    <w:rsid w:val="005204D2"/>
    <w:rsid w:val="0052204E"/>
    <w:rsid w:val="00522396"/>
    <w:rsid w:val="00526A60"/>
    <w:rsid w:val="00533B5D"/>
    <w:rsid w:val="00543ABB"/>
    <w:rsid w:val="00554290"/>
    <w:rsid w:val="0057203C"/>
    <w:rsid w:val="00573518"/>
    <w:rsid w:val="005852A5"/>
    <w:rsid w:val="00587FE6"/>
    <w:rsid w:val="00591095"/>
    <w:rsid w:val="00594014"/>
    <w:rsid w:val="005A20F6"/>
    <w:rsid w:val="005A6249"/>
    <w:rsid w:val="005B2ED0"/>
    <w:rsid w:val="005B55E8"/>
    <w:rsid w:val="005D187C"/>
    <w:rsid w:val="005D3655"/>
    <w:rsid w:val="005D3976"/>
    <w:rsid w:val="005E4830"/>
    <w:rsid w:val="005E6B02"/>
    <w:rsid w:val="005E7E28"/>
    <w:rsid w:val="005F0105"/>
    <w:rsid w:val="005F1287"/>
    <w:rsid w:val="0061361B"/>
    <w:rsid w:val="00622B86"/>
    <w:rsid w:val="00623BA1"/>
    <w:rsid w:val="006346BC"/>
    <w:rsid w:val="00650E8C"/>
    <w:rsid w:val="0066535E"/>
    <w:rsid w:val="0066652A"/>
    <w:rsid w:val="006707E4"/>
    <w:rsid w:val="006719C3"/>
    <w:rsid w:val="00680321"/>
    <w:rsid w:val="00680522"/>
    <w:rsid w:val="00682167"/>
    <w:rsid w:val="0069290E"/>
    <w:rsid w:val="006A1EA0"/>
    <w:rsid w:val="006A3175"/>
    <w:rsid w:val="006C42AF"/>
    <w:rsid w:val="006C5A6A"/>
    <w:rsid w:val="006E556A"/>
    <w:rsid w:val="006E7FD9"/>
    <w:rsid w:val="00702306"/>
    <w:rsid w:val="00711D8E"/>
    <w:rsid w:val="00712672"/>
    <w:rsid w:val="0071343E"/>
    <w:rsid w:val="00714D79"/>
    <w:rsid w:val="0072247D"/>
    <w:rsid w:val="00726CDA"/>
    <w:rsid w:val="00734E3F"/>
    <w:rsid w:val="00736985"/>
    <w:rsid w:val="00745DF5"/>
    <w:rsid w:val="0076250F"/>
    <w:rsid w:val="007662DA"/>
    <w:rsid w:val="00766D5F"/>
    <w:rsid w:val="007706B8"/>
    <w:rsid w:val="00774EE4"/>
    <w:rsid w:val="0078095C"/>
    <w:rsid w:val="00780FA5"/>
    <w:rsid w:val="007833E5"/>
    <w:rsid w:val="007A0DE1"/>
    <w:rsid w:val="007A22E6"/>
    <w:rsid w:val="007B6200"/>
    <w:rsid w:val="007C7468"/>
    <w:rsid w:val="007F3395"/>
    <w:rsid w:val="007F56B2"/>
    <w:rsid w:val="00801B9F"/>
    <w:rsid w:val="0080204D"/>
    <w:rsid w:val="00805B9C"/>
    <w:rsid w:val="0083052F"/>
    <w:rsid w:val="00831D46"/>
    <w:rsid w:val="0083789C"/>
    <w:rsid w:val="008475F0"/>
    <w:rsid w:val="008557A7"/>
    <w:rsid w:val="00864A84"/>
    <w:rsid w:val="00870928"/>
    <w:rsid w:val="00874734"/>
    <w:rsid w:val="00876CC4"/>
    <w:rsid w:val="00885A62"/>
    <w:rsid w:val="0089405C"/>
    <w:rsid w:val="00897FA2"/>
    <w:rsid w:val="008A5AFE"/>
    <w:rsid w:val="008B0754"/>
    <w:rsid w:val="008B6C8F"/>
    <w:rsid w:val="008C5A0E"/>
    <w:rsid w:val="008D5987"/>
    <w:rsid w:val="008E3068"/>
    <w:rsid w:val="008F5F0E"/>
    <w:rsid w:val="00927107"/>
    <w:rsid w:val="009421F1"/>
    <w:rsid w:val="00943730"/>
    <w:rsid w:val="009460AA"/>
    <w:rsid w:val="0094718A"/>
    <w:rsid w:val="00955258"/>
    <w:rsid w:val="00955803"/>
    <w:rsid w:val="00955ABA"/>
    <w:rsid w:val="00961E72"/>
    <w:rsid w:val="00963F9C"/>
    <w:rsid w:val="0096624A"/>
    <w:rsid w:val="0096797B"/>
    <w:rsid w:val="00970BDB"/>
    <w:rsid w:val="00971557"/>
    <w:rsid w:val="00971FA2"/>
    <w:rsid w:val="00975CA5"/>
    <w:rsid w:val="00983AED"/>
    <w:rsid w:val="00986590"/>
    <w:rsid w:val="00986B99"/>
    <w:rsid w:val="00992C76"/>
    <w:rsid w:val="009969D6"/>
    <w:rsid w:val="009A0CEF"/>
    <w:rsid w:val="009A3DD2"/>
    <w:rsid w:val="009B3DA1"/>
    <w:rsid w:val="009B4D3B"/>
    <w:rsid w:val="009B7942"/>
    <w:rsid w:val="009C451B"/>
    <w:rsid w:val="009D7407"/>
    <w:rsid w:val="009D796D"/>
    <w:rsid w:val="009E0866"/>
    <w:rsid w:val="009E2636"/>
    <w:rsid w:val="009E273C"/>
    <w:rsid w:val="009F1350"/>
    <w:rsid w:val="009F6423"/>
    <w:rsid w:val="00A0360A"/>
    <w:rsid w:val="00A16DDA"/>
    <w:rsid w:val="00A175B3"/>
    <w:rsid w:val="00A179C8"/>
    <w:rsid w:val="00A24A62"/>
    <w:rsid w:val="00A276DA"/>
    <w:rsid w:val="00A31C9F"/>
    <w:rsid w:val="00A32858"/>
    <w:rsid w:val="00A351D2"/>
    <w:rsid w:val="00A4144F"/>
    <w:rsid w:val="00A56628"/>
    <w:rsid w:val="00A61B4D"/>
    <w:rsid w:val="00A67CB8"/>
    <w:rsid w:val="00A80F95"/>
    <w:rsid w:val="00A91795"/>
    <w:rsid w:val="00A935E3"/>
    <w:rsid w:val="00A9572E"/>
    <w:rsid w:val="00A9717C"/>
    <w:rsid w:val="00A97BF1"/>
    <w:rsid w:val="00AA1176"/>
    <w:rsid w:val="00AA298A"/>
    <w:rsid w:val="00AA315B"/>
    <w:rsid w:val="00AC164A"/>
    <w:rsid w:val="00AE448A"/>
    <w:rsid w:val="00AE5E24"/>
    <w:rsid w:val="00AF2050"/>
    <w:rsid w:val="00AF21A9"/>
    <w:rsid w:val="00B03CA8"/>
    <w:rsid w:val="00B10D81"/>
    <w:rsid w:val="00B328B8"/>
    <w:rsid w:val="00B33C0A"/>
    <w:rsid w:val="00B377CA"/>
    <w:rsid w:val="00B54518"/>
    <w:rsid w:val="00B55E19"/>
    <w:rsid w:val="00B62004"/>
    <w:rsid w:val="00B810CA"/>
    <w:rsid w:val="00B866C3"/>
    <w:rsid w:val="00B94758"/>
    <w:rsid w:val="00BA4B6D"/>
    <w:rsid w:val="00BA6E98"/>
    <w:rsid w:val="00BB15E9"/>
    <w:rsid w:val="00BB26C5"/>
    <w:rsid w:val="00BC2523"/>
    <w:rsid w:val="00BC31BD"/>
    <w:rsid w:val="00BC6A92"/>
    <w:rsid w:val="00BE47BC"/>
    <w:rsid w:val="00BE4DC3"/>
    <w:rsid w:val="00BF1E2C"/>
    <w:rsid w:val="00BF4DE6"/>
    <w:rsid w:val="00C0692C"/>
    <w:rsid w:val="00C06B13"/>
    <w:rsid w:val="00C20623"/>
    <w:rsid w:val="00C23951"/>
    <w:rsid w:val="00C24D5A"/>
    <w:rsid w:val="00C27D25"/>
    <w:rsid w:val="00C41A7F"/>
    <w:rsid w:val="00C42541"/>
    <w:rsid w:val="00C42CDE"/>
    <w:rsid w:val="00C50C07"/>
    <w:rsid w:val="00C5182A"/>
    <w:rsid w:val="00C6314C"/>
    <w:rsid w:val="00C63EE9"/>
    <w:rsid w:val="00C64EC1"/>
    <w:rsid w:val="00C74455"/>
    <w:rsid w:val="00C878BB"/>
    <w:rsid w:val="00C87A98"/>
    <w:rsid w:val="00CA0D64"/>
    <w:rsid w:val="00CA16F3"/>
    <w:rsid w:val="00CA37B1"/>
    <w:rsid w:val="00CA7BEF"/>
    <w:rsid w:val="00CB1959"/>
    <w:rsid w:val="00CB2CCA"/>
    <w:rsid w:val="00CB3DA3"/>
    <w:rsid w:val="00CC24E7"/>
    <w:rsid w:val="00CC741B"/>
    <w:rsid w:val="00CD0E4B"/>
    <w:rsid w:val="00CE4C89"/>
    <w:rsid w:val="00CE5246"/>
    <w:rsid w:val="00CE5736"/>
    <w:rsid w:val="00CF07BA"/>
    <w:rsid w:val="00D0296C"/>
    <w:rsid w:val="00D02A27"/>
    <w:rsid w:val="00D069E7"/>
    <w:rsid w:val="00D32D6F"/>
    <w:rsid w:val="00D368C5"/>
    <w:rsid w:val="00D37B04"/>
    <w:rsid w:val="00D4059F"/>
    <w:rsid w:val="00D540C6"/>
    <w:rsid w:val="00D64BD1"/>
    <w:rsid w:val="00D86ECA"/>
    <w:rsid w:val="00D871DB"/>
    <w:rsid w:val="00D92254"/>
    <w:rsid w:val="00DA29B1"/>
    <w:rsid w:val="00DB3079"/>
    <w:rsid w:val="00DB311F"/>
    <w:rsid w:val="00DB367C"/>
    <w:rsid w:val="00DB4279"/>
    <w:rsid w:val="00DB5F9A"/>
    <w:rsid w:val="00DC383F"/>
    <w:rsid w:val="00DC6AE3"/>
    <w:rsid w:val="00DD41A5"/>
    <w:rsid w:val="00DD5115"/>
    <w:rsid w:val="00DD57AD"/>
    <w:rsid w:val="00DE084C"/>
    <w:rsid w:val="00DF6332"/>
    <w:rsid w:val="00E01FC6"/>
    <w:rsid w:val="00E04705"/>
    <w:rsid w:val="00E14F51"/>
    <w:rsid w:val="00E357B7"/>
    <w:rsid w:val="00E42033"/>
    <w:rsid w:val="00E53800"/>
    <w:rsid w:val="00E6081F"/>
    <w:rsid w:val="00E6086D"/>
    <w:rsid w:val="00E63F2F"/>
    <w:rsid w:val="00E707B8"/>
    <w:rsid w:val="00E74B16"/>
    <w:rsid w:val="00E8296D"/>
    <w:rsid w:val="00E8457B"/>
    <w:rsid w:val="00EA04B2"/>
    <w:rsid w:val="00EA17A4"/>
    <w:rsid w:val="00EA20F3"/>
    <w:rsid w:val="00EA7798"/>
    <w:rsid w:val="00EB07E2"/>
    <w:rsid w:val="00EB1812"/>
    <w:rsid w:val="00ED2831"/>
    <w:rsid w:val="00ED43D1"/>
    <w:rsid w:val="00EE25F4"/>
    <w:rsid w:val="00EE4EE1"/>
    <w:rsid w:val="00EE5F36"/>
    <w:rsid w:val="00EE6D08"/>
    <w:rsid w:val="00EF2DC8"/>
    <w:rsid w:val="00EF4574"/>
    <w:rsid w:val="00EF5FB3"/>
    <w:rsid w:val="00F11277"/>
    <w:rsid w:val="00F13429"/>
    <w:rsid w:val="00F25A93"/>
    <w:rsid w:val="00F2684E"/>
    <w:rsid w:val="00F441AE"/>
    <w:rsid w:val="00F5404C"/>
    <w:rsid w:val="00F61D43"/>
    <w:rsid w:val="00F61E4F"/>
    <w:rsid w:val="00F729EF"/>
    <w:rsid w:val="00F744A2"/>
    <w:rsid w:val="00F77CAE"/>
    <w:rsid w:val="00F82271"/>
    <w:rsid w:val="00F83428"/>
    <w:rsid w:val="00F96BB9"/>
    <w:rsid w:val="00FA7D1A"/>
    <w:rsid w:val="00FC322F"/>
    <w:rsid w:val="00FD6F33"/>
    <w:rsid w:val="00FE6D51"/>
    <w:rsid w:val="00FE6F2A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083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0" w:unhideWhenUsed="1" w:qFormat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B55E8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SpacebeforeTitle"/>
    <w:next w:val="Normal"/>
    <w:link w:val="Heading1Char"/>
    <w:uiPriority w:val="9"/>
    <w:qFormat/>
    <w:rsid w:val="000F3962"/>
    <w:pPr>
      <w:tabs>
        <w:tab w:val="left" w:pos="1114"/>
        <w:tab w:val="left" w:pos="2205"/>
      </w:tabs>
      <w:spacing w:after="0"/>
      <w:outlineLvl w:val="0"/>
    </w:pPr>
    <w:rPr>
      <w:bCs/>
      <w:sz w:val="36"/>
      <w:szCs w:val="36"/>
    </w:rPr>
  </w:style>
  <w:style w:type="paragraph" w:styleId="Heading2">
    <w:name w:val="heading 2"/>
    <w:basedOn w:val="SpacebeforeTitle"/>
    <w:next w:val="Normal"/>
    <w:link w:val="Heading2Char"/>
    <w:uiPriority w:val="9"/>
    <w:unhideWhenUsed/>
    <w:qFormat/>
    <w:rsid w:val="000F3962"/>
    <w:pPr>
      <w:tabs>
        <w:tab w:val="left" w:pos="1114"/>
        <w:tab w:val="left" w:pos="2205"/>
      </w:tabs>
      <w:spacing w:after="240"/>
      <w:outlineLvl w:val="1"/>
    </w:pPr>
    <w:rPr>
      <w:rFonts w:cstheme="minorHAnsi"/>
      <w:b/>
      <w:bCs/>
      <w:i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 w:val="0"/>
      <w:cap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 w:val="0"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706B8"/>
    <w:pPr>
      <w:spacing w:line="200" w:lineRule="atLeast"/>
      <w:outlineLvl w:val="4"/>
    </w:pPr>
    <w:rPr>
      <w:b w:val="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962"/>
    <w:rPr>
      <w:bCs/>
      <w:color w:val="495965" w:themeColor="text2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F3962"/>
    <w:rPr>
      <w:rFonts w:cstheme="minorHAnsi"/>
      <w:b/>
      <w:bCs/>
      <w:iCs/>
      <w:color w:val="495965" w:themeColor="text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7706B8"/>
    <w:pPr>
      <w:numPr>
        <w:numId w:val="33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0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3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23"/>
      </w:numPr>
      <w:spacing w:after="60"/>
    </w:pPr>
    <w:rPr>
      <w:bCs w:val="0"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3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7706B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C322F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7706B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C322F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706B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22F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322F"/>
    <w:rPr>
      <w:color w:val="FFFFFF" w:themeColor="background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nhideWhenUsed/>
    <w:qFormat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aliases w:val="Normal + Font:9 Point,Superscript 3 Point Times"/>
    <w:basedOn w:val="DefaultParagraphFont"/>
    <w:uiPriority w:val="99"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961E72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31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32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basedOn w:val="Normal"/>
    <w:uiPriority w:val="34"/>
    <w:qFormat/>
    <w:locked/>
    <w:rsid w:val="00A32858"/>
    <w:pPr>
      <w:ind w:left="720"/>
      <w:contextualSpacing/>
    </w:pPr>
  </w:style>
  <w:style w:type="paragraph" w:styleId="ListBullet">
    <w:name w:val="List Bullet"/>
    <w:basedOn w:val="BodyText"/>
    <w:qFormat/>
    <w:locked/>
    <w:rsid w:val="00A32858"/>
    <w:pPr>
      <w:numPr>
        <w:numId w:val="37"/>
      </w:numPr>
      <w:tabs>
        <w:tab w:val="left" w:pos="284"/>
      </w:tabs>
      <w:suppressAutoHyphens w:val="0"/>
      <w:spacing w:before="0" w:after="120" w:line="280" w:lineRule="exact"/>
    </w:pPr>
    <w:rPr>
      <w:rFonts w:ascii="Franklin Gothic Book" w:eastAsia="Times New Roman" w:hAnsi="Franklin Gothic Book" w:cs="Times New Roman"/>
      <w:sz w:val="21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F439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179C8"/>
    <w:pPr>
      <w:spacing w:after="0" w:line="240" w:lineRule="auto"/>
    </w:pPr>
    <w:rPr>
      <w:color w:val="495965" w:themeColor="text2"/>
      <w:lang w:val="en-GB"/>
    </w:rPr>
  </w:style>
  <w:style w:type="paragraph" w:customStyle="1" w:styleId="Default">
    <w:name w:val="Default"/>
    <w:rsid w:val="00C50C07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0C8E-C58E-471A-BB20-830DF38C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1238</Words>
  <Characters>7089</Characters>
  <Application>Microsoft Office Word</Application>
  <DocSecurity>0</DocSecurity>
  <Lines>226</Lines>
  <Paragraphs>90</Paragraphs>
  <ScaleCrop>false</ScaleCrop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2021-12-13T22:53:00Z</dcterms:created>
  <dcterms:modified xsi:type="dcterms:W3CDTF">2021-12-13T22:54:00Z</dcterms:modified>
  <cp:category/>
</cp:coreProperties>
</file>