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2CE9D" w14:textId="15816001" w:rsidR="000405C3" w:rsidRPr="00267B79" w:rsidRDefault="00AD0AAD" w:rsidP="00F64DA6">
      <w:pPr>
        <w:tabs>
          <w:tab w:val="left" w:pos="1305"/>
        </w:tabs>
        <w:rPr>
          <w:rFonts w:asciiTheme="majorHAnsi" w:hAnsiTheme="majorHAnsi" w:cs="Calibri Light"/>
          <w:color w:val="000000"/>
          <w:sz w:val="24"/>
        </w:rPr>
      </w:pPr>
      <w:bookmarkStart w:id="0" w:name="_GoBack"/>
      <w:bookmarkEnd w:id="0"/>
      <w:r w:rsidRPr="00D21F57">
        <w:rPr>
          <w:noProof/>
          <w:lang w:val="en-AU" w:eastAsia="en-AU"/>
        </w:rPr>
        <w:drawing>
          <wp:anchor distT="0" distB="0" distL="114300" distR="114300" simplePos="0" relativeHeight="251659264" behindDoc="1" locked="1" layoutInCell="1" allowOverlap="1" wp14:anchorId="1F7FD386" wp14:editId="55DD666F">
            <wp:simplePos x="0" y="0"/>
            <wp:positionH relativeFrom="page">
              <wp:align>left</wp:align>
            </wp:positionH>
            <wp:positionV relativeFrom="margin">
              <wp:posOffset>-876300</wp:posOffset>
            </wp:positionV>
            <wp:extent cx="7778115" cy="10692765"/>
            <wp:effectExtent l="19050" t="0" r="13335" b="2985135"/>
            <wp:wrapNone/>
            <wp:docPr id="15" name="Picture 1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8">
                      <a:extLst>
                        <a:ext uri="{28A0092B-C50C-407E-A947-70E740481C1C}">
                          <a14:useLocalDpi xmlns:a14="http://schemas.microsoft.com/office/drawing/2010/main" val="0"/>
                        </a:ext>
                      </a:extLst>
                    </a:blip>
                    <a:stretch>
                      <a:fillRect/>
                    </a:stretch>
                  </pic:blipFill>
                  <pic:spPr>
                    <a:xfrm>
                      <a:off x="0" y="0"/>
                      <a:ext cx="7778115" cy="106927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1C5D482F" w14:textId="74D9F233" w:rsidR="00A84923" w:rsidRPr="00267B79" w:rsidRDefault="00A84923" w:rsidP="00D8637C">
      <w:pPr>
        <w:pStyle w:val="Title"/>
        <w:jc w:val="right"/>
      </w:pPr>
    </w:p>
    <w:p w14:paraId="708A57D8" w14:textId="6875CB48" w:rsidR="00D8637C" w:rsidRDefault="00D8637C" w:rsidP="00D8637C">
      <w:pPr>
        <w:pStyle w:val="Title"/>
        <w:rPr>
          <w:color w:val="00B0F0"/>
        </w:rPr>
      </w:pPr>
      <w:r>
        <w:rPr>
          <w:noProof/>
          <w:lang w:eastAsia="en-AU"/>
        </w:rPr>
        <w:drawing>
          <wp:anchor distT="0" distB="0" distL="114300" distR="114300" simplePos="0" relativeHeight="251661312" behindDoc="0" locked="0" layoutInCell="1" allowOverlap="1" wp14:anchorId="41EEF606" wp14:editId="0F158623">
            <wp:simplePos x="0" y="0"/>
            <wp:positionH relativeFrom="column">
              <wp:posOffset>4886325</wp:posOffset>
            </wp:positionH>
            <wp:positionV relativeFrom="paragraph">
              <wp:posOffset>94615</wp:posOffset>
            </wp:positionV>
            <wp:extent cx="1116000" cy="511200"/>
            <wp:effectExtent l="0" t="0" r="825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6000" cy="5112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18211DE" wp14:editId="189BD576">
            <wp:extent cx="3169920" cy="554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9920" cy="554990"/>
                    </a:xfrm>
                    <a:prstGeom prst="rect">
                      <a:avLst/>
                    </a:prstGeom>
                    <a:noFill/>
                  </pic:spPr>
                </pic:pic>
              </a:graphicData>
            </a:graphic>
          </wp:inline>
        </w:drawing>
      </w:r>
    </w:p>
    <w:p w14:paraId="50E2C49E" w14:textId="6CADF3FB" w:rsidR="00D8637C" w:rsidRDefault="00D8637C" w:rsidP="00A84923">
      <w:pPr>
        <w:pStyle w:val="Title"/>
        <w:jc w:val="center"/>
        <w:rPr>
          <w:color w:val="00B0F0"/>
        </w:rPr>
      </w:pPr>
    </w:p>
    <w:p w14:paraId="36341A89" w14:textId="2FBD580B" w:rsidR="00D8637C" w:rsidRDefault="00D8637C" w:rsidP="00D8637C">
      <w:pPr>
        <w:pStyle w:val="Title"/>
        <w:tabs>
          <w:tab w:val="center" w:pos="4150"/>
          <w:tab w:val="right" w:pos="8300"/>
        </w:tabs>
        <w:rPr>
          <w:color w:val="00B0F0"/>
        </w:rPr>
      </w:pPr>
      <w:r>
        <w:rPr>
          <w:color w:val="00B0F0"/>
        </w:rPr>
        <w:tab/>
      </w:r>
    </w:p>
    <w:p w14:paraId="4002CCEF" w14:textId="77777777" w:rsidR="00D8637C" w:rsidRDefault="00D8637C" w:rsidP="00D8637C">
      <w:pPr>
        <w:pStyle w:val="Title"/>
        <w:jc w:val="right"/>
        <w:rPr>
          <w:color w:val="00B0F0"/>
        </w:rPr>
      </w:pPr>
    </w:p>
    <w:p w14:paraId="3F318F7E" w14:textId="0C01E6E0" w:rsidR="00DF2B99" w:rsidRPr="001A49B8" w:rsidRDefault="00A84923" w:rsidP="00A84923">
      <w:pPr>
        <w:pStyle w:val="Title"/>
        <w:jc w:val="center"/>
        <w:rPr>
          <w:color w:val="FFFFFF" w:themeColor="background1"/>
        </w:rPr>
      </w:pPr>
      <w:r w:rsidRPr="001A49B8">
        <w:rPr>
          <w:color w:val="FFFFFF" w:themeColor="background1"/>
        </w:rPr>
        <w:t>AUSTRALIA TI</w:t>
      </w:r>
      <w:r w:rsidR="00AC259A" w:rsidRPr="001A49B8">
        <w:rPr>
          <w:color w:val="FFFFFF" w:themeColor="background1"/>
        </w:rPr>
        <w:t xml:space="preserve">MOR-LESTE </w:t>
      </w:r>
    </w:p>
    <w:p w14:paraId="10A491D0" w14:textId="77777777" w:rsidR="00A84923" w:rsidRPr="001A49B8" w:rsidRDefault="00A84923" w:rsidP="00A84923">
      <w:pPr>
        <w:pStyle w:val="Title"/>
        <w:jc w:val="center"/>
        <w:rPr>
          <w:color w:val="FFFFFF" w:themeColor="background1"/>
        </w:rPr>
      </w:pPr>
      <w:r w:rsidRPr="001A49B8">
        <w:rPr>
          <w:color w:val="FFFFFF" w:themeColor="background1"/>
        </w:rPr>
        <w:t xml:space="preserve">HEALTH REVIEW </w:t>
      </w:r>
    </w:p>
    <w:p w14:paraId="147AA1EC" w14:textId="77777777" w:rsidR="00A84923" w:rsidRPr="001A49B8" w:rsidRDefault="00A84923" w:rsidP="00A84923">
      <w:pPr>
        <w:pStyle w:val="Title"/>
        <w:jc w:val="center"/>
        <w:rPr>
          <w:color w:val="FFFFFF" w:themeColor="background1"/>
        </w:rPr>
      </w:pPr>
      <w:r w:rsidRPr="001A49B8">
        <w:rPr>
          <w:color w:val="FFFFFF" w:themeColor="background1"/>
        </w:rPr>
        <w:t>REPORT</w:t>
      </w:r>
    </w:p>
    <w:p w14:paraId="3FA2878B" w14:textId="77777777" w:rsidR="00A84923" w:rsidRPr="00267B79" w:rsidRDefault="00A84923" w:rsidP="00A84923">
      <w:pPr>
        <w:rPr>
          <w:rFonts w:asciiTheme="majorHAnsi" w:hAnsiTheme="majorHAnsi"/>
        </w:rPr>
      </w:pPr>
    </w:p>
    <w:p w14:paraId="5936AACC" w14:textId="77777777" w:rsidR="002976B2" w:rsidRPr="00AD0AAD" w:rsidRDefault="002976B2" w:rsidP="00A84923">
      <w:pPr>
        <w:jc w:val="center"/>
        <w:rPr>
          <w:rFonts w:asciiTheme="majorHAnsi" w:hAnsiTheme="majorHAnsi"/>
          <w:color w:val="FFFFFF" w:themeColor="background1"/>
        </w:rPr>
      </w:pPr>
    </w:p>
    <w:p w14:paraId="1B46C392" w14:textId="77777777" w:rsidR="001A49B8" w:rsidRDefault="001A49B8" w:rsidP="00A84923">
      <w:pPr>
        <w:jc w:val="center"/>
        <w:rPr>
          <w:rFonts w:asciiTheme="majorHAnsi" w:hAnsiTheme="majorHAnsi"/>
          <w:color w:val="FFFFFF" w:themeColor="background1"/>
        </w:rPr>
      </w:pPr>
    </w:p>
    <w:p w14:paraId="7FE4E0F8" w14:textId="77777777" w:rsidR="001A49B8" w:rsidRDefault="001A49B8" w:rsidP="00A84923">
      <w:pPr>
        <w:jc w:val="center"/>
        <w:rPr>
          <w:rFonts w:asciiTheme="majorHAnsi" w:hAnsiTheme="majorHAnsi"/>
          <w:color w:val="FFFFFF" w:themeColor="background1"/>
        </w:rPr>
      </w:pPr>
    </w:p>
    <w:p w14:paraId="0C195262" w14:textId="77777777" w:rsidR="001A49B8" w:rsidRDefault="001A49B8" w:rsidP="00A84923">
      <w:pPr>
        <w:jc w:val="center"/>
        <w:rPr>
          <w:rFonts w:asciiTheme="majorHAnsi" w:hAnsiTheme="majorHAnsi"/>
          <w:color w:val="FFFFFF" w:themeColor="background1"/>
        </w:rPr>
      </w:pPr>
    </w:p>
    <w:p w14:paraId="2E30D048" w14:textId="77777777" w:rsidR="001A49B8" w:rsidRDefault="001A49B8" w:rsidP="00A84923">
      <w:pPr>
        <w:jc w:val="center"/>
        <w:rPr>
          <w:rFonts w:asciiTheme="majorHAnsi" w:hAnsiTheme="majorHAnsi"/>
          <w:color w:val="FFFFFF" w:themeColor="background1"/>
        </w:rPr>
      </w:pPr>
    </w:p>
    <w:p w14:paraId="7FE0D73F" w14:textId="77777777" w:rsidR="001A49B8" w:rsidRDefault="001A49B8" w:rsidP="00A84923">
      <w:pPr>
        <w:jc w:val="center"/>
        <w:rPr>
          <w:rFonts w:asciiTheme="majorHAnsi" w:hAnsiTheme="majorHAnsi"/>
          <w:color w:val="FFFFFF" w:themeColor="background1"/>
        </w:rPr>
      </w:pPr>
    </w:p>
    <w:p w14:paraId="3FD595FE" w14:textId="77777777" w:rsidR="001A49B8" w:rsidRDefault="001A49B8" w:rsidP="00A84923">
      <w:pPr>
        <w:jc w:val="center"/>
        <w:rPr>
          <w:rFonts w:asciiTheme="majorHAnsi" w:hAnsiTheme="majorHAnsi"/>
          <w:color w:val="FFFFFF" w:themeColor="background1"/>
        </w:rPr>
      </w:pPr>
    </w:p>
    <w:p w14:paraId="1E0513D4" w14:textId="77777777" w:rsidR="001A49B8" w:rsidRDefault="001A49B8" w:rsidP="00A84923">
      <w:pPr>
        <w:jc w:val="center"/>
        <w:rPr>
          <w:rFonts w:asciiTheme="majorHAnsi" w:hAnsiTheme="majorHAnsi"/>
          <w:color w:val="FFFFFF" w:themeColor="background1"/>
        </w:rPr>
      </w:pPr>
    </w:p>
    <w:p w14:paraId="5972E6D3" w14:textId="77777777" w:rsidR="001A49B8" w:rsidRDefault="001A49B8" w:rsidP="00A84923">
      <w:pPr>
        <w:jc w:val="center"/>
        <w:rPr>
          <w:rFonts w:asciiTheme="majorHAnsi" w:hAnsiTheme="majorHAnsi"/>
          <w:color w:val="FFFFFF" w:themeColor="background1"/>
        </w:rPr>
      </w:pPr>
    </w:p>
    <w:p w14:paraId="11D43C27" w14:textId="77777777" w:rsidR="001A49B8" w:rsidRDefault="001A49B8" w:rsidP="00A84923">
      <w:pPr>
        <w:jc w:val="center"/>
        <w:rPr>
          <w:rFonts w:asciiTheme="majorHAnsi" w:hAnsiTheme="majorHAnsi"/>
          <w:color w:val="FFFFFF" w:themeColor="background1"/>
        </w:rPr>
      </w:pPr>
    </w:p>
    <w:p w14:paraId="0AB45034" w14:textId="77777777" w:rsidR="001A49B8" w:rsidRDefault="001A49B8" w:rsidP="00A84923">
      <w:pPr>
        <w:jc w:val="center"/>
        <w:rPr>
          <w:rFonts w:asciiTheme="majorHAnsi" w:hAnsiTheme="majorHAnsi"/>
          <w:color w:val="FFFFFF" w:themeColor="background1"/>
        </w:rPr>
      </w:pPr>
    </w:p>
    <w:p w14:paraId="04DA4FA5" w14:textId="77777777" w:rsidR="001A49B8" w:rsidRDefault="001A49B8" w:rsidP="00A84923">
      <w:pPr>
        <w:jc w:val="center"/>
        <w:rPr>
          <w:rFonts w:asciiTheme="majorHAnsi" w:hAnsiTheme="majorHAnsi"/>
          <w:color w:val="FFFFFF" w:themeColor="background1"/>
        </w:rPr>
      </w:pPr>
    </w:p>
    <w:p w14:paraId="08283BE1" w14:textId="77777777" w:rsidR="001A49B8" w:rsidRDefault="001A49B8" w:rsidP="00A84923">
      <w:pPr>
        <w:jc w:val="center"/>
        <w:rPr>
          <w:rFonts w:asciiTheme="majorHAnsi" w:hAnsiTheme="majorHAnsi"/>
          <w:color w:val="FFFFFF" w:themeColor="background1"/>
        </w:rPr>
      </w:pPr>
    </w:p>
    <w:p w14:paraId="1E6FBD2C" w14:textId="77777777" w:rsidR="001A49B8" w:rsidRDefault="001A49B8" w:rsidP="00A84923">
      <w:pPr>
        <w:jc w:val="center"/>
        <w:rPr>
          <w:rFonts w:asciiTheme="majorHAnsi" w:hAnsiTheme="majorHAnsi"/>
          <w:color w:val="FFFFFF" w:themeColor="background1"/>
        </w:rPr>
      </w:pPr>
    </w:p>
    <w:p w14:paraId="21434301" w14:textId="1E2F2831" w:rsidR="00F071AC" w:rsidRPr="00AD0AAD" w:rsidRDefault="00664BE8" w:rsidP="001A49B8">
      <w:pPr>
        <w:rPr>
          <w:rFonts w:asciiTheme="majorHAnsi" w:hAnsiTheme="majorHAnsi"/>
          <w:color w:val="FFFFFF" w:themeColor="background1"/>
        </w:rPr>
      </w:pPr>
      <w:r w:rsidRPr="00AD0AAD">
        <w:rPr>
          <w:rFonts w:asciiTheme="majorHAnsi" w:hAnsiTheme="majorHAnsi"/>
          <w:color w:val="FFFFFF" w:themeColor="background1"/>
        </w:rPr>
        <w:t>30</w:t>
      </w:r>
      <w:r w:rsidRPr="00AD0AAD">
        <w:rPr>
          <w:rFonts w:asciiTheme="majorHAnsi" w:hAnsiTheme="majorHAnsi"/>
          <w:color w:val="FFFFFF" w:themeColor="background1"/>
          <w:vertAlign w:val="superscript"/>
        </w:rPr>
        <w:t>th</w:t>
      </w:r>
      <w:r w:rsidRPr="00AD0AAD">
        <w:rPr>
          <w:rFonts w:asciiTheme="majorHAnsi" w:hAnsiTheme="majorHAnsi"/>
          <w:color w:val="FFFFFF" w:themeColor="background1"/>
        </w:rPr>
        <w:t xml:space="preserve"> </w:t>
      </w:r>
      <w:r w:rsidR="006526A2" w:rsidRPr="00AD0AAD">
        <w:rPr>
          <w:rFonts w:asciiTheme="majorHAnsi" w:hAnsiTheme="majorHAnsi"/>
          <w:color w:val="FFFFFF" w:themeColor="background1"/>
        </w:rPr>
        <w:t>January</w:t>
      </w:r>
      <w:r w:rsidRPr="00AD0AAD">
        <w:rPr>
          <w:rFonts w:asciiTheme="majorHAnsi" w:hAnsiTheme="majorHAnsi"/>
          <w:color w:val="FFFFFF" w:themeColor="background1"/>
        </w:rPr>
        <w:t xml:space="preserve"> 201</w:t>
      </w:r>
      <w:r w:rsidR="00B9663A">
        <w:rPr>
          <w:rFonts w:asciiTheme="majorHAnsi" w:hAnsiTheme="majorHAnsi"/>
          <w:color w:val="FFFFFF" w:themeColor="background1"/>
        </w:rPr>
        <w:t>9</w:t>
      </w:r>
    </w:p>
    <w:p w14:paraId="2C6E509C" w14:textId="77777777" w:rsidR="006B3080" w:rsidRPr="00AD0AAD" w:rsidRDefault="006B3080" w:rsidP="001A49B8">
      <w:pPr>
        <w:rPr>
          <w:rFonts w:asciiTheme="majorHAnsi" w:hAnsiTheme="majorHAnsi"/>
          <w:color w:val="FFFFFF" w:themeColor="background1"/>
        </w:rPr>
      </w:pPr>
    </w:p>
    <w:p w14:paraId="1855BEBC" w14:textId="6C1ED126" w:rsidR="006B3080" w:rsidRPr="00AD0AAD" w:rsidRDefault="008B233E" w:rsidP="001A49B8">
      <w:pPr>
        <w:spacing w:after="120"/>
        <w:rPr>
          <w:rFonts w:asciiTheme="majorHAnsi" w:hAnsiTheme="majorHAnsi"/>
          <w:b/>
          <w:color w:val="FFFFFF" w:themeColor="background1"/>
        </w:rPr>
      </w:pPr>
      <w:r w:rsidRPr="00AD0AAD">
        <w:rPr>
          <w:rFonts w:asciiTheme="majorHAnsi" w:hAnsiTheme="majorHAnsi"/>
          <w:b/>
          <w:color w:val="FFFFFF" w:themeColor="background1"/>
        </w:rPr>
        <w:t>Marion Kelly</w:t>
      </w:r>
    </w:p>
    <w:p w14:paraId="2C82EF71" w14:textId="77777777" w:rsidR="006B3080" w:rsidRPr="00AD0AAD" w:rsidRDefault="008B233E" w:rsidP="001A49B8">
      <w:pPr>
        <w:spacing w:after="120"/>
        <w:rPr>
          <w:rFonts w:asciiTheme="majorHAnsi" w:hAnsiTheme="majorHAnsi"/>
          <w:b/>
          <w:color w:val="FFFFFF" w:themeColor="background1"/>
        </w:rPr>
      </w:pPr>
      <w:r w:rsidRPr="00AD0AAD">
        <w:rPr>
          <w:rFonts w:asciiTheme="majorHAnsi" w:hAnsiTheme="majorHAnsi"/>
          <w:b/>
          <w:color w:val="FFFFFF" w:themeColor="background1"/>
        </w:rPr>
        <w:t>Damien Sweeney</w:t>
      </w:r>
    </w:p>
    <w:p w14:paraId="36287DEB" w14:textId="77777777" w:rsidR="007E0AC9" w:rsidRPr="00AD0AAD" w:rsidRDefault="008B233E" w:rsidP="001A49B8">
      <w:pPr>
        <w:spacing w:after="120" w:line="276" w:lineRule="auto"/>
        <w:rPr>
          <w:rStyle w:val="Heading1Char"/>
          <w:color w:val="FFFFFF" w:themeColor="background1"/>
        </w:rPr>
      </w:pPr>
      <w:r w:rsidRPr="00AD0AAD">
        <w:rPr>
          <w:rFonts w:asciiTheme="majorHAnsi" w:hAnsiTheme="majorHAnsi"/>
          <w:b/>
          <w:color w:val="FFFFFF" w:themeColor="background1"/>
          <w:lang w:eastAsia="en-AU"/>
        </w:rPr>
        <w:t>Belarmino da Silva Pereira</w:t>
      </w:r>
    </w:p>
    <w:p w14:paraId="4A737F3B" w14:textId="77777777" w:rsidR="007E0AC9" w:rsidRPr="00AD0AAD" w:rsidRDefault="008B233E" w:rsidP="001A49B8">
      <w:pPr>
        <w:spacing w:after="120" w:line="276" w:lineRule="auto"/>
        <w:rPr>
          <w:rStyle w:val="Heading1Char"/>
          <w:color w:val="FFFFFF" w:themeColor="background1"/>
        </w:rPr>
      </w:pPr>
      <w:r w:rsidRPr="00AD0AAD">
        <w:rPr>
          <w:rFonts w:asciiTheme="majorHAnsi" w:hAnsiTheme="majorHAnsi"/>
          <w:b/>
          <w:color w:val="FFFFFF" w:themeColor="background1"/>
        </w:rPr>
        <w:t>Delfim da Costa Xavier Ferreira</w:t>
      </w:r>
    </w:p>
    <w:p w14:paraId="4BE4D2A0" w14:textId="77777777" w:rsidR="006B3080" w:rsidRPr="00AD0AAD" w:rsidRDefault="006B3080" w:rsidP="00A84923">
      <w:pPr>
        <w:jc w:val="center"/>
        <w:rPr>
          <w:rFonts w:asciiTheme="majorHAnsi" w:hAnsiTheme="majorHAnsi"/>
          <w:color w:val="FFFFFF" w:themeColor="background1"/>
          <w:highlight w:val="yellow"/>
        </w:rPr>
      </w:pPr>
    </w:p>
    <w:p w14:paraId="247115F3" w14:textId="77777777" w:rsidR="00EA2EC9" w:rsidRPr="00AD0AAD" w:rsidRDefault="008B233E" w:rsidP="00EA2EC9">
      <w:pPr>
        <w:rPr>
          <w:rFonts w:asciiTheme="majorHAnsi" w:hAnsiTheme="majorHAnsi"/>
          <w:color w:val="FFFFFF" w:themeColor="background1"/>
          <w:sz w:val="24"/>
        </w:rPr>
      </w:pPr>
      <w:r w:rsidRPr="00AD0AAD">
        <w:rPr>
          <w:rFonts w:asciiTheme="majorHAnsi" w:hAnsiTheme="majorHAnsi" w:cs="Calibri Light"/>
          <w:b/>
          <w:color w:val="FFFFFF" w:themeColor="background1"/>
        </w:rPr>
        <w:br w:type="page"/>
      </w:r>
    </w:p>
    <w:sdt>
      <w:sdtPr>
        <w:rPr>
          <w:rFonts w:ascii="Century Gothic" w:eastAsiaTheme="minorHAnsi" w:hAnsi="Century Gothic" w:cstheme="minorBidi"/>
          <w:b w:val="0"/>
          <w:bCs w:val="0"/>
          <w:color w:val="auto"/>
          <w:sz w:val="22"/>
          <w:szCs w:val="24"/>
        </w:rPr>
        <w:id w:val="24436589"/>
        <w:docPartObj>
          <w:docPartGallery w:val="Table of Contents"/>
          <w:docPartUnique/>
        </w:docPartObj>
      </w:sdtPr>
      <w:sdtEndPr/>
      <w:sdtContent>
        <w:p w14:paraId="2163CC3E" w14:textId="77777777" w:rsidR="002A2C19" w:rsidRPr="00267B79" w:rsidRDefault="002A2C19">
          <w:pPr>
            <w:pStyle w:val="TOCHeading"/>
          </w:pPr>
          <w:r w:rsidRPr="00267B79">
            <w:t>Table of Contents</w:t>
          </w:r>
        </w:p>
        <w:p w14:paraId="0C9F2C83" w14:textId="278FD16A" w:rsidR="007321E6" w:rsidRDefault="00291051">
          <w:pPr>
            <w:pStyle w:val="TOC1"/>
            <w:tabs>
              <w:tab w:val="right" w:leader="dot" w:pos="8290"/>
            </w:tabs>
            <w:rPr>
              <w:rFonts w:asciiTheme="minorHAnsi" w:eastAsiaTheme="minorEastAsia" w:hAnsiTheme="minorHAnsi"/>
              <w:b w:val="0"/>
              <w:noProof/>
              <w:color w:val="auto"/>
              <w:lang w:val="en-GB"/>
            </w:rPr>
          </w:pPr>
          <w:r w:rsidRPr="008B233E">
            <w:fldChar w:fldCharType="begin"/>
          </w:r>
          <w:r w:rsidR="002A2C19" w:rsidRPr="00267B79">
            <w:instrText xml:space="preserve"> TOC \o "1-3" \h \z \u </w:instrText>
          </w:r>
          <w:r w:rsidRPr="008B233E">
            <w:fldChar w:fldCharType="separate"/>
          </w:r>
          <w:r w:rsidR="007321E6">
            <w:rPr>
              <w:noProof/>
            </w:rPr>
            <w:t>EXECUTIVE SUMMARY</w:t>
          </w:r>
          <w:r w:rsidR="007321E6">
            <w:rPr>
              <w:noProof/>
            </w:rPr>
            <w:tab/>
          </w:r>
          <w:r w:rsidR="007321E6">
            <w:rPr>
              <w:noProof/>
            </w:rPr>
            <w:fldChar w:fldCharType="begin"/>
          </w:r>
          <w:r w:rsidR="007321E6">
            <w:rPr>
              <w:noProof/>
            </w:rPr>
            <w:instrText xml:space="preserve"> PAGEREF _Toc378838718 \h </w:instrText>
          </w:r>
          <w:r w:rsidR="007321E6">
            <w:rPr>
              <w:noProof/>
            </w:rPr>
          </w:r>
          <w:r w:rsidR="007321E6">
            <w:rPr>
              <w:noProof/>
            </w:rPr>
            <w:fldChar w:fldCharType="separate"/>
          </w:r>
          <w:r w:rsidR="00546A9F">
            <w:rPr>
              <w:noProof/>
            </w:rPr>
            <w:t>3</w:t>
          </w:r>
          <w:r w:rsidR="007321E6">
            <w:rPr>
              <w:noProof/>
            </w:rPr>
            <w:fldChar w:fldCharType="end"/>
          </w:r>
        </w:p>
        <w:p w14:paraId="517B43BA" w14:textId="63C77738" w:rsidR="007321E6" w:rsidRDefault="007321E6">
          <w:pPr>
            <w:pStyle w:val="TOC1"/>
            <w:tabs>
              <w:tab w:val="right" w:leader="dot" w:pos="8290"/>
            </w:tabs>
            <w:rPr>
              <w:rFonts w:asciiTheme="minorHAnsi" w:eastAsiaTheme="minorEastAsia" w:hAnsiTheme="minorHAnsi"/>
              <w:b w:val="0"/>
              <w:noProof/>
              <w:color w:val="auto"/>
              <w:lang w:val="en-GB"/>
            </w:rPr>
          </w:pPr>
          <w:r>
            <w:rPr>
              <w:noProof/>
            </w:rPr>
            <w:t>ABBREVIATIONS</w:t>
          </w:r>
          <w:r>
            <w:rPr>
              <w:noProof/>
            </w:rPr>
            <w:tab/>
          </w:r>
          <w:r>
            <w:rPr>
              <w:noProof/>
            </w:rPr>
            <w:fldChar w:fldCharType="begin"/>
          </w:r>
          <w:r>
            <w:rPr>
              <w:noProof/>
            </w:rPr>
            <w:instrText xml:space="preserve"> PAGEREF _Toc378838719 \h </w:instrText>
          </w:r>
          <w:r>
            <w:rPr>
              <w:noProof/>
            </w:rPr>
          </w:r>
          <w:r>
            <w:rPr>
              <w:noProof/>
            </w:rPr>
            <w:fldChar w:fldCharType="separate"/>
          </w:r>
          <w:r w:rsidR="00546A9F">
            <w:rPr>
              <w:noProof/>
            </w:rPr>
            <w:t>8</w:t>
          </w:r>
          <w:r>
            <w:rPr>
              <w:noProof/>
            </w:rPr>
            <w:fldChar w:fldCharType="end"/>
          </w:r>
        </w:p>
        <w:p w14:paraId="00E221DF" w14:textId="7F315251" w:rsidR="007321E6" w:rsidRDefault="007321E6">
          <w:pPr>
            <w:pStyle w:val="TOC1"/>
            <w:tabs>
              <w:tab w:val="right" w:leader="dot" w:pos="8290"/>
            </w:tabs>
            <w:rPr>
              <w:rFonts w:asciiTheme="minorHAnsi" w:eastAsiaTheme="minorEastAsia" w:hAnsiTheme="minorHAnsi"/>
              <w:b w:val="0"/>
              <w:noProof/>
              <w:color w:val="auto"/>
              <w:lang w:val="en-GB"/>
            </w:rPr>
          </w:pPr>
          <w:r>
            <w:rPr>
              <w:noProof/>
            </w:rPr>
            <w:t>BACKGROUND</w:t>
          </w:r>
          <w:r>
            <w:rPr>
              <w:noProof/>
            </w:rPr>
            <w:tab/>
          </w:r>
          <w:r>
            <w:rPr>
              <w:noProof/>
            </w:rPr>
            <w:fldChar w:fldCharType="begin"/>
          </w:r>
          <w:r>
            <w:rPr>
              <w:noProof/>
            </w:rPr>
            <w:instrText xml:space="preserve"> PAGEREF _Toc378838720 \h </w:instrText>
          </w:r>
          <w:r>
            <w:rPr>
              <w:noProof/>
            </w:rPr>
          </w:r>
          <w:r>
            <w:rPr>
              <w:noProof/>
            </w:rPr>
            <w:fldChar w:fldCharType="separate"/>
          </w:r>
          <w:r w:rsidR="00546A9F">
            <w:rPr>
              <w:noProof/>
            </w:rPr>
            <w:t>9</w:t>
          </w:r>
          <w:r>
            <w:rPr>
              <w:noProof/>
            </w:rPr>
            <w:fldChar w:fldCharType="end"/>
          </w:r>
        </w:p>
        <w:p w14:paraId="7E3A1FAE" w14:textId="231552BD" w:rsidR="007321E6" w:rsidRDefault="007321E6">
          <w:pPr>
            <w:pStyle w:val="TOC1"/>
            <w:tabs>
              <w:tab w:val="right" w:leader="dot" w:pos="8290"/>
            </w:tabs>
            <w:rPr>
              <w:rFonts w:asciiTheme="minorHAnsi" w:eastAsiaTheme="minorEastAsia" w:hAnsiTheme="minorHAnsi"/>
              <w:b w:val="0"/>
              <w:noProof/>
              <w:color w:val="auto"/>
              <w:lang w:val="en-GB"/>
            </w:rPr>
          </w:pPr>
          <w:r>
            <w:rPr>
              <w:noProof/>
            </w:rPr>
            <w:t>OBJECTIVES</w:t>
          </w:r>
          <w:r>
            <w:rPr>
              <w:noProof/>
            </w:rPr>
            <w:tab/>
          </w:r>
          <w:r>
            <w:rPr>
              <w:noProof/>
            </w:rPr>
            <w:fldChar w:fldCharType="begin"/>
          </w:r>
          <w:r>
            <w:rPr>
              <w:noProof/>
            </w:rPr>
            <w:instrText xml:space="preserve"> PAGEREF _Toc378838721 \h </w:instrText>
          </w:r>
          <w:r>
            <w:rPr>
              <w:noProof/>
            </w:rPr>
          </w:r>
          <w:r>
            <w:rPr>
              <w:noProof/>
            </w:rPr>
            <w:fldChar w:fldCharType="separate"/>
          </w:r>
          <w:r w:rsidR="00546A9F">
            <w:rPr>
              <w:noProof/>
            </w:rPr>
            <w:t>9</w:t>
          </w:r>
          <w:r>
            <w:rPr>
              <w:noProof/>
            </w:rPr>
            <w:fldChar w:fldCharType="end"/>
          </w:r>
        </w:p>
        <w:p w14:paraId="16DE54D8" w14:textId="0971E5E1" w:rsidR="007321E6" w:rsidRDefault="007321E6">
          <w:pPr>
            <w:pStyle w:val="TOC1"/>
            <w:tabs>
              <w:tab w:val="right" w:leader="dot" w:pos="8290"/>
            </w:tabs>
            <w:rPr>
              <w:rFonts w:asciiTheme="minorHAnsi" w:eastAsiaTheme="minorEastAsia" w:hAnsiTheme="minorHAnsi"/>
              <w:b w:val="0"/>
              <w:noProof/>
              <w:color w:val="auto"/>
              <w:lang w:val="en-GB"/>
            </w:rPr>
          </w:pPr>
          <w:r>
            <w:rPr>
              <w:noProof/>
            </w:rPr>
            <w:t>METHODS</w:t>
          </w:r>
          <w:r>
            <w:rPr>
              <w:noProof/>
            </w:rPr>
            <w:tab/>
          </w:r>
          <w:r>
            <w:rPr>
              <w:noProof/>
            </w:rPr>
            <w:fldChar w:fldCharType="begin"/>
          </w:r>
          <w:r>
            <w:rPr>
              <w:noProof/>
            </w:rPr>
            <w:instrText xml:space="preserve"> PAGEREF _Toc378838722 \h </w:instrText>
          </w:r>
          <w:r>
            <w:rPr>
              <w:noProof/>
            </w:rPr>
          </w:r>
          <w:r>
            <w:rPr>
              <w:noProof/>
            </w:rPr>
            <w:fldChar w:fldCharType="separate"/>
          </w:r>
          <w:r w:rsidR="00546A9F">
            <w:rPr>
              <w:noProof/>
            </w:rPr>
            <w:t>10</w:t>
          </w:r>
          <w:r>
            <w:rPr>
              <w:noProof/>
            </w:rPr>
            <w:fldChar w:fldCharType="end"/>
          </w:r>
        </w:p>
        <w:p w14:paraId="6A69A06F" w14:textId="3A20DDDA" w:rsidR="007321E6" w:rsidRDefault="007321E6">
          <w:pPr>
            <w:pStyle w:val="TOC1"/>
            <w:tabs>
              <w:tab w:val="right" w:leader="dot" w:pos="8290"/>
            </w:tabs>
            <w:rPr>
              <w:rFonts w:asciiTheme="minorHAnsi" w:eastAsiaTheme="minorEastAsia" w:hAnsiTheme="minorHAnsi"/>
              <w:b w:val="0"/>
              <w:noProof/>
              <w:color w:val="auto"/>
              <w:lang w:val="en-GB"/>
            </w:rPr>
          </w:pPr>
          <w:r>
            <w:rPr>
              <w:noProof/>
            </w:rPr>
            <w:t>FINDINGS</w:t>
          </w:r>
          <w:r>
            <w:rPr>
              <w:noProof/>
            </w:rPr>
            <w:tab/>
          </w:r>
          <w:r>
            <w:rPr>
              <w:noProof/>
            </w:rPr>
            <w:fldChar w:fldCharType="begin"/>
          </w:r>
          <w:r>
            <w:rPr>
              <w:noProof/>
            </w:rPr>
            <w:instrText xml:space="preserve"> PAGEREF _Toc378838723 \h </w:instrText>
          </w:r>
          <w:r>
            <w:rPr>
              <w:noProof/>
            </w:rPr>
          </w:r>
          <w:r>
            <w:rPr>
              <w:noProof/>
            </w:rPr>
            <w:fldChar w:fldCharType="separate"/>
          </w:r>
          <w:r w:rsidR="00546A9F">
            <w:rPr>
              <w:noProof/>
            </w:rPr>
            <w:t>11</w:t>
          </w:r>
          <w:r>
            <w:rPr>
              <w:noProof/>
            </w:rPr>
            <w:fldChar w:fldCharType="end"/>
          </w:r>
        </w:p>
        <w:p w14:paraId="713CA47A" w14:textId="053DCD1A" w:rsidR="007321E6" w:rsidRDefault="007321E6">
          <w:pPr>
            <w:pStyle w:val="TOC2"/>
            <w:tabs>
              <w:tab w:val="right" w:leader="dot" w:pos="8290"/>
            </w:tabs>
            <w:rPr>
              <w:rFonts w:eastAsiaTheme="minorEastAsia"/>
              <w:noProof/>
              <w:sz w:val="24"/>
              <w:szCs w:val="24"/>
              <w:lang w:val="en-GB"/>
            </w:rPr>
          </w:pPr>
          <w:r>
            <w:rPr>
              <w:noProof/>
            </w:rPr>
            <w:t>1.  Strengths and gaps in the health sector that affect RMNCH in Timor-Leste</w:t>
          </w:r>
          <w:r>
            <w:rPr>
              <w:noProof/>
            </w:rPr>
            <w:tab/>
          </w:r>
          <w:r>
            <w:rPr>
              <w:noProof/>
            </w:rPr>
            <w:fldChar w:fldCharType="begin"/>
          </w:r>
          <w:r>
            <w:rPr>
              <w:noProof/>
            </w:rPr>
            <w:instrText xml:space="preserve"> PAGEREF _Toc378838724 \h </w:instrText>
          </w:r>
          <w:r>
            <w:rPr>
              <w:noProof/>
            </w:rPr>
          </w:r>
          <w:r>
            <w:rPr>
              <w:noProof/>
            </w:rPr>
            <w:fldChar w:fldCharType="separate"/>
          </w:r>
          <w:r w:rsidR="00546A9F">
            <w:rPr>
              <w:noProof/>
            </w:rPr>
            <w:t>12</w:t>
          </w:r>
          <w:r>
            <w:rPr>
              <w:noProof/>
            </w:rPr>
            <w:fldChar w:fldCharType="end"/>
          </w:r>
        </w:p>
        <w:p w14:paraId="3E7EDA93" w14:textId="1824D6B8" w:rsidR="007321E6" w:rsidRDefault="007321E6">
          <w:pPr>
            <w:pStyle w:val="TOC3"/>
            <w:tabs>
              <w:tab w:val="right" w:leader="dot" w:pos="8290"/>
            </w:tabs>
            <w:rPr>
              <w:rFonts w:eastAsiaTheme="minorEastAsia"/>
              <w:i w:val="0"/>
              <w:noProof/>
              <w:sz w:val="24"/>
              <w:szCs w:val="24"/>
              <w:lang w:val="en-GB"/>
            </w:rPr>
          </w:pPr>
          <w:r>
            <w:rPr>
              <w:noProof/>
            </w:rPr>
            <w:t>General</w:t>
          </w:r>
          <w:r>
            <w:rPr>
              <w:noProof/>
            </w:rPr>
            <w:tab/>
          </w:r>
          <w:r>
            <w:rPr>
              <w:noProof/>
            </w:rPr>
            <w:fldChar w:fldCharType="begin"/>
          </w:r>
          <w:r>
            <w:rPr>
              <w:noProof/>
            </w:rPr>
            <w:instrText xml:space="preserve"> PAGEREF _Toc378838725 \h </w:instrText>
          </w:r>
          <w:r>
            <w:rPr>
              <w:noProof/>
            </w:rPr>
          </w:r>
          <w:r>
            <w:rPr>
              <w:noProof/>
            </w:rPr>
            <w:fldChar w:fldCharType="separate"/>
          </w:r>
          <w:r w:rsidR="00546A9F">
            <w:rPr>
              <w:noProof/>
            </w:rPr>
            <w:t>12</w:t>
          </w:r>
          <w:r>
            <w:rPr>
              <w:noProof/>
            </w:rPr>
            <w:fldChar w:fldCharType="end"/>
          </w:r>
        </w:p>
        <w:p w14:paraId="239415CA" w14:textId="4589BE22" w:rsidR="007321E6" w:rsidRDefault="007321E6">
          <w:pPr>
            <w:pStyle w:val="TOC3"/>
            <w:tabs>
              <w:tab w:val="right" w:leader="dot" w:pos="8290"/>
            </w:tabs>
            <w:rPr>
              <w:rFonts w:eastAsiaTheme="minorEastAsia"/>
              <w:i w:val="0"/>
              <w:noProof/>
              <w:sz w:val="24"/>
              <w:szCs w:val="24"/>
              <w:lang w:val="en-GB"/>
            </w:rPr>
          </w:pPr>
          <w:r>
            <w:rPr>
              <w:noProof/>
            </w:rPr>
            <w:t>Stewardship</w:t>
          </w:r>
          <w:r>
            <w:rPr>
              <w:noProof/>
            </w:rPr>
            <w:tab/>
          </w:r>
          <w:r>
            <w:rPr>
              <w:noProof/>
            </w:rPr>
            <w:fldChar w:fldCharType="begin"/>
          </w:r>
          <w:r>
            <w:rPr>
              <w:noProof/>
            </w:rPr>
            <w:instrText xml:space="preserve"> PAGEREF _Toc378838726 \h </w:instrText>
          </w:r>
          <w:r>
            <w:rPr>
              <w:noProof/>
            </w:rPr>
          </w:r>
          <w:r>
            <w:rPr>
              <w:noProof/>
            </w:rPr>
            <w:fldChar w:fldCharType="separate"/>
          </w:r>
          <w:r w:rsidR="00546A9F">
            <w:rPr>
              <w:noProof/>
            </w:rPr>
            <w:t>13</w:t>
          </w:r>
          <w:r>
            <w:rPr>
              <w:noProof/>
            </w:rPr>
            <w:fldChar w:fldCharType="end"/>
          </w:r>
        </w:p>
        <w:p w14:paraId="0314BECD" w14:textId="249B5C60" w:rsidR="007321E6" w:rsidRDefault="007321E6">
          <w:pPr>
            <w:pStyle w:val="TOC3"/>
            <w:tabs>
              <w:tab w:val="right" w:leader="dot" w:pos="8290"/>
            </w:tabs>
            <w:rPr>
              <w:rFonts w:eastAsiaTheme="minorEastAsia"/>
              <w:i w:val="0"/>
              <w:noProof/>
              <w:sz w:val="24"/>
              <w:szCs w:val="24"/>
              <w:lang w:val="en-GB"/>
            </w:rPr>
          </w:pPr>
          <w:r>
            <w:rPr>
              <w:noProof/>
            </w:rPr>
            <w:t>Management</w:t>
          </w:r>
          <w:r>
            <w:rPr>
              <w:noProof/>
            </w:rPr>
            <w:tab/>
          </w:r>
          <w:r>
            <w:rPr>
              <w:noProof/>
            </w:rPr>
            <w:fldChar w:fldCharType="begin"/>
          </w:r>
          <w:r>
            <w:rPr>
              <w:noProof/>
            </w:rPr>
            <w:instrText xml:space="preserve"> PAGEREF _Toc378838727 \h </w:instrText>
          </w:r>
          <w:r>
            <w:rPr>
              <w:noProof/>
            </w:rPr>
          </w:r>
          <w:r>
            <w:rPr>
              <w:noProof/>
            </w:rPr>
            <w:fldChar w:fldCharType="separate"/>
          </w:r>
          <w:r w:rsidR="00546A9F">
            <w:rPr>
              <w:noProof/>
            </w:rPr>
            <w:t>14</w:t>
          </w:r>
          <w:r>
            <w:rPr>
              <w:noProof/>
            </w:rPr>
            <w:fldChar w:fldCharType="end"/>
          </w:r>
        </w:p>
        <w:p w14:paraId="4DE87ED6" w14:textId="10053263" w:rsidR="007321E6" w:rsidRDefault="007321E6">
          <w:pPr>
            <w:pStyle w:val="TOC3"/>
            <w:tabs>
              <w:tab w:val="right" w:leader="dot" w:pos="8290"/>
            </w:tabs>
            <w:rPr>
              <w:rFonts w:eastAsiaTheme="minorEastAsia"/>
              <w:i w:val="0"/>
              <w:noProof/>
              <w:sz w:val="24"/>
              <w:szCs w:val="24"/>
              <w:lang w:val="en-GB"/>
            </w:rPr>
          </w:pPr>
          <w:r>
            <w:rPr>
              <w:noProof/>
            </w:rPr>
            <w:t>Infrastructure, equipment, supplies and transport</w:t>
          </w:r>
          <w:r>
            <w:rPr>
              <w:noProof/>
            </w:rPr>
            <w:tab/>
          </w:r>
          <w:r>
            <w:rPr>
              <w:noProof/>
            </w:rPr>
            <w:fldChar w:fldCharType="begin"/>
          </w:r>
          <w:r>
            <w:rPr>
              <w:noProof/>
            </w:rPr>
            <w:instrText xml:space="preserve"> PAGEREF _Toc378838728 \h </w:instrText>
          </w:r>
          <w:r>
            <w:rPr>
              <w:noProof/>
            </w:rPr>
          </w:r>
          <w:r>
            <w:rPr>
              <w:noProof/>
            </w:rPr>
            <w:fldChar w:fldCharType="separate"/>
          </w:r>
          <w:r w:rsidR="00546A9F">
            <w:rPr>
              <w:noProof/>
            </w:rPr>
            <w:t>16</w:t>
          </w:r>
          <w:r>
            <w:rPr>
              <w:noProof/>
            </w:rPr>
            <w:fldChar w:fldCharType="end"/>
          </w:r>
        </w:p>
        <w:p w14:paraId="6B56B2B5" w14:textId="40E059D4" w:rsidR="007321E6" w:rsidRDefault="007321E6">
          <w:pPr>
            <w:pStyle w:val="TOC3"/>
            <w:tabs>
              <w:tab w:val="right" w:leader="dot" w:pos="8290"/>
            </w:tabs>
            <w:rPr>
              <w:rFonts w:eastAsiaTheme="minorEastAsia"/>
              <w:i w:val="0"/>
              <w:noProof/>
              <w:sz w:val="24"/>
              <w:szCs w:val="24"/>
              <w:lang w:val="en-GB"/>
            </w:rPr>
          </w:pPr>
          <w:r>
            <w:rPr>
              <w:noProof/>
            </w:rPr>
            <w:t>Health workforce</w:t>
          </w:r>
          <w:r>
            <w:rPr>
              <w:noProof/>
            </w:rPr>
            <w:tab/>
          </w:r>
          <w:r>
            <w:rPr>
              <w:noProof/>
            </w:rPr>
            <w:fldChar w:fldCharType="begin"/>
          </w:r>
          <w:r>
            <w:rPr>
              <w:noProof/>
            </w:rPr>
            <w:instrText xml:space="preserve"> PAGEREF _Toc378838729 \h </w:instrText>
          </w:r>
          <w:r>
            <w:rPr>
              <w:noProof/>
            </w:rPr>
          </w:r>
          <w:r>
            <w:rPr>
              <w:noProof/>
            </w:rPr>
            <w:fldChar w:fldCharType="separate"/>
          </w:r>
          <w:r w:rsidR="00546A9F">
            <w:rPr>
              <w:noProof/>
            </w:rPr>
            <w:t>16</w:t>
          </w:r>
          <w:r>
            <w:rPr>
              <w:noProof/>
            </w:rPr>
            <w:fldChar w:fldCharType="end"/>
          </w:r>
        </w:p>
        <w:p w14:paraId="7812A7DC" w14:textId="12DA286C" w:rsidR="007321E6" w:rsidRDefault="007321E6">
          <w:pPr>
            <w:pStyle w:val="TOC3"/>
            <w:tabs>
              <w:tab w:val="right" w:leader="dot" w:pos="8290"/>
            </w:tabs>
            <w:rPr>
              <w:rFonts w:eastAsiaTheme="minorEastAsia"/>
              <w:i w:val="0"/>
              <w:noProof/>
              <w:sz w:val="24"/>
              <w:szCs w:val="24"/>
              <w:lang w:val="en-GB"/>
            </w:rPr>
          </w:pPr>
          <w:r>
            <w:rPr>
              <w:noProof/>
            </w:rPr>
            <w:t>Service delivery</w:t>
          </w:r>
          <w:r>
            <w:rPr>
              <w:noProof/>
            </w:rPr>
            <w:tab/>
          </w:r>
          <w:r>
            <w:rPr>
              <w:noProof/>
            </w:rPr>
            <w:fldChar w:fldCharType="begin"/>
          </w:r>
          <w:r>
            <w:rPr>
              <w:noProof/>
            </w:rPr>
            <w:instrText xml:space="preserve"> PAGEREF _Toc378838730 \h </w:instrText>
          </w:r>
          <w:r>
            <w:rPr>
              <w:noProof/>
            </w:rPr>
          </w:r>
          <w:r>
            <w:rPr>
              <w:noProof/>
            </w:rPr>
            <w:fldChar w:fldCharType="separate"/>
          </w:r>
          <w:r w:rsidR="00546A9F">
            <w:rPr>
              <w:noProof/>
            </w:rPr>
            <w:t>17</w:t>
          </w:r>
          <w:r>
            <w:rPr>
              <w:noProof/>
            </w:rPr>
            <w:fldChar w:fldCharType="end"/>
          </w:r>
        </w:p>
        <w:p w14:paraId="7EBEA884" w14:textId="75CC79B7" w:rsidR="007321E6" w:rsidRDefault="007321E6">
          <w:pPr>
            <w:pStyle w:val="TOC3"/>
            <w:tabs>
              <w:tab w:val="right" w:leader="dot" w:pos="8290"/>
            </w:tabs>
            <w:rPr>
              <w:rFonts w:eastAsiaTheme="minorEastAsia"/>
              <w:i w:val="0"/>
              <w:noProof/>
              <w:sz w:val="24"/>
              <w:szCs w:val="24"/>
              <w:lang w:val="en-GB"/>
            </w:rPr>
          </w:pPr>
          <w:r>
            <w:rPr>
              <w:noProof/>
            </w:rPr>
            <w:t>Summary of strengths and gaps</w:t>
          </w:r>
          <w:r>
            <w:rPr>
              <w:noProof/>
            </w:rPr>
            <w:tab/>
          </w:r>
          <w:r>
            <w:rPr>
              <w:noProof/>
            </w:rPr>
            <w:fldChar w:fldCharType="begin"/>
          </w:r>
          <w:r>
            <w:rPr>
              <w:noProof/>
            </w:rPr>
            <w:instrText xml:space="preserve"> PAGEREF _Toc378838731 \h </w:instrText>
          </w:r>
          <w:r>
            <w:rPr>
              <w:noProof/>
            </w:rPr>
          </w:r>
          <w:r>
            <w:rPr>
              <w:noProof/>
            </w:rPr>
            <w:fldChar w:fldCharType="separate"/>
          </w:r>
          <w:r w:rsidR="00546A9F">
            <w:rPr>
              <w:noProof/>
            </w:rPr>
            <w:t>18</w:t>
          </w:r>
          <w:r>
            <w:rPr>
              <w:noProof/>
            </w:rPr>
            <w:fldChar w:fldCharType="end"/>
          </w:r>
        </w:p>
        <w:p w14:paraId="7353CB0F" w14:textId="2EFE3384" w:rsidR="007321E6" w:rsidRDefault="007321E6">
          <w:pPr>
            <w:pStyle w:val="TOC2"/>
            <w:tabs>
              <w:tab w:val="right" w:leader="dot" w:pos="8290"/>
            </w:tabs>
            <w:rPr>
              <w:rFonts w:eastAsiaTheme="minorEastAsia"/>
              <w:noProof/>
              <w:sz w:val="24"/>
              <w:szCs w:val="24"/>
              <w:lang w:val="en-GB"/>
            </w:rPr>
          </w:pPr>
          <w:r>
            <w:rPr>
              <w:noProof/>
            </w:rPr>
            <w:t>2. Alignment of DFAT program objectives with health sector priorities</w:t>
          </w:r>
          <w:r>
            <w:rPr>
              <w:noProof/>
            </w:rPr>
            <w:tab/>
          </w:r>
          <w:r>
            <w:rPr>
              <w:noProof/>
            </w:rPr>
            <w:fldChar w:fldCharType="begin"/>
          </w:r>
          <w:r>
            <w:rPr>
              <w:noProof/>
            </w:rPr>
            <w:instrText xml:space="preserve"> PAGEREF _Toc378838732 \h </w:instrText>
          </w:r>
          <w:r>
            <w:rPr>
              <w:noProof/>
            </w:rPr>
          </w:r>
          <w:r>
            <w:rPr>
              <w:noProof/>
            </w:rPr>
            <w:fldChar w:fldCharType="separate"/>
          </w:r>
          <w:r w:rsidR="00546A9F">
            <w:rPr>
              <w:noProof/>
            </w:rPr>
            <w:t>18</w:t>
          </w:r>
          <w:r>
            <w:rPr>
              <w:noProof/>
            </w:rPr>
            <w:fldChar w:fldCharType="end"/>
          </w:r>
        </w:p>
        <w:p w14:paraId="70A1E912" w14:textId="6C70A22F" w:rsidR="007321E6" w:rsidRDefault="007321E6">
          <w:pPr>
            <w:pStyle w:val="TOC2"/>
            <w:tabs>
              <w:tab w:val="right" w:leader="dot" w:pos="8290"/>
            </w:tabs>
            <w:rPr>
              <w:rFonts w:eastAsiaTheme="minorEastAsia"/>
              <w:noProof/>
              <w:sz w:val="24"/>
              <w:szCs w:val="24"/>
              <w:lang w:val="en-GB"/>
            </w:rPr>
          </w:pPr>
          <w:r>
            <w:rPr>
              <w:noProof/>
            </w:rPr>
            <w:t>3: Extent to which DFAT investments have led to increased utilisation of RMNCH services</w:t>
          </w:r>
          <w:r>
            <w:rPr>
              <w:noProof/>
            </w:rPr>
            <w:tab/>
          </w:r>
          <w:r>
            <w:rPr>
              <w:noProof/>
            </w:rPr>
            <w:fldChar w:fldCharType="begin"/>
          </w:r>
          <w:r>
            <w:rPr>
              <w:noProof/>
            </w:rPr>
            <w:instrText xml:space="preserve"> PAGEREF _Toc378838733 \h </w:instrText>
          </w:r>
          <w:r>
            <w:rPr>
              <w:noProof/>
            </w:rPr>
          </w:r>
          <w:r>
            <w:rPr>
              <w:noProof/>
            </w:rPr>
            <w:fldChar w:fldCharType="separate"/>
          </w:r>
          <w:r w:rsidR="00546A9F">
            <w:rPr>
              <w:noProof/>
            </w:rPr>
            <w:t>19</w:t>
          </w:r>
          <w:r>
            <w:rPr>
              <w:noProof/>
            </w:rPr>
            <w:fldChar w:fldCharType="end"/>
          </w:r>
        </w:p>
        <w:p w14:paraId="0E7743AA" w14:textId="110874CA" w:rsidR="007321E6" w:rsidRDefault="007321E6">
          <w:pPr>
            <w:pStyle w:val="TOC2"/>
            <w:tabs>
              <w:tab w:val="right" w:leader="dot" w:pos="8290"/>
            </w:tabs>
            <w:rPr>
              <w:rFonts w:eastAsiaTheme="minorEastAsia"/>
              <w:noProof/>
              <w:sz w:val="24"/>
              <w:szCs w:val="24"/>
              <w:lang w:val="en-GB"/>
            </w:rPr>
          </w:pPr>
          <w:r>
            <w:rPr>
              <w:noProof/>
              <w:lang w:eastAsia="en-AU"/>
            </w:rPr>
            <w:t>4. Likely contribution of investments to improved range, quality and reach of RMNCH services</w:t>
          </w:r>
          <w:r>
            <w:rPr>
              <w:noProof/>
            </w:rPr>
            <w:tab/>
          </w:r>
          <w:r>
            <w:rPr>
              <w:noProof/>
            </w:rPr>
            <w:fldChar w:fldCharType="begin"/>
          </w:r>
          <w:r>
            <w:rPr>
              <w:noProof/>
            </w:rPr>
            <w:instrText xml:space="preserve"> PAGEREF _Toc378838734 \h </w:instrText>
          </w:r>
          <w:r>
            <w:rPr>
              <w:noProof/>
            </w:rPr>
          </w:r>
          <w:r>
            <w:rPr>
              <w:noProof/>
            </w:rPr>
            <w:fldChar w:fldCharType="separate"/>
          </w:r>
          <w:r w:rsidR="00546A9F">
            <w:rPr>
              <w:noProof/>
            </w:rPr>
            <w:t>21</w:t>
          </w:r>
          <w:r>
            <w:rPr>
              <w:noProof/>
            </w:rPr>
            <w:fldChar w:fldCharType="end"/>
          </w:r>
        </w:p>
        <w:p w14:paraId="106B886F" w14:textId="02292962" w:rsidR="007321E6" w:rsidRDefault="007321E6">
          <w:pPr>
            <w:pStyle w:val="TOC2"/>
            <w:tabs>
              <w:tab w:val="right" w:leader="dot" w:pos="8290"/>
            </w:tabs>
            <w:rPr>
              <w:rFonts w:eastAsiaTheme="minorEastAsia"/>
              <w:noProof/>
              <w:sz w:val="24"/>
              <w:szCs w:val="24"/>
              <w:lang w:val="en-GB"/>
            </w:rPr>
          </w:pPr>
          <w:r>
            <w:rPr>
              <w:noProof/>
              <w:lang w:eastAsia="en-AU"/>
            </w:rPr>
            <w:t>5. Results of investments in strengthening the health system to respond to RMNCH needs (‘enabling environment’)</w:t>
          </w:r>
          <w:r>
            <w:rPr>
              <w:noProof/>
            </w:rPr>
            <w:tab/>
          </w:r>
          <w:r>
            <w:rPr>
              <w:noProof/>
            </w:rPr>
            <w:fldChar w:fldCharType="begin"/>
          </w:r>
          <w:r>
            <w:rPr>
              <w:noProof/>
            </w:rPr>
            <w:instrText xml:space="preserve"> PAGEREF _Toc378838735 \h </w:instrText>
          </w:r>
          <w:r>
            <w:rPr>
              <w:noProof/>
            </w:rPr>
          </w:r>
          <w:r>
            <w:rPr>
              <w:noProof/>
            </w:rPr>
            <w:fldChar w:fldCharType="separate"/>
          </w:r>
          <w:r w:rsidR="00546A9F">
            <w:rPr>
              <w:noProof/>
            </w:rPr>
            <w:t>22</w:t>
          </w:r>
          <w:r>
            <w:rPr>
              <w:noProof/>
            </w:rPr>
            <w:fldChar w:fldCharType="end"/>
          </w:r>
        </w:p>
        <w:p w14:paraId="085DBC3B" w14:textId="33BABCE1" w:rsidR="007321E6" w:rsidRDefault="007321E6">
          <w:pPr>
            <w:pStyle w:val="TOC2"/>
            <w:tabs>
              <w:tab w:val="right" w:leader="dot" w:pos="8290"/>
            </w:tabs>
            <w:rPr>
              <w:rFonts w:eastAsiaTheme="minorEastAsia"/>
              <w:noProof/>
              <w:sz w:val="24"/>
              <w:szCs w:val="24"/>
              <w:lang w:val="en-GB"/>
            </w:rPr>
          </w:pPr>
          <w:r>
            <w:rPr>
              <w:noProof/>
            </w:rPr>
            <w:t>6. Suitability of the mix of approaches and partners to contribute to RMNCH</w:t>
          </w:r>
          <w:r>
            <w:rPr>
              <w:noProof/>
            </w:rPr>
            <w:tab/>
          </w:r>
          <w:r>
            <w:rPr>
              <w:noProof/>
            </w:rPr>
            <w:fldChar w:fldCharType="begin"/>
          </w:r>
          <w:r>
            <w:rPr>
              <w:noProof/>
            </w:rPr>
            <w:instrText xml:space="preserve"> PAGEREF _Toc378838736 \h </w:instrText>
          </w:r>
          <w:r>
            <w:rPr>
              <w:noProof/>
            </w:rPr>
          </w:r>
          <w:r>
            <w:rPr>
              <w:noProof/>
            </w:rPr>
            <w:fldChar w:fldCharType="separate"/>
          </w:r>
          <w:r w:rsidR="00546A9F">
            <w:rPr>
              <w:noProof/>
            </w:rPr>
            <w:t>22</w:t>
          </w:r>
          <w:r>
            <w:rPr>
              <w:noProof/>
            </w:rPr>
            <w:fldChar w:fldCharType="end"/>
          </w:r>
        </w:p>
        <w:p w14:paraId="0F0AD5DD" w14:textId="1ED581AB" w:rsidR="007321E6" w:rsidRDefault="007321E6">
          <w:pPr>
            <w:pStyle w:val="TOC2"/>
            <w:tabs>
              <w:tab w:val="right" w:leader="dot" w:pos="8290"/>
            </w:tabs>
            <w:rPr>
              <w:rFonts w:eastAsiaTheme="minorEastAsia"/>
              <w:noProof/>
              <w:sz w:val="24"/>
              <w:szCs w:val="24"/>
              <w:lang w:val="en-GB"/>
            </w:rPr>
          </w:pPr>
          <w:r>
            <w:rPr>
              <w:noProof/>
              <w:lang w:eastAsia="en-AU"/>
            </w:rPr>
            <w:t>7. Coherence of DFAT’s bilateral investments in the health sector</w:t>
          </w:r>
          <w:r>
            <w:rPr>
              <w:noProof/>
            </w:rPr>
            <w:tab/>
          </w:r>
          <w:r>
            <w:rPr>
              <w:noProof/>
            </w:rPr>
            <w:fldChar w:fldCharType="begin"/>
          </w:r>
          <w:r>
            <w:rPr>
              <w:noProof/>
            </w:rPr>
            <w:instrText xml:space="preserve"> PAGEREF _Toc378838737 \h </w:instrText>
          </w:r>
          <w:r>
            <w:rPr>
              <w:noProof/>
            </w:rPr>
          </w:r>
          <w:r>
            <w:rPr>
              <w:noProof/>
            </w:rPr>
            <w:fldChar w:fldCharType="separate"/>
          </w:r>
          <w:r w:rsidR="00546A9F">
            <w:rPr>
              <w:noProof/>
            </w:rPr>
            <w:t>24</w:t>
          </w:r>
          <w:r>
            <w:rPr>
              <w:noProof/>
            </w:rPr>
            <w:fldChar w:fldCharType="end"/>
          </w:r>
        </w:p>
        <w:p w14:paraId="2DBB3C21" w14:textId="3F15BA2D" w:rsidR="007321E6" w:rsidRDefault="007321E6">
          <w:pPr>
            <w:pStyle w:val="TOC2"/>
            <w:tabs>
              <w:tab w:val="right" w:leader="dot" w:pos="8290"/>
            </w:tabs>
            <w:rPr>
              <w:rFonts w:eastAsiaTheme="minorEastAsia"/>
              <w:noProof/>
              <w:sz w:val="24"/>
              <w:szCs w:val="24"/>
              <w:lang w:val="en-GB"/>
            </w:rPr>
          </w:pPr>
          <w:r>
            <w:rPr>
              <w:noProof/>
              <w:lang w:eastAsia="en-AU"/>
            </w:rPr>
            <w:t>8. Likely sustainability of achievements of the DFAT bilateral investments</w:t>
          </w:r>
          <w:r>
            <w:rPr>
              <w:noProof/>
            </w:rPr>
            <w:tab/>
          </w:r>
          <w:r>
            <w:rPr>
              <w:noProof/>
            </w:rPr>
            <w:fldChar w:fldCharType="begin"/>
          </w:r>
          <w:r>
            <w:rPr>
              <w:noProof/>
            </w:rPr>
            <w:instrText xml:space="preserve"> PAGEREF _Toc378838738 \h </w:instrText>
          </w:r>
          <w:r>
            <w:rPr>
              <w:noProof/>
            </w:rPr>
          </w:r>
          <w:r>
            <w:rPr>
              <w:noProof/>
            </w:rPr>
            <w:fldChar w:fldCharType="separate"/>
          </w:r>
          <w:r w:rsidR="00546A9F">
            <w:rPr>
              <w:noProof/>
            </w:rPr>
            <w:t>24</w:t>
          </w:r>
          <w:r>
            <w:rPr>
              <w:noProof/>
            </w:rPr>
            <w:fldChar w:fldCharType="end"/>
          </w:r>
        </w:p>
        <w:p w14:paraId="02FE845A" w14:textId="2F26A783" w:rsidR="007321E6" w:rsidRDefault="007321E6">
          <w:pPr>
            <w:pStyle w:val="TOC2"/>
            <w:tabs>
              <w:tab w:val="right" w:leader="dot" w:pos="8290"/>
            </w:tabs>
            <w:rPr>
              <w:rFonts w:eastAsiaTheme="minorEastAsia"/>
              <w:noProof/>
              <w:sz w:val="24"/>
              <w:szCs w:val="24"/>
              <w:lang w:val="en-GB"/>
            </w:rPr>
          </w:pPr>
          <w:r>
            <w:rPr>
              <w:noProof/>
              <w:lang w:eastAsia="en-AU"/>
            </w:rPr>
            <w:t>9. Lessons that could improve existing or new DFAT investments in health</w:t>
          </w:r>
          <w:r>
            <w:rPr>
              <w:noProof/>
            </w:rPr>
            <w:tab/>
          </w:r>
          <w:r>
            <w:rPr>
              <w:noProof/>
            </w:rPr>
            <w:fldChar w:fldCharType="begin"/>
          </w:r>
          <w:r>
            <w:rPr>
              <w:noProof/>
            </w:rPr>
            <w:instrText xml:space="preserve"> PAGEREF _Toc378838739 \h </w:instrText>
          </w:r>
          <w:r>
            <w:rPr>
              <w:noProof/>
            </w:rPr>
          </w:r>
          <w:r>
            <w:rPr>
              <w:noProof/>
            </w:rPr>
            <w:fldChar w:fldCharType="separate"/>
          </w:r>
          <w:r w:rsidR="00546A9F">
            <w:rPr>
              <w:noProof/>
            </w:rPr>
            <w:t>25</w:t>
          </w:r>
          <w:r>
            <w:rPr>
              <w:noProof/>
            </w:rPr>
            <w:fldChar w:fldCharType="end"/>
          </w:r>
        </w:p>
        <w:p w14:paraId="7928134F" w14:textId="6D4C3899" w:rsidR="007321E6" w:rsidRDefault="007321E6">
          <w:pPr>
            <w:pStyle w:val="TOC1"/>
            <w:tabs>
              <w:tab w:val="right" w:leader="dot" w:pos="8290"/>
            </w:tabs>
            <w:rPr>
              <w:rFonts w:asciiTheme="minorHAnsi" w:eastAsiaTheme="minorEastAsia" w:hAnsiTheme="minorHAnsi"/>
              <w:b w:val="0"/>
              <w:noProof/>
              <w:color w:val="auto"/>
              <w:lang w:val="en-GB"/>
            </w:rPr>
          </w:pPr>
          <w:r>
            <w:rPr>
              <w:noProof/>
            </w:rPr>
            <w:t>RECOMMENDATIONS</w:t>
          </w:r>
          <w:r>
            <w:rPr>
              <w:noProof/>
            </w:rPr>
            <w:tab/>
          </w:r>
          <w:r>
            <w:rPr>
              <w:noProof/>
            </w:rPr>
            <w:fldChar w:fldCharType="begin"/>
          </w:r>
          <w:r>
            <w:rPr>
              <w:noProof/>
            </w:rPr>
            <w:instrText xml:space="preserve"> PAGEREF _Toc378838740 \h </w:instrText>
          </w:r>
          <w:r>
            <w:rPr>
              <w:noProof/>
            </w:rPr>
          </w:r>
          <w:r>
            <w:rPr>
              <w:noProof/>
            </w:rPr>
            <w:fldChar w:fldCharType="separate"/>
          </w:r>
          <w:r w:rsidR="00546A9F">
            <w:rPr>
              <w:noProof/>
            </w:rPr>
            <w:t>26</w:t>
          </w:r>
          <w:r>
            <w:rPr>
              <w:noProof/>
            </w:rPr>
            <w:fldChar w:fldCharType="end"/>
          </w:r>
        </w:p>
        <w:p w14:paraId="1179BAC3" w14:textId="2AE67E26" w:rsidR="007321E6" w:rsidRDefault="007321E6">
          <w:pPr>
            <w:pStyle w:val="TOC2"/>
            <w:tabs>
              <w:tab w:val="right" w:leader="dot" w:pos="8290"/>
            </w:tabs>
            <w:rPr>
              <w:rFonts w:eastAsiaTheme="minorEastAsia"/>
              <w:noProof/>
              <w:sz w:val="24"/>
              <w:szCs w:val="24"/>
              <w:lang w:val="en-GB"/>
            </w:rPr>
          </w:pPr>
          <w:r>
            <w:rPr>
              <w:noProof/>
            </w:rPr>
            <w:t>1. General recommendations</w:t>
          </w:r>
          <w:r>
            <w:rPr>
              <w:noProof/>
            </w:rPr>
            <w:tab/>
          </w:r>
          <w:r>
            <w:rPr>
              <w:noProof/>
            </w:rPr>
            <w:fldChar w:fldCharType="begin"/>
          </w:r>
          <w:r>
            <w:rPr>
              <w:noProof/>
            </w:rPr>
            <w:instrText xml:space="preserve"> PAGEREF _Toc378838741 \h </w:instrText>
          </w:r>
          <w:r>
            <w:rPr>
              <w:noProof/>
            </w:rPr>
          </w:r>
          <w:r>
            <w:rPr>
              <w:noProof/>
            </w:rPr>
            <w:fldChar w:fldCharType="separate"/>
          </w:r>
          <w:r w:rsidR="00546A9F">
            <w:rPr>
              <w:noProof/>
            </w:rPr>
            <w:t>28</w:t>
          </w:r>
          <w:r>
            <w:rPr>
              <w:noProof/>
            </w:rPr>
            <w:fldChar w:fldCharType="end"/>
          </w:r>
        </w:p>
        <w:p w14:paraId="05FE7507" w14:textId="08B1D019" w:rsidR="007321E6" w:rsidRDefault="007321E6">
          <w:pPr>
            <w:pStyle w:val="TOC2"/>
            <w:tabs>
              <w:tab w:val="right" w:leader="dot" w:pos="8290"/>
            </w:tabs>
            <w:rPr>
              <w:rFonts w:eastAsiaTheme="minorEastAsia"/>
              <w:noProof/>
              <w:sz w:val="24"/>
              <w:szCs w:val="24"/>
              <w:lang w:val="en-GB"/>
            </w:rPr>
          </w:pPr>
          <w:r>
            <w:rPr>
              <w:noProof/>
            </w:rPr>
            <w:t>2. Recommendations, by health system objective, in preparation for redesign</w:t>
          </w:r>
          <w:r>
            <w:rPr>
              <w:noProof/>
            </w:rPr>
            <w:tab/>
          </w:r>
          <w:r>
            <w:rPr>
              <w:noProof/>
            </w:rPr>
            <w:fldChar w:fldCharType="begin"/>
          </w:r>
          <w:r>
            <w:rPr>
              <w:noProof/>
            </w:rPr>
            <w:instrText xml:space="preserve"> PAGEREF _Toc378838742 \h </w:instrText>
          </w:r>
          <w:r>
            <w:rPr>
              <w:noProof/>
            </w:rPr>
          </w:r>
          <w:r>
            <w:rPr>
              <w:noProof/>
            </w:rPr>
            <w:fldChar w:fldCharType="separate"/>
          </w:r>
          <w:r w:rsidR="00546A9F">
            <w:rPr>
              <w:noProof/>
            </w:rPr>
            <w:t>28</w:t>
          </w:r>
          <w:r>
            <w:rPr>
              <w:noProof/>
            </w:rPr>
            <w:fldChar w:fldCharType="end"/>
          </w:r>
        </w:p>
        <w:p w14:paraId="0DDC4B23" w14:textId="2B9E54D6" w:rsidR="007321E6" w:rsidRDefault="007321E6">
          <w:pPr>
            <w:pStyle w:val="TOC2"/>
            <w:tabs>
              <w:tab w:val="right" w:leader="dot" w:pos="8290"/>
            </w:tabs>
            <w:rPr>
              <w:rFonts w:eastAsiaTheme="minorEastAsia"/>
              <w:noProof/>
              <w:sz w:val="24"/>
              <w:szCs w:val="24"/>
              <w:lang w:val="en-GB"/>
            </w:rPr>
          </w:pPr>
          <w:r>
            <w:rPr>
              <w:noProof/>
            </w:rPr>
            <w:t>3. Recommendations for the evolution of individual program components:</w:t>
          </w:r>
          <w:r>
            <w:rPr>
              <w:noProof/>
            </w:rPr>
            <w:tab/>
          </w:r>
          <w:r>
            <w:rPr>
              <w:noProof/>
            </w:rPr>
            <w:fldChar w:fldCharType="begin"/>
          </w:r>
          <w:r>
            <w:rPr>
              <w:noProof/>
            </w:rPr>
            <w:instrText xml:space="preserve"> PAGEREF _Toc378838743 \h </w:instrText>
          </w:r>
          <w:r>
            <w:rPr>
              <w:noProof/>
            </w:rPr>
          </w:r>
          <w:r>
            <w:rPr>
              <w:noProof/>
            </w:rPr>
            <w:fldChar w:fldCharType="separate"/>
          </w:r>
          <w:r w:rsidR="00546A9F">
            <w:rPr>
              <w:noProof/>
            </w:rPr>
            <w:t>30</w:t>
          </w:r>
          <w:r>
            <w:rPr>
              <w:noProof/>
            </w:rPr>
            <w:fldChar w:fldCharType="end"/>
          </w:r>
        </w:p>
        <w:p w14:paraId="573B3D07" w14:textId="74BE97E5" w:rsidR="007321E6" w:rsidRDefault="007321E6">
          <w:pPr>
            <w:pStyle w:val="TOC3"/>
            <w:tabs>
              <w:tab w:val="right" w:leader="dot" w:pos="8290"/>
            </w:tabs>
            <w:rPr>
              <w:rFonts w:eastAsiaTheme="minorEastAsia"/>
              <w:i w:val="0"/>
              <w:noProof/>
              <w:sz w:val="24"/>
              <w:szCs w:val="24"/>
              <w:lang w:val="en-GB"/>
            </w:rPr>
          </w:pPr>
          <w:r w:rsidRPr="00236430">
            <w:rPr>
              <w:rFonts w:cstheme="majorHAnsi"/>
              <w:noProof/>
            </w:rPr>
            <w:t xml:space="preserve">(a) </w:t>
          </w:r>
          <w:r>
            <w:rPr>
              <w:noProof/>
            </w:rPr>
            <w:t>Support transition of two initiatives into GOTL</w:t>
          </w:r>
          <w:r>
            <w:rPr>
              <w:noProof/>
            </w:rPr>
            <w:tab/>
          </w:r>
          <w:r>
            <w:rPr>
              <w:noProof/>
            </w:rPr>
            <w:fldChar w:fldCharType="begin"/>
          </w:r>
          <w:r>
            <w:rPr>
              <w:noProof/>
            </w:rPr>
            <w:instrText xml:space="preserve"> PAGEREF _Toc378838744 \h </w:instrText>
          </w:r>
          <w:r>
            <w:rPr>
              <w:noProof/>
            </w:rPr>
          </w:r>
          <w:r>
            <w:rPr>
              <w:noProof/>
            </w:rPr>
            <w:fldChar w:fldCharType="separate"/>
          </w:r>
          <w:r w:rsidR="00546A9F">
            <w:rPr>
              <w:noProof/>
            </w:rPr>
            <w:t>30</w:t>
          </w:r>
          <w:r>
            <w:rPr>
              <w:noProof/>
            </w:rPr>
            <w:fldChar w:fldCharType="end"/>
          </w:r>
        </w:p>
        <w:p w14:paraId="16A1220B" w14:textId="0510E2E1" w:rsidR="007321E6" w:rsidRDefault="007321E6">
          <w:pPr>
            <w:pStyle w:val="TOC3"/>
            <w:tabs>
              <w:tab w:val="right" w:leader="dot" w:pos="8290"/>
            </w:tabs>
            <w:rPr>
              <w:rFonts w:eastAsiaTheme="minorEastAsia"/>
              <w:i w:val="0"/>
              <w:noProof/>
              <w:sz w:val="24"/>
              <w:szCs w:val="24"/>
              <w:lang w:val="en-GB"/>
            </w:rPr>
          </w:pPr>
          <w:r w:rsidRPr="00236430">
            <w:rPr>
              <w:rFonts w:cstheme="majorHAnsi"/>
              <w:noProof/>
            </w:rPr>
            <w:t xml:space="preserve">(b) </w:t>
          </w:r>
          <w:r>
            <w:rPr>
              <w:noProof/>
            </w:rPr>
            <w:t>Modify two investments that will need to continue for the duration of the bilateral program</w:t>
          </w:r>
          <w:r>
            <w:rPr>
              <w:noProof/>
            </w:rPr>
            <w:tab/>
          </w:r>
          <w:r>
            <w:rPr>
              <w:noProof/>
            </w:rPr>
            <w:fldChar w:fldCharType="begin"/>
          </w:r>
          <w:r>
            <w:rPr>
              <w:noProof/>
            </w:rPr>
            <w:instrText xml:space="preserve"> PAGEREF _Toc378838745 \h </w:instrText>
          </w:r>
          <w:r>
            <w:rPr>
              <w:noProof/>
            </w:rPr>
          </w:r>
          <w:r>
            <w:rPr>
              <w:noProof/>
            </w:rPr>
            <w:fldChar w:fldCharType="separate"/>
          </w:r>
          <w:r w:rsidR="00546A9F">
            <w:rPr>
              <w:noProof/>
            </w:rPr>
            <w:t>30</w:t>
          </w:r>
          <w:r>
            <w:rPr>
              <w:noProof/>
            </w:rPr>
            <w:fldChar w:fldCharType="end"/>
          </w:r>
        </w:p>
        <w:p w14:paraId="3EA3B412" w14:textId="6E4E3C62" w:rsidR="007321E6" w:rsidRDefault="007321E6">
          <w:pPr>
            <w:pStyle w:val="TOC3"/>
            <w:tabs>
              <w:tab w:val="right" w:leader="dot" w:pos="8290"/>
            </w:tabs>
            <w:rPr>
              <w:rFonts w:eastAsiaTheme="minorEastAsia"/>
              <w:i w:val="0"/>
              <w:noProof/>
              <w:sz w:val="24"/>
              <w:szCs w:val="24"/>
              <w:lang w:val="en-GB"/>
            </w:rPr>
          </w:pPr>
          <w:r>
            <w:rPr>
              <w:noProof/>
            </w:rPr>
            <w:t>(c) Begin three new investments</w:t>
          </w:r>
          <w:r>
            <w:rPr>
              <w:noProof/>
            </w:rPr>
            <w:tab/>
          </w:r>
          <w:r>
            <w:rPr>
              <w:noProof/>
            </w:rPr>
            <w:fldChar w:fldCharType="begin"/>
          </w:r>
          <w:r>
            <w:rPr>
              <w:noProof/>
            </w:rPr>
            <w:instrText xml:space="preserve"> PAGEREF _Toc378838746 \h </w:instrText>
          </w:r>
          <w:r>
            <w:rPr>
              <w:noProof/>
            </w:rPr>
          </w:r>
          <w:r>
            <w:rPr>
              <w:noProof/>
            </w:rPr>
            <w:fldChar w:fldCharType="separate"/>
          </w:r>
          <w:r w:rsidR="00546A9F">
            <w:rPr>
              <w:noProof/>
            </w:rPr>
            <w:t>32</w:t>
          </w:r>
          <w:r>
            <w:rPr>
              <w:noProof/>
            </w:rPr>
            <w:fldChar w:fldCharType="end"/>
          </w:r>
        </w:p>
        <w:p w14:paraId="293FF999" w14:textId="2EBD0450" w:rsidR="007321E6" w:rsidRDefault="007321E6">
          <w:pPr>
            <w:pStyle w:val="TOC2"/>
            <w:tabs>
              <w:tab w:val="right" w:leader="dot" w:pos="8290"/>
            </w:tabs>
            <w:rPr>
              <w:rFonts w:eastAsiaTheme="minorEastAsia"/>
              <w:noProof/>
              <w:sz w:val="24"/>
              <w:szCs w:val="24"/>
              <w:lang w:val="en-GB"/>
            </w:rPr>
          </w:pPr>
          <w:r>
            <w:rPr>
              <w:noProof/>
            </w:rPr>
            <w:t>4. Suggestions for a ‘Whole-of-PHD’ approach</w:t>
          </w:r>
          <w:r>
            <w:rPr>
              <w:noProof/>
            </w:rPr>
            <w:tab/>
          </w:r>
          <w:r>
            <w:rPr>
              <w:noProof/>
            </w:rPr>
            <w:fldChar w:fldCharType="begin"/>
          </w:r>
          <w:r>
            <w:rPr>
              <w:noProof/>
            </w:rPr>
            <w:instrText xml:space="preserve"> PAGEREF _Toc378838747 \h </w:instrText>
          </w:r>
          <w:r>
            <w:rPr>
              <w:noProof/>
            </w:rPr>
          </w:r>
          <w:r>
            <w:rPr>
              <w:noProof/>
            </w:rPr>
            <w:fldChar w:fldCharType="separate"/>
          </w:r>
          <w:r w:rsidR="00546A9F">
            <w:rPr>
              <w:noProof/>
            </w:rPr>
            <w:t>33</w:t>
          </w:r>
          <w:r>
            <w:rPr>
              <w:noProof/>
            </w:rPr>
            <w:fldChar w:fldCharType="end"/>
          </w:r>
        </w:p>
        <w:p w14:paraId="16571B02" w14:textId="5B7B06ED" w:rsidR="007321E6" w:rsidRDefault="007321E6">
          <w:pPr>
            <w:pStyle w:val="TOC2"/>
            <w:tabs>
              <w:tab w:val="right" w:leader="dot" w:pos="8290"/>
            </w:tabs>
            <w:rPr>
              <w:rFonts w:eastAsiaTheme="minorEastAsia"/>
              <w:noProof/>
              <w:sz w:val="24"/>
              <w:szCs w:val="24"/>
              <w:lang w:val="en-GB"/>
            </w:rPr>
          </w:pPr>
          <w:r>
            <w:rPr>
              <w:noProof/>
            </w:rPr>
            <w:t>5. Suggestions for what the program will not include</w:t>
          </w:r>
          <w:r>
            <w:rPr>
              <w:noProof/>
            </w:rPr>
            <w:tab/>
          </w:r>
          <w:r>
            <w:rPr>
              <w:noProof/>
            </w:rPr>
            <w:fldChar w:fldCharType="begin"/>
          </w:r>
          <w:r>
            <w:rPr>
              <w:noProof/>
            </w:rPr>
            <w:instrText xml:space="preserve"> PAGEREF _Toc378838748 \h </w:instrText>
          </w:r>
          <w:r>
            <w:rPr>
              <w:noProof/>
            </w:rPr>
          </w:r>
          <w:r>
            <w:rPr>
              <w:noProof/>
            </w:rPr>
            <w:fldChar w:fldCharType="separate"/>
          </w:r>
          <w:r w:rsidR="00546A9F">
            <w:rPr>
              <w:noProof/>
            </w:rPr>
            <w:t>34</w:t>
          </w:r>
          <w:r>
            <w:rPr>
              <w:noProof/>
            </w:rPr>
            <w:fldChar w:fldCharType="end"/>
          </w:r>
        </w:p>
        <w:p w14:paraId="26B3C696" w14:textId="4EAF78A8" w:rsidR="007321E6" w:rsidRDefault="007321E6">
          <w:pPr>
            <w:pStyle w:val="TOC2"/>
            <w:tabs>
              <w:tab w:val="right" w:leader="dot" w:pos="8290"/>
            </w:tabs>
            <w:rPr>
              <w:rFonts w:eastAsiaTheme="minorEastAsia"/>
              <w:noProof/>
              <w:sz w:val="24"/>
              <w:szCs w:val="24"/>
              <w:lang w:val="en-GB"/>
            </w:rPr>
          </w:pPr>
          <w:r>
            <w:rPr>
              <w:noProof/>
            </w:rPr>
            <w:t>6. Recommendations for theory of change, M&amp;E and reporting</w:t>
          </w:r>
          <w:r>
            <w:rPr>
              <w:noProof/>
            </w:rPr>
            <w:tab/>
          </w:r>
          <w:r>
            <w:rPr>
              <w:noProof/>
            </w:rPr>
            <w:fldChar w:fldCharType="begin"/>
          </w:r>
          <w:r>
            <w:rPr>
              <w:noProof/>
            </w:rPr>
            <w:instrText xml:space="preserve"> PAGEREF _Toc378838749 \h </w:instrText>
          </w:r>
          <w:r>
            <w:rPr>
              <w:noProof/>
            </w:rPr>
          </w:r>
          <w:r>
            <w:rPr>
              <w:noProof/>
            </w:rPr>
            <w:fldChar w:fldCharType="separate"/>
          </w:r>
          <w:r w:rsidR="00546A9F">
            <w:rPr>
              <w:noProof/>
            </w:rPr>
            <w:t>34</w:t>
          </w:r>
          <w:r>
            <w:rPr>
              <w:noProof/>
            </w:rPr>
            <w:fldChar w:fldCharType="end"/>
          </w:r>
        </w:p>
        <w:p w14:paraId="59D63E6F" w14:textId="76FAD14B" w:rsidR="007321E6" w:rsidRDefault="007321E6">
          <w:pPr>
            <w:pStyle w:val="TOC1"/>
            <w:tabs>
              <w:tab w:val="right" w:leader="dot" w:pos="8290"/>
            </w:tabs>
            <w:rPr>
              <w:rFonts w:asciiTheme="minorHAnsi" w:eastAsiaTheme="minorEastAsia" w:hAnsiTheme="minorHAnsi"/>
              <w:b w:val="0"/>
              <w:noProof/>
              <w:color w:val="auto"/>
              <w:lang w:val="en-GB"/>
            </w:rPr>
          </w:pPr>
          <w:r>
            <w:rPr>
              <w:noProof/>
            </w:rPr>
            <w:t>RISKS</w:t>
          </w:r>
          <w:r>
            <w:rPr>
              <w:noProof/>
            </w:rPr>
            <w:tab/>
          </w:r>
          <w:r>
            <w:rPr>
              <w:noProof/>
            </w:rPr>
            <w:fldChar w:fldCharType="begin"/>
          </w:r>
          <w:r>
            <w:rPr>
              <w:noProof/>
            </w:rPr>
            <w:instrText xml:space="preserve"> PAGEREF _Toc378838750 \h </w:instrText>
          </w:r>
          <w:r>
            <w:rPr>
              <w:noProof/>
            </w:rPr>
          </w:r>
          <w:r>
            <w:rPr>
              <w:noProof/>
            </w:rPr>
            <w:fldChar w:fldCharType="separate"/>
          </w:r>
          <w:r w:rsidR="00546A9F">
            <w:rPr>
              <w:noProof/>
            </w:rPr>
            <w:t>37</w:t>
          </w:r>
          <w:r>
            <w:rPr>
              <w:noProof/>
            </w:rPr>
            <w:fldChar w:fldCharType="end"/>
          </w:r>
        </w:p>
        <w:p w14:paraId="0B260F47" w14:textId="12F0270C" w:rsidR="007321E6" w:rsidRDefault="007321E6">
          <w:pPr>
            <w:pStyle w:val="TOC1"/>
            <w:tabs>
              <w:tab w:val="right" w:leader="dot" w:pos="8290"/>
            </w:tabs>
            <w:rPr>
              <w:rFonts w:asciiTheme="minorHAnsi" w:eastAsiaTheme="minorEastAsia" w:hAnsiTheme="minorHAnsi"/>
              <w:b w:val="0"/>
              <w:noProof/>
              <w:color w:val="auto"/>
              <w:lang w:val="en-GB"/>
            </w:rPr>
          </w:pPr>
          <w:r>
            <w:rPr>
              <w:noProof/>
            </w:rPr>
            <w:t>CONCLUSIONS</w:t>
          </w:r>
          <w:r>
            <w:rPr>
              <w:noProof/>
            </w:rPr>
            <w:tab/>
          </w:r>
          <w:r>
            <w:rPr>
              <w:noProof/>
            </w:rPr>
            <w:fldChar w:fldCharType="begin"/>
          </w:r>
          <w:r>
            <w:rPr>
              <w:noProof/>
            </w:rPr>
            <w:instrText xml:space="preserve"> PAGEREF _Toc378838751 \h </w:instrText>
          </w:r>
          <w:r>
            <w:rPr>
              <w:noProof/>
            </w:rPr>
          </w:r>
          <w:r>
            <w:rPr>
              <w:noProof/>
            </w:rPr>
            <w:fldChar w:fldCharType="separate"/>
          </w:r>
          <w:r w:rsidR="00546A9F">
            <w:rPr>
              <w:noProof/>
            </w:rPr>
            <w:t>38</w:t>
          </w:r>
          <w:r>
            <w:rPr>
              <w:noProof/>
            </w:rPr>
            <w:fldChar w:fldCharType="end"/>
          </w:r>
        </w:p>
        <w:p w14:paraId="4E24E04C" w14:textId="5AAD4506" w:rsidR="007321E6" w:rsidRDefault="007321E6">
          <w:pPr>
            <w:pStyle w:val="TOC1"/>
            <w:tabs>
              <w:tab w:val="right" w:leader="dot" w:pos="8290"/>
            </w:tabs>
            <w:rPr>
              <w:rFonts w:asciiTheme="minorHAnsi" w:eastAsiaTheme="minorEastAsia" w:hAnsiTheme="minorHAnsi"/>
              <w:b w:val="0"/>
              <w:noProof/>
              <w:color w:val="auto"/>
              <w:lang w:val="en-GB"/>
            </w:rPr>
          </w:pPr>
          <w:r>
            <w:rPr>
              <w:noProof/>
            </w:rPr>
            <w:t>BIBLIOGRAPHY</w:t>
          </w:r>
          <w:r>
            <w:rPr>
              <w:noProof/>
            </w:rPr>
            <w:tab/>
          </w:r>
          <w:r>
            <w:rPr>
              <w:noProof/>
            </w:rPr>
            <w:fldChar w:fldCharType="begin"/>
          </w:r>
          <w:r>
            <w:rPr>
              <w:noProof/>
            </w:rPr>
            <w:instrText xml:space="preserve"> PAGEREF _Toc378838752 \h </w:instrText>
          </w:r>
          <w:r>
            <w:rPr>
              <w:noProof/>
            </w:rPr>
          </w:r>
          <w:r>
            <w:rPr>
              <w:noProof/>
            </w:rPr>
            <w:fldChar w:fldCharType="separate"/>
          </w:r>
          <w:r w:rsidR="00546A9F">
            <w:rPr>
              <w:noProof/>
            </w:rPr>
            <w:t>40</w:t>
          </w:r>
          <w:r>
            <w:rPr>
              <w:noProof/>
            </w:rPr>
            <w:fldChar w:fldCharType="end"/>
          </w:r>
        </w:p>
        <w:p w14:paraId="77BDA4B7" w14:textId="165CB264" w:rsidR="007321E6" w:rsidRDefault="007321E6">
          <w:pPr>
            <w:pStyle w:val="TOC1"/>
            <w:tabs>
              <w:tab w:val="right" w:leader="dot" w:pos="8290"/>
            </w:tabs>
            <w:rPr>
              <w:rFonts w:asciiTheme="minorHAnsi" w:eastAsiaTheme="minorEastAsia" w:hAnsiTheme="minorHAnsi"/>
              <w:b w:val="0"/>
              <w:noProof/>
              <w:color w:val="auto"/>
              <w:lang w:val="en-GB"/>
            </w:rPr>
          </w:pPr>
          <w:r>
            <w:rPr>
              <w:noProof/>
            </w:rPr>
            <w:t>ANNEXES</w:t>
          </w:r>
          <w:r>
            <w:rPr>
              <w:noProof/>
            </w:rPr>
            <w:tab/>
          </w:r>
          <w:r>
            <w:rPr>
              <w:noProof/>
            </w:rPr>
            <w:fldChar w:fldCharType="begin"/>
          </w:r>
          <w:r>
            <w:rPr>
              <w:noProof/>
            </w:rPr>
            <w:instrText xml:space="preserve"> PAGEREF _Toc378838753 \h </w:instrText>
          </w:r>
          <w:r>
            <w:rPr>
              <w:noProof/>
            </w:rPr>
          </w:r>
          <w:r>
            <w:rPr>
              <w:noProof/>
            </w:rPr>
            <w:fldChar w:fldCharType="separate"/>
          </w:r>
          <w:r w:rsidR="00546A9F">
            <w:rPr>
              <w:noProof/>
            </w:rPr>
            <w:t>43</w:t>
          </w:r>
          <w:r>
            <w:rPr>
              <w:noProof/>
            </w:rPr>
            <w:fldChar w:fldCharType="end"/>
          </w:r>
        </w:p>
        <w:p w14:paraId="4164E9E8" w14:textId="77777777" w:rsidR="002A2C19" w:rsidRPr="00267B79" w:rsidRDefault="00291051">
          <w:pPr>
            <w:rPr>
              <w:rFonts w:asciiTheme="majorHAnsi" w:hAnsiTheme="majorHAnsi"/>
            </w:rPr>
          </w:pPr>
          <w:r w:rsidRPr="008B233E">
            <w:rPr>
              <w:rFonts w:asciiTheme="majorHAnsi" w:hAnsiTheme="majorHAnsi"/>
            </w:rPr>
            <w:fldChar w:fldCharType="end"/>
          </w:r>
        </w:p>
      </w:sdtContent>
    </w:sdt>
    <w:p w14:paraId="576E32A3" w14:textId="327C583F" w:rsidR="00071E87" w:rsidRPr="00267B79" w:rsidRDefault="008B233E">
      <w:pPr>
        <w:rPr>
          <w:rFonts w:asciiTheme="majorHAnsi" w:eastAsiaTheme="majorEastAsia" w:hAnsiTheme="majorHAnsi" w:cstheme="majorBidi"/>
          <w:spacing w:val="-10"/>
          <w:kern w:val="28"/>
          <w:sz w:val="56"/>
          <w:szCs w:val="56"/>
          <w:lang w:val="en-AU"/>
        </w:rPr>
      </w:pPr>
      <w:r w:rsidRPr="008B233E">
        <w:rPr>
          <w:rFonts w:asciiTheme="majorHAnsi" w:hAnsiTheme="majorHAnsi"/>
        </w:rPr>
        <w:br w:type="page"/>
      </w:r>
    </w:p>
    <w:p w14:paraId="39996A63" w14:textId="01C1C53B" w:rsidR="00A84923" w:rsidRPr="00267B79" w:rsidRDefault="00C9652B" w:rsidP="00C85D03">
      <w:pPr>
        <w:pStyle w:val="Heading1"/>
        <w:jc w:val="both"/>
      </w:pPr>
      <w:bookmarkStart w:id="1" w:name="_Toc378838718"/>
      <w:r w:rsidRPr="00267B79">
        <w:lastRenderedPageBreak/>
        <w:t xml:space="preserve">EXECUTIVE </w:t>
      </w:r>
      <w:r w:rsidR="00071E87" w:rsidRPr="00267B79">
        <w:t>S</w:t>
      </w:r>
      <w:r w:rsidR="00A84923" w:rsidRPr="00267B79">
        <w:t>UMMARY</w:t>
      </w:r>
      <w:bookmarkEnd w:id="1"/>
    </w:p>
    <w:p w14:paraId="4D932344" w14:textId="77777777" w:rsidR="00AE2EF9" w:rsidRPr="00267B79" w:rsidRDefault="00AE2EF9" w:rsidP="00C85D03">
      <w:pPr>
        <w:jc w:val="both"/>
        <w:rPr>
          <w:rFonts w:asciiTheme="majorHAnsi" w:hAnsiTheme="majorHAnsi"/>
          <w:sz w:val="20"/>
          <w:highlight w:val="cyan"/>
        </w:rPr>
      </w:pPr>
    </w:p>
    <w:p w14:paraId="20BCD699" w14:textId="77777777" w:rsidR="008B233E" w:rsidRPr="008B233E" w:rsidRDefault="008B233E" w:rsidP="00C85D03">
      <w:pPr>
        <w:jc w:val="both"/>
        <w:rPr>
          <w:rFonts w:asciiTheme="majorHAnsi" w:hAnsiTheme="majorHAnsi"/>
          <w:b/>
          <w:szCs w:val="22"/>
        </w:rPr>
      </w:pPr>
      <w:r w:rsidRPr="008B233E">
        <w:rPr>
          <w:rFonts w:asciiTheme="majorHAnsi" w:hAnsiTheme="majorHAnsi"/>
          <w:b/>
          <w:szCs w:val="22"/>
        </w:rPr>
        <w:t>Introduction</w:t>
      </w:r>
    </w:p>
    <w:p w14:paraId="07817ED5" w14:textId="77777777" w:rsidR="008B233E" w:rsidRPr="008B233E" w:rsidRDefault="008B233E" w:rsidP="00C85D03">
      <w:pPr>
        <w:jc w:val="both"/>
        <w:rPr>
          <w:rFonts w:asciiTheme="majorHAnsi" w:hAnsiTheme="majorHAnsi"/>
          <w:szCs w:val="22"/>
        </w:rPr>
      </w:pPr>
    </w:p>
    <w:p w14:paraId="0DEB5D4A" w14:textId="77777777" w:rsidR="008B233E" w:rsidRPr="008B233E" w:rsidRDefault="008B233E" w:rsidP="00C85D03">
      <w:pPr>
        <w:jc w:val="both"/>
        <w:rPr>
          <w:rFonts w:asciiTheme="majorHAnsi" w:hAnsiTheme="majorHAnsi" w:cstheme="majorHAnsi"/>
          <w:szCs w:val="22"/>
        </w:rPr>
      </w:pPr>
      <w:r w:rsidRPr="008B233E">
        <w:rPr>
          <w:rFonts w:asciiTheme="majorHAnsi" w:hAnsiTheme="majorHAnsi"/>
          <w:szCs w:val="22"/>
        </w:rPr>
        <w:t>Based on findings obtained through a range of quantitative and qualitative methods, t</w:t>
      </w:r>
      <w:r w:rsidRPr="008B233E">
        <w:rPr>
          <w:rFonts w:asciiTheme="majorHAnsi" w:hAnsiTheme="majorHAnsi" w:cstheme="majorHAnsi"/>
          <w:szCs w:val="22"/>
        </w:rPr>
        <w:t>his Review: (i) analyses the strengths and gaps in Timor-Leste’s health sector, with specific reference to reproductive, maternal, neonatal and child health (RMNCH) and the wider systemic factors that affect it; (ii) gauges the performance, relevance, appropriateness and sustainability of ongoing Australian bilateral RMNCH and related health sector investments; (ii) identifies opportunities to improve the program; and (iii) makes recommendations for redesigning the program.</w:t>
      </w:r>
    </w:p>
    <w:p w14:paraId="1966A44C" w14:textId="77777777" w:rsidR="008B233E" w:rsidRPr="008B233E" w:rsidRDefault="008B233E" w:rsidP="00C85D03">
      <w:pPr>
        <w:jc w:val="both"/>
        <w:rPr>
          <w:rFonts w:asciiTheme="majorHAnsi" w:hAnsiTheme="majorHAnsi"/>
          <w:b/>
          <w:szCs w:val="22"/>
        </w:rPr>
      </w:pPr>
    </w:p>
    <w:p w14:paraId="11B9A4DF" w14:textId="77777777" w:rsidR="008B233E" w:rsidRPr="008B233E" w:rsidRDefault="008B233E" w:rsidP="00C85D03">
      <w:pPr>
        <w:jc w:val="both"/>
        <w:rPr>
          <w:rFonts w:asciiTheme="majorHAnsi" w:hAnsiTheme="majorHAnsi"/>
          <w:b/>
          <w:szCs w:val="22"/>
        </w:rPr>
      </w:pPr>
      <w:r w:rsidRPr="008B233E">
        <w:rPr>
          <w:rFonts w:asciiTheme="majorHAnsi" w:hAnsiTheme="majorHAnsi"/>
          <w:b/>
          <w:szCs w:val="22"/>
        </w:rPr>
        <w:t>Context: strengths and gaps of Timor-Leste’s health system</w:t>
      </w:r>
    </w:p>
    <w:p w14:paraId="19F6A767" w14:textId="77777777" w:rsidR="008B233E" w:rsidRPr="008B233E" w:rsidRDefault="008B233E" w:rsidP="00C85D03">
      <w:pPr>
        <w:jc w:val="both"/>
        <w:rPr>
          <w:rFonts w:asciiTheme="majorHAnsi" w:hAnsiTheme="majorHAnsi"/>
          <w:szCs w:val="22"/>
        </w:rPr>
      </w:pPr>
    </w:p>
    <w:p w14:paraId="2680CA39" w14:textId="77777777" w:rsidR="008B233E" w:rsidRPr="008B233E" w:rsidRDefault="008B233E" w:rsidP="00C85D03">
      <w:pPr>
        <w:jc w:val="both"/>
        <w:rPr>
          <w:rFonts w:asciiTheme="majorHAnsi" w:hAnsiTheme="majorHAnsi"/>
          <w:szCs w:val="22"/>
        </w:rPr>
      </w:pPr>
      <w:r w:rsidRPr="008B233E">
        <w:rPr>
          <w:rFonts w:asciiTheme="majorHAnsi" w:hAnsiTheme="majorHAnsi"/>
          <w:szCs w:val="22"/>
        </w:rPr>
        <w:t xml:space="preserve">Timor-Leste’s infant and child mortality rates have each declined by about one-third since 2009-10, but neonatal mortality (i.e., in the first four weeks of life) has decreased </w:t>
      </w:r>
      <w:r w:rsidR="00FE5461">
        <w:rPr>
          <w:rFonts w:asciiTheme="majorHAnsi" w:hAnsiTheme="majorHAnsi"/>
          <w:szCs w:val="22"/>
        </w:rPr>
        <w:t xml:space="preserve">by </w:t>
      </w:r>
      <w:r w:rsidRPr="008B233E">
        <w:rPr>
          <w:rFonts w:asciiTheme="majorHAnsi" w:hAnsiTheme="majorHAnsi"/>
          <w:szCs w:val="22"/>
        </w:rPr>
        <w:t>only 14%</w:t>
      </w:r>
      <w:r w:rsidRPr="008B233E">
        <w:rPr>
          <w:rStyle w:val="FootnoteReference"/>
          <w:rFonts w:asciiTheme="majorHAnsi" w:hAnsiTheme="majorHAnsi"/>
          <w:szCs w:val="22"/>
        </w:rPr>
        <w:footnoteReference w:id="1"/>
      </w:r>
      <w:r w:rsidRPr="008B233E">
        <w:rPr>
          <w:rFonts w:asciiTheme="majorHAnsi" w:hAnsiTheme="majorHAnsi"/>
          <w:szCs w:val="22"/>
        </w:rPr>
        <w:t xml:space="preserve">, and neonatal deaths now account for almost half of all deaths among children under five. The current level of maternal mortality is unknown at the time of writing, but it is plausible that </w:t>
      </w:r>
      <w:r w:rsidR="002B1481">
        <w:rPr>
          <w:rFonts w:asciiTheme="majorHAnsi" w:hAnsiTheme="majorHAnsi"/>
          <w:szCs w:val="22"/>
        </w:rPr>
        <w:t>it</w:t>
      </w:r>
      <w:r w:rsidRPr="008B233E">
        <w:rPr>
          <w:rFonts w:asciiTheme="majorHAnsi" w:hAnsiTheme="majorHAnsi"/>
          <w:szCs w:val="22"/>
        </w:rPr>
        <w:t xml:space="preserve"> remain</w:t>
      </w:r>
      <w:r w:rsidR="002B1481">
        <w:rPr>
          <w:rFonts w:asciiTheme="majorHAnsi" w:hAnsiTheme="majorHAnsi"/>
          <w:szCs w:val="22"/>
        </w:rPr>
        <w:t>s</w:t>
      </w:r>
      <w:r w:rsidRPr="008B233E">
        <w:rPr>
          <w:rFonts w:asciiTheme="majorHAnsi" w:hAnsiTheme="majorHAnsi"/>
          <w:szCs w:val="22"/>
        </w:rPr>
        <w:t xml:space="preserve"> high</w:t>
      </w:r>
      <w:r w:rsidR="002B1481">
        <w:rPr>
          <w:rFonts w:asciiTheme="majorHAnsi" w:hAnsiTheme="majorHAnsi"/>
          <w:szCs w:val="22"/>
        </w:rPr>
        <w:t>,</w:t>
      </w:r>
      <w:r w:rsidRPr="008B233E">
        <w:rPr>
          <w:rFonts w:asciiTheme="majorHAnsi" w:hAnsiTheme="majorHAnsi"/>
          <w:szCs w:val="22"/>
        </w:rPr>
        <w:t xml:space="preserve"> since maternal and neonatal health outcomes are both highly reliant on health system functionality</w:t>
      </w:r>
      <w:r w:rsidR="004C23AB">
        <w:rPr>
          <w:rFonts w:asciiTheme="majorHAnsi" w:hAnsiTheme="majorHAnsi"/>
          <w:szCs w:val="22"/>
        </w:rPr>
        <w:t xml:space="preserve"> (more so than post-neonatal health outcomes, which respond strongly to more ‘vertical’ interventions, such as immunization). </w:t>
      </w:r>
    </w:p>
    <w:p w14:paraId="35DAC233" w14:textId="77777777" w:rsidR="008B233E" w:rsidRPr="008B233E" w:rsidRDefault="008B233E" w:rsidP="00C85D03">
      <w:pPr>
        <w:jc w:val="both"/>
        <w:rPr>
          <w:rFonts w:asciiTheme="majorHAnsi" w:hAnsiTheme="majorHAnsi"/>
          <w:szCs w:val="22"/>
        </w:rPr>
      </w:pPr>
    </w:p>
    <w:p w14:paraId="24590209" w14:textId="4BAB5C05" w:rsidR="002B1481" w:rsidRDefault="008B233E" w:rsidP="00C85D03">
      <w:pPr>
        <w:jc w:val="both"/>
        <w:rPr>
          <w:rFonts w:asciiTheme="majorHAnsi" w:hAnsiTheme="majorHAnsi"/>
          <w:szCs w:val="22"/>
        </w:rPr>
      </w:pPr>
      <w:r w:rsidRPr="008B233E">
        <w:rPr>
          <w:rFonts w:asciiTheme="majorHAnsi" w:hAnsiTheme="majorHAnsi"/>
          <w:szCs w:val="22"/>
        </w:rPr>
        <w:t>Coverage of key RMNCH services has been improving at varying speeds</w:t>
      </w:r>
      <w:r w:rsidRPr="002B4B2A">
        <w:rPr>
          <w:rFonts w:asciiTheme="majorHAnsi" w:hAnsiTheme="majorHAnsi"/>
          <w:szCs w:val="22"/>
        </w:rPr>
        <w:t xml:space="preserve">. </w:t>
      </w:r>
      <w:r w:rsidRPr="00C85D03">
        <w:rPr>
          <w:rFonts w:asciiTheme="majorHAnsi" w:hAnsiTheme="majorHAnsi"/>
          <w:szCs w:val="22"/>
        </w:rPr>
        <w:t xml:space="preserve">Since 2009-10, </w:t>
      </w:r>
      <w:r w:rsidR="002B4B2A" w:rsidRPr="00C85D03">
        <w:rPr>
          <w:rFonts w:asciiTheme="majorHAnsi" w:hAnsiTheme="majorHAnsi"/>
          <w:szCs w:val="22"/>
        </w:rPr>
        <w:t>unmet need for family planning declined from 32% to 25%</w:t>
      </w:r>
      <w:r w:rsidR="002B4B2A" w:rsidRPr="00C85D03">
        <w:rPr>
          <w:rStyle w:val="FootnoteReference"/>
          <w:rFonts w:asciiTheme="majorHAnsi" w:hAnsiTheme="majorHAnsi"/>
          <w:szCs w:val="22"/>
        </w:rPr>
        <w:footnoteReference w:id="2"/>
      </w:r>
      <w:r w:rsidR="002B4B2A" w:rsidRPr="002B4B2A">
        <w:rPr>
          <w:rFonts w:asciiTheme="majorHAnsi" w:hAnsiTheme="majorHAnsi"/>
          <w:szCs w:val="22"/>
        </w:rPr>
        <w:t xml:space="preserve"> with an </w:t>
      </w:r>
      <w:r w:rsidR="00C979D5" w:rsidRPr="00C85D03">
        <w:rPr>
          <w:rFonts w:asciiTheme="majorHAnsi" w:hAnsiTheme="majorHAnsi"/>
          <w:szCs w:val="22"/>
        </w:rPr>
        <w:t xml:space="preserve">increased in the use </w:t>
      </w:r>
      <w:r w:rsidRPr="00C85D03">
        <w:rPr>
          <w:rFonts w:asciiTheme="majorHAnsi" w:hAnsiTheme="majorHAnsi"/>
          <w:szCs w:val="22"/>
        </w:rPr>
        <w:t xml:space="preserve">of family planning by </w:t>
      </w:r>
      <w:r w:rsidR="00C979D5" w:rsidRPr="00C85D03">
        <w:rPr>
          <w:rFonts w:asciiTheme="majorHAnsi" w:hAnsiTheme="majorHAnsi"/>
          <w:szCs w:val="22"/>
        </w:rPr>
        <w:t>4</w:t>
      </w:r>
      <w:r w:rsidRPr="00C85D03">
        <w:rPr>
          <w:rFonts w:asciiTheme="majorHAnsi" w:hAnsiTheme="majorHAnsi"/>
          <w:szCs w:val="22"/>
        </w:rPr>
        <w:t xml:space="preserve">% </w:t>
      </w:r>
      <w:r w:rsidR="00C979D5" w:rsidRPr="00C85D03">
        <w:rPr>
          <w:rFonts w:asciiTheme="majorHAnsi" w:hAnsiTheme="majorHAnsi"/>
          <w:szCs w:val="22"/>
        </w:rPr>
        <w:t>in any</w:t>
      </w:r>
      <w:r w:rsidR="006713E3" w:rsidRPr="00C85D03">
        <w:rPr>
          <w:rFonts w:asciiTheme="majorHAnsi" w:hAnsiTheme="majorHAnsi"/>
          <w:szCs w:val="22"/>
        </w:rPr>
        <w:t xml:space="preserve"> </w:t>
      </w:r>
      <w:r w:rsidRPr="00C85D03">
        <w:rPr>
          <w:rFonts w:asciiTheme="majorHAnsi" w:hAnsiTheme="majorHAnsi"/>
          <w:szCs w:val="22"/>
        </w:rPr>
        <w:t>metho</w:t>
      </w:r>
      <w:r w:rsidR="00322D71" w:rsidRPr="00C85D03">
        <w:rPr>
          <w:rFonts w:asciiTheme="majorHAnsi" w:hAnsiTheme="majorHAnsi"/>
          <w:szCs w:val="22"/>
        </w:rPr>
        <w:t>ds</w:t>
      </w:r>
      <w:r w:rsidR="002B4B2A">
        <w:rPr>
          <w:rFonts w:asciiTheme="majorHAnsi" w:hAnsiTheme="majorHAnsi"/>
          <w:szCs w:val="22"/>
        </w:rPr>
        <w:t>.</w:t>
      </w:r>
      <w:r w:rsidRPr="00C85D03">
        <w:rPr>
          <w:rFonts w:asciiTheme="majorHAnsi" w:hAnsiTheme="majorHAnsi"/>
          <w:szCs w:val="22"/>
        </w:rPr>
        <w:t xml:space="preserve"> </w:t>
      </w:r>
      <w:r w:rsidRPr="00FC09A8">
        <w:rPr>
          <w:rFonts w:asciiTheme="majorHAnsi" w:hAnsiTheme="majorHAnsi"/>
          <w:szCs w:val="22"/>
        </w:rPr>
        <w:t>For both antenatal care and postnatal care, uptake has improved by around 40%</w:t>
      </w:r>
      <w:r w:rsidR="002B1481">
        <w:rPr>
          <w:rFonts w:asciiTheme="majorHAnsi" w:hAnsiTheme="majorHAnsi"/>
          <w:szCs w:val="22"/>
        </w:rPr>
        <w:t xml:space="preserve"> of 2009-10 levels</w:t>
      </w:r>
      <w:r w:rsidRPr="00FC09A8">
        <w:rPr>
          <w:rFonts w:asciiTheme="majorHAnsi" w:hAnsiTheme="majorHAnsi"/>
          <w:szCs w:val="22"/>
        </w:rPr>
        <w:t xml:space="preserve">, while skilled care at delivery has more or less doubled. </w:t>
      </w:r>
    </w:p>
    <w:p w14:paraId="05AFCF24" w14:textId="77777777" w:rsidR="002B1481" w:rsidRDefault="002B1481" w:rsidP="00C85D03">
      <w:pPr>
        <w:jc w:val="both"/>
        <w:rPr>
          <w:rFonts w:asciiTheme="majorHAnsi" w:hAnsiTheme="majorHAnsi"/>
          <w:szCs w:val="22"/>
        </w:rPr>
      </w:pPr>
    </w:p>
    <w:p w14:paraId="44AA5093" w14:textId="77777777" w:rsidR="00B05300" w:rsidRPr="002B1481" w:rsidRDefault="008B233E" w:rsidP="00C85D03">
      <w:pPr>
        <w:jc w:val="both"/>
        <w:rPr>
          <w:rFonts w:asciiTheme="majorHAnsi" w:hAnsiTheme="majorHAnsi"/>
          <w:szCs w:val="22"/>
        </w:rPr>
      </w:pPr>
      <w:r w:rsidRPr="00FC09A8">
        <w:rPr>
          <w:rFonts w:asciiTheme="majorHAnsi" w:hAnsiTheme="majorHAnsi"/>
          <w:szCs w:val="22"/>
        </w:rPr>
        <w:t>Despite these encouraging trends</w:t>
      </w:r>
      <w:r w:rsidR="00F57AC9" w:rsidRPr="00FC09A8">
        <w:rPr>
          <w:rFonts w:asciiTheme="majorHAnsi" w:hAnsiTheme="majorHAnsi"/>
          <w:szCs w:val="22"/>
        </w:rPr>
        <w:t>, there are still inequities in access to services and in health outcomes. T</w:t>
      </w:r>
      <w:r w:rsidRPr="00FC09A8">
        <w:rPr>
          <w:rFonts w:asciiTheme="majorHAnsi" w:hAnsiTheme="majorHAnsi"/>
          <w:szCs w:val="22"/>
        </w:rPr>
        <w:t>here is considerable ro</w:t>
      </w:r>
      <w:r w:rsidR="00F57AC9" w:rsidRPr="00FC09A8">
        <w:rPr>
          <w:rFonts w:asciiTheme="majorHAnsi" w:hAnsiTheme="majorHAnsi"/>
          <w:szCs w:val="22"/>
        </w:rPr>
        <w:t>om to improve RMNCH service delivery</w:t>
      </w:r>
      <w:r w:rsidRPr="00FC09A8">
        <w:rPr>
          <w:rFonts w:asciiTheme="majorHAnsi" w:hAnsiTheme="majorHAnsi"/>
          <w:szCs w:val="22"/>
        </w:rPr>
        <w:t xml:space="preserve">, especially in relation to emergency obstetric and neonatal care (EmONC); to do this sustainably requires attention to the wider health system. All elements of the health system (stewardship, management, infrastructure, health workforce and service delivery) affect RMNCH. </w:t>
      </w:r>
      <w:r w:rsidRPr="002B4B2A">
        <w:rPr>
          <w:rFonts w:asciiTheme="majorHAnsi" w:hAnsiTheme="majorHAnsi"/>
          <w:szCs w:val="22"/>
        </w:rPr>
        <w:t xml:space="preserve">Gaps in infrastructure, equipment and supplies </w:t>
      </w:r>
      <w:r w:rsidR="00B05300" w:rsidRPr="002B4B2A">
        <w:rPr>
          <w:rFonts w:asciiTheme="majorHAnsi" w:hAnsiTheme="majorHAnsi" w:cstheme="majorHAnsi"/>
          <w:szCs w:val="22"/>
        </w:rPr>
        <w:t>undermine</w:t>
      </w:r>
      <w:r w:rsidRPr="002B4B2A">
        <w:rPr>
          <w:rFonts w:asciiTheme="majorHAnsi" w:hAnsiTheme="majorHAnsi"/>
          <w:szCs w:val="22"/>
        </w:rPr>
        <w:t xml:space="preserve"> health facility readiness,</w:t>
      </w:r>
      <w:r w:rsidRPr="00FC09A8">
        <w:rPr>
          <w:rFonts w:asciiTheme="majorHAnsi" w:hAnsiTheme="majorHAnsi"/>
          <w:szCs w:val="22"/>
        </w:rPr>
        <w:t xml:space="preserve"> </w:t>
      </w:r>
      <w:r w:rsidR="00B05300" w:rsidRPr="00FC09A8">
        <w:rPr>
          <w:rFonts w:asciiTheme="majorHAnsi" w:hAnsiTheme="majorHAnsi"/>
          <w:szCs w:val="22"/>
        </w:rPr>
        <w:t>thereby</w:t>
      </w:r>
      <w:r w:rsidRPr="00FC09A8">
        <w:rPr>
          <w:rFonts w:asciiTheme="majorHAnsi" w:hAnsiTheme="majorHAnsi"/>
          <w:szCs w:val="22"/>
        </w:rPr>
        <w:t xml:space="preserve"> </w:t>
      </w:r>
      <w:r w:rsidR="00B05300" w:rsidRPr="00FC09A8">
        <w:rPr>
          <w:rFonts w:asciiTheme="majorHAnsi" w:hAnsiTheme="majorHAnsi"/>
          <w:szCs w:val="22"/>
        </w:rPr>
        <w:t>compromising</w:t>
      </w:r>
      <w:r w:rsidRPr="00FC09A8">
        <w:rPr>
          <w:rFonts w:asciiTheme="majorHAnsi" w:hAnsiTheme="majorHAnsi"/>
          <w:szCs w:val="22"/>
        </w:rPr>
        <w:t xml:space="preserve"> </w:t>
      </w:r>
      <w:r w:rsidR="00007149" w:rsidRPr="00FC09A8">
        <w:rPr>
          <w:rFonts w:asciiTheme="majorHAnsi" w:hAnsiTheme="majorHAnsi"/>
          <w:szCs w:val="22"/>
        </w:rPr>
        <w:t>the</w:t>
      </w:r>
      <w:r w:rsidRPr="00FC09A8">
        <w:rPr>
          <w:rFonts w:asciiTheme="majorHAnsi" w:hAnsiTheme="majorHAnsi"/>
          <w:szCs w:val="22"/>
        </w:rPr>
        <w:t xml:space="preserve"> quality </w:t>
      </w:r>
      <w:r w:rsidR="00007149" w:rsidRPr="00FC09A8">
        <w:rPr>
          <w:rFonts w:asciiTheme="majorHAnsi" w:hAnsiTheme="majorHAnsi"/>
          <w:szCs w:val="22"/>
        </w:rPr>
        <w:t xml:space="preserve">of </w:t>
      </w:r>
      <w:r w:rsidRPr="00FC09A8">
        <w:rPr>
          <w:rFonts w:asciiTheme="majorHAnsi" w:hAnsiTheme="majorHAnsi"/>
          <w:szCs w:val="22"/>
        </w:rPr>
        <w:t>RMNCH services</w:t>
      </w:r>
      <w:r w:rsidR="00B05300" w:rsidRPr="00FC09A8">
        <w:rPr>
          <w:rFonts w:asciiTheme="majorHAnsi" w:hAnsiTheme="majorHAnsi" w:cstheme="majorHAnsi"/>
          <w:szCs w:val="22"/>
        </w:rPr>
        <w:t xml:space="preserve"> and tending to dampen demand from users. </w:t>
      </w:r>
    </w:p>
    <w:p w14:paraId="54E1EF98" w14:textId="77777777" w:rsidR="00B05300" w:rsidRPr="00FC09A8" w:rsidRDefault="00B05300" w:rsidP="00C85D03">
      <w:pPr>
        <w:jc w:val="both"/>
        <w:rPr>
          <w:rFonts w:asciiTheme="majorHAnsi" w:hAnsiTheme="majorHAnsi"/>
          <w:szCs w:val="22"/>
        </w:rPr>
      </w:pPr>
    </w:p>
    <w:p w14:paraId="7AB16C0A" w14:textId="05A36965" w:rsidR="00B66E9B" w:rsidRPr="00FC09A8" w:rsidRDefault="002B1481" w:rsidP="00C85D03">
      <w:pPr>
        <w:jc w:val="both"/>
        <w:rPr>
          <w:szCs w:val="22"/>
        </w:rPr>
      </w:pPr>
      <w:r>
        <w:rPr>
          <w:rFonts w:asciiTheme="majorHAnsi" w:hAnsiTheme="majorHAnsi"/>
          <w:szCs w:val="22"/>
        </w:rPr>
        <w:t>Timor-Leste’s d</w:t>
      </w:r>
      <w:r w:rsidR="008B233E" w:rsidRPr="00FC09A8">
        <w:rPr>
          <w:rFonts w:asciiTheme="majorHAnsi" w:hAnsiTheme="majorHAnsi"/>
          <w:szCs w:val="22"/>
        </w:rPr>
        <w:t xml:space="preserve">ecentralisation </w:t>
      </w:r>
      <w:r>
        <w:rPr>
          <w:rFonts w:asciiTheme="majorHAnsi" w:hAnsiTheme="majorHAnsi"/>
          <w:szCs w:val="22"/>
        </w:rPr>
        <w:t xml:space="preserve">policy </w:t>
      </w:r>
      <w:r w:rsidR="008B233E" w:rsidRPr="00FC09A8">
        <w:rPr>
          <w:rFonts w:asciiTheme="majorHAnsi" w:hAnsiTheme="majorHAnsi"/>
          <w:szCs w:val="22"/>
        </w:rPr>
        <w:t xml:space="preserve">poses new challenges, especially at municipality level, where management capacity is limited, financial flows are not timely, accountability is diffuse to the point of being non-existent, and citizens’ engagement in governance is low. Although total </w:t>
      </w:r>
      <w:r w:rsidR="00533C9B" w:rsidRPr="00FC09A8">
        <w:rPr>
          <w:rFonts w:asciiTheme="majorHAnsi" w:hAnsiTheme="majorHAnsi"/>
          <w:szCs w:val="22"/>
        </w:rPr>
        <w:t xml:space="preserve">national </w:t>
      </w:r>
      <w:r w:rsidR="008B233E" w:rsidRPr="00FC09A8">
        <w:rPr>
          <w:rFonts w:asciiTheme="majorHAnsi" w:hAnsiTheme="majorHAnsi"/>
          <w:szCs w:val="22"/>
        </w:rPr>
        <w:t xml:space="preserve">health spending is below international benchmarks </w:t>
      </w:r>
      <w:r w:rsidR="008B233E" w:rsidRPr="00FC09A8">
        <w:rPr>
          <w:rFonts w:asciiTheme="majorHAnsi" w:hAnsiTheme="majorHAnsi" w:cstheme="majorHAnsi"/>
          <w:szCs w:val="22"/>
        </w:rPr>
        <w:t>there is also significant scope for i</w:t>
      </w:r>
      <w:r w:rsidR="00533C9B" w:rsidRPr="00FC09A8">
        <w:rPr>
          <w:rFonts w:asciiTheme="majorHAnsi" w:hAnsiTheme="majorHAnsi" w:cstheme="majorHAnsi"/>
          <w:szCs w:val="22"/>
        </w:rPr>
        <w:t>ncreasing efficiency</w:t>
      </w:r>
      <w:r w:rsidR="008B233E" w:rsidRPr="00FC09A8">
        <w:rPr>
          <w:rFonts w:asciiTheme="majorHAnsi" w:hAnsiTheme="majorHAnsi" w:cstheme="majorHAnsi"/>
          <w:szCs w:val="22"/>
        </w:rPr>
        <w:t xml:space="preserve">, </w:t>
      </w:r>
      <w:r>
        <w:rPr>
          <w:rFonts w:asciiTheme="majorHAnsi" w:hAnsiTheme="majorHAnsi" w:cstheme="majorHAnsi"/>
          <w:szCs w:val="22"/>
        </w:rPr>
        <w:t>e.g.,</w:t>
      </w:r>
      <w:r w:rsidR="008B233E" w:rsidRPr="00FC09A8">
        <w:rPr>
          <w:rFonts w:asciiTheme="majorHAnsi" w:hAnsiTheme="majorHAnsi" w:cstheme="majorHAnsi"/>
          <w:szCs w:val="22"/>
        </w:rPr>
        <w:t xml:space="preserve"> by allocating health workers more rationally. While </w:t>
      </w:r>
      <w:r w:rsidR="008B233E" w:rsidRPr="00FC09A8">
        <w:rPr>
          <w:rFonts w:asciiTheme="majorHAnsi" w:hAnsiTheme="majorHAnsi"/>
          <w:szCs w:val="22"/>
        </w:rPr>
        <w:t>recent growth of the medical workforce is welcome, many new doctors lack adequate clinical competences for RMNCH; poor skills are also common in other key RMNCH cadres</w:t>
      </w:r>
      <w:r w:rsidR="003713B3" w:rsidRPr="00FC09A8">
        <w:rPr>
          <w:rFonts w:asciiTheme="majorHAnsi" w:hAnsiTheme="majorHAnsi"/>
          <w:szCs w:val="22"/>
        </w:rPr>
        <w:t xml:space="preserve"> (e.g., </w:t>
      </w:r>
      <w:r w:rsidR="00BD65FC">
        <w:rPr>
          <w:rFonts w:asciiTheme="majorHAnsi" w:hAnsiTheme="majorHAnsi"/>
          <w:szCs w:val="22"/>
        </w:rPr>
        <w:t xml:space="preserve">nurses and </w:t>
      </w:r>
      <w:r w:rsidR="003713B3" w:rsidRPr="00FC09A8">
        <w:rPr>
          <w:rFonts w:asciiTheme="majorHAnsi" w:hAnsiTheme="majorHAnsi"/>
          <w:szCs w:val="22"/>
        </w:rPr>
        <w:t>midwives)</w:t>
      </w:r>
      <w:r w:rsidR="008B233E" w:rsidRPr="00FC09A8">
        <w:rPr>
          <w:rFonts w:asciiTheme="majorHAnsi" w:hAnsiTheme="majorHAnsi"/>
          <w:szCs w:val="22"/>
        </w:rPr>
        <w:t xml:space="preserve">, and </w:t>
      </w:r>
      <w:r w:rsidR="006D3A7A" w:rsidRPr="00FC09A8">
        <w:rPr>
          <w:rFonts w:asciiTheme="majorHAnsi" w:hAnsiTheme="majorHAnsi"/>
          <w:szCs w:val="22"/>
        </w:rPr>
        <w:t xml:space="preserve">geographical </w:t>
      </w:r>
      <w:r w:rsidR="008B233E" w:rsidRPr="00FC09A8">
        <w:rPr>
          <w:rFonts w:asciiTheme="majorHAnsi" w:hAnsiTheme="majorHAnsi"/>
          <w:szCs w:val="22"/>
        </w:rPr>
        <w:t xml:space="preserve">distribution of health professionals is inequitable. </w:t>
      </w:r>
    </w:p>
    <w:p w14:paraId="038AA2F7" w14:textId="77777777" w:rsidR="008B233E" w:rsidRPr="00FC09A8" w:rsidRDefault="008B233E" w:rsidP="00C85D03">
      <w:pPr>
        <w:jc w:val="both"/>
        <w:rPr>
          <w:rFonts w:asciiTheme="majorHAnsi" w:hAnsiTheme="majorHAnsi"/>
          <w:szCs w:val="22"/>
        </w:rPr>
      </w:pPr>
    </w:p>
    <w:p w14:paraId="00E7B251" w14:textId="77777777" w:rsidR="003F1157" w:rsidRDefault="003F1157" w:rsidP="00C85D03">
      <w:pPr>
        <w:jc w:val="both"/>
        <w:rPr>
          <w:rFonts w:asciiTheme="majorHAnsi" w:hAnsiTheme="majorHAnsi"/>
          <w:b/>
          <w:szCs w:val="22"/>
        </w:rPr>
      </w:pPr>
    </w:p>
    <w:p w14:paraId="7C5759B4" w14:textId="77777777" w:rsidR="003F1157" w:rsidRDefault="003F1157" w:rsidP="00C85D03">
      <w:pPr>
        <w:jc w:val="both"/>
        <w:rPr>
          <w:rFonts w:asciiTheme="majorHAnsi" w:hAnsiTheme="majorHAnsi"/>
          <w:b/>
          <w:szCs w:val="22"/>
        </w:rPr>
      </w:pPr>
    </w:p>
    <w:p w14:paraId="6F5FD77D" w14:textId="77777777" w:rsidR="003F1157" w:rsidRDefault="003F1157" w:rsidP="00C85D03">
      <w:pPr>
        <w:jc w:val="both"/>
        <w:rPr>
          <w:rFonts w:asciiTheme="majorHAnsi" w:hAnsiTheme="majorHAnsi"/>
          <w:b/>
          <w:szCs w:val="22"/>
        </w:rPr>
      </w:pPr>
    </w:p>
    <w:p w14:paraId="789A7D6C" w14:textId="41839109" w:rsidR="008B233E" w:rsidRPr="00FC09A8" w:rsidRDefault="008B233E" w:rsidP="00C85D03">
      <w:pPr>
        <w:jc w:val="both"/>
        <w:rPr>
          <w:rFonts w:asciiTheme="majorHAnsi" w:hAnsiTheme="majorHAnsi"/>
          <w:b/>
          <w:szCs w:val="22"/>
        </w:rPr>
      </w:pPr>
      <w:r w:rsidRPr="00FC09A8">
        <w:rPr>
          <w:rFonts w:asciiTheme="majorHAnsi" w:hAnsiTheme="majorHAnsi"/>
          <w:b/>
          <w:szCs w:val="22"/>
        </w:rPr>
        <w:lastRenderedPageBreak/>
        <w:t>Australia’s response</w:t>
      </w:r>
    </w:p>
    <w:p w14:paraId="59CA9211" w14:textId="77777777" w:rsidR="008B233E" w:rsidRPr="00FC09A8" w:rsidRDefault="008B233E" w:rsidP="00C85D03">
      <w:pPr>
        <w:jc w:val="both"/>
        <w:rPr>
          <w:rFonts w:asciiTheme="majorHAnsi" w:hAnsiTheme="majorHAnsi"/>
          <w:szCs w:val="22"/>
        </w:rPr>
      </w:pPr>
    </w:p>
    <w:p w14:paraId="4B527D80" w14:textId="77777777" w:rsidR="002B1481" w:rsidRDefault="00EC6DE7" w:rsidP="00C85D03">
      <w:pPr>
        <w:jc w:val="both"/>
        <w:rPr>
          <w:rFonts w:asciiTheme="majorHAnsi" w:hAnsiTheme="majorHAnsi"/>
          <w:szCs w:val="22"/>
        </w:rPr>
      </w:pPr>
      <w:r w:rsidRPr="00FC09A8">
        <w:rPr>
          <w:rFonts w:asciiTheme="majorHAnsi" w:hAnsiTheme="majorHAnsi"/>
          <w:szCs w:val="22"/>
        </w:rPr>
        <w:t>Since the early days of Timor-Leste’s independence</w:t>
      </w:r>
      <w:r w:rsidR="00AA7C0A" w:rsidRPr="00FC09A8">
        <w:rPr>
          <w:rFonts w:asciiTheme="majorHAnsi" w:hAnsiTheme="majorHAnsi"/>
          <w:szCs w:val="22"/>
        </w:rPr>
        <w:t>,</w:t>
      </w:r>
      <w:r w:rsidRPr="00FC09A8">
        <w:rPr>
          <w:rFonts w:asciiTheme="majorHAnsi" w:hAnsiTheme="majorHAnsi"/>
          <w:szCs w:val="22"/>
        </w:rPr>
        <w:t xml:space="preserve"> t</w:t>
      </w:r>
      <w:r w:rsidR="008B233E" w:rsidRPr="00FC09A8">
        <w:rPr>
          <w:rFonts w:asciiTheme="majorHAnsi" w:hAnsiTheme="majorHAnsi"/>
          <w:szCs w:val="22"/>
        </w:rPr>
        <w:t>he Government of Australia ha</w:t>
      </w:r>
      <w:r w:rsidRPr="00FC09A8">
        <w:rPr>
          <w:rFonts w:asciiTheme="majorHAnsi" w:hAnsiTheme="majorHAnsi"/>
          <w:szCs w:val="22"/>
        </w:rPr>
        <w:t>s</w:t>
      </w:r>
      <w:r w:rsidR="008B233E" w:rsidRPr="00FC09A8">
        <w:rPr>
          <w:rFonts w:asciiTheme="majorHAnsi" w:hAnsiTheme="majorHAnsi"/>
          <w:szCs w:val="22"/>
        </w:rPr>
        <w:t xml:space="preserve"> been </w:t>
      </w:r>
      <w:r w:rsidR="006A1FEA" w:rsidRPr="00FC09A8">
        <w:rPr>
          <w:rFonts w:asciiTheme="majorHAnsi" w:hAnsiTheme="majorHAnsi"/>
          <w:szCs w:val="22"/>
        </w:rPr>
        <w:t xml:space="preserve">providing aid </w:t>
      </w:r>
      <w:r w:rsidR="00C36425" w:rsidRPr="00FC09A8">
        <w:rPr>
          <w:rFonts w:asciiTheme="majorHAnsi" w:hAnsiTheme="majorHAnsi"/>
          <w:szCs w:val="22"/>
        </w:rPr>
        <w:t xml:space="preserve">to </w:t>
      </w:r>
      <w:r w:rsidR="00AA7C0A" w:rsidRPr="00FC09A8">
        <w:rPr>
          <w:rFonts w:asciiTheme="majorHAnsi" w:hAnsiTheme="majorHAnsi"/>
          <w:szCs w:val="22"/>
        </w:rPr>
        <w:t xml:space="preserve">the country’s </w:t>
      </w:r>
      <w:r w:rsidR="008B233E" w:rsidRPr="00FC09A8">
        <w:rPr>
          <w:rFonts w:asciiTheme="majorHAnsi" w:hAnsiTheme="majorHAnsi"/>
          <w:szCs w:val="22"/>
        </w:rPr>
        <w:t>health sector</w:t>
      </w:r>
      <w:r w:rsidR="00CC6AB3" w:rsidRPr="00FC09A8">
        <w:rPr>
          <w:rFonts w:asciiTheme="majorHAnsi" w:hAnsiTheme="majorHAnsi"/>
          <w:szCs w:val="22"/>
        </w:rPr>
        <w:t>, with a foc</w:t>
      </w:r>
      <w:r w:rsidRPr="00FC09A8">
        <w:rPr>
          <w:rFonts w:asciiTheme="majorHAnsi" w:hAnsiTheme="majorHAnsi"/>
          <w:szCs w:val="22"/>
        </w:rPr>
        <w:t>us on maternal and child health</w:t>
      </w:r>
      <w:r w:rsidR="008B233E" w:rsidRPr="00FC09A8">
        <w:rPr>
          <w:rFonts w:asciiTheme="majorHAnsi" w:hAnsiTheme="majorHAnsi"/>
          <w:szCs w:val="22"/>
        </w:rPr>
        <w:t>. Australia’s</w:t>
      </w:r>
      <w:r w:rsidRPr="00FC09A8">
        <w:rPr>
          <w:rFonts w:asciiTheme="majorHAnsi" w:hAnsiTheme="majorHAnsi"/>
          <w:szCs w:val="22"/>
        </w:rPr>
        <w:t xml:space="preserve"> response</w:t>
      </w:r>
      <w:r w:rsidR="008B233E" w:rsidRPr="00FC09A8">
        <w:rPr>
          <w:rFonts w:asciiTheme="majorHAnsi" w:hAnsiTheme="majorHAnsi"/>
          <w:szCs w:val="22"/>
        </w:rPr>
        <w:t xml:space="preserve"> include</w:t>
      </w:r>
      <w:r w:rsidRPr="00FC09A8">
        <w:rPr>
          <w:rFonts w:asciiTheme="majorHAnsi" w:hAnsiTheme="majorHAnsi"/>
          <w:szCs w:val="22"/>
        </w:rPr>
        <w:t>s</w:t>
      </w:r>
      <w:r w:rsidR="008B233E" w:rsidRPr="00FC09A8">
        <w:rPr>
          <w:rFonts w:asciiTheme="majorHAnsi" w:hAnsiTheme="majorHAnsi"/>
          <w:szCs w:val="22"/>
        </w:rPr>
        <w:t xml:space="preserve"> a bilateral health program </w:t>
      </w:r>
      <w:r w:rsidR="00AA7C0A" w:rsidRPr="00FC09A8">
        <w:rPr>
          <w:rFonts w:asciiTheme="majorHAnsi" w:hAnsiTheme="majorHAnsi"/>
          <w:szCs w:val="22"/>
        </w:rPr>
        <w:t xml:space="preserve">currently </w:t>
      </w:r>
      <w:r w:rsidR="008B233E" w:rsidRPr="00FC09A8">
        <w:rPr>
          <w:rFonts w:asciiTheme="majorHAnsi" w:hAnsiTheme="majorHAnsi"/>
          <w:szCs w:val="22"/>
        </w:rPr>
        <w:t>worth AUD 7.5 million per year</w:t>
      </w:r>
      <w:r w:rsidR="00470048" w:rsidRPr="00FC09A8">
        <w:rPr>
          <w:rFonts w:asciiTheme="majorHAnsi" w:hAnsiTheme="majorHAnsi"/>
          <w:szCs w:val="22"/>
        </w:rPr>
        <w:t>;</w:t>
      </w:r>
      <w:r w:rsidR="003D6269" w:rsidRPr="00FC09A8">
        <w:rPr>
          <w:rFonts w:asciiTheme="majorHAnsi" w:hAnsiTheme="majorHAnsi"/>
          <w:szCs w:val="22"/>
        </w:rPr>
        <w:t xml:space="preserve"> </w:t>
      </w:r>
      <w:r w:rsidR="00470048" w:rsidRPr="00FC09A8">
        <w:rPr>
          <w:rFonts w:asciiTheme="majorHAnsi" w:hAnsiTheme="majorHAnsi"/>
          <w:szCs w:val="22"/>
        </w:rPr>
        <w:t>this</w:t>
      </w:r>
      <w:r w:rsidR="003D6269" w:rsidRPr="00FC09A8">
        <w:rPr>
          <w:rFonts w:asciiTheme="majorHAnsi" w:hAnsiTheme="majorHAnsi"/>
          <w:szCs w:val="22"/>
        </w:rPr>
        <w:t xml:space="preserve"> now</w:t>
      </w:r>
      <w:r w:rsidR="002536FA" w:rsidRPr="00FC09A8">
        <w:rPr>
          <w:rFonts w:asciiTheme="majorHAnsi" w:hAnsiTheme="majorHAnsi"/>
          <w:szCs w:val="22"/>
        </w:rPr>
        <w:t xml:space="preserve"> forms the </w:t>
      </w:r>
      <w:r w:rsidR="00470048" w:rsidRPr="00FC09A8">
        <w:rPr>
          <w:rFonts w:asciiTheme="majorHAnsi" w:hAnsiTheme="majorHAnsi"/>
          <w:szCs w:val="22"/>
        </w:rPr>
        <w:t>‘</w:t>
      </w:r>
      <w:r w:rsidR="002536FA" w:rsidRPr="00FC09A8">
        <w:rPr>
          <w:rFonts w:asciiTheme="majorHAnsi" w:hAnsiTheme="majorHAnsi"/>
          <w:szCs w:val="22"/>
        </w:rPr>
        <w:t>health pillar</w:t>
      </w:r>
      <w:r w:rsidR="00470048" w:rsidRPr="00FC09A8">
        <w:rPr>
          <w:rFonts w:asciiTheme="majorHAnsi" w:hAnsiTheme="majorHAnsi"/>
          <w:szCs w:val="22"/>
        </w:rPr>
        <w:t>’</w:t>
      </w:r>
      <w:r w:rsidR="008B233E" w:rsidRPr="00FC09A8">
        <w:rPr>
          <w:rFonts w:asciiTheme="majorHAnsi" w:hAnsiTheme="majorHAnsi"/>
          <w:szCs w:val="22"/>
        </w:rPr>
        <w:t xml:space="preserve"> of the Partners</w:t>
      </w:r>
      <w:r w:rsidR="003D6269" w:rsidRPr="00FC09A8">
        <w:rPr>
          <w:rFonts w:asciiTheme="majorHAnsi" w:hAnsiTheme="majorHAnsi"/>
          <w:szCs w:val="22"/>
        </w:rPr>
        <w:t>hip for Human Development (PHD)</w:t>
      </w:r>
      <w:r w:rsidR="00470048" w:rsidRPr="00FC09A8">
        <w:rPr>
          <w:rFonts w:asciiTheme="majorHAnsi" w:hAnsiTheme="majorHAnsi"/>
          <w:szCs w:val="22"/>
        </w:rPr>
        <w:t>,</w:t>
      </w:r>
      <w:r w:rsidR="008B233E" w:rsidRPr="00FC09A8">
        <w:rPr>
          <w:rFonts w:asciiTheme="majorHAnsi" w:hAnsiTheme="majorHAnsi"/>
          <w:szCs w:val="22"/>
        </w:rPr>
        <w:t xml:space="preserve"> </w:t>
      </w:r>
      <w:r w:rsidR="00470048" w:rsidRPr="00FC09A8">
        <w:rPr>
          <w:rFonts w:asciiTheme="majorHAnsi" w:hAnsiTheme="majorHAnsi"/>
          <w:szCs w:val="22"/>
        </w:rPr>
        <w:t>within which</w:t>
      </w:r>
      <w:r w:rsidR="00684E7B" w:rsidRPr="00FC09A8">
        <w:rPr>
          <w:rFonts w:asciiTheme="majorHAnsi" w:hAnsiTheme="majorHAnsi"/>
          <w:szCs w:val="22"/>
        </w:rPr>
        <w:t xml:space="preserve"> </w:t>
      </w:r>
      <w:r w:rsidR="00AA7C0A" w:rsidRPr="00FC09A8">
        <w:rPr>
          <w:rFonts w:asciiTheme="majorHAnsi" w:hAnsiTheme="majorHAnsi"/>
          <w:szCs w:val="22"/>
        </w:rPr>
        <w:t xml:space="preserve">investments </w:t>
      </w:r>
      <w:r w:rsidR="00026211" w:rsidRPr="00FC09A8">
        <w:rPr>
          <w:rFonts w:asciiTheme="majorHAnsi" w:hAnsiTheme="majorHAnsi"/>
          <w:szCs w:val="22"/>
        </w:rPr>
        <w:t>for the period 2015-2018</w:t>
      </w:r>
      <w:r w:rsidR="00AA7C0A" w:rsidRPr="00FC09A8">
        <w:rPr>
          <w:rFonts w:asciiTheme="majorHAnsi" w:hAnsiTheme="majorHAnsi"/>
          <w:szCs w:val="22"/>
        </w:rPr>
        <w:t xml:space="preserve"> are</w:t>
      </w:r>
      <w:r w:rsidR="00DD022B" w:rsidRPr="00FC09A8">
        <w:rPr>
          <w:rFonts w:asciiTheme="majorHAnsi" w:hAnsiTheme="majorHAnsi"/>
          <w:szCs w:val="22"/>
        </w:rPr>
        <w:t xml:space="preserve"> as follows</w:t>
      </w:r>
      <w:r w:rsidR="008B233E" w:rsidRPr="00FC09A8">
        <w:rPr>
          <w:rFonts w:asciiTheme="majorHAnsi" w:hAnsiTheme="majorHAnsi"/>
          <w:szCs w:val="22"/>
        </w:rPr>
        <w:t>:</w:t>
      </w:r>
    </w:p>
    <w:p w14:paraId="36A583D9" w14:textId="77777777" w:rsidR="008B233E" w:rsidRPr="00FC09A8" w:rsidRDefault="008B233E" w:rsidP="00C85D03">
      <w:pPr>
        <w:jc w:val="both"/>
        <w:rPr>
          <w:rFonts w:asciiTheme="majorHAnsi" w:hAnsiTheme="majorHAnsi"/>
          <w:szCs w:val="22"/>
        </w:rPr>
      </w:pPr>
    </w:p>
    <w:p w14:paraId="02341FD3" w14:textId="205CDF24" w:rsidR="0020229B" w:rsidRPr="00C85D03" w:rsidRDefault="008B233E" w:rsidP="00C85D03">
      <w:pPr>
        <w:pStyle w:val="ListParagraph"/>
        <w:numPr>
          <w:ilvl w:val="0"/>
          <w:numId w:val="14"/>
        </w:numPr>
        <w:ind w:left="765" w:hanging="340"/>
        <w:contextualSpacing w:val="0"/>
        <w:jc w:val="both"/>
        <w:rPr>
          <w:rFonts w:asciiTheme="majorHAnsi" w:hAnsiTheme="majorHAnsi"/>
          <w:szCs w:val="22"/>
        </w:rPr>
      </w:pPr>
      <w:r w:rsidRPr="00C85D03">
        <w:rPr>
          <w:rFonts w:asciiTheme="majorHAnsi" w:hAnsiTheme="majorHAnsi"/>
          <w:bCs/>
          <w:szCs w:val="22"/>
        </w:rPr>
        <w:t>A</w:t>
      </w:r>
      <w:r w:rsidR="0020229B" w:rsidRPr="00C85D03">
        <w:rPr>
          <w:rFonts w:asciiTheme="majorHAnsi" w:hAnsiTheme="majorHAnsi"/>
          <w:bCs/>
          <w:szCs w:val="22"/>
        </w:rPr>
        <w:t>UD 8.8</w:t>
      </w:r>
      <w:r w:rsidRPr="00C85D03">
        <w:rPr>
          <w:rFonts w:asciiTheme="majorHAnsi" w:hAnsiTheme="majorHAnsi"/>
          <w:bCs/>
          <w:szCs w:val="22"/>
        </w:rPr>
        <w:t xml:space="preserve"> million to Marie Stopes Timor-Leste </w:t>
      </w:r>
      <w:r w:rsidR="00BD65FC" w:rsidRPr="00C85D03">
        <w:rPr>
          <w:rFonts w:asciiTheme="majorHAnsi" w:hAnsiTheme="majorHAnsi"/>
          <w:bCs/>
          <w:szCs w:val="22"/>
        </w:rPr>
        <w:t>t</w:t>
      </w:r>
      <w:r w:rsidR="0020229B" w:rsidRPr="00C85D03">
        <w:rPr>
          <w:rFonts w:asciiTheme="majorHAnsi" w:hAnsiTheme="majorHAnsi"/>
          <w:szCs w:val="22"/>
        </w:rPr>
        <w:t>o increase demand for and uptake of quality, comprehensive, non-judgmental sexual and reproductive health (SRH) services in 12 municipalities in partnership with the Ministry of Health (MOH) and others.</w:t>
      </w:r>
    </w:p>
    <w:p w14:paraId="0B40F02E" w14:textId="77777777" w:rsidR="009B7668" w:rsidRPr="00FC09A8" w:rsidRDefault="00EB6C1F" w:rsidP="00C85D03">
      <w:pPr>
        <w:pStyle w:val="NormalWeb"/>
        <w:numPr>
          <w:ilvl w:val="0"/>
          <w:numId w:val="14"/>
        </w:numPr>
        <w:spacing w:beforeLines="0" w:afterLines="0"/>
        <w:ind w:left="765" w:hanging="340"/>
        <w:jc w:val="both"/>
        <w:rPr>
          <w:rFonts w:asciiTheme="majorHAnsi" w:hAnsiTheme="majorHAnsi"/>
          <w:sz w:val="22"/>
          <w:szCs w:val="22"/>
        </w:rPr>
      </w:pPr>
      <w:r w:rsidRPr="00C85D03">
        <w:rPr>
          <w:rFonts w:asciiTheme="majorHAnsi" w:hAnsiTheme="majorHAnsi"/>
          <w:bCs/>
          <w:sz w:val="22"/>
          <w:szCs w:val="22"/>
        </w:rPr>
        <w:t xml:space="preserve">AUD 7.0 million to the Royal Australasian College of Surgeons </w:t>
      </w:r>
      <w:r w:rsidR="00A763A5" w:rsidRPr="00C85D03">
        <w:rPr>
          <w:rFonts w:asciiTheme="majorHAnsi" w:hAnsiTheme="majorHAnsi"/>
          <w:bCs/>
          <w:sz w:val="22"/>
          <w:szCs w:val="22"/>
        </w:rPr>
        <w:t xml:space="preserve">(RACS) </w:t>
      </w:r>
      <w:r w:rsidRPr="00C85D03">
        <w:rPr>
          <w:rFonts w:asciiTheme="majorHAnsi" w:hAnsiTheme="majorHAnsi"/>
          <w:bCs/>
          <w:sz w:val="22"/>
          <w:szCs w:val="22"/>
        </w:rPr>
        <w:t>for the Australia-</w:t>
      </w:r>
      <w:r w:rsidRPr="00FC09A8">
        <w:rPr>
          <w:rFonts w:asciiTheme="majorHAnsi" w:hAnsiTheme="majorHAnsi"/>
          <w:bCs/>
          <w:sz w:val="22"/>
          <w:szCs w:val="22"/>
        </w:rPr>
        <w:t xml:space="preserve"> Timor-Leste Assistance to Secondary Services Phase II (ATLASS II) </w:t>
      </w:r>
      <w:r w:rsidRPr="00FC09A8">
        <w:rPr>
          <w:rFonts w:asciiTheme="majorHAnsi" w:hAnsiTheme="majorHAnsi"/>
          <w:sz w:val="22"/>
          <w:szCs w:val="22"/>
        </w:rPr>
        <w:t xml:space="preserve">to provide clinical expertise and </w:t>
      </w:r>
      <w:r w:rsidRPr="00FC09A8">
        <w:rPr>
          <w:rFonts w:asciiTheme="majorHAnsi" w:hAnsiTheme="majorHAnsi"/>
          <w:b/>
          <w:sz w:val="22"/>
          <w:szCs w:val="22"/>
        </w:rPr>
        <w:t xml:space="preserve">postgraduate courses </w:t>
      </w:r>
      <w:r w:rsidRPr="00FC09A8">
        <w:rPr>
          <w:rFonts w:asciiTheme="majorHAnsi" w:hAnsiTheme="majorHAnsi"/>
          <w:sz w:val="22"/>
          <w:szCs w:val="22"/>
        </w:rPr>
        <w:t>for junior doctors to become</w:t>
      </w:r>
      <w:r w:rsidRPr="00FC09A8">
        <w:rPr>
          <w:rFonts w:asciiTheme="majorHAnsi" w:hAnsiTheme="majorHAnsi"/>
          <w:b/>
          <w:sz w:val="22"/>
          <w:szCs w:val="22"/>
        </w:rPr>
        <w:t xml:space="preserve"> general practitioners and specialists</w:t>
      </w:r>
      <w:r w:rsidRPr="00FC09A8">
        <w:rPr>
          <w:rFonts w:asciiTheme="majorHAnsi" w:hAnsiTheme="majorHAnsi"/>
          <w:sz w:val="22"/>
          <w:szCs w:val="22"/>
        </w:rPr>
        <w:t>.</w:t>
      </w:r>
    </w:p>
    <w:p w14:paraId="554ACC62" w14:textId="3DB3C5F6" w:rsidR="009B7668" w:rsidRPr="00FC09A8" w:rsidRDefault="008B233E" w:rsidP="00C85D03">
      <w:pPr>
        <w:pStyle w:val="NormalWeb"/>
        <w:numPr>
          <w:ilvl w:val="0"/>
          <w:numId w:val="14"/>
        </w:numPr>
        <w:spacing w:beforeLines="0" w:afterLines="0"/>
        <w:ind w:left="765" w:hanging="340"/>
        <w:jc w:val="both"/>
        <w:rPr>
          <w:rFonts w:asciiTheme="majorHAnsi" w:hAnsiTheme="majorHAnsi"/>
          <w:sz w:val="22"/>
          <w:szCs w:val="22"/>
        </w:rPr>
      </w:pPr>
      <w:r w:rsidRPr="00FC09A8">
        <w:rPr>
          <w:rFonts w:asciiTheme="majorHAnsi" w:hAnsiTheme="majorHAnsi"/>
          <w:bCs/>
          <w:sz w:val="22"/>
          <w:szCs w:val="22"/>
        </w:rPr>
        <w:t>AUD 4.8 million to Health Alliance International</w:t>
      </w:r>
      <w:r w:rsidRPr="00FC09A8">
        <w:rPr>
          <w:rFonts w:asciiTheme="majorHAnsi" w:hAnsiTheme="majorHAnsi"/>
          <w:b/>
          <w:bCs/>
          <w:sz w:val="22"/>
          <w:szCs w:val="22"/>
        </w:rPr>
        <w:t xml:space="preserve"> </w:t>
      </w:r>
      <w:r w:rsidRPr="00FC09A8">
        <w:rPr>
          <w:rFonts w:asciiTheme="majorHAnsi" w:hAnsiTheme="majorHAnsi"/>
          <w:bCs/>
          <w:sz w:val="22"/>
          <w:szCs w:val="22"/>
        </w:rPr>
        <w:t xml:space="preserve">to improve </w:t>
      </w:r>
      <w:r w:rsidRPr="00FC09A8">
        <w:rPr>
          <w:rFonts w:asciiTheme="majorHAnsi" w:hAnsiTheme="majorHAnsi"/>
          <w:b/>
          <w:bCs/>
          <w:sz w:val="22"/>
          <w:szCs w:val="22"/>
        </w:rPr>
        <w:t xml:space="preserve">midwives’ skills </w:t>
      </w:r>
      <w:r w:rsidRPr="00FC09A8">
        <w:rPr>
          <w:rFonts w:asciiTheme="majorHAnsi" w:hAnsiTheme="majorHAnsi"/>
          <w:bCs/>
          <w:sz w:val="22"/>
          <w:szCs w:val="22"/>
        </w:rPr>
        <w:t xml:space="preserve">in normal </w:t>
      </w:r>
      <w:r w:rsidRPr="00FC09A8">
        <w:rPr>
          <w:rFonts w:asciiTheme="majorHAnsi" w:hAnsiTheme="majorHAnsi"/>
          <w:sz w:val="22"/>
          <w:szCs w:val="22"/>
        </w:rPr>
        <w:t xml:space="preserve">delivery and newborn care in partnership with </w:t>
      </w:r>
      <w:r w:rsidR="002B1481">
        <w:rPr>
          <w:rFonts w:asciiTheme="majorHAnsi" w:hAnsiTheme="majorHAnsi"/>
          <w:sz w:val="22"/>
          <w:szCs w:val="22"/>
        </w:rPr>
        <w:t>the</w:t>
      </w:r>
      <w:r w:rsidR="00F75F75" w:rsidRPr="00FC09A8">
        <w:rPr>
          <w:rFonts w:asciiTheme="majorHAnsi" w:hAnsiTheme="majorHAnsi"/>
          <w:sz w:val="22"/>
          <w:szCs w:val="22"/>
        </w:rPr>
        <w:t xml:space="preserve"> </w:t>
      </w:r>
      <w:r w:rsidRPr="00FC09A8">
        <w:rPr>
          <w:rFonts w:asciiTheme="majorHAnsi" w:hAnsiTheme="majorHAnsi"/>
          <w:sz w:val="22"/>
          <w:szCs w:val="22"/>
        </w:rPr>
        <w:t>National Health Institute.</w:t>
      </w:r>
      <w:r w:rsidR="000C7DF8">
        <w:rPr>
          <w:rFonts w:asciiTheme="majorHAnsi" w:hAnsiTheme="majorHAnsi"/>
          <w:sz w:val="22"/>
          <w:szCs w:val="22"/>
        </w:rPr>
        <w:t xml:space="preserve">  HAI also partners with Catalpa International on the implementation of the Liga Inan project.</w:t>
      </w:r>
    </w:p>
    <w:p w14:paraId="318FA3DE" w14:textId="77777777" w:rsidR="009B7668" w:rsidRPr="00FC09A8" w:rsidRDefault="008B233E" w:rsidP="00C85D03">
      <w:pPr>
        <w:pStyle w:val="NormalWeb"/>
        <w:numPr>
          <w:ilvl w:val="0"/>
          <w:numId w:val="14"/>
        </w:numPr>
        <w:spacing w:beforeLines="0" w:afterLines="0"/>
        <w:ind w:left="765" w:hanging="340"/>
        <w:jc w:val="both"/>
        <w:rPr>
          <w:rFonts w:asciiTheme="majorHAnsi" w:hAnsiTheme="majorHAnsi"/>
          <w:sz w:val="22"/>
          <w:szCs w:val="22"/>
        </w:rPr>
      </w:pPr>
      <w:r w:rsidRPr="00FC09A8">
        <w:rPr>
          <w:rFonts w:asciiTheme="majorHAnsi" w:hAnsiTheme="majorHAnsi"/>
          <w:bCs/>
          <w:sz w:val="22"/>
          <w:szCs w:val="22"/>
        </w:rPr>
        <w:t xml:space="preserve">AUD 3.5 million </w:t>
      </w:r>
      <w:r w:rsidR="00F75F75" w:rsidRPr="00FC09A8">
        <w:rPr>
          <w:rFonts w:asciiTheme="majorHAnsi" w:hAnsiTheme="majorHAnsi"/>
          <w:sz w:val="22"/>
          <w:szCs w:val="22"/>
        </w:rPr>
        <w:t>for</w:t>
      </w:r>
      <w:r w:rsidRPr="00FC09A8">
        <w:rPr>
          <w:rFonts w:asciiTheme="majorHAnsi" w:hAnsiTheme="majorHAnsi"/>
          <w:sz w:val="22"/>
          <w:szCs w:val="22"/>
        </w:rPr>
        <w:t xml:space="preserve"> </w:t>
      </w:r>
      <w:r w:rsidR="00F75F75" w:rsidRPr="00FC09A8">
        <w:rPr>
          <w:rFonts w:asciiTheme="majorHAnsi" w:hAnsiTheme="majorHAnsi"/>
          <w:sz w:val="22"/>
          <w:szCs w:val="22"/>
        </w:rPr>
        <w:t>an</w:t>
      </w:r>
      <w:r w:rsidRPr="00FC09A8">
        <w:rPr>
          <w:rFonts w:asciiTheme="majorHAnsi" w:hAnsiTheme="majorHAnsi"/>
          <w:sz w:val="22"/>
          <w:szCs w:val="22"/>
        </w:rPr>
        <w:t xml:space="preserve"> </w:t>
      </w:r>
      <w:r w:rsidR="00193F22" w:rsidRPr="00FC09A8">
        <w:rPr>
          <w:rFonts w:asciiTheme="majorHAnsi" w:hAnsiTheme="majorHAnsi"/>
          <w:b/>
          <w:bCs/>
          <w:sz w:val="22"/>
          <w:szCs w:val="22"/>
        </w:rPr>
        <w:t>ambulance and health t</w:t>
      </w:r>
      <w:r w:rsidRPr="00FC09A8">
        <w:rPr>
          <w:rFonts w:asciiTheme="majorHAnsi" w:hAnsiTheme="majorHAnsi"/>
          <w:b/>
          <w:bCs/>
          <w:sz w:val="22"/>
          <w:szCs w:val="22"/>
        </w:rPr>
        <w:t xml:space="preserve">ransport </w:t>
      </w:r>
      <w:r w:rsidRPr="00FC09A8">
        <w:rPr>
          <w:rFonts w:asciiTheme="majorHAnsi" w:hAnsiTheme="majorHAnsi"/>
          <w:bCs/>
          <w:sz w:val="22"/>
          <w:szCs w:val="22"/>
        </w:rPr>
        <w:t>project</w:t>
      </w:r>
      <w:r w:rsidRPr="00FC09A8">
        <w:rPr>
          <w:rFonts w:asciiTheme="majorHAnsi" w:hAnsiTheme="majorHAnsi"/>
          <w:b/>
          <w:bCs/>
          <w:sz w:val="22"/>
          <w:szCs w:val="22"/>
        </w:rPr>
        <w:t xml:space="preserve"> </w:t>
      </w:r>
      <w:r w:rsidRPr="00FC09A8">
        <w:rPr>
          <w:rFonts w:asciiTheme="majorHAnsi" w:hAnsiTheme="majorHAnsi"/>
          <w:sz w:val="22"/>
          <w:szCs w:val="22"/>
        </w:rPr>
        <w:t>to make health transport available to women in labour and oth</w:t>
      </w:r>
      <w:r w:rsidR="00A763A5" w:rsidRPr="00FC09A8">
        <w:rPr>
          <w:rFonts w:asciiTheme="majorHAnsi" w:hAnsiTheme="majorHAnsi"/>
          <w:sz w:val="22"/>
          <w:szCs w:val="22"/>
        </w:rPr>
        <w:t>er patients needing urgent care</w:t>
      </w:r>
      <w:r w:rsidRPr="00FC09A8">
        <w:rPr>
          <w:rFonts w:asciiTheme="majorHAnsi" w:hAnsiTheme="majorHAnsi"/>
          <w:sz w:val="22"/>
          <w:szCs w:val="22"/>
        </w:rPr>
        <w:t xml:space="preserve">. </w:t>
      </w:r>
    </w:p>
    <w:p w14:paraId="6E8E5470" w14:textId="77777777" w:rsidR="009B7668" w:rsidRPr="00FC09A8" w:rsidRDefault="00EB6C1F" w:rsidP="00C85D03">
      <w:pPr>
        <w:pStyle w:val="NormalWeb"/>
        <w:numPr>
          <w:ilvl w:val="0"/>
          <w:numId w:val="14"/>
        </w:numPr>
        <w:spacing w:beforeLines="0" w:afterLines="0"/>
        <w:ind w:left="765" w:hanging="340"/>
        <w:jc w:val="both"/>
        <w:rPr>
          <w:rFonts w:asciiTheme="majorHAnsi" w:hAnsiTheme="majorHAnsi"/>
          <w:sz w:val="22"/>
          <w:szCs w:val="22"/>
        </w:rPr>
      </w:pPr>
      <w:r w:rsidRPr="00FC09A8">
        <w:rPr>
          <w:rFonts w:asciiTheme="majorHAnsi" w:hAnsiTheme="majorHAnsi"/>
          <w:bCs/>
          <w:sz w:val="22"/>
          <w:szCs w:val="22"/>
        </w:rPr>
        <w:t>AUD 1.6 million</w:t>
      </w:r>
      <w:r w:rsidR="00026211" w:rsidRPr="00FC09A8">
        <w:rPr>
          <w:rFonts w:asciiTheme="majorHAnsi" w:hAnsiTheme="majorHAnsi"/>
          <w:bCs/>
          <w:sz w:val="22"/>
          <w:szCs w:val="22"/>
        </w:rPr>
        <w:t xml:space="preserve"> </w:t>
      </w:r>
      <w:r w:rsidRPr="00FC09A8">
        <w:rPr>
          <w:rFonts w:asciiTheme="majorHAnsi" w:hAnsiTheme="majorHAnsi"/>
          <w:bCs/>
          <w:sz w:val="22"/>
          <w:szCs w:val="22"/>
        </w:rPr>
        <w:t xml:space="preserve">to </w:t>
      </w:r>
      <w:r w:rsidRPr="00FC09A8">
        <w:rPr>
          <w:rFonts w:asciiTheme="majorHAnsi" w:hAnsiTheme="majorHAnsi"/>
          <w:sz w:val="22"/>
          <w:szCs w:val="22"/>
        </w:rPr>
        <w:t>Catalpa International for ‘</w:t>
      </w:r>
      <w:r w:rsidRPr="00FC09A8">
        <w:rPr>
          <w:rFonts w:asciiTheme="majorHAnsi" w:hAnsiTheme="majorHAnsi"/>
          <w:bCs/>
          <w:sz w:val="22"/>
          <w:szCs w:val="22"/>
        </w:rPr>
        <w:t>Liga Inan’,</w:t>
      </w:r>
      <w:r w:rsidRPr="00FC09A8">
        <w:rPr>
          <w:rFonts w:asciiTheme="majorHAnsi" w:hAnsiTheme="majorHAnsi"/>
          <w:b/>
          <w:bCs/>
          <w:sz w:val="22"/>
          <w:szCs w:val="22"/>
        </w:rPr>
        <w:t xml:space="preserve"> </w:t>
      </w:r>
      <w:r w:rsidRPr="00FC09A8">
        <w:rPr>
          <w:rFonts w:asciiTheme="majorHAnsi" w:hAnsiTheme="majorHAnsi"/>
          <w:sz w:val="22"/>
          <w:szCs w:val="22"/>
        </w:rPr>
        <w:t xml:space="preserve">a project that uses </w:t>
      </w:r>
      <w:r w:rsidRPr="00FC09A8">
        <w:rPr>
          <w:rFonts w:asciiTheme="majorHAnsi" w:hAnsiTheme="majorHAnsi"/>
          <w:b/>
          <w:sz w:val="22"/>
          <w:szCs w:val="22"/>
        </w:rPr>
        <w:t xml:space="preserve">mobile phone communication to promote use of RMNCH </w:t>
      </w:r>
      <w:r w:rsidRPr="00FC09A8">
        <w:rPr>
          <w:rFonts w:asciiTheme="majorHAnsi" w:hAnsiTheme="majorHAnsi"/>
          <w:sz w:val="22"/>
          <w:szCs w:val="22"/>
        </w:rPr>
        <w:t xml:space="preserve">services and enable mothers to get advice from midwives. </w:t>
      </w:r>
    </w:p>
    <w:p w14:paraId="654A2FE4" w14:textId="77777777" w:rsidR="009B7668" w:rsidRPr="00FC09A8" w:rsidRDefault="008C5966" w:rsidP="00C85D03">
      <w:pPr>
        <w:pStyle w:val="NormalWeb"/>
        <w:numPr>
          <w:ilvl w:val="0"/>
          <w:numId w:val="14"/>
        </w:numPr>
        <w:spacing w:beforeLines="0" w:afterLines="0"/>
        <w:ind w:left="765" w:hanging="340"/>
        <w:jc w:val="both"/>
        <w:rPr>
          <w:rFonts w:asciiTheme="majorHAnsi" w:hAnsiTheme="majorHAnsi"/>
          <w:sz w:val="22"/>
          <w:szCs w:val="22"/>
        </w:rPr>
      </w:pPr>
      <w:r w:rsidRPr="00FC09A8">
        <w:rPr>
          <w:rFonts w:asciiTheme="majorHAnsi" w:hAnsiTheme="majorHAnsi"/>
          <w:sz w:val="22"/>
          <w:szCs w:val="22"/>
        </w:rPr>
        <w:t>AUD 2.24 million for</w:t>
      </w:r>
      <w:r w:rsidRPr="00FC09A8">
        <w:rPr>
          <w:rFonts w:asciiTheme="majorHAnsi" w:hAnsiTheme="majorHAnsi"/>
          <w:b/>
          <w:sz w:val="22"/>
          <w:szCs w:val="22"/>
        </w:rPr>
        <w:t xml:space="preserve"> </w:t>
      </w:r>
      <w:r w:rsidR="00193F22" w:rsidRPr="00FC09A8">
        <w:rPr>
          <w:rFonts w:asciiTheme="majorHAnsi" w:hAnsiTheme="majorHAnsi"/>
          <w:b/>
          <w:sz w:val="22"/>
          <w:szCs w:val="22"/>
        </w:rPr>
        <w:t>t</w:t>
      </w:r>
      <w:r w:rsidR="008B233E" w:rsidRPr="00FC09A8">
        <w:rPr>
          <w:rFonts w:asciiTheme="majorHAnsi" w:hAnsiTheme="majorHAnsi"/>
          <w:b/>
          <w:sz w:val="22"/>
          <w:szCs w:val="22"/>
        </w:rPr>
        <w:t xml:space="preserve">echnical assistance </w:t>
      </w:r>
      <w:r w:rsidR="00D41C30" w:rsidRPr="00D41C30">
        <w:rPr>
          <w:rFonts w:asciiTheme="majorHAnsi" w:hAnsiTheme="majorHAnsi"/>
          <w:sz w:val="22"/>
          <w:szCs w:val="22"/>
        </w:rPr>
        <w:t>(TA)</w:t>
      </w:r>
      <w:r w:rsidR="00D41C30">
        <w:rPr>
          <w:rFonts w:asciiTheme="majorHAnsi" w:hAnsiTheme="majorHAnsi"/>
          <w:b/>
          <w:sz w:val="22"/>
          <w:szCs w:val="22"/>
        </w:rPr>
        <w:t xml:space="preserve"> </w:t>
      </w:r>
      <w:r w:rsidR="008B233E" w:rsidRPr="00FC09A8">
        <w:rPr>
          <w:rFonts w:asciiTheme="majorHAnsi" w:hAnsiTheme="majorHAnsi"/>
          <w:sz w:val="22"/>
          <w:szCs w:val="22"/>
        </w:rPr>
        <w:t xml:space="preserve">to </w:t>
      </w:r>
      <w:r w:rsidR="001B1775" w:rsidRPr="00FC09A8">
        <w:rPr>
          <w:rFonts w:asciiTheme="majorHAnsi" w:hAnsiTheme="majorHAnsi"/>
          <w:sz w:val="22"/>
          <w:szCs w:val="22"/>
        </w:rPr>
        <w:t xml:space="preserve">(i) </w:t>
      </w:r>
      <w:r w:rsidR="008B233E" w:rsidRPr="00FC09A8">
        <w:rPr>
          <w:rFonts w:asciiTheme="majorHAnsi" w:hAnsiTheme="majorHAnsi"/>
          <w:sz w:val="22"/>
          <w:szCs w:val="22"/>
        </w:rPr>
        <w:t xml:space="preserve">strengthen the health management </w:t>
      </w:r>
      <w:r w:rsidR="008B233E" w:rsidRPr="00FC09A8">
        <w:rPr>
          <w:rFonts w:asciiTheme="majorHAnsi" w:hAnsiTheme="majorHAnsi"/>
          <w:b/>
          <w:sz w:val="22"/>
          <w:szCs w:val="22"/>
        </w:rPr>
        <w:t>information</w:t>
      </w:r>
      <w:r w:rsidR="008B233E" w:rsidRPr="00FC09A8">
        <w:rPr>
          <w:rFonts w:asciiTheme="majorHAnsi" w:hAnsiTheme="majorHAnsi"/>
          <w:sz w:val="22"/>
          <w:szCs w:val="22"/>
        </w:rPr>
        <w:t xml:space="preserve"> system by improving the quality, availability and use of health data</w:t>
      </w:r>
      <w:r w:rsidRPr="00FC09A8">
        <w:rPr>
          <w:rFonts w:asciiTheme="majorHAnsi" w:hAnsiTheme="majorHAnsi"/>
          <w:sz w:val="22"/>
          <w:szCs w:val="22"/>
        </w:rPr>
        <w:t>; a</w:t>
      </w:r>
      <w:r w:rsidR="008B233E" w:rsidRPr="00FC09A8">
        <w:rPr>
          <w:rFonts w:asciiTheme="majorHAnsi" w:hAnsiTheme="majorHAnsi"/>
          <w:szCs w:val="22"/>
        </w:rPr>
        <w:t xml:space="preserve">nd </w:t>
      </w:r>
      <w:r w:rsidR="001B1775" w:rsidRPr="00FC09A8">
        <w:rPr>
          <w:rFonts w:asciiTheme="majorHAnsi" w:hAnsiTheme="majorHAnsi"/>
          <w:sz w:val="22"/>
          <w:szCs w:val="22"/>
        </w:rPr>
        <w:t>(ii)</w:t>
      </w:r>
      <w:r w:rsidR="008B233E" w:rsidRPr="00FC09A8">
        <w:rPr>
          <w:rFonts w:asciiTheme="majorHAnsi" w:hAnsiTheme="majorHAnsi"/>
          <w:sz w:val="22"/>
          <w:szCs w:val="22"/>
        </w:rPr>
        <w:t xml:space="preserve"> improve </w:t>
      </w:r>
      <w:r w:rsidR="008B233E" w:rsidRPr="00FC09A8">
        <w:rPr>
          <w:rFonts w:asciiTheme="majorHAnsi" w:hAnsiTheme="majorHAnsi"/>
          <w:b/>
          <w:sz w:val="22"/>
          <w:szCs w:val="22"/>
        </w:rPr>
        <w:t>public financial management</w:t>
      </w:r>
      <w:r w:rsidR="008B233E" w:rsidRPr="00FC09A8">
        <w:rPr>
          <w:rFonts w:asciiTheme="majorHAnsi" w:hAnsiTheme="majorHAnsi"/>
          <w:sz w:val="22"/>
          <w:szCs w:val="22"/>
        </w:rPr>
        <w:t xml:space="preserve"> in the health sector. </w:t>
      </w:r>
    </w:p>
    <w:p w14:paraId="6A1C2A8C" w14:textId="77777777" w:rsidR="00684E7B" w:rsidRPr="00FC09A8" w:rsidRDefault="00684E7B" w:rsidP="00C85D03">
      <w:pPr>
        <w:jc w:val="both"/>
        <w:rPr>
          <w:rFonts w:asciiTheme="majorHAnsi" w:hAnsiTheme="majorHAnsi"/>
          <w:szCs w:val="22"/>
        </w:rPr>
      </w:pPr>
    </w:p>
    <w:p w14:paraId="55992C34" w14:textId="77777777" w:rsidR="00684E7B" w:rsidRPr="00FC09A8" w:rsidRDefault="00722B0E" w:rsidP="00C85D03">
      <w:pPr>
        <w:jc w:val="both"/>
        <w:rPr>
          <w:rFonts w:asciiTheme="majorHAnsi" w:hAnsiTheme="majorHAnsi"/>
          <w:b/>
          <w:szCs w:val="22"/>
        </w:rPr>
      </w:pPr>
      <w:r w:rsidRPr="00FC09A8">
        <w:rPr>
          <w:rFonts w:asciiTheme="majorHAnsi" w:hAnsiTheme="majorHAnsi"/>
          <w:b/>
          <w:szCs w:val="22"/>
        </w:rPr>
        <w:t>Key findings</w:t>
      </w:r>
    </w:p>
    <w:p w14:paraId="70419D94" w14:textId="77777777" w:rsidR="00684E7B" w:rsidRPr="00FC09A8" w:rsidRDefault="00684E7B" w:rsidP="00C85D03">
      <w:pPr>
        <w:jc w:val="both"/>
        <w:rPr>
          <w:rFonts w:asciiTheme="majorHAnsi" w:hAnsiTheme="majorHAnsi"/>
          <w:szCs w:val="22"/>
        </w:rPr>
      </w:pPr>
    </w:p>
    <w:p w14:paraId="20473D0A" w14:textId="200A21D2" w:rsidR="00F57AC9" w:rsidRDefault="008B233E" w:rsidP="00C85D03">
      <w:pPr>
        <w:jc w:val="both"/>
        <w:rPr>
          <w:rFonts w:asciiTheme="majorHAnsi" w:hAnsiTheme="majorHAnsi"/>
          <w:szCs w:val="22"/>
        </w:rPr>
      </w:pPr>
      <w:r w:rsidRPr="00FC09A8">
        <w:rPr>
          <w:rFonts w:asciiTheme="majorHAnsi" w:hAnsiTheme="majorHAnsi"/>
          <w:szCs w:val="22"/>
        </w:rPr>
        <w:t xml:space="preserve">The above investments are, on the whole, </w:t>
      </w:r>
      <w:r w:rsidR="00684E7B" w:rsidRPr="00F249AB">
        <w:rPr>
          <w:rFonts w:asciiTheme="majorHAnsi" w:hAnsiTheme="majorHAnsi"/>
          <w:szCs w:val="22"/>
        </w:rPr>
        <w:t xml:space="preserve">aligned </w:t>
      </w:r>
      <w:r w:rsidR="00684E7B" w:rsidRPr="00C85D03">
        <w:rPr>
          <w:rFonts w:asciiTheme="majorHAnsi" w:hAnsiTheme="majorHAnsi"/>
          <w:szCs w:val="22"/>
        </w:rPr>
        <w:t>to Timor-Leste’s priorities as set out in the National He</w:t>
      </w:r>
      <w:r w:rsidR="00722B0E" w:rsidRPr="00C85D03">
        <w:rPr>
          <w:rFonts w:asciiTheme="majorHAnsi" w:hAnsiTheme="majorHAnsi"/>
          <w:szCs w:val="22"/>
        </w:rPr>
        <w:t>alth Sector Strategic Plan</w:t>
      </w:r>
      <w:r w:rsidR="00C17E3C" w:rsidRPr="00C85D03">
        <w:rPr>
          <w:rFonts w:asciiTheme="majorHAnsi" w:hAnsiTheme="majorHAnsi"/>
          <w:szCs w:val="22"/>
        </w:rPr>
        <w:t xml:space="preserve"> 2011-2030</w:t>
      </w:r>
      <w:r w:rsidR="00722B0E" w:rsidRPr="00C85D03">
        <w:rPr>
          <w:rFonts w:asciiTheme="majorHAnsi" w:hAnsiTheme="majorHAnsi"/>
          <w:szCs w:val="22"/>
        </w:rPr>
        <w:t>.</w:t>
      </w:r>
      <w:r w:rsidR="00722B0E" w:rsidRPr="00FC09A8">
        <w:rPr>
          <w:rFonts w:asciiTheme="majorHAnsi" w:hAnsiTheme="majorHAnsi"/>
          <w:szCs w:val="22"/>
        </w:rPr>
        <w:t xml:space="preserve"> The projects</w:t>
      </w:r>
      <w:r w:rsidR="00684E7B" w:rsidRPr="00FC09A8">
        <w:rPr>
          <w:rFonts w:asciiTheme="majorHAnsi" w:hAnsiTheme="majorHAnsi"/>
          <w:szCs w:val="22"/>
        </w:rPr>
        <w:t xml:space="preserve"> are currently </w:t>
      </w:r>
      <w:r w:rsidRPr="00FC09A8">
        <w:rPr>
          <w:rFonts w:asciiTheme="majorHAnsi" w:hAnsiTheme="majorHAnsi"/>
          <w:szCs w:val="22"/>
        </w:rPr>
        <w:t>performing reasonably well against their targets for building RMNCH skills/competences, improving the functionality of health transport, fostering informed cho</w:t>
      </w:r>
      <w:r w:rsidR="00C3740A">
        <w:rPr>
          <w:rFonts w:asciiTheme="majorHAnsi" w:hAnsiTheme="majorHAnsi"/>
          <w:szCs w:val="22"/>
        </w:rPr>
        <w:t>ice from an expanded range of family planning</w:t>
      </w:r>
      <w:r w:rsidRPr="00FC09A8">
        <w:rPr>
          <w:rFonts w:asciiTheme="majorHAnsi" w:hAnsiTheme="majorHAnsi"/>
          <w:szCs w:val="22"/>
        </w:rPr>
        <w:t xml:space="preserve"> methods, and promoting uptake of these and other RMNCH services; in addition, </w:t>
      </w:r>
      <w:r w:rsidR="00D41C30">
        <w:rPr>
          <w:rFonts w:asciiTheme="majorHAnsi" w:hAnsiTheme="majorHAnsi"/>
          <w:szCs w:val="22"/>
        </w:rPr>
        <w:t>TA</w:t>
      </w:r>
      <w:r w:rsidRPr="00FC09A8">
        <w:rPr>
          <w:rFonts w:asciiTheme="majorHAnsi" w:hAnsiTheme="majorHAnsi"/>
          <w:szCs w:val="22"/>
        </w:rPr>
        <w:t xml:space="preserve"> on health information has been well-received and the public financial management adviser is providing vital analyses of challenges such as the implications of decentralization. It is likely that Australian investment</w:t>
      </w:r>
      <w:r w:rsidR="00BA1898" w:rsidRPr="00FC09A8">
        <w:rPr>
          <w:rFonts w:asciiTheme="majorHAnsi" w:hAnsiTheme="majorHAnsi"/>
          <w:szCs w:val="22"/>
        </w:rPr>
        <w:t>s</w:t>
      </w:r>
      <w:r w:rsidRPr="00FC09A8">
        <w:rPr>
          <w:rFonts w:asciiTheme="majorHAnsi" w:hAnsiTheme="majorHAnsi"/>
          <w:szCs w:val="22"/>
        </w:rPr>
        <w:t xml:space="preserve"> have contributed, together with other factors, to increasing the range, quality and reach of RMNCH services; these improvements, as well as more direct efforts to promote uptake, have a</w:t>
      </w:r>
      <w:r w:rsidR="004F68E9" w:rsidRPr="00FC09A8">
        <w:rPr>
          <w:rFonts w:asciiTheme="majorHAnsi" w:hAnsiTheme="majorHAnsi"/>
          <w:szCs w:val="22"/>
        </w:rPr>
        <w:t>lmost certainly helped to boost</w:t>
      </w:r>
      <w:r w:rsidRPr="00FC09A8">
        <w:rPr>
          <w:rFonts w:asciiTheme="majorHAnsi" w:hAnsiTheme="majorHAnsi"/>
          <w:szCs w:val="22"/>
        </w:rPr>
        <w:t xml:space="preserve"> </w:t>
      </w:r>
      <w:r w:rsidR="004F68E9" w:rsidRPr="00FC09A8">
        <w:rPr>
          <w:rFonts w:asciiTheme="majorHAnsi" w:hAnsiTheme="majorHAnsi"/>
          <w:szCs w:val="22"/>
        </w:rPr>
        <w:t>use of services</w:t>
      </w:r>
      <w:r w:rsidRPr="00FC09A8">
        <w:rPr>
          <w:rFonts w:asciiTheme="majorHAnsi" w:hAnsiTheme="majorHAnsi"/>
          <w:szCs w:val="22"/>
        </w:rPr>
        <w:t>.</w:t>
      </w:r>
      <w:r w:rsidRPr="008B233E">
        <w:rPr>
          <w:rFonts w:asciiTheme="majorHAnsi" w:hAnsiTheme="majorHAnsi"/>
          <w:szCs w:val="22"/>
        </w:rPr>
        <w:t xml:space="preserve"> </w:t>
      </w:r>
    </w:p>
    <w:p w14:paraId="67FD6F4A" w14:textId="77777777" w:rsidR="00F57AC9" w:rsidRDefault="00F57AC9" w:rsidP="00C85D03">
      <w:pPr>
        <w:jc w:val="both"/>
        <w:rPr>
          <w:rFonts w:asciiTheme="majorHAnsi" w:hAnsiTheme="majorHAnsi" w:cstheme="majorHAnsi"/>
          <w:szCs w:val="22"/>
        </w:rPr>
      </w:pPr>
    </w:p>
    <w:p w14:paraId="00A34EBE" w14:textId="05CFB178" w:rsidR="004F68E9" w:rsidRPr="00722B0E" w:rsidRDefault="00577F28" w:rsidP="00C85D03">
      <w:pPr>
        <w:jc w:val="both"/>
        <w:rPr>
          <w:rFonts w:asciiTheme="majorHAnsi" w:hAnsiTheme="majorHAnsi" w:cstheme="majorHAnsi"/>
          <w:szCs w:val="22"/>
        </w:rPr>
      </w:pPr>
      <w:r w:rsidRPr="00577F28">
        <w:rPr>
          <w:rFonts w:asciiTheme="majorHAnsi" w:hAnsiTheme="majorHAnsi" w:cstheme="majorHAnsi"/>
          <w:szCs w:val="22"/>
        </w:rPr>
        <w:t>A</w:t>
      </w:r>
      <w:r w:rsidR="00EF327B" w:rsidRPr="00577F28">
        <w:rPr>
          <w:rFonts w:asciiTheme="majorHAnsi" w:hAnsiTheme="majorHAnsi" w:cstheme="majorHAnsi"/>
          <w:szCs w:val="22"/>
        </w:rPr>
        <w:t>lthough</w:t>
      </w:r>
      <w:r w:rsidR="00A0115A" w:rsidRPr="00577F28">
        <w:rPr>
          <w:rFonts w:asciiTheme="majorHAnsi" w:hAnsiTheme="majorHAnsi" w:cstheme="majorHAnsi"/>
          <w:szCs w:val="22"/>
        </w:rPr>
        <w:t xml:space="preserve"> </w:t>
      </w:r>
      <w:r w:rsidRPr="00577F28">
        <w:rPr>
          <w:rFonts w:asciiTheme="majorHAnsi" w:hAnsiTheme="majorHAnsi" w:cstheme="majorHAnsi"/>
          <w:szCs w:val="22"/>
        </w:rPr>
        <w:t>there have been</w:t>
      </w:r>
      <w:r w:rsidR="00A0115A" w:rsidRPr="00577F28">
        <w:rPr>
          <w:rFonts w:asciiTheme="majorHAnsi" w:hAnsiTheme="majorHAnsi" w:cstheme="majorHAnsi"/>
          <w:szCs w:val="22"/>
        </w:rPr>
        <w:t xml:space="preserve"> </w:t>
      </w:r>
      <w:r w:rsidRPr="00577F28">
        <w:rPr>
          <w:rFonts w:asciiTheme="majorHAnsi" w:hAnsiTheme="majorHAnsi" w:cstheme="majorHAnsi"/>
          <w:szCs w:val="22"/>
        </w:rPr>
        <w:t>successes</w:t>
      </w:r>
      <w:r w:rsidR="00A0115A" w:rsidRPr="00577F28">
        <w:rPr>
          <w:rFonts w:asciiTheme="majorHAnsi" w:hAnsiTheme="majorHAnsi" w:cstheme="majorHAnsi"/>
          <w:szCs w:val="22"/>
        </w:rPr>
        <w:t xml:space="preserve">, </w:t>
      </w:r>
      <w:r w:rsidR="00E26A70" w:rsidRPr="00C85D03">
        <w:rPr>
          <w:rFonts w:asciiTheme="majorHAnsi" w:hAnsiTheme="majorHAnsi" w:cstheme="majorHAnsi"/>
          <w:szCs w:val="22"/>
        </w:rPr>
        <w:t>the current program</w:t>
      </w:r>
      <w:r w:rsidR="00511DEA">
        <w:rPr>
          <w:rFonts w:asciiTheme="majorHAnsi" w:hAnsiTheme="majorHAnsi" w:cstheme="majorHAnsi"/>
          <w:szCs w:val="22"/>
        </w:rPr>
        <w:t xml:space="preserve"> currently</w:t>
      </w:r>
      <w:r w:rsidR="00E26A70" w:rsidRPr="00C85D03">
        <w:rPr>
          <w:rFonts w:asciiTheme="majorHAnsi" w:hAnsiTheme="majorHAnsi" w:cstheme="majorHAnsi"/>
          <w:szCs w:val="22"/>
        </w:rPr>
        <w:t xml:space="preserve"> seems overly focused on improving clinical skills and competencies, despite the risk that these may not be fully utilized - and can even be lost – </w:t>
      </w:r>
      <w:r w:rsidR="002B1481" w:rsidRPr="00C85D03">
        <w:rPr>
          <w:rFonts w:asciiTheme="majorHAnsi" w:hAnsiTheme="majorHAnsi" w:cstheme="majorHAnsi"/>
          <w:szCs w:val="22"/>
        </w:rPr>
        <w:t xml:space="preserve">when those who have been trained must work </w:t>
      </w:r>
      <w:r w:rsidR="00E26A70" w:rsidRPr="00C85D03">
        <w:rPr>
          <w:rFonts w:asciiTheme="majorHAnsi" w:hAnsiTheme="majorHAnsi" w:cstheme="majorHAnsi"/>
          <w:szCs w:val="22"/>
        </w:rPr>
        <w:t xml:space="preserve">in health facilities with low levels of readiness and utilization </w:t>
      </w:r>
      <w:r w:rsidR="002B1481" w:rsidRPr="00C85D03">
        <w:rPr>
          <w:rFonts w:asciiTheme="majorHAnsi" w:hAnsiTheme="majorHAnsi" w:cstheme="majorHAnsi"/>
          <w:szCs w:val="22"/>
        </w:rPr>
        <w:t>due to</w:t>
      </w:r>
      <w:r w:rsidR="00E26A70" w:rsidRPr="00C85D03">
        <w:rPr>
          <w:rFonts w:asciiTheme="majorHAnsi" w:hAnsiTheme="majorHAnsi" w:cstheme="majorHAnsi"/>
          <w:szCs w:val="22"/>
        </w:rPr>
        <w:t xml:space="preserve"> persistent weaknesses across the various elements of the health system</w:t>
      </w:r>
      <w:r w:rsidR="00E26A70">
        <w:rPr>
          <w:rFonts w:asciiTheme="majorHAnsi" w:hAnsiTheme="majorHAnsi" w:cstheme="majorHAnsi"/>
          <w:szCs w:val="22"/>
        </w:rPr>
        <w:t>. T</w:t>
      </w:r>
      <w:r w:rsidR="00F57AC9" w:rsidRPr="00577F28">
        <w:rPr>
          <w:rFonts w:asciiTheme="majorHAnsi" w:hAnsiTheme="majorHAnsi" w:cstheme="majorHAnsi"/>
          <w:szCs w:val="22"/>
        </w:rPr>
        <w:t>he</w:t>
      </w:r>
      <w:r w:rsidR="004345AD">
        <w:rPr>
          <w:rFonts w:asciiTheme="majorHAnsi" w:hAnsiTheme="majorHAnsi" w:cstheme="majorHAnsi"/>
          <w:szCs w:val="22"/>
        </w:rPr>
        <w:t>re is room to improve the coherence of the</w:t>
      </w:r>
      <w:r w:rsidR="00F57AC9" w:rsidRPr="00577F28">
        <w:rPr>
          <w:rFonts w:asciiTheme="majorHAnsi" w:hAnsiTheme="majorHAnsi" w:cstheme="majorHAnsi"/>
          <w:szCs w:val="22"/>
        </w:rPr>
        <w:t xml:space="preserve"> </w:t>
      </w:r>
      <w:r w:rsidR="00EF327B" w:rsidRPr="00577F28">
        <w:rPr>
          <w:rFonts w:asciiTheme="majorHAnsi" w:hAnsiTheme="majorHAnsi" w:cstheme="majorHAnsi"/>
          <w:szCs w:val="22"/>
        </w:rPr>
        <w:t xml:space="preserve">program’s component </w:t>
      </w:r>
      <w:r w:rsidR="004345AD">
        <w:rPr>
          <w:rFonts w:asciiTheme="majorHAnsi" w:hAnsiTheme="majorHAnsi" w:cstheme="majorHAnsi"/>
          <w:szCs w:val="22"/>
        </w:rPr>
        <w:t xml:space="preserve">projects and </w:t>
      </w:r>
      <w:r w:rsidR="00E26A70">
        <w:rPr>
          <w:rFonts w:asciiTheme="majorHAnsi" w:hAnsiTheme="majorHAnsi" w:cstheme="majorHAnsi"/>
          <w:szCs w:val="22"/>
        </w:rPr>
        <w:t xml:space="preserve">to </w:t>
      </w:r>
      <w:r w:rsidR="004345AD">
        <w:rPr>
          <w:rFonts w:asciiTheme="majorHAnsi" w:hAnsiTheme="majorHAnsi" w:cstheme="majorHAnsi"/>
          <w:szCs w:val="22"/>
        </w:rPr>
        <w:t>realize more fully the potential</w:t>
      </w:r>
      <w:r w:rsidRPr="00577F28">
        <w:rPr>
          <w:rFonts w:asciiTheme="majorHAnsi" w:hAnsiTheme="majorHAnsi" w:cstheme="majorHAnsi"/>
          <w:szCs w:val="22"/>
        </w:rPr>
        <w:t xml:space="preserve"> comparative advantages of </w:t>
      </w:r>
      <w:r w:rsidR="004345AD">
        <w:rPr>
          <w:rFonts w:asciiTheme="majorHAnsi" w:hAnsiTheme="majorHAnsi" w:cstheme="majorHAnsi"/>
          <w:szCs w:val="22"/>
        </w:rPr>
        <w:t>the arrangement through which management is outsourced to PHD</w:t>
      </w:r>
      <w:r w:rsidRPr="00577F28">
        <w:rPr>
          <w:rFonts w:asciiTheme="majorHAnsi" w:hAnsiTheme="majorHAnsi" w:cstheme="majorHAnsi"/>
          <w:szCs w:val="22"/>
        </w:rPr>
        <w:t>.</w:t>
      </w:r>
      <w:r>
        <w:rPr>
          <w:rFonts w:asciiTheme="majorHAnsi" w:hAnsiTheme="majorHAnsi" w:cstheme="majorHAnsi"/>
          <w:szCs w:val="22"/>
        </w:rPr>
        <w:t xml:space="preserve"> </w:t>
      </w:r>
    </w:p>
    <w:p w14:paraId="14106EDF" w14:textId="77777777" w:rsidR="00301140" w:rsidRDefault="00301140" w:rsidP="00C85D03">
      <w:pPr>
        <w:jc w:val="both"/>
        <w:rPr>
          <w:rFonts w:asciiTheme="majorHAnsi" w:hAnsiTheme="majorHAnsi"/>
          <w:szCs w:val="22"/>
          <w:highlight w:val="yellow"/>
        </w:rPr>
      </w:pPr>
    </w:p>
    <w:p w14:paraId="557A1C0E" w14:textId="77777777" w:rsidR="00264F5B" w:rsidRPr="00301140" w:rsidRDefault="00FC09A8" w:rsidP="00C85D03">
      <w:pPr>
        <w:jc w:val="both"/>
        <w:rPr>
          <w:rFonts w:asciiTheme="majorHAnsi" w:hAnsiTheme="majorHAnsi"/>
          <w:szCs w:val="22"/>
        </w:rPr>
      </w:pPr>
      <w:r>
        <w:rPr>
          <w:rFonts w:asciiTheme="majorHAnsi" w:hAnsiTheme="majorHAnsi"/>
          <w:szCs w:val="22"/>
        </w:rPr>
        <w:t>C</w:t>
      </w:r>
      <w:r w:rsidR="00E26A70" w:rsidRPr="00FC09A8">
        <w:rPr>
          <w:rFonts w:asciiTheme="majorHAnsi" w:hAnsiTheme="majorHAnsi"/>
          <w:szCs w:val="22"/>
        </w:rPr>
        <w:t xml:space="preserve">ontextual changes since the inception of the program </w:t>
      </w:r>
      <w:r>
        <w:rPr>
          <w:rFonts w:asciiTheme="majorHAnsi" w:hAnsiTheme="majorHAnsi"/>
          <w:szCs w:val="22"/>
        </w:rPr>
        <w:t xml:space="preserve">also </w:t>
      </w:r>
      <w:r w:rsidR="00E26A70" w:rsidRPr="00FC09A8">
        <w:rPr>
          <w:rFonts w:asciiTheme="majorHAnsi" w:hAnsiTheme="majorHAnsi"/>
          <w:szCs w:val="22"/>
        </w:rPr>
        <w:t xml:space="preserve">create new challenges and opportunities. </w:t>
      </w:r>
      <w:r w:rsidR="00264F5B" w:rsidRPr="00FC09A8">
        <w:rPr>
          <w:rFonts w:asciiTheme="majorHAnsi" w:hAnsiTheme="majorHAnsi"/>
          <w:szCs w:val="22"/>
        </w:rPr>
        <w:t xml:space="preserve">National ownership and leadership of Timor-Leste’s health agenda are </w:t>
      </w:r>
      <w:r w:rsidR="00264F5B" w:rsidRPr="00FC09A8">
        <w:rPr>
          <w:rFonts w:asciiTheme="majorHAnsi" w:hAnsiTheme="majorHAnsi"/>
          <w:szCs w:val="22"/>
        </w:rPr>
        <w:lastRenderedPageBreak/>
        <w:t xml:space="preserve">increasingly evident: the Ministry of Health (MOH) has shown commitment </w:t>
      </w:r>
      <w:r w:rsidR="00301140" w:rsidRPr="00FC09A8">
        <w:rPr>
          <w:rFonts w:asciiTheme="majorHAnsi" w:hAnsiTheme="majorHAnsi"/>
          <w:szCs w:val="22"/>
        </w:rPr>
        <w:t xml:space="preserve">to internalising responsibility for ‘Liga Inan’ (by budgeting for it in four municipalities) and </w:t>
      </w:r>
      <w:r w:rsidR="00264F5B" w:rsidRPr="00FC09A8">
        <w:rPr>
          <w:rFonts w:asciiTheme="majorHAnsi" w:hAnsiTheme="majorHAnsi"/>
          <w:szCs w:val="22"/>
        </w:rPr>
        <w:t xml:space="preserve">for </w:t>
      </w:r>
      <w:r w:rsidR="00301140" w:rsidRPr="00FC09A8">
        <w:rPr>
          <w:rFonts w:asciiTheme="majorHAnsi" w:hAnsiTheme="majorHAnsi"/>
          <w:szCs w:val="22"/>
        </w:rPr>
        <w:t>the Ambulance and Health Transport project</w:t>
      </w:r>
      <w:r w:rsidR="00FB15CE" w:rsidRPr="00FC09A8">
        <w:rPr>
          <w:rFonts w:asciiTheme="majorHAnsi" w:hAnsiTheme="majorHAnsi"/>
          <w:szCs w:val="22"/>
        </w:rPr>
        <w:t xml:space="preserve">. </w:t>
      </w:r>
      <w:r w:rsidR="00264F5B" w:rsidRPr="00FC09A8">
        <w:rPr>
          <w:rFonts w:asciiTheme="majorHAnsi" w:hAnsiTheme="majorHAnsi"/>
          <w:szCs w:val="22"/>
        </w:rPr>
        <w:t>MOH is also developing or refining several key strategies and plans - including initiative</w:t>
      </w:r>
      <w:r w:rsidR="002B1481">
        <w:rPr>
          <w:rFonts w:asciiTheme="majorHAnsi" w:hAnsiTheme="majorHAnsi"/>
          <w:szCs w:val="22"/>
        </w:rPr>
        <w:t>s</w:t>
      </w:r>
      <w:r w:rsidR="00264F5B" w:rsidRPr="00FC09A8">
        <w:rPr>
          <w:rFonts w:asciiTheme="majorHAnsi" w:hAnsiTheme="majorHAnsi"/>
          <w:szCs w:val="22"/>
        </w:rPr>
        <w:t xml:space="preserve"> to improve EmONC</w:t>
      </w:r>
      <w:r w:rsidR="004F68E9" w:rsidRPr="00FC09A8">
        <w:rPr>
          <w:rFonts w:asciiTheme="majorHAnsi" w:hAnsiTheme="majorHAnsi"/>
          <w:szCs w:val="22"/>
        </w:rPr>
        <w:t>,</w:t>
      </w:r>
      <w:r w:rsidR="002B1481">
        <w:rPr>
          <w:rFonts w:asciiTheme="majorHAnsi" w:hAnsiTheme="majorHAnsi"/>
          <w:szCs w:val="22"/>
        </w:rPr>
        <w:t xml:space="preserve"> </w:t>
      </w:r>
      <w:r w:rsidR="00264F5B" w:rsidRPr="00FC09A8">
        <w:rPr>
          <w:rFonts w:asciiTheme="majorHAnsi" w:hAnsiTheme="majorHAnsi"/>
          <w:szCs w:val="22"/>
        </w:rPr>
        <w:t>human resources strategic management</w:t>
      </w:r>
      <w:r w:rsidR="004F68E9" w:rsidRPr="00FC09A8">
        <w:rPr>
          <w:rFonts w:asciiTheme="majorHAnsi" w:hAnsiTheme="majorHAnsi"/>
          <w:szCs w:val="22"/>
        </w:rPr>
        <w:t>, and harmonisation</w:t>
      </w:r>
      <w:r w:rsidR="00264F5B" w:rsidRPr="00FC09A8">
        <w:rPr>
          <w:rFonts w:asciiTheme="majorHAnsi" w:hAnsiTheme="majorHAnsi"/>
          <w:szCs w:val="22"/>
        </w:rPr>
        <w:t xml:space="preserve"> - and the new Minister is planning a review of health sector configuration, to include infrastructure, </w:t>
      </w:r>
      <w:r w:rsidR="004F68E9" w:rsidRPr="00FC09A8">
        <w:rPr>
          <w:rFonts w:asciiTheme="majorHAnsi" w:hAnsiTheme="majorHAnsi"/>
          <w:szCs w:val="22"/>
        </w:rPr>
        <w:t>staffing</w:t>
      </w:r>
      <w:r w:rsidR="00264F5B" w:rsidRPr="00FC09A8">
        <w:rPr>
          <w:rFonts w:asciiTheme="majorHAnsi" w:hAnsiTheme="majorHAnsi"/>
          <w:szCs w:val="22"/>
        </w:rPr>
        <w:t xml:space="preserve"> and services. These promising changes, however, are taking place in a context of decreasing international aid for health in Timor-Leste, as other donors that have been active in RMNCH are exiting the country </w:t>
      </w:r>
      <w:r w:rsidR="002B1481">
        <w:rPr>
          <w:rFonts w:asciiTheme="majorHAnsi" w:hAnsiTheme="majorHAnsi"/>
          <w:szCs w:val="22"/>
        </w:rPr>
        <w:t>or seeing their</w:t>
      </w:r>
      <w:r w:rsidR="00264F5B" w:rsidRPr="00FC09A8">
        <w:rPr>
          <w:rFonts w:asciiTheme="majorHAnsi" w:hAnsiTheme="majorHAnsi"/>
          <w:szCs w:val="22"/>
        </w:rPr>
        <w:t xml:space="preserve"> budgets </w:t>
      </w:r>
      <w:r w:rsidR="002B1481">
        <w:rPr>
          <w:rFonts w:asciiTheme="majorHAnsi" w:hAnsiTheme="majorHAnsi"/>
          <w:szCs w:val="22"/>
        </w:rPr>
        <w:t>dwindle</w:t>
      </w:r>
      <w:r w:rsidR="00264F5B" w:rsidRPr="00FC09A8">
        <w:rPr>
          <w:rFonts w:asciiTheme="majorHAnsi" w:hAnsiTheme="majorHAnsi"/>
          <w:szCs w:val="22"/>
        </w:rPr>
        <w:t>, even though maternal and neonatal causes still account for a very high proportion of the country’s burden of disease.</w:t>
      </w:r>
    </w:p>
    <w:p w14:paraId="48932F85" w14:textId="77777777" w:rsidR="00264F5B" w:rsidRDefault="00264F5B" w:rsidP="00C85D03">
      <w:pPr>
        <w:jc w:val="both"/>
        <w:rPr>
          <w:rFonts w:asciiTheme="majorHAnsi" w:hAnsiTheme="majorHAnsi"/>
          <w:szCs w:val="22"/>
        </w:rPr>
      </w:pPr>
    </w:p>
    <w:p w14:paraId="5192EF29" w14:textId="77777777" w:rsidR="00E26A70" w:rsidRPr="00A0115A" w:rsidRDefault="00A0115A" w:rsidP="00C85D03">
      <w:pPr>
        <w:jc w:val="both"/>
        <w:rPr>
          <w:rFonts w:asciiTheme="majorHAnsi" w:hAnsiTheme="majorHAnsi"/>
          <w:szCs w:val="22"/>
        </w:rPr>
      </w:pPr>
      <w:r>
        <w:rPr>
          <w:rFonts w:asciiTheme="majorHAnsi" w:hAnsiTheme="majorHAnsi"/>
          <w:szCs w:val="22"/>
        </w:rPr>
        <w:t xml:space="preserve">In view of the above, </w:t>
      </w:r>
      <w:r w:rsidRPr="000817F0">
        <w:rPr>
          <w:rFonts w:asciiTheme="majorHAnsi" w:hAnsiTheme="majorHAnsi"/>
          <w:szCs w:val="22"/>
        </w:rPr>
        <w:t xml:space="preserve">the next few years </w:t>
      </w:r>
      <w:r>
        <w:rPr>
          <w:rFonts w:asciiTheme="majorHAnsi" w:hAnsiTheme="majorHAnsi"/>
          <w:szCs w:val="22"/>
        </w:rPr>
        <w:t xml:space="preserve">are likely to be </w:t>
      </w:r>
      <w:r w:rsidRPr="000817F0">
        <w:rPr>
          <w:rFonts w:asciiTheme="majorHAnsi" w:hAnsiTheme="majorHAnsi"/>
          <w:szCs w:val="22"/>
        </w:rPr>
        <w:t>a particularly dynamic time for Timor-Leste’s health</w:t>
      </w:r>
      <w:r w:rsidRPr="008B233E">
        <w:rPr>
          <w:rFonts w:asciiTheme="majorHAnsi" w:hAnsiTheme="majorHAnsi"/>
          <w:szCs w:val="22"/>
        </w:rPr>
        <w:t xml:space="preserve"> sector</w:t>
      </w:r>
      <w:r w:rsidR="00E26A70">
        <w:rPr>
          <w:rFonts w:asciiTheme="majorHAnsi" w:hAnsiTheme="majorHAnsi"/>
          <w:szCs w:val="22"/>
        </w:rPr>
        <w:t xml:space="preserve"> and for Australia’s support</w:t>
      </w:r>
      <w:r w:rsidRPr="008B233E">
        <w:rPr>
          <w:rFonts w:asciiTheme="majorHAnsi" w:hAnsiTheme="majorHAnsi"/>
          <w:szCs w:val="22"/>
        </w:rPr>
        <w:t>.</w:t>
      </w:r>
      <w:r w:rsidR="00E26A70">
        <w:rPr>
          <w:rFonts w:asciiTheme="majorHAnsi" w:hAnsiTheme="majorHAnsi"/>
          <w:szCs w:val="22"/>
        </w:rPr>
        <w:t xml:space="preserve"> </w:t>
      </w:r>
      <w:r w:rsidR="00FC09A8">
        <w:rPr>
          <w:rFonts w:asciiTheme="majorHAnsi" w:hAnsiTheme="majorHAnsi"/>
          <w:szCs w:val="22"/>
        </w:rPr>
        <w:t xml:space="preserve">In view of continuing needs and declining aid from others, </w:t>
      </w:r>
      <w:r w:rsidR="00E26A70" w:rsidRPr="00F9774B">
        <w:rPr>
          <w:rFonts w:asciiTheme="majorHAnsi" w:hAnsiTheme="majorHAnsi"/>
          <w:szCs w:val="22"/>
        </w:rPr>
        <w:t>Australia</w:t>
      </w:r>
      <w:r w:rsidR="00E26A70">
        <w:rPr>
          <w:rFonts w:asciiTheme="majorHAnsi" w:hAnsiTheme="majorHAnsi"/>
          <w:szCs w:val="22"/>
        </w:rPr>
        <w:t>’s bilateral health program</w:t>
      </w:r>
      <w:r w:rsidR="00E26A70" w:rsidRPr="00F9774B">
        <w:rPr>
          <w:rFonts w:asciiTheme="majorHAnsi" w:hAnsiTheme="majorHAnsi"/>
          <w:szCs w:val="22"/>
        </w:rPr>
        <w:t xml:space="preserve"> </w:t>
      </w:r>
      <w:r w:rsidR="00E26A70">
        <w:rPr>
          <w:rFonts w:asciiTheme="majorHAnsi" w:hAnsiTheme="majorHAnsi"/>
          <w:szCs w:val="22"/>
        </w:rPr>
        <w:t xml:space="preserve">should continue </w:t>
      </w:r>
      <w:r w:rsidR="00E26A70" w:rsidRPr="00F9774B">
        <w:rPr>
          <w:rFonts w:asciiTheme="majorHAnsi" w:hAnsiTheme="majorHAnsi"/>
          <w:szCs w:val="22"/>
        </w:rPr>
        <w:t xml:space="preserve">to focus on RMNCH </w:t>
      </w:r>
      <w:r w:rsidR="00E26A70">
        <w:rPr>
          <w:rFonts w:asciiTheme="majorHAnsi" w:hAnsiTheme="majorHAnsi"/>
          <w:szCs w:val="22"/>
        </w:rPr>
        <w:t xml:space="preserve">objectives </w:t>
      </w:r>
      <w:r w:rsidR="00E26A70" w:rsidRPr="008B233E">
        <w:rPr>
          <w:rFonts w:asciiTheme="majorHAnsi" w:hAnsiTheme="majorHAnsi"/>
          <w:szCs w:val="22"/>
        </w:rPr>
        <w:t xml:space="preserve">– </w:t>
      </w:r>
      <w:r w:rsidR="00E26A70">
        <w:rPr>
          <w:rFonts w:asciiTheme="majorHAnsi" w:hAnsiTheme="majorHAnsi"/>
          <w:szCs w:val="22"/>
        </w:rPr>
        <w:t>including</w:t>
      </w:r>
      <w:r w:rsidR="00E26A70" w:rsidRPr="008B233E">
        <w:rPr>
          <w:rFonts w:asciiTheme="majorHAnsi" w:hAnsiTheme="majorHAnsi"/>
          <w:szCs w:val="22"/>
        </w:rPr>
        <w:t xml:space="preserve"> EmONC, which needs to be made available more equitably </w:t>
      </w:r>
      <w:r w:rsidR="00E26A70">
        <w:rPr>
          <w:rFonts w:asciiTheme="majorHAnsi" w:hAnsiTheme="majorHAnsi"/>
          <w:szCs w:val="22"/>
        </w:rPr>
        <w:t xml:space="preserve">in order </w:t>
      </w:r>
      <w:r w:rsidR="00E26A70" w:rsidRPr="008B233E">
        <w:rPr>
          <w:rFonts w:asciiTheme="majorHAnsi" w:hAnsiTheme="majorHAnsi"/>
          <w:szCs w:val="22"/>
        </w:rPr>
        <w:t>to accelerate progress in maternal and neonatal health</w:t>
      </w:r>
      <w:r w:rsidR="00E26A70">
        <w:rPr>
          <w:rFonts w:asciiTheme="majorHAnsi" w:hAnsiTheme="majorHAnsi"/>
          <w:szCs w:val="22"/>
        </w:rPr>
        <w:t>.</w:t>
      </w:r>
      <w:r w:rsidR="00E26A70" w:rsidRPr="008B233E">
        <w:rPr>
          <w:rFonts w:asciiTheme="majorHAnsi" w:hAnsiTheme="majorHAnsi"/>
          <w:szCs w:val="22"/>
        </w:rPr>
        <w:t xml:space="preserve"> This is a complex challenge requiring enhanced functionality and integration of all elements of the health system. </w:t>
      </w:r>
      <w:r w:rsidR="00E26A70" w:rsidRPr="008B233E">
        <w:rPr>
          <w:rFonts w:asciiTheme="majorHAnsi" w:hAnsiTheme="majorHAnsi" w:cstheme="majorHAnsi"/>
          <w:szCs w:val="22"/>
        </w:rPr>
        <w:t xml:space="preserve">Institutional and managerial challenges will need to be met in order to sustain achievements, especially as decentralization progresses. </w:t>
      </w:r>
      <w:r w:rsidR="00E26A70">
        <w:rPr>
          <w:rFonts w:asciiTheme="majorHAnsi" w:hAnsiTheme="majorHAnsi"/>
          <w:szCs w:val="22"/>
        </w:rPr>
        <w:t>Going forward, the Australian bilateral program can increase its impact by means of a partial re-design</w:t>
      </w:r>
      <w:r w:rsidR="00E26A70" w:rsidRPr="008B233E">
        <w:rPr>
          <w:rFonts w:asciiTheme="majorHAnsi" w:hAnsiTheme="majorHAnsi"/>
          <w:szCs w:val="22"/>
        </w:rPr>
        <w:t xml:space="preserve">. </w:t>
      </w:r>
    </w:p>
    <w:p w14:paraId="0CEDDCAD" w14:textId="77777777" w:rsidR="008B233E" w:rsidRPr="008B233E" w:rsidRDefault="008B233E" w:rsidP="00C85D03">
      <w:pPr>
        <w:jc w:val="both"/>
        <w:rPr>
          <w:rFonts w:asciiTheme="majorHAnsi" w:hAnsiTheme="majorHAnsi"/>
          <w:szCs w:val="22"/>
        </w:rPr>
      </w:pPr>
    </w:p>
    <w:p w14:paraId="1C379817" w14:textId="77777777" w:rsidR="008B233E" w:rsidRPr="008B233E" w:rsidRDefault="008B233E" w:rsidP="00C85D03">
      <w:pPr>
        <w:jc w:val="both"/>
        <w:rPr>
          <w:rFonts w:asciiTheme="majorHAnsi" w:hAnsiTheme="majorHAnsi"/>
          <w:b/>
          <w:szCs w:val="22"/>
        </w:rPr>
      </w:pPr>
      <w:r w:rsidRPr="008B233E">
        <w:rPr>
          <w:rFonts w:asciiTheme="majorHAnsi" w:hAnsiTheme="majorHAnsi"/>
          <w:b/>
          <w:szCs w:val="22"/>
        </w:rPr>
        <w:t>Recommendations</w:t>
      </w:r>
    </w:p>
    <w:p w14:paraId="1BD26986" w14:textId="77777777" w:rsidR="008B233E" w:rsidRPr="008B233E" w:rsidRDefault="008B233E" w:rsidP="00C85D03">
      <w:pPr>
        <w:jc w:val="both"/>
        <w:rPr>
          <w:rFonts w:asciiTheme="majorHAnsi" w:hAnsiTheme="majorHAnsi"/>
          <w:szCs w:val="22"/>
        </w:rPr>
      </w:pPr>
    </w:p>
    <w:p w14:paraId="7226F1E0" w14:textId="77777777" w:rsidR="008B233E" w:rsidRPr="00FC09A8" w:rsidRDefault="008B233E" w:rsidP="00C85D03">
      <w:pPr>
        <w:jc w:val="both"/>
        <w:rPr>
          <w:rFonts w:asciiTheme="majorHAnsi" w:hAnsiTheme="majorHAnsi"/>
          <w:szCs w:val="22"/>
        </w:rPr>
      </w:pPr>
      <w:r w:rsidRPr="008B233E">
        <w:rPr>
          <w:rFonts w:asciiTheme="majorHAnsi" w:hAnsiTheme="majorHAnsi"/>
          <w:szCs w:val="22"/>
        </w:rPr>
        <w:t xml:space="preserve">Recommendations of the Review are based on: </w:t>
      </w:r>
      <w:r w:rsidR="00FC09A8">
        <w:rPr>
          <w:rFonts w:asciiTheme="majorHAnsi" w:hAnsiTheme="majorHAnsi"/>
          <w:szCs w:val="22"/>
        </w:rPr>
        <w:t xml:space="preserve">(i) </w:t>
      </w:r>
      <w:r w:rsidRPr="00FC09A8">
        <w:rPr>
          <w:rFonts w:asciiTheme="majorHAnsi" w:hAnsiTheme="majorHAnsi"/>
          <w:szCs w:val="22"/>
        </w:rPr>
        <w:t xml:space="preserve">Australia’s comparative advantage as the largest donor, with an established tradition of bilateral partnership and ample capacity for both strategic management and project administration; </w:t>
      </w:r>
      <w:r w:rsidR="00FC09A8">
        <w:rPr>
          <w:rFonts w:asciiTheme="majorHAnsi" w:hAnsiTheme="majorHAnsi"/>
          <w:szCs w:val="22"/>
        </w:rPr>
        <w:t xml:space="preserve">(ii) </w:t>
      </w:r>
      <w:r w:rsidRPr="00FC09A8">
        <w:rPr>
          <w:rFonts w:asciiTheme="majorHAnsi" w:hAnsiTheme="majorHAnsi"/>
          <w:szCs w:val="22"/>
        </w:rPr>
        <w:t xml:space="preserve">performance </w:t>
      </w:r>
      <w:r w:rsidR="002F6C90" w:rsidRPr="00FC09A8">
        <w:rPr>
          <w:rFonts w:asciiTheme="majorHAnsi" w:hAnsiTheme="majorHAnsi"/>
          <w:szCs w:val="22"/>
        </w:rPr>
        <w:t>of the program over the period covered by the Review</w:t>
      </w:r>
      <w:r w:rsidRPr="00FC09A8">
        <w:rPr>
          <w:rFonts w:asciiTheme="majorHAnsi" w:hAnsiTheme="majorHAnsi"/>
          <w:szCs w:val="22"/>
        </w:rPr>
        <w:t>;</w:t>
      </w:r>
      <w:r w:rsidR="00FC09A8">
        <w:rPr>
          <w:rFonts w:asciiTheme="majorHAnsi" w:hAnsiTheme="majorHAnsi"/>
          <w:szCs w:val="22"/>
        </w:rPr>
        <w:t xml:space="preserve"> (iii) </w:t>
      </w:r>
      <w:r w:rsidRPr="00FC09A8">
        <w:rPr>
          <w:rFonts w:asciiTheme="majorHAnsi" w:hAnsiTheme="majorHAnsi"/>
          <w:szCs w:val="22"/>
        </w:rPr>
        <w:t xml:space="preserve">remaining gaps and challenges, especially insufficient support for EmONC and management within the sector and suboptimal balance and coherence within the program; and </w:t>
      </w:r>
      <w:r w:rsidR="00FC09A8">
        <w:rPr>
          <w:rFonts w:asciiTheme="majorHAnsi" w:hAnsiTheme="majorHAnsi"/>
          <w:szCs w:val="22"/>
        </w:rPr>
        <w:t xml:space="preserve">(iv) </w:t>
      </w:r>
      <w:r w:rsidRPr="00FC09A8">
        <w:rPr>
          <w:rFonts w:asciiTheme="majorHAnsi" w:hAnsiTheme="majorHAnsi"/>
          <w:szCs w:val="22"/>
        </w:rPr>
        <w:t xml:space="preserve">opportunities and risks arising from ongoing and expected contextual changes. </w:t>
      </w:r>
      <w:r w:rsidRPr="00007149">
        <w:rPr>
          <w:rFonts w:asciiTheme="majorHAnsi" w:hAnsiTheme="majorHAnsi"/>
          <w:b/>
          <w:i/>
          <w:sz w:val="20"/>
          <w:szCs w:val="22"/>
        </w:rPr>
        <w:t>Note that because a number of RMNCH-relevant strategies are being revised at present, (iii) and (iv) are the main drivers for the recommendations of the Review.</w:t>
      </w:r>
    </w:p>
    <w:p w14:paraId="5B1A010E" w14:textId="77777777" w:rsidR="008B233E" w:rsidRPr="008B233E" w:rsidRDefault="008B233E" w:rsidP="00C85D03">
      <w:pPr>
        <w:jc w:val="both"/>
        <w:rPr>
          <w:rFonts w:asciiTheme="majorHAnsi" w:hAnsiTheme="majorHAnsi"/>
          <w:szCs w:val="22"/>
        </w:rPr>
      </w:pPr>
    </w:p>
    <w:p w14:paraId="0FA75878" w14:textId="77777777" w:rsidR="008B233E" w:rsidRPr="008B233E" w:rsidRDefault="008B233E" w:rsidP="00C85D03">
      <w:pPr>
        <w:jc w:val="both"/>
        <w:rPr>
          <w:rFonts w:asciiTheme="majorHAnsi" w:hAnsiTheme="majorHAnsi"/>
          <w:szCs w:val="22"/>
        </w:rPr>
      </w:pPr>
      <w:r w:rsidRPr="008B233E">
        <w:rPr>
          <w:rFonts w:asciiTheme="majorHAnsi" w:hAnsiTheme="majorHAnsi"/>
          <w:szCs w:val="22"/>
        </w:rPr>
        <w:t xml:space="preserve">Detailed recommendations for a more effective approach are listed below and organized under several sub-headings. </w:t>
      </w:r>
      <w:r w:rsidRPr="008B233E">
        <w:rPr>
          <w:rFonts w:asciiTheme="majorHAnsi" w:hAnsiTheme="majorHAnsi" w:cstheme="majorHAnsi"/>
          <w:szCs w:val="22"/>
        </w:rPr>
        <w:t xml:space="preserve">General recommendations concerning ways of working and the balance of investments are followed by recommendations for high-level actions </w:t>
      </w:r>
      <w:r w:rsidRPr="008B233E">
        <w:rPr>
          <w:rFonts w:asciiTheme="majorHAnsi" w:hAnsiTheme="majorHAnsi"/>
          <w:szCs w:val="22"/>
        </w:rPr>
        <w:t>to prepare the ground for detailed redesign of the program</w:t>
      </w:r>
      <w:r w:rsidR="00731A58">
        <w:rPr>
          <w:rFonts w:asciiTheme="majorHAnsi" w:hAnsiTheme="majorHAnsi"/>
          <w:szCs w:val="22"/>
        </w:rPr>
        <w:t xml:space="preserve"> during 2018</w:t>
      </w:r>
      <w:r w:rsidRPr="008B233E">
        <w:rPr>
          <w:rFonts w:asciiTheme="majorHAnsi" w:hAnsiTheme="majorHAnsi"/>
          <w:szCs w:val="22"/>
        </w:rPr>
        <w:t xml:space="preserve">, and then by </w:t>
      </w:r>
      <w:r w:rsidRPr="008B233E">
        <w:rPr>
          <w:rFonts w:asciiTheme="majorHAnsi" w:hAnsiTheme="majorHAnsi" w:cstheme="majorHAnsi"/>
          <w:szCs w:val="22"/>
        </w:rPr>
        <w:t>recommendations for evolution of individual investments, resulting in a program with five components (</w:t>
      </w:r>
      <w:r w:rsidR="002B1481">
        <w:rPr>
          <w:rFonts w:asciiTheme="majorHAnsi" w:hAnsiTheme="majorHAnsi" w:cstheme="majorHAnsi"/>
          <w:b/>
          <w:szCs w:val="22"/>
        </w:rPr>
        <w:t>Reproductive health</w:t>
      </w:r>
      <w:r w:rsidRPr="008B233E">
        <w:rPr>
          <w:rFonts w:asciiTheme="majorHAnsi" w:hAnsiTheme="majorHAnsi" w:cstheme="majorHAnsi"/>
          <w:b/>
          <w:szCs w:val="22"/>
        </w:rPr>
        <w:t xml:space="preserve">, Postgraduate medical training, Obstetric/neonatal care, Management, </w:t>
      </w:r>
      <w:r w:rsidRPr="008B233E">
        <w:rPr>
          <w:rFonts w:asciiTheme="majorHAnsi" w:hAnsiTheme="majorHAnsi" w:cstheme="majorHAnsi"/>
          <w:szCs w:val="22"/>
        </w:rPr>
        <w:t>and</w:t>
      </w:r>
      <w:r w:rsidRPr="008B233E">
        <w:rPr>
          <w:rFonts w:asciiTheme="majorHAnsi" w:hAnsiTheme="majorHAnsi" w:cstheme="majorHAnsi"/>
          <w:b/>
          <w:szCs w:val="22"/>
        </w:rPr>
        <w:t xml:space="preserve"> Technical assistance</w:t>
      </w:r>
      <w:r w:rsidRPr="008B233E">
        <w:rPr>
          <w:rFonts w:asciiTheme="majorHAnsi" w:hAnsiTheme="majorHAnsi" w:cstheme="majorHAnsi"/>
          <w:szCs w:val="22"/>
        </w:rPr>
        <w:t xml:space="preserve">) from 2019. </w:t>
      </w:r>
    </w:p>
    <w:p w14:paraId="21F9BA07" w14:textId="77777777" w:rsidR="008B233E" w:rsidRPr="008B233E" w:rsidRDefault="008B233E" w:rsidP="00C85D03">
      <w:pPr>
        <w:jc w:val="both"/>
        <w:rPr>
          <w:rFonts w:asciiTheme="majorHAnsi" w:hAnsiTheme="majorHAnsi"/>
          <w:szCs w:val="22"/>
        </w:rPr>
      </w:pPr>
    </w:p>
    <w:p w14:paraId="04626E7F" w14:textId="77777777" w:rsidR="008B233E" w:rsidRPr="00FC09A8" w:rsidRDefault="008B233E" w:rsidP="00C85D03">
      <w:pPr>
        <w:jc w:val="both"/>
        <w:rPr>
          <w:rFonts w:asciiTheme="majorHAnsi" w:hAnsiTheme="majorHAnsi" w:cstheme="majorHAnsi"/>
          <w:szCs w:val="22"/>
          <w:u w:val="single"/>
        </w:rPr>
      </w:pPr>
      <w:r w:rsidRPr="008B233E">
        <w:rPr>
          <w:rFonts w:asciiTheme="majorHAnsi" w:hAnsiTheme="majorHAnsi" w:cstheme="majorHAnsi"/>
          <w:szCs w:val="22"/>
          <w:u w:val="single"/>
        </w:rPr>
        <w:t xml:space="preserve">General </w:t>
      </w:r>
      <w:r w:rsidRPr="00FC09A8">
        <w:rPr>
          <w:rFonts w:asciiTheme="majorHAnsi" w:hAnsiTheme="majorHAnsi" w:cstheme="majorHAnsi"/>
          <w:szCs w:val="22"/>
          <w:u w:val="single"/>
        </w:rPr>
        <w:t>recommendations</w:t>
      </w:r>
      <w:r w:rsidR="00645761" w:rsidRPr="00FC09A8">
        <w:rPr>
          <w:rFonts w:asciiTheme="majorHAnsi" w:hAnsiTheme="majorHAnsi" w:cstheme="majorHAnsi"/>
          <w:szCs w:val="22"/>
          <w:u w:val="single"/>
        </w:rPr>
        <w:t xml:space="preserve"> for DFAT/PHD</w:t>
      </w:r>
    </w:p>
    <w:p w14:paraId="4F35AA58" w14:textId="77777777" w:rsidR="008B233E" w:rsidRPr="00FC09A8" w:rsidRDefault="008B233E" w:rsidP="00C85D03">
      <w:pPr>
        <w:jc w:val="both"/>
        <w:rPr>
          <w:rFonts w:asciiTheme="majorHAnsi" w:hAnsiTheme="majorHAnsi" w:cstheme="majorHAnsi"/>
          <w:b/>
          <w:szCs w:val="22"/>
        </w:rPr>
      </w:pPr>
    </w:p>
    <w:p w14:paraId="58D4D240" w14:textId="77777777" w:rsidR="008B233E" w:rsidRPr="00FC09A8" w:rsidRDefault="008B233E" w:rsidP="00C85D03">
      <w:pPr>
        <w:jc w:val="both"/>
        <w:rPr>
          <w:rFonts w:asciiTheme="majorHAnsi" w:hAnsiTheme="majorHAnsi" w:cstheme="majorHAnsi"/>
          <w:szCs w:val="22"/>
        </w:rPr>
      </w:pPr>
      <w:r w:rsidRPr="00FC09A8">
        <w:rPr>
          <w:rFonts w:asciiTheme="majorHAnsi" w:hAnsiTheme="majorHAnsi" w:cstheme="majorHAnsi"/>
          <w:b/>
          <w:szCs w:val="22"/>
        </w:rPr>
        <w:t>Improve ways of working:</w:t>
      </w:r>
      <w:r w:rsidRPr="00FC09A8">
        <w:rPr>
          <w:rFonts w:asciiTheme="majorHAnsi" w:hAnsiTheme="majorHAnsi" w:cstheme="majorHAnsi"/>
          <w:szCs w:val="22"/>
        </w:rPr>
        <w:t xml:space="preserve"> in response to improvements in MOH stewardship by building on Australia’s comparative advantage as a health donor to improve aid effectiveness</w:t>
      </w:r>
      <w:r w:rsidR="000348DA" w:rsidRPr="00FC09A8">
        <w:rPr>
          <w:rFonts w:asciiTheme="majorHAnsi" w:hAnsiTheme="majorHAnsi" w:cstheme="majorHAnsi"/>
          <w:szCs w:val="22"/>
        </w:rPr>
        <w:t>, i.e.:</w:t>
      </w:r>
      <w:r w:rsidRPr="00FC09A8">
        <w:rPr>
          <w:rFonts w:asciiTheme="majorHAnsi" w:hAnsiTheme="majorHAnsi" w:cstheme="majorHAnsi"/>
          <w:szCs w:val="22"/>
        </w:rPr>
        <w:t xml:space="preserve"> </w:t>
      </w:r>
    </w:p>
    <w:p w14:paraId="7792CABF" w14:textId="77777777" w:rsidR="008B233E" w:rsidRPr="00FC09A8" w:rsidRDefault="008B233E" w:rsidP="00C85D03">
      <w:pPr>
        <w:pStyle w:val="ListParagraph"/>
        <w:numPr>
          <w:ilvl w:val="0"/>
          <w:numId w:val="7"/>
        </w:numPr>
        <w:jc w:val="both"/>
        <w:rPr>
          <w:rFonts w:asciiTheme="majorHAnsi" w:hAnsiTheme="majorHAnsi" w:cstheme="majorHAnsi"/>
          <w:szCs w:val="22"/>
        </w:rPr>
      </w:pPr>
      <w:r w:rsidRPr="00FC09A8">
        <w:rPr>
          <w:rFonts w:asciiTheme="majorHAnsi" w:hAnsiTheme="majorHAnsi" w:cstheme="majorHAnsi"/>
          <w:szCs w:val="22"/>
        </w:rPr>
        <w:t>increase emphasis on equity and rights</w:t>
      </w:r>
      <w:r w:rsidR="000348DA" w:rsidRPr="00FC09A8">
        <w:rPr>
          <w:rFonts w:asciiTheme="majorHAnsi" w:hAnsiTheme="majorHAnsi" w:cstheme="majorHAnsi"/>
          <w:szCs w:val="22"/>
        </w:rPr>
        <w:t xml:space="preserve"> in health policy dialogue and programming;</w:t>
      </w:r>
    </w:p>
    <w:p w14:paraId="5578F7FF" w14:textId="77777777" w:rsidR="008B233E" w:rsidRPr="00FC09A8" w:rsidRDefault="008B233E" w:rsidP="00C85D03">
      <w:pPr>
        <w:pStyle w:val="ListParagraph"/>
        <w:numPr>
          <w:ilvl w:val="0"/>
          <w:numId w:val="7"/>
        </w:numPr>
        <w:jc w:val="both"/>
        <w:rPr>
          <w:rFonts w:asciiTheme="majorHAnsi" w:hAnsiTheme="majorHAnsi" w:cstheme="majorHAnsi"/>
          <w:szCs w:val="22"/>
        </w:rPr>
      </w:pPr>
      <w:r w:rsidRPr="00FC09A8">
        <w:rPr>
          <w:rFonts w:asciiTheme="majorHAnsi" w:hAnsiTheme="majorHAnsi" w:cstheme="majorHAnsi"/>
          <w:szCs w:val="22"/>
        </w:rPr>
        <w:t>ensure alignment with new/revised strategies/plans as they emerge and be responsive to MOH direction on geographic focus of projects</w:t>
      </w:r>
      <w:r w:rsidRPr="00FC09A8">
        <w:rPr>
          <w:rFonts w:asciiTheme="majorHAnsi" w:hAnsiTheme="majorHAnsi"/>
          <w:szCs w:val="22"/>
          <w:lang w:eastAsia="en-AU"/>
        </w:rPr>
        <w:t xml:space="preserve">; and </w:t>
      </w:r>
    </w:p>
    <w:p w14:paraId="1CCEE029" w14:textId="77777777" w:rsidR="008B233E" w:rsidRPr="00FC09A8" w:rsidRDefault="008B233E" w:rsidP="00C85D03">
      <w:pPr>
        <w:pStyle w:val="ListParagraph"/>
        <w:numPr>
          <w:ilvl w:val="0"/>
          <w:numId w:val="7"/>
        </w:numPr>
        <w:jc w:val="both"/>
        <w:rPr>
          <w:rFonts w:asciiTheme="majorHAnsi" w:hAnsiTheme="majorHAnsi"/>
          <w:szCs w:val="22"/>
        </w:rPr>
      </w:pPr>
      <w:r w:rsidRPr="00FC09A8">
        <w:rPr>
          <w:rFonts w:asciiTheme="majorHAnsi" w:hAnsiTheme="majorHAnsi" w:cstheme="majorHAnsi"/>
          <w:szCs w:val="22"/>
        </w:rPr>
        <w:t>improve harmonization (as per forthcoming MOH manual) and working with other donors to speak with one voice to GOTL.</w:t>
      </w:r>
    </w:p>
    <w:p w14:paraId="477A354C" w14:textId="77777777" w:rsidR="008B233E" w:rsidRPr="00FC09A8" w:rsidRDefault="008B233E" w:rsidP="00C85D03">
      <w:pPr>
        <w:jc w:val="both"/>
        <w:rPr>
          <w:rFonts w:asciiTheme="majorHAnsi" w:hAnsiTheme="majorHAnsi" w:cstheme="majorHAnsi"/>
          <w:b/>
          <w:szCs w:val="22"/>
          <w:lang w:val="en-GB"/>
        </w:rPr>
      </w:pPr>
    </w:p>
    <w:p w14:paraId="365B8B7D" w14:textId="77777777" w:rsidR="008B233E" w:rsidRPr="00FC09A8" w:rsidRDefault="008B233E" w:rsidP="00C85D03">
      <w:pPr>
        <w:jc w:val="both"/>
        <w:rPr>
          <w:rFonts w:asciiTheme="majorHAnsi" w:hAnsiTheme="majorHAnsi" w:cstheme="majorHAnsi"/>
          <w:szCs w:val="22"/>
        </w:rPr>
      </w:pPr>
      <w:r w:rsidRPr="00FC09A8">
        <w:rPr>
          <w:rFonts w:asciiTheme="majorHAnsi" w:hAnsiTheme="majorHAnsi" w:cstheme="majorHAnsi"/>
          <w:b/>
          <w:szCs w:val="22"/>
          <w:lang w:val="en-GB"/>
        </w:rPr>
        <w:lastRenderedPageBreak/>
        <w:t>Manage the program more strategically</w:t>
      </w:r>
      <w:r w:rsidRPr="00FC09A8">
        <w:rPr>
          <w:rFonts w:asciiTheme="majorHAnsi" w:hAnsiTheme="majorHAnsi" w:cstheme="majorHAnsi"/>
          <w:szCs w:val="22"/>
          <w:lang w:val="en-GB"/>
        </w:rPr>
        <w:t xml:space="preserve"> and increase coherence by</w:t>
      </w:r>
      <w:r w:rsidRPr="00FC09A8">
        <w:rPr>
          <w:rFonts w:asciiTheme="majorHAnsi" w:hAnsiTheme="majorHAnsi" w:cstheme="majorHAnsi"/>
          <w:szCs w:val="22"/>
        </w:rPr>
        <w:t xml:space="preserve"> actualising the potential comparative adva</w:t>
      </w:r>
      <w:r w:rsidR="000348DA" w:rsidRPr="00FC09A8">
        <w:rPr>
          <w:rFonts w:asciiTheme="majorHAnsi" w:hAnsiTheme="majorHAnsi" w:cstheme="majorHAnsi"/>
          <w:szCs w:val="22"/>
        </w:rPr>
        <w:t>ntage</w:t>
      </w:r>
      <w:r w:rsidR="00A72EB1" w:rsidRPr="00FC09A8">
        <w:rPr>
          <w:rFonts w:asciiTheme="majorHAnsi" w:hAnsiTheme="majorHAnsi" w:cstheme="majorHAnsi"/>
          <w:szCs w:val="22"/>
        </w:rPr>
        <w:t xml:space="preserve"> of the</w:t>
      </w:r>
      <w:r w:rsidR="000348DA" w:rsidRPr="00FC09A8">
        <w:rPr>
          <w:rFonts w:asciiTheme="majorHAnsi" w:hAnsiTheme="majorHAnsi" w:cstheme="majorHAnsi"/>
          <w:szCs w:val="22"/>
        </w:rPr>
        <w:t xml:space="preserve"> partnership, i.e.</w:t>
      </w:r>
      <w:r w:rsidRPr="00FC09A8">
        <w:rPr>
          <w:rFonts w:asciiTheme="majorHAnsi" w:hAnsiTheme="majorHAnsi" w:cstheme="majorHAnsi"/>
          <w:szCs w:val="22"/>
        </w:rPr>
        <w:t xml:space="preserve">: </w:t>
      </w:r>
    </w:p>
    <w:p w14:paraId="7102FCF2" w14:textId="77777777" w:rsidR="008B233E" w:rsidRPr="00FC09A8" w:rsidRDefault="008B233E" w:rsidP="00C85D03">
      <w:pPr>
        <w:pStyle w:val="ListParagraph"/>
        <w:numPr>
          <w:ilvl w:val="0"/>
          <w:numId w:val="8"/>
        </w:numPr>
        <w:jc w:val="both"/>
        <w:rPr>
          <w:rFonts w:asciiTheme="majorHAnsi" w:hAnsiTheme="majorHAnsi" w:cstheme="majorHAnsi"/>
          <w:szCs w:val="22"/>
        </w:rPr>
      </w:pPr>
      <w:r w:rsidRPr="00FC09A8">
        <w:rPr>
          <w:rFonts w:asciiTheme="majorHAnsi" w:hAnsiTheme="majorHAnsi" w:cstheme="majorHAnsi"/>
          <w:szCs w:val="22"/>
        </w:rPr>
        <w:t xml:space="preserve">determine the respective roles and functions of DFAT and PHD with regard to policy, strategy and management, and communicate these to stakeholders; </w:t>
      </w:r>
    </w:p>
    <w:p w14:paraId="1AAEB525" w14:textId="77777777" w:rsidR="008B233E" w:rsidRPr="00FC09A8" w:rsidRDefault="008B233E" w:rsidP="00C85D03">
      <w:pPr>
        <w:pStyle w:val="ListParagraph"/>
        <w:numPr>
          <w:ilvl w:val="0"/>
          <w:numId w:val="8"/>
        </w:numPr>
        <w:jc w:val="both"/>
        <w:rPr>
          <w:rFonts w:asciiTheme="majorHAnsi" w:hAnsiTheme="majorHAnsi" w:cstheme="majorHAnsi"/>
          <w:szCs w:val="22"/>
          <w:lang w:val="en-GB"/>
        </w:rPr>
      </w:pPr>
      <w:r w:rsidRPr="00FC09A8">
        <w:rPr>
          <w:rFonts w:asciiTheme="majorHAnsi" w:hAnsiTheme="majorHAnsi" w:cstheme="majorHAnsi"/>
          <w:szCs w:val="22"/>
          <w:lang w:val="en-GB"/>
        </w:rPr>
        <w:t>work closely with GOTL t</w:t>
      </w:r>
      <w:r w:rsidR="00E4443A" w:rsidRPr="00FC09A8">
        <w:rPr>
          <w:rFonts w:asciiTheme="majorHAnsi" w:hAnsiTheme="majorHAnsi" w:cstheme="majorHAnsi"/>
          <w:szCs w:val="22"/>
          <w:lang w:val="en-GB"/>
        </w:rPr>
        <w:t>o encourage efforts to ensure</w:t>
      </w:r>
      <w:r w:rsidRPr="00FC09A8">
        <w:rPr>
          <w:rFonts w:asciiTheme="majorHAnsi" w:hAnsiTheme="majorHAnsi" w:cstheme="majorHAnsi"/>
          <w:szCs w:val="22"/>
          <w:lang w:val="en-GB"/>
        </w:rPr>
        <w:t xml:space="preserve"> that different elements of the health system improve in ways that support each other to achieve RMNCH </w:t>
      </w:r>
      <w:r w:rsidR="00A72EB1" w:rsidRPr="00FC09A8">
        <w:rPr>
          <w:rFonts w:asciiTheme="majorHAnsi" w:hAnsiTheme="majorHAnsi" w:cstheme="majorHAnsi"/>
          <w:szCs w:val="22"/>
          <w:lang w:val="en-GB"/>
        </w:rPr>
        <w:t>aims</w:t>
      </w:r>
      <w:r w:rsidRPr="00FC09A8">
        <w:rPr>
          <w:rFonts w:asciiTheme="majorHAnsi" w:hAnsiTheme="majorHAnsi" w:cstheme="majorHAnsi"/>
          <w:szCs w:val="22"/>
          <w:lang w:val="en-GB"/>
        </w:rPr>
        <w:t>;</w:t>
      </w:r>
    </w:p>
    <w:p w14:paraId="3B680F34" w14:textId="77777777" w:rsidR="008B233E" w:rsidRPr="00FC09A8" w:rsidRDefault="008B233E" w:rsidP="00C85D03">
      <w:pPr>
        <w:pStyle w:val="ListParagraph"/>
        <w:numPr>
          <w:ilvl w:val="0"/>
          <w:numId w:val="8"/>
        </w:numPr>
        <w:jc w:val="both"/>
        <w:rPr>
          <w:rFonts w:asciiTheme="majorHAnsi" w:hAnsiTheme="majorHAnsi" w:cstheme="majorHAnsi"/>
          <w:szCs w:val="22"/>
          <w:lang w:val="en-GB"/>
        </w:rPr>
      </w:pPr>
      <w:r w:rsidRPr="00FC09A8">
        <w:rPr>
          <w:rFonts w:asciiTheme="majorHAnsi" w:hAnsiTheme="majorHAnsi" w:cstheme="majorHAnsi"/>
          <w:szCs w:val="22"/>
          <w:lang w:val="en-GB"/>
        </w:rPr>
        <w:t>be alert to emerging opportunities for catalytic interventions that could boost RMNCH, and retain flexibility to respond to them; and</w:t>
      </w:r>
    </w:p>
    <w:p w14:paraId="221C11AA" w14:textId="77777777" w:rsidR="008B233E" w:rsidRPr="00FC09A8" w:rsidRDefault="008B233E" w:rsidP="00C85D03">
      <w:pPr>
        <w:pStyle w:val="ListParagraph"/>
        <w:numPr>
          <w:ilvl w:val="0"/>
          <w:numId w:val="8"/>
        </w:numPr>
        <w:jc w:val="both"/>
        <w:rPr>
          <w:rFonts w:asciiTheme="majorHAnsi" w:hAnsiTheme="majorHAnsi" w:cstheme="majorHAnsi"/>
          <w:szCs w:val="22"/>
        </w:rPr>
      </w:pPr>
      <w:r w:rsidRPr="00FC09A8">
        <w:rPr>
          <w:rFonts w:asciiTheme="majorHAnsi" w:hAnsiTheme="majorHAnsi" w:cstheme="majorHAnsi"/>
          <w:szCs w:val="22"/>
        </w:rPr>
        <w:t xml:space="preserve">ensure complementary interventions add up to more than the sum of its parts. </w:t>
      </w:r>
    </w:p>
    <w:p w14:paraId="29DE5D15" w14:textId="77777777" w:rsidR="008B233E" w:rsidRPr="00FC09A8" w:rsidRDefault="008B233E" w:rsidP="00C85D03">
      <w:pPr>
        <w:jc w:val="both"/>
        <w:rPr>
          <w:rFonts w:asciiTheme="majorHAnsi" w:hAnsiTheme="majorHAnsi" w:cstheme="majorHAnsi"/>
          <w:szCs w:val="22"/>
          <w:lang w:val="en-GB"/>
        </w:rPr>
      </w:pPr>
    </w:p>
    <w:p w14:paraId="52A5BC8E" w14:textId="77777777" w:rsidR="008B233E" w:rsidRPr="00FC09A8" w:rsidRDefault="008B233E" w:rsidP="00C85D03">
      <w:pPr>
        <w:jc w:val="both"/>
        <w:rPr>
          <w:rFonts w:asciiTheme="majorHAnsi" w:hAnsiTheme="majorHAnsi" w:cstheme="majorHAnsi"/>
          <w:szCs w:val="22"/>
        </w:rPr>
      </w:pPr>
      <w:r w:rsidRPr="00FC09A8">
        <w:rPr>
          <w:rFonts w:asciiTheme="majorHAnsi" w:hAnsiTheme="majorHAnsi" w:cstheme="majorHAnsi"/>
          <w:b/>
          <w:szCs w:val="22"/>
        </w:rPr>
        <w:t>Improve the balance of investments</w:t>
      </w:r>
      <w:r w:rsidRPr="00FC09A8">
        <w:rPr>
          <w:rFonts w:asciiTheme="majorHAnsi" w:hAnsiTheme="majorHAnsi" w:cstheme="majorHAnsi"/>
          <w:szCs w:val="22"/>
        </w:rPr>
        <w:t xml:space="preserve"> in response to the evolving capacity of the health sector and to the imbalance created by focusing on the health workforce while persistent systemic issues undermine quality of care, i.e., </w:t>
      </w:r>
    </w:p>
    <w:p w14:paraId="3B3F69D4" w14:textId="77777777" w:rsidR="008B233E" w:rsidRPr="00FC09A8" w:rsidRDefault="008B233E" w:rsidP="00C85D03">
      <w:pPr>
        <w:pStyle w:val="ListParagraph"/>
        <w:numPr>
          <w:ilvl w:val="0"/>
          <w:numId w:val="9"/>
        </w:numPr>
        <w:jc w:val="both"/>
        <w:rPr>
          <w:rFonts w:asciiTheme="majorHAnsi" w:hAnsiTheme="majorHAnsi"/>
          <w:szCs w:val="22"/>
        </w:rPr>
      </w:pPr>
      <w:r w:rsidRPr="00FC09A8">
        <w:rPr>
          <w:rFonts w:asciiTheme="majorHAnsi" w:hAnsiTheme="majorHAnsi"/>
          <w:szCs w:val="22"/>
        </w:rPr>
        <w:t xml:space="preserve">reduce direct provision of services and do more to support GOTL to deliver; </w:t>
      </w:r>
    </w:p>
    <w:p w14:paraId="0ACBC67B" w14:textId="77777777" w:rsidR="008B233E" w:rsidRPr="00FC09A8" w:rsidRDefault="008B233E" w:rsidP="00C85D03">
      <w:pPr>
        <w:pStyle w:val="ListParagraph"/>
        <w:numPr>
          <w:ilvl w:val="0"/>
          <w:numId w:val="9"/>
        </w:numPr>
        <w:jc w:val="both"/>
        <w:rPr>
          <w:rFonts w:asciiTheme="majorHAnsi" w:hAnsiTheme="majorHAnsi" w:cstheme="majorHAnsi"/>
          <w:szCs w:val="22"/>
        </w:rPr>
      </w:pPr>
      <w:r w:rsidRPr="00FC09A8">
        <w:rPr>
          <w:rFonts w:asciiTheme="majorHAnsi" w:hAnsiTheme="majorHAnsi" w:cstheme="majorHAnsi"/>
          <w:szCs w:val="22"/>
        </w:rPr>
        <w:t>give more emphasis to overall health facility readiness</w:t>
      </w:r>
      <w:r w:rsidRPr="00FC09A8">
        <w:rPr>
          <w:rFonts w:asciiTheme="majorHAnsi" w:hAnsiTheme="majorHAnsi" w:cstheme="majorHAnsi"/>
          <w:szCs w:val="22"/>
          <w:lang w:val="en-GB"/>
        </w:rPr>
        <w:t xml:space="preserve"> </w:t>
      </w:r>
      <w:r w:rsidRPr="00FC09A8">
        <w:rPr>
          <w:rFonts w:asciiTheme="majorHAnsi" w:hAnsiTheme="majorHAnsi" w:cstheme="majorHAnsi"/>
          <w:szCs w:val="22"/>
        </w:rPr>
        <w:t xml:space="preserve">for RMNCH services; </w:t>
      </w:r>
      <w:r w:rsidRPr="00FC09A8">
        <w:rPr>
          <w:rFonts w:asciiTheme="majorHAnsi" w:hAnsiTheme="majorHAnsi"/>
          <w:szCs w:val="22"/>
        </w:rPr>
        <w:t>a</w:t>
      </w:r>
      <w:r w:rsidRPr="00FC09A8">
        <w:rPr>
          <w:rFonts w:asciiTheme="majorHAnsi" w:hAnsiTheme="majorHAnsi" w:cstheme="majorHAnsi"/>
          <w:szCs w:val="22"/>
        </w:rPr>
        <w:t xml:space="preserve">nd </w:t>
      </w:r>
    </w:p>
    <w:p w14:paraId="468A15B4" w14:textId="77777777" w:rsidR="008B233E" w:rsidRPr="00FC09A8" w:rsidRDefault="008B233E" w:rsidP="00C85D03">
      <w:pPr>
        <w:pStyle w:val="ListParagraph"/>
        <w:numPr>
          <w:ilvl w:val="0"/>
          <w:numId w:val="9"/>
        </w:numPr>
        <w:jc w:val="both"/>
        <w:rPr>
          <w:rFonts w:asciiTheme="majorHAnsi" w:hAnsiTheme="majorHAnsi"/>
          <w:szCs w:val="22"/>
        </w:rPr>
      </w:pPr>
      <w:r w:rsidRPr="00FC09A8">
        <w:rPr>
          <w:rFonts w:asciiTheme="majorHAnsi" w:hAnsiTheme="majorHAnsi" w:cstheme="majorHAnsi"/>
          <w:szCs w:val="22"/>
        </w:rPr>
        <w:t>do more to promote and support systemic/institutional reforms and to help the health system adapt to decentralization.</w:t>
      </w:r>
      <w:r w:rsidRPr="00FC09A8">
        <w:rPr>
          <w:rFonts w:asciiTheme="majorHAnsi" w:hAnsiTheme="majorHAnsi"/>
          <w:szCs w:val="22"/>
        </w:rPr>
        <w:t xml:space="preserve"> </w:t>
      </w:r>
    </w:p>
    <w:p w14:paraId="3A6F7CFF" w14:textId="77777777" w:rsidR="008B233E" w:rsidRPr="008B233E" w:rsidRDefault="008B233E" w:rsidP="00C85D03">
      <w:pPr>
        <w:jc w:val="both"/>
        <w:rPr>
          <w:rFonts w:asciiTheme="majorHAnsi" w:hAnsiTheme="majorHAnsi"/>
          <w:b/>
          <w:szCs w:val="22"/>
        </w:rPr>
      </w:pPr>
    </w:p>
    <w:p w14:paraId="621B1DF9" w14:textId="77777777" w:rsidR="008B233E" w:rsidRPr="008B233E" w:rsidRDefault="008B233E" w:rsidP="00C85D03">
      <w:pPr>
        <w:jc w:val="both"/>
        <w:rPr>
          <w:rFonts w:asciiTheme="majorHAnsi" w:hAnsiTheme="majorHAnsi"/>
          <w:szCs w:val="22"/>
          <w:u w:val="single"/>
        </w:rPr>
      </w:pPr>
      <w:r w:rsidRPr="008B233E">
        <w:rPr>
          <w:rFonts w:asciiTheme="majorHAnsi" w:hAnsiTheme="majorHAnsi"/>
          <w:szCs w:val="22"/>
          <w:u w:val="single"/>
        </w:rPr>
        <w:t>Recommendations by health system objective, in preparation for redesign</w:t>
      </w:r>
      <w:r w:rsidR="00731A58">
        <w:rPr>
          <w:rFonts w:asciiTheme="majorHAnsi" w:hAnsiTheme="majorHAnsi"/>
          <w:szCs w:val="22"/>
          <w:u w:val="single"/>
        </w:rPr>
        <w:t xml:space="preserve"> of the program to improve RMNCH outcomes</w:t>
      </w:r>
    </w:p>
    <w:p w14:paraId="4559C368" w14:textId="77777777" w:rsidR="008B233E" w:rsidRPr="008B233E" w:rsidRDefault="008B233E" w:rsidP="00C85D03">
      <w:pPr>
        <w:jc w:val="both"/>
        <w:rPr>
          <w:rFonts w:asciiTheme="majorHAnsi" w:hAnsiTheme="majorHAnsi"/>
          <w:szCs w:val="22"/>
          <w:u w:val="single"/>
        </w:rPr>
      </w:pPr>
    </w:p>
    <w:p w14:paraId="1FAA407A" w14:textId="77777777" w:rsidR="008B233E" w:rsidRPr="008B233E" w:rsidRDefault="008B233E" w:rsidP="00C85D03">
      <w:pPr>
        <w:jc w:val="both"/>
        <w:rPr>
          <w:rFonts w:asciiTheme="majorHAnsi" w:hAnsiTheme="majorHAnsi"/>
          <w:szCs w:val="22"/>
        </w:rPr>
      </w:pPr>
      <w:r w:rsidRPr="008B233E">
        <w:rPr>
          <w:rFonts w:asciiTheme="majorHAnsi" w:hAnsiTheme="majorHAnsi"/>
          <w:szCs w:val="22"/>
        </w:rPr>
        <w:t xml:space="preserve">Stewardship: </w:t>
      </w:r>
    </w:p>
    <w:p w14:paraId="61785E09" w14:textId="77777777" w:rsidR="008B233E" w:rsidRPr="008B233E" w:rsidRDefault="008B233E" w:rsidP="00C85D03">
      <w:pPr>
        <w:pStyle w:val="ListParagraph"/>
        <w:numPr>
          <w:ilvl w:val="0"/>
          <w:numId w:val="5"/>
        </w:numPr>
        <w:jc w:val="both"/>
        <w:rPr>
          <w:rFonts w:asciiTheme="majorHAnsi" w:hAnsiTheme="majorHAnsi"/>
          <w:szCs w:val="22"/>
        </w:rPr>
      </w:pPr>
      <w:r w:rsidRPr="008B233E">
        <w:rPr>
          <w:rFonts w:asciiTheme="majorHAnsi" w:hAnsiTheme="majorHAnsi"/>
          <w:szCs w:val="22"/>
        </w:rPr>
        <w:t>provide short-term TA to support the MOH ‘configuration’ review;</w:t>
      </w:r>
    </w:p>
    <w:p w14:paraId="61BC77AD" w14:textId="77777777" w:rsidR="008B233E" w:rsidRPr="008B233E" w:rsidRDefault="008B233E" w:rsidP="00C85D03">
      <w:pPr>
        <w:pStyle w:val="ListParagraph"/>
        <w:numPr>
          <w:ilvl w:val="0"/>
          <w:numId w:val="5"/>
        </w:numPr>
        <w:jc w:val="both"/>
        <w:rPr>
          <w:rFonts w:asciiTheme="majorHAnsi" w:hAnsiTheme="majorHAnsi"/>
          <w:szCs w:val="22"/>
        </w:rPr>
      </w:pPr>
      <w:r w:rsidRPr="008B233E">
        <w:rPr>
          <w:rFonts w:asciiTheme="majorHAnsi" w:hAnsiTheme="majorHAnsi"/>
          <w:szCs w:val="22"/>
        </w:rPr>
        <w:t>explore the feasibility of MOH taking greater responsibilit</w:t>
      </w:r>
      <w:r w:rsidR="00D41C30">
        <w:rPr>
          <w:rFonts w:asciiTheme="majorHAnsi" w:hAnsiTheme="majorHAnsi"/>
          <w:szCs w:val="22"/>
        </w:rPr>
        <w:t>y for selecting and managing TA</w:t>
      </w:r>
      <w:r w:rsidRPr="008B233E">
        <w:rPr>
          <w:rFonts w:asciiTheme="majorHAnsi" w:hAnsiTheme="majorHAnsi"/>
          <w:szCs w:val="22"/>
        </w:rPr>
        <w:t xml:space="preserve"> while having increased flexibility to identify its TA needs; and</w:t>
      </w:r>
    </w:p>
    <w:p w14:paraId="16482415" w14:textId="77777777" w:rsidR="008B233E" w:rsidRPr="008B233E" w:rsidRDefault="008B233E" w:rsidP="00C85D03">
      <w:pPr>
        <w:pStyle w:val="ListParagraph"/>
        <w:numPr>
          <w:ilvl w:val="0"/>
          <w:numId w:val="5"/>
        </w:numPr>
        <w:jc w:val="both"/>
        <w:rPr>
          <w:rFonts w:asciiTheme="majorHAnsi" w:hAnsiTheme="majorHAnsi"/>
          <w:szCs w:val="22"/>
        </w:rPr>
      </w:pPr>
      <w:r w:rsidRPr="008B233E">
        <w:rPr>
          <w:rFonts w:asciiTheme="majorHAnsi" w:hAnsiTheme="majorHAnsi"/>
          <w:szCs w:val="22"/>
        </w:rPr>
        <w:t xml:space="preserve">engage with MOH and other partners on the EmONC Improvement Plan of Action </w:t>
      </w:r>
    </w:p>
    <w:p w14:paraId="689CF33F" w14:textId="77777777" w:rsidR="008B233E" w:rsidRPr="008B233E" w:rsidRDefault="008B233E" w:rsidP="00C85D03">
      <w:pPr>
        <w:jc w:val="both"/>
        <w:rPr>
          <w:rFonts w:asciiTheme="majorHAnsi" w:hAnsiTheme="majorHAnsi"/>
          <w:szCs w:val="22"/>
        </w:rPr>
      </w:pPr>
    </w:p>
    <w:p w14:paraId="682CABE0" w14:textId="77777777" w:rsidR="008B233E" w:rsidRPr="008B233E" w:rsidRDefault="008B233E" w:rsidP="00C85D03">
      <w:pPr>
        <w:jc w:val="both"/>
        <w:rPr>
          <w:rFonts w:asciiTheme="majorHAnsi" w:hAnsiTheme="majorHAnsi"/>
          <w:szCs w:val="22"/>
        </w:rPr>
      </w:pPr>
      <w:r w:rsidRPr="008B233E">
        <w:rPr>
          <w:rFonts w:asciiTheme="majorHAnsi" w:hAnsiTheme="majorHAnsi"/>
          <w:szCs w:val="22"/>
        </w:rPr>
        <w:t xml:space="preserve">Management: </w:t>
      </w:r>
    </w:p>
    <w:p w14:paraId="14CA911C" w14:textId="77777777" w:rsidR="009B7668" w:rsidRPr="003B72DD" w:rsidRDefault="008B233E" w:rsidP="00C85D03">
      <w:pPr>
        <w:pStyle w:val="ListParagraph"/>
        <w:numPr>
          <w:ilvl w:val="0"/>
          <w:numId w:val="39"/>
        </w:numPr>
        <w:ind w:left="681" w:hanging="397"/>
        <w:jc w:val="both"/>
        <w:rPr>
          <w:rFonts w:asciiTheme="majorHAnsi" w:hAnsiTheme="majorHAnsi"/>
          <w:szCs w:val="22"/>
        </w:rPr>
      </w:pPr>
      <w:r w:rsidRPr="008B233E">
        <w:rPr>
          <w:rFonts w:asciiTheme="majorHAnsi" w:hAnsiTheme="majorHAnsi"/>
          <w:szCs w:val="22"/>
        </w:rPr>
        <w:t xml:space="preserve">pursue dialogue </w:t>
      </w:r>
      <w:r w:rsidR="008E798F">
        <w:rPr>
          <w:rFonts w:asciiTheme="majorHAnsi" w:hAnsiTheme="majorHAnsi"/>
          <w:szCs w:val="22"/>
        </w:rPr>
        <w:t xml:space="preserve">with MOH and National Health Institute </w:t>
      </w:r>
      <w:r w:rsidRPr="008B233E">
        <w:rPr>
          <w:rFonts w:asciiTheme="majorHAnsi" w:hAnsiTheme="majorHAnsi"/>
          <w:szCs w:val="22"/>
        </w:rPr>
        <w:t xml:space="preserve">on developing a package of support for </w:t>
      </w:r>
      <w:r w:rsidRPr="003B72DD">
        <w:rPr>
          <w:rFonts w:asciiTheme="majorHAnsi" w:hAnsiTheme="majorHAnsi"/>
          <w:szCs w:val="22"/>
        </w:rPr>
        <w:t>middle</w:t>
      </w:r>
      <w:r w:rsidR="00EC1447">
        <w:rPr>
          <w:rFonts w:asciiTheme="majorHAnsi" w:hAnsiTheme="majorHAnsi"/>
          <w:szCs w:val="22"/>
        </w:rPr>
        <w:t>-level</w:t>
      </w:r>
      <w:r w:rsidRPr="003B72DD">
        <w:rPr>
          <w:rFonts w:asciiTheme="majorHAnsi" w:hAnsiTheme="majorHAnsi"/>
          <w:szCs w:val="22"/>
        </w:rPr>
        <w:t xml:space="preserve"> managers and senior management </w:t>
      </w:r>
      <w:r w:rsidR="00C86598">
        <w:rPr>
          <w:rFonts w:asciiTheme="majorHAnsi" w:hAnsiTheme="majorHAnsi"/>
          <w:szCs w:val="22"/>
        </w:rPr>
        <w:t>in MOH</w:t>
      </w:r>
      <w:r w:rsidR="00F11909" w:rsidRPr="003B72DD">
        <w:rPr>
          <w:rFonts w:asciiTheme="majorHAnsi" w:hAnsiTheme="majorHAnsi"/>
          <w:szCs w:val="22"/>
        </w:rPr>
        <w:t xml:space="preserve"> </w:t>
      </w:r>
      <w:r w:rsidRPr="003B72DD">
        <w:rPr>
          <w:rFonts w:asciiTheme="majorHAnsi" w:hAnsiTheme="majorHAnsi"/>
          <w:szCs w:val="22"/>
        </w:rPr>
        <w:t>and municipalities</w:t>
      </w:r>
    </w:p>
    <w:p w14:paraId="3A2DA5C1" w14:textId="77777777" w:rsidR="00C86598" w:rsidRDefault="00C86598" w:rsidP="00C85D03">
      <w:pPr>
        <w:jc w:val="both"/>
        <w:rPr>
          <w:rFonts w:asciiTheme="majorHAnsi" w:hAnsiTheme="majorHAnsi"/>
          <w:szCs w:val="22"/>
        </w:rPr>
      </w:pPr>
    </w:p>
    <w:p w14:paraId="043CBB01" w14:textId="77777777" w:rsidR="008B233E" w:rsidRPr="008B233E" w:rsidRDefault="008B233E" w:rsidP="00C85D03">
      <w:pPr>
        <w:jc w:val="both"/>
        <w:rPr>
          <w:rFonts w:asciiTheme="majorHAnsi" w:hAnsiTheme="majorHAnsi"/>
          <w:szCs w:val="22"/>
          <w:u w:val="single"/>
        </w:rPr>
      </w:pPr>
      <w:r w:rsidRPr="008B233E">
        <w:rPr>
          <w:rFonts w:asciiTheme="majorHAnsi" w:hAnsiTheme="majorHAnsi"/>
          <w:szCs w:val="22"/>
        </w:rPr>
        <w:t xml:space="preserve">Health workforce: </w:t>
      </w:r>
    </w:p>
    <w:p w14:paraId="28DEB955" w14:textId="77777777" w:rsidR="008B233E" w:rsidRPr="008A7CDE" w:rsidRDefault="008B233E" w:rsidP="00C85D03">
      <w:pPr>
        <w:pStyle w:val="ListParagraph"/>
        <w:numPr>
          <w:ilvl w:val="0"/>
          <w:numId w:val="6"/>
        </w:numPr>
        <w:jc w:val="both"/>
        <w:rPr>
          <w:rFonts w:asciiTheme="majorHAnsi" w:hAnsiTheme="majorHAnsi"/>
          <w:szCs w:val="22"/>
        </w:rPr>
      </w:pPr>
      <w:r w:rsidRPr="008B233E">
        <w:rPr>
          <w:rFonts w:asciiTheme="majorHAnsi" w:hAnsiTheme="majorHAnsi"/>
          <w:szCs w:val="22"/>
        </w:rPr>
        <w:t xml:space="preserve">promote/support institutional reform </w:t>
      </w:r>
      <w:r w:rsidR="007F19C2">
        <w:rPr>
          <w:rFonts w:asciiTheme="majorHAnsi" w:hAnsiTheme="majorHAnsi"/>
          <w:szCs w:val="22"/>
        </w:rPr>
        <w:t>to foster more effective cross-sectoral collaboration between the national university and the national r</w:t>
      </w:r>
      <w:r w:rsidR="00C86598">
        <w:rPr>
          <w:rFonts w:asciiTheme="majorHAnsi" w:hAnsiTheme="majorHAnsi"/>
          <w:szCs w:val="22"/>
        </w:rPr>
        <w:t xml:space="preserve">eferral/teaching hospital, </w:t>
      </w:r>
      <w:r w:rsidRPr="008B233E">
        <w:rPr>
          <w:rFonts w:asciiTheme="majorHAnsi" w:hAnsiTheme="majorHAnsi"/>
          <w:szCs w:val="22"/>
        </w:rPr>
        <w:t xml:space="preserve">to improve pre-service training and postgraduate medical </w:t>
      </w:r>
      <w:r w:rsidRPr="008A7CDE">
        <w:rPr>
          <w:rFonts w:asciiTheme="majorHAnsi" w:hAnsiTheme="majorHAnsi"/>
          <w:szCs w:val="22"/>
        </w:rPr>
        <w:t>education;</w:t>
      </w:r>
    </w:p>
    <w:p w14:paraId="0378AC8D" w14:textId="77777777" w:rsidR="008B233E" w:rsidRPr="008A7CDE" w:rsidRDefault="008B233E" w:rsidP="00C85D03">
      <w:pPr>
        <w:pStyle w:val="ListParagraph"/>
        <w:numPr>
          <w:ilvl w:val="0"/>
          <w:numId w:val="6"/>
        </w:numPr>
        <w:jc w:val="both"/>
        <w:rPr>
          <w:rFonts w:asciiTheme="majorHAnsi" w:hAnsiTheme="majorHAnsi"/>
          <w:szCs w:val="22"/>
        </w:rPr>
      </w:pPr>
      <w:r w:rsidRPr="008A7CDE">
        <w:rPr>
          <w:rFonts w:asciiTheme="majorHAnsi" w:hAnsiTheme="majorHAnsi"/>
          <w:szCs w:val="22"/>
        </w:rPr>
        <w:t>encourage MOH to take over</w:t>
      </w:r>
      <w:r w:rsidR="006D3A7A" w:rsidRPr="008A7CDE">
        <w:rPr>
          <w:rFonts w:asciiTheme="majorHAnsi" w:hAnsiTheme="majorHAnsi"/>
          <w:szCs w:val="22"/>
        </w:rPr>
        <w:t xml:space="preserve"> </w:t>
      </w:r>
      <w:r w:rsidRPr="008A7CDE">
        <w:rPr>
          <w:rFonts w:asciiTheme="majorHAnsi" w:hAnsiTheme="majorHAnsi"/>
          <w:szCs w:val="22"/>
        </w:rPr>
        <w:t>responsibility for basic refresher training for midwives</w:t>
      </w:r>
      <w:r w:rsidR="0029141C" w:rsidRPr="008A7CDE">
        <w:rPr>
          <w:rFonts w:asciiTheme="majorHAnsi" w:hAnsiTheme="majorHAnsi"/>
          <w:szCs w:val="22"/>
        </w:rPr>
        <w:t xml:space="preserve"> </w:t>
      </w:r>
      <w:r w:rsidR="007F19C2" w:rsidRPr="008A7CDE">
        <w:rPr>
          <w:rFonts w:asciiTheme="majorHAnsi" w:hAnsiTheme="majorHAnsi"/>
          <w:szCs w:val="22"/>
        </w:rPr>
        <w:t>(</w:t>
      </w:r>
      <w:r w:rsidRPr="008A7CDE">
        <w:rPr>
          <w:rFonts w:asciiTheme="majorHAnsi" w:hAnsiTheme="majorHAnsi"/>
          <w:szCs w:val="22"/>
        </w:rPr>
        <w:t xml:space="preserve">which </w:t>
      </w:r>
      <w:r w:rsidR="007F19C2" w:rsidRPr="008A7CDE">
        <w:rPr>
          <w:rFonts w:asciiTheme="majorHAnsi" w:hAnsiTheme="majorHAnsi"/>
          <w:szCs w:val="22"/>
        </w:rPr>
        <w:t>is</w:t>
      </w:r>
      <w:r w:rsidRPr="008A7CDE">
        <w:rPr>
          <w:rFonts w:asciiTheme="majorHAnsi" w:hAnsiTheme="majorHAnsi"/>
          <w:szCs w:val="22"/>
        </w:rPr>
        <w:t xml:space="preserve"> currently done </w:t>
      </w:r>
      <w:r w:rsidR="008A7CDE" w:rsidRPr="008A7CDE">
        <w:rPr>
          <w:rFonts w:asciiTheme="majorHAnsi" w:hAnsiTheme="majorHAnsi"/>
          <w:szCs w:val="22"/>
        </w:rPr>
        <w:t xml:space="preserve">mainly </w:t>
      </w:r>
      <w:r w:rsidRPr="008A7CDE">
        <w:rPr>
          <w:rFonts w:asciiTheme="majorHAnsi" w:hAnsiTheme="majorHAnsi"/>
          <w:szCs w:val="22"/>
        </w:rPr>
        <w:t>by Health Alliance International</w:t>
      </w:r>
      <w:r w:rsidR="007F19C2" w:rsidRPr="008A7CDE">
        <w:rPr>
          <w:rFonts w:asciiTheme="majorHAnsi" w:hAnsiTheme="majorHAnsi"/>
          <w:szCs w:val="22"/>
        </w:rPr>
        <w:t>)</w:t>
      </w:r>
    </w:p>
    <w:p w14:paraId="47805951" w14:textId="77777777" w:rsidR="008B233E" w:rsidRPr="008B233E" w:rsidRDefault="008B233E" w:rsidP="00C85D03">
      <w:pPr>
        <w:jc w:val="both"/>
        <w:rPr>
          <w:rFonts w:asciiTheme="majorHAnsi" w:hAnsiTheme="majorHAnsi"/>
          <w:szCs w:val="22"/>
        </w:rPr>
      </w:pPr>
    </w:p>
    <w:p w14:paraId="21EF45D4" w14:textId="77777777" w:rsidR="008B233E" w:rsidRPr="008B233E" w:rsidRDefault="008B233E" w:rsidP="00C85D03">
      <w:pPr>
        <w:jc w:val="both"/>
        <w:rPr>
          <w:rFonts w:asciiTheme="majorHAnsi" w:hAnsiTheme="majorHAnsi"/>
          <w:szCs w:val="22"/>
        </w:rPr>
      </w:pPr>
      <w:r w:rsidRPr="008B233E">
        <w:rPr>
          <w:rFonts w:asciiTheme="majorHAnsi" w:hAnsiTheme="majorHAnsi"/>
          <w:szCs w:val="22"/>
        </w:rPr>
        <w:t xml:space="preserve">Infrastructure, equipment and supplies: </w:t>
      </w:r>
    </w:p>
    <w:p w14:paraId="7356A1D7" w14:textId="77777777" w:rsidR="008B233E" w:rsidRPr="008B233E" w:rsidRDefault="008B233E" w:rsidP="00C85D03">
      <w:pPr>
        <w:pStyle w:val="ListParagraph"/>
        <w:numPr>
          <w:ilvl w:val="0"/>
          <w:numId w:val="4"/>
        </w:numPr>
        <w:jc w:val="both"/>
        <w:rPr>
          <w:rFonts w:asciiTheme="majorHAnsi" w:hAnsiTheme="majorHAnsi"/>
          <w:szCs w:val="22"/>
        </w:rPr>
      </w:pPr>
      <w:r w:rsidRPr="008B233E">
        <w:rPr>
          <w:rFonts w:asciiTheme="majorHAnsi" w:hAnsiTheme="majorHAnsi"/>
          <w:szCs w:val="22"/>
        </w:rPr>
        <w:t>maintain an overview of the functionality of the procurement/supplies system</w:t>
      </w:r>
      <w:r w:rsidR="00AC7A8A">
        <w:rPr>
          <w:rFonts w:asciiTheme="majorHAnsi" w:hAnsiTheme="majorHAnsi"/>
          <w:szCs w:val="22"/>
        </w:rPr>
        <w:t xml:space="preserve"> and an understanding of its implications for RMNCH</w:t>
      </w:r>
      <w:r w:rsidRPr="008B233E">
        <w:rPr>
          <w:rFonts w:asciiTheme="majorHAnsi" w:hAnsiTheme="majorHAnsi"/>
          <w:szCs w:val="22"/>
        </w:rPr>
        <w:t>;</w:t>
      </w:r>
    </w:p>
    <w:p w14:paraId="5D8BAE6A" w14:textId="77777777" w:rsidR="008B233E" w:rsidRPr="008B233E" w:rsidRDefault="008B233E" w:rsidP="00C85D03">
      <w:pPr>
        <w:pStyle w:val="ListParagraph"/>
        <w:numPr>
          <w:ilvl w:val="0"/>
          <w:numId w:val="4"/>
        </w:numPr>
        <w:jc w:val="both"/>
        <w:rPr>
          <w:rFonts w:asciiTheme="majorHAnsi" w:hAnsiTheme="majorHAnsi"/>
          <w:szCs w:val="22"/>
        </w:rPr>
      </w:pPr>
      <w:r w:rsidRPr="008B233E">
        <w:rPr>
          <w:rFonts w:asciiTheme="majorHAnsi" w:hAnsiTheme="majorHAnsi"/>
          <w:szCs w:val="22"/>
        </w:rPr>
        <w:t xml:space="preserve">consider the case for DFAT/PHD to provide support for </w:t>
      </w:r>
      <w:r w:rsidR="00F17D3C">
        <w:rPr>
          <w:rFonts w:asciiTheme="majorHAnsi" w:hAnsiTheme="majorHAnsi"/>
          <w:szCs w:val="22"/>
        </w:rPr>
        <w:t xml:space="preserve">procuring </w:t>
      </w:r>
      <w:r w:rsidRPr="008B233E">
        <w:rPr>
          <w:rFonts w:asciiTheme="majorHAnsi" w:hAnsiTheme="majorHAnsi"/>
          <w:szCs w:val="22"/>
        </w:rPr>
        <w:t>key items of EmONC equipment as part of a comprehensive MOH-led initiative;</w:t>
      </w:r>
    </w:p>
    <w:p w14:paraId="52AEF558" w14:textId="77777777" w:rsidR="008B233E" w:rsidRPr="008B233E" w:rsidRDefault="008B233E" w:rsidP="00C85D03">
      <w:pPr>
        <w:pStyle w:val="ListParagraph"/>
        <w:numPr>
          <w:ilvl w:val="0"/>
          <w:numId w:val="4"/>
        </w:numPr>
        <w:ind w:left="680" w:hanging="340"/>
        <w:jc w:val="both"/>
        <w:rPr>
          <w:rFonts w:asciiTheme="majorHAnsi" w:hAnsiTheme="majorHAnsi"/>
          <w:szCs w:val="22"/>
        </w:rPr>
      </w:pPr>
      <w:r w:rsidRPr="008B233E">
        <w:rPr>
          <w:rFonts w:asciiTheme="majorHAnsi" w:hAnsiTheme="majorHAnsi"/>
          <w:szCs w:val="22"/>
        </w:rPr>
        <w:t>help MOH make the case within GOTL for a</w:t>
      </w:r>
      <w:r w:rsidR="009D734A">
        <w:rPr>
          <w:rFonts w:asciiTheme="majorHAnsi" w:hAnsiTheme="majorHAnsi"/>
          <w:szCs w:val="22"/>
        </w:rPr>
        <w:t xml:space="preserve">n </w:t>
      </w:r>
      <w:r w:rsidRPr="008B233E">
        <w:rPr>
          <w:rFonts w:asciiTheme="majorHAnsi" w:hAnsiTheme="majorHAnsi"/>
          <w:szCs w:val="22"/>
        </w:rPr>
        <w:t>autonomous ambulance service and agree an approach and timeline for handover of responsibilities for health transport</w:t>
      </w:r>
      <w:r w:rsidR="009D734A">
        <w:rPr>
          <w:rFonts w:asciiTheme="majorHAnsi" w:hAnsiTheme="majorHAnsi"/>
          <w:szCs w:val="22"/>
        </w:rPr>
        <w:t>.</w:t>
      </w:r>
    </w:p>
    <w:p w14:paraId="1D070CD5" w14:textId="77777777" w:rsidR="008B233E" w:rsidRPr="008B233E" w:rsidRDefault="008B233E" w:rsidP="00C85D03">
      <w:pPr>
        <w:jc w:val="both"/>
        <w:rPr>
          <w:rFonts w:asciiTheme="majorHAnsi" w:hAnsiTheme="majorHAnsi" w:cstheme="majorHAnsi"/>
          <w:szCs w:val="22"/>
          <w:lang w:eastAsia="en-AU"/>
        </w:rPr>
      </w:pPr>
    </w:p>
    <w:p w14:paraId="32841561" w14:textId="77777777" w:rsidR="008B233E" w:rsidRPr="008B233E" w:rsidRDefault="008B233E" w:rsidP="00C85D03">
      <w:pPr>
        <w:jc w:val="both"/>
        <w:rPr>
          <w:rFonts w:asciiTheme="majorHAnsi" w:hAnsiTheme="majorHAnsi"/>
          <w:szCs w:val="22"/>
          <w:u w:val="single"/>
        </w:rPr>
      </w:pPr>
      <w:r w:rsidRPr="008B233E">
        <w:rPr>
          <w:rFonts w:asciiTheme="majorHAnsi" w:hAnsiTheme="majorHAnsi"/>
          <w:szCs w:val="22"/>
        </w:rPr>
        <w:t xml:space="preserve">Service delivery: </w:t>
      </w:r>
    </w:p>
    <w:p w14:paraId="10350774" w14:textId="77777777" w:rsidR="008B233E" w:rsidRPr="008B233E" w:rsidRDefault="008B233E" w:rsidP="00C85D03">
      <w:pPr>
        <w:pStyle w:val="ListParagraph"/>
        <w:numPr>
          <w:ilvl w:val="0"/>
          <w:numId w:val="4"/>
        </w:numPr>
        <w:jc w:val="both"/>
        <w:rPr>
          <w:rFonts w:asciiTheme="majorHAnsi" w:hAnsiTheme="majorHAnsi" w:cstheme="majorHAnsi"/>
          <w:szCs w:val="22"/>
          <w:lang w:eastAsia="en-AU"/>
        </w:rPr>
      </w:pPr>
      <w:r w:rsidRPr="008B233E">
        <w:rPr>
          <w:rFonts w:asciiTheme="majorHAnsi" w:hAnsiTheme="majorHAnsi"/>
          <w:szCs w:val="22"/>
        </w:rPr>
        <w:t xml:space="preserve">make Liga Inan </w:t>
      </w:r>
      <w:r w:rsidR="00D41C30">
        <w:rPr>
          <w:rFonts w:asciiTheme="majorHAnsi" w:hAnsiTheme="majorHAnsi"/>
          <w:szCs w:val="22"/>
        </w:rPr>
        <w:t>more</w:t>
      </w:r>
      <w:r w:rsidRPr="008B233E">
        <w:rPr>
          <w:rFonts w:asciiTheme="majorHAnsi" w:hAnsiTheme="majorHAnsi"/>
          <w:szCs w:val="22"/>
        </w:rPr>
        <w:t xml:space="preserve"> </w:t>
      </w:r>
      <w:r w:rsidR="00B75ED8">
        <w:rPr>
          <w:rFonts w:asciiTheme="majorHAnsi" w:hAnsiTheme="majorHAnsi"/>
          <w:szCs w:val="22"/>
        </w:rPr>
        <w:t>robust</w:t>
      </w:r>
      <w:r w:rsidRPr="008B233E">
        <w:rPr>
          <w:rFonts w:asciiTheme="majorHAnsi" w:hAnsiTheme="majorHAnsi"/>
          <w:szCs w:val="22"/>
        </w:rPr>
        <w:t xml:space="preserve"> before its transition into MOH is completed; and  </w:t>
      </w:r>
    </w:p>
    <w:p w14:paraId="5D6B9F1E" w14:textId="77777777" w:rsidR="008B233E" w:rsidRDefault="008B233E" w:rsidP="00C85D03">
      <w:pPr>
        <w:pStyle w:val="ListParagraph"/>
        <w:numPr>
          <w:ilvl w:val="0"/>
          <w:numId w:val="4"/>
        </w:numPr>
        <w:jc w:val="both"/>
        <w:rPr>
          <w:rFonts w:asciiTheme="majorHAnsi" w:hAnsiTheme="majorHAnsi" w:cstheme="majorHAnsi"/>
          <w:szCs w:val="22"/>
          <w:lang w:eastAsia="en-AU"/>
        </w:rPr>
      </w:pPr>
      <w:r w:rsidRPr="008B233E">
        <w:rPr>
          <w:rFonts w:asciiTheme="majorHAnsi" w:hAnsiTheme="majorHAnsi"/>
          <w:szCs w:val="22"/>
        </w:rPr>
        <w:t xml:space="preserve">intensify integrated working with PHD Education and Gender programs to ensure inclusion of </w:t>
      </w:r>
      <w:r w:rsidRPr="008B233E">
        <w:rPr>
          <w:rFonts w:asciiTheme="majorHAnsi" w:hAnsiTheme="majorHAnsi" w:cs="Times New Roman"/>
          <w:color w:val="26282A"/>
          <w:szCs w:val="22"/>
        </w:rPr>
        <w:t xml:space="preserve">adolescent girls and boys in efforts to alter gender norms, </w:t>
      </w:r>
      <w:r w:rsidRPr="008B233E">
        <w:rPr>
          <w:rFonts w:asciiTheme="majorHAnsi" w:hAnsiTheme="majorHAnsi" w:cstheme="majorHAnsi"/>
          <w:szCs w:val="22"/>
        </w:rPr>
        <w:t>foster behaviour change and promote use of services.</w:t>
      </w:r>
    </w:p>
    <w:p w14:paraId="734C091D" w14:textId="77777777" w:rsidR="008B233E" w:rsidRPr="00FC09A8" w:rsidRDefault="008B233E" w:rsidP="00C85D03">
      <w:pPr>
        <w:jc w:val="both"/>
        <w:rPr>
          <w:rFonts w:asciiTheme="majorHAnsi" w:hAnsiTheme="majorHAnsi"/>
          <w:u w:val="single"/>
        </w:rPr>
      </w:pPr>
      <w:r w:rsidRPr="00FC09A8">
        <w:rPr>
          <w:rFonts w:asciiTheme="majorHAnsi" w:hAnsiTheme="majorHAnsi"/>
          <w:u w:val="single"/>
        </w:rPr>
        <w:lastRenderedPageBreak/>
        <w:t>Recommendations for the evolution of individual investments</w:t>
      </w:r>
    </w:p>
    <w:p w14:paraId="47068AA1" w14:textId="77777777" w:rsidR="008B233E" w:rsidRPr="00FC09A8" w:rsidRDefault="008B233E" w:rsidP="00C85D03">
      <w:pPr>
        <w:jc w:val="both"/>
        <w:rPr>
          <w:rFonts w:asciiTheme="majorHAnsi" w:hAnsiTheme="majorHAnsi"/>
        </w:rPr>
      </w:pPr>
    </w:p>
    <w:p w14:paraId="61012E4F" w14:textId="77777777" w:rsidR="008B233E" w:rsidRPr="00FC09A8" w:rsidRDefault="008B233E" w:rsidP="00C85D03">
      <w:pPr>
        <w:jc w:val="both"/>
        <w:rPr>
          <w:rFonts w:asciiTheme="majorHAnsi" w:hAnsiTheme="majorHAnsi"/>
        </w:rPr>
      </w:pPr>
      <w:r w:rsidRPr="00FC09A8">
        <w:rPr>
          <w:rFonts w:asciiTheme="majorHAnsi" w:hAnsiTheme="majorHAnsi"/>
        </w:rPr>
        <w:t>Subject to the outcomes of the above preparatory discussions and activities, individual components of the program should evolve as follows:</w:t>
      </w:r>
    </w:p>
    <w:p w14:paraId="055A7527" w14:textId="77777777" w:rsidR="008B233E" w:rsidRPr="00FC09A8" w:rsidRDefault="008B233E" w:rsidP="00C85D03">
      <w:pPr>
        <w:jc w:val="both"/>
        <w:rPr>
          <w:rFonts w:asciiTheme="majorHAnsi" w:hAnsiTheme="majorHAnsi"/>
        </w:rPr>
      </w:pPr>
    </w:p>
    <w:p w14:paraId="7A4D1495" w14:textId="77777777" w:rsidR="008B233E" w:rsidRPr="00FC09A8" w:rsidRDefault="008B233E" w:rsidP="00C85D03">
      <w:pPr>
        <w:pStyle w:val="ListParagraph"/>
        <w:numPr>
          <w:ilvl w:val="0"/>
          <w:numId w:val="15"/>
        </w:numPr>
        <w:jc w:val="both"/>
        <w:rPr>
          <w:rFonts w:asciiTheme="majorHAnsi" w:hAnsiTheme="majorHAnsi"/>
          <w:i/>
        </w:rPr>
      </w:pPr>
      <w:r w:rsidRPr="00FC09A8">
        <w:rPr>
          <w:rFonts w:asciiTheme="majorHAnsi" w:hAnsiTheme="majorHAnsi"/>
          <w:i/>
        </w:rPr>
        <w:t>Support transition of Liga Inan and Health Transport into GOTL during 2018-19</w:t>
      </w:r>
    </w:p>
    <w:p w14:paraId="7A1B99E7" w14:textId="77777777" w:rsidR="008B233E" w:rsidRPr="00FC09A8" w:rsidRDefault="008B233E" w:rsidP="00C85D03">
      <w:pPr>
        <w:jc w:val="both"/>
        <w:rPr>
          <w:rFonts w:asciiTheme="majorHAnsi" w:hAnsiTheme="majorHAnsi"/>
        </w:rPr>
      </w:pPr>
    </w:p>
    <w:p w14:paraId="0FEC23D7" w14:textId="77777777" w:rsidR="008B233E" w:rsidRPr="00FC09A8" w:rsidRDefault="002B1481" w:rsidP="00C85D03">
      <w:pPr>
        <w:ind w:left="360"/>
        <w:jc w:val="both"/>
        <w:rPr>
          <w:rFonts w:asciiTheme="majorHAnsi" w:hAnsiTheme="majorHAnsi"/>
        </w:rPr>
      </w:pPr>
      <w:r w:rsidRPr="002B1481">
        <w:rPr>
          <w:rFonts w:asciiTheme="majorHAnsi" w:hAnsiTheme="majorHAnsi"/>
        </w:rPr>
        <w:t>The report provides d</w:t>
      </w:r>
      <w:r w:rsidR="008B233E" w:rsidRPr="002B1481">
        <w:rPr>
          <w:rFonts w:asciiTheme="majorHAnsi" w:hAnsiTheme="majorHAnsi"/>
        </w:rPr>
        <w:t xml:space="preserve">etailed suggestions for </w:t>
      </w:r>
      <w:r w:rsidRPr="002B1481">
        <w:rPr>
          <w:rFonts w:asciiTheme="majorHAnsi" w:hAnsiTheme="majorHAnsi"/>
        </w:rPr>
        <w:t>making</w:t>
      </w:r>
      <w:r w:rsidR="008B233E" w:rsidRPr="002B1481">
        <w:rPr>
          <w:rFonts w:asciiTheme="majorHAnsi" w:hAnsiTheme="majorHAnsi"/>
        </w:rPr>
        <w:t xml:space="preserve"> </w:t>
      </w:r>
      <w:r w:rsidR="008B233E" w:rsidRPr="002B1481">
        <w:rPr>
          <w:rFonts w:asciiTheme="majorHAnsi" w:hAnsiTheme="majorHAnsi"/>
          <w:b/>
        </w:rPr>
        <w:t>Liga Inan</w:t>
      </w:r>
      <w:r w:rsidR="008B233E" w:rsidRPr="002B1481">
        <w:rPr>
          <w:rFonts w:asciiTheme="majorHAnsi" w:hAnsiTheme="majorHAnsi"/>
        </w:rPr>
        <w:t xml:space="preserve"> </w:t>
      </w:r>
      <w:r w:rsidRPr="002B1481">
        <w:rPr>
          <w:rFonts w:asciiTheme="majorHAnsi" w:hAnsiTheme="majorHAnsi"/>
        </w:rPr>
        <w:t>more robust</w:t>
      </w:r>
      <w:r w:rsidR="008B233E" w:rsidRPr="002B1481">
        <w:rPr>
          <w:rFonts w:asciiTheme="majorHAnsi" w:hAnsiTheme="majorHAnsi"/>
        </w:rPr>
        <w:t xml:space="preserve"> before its transition into MOH</w:t>
      </w:r>
      <w:r w:rsidRPr="002B1481">
        <w:rPr>
          <w:rFonts w:asciiTheme="majorHAnsi" w:hAnsiTheme="majorHAnsi"/>
        </w:rPr>
        <w:t xml:space="preserve"> is completed</w:t>
      </w:r>
      <w:r>
        <w:rPr>
          <w:rFonts w:asciiTheme="majorHAnsi" w:hAnsiTheme="majorHAnsi"/>
        </w:rPr>
        <w:t>. These</w:t>
      </w:r>
      <w:r w:rsidR="008B233E" w:rsidRPr="00FC09A8">
        <w:rPr>
          <w:rFonts w:asciiTheme="majorHAnsi" w:hAnsiTheme="majorHAnsi"/>
        </w:rPr>
        <w:t xml:space="preserve"> relate to assessing the quality of evidence for it, exploring equity implications, increasing the reach of the intervention, and integrating its ‘dashboard’ with the routine information system.</w:t>
      </w:r>
    </w:p>
    <w:p w14:paraId="71279863" w14:textId="77777777" w:rsidR="008B233E" w:rsidRPr="00FC09A8" w:rsidRDefault="008B233E" w:rsidP="00C85D03">
      <w:pPr>
        <w:ind w:left="360"/>
        <w:jc w:val="both"/>
        <w:rPr>
          <w:rFonts w:asciiTheme="majorHAnsi" w:hAnsiTheme="majorHAnsi"/>
        </w:rPr>
      </w:pPr>
    </w:p>
    <w:p w14:paraId="170E1164" w14:textId="77777777" w:rsidR="008B233E" w:rsidRPr="00FC09A8" w:rsidRDefault="008B233E" w:rsidP="00C85D03">
      <w:pPr>
        <w:ind w:left="360"/>
        <w:jc w:val="both"/>
        <w:rPr>
          <w:rFonts w:asciiTheme="majorHAnsi" w:hAnsiTheme="majorHAnsi"/>
        </w:rPr>
      </w:pPr>
      <w:r w:rsidRPr="00FC09A8">
        <w:rPr>
          <w:rFonts w:asciiTheme="majorHAnsi" w:hAnsiTheme="majorHAnsi"/>
        </w:rPr>
        <w:t xml:space="preserve">Once the approaches and timeline for transition of the </w:t>
      </w:r>
      <w:r w:rsidRPr="00FC09A8">
        <w:rPr>
          <w:rFonts w:asciiTheme="majorHAnsi" w:hAnsiTheme="majorHAnsi"/>
          <w:b/>
        </w:rPr>
        <w:t>Health Transport</w:t>
      </w:r>
      <w:r w:rsidRPr="00FC09A8">
        <w:rPr>
          <w:rFonts w:asciiTheme="majorHAnsi" w:hAnsiTheme="majorHAnsi"/>
        </w:rPr>
        <w:t xml:space="preserve"> project are agreed, interim support </w:t>
      </w:r>
      <w:r w:rsidR="00AC7A8A" w:rsidRPr="00FC09A8">
        <w:rPr>
          <w:rFonts w:asciiTheme="majorHAnsi" w:hAnsiTheme="majorHAnsi"/>
        </w:rPr>
        <w:t xml:space="preserve">during the handover period </w:t>
      </w:r>
      <w:r w:rsidRPr="00FC09A8">
        <w:rPr>
          <w:rFonts w:asciiTheme="majorHAnsi" w:hAnsiTheme="majorHAnsi"/>
        </w:rPr>
        <w:t xml:space="preserve">should include </w:t>
      </w:r>
      <w:r w:rsidRPr="00FC09A8">
        <w:rPr>
          <w:rFonts w:asciiTheme="majorHAnsi" w:hAnsiTheme="majorHAnsi" w:cstheme="majorHAnsi"/>
          <w:lang w:eastAsia="en-AU"/>
        </w:rPr>
        <w:t>operations research to assess new arrangements.</w:t>
      </w:r>
      <w:r w:rsidRPr="00FC09A8">
        <w:rPr>
          <w:rFonts w:asciiTheme="majorHAnsi" w:hAnsiTheme="majorHAnsi"/>
        </w:rPr>
        <w:t xml:space="preserve"> </w:t>
      </w:r>
    </w:p>
    <w:p w14:paraId="11BDF3E3" w14:textId="77777777" w:rsidR="008B233E" w:rsidRPr="00FC09A8" w:rsidRDefault="008B233E" w:rsidP="00C85D03">
      <w:pPr>
        <w:pStyle w:val="ListParagraph"/>
        <w:jc w:val="both"/>
        <w:rPr>
          <w:rFonts w:asciiTheme="majorHAnsi" w:hAnsiTheme="majorHAnsi"/>
          <w:u w:val="single"/>
        </w:rPr>
      </w:pPr>
    </w:p>
    <w:p w14:paraId="3F41F4AD" w14:textId="77777777" w:rsidR="008B233E" w:rsidRPr="00FC09A8" w:rsidRDefault="00D41C30" w:rsidP="00C85D03">
      <w:pPr>
        <w:pStyle w:val="ListParagraph"/>
        <w:numPr>
          <w:ilvl w:val="0"/>
          <w:numId w:val="15"/>
        </w:numPr>
        <w:jc w:val="both"/>
        <w:rPr>
          <w:rFonts w:asciiTheme="majorHAnsi" w:hAnsiTheme="majorHAnsi" w:cstheme="majorHAnsi"/>
          <w:i/>
        </w:rPr>
      </w:pPr>
      <w:r>
        <w:rPr>
          <w:rFonts w:asciiTheme="majorHAnsi" w:hAnsiTheme="majorHAnsi"/>
          <w:i/>
        </w:rPr>
        <w:t xml:space="preserve">Continue reproductive health </w:t>
      </w:r>
      <w:r w:rsidR="008B233E" w:rsidRPr="00FC09A8">
        <w:rPr>
          <w:rFonts w:asciiTheme="majorHAnsi" w:hAnsiTheme="majorHAnsi"/>
          <w:i/>
        </w:rPr>
        <w:t>and postgraduate medical training investments with modifications</w:t>
      </w:r>
    </w:p>
    <w:p w14:paraId="605466F0" w14:textId="77777777" w:rsidR="008B233E" w:rsidRPr="00FC09A8" w:rsidRDefault="008B233E" w:rsidP="00C85D03">
      <w:pPr>
        <w:jc w:val="both"/>
        <w:rPr>
          <w:rFonts w:asciiTheme="majorHAnsi" w:hAnsiTheme="majorHAnsi" w:cstheme="majorHAnsi"/>
        </w:rPr>
      </w:pPr>
    </w:p>
    <w:p w14:paraId="20FDFA14" w14:textId="18E572B2" w:rsidR="008B233E" w:rsidRPr="00FC09A8" w:rsidRDefault="008B233E" w:rsidP="00C85D03">
      <w:pPr>
        <w:ind w:left="360"/>
        <w:jc w:val="both"/>
        <w:rPr>
          <w:rFonts w:asciiTheme="majorHAnsi" w:hAnsiTheme="majorHAnsi"/>
        </w:rPr>
      </w:pPr>
      <w:r w:rsidRPr="00FC09A8">
        <w:rPr>
          <w:rFonts w:asciiTheme="majorHAnsi" w:hAnsiTheme="majorHAnsi"/>
        </w:rPr>
        <w:t xml:space="preserve">After 2018, the </w:t>
      </w:r>
      <w:r w:rsidR="00FE5461" w:rsidRPr="00FC09A8">
        <w:rPr>
          <w:rFonts w:asciiTheme="majorHAnsi" w:hAnsiTheme="majorHAnsi"/>
          <w:b/>
        </w:rPr>
        <w:t>s</w:t>
      </w:r>
      <w:r w:rsidRPr="00FC09A8">
        <w:rPr>
          <w:rFonts w:asciiTheme="majorHAnsi" w:hAnsiTheme="majorHAnsi"/>
          <w:b/>
        </w:rPr>
        <w:t xml:space="preserve">exual and </w:t>
      </w:r>
      <w:r w:rsidR="00FE5461" w:rsidRPr="00FC09A8">
        <w:rPr>
          <w:rFonts w:asciiTheme="majorHAnsi" w:hAnsiTheme="majorHAnsi"/>
          <w:b/>
        </w:rPr>
        <w:t>r</w:t>
      </w:r>
      <w:r w:rsidRPr="00FC09A8">
        <w:rPr>
          <w:rFonts w:asciiTheme="majorHAnsi" w:hAnsiTheme="majorHAnsi"/>
          <w:b/>
        </w:rPr>
        <w:t xml:space="preserve">eproductive </w:t>
      </w:r>
      <w:r w:rsidR="00FE5461" w:rsidRPr="00FC09A8">
        <w:rPr>
          <w:rFonts w:asciiTheme="majorHAnsi" w:hAnsiTheme="majorHAnsi"/>
          <w:b/>
        </w:rPr>
        <w:t>h</w:t>
      </w:r>
      <w:r w:rsidRPr="00FC09A8">
        <w:rPr>
          <w:rFonts w:asciiTheme="majorHAnsi" w:hAnsiTheme="majorHAnsi"/>
          <w:b/>
        </w:rPr>
        <w:t xml:space="preserve">ealth </w:t>
      </w:r>
      <w:r w:rsidRPr="00FC09A8">
        <w:rPr>
          <w:rFonts w:asciiTheme="majorHAnsi" w:hAnsiTheme="majorHAnsi"/>
        </w:rPr>
        <w:t xml:space="preserve">project should increasingly emphasise: </w:t>
      </w:r>
      <w:r w:rsidR="00942081" w:rsidRPr="00FC09A8">
        <w:rPr>
          <w:rFonts w:asciiTheme="majorHAnsi" w:hAnsiTheme="majorHAnsi"/>
        </w:rPr>
        <w:t xml:space="preserve"> family planning</w:t>
      </w:r>
      <w:r w:rsidRPr="00FC09A8">
        <w:rPr>
          <w:rFonts w:asciiTheme="majorHAnsi" w:hAnsiTheme="majorHAnsi"/>
        </w:rPr>
        <w:t xml:space="preserve"> skills of MoH </w:t>
      </w:r>
      <w:r w:rsidR="00942081" w:rsidRPr="00FC09A8">
        <w:rPr>
          <w:rFonts w:asciiTheme="majorHAnsi" w:hAnsiTheme="majorHAnsi"/>
        </w:rPr>
        <w:t>midwives and doctors</w:t>
      </w:r>
      <w:r w:rsidRPr="00FC09A8">
        <w:rPr>
          <w:rFonts w:asciiTheme="majorHAnsi" w:hAnsiTheme="majorHAnsi"/>
        </w:rPr>
        <w:t xml:space="preserve">; </w:t>
      </w:r>
      <w:r w:rsidRPr="00FC09A8">
        <w:rPr>
          <w:rFonts w:asciiTheme="majorHAnsi" w:hAnsiTheme="majorHAnsi" w:cstheme="majorHAnsi"/>
          <w:lang w:eastAsia="en-AU"/>
        </w:rPr>
        <w:t xml:space="preserve">raising awareness of services available in public sector facilities; </w:t>
      </w:r>
      <w:r w:rsidRPr="00FC09A8">
        <w:rPr>
          <w:rFonts w:asciiTheme="majorHAnsi" w:hAnsiTheme="majorHAnsi"/>
        </w:rPr>
        <w:t>countering judgmental attitudes toward users of</w:t>
      </w:r>
      <w:r w:rsidR="00FE2E87">
        <w:rPr>
          <w:rFonts w:asciiTheme="majorHAnsi" w:hAnsiTheme="majorHAnsi"/>
        </w:rPr>
        <w:t xml:space="preserve"> FP</w:t>
      </w:r>
      <w:r w:rsidRPr="00FC09A8">
        <w:rPr>
          <w:rFonts w:asciiTheme="majorHAnsi" w:hAnsiTheme="majorHAnsi"/>
        </w:rPr>
        <w:t xml:space="preserve">; reaching those </w:t>
      </w:r>
      <w:r w:rsidRPr="00FC09A8">
        <w:rPr>
          <w:rFonts w:asciiTheme="majorHAnsi" w:hAnsiTheme="majorHAnsi" w:cstheme="majorHAnsi"/>
          <w:lang w:eastAsia="en-AU"/>
        </w:rPr>
        <w:t>who are hardest to reach;</w:t>
      </w:r>
      <w:r w:rsidRPr="00FC09A8">
        <w:rPr>
          <w:rFonts w:asciiTheme="majorHAnsi" w:hAnsiTheme="majorHAnsi"/>
        </w:rPr>
        <w:t xml:space="preserve"> and improving value for money.</w:t>
      </w:r>
      <w:r w:rsidR="0020229B">
        <w:rPr>
          <w:rFonts w:asciiTheme="majorHAnsi" w:hAnsiTheme="majorHAnsi"/>
        </w:rPr>
        <w:t xml:space="preserve"> </w:t>
      </w:r>
    </w:p>
    <w:p w14:paraId="4A6F9287" w14:textId="77777777" w:rsidR="008B233E" w:rsidRPr="00FC09A8" w:rsidRDefault="008B233E" w:rsidP="00C85D03">
      <w:pPr>
        <w:ind w:left="360"/>
        <w:jc w:val="both"/>
        <w:rPr>
          <w:rFonts w:asciiTheme="majorHAnsi" w:hAnsiTheme="majorHAnsi"/>
        </w:rPr>
      </w:pPr>
    </w:p>
    <w:p w14:paraId="355526E6" w14:textId="77777777" w:rsidR="008B233E" w:rsidRPr="00FC09A8" w:rsidRDefault="008B233E" w:rsidP="00C85D03">
      <w:pPr>
        <w:ind w:left="360"/>
        <w:jc w:val="both"/>
        <w:rPr>
          <w:rFonts w:asciiTheme="majorHAnsi" w:hAnsiTheme="majorHAnsi"/>
        </w:rPr>
      </w:pPr>
      <w:r w:rsidRPr="00FC09A8">
        <w:rPr>
          <w:rFonts w:asciiTheme="majorHAnsi" w:hAnsiTheme="majorHAnsi"/>
        </w:rPr>
        <w:t xml:space="preserve">Modifications to the </w:t>
      </w:r>
      <w:r w:rsidR="00FE5461" w:rsidRPr="00FC09A8">
        <w:rPr>
          <w:rFonts w:asciiTheme="majorHAnsi" w:hAnsiTheme="majorHAnsi"/>
          <w:b/>
        </w:rPr>
        <w:t>p</w:t>
      </w:r>
      <w:r w:rsidRPr="00FC09A8">
        <w:rPr>
          <w:rFonts w:asciiTheme="majorHAnsi" w:hAnsiTheme="majorHAnsi"/>
          <w:b/>
        </w:rPr>
        <w:t>ostgraduate medical training</w:t>
      </w:r>
      <w:r w:rsidRPr="00FC09A8">
        <w:rPr>
          <w:rFonts w:asciiTheme="majorHAnsi" w:hAnsiTheme="majorHAnsi"/>
        </w:rPr>
        <w:t xml:space="preserve"> project should include: updating the </w:t>
      </w:r>
      <w:r w:rsidR="00675F15" w:rsidRPr="00FC09A8">
        <w:rPr>
          <w:rFonts w:asciiTheme="majorHAnsi" w:hAnsiTheme="majorHAnsi"/>
        </w:rPr>
        <w:t xml:space="preserve">Family Medicine Program (i.e., general practitioner) </w:t>
      </w:r>
      <w:r w:rsidRPr="00FC09A8">
        <w:rPr>
          <w:rFonts w:asciiTheme="majorHAnsi" w:hAnsiTheme="majorHAnsi"/>
        </w:rPr>
        <w:t xml:space="preserve">curriculum; following up graduates working in community health centres to understand and improve their </w:t>
      </w:r>
      <w:r w:rsidRPr="00FC09A8">
        <w:rPr>
          <w:rFonts w:asciiTheme="majorHAnsi" w:hAnsiTheme="majorHAnsi" w:cstheme="majorHAnsi"/>
          <w:lang w:eastAsia="en-AU"/>
        </w:rPr>
        <w:t>working conditions;</w:t>
      </w:r>
      <w:r w:rsidRPr="00FC09A8">
        <w:rPr>
          <w:rFonts w:asciiTheme="majorHAnsi" w:hAnsiTheme="majorHAnsi"/>
        </w:rPr>
        <w:t xml:space="preserve"> and </w:t>
      </w:r>
      <w:r w:rsidR="00675F15" w:rsidRPr="00FC09A8">
        <w:rPr>
          <w:rFonts w:asciiTheme="majorHAnsi" w:hAnsiTheme="majorHAnsi"/>
        </w:rPr>
        <w:t xml:space="preserve">adjusting the balance between </w:t>
      </w:r>
      <w:r w:rsidR="00E4443A" w:rsidRPr="00FC09A8">
        <w:rPr>
          <w:rFonts w:asciiTheme="majorHAnsi" w:hAnsiTheme="majorHAnsi"/>
        </w:rPr>
        <w:t xml:space="preserve">production of </w:t>
      </w:r>
      <w:r w:rsidR="00FE5461" w:rsidRPr="00FC09A8">
        <w:rPr>
          <w:rFonts w:asciiTheme="majorHAnsi" w:hAnsiTheme="majorHAnsi"/>
        </w:rPr>
        <w:t>general practitioners</w:t>
      </w:r>
      <w:r w:rsidR="00E4443A" w:rsidRPr="00FC09A8">
        <w:rPr>
          <w:rFonts w:asciiTheme="majorHAnsi" w:hAnsiTheme="majorHAnsi"/>
        </w:rPr>
        <w:t xml:space="preserve"> </w:t>
      </w:r>
      <w:r w:rsidR="00F300BB" w:rsidRPr="00FC09A8">
        <w:rPr>
          <w:rFonts w:asciiTheme="majorHAnsi" w:hAnsiTheme="majorHAnsi"/>
        </w:rPr>
        <w:t xml:space="preserve">– for whom there is an especially urgent need - </w:t>
      </w:r>
      <w:r w:rsidR="00E4443A" w:rsidRPr="00FC09A8">
        <w:rPr>
          <w:rFonts w:asciiTheme="majorHAnsi" w:hAnsiTheme="majorHAnsi"/>
        </w:rPr>
        <w:t>and specialists</w:t>
      </w:r>
      <w:r w:rsidR="00FE5461" w:rsidRPr="00FC09A8">
        <w:rPr>
          <w:rFonts w:asciiTheme="majorHAnsi" w:hAnsiTheme="majorHAnsi"/>
        </w:rPr>
        <w:t>,</w:t>
      </w:r>
      <w:r w:rsidR="00E4443A" w:rsidRPr="00FC09A8">
        <w:rPr>
          <w:rFonts w:asciiTheme="majorHAnsi" w:hAnsiTheme="majorHAnsi"/>
        </w:rPr>
        <w:t xml:space="preserve"> by </w:t>
      </w:r>
      <w:r w:rsidRPr="00FC09A8">
        <w:rPr>
          <w:rFonts w:asciiTheme="majorHAnsi" w:hAnsiTheme="majorHAnsi"/>
        </w:rPr>
        <w:t>finishing the training of those already enrolled for special</w:t>
      </w:r>
      <w:r w:rsidR="00E4443A" w:rsidRPr="00FC09A8">
        <w:rPr>
          <w:rFonts w:asciiTheme="majorHAnsi" w:hAnsiTheme="majorHAnsi" w:cstheme="majorHAnsi"/>
          <w:lang w:eastAsia="en-AU"/>
        </w:rPr>
        <w:t>ist training</w:t>
      </w:r>
      <w:r w:rsidRPr="00FC09A8">
        <w:rPr>
          <w:rFonts w:asciiTheme="majorHAnsi" w:hAnsiTheme="majorHAnsi" w:cstheme="majorHAnsi"/>
          <w:lang w:eastAsia="en-AU"/>
        </w:rPr>
        <w:t xml:space="preserve"> but not enrolling any </w:t>
      </w:r>
      <w:r w:rsidR="00E4443A" w:rsidRPr="00FC09A8">
        <w:rPr>
          <w:rFonts w:asciiTheme="majorHAnsi" w:hAnsiTheme="majorHAnsi" w:cstheme="majorHAnsi"/>
          <w:lang w:eastAsia="en-AU"/>
        </w:rPr>
        <w:t>further</w:t>
      </w:r>
      <w:r w:rsidRPr="00FC09A8">
        <w:rPr>
          <w:rFonts w:asciiTheme="majorHAnsi" w:hAnsiTheme="majorHAnsi" w:cstheme="majorHAnsi"/>
          <w:lang w:eastAsia="en-AU"/>
        </w:rPr>
        <w:t xml:space="preserve"> </w:t>
      </w:r>
      <w:r w:rsidR="00E4443A" w:rsidRPr="00FC09A8">
        <w:rPr>
          <w:rFonts w:asciiTheme="majorHAnsi" w:hAnsiTheme="majorHAnsi" w:cstheme="majorHAnsi"/>
          <w:lang w:eastAsia="en-AU"/>
        </w:rPr>
        <w:t xml:space="preserve">specialist </w:t>
      </w:r>
      <w:r w:rsidRPr="00FC09A8">
        <w:rPr>
          <w:rFonts w:asciiTheme="majorHAnsi" w:hAnsiTheme="majorHAnsi" w:cstheme="majorHAnsi"/>
          <w:lang w:eastAsia="en-AU"/>
        </w:rPr>
        <w:t xml:space="preserve">trainees during the </w:t>
      </w:r>
      <w:r w:rsidR="00F300BB" w:rsidRPr="00FC09A8">
        <w:rPr>
          <w:rFonts w:asciiTheme="majorHAnsi" w:hAnsiTheme="majorHAnsi" w:cstheme="majorHAnsi"/>
          <w:lang w:eastAsia="en-AU"/>
        </w:rPr>
        <w:t>remainder of the program</w:t>
      </w:r>
      <w:r w:rsidRPr="00FC09A8">
        <w:rPr>
          <w:rFonts w:asciiTheme="majorHAnsi" w:hAnsiTheme="majorHAnsi" w:cstheme="majorHAnsi"/>
          <w:lang w:eastAsia="en-AU"/>
        </w:rPr>
        <w:t xml:space="preserve"> period.</w:t>
      </w:r>
    </w:p>
    <w:p w14:paraId="1EC227F0" w14:textId="77777777" w:rsidR="008B233E" w:rsidRPr="00FC09A8" w:rsidRDefault="008B233E" w:rsidP="00C85D03">
      <w:pPr>
        <w:jc w:val="both"/>
        <w:rPr>
          <w:rFonts w:asciiTheme="majorHAnsi" w:hAnsiTheme="majorHAnsi" w:cstheme="majorHAnsi"/>
        </w:rPr>
      </w:pPr>
    </w:p>
    <w:p w14:paraId="1982E89F" w14:textId="77777777" w:rsidR="008B233E" w:rsidRPr="00FC09A8" w:rsidRDefault="008B233E" w:rsidP="00C85D03">
      <w:pPr>
        <w:pStyle w:val="ListParagraph"/>
        <w:numPr>
          <w:ilvl w:val="0"/>
          <w:numId w:val="15"/>
        </w:numPr>
        <w:jc w:val="both"/>
        <w:rPr>
          <w:rFonts w:asciiTheme="majorHAnsi" w:hAnsiTheme="majorHAnsi" w:cstheme="majorHAnsi"/>
          <w:i/>
        </w:rPr>
      </w:pPr>
      <w:r w:rsidRPr="00FC09A8">
        <w:rPr>
          <w:rFonts w:asciiTheme="majorHAnsi" w:hAnsiTheme="majorHAnsi"/>
          <w:i/>
        </w:rPr>
        <w:t>New investments in obstetric and neonatal care, management, and technical assistance</w:t>
      </w:r>
    </w:p>
    <w:p w14:paraId="4E22EBB6" w14:textId="77777777" w:rsidR="008B233E" w:rsidRPr="00FC09A8" w:rsidRDefault="008B233E" w:rsidP="00C85D03">
      <w:pPr>
        <w:jc w:val="both"/>
        <w:rPr>
          <w:rFonts w:asciiTheme="majorHAnsi" w:hAnsiTheme="majorHAnsi"/>
        </w:rPr>
      </w:pPr>
    </w:p>
    <w:p w14:paraId="2CB977B1" w14:textId="77777777" w:rsidR="008B233E" w:rsidRPr="00FC09A8" w:rsidRDefault="008B233E" w:rsidP="00C85D03">
      <w:pPr>
        <w:ind w:left="360"/>
        <w:jc w:val="both"/>
        <w:rPr>
          <w:rFonts w:asciiTheme="majorHAnsi" w:hAnsiTheme="majorHAnsi"/>
        </w:rPr>
      </w:pPr>
      <w:r w:rsidRPr="00FC09A8">
        <w:rPr>
          <w:rFonts w:asciiTheme="majorHAnsi" w:hAnsiTheme="majorHAnsi"/>
        </w:rPr>
        <w:t>Following completion of the project currently led by HAI,</w:t>
      </w:r>
      <w:r w:rsidRPr="00FC09A8">
        <w:rPr>
          <w:rFonts w:asciiTheme="majorHAnsi" w:hAnsiTheme="majorHAnsi"/>
          <w:b/>
        </w:rPr>
        <w:t xml:space="preserve"> </w:t>
      </w:r>
      <w:r w:rsidRPr="00FC09A8">
        <w:rPr>
          <w:rFonts w:asciiTheme="majorHAnsi" w:hAnsiTheme="majorHAnsi"/>
        </w:rPr>
        <w:t xml:space="preserve">a new program on </w:t>
      </w:r>
      <w:r w:rsidR="006D3A7A" w:rsidRPr="00FC09A8">
        <w:rPr>
          <w:rFonts w:asciiTheme="majorHAnsi" w:hAnsiTheme="majorHAnsi"/>
          <w:b/>
        </w:rPr>
        <w:t>o</w:t>
      </w:r>
      <w:r w:rsidRPr="00FC09A8">
        <w:rPr>
          <w:rFonts w:asciiTheme="majorHAnsi" w:hAnsiTheme="majorHAnsi"/>
          <w:b/>
        </w:rPr>
        <w:t xml:space="preserve">bstetric and neonatal care </w:t>
      </w:r>
      <w:r w:rsidRPr="00FC09A8">
        <w:rPr>
          <w:rFonts w:asciiTheme="majorHAnsi" w:hAnsiTheme="majorHAnsi"/>
        </w:rPr>
        <w:t>should focus on: (i) clinical training for new midwifery graduates prior to deployment; (ii) developing basic EmONC competences among currently serving midwives; and (iii) providing basic EmONC equipment.</w:t>
      </w:r>
    </w:p>
    <w:p w14:paraId="62317B38" w14:textId="77777777" w:rsidR="008B233E" w:rsidRPr="00FC09A8" w:rsidRDefault="008B233E" w:rsidP="00C85D03">
      <w:pPr>
        <w:ind w:left="360"/>
        <w:jc w:val="both"/>
        <w:rPr>
          <w:rFonts w:asciiTheme="majorHAnsi" w:hAnsiTheme="majorHAnsi"/>
        </w:rPr>
      </w:pPr>
      <w:r w:rsidRPr="00FC09A8">
        <w:rPr>
          <w:rFonts w:asciiTheme="majorHAnsi" w:hAnsiTheme="majorHAnsi"/>
        </w:rPr>
        <w:t xml:space="preserve"> </w:t>
      </w:r>
    </w:p>
    <w:p w14:paraId="1F50FCD8" w14:textId="77777777" w:rsidR="008B233E" w:rsidRPr="00FC09A8" w:rsidRDefault="008B233E" w:rsidP="00C85D03">
      <w:pPr>
        <w:ind w:left="360"/>
        <w:jc w:val="both"/>
        <w:rPr>
          <w:rFonts w:asciiTheme="majorHAnsi" w:hAnsiTheme="majorHAnsi"/>
        </w:rPr>
      </w:pPr>
      <w:r w:rsidRPr="00FC09A8">
        <w:rPr>
          <w:rFonts w:asciiTheme="majorHAnsi" w:hAnsiTheme="majorHAnsi"/>
        </w:rPr>
        <w:t xml:space="preserve">A new initiative to strengthen health </w:t>
      </w:r>
      <w:r w:rsidRPr="00FC09A8">
        <w:rPr>
          <w:rFonts w:asciiTheme="majorHAnsi" w:hAnsiTheme="majorHAnsi"/>
          <w:b/>
        </w:rPr>
        <w:t>management</w:t>
      </w:r>
      <w:r w:rsidRPr="00FC09A8">
        <w:rPr>
          <w:rFonts w:asciiTheme="majorHAnsi" w:hAnsiTheme="majorHAnsi"/>
        </w:rPr>
        <w:t xml:space="preserve"> at various levels should be de</w:t>
      </w:r>
      <w:r w:rsidR="003B1028">
        <w:rPr>
          <w:rFonts w:asciiTheme="majorHAnsi" w:hAnsiTheme="majorHAnsi"/>
        </w:rPr>
        <w:t>signed</w:t>
      </w:r>
      <w:r w:rsidRPr="00FC09A8">
        <w:rPr>
          <w:rFonts w:asciiTheme="majorHAnsi" w:hAnsiTheme="majorHAnsi"/>
        </w:rPr>
        <w:t xml:space="preserve">, with a substantial operations research component to enable learning by doing and to link this initiative to stewardship of the sector, especially in relation to </w:t>
      </w:r>
      <w:r w:rsidR="003B1028">
        <w:rPr>
          <w:rFonts w:asciiTheme="majorHAnsi" w:hAnsiTheme="majorHAnsi"/>
        </w:rPr>
        <w:t>decentralization. M</w:t>
      </w:r>
      <w:r w:rsidRPr="00FC09A8">
        <w:rPr>
          <w:rFonts w:asciiTheme="majorHAnsi" w:hAnsiTheme="majorHAnsi"/>
        </w:rPr>
        <w:t>iddle-level managers</w:t>
      </w:r>
      <w:r w:rsidR="003B1028">
        <w:rPr>
          <w:rFonts w:asciiTheme="majorHAnsi" w:hAnsiTheme="majorHAnsi"/>
        </w:rPr>
        <w:t>’ training</w:t>
      </w:r>
      <w:r w:rsidRPr="00FC09A8">
        <w:rPr>
          <w:rFonts w:asciiTheme="majorHAnsi" w:hAnsiTheme="majorHAnsi"/>
        </w:rPr>
        <w:t xml:space="preserve"> should emphasise supportive supervision for better management of infrastructure/equipment/supplies elements for RMNCH services.</w:t>
      </w:r>
    </w:p>
    <w:p w14:paraId="0100BAB9" w14:textId="77777777" w:rsidR="008B233E" w:rsidRPr="00FC09A8" w:rsidRDefault="008B233E" w:rsidP="00C85D03">
      <w:pPr>
        <w:ind w:left="360"/>
        <w:jc w:val="both"/>
        <w:rPr>
          <w:rFonts w:asciiTheme="majorHAnsi" w:hAnsiTheme="majorHAnsi"/>
        </w:rPr>
      </w:pPr>
    </w:p>
    <w:p w14:paraId="1407ECEE" w14:textId="77777777" w:rsidR="005354FD" w:rsidRPr="00FC09A8" w:rsidRDefault="008B233E" w:rsidP="00C85D03">
      <w:pPr>
        <w:ind w:left="360"/>
        <w:jc w:val="both"/>
        <w:rPr>
          <w:rFonts w:asciiTheme="majorHAnsi" w:hAnsiTheme="majorHAnsi"/>
        </w:rPr>
      </w:pPr>
      <w:r w:rsidRPr="00FC09A8">
        <w:rPr>
          <w:rFonts w:asciiTheme="majorHAnsi" w:hAnsiTheme="majorHAnsi"/>
        </w:rPr>
        <w:t xml:space="preserve">A flexible budget line for </w:t>
      </w:r>
      <w:r w:rsidR="004F7FB0" w:rsidRPr="00FC09A8">
        <w:rPr>
          <w:rFonts w:asciiTheme="majorHAnsi" w:hAnsiTheme="majorHAnsi"/>
          <w:b/>
        </w:rPr>
        <w:t>t</w:t>
      </w:r>
      <w:r w:rsidRPr="00FC09A8">
        <w:rPr>
          <w:rFonts w:asciiTheme="majorHAnsi" w:hAnsiTheme="majorHAnsi"/>
          <w:b/>
        </w:rPr>
        <w:t>echnical assistance</w:t>
      </w:r>
      <w:r w:rsidRPr="00FC09A8">
        <w:rPr>
          <w:rFonts w:asciiTheme="majorHAnsi" w:hAnsiTheme="majorHAnsi"/>
        </w:rPr>
        <w:t xml:space="preserve"> should be created within the program to respond to </w:t>
      </w:r>
      <w:r w:rsidR="00F13DC3">
        <w:rPr>
          <w:rFonts w:asciiTheme="majorHAnsi" w:hAnsiTheme="majorHAnsi"/>
        </w:rPr>
        <w:t>MOH</w:t>
      </w:r>
      <w:r w:rsidR="008724F8">
        <w:rPr>
          <w:rFonts w:asciiTheme="majorHAnsi" w:hAnsiTheme="majorHAnsi"/>
        </w:rPr>
        <w:t>’s increased</w:t>
      </w:r>
      <w:r w:rsidR="00F13DC3">
        <w:rPr>
          <w:rFonts w:asciiTheme="majorHAnsi" w:hAnsiTheme="majorHAnsi"/>
        </w:rPr>
        <w:t xml:space="preserve"> ownership and </w:t>
      </w:r>
      <w:r w:rsidRPr="00FC09A8">
        <w:rPr>
          <w:rFonts w:asciiTheme="majorHAnsi" w:hAnsiTheme="majorHAnsi"/>
        </w:rPr>
        <w:t xml:space="preserve">expanded range of </w:t>
      </w:r>
      <w:r w:rsidR="008724F8">
        <w:rPr>
          <w:rFonts w:asciiTheme="majorHAnsi" w:hAnsiTheme="majorHAnsi"/>
        </w:rPr>
        <w:t xml:space="preserve">identified </w:t>
      </w:r>
      <w:r w:rsidRPr="00FC09A8">
        <w:rPr>
          <w:rFonts w:asciiTheme="majorHAnsi" w:hAnsiTheme="majorHAnsi"/>
        </w:rPr>
        <w:t>needs</w:t>
      </w:r>
      <w:r w:rsidR="00F13DC3">
        <w:rPr>
          <w:rFonts w:asciiTheme="majorHAnsi" w:hAnsiTheme="majorHAnsi"/>
        </w:rPr>
        <w:t xml:space="preserve"> </w:t>
      </w:r>
      <w:r w:rsidRPr="00FC09A8">
        <w:rPr>
          <w:rFonts w:asciiTheme="majorHAnsi" w:hAnsiTheme="majorHAnsi"/>
        </w:rPr>
        <w:t xml:space="preserve">(e.g., health economics and financing, decentralization, health information, </w:t>
      </w:r>
      <w:r w:rsidR="003B1028">
        <w:rPr>
          <w:rFonts w:asciiTheme="majorHAnsi" w:hAnsiTheme="majorHAnsi"/>
        </w:rPr>
        <w:t>public financial management</w:t>
      </w:r>
      <w:r w:rsidRPr="00FC09A8">
        <w:rPr>
          <w:rFonts w:asciiTheme="majorHAnsi" w:hAnsiTheme="majorHAnsi"/>
        </w:rPr>
        <w:t xml:space="preserve">, institutional reform </w:t>
      </w:r>
      <w:r w:rsidR="00290EAD">
        <w:rPr>
          <w:rFonts w:asciiTheme="majorHAnsi" w:hAnsiTheme="majorHAnsi"/>
        </w:rPr>
        <w:t>of pre-service</w:t>
      </w:r>
      <w:r w:rsidRPr="00FC09A8">
        <w:rPr>
          <w:rFonts w:asciiTheme="majorHAnsi" w:hAnsiTheme="majorHAnsi"/>
        </w:rPr>
        <w:t xml:space="preserve"> training</w:t>
      </w:r>
      <w:r w:rsidR="008724F8">
        <w:rPr>
          <w:rFonts w:asciiTheme="majorHAnsi" w:hAnsiTheme="majorHAnsi"/>
        </w:rPr>
        <w:t xml:space="preserve"> arrangements</w:t>
      </w:r>
      <w:r w:rsidRPr="00FC09A8">
        <w:rPr>
          <w:rFonts w:asciiTheme="majorHAnsi" w:hAnsiTheme="majorHAnsi"/>
        </w:rPr>
        <w:t xml:space="preserve">, and </w:t>
      </w:r>
      <w:r w:rsidRPr="00FC09A8">
        <w:rPr>
          <w:rFonts w:asciiTheme="majorHAnsi" w:hAnsiTheme="majorHAnsi" w:cstheme="majorHAnsi"/>
        </w:rPr>
        <w:t>citizen engagement in governance</w:t>
      </w:r>
      <w:r w:rsidRPr="00FC09A8">
        <w:rPr>
          <w:rFonts w:asciiTheme="majorHAnsi" w:hAnsiTheme="majorHAnsi"/>
        </w:rPr>
        <w:t xml:space="preserve">).  </w:t>
      </w:r>
    </w:p>
    <w:p w14:paraId="0F190FE7" w14:textId="77777777" w:rsidR="0074683D" w:rsidRPr="00267B79" w:rsidRDefault="0074683D" w:rsidP="009C58F2">
      <w:pPr>
        <w:pStyle w:val="Heading1"/>
        <w:jc w:val="both"/>
      </w:pPr>
      <w:bookmarkStart w:id="2" w:name="_Toc378838719"/>
      <w:r w:rsidRPr="00267B79">
        <w:lastRenderedPageBreak/>
        <w:t>ABBREVIATIONS</w:t>
      </w:r>
      <w:bookmarkEnd w:id="2"/>
    </w:p>
    <w:p w14:paraId="4F83BAB1" w14:textId="77777777" w:rsidR="00736B2A" w:rsidRPr="00267B79" w:rsidRDefault="00736B2A" w:rsidP="009C58F2">
      <w:pPr>
        <w:jc w:val="both"/>
        <w:rPr>
          <w:rFonts w:asciiTheme="majorHAnsi" w:hAnsiTheme="majorHAnsi" w:cstheme="majorHAnsi"/>
          <w:b/>
          <w:sz w:val="20"/>
        </w:rPr>
      </w:pPr>
    </w:p>
    <w:p w14:paraId="0B9DE91D" w14:textId="77777777" w:rsidR="00793F2A" w:rsidRPr="00267B79" w:rsidRDefault="00793F2A" w:rsidP="009C58F2">
      <w:pPr>
        <w:jc w:val="both"/>
        <w:rPr>
          <w:rStyle w:val="Heading1Char"/>
        </w:rPr>
        <w:sectPr w:rsidR="00793F2A" w:rsidRPr="00267B79">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pPr>
    </w:p>
    <w:p w14:paraId="4404C05F"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ANC</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Ante natal care</w:t>
      </w:r>
    </w:p>
    <w:p w14:paraId="0554D741"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ANC1</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Ante natal care 1</w:t>
      </w:r>
      <w:r w:rsidRPr="00267B79">
        <w:rPr>
          <w:rStyle w:val="Heading1Char"/>
          <w:rFonts w:cstheme="majorHAnsi"/>
          <w:b w:val="0"/>
          <w:color w:val="auto"/>
          <w:sz w:val="18"/>
          <w:szCs w:val="20"/>
          <w:vertAlign w:val="superscript"/>
        </w:rPr>
        <w:t>st</w:t>
      </w:r>
      <w:r w:rsidRPr="00267B79">
        <w:rPr>
          <w:rStyle w:val="Heading1Char"/>
          <w:rFonts w:cstheme="majorHAnsi"/>
          <w:b w:val="0"/>
          <w:color w:val="auto"/>
          <w:sz w:val="18"/>
          <w:szCs w:val="20"/>
        </w:rPr>
        <w:t xml:space="preserve"> visit</w:t>
      </w:r>
    </w:p>
    <w:p w14:paraId="22D28AD1"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ANC4</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Ante natal care 4</w:t>
      </w:r>
      <w:r w:rsidRPr="00267B79">
        <w:rPr>
          <w:rStyle w:val="Heading1Char"/>
          <w:rFonts w:cstheme="majorHAnsi"/>
          <w:b w:val="0"/>
          <w:color w:val="auto"/>
          <w:sz w:val="18"/>
          <w:szCs w:val="20"/>
          <w:vertAlign w:val="superscript"/>
        </w:rPr>
        <w:t>th</w:t>
      </w:r>
      <w:r w:rsidRPr="00267B79">
        <w:rPr>
          <w:rStyle w:val="Heading1Char"/>
          <w:rFonts w:cstheme="majorHAnsi"/>
          <w:b w:val="0"/>
          <w:color w:val="auto"/>
          <w:sz w:val="18"/>
          <w:szCs w:val="20"/>
        </w:rPr>
        <w:t xml:space="preserve"> visit</w:t>
      </w:r>
    </w:p>
    <w:p w14:paraId="0224423B" w14:textId="77777777" w:rsidR="008B233E" w:rsidRDefault="00793F2A" w:rsidP="009C58F2">
      <w:pPr>
        <w:spacing w:after="80"/>
        <w:ind w:left="1440" w:hanging="1440"/>
        <w:jc w:val="both"/>
        <w:rPr>
          <w:rFonts w:asciiTheme="majorHAnsi" w:hAnsiTheme="majorHAnsi" w:cstheme="majorHAnsi"/>
          <w:sz w:val="18"/>
          <w:szCs w:val="20"/>
        </w:rPr>
      </w:pPr>
      <w:r w:rsidRPr="00267B79">
        <w:rPr>
          <w:rFonts w:asciiTheme="majorHAnsi" w:hAnsiTheme="majorHAnsi" w:cstheme="majorHAnsi"/>
          <w:sz w:val="18"/>
          <w:szCs w:val="20"/>
        </w:rPr>
        <w:t>ANCP</w:t>
      </w:r>
      <w:r w:rsidRPr="00267B79">
        <w:rPr>
          <w:rFonts w:asciiTheme="majorHAnsi" w:hAnsiTheme="majorHAnsi" w:cstheme="majorHAnsi"/>
          <w:sz w:val="18"/>
          <w:szCs w:val="20"/>
        </w:rPr>
        <w:tab/>
      </w:r>
      <w:r w:rsidR="00736B2A" w:rsidRPr="00267B79">
        <w:rPr>
          <w:rFonts w:asciiTheme="majorHAnsi" w:hAnsiTheme="majorHAnsi" w:cstheme="majorHAnsi"/>
          <w:sz w:val="18"/>
          <w:szCs w:val="20"/>
        </w:rPr>
        <w:t>Australian NGO Cooperation Program</w:t>
      </w:r>
    </w:p>
    <w:p w14:paraId="440D7DCB" w14:textId="77777777" w:rsidR="008B233E" w:rsidRDefault="00793F2A" w:rsidP="009C58F2">
      <w:pPr>
        <w:spacing w:after="80"/>
        <w:ind w:left="1440" w:hanging="1440"/>
        <w:jc w:val="both"/>
        <w:rPr>
          <w:rFonts w:asciiTheme="majorHAnsi" w:hAnsiTheme="majorHAnsi" w:cstheme="majorHAnsi"/>
          <w:sz w:val="18"/>
          <w:szCs w:val="20"/>
        </w:rPr>
      </w:pPr>
      <w:r w:rsidRPr="00267B79">
        <w:rPr>
          <w:rFonts w:asciiTheme="majorHAnsi" w:hAnsiTheme="majorHAnsi" w:cstheme="majorHAnsi"/>
          <w:sz w:val="18"/>
          <w:szCs w:val="20"/>
        </w:rPr>
        <w:t>APTC</w:t>
      </w:r>
      <w:r w:rsidRPr="00267B79">
        <w:rPr>
          <w:rFonts w:asciiTheme="majorHAnsi" w:hAnsiTheme="majorHAnsi" w:cstheme="majorHAnsi"/>
          <w:sz w:val="18"/>
          <w:szCs w:val="20"/>
        </w:rPr>
        <w:tab/>
      </w:r>
      <w:r w:rsidR="00874F99" w:rsidRPr="00267B79">
        <w:rPr>
          <w:rFonts w:asciiTheme="majorHAnsi" w:hAnsiTheme="majorHAnsi" w:cstheme="majorHAnsi"/>
          <w:sz w:val="18"/>
          <w:szCs w:val="20"/>
        </w:rPr>
        <w:t xml:space="preserve">Australia Pacific Technical </w:t>
      </w:r>
      <w:r w:rsidR="00CB322B" w:rsidRPr="00267B79">
        <w:rPr>
          <w:rFonts w:asciiTheme="majorHAnsi" w:hAnsiTheme="majorHAnsi" w:cstheme="majorHAnsi"/>
          <w:sz w:val="18"/>
          <w:szCs w:val="20"/>
        </w:rPr>
        <w:t>College</w:t>
      </w:r>
    </w:p>
    <w:p w14:paraId="549F9C9B" w14:textId="77777777" w:rsidR="008B233E" w:rsidRDefault="00736B2A" w:rsidP="009C58F2">
      <w:pPr>
        <w:spacing w:after="80"/>
        <w:jc w:val="both"/>
        <w:rPr>
          <w:rFonts w:asciiTheme="majorHAnsi" w:hAnsiTheme="majorHAnsi" w:cstheme="majorHAnsi"/>
          <w:sz w:val="18"/>
          <w:szCs w:val="20"/>
        </w:rPr>
      </w:pPr>
      <w:r w:rsidRPr="00267B79">
        <w:rPr>
          <w:rFonts w:asciiTheme="majorHAnsi" w:hAnsiTheme="majorHAnsi" w:cstheme="majorHAnsi"/>
          <w:sz w:val="18"/>
          <w:szCs w:val="20"/>
        </w:rPr>
        <w:t>BEmONC</w:t>
      </w:r>
      <w:r w:rsidRPr="00267B79">
        <w:rPr>
          <w:rFonts w:asciiTheme="majorHAnsi" w:hAnsiTheme="majorHAnsi" w:cstheme="majorHAnsi"/>
          <w:sz w:val="18"/>
          <w:szCs w:val="20"/>
        </w:rPr>
        <w:tab/>
      </w:r>
      <w:r w:rsidRPr="00267B79">
        <w:rPr>
          <w:rFonts w:asciiTheme="majorHAnsi" w:hAnsiTheme="majorHAnsi" w:cstheme="majorHAnsi"/>
          <w:sz w:val="18"/>
          <w:szCs w:val="20"/>
        </w:rPr>
        <w:tab/>
        <w:t>Basic EmONC</w:t>
      </w:r>
    </w:p>
    <w:p w14:paraId="0A47B835"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CBM</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Community based monitoring</w:t>
      </w:r>
    </w:p>
    <w:p w14:paraId="7C72912F" w14:textId="77777777" w:rsidR="008B233E" w:rsidRPr="00EC5D90" w:rsidRDefault="00736B2A" w:rsidP="009C58F2">
      <w:pPr>
        <w:spacing w:after="80"/>
        <w:jc w:val="both"/>
        <w:rPr>
          <w:rFonts w:asciiTheme="majorHAnsi" w:hAnsiTheme="majorHAnsi" w:cstheme="majorHAnsi"/>
          <w:sz w:val="18"/>
          <w:szCs w:val="20"/>
        </w:rPr>
      </w:pPr>
      <w:r w:rsidRPr="00EC5D90">
        <w:rPr>
          <w:rFonts w:asciiTheme="majorHAnsi" w:hAnsiTheme="majorHAnsi" w:cstheme="majorHAnsi"/>
          <w:sz w:val="18"/>
          <w:szCs w:val="20"/>
        </w:rPr>
        <w:t>CHC</w:t>
      </w:r>
      <w:r w:rsidRPr="00EC5D90">
        <w:rPr>
          <w:rFonts w:asciiTheme="majorHAnsi" w:hAnsiTheme="majorHAnsi" w:cstheme="majorHAnsi"/>
          <w:sz w:val="18"/>
          <w:szCs w:val="20"/>
        </w:rPr>
        <w:tab/>
      </w:r>
      <w:r w:rsidRPr="00EC5D90">
        <w:rPr>
          <w:rFonts w:asciiTheme="majorHAnsi" w:hAnsiTheme="majorHAnsi" w:cstheme="majorHAnsi"/>
          <w:sz w:val="18"/>
          <w:szCs w:val="20"/>
        </w:rPr>
        <w:tab/>
        <w:t>Community health centre</w:t>
      </w:r>
    </w:p>
    <w:p w14:paraId="5238A04C" w14:textId="77777777" w:rsidR="00EC5D90" w:rsidRPr="00EC5D90" w:rsidRDefault="008B233E" w:rsidP="009C58F2">
      <w:pPr>
        <w:spacing w:after="80"/>
        <w:jc w:val="both"/>
        <w:rPr>
          <w:rFonts w:asciiTheme="majorHAnsi" w:hAnsiTheme="majorHAnsi" w:cstheme="majorHAnsi"/>
          <w:sz w:val="18"/>
          <w:szCs w:val="20"/>
        </w:rPr>
      </w:pPr>
      <w:r w:rsidRPr="00EC5D90">
        <w:rPr>
          <w:rFonts w:asciiTheme="majorHAnsi" w:hAnsiTheme="majorHAnsi" w:cstheme="majorHAnsi"/>
          <w:sz w:val="18"/>
          <w:szCs w:val="20"/>
        </w:rPr>
        <w:t>CYP</w:t>
      </w:r>
      <w:r w:rsidR="00736B2A" w:rsidRPr="00EC5D90">
        <w:rPr>
          <w:rFonts w:asciiTheme="majorHAnsi" w:hAnsiTheme="majorHAnsi" w:cstheme="majorHAnsi"/>
          <w:sz w:val="18"/>
          <w:szCs w:val="20"/>
        </w:rPr>
        <w:tab/>
      </w:r>
      <w:r w:rsidR="00736B2A" w:rsidRPr="00EC5D90">
        <w:rPr>
          <w:rFonts w:asciiTheme="majorHAnsi" w:hAnsiTheme="majorHAnsi" w:cstheme="majorHAnsi"/>
          <w:sz w:val="18"/>
          <w:szCs w:val="20"/>
        </w:rPr>
        <w:tab/>
        <w:t>Couple-years protection</w:t>
      </w:r>
    </w:p>
    <w:p w14:paraId="616A76EC" w14:textId="77777777" w:rsidR="008B233E" w:rsidRPr="00EC5D90" w:rsidRDefault="00EC5D90" w:rsidP="009C58F2">
      <w:pPr>
        <w:spacing w:after="80"/>
        <w:jc w:val="both"/>
        <w:rPr>
          <w:rStyle w:val="Heading1Char"/>
        </w:rPr>
      </w:pPr>
      <w:r w:rsidRPr="00EC5D90">
        <w:rPr>
          <w:rStyle w:val="Heading1Char"/>
          <w:b w:val="0"/>
          <w:color w:val="auto"/>
          <w:sz w:val="18"/>
        </w:rPr>
        <w:t>DALY</w:t>
      </w:r>
      <w:r w:rsidRPr="00EC5D90">
        <w:rPr>
          <w:rStyle w:val="Heading1Char"/>
          <w:sz w:val="18"/>
        </w:rPr>
        <w:tab/>
      </w:r>
      <w:r w:rsidRPr="00EC5D90">
        <w:rPr>
          <w:rStyle w:val="Heading1Char"/>
          <w:sz w:val="18"/>
        </w:rPr>
        <w:tab/>
      </w:r>
      <w:r w:rsidRPr="00EC5D90">
        <w:rPr>
          <w:rFonts w:asciiTheme="majorHAnsi" w:hAnsiTheme="majorHAnsi"/>
          <w:sz w:val="18"/>
          <w:szCs w:val="22"/>
        </w:rPr>
        <w:t xml:space="preserve">Disability-adjusted life year </w:t>
      </w:r>
    </w:p>
    <w:p w14:paraId="4C612A7A" w14:textId="77777777" w:rsidR="008B233E" w:rsidRPr="00EC5D90" w:rsidRDefault="00793F2A" w:rsidP="009C58F2">
      <w:pPr>
        <w:spacing w:after="80"/>
        <w:ind w:left="1440" w:hanging="1440"/>
        <w:jc w:val="both"/>
        <w:rPr>
          <w:rStyle w:val="Heading1Char"/>
        </w:rPr>
      </w:pPr>
      <w:r w:rsidRPr="00EC5D90">
        <w:rPr>
          <w:rStyle w:val="Heading1Char"/>
          <w:rFonts w:cstheme="majorHAnsi"/>
          <w:b w:val="0"/>
          <w:color w:val="auto"/>
          <w:sz w:val="18"/>
          <w:szCs w:val="20"/>
        </w:rPr>
        <w:t>DFAT</w:t>
      </w:r>
      <w:r w:rsidRPr="00EC5D90">
        <w:rPr>
          <w:rStyle w:val="Heading1Char"/>
          <w:rFonts w:cstheme="majorHAnsi"/>
          <w:b w:val="0"/>
          <w:color w:val="auto"/>
          <w:sz w:val="18"/>
          <w:szCs w:val="20"/>
        </w:rPr>
        <w:tab/>
      </w:r>
      <w:r w:rsidR="00736B2A" w:rsidRPr="00EC5D90">
        <w:rPr>
          <w:rStyle w:val="Heading1Char"/>
          <w:rFonts w:cstheme="majorHAnsi"/>
          <w:b w:val="0"/>
          <w:color w:val="auto"/>
          <w:sz w:val="18"/>
          <w:szCs w:val="20"/>
        </w:rPr>
        <w:t>Department of Foreign Affairs and Trade</w:t>
      </w:r>
    </w:p>
    <w:p w14:paraId="46A775FE" w14:textId="77777777" w:rsidR="008B233E" w:rsidRDefault="00793F2A" w:rsidP="009C58F2">
      <w:pPr>
        <w:spacing w:after="80"/>
        <w:ind w:left="1440" w:hanging="1440"/>
        <w:jc w:val="both"/>
        <w:rPr>
          <w:rStyle w:val="Heading1Char"/>
        </w:rPr>
      </w:pPr>
      <w:r w:rsidRPr="00267B79">
        <w:rPr>
          <w:rStyle w:val="Heading1Char"/>
          <w:rFonts w:cstheme="majorHAnsi"/>
          <w:b w:val="0"/>
          <w:color w:val="auto"/>
          <w:sz w:val="18"/>
          <w:szCs w:val="20"/>
        </w:rPr>
        <w:t>DHS</w:t>
      </w:r>
      <w:r w:rsidRPr="00267B79">
        <w:rPr>
          <w:rStyle w:val="Heading1Char"/>
          <w:rFonts w:cstheme="majorHAnsi"/>
          <w:b w:val="0"/>
          <w:color w:val="auto"/>
          <w:sz w:val="18"/>
          <w:szCs w:val="20"/>
        </w:rPr>
        <w:tab/>
      </w:r>
      <w:r w:rsidR="00736B2A" w:rsidRPr="00267B79">
        <w:rPr>
          <w:rStyle w:val="Heading1Char"/>
          <w:rFonts w:cstheme="majorHAnsi"/>
          <w:b w:val="0"/>
          <w:color w:val="auto"/>
          <w:sz w:val="18"/>
          <w:szCs w:val="20"/>
        </w:rPr>
        <w:t>Demographic and Health Survey</w:t>
      </w:r>
    </w:p>
    <w:p w14:paraId="21666BCA"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DPHO</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r>
      <w:r w:rsidRPr="00267B79">
        <w:rPr>
          <w:rFonts w:asciiTheme="majorHAnsi" w:hAnsiTheme="majorHAnsi" w:cstheme="majorHAnsi"/>
          <w:sz w:val="18"/>
        </w:rPr>
        <w:t>District Public Health Officers</w:t>
      </w:r>
    </w:p>
    <w:p w14:paraId="7141E80A" w14:textId="77777777" w:rsidR="008B233E" w:rsidRDefault="00793F2A" w:rsidP="009C58F2">
      <w:pPr>
        <w:spacing w:after="80"/>
        <w:ind w:left="1440" w:hanging="1440"/>
        <w:jc w:val="both"/>
        <w:rPr>
          <w:rFonts w:asciiTheme="majorHAnsi" w:hAnsiTheme="majorHAnsi" w:cstheme="majorHAnsi"/>
          <w:sz w:val="18"/>
          <w:szCs w:val="20"/>
        </w:rPr>
      </w:pPr>
      <w:r w:rsidRPr="00267B79">
        <w:rPr>
          <w:rFonts w:asciiTheme="majorHAnsi" w:hAnsiTheme="majorHAnsi" w:cstheme="majorHAnsi"/>
          <w:sz w:val="18"/>
          <w:szCs w:val="20"/>
        </w:rPr>
        <w:t>EmONC</w:t>
      </w:r>
      <w:r w:rsidRPr="00267B79">
        <w:rPr>
          <w:rFonts w:asciiTheme="majorHAnsi" w:hAnsiTheme="majorHAnsi" w:cstheme="majorHAnsi"/>
          <w:sz w:val="18"/>
          <w:szCs w:val="20"/>
        </w:rPr>
        <w:tab/>
      </w:r>
      <w:r w:rsidR="00736B2A" w:rsidRPr="00267B79">
        <w:rPr>
          <w:rFonts w:asciiTheme="majorHAnsi" w:hAnsiTheme="majorHAnsi" w:cstheme="majorHAnsi"/>
          <w:sz w:val="18"/>
          <w:szCs w:val="20"/>
        </w:rPr>
        <w:t>Emergency obstetric and neonatal care</w:t>
      </w:r>
    </w:p>
    <w:p w14:paraId="086FC8AA" w14:textId="77777777" w:rsidR="008B233E" w:rsidRDefault="008B233E" w:rsidP="009C58F2">
      <w:pPr>
        <w:spacing w:after="80"/>
        <w:jc w:val="both"/>
        <w:rPr>
          <w:rStyle w:val="Heading1Char"/>
        </w:rPr>
      </w:pPr>
      <w:r w:rsidRPr="008B233E">
        <w:rPr>
          <w:rFonts w:asciiTheme="majorHAnsi" w:hAnsiTheme="majorHAnsi" w:cstheme="majorHAnsi"/>
          <w:sz w:val="18"/>
          <w:szCs w:val="20"/>
        </w:rPr>
        <w:t>ENBC</w:t>
      </w:r>
      <w:r w:rsidR="00736B2A" w:rsidRPr="00267B79">
        <w:rPr>
          <w:rFonts w:asciiTheme="majorHAnsi" w:hAnsiTheme="majorHAnsi" w:cstheme="majorHAnsi"/>
          <w:sz w:val="18"/>
          <w:szCs w:val="20"/>
        </w:rPr>
        <w:tab/>
      </w:r>
      <w:r w:rsidR="00736B2A" w:rsidRPr="00267B79">
        <w:rPr>
          <w:rFonts w:asciiTheme="majorHAnsi" w:hAnsiTheme="majorHAnsi" w:cstheme="majorHAnsi"/>
          <w:sz w:val="18"/>
          <w:szCs w:val="20"/>
        </w:rPr>
        <w:tab/>
      </w:r>
      <w:r w:rsidR="00A41BE1" w:rsidRPr="00267B79">
        <w:rPr>
          <w:rFonts w:asciiTheme="majorHAnsi" w:hAnsiTheme="majorHAnsi" w:cstheme="majorHAnsi"/>
          <w:sz w:val="18"/>
          <w:szCs w:val="20"/>
        </w:rPr>
        <w:t>Essential</w:t>
      </w:r>
      <w:r w:rsidR="00736B2A" w:rsidRPr="00267B79">
        <w:rPr>
          <w:rFonts w:asciiTheme="majorHAnsi" w:hAnsiTheme="majorHAnsi" w:cstheme="majorHAnsi"/>
          <w:sz w:val="18"/>
          <w:szCs w:val="20"/>
        </w:rPr>
        <w:t xml:space="preserve"> newborn care</w:t>
      </w:r>
    </w:p>
    <w:p w14:paraId="4371CD24"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EOPO</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End of Program Outcome</w:t>
      </w:r>
    </w:p>
    <w:p w14:paraId="7FD7BE6F" w14:textId="77777777" w:rsidR="008B233E" w:rsidRDefault="00736B2A" w:rsidP="009C58F2">
      <w:pPr>
        <w:spacing w:after="80"/>
        <w:jc w:val="both"/>
        <w:rPr>
          <w:rFonts w:asciiTheme="majorHAnsi" w:hAnsiTheme="majorHAnsi" w:cstheme="majorHAnsi"/>
          <w:sz w:val="18"/>
          <w:szCs w:val="20"/>
        </w:rPr>
      </w:pPr>
      <w:r w:rsidRPr="00267B79">
        <w:rPr>
          <w:rFonts w:asciiTheme="majorHAnsi" w:hAnsiTheme="majorHAnsi" w:cstheme="majorHAnsi"/>
          <w:sz w:val="18"/>
          <w:szCs w:val="20"/>
        </w:rPr>
        <w:t>FMP</w:t>
      </w:r>
      <w:r w:rsidRPr="00267B79">
        <w:rPr>
          <w:rFonts w:asciiTheme="majorHAnsi" w:hAnsiTheme="majorHAnsi" w:cstheme="majorHAnsi"/>
          <w:sz w:val="18"/>
          <w:szCs w:val="20"/>
        </w:rPr>
        <w:tab/>
      </w:r>
      <w:r w:rsidRPr="00267B79">
        <w:rPr>
          <w:rFonts w:asciiTheme="majorHAnsi" w:hAnsiTheme="majorHAnsi" w:cstheme="majorHAnsi"/>
          <w:sz w:val="18"/>
          <w:szCs w:val="20"/>
        </w:rPr>
        <w:tab/>
        <w:t xml:space="preserve">Family medicine program </w:t>
      </w:r>
    </w:p>
    <w:p w14:paraId="12B198CB" w14:textId="77777777" w:rsidR="008B233E" w:rsidRDefault="00736B2A" w:rsidP="009C58F2">
      <w:pPr>
        <w:spacing w:after="80"/>
        <w:jc w:val="both"/>
        <w:rPr>
          <w:rFonts w:asciiTheme="majorHAnsi" w:hAnsiTheme="majorHAnsi" w:cstheme="majorHAnsi"/>
          <w:sz w:val="18"/>
          <w:szCs w:val="20"/>
        </w:rPr>
      </w:pPr>
      <w:r w:rsidRPr="00267B79">
        <w:rPr>
          <w:rFonts w:asciiTheme="majorHAnsi" w:hAnsiTheme="majorHAnsi" w:cstheme="majorHAnsi"/>
          <w:sz w:val="18"/>
          <w:szCs w:val="20"/>
        </w:rPr>
        <w:t>FP</w:t>
      </w:r>
      <w:r w:rsidRPr="00267B79">
        <w:rPr>
          <w:rFonts w:asciiTheme="majorHAnsi" w:hAnsiTheme="majorHAnsi" w:cstheme="majorHAnsi"/>
          <w:sz w:val="18"/>
          <w:szCs w:val="20"/>
        </w:rPr>
        <w:tab/>
      </w:r>
      <w:r w:rsidRPr="00267B79">
        <w:rPr>
          <w:rFonts w:asciiTheme="majorHAnsi" w:hAnsiTheme="majorHAnsi" w:cstheme="majorHAnsi"/>
          <w:sz w:val="18"/>
          <w:szCs w:val="20"/>
        </w:rPr>
        <w:tab/>
        <w:t>Family planning</w:t>
      </w:r>
    </w:p>
    <w:p w14:paraId="423F6FF3" w14:textId="77777777" w:rsidR="008B233E" w:rsidRDefault="008B233E" w:rsidP="009C58F2">
      <w:pPr>
        <w:spacing w:after="80"/>
        <w:jc w:val="both"/>
        <w:rPr>
          <w:rStyle w:val="Heading1Char"/>
        </w:rPr>
      </w:pPr>
      <w:r w:rsidRPr="008B233E">
        <w:rPr>
          <w:rFonts w:asciiTheme="majorHAnsi" w:hAnsiTheme="majorHAnsi" w:cstheme="majorHAnsi"/>
          <w:sz w:val="18"/>
          <w:szCs w:val="20"/>
        </w:rPr>
        <w:t>GDP</w:t>
      </w:r>
      <w:r w:rsidR="00736B2A" w:rsidRPr="00267B79">
        <w:rPr>
          <w:rFonts w:asciiTheme="majorHAnsi" w:hAnsiTheme="majorHAnsi" w:cstheme="majorHAnsi"/>
          <w:sz w:val="18"/>
          <w:szCs w:val="20"/>
        </w:rPr>
        <w:tab/>
      </w:r>
      <w:r w:rsidR="00736B2A" w:rsidRPr="00267B79">
        <w:rPr>
          <w:rFonts w:asciiTheme="majorHAnsi" w:hAnsiTheme="majorHAnsi" w:cstheme="majorHAnsi"/>
          <w:sz w:val="18"/>
          <w:szCs w:val="20"/>
        </w:rPr>
        <w:tab/>
        <w:t>Gross domestic product</w:t>
      </w:r>
    </w:p>
    <w:p w14:paraId="16B68CB4"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GOTL</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Government of Timor-Leste</w:t>
      </w:r>
    </w:p>
    <w:p w14:paraId="74409D8B"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HAI</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Health Alliance International</w:t>
      </w:r>
    </w:p>
    <w:p w14:paraId="6DE8DAA0" w14:textId="77777777" w:rsidR="008B233E" w:rsidRPr="0034571D" w:rsidRDefault="00736B2A" w:rsidP="009C58F2">
      <w:pPr>
        <w:spacing w:after="80"/>
        <w:jc w:val="both"/>
        <w:rPr>
          <w:rStyle w:val="Heading1Char"/>
        </w:rPr>
      </w:pPr>
      <w:r w:rsidRPr="00267B79">
        <w:rPr>
          <w:rStyle w:val="Heading1Char"/>
          <w:rFonts w:cstheme="majorHAnsi"/>
          <w:b w:val="0"/>
          <w:color w:val="auto"/>
          <w:sz w:val="18"/>
          <w:szCs w:val="20"/>
        </w:rPr>
        <w:t>HF</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 xml:space="preserve">Health </w:t>
      </w:r>
      <w:r w:rsidRPr="0034571D">
        <w:rPr>
          <w:rStyle w:val="Heading1Char"/>
          <w:rFonts w:cstheme="majorHAnsi"/>
          <w:b w:val="0"/>
          <w:color w:val="auto"/>
          <w:sz w:val="18"/>
          <w:szCs w:val="20"/>
        </w:rPr>
        <w:t>facility</w:t>
      </w:r>
    </w:p>
    <w:p w14:paraId="19181327" w14:textId="77777777" w:rsidR="008B233E" w:rsidRPr="0034571D" w:rsidRDefault="00793F2A" w:rsidP="009C58F2">
      <w:pPr>
        <w:spacing w:after="80"/>
        <w:ind w:left="1440" w:hanging="1440"/>
        <w:jc w:val="both"/>
        <w:rPr>
          <w:rStyle w:val="Heading1Char"/>
        </w:rPr>
      </w:pPr>
      <w:r w:rsidRPr="0034571D">
        <w:rPr>
          <w:rStyle w:val="Heading1Char"/>
          <w:rFonts w:cstheme="majorHAnsi"/>
          <w:b w:val="0"/>
          <w:color w:val="auto"/>
          <w:sz w:val="18"/>
          <w:szCs w:val="20"/>
        </w:rPr>
        <w:t>HNGV</w:t>
      </w:r>
      <w:r w:rsidRPr="0034571D">
        <w:rPr>
          <w:rStyle w:val="Heading1Char"/>
          <w:rFonts w:cstheme="majorHAnsi"/>
          <w:b w:val="0"/>
          <w:color w:val="auto"/>
          <w:sz w:val="18"/>
          <w:szCs w:val="20"/>
        </w:rPr>
        <w:tab/>
      </w:r>
      <w:r w:rsidR="00736B2A" w:rsidRPr="0034571D">
        <w:rPr>
          <w:rStyle w:val="Heading1Char"/>
          <w:rFonts w:cstheme="majorHAnsi"/>
          <w:b w:val="0"/>
          <w:color w:val="auto"/>
          <w:sz w:val="18"/>
          <w:szCs w:val="20"/>
        </w:rPr>
        <w:t>Guido Valadares National Hospital</w:t>
      </w:r>
    </w:p>
    <w:p w14:paraId="4BA38FB7" w14:textId="77777777" w:rsidR="008B233E" w:rsidRPr="0034571D" w:rsidRDefault="00736B2A" w:rsidP="009C58F2">
      <w:pPr>
        <w:spacing w:after="80"/>
        <w:jc w:val="both"/>
        <w:rPr>
          <w:rFonts w:asciiTheme="majorHAnsi" w:hAnsiTheme="majorHAnsi" w:cstheme="majorHAnsi"/>
          <w:sz w:val="18"/>
          <w:szCs w:val="20"/>
        </w:rPr>
      </w:pPr>
      <w:r w:rsidRPr="0034571D">
        <w:rPr>
          <w:rFonts w:asciiTheme="majorHAnsi" w:hAnsiTheme="majorHAnsi" w:cstheme="majorHAnsi"/>
          <w:sz w:val="18"/>
          <w:szCs w:val="20"/>
        </w:rPr>
        <w:t>HP</w:t>
      </w:r>
      <w:r w:rsidRPr="0034571D">
        <w:rPr>
          <w:rFonts w:asciiTheme="majorHAnsi" w:hAnsiTheme="majorHAnsi" w:cstheme="majorHAnsi"/>
          <w:sz w:val="18"/>
          <w:szCs w:val="20"/>
        </w:rPr>
        <w:tab/>
      </w:r>
      <w:r w:rsidRPr="0034571D">
        <w:rPr>
          <w:rFonts w:asciiTheme="majorHAnsi" w:hAnsiTheme="majorHAnsi" w:cstheme="majorHAnsi"/>
          <w:sz w:val="18"/>
          <w:szCs w:val="20"/>
        </w:rPr>
        <w:tab/>
        <w:t>Health post</w:t>
      </w:r>
    </w:p>
    <w:p w14:paraId="5CCD436F" w14:textId="77777777" w:rsidR="008B233E" w:rsidRPr="0034571D" w:rsidRDefault="00736B2A" w:rsidP="009C58F2">
      <w:pPr>
        <w:spacing w:after="80"/>
        <w:jc w:val="both"/>
        <w:rPr>
          <w:rFonts w:asciiTheme="majorHAnsi" w:hAnsiTheme="majorHAnsi" w:cstheme="majorHAnsi"/>
          <w:sz w:val="18"/>
          <w:szCs w:val="20"/>
        </w:rPr>
      </w:pPr>
      <w:r w:rsidRPr="0034571D">
        <w:rPr>
          <w:rFonts w:asciiTheme="majorHAnsi" w:hAnsiTheme="majorHAnsi" w:cstheme="majorHAnsi"/>
          <w:sz w:val="18"/>
          <w:szCs w:val="20"/>
        </w:rPr>
        <w:t>HR</w:t>
      </w:r>
      <w:r w:rsidRPr="0034571D">
        <w:rPr>
          <w:rFonts w:asciiTheme="majorHAnsi" w:hAnsiTheme="majorHAnsi" w:cstheme="majorHAnsi"/>
          <w:sz w:val="18"/>
          <w:szCs w:val="20"/>
        </w:rPr>
        <w:tab/>
      </w:r>
      <w:r w:rsidRPr="0034571D">
        <w:rPr>
          <w:rFonts w:asciiTheme="majorHAnsi" w:hAnsiTheme="majorHAnsi" w:cstheme="majorHAnsi"/>
          <w:sz w:val="18"/>
          <w:szCs w:val="20"/>
        </w:rPr>
        <w:tab/>
        <w:t>Human resources</w:t>
      </w:r>
    </w:p>
    <w:p w14:paraId="49A0DF00" w14:textId="77777777" w:rsidR="008B233E" w:rsidRPr="0034571D" w:rsidRDefault="00736B2A" w:rsidP="009C58F2">
      <w:pPr>
        <w:spacing w:after="80"/>
        <w:ind w:left="1440" w:hanging="1440"/>
        <w:jc w:val="both"/>
        <w:rPr>
          <w:rFonts w:asciiTheme="majorHAnsi" w:hAnsiTheme="majorHAnsi" w:cstheme="majorHAnsi"/>
          <w:sz w:val="18"/>
          <w:szCs w:val="20"/>
        </w:rPr>
      </w:pPr>
      <w:r w:rsidRPr="0034571D">
        <w:rPr>
          <w:rFonts w:asciiTheme="majorHAnsi" w:hAnsiTheme="majorHAnsi" w:cstheme="majorHAnsi"/>
          <w:sz w:val="18"/>
          <w:szCs w:val="20"/>
        </w:rPr>
        <w:t>INS</w:t>
      </w:r>
      <w:r w:rsidRPr="0034571D">
        <w:rPr>
          <w:rFonts w:asciiTheme="majorHAnsi" w:hAnsiTheme="majorHAnsi" w:cstheme="majorHAnsi"/>
          <w:sz w:val="18"/>
          <w:szCs w:val="20"/>
        </w:rPr>
        <w:tab/>
      </w:r>
      <w:r w:rsidR="0034571D" w:rsidRPr="0034571D">
        <w:rPr>
          <w:rFonts w:asciiTheme="majorHAnsi" w:hAnsiTheme="majorHAnsi" w:cstheme="majorHAnsi"/>
          <w:i/>
          <w:sz w:val="18"/>
          <w:szCs w:val="20"/>
          <w:lang w:eastAsia="en-AU"/>
        </w:rPr>
        <w:t>Instituto Nasional Saude</w:t>
      </w:r>
      <w:r w:rsidR="0034571D" w:rsidRPr="0034571D">
        <w:rPr>
          <w:rFonts w:asciiTheme="majorHAnsi" w:hAnsiTheme="majorHAnsi"/>
          <w:sz w:val="18"/>
        </w:rPr>
        <w:t xml:space="preserve"> (</w:t>
      </w:r>
      <w:r w:rsidRPr="0034571D">
        <w:rPr>
          <w:rFonts w:asciiTheme="majorHAnsi" w:hAnsiTheme="majorHAnsi" w:cstheme="majorHAnsi"/>
          <w:sz w:val="18"/>
          <w:szCs w:val="20"/>
        </w:rPr>
        <w:t>National Institute of Health</w:t>
      </w:r>
      <w:r w:rsidR="0034571D" w:rsidRPr="0034571D">
        <w:rPr>
          <w:rFonts w:asciiTheme="majorHAnsi" w:hAnsiTheme="majorHAnsi" w:cstheme="majorHAnsi"/>
          <w:sz w:val="18"/>
          <w:szCs w:val="20"/>
        </w:rPr>
        <w:t>)</w:t>
      </w:r>
    </w:p>
    <w:p w14:paraId="3B97EF7F" w14:textId="77777777" w:rsidR="008B233E" w:rsidRDefault="008B233E" w:rsidP="009C58F2">
      <w:pPr>
        <w:spacing w:after="80"/>
        <w:ind w:left="1440" w:hanging="1440"/>
        <w:jc w:val="both"/>
        <w:rPr>
          <w:rStyle w:val="Heading1Char"/>
        </w:rPr>
      </w:pPr>
      <w:r w:rsidRPr="0034571D">
        <w:rPr>
          <w:rFonts w:asciiTheme="majorHAnsi" w:hAnsiTheme="majorHAnsi" w:cstheme="majorHAnsi"/>
          <w:sz w:val="18"/>
          <w:szCs w:val="20"/>
        </w:rPr>
        <w:t>IPA</w:t>
      </w:r>
      <w:r w:rsidR="00793F2A" w:rsidRPr="0034571D">
        <w:rPr>
          <w:rFonts w:asciiTheme="majorHAnsi" w:hAnsiTheme="majorHAnsi" w:cstheme="majorHAnsi"/>
          <w:sz w:val="18"/>
          <w:szCs w:val="20"/>
        </w:rPr>
        <w:tab/>
      </w:r>
      <w:r w:rsidR="003A45A2" w:rsidRPr="0034571D">
        <w:rPr>
          <w:rFonts w:asciiTheme="majorHAnsi" w:hAnsiTheme="majorHAnsi"/>
          <w:sz w:val="18"/>
        </w:rPr>
        <w:t>Improvement Plan of Action</w:t>
      </w:r>
      <w:r w:rsidR="003A45A2" w:rsidRPr="00267B79">
        <w:rPr>
          <w:rFonts w:asciiTheme="majorHAnsi" w:hAnsiTheme="majorHAnsi"/>
          <w:sz w:val="18"/>
        </w:rPr>
        <w:t xml:space="preserve"> </w:t>
      </w:r>
    </w:p>
    <w:p w14:paraId="4ECBB593"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IST</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In-service training</w:t>
      </w:r>
    </w:p>
    <w:p w14:paraId="7801AB74"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JSI</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John Snow International</w:t>
      </w:r>
    </w:p>
    <w:p w14:paraId="731B8649"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KEQ</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Key evaluation question</w:t>
      </w:r>
    </w:p>
    <w:p w14:paraId="01FB962F" w14:textId="77777777" w:rsidR="008B233E" w:rsidRDefault="008B233E" w:rsidP="009C58F2">
      <w:pPr>
        <w:spacing w:after="80"/>
        <w:ind w:left="1440" w:hanging="1440"/>
        <w:jc w:val="both"/>
        <w:rPr>
          <w:rStyle w:val="Heading1Char"/>
        </w:rPr>
      </w:pPr>
      <w:r w:rsidRPr="008B233E">
        <w:rPr>
          <w:rFonts w:asciiTheme="majorHAnsi" w:hAnsiTheme="majorHAnsi" w:cstheme="majorHAnsi"/>
          <w:sz w:val="18"/>
        </w:rPr>
        <w:t>KOICA</w:t>
      </w:r>
      <w:r w:rsidR="00793F2A" w:rsidRPr="00267B79">
        <w:rPr>
          <w:rFonts w:asciiTheme="majorHAnsi" w:hAnsiTheme="majorHAnsi" w:cstheme="majorHAnsi"/>
          <w:sz w:val="18"/>
        </w:rPr>
        <w:tab/>
      </w:r>
      <w:r w:rsidR="00736B2A" w:rsidRPr="00267B79">
        <w:rPr>
          <w:rFonts w:asciiTheme="majorHAnsi" w:hAnsiTheme="majorHAnsi" w:cstheme="majorHAnsi"/>
          <w:sz w:val="18"/>
        </w:rPr>
        <w:t xml:space="preserve">Korean International Cooperation Agency </w:t>
      </w:r>
    </w:p>
    <w:p w14:paraId="2BBD3FB3" w14:textId="77777777" w:rsidR="008B233E" w:rsidRDefault="00DD4AC8" w:rsidP="009C58F2">
      <w:pPr>
        <w:spacing w:after="80"/>
        <w:jc w:val="both"/>
        <w:rPr>
          <w:rFonts w:asciiTheme="majorHAnsi" w:hAnsiTheme="majorHAnsi" w:cstheme="majorHAnsi"/>
          <w:sz w:val="18"/>
          <w:szCs w:val="20"/>
        </w:rPr>
      </w:pPr>
      <w:r w:rsidRPr="00267B79">
        <w:rPr>
          <w:rFonts w:asciiTheme="majorHAnsi" w:hAnsiTheme="majorHAnsi" w:cstheme="majorHAnsi"/>
          <w:sz w:val="18"/>
          <w:szCs w:val="20"/>
        </w:rPr>
        <w:t>KPI</w:t>
      </w:r>
      <w:r w:rsidRPr="00267B79">
        <w:rPr>
          <w:rFonts w:asciiTheme="majorHAnsi" w:hAnsiTheme="majorHAnsi" w:cstheme="majorHAnsi"/>
          <w:sz w:val="18"/>
          <w:szCs w:val="20"/>
        </w:rPr>
        <w:tab/>
      </w:r>
      <w:r w:rsidRPr="00267B79">
        <w:rPr>
          <w:rFonts w:asciiTheme="majorHAnsi" w:hAnsiTheme="majorHAnsi" w:cstheme="majorHAnsi"/>
          <w:sz w:val="18"/>
          <w:szCs w:val="20"/>
        </w:rPr>
        <w:tab/>
        <w:t>Key performance indicator</w:t>
      </w:r>
    </w:p>
    <w:p w14:paraId="16417978" w14:textId="77777777" w:rsidR="008B233E" w:rsidRDefault="00736B2A" w:rsidP="009C58F2">
      <w:pPr>
        <w:spacing w:after="80"/>
        <w:jc w:val="both"/>
        <w:rPr>
          <w:rFonts w:asciiTheme="majorHAnsi" w:hAnsiTheme="majorHAnsi" w:cstheme="majorHAnsi"/>
          <w:sz w:val="18"/>
          <w:szCs w:val="20"/>
        </w:rPr>
      </w:pPr>
      <w:r w:rsidRPr="00267B79">
        <w:rPr>
          <w:rFonts w:asciiTheme="majorHAnsi" w:hAnsiTheme="majorHAnsi" w:cstheme="majorHAnsi"/>
          <w:sz w:val="18"/>
          <w:szCs w:val="20"/>
        </w:rPr>
        <w:t>MCH</w:t>
      </w:r>
      <w:r w:rsidRPr="00267B79">
        <w:rPr>
          <w:rFonts w:asciiTheme="majorHAnsi" w:hAnsiTheme="majorHAnsi" w:cstheme="majorHAnsi"/>
          <w:sz w:val="18"/>
          <w:szCs w:val="20"/>
        </w:rPr>
        <w:tab/>
      </w:r>
      <w:r w:rsidRPr="00267B79">
        <w:rPr>
          <w:rFonts w:asciiTheme="majorHAnsi" w:hAnsiTheme="majorHAnsi" w:cstheme="majorHAnsi"/>
          <w:sz w:val="18"/>
          <w:szCs w:val="20"/>
        </w:rPr>
        <w:tab/>
        <w:t>Maternal and child health</w:t>
      </w:r>
    </w:p>
    <w:p w14:paraId="68DDA6FD"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 xml:space="preserve">M&amp;E </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Monitoring and evaluation</w:t>
      </w:r>
    </w:p>
    <w:p w14:paraId="1A5C332B" w14:textId="77777777" w:rsidR="008B233E" w:rsidRDefault="00736B2A" w:rsidP="009C58F2">
      <w:pPr>
        <w:spacing w:after="80"/>
        <w:jc w:val="both"/>
        <w:rPr>
          <w:rFonts w:asciiTheme="majorHAnsi" w:hAnsiTheme="majorHAnsi" w:cstheme="majorHAnsi"/>
          <w:sz w:val="18"/>
          <w:szCs w:val="20"/>
        </w:rPr>
      </w:pPr>
      <w:r w:rsidRPr="00267B79">
        <w:rPr>
          <w:rFonts w:asciiTheme="majorHAnsi" w:hAnsiTheme="majorHAnsi" w:cstheme="majorHAnsi"/>
          <w:sz w:val="18"/>
          <w:szCs w:val="20"/>
        </w:rPr>
        <w:t>MDA</w:t>
      </w:r>
      <w:r w:rsidRPr="00267B79">
        <w:rPr>
          <w:rFonts w:asciiTheme="majorHAnsi" w:hAnsiTheme="majorHAnsi" w:cstheme="majorHAnsi"/>
          <w:sz w:val="18"/>
          <w:szCs w:val="20"/>
        </w:rPr>
        <w:tab/>
      </w:r>
      <w:r w:rsidRPr="00267B79">
        <w:rPr>
          <w:rFonts w:asciiTheme="majorHAnsi" w:hAnsiTheme="majorHAnsi" w:cstheme="majorHAnsi"/>
          <w:sz w:val="18"/>
          <w:szCs w:val="20"/>
        </w:rPr>
        <w:tab/>
        <w:t>Maternal death audit</w:t>
      </w:r>
    </w:p>
    <w:p w14:paraId="5E23CABE" w14:textId="77777777" w:rsidR="008B233E" w:rsidRDefault="00793F2A" w:rsidP="009C58F2">
      <w:pPr>
        <w:spacing w:after="80"/>
        <w:ind w:left="1440" w:hanging="1440"/>
        <w:jc w:val="both"/>
        <w:rPr>
          <w:rStyle w:val="Heading1Char"/>
        </w:rPr>
      </w:pPr>
      <w:r w:rsidRPr="00267B79">
        <w:rPr>
          <w:rStyle w:val="Heading1Char"/>
          <w:b w:val="0"/>
          <w:color w:val="auto"/>
          <w:sz w:val="18"/>
        </w:rPr>
        <w:t>MDSR</w:t>
      </w:r>
      <w:r w:rsidRPr="00267B79">
        <w:rPr>
          <w:rStyle w:val="Heading1Char"/>
          <w:b w:val="0"/>
          <w:color w:val="auto"/>
          <w:sz w:val="18"/>
        </w:rPr>
        <w:tab/>
      </w:r>
      <w:r w:rsidR="00736B2A" w:rsidRPr="00267B79">
        <w:rPr>
          <w:rStyle w:val="Heading1Char"/>
          <w:b w:val="0"/>
          <w:color w:val="auto"/>
          <w:sz w:val="18"/>
        </w:rPr>
        <w:t>Maternal death surveillance and response</w:t>
      </w:r>
    </w:p>
    <w:p w14:paraId="1E25B7DD" w14:textId="77777777" w:rsidR="008B233E" w:rsidRDefault="0023275F" w:rsidP="009C58F2">
      <w:pPr>
        <w:spacing w:after="80"/>
        <w:ind w:left="1440" w:hanging="1440"/>
        <w:jc w:val="both"/>
        <w:rPr>
          <w:rStyle w:val="Heading1Char"/>
        </w:rPr>
      </w:pPr>
      <w:r w:rsidRPr="00267B79">
        <w:rPr>
          <w:rStyle w:val="Heading1Char"/>
          <w:b w:val="0"/>
          <w:color w:val="auto"/>
          <w:sz w:val="18"/>
        </w:rPr>
        <w:t>MELF</w:t>
      </w:r>
      <w:r w:rsidRPr="00267B79">
        <w:rPr>
          <w:rStyle w:val="Heading1Char"/>
          <w:b w:val="0"/>
          <w:color w:val="auto"/>
          <w:sz w:val="18"/>
        </w:rPr>
        <w:tab/>
        <w:t>M&amp;E and Learning Framework</w:t>
      </w:r>
    </w:p>
    <w:p w14:paraId="280B4EC9" w14:textId="77777777" w:rsidR="008B233E" w:rsidRDefault="00791AEC" w:rsidP="009C58F2">
      <w:pPr>
        <w:spacing w:after="80"/>
        <w:jc w:val="both"/>
        <w:rPr>
          <w:rStyle w:val="Heading1Char"/>
        </w:rPr>
      </w:pPr>
      <w:r w:rsidRPr="00267B79">
        <w:rPr>
          <w:rStyle w:val="Heading1Char"/>
          <w:b w:val="0"/>
          <w:color w:val="auto"/>
          <w:sz w:val="18"/>
        </w:rPr>
        <w:t>MFV</w:t>
      </w:r>
      <w:r w:rsidRPr="00267B79">
        <w:rPr>
          <w:rStyle w:val="Heading1Char"/>
          <w:b w:val="0"/>
          <w:color w:val="auto"/>
          <w:sz w:val="18"/>
        </w:rPr>
        <w:tab/>
      </w:r>
      <w:r w:rsidRPr="00267B79">
        <w:rPr>
          <w:rStyle w:val="Heading1Char"/>
          <w:b w:val="0"/>
          <w:color w:val="auto"/>
          <w:sz w:val="18"/>
        </w:rPr>
        <w:tab/>
        <w:t>Multi-function vehicle</w:t>
      </w:r>
    </w:p>
    <w:p w14:paraId="54DA4305"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MOH</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Ministry of Health</w:t>
      </w:r>
    </w:p>
    <w:p w14:paraId="5449F407"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MSG</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Mother support group</w:t>
      </w:r>
    </w:p>
    <w:p w14:paraId="342388E2"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MSTL</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Marie Stopes Timor-Leste</w:t>
      </w:r>
    </w:p>
    <w:p w14:paraId="524725DC" w14:textId="77777777" w:rsidR="008B233E" w:rsidRDefault="00736B2A" w:rsidP="009C58F2">
      <w:pPr>
        <w:spacing w:after="80"/>
        <w:jc w:val="both"/>
        <w:rPr>
          <w:rFonts w:asciiTheme="majorHAnsi" w:hAnsiTheme="majorHAnsi" w:cstheme="majorHAnsi"/>
          <w:sz w:val="18"/>
          <w:szCs w:val="20"/>
        </w:rPr>
      </w:pPr>
      <w:r w:rsidRPr="00267B79">
        <w:rPr>
          <w:rFonts w:asciiTheme="majorHAnsi" w:hAnsiTheme="majorHAnsi" w:cstheme="majorHAnsi"/>
          <w:sz w:val="18"/>
          <w:szCs w:val="20"/>
        </w:rPr>
        <w:t>NGO</w:t>
      </w:r>
      <w:r w:rsidRPr="00267B79">
        <w:rPr>
          <w:rFonts w:asciiTheme="majorHAnsi" w:hAnsiTheme="majorHAnsi" w:cstheme="majorHAnsi"/>
          <w:sz w:val="18"/>
          <w:szCs w:val="20"/>
        </w:rPr>
        <w:tab/>
      </w:r>
      <w:r w:rsidRPr="00267B79">
        <w:rPr>
          <w:rFonts w:asciiTheme="majorHAnsi" w:hAnsiTheme="majorHAnsi" w:cstheme="majorHAnsi"/>
          <w:sz w:val="18"/>
          <w:szCs w:val="20"/>
        </w:rPr>
        <w:tab/>
        <w:t>Non-government organisation</w:t>
      </w:r>
    </w:p>
    <w:p w14:paraId="0E844802" w14:textId="77777777" w:rsidR="008B233E" w:rsidRDefault="00793F2A" w:rsidP="009C58F2">
      <w:pPr>
        <w:spacing w:after="80"/>
        <w:ind w:left="1440" w:hanging="1440"/>
        <w:jc w:val="both"/>
        <w:rPr>
          <w:rFonts w:asciiTheme="majorHAnsi" w:hAnsiTheme="majorHAnsi" w:cstheme="majorHAnsi"/>
          <w:sz w:val="18"/>
          <w:szCs w:val="20"/>
        </w:rPr>
      </w:pPr>
      <w:r w:rsidRPr="00267B79">
        <w:rPr>
          <w:rFonts w:asciiTheme="majorHAnsi" w:hAnsiTheme="majorHAnsi" w:cstheme="majorHAnsi"/>
          <w:sz w:val="18"/>
          <w:szCs w:val="20"/>
        </w:rPr>
        <w:t>NHSSP</w:t>
      </w:r>
      <w:r w:rsidRPr="00267B79">
        <w:rPr>
          <w:rFonts w:asciiTheme="majorHAnsi" w:hAnsiTheme="majorHAnsi" w:cstheme="majorHAnsi"/>
          <w:sz w:val="18"/>
          <w:szCs w:val="20"/>
        </w:rPr>
        <w:tab/>
      </w:r>
      <w:r w:rsidR="00736B2A" w:rsidRPr="00267B79">
        <w:rPr>
          <w:rFonts w:asciiTheme="majorHAnsi" w:hAnsiTheme="majorHAnsi" w:cstheme="majorHAnsi"/>
          <w:sz w:val="18"/>
          <w:szCs w:val="20"/>
        </w:rPr>
        <w:t>National Health Sector Strategic Plan, 2011-2030</w:t>
      </w:r>
    </w:p>
    <w:p w14:paraId="03CB3B76"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PFM</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Public financial management</w:t>
      </w:r>
    </w:p>
    <w:p w14:paraId="26B4E354" w14:textId="77777777" w:rsidR="008B233E" w:rsidRDefault="00793F2A" w:rsidP="009C58F2">
      <w:pPr>
        <w:spacing w:after="80"/>
        <w:ind w:left="1440" w:hanging="1440"/>
        <w:jc w:val="both"/>
        <w:rPr>
          <w:rStyle w:val="Heading1Char"/>
        </w:rPr>
      </w:pPr>
      <w:r w:rsidRPr="00267B79">
        <w:rPr>
          <w:rStyle w:val="Heading1Char"/>
          <w:rFonts w:cstheme="majorHAnsi"/>
          <w:b w:val="0"/>
          <w:color w:val="auto"/>
          <w:sz w:val="18"/>
          <w:szCs w:val="20"/>
        </w:rPr>
        <w:t>PHD</w:t>
      </w:r>
      <w:r w:rsidRPr="00267B79">
        <w:rPr>
          <w:rStyle w:val="Heading1Char"/>
          <w:rFonts w:cstheme="majorHAnsi"/>
          <w:b w:val="0"/>
          <w:color w:val="auto"/>
          <w:sz w:val="18"/>
          <w:szCs w:val="20"/>
        </w:rPr>
        <w:tab/>
      </w:r>
      <w:r w:rsidR="00736B2A" w:rsidRPr="00267B79">
        <w:rPr>
          <w:rStyle w:val="Heading1Char"/>
          <w:rFonts w:cstheme="majorHAnsi"/>
          <w:b w:val="0"/>
          <w:color w:val="auto"/>
          <w:sz w:val="18"/>
          <w:szCs w:val="20"/>
        </w:rPr>
        <w:t>Partnership for Human Development</w:t>
      </w:r>
    </w:p>
    <w:p w14:paraId="0481CF9B"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PNC</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Post-natal care</w:t>
      </w:r>
    </w:p>
    <w:p w14:paraId="030628BB"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PST</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Pre-service training</w:t>
      </w:r>
    </w:p>
    <w:p w14:paraId="1E5542FC" w14:textId="77777777" w:rsidR="008B233E" w:rsidRDefault="00736B2A" w:rsidP="009C58F2">
      <w:pPr>
        <w:spacing w:after="80"/>
        <w:ind w:left="1440" w:hanging="1440"/>
        <w:jc w:val="both"/>
        <w:rPr>
          <w:rStyle w:val="Heading1Char"/>
        </w:rPr>
      </w:pPr>
      <w:r w:rsidRPr="00267B79">
        <w:rPr>
          <w:rStyle w:val="Heading1Char"/>
          <w:rFonts w:cstheme="majorHAnsi"/>
          <w:b w:val="0"/>
          <w:color w:val="auto"/>
          <w:sz w:val="18"/>
          <w:szCs w:val="20"/>
        </w:rPr>
        <w:t>RACS</w:t>
      </w:r>
      <w:r w:rsidR="00793F2A" w:rsidRPr="00267B79">
        <w:rPr>
          <w:rStyle w:val="Heading1Char"/>
          <w:rFonts w:cstheme="majorHAnsi"/>
          <w:b w:val="0"/>
          <w:color w:val="auto"/>
          <w:sz w:val="18"/>
          <w:szCs w:val="20"/>
        </w:rPr>
        <w:tab/>
      </w:r>
      <w:r w:rsidRPr="00267B79">
        <w:rPr>
          <w:rStyle w:val="Heading1Char"/>
          <w:rFonts w:cstheme="majorHAnsi"/>
          <w:b w:val="0"/>
          <w:color w:val="auto"/>
          <w:sz w:val="18"/>
          <w:szCs w:val="20"/>
        </w:rPr>
        <w:t>Royal Australasian College of Surgeons</w:t>
      </w:r>
    </w:p>
    <w:p w14:paraId="47F7881A" w14:textId="77777777" w:rsidR="008B233E" w:rsidRDefault="00793F2A" w:rsidP="009C58F2">
      <w:pPr>
        <w:spacing w:after="80"/>
        <w:ind w:left="1440" w:hanging="1440"/>
        <w:jc w:val="both"/>
        <w:rPr>
          <w:rStyle w:val="Heading1Char"/>
        </w:rPr>
      </w:pPr>
      <w:r w:rsidRPr="00267B79">
        <w:rPr>
          <w:rStyle w:val="Heading1Char"/>
          <w:rFonts w:cstheme="majorHAnsi"/>
          <w:b w:val="0"/>
          <w:color w:val="auto"/>
          <w:sz w:val="18"/>
          <w:szCs w:val="20"/>
        </w:rPr>
        <w:t>RMNCH</w:t>
      </w:r>
      <w:r w:rsidRPr="00267B79">
        <w:rPr>
          <w:rStyle w:val="Heading1Char"/>
          <w:rFonts w:cstheme="majorHAnsi"/>
          <w:b w:val="0"/>
          <w:color w:val="auto"/>
          <w:sz w:val="18"/>
          <w:szCs w:val="20"/>
        </w:rPr>
        <w:tab/>
      </w:r>
      <w:r w:rsidR="00736B2A" w:rsidRPr="00267B79">
        <w:rPr>
          <w:rStyle w:val="Heading1Char"/>
          <w:rFonts w:cstheme="majorHAnsi"/>
          <w:b w:val="0"/>
          <w:color w:val="auto"/>
          <w:sz w:val="18"/>
          <w:szCs w:val="20"/>
        </w:rPr>
        <w:t>Reproductive, Maternal, Neonatal and Child Health</w:t>
      </w:r>
    </w:p>
    <w:p w14:paraId="7E2D3405" w14:textId="77777777" w:rsidR="008B233E" w:rsidRPr="00151BF4" w:rsidRDefault="00736B2A" w:rsidP="009C58F2">
      <w:pPr>
        <w:spacing w:after="80"/>
        <w:ind w:left="1440" w:hanging="1440"/>
        <w:jc w:val="both"/>
        <w:rPr>
          <w:rStyle w:val="Heading1Char"/>
          <w:lang w:val="fr-FR"/>
        </w:rPr>
      </w:pPr>
      <w:r w:rsidRPr="00267B79">
        <w:rPr>
          <w:rStyle w:val="Heading1Char"/>
          <w:rFonts w:cstheme="majorHAnsi"/>
          <w:b w:val="0"/>
          <w:color w:val="auto"/>
          <w:sz w:val="18"/>
          <w:szCs w:val="20"/>
          <w:lang w:val="fr-FR"/>
        </w:rPr>
        <w:t>SAMES</w:t>
      </w:r>
      <w:r w:rsidRPr="00267B79">
        <w:rPr>
          <w:rStyle w:val="Heading1Char"/>
          <w:rFonts w:cstheme="majorHAnsi"/>
          <w:b w:val="0"/>
          <w:color w:val="auto"/>
          <w:sz w:val="18"/>
          <w:szCs w:val="20"/>
          <w:lang w:val="fr-FR"/>
        </w:rPr>
        <w:tab/>
      </w:r>
      <w:r w:rsidRPr="00267B79">
        <w:rPr>
          <w:rFonts w:asciiTheme="majorHAnsi" w:hAnsiTheme="majorHAnsi" w:cstheme="majorHAnsi"/>
          <w:i/>
          <w:iCs/>
          <w:sz w:val="18"/>
          <w:szCs w:val="20"/>
          <w:lang w:val="fr-FR"/>
        </w:rPr>
        <w:t>Servicio Autonomo de Medicamentos e Equipamentos de Saude</w:t>
      </w:r>
    </w:p>
    <w:p w14:paraId="27319735"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SBA</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Skilled birth attendant</w:t>
      </w:r>
    </w:p>
    <w:p w14:paraId="34829B9B"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SCD</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Safe and clean delivery</w:t>
      </w:r>
    </w:p>
    <w:p w14:paraId="11984A80" w14:textId="77777777" w:rsidR="008B233E" w:rsidRDefault="00736B2A" w:rsidP="009C58F2">
      <w:pPr>
        <w:spacing w:after="80"/>
        <w:ind w:left="1440" w:hanging="1440"/>
        <w:jc w:val="both"/>
        <w:rPr>
          <w:rStyle w:val="Heading1Char"/>
        </w:rPr>
      </w:pPr>
      <w:r w:rsidRPr="00267B79">
        <w:rPr>
          <w:rStyle w:val="Heading1Char"/>
          <w:rFonts w:cstheme="majorHAnsi"/>
          <w:b w:val="0"/>
          <w:color w:val="auto"/>
          <w:sz w:val="18"/>
          <w:szCs w:val="20"/>
        </w:rPr>
        <w:t>SISCa</w:t>
      </w:r>
      <w:r w:rsidRPr="00267B79">
        <w:rPr>
          <w:rStyle w:val="Heading1Char"/>
          <w:rFonts w:cstheme="majorHAnsi"/>
          <w:b w:val="0"/>
          <w:color w:val="auto"/>
          <w:sz w:val="18"/>
          <w:szCs w:val="20"/>
        </w:rPr>
        <w:tab/>
      </w:r>
      <w:r w:rsidR="004B6FB4" w:rsidRPr="00267B79">
        <w:rPr>
          <w:rFonts w:asciiTheme="majorHAnsi" w:hAnsiTheme="majorHAnsi" w:cs="Arial"/>
          <w:i/>
          <w:sz w:val="18"/>
        </w:rPr>
        <w:t>Sistema Integradu Saude Communita</w:t>
      </w:r>
      <w:r w:rsidR="004A181B">
        <w:rPr>
          <w:rFonts w:asciiTheme="majorHAnsi" w:hAnsiTheme="majorHAnsi" w:cs="Arial"/>
          <w:i/>
          <w:sz w:val="18"/>
        </w:rPr>
        <w:t>ria</w:t>
      </w:r>
    </w:p>
    <w:p w14:paraId="1A6EC507"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SnF</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r>
      <w:r w:rsidRPr="00267B79">
        <w:rPr>
          <w:rStyle w:val="Heading1Char"/>
          <w:rFonts w:cstheme="majorHAnsi"/>
          <w:b w:val="0"/>
          <w:i/>
          <w:color w:val="auto"/>
          <w:sz w:val="18"/>
          <w:szCs w:val="20"/>
        </w:rPr>
        <w:t>Saude na Familia</w:t>
      </w:r>
    </w:p>
    <w:p w14:paraId="26895DAF" w14:textId="77777777" w:rsidR="008B233E" w:rsidRDefault="008B233E" w:rsidP="009C58F2">
      <w:pPr>
        <w:spacing w:after="80"/>
        <w:jc w:val="both"/>
        <w:rPr>
          <w:rStyle w:val="Heading1Char"/>
        </w:rPr>
      </w:pPr>
      <w:r w:rsidRPr="008B233E">
        <w:rPr>
          <w:rFonts w:asciiTheme="majorHAnsi" w:hAnsiTheme="majorHAnsi"/>
          <w:sz w:val="18"/>
        </w:rPr>
        <w:t>STG</w:t>
      </w:r>
      <w:r w:rsidR="00736B2A" w:rsidRPr="00267B79">
        <w:rPr>
          <w:rFonts w:asciiTheme="majorHAnsi" w:hAnsiTheme="majorHAnsi"/>
          <w:sz w:val="18"/>
        </w:rPr>
        <w:tab/>
      </w:r>
      <w:r w:rsidR="00736B2A" w:rsidRPr="00267B79">
        <w:rPr>
          <w:rFonts w:asciiTheme="majorHAnsi" w:hAnsiTheme="majorHAnsi"/>
          <w:sz w:val="18"/>
        </w:rPr>
        <w:tab/>
        <w:t>Standard treatment guideline</w:t>
      </w:r>
    </w:p>
    <w:p w14:paraId="7EDBC8A1"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TA</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Technical assistance</w:t>
      </w:r>
    </w:p>
    <w:p w14:paraId="50ACC252"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TL</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Timor-Leste</w:t>
      </w:r>
    </w:p>
    <w:p w14:paraId="0EA7AB1E" w14:textId="77777777" w:rsidR="008B233E" w:rsidRDefault="008B233E" w:rsidP="009C58F2">
      <w:pPr>
        <w:spacing w:after="80"/>
        <w:ind w:left="1440" w:hanging="1440"/>
        <w:jc w:val="both"/>
        <w:rPr>
          <w:rStyle w:val="Heading1Char"/>
        </w:rPr>
      </w:pPr>
      <w:r w:rsidRPr="008B233E">
        <w:rPr>
          <w:rFonts w:asciiTheme="majorHAnsi" w:hAnsiTheme="majorHAnsi" w:cstheme="majorHAnsi"/>
          <w:sz w:val="18"/>
          <w:szCs w:val="20"/>
        </w:rPr>
        <w:t>TLHIS</w:t>
      </w:r>
      <w:r w:rsidR="00736B2A" w:rsidRPr="00267B79">
        <w:rPr>
          <w:rFonts w:asciiTheme="majorHAnsi" w:hAnsiTheme="majorHAnsi" w:cstheme="majorHAnsi"/>
          <w:sz w:val="18"/>
          <w:szCs w:val="20"/>
        </w:rPr>
        <w:tab/>
      </w:r>
      <w:r w:rsidR="00B5355B" w:rsidRPr="00267B79">
        <w:rPr>
          <w:rStyle w:val="Heading1Char"/>
          <w:rFonts w:cstheme="majorHAnsi"/>
          <w:b w:val="0"/>
          <w:color w:val="auto"/>
          <w:sz w:val="18"/>
          <w:szCs w:val="20"/>
        </w:rPr>
        <w:t>TL</w:t>
      </w:r>
      <w:r w:rsidR="00736B2A" w:rsidRPr="00267B79">
        <w:rPr>
          <w:rStyle w:val="Heading1Char"/>
          <w:rFonts w:cstheme="majorHAnsi"/>
          <w:b w:val="0"/>
          <w:color w:val="auto"/>
          <w:sz w:val="18"/>
          <w:szCs w:val="20"/>
        </w:rPr>
        <w:t xml:space="preserve"> Health Information System</w:t>
      </w:r>
    </w:p>
    <w:p w14:paraId="515C63E1" w14:textId="77777777" w:rsidR="008B233E" w:rsidRDefault="00B5355B" w:rsidP="009C58F2">
      <w:pPr>
        <w:spacing w:after="80"/>
        <w:ind w:left="1440" w:hanging="1440"/>
        <w:jc w:val="both"/>
        <w:rPr>
          <w:rStyle w:val="Heading1Char"/>
        </w:rPr>
      </w:pPr>
      <w:r w:rsidRPr="00267B79">
        <w:rPr>
          <w:rStyle w:val="Heading1Char"/>
          <w:rFonts w:cstheme="majorHAnsi"/>
          <w:b w:val="0"/>
          <w:color w:val="auto"/>
          <w:sz w:val="18"/>
          <w:szCs w:val="20"/>
        </w:rPr>
        <w:t>UN</w:t>
      </w:r>
      <w:r w:rsidRPr="00267B79">
        <w:rPr>
          <w:rStyle w:val="Heading1Char"/>
          <w:rFonts w:cstheme="majorHAnsi"/>
          <w:b w:val="0"/>
          <w:color w:val="auto"/>
          <w:sz w:val="18"/>
          <w:szCs w:val="20"/>
        </w:rPr>
        <w:tab/>
        <w:t>United Nations</w:t>
      </w:r>
    </w:p>
    <w:p w14:paraId="6070A19A" w14:textId="77777777" w:rsidR="008B233E" w:rsidRDefault="00793F2A" w:rsidP="009C58F2">
      <w:pPr>
        <w:spacing w:after="80"/>
        <w:ind w:left="1440" w:hanging="1440"/>
        <w:jc w:val="both"/>
        <w:rPr>
          <w:rStyle w:val="Heading1Char"/>
        </w:rPr>
      </w:pPr>
      <w:r w:rsidRPr="00267B79">
        <w:rPr>
          <w:rStyle w:val="Heading1Char"/>
          <w:rFonts w:cstheme="majorHAnsi"/>
          <w:b w:val="0"/>
          <w:color w:val="auto"/>
          <w:sz w:val="18"/>
          <w:szCs w:val="20"/>
        </w:rPr>
        <w:t>UNFPA</w:t>
      </w:r>
      <w:r w:rsidRPr="00267B79">
        <w:rPr>
          <w:rStyle w:val="Heading1Char"/>
          <w:rFonts w:cstheme="majorHAnsi"/>
          <w:b w:val="0"/>
          <w:color w:val="auto"/>
          <w:sz w:val="18"/>
          <w:szCs w:val="20"/>
        </w:rPr>
        <w:tab/>
      </w:r>
      <w:r w:rsidR="00B5355B" w:rsidRPr="00267B79">
        <w:rPr>
          <w:rStyle w:val="Heading1Char"/>
          <w:rFonts w:cstheme="majorHAnsi"/>
          <w:b w:val="0"/>
          <w:color w:val="auto"/>
          <w:sz w:val="18"/>
          <w:szCs w:val="20"/>
        </w:rPr>
        <w:t>UN</w:t>
      </w:r>
      <w:r w:rsidR="00736B2A" w:rsidRPr="00267B79">
        <w:rPr>
          <w:rStyle w:val="Heading1Char"/>
          <w:rFonts w:cstheme="majorHAnsi"/>
          <w:b w:val="0"/>
          <w:color w:val="auto"/>
          <w:sz w:val="18"/>
          <w:szCs w:val="20"/>
        </w:rPr>
        <w:t xml:space="preserve"> Fund for Population Activities</w:t>
      </w:r>
    </w:p>
    <w:p w14:paraId="5BF47C3E" w14:textId="77777777" w:rsidR="008B233E" w:rsidRDefault="00736B2A" w:rsidP="009C58F2">
      <w:pPr>
        <w:spacing w:after="80"/>
        <w:jc w:val="both"/>
        <w:rPr>
          <w:rStyle w:val="Heading1Char"/>
        </w:rPr>
      </w:pPr>
      <w:r w:rsidRPr="00267B79">
        <w:rPr>
          <w:rStyle w:val="Heading1Char"/>
          <w:rFonts w:cstheme="majorHAnsi"/>
          <w:b w:val="0"/>
          <w:color w:val="auto"/>
          <w:sz w:val="18"/>
          <w:szCs w:val="20"/>
        </w:rPr>
        <w:t>UNICEF</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 xml:space="preserve">United Nations Children’s Fund </w:t>
      </w:r>
    </w:p>
    <w:p w14:paraId="4D4F348F" w14:textId="77777777" w:rsidR="008B233E" w:rsidRDefault="00793F2A" w:rsidP="009C58F2">
      <w:pPr>
        <w:spacing w:after="80"/>
        <w:ind w:left="1440" w:hanging="1440"/>
        <w:jc w:val="both"/>
        <w:rPr>
          <w:rStyle w:val="Heading1Char"/>
        </w:rPr>
      </w:pPr>
      <w:r w:rsidRPr="00267B79">
        <w:rPr>
          <w:rStyle w:val="Heading1Char"/>
          <w:rFonts w:cstheme="majorHAnsi"/>
          <w:b w:val="0"/>
          <w:color w:val="auto"/>
          <w:sz w:val="18"/>
          <w:szCs w:val="20"/>
        </w:rPr>
        <w:t>UNTL</w:t>
      </w:r>
      <w:r w:rsidRPr="00267B79">
        <w:rPr>
          <w:rStyle w:val="Heading1Char"/>
          <w:rFonts w:cstheme="majorHAnsi"/>
          <w:b w:val="0"/>
          <w:color w:val="auto"/>
          <w:sz w:val="18"/>
          <w:szCs w:val="20"/>
        </w:rPr>
        <w:tab/>
      </w:r>
      <w:r w:rsidR="00736B2A" w:rsidRPr="00267B79">
        <w:rPr>
          <w:rStyle w:val="Heading1Char"/>
          <w:rFonts w:cstheme="majorHAnsi"/>
          <w:b w:val="0"/>
          <w:color w:val="auto"/>
          <w:sz w:val="18"/>
          <w:szCs w:val="20"/>
        </w:rPr>
        <w:t>National University of Timor-Leste</w:t>
      </w:r>
    </w:p>
    <w:p w14:paraId="72A02A36" w14:textId="77777777" w:rsidR="008B233E" w:rsidRDefault="008B233E" w:rsidP="009C58F2">
      <w:pPr>
        <w:spacing w:after="80"/>
        <w:jc w:val="both"/>
        <w:rPr>
          <w:rStyle w:val="Heading1Char"/>
        </w:rPr>
      </w:pPr>
      <w:r w:rsidRPr="008B233E">
        <w:rPr>
          <w:rFonts w:asciiTheme="majorHAnsi" w:hAnsiTheme="majorHAnsi" w:cstheme="majorHAnsi"/>
          <w:sz w:val="18"/>
          <w:lang w:eastAsia="en-AU"/>
        </w:rPr>
        <w:t>WASH</w:t>
      </w:r>
      <w:r w:rsidR="00736B2A" w:rsidRPr="00267B79">
        <w:rPr>
          <w:rFonts w:asciiTheme="majorHAnsi" w:hAnsiTheme="majorHAnsi" w:cstheme="majorHAnsi"/>
          <w:sz w:val="18"/>
          <w:lang w:eastAsia="en-AU"/>
        </w:rPr>
        <w:tab/>
      </w:r>
      <w:r w:rsidR="00736B2A" w:rsidRPr="00267B79">
        <w:rPr>
          <w:rFonts w:asciiTheme="majorHAnsi" w:hAnsiTheme="majorHAnsi" w:cstheme="majorHAnsi"/>
          <w:sz w:val="18"/>
          <w:lang w:eastAsia="en-AU"/>
        </w:rPr>
        <w:tab/>
        <w:t>Water/Sanitation/Hygiene</w:t>
      </w:r>
    </w:p>
    <w:p w14:paraId="058058C6" w14:textId="77777777" w:rsidR="008B233E" w:rsidRPr="00654724" w:rsidRDefault="00736B2A" w:rsidP="009C58F2">
      <w:pPr>
        <w:spacing w:after="80"/>
        <w:jc w:val="both"/>
        <w:rPr>
          <w:rFonts w:asciiTheme="majorHAnsi" w:eastAsiaTheme="majorEastAsia" w:hAnsiTheme="majorHAnsi" w:cstheme="majorBidi"/>
          <w:bCs/>
          <w:sz w:val="18"/>
          <w:szCs w:val="28"/>
          <w:lang w:val="en-AU"/>
        </w:rPr>
        <w:sectPr w:rsidR="008B233E" w:rsidRPr="00654724">
          <w:type w:val="continuous"/>
          <w:pgSz w:w="11900" w:h="16840"/>
          <w:pgMar w:top="1440" w:right="1800" w:bottom="1440" w:left="1800" w:header="708" w:footer="708" w:gutter="0"/>
          <w:cols w:num="2" w:space="720"/>
        </w:sectPr>
      </w:pPr>
      <w:r w:rsidRPr="00267B79">
        <w:rPr>
          <w:rStyle w:val="Heading1Char"/>
          <w:rFonts w:cstheme="majorHAnsi"/>
          <w:b w:val="0"/>
          <w:color w:val="auto"/>
          <w:sz w:val="18"/>
          <w:szCs w:val="20"/>
        </w:rPr>
        <w:t>WHO</w:t>
      </w:r>
      <w:r w:rsidRPr="00267B79">
        <w:rPr>
          <w:rStyle w:val="Heading1Char"/>
          <w:rFonts w:cstheme="majorHAnsi"/>
          <w:b w:val="0"/>
          <w:color w:val="auto"/>
          <w:sz w:val="18"/>
          <w:szCs w:val="20"/>
        </w:rPr>
        <w:tab/>
      </w:r>
      <w:r w:rsidRPr="00267B79">
        <w:rPr>
          <w:rStyle w:val="Heading1Char"/>
          <w:rFonts w:cstheme="majorHAnsi"/>
          <w:b w:val="0"/>
          <w:color w:val="auto"/>
          <w:sz w:val="18"/>
          <w:szCs w:val="20"/>
        </w:rPr>
        <w:tab/>
        <w:t>World Health Organization</w:t>
      </w:r>
    </w:p>
    <w:p w14:paraId="27DA60D9" w14:textId="77777777" w:rsidR="008B233E" w:rsidRPr="009259A2" w:rsidRDefault="008B233E" w:rsidP="00987FFD">
      <w:pPr>
        <w:rPr>
          <w:rFonts w:asciiTheme="majorHAnsi" w:hAnsiTheme="majorHAnsi"/>
        </w:rPr>
      </w:pPr>
    </w:p>
    <w:p w14:paraId="7FC23228" w14:textId="77777777" w:rsidR="00C974B8" w:rsidRDefault="00C974B8" w:rsidP="00C85D03">
      <w:pPr>
        <w:jc w:val="both"/>
        <w:rPr>
          <w:rFonts w:asciiTheme="majorHAnsi" w:eastAsiaTheme="majorEastAsia" w:hAnsiTheme="majorHAnsi" w:cstheme="majorBidi"/>
          <w:b/>
          <w:bCs/>
          <w:color w:val="365F91" w:themeColor="accent1" w:themeShade="BF"/>
          <w:sz w:val="28"/>
          <w:szCs w:val="28"/>
          <w:lang w:val="en-AU"/>
        </w:rPr>
      </w:pPr>
      <w:r>
        <w:br w:type="page"/>
      </w:r>
    </w:p>
    <w:p w14:paraId="580B13C1" w14:textId="77777777" w:rsidR="008B233E" w:rsidRDefault="0074683D" w:rsidP="00C85D03">
      <w:pPr>
        <w:pStyle w:val="Heading1"/>
        <w:jc w:val="both"/>
      </w:pPr>
      <w:bookmarkStart w:id="3" w:name="_Toc378838720"/>
      <w:r w:rsidRPr="00267B79">
        <w:lastRenderedPageBreak/>
        <w:t>BACKGROUND</w:t>
      </w:r>
      <w:bookmarkEnd w:id="3"/>
      <w:r w:rsidRPr="00267B79">
        <w:t xml:space="preserve"> </w:t>
      </w:r>
    </w:p>
    <w:p w14:paraId="3C01AA41" w14:textId="77777777" w:rsidR="008B233E" w:rsidRPr="008B233E" w:rsidRDefault="008B233E" w:rsidP="00C85D03">
      <w:pPr>
        <w:jc w:val="both"/>
        <w:rPr>
          <w:rFonts w:asciiTheme="majorHAnsi" w:hAnsiTheme="majorHAnsi" w:cstheme="majorHAnsi"/>
        </w:rPr>
      </w:pPr>
    </w:p>
    <w:p w14:paraId="26ED62F8" w14:textId="77777777" w:rsidR="008B233E" w:rsidRPr="008B233E" w:rsidRDefault="008B233E" w:rsidP="00C85D03">
      <w:pPr>
        <w:jc w:val="both"/>
        <w:rPr>
          <w:rFonts w:asciiTheme="majorHAnsi" w:hAnsiTheme="majorHAnsi" w:cstheme="majorHAnsi"/>
          <w:szCs w:val="22"/>
        </w:rPr>
      </w:pPr>
      <w:r w:rsidRPr="008B233E">
        <w:rPr>
          <w:rFonts w:asciiTheme="majorHAnsi" w:hAnsiTheme="majorHAnsi" w:cstheme="majorHAnsi"/>
          <w:szCs w:val="22"/>
        </w:rPr>
        <w:t>Australia is the largest external development partner in Timor-Leste (TL), investing more than AUD 97 million this year and AUD 1 billion since 1999.</w:t>
      </w:r>
      <w:r w:rsidR="004A181B" w:rsidRPr="005278A4">
        <w:rPr>
          <w:rFonts w:asciiTheme="majorHAnsi" w:hAnsiTheme="majorHAnsi" w:cstheme="majorHAnsi"/>
          <w:szCs w:val="22"/>
        </w:rPr>
        <w:t xml:space="preserve">  </w:t>
      </w:r>
      <w:r w:rsidRPr="008B233E">
        <w:rPr>
          <w:rFonts w:asciiTheme="majorHAnsi" w:hAnsiTheme="majorHAnsi" w:cstheme="majorHAnsi"/>
          <w:szCs w:val="22"/>
        </w:rPr>
        <w:t>With partnership as a key guiding principle, Australia has been supporting a bilateral health program since 1999. Current investments, for which AUD7.5 million is provided in the 2017-2018</w:t>
      </w:r>
      <w:r w:rsidR="004A181B" w:rsidRPr="005278A4">
        <w:rPr>
          <w:rFonts w:asciiTheme="majorHAnsi" w:hAnsiTheme="majorHAnsi" w:cstheme="majorHAnsi"/>
          <w:szCs w:val="22"/>
        </w:rPr>
        <w:t xml:space="preserve"> </w:t>
      </w:r>
      <w:r w:rsidRPr="008B233E">
        <w:rPr>
          <w:rFonts w:asciiTheme="majorHAnsi" w:hAnsiTheme="majorHAnsi" w:cstheme="majorHAnsi"/>
          <w:szCs w:val="22"/>
        </w:rPr>
        <w:t>financial year, are as follows:</w:t>
      </w:r>
    </w:p>
    <w:p w14:paraId="7BFA9862" w14:textId="77777777" w:rsidR="008B233E" w:rsidRPr="008B233E" w:rsidRDefault="008B233E" w:rsidP="00C85D03">
      <w:pPr>
        <w:jc w:val="both"/>
        <w:rPr>
          <w:rFonts w:asciiTheme="majorHAnsi" w:hAnsiTheme="majorHAnsi"/>
          <w:sz w:val="20"/>
          <w:szCs w:val="18"/>
        </w:rPr>
      </w:pPr>
    </w:p>
    <w:p w14:paraId="57B4F511" w14:textId="77777777" w:rsidR="008B233E" w:rsidRPr="008B233E" w:rsidRDefault="008B233E" w:rsidP="00C85D03">
      <w:pPr>
        <w:ind w:left="720"/>
        <w:jc w:val="both"/>
        <w:rPr>
          <w:rFonts w:asciiTheme="majorHAnsi" w:hAnsiTheme="majorHAnsi"/>
          <w:sz w:val="20"/>
          <w:szCs w:val="18"/>
        </w:rPr>
      </w:pPr>
      <w:r w:rsidRPr="00C85D03">
        <w:rPr>
          <w:rFonts w:asciiTheme="majorHAnsi" w:hAnsiTheme="majorHAnsi"/>
          <w:b/>
          <w:bCs/>
          <w:sz w:val="20"/>
        </w:rPr>
        <w:t xml:space="preserve">AUD 8.8 million (2015-2018) to Marie Stopes Timor-Leste (MSTL) </w:t>
      </w:r>
      <w:r w:rsidRPr="00C85D03">
        <w:rPr>
          <w:rFonts w:asciiTheme="majorHAnsi" w:hAnsiTheme="majorHAnsi"/>
          <w:sz w:val="20"/>
          <w:szCs w:val="18"/>
        </w:rPr>
        <w:t xml:space="preserve">to increase demand for and uptake of </w:t>
      </w:r>
      <w:r w:rsidRPr="00C85D03">
        <w:rPr>
          <w:rFonts w:asciiTheme="majorHAnsi" w:hAnsiTheme="majorHAnsi"/>
          <w:sz w:val="20"/>
        </w:rPr>
        <w:t xml:space="preserve">quality, comprehensive, non-judgmental sexual and reproductive health (SRH) services </w:t>
      </w:r>
      <w:r w:rsidRPr="00C85D03">
        <w:rPr>
          <w:rFonts w:asciiTheme="majorHAnsi" w:hAnsiTheme="majorHAnsi"/>
          <w:sz w:val="20"/>
          <w:szCs w:val="18"/>
        </w:rPr>
        <w:t xml:space="preserve">in </w:t>
      </w:r>
      <w:r w:rsidRPr="00C85D03">
        <w:rPr>
          <w:rFonts w:asciiTheme="majorHAnsi" w:hAnsiTheme="majorHAnsi"/>
          <w:sz w:val="20"/>
        </w:rPr>
        <w:t>12 municipalities</w:t>
      </w:r>
      <w:r w:rsidRPr="00C85D03">
        <w:rPr>
          <w:rFonts w:asciiTheme="majorHAnsi" w:hAnsiTheme="majorHAnsi"/>
          <w:sz w:val="20"/>
          <w:szCs w:val="18"/>
        </w:rPr>
        <w:t xml:space="preserve"> in partnership with the Ministry of Health (MOH) and others.</w:t>
      </w:r>
    </w:p>
    <w:p w14:paraId="542A649E" w14:textId="77777777" w:rsidR="008B233E" w:rsidRPr="008B233E" w:rsidRDefault="008B233E" w:rsidP="00C85D03">
      <w:pPr>
        <w:ind w:left="720"/>
        <w:jc w:val="both"/>
        <w:rPr>
          <w:rFonts w:asciiTheme="majorHAnsi" w:hAnsiTheme="majorHAnsi"/>
          <w:sz w:val="20"/>
          <w:szCs w:val="18"/>
        </w:rPr>
      </w:pPr>
    </w:p>
    <w:p w14:paraId="7962DA43" w14:textId="77777777" w:rsidR="008B233E" w:rsidRPr="008B233E" w:rsidRDefault="008B233E" w:rsidP="00C85D03">
      <w:pPr>
        <w:pStyle w:val="NormalWeb"/>
        <w:spacing w:beforeLines="0" w:afterLines="0"/>
        <w:ind w:left="720"/>
        <w:jc w:val="both"/>
        <w:rPr>
          <w:rFonts w:asciiTheme="majorHAnsi" w:hAnsiTheme="majorHAnsi"/>
        </w:rPr>
      </w:pPr>
      <w:r w:rsidRPr="008B233E">
        <w:rPr>
          <w:rFonts w:asciiTheme="majorHAnsi" w:hAnsiTheme="majorHAnsi"/>
          <w:b/>
          <w:bCs/>
        </w:rPr>
        <w:t xml:space="preserve">AUD 2.8 million (2015-2018) to Health </w:t>
      </w:r>
      <w:r w:rsidRPr="00F51D8C">
        <w:rPr>
          <w:rFonts w:asciiTheme="majorHAnsi" w:hAnsiTheme="majorHAnsi"/>
          <w:b/>
          <w:bCs/>
        </w:rPr>
        <w:t xml:space="preserve">Alliance International (HAI) </w:t>
      </w:r>
      <w:r w:rsidRPr="00F51D8C">
        <w:rPr>
          <w:rFonts w:asciiTheme="majorHAnsi" w:hAnsiTheme="majorHAnsi"/>
          <w:bCs/>
        </w:rPr>
        <w:t>to improve midwives’ skills in</w:t>
      </w:r>
      <w:r w:rsidRPr="00F51D8C">
        <w:rPr>
          <w:rFonts w:asciiTheme="majorHAnsi" w:hAnsiTheme="majorHAnsi"/>
          <w:b/>
          <w:bCs/>
        </w:rPr>
        <w:t xml:space="preserve"> </w:t>
      </w:r>
      <w:r w:rsidRPr="00F51D8C">
        <w:rPr>
          <w:rFonts w:asciiTheme="majorHAnsi" w:hAnsiTheme="majorHAnsi"/>
        </w:rPr>
        <w:t>Safe and Clean Delivery (SCD) and Essential Newborn Care (ENBC) through an innovative competency based approach known as Learning Labs in partnership with the National Health Institute (</w:t>
      </w:r>
      <w:r w:rsidR="0034571D" w:rsidRPr="00F51D8C">
        <w:rPr>
          <w:rFonts w:asciiTheme="majorHAnsi" w:hAnsiTheme="majorHAnsi" w:cstheme="majorHAnsi"/>
          <w:i/>
          <w:lang w:eastAsia="en-AU"/>
        </w:rPr>
        <w:t>Instituto Nasional Saude</w:t>
      </w:r>
      <w:r w:rsidR="0034571D" w:rsidRPr="00F51D8C">
        <w:rPr>
          <w:rFonts w:asciiTheme="majorHAnsi" w:hAnsiTheme="majorHAnsi"/>
        </w:rPr>
        <w:t xml:space="preserve"> (</w:t>
      </w:r>
      <w:r w:rsidRPr="00F51D8C">
        <w:rPr>
          <w:rFonts w:asciiTheme="majorHAnsi" w:hAnsiTheme="majorHAnsi"/>
        </w:rPr>
        <w:t>INS) in municipalities</w:t>
      </w:r>
      <w:r w:rsidRPr="008B233E">
        <w:rPr>
          <w:rFonts w:asciiTheme="majorHAnsi" w:hAnsiTheme="majorHAnsi"/>
        </w:rPr>
        <w:t>.</w:t>
      </w:r>
    </w:p>
    <w:p w14:paraId="605C2683" w14:textId="77777777" w:rsidR="008B233E" w:rsidRPr="008B233E" w:rsidRDefault="008B233E" w:rsidP="00C85D03">
      <w:pPr>
        <w:pStyle w:val="NormalWeb"/>
        <w:spacing w:beforeLines="0" w:afterLines="0"/>
        <w:ind w:left="720"/>
        <w:jc w:val="both"/>
        <w:rPr>
          <w:rFonts w:asciiTheme="majorHAnsi" w:hAnsiTheme="majorHAnsi"/>
        </w:rPr>
      </w:pPr>
    </w:p>
    <w:p w14:paraId="4A3E5844" w14:textId="77777777" w:rsidR="008B233E" w:rsidRPr="008B233E" w:rsidRDefault="008B233E" w:rsidP="00C85D03">
      <w:pPr>
        <w:pStyle w:val="NormalWeb"/>
        <w:spacing w:beforeLines="0" w:afterLines="0"/>
        <w:ind w:left="720"/>
        <w:jc w:val="both"/>
        <w:rPr>
          <w:rFonts w:asciiTheme="majorHAnsi" w:hAnsiTheme="majorHAnsi"/>
        </w:rPr>
      </w:pPr>
      <w:r w:rsidRPr="008B233E">
        <w:rPr>
          <w:rFonts w:asciiTheme="majorHAnsi" w:hAnsiTheme="majorHAnsi"/>
          <w:b/>
          <w:bCs/>
        </w:rPr>
        <w:t>AUD 1.1 million (2015-2018</w:t>
      </w:r>
      <w:r w:rsidRPr="008B233E">
        <w:rPr>
          <w:rFonts w:asciiTheme="majorHAnsi" w:hAnsiTheme="majorHAnsi"/>
        </w:rPr>
        <w:t xml:space="preserve">) </w:t>
      </w:r>
      <w:r w:rsidRPr="008B233E">
        <w:rPr>
          <w:rFonts w:asciiTheme="majorHAnsi" w:hAnsiTheme="majorHAnsi"/>
          <w:b/>
          <w:bCs/>
        </w:rPr>
        <w:t xml:space="preserve">to </w:t>
      </w:r>
      <w:r w:rsidRPr="008B233E">
        <w:rPr>
          <w:rFonts w:asciiTheme="majorHAnsi" w:hAnsiTheme="majorHAnsi"/>
          <w:b/>
        </w:rPr>
        <w:t>Health Alliance International and Catalpa International</w:t>
      </w:r>
      <w:r w:rsidRPr="008B233E">
        <w:rPr>
          <w:rFonts w:asciiTheme="majorHAnsi" w:hAnsiTheme="majorHAnsi"/>
        </w:rPr>
        <w:t xml:space="preserve"> for ‘</w:t>
      </w:r>
      <w:r w:rsidRPr="008B233E">
        <w:rPr>
          <w:rFonts w:asciiTheme="majorHAnsi" w:hAnsiTheme="majorHAnsi"/>
          <w:bCs/>
        </w:rPr>
        <w:t>Liga Inan’,</w:t>
      </w:r>
      <w:r w:rsidRPr="008B233E">
        <w:rPr>
          <w:rFonts w:asciiTheme="majorHAnsi" w:hAnsiTheme="majorHAnsi"/>
          <w:b/>
          <w:bCs/>
        </w:rPr>
        <w:t xml:space="preserve"> </w:t>
      </w:r>
      <w:r w:rsidRPr="008B233E">
        <w:rPr>
          <w:rFonts w:asciiTheme="majorHAnsi" w:hAnsiTheme="majorHAnsi"/>
        </w:rPr>
        <w:t xml:space="preserve">which uses mobile phones to facilitate communication between health workers and mothers. Messages delivered through Liga Inan encourage pregnant women to seek advice from midwives, use antenatal care (ANC), deliver their babies with a trained health professional, and seek postnatal care (PNC). </w:t>
      </w:r>
    </w:p>
    <w:p w14:paraId="54CCF906" w14:textId="77777777" w:rsidR="008B233E" w:rsidRPr="008B233E" w:rsidRDefault="008B233E" w:rsidP="00C85D03">
      <w:pPr>
        <w:pStyle w:val="NormalWeb"/>
        <w:spacing w:beforeLines="0" w:afterLines="0"/>
        <w:ind w:left="720"/>
        <w:jc w:val="both"/>
        <w:rPr>
          <w:rFonts w:asciiTheme="majorHAnsi" w:hAnsiTheme="majorHAnsi"/>
        </w:rPr>
      </w:pPr>
    </w:p>
    <w:p w14:paraId="567A5097" w14:textId="77777777" w:rsidR="008B233E" w:rsidRPr="008B233E" w:rsidRDefault="008B233E" w:rsidP="00C85D03">
      <w:pPr>
        <w:pStyle w:val="NormalWeb"/>
        <w:spacing w:beforeLines="0" w:afterLines="0"/>
        <w:ind w:left="720"/>
        <w:jc w:val="both"/>
        <w:rPr>
          <w:rFonts w:asciiTheme="majorHAnsi" w:hAnsiTheme="majorHAnsi"/>
        </w:rPr>
      </w:pPr>
      <w:r w:rsidRPr="008B233E">
        <w:rPr>
          <w:rFonts w:asciiTheme="majorHAnsi" w:hAnsiTheme="majorHAnsi"/>
          <w:b/>
          <w:bCs/>
        </w:rPr>
        <w:t xml:space="preserve">AUD 7.0 million to the Royal Australasian College of Surgeons (RACS) for the Australia- Timor-Leste Assistance to Secondary Services Phase II (ATLASS II), 2015-2018, </w:t>
      </w:r>
      <w:r w:rsidRPr="008B233E">
        <w:rPr>
          <w:rFonts w:asciiTheme="majorHAnsi" w:hAnsiTheme="majorHAnsi"/>
        </w:rPr>
        <w:t xml:space="preserve">to provide clinical expertise and postgraduate courses to improve the clinical competencies of junior doctors, including future general practitioners and specialists in Surgery, Paediatrics, Obstetrics, Anaesthesia and Emergency Medicine. </w:t>
      </w:r>
    </w:p>
    <w:p w14:paraId="2D72A2E6" w14:textId="77777777" w:rsidR="008B233E" w:rsidRPr="008B233E" w:rsidRDefault="008B233E" w:rsidP="00C85D03">
      <w:pPr>
        <w:pStyle w:val="NormalWeb"/>
        <w:spacing w:beforeLines="0" w:afterLines="0"/>
        <w:ind w:left="720"/>
        <w:jc w:val="both"/>
        <w:rPr>
          <w:rFonts w:asciiTheme="majorHAnsi" w:hAnsiTheme="majorHAnsi"/>
          <w:b/>
          <w:bCs/>
          <w:szCs w:val="18"/>
        </w:rPr>
      </w:pPr>
    </w:p>
    <w:p w14:paraId="21E01691" w14:textId="77777777" w:rsidR="008B233E" w:rsidRPr="008B233E" w:rsidRDefault="008B233E" w:rsidP="00C85D03">
      <w:pPr>
        <w:pStyle w:val="NormalWeb"/>
        <w:spacing w:beforeLines="0" w:afterLines="0"/>
        <w:ind w:left="720"/>
        <w:jc w:val="both"/>
        <w:rPr>
          <w:rFonts w:asciiTheme="majorHAnsi" w:hAnsiTheme="majorHAnsi"/>
          <w:szCs w:val="18"/>
        </w:rPr>
      </w:pPr>
      <w:r w:rsidRPr="008B233E">
        <w:rPr>
          <w:rFonts w:asciiTheme="majorHAnsi" w:hAnsiTheme="majorHAnsi"/>
          <w:b/>
          <w:bCs/>
          <w:szCs w:val="18"/>
        </w:rPr>
        <w:t xml:space="preserve">AUD 2.1 million (2015-2018) </w:t>
      </w:r>
      <w:r w:rsidRPr="008B233E">
        <w:rPr>
          <w:rFonts w:asciiTheme="majorHAnsi" w:hAnsiTheme="majorHAnsi"/>
          <w:b/>
        </w:rPr>
        <w:t>for</w:t>
      </w:r>
      <w:r w:rsidRPr="008B233E">
        <w:rPr>
          <w:rFonts w:asciiTheme="majorHAnsi" w:hAnsiTheme="majorHAnsi"/>
        </w:rPr>
        <w:t xml:space="preserve"> </w:t>
      </w:r>
      <w:r w:rsidRPr="008B233E">
        <w:rPr>
          <w:rFonts w:asciiTheme="majorHAnsi" w:hAnsiTheme="majorHAnsi"/>
          <w:b/>
          <w:bCs/>
          <w:szCs w:val="18"/>
        </w:rPr>
        <w:t xml:space="preserve">Ambulance and Health Transport Services strengthening </w:t>
      </w:r>
      <w:r w:rsidRPr="008B233E">
        <w:rPr>
          <w:rFonts w:asciiTheme="majorHAnsi" w:hAnsiTheme="majorHAnsi"/>
          <w:szCs w:val="18"/>
        </w:rPr>
        <w:t xml:space="preserve">to support MOH in developing systems to ensure health transport is available to patients needing urgent care, of whom about </w:t>
      </w:r>
      <w:r w:rsidRPr="008B233E">
        <w:rPr>
          <w:rFonts w:asciiTheme="majorHAnsi" w:hAnsiTheme="majorHAnsi"/>
        </w:rPr>
        <w:t xml:space="preserve">35% are women in labour. </w:t>
      </w:r>
      <w:r w:rsidRPr="008B233E">
        <w:rPr>
          <w:rFonts w:asciiTheme="majorHAnsi" w:hAnsiTheme="majorHAnsi"/>
          <w:szCs w:val="18"/>
        </w:rPr>
        <w:t>The all-Timorese workforce</w:t>
      </w:r>
      <w:r w:rsidRPr="008B233E">
        <w:rPr>
          <w:rFonts w:asciiTheme="majorHAnsi" w:hAnsiTheme="majorHAnsi"/>
        </w:rPr>
        <w:t xml:space="preserve"> includes</w:t>
      </w:r>
      <w:r w:rsidRPr="008B233E">
        <w:rPr>
          <w:rFonts w:asciiTheme="majorHAnsi" w:hAnsiTheme="majorHAnsi"/>
          <w:szCs w:val="18"/>
        </w:rPr>
        <w:t xml:space="preserve"> call centre staff, trained paramedics, a midwife, a doctor, mechanics and administrators to support a fully functioning fleet of ambulances. </w:t>
      </w:r>
    </w:p>
    <w:p w14:paraId="2CCE7751" w14:textId="77777777" w:rsidR="008B233E" w:rsidRPr="008B233E" w:rsidRDefault="008B233E" w:rsidP="00C85D03">
      <w:pPr>
        <w:pStyle w:val="NormalWeb"/>
        <w:spacing w:beforeLines="0" w:afterLines="0"/>
        <w:ind w:left="720"/>
        <w:jc w:val="both"/>
        <w:rPr>
          <w:rFonts w:asciiTheme="majorHAnsi" w:hAnsiTheme="majorHAnsi"/>
          <w:szCs w:val="18"/>
        </w:rPr>
      </w:pPr>
    </w:p>
    <w:p w14:paraId="07C43293" w14:textId="77777777" w:rsidR="009F30F6" w:rsidRPr="008B233E" w:rsidRDefault="009F30F6" w:rsidP="00C85D03">
      <w:pPr>
        <w:pStyle w:val="NormalWeb"/>
        <w:spacing w:beforeLines="0" w:afterLines="0"/>
        <w:ind w:left="720"/>
        <w:jc w:val="both"/>
        <w:rPr>
          <w:rFonts w:asciiTheme="majorHAnsi" w:hAnsiTheme="majorHAnsi"/>
        </w:rPr>
      </w:pPr>
      <w:r w:rsidRPr="009F30F6">
        <w:rPr>
          <w:rFonts w:asciiTheme="majorHAnsi" w:hAnsiTheme="majorHAnsi"/>
          <w:b/>
          <w:szCs w:val="22"/>
        </w:rPr>
        <w:t>AUD 2.24 million for technical</w:t>
      </w:r>
      <w:r w:rsidRPr="00FC09A8">
        <w:rPr>
          <w:rFonts w:asciiTheme="majorHAnsi" w:hAnsiTheme="majorHAnsi"/>
          <w:b/>
          <w:sz w:val="22"/>
          <w:szCs w:val="22"/>
        </w:rPr>
        <w:t xml:space="preserve"> assistance </w:t>
      </w:r>
      <w:r w:rsidRPr="00F51D8C">
        <w:rPr>
          <w:rFonts w:asciiTheme="majorHAnsi" w:hAnsiTheme="majorHAnsi"/>
          <w:sz w:val="22"/>
          <w:szCs w:val="22"/>
        </w:rPr>
        <w:t>(TA)</w:t>
      </w:r>
      <w:r w:rsidRPr="00F51D8C">
        <w:rPr>
          <w:rFonts w:asciiTheme="majorHAnsi" w:hAnsiTheme="majorHAnsi"/>
          <w:b/>
          <w:sz w:val="22"/>
          <w:szCs w:val="22"/>
        </w:rPr>
        <w:t xml:space="preserve"> </w:t>
      </w:r>
      <w:r w:rsidRPr="00F51D8C">
        <w:rPr>
          <w:rFonts w:asciiTheme="majorHAnsi" w:hAnsiTheme="majorHAnsi"/>
          <w:sz w:val="22"/>
          <w:szCs w:val="22"/>
        </w:rPr>
        <w:t>(i) full</w:t>
      </w:r>
      <w:r>
        <w:rPr>
          <w:rFonts w:asciiTheme="majorHAnsi" w:hAnsiTheme="majorHAnsi"/>
          <w:sz w:val="22"/>
          <w:szCs w:val="22"/>
        </w:rPr>
        <w:t xml:space="preserve">-time, to </w:t>
      </w:r>
      <w:r w:rsidRPr="00FC09A8">
        <w:rPr>
          <w:rFonts w:asciiTheme="majorHAnsi" w:hAnsiTheme="majorHAnsi"/>
          <w:sz w:val="22"/>
          <w:szCs w:val="22"/>
        </w:rPr>
        <w:t xml:space="preserve">strengthen the health management </w:t>
      </w:r>
      <w:r w:rsidRPr="00FC09A8">
        <w:rPr>
          <w:rFonts w:asciiTheme="majorHAnsi" w:hAnsiTheme="majorHAnsi"/>
          <w:b/>
          <w:sz w:val="22"/>
          <w:szCs w:val="22"/>
        </w:rPr>
        <w:t>information</w:t>
      </w:r>
      <w:r w:rsidRPr="00FC09A8">
        <w:rPr>
          <w:rFonts w:asciiTheme="majorHAnsi" w:hAnsiTheme="majorHAnsi"/>
          <w:sz w:val="22"/>
          <w:szCs w:val="22"/>
        </w:rPr>
        <w:t xml:space="preserve"> system by improving the quality, availability and use of health data</w:t>
      </w:r>
      <w:r>
        <w:rPr>
          <w:rFonts w:asciiTheme="majorHAnsi" w:hAnsiTheme="majorHAnsi"/>
          <w:sz w:val="22"/>
          <w:szCs w:val="22"/>
        </w:rPr>
        <w:t xml:space="preserve"> </w:t>
      </w:r>
      <w:r w:rsidRPr="008B233E">
        <w:rPr>
          <w:rFonts w:asciiTheme="majorHAnsi" w:hAnsiTheme="majorHAnsi"/>
        </w:rPr>
        <w:t>for and from health managers and health workers in the network of community h</w:t>
      </w:r>
      <w:r>
        <w:rPr>
          <w:rFonts w:asciiTheme="majorHAnsi" w:hAnsiTheme="majorHAnsi"/>
        </w:rPr>
        <w:t>ealth centres and health posts</w:t>
      </w:r>
      <w:r w:rsidRPr="00FC09A8">
        <w:rPr>
          <w:rFonts w:asciiTheme="majorHAnsi" w:hAnsiTheme="majorHAnsi"/>
          <w:sz w:val="22"/>
          <w:szCs w:val="22"/>
        </w:rPr>
        <w:t>; a</w:t>
      </w:r>
      <w:r w:rsidRPr="00FC09A8">
        <w:rPr>
          <w:rFonts w:asciiTheme="majorHAnsi" w:hAnsiTheme="majorHAnsi"/>
          <w:szCs w:val="22"/>
        </w:rPr>
        <w:t xml:space="preserve">nd </w:t>
      </w:r>
      <w:r w:rsidRPr="00FC09A8">
        <w:rPr>
          <w:rFonts w:asciiTheme="majorHAnsi" w:hAnsiTheme="majorHAnsi"/>
          <w:sz w:val="22"/>
          <w:szCs w:val="22"/>
        </w:rPr>
        <w:t xml:space="preserve">(ii) </w:t>
      </w:r>
      <w:r>
        <w:rPr>
          <w:rFonts w:asciiTheme="majorHAnsi" w:hAnsiTheme="majorHAnsi"/>
          <w:sz w:val="22"/>
          <w:szCs w:val="22"/>
        </w:rPr>
        <w:t xml:space="preserve">part-time, to </w:t>
      </w:r>
      <w:r w:rsidRPr="00FC09A8">
        <w:rPr>
          <w:rFonts w:asciiTheme="majorHAnsi" w:hAnsiTheme="majorHAnsi"/>
          <w:sz w:val="22"/>
          <w:szCs w:val="22"/>
        </w:rPr>
        <w:t xml:space="preserve">improve </w:t>
      </w:r>
      <w:r w:rsidRPr="008B233E">
        <w:rPr>
          <w:rFonts w:asciiTheme="majorHAnsi" w:hAnsiTheme="majorHAnsi"/>
        </w:rPr>
        <w:t xml:space="preserve">competences of MOH finance managers, including developing a training curriculum for MOH use. </w:t>
      </w:r>
    </w:p>
    <w:p w14:paraId="0CD4E435" w14:textId="77777777" w:rsidR="009F30F6" w:rsidRDefault="009F30F6" w:rsidP="00C85D03">
      <w:pPr>
        <w:pStyle w:val="NormalWeb"/>
        <w:spacing w:beforeLines="0" w:afterLines="0"/>
        <w:ind w:left="720"/>
        <w:jc w:val="both"/>
        <w:rPr>
          <w:rFonts w:asciiTheme="majorHAnsi" w:hAnsiTheme="majorHAnsi"/>
          <w:sz w:val="22"/>
          <w:szCs w:val="22"/>
        </w:rPr>
      </w:pPr>
    </w:p>
    <w:p w14:paraId="232A7C9E" w14:textId="2FFB7651" w:rsidR="00D139D0" w:rsidRPr="008B233E" w:rsidRDefault="008B233E" w:rsidP="00C85D03">
      <w:pPr>
        <w:jc w:val="both"/>
        <w:rPr>
          <w:rFonts w:asciiTheme="majorHAnsi" w:hAnsiTheme="majorHAnsi" w:cstheme="majorHAnsi"/>
          <w:sz w:val="20"/>
        </w:rPr>
      </w:pPr>
      <w:r w:rsidRPr="008B233E">
        <w:rPr>
          <w:rFonts w:asciiTheme="majorHAnsi" w:hAnsiTheme="majorHAnsi" w:cstheme="majorHAnsi"/>
          <w:sz w:val="20"/>
        </w:rPr>
        <w:t>See Annex 1 for further details of projects. Administratively, this portfolio of DFAT-managed bilateral investments transitioned into the multi-sectoral Australia Timor-Leste Partnership for Human Development (PHD), which was officially launched in March 2017. The goal of PHD is ‘</w:t>
      </w:r>
      <w:r w:rsidRPr="008B233E">
        <w:rPr>
          <w:rFonts w:asciiTheme="majorHAnsi" w:hAnsiTheme="majorHAnsi"/>
          <w:sz w:val="20"/>
        </w:rPr>
        <w:t>improved well-being of all people in Timor-Leste’</w:t>
      </w:r>
      <w:r w:rsidRPr="008B233E">
        <w:rPr>
          <w:rFonts w:asciiTheme="majorHAnsi" w:hAnsiTheme="majorHAnsi" w:cstheme="majorHAnsi"/>
          <w:sz w:val="20"/>
        </w:rPr>
        <w:t xml:space="preserve"> and the bilateral health investments listed above now constitute the ‘health pillar’ of the wider PHD program.</w:t>
      </w:r>
    </w:p>
    <w:p w14:paraId="5E5BA584" w14:textId="77777777" w:rsidR="008B233E" w:rsidRPr="008B233E" w:rsidRDefault="008B233E" w:rsidP="00C85D03">
      <w:pPr>
        <w:jc w:val="both"/>
        <w:rPr>
          <w:rFonts w:asciiTheme="majorHAnsi" w:hAnsiTheme="majorHAnsi" w:cstheme="majorHAnsi"/>
          <w:sz w:val="20"/>
        </w:rPr>
      </w:pPr>
    </w:p>
    <w:p w14:paraId="2B321F12" w14:textId="77777777" w:rsidR="008B233E" w:rsidRDefault="00DA31F6" w:rsidP="00C85D03">
      <w:pPr>
        <w:pStyle w:val="Heading1"/>
        <w:jc w:val="both"/>
      </w:pPr>
      <w:bookmarkStart w:id="4" w:name="_Toc378838721"/>
      <w:r w:rsidRPr="00267B79">
        <w:t>OBJECTIVES</w:t>
      </w:r>
      <w:bookmarkEnd w:id="4"/>
      <w:r w:rsidRPr="00267B79">
        <w:t xml:space="preserve"> </w:t>
      </w:r>
    </w:p>
    <w:p w14:paraId="3CDEBB4C" w14:textId="77777777" w:rsidR="008B233E" w:rsidRPr="008B233E" w:rsidRDefault="008B233E" w:rsidP="00C85D03">
      <w:pPr>
        <w:jc w:val="both"/>
        <w:rPr>
          <w:rFonts w:asciiTheme="majorHAnsi" w:hAnsiTheme="majorHAnsi" w:cstheme="majorHAnsi"/>
          <w:sz w:val="20"/>
        </w:rPr>
      </w:pPr>
    </w:p>
    <w:p w14:paraId="47C43092" w14:textId="77777777" w:rsidR="008B233E" w:rsidRPr="008B233E" w:rsidRDefault="008B233E" w:rsidP="00C85D03">
      <w:pPr>
        <w:pStyle w:val="CommentText"/>
        <w:jc w:val="both"/>
        <w:rPr>
          <w:rFonts w:asciiTheme="majorHAnsi" w:hAnsiTheme="majorHAnsi"/>
          <w:sz w:val="20"/>
        </w:rPr>
      </w:pPr>
      <w:r w:rsidRPr="008B233E">
        <w:rPr>
          <w:rFonts w:asciiTheme="majorHAnsi" w:hAnsiTheme="majorHAnsi" w:cstheme="majorHAnsi"/>
          <w:sz w:val="20"/>
        </w:rPr>
        <w:t>An independent review of the bilateral health program was undertaken in 2017 to help guide future programming decisions.</w:t>
      </w:r>
    </w:p>
    <w:p w14:paraId="4C882256" w14:textId="77777777" w:rsidR="008B233E" w:rsidRPr="008B233E" w:rsidRDefault="008B233E" w:rsidP="00C85D03">
      <w:pPr>
        <w:jc w:val="both"/>
        <w:rPr>
          <w:rFonts w:asciiTheme="majorHAnsi" w:hAnsiTheme="majorHAnsi" w:cstheme="majorHAnsi"/>
          <w:sz w:val="20"/>
        </w:rPr>
      </w:pPr>
      <w:r w:rsidRPr="008B233E">
        <w:rPr>
          <w:rFonts w:asciiTheme="majorHAnsi" w:hAnsiTheme="majorHAnsi" w:cstheme="majorHAnsi"/>
          <w:sz w:val="20"/>
        </w:rPr>
        <w:t xml:space="preserve">The Review was expected to: </w:t>
      </w:r>
    </w:p>
    <w:p w14:paraId="1D9A1A28" w14:textId="77777777" w:rsidR="008B233E" w:rsidRPr="008B233E" w:rsidRDefault="008B233E" w:rsidP="00C85D03">
      <w:pPr>
        <w:pStyle w:val="ListParagraph"/>
        <w:numPr>
          <w:ilvl w:val="0"/>
          <w:numId w:val="30"/>
        </w:numPr>
        <w:jc w:val="both"/>
        <w:rPr>
          <w:rFonts w:asciiTheme="majorHAnsi" w:hAnsiTheme="majorHAnsi" w:cstheme="majorHAnsi"/>
          <w:sz w:val="20"/>
        </w:rPr>
      </w:pPr>
      <w:r w:rsidRPr="008B233E">
        <w:rPr>
          <w:rFonts w:asciiTheme="majorHAnsi" w:hAnsiTheme="majorHAnsi" w:cstheme="majorHAnsi"/>
          <w:sz w:val="20"/>
        </w:rPr>
        <w:lastRenderedPageBreak/>
        <w:t xml:space="preserve">assess performance of current investments, and identify needs and gaps across maternal and child health in TL at primary healthcare level and referrals; </w:t>
      </w:r>
    </w:p>
    <w:p w14:paraId="3BEA2D00" w14:textId="77777777" w:rsidR="008B233E" w:rsidRPr="008B233E" w:rsidRDefault="008B233E" w:rsidP="00C85D03">
      <w:pPr>
        <w:pStyle w:val="ListParagraph"/>
        <w:numPr>
          <w:ilvl w:val="0"/>
          <w:numId w:val="30"/>
        </w:numPr>
        <w:jc w:val="both"/>
        <w:rPr>
          <w:rFonts w:asciiTheme="majorHAnsi" w:hAnsiTheme="majorHAnsi" w:cstheme="majorHAnsi"/>
          <w:sz w:val="20"/>
        </w:rPr>
      </w:pPr>
      <w:r w:rsidRPr="008B233E">
        <w:rPr>
          <w:rFonts w:asciiTheme="majorHAnsi" w:hAnsiTheme="majorHAnsi" w:cstheme="majorHAnsi"/>
          <w:sz w:val="20"/>
        </w:rPr>
        <w:t xml:space="preserve">assess the relevance and appropriateness of the range of bilateral investments currently supported by Australia, identifying potential strategic opportunities to improve the supply and demand of maternal and child health, given the context and budget; and </w:t>
      </w:r>
    </w:p>
    <w:p w14:paraId="21CD22E2" w14:textId="77777777" w:rsidR="008B233E" w:rsidRPr="008B233E" w:rsidRDefault="008B233E" w:rsidP="00C85D03">
      <w:pPr>
        <w:pStyle w:val="ListParagraph"/>
        <w:numPr>
          <w:ilvl w:val="0"/>
          <w:numId w:val="30"/>
        </w:numPr>
        <w:jc w:val="both"/>
        <w:rPr>
          <w:rFonts w:asciiTheme="majorHAnsi" w:hAnsiTheme="majorHAnsi" w:cstheme="majorHAnsi"/>
          <w:sz w:val="20"/>
        </w:rPr>
      </w:pPr>
      <w:r w:rsidRPr="008B233E">
        <w:rPr>
          <w:rFonts w:asciiTheme="majorHAnsi" w:hAnsiTheme="majorHAnsi" w:cstheme="majorHAnsi"/>
          <w:sz w:val="20"/>
        </w:rPr>
        <w:t>identify improvements and provide recommendations on key findings and approach for future PHD/Australia’s health sector investments in TL.</w:t>
      </w:r>
    </w:p>
    <w:p w14:paraId="55BFEF53" w14:textId="77777777" w:rsidR="008B233E" w:rsidRPr="008B233E" w:rsidRDefault="008B233E" w:rsidP="00C85D03">
      <w:pPr>
        <w:jc w:val="both"/>
        <w:rPr>
          <w:rFonts w:asciiTheme="majorHAnsi" w:hAnsiTheme="majorHAnsi" w:cstheme="majorHAnsi"/>
          <w:sz w:val="20"/>
        </w:rPr>
      </w:pPr>
    </w:p>
    <w:p w14:paraId="3F4D17F9" w14:textId="1C6642EA" w:rsidR="008B233E" w:rsidRPr="00E26A70" w:rsidRDefault="008B233E" w:rsidP="00C85D03">
      <w:pPr>
        <w:jc w:val="both"/>
        <w:rPr>
          <w:rFonts w:asciiTheme="majorHAnsi" w:hAnsiTheme="majorHAnsi"/>
          <w:sz w:val="20"/>
          <w:szCs w:val="18"/>
        </w:rPr>
      </w:pPr>
      <w:r w:rsidRPr="008B233E">
        <w:rPr>
          <w:rFonts w:asciiTheme="majorHAnsi" w:hAnsiTheme="majorHAnsi" w:cstheme="majorHAnsi"/>
          <w:sz w:val="20"/>
        </w:rPr>
        <w:t>The scope of the Review is limited to health sector investments under the DFAT bilateral aid program since 2013</w:t>
      </w:r>
      <w:r w:rsidRPr="008B233E">
        <w:rPr>
          <w:rFonts w:asciiTheme="majorHAnsi" w:hAnsiTheme="majorHAnsi"/>
          <w:sz w:val="20"/>
          <w:szCs w:val="18"/>
        </w:rPr>
        <w:t xml:space="preserve"> (</w:t>
      </w:r>
      <w:r w:rsidRPr="008B233E">
        <w:rPr>
          <w:rFonts w:asciiTheme="majorHAnsi" w:hAnsiTheme="majorHAnsi" w:cstheme="majorHAnsi"/>
          <w:sz w:val="20"/>
        </w:rPr>
        <w:t>see Annex 1). It does not include health initiatives funded</w:t>
      </w:r>
      <w:r w:rsidRPr="008B233E">
        <w:rPr>
          <w:rFonts w:asciiTheme="majorHAnsi" w:hAnsiTheme="majorHAnsi"/>
          <w:sz w:val="20"/>
        </w:rPr>
        <w:t xml:space="preserve"> from other DFAT sources, which amounts to a</w:t>
      </w:r>
      <w:r w:rsidR="004A1A7B">
        <w:rPr>
          <w:rFonts w:asciiTheme="majorHAnsi" w:hAnsiTheme="majorHAnsi"/>
          <w:sz w:val="20"/>
        </w:rPr>
        <w:t>n additional</w:t>
      </w:r>
      <w:r w:rsidRPr="008B233E">
        <w:rPr>
          <w:rFonts w:asciiTheme="majorHAnsi" w:hAnsiTheme="majorHAnsi"/>
          <w:sz w:val="20"/>
        </w:rPr>
        <w:t xml:space="preserve">AUD 3 million per year. </w:t>
      </w:r>
      <w:r w:rsidRPr="008B233E">
        <w:rPr>
          <w:rFonts w:asciiTheme="majorHAnsi" w:hAnsiTheme="majorHAnsi" w:cstheme="majorHAnsi"/>
          <w:sz w:val="20"/>
        </w:rPr>
        <w:t xml:space="preserve">The Review focuses on: effectiveness of existing investments; strategic relevance and appropriateness of the investment mix and size of modalities; and sustainability of outcomes. </w:t>
      </w:r>
    </w:p>
    <w:p w14:paraId="0B9D769D" w14:textId="77777777" w:rsidR="008B233E" w:rsidRPr="008B233E" w:rsidRDefault="008B233E" w:rsidP="00C85D03">
      <w:pPr>
        <w:jc w:val="both"/>
        <w:rPr>
          <w:rFonts w:asciiTheme="majorHAnsi" w:hAnsiTheme="majorHAnsi" w:cs="Calibri Light"/>
          <w:color w:val="000000"/>
        </w:rPr>
      </w:pPr>
    </w:p>
    <w:p w14:paraId="32DC1FA1" w14:textId="77777777" w:rsidR="008B233E" w:rsidRDefault="00DA31F6" w:rsidP="00C85D03">
      <w:pPr>
        <w:pStyle w:val="Heading1"/>
        <w:jc w:val="both"/>
      </w:pPr>
      <w:bookmarkStart w:id="5" w:name="_Toc378838722"/>
      <w:r w:rsidRPr="00267B79">
        <w:t>METHODS</w:t>
      </w:r>
      <w:bookmarkEnd w:id="5"/>
      <w:r w:rsidRPr="00267B79">
        <w:t xml:space="preserve"> </w:t>
      </w:r>
    </w:p>
    <w:p w14:paraId="41B63EFA" w14:textId="77777777" w:rsidR="008B233E" w:rsidRPr="008B233E" w:rsidRDefault="008B233E" w:rsidP="00C85D03">
      <w:pPr>
        <w:jc w:val="both"/>
        <w:rPr>
          <w:rFonts w:asciiTheme="majorHAnsi" w:hAnsiTheme="majorHAnsi" w:cstheme="majorHAnsi"/>
        </w:rPr>
      </w:pPr>
    </w:p>
    <w:p w14:paraId="079ACE59" w14:textId="77777777" w:rsidR="008B233E" w:rsidRPr="008B233E" w:rsidRDefault="008B233E" w:rsidP="00C85D03">
      <w:pPr>
        <w:jc w:val="both"/>
        <w:rPr>
          <w:rFonts w:asciiTheme="majorHAnsi" w:hAnsiTheme="majorHAnsi" w:cstheme="majorHAnsi"/>
          <w:sz w:val="20"/>
        </w:rPr>
      </w:pPr>
      <w:r w:rsidRPr="008B233E">
        <w:rPr>
          <w:rFonts w:asciiTheme="majorHAnsi" w:hAnsiTheme="majorHAnsi" w:cstheme="majorHAnsi"/>
          <w:sz w:val="20"/>
        </w:rPr>
        <w:t xml:space="preserve">The Review Team comprised two international specialists (Team Leader/Health System Specialist and Monitoring and Evaluation (M&amp;E) Specialist), a national health specialist and a representative of the TL MOH. The methods used (see Annex 2 for details) included: </w:t>
      </w:r>
    </w:p>
    <w:p w14:paraId="58EAD16C" w14:textId="77777777" w:rsidR="008B233E" w:rsidRPr="008B233E" w:rsidRDefault="008B233E" w:rsidP="00C85D03">
      <w:pPr>
        <w:jc w:val="both"/>
        <w:rPr>
          <w:rFonts w:asciiTheme="majorHAnsi" w:hAnsiTheme="majorHAnsi" w:cstheme="majorHAnsi"/>
          <w:sz w:val="20"/>
        </w:rPr>
      </w:pPr>
    </w:p>
    <w:p w14:paraId="4370F2B4" w14:textId="77777777" w:rsidR="008B233E" w:rsidRDefault="008B233E" w:rsidP="00C85D03">
      <w:pPr>
        <w:pStyle w:val="ListParagraph"/>
        <w:numPr>
          <w:ilvl w:val="0"/>
          <w:numId w:val="2"/>
        </w:numPr>
        <w:ind w:left="357" w:hanging="357"/>
        <w:jc w:val="both"/>
        <w:rPr>
          <w:rFonts w:asciiTheme="majorHAnsi" w:hAnsiTheme="majorHAnsi" w:cstheme="majorHAnsi"/>
          <w:sz w:val="20"/>
        </w:rPr>
      </w:pPr>
      <w:r w:rsidRPr="008B233E">
        <w:rPr>
          <w:rFonts w:asciiTheme="majorHAnsi" w:hAnsiTheme="majorHAnsi" w:cstheme="majorHAnsi"/>
          <w:sz w:val="20"/>
        </w:rPr>
        <w:t>a desk-based review of program documents and other literature, as the basis for developing a Review plan focused on the following Key Evaluation Questions (KEQ):</w:t>
      </w:r>
    </w:p>
    <w:p w14:paraId="5F1BAE64" w14:textId="77777777" w:rsidR="00B8602A" w:rsidRDefault="00B8602A" w:rsidP="00C85D03">
      <w:pPr>
        <w:pStyle w:val="ListParagraph"/>
        <w:ind w:left="357"/>
        <w:jc w:val="both"/>
        <w:rPr>
          <w:rFonts w:asciiTheme="majorHAnsi" w:hAnsiTheme="majorHAnsi" w:cstheme="majorHAnsi"/>
          <w:sz w:val="20"/>
        </w:rPr>
      </w:pPr>
    </w:p>
    <w:p w14:paraId="43FE2BB6" w14:textId="77777777" w:rsidR="00E01E31" w:rsidRDefault="006D3A7A" w:rsidP="00C85D03">
      <w:pPr>
        <w:pStyle w:val="ListParagraph"/>
        <w:numPr>
          <w:ilvl w:val="0"/>
          <w:numId w:val="31"/>
        </w:numPr>
        <w:spacing w:after="120"/>
        <w:ind w:left="1071" w:hanging="357"/>
        <w:contextualSpacing w:val="0"/>
        <w:jc w:val="both"/>
        <w:rPr>
          <w:rFonts w:asciiTheme="majorHAnsi" w:hAnsiTheme="majorHAnsi" w:cstheme="majorHAnsi"/>
          <w:sz w:val="20"/>
          <w:szCs w:val="20"/>
        </w:rPr>
      </w:pPr>
      <w:r w:rsidRPr="008B233E">
        <w:rPr>
          <w:rFonts w:asciiTheme="majorHAnsi" w:hAnsiTheme="majorHAnsi" w:cstheme="majorHAnsi"/>
          <w:sz w:val="20"/>
          <w:szCs w:val="20"/>
        </w:rPr>
        <w:t>What are the strengths and gaps in the health sector that affect reproductive, maternal, neonatal and child health (RMNCH) in TL?</w:t>
      </w:r>
    </w:p>
    <w:p w14:paraId="08DFC8DA" w14:textId="77777777" w:rsidR="00E01E31" w:rsidRDefault="006D3A7A" w:rsidP="00C85D03">
      <w:pPr>
        <w:pStyle w:val="ListParagraph"/>
        <w:numPr>
          <w:ilvl w:val="0"/>
          <w:numId w:val="31"/>
        </w:numPr>
        <w:spacing w:after="120"/>
        <w:ind w:left="1071" w:hanging="357"/>
        <w:contextualSpacing w:val="0"/>
        <w:jc w:val="both"/>
        <w:rPr>
          <w:rFonts w:asciiTheme="majorHAnsi" w:hAnsiTheme="majorHAnsi" w:cstheme="majorHAnsi"/>
          <w:sz w:val="20"/>
          <w:szCs w:val="20"/>
        </w:rPr>
      </w:pPr>
      <w:r w:rsidRPr="0011705F">
        <w:rPr>
          <w:rFonts w:asciiTheme="majorHAnsi" w:hAnsiTheme="majorHAnsi" w:cstheme="majorHAnsi"/>
          <w:sz w:val="20"/>
          <w:szCs w:val="20"/>
        </w:rPr>
        <w:t>How well do the objectives of the DFAT/PHD investments align with the priorities of the health sector in TL?</w:t>
      </w:r>
    </w:p>
    <w:p w14:paraId="0C28FD9C" w14:textId="77777777" w:rsidR="00E01E31" w:rsidRDefault="006D3A7A" w:rsidP="00C85D03">
      <w:pPr>
        <w:pStyle w:val="ListParagraph"/>
        <w:numPr>
          <w:ilvl w:val="0"/>
          <w:numId w:val="31"/>
        </w:numPr>
        <w:spacing w:after="120"/>
        <w:ind w:left="1071" w:hanging="357"/>
        <w:contextualSpacing w:val="0"/>
        <w:jc w:val="both"/>
        <w:rPr>
          <w:rFonts w:asciiTheme="majorHAnsi" w:hAnsiTheme="majorHAnsi" w:cstheme="majorHAnsi"/>
          <w:sz w:val="20"/>
          <w:szCs w:val="20"/>
        </w:rPr>
      </w:pPr>
      <w:r w:rsidRPr="0011705F">
        <w:rPr>
          <w:rFonts w:asciiTheme="majorHAnsi" w:hAnsiTheme="majorHAnsi" w:cstheme="majorHAnsi"/>
          <w:sz w:val="20"/>
          <w:szCs w:val="20"/>
        </w:rPr>
        <w:t>To what extent have DFAT/PHD investments increased utilisation of RMNCH services?</w:t>
      </w:r>
    </w:p>
    <w:p w14:paraId="1B95F5CF" w14:textId="77777777" w:rsidR="00E01E31" w:rsidRDefault="006D3A7A" w:rsidP="00C85D03">
      <w:pPr>
        <w:pStyle w:val="ListParagraph"/>
        <w:numPr>
          <w:ilvl w:val="0"/>
          <w:numId w:val="31"/>
        </w:numPr>
        <w:spacing w:after="120"/>
        <w:ind w:left="1071" w:hanging="357"/>
        <w:contextualSpacing w:val="0"/>
        <w:jc w:val="both"/>
        <w:rPr>
          <w:rFonts w:asciiTheme="majorHAnsi" w:hAnsiTheme="majorHAnsi" w:cstheme="majorHAnsi"/>
          <w:sz w:val="20"/>
          <w:szCs w:val="20"/>
          <w:lang w:eastAsia="en-AU"/>
        </w:rPr>
      </w:pPr>
      <w:r w:rsidRPr="0011705F">
        <w:rPr>
          <w:rFonts w:asciiTheme="majorHAnsi" w:hAnsiTheme="majorHAnsi" w:cstheme="majorHAnsi"/>
          <w:sz w:val="20"/>
          <w:szCs w:val="20"/>
          <w:lang w:eastAsia="en-AU"/>
        </w:rPr>
        <w:t>To what extent have DFAT/PHD investments improved range, quality and reach in provision of RMNCH services?</w:t>
      </w:r>
    </w:p>
    <w:p w14:paraId="6303B926" w14:textId="77777777" w:rsidR="00E01E31" w:rsidRDefault="006D3A7A" w:rsidP="00C85D03">
      <w:pPr>
        <w:pStyle w:val="ListParagraph"/>
        <w:numPr>
          <w:ilvl w:val="0"/>
          <w:numId w:val="31"/>
        </w:numPr>
        <w:spacing w:after="120"/>
        <w:ind w:left="1071" w:hanging="357"/>
        <w:contextualSpacing w:val="0"/>
        <w:jc w:val="both"/>
        <w:rPr>
          <w:rFonts w:asciiTheme="majorHAnsi" w:hAnsiTheme="majorHAnsi" w:cstheme="majorHAnsi"/>
          <w:sz w:val="20"/>
          <w:szCs w:val="20"/>
          <w:lang w:eastAsia="en-AU"/>
        </w:rPr>
      </w:pPr>
      <w:r w:rsidRPr="0011705F">
        <w:rPr>
          <w:rFonts w:asciiTheme="majorHAnsi" w:hAnsiTheme="majorHAnsi" w:cstheme="majorHAnsi"/>
          <w:sz w:val="20"/>
          <w:szCs w:val="20"/>
          <w:lang w:eastAsia="en-AU"/>
        </w:rPr>
        <w:t>To what extent have DFAT/PHD investments strengthened the health system to respond to RMNCH needs (enabling environment)?</w:t>
      </w:r>
    </w:p>
    <w:p w14:paraId="20E2D46D" w14:textId="77777777" w:rsidR="00E01E31" w:rsidRDefault="006D3A7A" w:rsidP="00C85D03">
      <w:pPr>
        <w:pStyle w:val="ListParagraph"/>
        <w:numPr>
          <w:ilvl w:val="0"/>
          <w:numId w:val="31"/>
        </w:numPr>
        <w:spacing w:after="120"/>
        <w:ind w:left="1071" w:hanging="357"/>
        <w:contextualSpacing w:val="0"/>
        <w:jc w:val="both"/>
        <w:rPr>
          <w:rFonts w:asciiTheme="majorHAnsi" w:hAnsiTheme="majorHAnsi" w:cstheme="majorHAnsi"/>
          <w:sz w:val="20"/>
          <w:szCs w:val="20"/>
        </w:rPr>
      </w:pPr>
      <w:r w:rsidRPr="0011705F">
        <w:rPr>
          <w:rFonts w:asciiTheme="majorHAnsi" w:hAnsiTheme="majorHAnsi" w:cstheme="majorHAnsi"/>
          <w:sz w:val="20"/>
          <w:szCs w:val="20"/>
        </w:rPr>
        <w:t>To what extent are DFAT/PHD investments in RMNCH the right mix of approaches and partners to contribute to MCH goal? Is resourcing adequate to effect change?</w:t>
      </w:r>
    </w:p>
    <w:p w14:paraId="38FC2979" w14:textId="77777777" w:rsidR="00E01E31" w:rsidRDefault="006D3A7A" w:rsidP="00C85D03">
      <w:pPr>
        <w:pStyle w:val="ListParagraph"/>
        <w:numPr>
          <w:ilvl w:val="0"/>
          <w:numId w:val="31"/>
        </w:numPr>
        <w:spacing w:after="120"/>
        <w:ind w:left="1071" w:hanging="357"/>
        <w:contextualSpacing w:val="0"/>
        <w:jc w:val="both"/>
        <w:rPr>
          <w:rFonts w:asciiTheme="majorHAnsi" w:hAnsiTheme="majorHAnsi" w:cstheme="majorHAnsi"/>
          <w:sz w:val="20"/>
          <w:szCs w:val="20"/>
        </w:rPr>
      </w:pPr>
      <w:r w:rsidRPr="0011705F">
        <w:rPr>
          <w:rFonts w:asciiTheme="majorHAnsi" w:hAnsiTheme="majorHAnsi" w:cstheme="majorHAnsi"/>
          <w:sz w:val="20"/>
          <w:szCs w:val="20"/>
        </w:rPr>
        <w:t>To what extent are DFAT/PHD investments in the health sector coherent?</w:t>
      </w:r>
    </w:p>
    <w:p w14:paraId="3CCFD28F" w14:textId="77777777" w:rsidR="00E01E31" w:rsidRDefault="00B06F8A" w:rsidP="00C85D03">
      <w:pPr>
        <w:pStyle w:val="ListParagraph"/>
        <w:numPr>
          <w:ilvl w:val="0"/>
          <w:numId w:val="31"/>
        </w:numPr>
        <w:spacing w:after="120"/>
        <w:ind w:left="1071" w:hanging="357"/>
        <w:contextualSpacing w:val="0"/>
        <w:jc w:val="both"/>
        <w:rPr>
          <w:rFonts w:asciiTheme="majorHAnsi" w:hAnsiTheme="majorHAnsi" w:cstheme="majorHAnsi"/>
          <w:sz w:val="20"/>
          <w:szCs w:val="20"/>
        </w:rPr>
      </w:pPr>
      <w:r w:rsidRPr="0011705F">
        <w:rPr>
          <w:rFonts w:asciiTheme="majorHAnsi" w:hAnsiTheme="majorHAnsi" w:cstheme="majorHAnsi"/>
          <w:sz w:val="20"/>
          <w:szCs w:val="20"/>
        </w:rPr>
        <w:t>To what extent are achievements of the DFAT/PHD investments likely to be sustained?</w:t>
      </w:r>
    </w:p>
    <w:p w14:paraId="0BCD9C5B" w14:textId="77777777" w:rsidR="00E01E31" w:rsidRDefault="00B06F8A" w:rsidP="00C85D03">
      <w:pPr>
        <w:pStyle w:val="ListParagraph"/>
        <w:numPr>
          <w:ilvl w:val="0"/>
          <w:numId w:val="31"/>
        </w:numPr>
        <w:spacing w:after="120"/>
        <w:ind w:left="1071" w:hanging="357"/>
        <w:contextualSpacing w:val="0"/>
        <w:jc w:val="both"/>
        <w:rPr>
          <w:rFonts w:asciiTheme="majorHAnsi" w:hAnsiTheme="majorHAnsi" w:cstheme="majorHAnsi"/>
          <w:sz w:val="20"/>
        </w:rPr>
      </w:pPr>
      <w:r w:rsidRPr="0011705F">
        <w:rPr>
          <w:rFonts w:asciiTheme="majorHAnsi" w:hAnsiTheme="majorHAnsi" w:cstheme="majorHAnsi"/>
          <w:sz w:val="20"/>
          <w:szCs w:val="20"/>
        </w:rPr>
        <w:t>Given the objectives of DFAT/PHD in the sector, what has been learned that could improve existing or new investments in health?</w:t>
      </w:r>
    </w:p>
    <w:p w14:paraId="69F411D1" w14:textId="77777777" w:rsidR="008B233E" w:rsidRPr="008B233E" w:rsidRDefault="008B233E" w:rsidP="00C85D03">
      <w:pPr>
        <w:jc w:val="both"/>
        <w:rPr>
          <w:rFonts w:asciiTheme="majorHAnsi" w:hAnsiTheme="majorHAnsi" w:cstheme="majorHAnsi"/>
          <w:sz w:val="20"/>
        </w:rPr>
      </w:pPr>
    </w:p>
    <w:p w14:paraId="535C790F" w14:textId="77777777" w:rsidR="008B233E" w:rsidRPr="008B233E" w:rsidRDefault="008B233E" w:rsidP="00C85D03">
      <w:pPr>
        <w:pStyle w:val="ListParagraph"/>
        <w:numPr>
          <w:ilvl w:val="0"/>
          <w:numId w:val="2"/>
        </w:numPr>
        <w:spacing w:after="120"/>
        <w:contextualSpacing w:val="0"/>
        <w:jc w:val="both"/>
        <w:rPr>
          <w:rFonts w:asciiTheme="majorHAnsi" w:hAnsiTheme="majorHAnsi"/>
          <w:sz w:val="20"/>
        </w:rPr>
      </w:pPr>
      <w:r w:rsidRPr="008B233E">
        <w:rPr>
          <w:rFonts w:asciiTheme="majorHAnsi" w:hAnsiTheme="majorHAnsi"/>
          <w:sz w:val="20"/>
        </w:rPr>
        <w:t xml:space="preserve">meetings with a broad range of stakeholders (see Annex 3) using semi-structured consultation guides (n=39 meetings involving more than 90 people); </w:t>
      </w:r>
    </w:p>
    <w:p w14:paraId="1D9D1123" w14:textId="77777777" w:rsidR="008B233E" w:rsidRPr="008B233E" w:rsidRDefault="008B233E" w:rsidP="00C85D03">
      <w:pPr>
        <w:pStyle w:val="ListParagraph"/>
        <w:numPr>
          <w:ilvl w:val="0"/>
          <w:numId w:val="2"/>
        </w:numPr>
        <w:spacing w:after="120"/>
        <w:contextualSpacing w:val="0"/>
        <w:jc w:val="both"/>
        <w:rPr>
          <w:rFonts w:asciiTheme="majorHAnsi" w:hAnsiTheme="majorHAnsi"/>
          <w:sz w:val="20"/>
        </w:rPr>
      </w:pPr>
      <w:r w:rsidRPr="008B233E">
        <w:rPr>
          <w:rFonts w:asciiTheme="majorHAnsi" w:hAnsiTheme="majorHAnsi"/>
          <w:sz w:val="20"/>
        </w:rPr>
        <w:t xml:space="preserve">visits to three municipalities (Aileu, Ainaro, Bobonaro) to gain a decentralised and frontline perspective as the basis for municipality case studies; </w:t>
      </w:r>
    </w:p>
    <w:p w14:paraId="2DA739A4" w14:textId="77777777" w:rsidR="008B233E" w:rsidRPr="008B233E" w:rsidRDefault="008B233E" w:rsidP="00C85D03">
      <w:pPr>
        <w:pStyle w:val="ListParagraph"/>
        <w:numPr>
          <w:ilvl w:val="0"/>
          <w:numId w:val="2"/>
        </w:numPr>
        <w:spacing w:after="120"/>
        <w:contextualSpacing w:val="0"/>
        <w:jc w:val="both"/>
        <w:rPr>
          <w:rFonts w:asciiTheme="majorHAnsi" w:hAnsiTheme="majorHAnsi"/>
          <w:sz w:val="20"/>
        </w:rPr>
      </w:pPr>
      <w:r w:rsidRPr="008B233E">
        <w:rPr>
          <w:rFonts w:asciiTheme="majorHAnsi" w:hAnsiTheme="majorHAnsi"/>
          <w:sz w:val="20"/>
        </w:rPr>
        <w:t xml:space="preserve">direct observations in five health facilities (HF), including Health Posts (HP), Community Health Centres (CHC) and Referral Hospital, and at three transport facilities; </w:t>
      </w:r>
    </w:p>
    <w:p w14:paraId="035B1ED3" w14:textId="77777777" w:rsidR="008B233E" w:rsidRPr="00B30C7F" w:rsidRDefault="008B233E" w:rsidP="00C85D03">
      <w:pPr>
        <w:pStyle w:val="ListParagraph"/>
        <w:numPr>
          <w:ilvl w:val="0"/>
          <w:numId w:val="2"/>
        </w:numPr>
        <w:spacing w:after="120"/>
        <w:contextualSpacing w:val="0"/>
        <w:jc w:val="both"/>
        <w:rPr>
          <w:rFonts w:asciiTheme="majorHAnsi" w:hAnsiTheme="majorHAnsi"/>
          <w:sz w:val="20"/>
        </w:rPr>
      </w:pPr>
      <w:r w:rsidRPr="008B233E">
        <w:rPr>
          <w:rFonts w:asciiTheme="majorHAnsi" w:hAnsiTheme="majorHAnsi"/>
          <w:sz w:val="20"/>
        </w:rPr>
        <w:t xml:space="preserve">focus group discussions (FGD) held separately with women and men in two communities, each FGD </w:t>
      </w:r>
      <w:r w:rsidRPr="00B30C7F">
        <w:rPr>
          <w:rFonts w:asciiTheme="majorHAnsi" w:hAnsiTheme="majorHAnsi"/>
          <w:sz w:val="20"/>
        </w:rPr>
        <w:t xml:space="preserve">involving roughly six to 12 community members; and </w:t>
      </w:r>
    </w:p>
    <w:p w14:paraId="59BA3AC0" w14:textId="77777777" w:rsidR="008B233E" w:rsidRPr="00B30C7F" w:rsidRDefault="008B233E" w:rsidP="00C85D03">
      <w:pPr>
        <w:pStyle w:val="ListParagraph"/>
        <w:numPr>
          <w:ilvl w:val="0"/>
          <w:numId w:val="2"/>
        </w:numPr>
        <w:spacing w:after="120"/>
        <w:contextualSpacing w:val="0"/>
        <w:jc w:val="both"/>
        <w:rPr>
          <w:rFonts w:asciiTheme="majorHAnsi" w:hAnsiTheme="majorHAnsi"/>
          <w:sz w:val="20"/>
        </w:rPr>
      </w:pPr>
      <w:r w:rsidRPr="00B30C7F">
        <w:rPr>
          <w:rFonts w:asciiTheme="majorHAnsi" w:hAnsiTheme="majorHAnsi"/>
          <w:sz w:val="20"/>
        </w:rPr>
        <w:lastRenderedPageBreak/>
        <w:t>a collaborative stakeholder workshop with over 40 participants representing Government of TL (GOTL), Implementing Partners (IP), United Nations (UN) agencies and others to validate preliminary findings and make suggestions for improving the program.</w:t>
      </w:r>
    </w:p>
    <w:p w14:paraId="586CB722" w14:textId="77777777" w:rsidR="008B233E" w:rsidRPr="00B30C7F" w:rsidRDefault="008B233E" w:rsidP="00C85D03">
      <w:pPr>
        <w:jc w:val="both"/>
        <w:rPr>
          <w:rFonts w:asciiTheme="majorHAnsi" w:hAnsiTheme="majorHAnsi" w:cs="Calibri Light"/>
          <w:color w:val="000000"/>
          <w:sz w:val="20"/>
        </w:rPr>
      </w:pPr>
    </w:p>
    <w:p w14:paraId="5DBA75F5" w14:textId="77777777" w:rsidR="008B233E" w:rsidRPr="00B30C7F" w:rsidRDefault="008B233E" w:rsidP="00C85D03">
      <w:pPr>
        <w:spacing w:after="120"/>
        <w:jc w:val="both"/>
        <w:rPr>
          <w:rFonts w:asciiTheme="majorHAnsi" w:hAnsiTheme="majorHAnsi" w:cs="Calibri Light"/>
          <w:color w:val="000000"/>
          <w:sz w:val="20"/>
        </w:rPr>
      </w:pPr>
      <w:r w:rsidRPr="00B30C7F">
        <w:rPr>
          <w:rFonts w:asciiTheme="majorHAnsi" w:hAnsiTheme="majorHAnsi" w:cs="Calibri Light"/>
          <w:color w:val="000000"/>
          <w:sz w:val="20"/>
        </w:rPr>
        <w:t>The methods had the following limitations:</w:t>
      </w:r>
    </w:p>
    <w:p w14:paraId="554C1357" w14:textId="77777777" w:rsidR="008B233E" w:rsidRPr="00B30C7F"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B30C7F">
        <w:rPr>
          <w:rFonts w:asciiTheme="majorHAnsi" w:hAnsiTheme="majorHAnsi" w:cs="Calibri Light"/>
          <w:color w:val="000000"/>
          <w:sz w:val="20"/>
        </w:rPr>
        <w:t xml:space="preserve">Because MOH senior staff were busy in meetings with the new Minister of Health and the timetable for meetings was quite tight, it was not possible for the team to meet with a few of the stakeholders who had originally been targeted. </w:t>
      </w:r>
    </w:p>
    <w:p w14:paraId="628EDA8D" w14:textId="77777777" w:rsidR="008B233E" w:rsidRPr="00B30C7F"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B30C7F">
        <w:rPr>
          <w:rFonts w:asciiTheme="majorHAnsi" w:hAnsiTheme="majorHAnsi" w:cs="Calibri Light"/>
          <w:color w:val="000000"/>
          <w:sz w:val="20"/>
        </w:rPr>
        <w:t>The presence of a member of MOH in the Review team and PHD observers in meetings with stakeholders might have influenced their responses and inhibited them from speaking frankly.</w:t>
      </w:r>
    </w:p>
    <w:p w14:paraId="1D634D49" w14:textId="77777777" w:rsidR="008B233E" w:rsidRPr="008B233E"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B30C7F">
        <w:rPr>
          <w:rFonts w:asciiTheme="majorHAnsi" w:hAnsiTheme="majorHAnsi" w:cs="Calibri Light"/>
          <w:color w:val="000000"/>
          <w:sz w:val="20"/>
        </w:rPr>
        <w:t>Full results of the 2016 Demographic and Health Survey (DHS 2016) had not</w:t>
      </w:r>
      <w:r w:rsidRPr="008B233E">
        <w:rPr>
          <w:rFonts w:asciiTheme="majorHAnsi" w:hAnsiTheme="majorHAnsi" w:cs="Calibri Light"/>
          <w:color w:val="000000"/>
          <w:sz w:val="20"/>
        </w:rPr>
        <w:t xml:space="preserve"> yet been released, so availability of recent high-quality population-based survey data was limited.</w:t>
      </w:r>
    </w:p>
    <w:p w14:paraId="059898E1" w14:textId="77777777" w:rsidR="008B233E" w:rsidRPr="008B233E"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8B233E">
        <w:rPr>
          <w:rFonts w:asciiTheme="majorHAnsi" w:hAnsiTheme="majorHAnsi" w:cs="Calibri Light"/>
          <w:color w:val="000000"/>
          <w:sz w:val="20"/>
        </w:rPr>
        <w:t>The reliability of routine data is uncertain (see Municipality case studies, Annex 8).</w:t>
      </w:r>
    </w:p>
    <w:p w14:paraId="4A2D9B6C" w14:textId="77777777" w:rsidR="008B233E" w:rsidRPr="008B233E"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8B233E">
        <w:rPr>
          <w:rFonts w:asciiTheme="majorHAnsi" w:hAnsiTheme="majorHAnsi" w:cs="Calibri Light"/>
          <w:color w:val="000000"/>
          <w:sz w:val="20"/>
        </w:rPr>
        <w:t>The date of the validation workshop had to be changed at short notice, so participation might have been affected.</w:t>
      </w:r>
    </w:p>
    <w:p w14:paraId="52B0541A" w14:textId="77777777" w:rsidR="008B233E" w:rsidRPr="008B233E"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8B233E">
        <w:rPr>
          <w:rFonts w:asciiTheme="majorHAnsi" w:hAnsiTheme="majorHAnsi" w:cs="Calibri Light"/>
          <w:color w:val="000000"/>
          <w:sz w:val="20"/>
        </w:rPr>
        <w:t>Evidently there was no overarching M&amp;E framework for the program, though there was a strategic framework for part of it from 2015.</w:t>
      </w:r>
    </w:p>
    <w:p w14:paraId="5197496D" w14:textId="77777777" w:rsidR="008B233E" w:rsidRPr="008B233E"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8B233E">
        <w:rPr>
          <w:rFonts w:asciiTheme="majorHAnsi" w:hAnsiTheme="majorHAnsi" w:cs="Calibri Light"/>
          <w:color w:val="000000"/>
          <w:sz w:val="20"/>
        </w:rPr>
        <w:t>Individual project results against outcome indicators were not provided to the review team in a consolidated format and reporting formats for the projects were not standardized. Some of the project annual reports for 2013-2016 were not available, and challenges in obtaining and/or interpreting some of the project reports required time-consuming email exchanges.</w:t>
      </w:r>
    </w:p>
    <w:p w14:paraId="33E8CE96" w14:textId="77777777" w:rsidR="008B233E" w:rsidRPr="008B233E"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8B233E">
        <w:rPr>
          <w:rFonts w:asciiTheme="majorHAnsi" w:hAnsiTheme="majorHAnsi" w:cs="Calibri Light"/>
          <w:color w:val="000000"/>
          <w:sz w:val="20"/>
        </w:rPr>
        <w:t xml:space="preserve">The need for translation in some meetings reduced the amount of information that could be obtained in the time available. </w:t>
      </w:r>
    </w:p>
    <w:p w14:paraId="054A313B" w14:textId="77777777" w:rsidR="008B233E" w:rsidRPr="008B233E" w:rsidRDefault="008B233E" w:rsidP="00C85D03">
      <w:pPr>
        <w:pStyle w:val="ListParagraph"/>
        <w:numPr>
          <w:ilvl w:val="0"/>
          <w:numId w:val="3"/>
        </w:numPr>
        <w:spacing w:after="120"/>
        <w:ind w:left="357" w:hanging="357"/>
        <w:contextualSpacing w:val="0"/>
        <w:jc w:val="both"/>
        <w:rPr>
          <w:rFonts w:asciiTheme="majorHAnsi" w:hAnsiTheme="majorHAnsi" w:cs="Calibri Light"/>
          <w:color w:val="000000"/>
          <w:sz w:val="20"/>
        </w:rPr>
      </w:pPr>
      <w:r w:rsidRPr="008B233E">
        <w:rPr>
          <w:rFonts w:asciiTheme="majorHAnsi" w:hAnsiTheme="majorHAnsi" w:cs="Calibri Light"/>
          <w:color w:val="000000"/>
          <w:sz w:val="20"/>
        </w:rPr>
        <w:t>Participation of national Review team members was in some instances constrained at short notice by the needs of their organizations.</w:t>
      </w:r>
    </w:p>
    <w:p w14:paraId="0A4F44A8" w14:textId="77777777" w:rsidR="008B233E" w:rsidRPr="008B233E" w:rsidRDefault="008B233E" w:rsidP="00C85D03">
      <w:pPr>
        <w:jc w:val="both"/>
        <w:rPr>
          <w:rFonts w:asciiTheme="majorHAnsi" w:hAnsiTheme="majorHAnsi" w:cs="Calibri Light"/>
          <w:color w:val="000000"/>
        </w:rPr>
      </w:pPr>
    </w:p>
    <w:p w14:paraId="1E09988E" w14:textId="77777777" w:rsidR="008B233E" w:rsidRDefault="00DA31F6" w:rsidP="00C85D03">
      <w:pPr>
        <w:pStyle w:val="Heading1"/>
        <w:jc w:val="both"/>
      </w:pPr>
      <w:bookmarkStart w:id="6" w:name="_Toc378838723"/>
      <w:r w:rsidRPr="00267B79">
        <w:t>FINDINGS</w:t>
      </w:r>
      <w:bookmarkEnd w:id="6"/>
    </w:p>
    <w:p w14:paraId="712E49EA" w14:textId="77777777" w:rsidR="008B233E" w:rsidRPr="008B233E" w:rsidRDefault="008B233E" w:rsidP="00C85D03">
      <w:pPr>
        <w:autoSpaceDE w:val="0"/>
        <w:autoSpaceDN w:val="0"/>
        <w:adjustRightInd w:val="0"/>
        <w:jc w:val="both"/>
        <w:rPr>
          <w:rFonts w:asciiTheme="majorHAnsi" w:hAnsiTheme="majorHAnsi" w:cs="Calibri Light"/>
          <w:color w:val="000000"/>
        </w:rPr>
      </w:pPr>
    </w:p>
    <w:p w14:paraId="17D6770B" w14:textId="77777777" w:rsidR="008B233E" w:rsidRPr="008B233E" w:rsidRDefault="008B233E" w:rsidP="00C85D03">
      <w:pPr>
        <w:jc w:val="both"/>
        <w:rPr>
          <w:rFonts w:asciiTheme="majorHAnsi" w:hAnsiTheme="majorHAnsi"/>
          <w:sz w:val="20"/>
        </w:rPr>
      </w:pPr>
      <w:r w:rsidRPr="008B233E">
        <w:rPr>
          <w:rFonts w:asciiTheme="majorHAnsi" w:hAnsiTheme="majorHAnsi"/>
          <w:sz w:val="20"/>
        </w:rPr>
        <w:t>Annex 4 is a summary of the preliminary findings that were validated by stakeholders at the workshop on 13</w:t>
      </w:r>
      <w:r w:rsidRPr="008B233E">
        <w:rPr>
          <w:rFonts w:asciiTheme="majorHAnsi" w:hAnsiTheme="majorHAnsi"/>
          <w:sz w:val="20"/>
          <w:vertAlign w:val="superscript"/>
        </w:rPr>
        <w:t>th</w:t>
      </w:r>
      <w:r w:rsidRPr="008B233E">
        <w:rPr>
          <w:rFonts w:asciiTheme="majorHAnsi" w:hAnsiTheme="majorHAnsi"/>
          <w:sz w:val="20"/>
        </w:rPr>
        <w:t xml:space="preserve"> October. </w:t>
      </w:r>
      <w:r w:rsidRPr="008B233E">
        <w:rPr>
          <w:rFonts w:asciiTheme="majorHAnsi" w:hAnsiTheme="majorHAnsi" w:cs="Calibri Light"/>
          <w:color w:val="000000"/>
          <w:sz w:val="20"/>
        </w:rPr>
        <w:t>More detailed findings, based on the above KEQs, are set out below, together with the following source codes:</w:t>
      </w:r>
    </w:p>
    <w:p w14:paraId="19A19D2B" w14:textId="77777777" w:rsidR="00E71F8A" w:rsidRDefault="00E71F8A">
      <w:pPr>
        <w:jc w:val="both"/>
        <w:rPr>
          <w:rFonts w:asciiTheme="majorHAnsi" w:hAnsiTheme="majorHAnsi" w:cstheme="majorHAnsi"/>
          <w:b/>
          <w:sz w:val="20"/>
          <w:szCs w:val="20"/>
        </w:rPr>
        <w:sectPr w:rsidR="00E71F8A">
          <w:type w:val="continuous"/>
          <w:pgSz w:w="11900" w:h="16840"/>
          <w:pgMar w:top="1440" w:right="1800" w:bottom="1440" w:left="1800" w:header="708" w:footer="708" w:gutter="0"/>
          <w:cols w:space="708"/>
        </w:sectPr>
      </w:pPr>
    </w:p>
    <w:p w14:paraId="681728A0" w14:textId="77777777" w:rsidR="00263D18" w:rsidRPr="00267B79" w:rsidRDefault="00263D18" w:rsidP="004E6E71">
      <w:pPr>
        <w:spacing w:after="40"/>
        <w:rPr>
          <w:rFonts w:asciiTheme="majorHAnsi" w:hAnsiTheme="majorHAnsi" w:cstheme="majorHAnsi"/>
          <w:color w:val="0000FF"/>
          <w:sz w:val="20"/>
          <w:szCs w:val="20"/>
        </w:rPr>
      </w:pPr>
    </w:p>
    <w:tbl>
      <w:tblPr>
        <w:tblStyle w:val="TableGrid"/>
        <w:tblW w:w="0" w:type="auto"/>
        <w:tblLook w:val="04A0" w:firstRow="1" w:lastRow="0" w:firstColumn="1" w:lastColumn="0" w:noHBand="0" w:noVBand="1"/>
      </w:tblPr>
      <w:tblGrid>
        <w:gridCol w:w="5213"/>
        <w:gridCol w:w="3077"/>
      </w:tblGrid>
      <w:tr w:rsidR="00263D18" w:rsidRPr="00267B79" w14:paraId="4980E9FB" w14:textId="77777777">
        <w:tc>
          <w:tcPr>
            <w:tcW w:w="5353" w:type="dxa"/>
            <w:vAlign w:val="center"/>
          </w:tcPr>
          <w:p w14:paraId="5B7E7031" w14:textId="77777777" w:rsidR="0099571F" w:rsidRPr="00267B79" w:rsidRDefault="0099571F" w:rsidP="0099571F">
            <w:pPr>
              <w:jc w:val="center"/>
              <w:rPr>
                <w:rFonts w:asciiTheme="majorHAnsi" w:hAnsiTheme="majorHAnsi"/>
                <w:b/>
                <w:sz w:val="20"/>
              </w:rPr>
            </w:pPr>
          </w:p>
          <w:p w14:paraId="1CA3017D" w14:textId="77777777" w:rsidR="0099571F" w:rsidRPr="00267B79" w:rsidRDefault="0011705F" w:rsidP="0099571F">
            <w:pPr>
              <w:jc w:val="center"/>
              <w:rPr>
                <w:rFonts w:asciiTheme="majorHAnsi" w:hAnsiTheme="majorHAnsi"/>
                <w:b/>
                <w:sz w:val="20"/>
              </w:rPr>
            </w:pPr>
            <w:r w:rsidRPr="0011705F">
              <w:rPr>
                <w:rFonts w:asciiTheme="majorHAnsi" w:hAnsiTheme="majorHAnsi"/>
                <w:b/>
                <w:sz w:val="20"/>
              </w:rPr>
              <w:t>Source code:</w:t>
            </w:r>
          </w:p>
          <w:p w14:paraId="347CCB4A" w14:textId="77777777" w:rsidR="00263D18" w:rsidRPr="00267B79" w:rsidRDefault="00263D18" w:rsidP="0099571F">
            <w:pPr>
              <w:jc w:val="center"/>
              <w:rPr>
                <w:rFonts w:asciiTheme="majorHAnsi" w:hAnsiTheme="majorHAnsi"/>
                <w:b/>
                <w:sz w:val="20"/>
              </w:rPr>
            </w:pPr>
          </w:p>
        </w:tc>
        <w:tc>
          <w:tcPr>
            <w:tcW w:w="3143" w:type="dxa"/>
            <w:vAlign w:val="center"/>
          </w:tcPr>
          <w:p w14:paraId="328F962C" w14:textId="77777777" w:rsidR="00263D18" w:rsidRPr="00267B79" w:rsidRDefault="0011705F" w:rsidP="0099571F">
            <w:pPr>
              <w:jc w:val="center"/>
              <w:rPr>
                <w:rFonts w:asciiTheme="majorHAnsi" w:hAnsiTheme="majorHAnsi"/>
                <w:b/>
                <w:sz w:val="20"/>
              </w:rPr>
            </w:pPr>
            <w:r w:rsidRPr="0011705F">
              <w:rPr>
                <w:rFonts w:asciiTheme="majorHAnsi" w:hAnsiTheme="majorHAnsi"/>
                <w:b/>
                <w:sz w:val="20"/>
              </w:rPr>
              <w:t>Method:</w:t>
            </w:r>
          </w:p>
        </w:tc>
      </w:tr>
      <w:tr w:rsidR="00263D18" w:rsidRPr="00267B79" w14:paraId="0EB752FC" w14:textId="77777777">
        <w:tc>
          <w:tcPr>
            <w:tcW w:w="5353" w:type="dxa"/>
          </w:tcPr>
          <w:p w14:paraId="719D0D69" w14:textId="77777777" w:rsidR="00263D18" w:rsidRPr="00267B79" w:rsidRDefault="0011705F" w:rsidP="003F5CED">
            <w:pPr>
              <w:rPr>
                <w:rFonts w:asciiTheme="majorHAnsi" w:hAnsiTheme="majorHAnsi"/>
                <w:sz w:val="20"/>
              </w:rPr>
            </w:pPr>
            <w:r w:rsidRPr="0011705F">
              <w:rPr>
                <w:rFonts w:asciiTheme="majorHAnsi" w:hAnsiTheme="majorHAnsi"/>
                <w:sz w:val="20"/>
              </w:rPr>
              <w:t>A. GOTL (MOH, UNTL, HNGV and SAMES)</w:t>
            </w:r>
          </w:p>
        </w:tc>
        <w:tc>
          <w:tcPr>
            <w:tcW w:w="3143" w:type="dxa"/>
          </w:tcPr>
          <w:p w14:paraId="31185D12" w14:textId="77777777" w:rsidR="00263D18" w:rsidRPr="00267B79" w:rsidRDefault="0011705F" w:rsidP="003F5CED">
            <w:pPr>
              <w:rPr>
                <w:rFonts w:asciiTheme="majorHAnsi" w:hAnsiTheme="majorHAnsi"/>
                <w:sz w:val="20"/>
              </w:rPr>
            </w:pPr>
            <w:r w:rsidRPr="0011705F">
              <w:rPr>
                <w:rFonts w:asciiTheme="majorHAnsi" w:hAnsiTheme="majorHAnsi"/>
                <w:sz w:val="20"/>
              </w:rPr>
              <w:t>Interviews</w:t>
            </w:r>
          </w:p>
        </w:tc>
      </w:tr>
      <w:tr w:rsidR="00263D18" w:rsidRPr="00267B79" w14:paraId="5BDEA801" w14:textId="77777777">
        <w:tc>
          <w:tcPr>
            <w:tcW w:w="5353" w:type="dxa"/>
          </w:tcPr>
          <w:p w14:paraId="29F7400D" w14:textId="77777777" w:rsidR="00263D18" w:rsidRPr="00267B79" w:rsidRDefault="0011705F" w:rsidP="003F5CED">
            <w:pPr>
              <w:rPr>
                <w:rFonts w:asciiTheme="majorHAnsi" w:hAnsiTheme="majorHAnsi"/>
                <w:sz w:val="20"/>
              </w:rPr>
            </w:pPr>
            <w:r w:rsidRPr="0011705F">
              <w:rPr>
                <w:rFonts w:asciiTheme="majorHAnsi" w:hAnsiTheme="majorHAnsi"/>
                <w:sz w:val="20"/>
              </w:rPr>
              <w:t>B. DFAT/PHD program IPs/TAs</w:t>
            </w:r>
          </w:p>
        </w:tc>
        <w:tc>
          <w:tcPr>
            <w:tcW w:w="3143" w:type="dxa"/>
          </w:tcPr>
          <w:p w14:paraId="0D60F689" w14:textId="77777777" w:rsidR="00263D18" w:rsidRPr="00267B79" w:rsidRDefault="00C974B8" w:rsidP="003F5CED">
            <w:pPr>
              <w:rPr>
                <w:rFonts w:asciiTheme="majorHAnsi" w:hAnsiTheme="majorHAnsi"/>
                <w:sz w:val="20"/>
              </w:rPr>
            </w:pPr>
            <w:r>
              <w:rPr>
                <w:rFonts w:asciiTheme="majorHAnsi" w:hAnsiTheme="majorHAnsi"/>
                <w:sz w:val="20"/>
              </w:rPr>
              <w:t>Interviews and d</w:t>
            </w:r>
            <w:r w:rsidR="0011705F" w:rsidRPr="0011705F">
              <w:rPr>
                <w:rFonts w:asciiTheme="majorHAnsi" w:hAnsiTheme="majorHAnsi"/>
                <w:sz w:val="20"/>
              </w:rPr>
              <w:t>ocument review</w:t>
            </w:r>
          </w:p>
        </w:tc>
      </w:tr>
      <w:tr w:rsidR="00263D18" w:rsidRPr="00267B79" w14:paraId="55E629C6" w14:textId="77777777">
        <w:tc>
          <w:tcPr>
            <w:tcW w:w="5353" w:type="dxa"/>
          </w:tcPr>
          <w:p w14:paraId="07E01E16" w14:textId="77777777" w:rsidR="00263D18" w:rsidRPr="00267B79" w:rsidRDefault="0011705F" w:rsidP="003F5CED">
            <w:pPr>
              <w:rPr>
                <w:rFonts w:asciiTheme="majorHAnsi" w:hAnsiTheme="majorHAnsi"/>
                <w:sz w:val="20"/>
              </w:rPr>
            </w:pPr>
            <w:r w:rsidRPr="0011705F">
              <w:rPr>
                <w:rFonts w:asciiTheme="majorHAnsi" w:hAnsiTheme="majorHAnsi"/>
                <w:sz w:val="20"/>
              </w:rPr>
              <w:t>C. UN agencies</w:t>
            </w:r>
          </w:p>
        </w:tc>
        <w:tc>
          <w:tcPr>
            <w:tcW w:w="3143" w:type="dxa"/>
          </w:tcPr>
          <w:p w14:paraId="3BEEDECD" w14:textId="77777777" w:rsidR="00263D18" w:rsidRPr="00267B79" w:rsidRDefault="0011705F" w:rsidP="003F5CED">
            <w:pPr>
              <w:rPr>
                <w:rFonts w:asciiTheme="majorHAnsi" w:hAnsiTheme="majorHAnsi"/>
                <w:sz w:val="20"/>
              </w:rPr>
            </w:pPr>
            <w:r w:rsidRPr="0011705F">
              <w:rPr>
                <w:rFonts w:asciiTheme="majorHAnsi" w:hAnsiTheme="majorHAnsi"/>
                <w:sz w:val="20"/>
              </w:rPr>
              <w:t>Interviews</w:t>
            </w:r>
          </w:p>
        </w:tc>
      </w:tr>
      <w:tr w:rsidR="00263D18" w:rsidRPr="00267B79" w14:paraId="09C60DE8" w14:textId="77777777">
        <w:tc>
          <w:tcPr>
            <w:tcW w:w="5353" w:type="dxa"/>
          </w:tcPr>
          <w:p w14:paraId="79DD7FD2" w14:textId="77777777" w:rsidR="00263D18" w:rsidRPr="00267B79" w:rsidRDefault="0011705F" w:rsidP="003F5CED">
            <w:pPr>
              <w:rPr>
                <w:rFonts w:asciiTheme="majorHAnsi" w:hAnsiTheme="majorHAnsi"/>
                <w:sz w:val="20"/>
              </w:rPr>
            </w:pPr>
            <w:r w:rsidRPr="0011705F">
              <w:rPr>
                <w:rFonts w:asciiTheme="majorHAnsi" w:hAnsiTheme="majorHAnsi"/>
                <w:sz w:val="20"/>
              </w:rPr>
              <w:t>D. Bilateral donors and their IPs (USAID/JSI, KOICA)</w:t>
            </w:r>
          </w:p>
        </w:tc>
        <w:tc>
          <w:tcPr>
            <w:tcW w:w="3143" w:type="dxa"/>
          </w:tcPr>
          <w:p w14:paraId="417D94E6" w14:textId="77777777" w:rsidR="00263D18" w:rsidRPr="00267B79" w:rsidRDefault="0011705F" w:rsidP="003F5CED">
            <w:pPr>
              <w:rPr>
                <w:rFonts w:asciiTheme="majorHAnsi" w:hAnsiTheme="majorHAnsi"/>
                <w:sz w:val="20"/>
              </w:rPr>
            </w:pPr>
            <w:r w:rsidRPr="0011705F">
              <w:rPr>
                <w:rFonts w:asciiTheme="majorHAnsi" w:hAnsiTheme="majorHAnsi"/>
                <w:sz w:val="20"/>
              </w:rPr>
              <w:t>Interviews</w:t>
            </w:r>
          </w:p>
        </w:tc>
      </w:tr>
      <w:tr w:rsidR="00263D18" w:rsidRPr="00267B79" w14:paraId="5C323A4B" w14:textId="77777777">
        <w:tc>
          <w:tcPr>
            <w:tcW w:w="5353" w:type="dxa"/>
          </w:tcPr>
          <w:p w14:paraId="0E10224D" w14:textId="77777777" w:rsidR="00263D18" w:rsidRPr="00267B79" w:rsidRDefault="008B233E" w:rsidP="003F5CED">
            <w:pPr>
              <w:rPr>
                <w:rFonts w:asciiTheme="majorHAnsi" w:hAnsiTheme="majorHAnsi"/>
                <w:sz w:val="20"/>
              </w:rPr>
            </w:pPr>
            <w:r w:rsidRPr="008B233E">
              <w:rPr>
                <w:rFonts w:asciiTheme="majorHAnsi" w:hAnsiTheme="majorHAnsi"/>
                <w:sz w:val="20"/>
              </w:rPr>
              <w:t>E. Municipalities (general, health)</w:t>
            </w:r>
          </w:p>
        </w:tc>
        <w:tc>
          <w:tcPr>
            <w:tcW w:w="3143" w:type="dxa"/>
          </w:tcPr>
          <w:p w14:paraId="1C008D1C" w14:textId="77777777" w:rsidR="00263D18" w:rsidRPr="00267B79" w:rsidRDefault="0011705F" w:rsidP="003F5CED">
            <w:pPr>
              <w:rPr>
                <w:rFonts w:asciiTheme="majorHAnsi" w:hAnsiTheme="majorHAnsi"/>
                <w:sz w:val="20"/>
              </w:rPr>
            </w:pPr>
            <w:r w:rsidRPr="0011705F">
              <w:rPr>
                <w:rFonts w:asciiTheme="majorHAnsi" w:hAnsiTheme="majorHAnsi"/>
                <w:sz w:val="20"/>
              </w:rPr>
              <w:t>Interviews</w:t>
            </w:r>
          </w:p>
        </w:tc>
      </w:tr>
      <w:tr w:rsidR="00263D18" w:rsidRPr="00267B79" w14:paraId="16EB1FAA" w14:textId="77777777">
        <w:tc>
          <w:tcPr>
            <w:tcW w:w="5353" w:type="dxa"/>
          </w:tcPr>
          <w:p w14:paraId="0DF34842" w14:textId="77777777" w:rsidR="00263D18" w:rsidRPr="00267B79" w:rsidRDefault="0011705F" w:rsidP="003F5CED">
            <w:pPr>
              <w:rPr>
                <w:rFonts w:asciiTheme="majorHAnsi" w:hAnsiTheme="majorHAnsi"/>
                <w:sz w:val="20"/>
              </w:rPr>
            </w:pPr>
            <w:r w:rsidRPr="0011705F">
              <w:rPr>
                <w:rFonts w:asciiTheme="majorHAnsi" w:hAnsiTheme="majorHAnsi"/>
                <w:sz w:val="20"/>
              </w:rPr>
              <w:t>F. Hospitals</w:t>
            </w:r>
          </w:p>
        </w:tc>
        <w:tc>
          <w:tcPr>
            <w:tcW w:w="3143" w:type="dxa"/>
          </w:tcPr>
          <w:p w14:paraId="4927CCDD" w14:textId="77777777" w:rsidR="00263D18" w:rsidRPr="00267B79" w:rsidRDefault="00C974B8" w:rsidP="003F5CED">
            <w:pPr>
              <w:rPr>
                <w:rFonts w:asciiTheme="majorHAnsi" w:hAnsiTheme="majorHAnsi"/>
                <w:sz w:val="20"/>
              </w:rPr>
            </w:pPr>
            <w:r>
              <w:rPr>
                <w:rFonts w:asciiTheme="majorHAnsi" w:hAnsiTheme="majorHAnsi"/>
                <w:sz w:val="20"/>
              </w:rPr>
              <w:t>Interviews and o</w:t>
            </w:r>
            <w:r w:rsidR="0011705F" w:rsidRPr="0011705F">
              <w:rPr>
                <w:rFonts w:asciiTheme="majorHAnsi" w:hAnsiTheme="majorHAnsi"/>
                <w:sz w:val="20"/>
              </w:rPr>
              <w:t>bservations</w:t>
            </w:r>
          </w:p>
        </w:tc>
      </w:tr>
      <w:tr w:rsidR="00263D18" w:rsidRPr="00267B79" w14:paraId="02C5DF75" w14:textId="77777777">
        <w:tc>
          <w:tcPr>
            <w:tcW w:w="5353" w:type="dxa"/>
          </w:tcPr>
          <w:p w14:paraId="552A8D61" w14:textId="77777777" w:rsidR="00263D18" w:rsidRPr="00267B79" w:rsidRDefault="0011705F" w:rsidP="003F5CED">
            <w:pPr>
              <w:rPr>
                <w:rFonts w:asciiTheme="majorHAnsi" w:hAnsiTheme="majorHAnsi"/>
                <w:sz w:val="20"/>
              </w:rPr>
            </w:pPr>
            <w:r w:rsidRPr="0011705F">
              <w:rPr>
                <w:rFonts w:asciiTheme="majorHAnsi" w:hAnsiTheme="majorHAnsi"/>
                <w:sz w:val="20"/>
              </w:rPr>
              <w:t>G. CHCs</w:t>
            </w:r>
          </w:p>
        </w:tc>
        <w:tc>
          <w:tcPr>
            <w:tcW w:w="3143" w:type="dxa"/>
          </w:tcPr>
          <w:p w14:paraId="5C7EAD29" w14:textId="77777777" w:rsidR="00263D18" w:rsidRPr="00267B79" w:rsidRDefault="00C974B8" w:rsidP="003F5CED">
            <w:pPr>
              <w:rPr>
                <w:rFonts w:asciiTheme="majorHAnsi" w:hAnsiTheme="majorHAnsi"/>
                <w:sz w:val="20"/>
              </w:rPr>
            </w:pPr>
            <w:r>
              <w:rPr>
                <w:rFonts w:asciiTheme="majorHAnsi" w:hAnsiTheme="majorHAnsi"/>
                <w:sz w:val="20"/>
              </w:rPr>
              <w:t>Interviews and o</w:t>
            </w:r>
            <w:r w:rsidR="0011705F" w:rsidRPr="0011705F">
              <w:rPr>
                <w:rFonts w:asciiTheme="majorHAnsi" w:hAnsiTheme="majorHAnsi"/>
                <w:sz w:val="20"/>
              </w:rPr>
              <w:t>bservations</w:t>
            </w:r>
          </w:p>
        </w:tc>
      </w:tr>
      <w:tr w:rsidR="00263D18" w:rsidRPr="00267B79" w14:paraId="683DAE3C" w14:textId="77777777">
        <w:tc>
          <w:tcPr>
            <w:tcW w:w="5353" w:type="dxa"/>
          </w:tcPr>
          <w:p w14:paraId="7C1A2BA5" w14:textId="77777777" w:rsidR="00263D18" w:rsidRPr="00267B79" w:rsidRDefault="0011705F" w:rsidP="003F5CED">
            <w:pPr>
              <w:rPr>
                <w:rFonts w:asciiTheme="majorHAnsi" w:hAnsiTheme="majorHAnsi"/>
                <w:sz w:val="20"/>
              </w:rPr>
            </w:pPr>
            <w:r w:rsidRPr="0011705F">
              <w:rPr>
                <w:rFonts w:asciiTheme="majorHAnsi" w:hAnsiTheme="majorHAnsi"/>
                <w:sz w:val="20"/>
              </w:rPr>
              <w:t xml:space="preserve">H. HPs </w:t>
            </w:r>
          </w:p>
        </w:tc>
        <w:tc>
          <w:tcPr>
            <w:tcW w:w="3143" w:type="dxa"/>
          </w:tcPr>
          <w:p w14:paraId="1309563A" w14:textId="77777777" w:rsidR="00263D18" w:rsidRPr="00267B79" w:rsidRDefault="00C974B8" w:rsidP="003F5CED">
            <w:pPr>
              <w:rPr>
                <w:rFonts w:asciiTheme="majorHAnsi" w:hAnsiTheme="majorHAnsi"/>
                <w:sz w:val="20"/>
              </w:rPr>
            </w:pPr>
            <w:r>
              <w:rPr>
                <w:rFonts w:asciiTheme="majorHAnsi" w:hAnsiTheme="majorHAnsi"/>
                <w:sz w:val="20"/>
              </w:rPr>
              <w:t>Interviews and o</w:t>
            </w:r>
            <w:r w:rsidR="0011705F" w:rsidRPr="0011705F">
              <w:rPr>
                <w:rFonts w:asciiTheme="majorHAnsi" w:hAnsiTheme="majorHAnsi"/>
                <w:sz w:val="20"/>
              </w:rPr>
              <w:t>bservations</w:t>
            </w:r>
          </w:p>
        </w:tc>
      </w:tr>
      <w:tr w:rsidR="00263D18" w:rsidRPr="00267B79" w14:paraId="1243A7F8" w14:textId="77777777">
        <w:tc>
          <w:tcPr>
            <w:tcW w:w="5353" w:type="dxa"/>
          </w:tcPr>
          <w:p w14:paraId="2152125C" w14:textId="77777777" w:rsidR="00263D18" w:rsidRPr="00267B79" w:rsidRDefault="0011705F" w:rsidP="003F5CED">
            <w:pPr>
              <w:rPr>
                <w:rFonts w:asciiTheme="majorHAnsi" w:hAnsiTheme="majorHAnsi"/>
                <w:sz w:val="20"/>
              </w:rPr>
            </w:pPr>
            <w:r w:rsidRPr="0011705F">
              <w:rPr>
                <w:rFonts w:asciiTheme="majorHAnsi" w:hAnsiTheme="majorHAnsi"/>
                <w:sz w:val="20"/>
              </w:rPr>
              <w:t xml:space="preserve">I. </w:t>
            </w:r>
            <w:r w:rsidRPr="00C974B8">
              <w:rPr>
                <w:rFonts w:asciiTheme="majorHAnsi" w:hAnsiTheme="majorHAnsi"/>
                <w:i/>
                <w:sz w:val="20"/>
              </w:rPr>
              <w:t>Suco</w:t>
            </w:r>
            <w:r w:rsidR="00C974B8">
              <w:rPr>
                <w:rFonts w:asciiTheme="majorHAnsi" w:hAnsiTheme="majorHAnsi"/>
                <w:sz w:val="20"/>
              </w:rPr>
              <w:t>/village</w:t>
            </w:r>
            <w:r w:rsidRPr="0011705F">
              <w:rPr>
                <w:rFonts w:asciiTheme="majorHAnsi" w:hAnsiTheme="majorHAnsi"/>
                <w:sz w:val="20"/>
              </w:rPr>
              <w:t xml:space="preserve"> council and </w:t>
            </w:r>
            <w:r w:rsidR="00C974B8">
              <w:rPr>
                <w:rFonts w:asciiTheme="majorHAnsi" w:hAnsiTheme="majorHAnsi"/>
                <w:sz w:val="20"/>
              </w:rPr>
              <w:t>Mother Support Groups (</w:t>
            </w:r>
            <w:r w:rsidRPr="0011705F">
              <w:rPr>
                <w:rFonts w:asciiTheme="majorHAnsi" w:hAnsiTheme="majorHAnsi"/>
                <w:sz w:val="20"/>
              </w:rPr>
              <w:t>MSG</w:t>
            </w:r>
            <w:r w:rsidR="00C974B8">
              <w:rPr>
                <w:rFonts w:asciiTheme="majorHAnsi" w:hAnsiTheme="majorHAnsi"/>
                <w:sz w:val="20"/>
              </w:rPr>
              <w:t>)</w:t>
            </w:r>
          </w:p>
        </w:tc>
        <w:tc>
          <w:tcPr>
            <w:tcW w:w="3143" w:type="dxa"/>
          </w:tcPr>
          <w:p w14:paraId="64970FBD" w14:textId="77777777" w:rsidR="00263D18" w:rsidRPr="00267B79" w:rsidRDefault="0011705F" w:rsidP="003F5CED">
            <w:pPr>
              <w:rPr>
                <w:rFonts w:asciiTheme="majorHAnsi" w:hAnsiTheme="majorHAnsi"/>
                <w:sz w:val="20"/>
              </w:rPr>
            </w:pPr>
            <w:r w:rsidRPr="0011705F">
              <w:rPr>
                <w:rFonts w:asciiTheme="majorHAnsi" w:hAnsiTheme="majorHAnsi"/>
                <w:sz w:val="20"/>
              </w:rPr>
              <w:t>Interviews</w:t>
            </w:r>
          </w:p>
        </w:tc>
      </w:tr>
      <w:tr w:rsidR="00263D18" w:rsidRPr="00267B79" w14:paraId="714AC003" w14:textId="77777777">
        <w:tc>
          <w:tcPr>
            <w:tcW w:w="5353" w:type="dxa"/>
          </w:tcPr>
          <w:p w14:paraId="488F948F" w14:textId="77777777" w:rsidR="00263D18" w:rsidRPr="00267B79" w:rsidRDefault="0011705F" w:rsidP="003F5CED">
            <w:pPr>
              <w:rPr>
                <w:rFonts w:asciiTheme="majorHAnsi" w:hAnsiTheme="majorHAnsi"/>
                <w:sz w:val="20"/>
              </w:rPr>
            </w:pPr>
            <w:r w:rsidRPr="0011705F">
              <w:rPr>
                <w:rFonts w:asciiTheme="majorHAnsi" w:hAnsiTheme="majorHAnsi"/>
                <w:sz w:val="20"/>
              </w:rPr>
              <w:t>J. Community members</w:t>
            </w:r>
          </w:p>
        </w:tc>
        <w:tc>
          <w:tcPr>
            <w:tcW w:w="3143" w:type="dxa"/>
          </w:tcPr>
          <w:p w14:paraId="47430605" w14:textId="77777777" w:rsidR="00263D18" w:rsidRPr="00267B79" w:rsidRDefault="00C974B8" w:rsidP="003F5CED">
            <w:pPr>
              <w:rPr>
                <w:rFonts w:asciiTheme="majorHAnsi" w:hAnsiTheme="majorHAnsi"/>
                <w:sz w:val="20"/>
              </w:rPr>
            </w:pPr>
            <w:r>
              <w:rPr>
                <w:rFonts w:asciiTheme="majorHAnsi" w:hAnsiTheme="majorHAnsi"/>
                <w:sz w:val="20"/>
              </w:rPr>
              <w:t>Focus group d</w:t>
            </w:r>
            <w:r w:rsidR="0011705F" w:rsidRPr="0011705F">
              <w:rPr>
                <w:rFonts w:asciiTheme="majorHAnsi" w:hAnsiTheme="majorHAnsi"/>
                <w:sz w:val="20"/>
              </w:rPr>
              <w:t>iscussions</w:t>
            </w:r>
          </w:p>
        </w:tc>
      </w:tr>
      <w:tr w:rsidR="00263D18" w:rsidRPr="00267B79" w14:paraId="17AE6D34" w14:textId="77777777">
        <w:tc>
          <w:tcPr>
            <w:tcW w:w="5353" w:type="dxa"/>
          </w:tcPr>
          <w:p w14:paraId="5BB516E5" w14:textId="77777777" w:rsidR="00263D18" w:rsidRPr="00267B79" w:rsidRDefault="0011705F" w:rsidP="003F5CED">
            <w:pPr>
              <w:rPr>
                <w:rFonts w:asciiTheme="majorHAnsi" w:hAnsiTheme="majorHAnsi"/>
                <w:sz w:val="20"/>
              </w:rPr>
            </w:pPr>
            <w:r w:rsidRPr="0011705F">
              <w:rPr>
                <w:rFonts w:asciiTheme="majorHAnsi" w:hAnsiTheme="majorHAnsi"/>
                <w:sz w:val="20"/>
              </w:rPr>
              <w:t>K. Health professionals associations</w:t>
            </w:r>
          </w:p>
        </w:tc>
        <w:tc>
          <w:tcPr>
            <w:tcW w:w="3143" w:type="dxa"/>
          </w:tcPr>
          <w:p w14:paraId="4D3C26EF" w14:textId="77777777" w:rsidR="00263D18" w:rsidRPr="00267B79" w:rsidRDefault="0011705F" w:rsidP="003F5CED">
            <w:pPr>
              <w:rPr>
                <w:rFonts w:asciiTheme="majorHAnsi" w:hAnsiTheme="majorHAnsi"/>
                <w:sz w:val="20"/>
              </w:rPr>
            </w:pPr>
            <w:r w:rsidRPr="0011705F">
              <w:rPr>
                <w:rFonts w:asciiTheme="majorHAnsi" w:hAnsiTheme="majorHAnsi"/>
                <w:sz w:val="20"/>
              </w:rPr>
              <w:t>Interviews</w:t>
            </w:r>
          </w:p>
        </w:tc>
      </w:tr>
      <w:tr w:rsidR="00263D18" w:rsidRPr="00267B79" w14:paraId="0E5C77E7" w14:textId="77777777">
        <w:tc>
          <w:tcPr>
            <w:tcW w:w="5353" w:type="dxa"/>
          </w:tcPr>
          <w:p w14:paraId="19A01738" w14:textId="77777777" w:rsidR="00263D18" w:rsidRPr="00267B79" w:rsidRDefault="0011705F" w:rsidP="003F5CED">
            <w:pPr>
              <w:rPr>
                <w:rFonts w:asciiTheme="majorHAnsi" w:hAnsiTheme="majorHAnsi"/>
                <w:sz w:val="20"/>
              </w:rPr>
            </w:pPr>
            <w:r w:rsidRPr="0011705F">
              <w:rPr>
                <w:rFonts w:asciiTheme="majorHAnsi" w:hAnsiTheme="majorHAnsi"/>
                <w:sz w:val="20"/>
              </w:rPr>
              <w:t>L. NGOs (ANCP and St John of God)</w:t>
            </w:r>
          </w:p>
        </w:tc>
        <w:tc>
          <w:tcPr>
            <w:tcW w:w="3143" w:type="dxa"/>
          </w:tcPr>
          <w:p w14:paraId="2DA78315" w14:textId="77777777" w:rsidR="00263D18" w:rsidRPr="00267B79" w:rsidRDefault="0011705F" w:rsidP="003F5CED">
            <w:pPr>
              <w:rPr>
                <w:rFonts w:asciiTheme="majorHAnsi" w:hAnsiTheme="majorHAnsi"/>
                <w:sz w:val="20"/>
              </w:rPr>
            </w:pPr>
            <w:r w:rsidRPr="0011705F">
              <w:rPr>
                <w:rFonts w:asciiTheme="majorHAnsi" w:hAnsiTheme="majorHAnsi"/>
                <w:sz w:val="20"/>
              </w:rPr>
              <w:t>Interviews</w:t>
            </w:r>
          </w:p>
        </w:tc>
      </w:tr>
      <w:tr w:rsidR="00263D18" w:rsidRPr="00267B79" w14:paraId="56D21937" w14:textId="77777777">
        <w:tc>
          <w:tcPr>
            <w:tcW w:w="5353" w:type="dxa"/>
          </w:tcPr>
          <w:p w14:paraId="0C708009" w14:textId="77777777" w:rsidR="00263D18" w:rsidRPr="00267B79" w:rsidRDefault="0011705F" w:rsidP="00812F3F">
            <w:pPr>
              <w:rPr>
                <w:rFonts w:asciiTheme="majorHAnsi" w:hAnsiTheme="majorHAnsi"/>
                <w:sz w:val="20"/>
              </w:rPr>
            </w:pPr>
            <w:r w:rsidRPr="0011705F">
              <w:rPr>
                <w:rFonts w:asciiTheme="majorHAnsi" w:hAnsiTheme="majorHAnsi"/>
                <w:sz w:val="20"/>
              </w:rPr>
              <w:lastRenderedPageBreak/>
              <w:t>M. Team members or Strategic Adviser to the Review</w:t>
            </w:r>
          </w:p>
        </w:tc>
        <w:tc>
          <w:tcPr>
            <w:tcW w:w="3143" w:type="dxa"/>
          </w:tcPr>
          <w:p w14:paraId="52EC85B4" w14:textId="77777777" w:rsidR="00263D18" w:rsidRPr="00267B79" w:rsidRDefault="0011705F" w:rsidP="003F5CED">
            <w:pPr>
              <w:rPr>
                <w:rFonts w:asciiTheme="majorHAnsi" w:hAnsiTheme="majorHAnsi"/>
                <w:sz w:val="20"/>
              </w:rPr>
            </w:pPr>
            <w:r w:rsidRPr="0011705F">
              <w:rPr>
                <w:rFonts w:asciiTheme="majorHAnsi" w:hAnsiTheme="majorHAnsi"/>
                <w:sz w:val="20"/>
              </w:rPr>
              <w:t>Meetings</w:t>
            </w:r>
          </w:p>
        </w:tc>
      </w:tr>
      <w:tr w:rsidR="00263D18" w:rsidRPr="00267B79" w14:paraId="7064FAF1" w14:textId="77777777">
        <w:tc>
          <w:tcPr>
            <w:tcW w:w="5353" w:type="dxa"/>
          </w:tcPr>
          <w:p w14:paraId="551E301E" w14:textId="77777777" w:rsidR="00263D18" w:rsidRPr="00267B79" w:rsidRDefault="0011705F" w:rsidP="00263D18">
            <w:pPr>
              <w:rPr>
                <w:rFonts w:asciiTheme="majorHAnsi" w:hAnsiTheme="majorHAnsi"/>
                <w:sz w:val="20"/>
              </w:rPr>
            </w:pPr>
            <w:r w:rsidRPr="0011705F">
              <w:rPr>
                <w:rFonts w:asciiTheme="majorHAnsi" w:hAnsiTheme="majorHAnsi"/>
                <w:sz w:val="20"/>
              </w:rPr>
              <w:t xml:space="preserve">N. DFAT </w:t>
            </w:r>
          </w:p>
        </w:tc>
        <w:tc>
          <w:tcPr>
            <w:tcW w:w="3143" w:type="dxa"/>
          </w:tcPr>
          <w:p w14:paraId="0228C046" w14:textId="77777777" w:rsidR="00263D18" w:rsidRPr="00267B79" w:rsidRDefault="0011705F" w:rsidP="003F5CED">
            <w:pPr>
              <w:rPr>
                <w:rFonts w:asciiTheme="majorHAnsi" w:hAnsiTheme="majorHAnsi"/>
                <w:sz w:val="20"/>
              </w:rPr>
            </w:pPr>
            <w:r w:rsidRPr="0011705F">
              <w:rPr>
                <w:rFonts w:asciiTheme="majorHAnsi" w:hAnsiTheme="majorHAnsi"/>
                <w:sz w:val="20"/>
              </w:rPr>
              <w:t xml:space="preserve">Interviews </w:t>
            </w:r>
          </w:p>
        </w:tc>
      </w:tr>
      <w:tr w:rsidR="00263D18" w:rsidRPr="00267B79" w14:paraId="10FA838C" w14:textId="77777777">
        <w:trPr>
          <w:trHeight w:val="307"/>
        </w:trPr>
        <w:tc>
          <w:tcPr>
            <w:tcW w:w="5353" w:type="dxa"/>
          </w:tcPr>
          <w:p w14:paraId="6CFBF4A0" w14:textId="77777777" w:rsidR="00263D18" w:rsidRPr="00267B79" w:rsidRDefault="0011705F" w:rsidP="00263D18">
            <w:pPr>
              <w:rPr>
                <w:rFonts w:asciiTheme="majorHAnsi" w:hAnsiTheme="majorHAnsi"/>
                <w:sz w:val="20"/>
              </w:rPr>
            </w:pPr>
            <w:r w:rsidRPr="0011705F">
              <w:rPr>
                <w:rFonts w:asciiTheme="majorHAnsi" w:hAnsiTheme="majorHAnsi"/>
                <w:sz w:val="20"/>
              </w:rPr>
              <w:t>O. PHD staff</w:t>
            </w:r>
          </w:p>
        </w:tc>
        <w:tc>
          <w:tcPr>
            <w:tcW w:w="3143" w:type="dxa"/>
          </w:tcPr>
          <w:p w14:paraId="18E47F76" w14:textId="77777777" w:rsidR="00263D18" w:rsidRPr="00267B79" w:rsidRDefault="0011705F" w:rsidP="003F5CED">
            <w:pPr>
              <w:rPr>
                <w:rFonts w:asciiTheme="majorHAnsi" w:hAnsiTheme="majorHAnsi"/>
                <w:sz w:val="20"/>
              </w:rPr>
            </w:pPr>
            <w:r w:rsidRPr="0011705F">
              <w:rPr>
                <w:rFonts w:asciiTheme="majorHAnsi" w:hAnsiTheme="majorHAnsi"/>
                <w:sz w:val="20"/>
              </w:rPr>
              <w:t>Meetings, email exchanges</w:t>
            </w:r>
          </w:p>
        </w:tc>
      </w:tr>
    </w:tbl>
    <w:p w14:paraId="759555BE" w14:textId="77777777" w:rsidR="00DA31F6" w:rsidRPr="00267B79" w:rsidRDefault="00DA31F6" w:rsidP="009D1AA1">
      <w:pPr>
        <w:spacing w:after="40"/>
        <w:rPr>
          <w:rFonts w:asciiTheme="majorHAnsi" w:hAnsiTheme="majorHAnsi" w:cstheme="majorHAnsi"/>
          <w:color w:val="0000FF"/>
          <w:sz w:val="20"/>
          <w:szCs w:val="20"/>
        </w:rPr>
        <w:sectPr w:rsidR="00DA31F6" w:rsidRPr="00267B79">
          <w:type w:val="continuous"/>
          <w:pgSz w:w="11900" w:h="16840"/>
          <w:pgMar w:top="1440" w:right="1800" w:bottom="1440" w:left="1800" w:header="708" w:footer="708" w:gutter="0"/>
          <w:cols w:space="720"/>
        </w:sectPr>
      </w:pPr>
    </w:p>
    <w:p w14:paraId="7D074997" w14:textId="77777777" w:rsidR="008B233E" w:rsidRPr="008B233E" w:rsidRDefault="008B233E" w:rsidP="005478E9">
      <w:pPr>
        <w:autoSpaceDE w:val="0"/>
        <w:autoSpaceDN w:val="0"/>
        <w:adjustRightInd w:val="0"/>
        <w:spacing w:after="120"/>
        <w:jc w:val="both"/>
        <w:rPr>
          <w:rFonts w:asciiTheme="majorHAnsi" w:hAnsiTheme="majorHAnsi" w:cs="Calibri Light"/>
          <w:color w:val="000000"/>
          <w:sz w:val="24"/>
        </w:rPr>
        <w:sectPr w:rsidR="008B233E" w:rsidRPr="008B233E">
          <w:type w:val="continuous"/>
          <w:pgSz w:w="11900" w:h="16840"/>
          <w:pgMar w:top="1440" w:right="1800" w:bottom="1440" w:left="1800" w:header="708" w:footer="708" w:gutter="0"/>
          <w:cols w:num="2" w:space="720"/>
        </w:sectPr>
      </w:pPr>
    </w:p>
    <w:p w14:paraId="1B9F1188" w14:textId="77777777" w:rsidR="008B233E" w:rsidRDefault="008B233E" w:rsidP="008B233E">
      <w:pPr>
        <w:autoSpaceDE w:val="0"/>
        <w:autoSpaceDN w:val="0"/>
        <w:adjustRightInd w:val="0"/>
        <w:spacing w:after="120"/>
        <w:jc w:val="both"/>
        <w:rPr>
          <w:rFonts w:asciiTheme="majorHAnsi" w:hAnsiTheme="majorHAnsi" w:cstheme="majorHAnsi"/>
          <w:b/>
          <w:sz w:val="20"/>
          <w:szCs w:val="20"/>
        </w:rPr>
      </w:pPr>
    </w:p>
    <w:p w14:paraId="407042A2" w14:textId="77777777" w:rsidR="008B233E" w:rsidRDefault="00B44EA6" w:rsidP="008B233E">
      <w:pPr>
        <w:pStyle w:val="Heading2"/>
        <w:jc w:val="both"/>
      </w:pPr>
      <w:bookmarkStart w:id="7" w:name="_Toc378838724"/>
      <w:r w:rsidRPr="00267B79">
        <w:t xml:space="preserve">1.  Strengths and gaps in the health sector that affect </w:t>
      </w:r>
      <w:r w:rsidR="00592881" w:rsidRPr="00267B79">
        <w:t>RMNCH</w:t>
      </w:r>
      <w:r w:rsidRPr="00267B79">
        <w:t xml:space="preserve"> in Timor</w:t>
      </w:r>
      <w:r w:rsidR="00B11DE6">
        <w:t>-</w:t>
      </w:r>
      <w:r w:rsidRPr="00267B79">
        <w:t>Leste</w:t>
      </w:r>
      <w:bookmarkEnd w:id="7"/>
    </w:p>
    <w:p w14:paraId="2DB90B7B" w14:textId="77777777" w:rsidR="008B233E" w:rsidRPr="008B233E" w:rsidRDefault="008B233E" w:rsidP="008B233E">
      <w:pPr>
        <w:jc w:val="both"/>
        <w:rPr>
          <w:rFonts w:asciiTheme="majorHAnsi" w:hAnsiTheme="majorHAnsi"/>
        </w:rPr>
      </w:pPr>
    </w:p>
    <w:tbl>
      <w:tblPr>
        <w:tblW w:w="0" w:type="auto"/>
        <w:tblLook w:val="00A0" w:firstRow="1" w:lastRow="0" w:firstColumn="1" w:lastColumn="0" w:noHBand="0" w:noVBand="0"/>
      </w:tblPr>
      <w:tblGrid>
        <w:gridCol w:w="7370"/>
        <w:gridCol w:w="930"/>
      </w:tblGrid>
      <w:tr w:rsidR="00DA31F6" w:rsidRPr="00267B79" w14:paraId="06046FE6" w14:textId="77777777">
        <w:tc>
          <w:tcPr>
            <w:tcW w:w="0" w:type="auto"/>
          </w:tcPr>
          <w:p w14:paraId="2EFA443A" w14:textId="77777777" w:rsidR="008B233E" w:rsidRPr="008B233E" w:rsidRDefault="008B233E" w:rsidP="008B233E">
            <w:pPr>
              <w:jc w:val="both"/>
              <w:rPr>
                <w:rFonts w:asciiTheme="majorHAnsi" w:hAnsiTheme="majorHAnsi" w:cstheme="majorHAnsi"/>
                <w:sz w:val="20"/>
                <w:szCs w:val="20"/>
              </w:rPr>
            </w:pPr>
          </w:p>
        </w:tc>
        <w:tc>
          <w:tcPr>
            <w:tcW w:w="0" w:type="auto"/>
            <w:vAlign w:val="center"/>
          </w:tcPr>
          <w:p w14:paraId="5218370B" w14:textId="77777777" w:rsidR="008B233E" w:rsidRPr="008B233E" w:rsidRDefault="008B233E" w:rsidP="008B233E">
            <w:pPr>
              <w:jc w:val="both"/>
              <w:rPr>
                <w:rFonts w:asciiTheme="majorHAnsi" w:hAnsiTheme="majorHAnsi" w:cs="Calibri Light"/>
                <w:b/>
                <w:color w:val="0000FF"/>
                <w:sz w:val="20"/>
              </w:rPr>
            </w:pPr>
            <w:r w:rsidRPr="008B233E">
              <w:rPr>
                <w:rFonts w:asciiTheme="majorHAnsi" w:hAnsiTheme="majorHAnsi" w:cs="Calibri Light"/>
                <w:b/>
                <w:color w:val="0000FF"/>
                <w:sz w:val="20"/>
              </w:rPr>
              <w:t>Sources</w:t>
            </w:r>
          </w:p>
        </w:tc>
      </w:tr>
      <w:tr w:rsidR="00DA31F6" w:rsidRPr="00267B79" w14:paraId="6570BD67" w14:textId="77777777">
        <w:tc>
          <w:tcPr>
            <w:tcW w:w="0" w:type="auto"/>
          </w:tcPr>
          <w:p w14:paraId="7345884B" w14:textId="77777777" w:rsidR="006B47BA" w:rsidRDefault="0076351E">
            <w:pPr>
              <w:pStyle w:val="Heading3"/>
              <w:jc w:val="both"/>
            </w:pPr>
            <w:bookmarkStart w:id="8" w:name="_Toc378838725"/>
            <w:r w:rsidRPr="00267B79">
              <w:t>G</w:t>
            </w:r>
            <w:r w:rsidR="00845D96" w:rsidRPr="00267B79">
              <w:t>eneral</w:t>
            </w:r>
            <w:bookmarkEnd w:id="8"/>
          </w:p>
          <w:p w14:paraId="4D8A98DC" w14:textId="77777777" w:rsidR="006B47BA" w:rsidRDefault="006B47BA">
            <w:pPr>
              <w:jc w:val="both"/>
              <w:rPr>
                <w:rFonts w:asciiTheme="majorHAnsi" w:hAnsiTheme="majorHAnsi"/>
              </w:rPr>
            </w:pPr>
          </w:p>
        </w:tc>
        <w:tc>
          <w:tcPr>
            <w:tcW w:w="0" w:type="auto"/>
            <w:vAlign w:val="center"/>
          </w:tcPr>
          <w:p w14:paraId="59171440" w14:textId="77777777" w:rsidR="006B47BA" w:rsidRDefault="006B47BA">
            <w:pPr>
              <w:spacing w:after="120"/>
              <w:jc w:val="both"/>
              <w:rPr>
                <w:rFonts w:asciiTheme="majorHAnsi" w:hAnsiTheme="majorHAnsi" w:cs="Calibri Light"/>
                <w:color w:val="0000FF"/>
                <w:sz w:val="20"/>
              </w:rPr>
            </w:pPr>
          </w:p>
        </w:tc>
      </w:tr>
      <w:tr w:rsidR="00DA31F6" w:rsidRPr="00267B79" w14:paraId="22E6838F" w14:textId="77777777">
        <w:tc>
          <w:tcPr>
            <w:tcW w:w="0" w:type="auto"/>
          </w:tcPr>
          <w:p w14:paraId="311F16AC" w14:textId="77777777" w:rsidR="00C6310F" w:rsidRDefault="0011705F" w:rsidP="000F64ED">
            <w:pPr>
              <w:spacing w:after="120"/>
              <w:jc w:val="both"/>
              <w:rPr>
                <w:rFonts w:asciiTheme="majorHAnsi" w:hAnsiTheme="majorHAnsi" w:cstheme="majorHAnsi"/>
                <w:sz w:val="20"/>
                <w:szCs w:val="20"/>
              </w:rPr>
            </w:pPr>
            <w:r w:rsidRPr="0011705F">
              <w:rPr>
                <w:rFonts w:asciiTheme="majorHAnsi" w:hAnsiTheme="majorHAnsi" w:cstheme="majorHAnsi"/>
                <w:sz w:val="20"/>
                <w:szCs w:val="20"/>
              </w:rPr>
              <w:t>Timor-Leste is a new nation, post-conflict but peaceful and fairly stable. Its democratic institutions, free press and free speech are important strengths. On the other hand, its economy is heavily dependent on oil and gas and hence vulnerable to the vagaries of global commodity markets; at present, fiscal space is tightening.</w:t>
            </w:r>
            <w:r w:rsidRPr="0011705F">
              <w:rPr>
                <w:rStyle w:val="FootnoteReference"/>
                <w:rFonts w:asciiTheme="majorHAnsi" w:hAnsiTheme="majorHAnsi" w:cstheme="majorHAnsi"/>
                <w:sz w:val="20"/>
                <w:szCs w:val="20"/>
              </w:rPr>
              <w:footnoteReference w:id="3"/>
            </w:r>
            <w:r w:rsidRPr="0011705F">
              <w:rPr>
                <w:rFonts w:asciiTheme="majorHAnsi" w:hAnsiTheme="majorHAnsi" w:cstheme="majorHAnsi"/>
                <w:sz w:val="20"/>
                <w:szCs w:val="20"/>
              </w:rPr>
              <w:t xml:space="preserve">  Much of the rural population is socio-economically disadvantaged and dispersed across a challenging terrain. Roads are improving but many rural people remain relatively isolated.</w:t>
            </w:r>
          </w:p>
        </w:tc>
        <w:tc>
          <w:tcPr>
            <w:tcW w:w="0" w:type="auto"/>
            <w:vAlign w:val="center"/>
          </w:tcPr>
          <w:p w14:paraId="10B5A0CD" w14:textId="77777777" w:rsidR="00C6310F" w:rsidRDefault="00C6310F">
            <w:pPr>
              <w:spacing w:after="120"/>
              <w:jc w:val="both"/>
              <w:rPr>
                <w:rFonts w:asciiTheme="majorHAnsi" w:hAnsiTheme="majorHAnsi" w:cs="Calibri Light"/>
                <w:color w:val="0000FF"/>
                <w:sz w:val="20"/>
              </w:rPr>
            </w:pPr>
          </w:p>
        </w:tc>
      </w:tr>
      <w:tr w:rsidR="00DA31F6" w:rsidRPr="00267B79" w14:paraId="6DE9B8A3" w14:textId="77777777">
        <w:tc>
          <w:tcPr>
            <w:tcW w:w="0" w:type="auto"/>
          </w:tcPr>
          <w:p w14:paraId="416A9717" w14:textId="77777777" w:rsidR="000D259B" w:rsidRDefault="0011705F" w:rsidP="00FC788D">
            <w:pPr>
              <w:pStyle w:val="NormalWeb"/>
              <w:spacing w:beforeLines="0" w:afterLines="0"/>
              <w:jc w:val="both"/>
              <w:rPr>
                <w:rFonts w:asciiTheme="majorHAnsi" w:hAnsiTheme="majorHAnsi"/>
                <w:szCs w:val="22"/>
              </w:rPr>
            </w:pPr>
            <w:r w:rsidRPr="0011705F">
              <w:rPr>
                <w:rFonts w:asciiTheme="majorHAnsi" w:hAnsiTheme="majorHAnsi"/>
                <w:szCs w:val="22"/>
              </w:rPr>
              <w:t xml:space="preserve">In the </w:t>
            </w:r>
            <w:r w:rsidR="00D473DE">
              <w:rPr>
                <w:rFonts w:asciiTheme="majorHAnsi" w:hAnsiTheme="majorHAnsi"/>
                <w:szCs w:val="22"/>
              </w:rPr>
              <w:t xml:space="preserve">recent </w:t>
            </w:r>
            <w:r w:rsidRPr="0011705F">
              <w:rPr>
                <w:rFonts w:asciiTheme="majorHAnsi" w:hAnsiTheme="majorHAnsi"/>
                <w:szCs w:val="22"/>
              </w:rPr>
              <w:t>past, RMNCH outcomes in TL compared unfavourably with those of other countries in the region and countries with similar income per capita.</w:t>
            </w:r>
            <w:r w:rsidR="00D473DE">
              <w:rPr>
                <w:rStyle w:val="FootnoteReference"/>
                <w:rFonts w:asciiTheme="majorHAnsi" w:hAnsiTheme="majorHAnsi"/>
                <w:szCs w:val="22"/>
              </w:rPr>
              <w:footnoteReference w:id="4"/>
            </w:r>
            <w:r w:rsidRPr="0011705F">
              <w:rPr>
                <w:rFonts w:asciiTheme="majorHAnsi" w:hAnsiTheme="majorHAnsi"/>
                <w:szCs w:val="22"/>
              </w:rPr>
              <w:t xml:space="preserve"> Within TL, there were inequalities in RMNCH outcomes and inequities in RMNCH service delivery, especially for maternal health.</w:t>
            </w:r>
            <w:r w:rsidRPr="0011705F">
              <w:rPr>
                <w:rStyle w:val="FootnoteReference"/>
                <w:rFonts w:asciiTheme="majorHAnsi" w:hAnsiTheme="majorHAnsi"/>
                <w:szCs w:val="22"/>
              </w:rPr>
              <w:footnoteReference w:id="5"/>
            </w:r>
            <w:r w:rsidRPr="0011705F">
              <w:rPr>
                <w:rFonts w:asciiTheme="majorHAnsi" w:hAnsiTheme="majorHAnsi"/>
                <w:szCs w:val="22"/>
              </w:rPr>
              <w:t xml:space="preserve"> </w:t>
            </w:r>
          </w:p>
          <w:p w14:paraId="0051C970" w14:textId="17415BC7" w:rsidR="004A1A7B" w:rsidRDefault="004A1A7B" w:rsidP="00FC788D">
            <w:pPr>
              <w:pStyle w:val="NormalWeb"/>
              <w:spacing w:beforeLines="0" w:afterLines="0"/>
              <w:jc w:val="both"/>
              <w:rPr>
                <w:rFonts w:asciiTheme="majorHAnsi" w:hAnsiTheme="majorHAnsi"/>
                <w:szCs w:val="22"/>
              </w:rPr>
            </w:pPr>
          </w:p>
        </w:tc>
        <w:tc>
          <w:tcPr>
            <w:tcW w:w="0" w:type="auto"/>
            <w:vAlign w:val="center"/>
          </w:tcPr>
          <w:p w14:paraId="5CA981E9" w14:textId="77777777" w:rsidR="000D259B" w:rsidRDefault="000D259B">
            <w:pPr>
              <w:spacing w:after="120"/>
              <w:jc w:val="both"/>
              <w:rPr>
                <w:rFonts w:asciiTheme="majorHAnsi" w:hAnsiTheme="majorHAnsi" w:cs="Calibri Light"/>
                <w:color w:val="0000FF"/>
                <w:sz w:val="20"/>
              </w:rPr>
            </w:pPr>
          </w:p>
        </w:tc>
      </w:tr>
      <w:tr w:rsidR="006625D6" w:rsidRPr="00C85D03" w14:paraId="1B095C8F" w14:textId="77777777">
        <w:tc>
          <w:tcPr>
            <w:tcW w:w="0" w:type="auto"/>
          </w:tcPr>
          <w:p w14:paraId="3A5D2A25" w14:textId="1A21CE99" w:rsidR="000D259B" w:rsidRPr="00C85D03" w:rsidRDefault="0011705F" w:rsidP="004562F2">
            <w:pPr>
              <w:spacing w:after="120"/>
              <w:jc w:val="both"/>
              <w:rPr>
                <w:rFonts w:asciiTheme="majorHAnsi" w:hAnsiTheme="majorHAnsi"/>
                <w:sz w:val="20"/>
              </w:rPr>
            </w:pPr>
            <w:r w:rsidRPr="00C85D03">
              <w:rPr>
                <w:rFonts w:asciiTheme="majorHAnsi" w:hAnsiTheme="majorHAnsi"/>
                <w:sz w:val="20"/>
              </w:rPr>
              <w:t>Although there is some uncertainty about recent estimates, TL’s infant and child mortality rates have each apparently declined by about one-third since 2009-10.</w:t>
            </w:r>
            <w:r w:rsidRPr="00C85D03">
              <w:rPr>
                <w:rStyle w:val="FootnoteReference"/>
                <w:rFonts w:asciiTheme="majorHAnsi" w:hAnsiTheme="majorHAnsi"/>
                <w:sz w:val="20"/>
              </w:rPr>
              <w:footnoteReference w:id="6"/>
            </w:r>
            <w:r w:rsidRPr="00C85D03">
              <w:rPr>
                <w:rFonts w:asciiTheme="majorHAnsi" w:hAnsiTheme="majorHAnsi"/>
                <w:sz w:val="20"/>
              </w:rPr>
              <w:t xml:space="preserve">  Neonatal mortality has decreased by only 14%, and neonatal deaths now account for almost half of all deaths among children under five years of age (an increase from 34% in 2009-10).</w:t>
            </w:r>
            <w:r w:rsidRPr="00C85D03">
              <w:rPr>
                <w:rStyle w:val="FootnoteReference"/>
                <w:rFonts w:asciiTheme="majorHAnsi" w:hAnsiTheme="majorHAnsi"/>
                <w:sz w:val="20"/>
              </w:rPr>
              <w:footnoteReference w:id="7"/>
            </w:r>
            <w:r w:rsidRPr="00C85D03">
              <w:rPr>
                <w:rFonts w:asciiTheme="majorHAnsi" w:hAnsiTheme="majorHAnsi"/>
                <w:sz w:val="20"/>
              </w:rPr>
              <w:t xml:space="preserve">  The current maternal mortality ratio</w:t>
            </w:r>
            <w:r w:rsidR="004F67C4" w:rsidRPr="00C85D03">
              <w:rPr>
                <w:rFonts w:asciiTheme="majorHAnsi" w:hAnsiTheme="majorHAnsi"/>
                <w:sz w:val="20"/>
              </w:rPr>
              <w:t xml:space="preserve"> (MMR)</w:t>
            </w:r>
            <w:r w:rsidRPr="00C85D03">
              <w:rPr>
                <w:rFonts w:asciiTheme="majorHAnsi" w:hAnsiTheme="majorHAnsi"/>
                <w:sz w:val="20"/>
              </w:rPr>
              <w:t xml:space="preserve"> is unknown at the time of writing,</w:t>
            </w:r>
            <w:r w:rsidRPr="00C85D03">
              <w:rPr>
                <w:rStyle w:val="FootnoteReference"/>
                <w:rFonts w:asciiTheme="majorHAnsi" w:hAnsiTheme="majorHAnsi"/>
                <w:sz w:val="20"/>
              </w:rPr>
              <w:footnoteReference w:id="8"/>
            </w:r>
            <w:r w:rsidRPr="00C85D03">
              <w:rPr>
                <w:rFonts w:asciiTheme="majorHAnsi" w:hAnsiTheme="majorHAnsi"/>
                <w:sz w:val="20"/>
              </w:rPr>
              <w:t xml:space="preserve"> but trends in maternal and neonatal health outcomes </w:t>
            </w:r>
            <w:r w:rsidR="004A1A7B" w:rsidRPr="00C85D03">
              <w:rPr>
                <w:rFonts w:asciiTheme="majorHAnsi" w:hAnsiTheme="majorHAnsi"/>
                <w:sz w:val="20"/>
              </w:rPr>
              <w:t xml:space="preserve">tend to </w:t>
            </w:r>
            <w:r w:rsidRPr="00C85D03">
              <w:rPr>
                <w:rFonts w:asciiTheme="majorHAnsi" w:hAnsiTheme="majorHAnsi"/>
                <w:sz w:val="20"/>
              </w:rPr>
              <w:t xml:space="preserve">be linked as both are highly reliant on health system functionality. </w:t>
            </w:r>
          </w:p>
        </w:tc>
        <w:tc>
          <w:tcPr>
            <w:tcW w:w="0" w:type="auto"/>
            <w:vAlign w:val="center"/>
          </w:tcPr>
          <w:p w14:paraId="23269AB2" w14:textId="77777777" w:rsidR="000D259B" w:rsidRPr="00C85D03" w:rsidRDefault="000D259B">
            <w:pPr>
              <w:spacing w:after="120"/>
              <w:jc w:val="both"/>
              <w:rPr>
                <w:rFonts w:asciiTheme="majorHAnsi" w:hAnsiTheme="majorHAnsi" w:cstheme="majorHAnsi"/>
                <w:color w:val="0000FF"/>
                <w:sz w:val="20"/>
                <w:szCs w:val="20"/>
              </w:rPr>
            </w:pPr>
          </w:p>
        </w:tc>
      </w:tr>
      <w:tr w:rsidR="00DA31F6" w:rsidRPr="00C85D03" w14:paraId="53A3827D" w14:textId="77777777">
        <w:tc>
          <w:tcPr>
            <w:tcW w:w="0" w:type="auto"/>
          </w:tcPr>
          <w:p w14:paraId="51308EC6" w14:textId="77777777" w:rsidR="000D259B" w:rsidRPr="00C85D03" w:rsidRDefault="0011705F" w:rsidP="004562F2">
            <w:pPr>
              <w:spacing w:after="120"/>
              <w:jc w:val="both"/>
              <w:rPr>
                <w:rFonts w:asciiTheme="majorHAnsi" w:hAnsiTheme="majorHAnsi" w:cstheme="majorHAnsi"/>
                <w:sz w:val="20"/>
                <w:szCs w:val="20"/>
              </w:rPr>
            </w:pPr>
            <w:r w:rsidRPr="00C85D03">
              <w:rPr>
                <w:rFonts w:asciiTheme="majorHAnsi" w:hAnsiTheme="majorHAnsi" w:cstheme="majorHAnsi"/>
                <w:sz w:val="20"/>
                <w:szCs w:val="20"/>
              </w:rPr>
              <w:t>The most notable recent RMNCH-related trend is in malaria incidence, which fell from 32 per 1000 to virtually zero over the past five years</w:t>
            </w:r>
            <w:r w:rsidRPr="00C85D03">
              <w:rPr>
                <w:rStyle w:val="FootnoteReference"/>
                <w:rFonts w:asciiTheme="majorHAnsi" w:hAnsiTheme="majorHAnsi" w:cstheme="majorHAnsi"/>
                <w:sz w:val="20"/>
                <w:szCs w:val="20"/>
              </w:rPr>
              <w:footnoteReference w:id="9"/>
            </w:r>
            <w:r w:rsidRPr="00C85D03">
              <w:rPr>
                <w:rFonts w:asciiTheme="majorHAnsi" w:hAnsiTheme="majorHAnsi" w:cstheme="majorHAnsi"/>
                <w:sz w:val="20"/>
                <w:szCs w:val="20"/>
              </w:rPr>
              <w:t>, leaving the country poised for malaria elimination.</w:t>
            </w:r>
            <w:r w:rsidRPr="00C85D03">
              <w:rPr>
                <w:rFonts w:asciiTheme="majorHAnsi" w:hAnsiTheme="majorHAnsi" w:cstheme="majorHAnsi"/>
                <w:color w:val="FF0000"/>
                <w:sz w:val="20"/>
                <w:szCs w:val="20"/>
              </w:rPr>
              <w:t xml:space="preserve"> </w:t>
            </w:r>
            <w:r w:rsidRPr="00C85D03">
              <w:rPr>
                <w:rFonts w:asciiTheme="majorHAnsi" w:hAnsiTheme="majorHAnsi" w:cstheme="majorHAnsi"/>
                <w:sz w:val="20"/>
                <w:szCs w:val="20"/>
              </w:rPr>
              <w:t>The reduction in malaria would be expected to benefit</w:t>
            </w:r>
            <w:r w:rsidRPr="00C85D03">
              <w:rPr>
                <w:rFonts w:asciiTheme="majorHAnsi" w:hAnsiTheme="majorHAnsi" w:cstheme="majorHAnsi"/>
                <w:color w:val="FF0000"/>
                <w:sz w:val="20"/>
                <w:szCs w:val="20"/>
              </w:rPr>
              <w:t xml:space="preserve"> </w:t>
            </w:r>
            <w:r w:rsidRPr="00C85D03">
              <w:rPr>
                <w:rFonts w:asciiTheme="majorHAnsi" w:hAnsiTheme="majorHAnsi"/>
                <w:sz w:val="20"/>
              </w:rPr>
              <w:t xml:space="preserve">maternal outcomes as well as infant and child mortality. </w:t>
            </w:r>
          </w:p>
        </w:tc>
        <w:tc>
          <w:tcPr>
            <w:tcW w:w="0" w:type="auto"/>
            <w:vAlign w:val="center"/>
          </w:tcPr>
          <w:p w14:paraId="4EE21DF1" w14:textId="77777777" w:rsidR="000D259B" w:rsidRPr="00C85D03" w:rsidRDefault="0011705F">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C</w:t>
            </w:r>
          </w:p>
        </w:tc>
      </w:tr>
      <w:tr w:rsidR="009C3834" w:rsidRPr="00267B79" w14:paraId="1371A33C" w14:textId="77777777">
        <w:tc>
          <w:tcPr>
            <w:tcW w:w="0" w:type="auto"/>
          </w:tcPr>
          <w:p w14:paraId="42D1CA61" w14:textId="1DFF70EB" w:rsidR="000D259B" w:rsidRDefault="009B7668" w:rsidP="00FC788D">
            <w:pPr>
              <w:pStyle w:val="NormalWeb"/>
              <w:spacing w:beforeLines="0" w:afterLines="0"/>
              <w:jc w:val="both"/>
              <w:rPr>
                <w:rFonts w:asciiTheme="majorHAnsi" w:hAnsiTheme="majorHAnsi"/>
                <w:szCs w:val="22"/>
              </w:rPr>
            </w:pPr>
            <w:r w:rsidRPr="00C85D03">
              <w:rPr>
                <w:rFonts w:asciiTheme="majorHAnsi" w:hAnsiTheme="majorHAnsi"/>
              </w:rPr>
              <w:t>Total fertility rate (TFR) decreased from 5.7 in 2009-10 to 4.2 in 2016,</w:t>
            </w:r>
            <w:r w:rsidR="004B3B8F" w:rsidRPr="00C85D03">
              <w:rPr>
                <w:rStyle w:val="FootnoteReference"/>
                <w:rFonts w:asciiTheme="majorHAnsi" w:hAnsiTheme="majorHAnsi"/>
              </w:rPr>
              <w:footnoteReference w:id="10"/>
            </w:r>
            <w:r w:rsidR="004B3B8F" w:rsidRPr="00C85D03">
              <w:rPr>
                <w:rFonts w:asciiTheme="majorHAnsi" w:hAnsiTheme="majorHAnsi"/>
              </w:rPr>
              <w:t xml:space="preserve"> an impressive trend which would be expected to have favourable implications for the health of both children and mothers.</w:t>
            </w:r>
          </w:p>
        </w:tc>
        <w:tc>
          <w:tcPr>
            <w:tcW w:w="0" w:type="auto"/>
            <w:vAlign w:val="center"/>
          </w:tcPr>
          <w:p w14:paraId="054DC455" w14:textId="77777777" w:rsidR="000D259B" w:rsidRDefault="000D259B">
            <w:pPr>
              <w:spacing w:after="120"/>
              <w:jc w:val="both"/>
              <w:rPr>
                <w:rFonts w:asciiTheme="majorHAnsi" w:hAnsiTheme="majorHAnsi" w:cs="Calibri Light"/>
                <w:color w:val="0000FF"/>
                <w:sz w:val="20"/>
              </w:rPr>
            </w:pPr>
          </w:p>
        </w:tc>
      </w:tr>
      <w:tr w:rsidR="00DA31F6" w:rsidRPr="00267B79" w14:paraId="075C9E3A" w14:textId="77777777">
        <w:tc>
          <w:tcPr>
            <w:tcW w:w="0" w:type="auto"/>
          </w:tcPr>
          <w:p w14:paraId="098FEAAD" w14:textId="77777777" w:rsidR="00FC788D" w:rsidRDefault="000D390B" w:rsidP="000F64ED">
            <w:pPr>
              <w:pStyle w:val="NormalWeb"/>
              <w:spacing w:beforeLines="0" w:afterLines="0"/>
              <w:jc w:val="both"/>
              <w:rPr>
                <w:rFonts w:asciiTheme="majorHAnsi" w:hAnsiTheme="majorHAnsi"/>
                <w:szCs w:val="22"/>
              </w:rPr>
            </w:pPr>
            <w:r w:rsidRPr="000D390B">
              <w:rPr>
                <w:rFonts w:asciiTheme="majorHAnsi" w:hAnsiTheme="majorHAnsi"/>
                <w:szCs w:val="22"/>
              </w:rPr>
              <w:t>With regard to coverage of key RMNCH services, since 2009-10 there was also:</w:t>
            </w:r>
          </w:p>
          <w:p w14:paraId="712A92F6" w14:textId="77777777" w:rsidR="009B7668" w:rsidRDefault="009B7668" w:rsidP="000F64ED">
            <w:pPr>
              <w:pStyle w:val="NormalWeb"/>
              <w:spacing w:beforeLines="0" w:afterLines="0"/>
              <w:jc w:val="both"/>
              <w:rPr>
                <w:rFonts w:asciiTheme="majorHAnsi" w:hAnsiTheme="majorHAnsi"/>
                <w:szCs w:val="22"/>
              </w:rPr>
            </w:pPr>
          </w:p>
          <w:p w14:paraId="0954D657" w14:textId="6B9B96B9" w:rsidR="004F67C4" w:rsidRDefault="000D390B" w:rsidP="004F67C4">
            <w:pPr>
              <w:pStyle w:val="NormalWeb"/>
              <w:numPr>
                <w:ilvl w:val="0"/>
                <w:numId w:val="1"/>
              </w:numPr>
              <w:spacing w:beforeLines="0" w:afterLines="0"/>
              <w:ind w:left="357" w:hanging="357"/>
              <w:jc w:val="both"/>
              <w:rPr>
                <w:rFonts w:asciiTheme="majorHAnsi" w:hAnsiTheme="majorHAnsi" w:cstheme="majorHAnsi"/>
              </w:rPr>
            </w:pPr>
            <w:r w:rsidRPr="000D390B">
              <w:rPr>
                <w:rFonts w:asciiTheme="majorHAnsi" w:hAnsiTheme="majorHAnsi" w:cstheme="majorHAnsi"/>
              </w:rPr>
              <w:t>a</w:t>
            </w:r>
            <w:r w:rsidR="004A1A7B">
              <w:rPr>
                <w:rFonts w:asciiTheme="majorHAnsi" w:hAnsiTheme="majorHAnsi" w:cstheme="majorHAnsi"/>
              </w:rPr>
              <w:t>4%</w:t>
            </w:r>
            <w:r w:rsidRPr="000D390B">
              <w:rPr>
                <w:rFonts w:asciiTheme="majorHAnsi" w:hAnsiTheme="majorHAnsi" w:cstheme="majorHAnsi"/>
              </w:rPr>
              <w:t xml:space="preserve"> increase in use of family </w:t>
            </w:r>
            <w:r w:rsidRPr="00B30C7F">
              <w:rPr>
                <w:rFonts w:asciiTheme="majorHAnsi" w:hAnsiTheme="majorHAnsi" w:cstheme="majorHAnsi"/>
              </w:rPr>
              <w:t>planning (FP), substantial</w:t>
            </w:r>
            <w:r w:rsidRPr="000D390B">
              <w:rPr>
                <w:rFonts w:asciiTheme="majorHAnsi" w:hAnsiTheme="majorHAnsi" w:cstheme="majorHAnsi"/>
              </w:rPr>
              <w:t xml:space="preserve"> reduction in unmet need for FP </w:t>
            </w:r>
            <w:r w:rsidRPr="000D390B">
              <w:rPr>
                <w:rFonts w:asciiTheme="majorHAnsi" w:hAnsiTheme="majorHAnsi"/>
              </w:rPr>
              <w:t>(from 32% to 25%)</w:t>
            </w:r>
            <w:r w:rsidRPr="000D390B">
              <w:rPr>
                <w:rFonts w:asciiTheme="majorHAnsi" w:hAnsiTheme="majorHAnsi" w:cstheme="majorHAnsi"/>
              </w:rPr>
              <w:t xml:space="preserve"> and an increase in need met with modern methods; </w:t>
            </w:r>
          </w:p>
          <w:p w14:paraId="16AF7B89" w14:textId="77777777" w:rsidR="00605619" w:rsidRPr="004F67C4" w:rsidRDefault="008E0D24" w:rsidP="004F67C4">
            <w:pPr>
              <w:pStyle w:val="NormalWeb"/>
              <w:numPr>
                <w:ilvl w:val="0"/>
                <w:numId w:val="1"/>
              </w:numPr>
              <w:spacing w:beforeLines="0" w:afterLines="0"/>
              <w:ind w:left="357" w:hanging="357"/>
              <w:jc w:val="both"/>
              <w:rPr>
                <w:rFonts w:asciiTheme="majorHAnsi" w:hAnsiTheme="majorHAnsi" w:cstheme="majorHAnsi"/>
              </w:rPr>
            </w:pPr>
            <w:r w:rsidRPr="004F67C4">
              <w:rPr>
                <w:rFonts w:asciiTheme="majorHAnsi" w:hAnsiTheme="majorHAnsi" w:cstheme="majorHAnsi"/>
              </w:rPr>
              <w:t xml:space="preserve">little change </w:t>
            </w:r>
            <w:r w:rsidR="000D390B" w:rsidRPr="004F67C4">
              <w:rPr>
                <w:rFonts w:asciiTheme="majorHAnsi" w:hAnsiTheme="majorHAnsi" w:cstheme="majorHAnsi"/>
              </w:rPr>
              <w:t xml:space="preserve">in the proportion of women receiving ‘any ANC’, </w:t>
            </w:r>
            <w:r w:rsidR="00605619" w:rsidRPr="004F67C4">
              <w:rPr>
                <w:rFonts w:asciiTheme="majorHAnsi" w:hAnsiTheme="majorHAnsi" w:cstheme="majorHAnsi"/>
              </w:rPr>
              <w:t>which remained well over 80%;</w:t>
            </w:r>
          </w:p>
          <w:p w14:paraId="6522E586" w14:textId="77777777" w:rsidR="00AA0C38" w:rsidRDefault="000D390B" w:rsidP="004F67C4">
            <w:pPr>
              <w:pStyle w:val="ListParagraph"/>
              <w:numPr>
                <w:ilvl w:val="0"/>
                <w:numId w:val="1"/>
              </w:numPr>
              <w:ind w:left="357" w:hanging="357"/>
              <w:jc w:val="both"/>
              <w:rPr>
                <w:rFonts w:asciiTheme="majorHAnsi" w:hAnsiTheme="majorHAnsi" w:cstheme="majorHAnsi"/>
                <w:sz w:val="20"/>
              </w:rPr>
            </w:pPr>
            <w:r w:rsidRPr="000D390B">
              <w:rPr>
                <w:rFonts w:asciiTheme="majorHAnsi" w:hAnsiTheme="majorHAnsi" w:cstheme="majorHAnsi"/>
                <w:sz w:val="20"/>
              </w:rPr>
              <w:lastRenderedPageBreak/>
              <w:t>a</w:t>
            </w:r>
            <w:r w:rsidR="00605619">
              <w:rPr>
                <w:rFonts w:asciiTheme="majorHAnsi" w:hAnsiTheme="majorHAnsi" w:cstheme="majorHAnsi"/>
                <w:sz w:val="20"/>
              </w:rPr>
              <w:t>n</w:t>
            </w:r>
            <w:r w:rsidRPr="000D390B">
              <w:rPr>
                <w:rFonts w:asciiTheme="majorHAnsi" w:hAnsiTheme="majorHAnsi" w:cstheme="majorHAnsi"/>
                <w:sz w:val="20"/>
              </w:rPr>
              <w:t xml:space="preserve"> increase in women having four antenatal care visits (ANC4), </w:t>
            </w:r>
            <w:r w:rsidR="00605619">
              <w:rPr>
                <w:rFonts w:asciiTheme="majorHAnsi" w:hAnsiTheme="majorHAnsi" w:cstheme="majorHAnsi"/>
                <w:sz w:val="20"/>
              </w:rPr>
              <w:t>from 55% to 77%</w:t>
            </w:r>
            <w:r w:rsidRPr="000D390B">
              <w:rPr>
                <w:rFonts w:asciiTheme="majorHAnsi" w:hAnsiTheme="majorHAnsi" w:cstheme="majorHAnsi"/>
                <w:sz w:val="20"/>
              </w:rPr>
              <w:t>;</w:t>
            </w:r>
          </w:p>
          <w:p w14:paraId="06CC2CB6" w14:textId="77777777" w:rsidR="00AA0C38" w:rsidRDefault="0011705F" w:rsidP="004F67C4">
            <w:pPr>
              <w:pStyle w:val="ListParagraph"/>
              <w:numPr>
                <w:ilvl w:val="0"/>
                <w:numId w:val="1"/>
              </w:numPr>
              <w:ind w:left="357" w:hanging="357"/>
              <w:jc w:val="both"/>
              <w:rPr>
                <w:rFonts w:asciiTheme="majorHAnsi" w:hAnsiTheme="majorHAnsi" w:cstheme="majorHAnsi"/>
                <w:sz w:val="20"/>
              </w:rPr>
            </w:pPr>
            <w:r w:rsidRPr="0011705F">
              <w:rPr>
                <w:rFonts w:asciiTheme="majorHAnsi" w:hAnsiTheme="majorHAnsi" w:cstheme="majorHAnsi"/>
                <w:sz w:val="20"/>
              </w:rPr>
              <w:t>an approximate doubling in deliveries with skilled birth attendants (SBA) and births at HFs nationally</w:t>
            </w:r>
            <w:r w:rsidR="00286892">
              <w:rPr>
                <w:rFonts w:asciiTheme="majorHAnsi" w:hAnsiTheme="majorHAnsi" w:cstheme="majorHAnsi"/>
                <w:sz w:val="20"/>
              </w:rPr>
              <w:t xml:space="preserve"> (with both of these indicators being positively associated with maternal education and wealth);</w:t>
            </w:r>
            <w:r w:rsidRPr="0011705F">
              <w:rPr>
                <w:rFonts w:asciiTheme="majorHAnsi" w:hAnsiTheme="majorHAnsi" w:cstheme="majorHAnsi"/>
                <w:sz w:val="20"/>
              </w:rPr>
              <w:t xml:space="preserve"> and</w:t>
            </w:r>
          </w:p>
          <w:p w14:paraId="61DBEC3A" w14:textId="77777777" w:rsidR="004F67C4" w:rsidRPr="004562F2" w:rsidRDefault="000D390B" w:rsidP="004562F2">
            <w:pPr>
              <w:pStyle w:val="ListParagraph"/>
              <w:numPr>
                <w:ilvl w:val="0"/>
                <w:numId w:val="1"/>
              </w:numPr>
              <w:spacing w:after="120"/>
              <w:ind w:left="357" w:hanging="357"/>
              <w:jc w:val="both"/>
              <w:rPr>
                <w:rFonts w:asciiTheme="majorHAnsi" w:hAnsiTheme="majorHAnsi" w:cstheme="majorHAnsi"/>
                <w:sz w:val="20"/>
              </w:rPr>
            </w:pPr>
            <w:r w:rsidRPr="000D390B">
              <w:rPr>
                <w:rFonts w:asciiTheme="majorHAnsi" w:hAnsiTheme="majorHAnsi" w:cstheme="majorHAnsi"/>
                <w:sz w:val="20"/>
              </w:rPr>
              <w:t>a</w:t>
            </w:r>
            <w:r w:rsidR="00FF1464">
              <w:rPr>
                <w:rFonts w:asciiTheme="majorHAnsi" w:hAnsiTheme="majorHAnsi" w:cstheme="majorHAnsi"/>
                <w:sz w:val="20"/>
              </w:rPr>
              <w:t xml:space="preserve">n </w:t>
            </w:r>
            <w:r w:rsidRPr="000D390B">
              <w:rPr>
                <w:rFonts w:asciiTheme="majorHAnsi" w:hAnsiTheme="majorHAnsi" w:cstheme="majorHAnsi"/>
                <w:sz w:val="20"/>
              </w:rPr>
              <w:t xml:space="preserve">increase in postnatal care </w:t>
            </w:r>
            <w:r w:rsidR="00192E6B" w:rsidRPr="00C643FE">
              <w:rPr>
                <w:rFonts w:asciiTheme="majorHAnsi" w:hAnsiTheme="majorHAnsi" w:cstheme="majorHAnsi"/>
                <w:sz w:val="20"/>
              </w:rPr>
              <w:t>(PNC) within 2 days of delivery from 25% to 35%</w:t>
            </w:r>
            <w:r w:rsidRPr="000D390B">
              <w:rPr>
                <w:rFonts w:asciiTheme="majorHAnsi" w:hAnsiTheme="majorHAnsi" w:cstheme="majorHAnsi"/>
                <w:sz w:val="20"/>
              </w:rPr>
              <w:t>.</w:t>
            </w:r>
            <w:r w:rsidRPr="000D390B">
              <w:rPr>
                <w:rStyle w:val="FootnoteReference"/>
                <w:rFonts w:asciiTheme="majorHAnsi" w:hAnsiTheme="majorHAnsi"/>
                <w:sz w:val="20"/>
                <w:szCs w:val="22"/>
              </w:rPr>
              <w:footnoteReference w:id="11"/>
            </w:r>
          </w:p>
          <w:p w14:paraId="4D024A0E" w14:textId="77777777" w:rsidR="000D259B" w:rsidRDefault="000D390B" w:rsidP="000F64ED">
            <w:pPr>
              <w:spacing w:after="120"/>
              <w:jc w:val="both"/>
              <w:rPr>
                <w:rFonts w:asciiTheme="majorHAnsi" w:hAnsiTheme="majorHAnsi" w:cs="Calibri Light"/>
                <w:color w:val="000000"/>
                <w:sz w:val="20"/>
              </w:rPr>
            </w:pPr>
            <w:r w:rsidRPr="000D390B">
              <w:rPr>
                <w:rFonts w:asciiTheme="majorHAnsi" w:hAnsiTheme="majorHAnsi" w:cs="Calibri Light"/>
                <w:color w:val="000000"/>
                <w:sz w:val="20"/>
              </w:rPr>
              <w:t>See Annex 5 for details.</w:t>
            </w:r>
          </w:p>
        </w:tc>
        <w:tc>
          <w:tcPr>
            <w:tcW w:w="0" w:type="auto"/>
            <w:vAlign w:val="center"/>
          </w:tcPr>
          <w:p w14:paraId="6BDFE4E2" w14:textId="77777777" w:rsidR="000D259B" w:rsidRDefault="000D259B">
            <w:pPr>
              <w:spacing w:after="120"/>
              <w:jc w:val="both"/>
              <w:rPr>
                <w:rFonts w:asciiTheme="majorHAnsi" w:hAnsiTheme="majorHAnsi" w:cs="Calibri Light"/>
                <w:color w:val="0000FF"/>
                <w:sz w:val="20"/>
              </w:rPr>
            </w:pPr>
          </w:p>
        </w:tc>
      </w:tr>
      <w:tr w:rsidR="00DA31F6" w:rsidRPr="00267B79" w14:paraId="7EF61AAB" w14:textId="77777777">
        <w:tc>
          <w:tcPr>
            <w:tcW w:w="0" w:type="auto"/>
          </w:tcPr>
          <w:p w14:paraId="072ECEBF" w14:textId="77777777" w:rsidR="000D259B" w:rsidRDefault="000D390B" w:rsidP="000F64ED">
            <w:pPr>
              <w:spacing w:after="120"/>
              <w:jc w:val="both"/>
              <w:rPr>
                <w:rFonts w:asciiTheme="majorHAnsi" w:hAnsiTheme="majorHAnsi"/>
                <w:sz w:val="20"/>
                <w:szCs w:val="22"/>
              </w:rPr>
            </w:pPr>
            <w:r w:rsidRPr="00003BEA">
              <w:rPr>
                <w:rFonts w:asciiTheme="majorHAnsi" w:hAnsiTheme="majorHAnsi"/>
                <w:sz w:val="20"/>
              </w:rPr>
              <w:t>Despite these encouraging trends, there is still considerable room to improve RMNCH outcomes.</w:t>
            </w:r>
            <w:r w:rsidR="00F733A7" w:rsidRPr="00003BEA">
              <w:rPr>
                <w:rFonts w:asciiTheme="majorHAnsi" w:hAnsiTheme="majorHAnsi"/>
                <w:sz w:val="20"/>
                <w:szCs w:val="22"/>
              </w:rPr>
              <w:t xml:space="preserve"> As of 2012, ‘maternal, neonatal and nutritional’ causes accounted for </w:t>
            </w:r>
            <w:r w:rsidR="005F0C6B">
              <w:rPr>
                <w:rFonts w:asciiTheme="majorHAnsi" w:hAnsiTheme="majorHAnsi"/>
                <w:sz w:val="20"/>
                <w:szCs w:val="22"/>
              </w:rPr>
              <w:t>vastly</w:t>
            </w:r>
            <w:r w:rsidR="00F733A7" w:rsidRPr="00003BEA">
              <w:rPr>
                <w:rFonts w:asciiTheme="majorHAnsi" w:hAnsiTheme="majorHAnsi"/>
                <w:sz w:val="20"/>
                <w:szCs w:val="22"/>
              </w:rPr>
              <w:t xml:space="preserve"> more disability-adjusted life years (DALY) than any other ‘broad cause group’ in Timor-Leste;</w:t>
            </w:r>
            <w:r w:rsidR="00F733A7" w:rsidRPr="00003BEA">
              <w:rPr>
                <w:rStyle w:val="FootnoteReference"/>
                <w:rFonts w:asciiTheme="majorHAnsi" w:hAnsiTheme="majorHAnsi"/>
                <w:sz w:val="20"/>
                <w:szCs w:val="22"/>
              </w:rPr>
              <w:footnoteReference w:id="12"/>
            </w:r>
            <w:r w:rsidR="00F733A7" w:rsidRPr="00003BEA">
              <w:rPr>
                <w:rFonts w:asciiTheme="majorHAnsi" w:hAnsiTheme="majorHAnsi"/>
                <w:sz w:val="20"/>
                <w:szCs w:val="22"/>
              </w:rPr>
              <w:t xml:space="preserve"> although updated estimates of the burden of disease are not yet available from </w:t>
            </w:r>
            <w:r w:rsidR="00003BEA" w:rsidRPr="00003BEA">
              <w:rPr>
                <w:rFonts w:asciiTheme="majorHAnsi" w:hAnsiTheme="majorHAnsi"/>
                <w:sz w:val="20"/>
                <w:szCs w:val="22"/>
              </w:rPr>
              <w:t xml:space="preserve">the World Health Organization (WHO), this overall picture </w:t>
            </w:r>
            <w:r w:rsidR="00C4183E">
              <w:rPr>
                <w:rFonts w:asciiTheme="majorHAnsi" w:hAnsiTheme="majorHAnsi"/>
                <w:sz w:val="20"/>
                <w:szCs w:val="22"/>
              </w:rPr>
              <w:t xml:space="preserve">has </w:t>
            </w:r>
            <w:r w:rsidR="00003BEA" w:rsidRPr="00003BEA">
              <w:rPr>
                <w:rFonts w:asciiTheme="majorHAnsi" w:hAnsiTheme="majorHAnsi"/>
                <w:sz w:val="20"/>
                <w:szCs w:val="22"/>
              </w:rPr>
              <w:t xml:space="preserve">probably </w:t>
            </w:r>
            <w:r w:rsidR="00C4183E">
              <w:rPr>
                <w:rFonts w:asciiTheme="majorHAnsi" w:hAnsiTheme="majorHAnsi"/>
                <w:sz w:val="20"/>
                <w:szCs w:val="22"/>
              </w:rPr>
              <w:t>improved only slightly</w:t>
            </w:r>
            <w:r w:rsidR="00003BEA">
              <w:rPr>
                <w:rFonts w:asciiTheme="majorHAnsi" w:hAnsiTheme="majorHAnsi"/>
                <w:sz w:val="20"/>
                <w:szCs w:val="22"/>
              </w:rPr>
              <w:t xml:space="preserve"> in the past five years. </w:t>
            </w:r>
            <w:r w:rsidRPr="00003BEA">
              <w:rPr>
                <w:rFonts w:asciiTheme="majorHAnsi" w:hAnsiTheme="majorHAnsi" w:cstheme="majorHAnsi"/>
                <w:sz w:val="20"/>
                <w:szCs w:val="20"/>
              </w:rPr>
              <w:t xml:space="preserve">RMNCH outcomes are affected by the functionality of the health system, which is fundamental to the quality and sustainability of all thematic programs and spans demand and supply sides. Individual health system elements and their implications for RMNCH are explored in turn below, </w:t>
            </w:r>
            <w:r w:rsidR="003A7EBE" w:rsidRPr="00003BEA">
              <w:rPr>
                <w:rFonts w:asciiTheme="majorHAnsi" w:hAnsiTheme="majorHAnsi" w:cstheme="majorHAnsi"/>
                <w:b/>
                <w:sz w:val="20"/>
                <w:szCs w:val="20"/>
              </w:rPr>
              <w:t>based on the five objectives in the TL health sector M&amp;E framework</w:t>
            </w:r>
            <w:r w:rsidR="003A004F" w:rsidRPr="00003BEA">
              <w:rPr>
                <w:rFonts w:asciiTheme="majorHAnsi" w:hAnsiTheme="majorHAnsi" w:cstheme="majorHAnsi"/>
                <w:b/>
                <w:sz w:val="20"/>
                <w:szCs w:val="20"/>
              </w:rPr>
              <w:t xml:space="preserve"> </w:t>
            </w:r>
            <w:r w:rsidR="003A004F" w:rsidRPr="00003BEA">
              <w:rPr>
                <w:rFonts w:asciiTheme="majorHAnsi" w:hAnsiTheme="majorHAnsi"/>
                <w:b/>
                <w:sz w:val="20"/>
              </w:rPr>
              <w:t>and reflecting the priorities of the National Health Sector Strategic Plan (NHSSP), 2011-2030</w:t>
            </w:r>
            <w:r w:rsidRPr="00003BEA">
              <w:rPr>
                <w:rFonts w:asciiTheme="majorHAnsi" w:hAnsiTheme="majorHAnsi" w:cstheme="majorHAnsi"/>
                <w:sz w:val="20"/>
                <w:szCs w:val="20"/>
              </w:rPr>
              <w:t>.</w:t>
            </w:r>
            <w:r w:rsidRPr="000F64ED">
              <w:rPr>
                <w:rStyle w:val="FootnoteReference"/>
                <w:rFonts w:asciiTheme="majorHAnsi" w:hAnsiTheme="majorHAnsi" w:cstheme="majorHAnsi"/>
                <w:sz w:val="20"/>
                <w:szCs w:val="20"/>
              </w:rPr>
              <w:footnoteReference w:id="13"/>
            </w:r>
            <w:r w:rsidR="003A004F" w:rsidRPr="000F64ED">
              <w:rPr>
                <w:rFonts w:asciiTheme="majorHAnsi" w:hAnsiTheme="majorHAnsi" w:cstheme="majorHAnsi"/>
                <w:sz w:val="20"/>
                <w:szCs w:val="20"/>
              </w:rPr>
              <w:t>,</w:t>
            </w:r>
            <w:r w:rsidR="000F64ED" w:rsidRPr="000F64ED">
              <w:rPr>
                <w:rStyle w:val="FootnoteReference"/>
                <w:rFonts w:asciiTheme="majorHAnsi" w:hAnsiTheme="majorHAnsi" w:cstheme="majorHAnsi"/>
                <w:sz w:val="20"/>
                <w:szCs w:val="20"/>
              </w:rPr>
              <w:footnoteReference w:id="14"/>
            </w:r>
          </w:p>
        </w:tc>
        <w:tc>
          <w:tcPr>
            <w:tcW w:w="0" w:type="auto"/>
            <w:vAlign w:val="center"/>
          </w:tcPr>
          <w:p w14:paraId="29BE274A" w14:textId="77777777" w:rsidR="000D259B" w:rsidRDefault="000D259B">
            <w:pPr>
              <w:spacing w:after="120"/>
              <w:jc w:val="both"/>
              <w:rPr>
                <w:rFonts w:asciiTheme="majorHAnsi" w:hAnsiTheme="majorHAnsi" w:cstheme="majorHAnsi"/>
                <w:color w:val="0000FF"/>
                <w:sz w:val="20"/>
                <w:szCs w:val="20"/>
              </w:rPr>
            </w:pPr>
          </w:p>
        </w:tc>
      </w:tr>
      <w:tr w:rsidR="00DA31F6" w:rsidRPr="00267B79" w14:paraId="1B3C98B8" w14:textId="77777777">
        <w:tc>
          <w:tcPr>
            <w:tcW w:w="0" w:type="auto"/>
          </w:tcPr>
          <w:p w14:paraId="426A1BB1" w14:textId="77777777" w:rsidR="00C6310F" w:rsidRDefault="002F09E6">
            <w:pPr>
              <w:pStyle w:val="Heading3"/>
              <w:jc w:val="both"/>
            </w:pPr>
            <w:bookmarkStart w:id="9" w:name="_Toc378838726"/>
            <w:r w:rsidRPr="00267B79">
              <w:t>Stewardship</w:t>
            </w:r>
            <w:bookmarkEnd w:id="9"/>
          </w:p>
          <w:p w14:paraId="7BB51BA8" w14:textId="77777777" w:rsidR="00C6310F" w:rsidRPr="00C6310F" w:rsidRDefault="00C6310F">
            <w:pPr>
              <w:keepNext/>
              <w:keepLines/>
              <w:spacing w:before="200"/>
              <w:jc w:val="both"/>
              <w:outlineLvl w:val="8"/>
              <w:rPr>
                <w:rFonts w:asciiTheme="majorHAnsi" w:hAnsiTheme="majorHAnsi"/>
              </w:rPr>
            </w:pPr>
          </w:p>
        </w:tc>
        <w:tc>
          <w:tcPr>
            <w:tcW w:w="0" w:type="auto"/>
            <w:vAlign w:val="center"/>
          </w:tcPr>
          <w:p w14:paraId="6DF2EB5F" w14:textId="77777777" w:rsidR="00C6310F" w:rsidRPr="00C6310F" w:rsidRDefault="00C6310F">
            <w:pPr>
              <w:spacing w:after="120"/>
              <w:jc w:val="both"/>
              <w:rPr>
                <w:rFonts w:asciiTheme="majorHAnsi" w:hAnsiTheme="majorHAnsi" w:cs="Calibri Light"/>
                <w:color w:val="0000FF"/>
                <w:sz w:val="20"/>
              </w:rPr>
            </w:pPr>
          </w:p>
        </w:tc>
      </w:tr>
      <w:tr w:rsidR="00DA31F6" w:rsidRPr="00267B79" w14:paraId="0E32201C" w14:textId="77777777">
        <w:tc>
          <w:tcPr>
            <w:tcW w:w="0" w:type="auto"/>
          </w:tcPr>
          <w:p w14:paraId="7EBB9266" w14:textId="77777777" w:rsidR="000D259B" w:rsidRDefault="000D390B">
            <w:pPr>
              <w:spacing w:after="120"/>
              <w:jc w:val="both"/>
              <w:rPr>
                <w:rFonts w:asciiTheme="majorHAnsi" w:hAnsiTheme="majorHAnsi" w:cstheme="majorHAnsi"/>
                <w:sz w:val="20"/>
                <w:szCs w:val="20"/>
              </w:rPr>
            </w:pPr>
            <w:r w:rsidRPr="003A004F">
              <w:rPr>
                <w:rFonts w:asciiTheme="majorHAnsi" w:hAnsiTheme="majorHAnsi" w:cstheme="majorHAnsi"/>
                <w:sz w:val="20"/>
                <w:szCs w:val="20"/>
              </w:rPr>
              <w:t xml:space="preserve">GOTL’s health sector now has a larger number of autonomous agencies than it had in the past. MOH has become more assertive in its ownership of the country’s health agenda. The new Minister of Health is very experienced and highly respected. </w:t>
            </w:r>
          </w:p>
        </w:tc>
        <w:tc>
          <w:tcPr>
            <w:tcW w:w="0" w:type="auto"/>
            <w:vAlign w:val="center"/>
          </w:tcPr>
          <w:p w14:paraId="7CEC3ECC" w14:textId="77777777" w:rsidR="000D259B" w:rsidRDefault="000D390B">
            <w:pPr>
              <w:spacing w:after="120"/>
              <w:jc w:val="both"/>
              <w:rPr>
                <w:rFonts w:asciiTheme="majorHAnsi" w:hAnsiTheme="majorHAnsi" w:cstheme="majorHAnsi"/>
                <w:color w:val="0000FF"/>
                <w:sz w:val="20"/>
                <w:szCs w:val="20"/>
              </w:rPr>
            </w:pPr>
            <w:r w:rsidRPr="000D390B">
              <w:rPr>
                <w:rFonts w:asciiTheme="majorHAnsi" w:hAnsiTheme="majorHAnsi" w:cstheme="majorHAnsi"/>
                <w:color w:val="0000FF"/>
                <w:sz w:val="20"/>
                <w:szCs w:val="20"/>
              </w:rPr>
              <w:t>A, M</w:t>
            </w:r>
          </w:p>
        </w:tc>
      </w:tr>
      <w:tr w:rsidR="00DA31F6" w:rsidRPr="00267B79" w14:paraId="4F5D3424" w14:textId="77777777">
        <w:tc>
          <w:tcPr>
            <w:tcW w:w="0" w:type="auto"/>
          </w:tcPr>
          <w:p w14:paraId="3406795C" w14:textId="77777777" w:rsidR="000D259B" w:rsidRDefault="000D390B">
            <w:pPr>
              <w:keepNext/>
              <w:keepLines/>
              <w:spacing w:after="120"/>
              <w:jc w:val="both"/>
              <w:outlineLvl w:val="0"/>
              <w:rPr>
                <w:rFonts w:asciiTheme="majorHAnsi" w:hAnsiTheme="majorHAnsi" w:cstheme="majorHAnsi"/>
                <w:sz w:val="20"/>
                <w:szCs w:val="20"/>
                <w:lang w:eastAsia="en-AU"/>
              </w:rPr>
            </w:pPr>
            <w:r w:rsidRPr="000D390B">
              <w:rPr>
                <w:rFonts w:asciiTheme="majorHAnsi" w:hAnsiTheme="majorHAnsi" w:cstheme="majorHAnsi"/>
                <w:sz w:val="20"/>
                <w:szCs w:val="20"/>
                <w:lang w:eastAsia="en-AU"/>
              </w:rPr>
              <w:t>Governance involves coordination both within GOTL (across sectors and between administrative levels) and between the GOTL health sector and other partners (donors, IPs, private sector).</w:t>
            </w:r>
            <w:r w:rsidR="00B11DE6">
              <w:rPr>
                <w:rFonts w:asciiTheme="majorHAnsi" w:hAnsiTheme="majorHAnsi" w:cstheme="majorHAnsi"/>
                <w:sz w:val="20"/>
                <w:szCs w:val="20"/>
                <w:lang w:eastAsia="en-AU"/>
              </w:rPr>
              <w:t xml:space="preserve">  </w:t>
            </w:r>
            <w:r w:rsidRPr="000D390B">
              <w:rPr>
                <w:rFonts w:asciiTheme="majorHAnsi" w:hAnsiTheme="majorHAnsi" w:cstheme="majorHAnsi"/>
                <w:sz w:val="20"/>
                <w:szCs w:val="20"/>
              </w:rPr>
              <w:t>Compared to five years ago, there seems to be greater goodwill and trust in relationships between MOH and external partners.</w:t>
            </w:r>
          </w:p>
        </w:tc>
        <w:tc>
          <w:tcPr>
            <w:tcW w:w="0" w:type="auto"/>
            <w:vAlign w:val="center"/>
          </w:tcPr>
          <w:p w14:paraId="776A982F" w14:textId="77777777" w:rsidR="000D259B" w:rsidRDefault="000D390B">
            <w:pPr>
              <w:tabs>
                <w:tab w:val="left" w:pos="500"/>
              </w:tabs>
              <w:spacing w:after="120"/>
              <w:jc w:val="both"/>
              <w:rPr>
                <w:rFonts w:asciiTheme="majorHAnsi" w:hAnsiTheme="majorHAnsi" w:cstheme="majorHAnsi"/>
                <w:color w:val="0000FF"/>
                <w:sz w:val="20"/>
                <w:szCs w:val="20"/>
              </w:rPr>
            </w:pPr>
            <w:r w:rsidRPr="000D390B">
              <w:rPr>
                <w:rFonts w:asciiTheme="majorHAnsi" w:hAnsiTheme="majorHAnsi" w:cstheme="majorHAnsi"/>
                <w:color w:val="0000FF"/>
                <w:sz w:val="20"/>
                <w:szCs w:val="20"/>
              </w:rPr>
              <w:t>M</w:t>
            </w:r>
          </w:p>
        </w:tc>
      </w:tr>
      <w:tr w:rsidR="00DA31F6" w:rsidRPr="00267B79" w14:paraId="5B2324EB" w14:textId="77777777">
        <w:tc>
          <w:tcPr>
            <w:tcW w:w="0" w:type="auto"/>
          </w:tcPr>
          <w:p w14:paraId="45A626AA" w14:textId="77777777" w:rsidR="000D259B" w:rsidRDefault="008B233E" w:rsidP="004F67C4">
            <w:pPr>
              <w:spacing w:after="120"/>
              <w:jc w:val="both"/>
              <w:rPr>
                <w:rFonts w:asciiTheme="majorHAnsi" w:hAnsiTheme="majorHAnsi"/>
                <w:sz w:val="20"/>
              </w:rPr>
            </w:pPr>
            <w:r w:rsidRPr="008B233E">
              <w:rPr>
                <w:rFonts w:asciiTheme="majorHAnsi" w:hAnsiTheme="majorHAnsi"/>
                <w:sz w:val="20"/>
              </w:rPr>
              <w:t>MOH now wants to have ‘one window’ for coordination of partners.</w:t>
            </w:r>
            <w:r w:rsidR="004F67C4">
              <w:rPr>
                <w:rFonts w:asciiTheme="majorHAnsi" w:hAnsiTheme="majorHAnsi"/>
                <w:sz w:val="20"/>
              </w:rPr>
              <w:t xml:space="preserve"> </w:t>
            </w:r>
            <w:r w:rsidRPr="008B233E">
              <w:rPr>
                <w:rFonts w:asciiTheme="majorHAnsi" w:hAnsiTheme="majorHAnsi"/>
                <w:sz w:val="20"/>
              </w:rPr>
              <w:t>It is developing a manual for harmonisation of external support and will seek TA to support harmonisation at national and municipal levels.</w:t>
            </w:r>
            <w:r w:rsidR="004F67C4">
              <w:rPr>
                <w:rFonts w:asciiTheme="majorHAnsi" w:hAnsiTheme="majorHAnsi"/>
                <w:sz w:val="20"/>
              </w:rPr>
              <w:t xml:space="preserve"> </w:t>
            </w:r>
            <w:r w:rsidR="000D390B" w:rsidRPr="000D390B">
              <w:rPr>
                <w:rFonts w:asciiTheme="majorHAnsi" w:hAnsiTheme="majorHAnsi"/>
                <w:sz w:val="20"/>
              </w:rPr>
              <w:t xml:space="preserve">It also intends to harmonise the way partners provide TA. </w:t>
            </w:r>
          </w:p>
        </w:tc>
        <w:tc>
          <w:tcPr>
            <w:tcW w:w="0" w:type="auto"/>
            <w:vAlign w:val="center"/>
          </w:tcPr>
          <w:p w14:paraId="12261C94" w14:textId="77777777" w:rsidR="000D259B" w:rsidRDefault="000D390B">
            <w:pPr>
              <w:spacing w:after="120"/>
              <w:jc w:val="both"/>
              <w:rPr>
                <w:rFonts w:asciiTheme="majorHAnsi" w:hAnsiTheme="majorHAnsi" w:cs="Calibri Light"/>
                <w:color w:val="0000FF"/>
                <w:sz w:val="20"/>
              </w:rPr>
            </w:pPr>
            <w:r w:rsidRPr="000D390B">
              <w:rPr>
                <w:rFonts w:asciiTheme="majorHAnsi" w:hAnsiTheme="majorHAnsi" w:cs="Calibri Light"/>
                <w:color w:val="0000FF"/>
                <w:sz w:val="20"/>
              </w:rPr>
              <w:t>A</w:t>
            </w:r>
          </w:p>
        </w:tc>
      </w:tr>
      <w:tr w:rsidR="00DA31F6" w:rsidRPr="00267B79" w14:paraId="6481EDF5" w14:textId="77777777">
        <w:tc>
          <w:tcPr>
            <w:tcW w:w="0" w:type="auto"/>
          </w:tcPr>
          <w:p w14:paraId="6E4C2C53" w14:textId="77777777" w:rsidR="000D259B" w:rsidRDefault="008B233E">
            <w:pPr>
              <w:spacing w:after="120"/>
              <w:jc w:val="both"/>
              <w:rPr>
                <w:rFonts w:asciiTheme="majorHAnsi" w:hAnsiTheme="majorHAnsi"/>
                <w:sz w:val="20"/>
              </w:rPr>
            </w:pPr>
            <w:r w:rsidRPr="00C85D03">
              <w:rPr>
                <w:rFonts w:asciiTheme="majorHAnsi" w:hAnsiTheme="majorHAnsi"/>
                <w:sz w:val="20"/>
              </w:rPr>
              <w:t>GOTL provides approximately 70% to 90% of the country’s health care.</w:t>
            </w:r>
            <w:r w:rsidR="000D390B" w:rsidRPr="00C85D03">
              <w:rPr>
                <w:rStyle w:val="FootnoteReference"/>
                <w:rFonts w:asciiTheme="majorHAnsi" w:hAnsiTheme="majorHAnsi"/>
                <w:sz w:val="20"/>
              </w:rPr>
              <w:footnoteReference w:id="15"/>
            </w:r>
            <w:r w:rsidR="000D390B" w:rsidRPr="000D390B">
              <w:rPr>
                <w:rFonts w:asciiTheme="majorHAnsi" w:hAnsiTheme="majorHAnsi"/>
                <w:sz w:val="20"/>
              </w:rPr>
              <w:t xml:space="preserve">  Private-for-profit health care providers are concentrated in urban areas. Many non-government organisations (NGO) </w:t>
            </w:r>
            <w:r w:rsidR="000D390B" w:rsidRPr="00772927">
              <w:rPr>
                <w:rFonts w:asciiTheme="majorHAnsi" w:hAnsiTheme="majorHAnsi"/>
                <w:sz w:val="20"/>
              </w:rPr>
              <w:t>also support the delivery of health</w:t>
            </w:r>
            <w:r w:rsidR="00772927" w:rsidRPr="00772927">
              <w:rPr>
                <w:rFonts w:asciiTheme="majorHAnsi" w:hAnsiTheme="majorHAnsi"/>
                <w:sz w:val="20"/>
              </w:rPr>
              <w:t xml:space="preserve"> </w:t>
            </w:r>
            <w:r w:rsidR="000D390B" w:rsidRPr="00772927">
              <w:rPr>
                <w:rFonts w:asciiTheme="majorHAnsi" w:hAnsiTheme="majorHAnsi"/>
                <w:sz w:val="20"/>
              </w:rPr>
              <w:t>care,</w:t>
            </w:r>
            <w:r w:rsidR="000D390B" w:rsidRPr="000D390B">
              <w:rPr>
                <w:rFonts w:asciiTheme="majorHAnsi" w:hAnsiTheme="majorHAnsi"/>
                <w:sz w:val="20"/>
              </w:rPr>
              <w:t xml:space="preserve"> mostly with donor funding and often at a small scale, in all municipalities. </w:t>
            </w:r>
          </w:p>
        </w:tc>
        <w:tc>
          <w:tcPr>
            <w:tcW w:w="0" w:type="auto"/>
            <w:vAlign w:val="center"/>
          </w:tcPr>
          <w:p w14:paraId="7B4D6E00" w14:textId="77777777" w:rsidR="000D259B" w:rsidRDefault="000D259B">
            <w:pPr>
              <w:spacing w:after="120"/>
              <w:jc w:val="both"/>
              <w:rPr>
                <w:rFonts w:asciiTheme="majorHAnsi" w:hAnsiTheme="majorHAnsi" w:cs="Calibri Light"/>
                <w:color w:val="0000FF"/>
                <w:sz w:val="20"/>
              </w:rPr>
            </w:pPr>
          </w:p>
        </w:tc>
      </w:tr>
      <w:tr w:rsidR="00DA31F6" w:rsidRPr="00267B79" w14:paraId="632D00C3" w14:textId="77777777">
        <w:tc>
          <w:tcPr>
            <w:tcW w:w="0" w:type="auto"/>
          </w:tcPr>
          <w:p w14:paraId="6792C8DC" w14:textId="77777777" w:rsidR="000D259B" w:rsidRDefault="004B3B8F">
            <w:pPr>
              <w:keepNext/>
              <w:keepLines/>
              <w:spacing w:after="120"/>
              <w:jc w:val="both"/>
              <w:outlineLvl w:val="0"/>
              <w:rPr>
                <w:rFonts w:asciiTheme="majorHAnsi" w:hAnsiTheme="majorHAnsi" w:cstheme="majorHAnsi"/>
                <w:sz w:val="20"/>
                <w:szCs w:val="20"/>
                <w:lang w:eastAsia="en-AU"/>
              </w:rPr>
            </w:pPr>
            <w:r w:rsidRPr="004B3B8F">
              <w:rPr>
                <w:rFonts w:asciiTheme="majorHAnsi" w:hAnsiTheme="majorHAnsi" w:cstheme="majorHAnsi"/>
                <w:sz w:val="20"/>
                <w:szCs w:val="20"/>
                <w:lang w:eastAsia="en-AU"/>
              </w:rPr>
              <w:lastRenderedPageBreak/>
              <w:t xml:space="preserve">Accountability – ultimately to citizens, for use of resources and results achieved - is an important aspect of governance, and GOTL is vigorously pursuing an anti-corruption agenda. In TL there are formal and informal channels for holding government accountable; some of the informal ones </w:t>
            </w:r>
            <w:r w:rsidR="00620A3F">
              <w:rPr>
                <w:rFonts w:asciiTheme="majorHAnsi" w:hAnsiTheme="majorHAnsi" w:cstheme="majorHAnsi"/>
                <w:sz w:val="20"/>
                <w:szCs w:val="20"/>
                <w:lang w:eastAsia="en-AU"/>
              </w:rPr>
              <w:t>–</w:t>
            </w:r>
            <w:r w:rsidRPr="004B3B8F">
              <w:rPr>
                <w:rFonts w:asciiTheme="majorHAnsi" w:hAnsiTheme="majorHAnsi" w:cstheme="majorHAnsi"/>
                <w:sz w:val="20"/>
                <w:szCs w:val="20"/>
                <w:lang w:eastAsia="en-AU"/>
              </w:rPr>
              <w:t xml:space="preserve"> e</w:t>
            </w:r>
            <w:r w:rsidR="00620A3F">
              <w:rPr>
                <w:rFonts w:asciiTheme="majorHAnsi" w:hAnsiTheme="majorHAnsi" w:cstheme="majorHAnsi"/>
                <w:sz w:val="20"/>
                <w:szCs w:val="20"/>
                <w:lang w:eastAsia="en-AU"/>
              </w:rPr>
              <w:t>.</w:t>
            </w:r>
            <w:r w:rsidRPr="004B3B8F">
              <w:rPr>
                <w:rFonts w:asciiTheme="majorHAnsi" w:hAnsiTheme="majorHAnsi" w:cstheme="majorHAnsi"/>
                <w:sz w:val="20"/>
                <w:szCs w:val="20"/>
                <w:lang w:eastAsia="en-AU"/>
              </w:rPr>
              <w:t>g</w:t>
            </w:r>
            <w:r w:rsidR="00620A3F">
              <w:rPr>
                <w:rFonts w:asciiTheme="majorHAnsi" w:hAnsiTheme="majorHAnsi" w:cstheme="majorHAnsi"/>
                <w:sz w:val="20"/>
                <w:szCs w:val="20"/>
                <w:lang w:eastAsia="en-AU"/>
              </w:rPr>
              <w:t>.,</w:t>
            </w:r>
            <w:r w:rsidRPr="004B3B8F">
              <w:rPr>
                <w:rFonts w:asciiTheme="majorHAnsi" w:hAnsiTheme="majorHAnsi" w:cstheme="majorHAnsi"/>
                <w:sz w:val="20"/>
                <w:szCs w:val="20"/>
                <w:lang w:eastAsia="en-AU"/>
              </w:rPr>
              <w:t xml:space="preserve"> posting on social media or complaints to politicians - may have more rapid and dramatic effects than the formal channels. </w:t>
            </w:r>
            <w:r w:rsidRPr="004B3B8F">
              <w:rPr>
                <w:rFonts w:asciiTheme="majorHAnsi" w:hAnsiTheme="majorHAnsi" w:cstheme="majorHAnsi"/>
                <w:sz w:val="20"/>
                <w:szCs w:val="20"/>
              </w:rPr>
              <w:t>A Quality Control unit exists in MoH and a complaints system is now being piloted; responsibility for dealing with complaints rests with line departments.</w:t>
            </w:r>
          </w:p>
        </w:tc>
        <w:tc>
          <w:tcPr>
            <w:tcW w:w="0" w:type="auto"/>
            <w:vAlign w:val="center"/>
          </w:tcPr>
          <w:p w14:paraId="05309F9B" w14:textId="77777777" w:rsidR="000D259B" w:rsidRDefault="004B3B8F">
            <w:pPr>
              <w:spacing w:after="120"/>
              <w:jc w:val="both"/>
              <w:rPr>
                <w:rFonts w:asciiTheme="majorHAnsi" w:hAnsiTheme="majorHAnsi" w:cstheme="majorHAnsi"/>
                <w:color w:val="0000FF"/>
                <w:sz w:val="20"/>
                <w:szCs w:val="20"/>
              </w:rPr>
            </w:pPr>
            <w:r w:rsidRPr="004B3B8F">
              <w:rPr>
                <w:rFonts w:asciiTheme="majorHAnsi" w:hAnsiTheme="majorHAnsi" w:cstheme="majorHAnsi"/>
                <w:color w:val="0000FF"/>
                <w:sz w:val="20"/>
                <w:szCs w:val="20"/>
              </w:rPr>
              <w:t>A, B, O,</w:t>
            </w:r>
          </w:p>
          <w:p w14:paraId="35679E34" w14:textId="77777777" w:rsidR="000D259B" w:rsidRDefault="000D259B">
            <w:pPr>
              <w:spacing w:after="120"/>
              <w:jc w:val="both"/>
              <w:rPr>
                <w:rFonts w:asciiTheme="majorHAnsi" w:hAnsiTheme="majorHAnsi" w:cstheme="majorHAnsi"/>
                <w:color w:val="0000FF"/>
                <w:sz w:val="20"/>
                <w:szCs w:val="20"/>
              </w:rPr>
            </w:pPr>
          </w:p>
        </w:tc>
      </w:tr>
      <w:tr w:rsidR="00DA31F6" w:rsidRPr="00267B79" w14:paraId="5BEBDE48" w14:textId="77777777">
        <w:tc>
          <w:tcPr>
            <w:tcW w:w="0" w:type="auto"/>
          </w:tcPr>
          <w:p w14:paraId="50832ACE" w14:textId="48199657" w:rsidR="000D259B" w:rsidRPr="00C85D03" w:rsidRDefault="007F06D8">
            <w:pPr>
              <w:keepNext/>
              <w:keepLines/>
              <w:spacing w:after="120"/>
              <w:jc w:val="both"/>
              <w:outlineLvl w:val="0"/>
              <w:rPr>
                <w:rFonts w:asciiTheme="majorHAnsi" w:hAnsiTheme="majorHAnsi" w:cstheme="majorHAnsi"/>
                <w:sz w:val="20"/>
                <w:szCs w:val="20"/>
                <w:lang w:eastAsia="en-AU"/>
              </w:rPr>
            </w:pPr>
            <w:r w:rsidRPr="00C85D03">
              <w:rPr>
                <w:rFonts w:asciiTheme="majorHAnsi" w:hAnsiTheme="majorHAnsi" w:cstheme="majorHAnsi"/>
                <w:sz w:val="20"/>
                <w:szCs w:val="20"/>
              </w:rPr>
              <w:t xml:space="preserve">The Ministry of Health </w:t>
            </w:r>
            <w:r w:rsidR="0098594F" w:rsidRPr="00C85D03">
              <w:rPr>
                <w:rFonts w:asciiTheme="majorHAnsi" w:hAnsiTheme="majorHAnsi" w:cstheme="majorHAnsi"/>
                <w:sz w:val="20"/>
                <w:szCs w:val="20"/>
              </w:rPr>
              <w:t>have</w:t>
            </w:r>
            <w:r w:rsidRPr="00C85D03">
              <w:rPr>
                <w:rFonts w:asciiTheme="majorHAnsi" w:hAnsiTheme="majorHAnsi" w:cstheme="majorHAnsi"/>
                <w:sz w:val="20"/>
                <w:szCs w:val="20"/>
              </w:rPr>
              <w:t xml:space="preserve"> a comprehensive definition of HF readiness</w:t>
            </w:r>
            <w:r w:rsidR="009B6422" w:rsidRPr="00C85D03">
              <w:rPr>
                <w:rStyle w:val="FootnoteReference"/>
                <w:rFonts w:asciiTheme="majorHAnsi" w:hAnsiTheme="majorHAnsi" w:cstheme="majorHAnsi"/>
                <w:sz w:val="20"/>
                <w:szCs w:val="20"/>
              </w:rPr>
              <w:footnoteReference w:id="16"/>
            </w:r>
            <w:r w:rsidRPr="00C85D03">
              <w:rPr>
                <w:rFonts w:asciiTheme="majorHAnsi" w:hAnsiTheme="majorHAnsi" w:cstheme="majorHAnsi"/>
                <w:sz w:val="20"/>
                <w:szCs w:val="20"/>
              </w:rPr>
              <w:t xml:space="preserve"> and consider it as </w:t>
            </w:r>
            <w:r w:rsidR="004B3B8F" w:rsidRPr="00C85D03">
              <w:rPr>
                <w:rFonts w:asciiTheme="majorHAnsi" w:hAnsiTheme="majorHAnsi" w:cstheme="majorHAnsi"/>
                <w:sz w:val="20"/>
                <w:szCs w:val="20"/>
              </w:rPr>
              <w:t xml:space="preserve">vital to quality of RMNCH services, but since it involves many players and processes, there is no </w:t>
            </w:r>
            <w:r w:rsidRPr="00C85D03">
              <w:rPr>
                <w:rFonts w:asciiTheme="majorHAnsi" w:hAnsiTheme="majorHAnsi" w:cstheme="majorHAnsi"/>
                <w:sz w:val="20"/>
                <w:szCs w:val="20"/>
              </w:rPr>
              <w:t xml:space="preserve">identified </w:t>
            </w:r>
            <w:r w:rsidR="004B3B8F" w:rsidRPr="00C85D03">
              <w:rPr>
                <w:rFonts w:asciiTheme="majorHAnsi" w:hAnsiTheme="majorHAnsi" w:cstheme="majorHAnsi"/>
                <w:sz w:val="20"/>
                <w:szCs w:val="20"/>
              </w:rPr>
              <w:t>specific locus of accountability for it.</w:t>
            </w:r>
          </w:p>
        </w:tc>
        <w:tc>
          <w:tcPr>
            <w:tcW w:w="0" w:type="auto"/>
            <w:vAlign w:val="center"/>
          </w:tcPr>
          <w:p w14:paraId="530E053D" w14:textId="77777777" w:rsidR="000D259B" w:rsidRDefault="004B3B8F">
            <w:pPr>
              <w:tabs>
                <w:tab w:val="left" w:pos="500"/>
              </w:tabs>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A, M</w:t>
            </w:r>
          </w:p>
        </w:tc>
      </w:tr>
      <w:tr w:rsidR="00DA31F6" w:rsidRPr="00267B79" w14:paraId="19502FF8" w14:textId="77777777">
        <w:tc>
          <w:tcPr>
            <w:tcW w:w="0" w:type="auto"/>
          </w:tcPr>
          <w:p w14:paraId="02BB6A4B" w14:textId="77777777" w:rsidR="000D259B" w:rsidRDefault="004B3B8F">
            <w:pPr>
              <w:keepNext/>
              <w:keepLines/>
              <w:spacing w:after="120"/>
              <w:jc w:val="both"/>
              <w:outlineLvl w:val="0"/>
              <w:rPr>
                <w:rFonts w:asciiTheme="majorHAnsi" w:hAnsiTheme="majorHAnsi"/>
                <w:sz w:val="20"/>
              </w:rPr>
            </w:pPr>
            <w:r w:rsidRPr="004B3B8F">
              <w:rPr>
                <w:rFonts w:asciiTheme="majorHAnsi" w:hAnsiTheme="majorHAnsi" w:cstheme="majorHAnsi"/>
                <w:sz w:val="20"/>
                <w:szCs w:val="20"/>
                <w:lang w:eastAsia="en-AU"/>
              </w:rPr>
              <w:t xml:space="preserve">For years there have been challenges to coherence and integration between the national and municipal levels of the health sector. Now that </w:t>
            </w:r>
            <w:r w:rsidRPr="004B3B8F">
              <w:rPr>
                <w:rFonts w:asciiTheme="majorHAnsi" w:hAnsiTheme="majorHAnsi" w:cstheme="majorHAnsi"/>
                <w:sz w:val="20"/>
                <w:szCs w:val="20"/>
              </w:rPr>
              <w:t xml:space="preserve">decentralization has begun, MOH intends to post ‘delegations’ to each municipality </w:t>
            </w:r>
            <w:r w:rsidRPr="004B3B8F">
              <w:rPr>
                <w:rFonts w:asciiTheme="majorHAnsi" w:hAnsiTheme="majorHAnsi"/>
                <w:sz w:val="20"/>
              </w:rPr>
              <w:t xml:space="preserve">to coordinate between the line ministry and the Municipality Health Directors </w:t>
            </w:r>
            <w:r w:rsidR="000D390B" w:rsidRPr="00F70C93">
              <w:rPr>
                <w:rFonts w:asciiTheme="majorHAnsi" w:hAnsiTheme="majorHAnsi"/>
                <w:sz w:val="20"/>
              </w:rPr>
              <w:t xml:space="preserve">(who </w:t>
            </w:r>
            <w:r w:rsidR="00BC353F">
              <w:rPr>
                <w:rFonts w:asciiTheme="majorHAnsi" w:hAnsiTheme="majorHAnsi"/>
                <w:sz w:val="20"/>
              </w:rPr>
              <w:t xml:space="preserve">are now employed by </w:t>
            </w:r>
            <w:r w:rsidR="00F70C93">
              <w:rPr>
                <w:rFonts w:asciiTheme="majorHAnsi" w:hAnsiTheme="majorHAnsi"/>
                <w:sz w:val="20"/>
              </w:rPr>
              <w:t>the</w:t>
            </w:r>
            <w:r w:rsidR="000D390B" w:rsidRPr="00F70C93">
              <w:rPr>
                <w:rFonts w:asciiTheme="majorHAnsi" w:hAnsiTheme="majorHAnsi"/>
                <w:sz w:val="20"/>
              </w:rPr>
              <w:t xml:space="preserve"> Ministry of State Administration).</w:t>
            </w:r>
            <w:r w:rsidRPr="004B3B8F">
              <w:rPr>
                <w:rFonts w:asciiTheme="majorHAnsi" w:hAnsiTheme="majorHAnsi"/>
                <w:sz w:val="20"/>
              </w:rPr>
              <w:t xml:space="preserve"> </w:t>
            </w:r>
          </w:p>
        </w:tc>
        <w:tc>
          <w:tcPr>
            <w:tcW w:w="0" w:type="auto"/>
            <w:vAlign w:val="center"/>
          </w:tcPr>
          <w:p w14:paraId="6AE97591" w14:textId="77777777" w:rsidR="000D259B" w:rsidRDefault="004B3B8F">
            <w:pPr>
              <w:tabs>
                <w:tab w:val="left" w:pos="500"/>
              </w:tabs>
              <w:spacing w:after="120"/>
              <w:jc w:val="both"/>
              <w:rPr>
                <w:rFonts w:asciiTheme="majorHAnsi" w:hAnsiTheme="majorHAnsi" w:cstheme="majorHAnsi"/>
                <w:color w:val="0000FF"/>
                <w:sz w:val="20"/>
                <w:szCs w:val="20"/>
              </w:rPr>
            </w:pPr>
            <w:r w:rsidRPr="004B3B8F">
              <w:rPr>
                <w:rFonts w:asciiTheme="majorHAnsi" w:hAnsiTheme="majorHAnsi" w:cstheme="majorHAnsi"/>
                <w:color w:val="0000FF"/>
                <w:sz w:val="20"/>
                <w:szCs w:val="20"/>
              </w:rPr>
              <w:t>A, M</w:t>
            </w:r>
          </w:p>
        </w:tc>
      </w:tr>
      <w:tr w:rsidR="00DA31F6" w:rsidRPr="00267B79" w14:paraId="7177732B" w14:textId="77777777">
        <w:tc>
          <w:tcPr>
            <w:tcW w:w="0" w:type="auto"/>
          </w:tcPr>
          <w:p w14:paraId="344D040D" w14:textId="77777777" w:rsidR="000D259B" w:rsidRDefault="000D390B">
            <w:pPr>
              <w:spacing w:after="120"/>
              <w:jc w:val="both"/>
              <w:rPr>
                <w:rFonts w:asciiTheme="majorHAnsi" w:hAnsiTheme="majorHAnsi"/>
                <w:sz w:val="20"/>
              </w:rPr>
            </w:pPr>
            <w:r w:rsidRPr="000D390B">
              <w:rPr>
                <w:rFonts w:asciiTheme="majorHAnsi" w:hAnsiTheme="majorHAnsi" w:cstheme="majorHAnsi"/>
                <w:sz w:val="20"/>
                <w:szCs w:val="20"/>
              </w:rPr>
              <w:t>The National Health Sector Strategic Plan (NHSSP) is quite broad in scope but gives due emphasis to RMNCH.</w:t>
            </w:r>
            <w:r w:rsidR="003A7EBE" w:rsidRPr="003A7EBE">
              <w:rPr>
                <w:rStyle w:val="FootnoteReference"/>
                <w:rFonts w:asciiTheme="majorHAnsi" w:hAnsiTheme="majorHAnsi" w:cstheme="majorHAnsi"/>
                <w:sz w:val="20"/>
                <w:szCs w:val="20"/>
              </w:rPr>
              <w:footnoteReference w:id="17"/>
            </w:r>
            <w:r w:rsidRPr="000D390B">
              <w:rPr>
                <w:rFonts w:asciiTheme="majorHAnsi" w:hAnsiTheme="majorHAnsi" w:cstheme="majorHAnsi"/>
                <w:sz w:val="20"/>
                <w:szCs w:val="20"/>
              </w:rPr>
              <w:t xml:space="preserve">  While NHSSP identifies equity as a core value,</w:t>
            </w:r>
            <w:r w:rsidR="003A7EBE" w:rsidRPr="003A7EBE">
              <w:rPr>
                <w:rStyle w:val="FootnoteReference"/>
                <w:rFonts w:asciiTheme="majorHAnsi" w:hAnsiTheme="majorHAnsi" w:cstheme="majorHAnsi"/>
                <w:sz w:val="20"/>
                <w:szCs w:val="20"/>
              </w:rPr>
              <w:footnoteReference w:id="18"/>
            </w:r>
            <w:r w:rsidRPr="000D390B">
              <w:rPr>
                <w:rFonts w:asciiTheme="majorHAnsi" w:hAnsiTheme="majorHAnsi" w:cstheme="majorHAnsi"/>
                <w:sz w:val="20"/>
                <w:szCs w:val="20"/>
              </w:rPr>
              <w:t xml:space="preserve"> health infrastructure and health workers are </w:t>
            </w:r>
            <w:r w:rsidRPr="00815346">
              <w:rPr>
                <w:rFonts w:asciiTheme="majorHAnsi" w:hAnsiTheme="majorHAnsi" w:cstheme="majorHAnsi"/>
                <w:sz w:val="20"/>
                <w:szCs w:val="20"/>
              </w:rPr>
              <w:t xml:space="preserve">inequitably distributed, </w:t>
            </w:r>
            <w:r w:rsidRPr="00815346">
              <w:rPr>
                <w:rFonts w:asciiTheme="majorHAnsi" w:hAnsiTheme="majorHAnsi"/>
                <w:sz w:val="20"/>
              </w:rPr>
              <w:t>and rules regarding the services that can be offered at HPs and CHCs constrain access by rural people</w:t>
            </w:r>
            <w:r w:rsidRPr="00815346">
              <w:rPr>
                <w:rFonts w:asciiTheme="majorHAnsi" w:hAnsiTheme="majorHAnsi" w:cstheme="majorHAnsi"/>
                <w:sz w:val="20"/>
                <w:szCs w:val="20"/>
              </w:rPr>
              <w:t xml:space="preserve">. The Basic Services Package (BPC) calls for </w:t>
            </w:r>
            <w:r w:rsidR="00F32CB0" w:rsidRPr="00815346">
              <w:rPr>
                <w:rFonts w:asciiTheme="majorHAnsi" w:hAnsiTheme="majorHAnsi" w:cstheme="majorHAnsi"/>
                <w:sz w:val="20"/>
                <w:szCs w:val="20"/>
              </w:rPr>
              <w:t>emergency obstetric and neonatal care (</w:t>
            </w:r>
            <w:r w:rsidRPr="00815346">
              <w:rPr>
                <w:rFonts w:asciiTheme="majorHAnsi" w:hAnsiTheme="majorHAnsi" w:cstheme="majorHAnsi"/>
                <w:sz w:val="20"/>
                <w:szCs w:val="20"/>
              </w:rPr>
              <w:t>EmONC</w:t>
            </w:r>
            <w:r w:rsidR="00F32CB0" w:rsidRPr="00815346">
              <w:rPr>
                <w:rFonts w:asciiTheme="majorHAnsi" w:hAnsiTheme="majorHAnsi" w:cstheme="majorHAnsi"/>
                <w:sz w:val="20"/>
                <w:szCs w:val="20"/>
              </w:rPr>
              <w:t>)</w:t>
            </w:r>
            <w:r w:rsidRPr="00815346">
              <w:rPr>
                <w:rFonts w:asciiTheme="majorHAnsi" w:hAnsiTheme="majorHAnsi" w:cstheme="majorHAnsi"/>
                <w:sz w:val="20"/>
                <w:szCs w:val="20"/>
              </w:rPr>
              <w:t xml:space="preserve"> in almost</w:t>
            </w:r>
            <w:r w:rsidRPr="000D390B">
              <w:rPr>
                <w:rFonts w:asciiTheme="majorHAnsi" w:hAnsiTheme="majorHAnsi" w:cstheme="majorHAnsi"/>
                <w:sz w:val="20"/>
                <w:szCs w:val="20"/>
              </w:rPr>
              <w:t xml:space="preserve"> all facilities, but availability of EmONC is very inequitable at presen</w:t>
            </w:r>
            <w:r w:rsidRPr="00845FE7">
              <w:rPr>
                <w:rFonts w:asciiTheme="majorHAnsi" w:hAnsiTheme="majorHAnsi" w:cstheme="majorHAnsi"/>
                <w:sz w:val="20"/>
                <w:szCs w:val="20"/>
              </w:rPr>
              <w:t>t</w:t>
            </w:r>
            <w:r w:rsidR="003A7EBE" w:rsidRPr="00845FE7">
              <w:rPr>
                <w:rFonts w:asciiTheme="majorHAnsi" w:hAnsiTheme="majorHAnsi" w:cstheme="majorHAnsi"/>
                <w:sz w:val="20"/>
                <w:szCs w:val="20"/>
              </w:rPr>
              <w:t>.</w:t>
            </w:r>
            <w:r w:rsidR="008E0D24" w:rsidRPr="00845FE7">
              <w:rPr>
                <w:rStyle w:val="FootnoteReference"/>
                <w:rFonts w:asciiTheme="majorHAnsi" w:hAnsiTheme="majorHAnsi" w:cstheme="majorHAnsi"/>
                <w:sz w:val="20"/>
                <w:szCs w:val="20"/>
              </w:rPr>
              <w:footnoteReference w:id="19"/>
            </w:r>
            <w:r w:rsidR="00B36AA1" w:rsidRPr="00B36AA1">
              <w:rPr>
                <w:rFonts w:asciiTheme="majorHAnsi" w:hAnsiTheme="majorHAnsi" w:cstheme="majorHAnsi"/>
                <w:sz w:val="20"/>
                <w:szCs w:val="20"/>
              </w:rPr>
              <w:t xml:space="preserve"> </w:t>
            </w:r>
          </w:p>
        </w:tc>
        <w:tc>
          <w:tcPr>
            <w:tcW w:w="0" w:type="auto"/>
            <w:vAlign w:val="center"/>
          </w:tcPr>
          <w:p w14:paraId="09A14117"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B, C, M, N</w:t>
            </w:r>
          </w:p>
          <w:p w14:paraId="0A4AC515" w14:textId="77777777" w:rsidR="000D259B" w:rsidRDefault="000D259B">
            <w:pPr>
              <w:spacing w:after="120"/>
              <w:jc w:val="both"/>
              <w:rPr>
                <w:rFonts w:asciiTheme="majorHAnsi" w:hAnsiTheme="majorHAnsi" w:cstheme="majorHAnsi"/>
                <w:color w:val="0000FF"/>
                <w:sz w:val="20"/>
                <w:szCs w:val="20"/>
              </w:rPr>
            </w:pPr>
          </w:p>
        </w:tc>
      </w:tr>
      <w:tr w:rsidR="002914E9" w:rsidRPr="00267B79" w14:paraId="1FBD2E89" w14:textId="77777777">
        <w:tc>
          <w:tcPr>
            <w:tcW w:w="0" w:type="auto"/>
          </w:tcPr>
          <w:p w14:paraId="0E8A2FD6" w14:textId="77777777" w:rsidR="008809C4" w:rsidRDefault="002748D3" w:rsidP="00815346">
            <w:pPr>
              <w:pStyle w:val="NormalWeb"/>
              <w:spacing w:beforeLines="0" w:afterLines="0"/>
              <w:jc w:val="both"/>
              <w:rPr>
                <w:rFonts w:asciiTheme="majorHAnsi" w:hAnsiTheme="majorHAnsi"/>
              </w:rPr>
            </w:pPr>
            <w:r w:rsidRPr="009576FF">
              <w:rPr>
                <w:rFonts w:asciiTheme="majorHAnsi" w:hAnsiTheme="majorHAnsi" w:cstheme="majorHAnsi"/>
              </w:rPr>
              <w:t xml:space="preserve">NHSSP is now in its second five-year phase, which is devoted to </w:t>
            </w:r>
            <w:r w:rsidR="00D109E3" w:rsidRPr="009576FF">
              <w:rPr>
                <w:rFonts w:asciiTheme="majorHAnsi" w:hAnsiTheme="majorHAnsi" w:cstheme="majorHAnsi"/>
              </w:rPr>
              <w:t>‘C</w:t>
            </w:r>
            <w:r w:rsidRPr="009576FF">
              <w:rPr>
                <w:rFonts w:asciiTheme="majorHAnsi" w:hAnsiTheme="majorHAnsi" w:cstheme="majorHAnsi"/>
              </w:rPr>
              <w:t>onsolidation</w:t>
            </w:r>
            <w:r w:rsidR="00D109E3" w:rsidRPr="009576FF">
              <w:rPr>
                <w:rFonts w:asciiTheme="majorHAnsi" w:hAnsiTheme="majorHAnsi" w:cstheme="majorHAnsi"/>
              </w:rPr>
              <w:t>’</w:t>
            </w:r>
            <w:r w:rsidRPr="009576FF">
              <w:rPr>
                <w:rFonts w:asciiTheme="majorHAnsi" w:hAnsiTheme="majorHAnsi" w:cstheme="majorHAnsi"/>
              </w:rPr>
              <w:t xml:space="preserve"> of </w:t>
            </w:r>
            <w:r w:rsidR="00D109E3" w:rsidRPr="009576FF">
              <w:rPr>
                <w:rFonts w:asciiTheme="majorHAnsi" w:hAnsiTheme="majorHAnsi" w:cstheme="majorHAnsi"/>
              </w:rPr>
              <w:t xml:space="preserve">the initial ‘Conditioning’ phase. Priorities for the Consolidation period include: revising the policy framework to reflect </w:t>
            </w:r>
            <w:r w:rsidR="00D109E3" w:rsidRPr="009576FF">
              <w:rPr>
                <w:rFonts w:asciiTheme="majorHAnsi" w:hAnsiTheme="majorHAnsi"/>
                <w:szCs w:val="22"/>
              </w:rPr>
              <w:t>changes in health status; building capacity at all levels for health planning and budgeting, reporting, monitoring and evaluation; and developing and deploying human resources for the districts.</w:t>
            </w:r>
            <w:r w:rsidR="009576FF">
              <w:rPr>
                <w:rStyle w:val="FootnoteReference"/>
                <w:rFonts w:asciiTheme="majorHAnsi" w:hAnsiTheme="majorHAnsi"/>
                <w:szCs w:val="22"/>
              </w:rPr>
              <w:footnoteReference w:id="20"/>
            </w:r>
            <w:r w:rsidR="00FC3F4D">
              <w:rPr>
                <w:rFonts w:asciiTheme="majorHAnsi" w:hAnsiTheme="majorHAnsi"/>
                <w:szCs w:val="22"/>
              </w:rPr>
              <w:t xml:space="preserve">  </w:t>
            </w:r>
            <w:r w:rsidR="00FA32CC">
              <w:rPr>
                <w:rFonts w:asciiTheme="majorHAnsi" w:hAnsiTheme="majorHAnsi"/>
                <w:szCs w:val="22"/>
              </w:rPr>
              <w:t>Hence</w:t>
            </w:r>
            <w:r w:rsidR="005A7961">
              <w:rPr>
                <w:rFonts w:asciiTheme="majorHAnsi" w:hAnsiTheme="majorHAnsi"/>
                <w:szCs w:val="22"/>
              </w:rPr>
              <w:t xml:space="preserve"> </w:t>
            </w:r>
            <w:r w:rsidRPr="009576FF">
              <w:rPr>
                <w:rFonts w:asciiTheme="majorHAnsi" w:hAnsiTheme="majorHAnsi"/>
                <w:szCs w:val="24"/>
              </w:rPr>
              <w:t xml:space="preserve">MOH is </w:t>
            </w:r>
            <w:r w:rsidRPr="002748D3">
              <w:rPr>
                <w:rFonts w:asciiTheme="majorHAnsi" w:hAnsiTheme="majorHAnsi"/>
                <w:szCs w:val="24"/>
              </w:rPr>
              <w:t>revisiting a number of policies (including those for health financing and human resources) and is now planning to review the overall configuration of the health sector (i.e., infrastructure, human resources and services) as the basis for strategic direction in subsequent years.</w:t>
            </w:r>
          </w:p>
        </w:tc>
        <w:tc>
          <w:tcPr>
            <w:tcW w:w="0" w:type="auto"/>
            <w:vAlign w:val="center"/>
          </w:tcPr>
          <w:p w14:paraId="6659D7EB"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w:t>
            </w:r>
          </w:p>
        </w:tc>
      </w:tr>
      <w:tr w:rsidR="00DA31F6" w:rsidRPr="00267B79" w14:paraId="25C93539" w14:textId="77777777">
        <w:tc>
          <w:tcPr>
            <w:tcW w:w="0" w:type="auto"/>
          </w:tcPr>
          <w:p w14:paraId="37AF0148" w14:textId="77777777" w:rsidR="000D259B" w:rsidRDefault="002F09E6">
            <w:pPr>
              <w:pStyle w:val="Heading3"/>
              <w:jc w:val="both"/>
            </w:pPr>
            <w:bookmarkStart w:id="10" w:name="_Toc378838727"/>
            <w:r w:rsidRPr="00267B79">
              <w:t>Management</w:t>
            </w:r>
            <w:bookmarkEnd w:id="10"/>
          </w:p>
          <w:p w14:paraId="4FD0F3E2" w14:textId="77777777" w:rsidR="000D259B" w:rsidRDefault="000D259B">
            <w:pPr>
              <w:jc w:val="both"/>
              <w:rPr>
                <w:rFonts w:asciiTheme="majorHAnsi" w:hAnsiTheme="majorHAnsi"/>
              </w:rPr>
            </w:pPr>
          </w:p>
        </w:tc>
        <w:tc>
          <w:tcPr>
            <w:tcW w:w="0" w:type="auto"/>
            <w:vAlign w:val="center"/>
          </w:tcPr>
          <w:p w14:paraId="1E28FEF1" w14:textId="77777777" w:rsidR="000D259B" w:rsidRDefault="000D259B">
            <w:pPr>
              <w:spacing w:after="120"/>
              <w:jc w:val="both"/>
              <w:rPr>
                <w:rFonts w:asciiTheme="majorHAnsi" w:hAnsiTheme="majorHAnsi" w:cstheme="majorHAnsi"/>
                <w:color w:val="0000FF"/>
                <w:sz w:val="20"/>
                <w:szCs w:val="20"/>
              </w:rPr>
            </w:pPr>
          </w:p>
        </w:tc>
      </w:tr>
      <w:tr w:rsidR="00DA31F6" w:rsidRPr="00267B79" w14:paraId="2CFF6874" w14:textId="77777777">
        <w:tc>
          <w:tcPr>
            <w:tcW w:w="0" w:type="auto"/>
          </w:tcPr>
          <w:p w14:paraId="330BA519" w14:textId="77777777" w:rsidR="000D259B" w:rsidRDefault="00192E6B" w:rsidP="006105C0">
            <w:pPr>
              <w:pStyle w:val="CommentText"/>
              <w:spacing w:after="120"/>
              <w:jc w:val="both"/>
              <w:rPr>
                <w:rFonts w:asciiTheme="majorHAnsi" w:hAnsiTheme="majorHAnsi" w:cstheme="majorHAnsi"/>
                <w:sz w:val="20"/>
              </w:rPr>
            </w:pPr>
            <w:r w:rsidRPr="00192E6B">
              <w:rPr>
                <w:rFonts w:asciiTheme="majorHAnsi" w:hAnsiTheme="majorHAnsi" w:cstheme="majorHAnsi"/>
                <w:sz w:val="20"/>
              </w:rPr>
              <w:t>GOTL’s budget for health is much lower than the internationally recommended benchmark</w:t>
            </w:r>
            <w:r w:rsidRPr="00192E6B">
              <w:rPr>
                <w:rFonts w:asciiTheme="majorHAnsi" w:hAnsiTheme="majorHAnsi" w:cstheme="majorHAnsi"/>
                <w:color w:val="222222"/>
                <w:sz w:val="20"/>
              </w:rPr>
              <w:t xml:space="preserve"> of 5% of GDP.</w:t>
            </w:r>
            <w:r w:rsidRPr="00192E6B">
              <w:rPr>
                <w:rStyle w:val="FootnoteReference"/>
                <w:rFonts w:asciiTheme="majorHAnsi" w:hAnsiTheme="majorHAnsi" w:cstheme="majorHAnsi"/>
                <w:color w:val="222222"/>
                <w:sz w:val="20"/>
              </w:rPr>
              <w:footnoteReference w:id="21"/>
            </w:r>
            <w:r w:rsidRPr="00192E6B">
              <w:rPr>
                <w:rFonts w:asciiTheme="majorHAnsi" w:hAnsiTheme="majorHAnsi" w:cstheme="majorHAnsi"/>
                <w:color w:val="222222"/>
                <w:sz w:val="20"/>
              </w:rPr>
              <w:t xml:space="preserve">  </w:t>
            </w:r>
            <w:r w:rsidRPr="00192E6B">
              <w:rPr>
                <w:rFonts w:asciiTheme="majorHAnsi" w:hAnsiTheme="majorHAnsi"/>
                <w:sz w:val="20"/>
                <w:szCs w:val="32"/>
                <w:lang w:val="en-GB"/>
              </w:rPr>
              <w:t xml:space="preserve">The GOTL health sector budget of USD 73 million for 2017 is 5% lower than it was 2 years ago, and accounts for only </w:t>
            </w:r>
            <w:r w:rsidRPr="00192E6B">
              <w:rPr>
                <w:rFonts w:asciiTheme="majorHAnsi" w:hAnsiTheme="majorHAnsi"/>
                <w:sz w:val="20"/>
                <w:szCs w:val="22"/>
              </w:rPr>
              <w:t>5.4% of total national budget.</w:t>
            </w:r>
            <w:r w:rsidRPr="00192E6B">
              <w:rPr>
                <w:rStyle w:val="FootnoteReference"/>
                <w:rFonts w:asciiTheme="majorHAnsi" w:hAnsiTheme="majorHAnsi"/>
                <w:sz w:val="20"/>
                <w:szCs w:val="22"/>
              </w:rPr>
              <w:footnoteReference w:id="22"/>
            </w:r>
            <w:r w:rsidRPr="00192E6B">
              <w:rPr>
                <w:rFonts w:asciiTheme="majorHAnsi" w:hAnsiTheme="majorHAnsi"/>
                <w:sz w:val="20"/>
                <w:szCs w:val="22"/>
              </w:rPr>
              <w:t xml:space="preserve">  </w:t>
            </w:r>
          </w:p>
        </w:tc>
        <w:tc>
          <w:tcPr>
            <w:tcW w:w="0" w:type="auto"/>
            <w:vAlign w:val="center"/>
          </w:tcPr>
          <w:p w14:paraId="60C97E4E"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B</w:t>
            </w:r>
          </w:p>
        </w:tc>
      </w:tr>
      <w:tr w:rsidR="00DA31F6" w:rsidRPr="00267B79" w14:paraId="0B79762E" w14:textId="77777777">
        <w:tc>
          <w:tcPr>
            <w:tcW w:w="0" w:type="auto"/>
          </w:tcPr>
          <w:p w14:paraId="5D56F61E" w14:textId="77777777" w:rsidR="000D259B" w:rsidRDefault="005E23E8" w:rsidP="00F90829">
            <w:pPr>
              <w:pStyle w:val="NormalWeb"/>
              <w:spacing w:beforeLines="0" w:afterLines="0"/>
              <w:jc w:val="both"/>
              <w:rPr>
                <w:rFonts w:ascii="CharterITC" w:hAnsi="CharterITC"/>
              </w:rPr>
            </w:pPr>
            <w:r w:rsidRPr="005E23E8">
              <w:rPr>
                <w:rFonts w:asciiTheme="majorHAnsi" w:hAnsiTheme="majorHAnsi" w:cstheme="majorHAnsi"/>
                <w:color w:val="222222"/>
              </w:rPr>
              <w:t xml:space="preserve">The </w:t>
            </w:r>
            <w:r w:rsidRPr="005E23E8">
              <w:rPr>
                <w:rFonts w:asciiTheme="majorHAnsi" w:hAnsiTheme="majorHAnsi" w:cstheme="majorHAnsi"/>
              </w:rPr>
              <w:t xml:space="preserve">current GOTL health budget nonetheless amounts to more than $60 per person per annum. </w:t>
            </w:r>
            <w:r w:rsidRPr="005E23E8">
              <w:rPr>
                <w:rFonts w:asciiTheme="majorHAnsi" w:hAnsiTheme="majorHAnsi" w:cstheme="majorHAnsi"/>
                <w:color w:val="222222"/>
              </w:rPr>
              <w:t xml:space="preserve">Although aid for health is decreasing, </w:t>
            </w:r>
            <w:r w:rsidRPr="005E23E8">
              <w:rPr>
                <w:rFonts w:asciiTheme="majorHAnsi" w:hAnsiTheme="majorHAnsi" w:cstheme="majorHAnsi"/>
              </w:rPr>
              <w:t xml:space="preserve">the total funding envelope (i.e., including health sector aid from all </w:t>
            </w:r>
            <w:r w:rsidRPr="00B948A2">
              <w:rPr>
                <w:rFonts w:asciiTheme="majorHAnsi" w:hAnsiTheme="majorHAnsi" w:cstheme="majorHAnsi"/>
              </w:rPr>
              <w:t xml:space="preserve">donors) is approaching the level </w:t>
            </w:r>
            <w:r w:rsidR="00E34212" w:rsidRPr="00B948A2">
              <w:rPr>
                <w:rFonts w:asciiTheme="majorHAnsi" w:hAnsiTheme="majorHAnsi" w:cstheme="majorHAnsi"/>
              </w:rPr>
              <w:t xml:space="preserve">of USD </w:t>
            </w:r>
            <w:r w:rsidR="00B859D2" w:rsidRPr="00B948A2">
              <w:rPr>
                <w:rFonts w:asciiTheme="majorHAnsi" w:hAnsiTheme="majorHAnsi" w:cstheme="majorHAnsi"/>
              </w:rPr>
              <w:t>86 per capita</w:t>
            </w:r>
            <w:r w:rsidR="001C4135" w:rsidRPr="00B948A2">
              <w:rPr>
                <w:rFonts w:asciiTheme="majorHAnsi" w:hAnsiTheme="majorHAnsi" w:cstheme="majorHAnsi"/>
              </w:rPr>
              <w:t xml:space="preserve"> that is estimated to be required on average for Universal Health Coverage (UHC)</w:t>
            </w:r>
            <w:r w:rsidR="00410FA7" w:rsidRPr="00B948A2">
              <w:rPr>
                <w:rFonts w:asciiTheme="majorHAnsi" w:hAnsiTheme="majorHAnsi" w:cstheme="majorHAnsi"/>
              </w:rPr>
              <w:t xml:space="preserve">, according to the </w:t>
            </w:r>
            <w:r w:rsidR="00410FA7" w:rsidRPr="00B948A2">
              <w:rPr>
                <w:rFonts w:asciiTheme="majorHAnsi" w:hAnsiTheme="majorHAnsi"/>
                <w:szCs w:val="30"/>
              </w:rPr>
              <w:t>Centre on Global Health Security Working Group on Health Financing</w:t>
            </w:r>
            <w:r w:rsidR="00A11DA6" w:rsidRPr="00B948A2">
              <w:rPr>
                <w:rFonts w:asciiTheme="majorHAnsi" w:hAnsiTheme="majorHAnsi"/>
                <w:szCs w:val="30"/>
              </w:rPr>
              <w:t>.</w:t>
            </w:r>
            <w:r w:rsidR="001C4135" w:rsidRPr="001C4135">
              <w:rPr>
                <w:rStyle w:val="FootnoteReference"/>
                <w:rFonts w:asciiTheme="majorHAnsi" w:hAnsiTheme="majorHAnsi" w:cstheme="majorHAnsi"/>
              </w:rPr>
              <w:footnoteReference w:id="23"/>
            </w:r>
            <w:r w:rsidR="00192E6B" w:rsidRPr="00192E6B">
              <w:rPr>
                <w:rFonts w:asciiTheme="majorHAnsi" w:hAnsiTheme="majorHAnsi" w:cstheme="majorHAnsi"/>
              </w:rPr>
              <w:t xml:space="preserve"> </w:t>
            </w:r>
          </w:p>
        </w:tc>
        <w:tc>
          <w:tcPr>
            <w:tcW w:w="0" w:type="auto"/>
            <w:vAlign w:val="center"/>
          </w:tcPr>
          <w:p w14:paraId="6C2CBDC7"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B, N</w:t>
            </w:r>
          </w:p>
        </w:tc>
      </w:tr>
      <w:tr w:rsidR="00DA31F6" w:rsidRPr="00267B79" w14:paraId="4B8A9EAF" w14:textId="77777777">
        <w:tc>
          <w:tcPr>
            <w:tcW w:w="0" w:type="auto"/>
          </w:tcPr>
          <w:p w14:paraId="4DB771FD" w14:textId="77777777" w:rsidR="000D259B" w:rsidRDefault="00192E6B">
            <w:pPr>
              <w:spacing w:after="120"/>
              <w:jc w:val="both"/>
              <w:rPr>
                <w:rFonts w:asciiTheme="majorHAnsi" w:hAnsiTheme="majorHAnsi" w:cstheme="majorHAnsi"/>
                <w:sz w:val="20"/>
                <w:szCs w:val="20"/>
              </w:rPr>
            </w:pPr>
            <w:r w:rsidRPr="00192E6B">
              <w:rPr>
                <w:rFonts w:asciiTheme="majorHAnsi" w:hAnsiTheme="majorHAnsi" w:cstheme="majorHAnsi"/>
                <w:sz w:val="20"/>
                <w:szCs w:val="20"/>
              </w:rPr>
              <w:t>Salaries now comprise an increased proportion of the national health budget at the expense of goods and services, leaving less money to cover operational costs.</w:t>
            </w:r>
            <w:r w:rsidRPr="00192E6B">
              <w:rPr>
                <w:rStyle w:val="FootnoteReference"/>
                <w:rFonts w:asciiTheme="majorHAnsi" w:hAnsiTheme="majorHAnsi" w:cstheme="majorHAnsi"/>
                <w:sz w:val="20"/>
                <w:szCs w:val="20"/>
              </w:rPr>
              <w:footnoteReference w:id="24"/>
            </w:r>
            <w:r w:rsidRPr="00192E6B">
              <w:rPr>
                <w:rFonts w:asciiTheme="majorHAnsi" w:hAnsiTheme="majorHAnsi" w:cstheme="majorHAnsi"/>
                <w:sz w:val="20"/>
                <w:szCs w:val="20"/>
              </w:rPr>
              <w:t xml:space="preserve"> GOTL health spending is not generally pro-poor and the additionality of aid to the health sector </w:t>
            </w:r>
            <w:r w:rsidRPr="00192E6B">
              <w:rPr>
                <w:rFonts w:asciiTheme="majorHAnsi" w:hAnsiTheme="majorHAnsi" w:cstheme="majorHAnsi"/>
                <w:sz w:val="20"/>
                <w:szCs w:val="20"/>
              </w:rPr>
              <w:lastRenderedPageBreak/>
              <w:t>is low.</w:t>
            </w:r>
            <w:r w:rsidRPr="00192E6B">
              <w:rPr>
                <w:rStyle w:val="FootnoteReference"/>
                <w:rFonts w:asciiTheme="majorHAnsi" w:hAnsiTheme="majorHAnsi" w:cstheme="majorHAnsi"/>
                <w:sz w:val="20"/>
                <w:szCs w:val="20"/>
              </w:rPr>
              <w:footnoteReference w:id="25"/>
            </w:r>
            <w:r w:rsidRPr="00192E6B">
              <w:rPr>
                <w:rFonts w:asciiTheme="majorHAnsi" w:hAnsiTheme="majorHAnsi" w:cstheme="majorHAnsi"/>
                <w:sz w:val="20"/>
                <w:szCs w:val="20"/>
              </w:rPr>
              <w:t xml:space="preserve">  There is considerable scope for reducing inefficiencies in use of GOTL health resources. </w:t>
            </w:r>
          </w:p>
        </w:tc>
        <w:tc>
          <w:tcPr>
            <w:tcW w:w="0" w:type="auto"/>
            <w:vAlign w:val="center"/>
          </w:tcPr>
          <w:p w14:paraId="119CE85B"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lastRenderedPageBreak/>
              <w:t>A, B, E, I, J, K</w:t>
            </w:r>
          </w:p>
        </w:tc>
      </w:tr>
      <w:tr w:rsidR="00DA31F6" w:rsidRPr="00267B79" w14:paraId="3940FCAF" w14:textId="77777777">
        <w:tc>
          <w:tcPr>
            <w:tcW w:w="0" w:type="auto"/>
          </w:tcPr>
          <w:p w14:paraId="1FF67F2F" w14:textId="77777777" w:rsidR="000D259B" w:rsidRDefault="000D390B">
            <w:pPr>
              <w:spacing w:after="120"/>
              <w:jc w:val="both"/>
              <w:rPr>
                <w:rFonts w:asciiTheme="majorHAnsi" w:hAnsiTheme="majorHAnsi" w:cstheme="majorHAnsi"/>
                <w:sz w:val="20"/>
                <w:szCs w:val="20"/>
              </w:rPr>
            </w:pPr>
            <w:r w:rsidRPr="000D390B">
              <w:rPr>
                <w:rFonts w:asciiTheme="majorHAnsi" w:hAnsiTheme="majorHAnsi" w:cstheme="majorHAnsi"/>
                <w:sz w:val="20"/>
                <w:szCs w:val="20"/>
              </w:rPr>
              <w:t>Relative to other ministries, Health is quite advanced in PFM. While MOH program based budgeting is good in principle, it creates extra layers of accounting and reduces flexibility. There is no longer a Medium Term Expenditure Framework (MTEF) for joint forecasting, planning and management of all health sector resources by MOH and donors. Although MOH has information on program expenditures at each level of the system, it is not able to calculate how much it currently spends on RMNCH or how much it would cost to provide such services to all who need them.</w:t>
            </w:r>
          </w:p>
        </w:tc>
        <w:tc>
          <w:tcPr>
            <w:tcW w:w="0" w:type="auto"/>
            <w:vAlign w:val="center"/>
          </w:tcPr>
          <w:p w14:paraId="4E79FF39"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B, C, M</w:t>
            </w:r>
          </w:p>
        </w:tc>
      </w:tr>
      <w:tr w:rsidR="00DA31F6" w:rsidRPr="00267B79" w14:paraId="2C8253EF" w14:textId="77777777">
        <w:tc>
          <w:tcPr>
            <w:tcW w:w="0" w:type="auto"/>
          </w:tcPr>
          <w:p w14:paraId="0D2A8A49" w14:textId="77777777" w:rsidR="000D259B" w:rsidRDefault="004B3B8F">
            <w:pPr>
              <w:spacing w:after="120"/>
              <w:jc w:val="both"/>
              <w:rPr>
                <w:rFonts w:asciiTheme="majorHAnsi" w:hAnsiTheme="majorHAnsi" w:cstheme="majorHAnsi"/>
                <w:sz w:val="20"/>
                <w:szCs w:val="20"/>
              </w:rPr>
            </w:pPr>
            <w:r w:rsidRPr="004B3B8F">
              <w:rPr>
                <w:rFonts w:asciiTheme="majorHAnsi" w:hAnsiTheme="majorHAnsi" w:cstheme="majorHAnsi"/>
                <w:sz w:val="20"/>
                <w:szCs w:val="20"/>
              </w:rPr>
              <w:t>Decentralisation and program based budgeting (</w:t>
            </w:r>
            <w:r w:rsidR="00F70C93">
              <w:rPr>
                <w:rFonts w:asciiTheme="majorHAnsi" w:hAnsiTheme="majorHAnsi" w:cstheme="majorHAnsi"/>
                <w:sz w:val="20"/>
                <w:szCs w:val="20"/>
              </w:rPr>
              <w:t xml:space="preserve">which is applied </w:t>
            </w:r>
            <w:r w:rsidRPr="004B3B8F">
              <w:rPr>
                <w:rFonts w:asciiTheme="majorHAnsi" w:hAnsiTheme="majorHAnsi" w:cstheme="majorHAnsi"/>
                <w:sz w:val="20"/>
                <w:szCs w:val="20"/>
              </w:rPr>
              <w:t xml:space="preserve">at </w:t>
            </w:r>
            <w:r w:rsidR="00F70C93">
              <w:rPr>
                <w:rFonts w:asciiTheme="majorHAnsi" w:hAnsiTheme="majorHAnsi" w:cstheme="majorHAnsi"/>
                <w:sz w:val="20"/>
                <w:szCs w:val="20"/>
              </w:rPr>
              <w:t xml:space="preserve">both </w:t>
            </w:r>
            <w:r w:rsidR="00043730">
              <w:rPr>
                <w:rFonts w:asciiTheme="majorHAnsi" w:hAnsiTheme="majorHAnsi" w:cstheme="majorHAnsi"/>
                <w:sz w:val="20"/>
                <w:szCs w:val="20"/>
              </w:rPr>
              <w:t>central MOH</w:t>
            </w:r>
            <w:r w:rsidRPr="004B3B8F">
              <w:rPr>
                <w:rFonts w:asciiTheme="majorHAnsi" w:hAnsiTheme="majorHAnsi" w:cstheme="majorHAnsi"/>
                <w:sz w:val="20"/>
                <w:szCs w:val="20"/>
              </w:rPr>
              <w:t xml:space="preserve"> </w:t>
            </w:r>
            <w:r w:rsidR="00F70C93">
              <w:rPr>
                <w:rFonts w:asciiTheme="majorHAnsi" w:hAnsiTheme="majorHAnsi" w:cstheme="majorHAnsi"/>
                <w:sz w:val="20"/>
                <w:szCs w:val="20"/>
              </w:rPr>
              <w:t>and</w:t>
            </w:r>
            <w:r w:rsidRPr="004B3B8F">
              <w:rPr>
                <w:rFonts w:asciiTheme="majorHAnsi" w:hAnsiTheme="majorHAnsi" w:cstheme="majorHAnsi"/>
                <w:sz w:val="20"/>
                <w:szCs w:val="20"/>
              </w:rPr>
              <w:t xml:space="preserve"> municipal level) have slowed the disbursement of resources for CHCs. The municipal level of </w:t>
            </w:r>
            <w:r w:rsidRPr="004B3B8F">
              <w:rPr>
                <w:rFonts w:asciiTheme="majorHAnsi" w:hAnsiTheme="majorHAnsi"/>
                <w:sz w:val="20"/>
              </w:rPr>
              <w:t>the health sector gets funds from MOH for program costs and from the municipal administration for operational costs. To improve absorption and efficiency, MOH wants to develop integrated planning at municipality level to make use of funds from both sources in a way that leaves no gaps or overlaps.</w:t>
            </w:r>
          </w:p>
        </w:tc>
        <w:tc>
          <w:tcPr>
            <w:tcW w:w="0" w:type="auto"/>
            <w:vAlign w:val="center"/>
          </w:tcPr>
          <w:p w14:paraId="3407DBA7"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A, B</w:t>
            </w:r>
          </w:p>
        </w:tc>
      </w:tr>
      <w:tr w:rsidR="00DA31F6" w:rsidRPr="00267B79" w14:paraId="76D03F94" w14:textId="77777777">
        <w:tc>
          <w:tcPr>
            <w:tcW w:w="0" w:type="auto"/>
          </w:tcPr>
          <w:p w14:paraId="1EDACF7E" w14:textId="77777777" w:rsidR="000D259B" w:rsidRDefault="00192E6B">
            <w:pPr>
              <w:spacing w:after="120"/>
              <w:jc w:val="both"/>
              <w:rPr>
                <w:rFonts w:asciiTheme="majorHAnsi" w:hAnsiTheme="majorHAnsi" w:cstheme="majorHAnsi"/>
                <w:sz w:val="20"/>
                <w:szCs w:val="20"/>
              </w:rPr>
            </w:pPr>
            <w:r w:rsidRPr="00192E6B">
              <w:rPr>
                <w:rFonts w:asciiTheme="majorHAnsi" w:hAnsiTheme="majorHAnsi" w:cstheme="majorHAnsi"/>
                <w:sz w:val="20"/>
                <w:szCs w:val="20"/>
              </w:rPr>
              <w:t xml:space="preserve">The combined effects of decentralization and anti-corruption measures now pose daunting challenges to health sector managers at </w:t>
            </w:r>
            <w:r w:rsidR="00A13783">
              <w:rPr>
                <w:rFonts w:asciiTheme="majorHAnsi" w:hAnsiTheme="majorHAnsi" w:cstheme="majorHAnsi"/>
                <w:sz w:val="20"/>
                <w:szCs w:val="20"/>
              </w:rPr>
              <w:t xml:space="preserve">central and </w:t>
            </w:r>
            <w:r w:rsidRPr="00192E6B">
              <w:rPr>
                <w:rFonts w:asciiTheme="majorHAnsi" w:hAnsiTheme="majorHAnsi" w:cstheme="majorHAnsi"/>
                <w:sz w:val="20"/>
                <w:szCs w:val="20"/>
              </w:rPr>
              <w:t xml:space="preserve">municipality level and in CHCs. Many of </w:t>
            </w:r>
            <w:r w:rsidR="004B3B8F" w:rsidRPr="00BF2306">
              <w:rPr>
                <w:rFonts w:asciiTheme="majorHAnsi" w:hAnsiTheme="majorHAnsi" w:cstheme="majorHAnsi"/>
                <w:sz w:val="20"/>
                <w:szCs w:val="20"/>
              </w:rPr>
              <w:t>these health</w:t>
            </w:r>
            <w:r w:rsidR="009E478E" w:rsidRPr="00BF2306">
              <w:rPr>
                <w:rFonts w:asciiTheme="majorHAnsi" w:hAnsiTheme="majorHAnsi" w:cstheme="majorHAnsi"/>
                <w:sz w:val="20"/>
                <w:szCs w:val="20"/>
              </w:rPr>
              <w:t xml:space="preserve"> </w:t>
            </w:r>
            <w:r w:rsidR="00BF2306" w:rsidRPr="00BF2306">
              <w:rPr>
                <w:rFonts w:asciiTheme="majorHAnsi" w:hAnsiTheme="majorHAnsi" w:cstheme="majorHAnsi"/>
                <w:sz w:val="20"/>
                <w:szCs w:val="20"/>
              </w:rPr>
              <w:t>sector</w:t>
            </w:r>
            <w:r w:rsidR="00BF2306">
              <w:rPr>
                <w:rFonts w:asciiTheme="majorHAnsi" w:hAnsiTheme="majorHAnsi" w:cstheme="majorHAnsi"/>
                <w:sz w:val="20"/>
                <w:szCs w:val="20"/>
              </w:rPr>
              <w:t xml:space="preserve"> </w:t>
            </w:r>
            <w:r w:rsidRPr="00192E6B">
              <w:rPr>
                <w:rFonts w:asciiTheme="majorHAnsi" w:hAnsiTheme="majorHAnsi" w:cstheme="majorHAnsi"/>
                <w:sz w:val="20"/>
                <w:szCs w:val="20"/>
              </w:rPr>
              <w:t xml:space="preserve">middle-level managers are former clinical staff who have had little or no training as managers and cannot confidently or correctly perform key </w:t>
            </w:r>
            <w:r w:rsidRPr="00192E6B">
              <w:rPr>
                <w:rFonts w:asciiTheme="majorHAnsi" w:hAnsiTheme="majorHAnsi"/>
                <w:sz w:val="20"/>
              </w:rPr>
              <w:t>functions of planning, organising, activating and controlling.</w:t>
            </w:r>
            <w:r w:rsidRPr="00192E6B">
              <w:rPr>
                <w:rFonts w:asciiTheme="majorHAnsi" w:hAnsiTheme="majorHAnsi" w:cstheme="majorHAnsi"/>
                <w:sz w:val="20"/>
                <w:szCs w:val="20"/>
              </w:rPr>
              <w:t xml:space="preserve"> Yet </w:t>
            </w:r>
            <w:r w:rsidR="00DD3D03">
              <w:rPr>
                <w:rFonts w:asciiTheme="majorHAnsi" w:hAnsiTheme="majorHAnsi" w:cstheme="majorHAnsi"/>
                <w:sz w:val="20"/>
                <w:szCs w:val="20"/>
              </w:rPr>
              <w:t>middle-level managers</w:t>
            </w:r>
            <w:r w:rsidRPr="00192E6B">
              <w:rPr>
                <w:rFonts w:asciiTheme="majorHAnsi" w:hAnsiTheme="majorHAnsi" w:cstheme="majorHAnsi"/>
                <w:sz w:val="20"/>
                <w:szCs w:val="20"/>
              </w:rPr>
              <w:t xml:space="preserve"> face draconian </w:t>
            </w:r>
            <w:r w:rsidR="00BF2306">
              <w:rPr>
                <w:rFonts w:asciiTheme="majorHAnsi" w:hAnsiTheme="majorHAnsi" w:cstheme="majorHAnsi"/>
                <w:sz w:val="20"/>
                <w:szCs w:val="20"/>
              </w:rPr>
              <w:t xml:space="preserve">legal </w:t>
            </w:r>
            <w:r w:rsidRPr="00192E6B">
              <w:rPr>
                <w:rFonts w:asciiTheme="majorHAnsi" w:hAnsiTheme="majorHAnsi" w:cstheme="majorHAnsi"/>
                <w:sz w:val="20"/>
                <w:szCs w:val="20"/>
              </w:rPr>
              <w:t xml:space="preserve">penalties if they misuse even small amounts of money; at the same time, decentralization is making them responsible for an increasing range of decisions involving more resources. Unsure of the extent of their authority, many </w:t>
            </w:r>
            <w:r w:rsidR="00DD3D03">
              <w:rPr>
                <w:rFonts w:asciiTheme="majorHAnsi" w:hAnsiTheme="majorHAnsi" w:cstheme="majorHAnsi"/>
                <w:sz w:val="20"/>
                <w:szCs w:val="20"/>
              </w:rPr>
              <w:t>middle-level managers</w:t>
            </w:r>
            <w:r w:rsidRPr="00192E6B">
              <w:rPr>
                <w:rFonts w:asciiTheme="majorHAnsi" w:hAnsiTheme="majorHAnsi" w:cstheme="majorHAnsi"/>
                <w:sz w:val="20"/>
                <w:szCs w:val="20"/>
              </w:rPr>
              <w:t xml:space="preserve"> hesitate to make decisions or deploy resources lest they inadvertently transgress.</w:t>
            </w:r>
          </w:p>
        </w:tc>
        <w:tc>
          <w:tcPr>
            <w:tcW w:w="0" w:type="auto"/>
            <w:vAlign w:val="center"/>
          </w:tcPr>
          <w:p w14:paraId="4B56DC2E"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B, D, K, M</w:t>
            </w:r>
          </w:p>
          <w:p w14:paraId="5E49AE85" w14:textId="77777777" w:rsidR="000D259B" w:rsidRDefault="000D259B">
            <w:pPr>
              <w:jc w:val="both"/>
              <w:rPr>
                <w:rFonts w:asciiTheme="majorHAnsi" w:hAnsiTheme="majorHAnsi" w:cstheme="majorHAnsi"/>
                <w:color w:val="0000FF"/>
                <w:sz w:val="20"/>
                <w:szCs w:val="20"/>
              </w:rPr>
            </w:pPr>
          </w:p>
          <w:p w14:paraId="4BB90E0A" w14:textId="77777777" w:rsidR="000D259B" w:rsidRDefault="000D259B">
            <w:pPr>
              <w:jc w:val="both"/>
              <w:rPr>
                <w:rFonts w:asciiTheme="majorHAnsi" w:hAnsiTheme="majorHAnsi" w:cstheme="majorHAnsi"/>
                <w:color w:val="0000FF"/>
                <w:sz w:val="20"/>
                <w:szCs w:val="20"/>
              </w:rPr>
            </w:pPr>
          </w:p>
          <w:p w14:paraId="155C7ACA" w14:textId="77777777" w:rsidR="000D259B" w:rsidRDefault="000D259B">
            <w:pPr>
              <w:jc w:val="both"/>
              <w:rPr>
                <w:rFonts w:asciiTheme="majorHAnsi" w:hAnsiTheme="majorHAnsi" w:cstheme="majorHAnsi"/>
                <w:color w:val="0000FF"/>
                <w:sz w:val="20"/>
                <w:szCs w:val="20"/>
              </w:rPr>
            </w:pPr>
          </w:p>
          <w:p w14:paraId="17DF531A" w14:textId="77777777" w:rsidR="000D259B" w:rsidRDefault="000D259B">
            <w:pPr>
              <w:jc w:val="both"/>
              <w:rPr>
                <w:rFonts w:asciiTheme="majorHAnsi" w:hAnsiTheme="majorHAnsi" w:cstheme="majorHAnsi"/>
                <w:color w:val="0000FF"/>
                <w:sz w:val="20"/>
                <w:szCs w:val="20"/>
              </w:rPr>
            </w:pPr>
          </w:p>
          <w:p w14:paraId="6D83DD5E" w14:textId="77777777" w:rsidR="000D259B" w:rsidRDefault="000D259B">
            <w:pPr>
              <w:jc w:val="both"/>
              <w:rPr>
                <w:rFonts w:asciiTheme="majorHAnsi" w:hAnsiTheme="majorHAnsi" w:cstheme="majorHAnsi"/>
                <w:color w:val="0000FF"/>
                <w:sz w:val="20"/>
                <w:szCs w:val="20"/>
              </w:rPr>
            </w:pPr>
          </w:p>
        </w:tc>
      </w:tr>
      <w:tr w:rsidR="00583EA9" w:rsidRPr="00267B79" w14:paraId="39CFDC26" w14:textId="77777777">
        <w:tc>
          <w:tcPr>
            <w:tcW w:w="0" w:type="auto"/>
          </w:tcPr>
          <w:p w14:paraId="2E240847" w14:textId="77777777" w:rsidR="000D259B" w:rsidRDefault="00C6310F" w:rsidP="0034571D">
            <w:pPr>
              <w:spacing w:after="120"/>
              <w:jc w:val="both"/>
              <w:rPr>
                <w:rFonts w:asciiTheme="majorHAnsi" w:hAnsiTheme="majorHAnsi" w:cstheme="majorHAnsi"/>
                <w:sz w:val="20"/>
                <w:szCs w:val="20"/>
              </w:rPr>
            </w:pPr>
            <w:r w:rsidRPr="00C6310F">
              <w:rPr>
                <w:rFonts w:asciiTheme="majorHAnsi" w:hAnsiTheme="majorHAnsi" w:cstheme="majorHAnsi"/>
                <w:sz w:val="20"/>
                <w:szCs w:val="20"/>
              </w:rPr>
              <w:t>Even at more senior levels, health sector managers and directors (</w:t>
            </w:r>
            <w:r w:rsidR="00BE194F">
              <w:rPr>
                <w:rFonts w:asciiTheme="majorHAnsi" w:hAnsiTheme="majorHAnsi" w:cstheme="majorHAnsi"/>
                <w:sz w:val="20"/>
                <w:szCs w:val="20"/>
              </w:rPr>
              <w:t xml:space="preserve">in both </w:t>
            </w:r>
            <w:r w:rsidRPr="00C6310F">
              <w:rPr>
                <w:rFonts w:asciiTheme="majorHAnsi" w:hAnsiTheme="majorHAnsi" w:cstheme="majorHAnsi"/>
                <w:sz w:val="20"/>
                <w:szCs w:val="20"/>
              </w:rPr>
              <w:t>MoH</w:t>
            </w:r>
            <w:r w:rsidR="00BE194F">
              <w:rPr>
                <w:rFonts w:asciiTheme="majorHAnsi" w:hAnsiTheme="majorHAnsi" w:cstheme="majorHAnsi"/>
                <w:sz w:val="20"/>
                <w:szCs w:val="20"/>
              </w:rPr>
              <w:t xml:space="preserve"> and hospitals</w:t>
            </w:r>
            <w:r w:rsidRPr="00C6310F">
              <w:rPr>
                <w:rFonts w:asciiTheme="majorHAnsi" w:hAnsiTheme="majorHAnsi" w:cstheme="majorHAnsi"/>
                <w:sz w:val="20"/>
                <w:szCs w:val="20"/>
              </w:rPr>
              <w:t xml:space="preserve">) lack training and skills commensurate with their </w:t>
            </w:r>
            <w:r w:rsidRPr="0034571D">
              <w:rPr>
                <w:rFonts w:asciiTheme="majorHAnsi" w:hAnsiTheme="majorHAnsi" w:cstheme="majorHAnsi"/>
                <w:sz w:val="20"/>
                <w:szCs w:val="20"/>
              </w:rPr>
              <w:t xml:space="preserve">responsibilities. </w:t>
            </w:r>
            <w:r w:rsidR="00192E6B" w:rsidRPr="0034571D">
              <w:rPr>
                <w:rStyle w:val="CommentReference"/>
                <w:rFonts w:asciiTheme="majorHAnsi" w:hAnsiTheme="majorHAnsi"/>
                <w:sz w:val="20"/>
                <w:lang w:val="en-AU"/>
              </w:rPr>
              <w:t>INS</w:t>
            </w:r>
            <w:r w:rsidR="00B36AA1" w:rsidRPr="0034571D">
              <w:rPr>
                <w:rFonts w:asciiTheme="majorHAnsi" w:hAnsiTheme="majorHAnsi" w:cstheme="majorHAnsi"/>
                <w:sz w:val="20"/>
                <w:szCs w:val="20"/>
                <w:lang w:eastAsia="en-AU"/>
              </w:rPr>
              <w:t xml:space="preserve"> provided</w:t>
            </w:r>
            <w:r w:rsidR="00B36AA1" w:rsidRPr="00B36AA1">
              <w:rPr>
                <w:rFonts w:asciiTheme="majorHAnsi" w:hAnsiTheme="majorHAnsi" w:cstheme="majorHAnsi"/>
                <w:sz w:val="20"/>
                <w:szCs w:val="20"/>
                <w:lang w:eastAsia="en-AU"/>
              </w:rPr>
              <w:t xml:space="preserve"> short courses in management for health sector managers in the past, but at present they receive no such support.</w:t>
            </w:r>
          </w:p>
        </w:tc>
        <w:tc>
          <w:tcPr>
            <w:tcW w:w="0" w:type="auto"/>
            <w:vAlign w:val="center"/>
          </w:tcPr>
          <w:p w14:paraId="375E5AD8"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w:t>
            </w:r>
          </w:p>
        </w:tc>
      </w:tr>
      <w:tr w:rsidR="00DA31F6" w:rsidRPr="00267B79" w14:paraId="4A1050D2" w14:textId="77777777">
        <w:tc>
          <w:tcPr>
            <w:tcW w:w="0" w:type="auto"/>
          </w:tcPr>
          <w:p w14:paraId="763D62D0" w14:textId="01F8E802" w:rsidR="000D259B" w:rsidRPr="00C85D03" w:rsidRDefault="00DA5CB1" w:rsidP="00DA5CB1">
            <w:pPr>
              <w:spacing w:after="120"/>
              <w:jc w:val="both"/>
              <w:rPr>
                <w:rFonts w:asciiTheme="majorHAnsi" w:hAnsiTheme="majorHAnsi" w:cstheme="majorHAnsi"/>
                <w:sz w:val="20"/>
                <w:szCs w:val="20"/>
              </w:rPr>
            </w:pPr>
            <w:r w:rsidRPr="00C85D03">
              <w:rPr>
                <w:rFonts w:asciiTheme="majorHAnsi" w:hAnsiTheme="majorHAnsi" w:cstheme="majorHAnsi"/>
                <w:sz w:val="20"/>
                <w:szCs w:val="20"/>
              </w:rPr>
              <w:t>In</w:t>
            </w:r>
            <w:r w:rsidR="00222EC8" w:rsidRPr="00C85D03">
              <w:rPr>
                <w:rFonts w:asciiTheme="majorHAnsi" w:hAnsiTheme="majorHAnsi" w:cstheme="majorHAnsi"/>
                <w:sz w:val="20"/>
                <w:szCs w:val="20"/>
              </w:rPr>
              <w:t xml:space="preserve"> </w:t>
            </w:r>
            <w:r w:rsidRPr="00C85D03">
              <w:rPr>
                <w:rFonts w:asciiTheme="majorHAnsi" w:hAnsiTheme="majorHAnsi" w:cstheme="majorHAnsi"/>
                <w:sz w:val="20"/>
                <w:szCs w:val="20"/>
              </w:rPr>
              <w:t>s</w:t>
            </w:r>
            <w:r w:rsidR="00B36AA1" w:rsidRPr="00C85D03">
              <w:rPr>
                <w:rFonts w:asciiTheme="majorHAnsi" w:hAnsiTheme="majorHAnsi" w:cstheme="majorHAnsi"/>
                <w:sz w:val="20"/>
                <w:szCs w:val="20"/>
              </w:rPr>
              <w:t xml:space="preserve">pite of the weaknesses in management, a culture of evidence-based planning, management and M&amp;E is gradually emerging at national level. There is now an M&amp;E framework for NHSSP, which focuses on 33 key performance indicators (KPI) including RMNCH indicators (CPR, ANC1, ANC4, SBA, delivery in HF, PNC, etc). Non-GOTL HFs are supposed to report through the TL Health Information System (TLHIS) but the extent of compliance varies. Reporting is currently paper-based and timeliness and quality of data impact on the use of information. In general, routine data quality seems to be improving with the introduction of TLHIS, but there is still room for improvement (see Annex 8). </w:t>
            </w:r>
          </w:p>
        </w:tc>
        <w:tc>
          <w:tcPr>
            <w:tcW w:w="0" w:type="auto"/>
            <w:vAlign w:val="center"/>
          </w:tcPr>
          <w:p w14:paraId="2C04AA91" w14:textId="77777777" w:rsidR="000D259B" w:rsidRDefault="00B36AA1">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B, M</w:t>
            </w:r>
          </w:p>
        </w:tc>
      </w:tr>
      <w:tr w:rsidR="00DA31F6" w:rsidRPr="00267B79" w14:paraId="103A3CD9" w14:textId="77777777">
        <w:tc>
          <w:tcPr>
            <w:tcW w:w="0" w:type="auto"/>
          </w:tcPr>
          <w:p w14:paraId="6EF96174" w14:textId="77777777" w:rsidR="000D259B" w:rsidRDefault="00B36AA1">
            <w:pPr>
              <w:spacing w:after="120"/>
              <w:jc w:val="both"/>
              <w:rPr>
                <w:rFonts w:asciiTheme="majorHAnsi" w:hAnsiTheme="majorHAnsi" w:cstheme="majorHAnsi"/>
                <w:sz w:val="20"/>
                <w:szCs w:val="20"/>
              </w:rPr>
            </w:pPr>
            <w:r w:rsidRPr="00B36AA1">
              <w:rPr>
                <w:rFonts w:asciiTheme="majorHAnsi" w:hAnsiTheme="majorHAnsi" w:cstheme="majorHAnsi"/>
                <w:sz w:val="20"/>
                <w:szCs w:val="20"/>
              </w:rPr>
              <w:t xml:space="preserve">Use of information seems less strong at municipality level (ie, information is seen as something that ‘goes up’ to MOH, and managers do not seem to know the current status of the KPIs for their municipality (see Municipality case studies, Annex 8). </w:t>
            </w:r>
          </w:p>
        </w:tc>
        <w:tc>
          <w:tcPr>
            <w:tcW w:w="0" w:type="auto"/>
            <w:vAlign w:val="center"/>
          </w:tcPr>
          <w:p w14:paraId="701C7ED2"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E</w:t>
            </w:r>
          </w:p>
        </w:tc>
      </w:tr>
      <w:tr w:rsidR="00DA31F6" w:rsidRPr="00267B79" w14:paraId="37B4697E" w14:textId="77777777">
        <w:tc>
          <w:tcPr>
            <w:tcW w:w="0" w:type="auto"/>
          </w:tcPr>
          <w:p w14:paraId="253CFC5E" w14:textId="77777777" w:rsidR="000D259B" w:rsidRDefault="00192E6B">
            <w:pPr>
              <w:spacing w:after="120"/>
              <w:jc w:val="both"/>
              <w:rPr>
                <w:rFonts w:asciiTheme="majorHAnsi" w:hAnsiTheme="majorHAnsi" w:cstheme="majorHAnsi"/>
                <w:sz w:val="20"/>
                <w:szCs w:val="20"/>
              </w:rPr>
            </w:pPr>
            <w:r w:rsidRPr="00192E6B">
              <w:rPr>
                <w:rFonts w:asciiTheme="majorHAnsi" w:hAnsiTheme="majorHAnsi"/>
                <w:sz w:val="20"/>
                <w:lang w:eastAsia="en-AU"/>
              </w:rPr>
              <w:t>I</w:t>
            </w:r>
            <w:r w:rsidRPr="00192E6B">
              <w:rPr>
                <w:rFonts w:asciiTheme="majorHAnsi" w:hAnsiTheme="majorHAnsi"/>
                <w:sz w:val="20"/>
              </w:rPr>
              <w:t xml:space="preserve">n 2015 GoTL launched </w:t>
            </w:r>
            <w:r w:rsidRPr="00192E6B">
              <w:rPr>
                <w:rFonts w:asciiTheme="majorHAnsi" w:hAnsiTheme="majorHAnsi"/>
                <w:i/>
                <w:sz w:val="20"/>
              </w:rPr>
              <w:t xml:space="preserve">Saude na </w:t>
            </w:r>
            <w:r w:rsidRPr="005C1287">
              <w:rPr>
                <w:rFonts w:asciiTheme="majorHAnsi" w:hAnsiTheme="majorHAnsi"/>
                <w:i/>
                <w:sz w:val="20"/>
              </w:rPr>
              <w:t>Familia</w:t>
            </w:r>
            <w:r w:rsidRPr="005C1287">
              <w:rPr>
                <w:rFonts w:asciiTheme="majorHAnsi" w:hAnsiTheme="majorHAnsi"/>
                <w:sz w:val="20"/>
              </w:rPr>
              <w:t xml:space="preserve"> (SnF) to del</w:t>
            </w:r>
            <w:r w:rsidRPr="00192E6B">
              <w:rPr>
                <w:rFonts w:asciiTheme="majorHAnsi" w:hAnsiTheme="majorHAnsi"/>
                <w:sz w:val="20"/>
              </w:rPr>
              <w:t>iver a comprehensive package of primary healthcare to every household.</w:t>
            </w:r>
            <w:r w:rsidRPr="00192E6B">
              <w:rPr>
                <w:rStyle w:val="FootnoteReference"/>
                <w:rFonts w:asciiTheme="majorHAnsi" w:hAnsiTheme="majorHAnsi"/>
                <w:sz w:val="20"/>
              </w:rPr>
              <w:footnoteReference w:id="26"/>
            </w:r>
            <w:r w:rsidRPr="00192E6B">
              <w:rPr>
                <w:rFonts w:asciiTheme="majorHAnsi" w:hAnsiTheme="majorHAnsi"/>
                <w:sz w:val="20"/>
              </w:rPr>
              <w:t xml:space="preserve">  </w:t>
            </w:r>
            <w:r w:rsidRPr="00192E6B">
              <w:rPr>
                <w:rFonts w:asciiTheme="majorHAnsi" w:hAnsiTheme="majorHAnsi" w:cstheme="majorHAnsi"/>
                <w:sz w:val="20"/>
                <w:szCs w:val="20"/>
              </w:rPr>
              <w:t xml:space="preserve">SnF is geared to improving collection and management of patient data and should thereby improve patient </w:t>
            </w:r>
            <w:r w:rsidR="00C6310F" w:rsidRPr="00843D04">
              <w:rPr>
                <w:rFonts w:asciiTheme="majorHAnsi" w:hAnsiTheme="majorHAnsi" w:cstheme="majorHAnsi"/>
                <w:sz w:val="20"/>
                <w:szCs w:val="20"/>
              </w:rPr>
              <w:t xml:space="preserve">care. If </w:t>
            </w:r>
            <w:r w:rsidRPr="00192E6B">
              <w:rPr>
                <w:rFonts w:asciiTheme="majorHAnsi" w:hAnsiTheme="majorHAnsi" w:cstheme="majorHAnsi"/>
                <w:sz w:val="20"/>
                <w:szCs w:val="20"/>
              </w:rPr>
              <w:t xml:space="preserve">health facility staff update the SnF </w:t>
            </w:r>
            <w:r w:rsidR="00C6310F" w:rsidRPr="00843D04">
              <w:rPr>
                <w:rFonts w:asciiTheme="majorHAnsi" w:hAnsiTheme="majorHAnsi" w:cstheme="majorHAnsi"/>
                <w:sz w:val="20"/>
                <w:szCs w:val="20"/>
              </w:rPr>
              <w:t xml:space="preserve">registration </w:t>
            </w:r>
            <w:r w:rsidRPr="00192E6B">
              <w:rPr>
                <w:rFonts w:asciiTheme="majorHAnsi" w:hAnsiTheme="majorHAnsi" w:cstheme="majorHAnsi"/>
                <w:sz w:val="20"/>
                <w:szCs w:val="20"/>
              </w:rPr>
              <w:t>and classification of each household member (as either healthy, at risk of illness, sick</w:t>
            </w:r>
            <w:r w:rsidR="008917D1">
              <w:rPr>
                <w:rFonts w:asciiTheme="majorHAnsi" w:hAnsiTheme="majorHAnsi" w:cstheme="majorHAnsi"/>
                <w:sz w:val="20"/>
                <w:szCs w:val="20"/>
              </w:rPr>
              <w:t>,</w:t>
            </w:r>
            <w:r w:rsidRPr="00192E6B">
              <w:rPr>
                <w:rFonts w:asciiTheme="majorHAnsi" w:hAnsiTheme="majorHAnsi" w:cstheme="majorHAnsi"/>
                <w:sz w:val="20"/>
                <w:szCs w:val="20"/>
              </w:rPr>
              <w:t xml:space="preserve"> or having a disability) every quarter (as planned), SnF will work, in effect, as a rolling census.</w:t>
            </w:r>
            <w:r w:rsidRPr="00192E6B">
              <w:rPr>
                <w:rStyle w:val="FootnoteReference"/>
                <w:rFonts w:asciiTheme="majorHAnsi" w:hAnsiTheme="majorHAnsi" w:cstheme="majorHAnsi"/>
                <w:sz w:val="20"/>
                <w:szCs w:val="20"/>
              </w:rPr>
              <w:footnoteReference w:id="27"/>
            </w:r>
            <w:r w:rsidR="00C6310F" w:rsidRPr="00843D04">
              <w:rPr>
                <w:rFonts w:asciiTheme="majorHAnsi" w:hAnsiTheme="majorHAnsi" w:cstheme="majorHAnsi"/>
                <w:sz w:val="20"/>
                <w:szCs w:val="20"/>
              </w:rPr>
              <w:t xml:space="preserve"> SnF also tracks supplies of drugs and consumables in HFs through </w:t>
            </w:r>
            <w:r w:rsidRPr="00192E6B">
              <w:rPr>
                <w:rFonts w:asciiTheme="majorHAnsi" w:hAnsiTheme="majorHAnsi" w:cstheme="majorHAnsi"/>
                <w:sz w:val="20"/>
                <w:szCs w:val="20"/>
              </w:rPr>
              <w:t xml:space="preserve">a database that operates in all HFs, including hospitals. </w:t>
            </w:r>
          </w:p>
        </w:tc>
        <w:tc>
          <w:tcPr>
            <w:tcW w:w="0" w:type="auto"/>
            <w:vAlign w:val="center"/>
          </w:tcPr>
          <w:p w14:paraId="2FAA6A15"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M</w:t>
            </w:r>
          </w:p>
        </w:tc>
      </w:tr>
      <w:tr w:rsidR="00DA31F6" w:rsidRPr="00267B79" w14:paraId="285D420F" w14:textId="77777777">
        <w:tc>
          <w:tcPr>
            <w:tcW w:w="0" w:type="auto"/>
          </w:tcPr>
          <w:p w14:paraId="1F3FD3A7" w14:textId="77777777" w:rsidR="000D259B" w:rsidRDefault="00B36AA1">
            <w:pPr>
              <w:spacing w:after="120"/>
              <w:jc w:val="both"/>
              <w:rPr>
                <w:rFonts w:asciiTheme="majorHAnsi" w:hAnsiTheme="majorHAnsi" w:cstheme="majorHAnsi"/>
                <w:sz w:val="20"/>
                <w:szCs w:val="20"/>
              </w:rPr>
            </w:pPr>
            <w:r w:rsidRPr="00B36AA1">
              <w:rPr>
                <w:rFonts w:asciiTheme="majorHAnsi" w:hAnsiTheme="majorHAnsi" w:cstheme="majorHAnsi"/>
                <w:sz w:val="20"/>
                <w:szCs w:val="20"/>
              </w:rPr>
              <w:lastRenderedPageBreak/>
              <w:t xml:space="preserve">MOH policy is to conduct maternal death audits (MDA) in communities and in HFs in order to learn why these deaths occur and take action to prevent them in future. The </w:t>
            </w:r>
            <w:r w:rsidRPr="00B36AA1">
              <w:rPr>
                <w:rStyle w:val="Heading1Char"/>
                <w:rFonts w:cstheme="majorHAnsi"/>
                <w:b w:val="0"/>
                <w:color w:val="auto"/>
                <w:sz w:val="20"/>
                <w:szCs w:val="20"/>
              </w:rPr>
              <w:t>UN Fund for Population Activities</w:t>
            </w:r>
            <w:r w:rsidRPr="00B36AA1">
              <w:rPr>
                <w:rFonts w:asciiTheme="majorHAnsi" w:hAnsiTheme="majorHAnsi"/>
                <w:sz w:val="20"/>
              </w:rPr>
              <w:t xml:space="preserve"> (UNFPA) and World Health Organization (WHO) are supporting MDA, but it has not yet been widely implemented.</w:t>
            </w:r>
          </w:p>
        </w:tc>
        <w:tc>
          <w:tcPr>
            <w:tcW w:w="0" w:type="auto"/>
            <w:vAlign w:val="center"/>
          </w:tcPr>
          <w:p w14:paraId="6EA76F14"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C, M</w:t>
            </w:r>
          </w:p>
        </w:tc>
      </w:tr>
      <w:tr w:rsidR="00DA31F6" w:rsidRPr="00267B79" w14:paraId="401AACEF" w14:textId="77777777">
        <w:tc>
          <w:tcPr>
            <w:tcW w:w="0" w:type="auto"/>
          </w:tcPr>
          <w:p w14:paraId="1CBC1397" w14:textId="77777777" w:rsidR="000D259B" w:rsidRDefault="002F09E6">
            <w:pPr>
              <w:pStyle w:val="Heading3"/>
              <w:jc w:val="both"/>
            </w:pPr>
            <w:bookmarkStart w:id="11" w:name="_Toc378838728"/>
            <w:r w:rsidRPr="00267B79">
              <w:t>Infrastructure, equipment, supplies and transport</w:t>
            </w:r>
            <w:bookmarkEnd w:id="11"/>
          </w:p>
          <w:p w14:paraId="76484F09" w14:textId="77777777" w:rsidR="000D259B" w:rsidRDefault="000D259B">
            <w:pPr>
              <w:jc w:val="both"/>
              <w:rPr>
                <w:rFonts w:asciiTheme="majorHAnsi" w:hAnsiTheme="majorHAnsi"/>
              </w:rPr>
            </w:pPr>
          </w:p>
        </w:tc>
        <w:tc>
          <w:tcPr>
            <w:tcW w:w="0" w:type="auto"/>
            <w:vAlign w:val="center"/>
          </w:tcPr>
          <w:p w14:paraId="4F0CFB8A" w14:textId="77777777" w:rsidR="000D259B" w:rsidRDefault="000D259B">
            <w:pPr>
              <w:spacing w:after="120"/>
              <w:jc w:val="both"/>
              <w:rPr>
                <w:rFonts w:asciiTheme="majorHAnsi" w:hAnsiTheme="majorHAnsi" w:cs="Calibri Light"/>
                <w:color w:val="0000FF"/>
                <w:sz w:val="20"/>
              </w:rPr>
            </w:pPr>
          </w:p>
        </w:tc>
      </w:tr>
      <w:tr w:rsidR="00DA31F6" w:rsidRPr="00267B79" w14:paraId="36EE5B4B" w14:textId="77777777">
        <w:tc>
          <w:tcPr>
            <w:tcW w:w="0" w:type="auto"/>
          </w:tcPr>
          <w:p w14:paraId="5A691175" w14:textId="77777777" w:rsidR="000D259B" w:rsidRDefault="00192E6B">
            <w:pPr>
              <w:spacing w:after="120"/>
              <w:jc w:val="both"/>
              <w:rPr>
                <w:rFonts w:asciiTheme="majorHAnsi" w:hAnsiTheme="majorHAnsi"/>
                <w:sz w:val="20"/>
              </w:rPr>
            </w:pPr>
            <w:r w:rsidRPr="00192E6B">
              <w:rPr>
                <w:rFonts w:asciiTheme="majorHAnsi" w:hAnsiTheme="majorHAnsi"/>
                <w:sz w:val="20"/>
                <w:szCs w:val="22"/>
              </w:rPr>
              <w:t>GoTL HFs now include 252 HPs and 59 CHCs, but their geographic distribution is inequitable.</w:t>
            </w:r>
            <w:r w:rsidRPr="00192E6B">
              <w:rPr>
                <w:rStyle w:val="FootnoteReference"/>
                <w:rFonts w:asciiTheme="majorHAnsi" w:hAnsiTheme="majorHAnsi"/>
                <w:sz w:val="20"/>
                <w:szCs w:val="22"/>
              </w:rPr>
              <w:footnoteReference w:id="28"/>
            </w:r>
            <w:r w:rsidRPr="00192E6B">
              <w:rPr>
                <w:rFonts w:asciiTheme="majorHAnsi" w:hAnsiTheme="majorHAnsi"/>
                <w:sz w:val="20"/>
                <w:szCs w:val="22"/>
              </w:rPr>
              <w:t xml:space="preserve">  </w:t>
            </w:r>
            <w:r w:rsidRPr="00192E6B">
              <w:rPr>
                <w:rFonts w:asciiTheme="majorHAnsi" w:hAnsiTheme="majorHAnsi" w:cstheme="majorHAnsi"/>
                <w:sz w:val="20"/>
              </w:rPr>
              <w:t xml:space="preserve">Some HPs are said to be under-used, yet </w:t>
            </w:r>
            <w:r w:rsidRPr="00192E6B">
              <w:rPr>
                <w:rFonts w:asciiTheme="majorHAnsi" w:hAnsiTheme="majorHAnsi"/>
                <w:sz w:val="20"/>
              </w:rPr>
              <w:t xml:space="preserve">half of all </w:t>
            </w:r>
            <w:r w:rsidRPr="00192E6B">
              <w:rPr>
                <w:rFonts w:asciiTheme="majorHAnsi" w:hAnsiTheme="majorHAnsi"/>
                <w:i/>
                <w:sz w:val="20"/>
              </w:rPr>
              <w:t>sucos</w:t>
            </w:r>
            <w:r w:rsidR="00820B61">
              <w:rPr>
                <w:rFonts w:asciiTheme="majorHAnsi" w:hAnsiTheme="majorHAnsi"/>
                <w:sz w:val="20"/>
              </w:rPr>
              <w:t>/villages</w:t>
            </w:r>
            <w:r w:rsidRPr="00192E6B">
              <w:rPr>
                <w:rFonts w:asciiTheme="majorHAnsi" w:hAnsiTheme="majorHAnsi"/>
                <w:sz w:val="20"/>
              </w:rPr>
              <w:t xml:space="preserve"> have no HP and so rely only on </w:t>
            </w:r>
            <w:r w:rsidRPr="00192E6B">
              <w:rPr>
                <w:rFonts w:asciiTheme="majorHAnsi" w:hAnsiTheme="majorHAnsi" w:cs="Arial"/>
                <w:i/>
                <w:sz w:val="20"/>
              </w:rPr>
              <w:t>Sistema Integradu Saude Communita</w:t>
            </w:r>
            <w:r w:rsidR="00820B61">
              <w:rPr>
                <w:rFonts w:asciiTheme="majorHAnsi" w:hAnsiTheme="majorHAnsi" w:cs="Arial"/>
                <w:i/>
                <w:sz w:val="20"/>
              </w:rPr>
              <w:t>ria</w:t>
            </w:r>
            <w:r w:rsidRPr="00192E6B">
              <w:rPr>
                <w:rFonts w:asciiTheme="majorHAnsi" w:hAnsiTheme="majorHAnsi"/>
                <w:sz w:val="20"/>
              </w:rPr>
              <w:t xml:space="preserve"> (SISCa) and mobile clinics.</w:t>
            </w:r>
          </w:p>
        </w:tc>
        <w:tc>
          <w:tcPr>
            <w:tcW w:w="0" w:type="auto"/>
            <w:vAlign w:val="center"/>
          </w:tcPr>
          <w:p w14:paraId="0BCF9E08"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B</w:t>
            </w:r>
          </w:p>
        </w:tc>
      </w:tr>
      <w:tr w:rsidR="00DA31F6" w:rsidRPr="00267B79" w14:paraId="3199A1DE" w14:textId="77777777">
        <w:tc>
          <w:tcPr>
            <w:tcW w:w="0" w:type="auto"/>
          </w:tcPr>
          <w:p w14:paraId="71312389" w14:textId="77777777" w:rsidR="000D259B" w:rsidRDefault="00192E6B">
            <w:pPr>
              <w:spacing w:after="120"/>
              <w:jc w:val="both"/>
              <w:rPr>
                <w:rFonts w:asciiTheme="majorHAnsi" w:hAnsiTheme="majorHAnsi" w:cstheme="majorHAnsi"/>
                <w:sz w:val="20"/>
                <w:szCs w:val="20"/>
              </w:rPr>
            </w:pPr>
            <w:r w:rsidRPr="00192E6B">
              <w:rPr>
                <w:rFonts w:asciiTheme="majorHAnsi" w:hAnsiTheme="majorHAnsi" w:cstheme="majorHAnsi"/>
                <w:sz w:val="20"/>
                <w:szCs w:val="20"/>
              </w:rPr>
              <w:t>MOH Primary Health Care Guidelines include standards for readiness of HFs at all levels (i.e., 80% score on the relevant Supportive Supervision checklist) but only 17% of CHCs and 4% of HPs meet these standards.</w:t>
            </w:r>
            <w:r w:rsidRPr="00192E6B">
              <w:rPr>
                <w:rStyle w:val="FootnoteReference"/>
                <w:rFonts w:asciiTheme="majorHAnsi" w:hAnsiTheme="majorHAnsi" w:cstheme="majorHAnsi"/>
                <w:sz w:val="20"/>
                <w:szCs w:val="20"/>
              </w:rPr>
              <w:footnoteReference w:id="29"/>
            </w:r>
            <w:r w:rsidRPr="00192E6B">
              <w:rPr>
                <w:rFonts w:asciiTheme="majorHAnsi" w:hAnsiTheme="majorHAnsi" w:cstheme="majorHAnsi"/>
                <w:sz w:val="20"/>
                <w:szCs w:val="20"/>
              </w:rPr>
              <w:t xml:space="preserve">  Many HFs </w:t>
            </w:r>
            <w:r w:rsidRPr="00192E6B">
              <w:rPr>
                <w:rFonts w:asciiTheme="majorHAnsi" w:hAnsiTheme="majorHAnsi"/>
                <w:sz w:val="20"/>
                <w:szCs w:val="22"/>
              </w:rPr>
              <w:t xml:space="preserve">lack basic amenities (eg water or electricity), </w:t>
            </w:r>
            <w:r w:rsidRPr="00192E6B">
              <w:rPr>
                <w:rFonts w:asciiTheme="majorHAnsi" w:hAnsiTheme="majorHAnsi" w:cstheme="majorHAnsi"/>
                <w:sz w:val="20"/>
                <w:szCs w:val="20"/>
              </w:rPr>
              <w:t>require renovation/repairs, and/or lack functioning equipment, medicines or basic consumables. These gaps, which change over time – e.g., as supplies are received and consumed and new defects arise as others are repaired - adversely affect HF readiness to provide quality RMNCH services. Ability to improve HF readiness is constrained by a range of factors, including but not limited to insufficient funding for health at municipal level (see Annex 8).</w:t>
            </w:r>
          </w:p>
        </w:tc>
        <w:tc>
          <w:tcPr>
            <w:tcW w:w="0" w:type="auto"/>
            <w:vAlign w:val="center"/>
          </w:tcPr>
          <w:p w14:paraId="052D3011"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A, E, G, H</w:t>
            </w:r>
          </w:p>
        </w:tc>
      </w:tr>
      <w:tr w:rsidR="00DA31F6" w:rsidRPr="00267B79" w14:paraId="1B337CA1" w14:textId="77777777">
        <w:tc>
          <w:tcPr>
            <w:tcW w:w="0" w:type="auto"/>
          </w:tcPr>
          <w:p w14:paraId="6DE38322" w14:textId="77777777" w:rsidR="000D259B" w:rsidRPr="00C85D03" w:rsidRDefault="00192E6B">
            <w:pPr>
              <w:spacing w:after="120"/>
              <w:jc w:val="both"/>
              <w:rPr>
                <w:rFonts w:asciiTheme="majorHAnsi" w:hAnsiTheme="majorHAnsi" w:cstheme="majorHAnsi"/>
                <w:sz w:val="20"/>
                <w:szCs w:val="20"/>
              </w:rPr>
            </w:pPr>
            <w:r w:rsidRPr="00C85D03">
              <w:rPr>
                <w:rFonts w:asciiTheme="majorHAnsi" w:hAnsiTheme="majorHAnsi" w:cstheme="majorHAnsi"/>
                <w:sz w:val="20"/>
                <w:szCs w:val="20"/>
              </w:rPr>
              <w:t>It seems paradoxical that while accountability for small sums is strictly enforced, there is virtually no specific locus of accountability for HF readiness – in other words, there appear to be no incentives to ensure HF readiness or penalties for failing to do so.</w:t>
            </w:r>
          </w:p>
        </w:tc>
        <w:tc>
          <w:tcPr>
            <w:tcW w:w="0" w:type="auto"/>
            <w:vAlign w:val="center"/>
          </w:tcPr>
          <w:p w14:paraId="4C2AA61D" w14:textId="77777777" w:rsidR="000D259B" w:rsidRDefault="00192E6B">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M</w:t>
            </w:r>
          </w:p>
        </w:tc>
      </w:tr>
      <w:tr w:rsidR="00DA31F6" w:rsidRPr="00267B79" w14:paraId="44B21356" w14:textId="77777777">
        <w:tc>
          <w:tcPr>
            <w:tcW w:w="0" w:type="auto"/>
          </w:tcPr>
          <w:p w14:paraId="2140FB04" w14:textId="0FF39C40" w:rsidR="000D259B" w:rsidRDefault="00192E6B" w:rsidP="004970E4">
            <w:pPr>
              <w:spacing w:after="120"/>
              <w:jc w:val="both"/>
              <w:rPr>
                <w:rFonts w:asciiTheme="majorHAnsi" w:hAnsiTheme="majorHAnsi" w:cstheme="majorHAnsi"/>
                <w:sz w:val="20"/>
                <w:szCs w:val="20"/>
              </w:rPr>
            </w:pPr>
            <w:r w:rsidRPr="00192E6B">
              <w:rPr>
                <w:rFonts w:asciiTheme="majorHAnsi" w:hAnsiTheme="majorHAnsi" w:cstheme="majorHAnsi"/>
                <w:sz w:val="20"/>
                <w:szCs w:val="20"/>
              </w:rPr>
              <w:t xml:space="preserve">Transport is vital for outreach, SISCa etc but remains a challenge for many HFs, especially as multifunction vehicles (MFV) in use for many years begin to reach the stage where it is no longer feasible to fix them (see Annex 8). The ambulance service, </w:t>
            </w:r>
            <w:r w:rsidR="009C013E">
              <w:rPr>
                <w:rFonts w:asciiTheme="majorHAnsi" w:hAnsiTheme="majorHAnsi" w:cstheme="majorHAnsi"/>
                <w:sz w:val="20"/>
                <w:szCs w:val="20"/>
              </w:rPr>
              <w:t xml:space="preserve">which is currently being supported and directly based at the Ministry of Health, </w:t>
            </w:r>
            <w:r w:rsidRPr="00192E6B">
              <w:rPr>
                <w:rFonts w:asciiTheme="majorHAnsi" w:hAnsiTheme="majorHAnsi" w:cstheme="majorHAnsi"/>
                <w:sz w:val="20"/>
                <w:szCs w:val="20"/>
              </w:rPr>
              <w:t>works well, but much of the existing fleet will soon need to be replaced.</w:t>
            </w:r>
          </w:p>
        </w:tc>
        <w:tc>
          <w:tcPr>
            <w:tcW w:w="0" w:type="auto"/>
            <w:vAlign w:val="center"/>
          </w:tcPr>
          <w:p w14:paraId="54EA89B7"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A, B, E, G</w:t>
            </w:r>
          </w:p>
        </w:tc>
      </w:tr>
      <w:tr w:rsidR="00DA31F6" w:rsidRPr="00267B79" w14:paraId="35AF13C8" w14:textId="77777777">
        <w:tc>
          <w:tcPr>
            <w:tcW w:w="0" w:type="auto"/>
          </w:tcPr>
          <w:p w14:paraId="7E9CAC9F" w14:textId="77777777" w:rsidR="000D259B" w:rsidRDefault="00192E6B">
            <w:pPr>
              <w:spacing w:after="120"/>
              <w:jc w:val="both"/>
              <w:rPr>
                <w:rFonts w:asciiTheme="majorHAnsi" w:hAnsiTheme="majorHAnsi"/>
                <w:sz w:val="20"/>
                <w:highlight w:val="yellow"/>
              </w:rPr>
            </w:pPr>
            <w:r w:rsidRPr="00192E6B">
              <w:rPr>
                <w:rFonts w:asciiTheme="majorHAnsi" w:hAnsiTheme="majorHAnsi" w:cstheme="majorHAnsi"/>
                <w:sz w:val="20"/>
                <w:szCs w:val="20"/>
              </w:rPr>
              <w:t>Frequent stock-outs adversely affect the quality of RMNCH services.</w:t>
            </w:r>
            <w:r w:rsidRPr="00192E6B">
              <w:rPr>
                <w:rStyle w:val="FootnoteReference"/>
                <w:rFonts w:asciiTheme="majorHAnsi" w:hAnsiTheme="majorHAnsi" w:cstheme="majorHAnsi"/>
                <w:sz w:val="20"/>
                <w:szCs w:val="20"/>
              </w:rPr>
              <w:footnoteReference w:id="30"/>
            </w:r>
            <w:r w:rsidRPr="00192E6B">
              <w:rPr>
                <w:rFonts w:asciiTheme="majorHAnsi" w:hAnsiTheme="majorHAnsi" w:cstheme="majorHAnsi"/>
                <w:sz w:val="20"/>
                <w:szCs w:val="20"/>
              </w:rPr>
              <w:t xml:space="preserve">  </w:t>
            </w:r>
            <w:r w:rsidRPr="00192E6B">
              <w:rPr>
                <w:rFonts w:asciiTheme="majorHAnsi" w:hAnsiTheme="majorHAnsi"/>
                <w:i/>
                <w:iCs/>
                <w:sz w:val="20"/>
                <w:szCs w:val="22"/>
              </w:rPr>
              <w:t>Servicio Autonomo de Medicamentos e Equipamentos de Saude</w:t>
            </w:r>
            <w:r w:rsidRPr="00192E6B">
              <w:rPr>
                <w:rFonts w:asciiTheme="majorHAnsi" w:hAnsiTheme="majorHAnsi"/>
                <w:sz w:val="20"/>
                <w:szCs w:val="22"/>
              </w:rPr>
              <w:t xml:space="preserve"> (SAMES) - which procures, stores and distributes pharmaceutical supplies and minor health equipment - </w:t>
            </w:r>
            <w:r w:rsidRPr="00192E6B">
              <w:rPr>
                <w:rFonts w:asciiTheme="majorHAnsi" w:hAnsiTheme="majorHAnsi" w:cstheme="majorHAnsi"/>
                <w:sz w:val="20"/>
                <w:szCs w:val="20"/>
              </w:rPr>
              <w:t xml:space="preserve">still needs to capitalised ($3m) but prior to that the procurement law and SAMES statute need to be revised. </w:t>
            </w:r>
            <w:r w:rsidRPr="00192E6B">
              <w:rPr>
                <w:rFonts w:asciiTheme="majorHAnsi" w:hAnsiTheme="majorHAnsi"/>
                <w:sz w:val="20"/>
              </w:rPr>
              <w:t xml:space="preserve">WHO and the Australian Embassy Innovation Exchange Fund each provide an adviser to SAMES, and </w:t>
            </w:r>
            <w:r w:rsidRPr="00192E6B">
              <w:rPr>
                <w:rFonts w:asciiTheme="majorHAnsi" w:hAnsiTheme="majorHAnsi" w:cstheme="majorHAnsi"/>
                <w:sz w:val="20"/>
                <w:szCs w:val="20"/>
              </w:rPr>
              <w:t xml:space="preserve">as part of GAVI’s transition out of TL (by the end of 2018) there is support to strengthen forecasting (by MOH) and procurement (by SAMES). </w:t>
            </w:r>
          </w:p>
        </w:tc>
        <w:tc>
          <w:tcPr>
            <w:tcW w:w="0" w:type="auto"/>
            <w:vAlign w:val="center"/>
          </w:tcPr>
          <w:p w14:paraId="5B973C8E" w14:textId="77777777" w:rsidR="000D259B" w:rsidRDefault="000D259B">
            <w:pPr>
              <w:spacing w:after="120"/>
              <w:jc w:val="both"/>
              <w:rPr>
                <w:rFonts w:asciiTheme="majorHAnsi" w:hAnsiTheme="majorHAnsi" w:cstheme="majorHAnsi"/>
                <w:color w:val="0000FF"/>
                <w:sz w:val="20"/>
                <w:szCs w:val="20"/>
              </w:rPr>
            </w:pPr>
          </w:p>
          <w:p w14:paraId="53FB09E6"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A, C, M</w:t>
            </w:r>
          </w:p>
          <w:p w14:paraId="60B78F20" w14:textId="77777777" w:rsidR="000D259B" w:rsidRDefault="000D259B">
            <w:pPr>
              <w:spacing w:after="120"/>
              <w:jc w:val="both"/>
              <w:rPr>
                <w:rFonts w:asciiTheme="majorHAnsi" w:hAnsiTheme="majorHAnsi" w:cstheme="majorHAnsi"/>
                <w:color w:val="0000FF"/>
                <w:sz w:val="20"/>
                <w:szCs w:val="20"/>
              </w:rPr>
            </w:pPr>
          </w:p>
          <w:p w14:paraId="7CFA9EE8" w14:textId="77777777" w:rsidR="000D259B" w:rsidRDefault="000D259B">
            <w:pPr>
              <w:spacing w:after="120"/>
              <w:jc w:val="both"/>
              <w:rPr>
                <w:rFonts w:asciiTheme="majorHAnsi" w:hAnsiTheme="majorHAnsi" w:cstheme="majorHAnsi"/>
                <w:color w:val="0000FF"/>
                <w:sz w:val="20"/>
                <w:szCs w:val="20"/>
              </w:rPr>
            </w:pPr>
          </w:p>
        </w:tc>
      </w:tr>
      <w:tr w:rsidR="00DA31F6" w:rsidRPr="00267B79" w14:paraId="28AB0296" w14:textId="77777777">
        <w:tc>
          <w:tcPr>
            <w:tcW w:w="0" w:type="auto"/>
          </w:tcPr>
          <w:p w14:paraId="1896AFE8" w14:textId="77777777" w:rsidR="000D259B" w:rsidRDefault="00192E6B" w:rsidP="001E7023">
            <w:pPr>
              <w:spacing w:after="120"/>
              <w:jc w:val="both"/>
              <w:rPr>
                <w:rFonts w:asciiTheme="majorHAnsi" w:hAnsiTheme="majorHAnsi"/>
                <w:sz w:val="20"/>
              </w:rPr>
            </w:pPr>
            <w:r w:rsidRPr="00192E6B">
              <w:rPr>
                <w:rFonts w:asciiTheme="majorHAnsi" w:hAnsiTheme="majorHAnsi" w:cstheme="majorHAnsi"/>
                <w:sz w:val="20"/>
                <w:szCs w:val="20"/>
              </w:rPr>
              <w:t>The World Food Program (</w:t>
            </w:r>
            <w:r w:rsidRPr="00192E6B">
              <w:rPr>
                <w:rFonts w:asciiTheme="majorHAnsi" w:hAnsiTheme="majorHAnsi"/>
                <w:sz w:val="20"/>
              </w:rPr>
              <w:t>WFP) is supporting SAMES to introduce mSupply software to central stores and regional warehouses.</w:t>
            </w:r>
            <w:r w:rsidR="008E213B">
              <w:rPr>
                <w:rFonts w:asciiTheme="majorHAnsi" w:hAnsiTheme="majorHAnsi"/>
                <w:sz w:val="20"/>
              </w:rPr>
              <w:t xml:space="preserve"> </w:t>
            </w:r>
            <w:r w:rsidRPr="00192E6B">
              <w:rPr>
                <w:rFonts w:asciiTheme="majorHAnsi" w:hAnsiTheme="majorHAnsi"/>
                <w:sz w:val="20"/>
              </w:rPr>
              <w:t xml:space="preserve">Subject to securing additional funds, WFP will help SAMES extend mSupply to </w:t>
            </w:r>
            <w:r w:rsidR="008E213B" w:rsidRPr="001E7023">
              <w:rPr>
                <w:rFonts w:asciiTheme="majorHAnsi" w:hAnsiTheme="majorHAnsi"/>
                <w:sz w:val="20"/>
              </w:rPr>
              <w:t>HPs</w:t>
            </w:r>
            <w:r w:rsidRPr="00192E6B">
              <w:rPr>
                <w:rFonts w:asciiTheme="majorHAnsi" w:hAnsiTheme="majorHAnsi"/>
                <w:sz w:val="20"/>
              </w:rPr>
              <w:t xml:space="preserve">. While use </w:t>
            </w:r>
            <w:r w:rsidRPr="00192E6B">
              <w:rPr>
                <w:rFonts w:asciiTheme="majorHAnsi" w:hAnsiTheme="majorHAnsi" w:cstheme="majorHAnsi"/>
                <w:sz w:val="20"/>
                <w:szCs w:val="20"/>
              </w:rPr>
              <w:t xml:space="preserve">of mSupply is expected to improve supply chain management it is not yet clear how it will link with the inventory </w:t>
            </w:r>
            <w:r w:rsidRPr="00192E6B">
              <w:rPr>
                <w:rFonts w:asciiTheme="majorHAnsi" w:hAnsiTheme="majorHAnsi" w:cstheme="majorHAnsi"/>
                <w:sz w:val="20"/>
                <w:szCs w:val="20"/>
                <w:lang w:eastAsia="en-AU"/>
              </w:rPr>
              <w:t xml:space="preserve">tracking component of </w:t>
            </w:r>
            <w:r w:rsidR="008E213B">
              <w:rPr>
                <w:rFonts w:asciiTheme="majorHAnsi" w:hAnsiTheme="majorHAnsi" w:cstheme="majorHAnsi"/>
                <w:sz w:val="20"/>
                <w:szCs w:val="20"/>
                <w:lang w:eastAsia="en-AU"/>
              </w:rPr>
              <w:t>SnF</w:t>
            </w:r>
            <w:r w:rsidRPr="00192E6B">
              <w:rPr>
                <w:rFonts w:asciiTheme="majorHAnsi" w:hAnsiTheme="majorHAnsi" w:cstheme="majorHAnsi"/>
                <w:sz w:val="20"/>
                <w:szCs w:val="20"/>
                <w:lang w:eastAsia="en-AU"/>
              </w:rPr>
              <w:t xml:space="preserve">. </w:t>
            </w:r>
            <w:r w:rsidRPr="00192E6B">
              <w:rPr>
                <w:rFonts w:asciiTheme="majorHAnsi" w:hAnsiTheme="majorHAnsi"/>
                <w:sz w:val="20"/>
              </w:rPr>
              <w:t>One of the challenges in using mSupply is poor internet connectivity, which prevents real-time data entry and lead</w:t>
            </w:r>
            <w:r w:rsidR="008917D1">
              <w:rPr>
                <w:rFonts w:asciiTheme="majorHAnsi" w:hAnsiTheme="majorHAnsi"/>
                <w:sz w:val="20"/>
              </w:rPr>
              <w:t>s</w:t>
            </w:r>
            <w:r w:rsidRPr="00192E6B">
              <w:rPr>
                <w:rFonts w:asciiTheme="majorHAnsi" w:hAnsiTheme="majorHAnsi"/>
                <w:sz w:val="20"/>
              </w:rPr>
              <w:t xml:space="preserve"> to gaps in recording and reportin</w:t>
            </w:r>
            <w:r w:rsidR="00C6310F" w:rsidRPr="005A1D10">
              <w:rPr>
                <w:rFonts w:asciiTheme="majorHAnsi" w:hAnsiTheme="majorHAnsi"/>
                <w:sz w:val="20"/>
              </w:rPr>
              <w:t>g.</w:t>
            </w:r>
          </w:p>
        </w:tc>
        <w:tc>
          <w:tcPr>
            <w:tcW w:w="0" w:type="auto"/>
            <w:vAlign w:val="center"/>
          </w:tcPr>
          <w:p w14:paraId="67E71F5C"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A, C</w:t>
            </w:r>
          </w:p>
        </w:tc>
      </w:tr>
      <w:tr w:rsidR="00DA31F6" w:rsidRPr="00267B79" w14:paraId="11DD41E1" w14:textId="77777777">
        <w:tc>
          <w:tcPr>
            <w:tcW w:w="0" w:type="auto"/>
          </w:tcPr>
          <w:p w14:paraId="438EF920" w14:textId="77777777" w:rsidR="000D259B" w:rsidRDefault="002F09E6">
            <w:pPr>
              <w:pStyle w:val="Heading3"/>
              <w:jc w:val="both"/>
            </w:pPr>
            <w:bookmarkStart w:id="12" w:name="_Toc378838729"/>
            <w:r w:rsidRPr="00267B79">
              <w:t>Health workforce</w:t>
            </w:r>
            <w:bookmarkEnd w:id="12"/>
          </w:p>
          <w:p w14:paraId="5EF82926" w14:textId="77777777" w:rsidR="000D259B" w:rsidRDefault="000D259B">
            <w:pPr>
              <w:jc w:val="both"/>
              <w:rPr>
                <w:rFonts w:asciiTheme="majorHAnsi" w:hAnsiTheme="majorHAnsi"/>
              </w:rPr>
            </w:pPr>
          </w:p>
        </w:tc>
        <w:tc>
          <w:tcPr>
            <w:tcW w:w="0" w:type="auto"/>
            <w:vAlign w:val="center"/>
          </w:tcPr>
          <w:p w14:paraId="714F7F8D" w14:textId="77777777" w:rsidR="000D259B" w:rsidRDefault="000D259B">
            <w:pPr>
              <w:spacing w:after="120"/>
              <w:jc w:val="both"/>
              <w:rPr>
                <w:rFonts w:asciiTheme="majorHAnsi" w:hAnsiTheme="majorHAnsi" w:cstheme="majorHAnsi"/>
                <w:color w:val="0000FF"/>
                <w:sz w:val="20"/>
                <w:szCs w:val="20"/>
              </w:rPr>
            </w:pPr>
          </w:p>
        </w:tc>
      </w:tr>
      <w:tr w:rsidR="005C2729" w:rsidRPr="00267B79" w14:paraId="0CEF7CBB" w14:textId="77777777">
        <w:tc>
          <w:tcPr>
            <w:tcW w:w="0" w:type="auto"/>
          </w:tcPr>
          <w:p w14:paraId="70351FBD" w14:textId="77777777" w:rsidR="000D259B" w:rsidRDefault="00192E6B" w:rsidP="00CA34F8">
            <w:pPr>
              <w:pStyle w:val="NormalWeb"/>
              <w:spacing w:beforeLines="0" w:afterLines="0"/>
              <w:jc w:val="both"/>
              <w:rPr>
                <w:rFonts w:asciiTheme="majorHAnsi" w:hAnsiTheme="majorHAnsi"/>
              </w:rPr>
            </w:pPr>
            <w:r w:rsidRPr="00192E6B">
              <w:rPr>
                <w:rFonts w:asciiTheme="majorHAnsi" w:hAnsiTheme="majorHAnsi" w:cstheme="majorHAnsi"/>
              </w:rPr>
              <w:t xml:space="preserve">TL’s 2015 Rural Health Staffing Initiative calls for a minimum of seven staff in each HP: </w:t>
            </w:r>
            <w:r w:rsidRPr="00192E6B">
              <w:rPr>
                <w:rFonts w:asciiTheme="majorHAnsi" w:hAnsiTheme="majorHAnsi"/>
                <w:szCs w:val="22"/>
              </w:rPr>
              <w:t>one doctor, two nurses, two midwives, one laboratory technician, and one pharmacist.</w:t>
            </w:r>
            <w:r w:rsidRPr="00192E6B">
              <w:rPr>
                <w:rStyle w:val="FootnoteReference"/>
                <w:rFonts w:asciiTheme="majorHAnsi" w:hAnsiTheme="majorHAnsi"/>
                <w:szCs w:val="22"/>
              </w:rPr>
              <w:footnoteReference w:id="31"/>
            </w:r>
            <w:r w:rsidRPr="00192E6B">
              <w:rPr>
                <w:rFonts w:asciiTheme="majorHAnsi" w:hAnsiTheme="majorHAnsi"/>
                <w:szCs w:val="22"/>
              </w:rPr>
              <w:t xml:space="preserve">  A recent World Bank analysis, however, shows that this model is ‘not fiscally viable or necessary’; it also points out that at present ‘it is difficult to justify the existing staffing </w:t>
            </w:r>
            <w:r w:rsidRPr="00192E6B">
              <w:rPr>
                <w:rFonts w:asciiTheme="majorHAnsi" w:hAnsiTheme="majorHAnsi"/>
                <w:szCs w:val="22"/>
              </w:rPr>
              <w:lastRenderedPageBreak/>
              <w:t xml:space="preserve">levels given the current workload’ and that even if </w:t>
            </w:r>
            <w:r w:rsidR="00C6310F" w:rsidRPr="005A1D10">
              <w:rPr>
                <w:rFonts w:asciiTheme="majorHAnsi" w:hAnsiTheme="majorHAnsi"/>
                <w:szCs w:val="22"/>
              </w:rPr>
              <w:t>there is ‘a dramatic increase in demand for services…it is difficult to argue that health staff are overworked overall’.</w:t>
            </w:r>
            <w:r w:rsidR="00C6310F" w:rsidRPr="005A1D10">
              <w:rPr>
                <w:rStyle w:val="FootnoteReference"/>
                <w:rFonts w:asciiTheme="majorHAnsi" w:hAnsiTheme="majorHAnsi"/>
                <w:szCs w:val="22"/>
              </w:rPr>
              <w:footnoteReference w:id="32"/>
            </w:r>
            <w:r w:rsidR="00B36AA1" w:rsidRPr="00B36AA1">
              <w:rPr>
                <w:rFonts w:asciiTheme="majorHAnsi" w:hAnsiTheme="majorHAnsi"/>
                <w:szCs w:val="22"/>
              </w:rPr>
              <w:t xml:space="preserve"> </w:t>
            </w:r>
          </w:p>
        </w:tc>
        <w:tc>
          <w:tcPr>
            <w:tcW w:w="0" w:type="auto"/>
            <w:vAlign w:val="center"/>
          </w:tcPr>
          <w:p w14:paraId="410F8F0B" w14:textId="77777777" w:rsidR="000D259B" w:rsidRDefault="000D259B">
            <w:pPr>
              <w:spacing w:after="120"/>
              <w:ind w:left="1760"/>
              <w:jc w:val="both"/>
              <w:rPr>
                <w:rFonts w:asciiTheme="majorHAnsi" w:hAnsiTheme="majorHAnsi" w:cstheme="majorHAnsi"/>
                <w:color w:val="0000FF"/>
                <w:sz w:val="20"/>
                <w:szCs w:val="20"/>
                <w:highlight w:val="yellow"/>
              </w:rPr>
            </w:pPr>
          </w:p>
        </w:tc>
      </w:tr>
      <w:tr w:rsidR="00863E97" w:rsidRPr="00267B79" w14:paraId="47B4361E" w14:textId="77777777">
        <w:tc>
          <w:tcPr>
            <w:tcW w:w="0" w:type="auto"/>
          </w:tcPr>
          <w:p w14:paraId="5A90BC57" w14:textId="0FBE0650" w:rsidR="000D259B" w:rsidRDefault="00B36AA1" w:rsidP="001E7023">
            <w:pPr>
              <w:spacing w:after="120"/>
              <w:jc w:val="both"/>
              <w:rPr>
                <w:rFonts w:asciiTheme="majorHAnsi" w:hAnsiTheme="majorHAnsi" w:cstheme="majorHAnsi"/>
                <w:sz w:val="20"/>
                <w:szCs w:val="20"/>
              </w:rPr>
            </w:pPr>
            <w:r w:rsidRPr="00B36AA1">
              <w:rPr>
                <w:rFonts w:asciiTheme="majorHAnsi" w:hAnsiTheme="majorHAnsi" w:cstheme="majorHAnsi"/>
                <w:sz w:val="20"/>
                <w:szCs w:val="20"/>
              </w:rPr>
              <w:t>The total number of doctors is ample now that hundreds of newly returned Cuban-trained doctors have been deployed across the health system, but their distribution is uneven: doctor-to-population ratios ranged from 1:630 in Dili to 1:1239 in Manatuto and 1:3000 in Ermera in 2014.</w:t>
            </w:r>
            <w:r w:rsidRPr="00B36AA1">
              <w:rPr>
                <w:rStyle w:val="FootnoteReference"/>
                <w:rFonts w:asciiTheme="majorHAnsi" w:hAnsiTheme="majorHAnsi" w:cstheme="majorHAnsi"/>
                <w:sz w:val="20"/>
                <w:szCs w:val="20"/>
              </w:rPr>
              <w:footnoteReference w:id="33"/>
            </w:r>
            <w:r w:rsidRPr="00B36AA1">
              <w:rPr>
                <w:rFonts w:asciiTheme="majorHAnsi" w:hAnsiTheme="majorHAnsi" w:cstheme="majorHAnsi"/>
                <w:sz w:val="20"/>
                <w:szCs w:val="20"/>
              </w:rPr>
              <w:t xml:space="preserve">  Moreover, </w:t>
            </w:r>
            <w:r w:rsidR="007F668B">
              <w:rPr>
                <w:rFonts w:asciiTheme="majorHAnsi" w:hAnsiTheme="majorHAnsi" w:cstheme="majorHAnsi"/>
                <w:sz w:val="20"/>
                <w:szCs w:val="20"/>
              </w:rPr>
              <w:t xml:space="preserve">many stakeholders raised the issues of </w:t>
            </w:r>
            <w:r w:rsidRPr="00B36AA1">
              <w:rPr>
                <w:rFonts w:asciiTheme="majorHAnsi" w:hAnsiTheme="majorHAnsi" w:cstheme="majorHAnsi"/>
                <w:sz w:val="20"/>
                <w:szCs w:val="20"/>
              </w:rPr>
              <w:t xml:space="preserve">the </w:t>
            </w:r>
            <w:r w:rsidR="007F668B">
              <w:rPr>
                <w:rFonts w:asciiTheme="majorHAnsi" w:hAnsiTheme="majorHAnsi" w:cstheme="majorHAnsi"/>
                <w:sz w:val="20"/>
                <w:szCs w:val="20"/>
              </w:rPr>
              <w:t xml:space="preserve">adequacy of </w:t>
            </w:r>
            <w:r w:rsidRPr="00B36AA1">
              <w:rPr>
                <w:rFonts w:asciiTheme="majorHAnsi" w:hAnsiTheme="majorHAnsi" w:cstheme="majorHAnsi"/>
                <w:sz w:val="20"/>
                <w:szCs w:val="20"/>
              </w:rPr>
              <w:t xml:space="preserve">new doctors’ clinical skills </w:t>
            </w:r>
            <w:r w:rsidR="0098594F">
              <w:rPr>
                <w:rFonts w:asciiTheme="majorHAnsi" w:hAnsiTheme="majorHAnsi" w:cstheme="majorHAnsi"/>
                <w:sz w:val="20"/>
                <w:szCs w:val="20"/>
              </w:rPr>
              <w:t xml:space="preserve">especially </w:t>
            </w:r>
            <w:r w:rsidR="007F668B">
              <w:rPr>
                <w:rFonts w:asciiTheme="majorHAnsi" w:hAnsiTheme="majorHAnsi" w:cstheme="majorHAnsi"/>
                <w:sz w:val="20"/>
                <w:szCs w:val="20"/>
              </w:rPr>
              <w:t>when working with limited clinical supportive supervision</w:t>
            </w:r>
            <w:r w:rsidRPr="00B36AA1">
              <w:rPr>
                <w:rFonts w:asciiTheme="majorHAnsi" w:hAnsiTheme="majorHAnsi" w:cstheme="majorHAnsi"/>
                <w:sz w:val="20"/>
                <w:szCs w:val="20"/>
              </w:rPr>
              <w:t>.</w:t>
            </w:r>
          </w:p>
        </w:tc>
        <w:tc>
          <w:tcPr>
            <w:tcW w:w="0" w:type="auto"/>
            <w:vAlign w:val="center"/>
          </w:tcPr>
          <w:p w14:paraId="7D964E76"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B, N</w:t>
            </w:r>
          </w:p>
          <w:p w14:paraId="0A4D048C" w14:textId="77777777" w:rsidR="000D259B" w:rsidRDefault="000D259B">
            <w:pPr>
              <w:spacing w:after="120"/>
              <w:ind w:left="1760"/>
              <w:jc w:val="both"/>
              <w:rPr>
                <w:rFonts w:asciiTheme="majorHAnsi" w:hAnsiTheme="majorHAnsi" w:cstheme="majorHAnsi"/>
                <w:color w:val="0000FF"/>
                <w:sz w:val="20"/>
                <w:szCs w:val="20"/>
                <w:highlight w:val="yellow"/>
              </w:rPr>
            </w:pPr>
          </w:p>
        </w:tc>
      </w:tr>
      <w:tr w:rsidR="00863E97" w:rsidRPr="00267B79" w14:paraId="3319CCD0" w14:textId="77777777">
        <w:tc>
          <w:tcPr>
            <w:tcW w:w="0" w:type="auto"/>
          </w:tcPr>
          <w:p w14:paraId="2D7266E1" w14:textId="77777777" w:rsidR="000D259B" w:rsidRDefault="00B36AA1" w:rsidP="00CA34F8">
            <w:pPr>
              <w:pStyle w:val="NormalWeb"/>
              <w:spacing w:beforeLines="0" w:afterLines="0"/>
              <w:jc w:val="both"/>
              <w:rPr>
                <w:rFonts w:asciiTheme="majorHAnsi" w:hAnsiTheme="majorHAnsi" w:cstheme="majorHAnsi"/>
              </w:rPr>
            </w:pPr>
            <w:r w:rsidRPr="00B36AA1">
              <w:rPr>
                <w:rFonts w:asciiTheme="majorHAnsi" w:hAnsiTheme="majorHAnsi" w:cstheme="majorHAnsi"/>
              </w:rPr>
              <w:t>Other key RMNCH cadres, including midwives and nurses, are less plentiful than doctors but no less inequitably distributed. In Dili the ratio of nurses to population was 1:</w:t>
            </w:r>
            <w:r w:rsidRPr="00B36AA1">
              <w:rPr>
                <w:rFonts w:asciiTheme="majorHAnsi" w:hAnsiTheme="majorHAnsi"/>
                <w:szCs w:val="22"/>
              </w:rPr>
              <w:t xml:space="preserve">544 in 2014, while outside of Dili it was 1:1494; in the same year, </w:t>
            </w:r>
            <w:r w:rsidRPr="00B36AA1">
              <w:rPr>
                <w:rFonts w:asciiTheme="majorHAnsi" w:hAnsiTheme="majorHAnsi" w:cstheme="majorHAnsi"/>
              </w:rPr>
              <w:t>ratios of midwives to population ranged from 1:2353 in Dili to 1:5424 in Oecusse and 1:9208 in Ermera.</w:t>
            </w:r>
            <w:r w:rsidRPr="00B36AA1">
              <w:rPr>
                <w:rStyle w:val="FootnoteReference"/>
                <w:rFonts w:asciiTheme="majorHAnsi" w:hAnsiTheme="majorHAnsi" w:cstheme="majorHAnsi"/>
              </w:rPr>
              <w:footnoteReference w:id="34"/>
            </w:r>
            <w:r w:rsidRPr="00B36AA1">
              <w:rPr>
                <w:rFonts w:asciiTheme="majorHAnsi" w:hAnsiTheme="majorHAnsi" w:cstheme="majorHAnsi"/>
              </w:rPr>
              <w:t xml:space="preserve"> Many HPs do not have midwives.</w:t>
            </w:r>
            <w:r w:rsidRPr="00B36AA1">
              <w:rPr>
                <w:rStyle w:val="FootnoteReference"/>
                <w:rFonts w:asciiTheme="majorHAnsi" w:hAnsiTheme="majorHAnsi" w:cstheme="majorHAnsi"/>
              </w:rPr>
              <w:footnoteReference w:id="35"/>
            </w:r>
            <w:r w:rsidRPr="00B36AA1">
              <w:rPr>
                <w:rFonts w:asciiTheme="majorHAnsi" w:hAnsiTheme="majorHAnsi" w:cstheme="majorHAnsi"/>
              </w:rPr>
              <w:t xml:space="preserve">  </w:t>
            </w:r>
          </w:p>
          <w:p w14:paraId="678CECC5" w14:textId="77777777" w:rsidR="009C013E" w:rsidRDefault="009C013E" w:rsidP="00CA34F8">
            <w:pPr>
              <w:pStyle w:val="NormalWeb"/>
              <w:spacing w:beforeLines="0" w:afterLines="0"/>
              <w:jc w:val="both"/>
              <w:rPr>
                <w:rFonts w:asciiTheme="majorHAnsi" w:hAnsiTheme="majorHAnsi"/>
              </w:rPr>
            </w:pPr>
          </w:p>
        </w:tc>
        <w:tc>
          <w:tcPr>
            <w:tcW w:w="0" w:type="auto"/>
            <w:vAlign w:val="center"/>
          </w:tcPr>
          <w:p w14:paraId="24643389" w14:textId="77777777" w:rsidR="000D259B" w:rsidRDefault="00B36AA1">
            <w:pPr>
              <w:spacing w:after="120"/>
              <w:jc w:val="both"/>
              <w:rPr>
                <w:rFonts w:asciiTheme="majorHAnsi" w:hAnsiTheme="majorHAnsi" w:cstheme="majorHAnsi"/>
                <w:color w:val="0000FF"/>
                <w:sz w:val="20"/>
                <w:szCs w:val="20"/>
                <w:highlight w:val="yellow"/>
              </w:rPr>
            </w:pPr>
            <w:r w:rsidRPr="00B36AA1">
              <w:rPr>
                <w:rFonts w:asciiTheme="majorHAnsi" w:hAnsiTheme="majorHAnsi" w:cstheme="majorHAnsi"/>
                <w:color w:val="0000FF"/>
                <w:sz w:val="20"/>
                <w:szCs w:val="20"/>
              </w:rPr>
              <w:t>A, K</w:t>
            </w:r>
          </w:p>
        </w:tc>
      </w:tr>
      <w:tr w:rsidR="00863E97" w:rsidRPr="00267B79" w14:paraId="54646B92" w14:textId="77777777">
        <w:tc>
          <w:tcPr>
            <w:tcW w:w="0" w:type="auto"/>
          </w:tcPr>
          <w:p w14:paraId="7FD30A52" w14:textId="6110C087" w:rsidR="000D259B" w:rsidRDefault="00192E6B">
            <w:pPr>
              <w:spacing w:after="120"/>
              <w:jc w:val="both"/>
              <w:rPr>
                <w:rFonts w:asciiTheme="majorHAnsi" w:hAnsiTheme="majorHAnsi"/>
                <w:sz w:val="20"/>
              </w:rPr>
            </w:pPr>
            <w:r w:rsidRPr="00192E6B">
              <w:rPr>
                <w:rFonts w:asciiTheme="majorHAnsi" w:hAnsiTheme="majorHAnsi" w:cstheme="majorHAnsi"/>
                <w:sz w:val="20"/>
                <w:szCs w:val="20"/>
              </w:rPr>
              <w:t>National systems for training health professionals are adversely affected by current institutional relationships between the National University of Timor</w:t>
            </w:r>
            <w:r w:rsidR="00BF2306">
              <w:rPr>
                <w:rFonts w:asciiTheme="majorHAnsi" w:hAnsiTheme="majorHAnsi" w:cstheme="majorHAnsi"/>
                <w:sz w:val="20"/>
                <w:szCs w:val="20"/>
              </w:rPr>
              <w:t>-</w:t>
            </w:r>
            <w:r w:rsidRPr="00192E6B">
              <w:rPr>
                <w:rFonts w:asciiTheme="majorHAnsi" w:hAnsiTheme="majorHAnsi" w:cstheme="majorHAnsi"/>
                <w:sz w:val="20"/>
                <w:szCs w:val="20"/>
              </w:rPr>
              <w:t>Leste (UNTL) and Guido Valadares National Hospital (HNGV). HNGV is</w:t>
            </w:r>
            <w:r w:rsidR="00524872">
              <w:rPr>
                <w:rFonts w:asciiTheme="majorHAnsi" w:hAnsiTheme="majorHAnsi" w:cstheme="majorHAnsi"/>
                <w:sz w:val="20"/>
                <w:szCs w:val="20"/>
              </w:rPr>
              <w:t xml:space="preserve"> still developing as </w:t>
            </w:r>
            <w:r w:rsidR="007F668B">
              <w:rPr>
                <w:rFonts w:asciiTheme="majorHAnsi" w:hAnsiTheme="majorHAnsi" w:cstheme="majorHAnsi"/>
                <w:sz w:val="20"/>
                <w:szCs w:val="20"/>
              </w:rPr>
              <w:t>a</w:t>
            </w:r>
            <w:r w:rsidRPr="00192E6B">
              <w:rPr>
                <w:rFonts w:asciiTheme="majorHAnsi" w:hAnsiTheme="majorHAnsi" w:cstheme="majorHAnsi"/>
                <w:sz w:val="20"/>
                <w:szCs w:val="20"/>
              </w:rPr>
              <w:t xml:space="preserve"> teaching hospital</w:t>
            </w:r>
            <w:r w:rsidR="00524872">
              <w:rPr>
                <w:rFonts w:asciiTheme="majorHAnsi" w:hAnsiTheme="majorHAnsi" w:cstheme="majorHAnsi"/>
                <w:sz w:val="20"/>
                <w:szCs w:val="20"/>
              </w:rPr>
              <w:t xml:space="preserve">.  Similarly the pre-services (PST) training at UNTL is still lacking various resources (e.g. proper library and practical laboratory, etc) to ensure comprehensive competences of its graduates.  Consequently, </w:t>
            </w:r>
            <w:r w:rsidRPr="00192E6B">
              <w:rPr>
                <w:rFonts w:asciiTheme="majorHAnsi" w:hAnsiTheme="majorHAnsi" w:cstheme="majorHAnsi"/>
                <w:sz w:val="20"/>
                <w:szCs w:val="20"/>
              </w:rPr>
              <w:t>many graduates enter the workforce without suitable competences. This can put both patients and health workers themselves at risk.</w:t>
            </w:r>
          </w:p>
        </w:tc>
        <w:tc>
          <w:tcPr>
            <w:tcW w:w="0" w:type="auto"/>
            <w:vAlign w:val="center"/>
          </w:tcPr>
          <w:p w14:paraId="5E3FE5EC"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A, B, K, M</w:t>
            </w:r>
          </w:p>
        </w:tc>
      </w:tr>
      <w:tr w:rsidR="00863E97" w:rsidRPr="00267B79" w14:paraId="06EBA696" w14:textId="77777777">
        <w:tc>
          <w:tcPr>
            <w:tcW w:w="0" w:type="auto"/>
          </w:tcPr>
          <w:p w14:paraId="2B7F9BE7" w14:textId="77777777" w:rsidR="000D259B" w:rsidRDefault="00192E6B" w:rsidP="00222AAD">
            <w:pPr>
              <w:spacing w:after="120"/>
              <w:jc w:val="both"/>
              <w:rPr>
                <w:rFonts w:asciiTheme="majorHAnsi" w:hAnsiTheme="majorHAnsi"/>
                <w:sz w:val="20"/>
              </w:rPr>
            </w:pPr>
            <w:r w:rsidRPr="00192E6B">
              <w:rPr>
                <w:rFonts w:asciiTheme="majorHAnsi" w:hAnsiTheme="majorHAnsi"/>
                <w:sz w:val="20"/>
              </w:rPr>
              <w:t xml:space="preserve">At present, INS is the only body that can certify health workers’ </w:t>
            </w:r>
            <w:r w:rsidRPr="00222AAD">
              <w:rPr>
                <w:rFonts w:asciiTheme="majorHAnsi" w:hAnsiTheme="majorHAnsi"/>
                <w:sz w:val="20"/>
              </w:rPr>
              <w:t xml:space="preserve">competences. INS is responsible for </w:t>
            </w:r>
            <w:r w:rsidR="00C6310F" w:rsidRPr="00222AAD">
              <w:rPr>
                <w:rFonts w:asciiTheme="majorHAnsi" w:hAnsiTheme="majorHAnsi"/>
                <w:sz w:val="20"/>
              </w:rPr>
              <w:t>all in-service training (IST) but</w:t>
            </w:r>
            <w:r w:rsidRPr="00222AAD">
              <w:rPr>
                <w:rFonts w:asciiTheme="majorHAnsi" w:hAnsiTheme="majorHAnsi"/>
                <w:sz w:val="20"/>
              </w:rPr>
              <w:t xml:space="preserve"> it gets very little funding from </w:t>
            </w:r>
            <w:r w:rsidR="00222AAD" w:rsidRPr="00222AAD">
              <w:rPr>
                <w:rFonts w:asciiTheme="majorHAnsi" w:hAnsiTheme="majorHAnsi"/>
                <w:sz w:val="20"/>
              </w:rPr>
              <w:t>GoTL</w:t>
            </w:r>
            <w:r w:rsidRPr="00192E6B">
              <w:rPr>
                <w:rFonts w:asciiTheme="majorHAnsi" w:hAnsiTheme="majorHAnsi"/>
                <w:sz w:val="20"/>
              </w:rPr>
              <w:t xml:space="preserve"> and relies almost entirely on donor resources. </w:t>
            </w:r>
          </w:p>
        </w:tc>
        <w:tc>
          <w:tcPr>
            <w:tcW w:w="0" w:type="auto"/>
            <w:vAlign w:val="center"/>
          </w:tcPr>
          <w:p w14:paraId="598CBAEB" w14:textId="77777777" w:rsidR="000D259B" w:rsidRDefault="00192E6B">
            <w:pPr>
              <w:spacing w:after="120"/>
              <w:jc w:val="both"/>
              <w:rPr>
                <w:rFonts w:asciiTheme="majorHAnsi" w:hAnsiTheme="majorHAnsi" w:cstheme="majorHAnsi"/>
                <w:color w:val="0000FF"/>
                <w:sz w:val="20"/>
                <w:szCs w:val="20"/>
                <w:highlight w:val="yellow"/>
              </w:rPr>
            </w:pPr>
            <w:r w:rsidRPr="00192E6B">
              <w:rPr>
                <w:rFonts w:asciiTheme="majorHAnsi" w:hAnsiTheme="majorHAnsi" w:cstheme="majorHAnsi"/>
                <w:color w:val="0000FF"/>
                <w:sz w:val="20"/>
                <w:szCs w:val="20"/>
              </w:rPr>
              <w:t>A, M</w:t>
            </w:r>
          </w:p>
        </w:tc>
      </w:tr>
      <w:tr w:rsidR="00944533" w:rsidRPr="00267B79" w14:paraId="3235B4C8" w14:textId="77777777">
        <w:tc>
          <w:tcPr>
            <w:tcW w:w="0" w:type="auto"/>
          </w:tcPr>
          <w:p w14:paraId="19627A79" w14:textId="77777777" w:rsidR="000D259B" w:rsidRDefault="00C6310F" w:rsidP="004B531F">
            <w:pPr>
              <w:spacing w:after="120"/>
              <w:jc w:val="both"/>
              <w:rPr>
                <w:rFonts w:asciiTheme="majorHAnsi" w:hAnsiTheme="majorHAnsi" w:cstheme="majorHAnsi"/>
                <w:sz w:val="20"/>
                <w:szCs w:val="20"/>
              </w:rPr>
            </w:pPr>
            <w:r w:rsidRPr="00C6310F">
              <w:rPr>
                <w:rFonts w:asciiTheme="majorHAnsi" w:hAnsiTheme="majorHAnsi"/>
                <w:sz w:val="20"/>
              </w:rPr>
              <w:t>In some cases, IST</w:t>
            </w:r>
            <w:r w:rsidR="00192E6B" w:rsidRPr="00192E6B">
              <w:rPr>
                <w:rFonts w:asciiTheme="majorHAnsi" w:hAnsiTheme="majorHAnsi"/>
                <w:sz w:val="20"/>
              </w:rPr>
              <w:t xml:space="preserve"> is provided to equip health workers who have already been deployed to HFs with basic skills they should have acquired in PST. Although there is an argument for such interventions, they probably also ‘enable’ the continuation of the weak institutional relationships that stand in the way of </w:t>
            </w:r>
            <w:r w:rsidRPr="004B531F">
              <w:rPr>
                <w:rFonts w:asciiTheme="majorHAnsi" w:hAnsiTheme="majorHAnsi"/>
                <w:sz w:val="20"/>
              </w:rPr>
              <w:t xml:space="preserve">robust </w:t>
            </w:r>
            <w:r w:rsidR="000914BA" w:rsidRPr="004B531F">
              <w:rPr>
                <w:rFonts w:asciiTheme="majorHAnsi" w:hAnsiTheme="majorHAnsi"/>
                <w:sz w:val="20"/>
              </w:rPr>
              <w:t>PST</w:t>
            </w:r>
            <w:r w:rsidRPr="004B531F">
              <w:rPr>
                <w:rFonts w:asciiTheme="majorHAnsi" w:hAnsiTheme="majorHAnsi"/>
                <w:sz w:val="20"/>
              </w:rPr>
              <w:t>.</w:t>
            </w:r>
          </w:p>
        </w:tc>
        <w:tc>
          <w:tcPr>
            <w:tcW w:w="0" w:type="auto"/>
            <w:vAlign w:val="center"/>
          </w:tcPr>
          <w:p w14:paraId="72012D59"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K, M</w:t>
            </w:r>
          </w:p>
        </w:tc>
      </w:tr>
      <w:tr w:rsidR="00944533" w:rsidRPr="00267B79" w14:paraId="316C095D" w14:textId="77777777">
        <w:tc>
          <w:tcPr>
            <w:tcW w:w="0" w:type="auto"/>
          </w:tcPr>
          <w:p w14:paraId="51652376" w14:textId="5AB6DEEC" w:rsidR="000D259B" w:rsidRDefault="00192E6B">
            <w:pPr>
              <w:spacing w:after="120"/>
              <w:jc w:val="both"/>
              <w:rPr>
                <w:rFonts w:asciiTheme="majorHAnsi" w:hAnsiTheme="majorHAnsi"/>
                <w:sz w:val="20"/>
              </w:rPr>
            </w:pPr>
            <w:r w:rsidRPr="00192E6B">
              <w:rPr>
                <w:rFonts w:asciiTheme="majorHAnsi" w:hAnsiTheme="majorHAnsi" w:cstheme="majorHAnsi"/>
                <w:sz w:val="20"/>
                <w:szCs w:val="20"/>
              </w:rPr>
              <w:t xml:space="preserve">MOH is now developing a strategic plan for Human Resources (HR) management. </w:t>
            </w:r>
            <w:r w:rsidR="00524872">
              <w:rPr>
                <w:rFonts w:asciiTheme="majorHAnsi" w:hAnsiTheme="majorHAnsi" w:cstheme="majorHAnsi"/>
                <w:sz w:val="20"/>
                <w:szCs w:val="20"/>
              </w:rPr>
              <w:t xml:space="preserve"> </w:t>
            </w:r>
            <w:r w:rsidRPr="00192E6B">
              <w:rPr>
                <w:rFonts w:asciiTheme="majorHAnsi" w:hAnsiTheme="majorHAnsi" w:cstheme="majorHAnsi"/>
                <w:sz w:val="20"/>
                <w:szCs w:val="20"/>
              </w:rPr>
              <w:t>Aspects of staffing will also be covered in th</w:t>
            </w:r>
            <w:r w:rsidR="0032333D">
              <w:rPr>
                <w:rFonts w:asciiTheme="majorHAnsi" w:hAnsiTheme="majorHAnsi" w:cstheme="majorHAnsi"/>
                <w:sz w:val="20"/>
                <w:szCs w:val="20"/>
              </w:rPr>
              <w:t>e ‘configuration’ review</w:t>
            </w:r>
            <w:r w:rsidRPr="00192E6B">
              <w:rPr>
                <w:rFonts w:asciiTheme="majorHAnsi" w:hAnsiTheme="majorHAnsi" w:cstheme="majorHAnsi"/>
                <w:sz w:val="20"/>
                <w:szCs w:val="20"/>
              </w:rPr>
              <w:t xml:space="preserve"> planned by the new Minister. </w:t>
            </w:r>
          </w:p>
        </w:tc>
        <w:tc>
          <w:tcPr>
            <w:tcW w:w="0" w:type="auto"/>
            <w:vAlign w:val="center"/>
          </w:tcPr>
          <w:p w14:paraId="300E58A9"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A, N</w:t>
            </w:r>
          </w:p>
        </w:tc>
      </w:tr>
      <w:tr w:rsidR="00944533" w:rsidRPr="00267B79" w14:paraId="4060E36B" w14:textId="77777777">
        <w:tc>
          <w:tcPr>
            <w:tcW w:w="0" w:type="auto"/>
          </w:tcPr>
          <w:p w14:paraId="18AFF095" w14:textId="77777777" w:rsidR="000D259B" w:rsidRDefault="00944533">
            <w:pPr>
              <w:pStyle w:val="Heading3"/>
              <w:jc w:val="both"/>
            </w:pPr>
            <w:bookmarkStart w:id="13" w:name="_Toc378838730"/>
            <w:r w:rsidRPr="00267B79">
              <w:t>Service delivery</w:t>
            </w:r>
            <w:bookmarkEnd w:id="13"/>
          </w:p>
          <w:p w14:paraId="30AD35A8" w14:textId="77777777" w:rsidR="000D259B" w:rsidRDefault="000D259B">
            <w:pPr>
              <w:jc w:val="both"/>
              <w:rPr>
                <w:rFonts w:asciiTheme="majorHAnsi" w:hAnsiTheme="majorHAnsi"/>
              </w:rPr>
            </w:pPr>
          </w:p>
        </w:tc>
        <w:tc>
          <w:tcPr>
            <w:tcW w:w="0" w:type="auto"/>
            <w:vAlign w:val="center"/>
          </w:tcPr>
          <w:p w14:paraId="7FF04A57" w14:textId="77777777" w:rsidR="000D259B" w:rsidRDefault="000D259B">
            <w:pPr>
              <w:spacing w:after="120"/>
              <w:jc w:val="both"/>
              <w:rPr>
                <w:rFonts w:asciiTheme="majorHAnsi" w:hAnsiTheme="majorHAnsi" w:cstheme="majorHAnsi"/>
                <w:color w:val="0000FF"/>
                <w:sz w:val="20"/>
                <w:szCs w:val="20"/>
              </w:rPr>
            </w:pPr>
          </w:p>
        </w:tc>
      </w:tr>
      <w:tr w:rsidR="00944533" w:rsidRPr="00267B79" w14:paraId="5CCBE1D3" w14:textId="77777777">
        <w:tc>
          <w:tcPr>
            <w:tcW w:w="0" w:type="auto"/>
          </w:tcPr>
          <w:p w14:paraId="6001446E" w14:textId="77777777" w:rsidR="000D259B" w:rsidRPr="00C85D03" w:rsidRDefault="00192E6B" w:rsidP="006D68F5">
            <w:pPr>
              <w:spacing w:after="120"/>
              <w:jc w:val="both"/>
              <w:rPr>
                <w:rFonts w:asciiTheme="majorHAnsi" w:hAnsiTheme="majorHAnsi" w:cstheme="majorHAnsi"/>
                <w:sz w:val="20"/>
                <w:szCs w:val="20"/>
              </w:rPr>
            </w:pPr>
            <w:r w:rsidRPr="00C85D03">
              <w:rPr>
                <w:rFonts w:asciiTheme="majorHAnsi" w:hAnsiTheme="majorHAnsi" w:cstheme="majorHAnsi"/>
                <w:sz w:val="20"/>
                <w:szCs w:val="20"/>
              </w:rPr>
              <w:t xml:space="preserve">At community level, people are increasingly aware of RMNCH services and of the benefits of using them, but some cultural barriers, indirect costs, opportunity costs and transport challenges affect uptake, especially in remote areas, even though the services are provided free of charge. Community engagement in health related governance is low; while </w:t>
            </w:r>
            <w:r w:rsidR="00A93667" w:rsidRPr="00C85D03">
              <w:rPr>
                <w:rFonts w:asciiTheme="majorHAnsi" w:hAnsiTheme="majorHAnsi" w:cstheme="majorHAnsi"/>
                <w:i/>
                <w:sz w:val="20"/>
                <w:szCs w:val="20"/>
              </w:rPr>
              <w:t>S</w:t>
            </w:r>
            <w:r w:rsidRPr="00C85D03">
              <w:rPr>
                <w:rFonts w:asciiTheme="majorHAnsi" w:hAnsiTheme="majorHAnsi" w:cstheme="majorHAnsi"/>
                <w:i/>
                <w:sz w:val="20"/>
                <w:szCs w:val="20"/>
              </w:rPr>
              <w:t>uco</w:t>
            </w:r>
            <w:r w:rsidR="00A93667" w:rsidRPr="00C85D03">
              <w:rPr>
                <w:rFonts w:asciiTheme="majorHAnsi" w:hAnsiTheme="majorHAnsi" w:cstheme="majorHAnsi"/>
                <w:i/>
                <w:sz w:val="20"/>
                <w:szCs w:val="20"/>
              </w:rPr>
              <w:t>/</w:t>
            </w:r>
            <w:r w:rsidR="00A93667" w:rsidRPr="00C85D03">
              <w:rPr>
                <w:rFonts w:asciiTheme="majorHAnsi" w:hAnsiTheme="majorHAnsi" w:cstheme="majorHAnsi"/>
                <w:sz w:val="20"/>
                <w:szCs w:val="20"/>
              </w:rPr>
              <w:t>village</w:t>
            </w:r>
            <w:r w:rsidRPr="00C85D03">
              <w:rPr>
                <w:rFonts w:asciiTheme="majorHAnsi" w:hAnsiTheme="majorHAnsi" w:cstheme="majorHAnsi"/>
                <w:sz w:val="20"/>
                <w:szCs w:val="20"/>
              </w:rPr>
              <w:t xml:space="preserve"> councils have a mechanism through which people can raise concerns or make complaints about health care quality, some people appear to be unaware of it or reluctant to use it. Gender differences are probably a factor in this, as women have more contact with health services but less influence in </w:t>
            </w:r>
            <w:r w:rsidRPr="00C85D03">
              <w:rPr>
                <w:rFonts w:asciiTheme="majorHAnsi" w:hAnsiTheme="majorHAnsi" w:cstheme="majorHAnsi"/>
                <w:i/>
                <w:sz w:val="20"/>
                <w:szCs w:val="20"/>
              </w:rPr>
              <w:t>Suco</w:t>
            </w:r>
            <w:r w:rsidR="00A93667" w:rsidRPr="00C85D03">
              <w:rPr>
                <w:rFonts w:asciiTheme="majorHAnsi" w:hAnsiTheme="majorHAnsi" w:cstheme="majorHAnsi"/>
                <w:i/>
                <w:sz w:val="20"/>
                <w:szCs w:val="20"/>
              </w:rPr>
              <w:t>/</w:t>
            </w:r>
            <w:r w:rsidR="00A93667" w:rsidRPr="00C85D03">
              <w:rPr>
                <w:rFonts w:asciiTheme="majorHAnsi" w:hAnsiTheme="majorHAnsi" w:cstheme="majorHAnsi"/>
                <w:sz w:val="20"/>
                <w:szCs w:val="20"/>
              </w:rPr>
              <w:t>village</w:t>
            </w:r>
            <w:r w:rsidRPr="00C85D03">
              <w:rPr>
                <w:rFonts w:asciiTheme="majorHAnsi" w:hAnsiTheme="majorHAnsi" w:cstheme="majorHAnsi"/>
                <w:sz w:val="20"/>
                <w:szCs w:val="20"/>
              </w:rPr>
              <w:t xml:space="preserve"> councils.</w:t>
            </w:r>
          </w:p>
        </w:tc>
        <w:tc>
          <w:tcPr>
            <w:tcW w:w="0" w:type="auto"/>
            <w:vAlign w:val="center"/>
          </w:tcPr>
          <w:p w14:paraId="2BAB1185" w14:textId="77777777" w:rsidR="000D259B" w:rsidRDefault="00192E6B">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E, I, J</w:t>
            </w:r>
          </w:p>
        </w:tc>
      </w:tr>
      <w:tr w:rsidR="00944533" w:rsidRPr="00267B79" w14:paraId="1ABF7112" w14:textId="77777777">
        <w:tc>
          <w:tcPr>
            <w:tcW w:w="0" w:type="auto"/>
          </w:tcPr>
          <w:p w14:paraId="14A33292" w14:textId="77777777" w:rsidR="000D259B" w:rsidRDefault="00192E6B" w:rsidP="006D68F5">
            <w:pPr>
              <w:keepNext/>
              <w:keepLines/>
              <w:spacing w:after="120"/>
              <w:jc w:val="both"/>
              <w:outlineLvl w:val="0"/>
              <w:rPr>
                <w:rFonts w:asciiTheme="majorHAnsi" w:hAnsiTheme="majorHAnsi" w:cstheme="majorHAnsi"/>
                <w:sz w:val="20"/>
                <w:szCs w:val="20"/>
              </w:rPr>
            </w:pPr>
            <w:r w:rsidRPr="00192E6B">
              <w:rPr>
                <w:rFonts w:asciiTheme="majorHAnsi" w:hAnsiTheme="majorHAnsi" w:cstheme="majorHAnsi"/>
                <w:sz w:val="20"/>
                <w:szCs w:val="20"/>
              </w:rPr>
              <w:t>The continuum of RMNCH care includes FP, ANC, care at delivery and PNC. Inequities in coverage of RMNCH services within TL are especially evident for care at delivery.</w:t>
            </w:r>
            <w:r w:rsidR="00B36AA1" w:rsidRPr="00B36AA1">
              <w:rPr>
                <w:rStyle w:val="FootnoteReference"/>
                <w:rFonts w:asciiTheme="majorHAnsi" w:hAnsiTheme="majorHAnsi" w:cstheme="majorHAnsi"/>
                <w:sz w:val="20"/>
                <w:szCs w:val="20"/>
              </w:rPr>
              <w:footnoteReference w:id="36"/>
            </w:r>
          </w:p>
        </w:tc>
        <w:tc>
          <w:tcPr>
            <w:tcW w:w="0" w:type="auto"/>
            <w:vAlign w:val="center"/>
          </w:tcPr>
          <w:p w14:paraId="53D7D97D" w14:textId="77777777" w:rsidR="000D259B" w:rsidRDefault="000D259B">
            <w:pPr>
              <w:spacing w:after="120"/>
              <w:jc w:val="both"/>
              <w:rPr>
                <w:rFonts w:asciiTheme="majorHAnsi" w:hAnsiTheme="majorHAnsi" w:cstheme="majorHAnsi"/>
                <w:color w:val="0000FF"/>
                <w:sz w:val="20"/>
                <w:szCs w:val="20"/>
              </w:rPr>
            </w:pPr>
          </w:p>
        </w:tc>
      </w:tr>
      <w:tr w:rsidR="00944533" w:rsidRPr="00267B79" w14:paraId="3D865B87" w14:textId="77777777">
        <w:tc>
          <w:tcPr>
            <w:tcW w:w="0" w:type="auto"/>
          </w:tcPr>
          <w:p w14:paraId="72477F55" w14:textId="77777777" w:rsidR="008809C4" w:rsidRDefault="00C6310F" w:rsidP="006E668E">
            <w:pPr>
              <w:pStyle w:val="NormalWeb"/>
              <w:spacing w:beforeLines="0" w:afterLines="0"/>
              <w:jc w:val="both"/>
              <w:rPr>
                <w:rFonts w:asciiTheme="majorHAnsi" w:hAnsiTheme="majorHAnsi" w:cstheme="majorHAnsi"/>
              </w:rPr>
            </w:pPr>
            <w:r w:rsidRPr="00C6310F">
              <w:rPr>
                <w:rFonts w:asciiTheme="majorHAnsi" w:hAnsiTheme="majorHAnsi" w:cstheme="majorHAnsi"/>
              </w:rPr>
              <w:t>Skilled care at delivery ranges from S</w:t>
            </w:r>
            <w:r w:rsidR="008B2C94">
              <w:rPr>
                <w:rFonts w:asciiTheme="majorHAnsi" w:hAnsiTheme="majorHAnsi" w:cstheme="majorHAnsi"/>
              </w:rPr>
              <w:t>a</w:t>
            </w:r>
            <w:r w:rsidR="003E0217">
              <w:rPr>
                <w:rFonts w:asciiTheme="majorHAnsi" w:hAnsiTheme="majorHAnsi" w:cstheme="majorHAnsi"/>
              </w:rPr>
              <w:t>f</w:t>
            </w:r>
            <w:r w:rsidR="008B2C94">
              <w:rPr>
                <w:rFonts w:asciiTheme="majorHAnsi" w:hAnsiTheme="majorHAnsi" w:cstheme="majorHAnsi"/>
              </w:rPr>
              <w:t xml:space="preserve">e </w:t>
            </w:r>
            <w:r w:rsidR="008B2C94" w:rsidRPr="004B531F">
              <w:rPr>
                <w:rFonts w:asciiTheme="majorHAnsi" w:hAnsiTheme="majorHAnsi" w:cstheme="majorHAnsi"/>
              </w:rPr>
              <w:t xml:space="preserve">and </w:t>
            </w:r>
            <w:r w:rsidRPr="004B531F">
              <w:rPr>
                <w:rFonts w:asciiTheme="majorHAnsi" w:hAnsiTheme="majorHAnsi" w:cstheme="majorHAnsi"/>
              </w:rPr>
              <w:t>C</w:t>
            </w:r>
            <w:r w:rsidR="008B2C94" w:rsidRPr="004B531F">
              <w:rPr>
                <w:rFonts w:asciiTheme="majorHAnsi" w:hAnsiTheme="majorHAnsi" w:cstheme="majorHAnsi"/>
              </w:rPr>
              <w:t xml:space="preserve">lean </w:t>
            </w:r>
            <w:r w:rsidRPr="004B531F">
              <w:rPr>
                <w:rFonts w:asciiTheme="majorHAnsi" w:hAnsiTheme="majorHAnsi" w:cstheme="majorHAnsi"/>
              </w:rPr>
              <w:t>D</w:t>
            </w:r>
            <w:r w:rsidR="008B2C94" w:rsidRPr="004B531F">
              <w:rPr>
                <w:rFonts w:asciiTheme="majorHAnsi" w:hAnsiTheme="majorHAnsi" w:cstheme="majorHAnsi"/>
              </w:rPr>
              <w:t>elivery (SCD)</w:t>
            </w:r>
            <w:r w:rsidRPr="004B531F">
              <w:rPr>
                <w:rFonts w:asciiTheme="majorHAnsi" w:hAnsiTheme="majorHAnsi" w:cstheme="majorHAnsi"/>
              </w:rPr>
              <w:t xml:space="preserve"> and E</w:t>
            </w:r>
            <w:r w:rsidR="008B2C94" w:rsidRPr="004B531F">
              <w:rPr>
                <w:rFonts w:asciiTheme="majorHAnsi" w:hAnsiTheme="majorHAnsi" w:cstheme="majorHAnsi"/>
              </w:rPr>
              <w:t xml:space="preserve">ssential Newborn </w:t>
            </w:r>
            <w:r w:rsidRPr="004B531F">
              <w:rPr>
                <w:rFonts w:asciiTheme="majorHAnsi" w:hAnsiTheme="majorHAnsi" w:cstheme="majorHAnsi"/>
              </w:rPr>
              <w:t>C</w:t>
            </w:r>
            <w:r w:rsidR="008B2C94" w:rsidRPr="004B531F">
              <w:rPr>
                <w:rFonts w:asciiTheme="majorHAnsi" w:hAnsiTheme="majorHAnsi" w:cstheme="majorHAnsi"/>
              </w:rPr>
              <w:t>are (ENBC)</w:t>
            </w:r>
            <w:r w:rsidRPr="004B531F">
              <w:rPr>
                <w:rFonts w:asciiTheme="majorHAnsi" w:hAnsiTheme="majorHAnsi" w:cstheme="majorHAnsi"/>
              </w:rPr>
              <w:t xml:space="preserve"> for normal deliveries to </w:t>
            </w:r>
            <w:r w:rsidR="008B2C94" w:rsidRPr="004B531F">
              <w:rPr>
                <w:rFonts w:asciiTheme="majorHAnsi" w:hAnsiTheme="majorHAnsi" w:cstheme="majorHAnsi"/>
              </w:rPr>
              <w:t>EmONC</w:t>
            </w:r>
            <w:r w:rsidRPr="004B531F">
              <w:rPr>
                <w:rFonts w:asciiTheme="majorHAnsi" w:hAnsiTheme="majorHAnsi" w:cstheme="majorHAnsi"/>
              </w:rPr>
              <w:t xml:space="preserve"> for</w:t>
            </w:r>
            <w:r w:rsidRPr="00C6310F">
              <w:rPr>
                <w:rFonts w:asciiTheme="majorHAnsi" w:hAnsiTheme="majorHAnsi" w:cstheme="majorHAnsi"/>
              </w:rPr>
              <w:t xml:space="preserve"> births with complications. Unless</w:t>
            </w:r>
            <w:r w:rsidR="003E0217">
              <w:rPr>
                <w:rFonts w:asciiTheme="majorHAnsi" w:hAnsiTheme="majorHAnsi" w:cstheme="majorHAnsi"/>
              </w:rPr>
              <w:t xml:space="preserve"> obstetric </w:t>
            </w:r>
            <w:r w:rsidRPr="00C6310F">
              <w:rPr>
                <w:rFonts w:asciiTheme="majorHAnsi" w:hAnsiTheme="majorHAnsi" w:cstheme="majorHAnsi"/>
              </w:rPr>
              <w:t>complications</w:t>
            </w:r>
            <w:r w:rsidR="003E0217">
              <w:rPr>
                <w:rFonts w:asciiTheme="majorHAnsi" w:hAnsiTheme="majorHAnsi" w:cstheme="majorHAnsi"/>
              </w:rPr>
              <w:t xml:space="preserve"> </w:t>
            </w:r>
            <w:r w:rsidRPr="00C6310F">
              <w:rPr>
                <w:rFonts w:asciiTheme="majorHAnsi" w:hAnsiTheme="majorHAnsi" w:cstheme="majorHAnsi"/>
              </w:rPr>
              <w:t xml:space="preserve">can be addressed, impact on maternal mortality will be limited: international research shows that </w:t>
            </w:r>
            <w:r w:rsidRPr="00C6310F">
              <w:rPr>
                <w:rFonts w:asciiTheme="majorHAnsi" w:hAnsiTheme="majorHAnsi" w:cstheme="majorHAnsi"/>
                <w:lang w:val="en-AU"/>
              </w:rPr>
              <w:t xml:space="preserve">met need for EmOC is inversely correlated with </w:t>
            </w:r>
            <w:r w:rsidRPr="00C6310F">
              <w:rPr>
                <w:rFonts w:asciiTheme="majorHAnsi" w:hAnsiTheme="majorHAnsi" w:cstheme="majorHAnsi"/>
                <w:lang w:val="en-AU"/>
              </w:rPr>
              <w:lastRenderedPageBreak/>
              <w:t>maternal mortality ratio</w:t>
            </w:r>
            <w:r w:rsidRPr="00C6310F">
              <w:rPr>
                <w:rStyle w:val="FootnoteReference"/>
                <w:rFonts w:asciiTheme="majorHAnsi" w:hAnsiTheme="majorHAnsi" w:cstheme="majorHAnsi"/>
                <w:lang w:val="en-AU"/>
              </w:rPr>
              <w:footnoteReference w:id="37"/>
            </w:r>
            <w:r w:rsidRPr="00C6310F">
              <w:rPr>
                <w:rFonts w:asciiTheme="majorHAnsi" w:hAnsiTheme="majorHAnsi" w:cstheme="majorHAnsi"/>
                <w:lang w:val="en-AU"/>
              </w:rPr>
              <w:t xml:space="preserve"> and </w:t>
            </w:r>
            <w:r w:rsidRPr="00C6310F">
              <w:rPr>
                <w:rFonts w:asciiTheme="majorHAnsi" w:hAnsiTheme="majorHAnsi" w:cstheme="majorHAnsi"/>
              </w:rPr>
              <w:t>provision of EmOC and a functional system for referral and transportation can significantly reduce maternal mortality.</w:t>
            </w:r>
            <w:r w:rsidR="00192E6B" w:rsidRPr="00192E6B">
              <w:rPr>
                <w:rStyle w:val="FootnoteReference"/>
                <w:rFonts w:asciiTheme="majorHAnsi" w:hAnsiTheme="majorHAnsi" w:cstheme="majorHAnsi"/>
              </w:rPr>
              <w:footnoteReference w:id="38"/>
            </w:r>
            <w:r w:rsidR="00192E6B" w:rsidRPr="00192E6B">
              <w:rPr>
                <w:rFonts w:asciiTheme="majorHAnsi" w:hAnsiTheme="majorHAnsi" w:cstheme="majorHAnsi"/>
              </w:rPr>
              <w:t xml:space="preserve">  EmONC interventions are </w:t>
            </w:r>
            <w:r w:rsidRPr="00C465F3">
              <w:rPr>
                <w:rFonts w:asciiTheme="majorHAnsi" w:hAnsiTheme="majorHAnsi" w:cstheme="majorHAnsi"/>
              </w:rPr>
              <w:t xml:space="preserve">relatively complex, however, and </w:t>
            </w:r>
            <w:r w:rsidR="00A93667" w:rsidRPr="00C465F3">
              <w:rPr>
                <w:rFonts w:asciiTheme="majorHAnsi" w:hAnsiTheme="majorHAnsi" w:cstheme="majorHAnsi"/>
              </w:rPr>
              <w:t>i</w:t>
            </w:r>
            <w:r w:rsidRPr="00C465F3">
              <w:rPr>
                <w:rFonts w:asciiTheme="majorHAnsi" w:hAnsiTheme="majorHAnsi" w:cstheme="majorHAnsi"/>
              </w:rPr>
              <w:t xml:space="preserve">n TL access to EmONC often depends on emergency referral from </w:t>
            </w:r>
            <w:r w:rsidR="00C465F3">
              <w:rPr>
                <w:rFonts w:asciiTheme="majorHAnsi" w:hAnsiTheme="majorHAnsi" w:cstheme="majorHAnsi"/>
              </w:rPr>
              <w:t xml:space="preserve">homes or </w:t>
            </w:r>
            <w:r w:rsidR="00C465F3" w:rsidRPr="00C465F3">
              <w:rPr>
                <w:rFonts w:asciiTheme="majorHAnsi" w:hAnsiTheme="majorHAnsi" w:cstheme="majorHAnsi"/>
              </w:rPr>
              <w:t xml:space="preserve">lower level HFs to </w:t>
            </w:r>
            <w:r w:rsidRPr="00C465F3">
              <w:rPr>
                <w:rFonts w:asciiTheme="majorHAnsi" w:hAnsiTheme="majorHAnsi" w:cstheme="majorHAnsi"/>
              </w:rPr>
              <w:t>hospitals.</w:t>
            </w:r>
          </w:p>
          <w:p w14:paraId="3D617F27" w14:textId="77777777" w:rsidR="00524872" w:rsidRDefault="00524872" w:rsidP="006E668E">
            <w:pPr>
              <w:pStyle w:val="NormalWeb"/>
              <w:spacing w:beforeLines="0" w:afterLines="0"/>
              <w:jc w:val="both"/>
              <w:rPr>
                <w:rFonts w:asciiTheme="majorHAnsi" w:hAnsiTheme="majorHAnsi" w:cstheme="majorHAnsi"/>
              </w:rPr>
            </w:pPr>
          </w:p>
        </w:tc>
        <w:tc>
          <w:tcPr>
            <w:tcW w:w="0" w:type="auto"/>
            <w:vAlign w:val="center"/>
          </w:tcPr>
          <w:p w14:paraId="6057DD2C" w14:textId="77777777" w:rsidR="008809C4" w:rsidRDefault="008809C4">
            <w:pPr>
              <w:spacing w:after="120"/>
              <w:jc w:val="both"/>
              <w:rPr>
                <w:rFonts w:asciiTheme="majorHAnsi" w:hAnsiTheme="majorHAnsi" w:cstheme="majorHAnsi"/>
                <w:color w:val="0000FF"/>
                <w:sz w:val="20"/>
                <w:szCs w:val="20"/>
              </w:rPr>
            </w:pPr>
          </w:p>
          <w:p w14:paraId="25CCD14E" w14:textId="77777777" w:rsidR="008809C4" w:rsidRDefault="008809C4">
            <w:pPr>
              <w:spacing w:after="120"/>
              <w:ind w:left="1760"/>
              <w:jc w:val="both"/>
              <w:rPr>
                <w:rFonts w:asciiTheme="majorHAnsi" w:hAnsiTheme="majorHAnsi" w:cstheme="majorHAnsi"/>
                <w:color w:val="0000FF"/>
                <w:sz w:val="20"/>
                <w:szCs w:val="20"/>
                <w:highlight w:val="green"/>
              </w:rPr>
            </w:pPr>
          </w:p>
        </w:tc>
      </w:tr>
      <w:tr w:rsidR="00944533" w:rsidRPr="00267B79" w14:paraId="2C001CA9" w14:textId="77777777">
        <w:tc>
          <w:tcPr>
            <w:tcW w:w="0" w:type="auto"/>
          </w:tcPr>
          <w:p w14:paraId="66721ABD" w14:textId="77777777" w:rsidR="000D259B" w:rsidRDefault="00192E6B" w:rsidP="006E668E">
            <w:pPr>
              <w:pStyle w:val="NormalWeb"/>
              <w:spacing w:beforeLines="0" w:afterLines="0"/>
              <w:jc w:val="both"/>
              <w:rPr>
                <w:rFonts w:asciiTheme="majorHAnsi" w:hAnsiTheme="majorHAnsi" w:cstheme="majorHAnsi"/>
              </w:rPr>
            </w:pPr>
            <w:r w:rsidRPr="00192E6B">
              <w:rPr>
                <w:rFonts w:asciiTheme="majorHAnsi" w:hAnsiTheme="majorHAnsi" w:cstheme="majorHAnsi"/>
              </w:rPr>
              <w:t xml:space="preserve">While the number of Comprehensive </w:t>
            </w:r>
            <w:r w:rsidR="00875F5D">
              <w:rPr>
                <w:rFonts w:asciiTheme="majorHAnsi" w:hAnsiTheme="majorHAnsi" w:cstheme="majorHAnsi"/>
              </w:rPr>
              <w:t xml:space="preserve">EmONC </w:t>
            </w:r>
            <w:r w:rsidR="0085287C">
              <w:rPr>
                <w:rFonts w:asciiTheme="majorHAnsi" w:hAnsiTheme="majorHAnsi" w:cstheme="majorHAnsi"/>
              </w:rPr>
              <w:t>(CEmONC) facilities in TL (i.e., six</w:t>
            </w:r>
            <w:r w:rsidRPr="00192E6B">
              <w:rPr>
                <w:rFonts w:asciiTheme="majorHAnsi" w:hAnsiTheme="majorHAnsi" w:cstheme="majorHAnsi"/>
              </w:rPr>
              <w:t xml:space="preserve"> hospitals) meets the international benchmark, seven municipalities have no EmONC and at least a third of all CHCs are more than two hours from any EmONC. The ‘missing middle’ is the gap in B</w:t>
            </w:r>
            <w:r w:rsidR="008B2C94">
              <w:rPr>
                <w:rFonts w:asciiTheme="majorHAnsi" w:hAnsiTheme="majorHAnsi" w:cstheme="majorHAnsi"/>
              </w:rPr>
              <w:t xml:space="preserve">asic </w:t>
            </w:r>
            <w:r w:rsidR="00875F5D">
              <w:rPr>
                <w:rFonts w:asciiTheme="majorHAnsi" w:hAnsiTheme="majorHAnsi" w:cstheme="majorHAnsi"/>
              </w:rPr>
              <w:t>EmONC</w:t>
            </w:r>
            <w:r w:rsidR="008B2C94">
              <w:rPr>
                <w:rFonts w:asciiTheme="majorHAnsi" w:hAnsiTheme="majorHAnsi" w:cstheme="majorHAnsi"/>
              </w:rPr>
              <w:t xml:space="preserve"> (BEmONC</w:t>
            </w:r>
            <w:r w:rsidR="00C6310F" w:rsidRPr="00C6310F">
              <w:rPr>
                <w:rFonts w:asciiTheme="majorHAnsi" w:hAnsiTheme="majorHAnsi" w:cstheme="majorHAnsi"/>
              </w:rPr>
              <w:t>): not enough facilities offer it and the two that do are both in Dili. Hence while about half of all deliveries are now in HFs, only half of all HF deliveries are in EmONC HFs.</w:t>
            </w:r>
            <w:r w:rsidR="00C6310F" w:rsidRPr="00C6310F">
              <w:rPr>
                <w:rStyle w:val="FootnoteReference"/>
                <w:rFonts w:asciiTheme="majorHAnsi" w:hAnsiTheme="majorHAnsi" w:cstheme="majorHAnsi"/>
              </w:rPr>
              <w:footnoteReference w:id="39"/>
            </w:r>
            <w:r w:rsidR="00C6310F" w:rsidRPr="00C6310F">
              <w:rPr>
                <w:rFonts w:asciiTheme="majorHAnsi" w:hAnsiTheme="majorHAnsi" w:cstheme="majorHAnsi"/>
              </w:rPr>
              <w:t xml:space="preserve">  This gap reflects weaknesses in all elements of the health system. An EmONC Improvement Plan of Action (IPA) </w:t>
            </w:r>
            <w:r w:rsidR="003A7EBE" w:rsidRPr="00BA4170">
              <w:rPr>
                <w:rFonts w:asciiTheme="majorHAnsi" w:hAnsiTheme="majorHAnsi" w:cstheme="majorHAnsi"/>
              </w:rPr>
              <w:t xml:space="preserve">has been developed by </w:t>
            </w:r>
            <w:r w:rsidRPr="00192E6B">
              <w:rPr>
                <w:rFonts w:asciiTheme="majorHAnsi" w:hAnsiTheme="majorHAnsi" w:cstheme="majorHAnsi"/>
              </w:rPr>
              <w:t xml:space="preserve">UNFPA in close consultation with </w:t>
            </w:r>
            <w:r w:rsidR="003A7EBE" w:rsidRPr="00BA4170">
              <w:rPr>
                <w:rFonts w:asciiTheme="majorHAnsi" w:hAnsiTheme="majorHAnsi" w:cstheme="majorHAnsi"/>
              </w:rPr>
              <w:t xml:space="preserve">MOH but </w:t>
            </w:r>
            <w:r w:rsidRPr="00192E6B">
              <w:rPr>
                <w:rFonts w:asciiTheme="majorHAnsi" w:hAnsiTheme="majorHAnsi" w:cstheme="majorHAnsi"/>
              </w:rPr>
              <w:t xml:space="preserve">MOH has </w:t>
            </w:r>
            <w:r w:rsidR="003A7EBE" w:rsidRPr="00BA4170">
              <w:rPr>
                <w:rFonts w:asciiTheme="majorHAnsi" w:hAnsiTheme="majorHAnsi" w:cstheme="majorHAnsi"/>
              </w:rPr>
              <w:t>not yet approved</w:t>
            </w:r>
            <w:r w:rsidRPr="00192E6B">
              <w:rPr>
                <w:rFonts w:asciiTheme="majorHAnsi" w:hAnsiTheme="majorHAnsi" w:cstheme="majorHAnsi"/>
              </w:rPr>
              <w:t xml:space="preserve"> it for implementation.</w:t>
            </w:r>
          </w:p>
        </w:tc>
        <w:tc>
          <w:tcPr>
            <w:tcW w:w="0" w:type="auto"/>
            <w:vAlign w:val="center"/>
          </w:tcPr>
          <w:p w14:paraId="4278B68D" w14:textId="77777777" w:rsidR="000D259B" w:rsidRDefault="00192E6B">
            <w:pPr>
              <w:spacing w:after="120"/>
              <w:jc w:val="both"/>
              <w:rPr>
                <w:rFonts w:asciiTheme="majorHAnsi" w:hAnsiTheme="majorHAnsi" w:cstheme="majorHAnsi"/>
                <w:color w:val="0000FF"/>
                <w:sz w:val="20"/>
                <w:szCs w:val="20"/>
                <w:highlight w:val="green"/>
              </w:rPr>
            </w:pPr>
            <w:r w:rsidRPr="00192E6B">
              <w:rPr>
                <w:rFonts w:asciiTheme="majorHAnsi" w:hAnsiTheme="majorHAnsi" w:cstheme="majorHAnsi"/>
                <w:color w:val="0000FF"/>
                <w:sz w:val="20"/>
                <w:szCs w:val="20"/>
              </w:rPr>
              <w:t>A</w:t>
            </w:r>
          </w:p>
        </w:tc>
      </w:tr>
      <w:tr w:rsidR="00944533" w:rsidRPr="00267B79" w14:paraId="7EA69678" w14:textId="77777777">
        <w:tc>
          <w:tcPr>
            <w:tcW w:w="0" w:type="auto"/>
          </w:tcPr>
          <w:p w14:paraId="1B584647" w14:textId="77777777" w:rsidR="000D259B" w:rsidRDefault="00944533">
            <w:pPr>
              <w:pStyle w:val="Heading3"/>
              <w:jc w:val="both"/>
            </w:pPr>
            <w:bookmarkStart w:id="14" w:name="_Toc378838731"/>
            <w:r w:rsidRPr="00267B79">
              <w:t>Summary of strengths and gaps</w:t>
            </w:r>
            <w:bookmarkEnd w:id="14"/>
          </w:p>
          <w:p w14:paraId="248CE531" w14:textId="77777777" w:rsidR="000D259B" w:rsidRDefault="000D259B">
            <w:pPr>
              <w:jc w:val="both"/>
              <w:rPr>
                <w:rFonts w:asciiTheme="majorHAnsi" w:hAnsiTheme="majorHAnsi"/>
              </w:rPr>
            </w:pPr>
          </w:p>
        </w:tc>
        <w:tc>
          <w:tcPr>
            <w:tcW w:w="0" w:type="auto"/>
            <w:vAlign w:val="center"/>
          </w:tcPr>
          <w:p w14:paraId="4C4142A5" w14:textId="77777777" w:rsidR="000D259B" w:rsidRDefault="000D259B">
            <w:pPr>
              <w:spacing w:after="120"/>
              <w:jc w:val="both"/>
              <w:rPr>
                <w:rFonts w:asciiTheme="majorHAnsi" w:eastAsiaTheme="majorEastAsia" w:hAnsiTheme="majorHAnsi" w:cstheme="majorHAnsi"/>
                <w:b/>
                <w:bCs/>
                <w:color w:val="0000FF"/>
                <w:sz w:val="20"/>
                <w:szCs w:val="20"/>
                <w:lang w:val="en-AU"/>
              </w:rPr>
            </w:pPr>
          </w:p>
        </w:tc>
      </w:tr>
      <w:tr w:rsidR="00944533" w:rsidRPr="00267B79" w14:paraId="28A457C5" w14:textId="77777777">
        <w:tc>
          <w:tcPr>
            <w:tcW w:w="0" w:type="auto"/>
          </w:tcPr>
          <w:p w14:paraId="57E77453" w14:textId="77777777" w:rsidR="000D259B" w:rsidRDefault="00C6310F">
            <w:pPr>
              <w:spacing w:after="120"/>
              <w:jc w:val="both"/>
              <w:rPr>
                <w:rFonts w:asciiTheme="majorHAnsi" w:hAnsiTheme="majorHAnsi"/>
                <w:sz w:val="20"/>
              </w:rPr>
            </w:pPr>
            <w:r w:rsidRPr="00C6310F">
              <w:rPr>
                <w:rFonts w:asciiTheme="majorHAnsi" w:hAnsiTheme="majorHAnsi"/>
                <w:sz w:val="20"/>
              </w:rPr>
              <w:t>To summarise the above analysis of strengths and gaps: infant and child mortality declined markedly in recent years while neonatal mortality barely changed and the current maternal mortality ratio is unknown. Both maternal and neonatal health are heavily reliant on health system functionality. Within TL’s health system, a culture of evidence-based planning is gradually evolving</w:t>
            </w:r>
            <w:r w:rsidRPr="00C465F3">
              <w:rPr>
                <w:rFonts w:asciiTheme="majorHAnsi" w:hAnsiTheme="majorHAnsi"/>
                <w:sz w:val="20"/>
              </w:rPr>
              <w:t xml:space="preserve">, but decentralisation poses new challenges to </w:t>
            </w:r>
            <w:r w:rsidR="00244CCF">
              <w:rPr>
                <w:rFonts w:asciiTheme="majorHAnsi" w:hAnsiTheme="majorHAnsi"/>
                <w:sz w:val="20"/>
              </w:rPr>
              <w:t xml:space="preserve">robust </w:t>
            </w:r>
            <w:r w:rsidR="00C465F3">
              <w:rPr>
                <w:rFonts w:asciiTheme="majorHAnsi" w:hAnsiTheme="majorHAnsi"/>
                <w:sz w:val="20"/>
              </w:rPr>
              <w:t>implementation</w:t>
            </w:r>
            <w:r w:rsidRPr="00C465F3">
              <w:rPr>
                <w:rFonts w:asciiTheme="majorHAnsi" w:hAnsiTheme="majorHAnsi"/>
                <w:sz w:val="20"/>
              </w:rPr>
              <w:t>, especially at</w:t>
            </w:r>
            <w:r w:rsidR="004B3B8F" w:rsidRPr="004B3B8F">
              <w:rPr>
                <w:rFonts w:asciiTheme="majorHAnsi" w:hAnsiTheme="majorHAnsi"/>
                <w:sz w:val="20"/>
              </w:rPr>
              <w:t xml:space="preserve"> municipality level, where management capacity is limited, accountability is somewhat distorted, and citizens’ engagement in governance is low. GOTL health spending</w:t>
            </w:r>
            <w:r w:rsidR="009E61B7">
              <w:rPr>
                <w:rFonts w:asciiTheme="majorHAnsi" w:hAnsiTheme="majorHAnsi"/>
                <w:sz w:val="20"/>
              </w:rPr>
              <w:t>, as a percentage of GDP,</w:t>
            </w:r>
            <w:r w:rsidR="004B3B8F" w:rsidRPr="004B3B8F">
              <w:rPr>
                <w:rFonts w:asciiTheme="majorHAnsi" w:hAnsiTheme="majorHAnsi"/>
                <w:sz w:val="20"/>
              </w:rPr>
              <w:t xml:space="preserve"> is below international benchmarks but total funding may </w:t>
            </w:r>
            <w:r w:rsidR="009E61B7">
              <w:rPr>
                <w:rFonts w:asciiTheme="majorHAnsi" w:hAnsiTheme="majorHAnsi"/>
                <w:sz w:val="20"/>
              </w:rPr>
              <w:t xml:space="preserve">nonetheless </w:t>
            </w:r>
            <w:r w:rsidR="004B3B8F" w:rsidRPr="004B3B8F">
              <w:rPr>
                <w:rFonts w:asciiTheme="majorHAnsi" w:hAnsiTheme="majorHAnsi"/>
                <w:sz w:val="20"/>
              </w:rPr>
              <w:t xml:space="preserve">be adequate for UHC if </w:t>
            </w:r>
            <w:r w:rsidR="00192E6B" w:rsidRPr="00192E6B">
              <w:rPr>
                <w:rFonts w:asciiTheme="majorHAnsi" w:hAnsiTheme="majorHAnsi" w:cstheme="majorHAnsi"/>
                <w:sz w:val="20"/>
                <w:szCs w:val="20"/>
              </w:rPr>
              <w:t>efficiency improves.</w:t>
            </w:r>
            <w:r w:rsidR="00192E6B" w:rsidRPr="00192E6B">
              <w:rPr>
                <w:rFonts w:asciiTheme="majorHAnsi" w:hAnsiTheme="majorHAnsi"/>
                <w:sz w:val="20"/>
              </w:rPr>
              <w:t xml:space="preserve"> </w:t>
            </w:r>
            <w:r w:rsidR="00192E6B" w:rsidRPr="00192E6B">
              <w:rPr>
                <w:rFonts w:asciiTheme="majorHAnsi" w:hAnsiTheme="majorHAnsi" w:cstheme="majorHAnsi"/>
                <w:sz w:val="20"/>
                <w:szCs w:val="20"/>
              </w:rPr>
              <w:t xml:space="preserve">While </w:t>
            </w:r>
            <w:r w:rsidR="00192E6B" w:rsidRPr="00192E6B">
              <w:rPr>
                <w:rFonts w:asciiTheme="majorHAnsi" w:hAnsiTheme="majorHAnsi"/>
                <w:sz w:val="20"/>
              </w:rPr>
              <w:t xml:space="preserve">recent growth of the medical workforce is welcome, many new doctors lack adequate clinical competences for RMNCH; poor skills are also common in other key RMNCH cadres, and distribution of health professionals is very inequitable. Gaps in infrastructure, equipment and supplies </w:t>
            </w:r>
            <w:r w:rsidR="00192E6B" w:rsidRPr="00192E6B">
              <w:rPr>
                <w:rFonts w:asciiTheme="majorHAnsi" w:hAnsiTheme="majorHAnsi" w:cstheme="majorHAnsi"/>
                <w:sz w:val="20"/>
                <w:szCs w:val="20"/>
              </w:rPr>
              <w:t xml:space="preserve">contribute to </w:t>
            </w:r>
            <w:r w:rsidR="00192E6B" w:rsidRPr="00192E6B">
              <w:rPr>
                <w:rFonts w:asciiTheme="majorHAnsi" w:hAnsiTheme="majorHAnsi"/>
                <w:sz w:val="20"/>
              </w:rPr>
              <w:t>low health facility readiness, which undermines access to quality services.</w:t>
            </w:r>
          </w:p>
        </w:tc>
        <w:tc>
          <w:tcPr>
            <w:tcW w:w="0" w:type="auto"/>
            <w:vAlign w:val="center"/>
          </w:tcPr>
          <w:p w14:paraId="6566825F" w14:textId="77777777" w:rsidR="000D259B" w:rsidRDefault="000D259B">
            <w:pPr>
              <w:spacing w:after="120"/>
              <w:jc w:val="both"/>
              <w:rPr>
                <w:rFonts w:asciiTheme="majorHAnsi" w:hAnsiTheme="majorHAnsi" w:cstheme="majorHAnsi"/>
                <w:color w:val="0000FF"/>
                <w:sz w:val="20"/>
                <w:szCs w:val="20"/>
              </w:rPr>
            </w:pPr>
          </w:p>
        </w:tc>
      </w:tr>
    </w:tbl>
    <w:p w14:paraId="43C7F190" w14:textId="77777777" w:rsidR="00A912BC" w:rsidRDefault="00A912BC">
      <w:pPr>
        <w:jc w:val="both"/>
        <w:rPr>
          <w:rFonts w:asciiTheme="majorHAnsi" w:hAnsiTheme="majorHAnsi" w:cs="Calibri Light"/>
          <w:color w:val="000000"/>
        </w:rPr>
      </w:pPr>
    </w:p>
    <w:p w14:paraId="688B08B6" w14:textId="77777777" w:rsidR="00A912BC" w:rsidRDefault="00A912BC">
      <w:pPr>
        <w:jc w:val="both"/>
        <w:rPr>
          <w:rFonts w:asciiTheme="majorHAnsi" w:hAnsiTheme="majorHAnsi" w:cs="Calibri Light"/>
          <w:color w:val="000000"/>
        </w:rPr>
      </w:pPr>
    </w:p>
    <w:p w14:paraId="38DA216F" w14:textId="77777777" w:rsidR="00A912BC" w:rsidRDefault="00DA31F6">
      <w:pPr>
        <w:pStyle w:val="Heading2"/>
        <w:jc w:val="both"/>
      </w:pPr>
      <w:bookmarkStart w:id="15" w:name="_Toc378838732"/>
      <w:r w:rsidRPr="00267B79">
        <w:t>2</w:t>
      </w:r>
      <w:r w:rsidR="00863E97" w:rsidRPr="00267B79">
        <w:t>.</w:t>
      </w:r>
      <w:r w:rsidRPr="00267B79">
        <w:t xml:space="preserve"> </w:t>
      </w:r>
      <w:r w:rsidR="00863E97" w:rsidRPr="00267B79">
        <w:t>Alignment of</w:t>
      </w:r>
      <w:r w:rsidRPr="00267B79">
        <w:t xml:space="preserve"> DFAT </w:t>
      </w:r>
      <w:r w:rsidR="00E41D8B" w:rsidRPr="00267B79">
        <w:t>program</w:t>
      </w:r>
      <w:r w:rsidRPr="00267B79">
        <w:t xml:space="preserve"> </w:t>
      </w:r>
      <w:r w:rsidR="00937C71">
        <w:t xml:space="preserve">objectives </w:t>
      </w:r>
      <w:r w:rsidRPr="00267B79">
        <w:t xml:space="preserve">with </w:t>
      </w:r>
      <w:r w:rsidR="00937C71" w:rsidRPr="00267B79">
        <w:t xml:space="preserve">health sector </w:t>
      </w:r>
      <w:r w:rsidR="00937C71">
        <w:t>priorities</w:t>
      </w:r>
      <w:bookmarkEnd w:id="15"/>
      <w:r w:rsidR="00937C71">
        <w:t xml:space="preserve"> </w:t>
      </w:r>
      <w:r w:rsidRPr="00267B79">
        <w:t xml:space="preserve"> </w:t>
      </w:r>
    </w:p>
    <w:tbl>
      <w:tblPr>
        <w:tblW w:w="0" w:type="auto"/>
        <w:tblLook w:val="00A0" w:firstRow="1" w:lastRow="0" w:firstColumn="1" w:lastColumn="0" w:noHBand="0" w:noVBand="0"/>
      </w:tblPr>
      <w:tblGrid>
        <w:gridCol w:w="7439"/>
        <w:gridCol w:w="861"/>
      </w:tblGrid>
      <w:tr w:rsidR="00DA31F6" w:rsidRPr="00267B79" w14:paraId="34F05054" w14:textId="77777777">
        <w:tc>
          <w:tcPr>
            <w:tcW w:w="0" w:type="auto"/>
          </w:tcPr>
          <w:p w14:paraId="234167B5" w14:textId="77777777" w:rsidR="000D259B" w:rsidRDefault="000D259B">
            <w:pPr>
              <w:keepNext/>
              <w:keepLines/>
              <w:spacing w:after="120"/>
              <w:jc w:val="both"/>
              <w:outlineLvl w:val="0"/>
              <w:rPr>
                <w:rFonts w:asciiTheme="majorHAnsi" w:hAnsiTheme="majorHAnsi" w:cstheme="majorHAnsi"/>
                <w:sz w:val="20"/>
                <w:szCs w:val="20"/>
                <w:lang w:eastAsia="en-AU"/>
              </w:rPr>
            </w:pPr>
          </w:p>
        </w:tc>
        <w:tc>
          <w:tcPr>
            <w:tcW w:w="0" w:type="auto"/>
            <w:vAlign w:val="center"/>
          </w:tcPr>
          <w:p w14:paraId="1F345011" w14:textId="77777777" w:rsidR="000D259B" w:rsidRDefault="00DA31F6">
            <w:pPr>
              <w:jc w:val="both"/>
              <w:rPr>
                <w:rFonts w:asciiTheme="majorHAnsi" w:hAnsiTheme="majorHAnsi" w:cstheme="majorHAnsi"/>
                <w:b/>
                <w:color w:val="0000FF"/>
                <w:sz w:val="20"/>
                <w:szCs w:val="20"/>
              </w:rPr>
            </w:pPr>
            <w:r w:rsidRPr="00267B79">
              <w:rPr>
                <w:rFonts w:asciiTheme="majorHAnsi" w:hAnsiTheme="majorHAnsi" w:cstheme="majorHAnsi"/>
                <w:b/>
                <w:color w:val="0000FF"/>
                <w:sz w:val="20"/>
                <w:szCs w:val="20"/>
              </w:rPr>
              <w:t>Sources</w:t>
            </w:r>
          </w:p>
        </w:tc>
      </w:tr>
      <w:tr w:rsidR="00504119" w:rsidRPr="00267B79" w14:paraId="1FF13D61" w14:textId="77777777">
        <w:tc>
          <w:tcPr>
            <w:tcW w:w="0" w:type="auto"/>
          </w:tcPr>
          <w:p w14:paraId="02466A2E" w14:textId="77777777" w:rsidR="001F3BF6" w:rsidRPr="00C85D03" w:rsidRDefault="00C6310F">
            <w:pPr>
              <w:spacing w:after="120"/>
              <w:jc w:val="both"/>
              <w:rPr>
                <w:rFonts w:asciiTheme="majorHAnsi" w:hAnsiTheme="majorHAnsi"/>
                <w:sz w:val="20"/>
              </w:rPr>
            </w:pPr>
            <w:r w:rsidRPr="00C85D03">
              <w:rPr>
                <w:rFonts w:asciiTheme="majorHAnsi" w:hAnsiTheme="majorHAnsi" w:cstheme="majorHAnsi"/>
                <w:sz w:val="20"/>
                <w:szCs w:val="20"/>
                <w:lang w:eastAsia="en-AU"/>
              </w:rPr>
              <w:t xml:space="preserve">In developing the </w:t>
            </w:r>
            <w:r w:rsidR="005E23E8" w:rsidRPr="00C85D03">
              <w:rPr>
                <w:rFonts w:asciiTheme="majorHAnsi" w:hAnsiTheme="majorHAnsi"/>
                <w:sz w:val="20"/>
              </w:rPr>
              <w:t>current program of work, DFAT engaged with MOH and responded to MOH requests. Based on design documents from 2013 and 2015,</w:t>
            </w:r>
            <w:r w:rsidRPr="00C85D03">
              <w:rPr>
                <w:rStyle w:val="FootnoteReference"/>
                <w:rFonts w:asciiTheme="majorHAnsi" w:hAnsiTheme="majorHAnsi"/>
                <w:sz w:val="20"/>
              </w:rPr>
              <w:footnoteReference w:id="40"/>
            </w:r>
            <w:r w:rsidR="005E23E8" w:rsidRPr="00C85D03">
              <w:rPr>
                <w:rFonts w:asciiTheme="majorHAnsi" w:hAnsiTheme="majorHAnsi"/>
                <w:sz w:val="20"/>
              </w:rPr>
              <w:t xml:space="preserve"> the Review team inferred that the goal of the DFAT bilateral health program is to reduce maternal and child mortality, and that </w:t>
            </w:r>
            <w:r w:rsidR="005E23E8" w:rsidRPr="00C85D03">
              <w:rPr>
                <w:rFonts w:asciiTheme="majorHAnsi" w:hAnsiTheme="majorHAnsi"/>
                <w:sz w:val="20"/>
                <w:lang w:eastAsia="en-AU"/>
              </w:rPr>
              <w:t xml:space="preserve">progress will be assessed against relevant national impact level targets. The inferred </w:t>
            </w:r>
            <w:r w:rsidR="005E23E8" w:rsidRPr="00C85D03">
              <w:rPr>
                <w:rFonts w:asciiTheme="majorHAnsi" w:hAnsiTheme="majorHAnsi" w:cstheme="majorHAnsi"/>
                <w:sz w:val="20"/>
              </w:rPr>
              <w:t xml:space="preserve">end-of-program outcomes (EOPOs) </w:t>
            </w:r>
            <w:r w:rsidR="005E23E8" w:rsidRPr="00C85D03">
              <w:rPr>
                <w:rFonts w:asciiTheme="majorHAnsi" w:hAnsiTheme="majorHAnsi"/>
                <w:sz w:val="20"/>
              </w:rPr>
              <w:t>are:</w:t>
            </w:r>
          </w:p>
          <w:p w14:paraId="62641B02" w14:textId="77777777" w:rsidR="000D259B" w:rsidRPr="00C85D03" w:rsidRDefault="00C6310F">
            <w:pPr>
              <w:pStyle w:val="ListParagraph"/>
              <w:numPr>
                <w:ilvl w:val="0"/>
                <w:numId w:val="18"/>
              </w:numPr>
              <w:spacing w:after="120"/>
              <w:ind w:left="680" w:hanging="340"/>
              <w:contextualSpacing w:val="0"/>
              <w:jc w:val="both"/>
              <w:rPr>
                <w:rFonts w:asciiTheme="majorHAnsi" w:hAnsiTheme="majorHAnsi"/>
                <w:sz w:val="20"/>
              </w:rPr>
            </w:pPr>
            <w:r w:rsidRPr="00C85D03">
              <w:rPr>
                <w:rFonts w:asciiTheme="majorHAnsi" w:hAnsiTheme="majorHAnsi"/>
                <w:sz w:val="20"/>
              </w:rPr>
              <w:t>health care providers offer a wider range of higher-quality sexual, reproductive, maternal, neonatal, infant and child health (RMNCH) services;</w:t>
            </w:r>
          </w:p>
          <w:p w14:paraId="356D13B1" w14:textId="77777777" w:rsidR="000D259B" w:rsidRPr="00C85D03" w:rsidRDefault="00C6310F">
            <w:pPr>
              <w:pStyle w:val="ListParagraph"/>
              <w:numPr>
                <w:ilvl w:val="0"/>
                <w:numId w:val="18"/>
              </w:numPr>
              <w:spacing w:after="120"/>
              <w:ind w:left="680" w:hanging="340"/>
              <w:contextualSpacing w:val="0"/>
              <w:jc w:val="both"/>
              <w:rPr>
                <w:rFonts w:asciiTheme="majorHAnsi" w:eastAsiaTheme="majorEastAsia" w:hAnsiTheme="majorHAnsi" w:cstheme="majorBidi"/>
                <w:b/>
                <w:bCs/>
                <w:i/>
                <w:iCs/>
                <w:color w:val="4F81BD" w:themeColor="accent1"/>
                <w:sz w:val="20"/>
              </w:rPr>
            </w:pPr>
            <w:r w:rsidRPr="00C85D03">
              <w:rPr>
                <w:rFonts w:asciiTheme="majorHAnsi" w:hAnsiTheme="majorHAnsi"/>
                <w:sz w:val="20"/>
              </w:rPr>
              <w:t xml:space="preserve">people make greater use of RMNCH services and adopt recommended RMNCH  behaviours; and </w:t>
            </w:r>
          </w:p>
          <w:p w14:paraId="3499305D" w14:textId="77777777" w:rsidR="000D259B" w:rsidRPr="00C85D03" w:rsidRDefault="005E23E8">
            <w:pPr>
              <w:pStyle w:val="ListParagraph"/>
              <w:numPr>
                <w:ilvl w:val="0"/>
                <w:numId w:val="18"/>
              </w:numPr>
              <w:spacing w:after="120"/>
              <w:ind w:left="680" w:hanging="340"/>
              <w:contextualSpacing w:val="0"/>
              <w:jc w:val="both"/>
              <w:rPr>
                <w:rFonts w:asciiTheme="majorHAnsi" w:hAnsiTheme="majorHAnsi"/>
                <w:sz w:val="20"/>
              </w:rPr>
            </w:pPr>
            <w:r w:rsidRPr="00C85D03">
              <w:rPr>
                <w:rFonts w:asciiTheme="majorHAnsi" w:hAnsiTheme="majorHAnsi"/>
                <w:sz w:val="20"/>
              </w:rPr>
              <w:lastRenderedPageBreak/>
              <w:t>TL’s health system is more efficient, equitable and accountable in achieving the above.</w:t>
            </w:r>
            <w:r w:rsidRPr="00C85D03">
              <w:rPr>
                <w:rStyle w:val="FootnoteReference"/>
                <w:rFonts w:asciiTheme="majorHAnsi" w:hAnsiTheme="majorHAnsi"/>
                <w:sz w:val="20"/>
              </w:rPr>
              <w:footnoteReference w:id="41"/>
            </w:r>
            <w:r w:rsidRPr="00C85D03">
              <w:rPr>
                <w:rFonts w:asciiTheme="majorHAnsi" w:hAnsiTheme="majorHAnsi"/>
                <w:sz w:val="20"/>
              </w:rPr>
              <w:t>,</w:t>
            </w:r>
            <w:r w:rsidR="00B36AA1" w:rsidRPr="00C85D03">
              <w:rPr>
                <w:rStyle w:val="FootnoteReference"/>
                <w:rFonts w:asciiTheme="majorHAnsi" w:hAnsiTheme="majorHAnsi"/>
                <w:sz w:val="20"/>
              </w:rPr>
              <w:footnoteReference w:id="42"/>
            </w:r>
          </w:p>
        </w:tc>
        <w:tc>
          <w:tcPr>
            <w:tcW w:w="0" w:type="auto"/>
            <w:vAlign w:val="center"/>
          </w:tcPr>
          <w:p w14:paraId="73E12910" w14:textId="77777777" w:rsidR="000D259B" w:rsidRDefault="00504119">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lastRenderedPageBreak/>
              <w:t>M</w:t>
            </w:r>
          </w:p>
        </w:tc>
      </w:tr>
      <w:tr w:rsidR="00D27D13" w:rsidRPr="00267B79" w14:paraId="12D037AB" w14:textId="77777777">
        <w:tc>
          <w:tcPr>
            <w:tcW w:w="0" w:type="auto"/>
          </w:tcPr>
          <w:p w14:paraId="04CC81BE" w14:textId="77777777" w:rsidR="000D259B" w:rsidRDefault="005E23E8">
            <w:pPr>
              <w:keepNext/>
              <w:keepLines/>
              <w:spacing w:after="120"/>
              <w:jc w:val="both"/>
              <w:outlineLvl w:val="0"/>
              <w:rPr>
                <w:rFonts w:asciiTheme="majorHAnsi" w:hAnsiTheme="majorHAnsi" w:cstheme="majorHAnsi"/>
                <w:sz w:val="20"/>
                <w:szCs w:val="20"/>
                <w:lang w:eastAsia="en-AU"/>
              </w:rPr>
            </w:pPr>
            <w:r w:rsidRPr="005E23E8">
              <w:rPr>
                <w:rFonts w:asciiTheme="majorHAnsi" w:hAnsiTheme="majorHAnsi" w:cstheme="majorHAnsi"/>
                <w:sz w:val="20"/>
                <w:szCs w:val="20"/>
                <w:lang w:eastAsia="en-AU"/>
              </w:rPr>
              <w:t xml:space="preserve">In terms of health system elements, the DFAT/PHD TAs advise MOH on aspects of Management (health information and PFM). The five projects focus on aspects of: Infrastructure (Health Transport); Health Workforce (SRH, Learning Labs and ATLASS II); and Service Delivery (SRH and Liga Inan). </w:t>
            </w:r>
          </w:p>
        </w:tc>
        <w:tc>
          <w:tcPr>
            <w:tcW w:w="0" w:type="auto"/>
            <w:vAlign w:val="center"/>
          </w:tcPr>
          <w:p w14:paraId="3499FEC9" w14:textId="77777777" w:rsidR="000D259B" w:rsidRDefault="000D259B">
            <w:pPr>
              <w:spacing w:after="120"/>
              <w:jc w:val="both"/>
              <w:rPr>
                <w:rFonts w:asciiTheme="majorHAnsi" w:eastAsiaTheme="majorEastAsia" w:hAnsiTheme="majorHAnsi" w:cstheme="majorHAnsi"/>
                <w:b/>
                <w:bCs/>
                <w:color w:val="0000FF"/>
                <w:sz w:val="20"/>
                <w:szCs w:val="20"/>
                <w:lang w:val="en-AU"/>
              </w:rPr>
            </w:pPr>
          </w:p>
        </w:tc>
      </w:tr>
      <w:tr w:rsidR="00DA31F6" w:rsidRPr="00267B79" w14:paraId="4810426E" w14:textId="77777777">
        <w:tc>
          <w:tcPr>
            <w:tcW w:w="0" w:type="auto"/>
          </w:tcPr>
          <w:p w14:paraId="58F45C02" w14:textId="3492E272" w:rsidR="000D259B" w:rsidRPr="00C85D03" w:rsidRDefault="005E23E8">
            <w:pPr>
              <w:pStyle w:val="CommentText"/>
              <w:jc w:val="both"/>
              <w:rPr>
                <w:rFonts w:asciiTheme="majorHAnsi" w:hAnsiTheme="majorHAnsi" w:cstheme="majorHAnsi"/>
                <w:sz w:val="20"/>
                <w:szCs w:val="20"/>
              </w:rPr>
            </w:pPr>
            <w:r w:rsidRPr="00C85D03">
              <w:rPr>
                <w:rFonts w:asciiTheme="majorHAnsi" w:hAnsiTheme="majorHAnsi" w:cstheme="majorHAnsi"/>
                <w:sz w:val="20"/>
                <w:szCs w:val="20"/>
                <w:lang w:eastAsia="en-AU"/>
              </w:rPr>
              <w:t xml:space="preserve">In thematic terms, the DFAT/PHD program is on the whole aligned to supporting some of the RMNCH priorities that are set out in NHSSP and </w:t>
            </w:r>
            <w:r w:rsidRPr="00C85D03">
              <w:rPr>
                <w:rFonts w:asciiTheme="majorHAnsi" w:hAnsiTheme="majorHAnsi"/>
                <w:sz w:val="20"/>
              </w:rPr>
              <w:t>seen globally as vital parts of an evidence-based continuum of care for RMNCH,</w:t>
            </w:r>
            <w:r w:rsidRPr="00C85D03">
              <w:rPr>
                <w:rStyle w:val="FootnoteReference"/>
                <w:rFonts w:asciiTheme="majorHAnsi" w:hAnsiTheme="majorHAnsi"/>
                <w:sz w:val="20"/>
              </w:rPr>
              <w:footnoteReference w:id="43"/>
            </w:r>
            <w:r w:rsidRPr="00C85D03">
              <w:rPr>
                <w:rFonts w:asciiTheme="majorHAnsi" w:hAnsiTheme="majorHAnsi"/>
                <w:sz w:val="20"/>
              </w:rPr>
              <w:t xml:space="preserve"> </w:t>
            </w:r>
            <w:r w:rsidRPr="00C85D03">
              <w:rPr>
                <w:rFonts w:asciiTheme="majorHAnsi" w:hAnsiTheme="majorHAnsi" w:cstheme="majorHAnsi"/>
                <w:sz w:val="20"/>
                <w:szCs w:val="20"/>
                <w:lang w:eastAsia="en-AU"/>
              </w:rPr>
              <w:t xml:space="preserve">i.e. </w:t>
            </w:r>
            <w:r w:rsidRPr="00C85D03">
              <w:rPr>
                <w:rFonts w:asciiTheme="majorHAnsi" w:hAnsiTheme="majorHAnsi" w:cstheme="majorHAnsi"/>
                <w:sz w:val="20"/>
                <w:szCs w:val="20"/>
              </w:rPr>
              <w:t>FP, ANC, care at delivery, postnatal care and child health interventions.</w:t>
            </w:r>
            <w:r w:rsidRPr="00C85D03">
              <w:rPr>
                <w:rStyle w:val="FootnoteReference"/>
                <w:rFonts w:asciiTheme="majorHAnsi" w:hAnsiTheme="majorHAnsi" w:cstheme="majorHAnsi"/>
                <w:sz w:val="20"/>
                <w:szCs w:val="20"/>
              </w:rPr>
              <w:footnoteReference w:id="44"/>
            </w:r>
            <w:r w:rsidRPr="00C85D03">
              <w:rPr>
                <w:rFonts w:asciiTheme="majorHAnsi" w:hAnsiTheme="majorHAnsi" w:cstheme="majorHAnsi"/>
                <w:sz w:val="20"/>
                <w:szCs w:val="20"/>
              </w:rPr>
              <w:t xml:space="preserve"> In other words: MSTL supports provision and uptake of FP</w:t>
            </w:r>
            <w:r w:rsidR="0098594F" w:rsidRPr="00C85D03">
              <w:rPr>
                <w:rFonts w:asciiTheme="majorHAnsi" w:hAnsiTheme="majorHAnsi" w:cstheme="majorHAnsi"/>
                <w:sz w:val="20"/>
                <w:szCs w:val="20"/>
              </w:rPr>
              <w:t xml:space="preserve"> (including </w:t>
            </w:r>
            <w:r w:rsidR="007740EE" w:rsidRPr="00C85D03">
              <w:rPr>
                <w:rFonts w:asciiTheme="majorHAnsi" w:hAnsiTheme="majorHAnsi" w:cstheme="majorHAnsi"/>
                <w:sz w:val="20"/>
                <w:szCs w:val="20"/>
              </w:rPr>
              <w:t xml:space="preserve">through the </w:t>
            </w:r>
            <w:r w:rsidR="0098594F" w:rsidRPr="00C85D03">
              <w:rPr>
                <w:rFonts w:asciiTheme="majorHAnsi" w:hAnsiTheme="majorHAnsi" w:cstheme="majorHAnsi"/>
                <w:sz w:val="20"/>
                <w:szCs w:val="20"/>
              </w:rPr>
              <w:t>youth hotline, marketing and education)</w:t>
            </w:r>
            <w:r w:rsidRPr="00C85D03">
              <w:rPr>
                <w:rFonts w:asciiTheme="majorHAnsi" w:hAnsiTheme="majorHAnsi" w:cstheme="majorHAnsi"/>
                <w:sz w:val="20"/>
                <w:szCs w:val="20"/>
              </w:rPr>
              <w:t>; HAI fosters skills for care at delivery and PNC, Catalpa</w:t>
            </w:r>
            <w:r w:rsidR="0086778A" w:rsidRPr="00C85D03">
              <w:rPr>
                <w:rFonts w:asciiTheme="majorHAnsi" w:hAnsiTheme="majorHAnsi" w:cstheme="majorHAnsi"/>
                <w:sz w:val="20"/>
                <w:szCs w:val="20"/>
              </w:rPr>
              <w:t xml:space="preserve"> International and </w:t>
            </w:r>
            <w:r w:rsidR="002F4F2B" w:rsidRPr="00C85D03">
              <w:rPr>
                <w:rFonts w:asciiTheme="majorHAnsi" w:hAnsiTheme="majorHAnsi" w:cstheme="majorHAnsi"/>
                <w:sz w:val="20"/>
                <w:szCs w:val="20"/>
              </w:rPr>
              <w:t>HAI</w:t>
            </w:r>
            <w:r w:rsidR="0086778A" w:rsidRPr="00C85D03">
              <w:rPr>
                <w:rFonts w:asciiTheme="majorHAnsi" w:hAnsiTheme="majorHAnsi" w:cstheme="majorHAnsi"/>
                <w:sz w:val="20"/>
                <w:szCs w:val="20"/>
              </w:rPr>
              <w:t xml:space="preserve"> </w:t>
            </w:r>
            <w:r w:rsidRPr="00C85D03">
              <w:rPr>
                <w:rFonts w:asciiTheme="majorHAnsi" w:hAnsiTheme="majorHAnsi" w:cstheme="majorHAnsi"/>
                <w:sz w:val="20"/>
                <w:szCs w:val="20"/>
              </w:rPr>
              <w:t xml:space="preserve">(Liga Inan) promotes uptake of services across much of the continuum of care; RACS (ATLASS II) develops doctors’ expertise in Family Medicine (including RMNCH care) and in other key specialties; </w:t>
            </w:r>
            <w:r w:rsidR="00B36AA1" w:rsidRPr="00C85D03">
              <w:rPr>
                <w:rFonts w:asciiTheme="majorHAnsi" w:hAnsiTheme="majorHAnsi" w:cstheme="majorHAnsi"/>
                <w:sz w:val="20"/>
                <w:szCs w:val="20"/>
              </w:rPr>
              <w:t>and the health transport program</w:t>
            </w:r>
            <w:r w:rsidRPr="00C85D03">
              <w:rPr>
                <w:rFonts w:asciiTheme="majorHAnsi" w:hAnsiTheme="majorHAnsi" w:cstheme="majorHAnsi"/>
                <w:sz w:val="20"/>
                <w:szCs w:val="20"/>
              </w:rPr>
              <w:t xml:space="preserve"> improves access to maternal and neonatal care in emergencies.</w:t>
            </w:r>
          </w:p>
        </w:tc>
        <w:tc>
          <w:tcPr>
            <w:tcW w:w="0" w:type="auto"/>
            <w:vAlign w:val="center"/>
          </w:tcPr>
          <w:p w14:paraId="317A9E1B" w14:textId="77777777" w:rsidR="000D259B" w:rsidRDefault="00DA31F6">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A, B, N</w:t>
            </w:r>
          </w:p>
        </w:tc>
      </w:tr>
      <w:tr w:rsidR="00051C77" w:rsidRPr="00267B79" w14:paraId="05BFDCE8" w14:textId="77777777">
        <w:tc>
          <w:tcPr>
            <w:tcW w:w="0" w:type="auto"/>
          </w:tcPr>
          <w:p w14:paraId="32D160E2" w14:textId="77777777" w:rsidR="000D259B" w:rsidRDefault="005E23E8">
            <w:pPr>
              <w:spacing w:after="120"/>
              <w:jc w:val="both"/>
              <w:rPr>
                <w:rFonts w:asciiTheme="majorHAnsi" w:hAnsiTheme="majorHAnsi" w:cstheme="majorHAnsi"/>
                <w:color w:val="26282A"/>
                <w:sz w:val="20"/>
                <w:szCs w:val="20"/>
                <w:shd w:val="clear" w:color="auto" w:fill="FFFFFF"/>
              </w:rPr>
            </w:pPr>
            <w:r w:rsidRPr="00C85D03">
              <w:rPr>
                <w:rFonts w:asciiTheme="majorHAnsi" w:hAnsiTheme="majorHAnsi" w:cstheme="majorHAnsi"/>
                <w:sz w:val="20"/>
                <w:szCs w:val="20"/>
              </w:rPr>
              <w:t xml:space="preserve">Program activities are necessary but not sufficient to ensure </w:t>
            </w:r>
            <w:r w:rsidRPr="00C85D03">
              <w:rPr>
                <w:rFonts w:asciiTheme="majorHAnsi" w:hAnsiTheme="majorHAnsi" w:cstheme="majorHAnsi"/>
                <w:sz w:val="20"/>
                <w:szCs w:val="20"/>
                <w:lang w:eastAsia="en-AU"/>
              </w:rPr>
              <w:t>HF readiness for RMNCH services and foster their increased use.</w:t>
            </w:r>
            <w:r w:rsidR="009F25B7" w:rsidRPr="00C85D03">
              <w:rPr>
                <w:rStyle w:val="FootnoteReference"/>
                <w:rFonts w:asciiTheme="majorHAnsi" w:hAnsiTheme="majorHAnsi" w:cstheme="majorHAnsi"/>
                <w:sz w:val="20"/>
                <w:szCs w:val="20"/>
                <w:lang w:eastAsia="en-AU"/>
              </w:rPr>
              <w:footnoteReference w:id="45"/>
            </w:r>
            <w:r w:rsidR="00A93667" w:rsidRPr="00C85D03">
              <w:rPr>
                <w:rFonts w:asciiTheme="majorHAnsi" w:hAnsiTheme="majorHAnsi" w:cstheme="majorHAnsi"/>
                <w:sz w:val="20"/>
                <w:szCs w:val="20"/>
                <w:lang w:eastAsia="en-AU"/>
              </w:rPr>
              <w:t xml:space="preserve">  </w:t>
            </w:r>
            <w:r w:rsidRPr="00C85D03">
              <w:rPr>
                <w:rFonts w:asciiTheme="majorHAnsi" w:hAnsiTheme="majorHAnsi" w:cstheme="majorHAnsi"/>
                <w:sz w:val="20"/>
                <w:szCs w:val="20"/>
                <w:lang w:eastAsia="en-AU"/>
              </w:rPr>
              <w:t xml:space="preserve">Similarly, the TA component of the program, which responds to needs expressed by MOH, is necessary but not sufficient to ensure a robust ‘enabling environment’ within the health system. </w:t>
            </w:r>
            <w:r w:rsidRPr="00C85D03">
              <w:rPr>
                <w:rFonts w:asciiTheme="majorHAnsi" w:hAnsiTheme="majorHAnsi" w:cstheme="majorHAnsi"/>
                <w:sz w:val="20"/>
                <w:szCs w:val="20"/>
              </w:rPr>
              <w:t>Current program activities may or may not align well with strategies and plans that GOTL are currently developing for decentralization, HR management, EmONC</w:t>
            </w:r>
            <w:r w:rsidR="001F3BF6" w:rsidRPr="00C85D03">
              <w:rPr>
                <w:rFonts w:asciiTheme="majorHAnsi" w:hAnsiTheme="majorHAnsi" w:cstheme="majorHAnsi"/>
                <w:sz w:val="20"/>
                <w:szCs w:val="20"/>
              </w:rPr>
              <w:t>,</w:t>
            </w:r>
            <w:r w:rsidR="00B36AA1" w:rsidRPr="00C85D03">
              <w:rPr>
                <w:rFonts w:asciiTheme="majorHAnsi" w:hAnsiTheme="majorHAnsi" w:cstheme="majorHAnsi"/>
                <w:sz w:val="20"/>
                <w:szCs w:val="20"/>
              </w:rPr>
              <w:t xml:space="preserve"> etc.</w:t>
            </w:r>
          </w:p>
        </w:tc>
        <w:tc>
          <w:tcPr>
            <w:tcW w:w="0" w:type="auto"/>
            <w:vAlign w:val="center"/>
          </w:tcPr>
          <w:p w14:paraId="257E9FA9" w14:textId="77777777" w:rsidR="000D259B" w:rsidRDefault="000D259B">
            <w:pPr>
              <w:spacing w:after="120"/>
              <w:jc w:val="both"/>
              <w:rPr>
                <w:rFonts w:asciiTheme="majorHAnsi" w:hAnsiTheme="majorHAnsi" w:cstheme="majorHAnsi"/>
                <w:color w:val="0000FF"/>
                <w:sz w:val="20"/>
                <w:szCs w:val="20"/>
              </w:rPr>
            </w:pPr>
          </w:p>
        </w:tc>
      </w:tr>
      <w:tr w:rsidR="00DA31F6" w:rsidRPr="00267B79" w14:paraId="6526F875" w14:textId="77777777">
        <w:tc>
          <w:tcPr>
            <w:tcW w:w="0" w:type="auto"/>
          </w:tcPr>
          <w:p w14:paraId="2C8A60D6" w14:textId="3A47EF30" w:rsidR="000D259B" w:rsidRDefault="005E23E8">
            <w:pPr>
              <w:spacing w:after="120"/>
              <w:jc w:val="both"/>
              <w:rPr>
                <w:rFonts w:asciiTheme="majorHAnsi" w:hAnsiTheme="majorHAnsi" w:cstheme="majorHAnsi"/>
                <w:sz w:val="20"/>
                <w:szCs w:val="20"/>
                <w:lang w:eastAsia="en-AU"/>
              </w:rPr>
            </w:pPr>
            <w:r w:rsidRPr="005E23E8">
              <w:rPr>
                <w:rFonts w:asciiTheme="majorHAnsi" w:hAnsiTheme="majorHAnsi" w:cstheme="majorHAnsi"/>
                <w:color w:val="26282A"/>
                <w:sz w:val="20"/>
                <w:szCs w:val="20"/>
                <w:shd w:val="clear" w:color="auto" w:fill="FFFFFF"/>
              </w:rPr>
              <w:t xml:space="preserve">Within the program, individual projects’ indicators were not well aligned with the sector M&amp;E framework, which was work in progress when the projects were designed. </w:t>
            </w:r>
            <w:r w:rsidRPr="005E23E8">
              <w:rPr>
                <w:rFonts w:asciiTheme="majorHAnsi" w:hAnsiTheme="majorHAnsi"/>
                <w:sz w:val="20"/>
              </w:rPr>
              <w:t xml:space="preserve">MOH is now calling for PHD </w:t>
            </w:r>
            <w:r w:rsidR="0098594F">
              <w:rPr>
                <w:rFonts w:asciiTheme="majorHAnsi" w:hAnsiTheme="majorHAnsi"/>
                <w:sz w:val="20"/>
              </w:rPr>
              <w:t>(and all Donor Partner</w:t>
            </w:r>
            <w:r w:rsidR="00465820">
              <w:rPr>
                <w:rFonts w:asciiTheme="majorHAnsi" w:hAnsiTheme="majorHAnsi"/>
                <w:sz w:val="20"/>
              </w:rPr>
              <w:t>s</w:t>
            </w:r>
            <w:r w:rsidR="0098594F">
              <w:rPr>
                <w:rFonts w:asciiTheme="majorHAnsi" w:hAnsiTheme="majorHAnsi"/>
                <w:sz w:val="20"/>
              </w:rPr>
              <w:t xml:space="preserve">) </w:t>
            </w:r>
            <w:r w:rsidRPr="005E23E8">
              <w:rPr>
                <w:rFonts w:asciiTheme="majorHAnsi" w:hAnsiTheme="majorHAnsi"/>
                <w:sz w:val="20"/>
              </w:rPr>
              <w:t>to harmonise allocation and release of funds, communicate regularly with MOH and conduct integrated supervision of the PHD program.</w:t>
            </w:r>
          </w:p>
        </w:tc>
        <w:tc>
          <w:tcPr>
            <w:tcW w:w="0" w:type="auto"/>
            <w:vAlign w:val="center"/>
          </w:tcPr>
          <w:p w14:paraId="53B1C031" w14:textId="77777777" w:rsidR="000D259B" w:rsidRDefault="00DA31F6">
            <w:pPr>
              <w:spacing w:after="120"/>
              <w:jc w:val="both"/>
              <w:rPr>
                <w:rFonts w:asciiTheme="majorHAnsi" w:hAnsiTheme="majorHAnsi" w:cstheme="majorHAnsi"/>
                <w:color w:val="0000FF"/>
                <w:sz w:val="20"/>
                <w:szCs w:val="20"/>
              </w:rPr>
            </w:pPr>
            <w:r w:rsidRPr="00267B79">
              <w:rPr>
                <w:rFonts w:asciiTheme="majorHAnsi" w:hAnsiTheme="majorHAnsi" w:cstheme="majorHAnsi"/>
                <w:color w:val="0000FF"/>
                <w:sz w:val="20"/>
                <w:szCs w:val="20"/>
              </w:rPr>
              <w:t>A, B</w:t>
            </w:r>
          </w:p>
        </w:tc>
      </w:tr>
    </w:tbl>
    <w:p w14:paraId="2316867C" w14:textId="77777777" w:rsidR="000D259B" w:rsidRDefault="000D259B">
      <w:pPr>
        <w:jc w:val="both"/>
        <w:rPr>
          <w:rFonts w:asciiTheme="majorHAnsi" w:hAnsiTheme="majorHAnsi" w:cs="Calibri Light"/>
          <w:color w:val="000000"/>
        </w:rPr>
      </w:pPr>
    </w:p>
    <w:p w14:paraId="3231FEB1" w14:textId="77777777" w:rsidR="000D259B" w:rsidRDefault="000D259B">
      <w:pPr>
        <w:jc w:val="both"/>
        <w:rPr>
          <w:rFonts w:asciiTheme="majorHAnsi" w:hAnsiTheme="majorHAnsi" w:cstheme="majorHAnsi"/>
          <w:b/>
          <w:sz w:val="20"/>
          <w:szCs w:val="20"/>
        </w:rPr>
      </w:pPr>
    </w:p>
    <w:p w14:paraId="43049641" w14:textId="77777777" w:rsidR="000D259B" w:rsidRDefault="00DA31F6">
      <w:pPr>
        <w:pStyle w:val="Heading2"/>
        <w:jc w:val="both"/>
        <w:rPr>
          <w:rFonts w:cstheme="majorHAnsi"/>
          <w:sz w:val="20"/>
          <w:szCs w:val="20"/>
        </w:rPr>
      </w:pPr>
      <w:bookmarkStart w:id="16" w:name="_Toc378838733"/>
      <w:r w:rsidRPr="00267B79">
        <w:t xml:space="preserve">3: </w:t>
      </w:r>
      <w:r w:rsidR="00E41D8B" w:rsidRPr="00267B79">
        <w:t>E</w:t>
      </w:r>
      <w:r w:rsidRPr="00267B79">
        <w:t xml:space="preserve">xtent </w:t>
      </w:r>
      <w:r w:rsidR="00E41D8B" w:rsidRPr="00267B79">
        <w:t xml:space="preserve">to which </w:t>
      </w:r>
      <w:r w:rsidRPr="00267B79">
        <w:t xml:space="preserve">DFAT investments </w:t>
      </w:r>
      <w:r w:rsidR="00E41D8B" w:rsidRPr="00267B79">
        <w:t xml:space="preserve">have </w:t>
      </w:r>
      <w:r w:rsidRPr="00267B79">
        <w:t xml:space="preserve">led to increased utilisation of </w:t>
      </w:r>
      <w:r w:rsidR="008626A1" w:rsidRPr="00267B79">
        <w:t>RMNCH</w:t>
      </w:r>
      <w:r w:rsidRPr="00267B79">
        <w:t xml:space="preserve"> services</w:t>
      </w:r>
      <w:bookmarkEnd w:id="16"/>
      <w:r w:rsidR="00B36AA1" w:rsidRPr="00B36AA1">
        <w:rPr>
          <w:rFonts w:cstheme="majorHAnsi"/>
          <w:sz w:val="20"/>
          <w:szCs w:val="20"/>
        </w:rPr>
        <w:t xml:space="preserve"> </w:t>
      </w:r>
    </w:p>
    <w:tbl>
      <w:tblPr>
        <w:tblW w:w="0" w:type="auto"/>
        <w:tblLook w:val="00A0" w:firstRow="1" w:lastRow="0" w:firstColumn="1" w:lastColumn="0" w:noHBand="0" w:noVBand="0"/>
      </w:tblPr>
      <w:tblGrid>
        <w:gridCol w:w="7388"/>
        <w:gridCol w:w="912"/>
      </w:tblGrid>
      <w:tr w:rsidR="00DA31F6" w:rsidRPr="00267B79" w14:paraId="2B8A2F51" w14:textId="77777777">
        <w:tc>
          <w:tcPr>
            <w:tcW w:w="0" w:type="auto"/>
          </w:tcPr>
          <w:p w14:paraId="2205202B" w14:textId="77777777" w:rsidR="000D259B" w:rsidRDefault="000D259B">
            <w:pPr>
              <w:jc w:val="both"/>
              <w:rPr>
                <w:rFonts w:asciiTheme="majorHAnsi" w:hAnsiTheme="majorHAnsi" w:cstheme="majorHAnsi"/>
                <w:b/>
                <w:i/>
                <w:sz w:val="20"/>
                <w:szCs w:val="20"/>
                <w:lang w:eastAsia="en-AU"/>
              </w:rPr>
            </w:pPr>
          </w:p>
        </w:tc>
        <w:tc>
          <w:tcPr>
            <w:tcW w:w="0" w:type="auto"/>
            <w:vAlign w:val="center"/>
          </w:tcPr>
          <w:p w14:paraId="39AFE252" w14:textId="77777777" w:rsidR="000D259B" w:rsidRDefault="00B36AA1">
            <w:pPr>
              <w:jc w:val="both"/>
              <w:rPr>
                <w:rFonts w:asciiTheme="majorHAnsi" w:hAnsiTheme="majorHAnsi" w:cstheme="majorHAnsi"/>
                <w:b/>
                <w:color w:val="0000FF"/>
                <w:sz w:val="20"/>
                <w:szCs w:val="20"/>
              </w:rPr>
            </w:pPr>
            <w:r w:rsidRPr="00B36AA1">
              <w:rPr>
                <w:rFonts w:asciiTheme="majorHAnsi" w:hAnsiTheme="majorHAnsi" w:cstheme="majorHAnsi"/>
                <w:b/>
                <w:color w:val="0000FF"/>
                <w:sz w:val="20"/>
                <w:szCs w:val="20"/>
              </w:rPr>
              <w:t>Sources</w:t>
            </w:r>
          </w:p>
        </w:tc>
      </w:tr>
      <w:tr w:rsidR="00980069" w:rsidRPr="00267B79" w14:paraId="11C9612B" w14:textId="77777777">
        <w:tc>
          <w:tcPr>
            <w:tcW w:w="0" w:type="auto"/>
          </w:tcPr>
          <w:p w14:paraId="6F4613DC" w14:textId="77777777" w:rsidR="000D259B" w:rsidRDefault="005E23E8" w:rsidP="00B006BA">
            <w:pPr>
              <w:spacing w:after="120"/>
              <w:jc w:val="both"/>
              <w:rPr>
                <w:rFonts w:asciiTheme="majorHAnsi" w:hAnsiTheme="majorHAnsi" w:cstheme="majorHAnsi"/>
                <w:sz w:val="20"/>
                <w:szCs w:val="20"/>
                <w:lang w:eastAsia="en-AU"/>
              </w:rPr>
            </w:pPr>
            <w:r w:rsidRPr="005E23E8">
              <w:rPr>
                <w:rFonts w:asciiTheme="majorHAnsi" w:hAnsiTheme="majorHAnsi" w:cstheme="majorHAnsi"/>
                <w:b/>
                <w:sz w:val="20"/>
                <w:szCs w:val="20"/>
                <w:lang w:eastAsia="en-AU"/>
              </w:rPr>
              <w:t>General</w:t>
            </w:r>
            <w:r w:rsidRPr="005E23E8">
              <w:rPr>
                <w:rFonts w:asciiTheme="majorHAnsi" w:hAnsiTheme="majorHAnsi" w:cstheme="majorHAnsi"/>
                <w:sz w:val="20"/>
                <w:szCs w:val="20"/>
                <w:lang w:eastAsia="en-AU"/>
              </w:rPr>
              <w:t>: Utilisation of RMNCH services is the focus of EOPO1 in</w:t>
            </w:r>
            <w:r w:rsidR="00B36AA1" w:rsidRPr="00B36AA1">
              <w:rPr>
                <w:rFonts w:asciiTheme="majorHAnsi" w:hAnsiTheme="majorHAnsi" w:cstheme="majorHAnsi"/>
                <w:sz w:val="20"/>
                <w:szCs w:val="20"/>
                <w:lang w:eastAsia="en-AU"/>
              </w:rPr>
              <w:t xml:space="preserve"> the DFAT strategic framework for 2015-18 (see Annex 6</w:t>
            </w:r>
            <w:r w:rsidR="00B006BA">
              <w:rPr>
                <w:rFonts w:asciiTheme="majorHAnsi" w:hAnsiTheme="majorHAnsi" w:cstheme="majorHAnsi"/>
                <w:sz w:val="20"/>
                <w:szCs w:val="20"/>
                <w:lang w:eastAsia="en-AU"/>
              </w:rPr>
              <w:t>).</w:t>
            </w:r>
            <w:r w:rsidR="00333F9D">
              <w:rPr>
                <w:rStyle w:val="FootnoteReference"/>
                <w:rFonts w:asciiTheme="majorHAnsi" w:hAnsiTheme="majorHAnsi" w:cstheme="majorHAnsi"/>
                <w:sz w:val="20"/>
                <w:szCs w:val="20"/>
                <w:lang w:eastAsia="en-AU"/>
              </w:rPr>
              <w:footnoteReference w:id="46"/>
            </w:r>
            <w:r w:rsidR="00B36AA1" w:rsidRPr="00B36AA1">
              <w:rPr>
                <w:rFonts w:asciiTheme="majorHAnsi" w:hAnsiTheme="majorHAnsi" w:cstheme="majorHAnsi"/>
                <w:sz w:val="20"/>
                <w:szCs w:val="20"/>
                <w:lang w:eastAsia="en-AU"/>
              </w:rPr>
              <w:t xml:space="preserve"> As shown in Annex 6, the 2016 targets for this EOPO were fully or partially met. </w:t>
            </w:r>
          </w:p>
        </w:tc>
        <w:tc>
          <w:tcPr>
            <w:tcW w:w="0" w:type="auto"/>
            <w:vAlign w:val="center"/>
          </w:tcPr>
          <w:p w14:paraId="6E74CC2A" w14:textId="77777777" w:rsidR="000D259B" w:rsidRDefault="000D259B">
            <w:pPr>
              <w:spacing w:after="120"/>
              <w:jc w:val="both"/>
              <w:rPr>
                <w:rFonts w:asciiTheme="majorHAnsi" w:hAnsiTheme="majorHAnsi" w:cstheme="majorHAnsi"/>
                <w:color w:val="0000FF"/>
                <w:sz w:val="20"/>
                <w:szCs w:val="20"/>
              </w:rPr>
            </w:pPr>
          </w:p>
        </w:tc>
      </w:tr>
      <w:tr w:rsidR="00DA31F6" w:rsidRPr="00267B79" w14:paraId="2F6E89EA" w14:textId="77777777">
        <w:tc>
          <w:tcPr>
            <w:tcW w:w="0" w:type="auto"/>
          </w:tcPr>
          <w:p w14:paraId="75A17679" w14:textId="5E6898AD" w:rsidR="000D259B" w:rsidRPr="00C85D03" w:rsidRDefault="004B3B8F" w:rsidP="00147913">
            <w:pPr>
              <w:spacing w:after="120"/>
              <w:jc w:val="both"/>
              <w:rPr>
                <w:rFonts w:asciiTheme="majorHAnsi" w:hAnsiTheme="majorHAnsi" w:cstheme="majorHAnsi"/>
                <w:sz w:val="20"/>
                <w:szCs w:val="20"/>
                <w:lang w:eastAsia="en-AU"/>
              </w:rPr>
            </w:pPr>
            <w:r w:rsidRPr="00C85D03">
              <w:rPr>
                <w:rFonts w:asciiTheme="majorHAnsi" w:hAnsiTheme="majorHAnsi" w:cstheme="majorHAnsi"/>
                <w:b/>
                <w:sz w:val="20"/>
                <w:szCs w:val="20"/>
                <w:lang w:eastAsia="en-AU"/>
              </w:rPr>
              <w:t>FP</w:t>
            </w:r>
            <w:r w:rsidRPr="00C85D03">
              <w:rPr>
                <w:rFonts w:asciiTheme="majorHAnsi" w:hAnsiTheme="majorHAnsi" w:cstheme="majorHAnsi"/>
                <w:sz w:val="20"/>
                <w:szCs w:val="20"/>
                <w:lang w:eastAsia="en-AU"/>
              </w:rPr>
              <w:t>: Th</w:t>
            </w:r>
            <w:r w:rsidR="00595EC7" w:rsidRPr="00C85D03">
              <w:rPr>
                <w:rFonts w:asciiTheme="majorHAnsi" w:hAnsiTheme="majorHAnsi" w:cstheme="majorHAnsi"/>
                <w:sz w:val="20"/>
                <w:szCs w:val="20"/>
                <w:lang w:eastAsia="en-AU"/>
              </w:rPr>
              <w:t xml:space="preserve">ere have been </w:t>
            </w:r>
            <w:r w:rsidRPr="00C85D03">
              <w:rPr>
                <w:rFonts w:asciiTheme="majorHAnsi" w:hAnsiTheme="majorHAnsi" w:cstheme="majorHAnsi"/>
                <w:sz w:val="20"/>
                <w:szCs w:val="20"/>
                <w:lang w:eastAsia="en-AU"/>
              </w:rPr>
              <w:t>improvements in use of FP and significant changes in method mix.</w:t>
            </w:r>
            <w:r w:rsidRPr="00C85D03">
              <w:rPr>
                <w:rStyle w:val="FootnoteReference"/>
                <w:rFonts w:asciiTheme="majorHAnsi" w:hAnsiTheme="majorHAnsi" w:cstheme="majorHAnsi"/>
                <w:sz w:val="20"/>
                <w:szCs w:val="20"/>
                <w:lang w:eastAsia="en-AU"/>
              </w:rPr>
              <w:footnoteReference w:id="47"/>
            </w:r>
            <w:r w:rsidRPr="00C85D03">
              <w:rPr>
                <w:rFonts w:asciiTheme="majorHAnsi" w:hAnsiTheme="majorHAnsi" w:cstheme="majorHAnsi"/>
                <w:sz w:val="20"/>
                <w:szCs w:val="20"/>
                <w:lang w:eastAsia="en-AU"/>
              </w:rPr>
              <w:t xml:space="preserve">  Much of this is likely due to MSTL efforts in partnership with MOH</w:t>
            </w:r>
            <w:r w:rsidR="0098594F" w:rsidRPr="00C85D03">
              <w:rPr>
                <w:rFonts w:asciiTheme="majorHAnsi" w:hAnsiTheme="majorHAnsi" w:cstheme="majorHAnsi"/>
                <w:sz w:val="20"/>
                <w:szCs w:val="20"/>
                <w:lang w:eastAsia="en-AU"/>
              </w:rPr>
              <w:t xml:space="preserve"> and demand </w:t>
            </w:r>
            <w:r w:rsidR="00147913" w:rsidRPr="00C85D03">
              <w:rPr>
                <w:rFonts w:asciiTheme="majorHAnsi" w:hAnsiTheme="majorHAnsi" w:cstheme="majorHAnsi"/>
                <w:sz w:val="20"/>
                <w:szCs w:val="20"/>
                <w:lang w:eastAsia="en-AU"/>
              </w:rPr>
              <w:t>generation by</w:t>
            </w:r>
            <w:r w:rsidR="0098594F" w:rsidRPr="00C85D03">
              <w:rPr>
                <w:rFonts w:asciiTheme="majorHAnsi" w:hAnsiTheme="majorHAnsi" w:cstheme="majorHAnsi"/>
                <w:sz w:val="20"/>
                <w:szCs w:val="20"/>
                <w:lang w:eastAsia="en-AU"/>
              </w:rPr>
              <w:t xml:space="preserve"> MSTL educators</w:t>
            </w:r>
            <w:r w:rsidR="00C5482D">
              <w:rPr>
                <w:rStyle w:val="FootnoteReference"/>
                <w:rFonts w:asciiTheme="majorHAnsi" w:hAnsiTheme="majorHAnsi" w:cstheme="majorHAnsi"/>
                <w:sz w:val="20"/>
                <w:szCs w:val="20"/>
                <w:lang w:eastAsia="en-AU"/>
              </w:rPr>
              <w:footnoteReference w:id="48"/>
            </w:r>
            <w:r w:rsidR="00147913">
              <w:rPr>
                <w:rFonts w:asciiTheme="majorHAnsi" w:hAnsiTheme="majorHAnsi" w:cstheme="majorHAnsi"/>
                <w:sz w:val="20"/>
                <w:szCs w:val="20"/>
                <w:lang w:eastAsia="en-AU"/>
              </w:rPr>
              <w:t xml:space="preserve">.  </w:t>
            </w:r>
            <w:r w:rsidR="00192E6B" w:rsidRPr="00C85D03">
              <w:rPr>
                <w:rFonts w:asciiTheme="majorHAnsi" w:hAnsiTheme="majorHAnsi" w:cstheme="majorHAnsi"/>
                <w:sz w:val="20"/>
                <w:szCs w:val="20"/>
                <w:lang w:eastAsia="en-AU"/>
              </w:rPr>
              <w:t xml:space="preserve">However, mother support groups (MSG) are also active </w:t>
            </w:r>
            <w:r w:rsidR="00192E6B" w:rsidRPr="00C85D03">
              <w:rPr>
                <w:rFonts w:asciiTheme="majorHAnsi" w:hAnsiTheme="majorHAnsi" w:cstheme="majorHAnsi"/>
                <w:sz w:val="20"/>
                <w:szCs w:val="20"/>
                <w:lang w:eastAsia="en-AU"/>
              </w:rPr>
              <w:lastRenderedPageBreak/>
              <w:t>in raising awareness and stimulating demand for services including FP.</w:t>
            </w:r>
            <w:r w:rsidR="00192E6B" w:rsidRPr="00C85D03">
              <w:rPr>
                <w:rStyle w:val="FootnoteReference"/>
                <w:rFonts w:asciiTheme="majorHAnsi" w:hAnsiTheme="majorHAnsi" w:cstheme="majorHAnsi"/>
                <w:sz w:val="20"/>
                <w:szCs w:val="20"/>
                <w:lang w:eastAsia="en-AU"/>
              </w:rPr>
              <w:footnoteReference w:id="49"/>
            </w:r>
            <w:r w:rsidR="00192E6B" w:rsidRPr="00C85D03">
              <w:rPr>
                <w:rFonts w:asciiTheme="majorHAnsi" w:hAnsiTheme="majorHAnsi" w:cstheme="majorHAnsi"/>
                <w:sz w:val="20"/>
                <w:szCs w:val="20"/>
                <w:lang w:eastAsia="en-AU"/>
              </w:rPr>
              <w:t xml:space="preserve">  Despite progress, it is still difficult for single women to access FP owing to community norms and/or the personal values and attitudes of HF staff.</w:t>
            </w:r>
            <w:r w:rsidR="00C85D03">
              <w:rPr>
                <w:rFonts w:asciiTheme="majorHAnsi" w:hAnsiTheme="majorHAnsi" w:cstheme="majorHAnsi"/>
                <w:sz w:val="20"/>
                <w:szCs w:val="20"/>
                <w:lang w:eastAsia="en-AU"/>
              </w:rPr>
              <w:t xml:space="preserve"> </w:t>
            </w:r>
            <w:r w:rsidR="00196273" w:rsidRPr="00C85D03">
              <w:rPr>
                <w:rFonts w:asciiTheme="majorHAnsi" w:hAnsiTheme="majorHAnsi" w:cstheme="majorHAnsi"/>
                <w:sz w:val="20"/>
                <w:szCs w:val="20"/>
                <w:lang w:eastAsia="en-AU"/>
              </w:rPr>
              <w:t xml:space="preserve"> </w:t>
            </w:r>
            <w:r w:rsidR="00196273" w:rsidRPr="00147913">
              <w:rPr>
                <w:rFonts w:asciiTheme="majorHAnsi" w:hAnsiTheme="majorHAnsi" w:cstheme="majorHAnsi"/>
                <w:sz w:val="20"/>
                <w:szCs w:val="20"/>
                <w:lang w:eastAsia="en-AU"/>
              </w:rPr>
              <w:t xml:space="preserve">In addition, MSTL achieved expectations in other indicators, </w:t>
            </w:r>
            <w:r w:rsidR="00147913" w:rsidRPr="00147913">
              <w:rPr>
                <w:rFonts w:asciiTheme="majorHAnsi" w:hAnsiTheme="majorHAnsi" w:cstheme="majorHAnsi"/>
                <w:sz w:val="20"/>
                <w:szCs w:val="20"/>
                <w:lang w:eastAsia="en-AU"/>
              </w:rPr>
              <w:t>particularly in the efforts to generate demand for SRH and fam</w:t>
            </w:r>
            <w:r w:rsidR="00147913">
              <w:rPr>
                <w:rFonts w:asciiTheme="majorHAnsi" w:hAnsiTheme="majorHAnsi" w:cstheme="majorHAnsi"/>
                <w:sz w:val="20"/>
                <w:szCs w:val="20"/>
                <w:lang w:eastAsia="en-AU"/>
              </w:rPr>
              <w:t xml:space="preserve">ily planning services.  In </w:t>
            </w:r>
            <w:r w:rsidR="00147913" w:rsidRPr="00147913">
              <w:rPr>
                <w:rFonts w:asciiTheme="majorHAnsi" w:hAnsiTheme="majorHAnsi" w:cstheme="majorHAnsi"/>
                <w:sz w:val="20"/>
                <w:szCs w:val="20"/>
                <w:lang w:eastAsia="en-AU"/>
              </w:rPr>
              <w:t xml:space="preserve">2015-16, MSTL reached 41% of </w:t>
            </w:r>
            <w:r w:rsidR="00147913" w:rsidRPr="00147913">
              <w:rPr>
                <w:rFonts w:asciiTheme="majorHAnsi" w:hAnsiTheme="majorHAnsi"/>
                <w:color w:val="000000"/>
                <w:sz w:val="20"/>
                <w:szCs w:val="20"/>
              </w:rPr>
              <w:t>callers under 20 years old to Youth hotline (</w:t>
            </w:r>
            <w:r w:rsidR="00147913" w:rsidRPr="00147913">
              <w:rPr>
                <w:rFonts w:asciiTheme="majorHAnsi" w:hAnsiTheme="majorHAnsi"/>
                <w:i/>
                <w:color w:val="000000"/>
                <w:sz w:val="20"/>
                <w:szCs w:val="20"/>
              </w:rPr>
              <w:t>Lina Foin Sae</w:t>
            </w:r>
            <w:r w:rsidR="00147913" w:rsidRPr="00147913">
              <w:rPr>
                <w:rFonts w:asciiTheme="majorHAnsi" w:hAnsiTheme="majorHAnsi"/>
                <w:color w:val="000000"/>
                <w:sz w:val="20"/>
                <w:szCs w:val="20"/>
              </w:rPr>
              <w:t>), who requested informati</w:t>
            </w:r>
            <w:r w:rsidR="00312840">
              <w:rPr>
                <w:rFonts w:asciiTheme="majorHAnsi" w:hAnsiTheme="majorHAnsi"/>
                <w:color w:val="000000"/>
                <w:sz w:val="20"/>
                <w:szCs w:val="20"/>
              </w:rPr>
              <w:t>on or counselling on FP and SRH</w:t>
            </w:r>
            <w:r w:rsidR="00147913" w:rsidRPr="00147913">
              <w:rPr>
                <w:rFonts w:asciiTheme="majorHAnsi" w:hAnsiTheme="majorHAnsi"/>
                <w:color w:val="000000"/>
                <w:sz w:val="20"/>
                <w:szCs w:val="20"/>
              </w:rPr>
              <w:t xml:space="preserve">.  Similarly, MSTL have provided small education sessions on family planning and sexual and reproductive health for 103,545 people, including people with disabilities.  </w:t>
            </w:r>
          </w:p>
        </w:tc>
        <w:tc>
          <w:tcPr>
            <w:tcW w:w="0" w:type="auto"/>
            <w:vAlign w:val="center"/>
          </w:tcPr>
          <w:p w14:paraId="4E4B0794" w14:textId="77777777" w:rsidR="000D259B" w:rsidRDefault="00192E6B">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lastRenderedPageBreak/>
              <w:t>B, E, G, J, L</w:t>
            </w:r>
          </w:p>
        </w:tc>
      </w:tr>
      <w:tr w:rsidR="00DA31F6" w:rsidRPr="00267B79" w14:paraId="410BD91B" w14:textId="77777777">
        <w:tc>
          <w:tcPr>
            <w:tcW w:w="0" w:type="auto"/>
          </w:tcPr>
          <w:p w14:paraId="3EADA4FC" w14:textId="77777777" w:rsidR="00601B61" w:rsidRPr="00601B61" w:rsidRDefault="004B3B8F" w:rsidP="00EF76B2">
            <w:pPr>
              <w:spacing w:after="120"/>
              <w:jc w:val="both"/>
              <w:rPr>
                <w:rFonts w:asciiTheme="majorHAnsi" w:hAnsiTheme="majorHAnsi" w:cstheme="majorHAnsi"/>
                <w:sz w:val="20"/>
                <w:szCs w:val="20"/>
                <w:lang w:eastAsia="en-AU"/>
              </w:rPr>
            </w:pPr>
            <w:r w:rsidRPr="004B3B8F">
              <w:rPr>
                <w:rFonts w:asciiTheme="majorHAnsi" w:hAnsiTheme="majorHAnsi" w:cstheme="majorHAnsi"/>
                <w:b/>
                <w:sz w:val="20"/>
                <w:szCs w:val="20"/>
                <w:lang w:eastAsia="en-AU"/>
              </w:rPr>
              <w:t>ANC</w:t>
            </w:r>
            <w:r w:rsidRPr="004B3B8F">
              <w:rPr>
                <w:rFonts w:asciiTheme="majorHAnsi" w:hAnsiTheme="majorHAnsi" w:cstheme="majorHAnsi"/>
                <w:sz w:val="20"/>
                <w:szCs w:val="20"/>
                <w:lang w:eastAsia="en-AU"/>
              </w:rPr>
              <w:t xml:space="preserve">: Routine data indicate </w:t>
            </w:r>
            <w:r w:rsidRPr="00DA178F">
              <w:rPr>
                <w:rFonts w:asciiTheme="majorHAnsi" w:hAnsiTheme="majorHAnsi" w:cstheme="majorHAnsi"/>
                <w:sz w:val="20"/>
                <w:szCs w:val="20"/>
                <w:lang w:eastAsia="en-AU"/>
              </w:rPr>
              <w:t xml:space="preserve">that </w:t>
            </w:r>
            <w:r w:rsidR="00A34EA5" w:rsidRPr="00DA178F">
              <w:rPr>
                <w:rFonts w:asciiTheme="majorHAnsi" w:hAnsiTheme="majorHAnsi" w:cstheme="majorHAnsi"/>
                <w:sz w:val="20"/>
                <w:szCs w:val="20"/>
                <w:lang w:eastAsia="en-AU"/>
              </w:rPr>
              <w:t xml:space="preserve">between 2009 and 2016 ANC1 </w:t>
            </w:r>
            <w:r w:rsidR="00DA178F">
              <w:rPr>
                <w:rFonts w:asciiTheme="majorHAnsi" w:hAnsiTheme="majorHAnsi" w:cstheme="majorHAnsi"/>
                <w:sz w:val="20"/>
                <w:szCs w:val="20"/>
                <w:lang w:eastAsia="en-AU"/>
              </w:rPr>
              <w:t xml:space="preserve">increased </w:t>
            </w:r>
            <w:r w:rsidRPr="00DA178F">
              <w:rPr>
                <w:rFonts w:asciiTheme="majorHAnsi" w:hAnsiTheme="majorHAnsi" w:cstheme="majorHAnsi"/>
                <w:sz w:val="20"/>
                <w:szCs w:val="20"/>
                <w:lang w:eastAsia="en-AU"/>
              </w:rPr>
              <w:t xml:space="preserve">from </w:t>
            </w:r>
            <w:r w:rsidR="00A34EA5" w:rsidRPr="00DA178F">
              <w:rPr>
                <w:rFonts w:asciiTheme="majorHAnsi" w:hAnsiTheme="majorHAnsi" w:cstheme="majorHAnsi"/>
                <w:sz w:val="20"/>
                <w:szCs w:val="20"/>
                <w:lang w:eastAsia="en-AU"/>
              </w:rPr>
              <w:t>68% to 79% and ANC4 from 45% to 53%</w:t>
            </w:r>
            <w:r w:rsidRPr="00DA178F">
              <w:rPr>
                <w:rFonts w:asciiTheme="majorHAnsi" w:hAnsiTheme="majorHAnsi" w:cstheme="majorHAnsi"/>
                <w:sz w:val="20"/>
                <w:szCs w:val="20"/>
                <w:lang w:eastAsia="en-AU"/>
              </w:rPr>
              <w:t xml:space="preserve">, but the size of the gap between these indicators </w:t>
            </w:r>
            <w:r w:rsidR="00DA178F">
              <w:rPr>
                <w:rFonts w:asciiTheme="majorHAnsi" w:hAnsiTheme="majorHAnsi" w:cstheme="majorHAnsi"/>
                <w:sz w:val="20"/>
                <w:szCs w:val="20"/>
                <w:lang w:eastAsia="en-AU"/>
              </w:rPr>
              <w:t>did</w:t>
            </w:r>
            <w:r w:rsidRPr="00DA178F">
              <w:rPr>
                <w:rFonts w:asciiTheme="majorHAnsi" w:hAnsiTheme="majorHAnsi" w:cstheme="majorHAnsi"/>
                <w:sz w:val="20"/>
                <w:szCs w:val="20"/>
                <w:lang w:eastAsia="en-AU"/>
              </w:rPr>
              <w:t>n’t really change.</w:t>
            </w:r>
            <w:r w:rsidR="00192E6B" w:rsidRPr="00DA178F">
              <w:rPr>
                <w:rStyle w:val="FootnoteReference"/>
                <w:rFonts w:asciiTheme="majorHAnsi" w:hAnsiTheme="majorHAnsi" w:cstheme="majorHAnsi"/>
                <w:sz w:val="20"/>
                <w:szCs w:val="20"/>
                <w:lang w:eastAsia="en-AU"/>
              </w:rPr>
              <w:footnoteReference w:id="50"/>
            </w:r>
            <w:r w:rsidRPr="004B3B8F">
              <w:rPr>
                <w:rFonts w:asciiTheme="majorHAnsi" w:hAnsiTheme="majorHAnsi" w:cstheme="majorHAnsi"/>
                <w:sz w:val="20"/>
                <w:szCs w:val="20"/>
                <w:lang w:eastAsia="en-AU"/>
              </w:rPr>
              <w:t xml:space="preserve">  </w:t>
            </w:r>
            <w:r w:rsidR="00192E6B" w:rsidRPr="00EF76B2">
              <w:rPr>
                <w:rFonts w:asciiTheme="majorHAnsi" w:hAnsiTheme="majorHAnsi" w:cstheme="majorHAnsi"/>
                <w:sz w:val="20"/>
                <w:szCs w:val="20"/>
                <w:lang w:eastAsia="en-AU"/>
              </w:rPr>
              <w:t xml:space="preserve">The </w:t>
            </w:r>
            <w:r w:rsidR="00EF76B2" w:rsidRPr="00EF76B2">
              <w:rPr>
                <w:rFonts w:asciiTheme="majorHAnsi" w:hAnsiTheme="majorHAnsi" w:cstheme="majorHAnsi"/>
                <w:sz w:val="20"/>
                <w:szCs w:val="20"/>
                <w:lang w:eastAsia="en-AU"/>
              </w:rPr>
              <w:t xml:space="preserve">2016 TL DHS </w:t>
            </w:r>
            <w:r w:rsidR="00573889" w:rsidRPr="00EF76B2">
              <w:rPr>
                <w:rFonts w:asciiTheme="majorHAnsi" w:hAnsiTheme="majorHAnsi" w:cstheme="majorHAnsi"/>
                <w:sz w:val="20"/>
                <w:szCs w:val="20"/>
                <w:lang w:eastAsia="en-AU"/>
              </w:rPr>
              <w:t>results</w:t>
            </w:r>
            <w:r w:rsidR="00192E6B" w:rsidRPr="00192E6B">
              <w:rPr>
                <w:rFonts w:asciiTheme="majorHAnsi" w:hAnsiTheme="majorHAnsi" w:cstheme="majorHAnsi"/>
                <w:sz w:val="20"/>
                <w:szCs w:val="20"/>
                <w:lang w:eastAsia="en-AU"/>
              </w:rPr>
              <w:t>, by contrast, show no increase in ANC1 and a narrowing gap between ANC1 and ANC4.</w:t>
            </w:r>
            <w:r w:rsidR="00192E6B" w:rsidRPr="00192E6B">
              <w:rPr>
                <w:rStyle w:val="FootnoteReference"/>
                <w:rFonts w:asciiTheme="majorHAnsi" w:hAnsiTheme="majorHAnsi" w:cstheme="majorHAnsi"/>
                <w:sz w:val="20"/>
                <w:szCs w:val="20"/>
                <w:lang w:eastAsia="en-AU"/>
              </w:rPr>
              <w:footnoteReference w:id="51"/>
            </w:r>
            <w:r w:rsidR="00192E6B" w:rsidRPr="00192E6B">
              <w:rPr>
                <w:rFonts w:asciiTheme="majorHAnsi" w:hAnsiTheme="majorHAnsi" w:cstheme="majorHAnsi"/>
                <w:sz w:val="20"/>
                <w:szCs w:val="20"/>
                <w:lang w:eastAsia="en-AU"/>
              </w:rPr>
              <w:t xml:space="preserve">  </w:t>
            </w:r>
            <w:r w:rsidR="00601B61" w:rsidRPr="00601B61">
              <w:rPr>
                <w:rFonts w:asciiTheme="majorHAnsi" w:hAnsiTheme="majorHAnsi" w:cstheme="majorHAnsi"/>
                <w:sz w:val="20"/>
                <w:szCs w:val="20"/>
                <w:lang w:eastAsia="en-AU"/>
              </w:rPr>
              <w:t>Progress against ANC-related EOPO1 targets presents a mixed picture, with progress falling short of target values in three out of four instances (see Annex 6). Many factors affect ANC uptake, i.e., ease of access, perceptions of quality of care as well as awareness of ANC importance. Program interventions (e.g., Liga Inan) as well as other activities (e.g., MSGs) probably contributed to increased uptake.</w:t>
            </w:r>
          </w:p>
        </w:tc>
        <w:tc>
          <w:tcPr>
            <w:tcW w:w="0" w:type="auto"/>
            <w:vAlign w:val="center"/>
          </w:tcPr>
          <w:p w14:paraId="269F1C42" w14:textId="77777777" w:rsidR="000D259B" w:rsidRDefault="00192E6B">
            <w:pPr>
              <w:spacing w:after="120"/>
              <w:jc w:val="both"/>
              <w:rPr>
                <w:rFonts w:asciiTheme="majorHAnsi" w:hAnsiTheme="majorHAnsi" w:cstheme="majorHAnsi"/>
                <w:color w:val="0000FF"/>
                <w:sz w:val="20"/>
                <w:szCs w:val="20"/>
              </w:rPr>
            </w:pPr>
            <w:r w:rsidRPr="00192E6B">
              <w:rPr>
                <w:rFonts w:asciiTheme="majorHAnsi" w:hAnsiTheme="majorHAnsi" w:cstheme="majorHAnsi"/>
                <w:color w:val="0000FF"/>
                <w:sz w:val="20"/>
                <w:szCs w:val="20"/>
              </w:rPr>
              <w:t>A, B, E, G, L</w:t>
            </w:r>
          </w:p>
        </w:tc>
      </w:tr>
      <w:tr w:rsidR="00DA31F6" w:rsidRPr="00267B79" w14:paraId="0DDD379E" w14:textId="77777777">
        <w:tc>
          <w:tcPr>
            <w:tcW w:w="0" w:type="auto"/>
          </w:tcPr>
          <w:p w14:paraId="7E94C56F" w14:textId="365E7F63" w:rsidR="000D259B" w:rsidRDefault="00C6310F" w:rsidP="0057045D">
            <w:pPr>
              <w:spacing w:after="120"/>
              <w:jc w:val="both"/>
              <w:rPr>
                <w:rFonts w:asciiTheme="majorHAnsi" w:hAnsiTheme="majorHAnsi" w:cstheme="majorHAnsi"/>
                <w:sz w:val="20"/>
                <w:szCs w:val="20"/>
                <w:highlight w:val="red"/>
                <w:lang w:eastAsia="en-AU"/>
              </w:rPr>
            </w:pPr>
            <w:r w:rsidRPr="00165EE4">
              <w:rPr>
                <w:rFonts w:asciiTheme="majorHAnsi" w:hAnsiTheme="majorHAnsi" w:cstheme="majorHAnsi"/>
                <w:b/>
                <w:sz w:val="20"/>
                <w:szCs w:val="20"/>
                <w:lang w:eastAsia="en-AU"/>
              </w:rPr>
              <w:t>Care at delivery</w:t>
            </w:r>
            <w:r w:rsidRPr="00165EE4">
              <w:rPr>
                <w:rFonts w:asciiTheme="majorHAnsi" w:hAnsiTheme="majorHAnsi" w:cstheme="majorHAnsi"/>
                <w:sz w:val="20"/>
                <w:szCs w:val="20"/>
                <w:lang w:eastAsia="en-AU"/>
              </w:rPr>
              <w:t>: Based on both routine info</w:t>
            </w:r>
            <w:r w:rsidR="00B33A05" w:rsidRPr="00165EE4">
              <w:rPr>
                <w:rFonts w:asciiTheme="majorHAnsi" w:hAnsiTheme="majorHAnsi" w:cstheme="majorHAnsi"/>
                <w:sz w:val="20"/>
                <w:szCs w:val="20"/>
                <w:lang w:eastAsia="en-AU"/>
              </w:rPr>
              <w:t>rmation</w:t>
            </w:r>
            <w:r w:rsidRPr="00165EE4">
              <w:rPr>
                <w:rFonts w:asciiTheme="majorHAnsi" w:hAnsiTheme="majorHAnsi" w:cstheme="majorHAnsi"/>
                <w:sz w:val="20"/>
                <w:szCs w:val="20"/>
                <w:lang w:eastAsia="en-AU"/>
              </w:rPr>
              <w:t xml:space="preserve"> and DHS results, trends in deliveries with skilled attendants and in HFs are stronger than those for use of ANC. The relevant 2016 targets for EOPO1</w:t>
            </w:r>
            <w:r w:rsidR="00601B61" w:rsidRPr="00165EE4">
              <w:rPr>
                <w:rFonts w:asciiTheme="majorHAnsi" w:hAnsiTheme="majorHAnsi" w:cstheme="majorHAnsi"/>
                <w:sz w:val="20"/>
                <w:szCs w:val="20"/>
                <w:lang w:eastAsia="en-AU"/>
              </w:rPr>
              <w:t xml:space="preserve"> </w:t>
            </w:r>
            <w:r w:rsidR="00F220C4" w:rsidRPr="005E23E8">
              <w:rPr>
                <w:rFonts w:asciiTheme="majorHAnsi" w:hAnsiTheme="majorHAnsi" w:cstheme="majorHAnsi"/>
                <w:sz w:val="20"/>
                <w:szCs w:val="20"/>
                <w:lang w:eastAsia="en-AU"/>
              </w:rPr>
              <w:t>in</w:t>
            </w:r>
            <w:r w:rsidR="00F220C4" w:rsidRPr="00B36AA1">
              <w:rPr>
                <w:rFonts w:asciiTheme="majorHAnsi" w:hAnsiTheme="majorHAnsi" w:cstheme="majorHAnsi"/>
                <w:sz w:val="20"/>
                <w:szCs w:val="20"/>
                <w:lang w:eastAsia="en-AU"/>
              </w:rPr>
              <w:t xml:space="preserve"> the DFAT strategic fr</w:t>
            </w:r>
            <w:r w:rsidR="00F220C4">
              <w:rPr>
                <w:rFonts w:asciiTheme="majorHAnsi" w:hAnsiTheme="majorHAnsi" w:cstheme="majorHAnsi"/>
                <w:sz w:val="20"/>
                <w:szCs w:val="20"/>
                <w:lang w:eastAsia="en-AU"/>
              </w:rPr>
              <w:t xml:space="preserve">amework for 2015-18 </w:t>
            </w:r>
            <w:r w:rsidR="00601B61" w:rsidRPr="00165EE4">
              <w:rPr>
                <w:rFonts w:asciiTheme="majorHAnsi" w:hAnsiTheme="majorHAnsi" w:cstheme="majorHAnsi"/>
                <w:sz w:val="20"/>
                <w:szCs w:val="20"/>
                <w:lang w:eastAsia="en-AU"/>
              </w:rPr>
              <w:t>were mostly but not entirely met</w:t>
            </w:r>
            <w:r w:rsidR="0057045D">
              <w:rPr>
                <w:rFonts w:asciiTheme="majorHAnsi" w:hAnsiTheme="majorHAnsi" w:cstheme="majorHAnsi"/>
                <w:sz w:val="20"/>
                <w:szCs w:val="20"/>
                <w:lang w:eastAsia="en-AU"/>
              </w:rPr>
              <w:t xml:space="preserve"> </w:t>
            </w:r>
            <w:r w:rsidR="00601B61" w:rsidRPr="00165EE4">
              <w:rPr>
                <w:rFonts w:asciiTheme="majorHAnsi" w:hAnsiTheme="majorHAnsi" w:cstheme="majorHAnsi"/>
                <w:sz w:val="20"/>
                <w:szCs w:val="20"/>
                <w:lang w:eastAsia="en-AU"/>
              </w:rPr>
              <w:t>(see Annex 6). According to the Three Delays model, many factors affect uptake of care at delivery, i</w:t>
            </w:r>
            <w:r w:rsidR="00196273">
              <w:rPr>
                <w:rFonts w:asciiTheme="majorHAnsi" w:hAnsiTheme="majorHAnsi" w:cstheme="majorHAnsi"/>
                <w:sz w:val="20"/>
                <w:szCs w:val="20"/>
                <w:lang w:eastAsia="en-AU"/>
              </w:rPr>
              <w:t>.</w:t>
            </w:r>
            <w:r w:rsidR="00601B61" w:rsidRPr="00165EE4">
              <w:rPr>
                <w:rFonts w:asciiTheme="majorHAnsi" w:hAnsiTheme="majorHAnsi" w:cstheme="majorHAnsi"/>
                <w:sz w:val="20"/>
                <w:szCs w:val="20"/>
                <w:lang w:eastAsia="en-AU"/>
              </w:rPr>
              <w:t>e</w:t>
            </w:r>
            <w:r w:rsidR="00196273">
              <w:rPr>
                <w:rFonts w:asciiTheme="majorHAnsi" w:hAnsiTheme="majorHAnsi" w:cstheme="majorHAnsi"/>
                <w:sz w:val="20"/>
                <w:szCs w:val="20"/>
                <w:lang w:eastAsia="en-AU"/>
              </w:rPr>
              <w:t>.</w:t>
            </w:r>
            <w:r w:rsidR="00601B61" w:rsidRPr="00165EE4">
              <w:rPr>
                <w:rFonts w:asciiTheme="majorHAnsi" w:hAnsiTheme="majorHAnsi" w:cstheme="majorHAnsi"/>
                <w:sz w:val="20"/>
                <w:szCs w:val="20"/>
                <w:lang w:eastAsia="en-AU"/>
              </w:rPr>
              <w:t xml:space="preserve"> awareness of importance of skilled attendance and perceptions of quality of care (which affect the First Delay) as well as ease of access (which affects the Second Delay). Several program interventions (</w:t>
            </w:r>
            <w:r w:rsidR="00286892" w:rsidRPr="00165EE4">
              <w:rPr>
                <w:rFonts w:asciiTheme="majorHAnsi" w:hAnsiTheme="majorHAnsi" w:cstheme="majorHAnsi"/>
                <w:sz w:val="20"/>
                <w:szCs w:val="20"/>
                <w:lang w:eastAsia="en-AU"/>
              </w:rPr>
              <w:t>e.g. Liga Inan</w:t>
            </w:r>
            <w:r w:rsidR="00601B61" w:rsidRPr="00165EE4">
              <w:rPr>
                <w:rFonts w:asciiTheme="majorHAnsi" w:hAnsiTheme="majorHAnsi" w:cstheme="majorHAnsi"/>
                <w:sz w:val="20"/>
                <w:szCs w:val="20"/>
                <w:lang w:eastAsia="en-AU"/>
              </w:rPr>
              <w:t xml:space="preserve">), as well as other activities/facilities (e.g. MSGs and maternity waiting homes) have </w:t>
            </w:r>
            <w:r w:rsidR="00196273">
              <w:rPr>
                <w:rFonts w:asciiTheme="majorHAnsi" w:hAnsiTheme="majorHAnsi" w:cstheme="majorHAnsi"/>
                <w:sz w:val="20"/>
                <w:szCs w:val="20"/>
                <w:lang w:eastAsia="en-AU"/>
              </w:rPr>
              <w:t xml:space="preserve">also </w:t>
            </w:r>
            <w:r w:rsidR="00601B61" w:rsidRPr="00165EE4">
              <w:rPr>
                <w:rFonts w:asciiTheme="majorHAnsi" w:hAnsiTheme="majorHAnsi" w:cstheme="majorHAnsi"/>
                <w:sz w:val="20"/>
                <w:szCs w:val="20"/>
                <w:lang w:eastAsia="en-AU"/>
              </w:rPr>
              <w:t xml:space="preserve">probably contributed to increased uptake. </w:t>
            </w:r>
          </w:p>
        </w:tc>
        <w:tc>
          <w:tcPr>
            <w:tcW w:w="0" w:type="auto"/>
            <w:vAlign w:val="center"/>
          </w:tcPr>
          <w:p w14:paraId="2C67315B"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E, L, M</w:t>
            </w:r>
          </w:p>
        </w:tc>
      </w:tr>
      <w:tr w:rsidR="00DA31F6" w:rsidRPr="00267B79" w14:paraId="0910EBB2" w14:textId="77777777">
        <w:tc>
          <w:tcPr>
            <w:tcW w:w="0" w:type="auto"/>
          </w:tcPr>
          <w:p w14:paraId="7AAB6DC7" w14:textId="42A2379B" w:rsidR="000D259B" w:rsidRDefault="00C6310F" w:rsidP="00FC7C6A">
            <w:pPr>
              <w:spacing w:after="120"/>
              <w:jc w:val="both"/>
              <w:rPr>
                <w:rFonts w:asciiTheme="majorHAnsi" w:hAnsiTheme="majorHAnsi" w:cstheme="majorHAnsi"/>
                <w:sz w:val="20"/>
                <w:szCs w:val="20"/>
                <w:lang w:eastAsia="en-AU"/>
              </w:rPr>
            </w:pPr>
            <w:r w:rsidRPr="00C6310F">
              <w:rPr>
                <w:rFonts w:asciiTheme="majorHAnsi" w:hAnsiTheme="majorHAnsi" w:cstheme="majorHAnsi"/>
                <w:b/>
                <w:sz w:val="20"/>
                <w:szCs w:val="20"/>
                <w:lang w:eastAsia="en-AU"/>
              </w:rPr>
              <w:t>PNC</w:t>
            </w:r>
            <w:r w:rsidRPr="00C6310F">
              <w:rPr>
                <w:rFonts w:asciiTheme="majorHAnsi" w:hAnsiTheme="majorHAnsi" w:cstheme="majorHAnsi"/>
                <w:sz w:val="20"/>
                <w:szCs w:val="20"/>
                <w:lang w:eastAsia="en-AU"/>
              </w:rPr>
              <w:t xml:space="preserve">: </w:t>
            </w:r>
            <w:r w:rsidR="004B3B8F" w:rsidRPr="004B3B8F">
              <w:rPr>
                <w:rFonts w:asciiTheme="majorHAnsi" w:hAnsiTheme="majorHAnsi" w:cstheme="majorHAnsi"/>
                <w:sz w:val="20"/>
                <w:szCs w:val="20"/>
                <w:lang w:eastAsia="en-AU"/>
              </w:rPr>
              <w:t>DHS</w:t>
            </w:r>
            <w:r w:rsidR="00EB79F6">
              <w:rPr>
                <w:rFonts w:asciiTheme="majorHAnsi" w:hAnsiTheme="majorHAnsi" w:cstheme="majorHAnsi"/>
                <w:sz w:val="20"/>
                <w:szCs w:val="20"/>
                <w:lang w:eastAsia="en-AU"/>
              </w:rPr>
              <w:t xml:space="preserve"> </w:t>
            </w:r>
            <w:r w:rsidR="004B3B8F" w:rsidRPr="004B3B8F">
              <w:rPr>
                <w:rFonts w:asciiTheme="majorHAnsi" w:hAnsiTheme="majorHAnsi" w:cstheme="majorHAnsi"/>
                <w:sz w:val="20"/>
                <w:szCs w:val="20"/>
                <w:lang w:eastAsia="en-AU"/>
              </w:rPr>
              <w:t>results indicate a</w:t>
            </w:r>
            <w:r w:rsidR="00EB79F6">
              <w:rPr>
                <w:rFonts w:asciiTheme="majorHAnsi" w:hAnsiTheme="majorHAnsi" w:cstheme="majorHAnsi"/>
                <w:sz w:val="20"/>
                <w:szCs w:val="20"/>
                <w:lang w:eastAsia="en-AU"/>
              </w:rPr>
              <w:t>n</w:t>
            </w:r>
            <w:r w:rsidR="004B3B8F" w:rsidRPr="004B3B8F">
              <w:rPr>
                <w:rFonts w:asciiTheme="majorHAnsi" w:hAnsiTheme="majorHAnsi" w:cstheme="majorHAnsi"/>
                <w:sz w:val="20"/>
                <w:szCs w:val="20"/>
                <w:lang w:eastAsia="en-AU"/>
              </w:rPr>
              <w:t xml:space="preserve"> improving </w:t>
            </w:r>
            <w:r w:rsidR="009B791F">
              <w:rPr>
                <w:rFonts w:asciiTheme="majorHAnsi" w:hAnsiTheme="majorHAnsi" w:cstheme="majorHAnsi"/>
                <w:sz w:val="20"/>
                <w:szCs w:val="20"/>
                <w:lang w:eastAsia="en-AU"/>
              </w:rPr>
              <w:t xml:space="preserve">national </w:t>
            </w:r>
            <w:r w:rsidR="004B3B8F" w:rsidRPr="004B3B8F">
              <w:rPr>
                <w:rFonts w:asciiTheme="majorHAnsi" w:hAnsiTheme="majorHAnsi" w:cstheme="majorHAnsi"/>
                <w:sz w:val="20"/>
                <w:szCs w:val="20"/>
                <w:lang w:eastAsia="en-AU"/>
              </w:rPr>
              <w:t xml:space="preserve">trend in use of </w:t>
            </w:r>
            <w:r w:rsidR="004B3B8F" w:rsidRPr="00BA4170">
              <w:rPr>
                <w:rFonts w:asciiTheme="majorHAnsi" w:hAnsiTheme="majorHAnsi" w:cstheme="majorHAnsi"/>
                <w:sz w:val="20"/>
                <w:szCs w:val="20"/>
                <w:lang w:eastAsia="en-AU"/>
              </w:rPr>
              <w:t xml:space="preserve">PNC </w:t>
            </w:r>
            <w:r w:rsidR="00601B61" w:rsidRPr="00601B61">
              <w:rPr>
                <w:rFonts w:asciiTheme="majorHAnsi" w:hAnsiTheme="majorHAnsi" w:cstheme="majorHAnsi"/>
                <w:sz w:val="20"/>
                <w:szCs w:val="20"/>
                <w:lang w:eastAsia="en-AU"/>
              </w:rPr>
              <w:t>from 25%</w:t>
            </w:r>
            <w:r w:rsidR="00EB79F6">
              <w:rPr>
                <w:rFonts w:asciiTheme="majorHAnsi" w:hAnsiTheme="majorHAnsi" w:cstheme="majorHAnsi"/>
                <w:sz w:val="20"/>
                <w:szCs w:val="20"/>
                <w:lang w:eastAsia="en-AU"/>
              </w:rPr>
              <w:t xml:space="preserve"> in 2009-10</w:t>
            </w:r>
            <w:r w:rsidR="00601B61" w:rsidRPr="00601B61">
              <w:rPr>
                <w:rFonts w:asciiTheme="majorHAnsi" w:hAnsiTheme="majorHAnsi" w:cstheme="majorHAnsi"/>
                <w:sz w:val="20"/>
                <w:szCs w:val="20"/>
                <w:lang w:eastAsia="en-AU"/>
              </w:rPr>
              <w:t xml:space="preserve"> to </w:t>
            </w:r>
            <w:r w:rsidR="00BA4170" w:rsidRPr="00BA4170">
              <w:rPr>
                <w:rFonts w:asciiTheme="majorHAnsi" w:hAnsiTheme="majorHAnsi" w:cstheme="majorHAnsi"/>
                <w:sz w:val="20"/>
                <w:szCs w:val="20"/>
                <w:lang w:eastAsia="en-AU"/>
              </w:rPr>
              <w:t>35</w:t>
            </w:r>
            <w:r w:rsidR="00BA4170">
              <w:rPr>
                <w:rFonts w:asciiTheme="majorHAnsi" w:hAnsiTheme="majorHAnsi" w:cstheme="majorHAnsi"/>
                <w:sz w:val="20"/>
                <w:szCs w:val="20"/>
                <w:lang w:eastAsia="en-AU"/>
              </w:rPr>
              <w:t>%</w:t>
            </w:r>
            <w:r w:rsidR="00EB79F6">
              <w:rPr>
                <w:rFonts w:asciiTheme="majorHAnsi" w:hAnsiTheme="majorHAnsi" w:cstheme="majorHAnsi"/>
                <w:sz w:val="20"/>
                <w:szCs w:val="20"/>
                <w:lang w:eastAsia="en-AU"/>
              </w:rPr>
              <w:t xml:space="preserve"> in 2016</w:t>
            </w:r>
            <w:r w:rsidRPr="00C6310F">
              <w:rPr>
                <w:rFonts w:asciiTheme="majorHAnsi" w:hAnsiTheme="majorHAnsi" w:cstheme="majorHAnsi"/>
                <w:sz w:val="20"/>
                <w:szCs w:val="20"/>
                <w:lang w:eastAsia="en-AU"/>
              </w:rPr>
              <w:t>.</w:t>
            </w:r>
            <w:r w:rsidRPr="00C6310F">
              <w:rPr>
                <w:rStyle w:val="FootnoteReference"/>
                <w:rFonts w:asciiTheme="majorHAnsi" w:hAnsiTheme="majorHAnsi" w:cstheme="majorHAnsi"/>
                <w:sz w:val="20"/>
                <w:szCs w:val="20"/>
                <w:lang w:eastAsia="en-AU"/>
              </w:rPr>
              <w:footnoteReference w:id="52"/>
            </w:r>
            <w:r w:rsidR="004B3B8F" w:rsidRPr="004B3B8F">
              <w:rPr>
                <w:rFonts w:asciiTheme="majorHAnsi" w:hAnsiTheme="majorHAnsi" w:cstheme="majorHAnsi"/>
                <w:sz w:val="20"/>
                <w:szCs w:val="20"/>
                <w:lang w:eastAsia="en-AU"/>
              </w:rPr>
              <w:t>,</w:t>
            </w:r>
            <w:r w:rsidRPr="00C6310F">
              <w:rPr>
                <w:rStyle w:val="FootnoteReference"/>
                <w:rFonts w:asciiTheme="majorHAnsi" w:hAnsiTheme="majorHAnsi" w:cstheme="majorHAnsi"/>
                <w:sz w:val="20"/>
                <w:szCs w:val="20"/>
                <w:lang w:eastAsia="en-AU"/>
              </w:rPr>
              <w:footnoteReference w:id="53"/>
            </w:r>
            <w:r w:rsidR="004B3B8F" w:rsidRPr="004B3B8F">
              <w:rPr>
                <w:rFonts w:asciiTheme="majorHAnsi" w:hAnsiTheme="majorHAnsi" w:cstheme="majorHAnsi"/>
                <w:sz w:val="20"/>
                <w:szCs w:val="20"/>
                <w:lang w:eastAsia="en-AU"/>
              </w:rPr>
              <w:t xml:space="preserve">  With regard to 2016 EOPO1 targets</w:t>
            </w:r>
            <w:r w:rsidR="00781F4F">
              <w:rPr>
                <w:rFonts w:asciiTheme="majorHAnsi" w:hAnsiTheme="majorHAnsi" w:cstheme="majorHAnsi"/>
                <w:sz w:val="20"/>
                <w:szCs w:val="20"/>
                <w:lang w:eastAsia="en-AU"/>
              </w:rPr>
              <w:t xml:space="preserve"> for PNC (which focused only on four Liga Inan districts)</w:t>
            </w:r>
            <w:r w:rsidR="004B3B8F" w:rsidRPr="004B3B8F">
              <w:rPr>
                <w:rFonts w:asciiTheme="majorHAnsi" w:hAnsiTheme="majorHAnsi" w:cstheme="majorHAnsi"/>
                <w:sz w:val="20"/>
                <w:szCs w:val="20"/>
                <w:lang w:eastAsia="en-AU"/>
              </w:rPr>
              <w:t xml:space="preserve">, however, progress was well below </w:t>
            </w:r>
            <w:r w:rsidR="004B3B8F" w:rsidRPr="00FC7C6A">
              <w:rPr>
                <w:rFonts w:asciiTheme="majorHAnsi" w:hAnsiTheme="majorHAnsi" w:cstheme="majorHAnsi"/>
                <w:sz w:val="20"/>
                <w:szCs w:val="20"/>
                <w:lang w:eastAsia="en-AU"/>
              </w:rPr>
              <w:t>expectation</w:t>
            </w:r>
            <w:r w:rsidR="00FC7C6A">
              <w:rPr>
                <w:rFonts w:asciiTheme="majorHAnsi" w:hAnsiTheme="majorHAnsi" w:cstheme="majorHAnsi"/>
                <w:sz w:val="20"/>
                <w:szCs w:val="20"/>
                <w:lang w:eastAsia="en-AU"/>
              </w:rPr>
              <w:t xml:space="preserve"> </w:t>
            </w:r>
            <w:r w:rsidR="00601B61" w:rsidRPr="00FC7C6A">
              <w:rPr>
                <w:rFonts w:asciiTheme="majorHAnsi" w:hAnsiTheme="majorHAnsi" w:cstheme="majorHAnsi"/>
                <w:sz w:val="20"/>
                <w:szCs w:val="20"/>
                <w:lang w:eastAsia="en-AU"/>
              </w:rPr>
              <w:t>(</w:t>
            </w:r>
            <w:r w:rsidR="004B3B8F" w:rsidRPr="00FC7C6A">
              <w:rPr>
                <w:rFonts w:asciiTheme="majorHAnsi" w:hAnsiTheme="majorHAnsi" w:cstheme="majorHAnsi"/>
                <w:sz w:val="20"/>
                <w:szCs w:val="20"/>
                <w:lang w:eastAsia="en-AU"/>
              </w:rPr>
              <w:t>see</w:t>
            </w:r>
            <w:r w:rsidR="004B3B8F" w:rsidRPr="004B3B8F">
              <w:rPr>
                <w:rFonts w:asciiTheme="majorHAnsi" w:hAnsiTheme="majorHAnsi" w:cstheme="majorHAnsi"/>
                <w:sz w:val="20"/>
                <w:szCs w:val="20"/>
                <w:lang w:eastAsia="en-AU"/>
              </w:rPr>
              <w:t xml:space="preserve"> Annex 6</w:t>
            </w:r>
            <w:r w:rsidR="00601B61" w:rsidRPr="00601B61">
              <w:rPr>
                <w:rFonts w:asciiTheme="majorHAnsi" w:hAnsiTheme="majorHAnsi" w:cstheme="majorHAnsi"/>
                <w:sz w:val="20"/>
                <w:szCs w:val="20"/>
                <w:lang w:eastAsia="en-AU"/>
              </w:rPr>
              <w:t xml:space="preserve">). </w:t>
            </w:r>
            <w:r w:rsidR="00DD0DB5">
              <w:rPr>
                <w:rFonts w:asciiTheme="majorHAnsi" w:hAnsiTheme="majorHAnsi" w:cstheme="majorHAnsi"/>
                <w:sz w:val="20"/>
                <w:szCs w:val="20"/>
                <w:lang w:eastAsia="en-AU"/>
              </w:rPr>
              <w:t xml:space="preserve">  </w:t>
            </w:r>
            <w:r w:rsidR="00601B61" w:rsidRPr="00601B61">
              <w:rPr>
                <w:rFonts w:asciiTheme="majorHAnsi" w:hAnsiTheme="majorHAnsi" w:cstheme="majorHAnsi"/>
                <w:sz w:val="20"/>
                <w:szCs w:val="20"/>
                <w:lang w:eastAsia="en-AU"/>
              </w:rPr>
              <w:t xml:space="preserve">Many factors affect uptake of </w:t>
            </w:r>
            <w:r w:rsidR="009B791F">
              <w:rPr>
                <w:rFonts w:asciiTheme="majorHAnsi" w:hAnsiTheme="majorHAnsi" w:cstheme="majorHAnsi"/>
                <w:sz w:val="20"/>
                <w:szCs w:val="20"/>
                <w:lang w:eastAsia="en-AU"/>
              </w:rPr>
              <w:t>PNC</w:t>
            </w:r>
            <w:r w:rsidR="00601B61" w:rsidRPr="00601B61">
              <w:rPr>
                <w:rFonts w:asciiTheme="majorHAnsi" w:hAnsiTheme="majorHAnsi" w:cstheme="majorHAnsi"/>
                <w:sz w:val="20"/>
                <w:szCs w:val="20"/>
                <w:lang w:eastAsia="en-AU"/>
              </w:rPr>
              <w:t xml:space="preserve">, i.e., ease of access, perceptions of quality of care as well as awareness of importance of PNC. </w:t>
            </w:r>
            <w:r w:rsidR="00781F4F">
              <w:rPr>
                <w:rFonts w:asciiTheme="majorHAnsi" w:hAnsiTheme="majorHAnsi" w:cstheme="majorHAnsi"/>
                <w:sz w:val="20"/>
                <w:szCs w:val="20"/>
                <w:lang w:eastAsia="en-AU"/>
              </w:rPr>
              <w:t>Given that program interventions evidently had limited effects on PNC, these activities</w:t>
            </w:r>
            <w:r w:rsidR="00601B61" w:rsidRPr="00601B61">
              <w:rPr>
                <w:rFonts w:asciiTheme="majorHAnsi" w:hAnsiTheme="majorHAnsi" w:cstheme="majorHAnsi"/>
                <w:sz w:val="20"/>
                <w:szCs w:val="20"/>
                <w:lang w:eastAsia="en-AU"/>
              </w:rPr>
              <w:t xml:space="preserve"> </w:t>
            </w:r>
            <w:r w:rsidR="00781F4F">
              <w:rPr>
                <w:rFonts w:asciiTheme="majorHAnsi" w:hAnsiTheme="majorHAnsi" w:cstheme="majorHAnsi"/>
                <w:sz w:val="20"/>
                <w:szCs w:val="20"/>
                <w:lang w:eastAsia="en-AU"/>
              </w:rPr>
              <w:t>were probably</w:t>
            </w:r>
            <w:r w:rsidR="009B791F">
              <w:rPr>
                <w:rFonts w:asciiTheme="majorHAnsi" w:hAnsiTheme="majorHAnsi" w:cstheme="majorHAnsi"/>
                <w:sz w:val="20"/>
                <w:szCs w:val="20"/>
                <w:lang w:eastAsia="en-AU"/>
              </w:rPr>
              <w:t xml:space="preserve"> less important than</w:t>
            </w:r>
            <w:r w:rsidR="00601B61" w:rsidRPr="00601B61">
              <w:rPr>
                <w:rFonts w:asciiTheme="majorHAnsi" w:hAnsiTheme="majorHAnsi" w:cstheme="majorHAnsi"/>
                <w:sz w:val="20"/>
                <w:szCs w:val="20"/>
                <w:lang w:eastAsia="en-AU"/>
              </w:rPr>
              <w:t xml:space="preserve"> </w:t>
            </w:r>
            <w:r w:rsidR="00781F4F">
              <w:rPr>
                <w:rFonts w:asciiTheme="majorHAnsi" w:hAnsiTheme="majorHAnsi" w:cstheme="majorHAnsi"/>
                <w:sz w:val="20"/>
                <w:szCs w:val="20"/>
                <w:lang w:eastAsia="en-AU"/>
              </w:rPr>
              <w:t>other (i.e. non-program)</w:t>
            </w:r>
            <w:r w:rsidR="009974A7">
              <w:rPr>
                <w:rFonts w:asciiTheme="majorHAnsi" w:hAnsiTheme="majorHAnsi" w:cstheme="majorHAnsi"/>
                <w:sz w:val="20"/>
                <w:szCs w:val="20"/>
                <w:lang w:eastAsia="en-AU"/>
              </w:rPr>
              <w:t xml:space="preserve"> </w:t>
            </w:r>
            <w:r w:rsidR="00601B61" w:rsidRPr="00601B61">
              <w:rPr>
                <w:rFonts w:asciiTheme="majorHAnsi" w:hAnsiTheme="majorHAnsi" w:cstheme="majorHAnsi"/>
                <w:sz w:val="20"/>
                <w:szCs w:val="20"/>
                <w:lang w:eastAsia="en-AU"/>
              </w:rPr>
              <w:t xml:space="preserve">activities </w:t>
            </w:r>
            <w:r w:rsidR="009B791F">
              <w:rPr>
                <w:rFonts w:asciiTheme="majorHAnsi" w:hAnsiTheme="majorHAnsi" w:cstheme="majorHAnsi"/>
                <w:sz w:val="20"/>
                <w:szCs w:val="20"/>
                <w:lang w:eastAsia="en-AU"/>
              </w:rPr>
              <w:t>in</w:t>
            </w:r>
            <w:r w:rsidR="009B791F" w:rsidRPr="00601B61">
              <w:rPr>
                <w:rFonts w:asciiTheme="majorHAnsi" w:hAnsiTheme="majorHAnsi" w:cstheme="majorHAnsi"/>
                <w:sz w:val="20"/>
                <w:szCs w:val="20"/>
                <w:lang w:eastAsia="en-AU"/>
              </w:rPr>
              <w:t xml:space="preserve"> </w:t>
            </w:r>
            <w:r w:rsidR="00601B61" w:rsidRPr="00601B61">
              <w:rPr>
                <w:rFonts w:asciiTheme="majorHAnsi" w:hAnsiTheme="majorHAnsi" w:cstheme="majorHAnsi"/>
                <w:sz w:val="20"/>
                <w:szCs w:val="20"/>
                <w:lang w:eastAsia="en-AU"/>
              </w:rPr>
              <w:t>contribut</w:t>
            </w:r>
            <w:r w:rsidR="009B791F">
              <w:rPr>
                <w:rFonts w:asciiTheme="majorHAnsi" w:hAnsiTheme="majorHAnsi" w:cstheme="majorHAnsi"/>
                <w:sz w:val="20"/>
                <w:szCs w:val="20"/>
                <w:lang w:eastAsia="en-AU"/>
              </w:rPr>
              <w:t>ing</w:t>
            </w:r>
            <w:r w:rsidR="00B36AA1" w:rsidRPr="00B36AA1">
              <w:rPr>
                <w:rFonts w:asciiTheme="majorHAnsi" w:hAnsiTheme="majorHAnsi" w:cstheme="majorHAnsi"/>
                <w:sz w:val="20"/>
                <w:szCs w:val="20"/>
                <w:lang w:eastAsia="en-AU"/>
              </w:rPr>
              <w:t xml:space="preserve"> to the observed national increase in uptake. </w:t>
            </w:r>
          </w:p>
        </w:tc>
        <w:tc>
          <w:tcPr>
            <w:tcW w:w="0" w:type="auto"/>
            <w:vAlign w:val="center"/>
          </w:tcPr>
          <w:p w14:paraId="1D9F7324"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B, C, E, L</w:t>
            </w:r>
          </w:p>
        </w:tc>
      </w:tr>
      <w:tr w:rsidR="00DA31F6" w:rsidRPr="00267B79" w14:paraId="327D4A39" w14:textId="77777777">
        <w:tc>
          <w:tcPr>
            <w:tcW w:w="0" w:type="auto"/>
          </w:tcPr>
          <w:p w14:paraId="692EC74E" w14:textId="7006CC00" w:rsidR="000D259B" w:rsidRPr="00C85D03" w:rsidRDefault="00B36AA1">
            <w:pPr>
              <w:spacing w:after="120"/>
              <w:jc w:val="both"/>
              <w:rPr>
                <w:rFonts w:asciiTheme="majorHAnsi" w:hAnsiTheme="majorHAnsi" w:cstheme="majorHAnsi"/>
                <w:sz w:val="20"/>
                <w:szCs w:val="20"/>
                <w:lang w:eastAsia="en-AU"/>
              </w:rPr>
            </w:pPr>
            <w:r w:rsidRPr="00C85D03">
              <w:rPr>
                <w:rFonts w:asciiTheme="majorHAnsi" w:hAnsiTheme="majorHAnsi" w:cstheme="majorHAnsi"/>
                <w:sz w:val="20"/>
                <w:szCs w:val="20"/>
                <w:lang w:eastAsia="en-AU"/>
              </w:rPr>
              <w:t xml:space="preserve">Decision-making within families is an important factor in all of the above. Husbands and in-laws influence decisions on FP and on where to give birth (i.e. at home or in HF). MSGs could also have contributed to utilisation of any or all of the above services. </w:t>
            </w:r>
            <w:r w:rsidR="00312F9E" w:rsidRPr="00C85D03">
              <w:rPr>
                <w:rFonts w:asciiTheme="majorHAnsi" w:hAnsiTheme="majorHAnsi" w:cstheme="majorHAnsi"/>
                <w:sz w:val="20"/>
                <w:szCs w:val="20"/>
                <w:lang w:eastAsia="en-AU"/>
              </w:rPr>
              <w:t>Family Medicine Program (</w:t>
            </w:r>
            <w:r w:rsidRPr="00C85D03">
              <w:rPr>
                <w:rFonts w:asciiTheme="majorHAnsi" w:hAnsiTheme="majorHAnsi" w:cstheme="majorHAnsi"/>
                <w:sz w:val="20"/>
                <w:szCs w:val="20"/>
                <w:lang w:eastAsia="en-AU"/>
              </w:rPr>
              <w:t>FMP</w:t>
            </w:r>
            <w:r w:rsidR="00312F9E" w:rsidRPr="00C85D03">
              <w:rPr>
                <w:rFonts w:asciiTheme="majorHAnsi" w:hAnsiTheme="majorHAnsi" w:cstheme="majorHAnsi"/>
                <w:sz w:val="20"/>
                <w:szCs w:val="20"/>
                <w:lang w:eastAsia="en-AU"/>
              </w:rPr>
              <w:t>)</w:t>
            </w:r>
            <w:r w:rsidRPr="00C85D03">
              <w:rPr>
                <w:rFonts w:asciiTheme="majorHAnsi" w:hAnsiTheme="majorHAnsi" w:cstheme="majorHAnsi"/>
                <w:sz w:val="20"/>
                <w:szCs w:val="20"/>
                <w:lang w:eastAsia="en-AU"/>
              </w:rPr>
              <w:t xml:space="preserve"> doctors </w:t>
            </w:r>
            <w:r w:rsidR="00312F9E" w:rsidRPr="00C85D03">
              <w:rPr>
                <w:rFonts w:asciiTheme="majorHAnsi" w:hAnsiTheme="majorHAnsi" w:cstheme="majorHAnsi"/>
                <w:sz w:val="20"/>
                <w:szCs w:val="20"/>
                <w:lang w:eastAsia="en-AU"/>
              </w:rPr>
              <w:t xml:space="preserve">(i.e. general practitioners) </w:t>
            </w:r>
            <w:r w:rsidRPr="00C85D03">
              <w:rPr>
                <w:rFonts w:asciiTheme="majorHAnsi" w:hAnsiTheme="majorHAnsi" w:cstheme="majorHAnsi"/>
                <w:sz w:val="20"/>
                <w:szCs w:val="20"/>
                <w:lang w:eastAsia="en-AU"/>
              </w:rPr>
              <w:t xml:space="preserve">trained by the program might have contributed to any or all of the above, but the effect would be limited since only a small number have been deployed to date. </w:t>
            </w:r>
          </w:p>
        </w:tc>
        <w:tc>
          <w:tcPr>
            <w:tcW w:w="0" w:type="auto"/>
            <w:vAlign w:val="center"/>
          </w:tcPr>
          <w:p w14:paraId="42A0EBA7" w14:textId="77777777" w:rsidR="000D259B" w:rsidRDefault="00B36AA1">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A, F</w:t>
            </w:r>
          </w:p>
        </w:tc>
      </w:tr>
      <w:tr w:rsidR="00B01CF3" w:rsidRPr="00267B79" w14:paraId="7403D622" w14:textId="77777777">
        <w:tc>
          <w:tcPr>
            <w:tcW w:w="0" w:type="auto"/>
          </w:tcPr>
          <w:p w14:paraId="0B953D69" w14:textId="77777777" w:rsidR="000D259B" w:rsidRDefault="00B36AA1">
            <w:pPr>
              <w:spacing w:after="120"/>
              <w:jc w:val="both"/>
              <w:rPr>
                <w:rFonts w:asciiTheme="majorHAnsi" w:hAnsiTheme="majorHAnsi" w:cstheme="majorHAnsi"/>
                <w:sz w:val="20"/>
                <w:szCs w:val="20"/>
                <w:lang w:eastAsia="en-AU"/>
              </w:rPr>
            </w:pPr>
            <w:r w:rsidRPr="00B36AA1">
              <w:rPr>
                <w:rFonts w:asciiTheme="majorHAnsi" w:hAnsiTheme="majorHAnsi" w:cstheme="majorHAnsi"/>
                <w:sz w:val="20"/>
                <w:szCs w:val="20"/>
                <w:lang w:eastAsia="en-AU"/>
              </w:rPr>
              <w:t>We have no current information on use of non-government HFs, but it is probably still true (as pointed out in NHSSP) that they are used more by the non-poor than by the poor.</w:t>
            </w:r>
            <w:r w:rsidRPr="00B36AA1">
              <w:rPr>
                <w:rStyle w:val="FootnoteReference"/>
                <w:rFonts w:asciiTheme="majorHAnsi" w:hAnsiTheme="majorHAnsi" w:cstheme="majorHAnsi"/>
                <w:sz w:val="20"/>
                <w:szCs w:val="20"/>
                <w:lang w:eastAsia="en-AU"/>
              </w:rPr>
              <w:footnoteReference w:id="54"/>
            </w:r>
          </w:p>
        </w:tc>
        <w:tc>
          <w:tcPr>
            <w:tcW w:w="0" w:type="auto"/>
            <w:vAlign w:val="center"/>
          </w:tcPr>
          <w:p w14:paraId="77618A4E" w14:textId="77777777" w:rsidR="000D259B" w:rsidRDefault="000D259B">
            <w:pPr>
              <w:spacing w:after="120"/>
              <w:jc w:val="both"/>
              <w:rPr>
                <w:rFonts w:asciiTheme="majorHAnsi" w:hAnsiTheme="majorHAnsi" w:cstheme="majorHAnsi"/>
                <w:color w:val="0000FF"/>
                <w:sz w:val="20"/>
                <w:szCs w:val="20"/>
              </w:rPr>
            </w:pPr>
          </w:p>
        </w:tc>
      </w:tr>
    </w:tbl>
    <w:p w14:paraId="523AC3AC" w14:textId="77777777" w:rsidR="000D259B" w:rsidRDefault="000D259B">
      <w:pPr>
        <w:jc w:val="both"/>
        <w:rPr>
          <w:rFonts w:asciiTheme="majorHAnsi" w:hAnsiTheme="majorHAnsi" w:cs="Calibri Light"/>
          <w:color w:val="000000"/>
        </w:rPr>
      </w:pPr>
    </w:p>
    <w:p w14:paraId="337177ED" w14:textId="77777777" w:rsidR="000D259B" w:rsidRDefault="000D259B">
      <w:pPr>
        <w:jc w:val="both"/>
        <w:rPr>
          <w:rFonts w:asciiTheme="majorHAnsi" w:hAnsiTheme="majorHAnsi" w:cs="Calibri Light"/>
          <w:color w:val="000000"/>
        </w:rPr>
      </w:pPr>
    </w:p>
    <w:p w14:paraId="23127BCB" w14:textId="77777777" w:rsidR="000D259B" w:rsidRDefault="00DA31F6">
      <w:pPr>
        <w:pStyle w:val="Heading2"/>
        <w:jc w:val="both"/>
        <w:rPr>
          <w:lang w:eastAsia="en-AU"/>
        </w:rPr>
      </w:pPr>
      <w:bookmarkStart w:id="17" w:name="_Toc378838734"/>
      <w:r w:rsidRPr="00267B79">
        <w:rPr>
          <w:lang w:eastAsia="en-AU"/>
        </w:rPr>
        <w:lastRenderedPageBreak/>
        <w:t>4</w:t>
      </w:r>
      <w:r w:rsidR="008626A1" w:rsidRPr="00267B79">
        <w:rPr>
          <w:lang w:eastAsia="en-AU"/>
        </w:rPr>
        <w:t xml:space="preserve">. </w:t>
      </w:r>
      <w:r w:rsidR="00FD1ED6" w:rsidRPr="00267B79">
        <w:rPr>
          <w:lang w:eastAsia="en-AU"/>
        </w:rPr>
        <w:t>Li</w:t>
      </w:r>
      <w:r w:rsidR="002B07A5" w:rsidRPr="00267B79">
        <w:rPr>
          <w:lang w:eastAsia="en-AU"/>
        </w:rPr>
        <w:t>kely contribution of</w:t>
      </w:r>
      <w:r w:rsidR="008626A1" w:rsidRPr="00267B79">
        <w:rPr>
          <w:lang w:eastAsia="en-AU"/>
        </w:rPr>
        <w:t xml:space="preserve"> </w:t>
      </w:r>
      <w:r w:rsidRPr="00267B79">
        <w:rPr>
          <w:lang w:eastAsia="en-AU"/>
        </w:rPr>
        <w:t xml:space="preserve">investments to improved range, quality and reach of </w:t>
      </w:r>
      <w:r w:rsidR="008626A1" w:rsidRPr="00267B79">
        <w:rPr>
          <w:lang w:eastAsia="en-AU"/>
        </w:rPr>
        <w:t>RMNCH</w:t>
      </w:r>
      <w:r w:rsidRPr="00267B79">
        <w:rPr>
          <w:lang w:eastAsia="en-AU"/>
        </w:rPr>
        <w:t xml:space="preserve"> services</w:t>
      </w:r>
      <w:bookmarkEnd w:id="17"/>
      <w:r w:rsidRPr="00267B79">
        <w:rPr>
          <w:lang w:eastAsia="en-AU"/>
        </w:rPr>
        <w:t xml:space="preserve">  </w:t>
      </w:r>
    </w:p>
    <w:tbl>
      <w:tblPr>
        <w:tblW w:w="0" w:type="auto"/>
        <w:tblLook w:val="00A0" w:firstRow="1" w:lastRow="0" w:firstColumn="1" w:lastColumn="0" w:noHBand="0" w:noVBand="0"/>
      </w:tblPr>
      <w:tblGrid>
        <w:gridCol w:w="7408"/>
        <w:gridCol w:w="892"/>
      </w:tblGrid>
      <w:tr w:rsidR="00DA31F6" w:rsidRPr="00267B79" w14:paraId="57DFD969" w14:textId="77777777">
        <w:tc>
          <w:tcPr>
            <w:tcW w:w="0" w:type="auto"/>
          </w:tcPr>
          <w:p w14:paraId="1723D32B" w14:textId="77777777" w:rsidR="000D259B" w:rsidRDefault="000D259B">
            <w:pPr>
              <w:jc w:val="both"/>
              <w:rPr>
                <w:rFonts w:asciiTheme="majorHAnsi" w:hAnsiTheme="majorHAnsi" w:cstheme="majorHAnsi"/>
                <w:b/>
                <w:sz w:val="20"/>
                <w:szCs w:val="20"/>
                <w:lang w:eastAsia="en-AU"/>
              </w:rPr>
            </w:pPr>
          </w:p>
        </w:tc>
        <w:tc>
          <w:tcPr>
            <w:tcW w:w="0" w:type="auto"/>
            <w:vAlign w:val="center"/>
          </w:tcPr>
          <w:p w14:paraId="5468E9D8" w14:textId="77777777" w:rsidR="000D259B" w:rsidRDefault="00B36AA1">
            <w:pPr>
              <w:jc w:val="both"/>
              <w:rPr>
                <w:rFonts w:asciiTheme="majorHAnsi" w:hAnsiTheme="majorHAnsi" w:cstheme="majorHAnsi"/>
                <w:b/>
                <w:color w:val="0000FF"/>
                <w:sz w:val="20"/>
                <w:szCs w:val="20"/>
              </w:rPr>
            </w:pPr>
            <w:r w:rsidRPr="00B36AA1">
              <w:rPr>
                <w:rFonts w:asciiTheme="majorHAnsi" w:hAnsiTheme="majorHAnsi" w:cstheme="majorHAnsi"/>
                <w:b/>
                <w:color w:val="0000FF"/>
                <w:sz w:val="20"/>
                <w:szCs w:val="20"/>
              </w:rPr>
              <w:t>Sources</w:t>
            </w:r>
          </w:p>
        </w:tc>
      </w:tr>
      <w:tr w:rsidR="003231D6" w:rsidRPr="00267B79" w14:paraId="630EFB99" w14:textId="77777777">
        <w:tc>
          <w:tcPr>
            <w:tcW w:w="0" w:type="auto"/>
          </w:tcPr>
          <w:p w14:paraId="41A47819" w14:textId="77777777" w:rsidR="000D259B" w:rsidRDefault="00B36AA1">
            <w:pPr>
              <w:spacing w:after="120"/>
              <w:jc w:val="both"/>
              <w:rPr>
                <w:rFonts w:asciiTheme="majorHAnsi" w:hAnsiTheme="majorHAnsi" w:cstheme="majorHAnsi"/>
                <w:b/>
                <w:sz w:val="20"/>
                <w:szCs w:val="20"/>
                <w:lang w:eastAsia="en-AU"/>
              </w:rPr>
            </w:pPr>
            <w:r w:rsidRPr="00B36AA1">
              <w:rPr>
                <w:rFonts w:asciiTheme="majorHAnsi" w:hAnsiTheme="majorHAnsi" w:cstheme="majorHAnsi"/>
                <w:b/>
                <w:sz w:val="20"/>
                <w:szCs w:val="20"/>
                <w:lang w:eastAsia="en-AU"/>
              </w:rPr>
              <w:t xml:space="preserve">General: </w:t>
            </w:r>
            <w:r w:rsidRPr="00B36AA1">
              <w:rPr>
                <w:rFonts w:asciiTheme="majorHAnsi" w:hAnsiTheme="majorHAnsi" w:cstheme="majorHAnsi"/>
                <w:sz w:val="20"/>
                <w:szCs w:val="20"/>
                <w:lang w:eastAsia="en-AU"/>
              </w:rPr>
              <w:t>This section relates to EOPO 2, 3 and 4 in the DFAT strategic framework for 2015-18 (see Annex 6).</w:t>
            </w:r>
            <w:r w:rsidR="007C44BB">
              <w:rPr>
                <w:rStyle w:val="FootnoteReference"/>
                <w:rFonts w:asciiTheme="majorHAnsi" w:hAnsiTheme="majorHAnsi" w:cstheme="majorHAnsi"/>
                <w:sz w:val="20"/>
                <w:szCs w:val="20"/>
                <w:lang w:eastAsia="en-AU"/>
              </w:rPr>
              <w:footnoteReference w:id="55"/>
            </w:r>
            <w:r w:rsidR="00F94017">
              <w:rPr>
                <w:rFonts w:asciiTheme="majorHAnsi" w:hAnsiTheme="majorHAnsi" w:cstheme="majorHAnsi"/>
                <w:sz w:val="20"/>
                <w:szCs w:val="20"/>
                <w:lang w:eastAsia="en-AU"/>
              </w:rPr>
              <w:t xml:space="preserve"> </w:t>
            </w:r>
            <w:r w:rsidRPr="00B36AA1">
              <w:rPr>
                <w:rFonts w:asciiTheme="majorHAnsi" w:hAnsiTheme="majorHAnsi" w:cstheme="majorHAnsi"/>
                <w:sz w:val="20"/>
                <w:szCs w:val="20"/>
                <w:lang w:eastAsia="en-AU"/>
              </w:rPr>
              <w:t>From a total of 12 indicators for these three EOPOs, three do not specify targets for 2016, while in six instances targets were met or exceeded; two targets were not met, and for the remaining target no results were provided. Note that the strategic framework does not cover the ATLASS II or Health Transport projects, which are also relevant to the range, quality and reach of services. Results for these projects are provided in Annex 7.</w:t>
            </w:r>
          </w:p>
        </w:tc>
        <w:tc>
          <w:tcPr>
            <w:tcW w:w="0" w:type="auto"/>
            <w:vAlign w:val="center"/>
          </w:tcPr>
          <w:p w14:paraId="5DA02096" w14:textId="77777777" w:rsidR="000D259B" w:rsidRDefault="000D259B">
            <w:pPr>
              <w:spacing w:after="120"/>
              <w:jc w:val="both"/>
              <w:rPr>
                <w:rFonts w:asciiTheme="majorHAnsi" w:hAnsiTheme="majorHAnsi" w:cstheme="majorHAnsi"/>
                <w:color w:val="0000FF"/>
                <w:sz w:val="20"/>
                <w:szCs w:val="20"/>
              </w:rPr>
            </w:pPr>
          </w:p>
        </w:tc>
      </w:tr>
      <w:tr w:rsidR="00DA31F6" w:rsidRPr="00267B79" w14:paraId="1253CCEF" w14:textId="77777777">
        <w:tc>
          <w:tcPr>
            <w:tcW w:w="0" w:type="auto"/>
          </w:tcPr>
          <w:p w14:paraId="50D70601" w14:textId="4811DB6B" w:rsidR="000D259B" w:rsidRDefault="003A7EBE">
            <w:pPr>
              <w:spacing w:after="120"/>
              <w:jc w:val="both"/>
              <w:rPr>
                <w:rFonts w:asciiTheme="majorHAnsi" w:hAnsiTheme="majorHAnsi" w:cstheme="majorHAnsi"/>
                <w:sz w:val="20"/>
                <w:szCs w:val="20"/>
                <w:lang w:eastAsia="en-AU"/>
              </w:rPr>
            </w:pPr>
            <w:r w:rsidRPr="00465820">
              <w:rPr>
                <w:rFonts w:asciiTheme="majorHAnsi" w:hAnsiTheme="majorHAnsi" w:cstheme="majorHAnsi"/>
                <w:b/>
                <w:sz w:val="20"/>
                <w:szCs w:val="20"/>
                <w:lang w:eastAsia="en-AU"/>
              </w:rPr>
              <w:t>Range</w:t>
            </w:r>
            <w:r w:rsidRPr="00465820">
              <w:rPr>
                <w:rFonts w:asciiTheme="majorHAnsi" w:hAnsiTheme="majorHAnsi" w:cstheme="majorHAnsi"/>
                <w:sz w:val="20"/>
                <w:szCs w:val="20"/>
                <w:lang w:eastAsia="en-AU"/>
              </w:rPr>
              <w:t xml:space="preserve">: </w:t>
            </w:r>
            <w:r w:rsidRPr="00C85D03">
              <w:rPr>
                <w:rFonts w:asciiTheme="majorHAnsi" w:hAnsiTheme="majorHAnsi" w:cstheme="majorHAnsi"/>
                <w:sz w:val="20"/>
                <w:szCs w:val="20"/>
                <w:lang w:eastAsia="en-AU"/>
              </w:rPr>
              <w:t>The DFAT/PHD program</w:t>
            </w:r>
            <w:r w:rsidR="00465820" w:rsidRPr="00C85D03">
              <w:rPr>
                <w:rFonts w:asciiTheme="majorHAnsi" w:hAnsiTheme="majorHAnsi" w:cstheme="majorHAnsi"/>
                <w:sz w:val="20"/>
                <w:szCs w:val="20"/>
                <w:lang w:eastAsia="en-AU"/>
              </w:rPr>
              <w:t>, through MSTL,</w:t>
            </w:r>
            <w:r w:rsidRPr="00C85D03">
              <w:rPr>
                <w:rFonts w:asciiTheme="majorHAnsi" w:hAnsiTheme="majorHAnsi" w:cstheme="majorHAnsi"/>
                <w:sz w:val="20"/>
                <w:szCs w:val="20"/>
                <w:lang w:eastAsia="en-AU"/>
              </w:rPr>
              <w:t xml:space="preserve"> enables MOH to offer </w:t>
            </w:r>
            <w:r w:rsidR="00592F14" w:rsidRPr="00C85D03">
              <w:rPr>
                <w:rFonts w:asciiTheme="majorHAnsi" w:hAnsiTheme="majorHAnsi" w:cstheme="majorHAnsi"/>
                <w:sz w:val="20"/>
                <w:szCs w:val="20"/>
                <w:lang w:eastAsia="en-AU"/>
              </w:rPr>
              <w:t>FP</w:t>
            </w:r>
            <w:r w:rsidRPr="00C85D03">
              <w:rPr>
                <w:rFonts w:asciiTheme="majorHAnsi" w:hAnsiTheme="majorHAnsi" w:cstheme="majorHAnsi"/>
                <w:sz w:val="20"/>
                <w:szCs w:val="20"/>
                <w:lang w:eastAsia="en-AU"/>
              </w:rPr>
              <w:t xml:space="preserve"> clients an informed choice from an expanded range of contraceptive methods</w:t>
            </w:r>
            <w:r w:rsidR="00BF505E" w:rsidRPr="00C85D03">
              <w:rPr>
                <w:rFonts w:asciiTheme="majorHAnsi" w:hAnsiTheme="majorHAnsi" w:cstheme="majorHAnsi"/>
                <w:sz w:val="20"/>
                <w:szCs w:val="20"/>
                <w:lang w:eastAsia="en-AU"/>
              </w:rPr>
              <w:t xml:space="preserve"> </w:t>
            </w:r>
            <w:r w:rsidRPr="00C85D03">
              <w:rPr>
                <w:rFonts w:asciiTheme="majorHAnsi" w:hAnsiTheme="majorHAnsi" w:cstheme="majorHAnsi"/>
                <w:sz w:val="20"/>
                <w:szCs w:val="20"/>
                <w:lang w:eastAsia="en-AU"/>
              </w:rPr>
              <w:t>(</w:t>
            </w:r>
            <w:r w:rsidR="004A1F22" w:rsidRPr="00C85D03">
              <w:rPr>
                <w:rFonts w:asciiTheme="majorHAnsi" w:hAnsiTheme="majorHAnsi" w:cstheme="majorHAnsi"/>
                <w:sz w:val="20"/>
                <w:szCs w:val="20"/>
                <w:lang w:eastAsia="en-AU"/>
              </w:rPr>
              <w:t>including</w:t>
            </w:r>
            <w:r w:rsidRPr="00C85D03">
              <w:rPr>
                <w:rFonts w:asciiTheme="majorHAnsi" w:hAnsiTheme="majorHAnsi" w:cstheme="majorHAnsi"/>
                <w:sz w:val="20"/>
                <w:szCs w:val="20"/>
                <w:lang w:eastAsia="en-AU"/>
              </w:rPr>
              <w:t xml:space="preserve"> </w:t>
            </w:r>
            <w:r w:rsidR="004A1F22" w:rsidRPr="00C85D03">
              <w:rPr>
                <w:rFonts w:asciiTheme="majorHAnsi" w:hAnsiTheme="majorHAnsi" w:cstheme="majorHAnsi"/>
                <w:sz w:val="20"/>
                <w:szCs w:val="20"/>
                <w:lang w:eastAsia="en-AU"/>
              </w:rPr>
              <w:t>‘</w:t>
            </w:r>
            <w:r w:rsidRPr="00C85D03">
              <w:rPr>
                <w:rFonts w:asciiTheme="majorHAnsi" w:hAnsiTheme="majorHAnsi" w:cstheme="majorHAnsi"/>
                <w:sz w:val="20"/>
                <w:szCs w:val="20"/>
                <w:lang w:eastAsia="en-AU"/>
              </w:rPr>
              <w:t>natural</w:t>
            </w:r>
            <w:r w:rsidR="004A1F22" w:rsidRPr="00C85D03">
              <w:rPr>
                <w:rFonts w:asciiTheme="majorHAnsi" w:hAnsiTheme="majorHAnsi" w:cstheme="majorHAnsi"/>
                <w:sz w:val="20"/>
                <w:szCs w:val="20"/>
                <w:lang w:eastAsia="en-AU"/>
              </w:rPr>
              <w:t>’, hormonal and barrier</w:t>
            </w:r>
            <w:r w:rsidRPr="00C85D03">
              <w:rPr>
                <w:rFonts w:asciiTheme="majorHAnsi" w:hAnsiTheme="majorHAnsi" w:cstheme="majorHAnsi"/>
                <w:sz w:val="20"/>
                <w:szCs w:val="20"/>
                <w:lang w:eastAsia="en-AU"/>
              </w:rPr>
              <w:t xml:space="preserve"> method</w:t>
            </w:r>
            <w:r w:rsidR="00D56922" w:rsidRPr="00C85D03">
              <w:rPr>
                <w:rFonts w:asciiTheme="majorHAnsi" w:hAnsiTheme="majorHAnsi" w:cstheme="majorHAnsi"/>
                <w:sz w:val="20"/>
                <w:szCs w:val="20"/>
                <w:lang w:eastAsia="en-AU"/>
              </w:rPr>
              <w:t>s</w:t>
            </w:r>
            <w:r w:rsidR="00C6310F" w:rsidRPr="00C85D03">
              <w:rPr>
                <w:rFonts w:asciiTheme="majorHAnsi" w:hAnsiTheme="majorHAnsi" w:cstheme="majorHAnsi"/>
                <w:sz w:val="20"/>
                <w:szCs w:val="20"/>
                <w:lang w:eastAsia="en-AU"/>
              </w:rPr>
              <w:t xml:space="preserve">). </w:t>
            </w:r>
            <w:r w:rsidR="00BF505E" w:rsidRPr="00C85D03">
              <w:rPr>
                <w:rFonts w:asciiTheme="majorHAnsi" w:hAnsiTheme="majorHAnsi" w:cstheme="majorHAnsi"/>
                <w:sz w:val="20"/>
                <w:szCs w:val="20"/>
                <w:lang w:eastAsia="en-AU"/>
              </w:rPr>
              <w:t>The t</w:t>
            </w:r>
            <w:r w:rsidR="00C6310F" w:rsidRPr="00C85D03">
              <w:rPr>
                <w:rFonts w:asciiTheme="majorHAnsi" w:hAnsiTheme="majorHAnsi" w:cstheme="majorHAnsi"/>
                <w:sz w:val="20"/>
                <w:szCs w:val="20"/>
                <w:lang w:eastAsia="en-AU"/>
              </w:rPr>
              <w:t xml:space="preserve">rend </w:t>
            </w:r>
            <w:r w:rsidR="00BF505E" w:rsidRPr="00C85D03">
              <w:rPr>
                <w:rFonts w:asciiTheme="majorHAnsi" w:hAnsiTheme="majorHAnsi" w:cstheme="majorHAnsi"/>
                <w:sz w:val="20"/>
                <w:szCs w:val="20"/>
                <w:lang w:eastAsia="en-AU"/>
              </w:rPr>
              <w:t xml:space="preserve">toward a more diverse </w:t>
            </w:r>
            <w:r w:rsidR="00C6310F" w:rsidRPr="00C85D03">
              <w:rPr>
                <w:rFonts w:asciiTheme="majorHAnsi" w:hAnsiTheme="majorHAnsi" w:cstheme="majorHAnsi"/>
                <w:sz w:val="20"/>
                <w:szCs w:val="20"/>
                <w:lang w:eastAsia="en-AU"/>
              </w:rPr>
              <w:t>method mix</w:t>
            </w:r>
            <w:r w:rsidR="00BF505E" w:rsidRPr="00C85D03">
              <w:rPr>
                <w:rFonts w:asciiTheme="majorHAnsi" w:hAnsiTheme="majorHAnsi" w:cstheme="majorHAnsi"/>
                <w:sz w:val="20"/>
                <w:szCs w:val="20"/>
                <w:lang w:eastAsia="en-AU"/>
              </w:rPr>
              <w:t xml:space="preserve"> </w:t>
            </w:r>
            <w:r w:rsidR="00C6310F" w:rsidRPr="00C85D03">
              <w:rPr>
                <w:rFonts w:asciiTheme="majorHAnsi" w:hAnsiTheme="majorHAnsi" w:cstheme="majorHAnsi"/>
                <w:sz w:val="20"/>
                <w:szCs w:val="20"/>
                <w:lang w:eastAsia="en-AU"/>
              </w:rPr>
              <w:t>seem</w:t>
            </w:r>
            <w:r w:rsidR="00BF505E" w:rsidRPr="00C85D03">
              <w:rPr>
                <w:rFonts w:asciiTheme="majorHAnsi" w:hAnsiTheme="majorHAnsi" w:cstheme="majorHAnsi"/>
                <w:sz w:val="20"/>
                <w:szCs w:val="20"/>
                <w:lang w:eastAsia="en-AU"/>
              </w:rPr>
              <w:t>s</w:t>
            </w:r>
            <w:r w:rsidR="00C6310F" w:rsidRPr="00C85D03">
              <w:rPr>
                <w:rFonts w:asciiTheme="majorHAnsi" w:hAnsiTheme="majorHAnsi" w:cstheme="majorHAnsi"/>
                <w:sz w:val="20"/>
                <w:szCs w:val="20"/>
                <w:lang w:eastAsia="en-AU"/>
              </w:rPr>
              <w:t xml:space="preserve"> to confirm that choice is being broadened successfully.</w:t>
            </w:r>
            <w:r w:rsidR="004B3B8F" w:rsidRPr="00465820">
              <w:rPr>
                <w:rFonts w:asciiTheme="majorHAnsi" w:hAnsiTheme="majorHAnsi" w:cstheme="majorHAnsi"/>
                <w:sz w:val="20"/>
                <w:szCs w:val="20"/>
                <w:lang w:eastAsia="en-AU"/>
              </w:rPr>
              <w:t xml:space="preserve"> The program is also helping to expand the range of services for care at delivery by developing</w:t>
            </w:r>
            <w:r w:rsidR="004B3B8F" w:rsidRPr="004B3B8F">
              <w:rPr>
                <w:rFonts w:asciiTheme="majorHAnsi" w:hAnsiTheme="majorHAnsi" w:cstheme="majorHAnsi"/>
                <w:sz w:val="20"/>
                <w:szCs w:val="20"/>
                <w:lang w:eastAsia="en-AU"/>
              </w:rPr>
              <w:t xml:space="preserve"> doctors’ competences in </w:t>
            </w:r>
            <w:r w:rsidR="004B3B8F" w:rsidRPr="006E11CE">
              <w:rPr>
                <w:rFonts w:asciiTheme="majorHAnsi" w:hAnsiTheme="majorHAnsi" w:cstheme="majorHAnsi"/>
                <w:sz w:val="20"/>
                <w:szCs w:val="20"/>
                <w:lang w:eastAsia="en-AU"/>
              </w:rPr>
              <w:t>EmONC</w:t>
            </w:r>
            <w:r w:rsidR="00C6310F" w:rsidRPr="006E11CE">
              <w:rPr>
                <w:rFonts w:asciiTheme="majorHAnsi" w:hAnsiTheme="majorHAnsi" w:cstheme="majorHAnsi"/>
                <w:sz w:val="20"/>
                <w:szCs w:val="20"/>
                <w:lang w:eastAsia="en-AU"/>
              </w:rPr>
              <w:t>, in addition to regular learning lab</w:t>
            </w:r>
            <w:r w:rsidR="00C5062D" w:rsidRPr="006E11CE">
              <w:rPr>
                <w:rFonts w:asciiTheme="majorHAnsi" w:hAnsiTheme="majorHAnsi" w:cstheme="majorHAnsi"/>
                <w:sz w:val="20"/>
                <w:szCs w:val="20"/>
                <w:lang w:eastAsia="en-AU"/>
              </w:rPr>
              <w:t>s</w:t>
            </w:r>
            <w:r w:rsidR="00C6310F" w:rsidRPr="006E11CE">
              <w:rPr>
                <w:rFonts w:asciiTheme="majorHAnsi" w:hAnsiTheme="majorHAnsi" w:cstheme="majorHAnsi"/>
                <w:sz w:val="20"/>
                <w:szCs w:val="20"/>
                <w:lang w:eastAsia="en-AU"/>
              </w:rPr>
              <w:t xml:space="preserve"> on SCD and ENBC for midwives</w:t>
            </w:r>
            <w:r w:rsidR="00465820">
              <w:rPr>
                <w:rFonts w:asciiTheme="majorHAnsi" w:hAnsiTheme="majorHAnsi" w:cstheme="majorHAnsi"/>
                <w:sz w:val="20"/>
                <w:szCs w:val="20"/>
                <w:lang w:eastAsia="en-AU"/>
              </w:rPr>
              <w:t>, which are done through HAI’s learning laboratory activities</w:t>
            </w:r>
            <w:r w:rsidR="00601B61" w:rsidRPr="006E11CE">
              <w:rPr>
                <w:rFonts w:asciiTheme="majorHAnsi" w:hAnsiTheme="majorHAnsi" w:cstheme="majorHAnsi"/>
                <w:sz w:val="20"/>
                <w:szCs w:val="20"/>
                <w:lang w:eastAsia="en-AU"/>
              </w:rPr>
              <w:t>.</w:t>
            </w:r>
            <w:r w:rsidR="00B36AA1" w:rsidRPr="00B36AA1">
              <w:rPr>
                <w:rFonts w:asciiTheme="majorHAnsi" w:hAnsiTheme="majorHAnsi" w:cstheme="majorHAnsi"/>
                <w:sz w:val="20"/>
                <w:szCs w:val="20"/>
                <w:lang w:eastAsia="en-AU"/>
              </w:rPr>
              <w:t xml:space="preserve">  </w:t>
            </w:r>
          </w:p>
        </w:tc>
        <w:tc>
          <w:tcPr>
            <w:tcW w:w="0" w:type="auto"/>
            <w:vAlign w:val="center"/>
          </w:tcPr>
          <w:p w14:paraId="640E4401"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F</w:t>
            </w:r>
          </w:p>
        </w:tc>
      </w:tr>
      <w:tr w:rsidR="00DA31F6" w:rsidRPr="00267B79" w14:paraId="4DD3C387" w14:textId="77777777">
        <w:tc>
          <w:tcPr>
            <w:tcW w:w="0" w:type="auto"/>
          </w:tcPr>
          <w:p w14:paraId="33E995E3" w14:textId="77777777" w:rsidR="00C6310F" w:rsidRPr="00C6310F" w:rsidRDefault="00C6310F" w:rsidP="00C6310F">
            <w:pPr>
              <w:pStyle w:val="CommentText"/>
              <w:jc w:val="both"/>
              <w:rPr>
                <w:rFonts w:asciiTheme="majorHAnsi" w:hAnsiTheme="majorHAnsi"/>
                <w:sz w:val="20"/>
              </w:rPr>
            </w:pPr>
            <w:r w:rsidRPr="00C6310F">
              <w:rPr>
                <w:rFonts w:asciiTheme="majorHAnsi" w:hAnsiTheme="majorHAnsi" w:cstheme="majorHAnsi"/>
                <w:b/>
                <w:sz w:val="20"/>
                <w:szCs w:val="20"/>
                <w:lang w:eastAsia="en-AU"/>
              </w:rPr>
              <w:t>Quality</w:t>
            </w:r>
            <w:r w:rsidRPr="00C6310F">
              <w:rPr>
                <w:rFonts w:asciiTheme="majorHAnsi" w:hAnsiTheme="majorHAnsi" w:cstheme="majorHAnsi"/>
                <w:sz w:val="20"/>
                <w:szCs w:val="20"/>
                <w:lang w:eastAsia="en-AU"/>
              </w:rPr>
              <w:t xml:space="preserve">: There are challenges to routine measurement of quality of care. The program is thought to be improving quality of RMNCH services by strengthening </w:t>
            </w:r>
            <w:r w:rsidRPr="006E11CE">
              <w:rPr>
                <w:rFonts w:asciiTheme="majorHAnsi" w:hAnsiTheme="majorHAnsi" w:cstheme="majorHAnsi"/>
                <w:sz w:val="20"/>
                <w:szCs w:val="20"/>
                <w:lang w:eastAsia="en-AU"/>
              </w:rPr>
              <w:t>competences of midwives and doctors, in particular</w:t>
            </w:r>
            <w:r w:rsidR="00F94017" w:rsidRPr="006E11CE">
              <w:rPr>
                <w:rFonts w:asciiTheme="majorHAnsi" w:hAnsiTheme="majorHAnsi" w:cstheme="majorHAnsi"/>
                <w:sz w:val="20"/>
                <w:szCs w:val="20"/>
                <w:lang w:eastAsia="en-AU"/>
              </w:rPr>
              <w:t xml:space="preserve"> </w:t>
            </w:r>
            <w:r w:rsidR="00601B61" w:rsidRPr="006E11CE">
              <w:rPr>
                <w:rFonts w:asciiTheme="majorHAnsi" w:hAnsiTheme="majorHAnsi" w:cstheme="majorHAnsi"/>
                <w:sz w:val="20"/>
                <w:szCs w:val="20"/>
                <w:lang w:eastAsia="en-AU"/>
              </w:rPr>
              <w:t xml:space="preserve">for </w:t>
            </w:r>
            <w:r w:rsidRPr="006E11CE">
              <w:rPr>
                <w:rFonts w:asciiTheme="majorHAnsi" w:hAnsiTheme="majorHAnsi" w:cstheme="majorHAnsi"/>
                <w:sz w:val="20"/>
                <w:szCs w:val="20"/>
                <w:lang w:eastAsia="en-AU"/>
              </w:rPr>
              <w:t>F</w:t>
            </w:r>
            <w:r w:rsidR="00601B61" w:rsidRPr="006E11CE">
              <w:rPr>
                <w:rFonts w:asciiTheme="majorHAnsi" w:hAnsiTheme="majorHAnsi" w:cstheme="majorHAnsi"/>
                <w:sz w:val="20"/>
                <w:szCs w:val="20"/>
                <w:lang w:eastAsia="en-AU"/>
              </w:rPr>
              <w:t>P, SCD/ENBC</w:t>
            </w:r>
            <w:r w:rsidR="00601B61" w:rsidRPr="006E11CE">
              <w:rPr>
                <w:rStyle w:val="FootnoteReference"/>
                <w:rFonts w:asciiTheme="majorHAnsi" w:hAnsiTheme="majorHAnsi" w:cstheme="majorHAnsi"/>
                <w:sz w:val="20"/>
                <w:szCs w:val="20"/>
                <w:lang w:eastAsia="en-AU"/>
              </w:rPr>
              <w:footnoteReference w:id="56"/>
            </w:r>
            <w:r w:rsidR="00601B61" w:rsidRPr="006E11CE">
              <w:rPr>
                <w:rFonts w:asciiTheme="majorHAnsi" w:hAnsiTheme="majorHAnsi" w:cstheme="majorHAnsi"/>
                <w:sz w:val="20"/>
                <w:szCs w:val="20"/>
                <w:lang w:eastAsia="en-AU"/>
              </w:rPr>
              <w:t xml:space="preserve"> (and bey</w:t>
            </w:r>
            <w:r w:rsidR="00601B61" w:rsidRPr="00601B61">
              <w:rPr>
                <w:rFonts w:asciiTheme="majorHAnsi" w:hAnsiTheme="majorHAnsi" w:cstheme="majorHAnsi"/>
                <w:sz w:val="20"/>
                <w:szCs w:val="20"/>
                <w:lang w:eastAsia="en-AU"/>
              </w:rPr>
              <w:t xml:space="preserve">ond for FMP) and for handling emergency cases. </w:t>
            </w:r>
          </w:p>
        </w:tc>
        <w:tc>
          <w:tcPr>
            <w:tcW w:w="0" w:type="auto"/>
            <w:vAlign w:val="center"/>
          </w:tcPr>
          <w:p w14:paraId="2327ED9F" w14:textId="77777777" w:rsidR="000D259B" w:rsidRDefault="00601B61">
            <w:pPr>
              <w:spacing w:after="120"/>
              <w:jc w:val="both"/>
              <w:rPr>
                <w:rFonts w:asciiTheme="majorHAnsi" w:hAnsiTheme="majorHAnsi" w:cstheme="majorHAnsi"/>
                <w:color w:val="0000FF"/>
                <w:sz w:val="20"/>
                <w:szCs w:val="20"/>
              </w:rPr>
            </w:pPr>
            <w:r w:rsidRPr="00601B61">
              <w:rPr>
                <w:rFonts w:asciiTheme="majorHAnsi" w:hAnsiTheme="majorHAnsi" w:cstheme="majorHAnsi"/>
                <w:color w:val="0000FF"/>
                <w:sz w:val="20"/>
                <w:szCs w:val="20"/>
              </w:rPr>
              <w:t>A, B, E, O</w:t>
            </w:r>
          </w:p>
        </w:tc>
      </w:tr>
      <w:tr w:rsidR="00DA31F6" w:rsidRPr="00267B79" w14:paraId="302D944C" w14:textId="77777777">
        <w:tc>
          <w:tcPr>
            <w:tcW w:w="0" w:type="auto"/>
          </w:tcPr>
          <w:p w14:paraId="5000F8EB" w14:textId="77777777" w:rsidR="000D259B" w:rsidRDefault="00601B61" w:rsidP="00BB2011">
            <w:pPr>
              <w:spacing w:after="120"/>
              <w:jc w:val="both"/>
              <w:rPr>
                <w:rFonts w:asciiTheme="majorHAnsi" w:hAnsiTheme="majorHAnsi" w:cstheme="majorHAnsi"/>
                <w:sz w:val="20"/>
                <w:szCs w:val="20"/>
                <w:lang w:eastAsia="en-AU"/>
              </w:rPr>
            </w:pPr>
            <w:r w:rsidRPr="00601B61">
              <w:rPr>
                <w:rFonts w:asciiTheme="majorHAnsi" w:hAnsiTheme="majorHAnsi" w:cstheme="majorHAnsi"/>
                <w:b/>
                <w:sz w:val="20"/>
                <w:szCs w:val="20"/>
                <w:lang w:eastAsia="en-AU"/>
              </w:rPr>
              <w:t>Reach</w:t>
            </w:r>
            <w:r w:rsidRPr="00601B61">
              <w:rPr>
                <w:rFonts w:asciiTheme="majorHAnsi" w:hAnsiTheme="majorHAnsi" w:cstheme="majorHAnsi"/>
                <w:sz w:val="20"/>
                <w:szCs w:val="20"/>
                <w:lang w:eastAsia="en-AU"/>
              </w:rPr>
              <w:t xml:space="preserve">: In general, program implementation includes emphasis on inclusion of people with disabilities. The scope of the program’s FP activities </w:t>
            </w:r>
            <w:r w:rsidRPr="00601B61">
              <w:rPr>
                <w:rFonts w:asciiTheme="majorHAnsi" w:hAnsiTheme="majorHAnsi" w:cstheme="majorHAnsi"/>
                <w:sz w:val="20"/>
              </w:rPr>
              <w:t>recently expanded from eight to 12 municipalities, enabling many more people to be reached.</w:t>
            </w:r>
            <w:r w:rsidRPr="00601B61">
              <w:rPr>
                <w:rStyle w:val="FootnoteReference"/>
                <w:rFonts w:asciiTheme="majorHAnsi" w:hAnsiTheme="majorHAnsi" w:cstheme="majorHAnsi"/>
                <w:sz w:val="20"/>
              </w:rPr>
              <w:footnoteReference w:id="57"/>
            </w:r>
            <w:r w:rsidRPr="00601B61">
              <w:rPr>
                <w:rFonts w:asciiTheme="majorHAnsi" w:hAnsiTheme="majorHAnsi" w:cstheme="majorHAnsi"/>
                <w:sz w:val="20"/>
              </w:rPr>
              <w:t xml:space="preserve"> </w:t>
            </w:r>
            <w:r w:rsidRPr="00601B61">
              <w:rPr>
                <w:rFonts w:asciiTheme="majorHAnsi" w:hAnsiTheme="majorHAnsi" w:cstheme="majorHAnsi"/>
                <w:sz w:val="20"/>
                <w:szCs w:val="20"/>
                <w:lang w:eastAsia="en-AU"/>
              </w:rPr>
              <w:t xml:space="preserve">The program also helps to improve the reach of RMNCH services by improving functionality of transport (for routine services, such as SISCa for remote communities, and for fetching mothers to and from HFs for delivery - as well as for referrals and emergencies). The Health Transport project has demonstrated that MOH was paying over the odds for maintenance in the past and </w:t>
            </w:r>
            <w:r w:rsidR="00C5062D">
              <w:rPr>
                <w:rFonts w:asciiTheme="majorHAnsi" w:hAnsiTheme="majorHAnsi" w:cstheme="majorHAnsi"/>
                <w:sz w:val="20"/>
                <w:szCs w:val="20"/>
                <w:lang w:eastAsia="en-AU"/>
              </w:rPr>
              <w:t xml:space="preserve">has </w:t>
            </w:r>
            <w:r w:rsidRPr="00601B61">
              <w:rPr>
                <w:rFonts w:asciiTheme="majorHAnsi" w:hAnsiTheme="majorHAnsi" w:cstheme="majorHAnsi"/>
                <w:sz w:val="20"/>
                <w:szCs w:val="20"/>
                <w:lang w:eastAsia="en-AU"/>
              </w:rPr>
              <w:t>shown how repairs can be done much more economically in future; this should enable MOH to extend services and reach more people. Liga Inan helps midwives to reach mothers with information about care before, during and after delivery. While TL’s mobile phone networks cover a large proportion of the population and the majority have mobile phones, it is nonetheless possible that Liga Inan has unintended effects on socio-economic inequities.</w:t>
            </w:r>
            <w:r w:rsidRPr="00601B61">
              <w:rPr>
                <w:rStyle w:val="FootnoteReference"/>
                <w:rFonts w:asciiTheme="majorHAnsi" w:hAnsiTheme="majorHAnsi" w:cstheme="majorHAnsi"/>
                <w:sz w:val="20"/>
                <w:szCs w:val="20"/>
                <w:lang w:eastAsia="en-AU"/>
              </w:rPr>
              <w:footnoteReference w:id="58"/>
            </w:r>
            <w:r w:rsidRPr="00601B61">
              <w:rPr>
                <w:rFonts w:asciiTheme="majorHAnsi" w:hAnsiTheme="majorHAnsi" w:cstheme="majorHAnsi"/>
                <w:sz w:val="20"/>
                <w:szCs w:val="20"/>
                <w:lang w:eastAsia="en-AU"/>
              </w:rPr>
              <w:t xml:space="preserve"> Not only are the poorest and those in remote communities less likely to have phones and/or network access, they are also less likely to have any ANC, and since ANC1 is the gateway to enrolment in Liga Inan the 16% who get no ANC </w:t>
            </w:r>
            <w:r w:rsidR="00BB2011">
              <w:rPr>
                <w:rFonts w:asciiTheme="majorHAnsi" w:hAnsiTheme="majorHAnsi" w:cstheme="majorHAnsi"/>
                <w:sz w:val="20"/>
                <w:szCs w:val="20"/>
                <w:lang w:eastAsia="en-AU"/>
              </w:rPr>
              <w:t>are</w:t>
            </w:r>
            <w:r w:rsidRPr="00601B61">
              <w:rPr>
                <w:rFonts w:asciiTheme="majorHAnsi" w:hAnsiTheme="majorHAnsi" w:cstheme="majorHAnsi"/>
                <w:sz w:val="20"/>
                <w:szCs w:val="20"/>
                <w:lang w:eastAsia="en-AU"/>
              </w:rPr>
              <w:t xml:space="preserve"> excluded by default.</w:t>
            </w:r>
            <w:r w:rsidRPr="00601B61">
              <w:rPr>
                <w:rStyle w:val="FootnoteReference"/>
                <w:rFonts w:asciiTheme="majorHAnsi" w:hAnsiTheme="majorHAnsi" w:cstheme="majorHAnsi"/>
                <w:sz w:val="20"/>
                <w:szCs w:val="20"/>
                <w:lang w:eastAsia="en-AU"/>
              </w:rPr>
              <w:footnoteReference w:id="59"/>
            </w:r>
            <w:r w:rsidRPr="00601B61">
              <w:rPr>
                <w:rFonts w:asciiTheme="majorHAnsi" w:hAnsiTheme="majorHAnsi" w:cstheme="majorHAnsi"/>
                <w:sz w:val="20"/>
                <w:szCs w:val="20"/>
                <w:lang w:eastAsia="en-AU"/>
              </w:rPr>
              <w:t xml:space="preserve"> </w:t>
            </w:r>
          </w:p>
        </w:tc>
        <w:tc>
          <w:tcPr>
            <w:tcW w:w="0" w:type="auto"/>
            <w:vAlign w:val="center"/>
          </w:tcPr>
          <w:p w14:paraId="505A3845" w14:textId="77777777" w:rsidR="000D259B" w:rsidRDefault="00601B61">
            <w:pPr>
              <w:spacing w:after="120"/>
              <w:jc w:val="both"/>
              <w:rPr>
                <w:rFonts w:asciiTheme="majorHAnsi" w:hAnsiTheme="majorHAnsi" w:cstheme="majorHAnsi"/>
                <w:color w:val="0000FF"/>
                <w:sz w:val="20"/>
                <w:szCs w:val="20"/>
              </w:rPr>
            </w:pPr>
            <w:r w:rsidRPr="00601B61">
              <w:rPr>
                <w:rFonts w:asciiTheme="majorHAnsi" w:hAnsiTheme="majorHAnsi" w:cstheme="majorHAnsi"/>
                <w:color w:val="0000FF"/>
                <w:sz w:val="20"/>
                <w:szCs w:val="20"/>
              </w:rPr>
              <w:t>D, E, G, M</w:t>
            </w:r>
          </w:p>
        </w:tc>
      </w:tr>
      <w:tr w:rsidR="00DA31F6" w:rsidRPr="00267B79" w14:paraId="068DC6F5" w14:textId="77777777">
        <w:tc>
          <w:tcPr>
            <w:tcW w:w="0" w:type="auto"/>
          </w:tcPr>
          <w:p w14:paraId="5F9EEA4B" w14:textId="77777777" w:rsidR="00307D2E" w:rsidRPr="00307D2E" w:rsidRDefault="00497668">
            <w:pPr>
              <w:spacing w:after="120"/>
              <w:jc w:val="both"/>
              <w:rPr>
                <w:rFonts w:asciiTheme="majorHAnsi" w:hAnsiTheme="majorHAnsi" w:cstheme="majorHAnsi"/>
                <w:sz w:val="20"/>
                <w:szCs w:val="20"/>
                <w:lang w:eastAsia="en-AU"/>
              </w:rPr>
            </w:pPr>
            <w:r>
              <w:rPr>
                <w:rFonts w:asciiTheme="majorHAnsi" w:hAnsiTheme="majorHAnsi" w:cstheme="majorHAnsi"/>
                <w:sz w:val="20"/>
                <w:szCs w:val="20"/>
                <w:lang w:eastAsia="en-AU"/>
              </w:rPr>
              <w:t>MSTL introduced a</w:t>
            </w:r>
            <w:r w:rsidR="00F6485D" w:rsidRPr="00601B61">
              <w:rPr>
                <w:rFonts w:asciiTheme="majorHAnsi" w:hAnsiTheme="majorHAnsi" w:cstheme="majorHAnsi"/>
                <w:sz w:val="20"/>
                <w:szCs w:val="20"/>
                <w:lang w:eastAsia="en-AU"/>
              </w:rPr>
              <w:t xml:space="preserve"> </w:t>
            </w:r>
            <w:r w:rsidR="00601B61" w:rsidRPr="00601B61">
              <w:rPr>
                <w:rFonts w:asciiTheme="majorHAnsi" w:hAnsiTheme="majorHAnsi" w:cstheme="majorHAnsi"/>
                <w:sz w:val="20"/>
                <w:szCs w:val="20"/>
                <w:lang w:eastAsia="en-AU"/>
              </w:rPr>
              <w:t>midwife coaching model (for improving range, quality and reach of FP services)</w:t>
            </w:r>
            <w:r>
              <w:rPr>
                <w:rFonts w:asciiTheme="majorHAnsi" w:hAnsiTheme="majorHAnsi" w:cstheme="majorHAnsi"/>
                <w:sz w:val="20"/>
                <w:szCs w:val="20"/>
                <w:lang w:eastAsia="en-AU"/>
              </w:rPr>
              <w:t xml:space="preserve"> in Ainaro municipality and</w:t>
            </w:r>
            <w:r w:rsidR="00601B61" w:rsidRPr="00601B61">
              <w:rPr>
                <w:rFonts w:asciiTheme="majorHAnsi" w:hAnsiTheme="majorHAnsi" w:cstheme="majorHAnsi"/>
                <w:sz w:val="20"/>
                <w:szCs w:val="20"/>
                <w:lang w:eastAsia="en-AU"/>
              </w:rPr>
              <w:t xml:space="preserve"> is </w:t>
            </w:r>
            <w:r w:rsidR="00375B49">
              <w:rPr>
                <w:rFonts w:asciiTheme="majorHAnsi" w:hAnsiTheme="majorHAnsi" w:cstheme="majorHAnsi"/>
                <w:sz w:val="20"/>
                <w:szCs w:val="20"/>
                <w:lang w:eastAsia="en-AU"/>
              </w:rPr>
              <w:t>evaluating it</w:t>
            </w:r>
            <w:r w:rsidR="00375B49" w:rsidRPr="00375B49">
              <w:rPr>
                <w:rFonts w:asciiTheme="majorHAnsi" w:hAnsiTheme="majorHAnsi" w:cstheme="majorHAnsi"/>
                <w:sz w:val="20"/>
                <w:szCs w:val="20"/>
                <w:lang w:eastAsia="en-AU"/>
              </w:rPr>
              <w:t xml:space="preserve"> to assess its effectiveness and suitability for use in other municipalities.</w:t>
            </w:r>
            <w:r w:rsidR="00601B61" w:rsidRPr="00601B61">
              <w:rPr>
                <w:rFonts w:asciiTheme="majorHAnsi" w:hAnsiTheme="majorHAnsi" w:cstheme="majorHAnsi"/>
                <w:sz w:val="20"/>
                <w:szCs w:val="20"/>
                <w:lang w:eastAsia="en-AU"/>
              </w:rPr>
              <w:t xml:space="preserve"> </w:t>
            </w:r>
          </w:p>
        </w:tc>
        <w:tc>
          <w:tcPr>
            <w:tcW w:w="0" w:type="auto"/>
            <w:vAlign w:val="center"/>
          </w:tcPr>
          <w:p w14:paraId="6E8F3269"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L, O</w:t>
            </w:r>
          </w:p>
        </w:tc>
      </w:tr>
      <w:tr w:rsidR="00DA31F6" w:rsidRPr="00267B79" w14:paraId="745BFE60" w14:textId="77777777">
        <w:tc>
          <w:tcPr>
            <w:tcW w:w="0" w:type="auto"/>
          </w:tcPr>
          <w:p w14:paraId="08164C32" w14:textId="77777777" w:rsidR="000D259B" w:rsidRDefault="00B36AA1">
            <w:pPr>
              <w:spacing w:after="120"/>
              <w:jc w:val="both"/>
              <w:rPr>
                <w:rFonts w:asciiTheme="majorHAnsi" w:hAnsiTheme="majorHAnsi" w:cstheme="majorHAnsi"/>
                <w:sz w:val="20"/>
                <w:szCs w:val="20"/>
                <w:lang w:eastAsia="en-AU"/>
              </w:rPr>
            </w:pPr>
            <w:r w:rsidRPr="00B36AA1">
              <w:rPr>
                <w:rFonts w:asciiTheme="majorHAnsi" w:hAnsiTheme="majorHAnsi" w:cstheme="majorHAnsi"/>
                <w:sz w:val="20"/>
                <w:szCs w:val="20"/>
                <w:lang w:eastAsia="en-AU"/>
              </w:rPr>
              <w:t>In relation to all of the above, the weak link is HF readiness</w:t>
            </w:r>
            <w:r w:rsidR="00CB2158">
              <w:rPr>
                <w:rFonts w:asciiTheme="majorHAnsi" w:hAnsiTheme="majorHAnsi" w:cstheme="majorHAnsi"/>
                <w:sz w:val="20"/>
                <w:szCs w:val="20"/>
                <w:lang w:eastAsia="en-AU"/>
              </w:rPr>
              <w:t>:</w:t>
            </w:r>
            <w:r w:rsidR="00B15EAD">
              <w:rPr>
                <w:rFonts w:asciiTheme="majorHAnsi" w:hAnsiTheme="majorHAnsi" w:cstheme="majorHAnsi"/>
                <w:sz w:val="20"/>
                <w:szCs w:val="20"/>
                <w:lang w:eastAsia="en-AU"/>
              </w:rPr>
              <w:t xml:space="preserve"> </w:t>
            </w:r>
            <w:r w:rsidR="00CB2158">
              <w:rPr>
                <w:rFonts w:asciiTheme="majorHAnsi" w:hAnsiTheme="majorHAnsi" w:cstheme="majorHAnsi"/>
                <w:sz w:val="20"/>
                <w:szCs w:val="20"/>
                <w:lang w:eastAsia="en-AU"/>
              </w:rPr>
              <w:t>while the program contributes to improving range and quality of services mainly by improving health workers’ skills and competences, the abilities gained through training may subsequently decline i</w:t>
            </w:r>
            <w:r w:rsidRPr="00B36AA1">
              <w:rPr>
                <w:rFonts w:asciiTheme="majorHAnsi" w:hAnsiTheme="majorHAnsi" w:cstheme="majorHAnsi"/>
                <w:sz w:val="20"/>
                <w:szCs w:val="20"/>
                <w:lang w:eastAsia="en-AU"/>
              </w:rPr>
              <w:t xml:space="preserve">f </w:t>
            </w:r>
            <w:r w:rsidR="00CB2158">
              <w:rPr>
                <w:rFonts w:asciiTheme="majorHAnsi" w:hAnsiTheme="majorHAnsi" w:cstheme="majorHAnsi"/>
                <w:sz w:val="20"/>
                <w:szCs w:val="20"/>
                <w:lang w:eastAsia="en-AU"/>
              </w:rPr>
              <w:t xml:space="preserve">those who have been trained </w:t>
            </w:r>
            <w:r w:rsidRPr="00B36AA1">
              <w:rPr>
                <w:rFonts w:asciiTheme="majorHAnsi" w:hAnsiTheme="majorHAnsi" w:cstheme="majorHAnsi"/>
                <w:sz w:val="20"/>
                <w:szCs w:val="20"/>
                <w:lang w:eastAsia="en-AU"/>
              </w:rPr>
              <w:t>can</w:t>
            </w:r>
            <w:r w:rsidR="005644C1">
              <w:rPr>
                <w:rFonts w:asciiTheme="majorHAnsi" w:hAnsiTheme="majorHAnsi" w:cstheme="majorHAnsi"/>
                <w:sz w:val="20"/>
                <w:szCs w:val="20"/>
                <w:lang w:eastAsia="en-AU"/>
              </w:rPr>
              <w:t>no</w:t>
            </w:r>
            <w:r w:rsidRPr="00B36AA1">
              <w:rPr>
                <w:rFonts w:asciiTheme="majorHAnsi" w:hAnsiTheme="majorHAnsi" w:cstheme="majorHAnsi"/>
                <w:sz w:val="20"/>
                <w:szCs w:val="20"/>
                <w:lang w:eastAsia="en-AU"/>
              </w:rPr>
              <w:t xml:space="preserve">t fully utilise </w:t>
            </w:r>
            <w:r w:rsidR="00CB2158">
              <w:rPr>
                <w:rFonts w:asciiTheme="majorHAnsi" w:hAnsiTheme="majorHAnsi" w:cstheme="majorHAnsi"/>
                <w:sz w:val="20"/>
                <w:szCs w:val="20"/>
                <w:lang w:eastAsia="en-AU"/>
              </w:rPr>
              <w:t>what they have learned</w:t>
            </w:r>
            <w:r w:rsidRPr="00B36AA1">
              <w:rPr>
                <w:rFonts w:asciiTheme="majorHAnsi" w:hAnsiTheme="majorHAnsi" w:cstheme="majorHAnsi"/>
                <w:sz w:val="20"/>
                <w:szCs w:val="20"/>
                <w:lang w:eastAsia="en-AU"/>
              </w:rPr>
              <w:t xml:space="preserve"> </w:t>
            </w:r>
            <w:r w:rsidR="00CB2158">
              <w:rPr>
                <w:rFonts w:asciiTheme="majorHAnsi" w:hAnsiTheme="majorHAnsi" w:cstheme="majorHAnsi"/>
                <w:sz w:val="20"/>
                <w:szCs w:val="20"/>
                <w:lang w:eastAsia="en-AU"/>
              </w:rPr>
              <w:t>because their</w:t>
            </w:r>
            <w:r w:rsidR="00CB2158" w:rsidRPr="00CB2158">
              <w:rPr>
                <w:rFonts w:asciiTheme="majorHAnsi" w:hAnsiTheme="majorHAnsi" w:cstheme="majorHAnsi"/>
                <w:sz w:val="20"/>
                <w:szCs w:val="20"/>
                <w:lang w:eastAsia="en-AU"/>
              </w:rPr>
              <w:t xml:space="preserve"> HFs lack </w:t>
            </w:r>
            <w:r w:rsidR="00C5062D" w:rsidRPr="00CB2158">
              <w:rPr>
                <w:rFonts w:asciiTheme="majorHAnsi" w:hAnsiTheme="majorHAnsi" w:cstheme="majorHAnsi"/>
                <w:sz w:val="20"/>
                <w:szCs w:val="20"/>
                <w:lang w:eastAsia="en-AU"/>
              </w:rPr>
              <w:lastRenderedPageBreak/>
              <w:t>essential</w:t>
            </w:r>
            <w:r w:rsidRPr="00B36AA1">
              <w:rPr>
                <w:rFonts w:asciiTheme="majorHAnsi" w:hAnsiTheme="majorHAnsi" w:cstheme="majorHAnsi"/>
                <w:sz w:val="20"/>
                <w:szCs w:val="20"/>
                <w:lang w:eastAsia="en-AU"/>
              </w:rPr>
              <w:t xml:space="preserve"> </w:t>
            </w:r>
            <w:r w:rsidR="00CB2158" w:rsidRPr="00CB2158">
              <w:rPr>
                <w:rFonts w:asciiTheme="majorHAnsi" w:hAnsiTheme="majorHAnsi" w:cstheme="majorHAnsi"/>
                <w:sz w:val="20"/>
                <w:szCs w:val="20"/>
                <w:lang w:eastAsia="en-AU"/>
              </w:rPr>
              <w:t xml:space="preserve">infrastructure, </w:t>
            </w:r>
            <w:r w:rsidRPr="00B36AA1">
              <w:rPr>
                <w:rFonts w:asciiTheme="majorHAnsi" w:hAnsiTheme="majorHAnsi" w:cstheme="majorHAnsi"/>
                <w:sz w:val="20"/>
                <w:szCs w:val="20"/>
                <w:lang w:eastAsia="en-AU"/>
              </w:rPr>
              <w:t xml:space="preserve">equipment and </w:t>
            </w:r>
            <w:r w:rsidR="00CB2158" w:rsidRPr="00CB2158">
              <w:rPr>
                <w:rFonts w:asciiTheme="majorHAnsi" w:hAnsiTheme="majorHAnsi" w:cstheme="majorHAnsi"/>
                <w:sz w:val="20"/>
                <w:szCs w:val="20"/>
                <w:lang w:eastAsia="en-AU"/>
              </w:rPr>
              <w:t>supplies</w:t>
            </w:r>
            <w:r w:rsidRPr="00B36AA1">
              <w:rPr>
                <w:rFonts w:asciiTheme="majorHAnsi" w:hAnsiTheme="majorHAnsi" w:cstheme="majorHAnsi"/>
                <w:sz w:val="20"/>
                <w:szCs w:val="20"/>
                <w:lang w:eastAsia="en-AU"/>
              </w:rPr>
              <w:t xml:space="preserve">. </w:t>
            </w:r>
            <w:r w:rsidR="00CB2158">
              <w:rPr>
                <w:rFonts w:asciiTheme="majorHAnsi" w:hAnsiTheme="majorHAnsi" w:cstheme="majorHAnsi"/>
                <w:sz w:val="20"/>
                <w:szCs w:val="20"/>
                <w:lang w:eastAsia="en-AU"/>
              </w:rPr>
              <w:t xml:space="preserve">Lack of HF readiness may also diminish trained health workers’ motivation to provide high quality services. </w:t>
            </w:r>
          </w:p>
        </w:tc>
        <w:tc>
          <w:tcPr>
            <w:tcW w:w="0" w:type="auto"/>
            <w:vAlign w:val="center"/>
          </w:tcPr>
          <w:p w14:paraId="5A75CD90"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lastRenderedPageBreak/>
              <w:t>B, M, O</w:t>
            </w:r>
          </w:p>
        </w:tc>
      </w:tr>
    </w:tbl>
    <w:p w14:paraId="083AACC1" w14:textId="77777777" w:rsidR="00C6310F" w:rsidRPr="00C6310F" w:rsidRDefault="00C6310F" w:rsidP="00C6310F">
      <w:pPr>
        <w:jc w:val="both"/>
        <w:rPr>
          <w:rFonts w:asciiTheme="majorHAnsi" w:hAnsiTheme="majorHAnsi" w:cs="Calibri Light"/>
          <w:color w:val="000000"/>
          <w:sz w:val="20"/>
        </w:rPr>
      </w:pPr>
    </w:p>
    <w:p w14:paraId="4E020F9A" w14:textId="77777777" w:rsidR="00C6310F" w:rsidRPr="00C6310F" w:rsidRDefault="00C6310F" w:rsidP="00C6310F">
      <w:pPr>
        <w:jc w:val="both"/>
        <w:rPr>
          <w:rFonts w:asciiTheme="majorHAnsi" w:hAnsiTheme="majorHAnsi" w:cstheme="majorHAnsi"/>
          <w:b/>
          <w:sz w:val="20"/>
          <w:szCs w:val="20"/>
          <w:lang w:eastAsia="en-AU"/>
        </w:rPr>
      </w:pPr>
    </w:p>
    <w:p w14:paraId="401D5638" w14:textId="77777777" w:rsidR="00C6310F" w:rsidRDefault="00DA31F6" w:rsidP="00C6310F">
      <w:pPr>
        <w:pStyle w:val="Heading2"/>
        <w:jc w:val="both"/>
        <w:rPr>
          <w:lang w:eastAsia="en-AU"/>
        </w:rPr>
      </w:pPr>
      <w:bookmarkStart w:id="18" w:name="_Toc378838735"/>
      <w:r w:rsidRPr="00267B79">
        <w:rPr>
          <w:lang w:eastAsia="en-AU"/>
        </w:rPr>
        <w:t>5</w:t>
      </w:r>
      <w:r w:rsidR="00D91EF0" w:rsidRPr="00267B79">
        <w:rPr>
          <w:lang w:eastAsia="en-AU"/>
        </w:rPr>
        <w:t>.</w:t>
      </w:r>
      <w:r w:rsidRPr="00267B79">
        <w:rPr>
          <w:lang w:eastAsia="en-AU"/>
        </w:rPr>
        <w:t xml:space="preserve"> </w:t>
      </w:r>
      <w:r w:rsidR="009558CA" w:rsidRPr="00267B79">
        <w:rPr>
          <w:lang w:eastAsia="en-AU"/>
        </w:rPr>
        <w:t>Results</w:t>
      </w:r>
      <w:r w:rsidR="00D91EF0" w:rsidRPr="00267B79">
        <w:rPr>
          <w:lang w:eastAsia="en-AU"/>
        </w:rPr>
        <w:t xml:space="preserve"> of</w:t>
      </w:r>
      <w:r w:rsidRPr="00267B79">
        <w:rPr>
          <w:lang w:eastAsia="en-AU"/>
        </w:rPr>
        <w:t xml:space="preserve"> investments </w:t>
      </w:r>
      <w:r w:rsidR="00D91EF0" w:rsidRPr="00267B79">
        <w:rPr>
          <w:lang w:eastAsia="en-AU"/>
        </w:rPr>
        <w:t xml:space="preserve">in </w:t>
      </w:r>
      <w:r w:rsidRPr="00267B79">
        <w:rPr>
          <w:lang w:eastAsia="en-AU"/>
        </w:rPr>
        <w:t>strengthen</w:t>
      </w:r>
      <w:r w:rsidR="00D91EF0" w:rsidRPr="00267B79">
        <w:rPr>
          <w:lang w:eastAsia="en-AU"/>
        </w:rPr>
        <w:t>ing</w:t>
      </w:r>
      <w:r w:rsidRPr="00267B79">
        <w:rPr>
          <w:lang w:eastAsia="en-AU"/>
        </w:rPr>
        <w:t xml:space="preserve"> the health system to respond to </w:t>
      </w:r>
      <w:r w:rsidR="009558CA" w:rsidRPr="00267B79">
        <w:rPr>
          <w:lang w:eastAsia="en-AU"/>
        </w:rPr>
        <w:t>R</w:t>
      </w:r>
      <w:r w:rsidRPr="00267B79">
        <w:rPr>
          <w:lang w:eastAsia="en-AU"/>
        </w:rPr>
        <w:t>M</w:t>
      </w:r>
      <w:r w:rsidR="009558CA" w:rsidRPr="00267B79">
        <w:rPr>
          <w:lang w:eastAsia="en-AU"/>
        </w:rPr>
        <w:t>N</w:t>
      </w:r>
      <w:r w:rsidRPr="00267B79">
        <w:rPr>
          <w:lang w:eastAsia="en-AU"/>
        </w:rPr>
        <w:t>CH needs (</w:t>
      </w:r>
      <w:r w:rsidR="000706D9" w:rsidRPr="00267B79">
        <w:rPr>
          <w:lang w:eastAsia="en-AU"/>
        </w:rPr>
        <w:t>‘</w:t>
      </w:r>
      <w:r w:rsidRPr="00267B79">
        <w:rPr>
          <w:lang w:eastAsia="en-AU"/>
        </w:rPr>
        <w:t>enabling environment</w:t>
      </w:r>
      <w:r w:rsidR="000706D9" w:rsidRPr="00267B79">
        <w:rPr>
          <w:lang w:eastAsia="en-AU"/>
        </w:rPr>
        <w:t>’</w:t>
      </w:r>
      <w:r w:rsidRPr="00267B79">
        <w:rPr>
          <w:lang w:eastAsia="en-AU"/>
        </w:rPr>
        <w:t>)</w:t>
      </w:r>
      <w:bookmarkEnd w:id="18"/>
      <w:r w:rsidRPr="00267B79">
        <w:rPr>
          <w:lang w:eastAsia="en-AU"/>
        </w:rPr>
        <w:t xml:space="preserve">  </w:t>
      </w:r>
    </w:p>
    <w:tbl>
      <w:tblPr>
        <w:tblW w:w="0" w:type="auto"/>
        <w:tblLook w:val="00A0" w:firstRow="1" w:lastRow="0" w:firstColumn="1" w:lastColumn="0" w:noHBand="0" w:noVBand="0"/>
      </w:tblPr>
      <w:tblGrid>
        <w:gridCol w:w="7439"/>
        <w:gridCol w:w="861"/>
      </w:tblGrid>
      <w:tr w:rsidR="00DA31F6" w:rsidRPr="00267B79" w14:paraId="6AFFFAEF" w14:textId="77777777">
        <w:tc>
          <w:tcPr>
            <w:tcW w:w="0" w:type="auto"/>
          </w:tcPr>
          <w:p w14:paraId="408182ED" w14:textId="77777777" w:rsidR="000D259B" w:rsidRDefault="000D259B">
            <w:pPr>
              <w:jc w:val="both"/>
              <w:rPr>
                <w:rFonts w:asciiTheme="majorHAnsi" w:hAnsiTheme="majorHAnsi" w:cstheme="majorHAnsi"/>
                <w:b/>
                <w:sz w:val="20"/>
                <w:szCs w:val="20"/>
                <w:lang w:eastAsia="en-AU"/>
              </w:rPr>
            </w:pPr>
          </w:p>
        </w:tc>
        <w:tc>
          <w:tcPr>
            <w:tcW w:w="0" w:type="auto"/>
            <w:vAlign w:val="center"/>
          </w:tcPr>
          <w:p w14:paraId="43889D1B" w14:textId="77777777" w:rsidR="000D259B" w:rsidRDefault="00B36AA1">
            <w:pPr>
              <w:jc w:val="both"/>
              <w:rPr>
                <w:rFonts w:asciiTheme="majorHAnsi" w:hAnsiTheme="majorHAnsi" w:cstheme="majorHAnsi"/>
                <w:b/>
                <w:color w:val="0000FF"/>
                <w:sz w:val="20"/>
                <w:szCs w:val="20"/>
              </w:rPr>
            </w:pPr>
            <w:r w:rsidRPr="00B36AA1">
              <w:rPr>
                <w:rFonts w:asciiTheme="majorHAnsi" w:hAnsiTheme="majorHAnsi" w:cstheme="majorHAnsi"/>
                <w:b/>
                <w:color w:val="0000FF"/>
                <w:sz w:val="20"/>
                <w:szCs w:val="20"/>
              </w:rPr>
              <w:t>Sources</w:t>
            </w:r>
          </w:p>
        </w:tc>
      </w:tr>
      <w:tr w:rsidR="00DA31F6" w:rsidRPr="00267B79" w14:paraId="7759B5E9" w14:textId="77777777">
        <w:tc>
          <w:tcPr>
            <w:tcW w:w="0" w:type="auto"/>
          </w:tcPr>
          <w:p w14:paraId="794A92C4" w14:textId="77777777" w:rsidR="000D259B" w:rsidRDefault="00307D2E" w:rsidP="0093515A">
            <w:pPr>
              <w:spacing w:after="120"/>
              <w:jc w:val="both"/>
              <w:rPr>
                <w:rFonts w:asciiTheme="majorHAnsi" w:hAnsiTheme="majorHAnsi" w:cstheme="majorHAnsi"/>
                <w:sz w:val="20"/>
                <w:szCs w:val="20"/>
                <w:lang w:eastAsia="en-AU"/>
              </w:rPr>
            </w:pPr>
            <w:r w:rsidRPr="00307D2E">
              <w:rPr>
                <w:rFonts w:asciiTheme="majorHAnsi" w:hAnsiTheme="majorHAnsi" w:cstheme="majorHAnsi"/>
                <w:b/>
                <w:sz w:val="20"/>
                <w:szCs w:val="20"/>
                <w:lang w:eastAsia="en-AU"/>
              </w:rPr>
              <w:t>M&amp;E TA</w:t>
            </w:r>
            <w:r w:rsidRPr="00307D2E">
              <w:rPr>
                <w:rFonts w:asciiTheme="majorHAnsi" w:hAnsiTheme="majorHAnsi" w:cstheme="majorHAnsi"/>
                <w:sz w:val="20"/>
                <w:szCs w:val="20"/>
                <w:lang w:eastAsia="en-AU"/>
              </w:rPr>
              <w:t xml:space="preserve">: MOH recognises that the M&amp;E adviser has </w:t>
            </w:r>
            <w:bookmarkStart w:id="19" w:name="_Hlk495396122"/>
            <w:r w:rsidRPr="00307D2E">
              <w:rPr>
                <w:rFonts w:asciiTheme="majorHAnsi" w:hAnsiTheme="majorHAnsi" w:cstheme="majorHAnsi"/>
                <w:sz w:val="20"/>
                <w:szCs w:val="20"/>
                <w:lang w:eastAsia="en-AU"/>
              </w:rPr>
              <w:t>helped them to design the NHSSP M&amp;E framework, implement</w:t>
            </w:r>
            <w:r w:rsidR="00655BBD">
              <w:rPr>
                <w:rFonts w:asciiTheme="majorHAnsi" w:hAnsiTheme="majorHAnsi" w:cstheme="majorHAnsi"/>
                <w:sz w:val="20"/>
                <w:szCs w:val="20"/>
                <w:lang w:eastAsia="en-AU"/>
              </w:rPr>
              <w:t xml:space="preserve"> the</w:t>
            </w:r>
            <w:r w:rsidRPr="00307D2E">
              <w:rPr>
                <w:rFonts w:asciiTheme="majorHAnsi" w:hAnsiTheme="majorHAnsi" w:cstheme="majorHAnsi"/>
                <w:sz w:val="20"/>
                <w:szCs w:val="20"/>
                <w:lang w:eastAsia="en-AU"/>
              </w:rPr>
              <w:t xml:space="preserve"> </w:t>
            </w:r>
            <w:r w:rsidR="0093515A" w:rsidRPr="0093515A">
              <w:rPr>
                <w:rFonts w:asciiTheme="majorHAnsi" w:hAnsiTheme="majorHAnsi" w:cstheme="majorHAnsi"/>
                <w:sz w:val="20"/>
                <w:szCs w:val="20"/>
                <w:lang w:eastAsia="en-AU"/>
              </w:rPr>
              <w:t>TLHIS</w:t>
            </w:r>
            <w:r w:rsidRPr="00307D2E">
              <w:rPr>
                <w:rFonts w:asciiTheme="majorHAnsi" w:hAnsiTheme="majorHAnsi" w:cstheme="majorHAnsi"/>
                <w:sz w:val="20"/>
                <w:szCs w:val="20"/>
                <w:lang w:eastAsia="en-AU"/>
              </w:rPr>
              <w:t xml:space="preserve">, and pilot community-based </w:t>
            </w:r>
            <w:r w:rsidRPr="00FE603E">
              <w:rPr>
                <w:rFonts w:asciiTheme="majorHAnsi" w:hAnsiTheme="majorHAnsi" w:cstheme="majorHAnsi"/>
                <w:sz w:val="20"/>
                <w:szCs w:val="20"/>
                <w:lang w:eastAsia="en-AU"/>
              </w:rPr>
              <w:t>monitoring (CBM)</w:t>
            </w:r>
            <w:r w:rsidR="005644C1">
              <w:rPr>
                <w:rFonts w:asciiTheme="majorHAnsi" w:hAnsiTheme="majorHAnsi" w:cstheme="majorHAnsi"/>
                <w:sz w:val="20"/>
                <w:szCs w:val="20"/>
                <w:lang w:eastAsia="en-AU"/>
              </w:rPr>
              <w:t xml:space="preserve"> </w:t>
            </w:r>
            <w:r w:rsidR="00655BBD">
              <w:rPr>
                <w:rFonts w:asciiTheme="majorHAnsi" w:hAnsiTheme="majorHAnsi" w:cstheme="majorHAnsi"/>
                <w:sz w:val="20"/>
                <w:szCs w:val="20"/>
                <w:lang w:eastAsia="en-AU"/>
              </w:rPr>
              <w:t>in the health sector</w:t>
            </w:r>
            <w:r w:rsidRPr="00307D2E">
              <w:rPr>
                <w:rFonts w:asciiTheme="majorHAnsi" w:hAnsiTheme="majorHAnsi" w:cstheme="majorHAnsi"/>
                <w:sz w:val="20"/>
                <w:szCs w:val="20"/>
                <w:lang w:eastAsia="en-AU"/>
              </w:rPr>
              <w:t xml:space="preserve">. </w:t>
            </w:r>
            <w:bookmarkEnd w:id="19"/>
            <w:r w:rsidRPr="0093515A">
              <w:rPr>
                <w:rFonts w:asciiTheme="majorHAnsi" w:hAnsiTheme="majorHAnsi" w:cstheme="majorHAnsi"/>
                <w:sz w:val="20"/>
                <w:szCs w:val="20"/>
                <w:lang w:eastAsia="en-AU"/>
              </w:rPr>
              <w:t xml:space="preserve">Whether or not TLHIS is eventually superseded or simply complemented by </w:t>
            </w:r>
            <w:r w:rsidR="00C6310F" w:rsidRPr="0093515A">
              <w:rPr>
                <w:rFonts w:asciiTheme="majorHAnsi" w:hAnsiTheme="majorHAnsi" w:cstheme="majorHAnsi"/>
                <w:sz w:val="20"/>
                <w:szCs w:val="20"/>
                <w:lang w:eastAsia="en-AU"/>
              </w:rPr>
              <w:t>SnF (</w:t>
            </w:r>
            <w:r w:rsidR="00655BBD" w:rsidRPr="0093515A">
              <w:rPr>
                <w:rFonts w:asciiTheme="majorHAnsi" w:hAnsiTheme="majorHAnsi" w:cstheme="majorHAnsi"/>
                <w:sz w:val="20"/>
                <w:szCs w:val="20"/>
                <w:lang w:eastAsia="en-AU"/>
              </w:rPr>
              <w:t>see above</w:t>
            </w:r>
            <w:r w:rsidR="00C6310F" w:rsidRPr="0093515A">
              <w:rPr>
                <w:rFonts w:asciiTheme="majorHAnsi" w:hAnsiTheme="majorHAnsi" w:cstheme="majorHAnsi"/>
                <w:sz w:val="20"/>
                <w:szCs w:val="20"/>
                <w:lang w:eastAsia="en-AU"/>
              </w:rPr>
              <w:t>)</w:t>
            </w:r>
            <w:r w:rsidRPr="0093515A">
              <w:rPr>
                <w:rFonts w:asciiTheme="majorHAnsi" w:hAnsiTheme="majorHAnsi" w:cstheme="majorHAnsi"/>
                <w:sz w:val="20"/>
                <w:szCs w:val="20"/>
                <w:lang w:eastAsia="en-AU"/>
              </w:rPr>
              <w:t>, improved</w:t>
            </w:r>
            <w:r w:rsidRPr="00307D2E">
              <w:rPr>
                <w:rFonts w:asciiTheme="majorHAnsi" w:hAnsiTheme="majorHAnsi" w:cstheme="majorHAnsi"/>
                <w:sz w:val="20"/>
                <w:szCs w:val="20"/>
                <w:lang w:eastAsia="en-AU"/>
              </w:rPr>
              <w:t xml:space="preserve"> information, use of information in decision-making and </w:t>
            </w:r>
            <w:r w:rsidR="008B238F">
              <w:rPr>
                <w:rFonts w:asciiTheme="majorHAnsi" w:hAnsiTheme="majorHAnsi" w:cstheme="majorHAnsi"/>
                <w:sz w:val="20"/>
                <w:szCs w:val="20"/>
                <w:lang w:eastAsia="en-AU"/>
              </w:rPr>
              <w:t>stronger</w:t>
            </w:r>
            <w:r w:rsidR="00B36AA1" w:rsidRPr="00B36AA1">
              <w:rPr>
                <w:rFonts w:asciiTheme="majorHAnsi" w:hAnsiTheme="majorHAnsi" w:cstheme="majorHAnsi"/>
                <w:sz w:val="20"/>
                <w:szCs w:val="20"/>
                <w:lang w:eastAsia="en-AU"/>
              </w:rPr>
              <w:t xml:space="preserve"> engagement of citizens have great potential to improve governance of the health sector.</w:t>
            </w:r>
          </w:p>
        </w:tc>
        <w:tc>
          <w:tcPr>
            <w:tcW w:w="0" w:type="auto"/>
            <w:vAlign w:val="center"/>
          </w:tcPr>
          <w:p w14:paraId="3CED516E"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B</w:t>
            </w:r>
          </w:p>
        </w:tc>
      </w:tr>
      <w:tr w:rsidR="00DA31F6" w:rsidRPr="00267B79" w14:paraId="3ED50E78" w14:textId="77777777">
        <w:tc>
          <w:tcPr>
            <w:tcW w:w="0" w:type="auto"/>
          </w:tcPr>
          <w:p w14:paraId="47A49A63" w14:textId="77777777" w:rsidR="000D259B" w:rsidRDefault="004B3B8F">
            <w:pPr>
              <w:spacing w:after="120"/>
              <w:jc w:val="both"/>
              <w:rPr>
                <w:rFonts w:asciiTheme="majorHAnsi" w:hAnsiTheme="majorHAnsi" w:cstheme="majorHAnsi"/>
                <w:sz w:val="20"/>
                <w:szCs w:val="20"/>
                <w:lang w:eastAsia="en-AU"/>
              </w:rPr>
            </w:pPr>
            <w:r w:rsidRPr="004B3B8F">
              <w:rPr>
                <w:rFonts w:asciiTheme="majorHAnsi" w:hAnsiTheme="majorHAnsi" w:cstheme="majorHAnsi"/>
                <w:b/>
                <w:sz w:val="20"/>
                <w:szCs w:val="20"/>
                <w:lang w:eastAsia="en-AU"/>
              </w:rPr>
              <w:t>Public financial management (PFM) TA</w:t>
            </w:r>
            <w:r w:rsidRPr="004B3B8F">
              <w:rPr>
                <w:rFonts w:asciiTheme="majorHAnsi" w:hAnsiTheme="majorHAnsi" w:cstheme="majorHAnsi"/>
                <w:sz w:val="20"/>
                <w:szCs w:val="20"/>
                <w:lang w:eastAsia="en-AU"/>
              </w:rPr>
              <w:t>: The PFM adviser is engaged with MOH and municipalities on program-based budgeting and decentralisation.</w:t>
            </w:r>
            <w:r w:rsidR="005644C1">
              <w:rPr>
                <w:rFonts w:asciiTheme="majorHAnsi" w:hAnsiTheme="majorHAnsi" w:cstheme="majorHAnsi"/>
                <w:sz w:val="20"/>
                <w:szCs w:val="20"/>
                <w:lang w:eastAsia="en-AU"/>
              </w:rPr>
              <w:t xml:space="preserve"> </w:t>
            </w:r>
            <w:r w:rsidRPr="004B3B8F">
              <w:rPr>
                <w:rFonts w:asciiTheme="majorHAnsi" w:hAnsiTheme="majorHAnsi" w:cstheme="majorHAnsi"/>
                <w:sz w:val="20"/>
                <w:szCs w:val="20"/>
                <w:lang w:eastAsia="en-AU"/>
              </w:rPr>
              <w:t>By elucidating the challenges posed by these initiatives, his work is helping</w:t>
            </w:r>
            <w:r w:rsidR="00571A63">
              <w:rPr>
                <w:rFonts w:asciiTheme="majorHAnsi" w:hAnsiTheme="majorHAnsi" w:cstheme="majorHAnsi"/>
                <w:sz w:val="20"/>
                <w:szCs w:val="20"/>
                <w:lang w:eastAsia="en-AU"/>
              </w:rPr>
              <w:t xml:space="preserve"> MOH</w:t>
            </w:r>
            <w:r w:rsidRPr="004B3B8F">
              <w:rPr>
                <w:rFonts w:asciiTheme="majorHAnsi" w:hAnsiTheme="majorHAnsi" w:cstheme="majorHAnsi"/>
                <w:sz w:val="20"/>
                <w:szCs w:val="20"/>
                <w:lang w:eastAsia="en-AU"/>
              </w:rPr>
              <w:t xml:space="preserve"> to identify critical areas for </w:t>
            </w:r>
            <w:r w:rsidRPr="004B3B8F">
              <w:rPr>
                <w:rFonts w:asciiTheme="majorHAnsi" w:hAnsiTheme="majorHAnsi" w:cstheme="majorHAnsi"/>
                <w:sz w:val="20"/>
                <w:szCs w:val="20"/>
              </w:rPr>
              <w:t xml:space="preserve">additional support, e.g., among </w:t>
            </w:r>
            <w:r w:rsidR="00DD3D03">
              <w:rPr>
                <w:rFonts w:asciiTheme="majorHAnsi" w:hAnsiTheme="majorHAnsi" w:cstheme="majorHAnsi"/>
                <w:sz w:val="20"/>
                <w:szCs w:val="20"/>
              </w:rPr>
              <w:t>mid</w:t>
            </w:r>
            <w:r w:rsidR="002939D9">
              <w:rPr>
                <w:rFonts w:asciiTheme="majorHAnsi" w:hAnsiTheme="majorHAnsi" w:cstheme="majorHAnsi"/>
                <w:sz w:val="20"/>
                <w:szCs w:val="20"/>
              </w:rPr>
              <w:t>dle</w:t>
            </w:r>
            <w:r w:rsidR="00DD3D03">
              <w:rPr>
                <w:rFonts w:asciiTheme="majorHAnsi" w:hAnsiTheme="majorHAnsi" w:cstheme="majorHAnsi"/>
                <w:sz w:val="20"/>
                <w:szCs w:val="20"/>
              </w:rPr>
              <w:t>-level managers</w:t>
            </w:r>
            <w:r w:rsidRPr="004B3B8F">
              <w:rPr>
                <w:rFonts w:asciiTheme="majorHAnsi" w:hAnsiTheme="majorHAnsi" w:cstheme="majorHAnsi"/>
                <w:sz w:val="20"/>
                <w:szCs w:val="20"/>
              </w:rPr>
              <w:t>,</w:t>
            </w:r>
            <w:r w:rsidR="005644C1">
              <w:rPr>
                <w:rFonts w:asciiTheme="majorHAnsi" w:hAnsiTheme="majorHAnsi" w:cstheme="majorHAnsi"/>
                <w:sz w:val="20"/>
                <w:szCs w:val="20"/>
              </w:rPr>
              <w:t xml:space="preserve"> </w:t>
            </w:r>
            <w:r w:rsidR="00B36AA1" w:rsidRPr="00B36AA1">
              <w:rPr>
                <w:rFonts w:asciiTheme="majorHAnsi" w:hAnsiTheme="majorHAnsi" w:cstheme="majorHAnsi"/>
                <w:sz w:val="20"/>
                <w:szCs w:val="20"/>
              </w:rPr>
              <w:t>whose lack of skills undermines sound financial management and decision-making.</w:t>
            </w:r>
          </w:p>
        </w:tc>
        <w:tc>
          <w:tcPr>
            <w:tcW w:w="0" w:type="auto"/>
            <w:vAlign w:val="center"/>
          </w:tcPr>
          <w:p w14:paraId="10C3B3CA"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B</w:t>
            </w:r>
          </w:p>
        </w:tc>
      </w:tr>
    </w:tbl>
    <w:p w14:paraId="0E98F361" w14:textId="77777777" w:rsidR="00763772" w:rsidRDefault="00763772">
      <w:pPr>
        <w:jc w:val="both"/>
        <w:rPr>
          <w:rFonts w:asciiTheme="majorHAnsi" w:hAnsiTheme="majorHAnsi" w:cs="Calibri Light"/>
          <w:color w:val="000000"/>
        </w:rPr>
      </w:pPr>
    </w:p>
    <w:p w14:paraId="1CBD854A" w14:textId="77777777" w:rsidR="00763772" w:rsidRDefault="00763772">
      <w:pPr>
        <w:jc w:val="both"/>
        <w:rPr>
          <w:rFonts w:asciiTheme="majorHAnsi" w:hAnsiTheme="majorHAnsi" w:cs="Calibri Light"/>
          <w:b/>
          <w:color w:val="000000"/>
        </w:rPr>
      </w:pPr>
    </w:p>
    <w:p w14:paraId="2DAF3270" w14:textId="77777777" w:rsidR="00763772" w:rsidRDefault="00C96208">
      <w:pPr>
        <w:pStyle w:val="Heading2"/>
        <w:jc w:val="both"/>
      </w:pPr>
      <w:bookmarkStart w:id="20" w:name="_Toc378838736"/>
      <w:r w:rsidRPr="00267B79">
        <w:t>6. S</w:t>
      </w:r>
      <w:r w:rsidR="00530479" w:rsidRPr="00267B79">
        <w:t xml:space="preserve">uitability of the mix of approaches and partners to </w:t>
      </w:r>
      <w:r w:rsidR="00DA31F6" w:rsidRPr="00267B79">
        <w:t xml:space="preserve">contribute to </w:t>
      </w:r>
      <w:r w:rsidR="00530479" w:rsidRPr="00267B79">
        <w:t>R</w:t>
      </w:r>
      <w:r w:rsidR="00DA31F6" w:rsidRPr="00267B79">
        <w:t>M</w:t>
      </w:r>
      <w:r w:rsidR="00530479" w:rsidRPr="00267B79">
        <w:t>N</w:t>
      </w:r>
      <w:r w:rsidR="00DA31F6" w:rsidRPr="00267B79">
        <w:t>CH</w:t>
      </w:r>
      <w:bookmarkEnd w:id="20"/>
      <w:r w:rsidR="00DA31F6" w:rsidRPr="00267B79">
        <w:t xml:space="preserve"> </w:t>
      </w:r>
    </w:p>
    <w:p w14:paraId="352EC243" w14:textId="77777777" w:rsidR="00763772" w:rsidRDefault="00763772">
      <w:pPr>
        <w:jc w:val="both"/>
        <w:rPr>
          <w:rFonts w:asciiTheme="majorHAnsi" w:hAnsiTheme="majorHAnsi"/>
        </w:rPr>
      </w:pPr>
    </w:p>
    <w:tbl>
      <w:tblPr>
        <w:tblW w:w="0" w:type="auto"/>
        <w:tblLook w:val="00A0" w:firstRow="1" w:lastRow="0" w:firstColumn="1" w:lastColumn="0" w:noHBand="0" w:noVBand="0"/>
      </w:tblPr>
      <w:tblGrid>
        <w:gridCol w:w="7409"/>
        <w:gridCol w:w="891"/>
      </w:tblGrid>
      <w:tr w:rsidR="00DA31F6" w:rsidRPr="00267B79" w14:paraId="134EC676" w14:textId="77777777">
        <w:tc>
          <w:tcPr>
            <w:tcW w:w="0" w:type="auto"/>
          </w:tcPr>
          <w:p w14:paraId="5DDF5A6E" w14:textId="77777777" w:rsidR="000D259B" w:rsidRDefault="000D259B">
            <w:pPr>
              <w:jc w:val="both"/>
              <w:rPr>
                <w:rFonts w:asciiTheme="majorHAnsi" w:hAnsiTheme="majorHAnsi" w:cstheme="majorHAnsi"/>
                <w:sz w:val="20"/>
                <w:szCs w:val="20"/>
              </w:rPr>
            </w:pPr>
          </w:p>
        </w:tc>
        <w:tc>
          <w:tcPr>
            <w:tcW w:w="0" w:type="auto"/>
            <w:vAlign w:val="center"/>
          </w:tcPr>
          <w:p w14:paraId="5C9D22D9" w14:textId="77777777" w:rsidR="000D259B" w:rsidRDefault="00307D2E">
            <w:pPr>
              <w:jc w:val="both"/>
              <w:rPr>
                <w:rFonts w:asciiTheme="majorHAnsi" w:hAnsiTheme="majorHAnsi" w:cstheme="majorHAnsi"/>
                <w:b/>
                <w:color w:val="0000FF"/>
                <w:sz w:val="20"/>
                <w:szCs w:val="20"/>
              </w:rPr>
            </w:pPr>
            <w:r w:rsidRPr="00307D2E">
              <w:rPr>
                <w:rFonts w:asciiTheme="majorHAnsi" w:hAnsiTheme="majorHAnsi" w:cstheme="majorHAnsi"/>
                <w:b/>
                <w:color w:val="0000FF"/>
                <w:sz w:val="20"/>
                <w:szCs w:val="20"/>
              </w:rPr>
              <w:t>Sources</w:t>
            </w:r>
          </w:p>
        </w:tc>
      </w:tr>
      <w:tr w:rsidR="00DA31F6" w:rsidRPr="00267B79" w14:paraId="5B9ADC44" w14:textId="77777777">
        <w:tc>
          <w:tcPr>
            <w:tcW w:w="0" w:type="auto"/>
          </w:tcPr>
          <w:p w14:paraId="5020585C" w14:textId="77777777" w:rsidR="000D259B" w:rsidRPr="00C85D03" w:rsidRDefault="00307D2E" w:rsidP="006D68F5">
            <w:pPr>
              <w:spacing w:after="120"/>
              <w:jc w:val="both"/>
              <w:rPr>
                <w:rFonts w:asciiTheme="majorHAnsi" w:hAnsiTheme="majorHAnsi" w:cstheme="majorHAnsi"/>
                <w:sz w:val="20"/>
                <w:szCs w:val="20"/>
              </w:rPr>
            </w:pPr>
            <w:r w:rsidRPr="00465820">
              <w:rPr>
                <w:rFonts w:asciiTheme="majorHAnsi" w:hAnsiTheme="majorHAnsi" w:cstheme="majorHAnsi"/>
                <w:sz w:val="20"/>
                <w:szCs w:val="20"/>
              </w:rPr>
              <w:t>DFAT’s bilateral health funding of AUD 7.5</w:t>
            </w:r>
            <w:r w:rsidR="003E7916" w:rsidRPr="00C85D03">
              <w:rPr>
                <w:rFonts w:asciiTheme="majorHAnsi" w:hAnsiTheme="majorHAnsi" w:cstheme="majorHAnsi"/>
                <w:sz w:val="20"/>
                <w:szCs w:val="20"/>
              </w:rPr>
              <w:t xml:space="preserve"> </w:t>
            </w:r>
            <w:r w:rsidRPr="00C85D03">
              <w:rPr>
                <w:rFonts w:asciiTheme="majorHAnsi" w:hAnsiTheme="majorHAnsi" w:cstheme="majorHAnsi"/>
                <w:sz w:val="20"/>
                <w:szCs w:val="20"/>
              </w:rPr>
              <w:t>m</w:t>
            </w:r>
            <w:r w:rsidR="003E7916" w:rsidRPr="00C85D03">
              <w:rPr>
                <w:rFonts w:asciiTheme="majorHAnsi" w:hAnsiTheme="majorHAnsi" w:cstheme="majorHAnsi"/>
                <w:sz w:val="20"/>
                <w:szCs w:val="20"/>
              </w:rPr>
              <w:t>illion</w:t>
            </w:r>
            <w:r w:rsidRPr="00C85D03">
              <w:rPr>
                <w:rFonts w:asciiTheme="majorHAnsi" w:hAnsiTheme="majorHAnsi" w:cstheme="majorHAnsi"/>
                <w:sz w:val="20"/>
                <w:szCs w:val="20"/>
              </w:rPr>
              <w:t xml:space="preserve"> (equivalent to USD 5.8</w:t>
            </w:r>
            <w:r w:rsidR="003E7916" w:rsidRPr="00C85D03">
              <w:rPr>
                <w:rFonts w:asciiTheme="majorHAnsi" w:hAnsiTheme="majorHAnsi" w:cstheme="majorHAnsi"/>
                <w:sz w:val="20"/>
                <w:szCs w:val="20"/>
              </w:rPr>
              <w:t xml:space="preserve"> </w:t>
            </w:r>
            <w:r w:rsidRPr="00C85D03">
              <w:rPr>
                <w:rFonts w:asciiTheme="majorHAnsi" w:hAnsiTheme="majorHAnsi" w:cstheme="majorHAnsi"/>
                <w:sz w:val="20"/>
                <w:szCs w:val="20"/>
              </w:rPr>
              <w:t>m</w:t>
            </w:r>
            <w:r w:rsidR="003E7916" w:rsidRPr="00C85D03">
              <w:rPr>
                <w:rFonts w:asciiTheme="majorHAnsi" w:hAnsiTheme="majorHAnsi" w:cstheme="majorHAnsi"/>
                <w:sz w:val="20"/>
                <w:szCs w:val="20"/>
              </w:rPr>
              <w:t>illion</w:t>
            </w:r>
            <w:r w:rsidRPr="00C85D03">
              <w:rPr>
                <w:rFonts w:asciiTheme="majorHAnsi" w:hAnsiTheme="majorHAnsi" w:cstheme="majorHAnsi"/>
                <w:sz w:val="20"/>
                <w:szCs w:val="20"/>
              </w:rPr>
              <w:t>) per annum adds about 8% to what GOTL itself contributes to the national health sector</w:t>
            </w:r>
            <w:r w:rsidRPr="00465820">
              <w:rPr>
                <w:rFonts w:asciiTheme="majorHAnsi" w:hAnsiTheme="majorHAnsi" w:cstheme="majorHAnsi"/>
                <w:sz w:val="20"/>
                <w:szCs w:val="20"/>
              </w:rPr>
              <w:t xml:space="preserve"> budget; this – together with </w:t>
            </w:r>
            <w:r w:rsidR="000F04C3" w:rsidRPr="00C85D03">
              <w:rPr>
                <w:rFonts w:asciiTheme="majorHAnsi" w:hAnsiTheme="majorHAnsi" w:cstheme="majorHAnsi"/>
                <w:sz w:val="20"/>
                <w:szCs w:val="20"/>
              </w:rPr>
              <w:t xml:space="preserve">an </w:t>
            </w:r>
            <w:r w:rsidRPr="00C85D03">
              <w:rPr>
                <w:rFonts w:asciiTheme="majorHAnsi" w:hAnsiTheme="majorHAnsi" w:cstheme="majorHAnsi"/>
                <w:sz w:val="20"/>
                <w:szCs w:val="20"/>
              </w:rPr>
              <w:t xml:space="preserve">additional </w:t>
            </w:r>
            <w:r w:rsidR="000F04C3" w:rsidRPr="00C85D03">
              <w:rPr>
                <w:rFonts w:asciiTheme="majorHAnsi" w:hAnsiTheme="majorHAnsi"/>
                <w:sz w:val="20"/>
                <w:szCs w:val="20"/>
              </w:rPr>
              <w:t>AUD 3.5</w:t>
            </w:r>
            <w:r w:rsidR="008D45D1" w:rsidRPr="00C85D03">
              <w:rPr>
                <w:rFonts w:asciiTheme="majorHAnsi" w:hAnsiTheme="majorHAnsi"/>
                <w:sz w:val="20"/>
                <w:szCs w:val="20"/>
              </w:rPr>
              <w:t xml:space="preserve"> </w:t>
            </w:r>
            <w:r w:rsidR="000F04C3" w:rsidRPr="00C85D03">
              <w:rPr>
                <w:rFonts w:asciiTheme="majorHAnsi" w:hAnsiTheme="majorHAnsi"/>
                <w:sz w:val="20"/>
                <w:szCs w:val="20"/>
              </w:rPr>
              <w:t>million per annum</w:t>
            </w:r>
            <w:r w:rsidR="000F04C3" w:rsidRPr="00C85D03">
              <w:rPr>
                <w:rFonts w:asciiTheme="majorHAnsi" w:hAnsiTheme="majorHAnsi" w:cstheme="majorHAnsi"/>
                <w:sz w:val="20"/>
                <w:szCs w:val="20"/>
              </w:rPr>
              <w:t xml:space="preserve"> </w:t>
            </w:r>
            <w:r w:rsidRPr="00C85D03">
              <w:rPr>
                <w:rFonts w:asciiTheme="majorHAnsi" w:hAnsiTheme="majorHAnsi" w:cstheme="majorHAnsi"/>
                <w:sz w:val="20"/>
                <w:szCs w:val="20"/>
              </w:rPr>
              <w:t>sourced by the Embassy</w:t>
            </w:r>
            <w:r w:rsidR="00C92E9C" w:rsidRPr="00C85D03">
              <w:rPr>
                <w:rFonts w:asciiTheme="majorHAnsi" w:hAnsiTheme="majorHAnsi" w:cstheme="majorHAnsi"/>
                <w:sz w:val="20"/>
                <w:szCs w:val="20"/>
              </w:rPr>
              <w:t xml:space="preserve"> </w:t>
            </w:r>
            <w:r w:rsidR="00C92E9C" w:rsidRPr="00C85D03">
              <w:rPr>
                <w:rFonts w:asciiTheme="majorHAnsi" w:hAnsiTheme="majorHAnsi"/>
                <w:sz w:val="20"/>
                <w:szCs w:val="20"/>
              </w:rPr>
              <w:t>through DFAT’s Gender Funds, Innovation Funds, Health Security, Global Funds and GAVI</w:t>
            </w:r>
            <w:r w:rsidRPr="00C85D03">
              <w:rPr>
                <w:rFonts w:asciiTheme="majorHAnsi" w:hAnsiTheme="majorHAnsi" w:cstheme="majorHAnsi"/>
                <w:sz w:val="20"/>
                <w:szCs w:val="20"/>
              </w:rPr>
              <w:t xml:space="preserve"> - brings TL close</w:t>
            </w:r>
            <w:r w:rsidR="00C92E9C" w:rsidRPr="00C85D03">
              <w:rPr>
                <w:rFonts w:asciiTheme="majorHAnsi" w:hAnsiTheme="majorHAnsi" w:cstheme="majorHAnsi"/>
                <w:sz w:val="20"/>
                <w:szCs w:val="20"/>
              </w:rPr>
              <w:t>r</w:t>
            </w:r>
            <w:r w:rsidRPr="00C85D03">
              <w:rPr>
                <w:rFonts w:asciiTheme="majorHAnsi" w:hAnsiTheme="majorHAnsi" w:cstheme="majorHAnsi"/>
                <w:sz w:val="20"/>
                <w:szCs w:val="20"/>
              </w:rPr>
              <w:t xml:space="preserve"> to the </w:t>
            </w:r>
            <w:r w:rsidR="003E7916" w:rsidRPr="00C85D03">
              <w:rPr>
                <w:rFonts w:asciiTheme="majorHAnsi" w:hAnsiTheme="majorHAnsi" w:cstheme="majorHAnsi"/>
                <w:sz w:val="20"/>
                <w:szCs w:val="20"/>
              </w:rPr>
              <w:t xml:space="preserve">USD 86 per capita </w:t>
            </w:r>
            <w:r w:rsidRPr="00C85D03">
              <w:rPr>
                <w:rFonts w:asciiTheme="majorHAnsi" w:hAnsiTheme="majorHAnsi" w:cstheme="majorHAnsi"/>
                <w:sz w:val="20"/>
                <w:szCs w:val="20"/>
              </w:rPr>
              <w:t xml:space="preserve">international benchmark for UHC </w:t>
            </w:r>
            <w:r w:rsidR="003E7916" w:rsidRPr="00C85D03">
              <w:rPr>
                <w:rFonts w:asciiTheme="majorHAnsi" w:hAnsiTheme="majorHAnsi" w:cstheme="majorHAnsi"/>
                <w:sz w:val="20"/>
                <w:szCs w:val="20"/>
              </w:rPr>
              <w:t xml:space="preserve">(see </w:t>
            </w:r>
            <w:r w:rsidR="00085DA8" w:rsidRPr="00C85D03">
              <w:rPr>
                <w:rFonts w:asciiTheme="majorHAnsi" w:hAnsiTheme="majorHAnsi" w:cstheme="majorHAnsi"/>
                <w:sz w:val="20"/>
                <w:szCs w:val="20"/>
              </w:rPr>
              <w:t>Section 1</w:t>
            </w:r>
            <w:r w:rsidR="003E7916" w:rsidRPr="00C85D03">
              <w:rPr>
                <w:rFonts w:asciiTheme="majorHAnsi" w:hAnsiTheme="majorHAnsi" w:cstheme="majorHAnsi"/>
                <w:sz w:val="20"/>
                <w:szCs w:val="20"/>
              </w:rPr>
              <w:t>)</w:t>
            </w:r>
            <w:r w:rsidRPr="00C85D03">
              <w:rPr>
                <w:rFonts w:asciiTheme="majorHAnsi" w:hAnsiTheme="majorHAnsi" w:cstheme="majorHAnsi"/>
                <w:sz w:val="20"/>
                <w:szCs w:val="20"/>
              </w:rPr>
              <w:t>.</w:t>
            </w:r>
            <w:r w:rsidR="0045258F" w:rsidRPr="00C85D03">
              <w:rPr>
                <w:rFonts w:asciiTheme="majorHAnsi" w:hAnsiTheme="majorHAnsi" w:cstheme="majorHAnsi"/>
                <w:sz w:val="20"/>
                <w:szCs w:val="20"/>
              </w:rPr>
              <w:t xml:space="preserve"> </w:t>
            </w:r>
            <w:r w:rsidRPr="00C85D03">
              <w:rPr>
                <w:rFonts w:asciiTheme="majorHAnsi" w:hAnsiTheme="majorHAnsi" w:cstheme="majorHAnsi"/>
                <w:sz w:val="20"/>
                <w:szCs w:val="20"/>
              </w:rPr>
              <w:t xml:space="preserve">If used judiciously, </w:t>
            </w:r>
            <w:r w:rsidR="008C4E03" w:rsidRPr="00C85D03">
              <w:rPr>
                <w:rFonts w:asciiTheme="majorHAnsi" w:hAnsiTheme="majorHAnsi" w:cstheme="majorHAnsi"/>
                <w:sz w:val="20"/>
                <w:szCs w:val="20"/>
              </w:rPr>
              <w:t>Australia</w:t>
            </w:r>
            <w:r w:rsidR="00EB3A44" w:rsidRPr="00C85D03">
              <w:rPr>
                <w:rFonts w:asciiTheme="majorHAnsi" w:hAnsiTheme="majorHAnsi" w:cstheme="majorHAnsi"/>
                <w:sz w:val="20"/>
                <w:szCs w:val="20"/>
              </w:rPr>
              <w:t>n government</w:t>
            </w:r>
            <w:r w:rsidR="0045258F" w:rsidRPr="00C85D03">
              <w:rPr>
                <w:rFonts w:asciiTheme="majorHAnsi" w:hAnsiTheme="majorHAnsi" w:cstheme="majorHAnsi"/>
                <w:sz w:val="20"/>
                <w:szCs w:val="20"/>
              </w:rPr>
              <w:t xml:space="preserve"> funding to the sector </w:t>
            </w:r>
            <w:r w:rsidRPr="00C85D03">
              <w:rPr>
                <w:rFonts w:asciiTheme="majorHAnsi" w:hAnsiTheme="majorHAnsi" w:cstheme="majorHAnsi"/>
                <w:sz w:val="20"/>
                <w:szCs w:val="20"/>
              </w:rPr>
              <w:t xml:space="preserve">should be sufficient to make a </w:t>
            </w:r>
            <w:r w:rsidR="00460616" w:rsidRPr="00C85D03">
              <w:rPr>
                <w:rFonts w:asciiTheme="majorHAnsi" w:hAnsiTheme="majorHAnsi" w:cstheme="majorHAnsi"/>
                <w:sz w:val="20"/>
                <w:szCs w:val="20"/>
              </w:rPr>
              <w:t xml:space="preserve">meaningful </w:t>
            </w:r>
            <w:r w:rsidR="0045258F" w:rsidRPr="00C85D03">
              <w:rPr>
                <w:rFonts w:asciiTheme="majorHAnsi" w:hAnsiTheme="majorHAnsi" w:cstheme="majorHAnsi"/>
                <w:sz w:val="20"/>
                <w:szCs w:val="20"/>
              </w:rPr>
              <w:t>difference in RMNCH</w:t>
            </w:r>
            <w:r w:rsidR="00FB129C" w:rsidRPr="00C85D03">
              <w:rPr>
                <w:rFonts w:asciiTheme="majorHAnsi" w:hAnsiTheme="majorHAnsi" w:cstheme="majorHAnsi"/>
                <w:sz w:val="20"/>
                <w:szCs w:val="20"/>
              </w:rPr>
              <w:t xml:space="preserve">. </w:t>
            </w:r>
            <w:r w:rsidRPr="00C85D03">
              <w:rPr>
                <w:rFonts w:asciiTheme="majorHAnsi" w:hAnsiTheme="majorHAnsi" w:cstheme="majorHAnsi"/>
                <w:sz w:val="20"/>
                <w:szCs w:val="20"/>
              </w:rPr>
              <w:t xml:space="preserve"> However, the balance of activities within the </w:t>
            </w:r>
            <w:r w:rsidR="008C4E03" w:rsidRPr="00C85D03">
              <w:rPr>
                <w:rFonts w:asciiTheme="majorHAnsi" w:hAnsiTheme="majorHAnsi" w:cstheme="majorHAnsi"/>
                <w:sz w:val="20"/>
                <w:szCs w:val="20"/>
              </w:rPr>
              <w:t xml:space="preserve">bilateral </w:t>
            </w:r>
            <w:r w:rsidR="00B36AA1" w:rsidRPr="00C85D03">
              <w:rPr>
                <w:rFonts w:asciiTheme="majorHAnsi" w:hAnsiTheme="majorHAnsi" w:cstheme="majorHAnsi"/>
                <w:sz w:val="20"/>
                <w:szCs w:val="20"/>
              </w:rPr>
              <w:t xml:space="preserve">program seems skewed in relation to challenges within the sector. </w:t>
            </w:r>
          </w:p>
        </w:tc>
        <w:tc>
          <w:tcPr>
            <w:tcW w:w="0" w:type="auto"/>
            <w:vAlign w:val="center"/>
          </w:tcPr>
          <w:p w14:paraId="03EAA3CF" w14:textId="77777777" w:rsidR="000D259B" w:rsidRDefault="00B36AA1">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B, N</w:t>
            </w:r>
          </w:p>
        </w:tc>
      </w:tr>
      <w:tr w:rsidR="00DA31F6" w:rsidRPr="00267B79" w14:paraId="7CD4ED76" w14:textId="77777777">
        <w:tc>
          <w:tcPr>
            <w:tcW w:w="0" w:type="auto"/>
          </w:tcPr>
          <w:p w14:paraId="5F011303" w14:textId="77777777" w:rsidR="000D259B" w:rsidRDefault="007838E8" w:rsidP="006D68F5">
            <w:pPr>
              <w:spacing w:after="120"/>
              <w:jc w:val="both"/>
              <w:rPr>
                <w:rFonts w:asciiTheme="majorHAnsi" w:hAnsiTheme="majorHAnsi" w:cstheme="majorHAnsi"/>
                <w:sz w:val="20"/>
                <w:szCs w:val="20"/>
                <w:lang w:eastAsia="en-AU"/>
              </w:rPr>
            </w:pPr>
            <w:r w:rsidRPr="007838E8">
              <w:rPr>
                <w:rFonts w:asciiTheme="majorHAnsi" w:hAnsiTheme="majorHAnsi" w:cstheme="majorHAnsi"/>
                <w:sz w:val="20"/>
                <w:szCs w:val="20"/>
                <w:lang w:eastAsia="en-AU"/>
              </w:rPr>
              <w:t>IPs</w:t>
            </w:r>
            <w:r w:rsidR="00D050CB" w:rsidRPr="007838E8">
              <w:rPr>
                <w:rFonts w:asciiTheme="majorHAnsi" w:hAnsiTheme="majorHAnsi" w:cstheme="majorHAnsi"/>
                <w:sz w:val="20"/>
                <w:szCs w:val="20"/>
                <w:lang w:eastAsia="en-AU"/>
              </w:rPr>
              <w:t xml:space="preserve"> </w:t>
            </w:r>
            <w:r w:rsidR="0006214C" w:rsidRPr="007838E8">
              <w:rPr>
                <w:rFonts w:asciiTheme="majorHAnsi" w:hAnsiTheme="majorHAnsi" w:cstheme="majorHAnsi"/>
                <w:sz w:val="20"/>
                <w:szCs w:val="20"/>
                <w:lang w:eastAsia="en-AU"/>
              </w:rPr>
              <w:t>funded</w:t>
            </w:r>
            <w:r w:rsidR="0006214C" w:rsidRPr="00D050CB">
              <w:rPr>
                <w:rFonts w:asciiTheme="majorHAnsi" w:hAnsiTheme="majorHAnsi" w:cstheme="majorHAnsi"/>
                <w:sz w:val="20"/>
                <w:szCs w:val="20"/>
                <w:lang w:eastAsia="en-AU"/>
              </w:rPr>
              <w:t xml:space="preserve"> by</w:t>
            </w:r>
            <w:r w:rsidR="004B3B8F" w:rsidRPr="00D050CB">
              <w:rPr>
                <w:rFonts w:asciiTheme="majorHAnsi" w:hAnsiTheme="majorHAnsi" w:cstheme="majorHAnsi"/>
                <w:sz w:val="20"/>
                <w:szCs w:val="20"/>
                <w:lang w:eastAsia="en-AU"/>
              </w:rPr>
              <w:t xml:space="preserve"> </w:t>
            </w:r>
            <w:r w:rsidR="00460616" w:rsidRPr="00D050CB">
              <w:rPr>
                <w:rFonts w:asciiTheme="majorHAnsi" w:hAnsiTheme="majorHAnsi" w:cstheme="majorHAnsi"/>
                <w:sz w:val="20"/>
                <w:szCs w:val="20"/>
                <w:lang w:eastAsia="en-AU"/>
              </w:rPr>
              <w:t xml:space="preserve">the </w:t>
            </w:r>
            <w:r w:rsidR="004B3B8F" w:rsidRPr="00D050CB">
              <w:rPr>
                <w:rFonts w:asciiTheme="majorHAnsi" w:hAnsiTheme="majorHAnsi" w:cstheme="majorHAnsi"/>
                <w:sz w:val="20"/>
                <w:szCs w:val="20"/>
                <w:lang w:eastAsia="en-AU"/>
              </w:rPr>
              <w:t xml:space="preserve">Australian Government </w:t>
            </w:r>
            <w:r w:rsidR="00307D2E" w:rsidRPr="00307D2E">
              <w:rPr>
                <w:rFonts w:asciiTheme="majorHAnsi" w:hAnsiTheme="majorHAnsi" w:cstheme="majorHAnsi"/>
                <w:sz w:val="20"/>
                <w:szCs w:val="20"/>
                <w:lang w:eastAsia="en-AU"/>
              </w:rPr>
              <w:t>do</w:t>
            </w:r>
            <w:r w:rsidR="00A355A8">
              <w:rPr>
                <w:rFonts w:asciiTheme="majorHAnsi" w:hAnsiTheme="majorHAnsi" w:cstheme="majorHAnsi"/>
                <w:sz w:val="20"/>
                <w:szCs w:val="20"/>
                <w:lang w:eastAsia="en-AU"/>
              </w:rPr>
              <w:t xml:space="preserve"> </w:t>
            </w:r>
            <w:r w:rsidR="00307D2E" w:rsidRPr="00307D2E">
              <w:rPr>
                <w:rFonts w:asciiTheme="majorHAnsi" w:hAnsiTheme="majorHAnsi" w:cstheme="majorHAnsi"/>
                <w:sz w:val="20"/>
                <w:szCs w:val="20"/>
                <w:lang w:eastAsia="en-AU"/>
              </w:rPr>
              <w:t>n</w:t>
            </w:r>
            <w:r w:rsidR="00A355A8">
              <w:rPr>
                <w:rFonts w:asciiTheme="majorHAnsi" w:hAnsiTheme="majorHAnsi" w:cstheme="majorHAnsi"/>
                <w:sz w:val="20"/>
                <w:szCs w:val="20"/>
                <w:lang w:eastAsia="en-AU"/>
              </w:rPr>
              <w:t>o</w:t>
            </w:r>
            <w:r w:rsidR="00B36AA1" w:rsidRPr="00B36AA1">
              <w:rPr>
                <w:rFonts w:asciiTheme="majorHAnsi" w:hAnsiTheme="majorHAnsi" w:cstheme="majorHAnsi"/>
                <w:sz w:val="20"/>
                <w:szCs w:val="20"/>
                <w:lang w:eastAsia="en-AU"/>
              </w:rPr>
              <w:t>t necessarily work in municipalities with the greatest needs. MoH would like more say in where partners work, in line with the example of John Snow International (JSI), which agreed to work in Covalima at the request of MOH.</w:t>
            </w:r>
          </w:p>
        </w:tc>
        <w:tc>
          <w:tcPr>
            <w:tcW w:w="0" w:type="auto"/>
            <w:vAlign w:val="center"/>
          </w:tcPr>
          <w:p w14:paraId="47435306"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C, M, O</w:t>
            </w:r>
          </w:p>
        </w:tc>
      </w:tr>
      <w:tr w:rsidR="00DA31F6" w:rsidRPr="00267B79" w14:paraId="48404683" w14:textId="77777777">
        <w:tc>
          <w:tcPr>
            <w:tcW w:w="0" w:type="auto"/>
          </w:tcPr>
          <w:p w14:paraId="0FA6B15F" w14:textId="77777777" w:rsidR="000D259B" w:rsidRDefault="00B36AA1" w:rsidP="00FE603E">
            <w:pPr>
              <w:pStyle w:val="NormalWeb"/>
              <w:shd w:val="clear" w:color="auto" w:fill="FFFFFF"/>
              <w:spacing w:beforeLines="0" w:afterLines="0"/>
              <w:jc w:val="both"/>
              <w:rPr>
                <w:rFonts w:asciiTheme="majorHAnsi" w:hAnsiTheme="majorHAnsi" w:cstheme="majorHAnsi"/>
              </w:rPr>
            </w:pPr>
            <w:r w:rsidRPr="00B36AA1">
              <w:rPr>
                <w:rFonts w:asciiTheme="majorHAnsi" w:hAnsiTheme="majorHAnsi" w:cstheme="majorHAnsi"/>
              </w:rPr>
              <w:t>MSTL</w:t>
            </w:r>
            <w:r w:rsidR="00C80588">
              <w:rPr>
                <w:rFonts w:asciiTheme="majorHAnsi" w:hAnsiTheme="majorHAnsi" w:cstheme="majorHAnsi"/>
              </w:rPr>
              <w:t xml:space="preserve"> has used its </w:t>
            </w:r>
            <w:r w:rsidRPr="00B36AA1">
              <w:rPr>
                <w:rFonts w:asciiTheme="majorHAnsi" w:hAnsiTheme="majorHAnsi" w:cstheme="majorHAnsi"/>
              </w:rPr>
              <w:t>long history in TL</w:t>
            </w:r>
            <w:r w:rsidR="00C80588">
              <w:rPr>
                <w:rFonts w:asciiTheme="majorHAnsi" w:hAnsiTheme="majorHAnsi" w:cstheme="majorHAnsi"/>
              </w:rPr>
              <w:t xml:space="preserve"> to build local knowledge and relationships</w:t>
            </w:r>
            <w:r w:rsidRPr="00B36AA1">
              <w:rPr>
                <w:rFonts w:asciiTheme="majorHAnsi" w:hAnsiTheme="majorHAnsi" w:cstheme="majorHAnsi"/>
              </w:rPr>
              <w:t xml:space="preserve">. Although there are some concerns at central level about coordination between MSTL and MOH, it seems to be a very trusted partner at municipality level. </w:t>
            </w:r>
          </w:p>
        </w:tc>
        <w:tc>
          <w:tcPr>
            <w:tcW w:w="0" w:type="auto"/>
            <w:vAlign w:val="center"/>
          </w:tcPr>
          <w:p w14:paraId="08EF3366"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E</w:t>
            </w:r>
          </w:p>
          <w:p w14:paraId="5B939822" w14:textId="77777777" w:rsidR="000D259B" w:rsidRDefault="000D259B">
            <w:pPr>
              <w:spacing w:after="120"/>
              <w:ind w:left="1760"/>
              <w:jc w:val="both"/>
              <w:rPr>
                <w:rFonts w:asciiTheme="majorHAnsi" w:hAnsiTheme="majorHAnsi" w:cstheme="majorHAnsi"/>
                <w:color w:val="0000FF"/>
                <w:sz w:val="20"/>
                <w:szCs w:val="20"/>
                <w:highlight w:val="yellow"/>
              </w:rPr>
            </w:pPr>
          </w:p>
        </w:tc>
      </w:tr>
      <w:tr w:rsidR="00DA31F6" w:rsidRPr="00267B79" w14:paraId="5175C334" w14:textId="77777777">
        <w:tc>
          <w:tcPr>
            <w:tcW w:w="0" w:type="auto"/>
          </w:tcPr>
          <w:p w14:paraId="64DDFA96" w14:textId="77777777" w:rsidR="000D259B" w:rsidRPr="00C85D03" w:rsidRDefault="004B3B8F" w:rsidP="00FE603E">
            <w:pPr>
              <w:pStyle w:val="NormalWeb"/>
              <w:shd w:val="clear" w:color="auto" w:fill="FFFFFF"/>
              <w:spacing w:beforeLines="0" w:afterLines="0"/>
              <w:jc w:val="both"/>
              <w:rPr>
                <w:rFonts w:asciiTheme="majorHAnsi" w:hAnsiTheme="majorHAnsi"/>
                <w:color w:val="212121"/>
                <w:szCs w:val="32"/>
              </w:rPr>
            </w:pPr>
            <w:r w:rsidRPr="00C85D03">
              <w:rPr>
                <w:rFonts w:asciiTheme="majorHAnsi" w:hAnsiTheme="majorHAnsi" w:cstheme="majorHAnsi"/>
              </w:rPr>
              <w:t>MSTL’s budget is the largest of any partner in the DFAT/PHD program, and its cost per Couple Year Protection (CYP), at USD 43, is quite high in relation to averages for other regions.</w:t>
            </w:r>
            <w:r w:rsidR="00B36AA1" w:rsidRPr="00C85D03">
              <w:rPr>
                <w:rStyle w:val="FootnoteReference"/>
                <w:rFonts w:asciiTheme="majorHAnsi" w:hAnsiTheme="majorHAnsi" w:cstheme="majorHAnsi"/>
              </w:rPr>
              <w:footnoteReference w:id="60"/>
            </w:r>
            <w:r w:rsidR="00B36AA1" w:rsidRPr="00C85D03">
              <w:rPr>
                <w:rFonts w:asciiTheme="majorHAnsi" w:hAnsiTheme="majorHAnsi" w:cstheme="majorHAnsi"/>
              </w:rPr>
              <w:t xml:space="preserve">  However, owing to its conservative social and policy environment TL is a challenging environment in which to support FP; moreover, the country is now entering a period in which rapid growth in FP uptake can occur,</w:t>
            </w:r>
            <w:r w:rsidR="00B36AA1" w:rsidRPr="00C85D03">
              <w:rPr>
                <w:rStyle w:val="FootnoteReference"/>
                <w:rFonts w:asciiTheme="majorHAnsi" w:hAnsiTheme="majorHAnsi" w:cstheme="majorHAnsi"/>
              </w:rPr>
              <w:footnoteReference w:id="61"/>
            </w:r>
            <w:r w:rsidR="00B36AA1" w:rsidRPr="00C85D03">
              <w:rPr>
                <w:rFonts w:asciiTheme="majorHAnsi" w:hAnsiTheme="majorHAnsi" w:cstheme="majorHAnsi"/>
              </w:rPr>
              <w:t xml:space="preserve"> and MSTL’s recent expansion from eight to 12 municipalities should permit some economies of scale. </w:t>
            </w:r>
            <w:r w:rsidR="00B36AA1" w:rsidRPr="00C85D03">
              <w:rPr>
                <w:rFonts w:asciiTheme="majorHAnsi" w:hAnsiTheme="majorHAnsi"/>
                <w:color w:val="212121"/>
                <w:szCs w:val="32"/>
              </w:rPr>
              <w:t>Globally, the benefit-cost ratio for FP programs ranges from USD 90 to 150; these rates of return for each dollar spent on FP make it a very worthwhile investment.</w:t>
            </w:r>
            <w:r w:rsidR="00B36AA1" w:rsidRPr="00C85D03">
              <w:rPr>
                <w:rStyle w:val="FootnoteReference"/>
                <w:rFonts w:asciiTheme="majorHAnsi" w:hAnsiTheme="majorHAnsi"/>
                <w:color w:val="212121"/>
                <w:szCs w:val="32"/>
              </w:rPr>
              <w:footnoteReference w:id="62"/>
            </w:r>
          </w:p>
        </w:tc>
        <w:tc>
          <w:tcPr>
            <w:tcW w:w="0" w:type="auto"/>
            <w:vAlign w:val="center"/>
          </w:tcPr>
          <w:p w14:paraId="32E33505" w14:textId="77777777" w:rsidR="000D259B" w:rsidRDefault="00B36AA1">
            <w:pPr>
              <w:spacing w:after="120"/>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B</w:t>
            </w:r>
          </w:p>
        </w:tc>
      </w:tr>
      <w:tr w:rsidR="00DA31F6" w:rsidRPr="00267B79" w14:paraId="1077B16B" w14:textId="77777777">
        <w:tc>
          <w:tcPr>
            <w:tcW w:w="0" w:type="auto"/>
          </w:tcPr>
          <w:p w14:paraId="2DCE792F" w14:textId="047B9DB2" w:rsidR="00307D2E" w:rsidRPr="00307D2E" w:rsidRDefault="004B3B8F" w:rsidP="006D68F5">
            <w:pPr>
              <w:spacing w:after="120"/>
              <w:jc w:val="both"/>
              <w:rPr>
                <w:rFonts w:asciiTheme="majorHAnsi" w:hAnsiTheme="majorHAnsi" w:cstheme="majorHAnsi"/>
                <w:sz w:val="20"/>
                <w:szCs w:val="20"/>
              </w:rPr>
            </w:pPr>
            <w:r w:rsidRPr="004B3B8F">
              <w:rPr>
                <w:rFonts w:asciiTheme="majorHAnsi" w:hAnsiTheme="majorHAnsi" w:cstheme="majorHAnsi"/>
                <w:sz w:val="20"/>
                <w:szCs w:val="20"/>
              </w:rPr>
              <w:t>With regard to HR skills and competences</w:t>
            </w:r>
            <w:r w:rsidR="00475C04">
              <w:rPr>
                <w:rFonts w:asciiTheme="majorHAnsi" w:hAnsiTheme="majorHAnsi" w:cstheme="majorHAnsi"/>
                <w:sz w:val="20"/>
                <w:szCs w:val="20"/>
              </w:rPr>
              <w:t>,</w:t>
            </w:r>
            <w:r w:rsidRPr="004B3B8F">
              <w:rPr>
                <w:rFonts w:asciiTheme="majorHAnsi" w:hAnsiTheme="majorHAnsi" w:cstheme="majorHAnsi"/>
                <w:sz w:val="20"/>
                <w:szCs w:val="20"/>
              </w:rPr>
              <w:t xml:space="preserve"> the HAI Learning Labs (LL) initiative has performed well against its targets (see Annex 6 and Annex 7) and will soon have reached </w:t>
            </w:r>
            <w:r w:rsidRPr="004B3B8F">
              <w:rPr>
                <w:rFonts w:asciiTheme="majorHAnsi" w:hAnsiTheme="majorHAnsi" w:cstheme="majorHAnsi"/>
                <w:sz w:val="20"/>
                <w:szCs w:val="20"/>
              </w:rPr>
              <w:lastRenderedPageBreak/>
              <w:t>midwives in all target municipalities.</w:t>
            </w:r>
            <w:r w:rsidR="00307D2E" w:rsidRPr="00307D2E">
              <w:rPr>
                <w:rStyle w:val="FootnoteReference"/>
                <w:rFonts w:asciiTheme="majorHAnsi" w:hAnsiTheme="majorHAnsi" w:cstheme="majorHAnsi"/>
                <w:sz w:val="20"/>
                <w:szCs w:val="20"/>
              </w:rPr>
              <w:footnoteReference w:id="63"/>
            </w:r>
            <w:r w:rsidRPr="004B3B8F">
              <w:rPr>
                <w:rFonts w:asciiTheme="majorHAnsi" w:hAnsiTheme="majorHAnsi" w:cstheme="majorHAnsi"/>
                <w:sz w:val="20"/>
                <w:szCs w:val="20"/>
              </w:rPr>
              <w:t xml:space="preserve">  However, LL train</w:t>
            </w:r>
            <w:r w:rsidR="00475C04">
              <w:rPr>
                <w:rFonts w:asciiTheme="majorHAnsi" w:hAnsiTheme="majorHAnsi" w:cstheme="majorHAnsi"/>
                <w:sz w:val="20"/>
                <w:szCs w:val="20"/>
              </w:rPr>
              <w:t>s</w:t>
            </w:r>
            <w:r w:rsidRPr="004B3B8F">
              <w:rPr>
                <w:rFonts w:asciiTheme="majorHAnsi" w:hAnsiTheme="majorHAnsi" w:cstheme="majorHAnsi"/>
                <w:sz w:val="20"/>
                <w:szCs w:val="20"/>
              </w:rPr>
              <w:t xml:space="preserve"> midwives using mannequins rather than</w:t>
            </w:r>
            <w:r w:rsidR="0006214C">
              <w:rPr>
                <w:rFonts w:asciiTheme="majorHAnsi" w:hAnsiTheme="majorHAnsi" w:cstheme="majorHAnsi"/>
                <w:sz w:val="20"/>
                <w:szCs w:val="20"/>
              </w:rPr>
              <w:t xml:space="preserve"> with</w:t>
            </w:r>
            <w:r w:rsidRPr="004B3B8F">
              <w:rPr>
                <w:rFonts w:asciiTheme="majorHAnsi" w:hAnsiTheme="majorHAnsi" w:cstheme="majorHAnsi"/>
                <w:sz w:val="20"/>
                <w:szCs w:val="20"/>
              </w:rPr>
              <w:t xml:space="preserve"> actual patients</w:t>
            </w:r>
            <w:r w:rsidR="00FF2C37">
              <w:rPr>
                <w:rFonts w:asciiTheme="majorHAnsi" w:hAnsiTheme="majorHAnsi" w:cstheme="majorHAnsi"/>
                <w:sz w:val="20"/>
                <w:szCs w:val="20"/>
              </w:rPr>
              <w:t>;</w:t>
            </w:r>
            <w:r w:rsidRPr="004B3B8F">
              <w:rPr>
                <w:rFonts w:asciiTheme="majorHAnsi" w:hAnsiTheme="majorHAnsi" w:cstheme="majorHAnsi"/>
                <w:sz w:val="20"/>
                <w:szCs w:val="20"/>
              </w:rPr>
              <w:t xml:space="preserve"> </w:t>
            </w:r>
            <w:r w:rsidR="00FF2C37">
              <w:rPr>
                <w:rFonts w:asciiTheme="majorHAnsi" w:hAnsiTheme="majorHAnsi" w:cstheme="majorHAnsi"/>
                <w:sz w:val="20"/>
                <w:szCs w:val="20"/>
              </w:rPr>
              <w:t>while this simulation</w:t>
            </w:r>
            <w:r w:rsidR="00FF2C37" w:rsidRPr="004B3B8F">
              <w:rPr>
                <w:rFonts w:asciiTheme="majorHAnsi" w:hAnsiTheme="majorHAnsi" w:cstheme="majorHAnsi"/>
                <w:sz w:val="20"/>
                <w:szCs w:val="20"/>
              </w:rPr>
              <w:t xml:space="preserve"> </w:t>
            </w:r>
            <w:r w:rsidRPr="004B3B8F">
              <w:rPr>
                <w:rFonts w:asciiTheme="majorHAnsi" w:hAnsiTheme="majorHAnsi" w:cstheme="majorHAnsi"/>
                <w:sz w:val="20"/>
                <w:szCs w:val="20"/>
              </w:rPr>
              <w:t xml:space="preserve">helps to improve skills </w:t>
            </w:r>
            <w:r w:rsidR="00FF2C37">
              <w:rPr>
                <w:rFonts w:asciiTheme="majorHAnsi" w:hAnsiTheme="majorHAnsi" w:cstheme="majorHAnsi"/>
                <w:sz w:val="20"/>
                <w:szCs w:val="20"/>
              </w:rPr>
              <w:t>it is</w:t>
            </w:r>
            <w:r w:rsidRPr="004B3B8F">
              <w:rPr>
                <w:rFonts w:asciiTheme="majorHAnsi" w:hAnsiTheme="majorHAnsi" w:cstheme="majorHAnsi"/>
                <w:sz w:val="20"/>
                <w:szCs w:val="20"/>
              </w:rPr>
              <w:t xml:space="preserve"> </w:t>
            </w:r>
            <w:r w:rsidR="0006214C">
              <w:rPr>
                <w:rFonts w:asciiTheme="majorHAnsi" w:hAnsiTheme="majorHAnsi" w:cstheme="majorHAnsi"/>
                <w:sz w:val="20"/>
                <w:szCs w:val="20"/>
              </w:rPr>
              <w:t xml:space="preserve">only </w:t>
            </w:r>
            <w:r w:rsidRPr="004B3B8F">
              <w:rPr>
                <w:rFonts w:asciiTheme="majorHAnsi" w:hAnsiTheme="majorHAnsi" w:cstheme="majorHAnsi"/>
                <w:sz w:val="20"/>
                <w:szCs w:val="20"/>
              </w:rPr>
              <w:t xml:space="preserve">one of several elements </w:t>
            </w:r>
            <w:r w:rsidR="00FF2C37">
              <w:rPr>
                <w:rFonts w:asciiTheme="majorHAnsi" w:hAnsiTheme="majorHAnsi" w:cstheme="majorHAnsi"/>
                <w:sz w:val="20"/>
                <w:szCs w:val="20"/>
              </w:rPr>
              <w:t xml:space="preserve">– others being </w:t>
            </w:r>
            <w:r w:rsidRPr="004B3B8F">
              <w:rPr>
                <w:rFonts w:asciiTheme="majorHAnsi" w:hAnsiTheme="majorHAnsi" w:cstheme="majorHAnsi"/>
                <w:sz w:val="20"/>
                <w:szCs w:val="20"/>
              </w:rPr>
              <w:t xml:space="preserve">clinical </w:t>
            </w:r>
            <w:r w:rsidR="002A3CAF">
              <w:rPr>
                <w:rFonts w:asciiTheme="majorHAnsi" w:hAnsiTheme="majorHAnsi" w:cstheme="majorHAnsi"/>
                <w:sz w:val="20"/>
                <w:szCs w:val="20"/>
              </w:rPr>
              <w:t xml:space="preserve">and supportive </w:t>
            </w:r>
            <w:r w:rsidRPr="004B3B8F">
              <w:rPr>
                <w:rFonts w:asciiTheme="majorHAnsi" w:hAnsiTheme="majorHAnsi" w:cstheme="majorHAnsi"/>
                <w:sz w:val="20"/>
                <w:szCs w:val="20"/>
              </w:rPr>
              <w:t>supervision, audit</w:t>
            </w:r>
            <w:r w:rsidR="00D050CB">
              <w:rPr>
                <w:rFonts w:asciiTheme="majorHAnsi" w:hAnsiTheme="majorHAnsi" w:cstheme="majorHAnsi"/>
                <w:sz w:val="20"/>
                <w:szCs w:val="20"/>
              </w:rPr>
              <w:t xml:space="preserve"> and</w:t>
            </w:r>
            <w:r w:rsidR="00307D2E" w:rsidRPr="00307D2E">
              <w:rPr>
                <w:rFonts w:asciiTheme="majorHAnsi" w:hAnsiTheme="majorHAnsi" w:cstheme="majorHAnsi"/>
                <w:sz w:val="20"/>
                <w:szCs w:val="20"/>
              </w:rPr>
              <w:t xml:space="preserve"> feedback </w:t>
            </w:r>
            <w:r w:rsidR="00FF2C37">
              <w:rPr>
                <w:rFonts w:asciiTheme="majorHAnsi" w:hAnsiTheme="majorHAnsi" w:cstheme="majorHAnsi"/>
                <w:sz w:val="20"/>
                <w:szCs w:val="20"/>
              </w:rPr>
              <w:t>-</w:t>
            </w:r>
            <w:r w:rsidR="00307D2E" w:rsidRPr="00307D2E">
              <w:rPr>
                <w:rFonts w:asciiTheme="majorHAnsi" w:hAnsiTheme="majorHAnsi" w:cstheme="majorHAnsi"/>
                <w:sz w:val="20"/>
                <w:szCs w:val="20"/>
              </w:rPr>
              <w:t xml:space="preserve"> required to develop clinical competences.</w:t>
            </w:r>
          </w:p>
        </w:tc>
        <w:tc>
          <w:tcPr>
            <w:tcW w:w="0" w:type="auto"/>
            <w:vAlign w:val="center"/>
          </w:tcPr>
          <w:p w14:paraId="650BCB00" w14:textId="77777777" w:rsidR="000D259B" w:rsidRDefault="00307D2E">
            <w:pPr>
              <w:spacing w:after="120"/>
              <w:jc w:val="both"/>
              <w:rPr>
                <w:rFonts w:asciiTheme="majorHAnsi" w:hAnsiTheme="majorHAnsi" w:cstheme="majorHAnsi"/>
                <w:color w:val="0000FF"/>
                <w:sz w:val="20"/>
                <w:szCs w:val="20"/>
              </w:rPr>
            </w:pPr>
            <w:r w:rsidRPr="00307D2E">
              <w:rPr>
                <w:rFonts w:asciiTheme="majorHAnsi" w:hAnsiTheme="majorHAnsi" w:cstheme="majorHAnsi"/>
                <w:color w:val="0000FF"/>
                <w:sz w:val="20"/>
                <w:szCs w:val="20"/>
              </w:rPr>
              <w:lastRenderedPageBreak/>
              <w:t>D, M, O</w:t>
            </w:r>
          </w:p>
        </w:tc>
      </w:tr>
      <w:tr w:rsidR="00425B16" w:rsidRPr="00267B79" w14:paraId="5EE6F24E" w14:textId="77777777">
        <w:tc>
          <w:tcPr>
            <w:tcW w:w="0" w:type="auto"/>
          </w:tcPr>
          <w:p w14:paraId="5ADE175B" w14:textId="77777777" w:rsidR="000D259B" w:rsidRDefault="004B3B8F" w:rsidP="00D431DB">
            <w:pPr>
              <w:spacing w:after="120"/>
              <w:jc w:val="both"/>
              <w:rPr>
                <w:rFonts w:asciiTheme="majorHAnsi" w:hAnsiTheme="majorHAnsi" w:cstheme="majorHAnsi"/>
                <w:sz w:val="20"/>
                <w:szCs w:val="20"/>
              </w:rPr>
            </w:pPr>
            <w:r w:rsidRPr="004B3B8F">
              <w:rPr>
                <w:rFonts w:asciiTheme="majorHAnsi" w:hAnsiTheme="majorHAnsi" w:cstheme="majorHAnsi"/>
                <w:sz w:val="20"/>
              </w:rPr>
              <w:t xml:space="preserve">ATLASS II postgraduate medical training, led by RACS, </w:t>
            </w:r>
            <w:r w:rsidR="001D5B09">
              <w:rPr>
                <w:rFonts w:asciiTheme="majorHAnsi" w:hAnsiTheme="majorHAnsi" w:cstheme="majorHAnsi"/>
                <w:sz w:val="20"/>
              </w:rPr>
              <w:t>helps to meet</w:t>
            </w:r>
            <w:r w:rsidRPr="004B3B8F">
              <w:rPr>
                <w:rFonts w:asciiTheme="majorHAnsi" w:hAnsiTheme="majorHAnsi" w:cstheme="majorHAnsi"/>
                <w:sz w:val="20"/>
              </w:rPr>
              <w:t xml:space="preserve"> RMNCH goals mainly by producing </w:t>
            </w:r>
            <w:r w:rsidR="0006214C" w:rsidRPr="00D431DB">
              <w:rPr>
                <w:rFonts w:asciiTheme="majorHAnsi" w:hAnsiTheme="majorHAnsi" w:cstheme="majorHAnsi"/>
                <w:sz w:val="20"/>
              </w:rPr>
              <w:t>FMP</w:t>
            </w:r>
            <w:r w:rsidRPr="004B3B8F">
              <w:rPr>
                <w:rFonts w:asciiTheme="majorHAnsi" w:hAnsiTheme="majorHAnsi" w:cstheme="majorHAnsi"/>
                <w:sz w:val="20"/>
              </w:rPr>
              <w:t xml:space="preserve"> doct</w:t>
            </w:r>
            <w:r w:rsidR="001D5B09">
              <w:rPr>
                <w:rFonts w:asciiTheme="majorHAnsi" w:hAnsiTheme="majorHAnsi" w:cstheme="majorHAnsi"/>
                <w:sz w:val="20"/>
              </w:rPr>
              <w:t>ors.</w:t>
            </w:r>
            <w:r w:rsidRPr="004B3B8F">
              <w:rPr>
                <w:rFonts w:asciiTheme="majorHAnsi" w:hAnsiTheme="majorHAnsi" w:cstheme="majorHAnsi"/>
                <w:sz w:val="20"/>
              </w:rPr>
              <w:t xml:space="preserve"> The competences of FMP </w:t>
            </w:r>
            <w:r w:rsidR="00313E7B">
              <w:rPr>
                <w:rFonts w:asciiTheme="majorHAnsi" w:hAnsiTheme="majorHAnsi" w:cstheme="majorHAnsi"/>
                <w:sz w:val="20"/>
              </w:rPr>
              <w:t>doctors</w:t>
            </w:r>
            <w:r w:rsidRPr="004B3B8F">
              <w:rPr>
                <w:rFonts w:asciiTheme="majorHAnsi" w:hAnsiTheme="majorHAnsi" w:cstheme="majorHAnsi"/>
                <w:sz w:val="20"/>
              </w:rPr>
              <w:t xml:space="preserve"> are </w:t>
            </w:r>
            <w:r w:rsidRPr="00FE603E">
              <w:rPr>
                <w:rFonts w:asciiTheme="majorHAnsi" w:hAnsiTheme="majorHAnsi" w:cstheme="majorHAnsi"/>
                <w:sz w:val="20"/>
              </w:rPr>
              <w:t xml:space="preserve">appreciated by </w:t>
            </w:r>
            <w:r w:rsidR="00313E7B" w:rsidRPr="00FE603E">
              <w:rPr>
                <w:rFonts w:asciiTheme="majorHAnsi" w:hAnsiTheme="majorHAnsi" w:cstheme="majorHAnsi"/>
                <w:sz w:val="20"/>
              </w:rPr>
              <w:t>HNGV</w:t>
            </w:r>
            <w:r w:rsidR="0056107E" w:rsidRPr="00FE603E">
              <w:rPr>
                <w:rFonts w:asciiTheme="majorHAnsi" w:hAnsiTheme="majorHAnsi" w:cstheme="majorHAnsi"/>
                <w:sz w:val="20"/>
              </w:rPr>
              <w:t xml:space="preserve"> as well as </w:t>
            </w:r>
            <w:r w:rsidR="00313E7B" w:rsidRPr="00FE603E">
              <w:rPr>
                <w:rFonts w:asciiTheme="majorHAnsi" w:hAnsiTheme="majorHAnsi" w:cstheme="majorHAnsi"/>
                <w:sz w:val="20"/>
              </w:rPr>
              <w:t>MOH and the municipalities,</w:t>
            </w:r>
            <w:r w:rsidR="00A355A8" w:rsidRPr="00FE603E">
              <w:rPr>
                <w:rFonts w:asciiTheme="majorHAnsi" w:hAnsiTheme="majorHAnsi" w:cstheme="majorHAnsi"/>
                <w:sz w:val="20"/>
              </w:rPr>
              <w:t xml:space="preserve"> </w:t>
            </w:r>
            <w:r w:rsidR="0056107E" w:rsidRPr="00FE603E">
              <w:rPr>
                <w:rFonts w:asciiTheme="majorHAnsi" w:hAnsiTheme="majorHAnsi" w:cstheme="majorHAnsi"/>
                <w:sz w:val="20"/>
              </w:rPr>
              <w:t xml:space="preserve">and many more </w:t>
            </w:r>
            <w:r w:rsidR="00313E7B" w:rsidRPr="00FE603E">
              <w:rPr>
                <w:rFonts w:asciiTheme="majorHAnsi" w:hAnsiTheme="majorHAnsi" w:cstheme="majorHAnsi"/>
                <w:sz w:val="20"/>
              </w:rPr>
              <w:t>FMP graduates</w:t>
            </w:r>
            <w:r w:rsidR="005F38CD" w:rsidRPr="00FE603E">
              <w:rPr>
                <w:rFonts w:asciiTheme="majorHAnsi" w:hAnsiTheme="majorHAnsi" w:cstheme="majorHAnsi"/>
                <w:sz w:val="20"/>
              </w:rPr>
              <w:t xml:space="preserve"> are needed</w:t>
            </w:r>
            <w:r w:rsidR="0056107E" w:rsidRPr="0056107E">
              <w:rPr>
                <w:rFonts w:asciiTheme="majorHAnsi" w:hAnsiTheme="majorHAnsi" w:cstheme="majorHAnsi"/>
                <w:sz w:val="20"/>
              </w:rPr>
              <w:t>.</w:t>
            </w:r>
          </w:p>
        </w:tc>
        <w:tc>
          <w:tcPr>
            <w:tcW w:w="0" w:type="auto"/>
            <w:vAlign w:val="center"/>
          </w:tcPr>
          <w:p w14:paraId="1532F4D3" w14:textId="77777777" w:rsidR="000D259B" w:rsidRDefault="0056107E">
            <w:pPr>
              <w:spacing w:after="120"/>
              <w:jc w:val="both"/>
              <w:rPr>
                <w:rFonts w:asciiTheme="majorHAnsi" w:hAnsiTheme="majorHAnsi" w:cstheme="majorHAnsi"/>
                <w:color w:val="0000FF"/>
                <w:sz w:val="20"/>
                <w:szCs w:val="20"/>
              </w:rPr>
            </w:pPr>
            <w:r w:rsidRPr="0056107E">
              <w:rPr>
                <w:rFonts w:asciiTheme="majorHAnsi" w:hAnsiTheme="majorHAnsi" w:cstheme="majorHAnsi"/>
                <w:color w:val="0000FF"/>
                <w:sz w:val="20"/>
                <w:szCs w:val="20"/>
              </w:rPr>
              <w:t>E, G, M, N</w:t>
            </w:r>
          </w:p>
        </w:tc>
      </w:tr>
      <w:tr w:rsidR="00425B16" w:rsidRPr="00267B79" w14:paraId="61F8D7E7" w14:textId="77777777">
        <w:tc>
          <w:tcPr>
            <w:tcW w:w="0" w:type="auto"/>
          </w:tcPr>
          <w:p w14:paraId="1D1F880B" w14:textId="7AD1E262" w:rsidR="00763772" w:rsidRDefault="001D5B09" w:rsidP="00AD1E3B">
            <w:pPr>
              <w:pStyle w:val="NormalWeb"/>
              <w:spacing w:beforeLines="0" w:afterLines="0"/>
              <w:jc w:val="both"/>
              <w:rPr>
                <w:rFonts w:asciiTheme="majorHAnsi" w:hAnsiTheme="majorHAnsi" w:cstheme="majorHAnsi"/>
              </w:rPr>
            </w:pPr>
            <w:r w:rsidRPr="00C85D03">
              <w:rPr>
                <w:rFonts w:asciiTheme="majorHAnsi" w:hAnsiTheme="majorHAnsi" w:cstheme="majorHAnsi"/>
              </w:rPr>
              <w:t xml:space="preserve">ATLASS II also aims to contribute to better RMNCH by producing specialists, particularly in obstetrics and paediatrics. </w:t>
            </w:r>
            <w:r w:rsidR="0056107E" w:rsidRPr="00C85D03">
              <w:rPr>
                <w:rFonts w:asciiTheme="majorHAnsi" w:hAnsiTheme="majorHAnsi" w:cstheme="majorHAnsi"/>
              </w:rPr>
              <w:t xml:space="preserve">Since it takes a </w:t>
            </w:r>
            <w:r w:rsidR="009371BB" w:rsidRPr="00C85D03">
              <w:rPr>
                <w:rFonts w:asciiTheme="majorHAnsi" w:hAnsiTheme="majorHAnsi" w:cstheme="majorHAnsi"/>
              </w:rPr>
              <w:t>relatively l</w:t>
            </w:r>
            <w:r w:rsidR="0056107E" w:rsidRPr="00C85D03">
              <w:rPr>
                <w:rFonts w:asciiTheme="majorHAnsi" w:hAnsiTheme="majorHAnsi" w:cstheme="majorHAnsi"/>
              </w:rPr>
              <w:t xml:space="preserve">ong time to train </w:t>
            </w:r>
            <w:r w:rsidRPr="00C85D03">
              <w:rPr>
                <w:rFonts w:asciiTheme="majorHAnsi" w:hAnsiTheme="majorHAnsi" w:cstheme="majorHAnsi"/>
              </w:rPr>
              <w:t xml:space="preserve">such </w:t>
            </w:r>
            <w:r w:rsidR="0056107E" w:rsidRPr="00C85D03">
              <w:rPr>
                <w:rFonts w:asciiTheme="majorHAnsi" w:hAnsiTheme="majorHAnsi" w:cstheme="majorHAnsi"/>
              </w:rPr>
              <w:t>specialists, there is a justification for fast-tracking</w:t>
            </w:r>
            <w:r w:rsidRPr="00C85D03">
              <w:rPr>
                <w:rFonts w:asciiTheme="majorHAnsi" w:hAnsiTheme="majorHAnsi" w:cstheme="majorHAnsi"/>
              </w:rPr>
              <w:t xml:space="preserve"> their training</w:t>
            </w:r>
            <w:r w:rsidR="0056107E" w:rsidRPr="00C85D03">
              <w:rPr>
                <w:rFonts w:asciiTheme="majorHAnsi" w:hAnsiTheme="majorHAnsi" w:cstheme="majorHAnsi"/>
              </w:rPr>
              <w:t>, but</w:t>
            </w:r>
            <w:r w:rsidR="00B152C6" w:rsidRPr="00C85D03">
              <w:rPr>
                <w:rFonts w:asciiTheme="majorHAnsi" w:hAnsiTheme="majorHAnsi" w:cstheme="majorHAnsi"/>
              </w:rPr>
              <w:t xml:space="preserve">, </w:t>
            </w:r>
            <w:r w:rsidR="002A3CAF" w:rsidRPr="00C85D03">
              <w:rPr>
                <w:rFonts w:asciiTheme="majorHAnsi" w:hAnsiTheme="majorHAnsi" w:cstheme="majorHAnsi"/>
              </w:rPr>
              <w:t>there is no</w:t>
            </w:r>
            <w:r w:rsidR="00B152C6" w:rsidRPr="00C85D03">
              <w:rPr>
                <w:rFonts w:asciiTheme="majorHAnsi" w:hAnsiTheme="majorHAnsi" w:cstheme="majorHAnsi"/>
              </w:rPr>
              <w:t xml:space="preserve"> </w:t>
            </w:r>
            <w:r w:rsidR="002A3CAF" w:rsidRPr="00C85D03">
              <w:rPr>
                <w:rFonts w:asciiTheme="majorHAnsi" w:hAnsiTheme="majorHAnsi" w:cstheme="majorHAnsi"/>
              </w:rPr>
              <w:t>MOH</w:t>
            </w:r>
            <w:r w:rsidR="00B152C6" w:rsidRPr="00C85D03">
              <w:rPr>
                <w:rFonts w:asciiTheme="majorHAnsi" w:hAnsiTheme="majorHAnsi" w:cstheme="majorHAnsi"/>
              </w:rPr>
              <w:t xml:space="preserve">HRH workforce plan to guide the </w:t>
            </w:r>
            <w:r w:rsidR="002A3CAF" w:rsidRPr="00C85D03">
              <w:rPr>
                <w:rFonts w:asciiTheme="majorHAnsi" w:hAnsiTheme="majorHAnsi" w:cstheme="majorHAnsi"/>
              </w:rPr>
              <w:t>assessment of TL needs.</w:t>
            </w:r>
            <w:r w:rsidR="00B152C6" w:rsidRPr="00C85D03">
              <w:rPr>
                <w:rFonts w:asciiTheme="majorHAnsi" w:hAnsiTheme="majorHAnsi" w:cstheme="majorHAnsi"/>
              </w:rPr>
              <w:t>,</w:t>
            </w:r>
            <w:r w:rsidR="0056107E" w:rsidRPr="00C85D03">
              <w:rPr>
                <w:rFonts w:asciiTheme="majorHAnsi" w:hAnsiTheme="majorHAnsi" w:cstheme="majorHAnsi"/>
              </w:rPr>
              <w:t xml:space="preserve"> ATLASS II has already exceeded its 2018 target for number of trainees enrolled for postgraduate diplomas in </w:t>
            </w:r>
            <w:r w:rsidR="0056107E" w:rsidRPr="00C85D03">
              <w:rPr>
                <w:rFonts w:asciiTheme="majorHAnsi" w:hAnsiTheme="majorHAnsi"/>
                <w:szCs w:val="18"/>
              </w:rPr>
              <w:t>anaesthesia, surgery, paediatrics, obstetrics/gynaecology or internal medicine,</w:t>
            </w:r>
            <w:r w:rsidR="00B152C6" w:rsidRPr="00C85D03">
              <w:rPr>
                <w:rFonts w:asciiTheme="majorHAnsi" w:hAnsiTheme="majorHAnsi"/>
                <w:szCs w:val="18"/>
              </w:rPr>
              <w:t xml:space="preserve"> and </w:t>
            </w:r>
            <w:r w:rsidR="0056107E" w:rsidRPr="00C85D03">
              <w:rPr>
                <w:rFonts w:asciiTheme="majorHAnsi" w:hAnsiTheme="majorHAnsi"/>
                <w:szCs w:val="18"/>
              </w:rPr>
              <w:t xml:space="preserve">has met its 2018 </w:t>
            </w:r>
            <w:r w:rsidR="00B36AA1" w:rsidRPr="00C85D03">
              <w:rPr>
                <w:rFonts w:asciiTheme="majorHAnsi" w:hAnsiTheme="majorHAnsi"/>
                <w:szCs w:val="18"/>
              </w:rPr>
              <w:t>target for trainees enrolled in the Master of Medicine in paediatrics</w:t>
            </w:r>
            <w:r w:rsidR="00B36AA1" w:rsidRPr="00C85D03">
              <w:rPr>
                <w:rStyle w:val="FootnoteReference"/>
                <w:rFonts w:asciiTheme="majorHAnsi" w:hAnsiTheme="majorHAnsi"/>
                <w:szCs w:val="18"/>
              </w:rPr>
              <w:footnoteReference w:id="64"/>
            </w:r>
            <w:r w:rsidR="00B36AA1" w:rsidRPr="00C85D03">
              <w:rPr>
                <w:rFonts w:asciiTheme="majorHAnsi" w:hAnsiTheme="majorHAnsi"/>
                <w:szCs w:val="18"/>
              </w:rPr>
              <w:t xml:space="preserve">. </w:t>
            </w:r>
            <w:r w:rsidR="00B36AA1" w:rsidRPr="00C85D03">
              <w:rPr>
                <w:rFonts w:asciiTheme="majorHAnsi" w:hAnsiTheme="majorHAnsi"/>
              </w:rPr>
              <w:t xml:space="preserve">In this respect it is </w:t>
            </w:r>
            <w:r w:rsidR="00B36AA1" w:rsidRPr="00C85D03">
              <w:rPr>
                <w:rFonts w:asciiTheme="majorHAnsi" w:hAnsiTheme="majorHAnsi" w:cstheme="majorHAnsi"/>
              </w:rPr>
              <w:t>‘ahead of its time’, especially in view of the limited ability of the system to support graduates – even FMP doctors – to practice.</w:t>
            </w:r>
            <w:r w:rsidR="00B36AA1" w:rsidRPr="00C85D03">
              <w:rPr>
                <w:rStyle w:val="FootnoteReference"/>
                <w:rFonts w:asciiTheme="majorHAnsi" w:hAnsiTheme="majorHAnsi" w:cstheme="majorHAnsi"/>
              </w:rPr>
              <w:footnoteReference w:id="65"/>
            </w:r>
          </w:p>
          <w:p w14:paraId="5CEA8841" w14:textId="04827DC4" w:rsidR="00B152C6" w:rsidRDefault="00B152C6" w:rsidP="00AD1E3B">
            <w:pPr>
              <w:pStyle w:val="NormalWeb"/>
              <w:spacing w:beforeLines="0" w:afterLines="0"/>
              <w:jc w:val="both"/>
              <w:rPr>
                <w:rFonts w:asciiTheme="majorHAnsi" w:hAnsiTheme="majorHAnsi"/>
              </w:rPr>
            </w:pPr>
          </w:p>
        </w:tc>
        <w:tc>
          <w:tcPr>
            <w:tcW w:w="0" w:type="auto"/>
            <w:vAlign w:val="center"/>
          </w:tcPr>
          <w:p w14:paraId="2C7A115D" w14:textId="77777777" w:rsidR="000D259B" w:rsidRDefault="000D259B">
            <w:pPr>
              <w:spacing w:after="120"/>
              <w:jc w:val="both"/>
              <w:rPr>
                <w:rFonts w:asciiTheme="majorHAnsi" w:hAnsiTheme="majorHAnsi" w:cstheme="majorHAnsi"/>
                <w:color w:val="0000FF"/>
                <w:sz w:val="20"/>
                <w:szCs w:val="20"/>
              </w:rPr>
            </w:pPr>
          </w:p>
        </w:tc>
      </w:tr>
      <w:tr w:rsidR="00425B16" w:rsidRPr="00267B79" w14:paraId="3E5E9997" w14:textId="77777777">
        <w:tc>
          <w:tcPr>
            <w:tcW w:w="0" w:type="auto"/>
          </w:tcPr>
          <w:p w14:paraId="227F9ED3" w14:textId="60E6CFDF" w:rsidR="00B152C6" w:rsidRDefault="00B36AA1" w:rsidP="00AD1E3B">
            <w:pPr>
              <w:pStyle w:val="NormalWeb"/>
              <w:shd w:val="clear" w:color="auto" w:fill="FFFFFF"/>
              <w:spacing w:beforeLines="0" w:afterLines="0"/>
              <w:jc w:val="both"/>
              <w:rPr>
                <w:rFonts w:asciiTheme="majorHAnsi" w:hAnsiTheme="majorHAnsi" w:cstheme="majorHAnsi"/>
              </w:rPr>
            </w:pPr>
            <w:r w:rsidRPr="00B36AA1">
              <w:rPr>
                <w:rFonts w:asciiTheme="majorHAnsi" w:hAnsiTheme="majorHAnsi" w:cstheme="majorHAnsi"/>
              </w:rPr>
              <w:t>During the Review, various stakeholders offered different interpretations of the status of an embargo imposed by the Ministry of Education in 2013 to restrict the proliferation of postgraduate courses. Some cited letters from GOTL indicating the embargo had been lifted while other senior interlocutors said that although an exception was made for ATLASS II students, the embargo is technically still in force. This may boil down to nothing more than a fine semantic distinction, but it is unhelpful if there is continued confusion on this point</w:t>
            </w:r>
            <w:r w:rsidR="00B152C6">
              <w:rPr>
                <w:rFonts w:asciiTheme="majorHAnsi" w:hAnsiTheme="majorHAnsi" w:cstheme="majorHAnsi"/>
              </w:rPr>
              <w:t>.</w:t>
            </w:r>
          </w:p>
        </w:tc>
        <w:tc>
          <w:tcPr>
            <w:tcW w:w="0" w:type="auto"/>
            <w:vAlign w:val="center"/>
          </w:tcPr>
          <w:p w14:paraId="14FCB954"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B, N, O</w:t>
            </w:r>
          </w:p>
        </w:tc>
      </w:tr>
      <w:tr w:rsidR="00425B16" w:rsidRPr="00267B79" w14:paraId="07695E8C" w14:textId="77777777">
        <w:tc>
          <w:tcPr>
            <w:tcW w:w="0" w:type="auto"/>
          </w:tcPr>
          <w:p w14:paraId="4E371A09" w14:textId="77777777" w:rsidR="000D259B" w:rsidRDefault="00B36AA1" w:rsidP="00AD1E3B">
            <w:pPr>
              <w:pStyle w:val="NormalWeb"/>
              <w:shd w:val="clear" w:color="auto" w:fill="FFFFFF"/>
              <w:spacing w:beforeLines="0" w:afterLines="0"/>
              <w:jc w:val="both"/>
              <w:rPr>
                <w:rFonts w:asciiTheme="majorHAnsi" w:hAnsiTheme="majorHAnsi" w:cstheme="majorHAnsi"/>
              </w:rPr>
            </w:pPr>
            <w:r w:rsidRPr="00B36AA1">
              <w:rPr>
                <w:rFonts w:asciiTheme="majorHAnsi" w:hAnsiTheme="majorHAnsi" w:cstheme="majorHAnsi"/>
              </w:rPr>
              <w:t>In any case, fees charged by UNTL for the ATLASS II postgraduate courses reduce the value for money of this investment, since UNTL does not remunerate clinicians for teaching.</w:t>
            </w:r>
            <w:r w:rsidRPr="00B36AA1">
              <w:rPr>
                <w:rStyle w:val="FootnoteReference"/>
                <w:rFonts w:asciiTheme="majorHAnsi" w:hAnsiTheme="majorHAnsi" w:cstheme="majorHAnsi"/>
              </w:rPr>
              <w:footnoteReference w:id="66"/>
            </w:r>
          </w:p>
        </w:tc>
        <w:tc>
          <w:tcPr>
            <w:tcW w:w="0" w:type="auto"/>
            <w:vAlign w:val="center"/>
          </w:tcPr>
          <w:p w14:paraId="32EE9F7D"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B</w:t>
            </w:r>
          </w:p>
        </w:tc>
      </w:tr>
      <w:tr w:rsidR="00425B16" w:rsidRPr="00267B79" w14:paraId="19F845F6" w14:textId="77777777">
        <w:tc>
          <w:tcPr>
            <w:tcW w:w="0" w:type="auto"/>
          </w:tcPr>
          <w:p w14:paraId="02D6E364" w14:textId="77777777" w:rsidR="00B152C6" w:rsidRDefault="00B152C6" w:rsidP="00AD1E3B">
            <w:pPr>
              <w:pStyle w:val="NormalWeb"/>
              <w:shd w:val="clear" w:color="auto" w:fill="FFFFFF"/>
              <w:spacing w:beforeLines="0" w:afterLines="0"/>
              <w:jc w:val="both"/>
              <w:rPr>
                <w:rFonts w:asciiTheme="majorHAnsi" w:hAnsiTheme="majorHAnsi" w:cstheme="majorHAnsi"/>
              </w:rPr>
            </w:pPr>
          </w:p>
          <w:p w14:paraId="5A825CA7" w14:textId="77777777" w:rsidR="000D259B" w:rsidRDefault="00B36AA1" w:rsidP="00AD1E3B">
            <w:pPr>
              <w:pStyle w:val="NormalWeb"/>
              <w:shd w:val="clear" w:color="auto" w:fill="FFFFFF"/>
              <w:spacing w:beforeLines="0" w:afterLines="0"/>
              <w:jc w:val="both"/>
              <w:rPr>
                <w:rFonts w:asciiTheme="majorHAnsi" w:hAnsiTheme="majorHAnsi" w:cstheme="majorHAnsi"/>
              </w:rPr>
            </w:pPr>
            <w:r w:rsidRPr="00B36AA1">
              <w:rPr>
                <w:rFonts w:asciiTheme="majorHAnsi" w:hAnsiTheme="majorHAnsi" w:cstheme="majorHAnsi"/>
              </w:rPr>
              <w:t xml:space="preserve">The Health Transport Project has performed very well (see Annex 7) and is widely regarded as effective in meeting needs not only for ambulance service functionality but also, and in particular, for maintenance of MFVs and HFs. </w:t>
            </w:r>
          </w:p>
          <w:p w14:paraId="705CD60E" w14:textId="77777777" w:rsidR="00B152C6" w:rsidRDefault="00B152C6" w:rsidP="00AD1E3B">
            <w:pPr>
              <w:pStyle w:val="NormalWeb"/>
              <w:shd w:val="clear" w:color="auto" w:fill="FFFFFF"/>
              <w:spacing w:beforeLines="0" w:afterLines="0"/>
              <w:jc w:val="both"/>
              <w:rPr>
                <w:rFonts w:asciiTheme="majorHAnsi" w:hAnsiTheme="majorHAnsi" w:cstheme="majorHAnsi"/>
              </w:rPr>
            </w:pPr>
          </w:p>
        </w:tc>
        <w:tc>
          <w:tcPr>
            <w:tcW w:w="0" w:type="auto"/>
            <w:vAlign w:val="center"/>
          </w:tcPr>
          <w:p w14:paraId="348CD5F1"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E</w:t>
            </w:r>
          </w:p>
        </w:tc>
      </w:tr>
      <w:tr w:rsidR="00425B16" w:rsidRPr="00267B79" w14:paraId="3C2C03AC" w14:textId="77777777">
        <w:tc>
          <w:tcPr>
            <w:tcW w:w="0" w:type="auto"/>
          </w:tcPr>
          <w:p w14:paraId="562955CC" w14:textId="77777777" w:rsidR="000D259B" w:rsidRDefault="00B36AA1" w:rsidP="00AD1E3B">
            <w:pPr>
              <w:pStyle w:val="NormalWeb"/>
              <w:shd w:val="clear" w:color="auto" w:fill="FFFFFF"/>
              <w:spacing w:beforeLines="0" w:afterLines="0"/>
              <w:jc w:val="both"/>
              <w:rPr>
                <w:rFonts w:asciiTheme="majorHAnsi" w:hAnsiTheme="majorHAnsi"/>
                <w:szCs w:val="16"/>
              </w:rPr>
            </w:pPr>
            <w:r w:rsidRPr="00B36AA1">
              <w:rPr>
                <w:rFonts w:asciiTheme="majorHAnsi" w:hAnsiTheme="majorHAnsi" w:cstheme="majorHAnsi"/>
              </w:rPr>
              <w:t xml:space="preserve">Liga Inan complements other activities by enabling better communication between midwives and mothers. A recent systematic review of </w:t>
            </w:r>
            <w:r w:rsidRPr="00B36AA1">
              <w:rPr>
                <w:rFonts w:asciiTheme="majorHAnsi" w:hAnsiTheme="majorHAnsi"/>
                <w:szCs w:val="34"/>
              </w:rPr>
              <w:t xml:space="preserve">mHealth Interventions in improving maternal and neonatal care found that </w:t>
            </w:r>
            <w:r w:rsidRPr="00B36AA1">
              <w:rPr>
                <w:rFonts w:asciiTheme="majorHAnsi" w:hAnsiTheme="majorHAnsi"/>
                <w:szCs w:val="16"/>
              </w:rPr>
              <w:t>all of the included studies that addressed maternal and neonatal service utilization showed significant increases, but effects on maternal and neonatal health outcomes were not consistent. The authors also found that ‘inequities arise … depending on phone ownership, literacy, rural or urban residency and socio-economic status’ and highlighted ‘the importance of being aware of the possible selection mechanisms that … can affect those at the bottom of the pyramid’. They call for action ‘to ensure such interventions and activities are evaluated and results disseminated [ to ] … provide solid evidence on which governments and institutions can base decisions’.</w:t>
            </w:r>
            <w:r w:rsidRPr="00B36AA1">
              <w:rPr>
                <w:rStyle w:val="FootnoteReference"/>
                <w:rFonts w:asciiTheme="majorHAnsi" w:hAnsiTheme="majorHAnsi"/>
                <w:szCs w:val="16"/>
              </w:rPr>
              <w:footnoteReference w:id="67"/>
            </w:r>
            <w:r w:rsidRPr="00B36AA1">
              <w:rPr>
                <w:rFonts w:asciiTheme="majorHAnsi" w:hAnsiTheme="majorHAnsi"/>
                <w:szCs w:val="16"/>
              </w:rPr>
              <w:t xml:space="preserve"> </w:t>
            </w:r>
          </w:p>
          <w:p w14:paraId="64A0A5D0" w14:textId="77777777" w:rsidR="00B152C6" w:rsidRDefault="00B152C6" w:rsidP="00AD1E3B">
            <w:pPr>
              <w:pStyle w:val="NormalWeb"/>
              <w:shd w:val="clear" w:color="auto" w:fill="FFFFFF"/>
              <w:spacing w:beforeLines="0" w:afterLines="0"/>
              <w:jc w:val="both"/>
              <w:rPr>
                <w:rFonts w:asciiTheme="majorHAnsi" w:hAnsiTheme="majorHAnsi"/>
                <w:szCs w:val="16"/>
              </w:rPr>
            </w:pPr>
          </w:p>
        </w:tc>
        <w:tc>
          <w:tcPr>
            <w:tcW w:w="0" w:type="auto"/>
            <w:vAlign w:val="center"/>
          </w:tcPr>
          <w:p w14:paraId="0206064A" w14:textId="77777777" w:rsidR="000D259B" w:rsidRDefault="00B36AA1">
            <w:pPr>
              <w:spacing w:after="120"/>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M, O</w:t>
            </w:r>
          </w:p>
        </w:tc>
      </w:tr>
      <w:tr w:rsidR="00425B16" w:rsidRPr="00267B79" w14:paraId="565ABC63" w14:textId="77777777">
        <w:tc>
          <w:tcPr>
            <w:tcW w:w="0" w:type="auto"/>
          </w:tcPr>
          <w:p w14:paraId="7F95BF90" w14:textId="18AFED94" w:rsidR="000D259B" w:rsidRDefault="005E23E8">
            <w:pPr>
              <w:spacing w:after="120"/>
              <w:jc w:val="both"/>
              <w:rPr>
                <w:rFonts w:asciiTheme="majorHAnsi" w:hAnsiTheme="majorHAnsi" w:cstheme="majorHAnsi"/>
                <w:sz w:val="20"/>
              </w:rPr>
            </w:pPr>
            <w:r w:rsidRPr="005E23E8">
              <w:rPr>
                <w:rFonts w:asciiTheme="majorHAnsi" w:hAnsiTheme="majorHAnsi" w:cstheme="majorHAnsi"/>
                <w:sz w:val="20"/>
              </w:rPr>
              <w:t>Although both HAI and INS conducted evaluations of Liga Inan, the quality of these studies has not yet been critically appraised through peer review for publication or as part of a systematic review.</w:t>
            </w:r>
            <w:r w:rsidRPr="005E23E8">
              <w:rPr>
                <w:rStyle w:val="FootnoteReference"/>
                <w:rFonts w:asciiTheme="majorHAnsi" w:hAnsiTheme="majorHAnsi" w:cstheme="majorHAnsi"/>
                <w:sz w:val="20"/>
              </w:rPr>
              <w:footnoteReference w:id="68"/>
            </w:r>
            <w:r w:rsidR="00DF433A">
              <w:rPr>
                <w:rFonts w:asciiTheme="majorHAnsi" w:hAnsiTheme="majorHAnsi" w:cstheme="majorHAnsi"/>
                <w:sz w:val="20"/>
              </w:rPr>
              <w:t xml:space="preserve">  </w:t>
            </w:r>
            <w:r w:rsidRPr="005E23E8">
              <w:rPr>
                <w:rFonts w:asciiTheme="majorHAnsi" w:hAnsiTheme="majorHAnsi" w:cstheme="majorHAnsi"/>
                <w:sz w:val="20"/>
              </w:rPr>
              <w:t>Moreover, possible limitations of Liga Inan in generating demand have not been recognised or adequately explored and cost-effectiveness has not been assessed against possible alternatives (e</w:t>
            </w:r>
            <w:r w:rsidR="002A3CAF">
              <w:rPr>
                <w:rFonts w:asciiTheme="majorHAnsi" w:hAnsiTheme="majorHAnsi" w:cstheme="majorHAnsi"/>
                <w:sz w:val="20"/>
              </w:rPr>
              <w:t>.</w:t>
            </w:r>
            <w:r w:rsidRPr="005E23E8">
              <w:rPr>
                <w:rFonts w:asciiTheme="majorHAnsi" w:hAnsiTheme="majorHAnsi" w:cstheme="majorHAnsi"/>
                <w:sz w:val="20"/>
              </w:rPr>
              <w:t>g</w:t>
            </w:r>
            <w:r w:rsidR="002A3CAF">
              <w:rPr>
                <w:rFonts w:asciiTheme="majorHAnsi" w:hAnsiTheme="majorHAnsi" w:cstheme="majorHAnsi"/>
                <w:sz w:val="20"/>
              </w:rPr>
              <w:t>.</w:t>
            </w:r>
            <w:r w:rsidRPr="005E23E8">
              <w:rPr>
                <w:rFonts w:asciiTheme="majorHAnsi" w:hAnsiTheme="majorHAnsi" w:cstheme="majorHAnsi"/>
                <w:sz w:val="20"/>
              </w:rPr>
              <w:t xml:space="preserve"> transport vouchers)</w:t>
            </w:r>
            <w:r w:rsidRPr="005E23E8">
              <w:rPr>
                <w:rStyle w:val="FootnoteReference"/>
                <w:rFonts w:asciiTheme="majorHAnsi" w:hAnsiTheme="majorHAnsi" w:cstheme="majorHAnsi"/>
                <w:sz w:val="20"/>
              </w:rPr>
              <w:footnoteReference w:id="69"/>
            </w:r>
            <w:r w:rsidRPr="005E23E8">
              <w:rPr>
                <w:rFonts w:asciiTheme="majorHAnsi" w:hAnsiTheme="majorHAnsi" w:cstheme="majorHAnsi"/>
                <w:sz w:val="20"/>
              </w:rPr>
              <w:t>.</w:t>
            </w:r>
          </w:p>
        </w:tc>
        <w:tc>
          <w:tcPr>
            <w:tcW w:w="0" w:type="auto"/>
            <w:vAlign w:val="center"/>
          </w:tcPr>
          <w:p w14:paraId="2EE3059A" w14:textId="77777777" w:rsidR="000D259B" w:rsidRDefault="005E23E8">
            <w:pPr>
              <w:spacing w:after="120"/>
              <w:jc w:val="both"/>
              <w:rPr>
                <w:rFonts w:asciiTheme="majorHAnsi" w:hAnsiTheme="majorHAnsi" w:cstheme="majorHAnsi"/>
                <w:color w:val="0000FF"/>
                <w:sz w:val="20"/>
                <w:szCs w:val="20"/>
              </w:rPr>
            </w:pPr>
            <w:r w:rsidRPr="005E23E8">
              <w:rPr>
                <w:rFonts w:asciiTheme="majorHAnsi" w:hAnsiTheme="majorHAnsi" w:cstheme="majorHAnsi"/>
                <w:color w:val="0000FF"/>
                <w:sz w:val="20"/>
                <w:szCs w:val="20"/>
              </w:rPr>
              <w:t>M</w:t>
            </w:r>
          </w:p>
        </w:tc>
      </w:tr>
      <w:tr w:rsidR="00425B16" w:rsidRPr="00267B79" w14:paraId="2D20F71D" w14:textId="77777777">
        <w:tc>
          <w:tcPr>
            <w:tcW w:w="0" w:type="auto"/>
          </w:tcPr>
          <w:p w14:paraId="71F9FAD4" w14:textId="77777777" w:rsidR="000D259B" w:rsidRDefault="005E23E8">
            <w:pPr>
              <w:spacing w:after="120"/>
              <w:jc w:val="both"/>
              <w:rPr>
                <w:rFonts w:asciiTheme="majorHAnsi" w:hAnsiTheme="majorHAnsi" w:cstheme="majorHAnsi"/>
                <w:sz w:val="20"/>
                <w:szCs w:val="20"/>
              </w:rPr>
            </w:pPr>
            <w:r w:rsidRPr="005E23E8">
              <w:rPr>
                <w:rFonts w:asciiTheme="majorHAnsi" w:hAnsiTheme="majorHAnsi" w:cstheme="majorHAnsi"/>
                <w:sz w:val="20"/>
                <w:szCs w:val="20"/>
              </w:rPr>
              <w:lastRenderedPageBreak/>
              <w:t>Apart from Liga Inan, the current program has little focus on the demand side, though there are important needs and opportunities related to behaviour change, seeking care and engagement in governance.</w:t>
            </w:r>
          </w:p>
        </w:tc>
        <w:tc>
          <w:tcPr>
            <w:tcW w:w="0" w:type="auto"/>
            <w:vAlign w:val="center"/>
          </w:tcPr>
          <w:p w14:paraId="1E188131" w14:textId="77777777" w:rsidR="000D259B" w:rsidRDefault="005E23E8">
            <w:pPr>
              <w:spacing w:after="120"/>
              <w:jc w:val="both"/>
              <w:rPr>
                <w:rFonts w:asciiTheme="majorHAnsi" w:hAnsiTheme="majorHAnsi" w:cstheme="majorHAnsi"/>
                <w:color w:val="0000FF"/>
                <w:sz w:val="20"/>
                <w:szCs w:val="20"/>
              </w:rPr>
            </w:pPr>
            <w:r w:rsidRPr="005E23E8">
              <w:rPr>
                <w:rFonts w:asciiTheme="majorHAnsi" w:hAnsiTheme="majorHAnsi" w:cstheme="majorHAnsi"/>
                <w:color w:val="0000FF"/>
                <w:sz w:val="20"/>
                <w:szCs w:val="20"/>
              </w:rPr>
              <w:t>M</w:t>
            </w:r>
          </w:p>
        </w:tc>
      </w:tr>
      <w:tr w:rsidR="00425B16" w:rsidRPr="00267B79" w14:paraId="40D44523" w14:textId="77777777">
        <w:tc>
          <w:tcPr>
            <w:tcW w:w="0" w:type="auto"/>
          </w:tcPr>
          <w:p w14:paraId="64B4E3DB" w14:textId="77777777" w:rsidR="000D259B" w:rsidRDefault="005E23E8">
            <w:pPr>
              <w:spacing w:after="120"/>
              <w:jc w:val="both"/>
              <w:rPr>
                <w:rFonts w:asciiTheme="majorHAnsi" w:hAnsiTheme="majorHAnsi" w:cstheme="majorHAnsi"/>
                <w:sz w:val="20"/>
                <w:szCs w:val="20"/>
                <w:lang w:eastAsia="en-AU"/>
              </w:rPr>
            </w:pPr>
            <w:r w:rsidRPr="005E23E8">
              <w:rPr>
                <w:rFonts w:asciiTheme="majorHAnsi" w:hAnsiTheme="majorHAnsi" w:cstheme="majorHAnsi"/>
                <w:sz w:val="20"/>
                <w:szCs w:val="20"/>
                <w:lang w:eastAsia="en-AU"/>
              </w:rPr>
              <w:t>The M&amp;E Adviser has not been able to do sufficient capacity building across MoH managers to support a strong and lasting culture of M&amp;E, evidence based planning/management and learning -  though this is something that requires ownership and leadership as well as appropriate TA.</w:t>
            </w:r>
          </w:p>
        </w:tc>
        <w:tc>
          <w:tcPr>
            <w:tcW w:w="0" w:type="auto"/>
            <w:vAlign w:val="center"/>
          </w:tcPr>
          <w:p w14:paraId="0A963DFA" w14:textId="77777777" w:rsidR="000D259B" w:rsidRDefault="005E23E8">
            <w:pPr>
              <w:spacing w:after="120"/>
              <w:jc w:val="both"/>
              <w:rPr>
                <w:rFonts w:asciiTheme="majorHAnsi" w:hAnsiTheme="majorHAnsi" w:cstheme="majorHAnsi"/>
                <w:color w:val="0000FF"/>
                <w:sz w:val="20"/>
                <w:szCs w:val="20"/>
              </w:rPr>
            </w:pPr>
            <w:r w:rsidRPr="005E23E8">
              <w:rPr>
                <w:rFonts w:asciiTheme="majorHAnsi" w:hAnsiTheme="majorHAnsi" w:cstheme="majorHAnsi"/>
                <w:color w:val="0000FF"/>
                <w:sz w:val="20"/>
                <w:szCs w:val="20"/>
              </w:rPr>
              <w:t>A, B, O</w:t>
            </w:r>
          </w:p>
        </w:tc>
      </w:tr>
      <w:tr w:rsidR="00425B16" w:rsidRPr="00267B79" w14:paraId="43B305C3" w14:textId="77777777">
        <w:tc>
          <w:tcPr>
            <w:tcW w:w="0" w:type="auto"/>
          </w:tcPr>
          <w:p w14:paraId="2A6D14BA" w14:textId="11C18B09" w:rsidR="000D259B" w:rsidRDefault="005E23E8" w:rsidP="0037270E">
            <w:pPr>
              <w:spacing w:after="120"/>
              <w:jc w:val="both"/>
              <w:rPr>
                <w:rFonts w:asciiTheme="majorHAnsi" w:hAnsiTheme="majorHAnsi" w:cstheme="majorHAnsi"/>
                <w:sz w:val="20"/>
                <w:szCs w:val="20"/>
                <w:lang w:eastAsia="en-AU"/>
              </w:rPr>
            </w:pPr>
            <w:r w:rsidRPr="005E23E8">
              <w:rPr>
                <w:rFonts w:asciiTheme="majorHAnsi" w:hAnsiTheme="majorHAnsi" w:cstheme="majorHAnsi"/>
                <w:sz w:val="20"/>
                <w:szCs w:val="20"/>
                <w:lang w:eastAsia="en-AU"/>
              </w:rPr>
              <w:t>The current part-time PFM TA may not have time to conduct an analysis to work out the cost of proving RMNCH services to all (e</w:t>
            </w:r>
            <w:r w:rsidR="002A3CAF">
              <w:rPr>
                <w:rFonts w:asciiTheme="majorHAnsi" w:hAnsiTheme="majorHAnsi" w:cstheme="majorHAnsi"/>
                <w:sz w:val="20"/>
                <w:szCs w:val="20"/>
                <w:lang w:eastAsia="en-AU"/>
              </w:rPr>
              <w:t>.</w:t>
            </w:r>
            <w:r w:rsidRPr="005E23E8">
              <w:rPr>
                <w:rFonts w:asciiTheme="majorHAnsi" w:hAnsiTheme="majorHAnsi" w:cstheme="majorHAnsi"/>
                <w:sz w:val="20"/>
                <w:szCs w:val="20"/>
                <w:lang w:eastAsia="en-AU"/>
              </w:rPr>
              <w:t>g</w:t>
            </w:r>
            <w:r w:rsidR="002A3CAF">
              <w:rPr>
                <w:rFonts w:asciiTheme="majorHAnsi" w:hAnsiTheme="majorHAnsi" w:cstheme="majorHAnsi"/>
                <w:sz w:val="20"/>
                <w:szCs w:val="20"/>
                <w:lang w:eastAsia="en-AU"/>
              </w:rPr>
              <w:t>.</w:t>
            </w:r>
            <w:r w:rsidRPr="005E23E8">
              <w:rPr>
                <w:rFonts w:asciiTheme="majorHAnsi" w:hAnsiTheme="majorHAnsi" w:cstheme="majorHAnsi"/>
                <w:sz w:val="20"/>
                <w:szCs w:val="20"/>
                <w:lang w:eastAsia="en-AU"/>
              </w:rPr>
              <w:t xml:space="preserve"> using the One Health Tool or Marginal Budgeting for Bottlenecks). MOH would like TA with health economics and financing expertise.</w:t>
            </w:r>
          </w:p>
        </w:tc>
        <w:tc>
          <w:tcPr>
            <w:tcW w:w="0" w:type="auto"/>
            <w:vAlign w:val="center"/>
          </w:tcPr>
          <w:p w14:paraId="35C0E236" w14:textId="77777777" w:rsidR="000D259B" w:rsidRDefault="005E23E8">
            <w:pPr>
              <w:spacing w:after="120"/>
              <w:jc w:val="both"/>
              <w:rPr>
                <w:rFonts w:asciiTheme="majorHAnsi" w:hAnsiTheme="majorHAnsi" w:cstheme="majorHAnsi"/>
                <w:color w:val="0000FF"/>
                <w:sz w:val="20"/>
                <w:szCs w:val="20"/>
              </w:rPr>
            </w:pPr>
            <w:r w:rsidRPr="005E23E8">
              <w:rPr>
                <w:rFonts w:asciiTheme="majorHAnsi" w:hAnsiTheme="majorHAnsi" w:cstheme="majorHAnsi"/>
                <w:color w:val="0000FF"/>
                <w:sz w:val="20"/>
                <w:szCs w:val="20"/>
              </w:rPr>
              <w:t>A, B, M, O</w:t>
            </w:r>
          </w:p>
        </w:tc>
      </w:tr>
      <w:tr w:rsidR="00425B16" w:rsidRPr="00267B79" w14:paraId="7C670D79" w14:textId="77777777">
        <w:tc>
          <w:tcPr>
            <w:tcW w:w="0" w:type="auto"/>
          </w:tcPr>
          <w:p w14:paraId="45F0E301" w14:textId="77777777" w:rsidR="000D259B" w:rsidRDefault="004B3B8F">
            <w:pPr>
              <w:spacing w:after="120"/>
              <w:jc w:val="both"/>
              <w:rPr>
                <w:rFonts w:asciiTheme="majorHAnsi" w:hAnsiTheme="majorHAnsi" w:cstheme="majorHAnsi"/>
                <w:sz w:val="20"/>
              </w:rPr>
            </w:pPr>
            <w:r w:rsidRPr="004B3B8F">
              <w:rPr>
                <w:rFonts w:asciiTheme="majorHAnsi" w:hAnsiTheme="majorHAnsi" w:cstheme="majorHAnsi"/>
                <w:sz w:val="20"/>
              </w:rPr>
              <w:t xml:space="preserve">Based on the above, program interventions are on the whole necessary but probably not sufficient for major impact on RMNCH. Though the program is performing reasonably well against its own targets, impact is limited by poor health facility readiness, which in turn stems from slow progress in addressing fundamental institutional issues and management weaknesses within the sector. </w:t>
            </w:r>
          </w:p>
        </w:tc>
        <w:tc>
          <w:tcPr>
            <w:tcW w:w="0" w:type="auto"/>
            <w:vAlign w:val="center"/>
          </w:tcPr>
          <w:p w14:paraId="45417D0C" w14:textId="77777777" w:rsidR="000D259B" w:rsidRDefault="000D259B">
            <w:pPr>
              <w:spacing w:after="120"/>
              <w:jc w:val="both"/>
              <w:rPr>
                <w:rFonts w:asciiTheme="majorHAnsi" w:hAnsiTheme="majorHAnsi" w:cstheme="majorHAnsi"/>
                <w:color w:val="0000FF"/>
                <w:sz w:val="20"/>
                <w:szCs w:val="20"/>
              </w:rPr>
            </w:pPr>
          </w:p>
        </w:tc>
      </w:tr>
    </w:tbl>
    <w:p w14:paraId="187CCC2D" w14:textId="77777777" w:rsidR="000D259B" w:rsidRDefault="000D259B">
      <w:pPr>
        <w:jc w:val="both"/>
        <w:rPr>
          <w:rFonts w:asciiTheme="majorHAnsi" w:hAnsiTheme="majorHAnsi" w:cs="Calibri Light"/>
          <w:color w:val="000000"/>
          <w:sz w:val="20"/>
        </w:rPr>
      </w:pPr>
    </w:p>
    <w:p w14:paraId="06B19F83" w14:textId="77777777" w:rsidR="000D259B" w:rsidRDefault="000D259B">
      <w:pPr>
        <w:jc w:val="both"/>
        <w:rPr>
          <w:rFonts w:asciiTheme="majorHAnsi" w:hAnsiTheme="majorHAnsi" w:cs="Calibri Light"/>
          <w:color w:val="000000"/>
          <w:sz w:val="20"/>
        </w:rPr>
      </w:pPr>
    </w:p>
    <w:p w14:paraId="67410ACD" w14:textId="77777777" w:rsidR="000D259B" w:rsidRDefault="00DA31F6">
      <w:pPr>
        <w:pStyle w:val="Heading2"/>
        <w:jc w:val="both"/>
        <w:rPr>
          <w:color w:val="FF0000"/>
        </w:rPr>
      </w:pPr>
      <w:bookmarkStart w:id="21" w:name="_Toc378838737"/>
      <w:r w:rsidRPr="00267B79">
        <w:rPr>
          <w:lang w:eastAsia="en-AU"/>
        </w:rPr>
        <w:t>7</w:t>
      </w:r>
      <w:r w:rsidR="00530479" w:rsidRPr="00267B79">
        <w:rPr>
          <w:lang w:eastAsia="en-AU"/>
        </w:rPr>
        <w:t>.</w:t>
      </w:r>
      <w:r w:rsidR="00432E24" w:rsidRPr="00267B79">
        <w:rPr>
          <w:lang w:eastAsia="en-AU"/>
        </w:rPr>
        <w:t xml:space="preserve"> Coherence of DFAT’s bilateral investments in the health sector</w:t>
      </w:r>
      <w:bookmarkEnd w:id="21"/>
      <w:r w:rsidR="00432E24" w:rsidRPr="00267B79">
        <w:rPr>
          <w:color w:val="FF0000"/>
        </w:rPr>
        <w:t xml:space="preserve"> </w:t>
      </w:r>
    </w:p>
    <w:p w14:paraId="45484CBD" w14:textId="77777777" w:rsidR="000D259B" w:rsidRDefault="000D259B">
      <w:pPr>
        <w:jc w:val="both"/>
        <w:rPr>
          <w:rFonts w:asciiTheme="majorHAnsi" w:hAnsiTheme="majorHAnsi"/>
        </w:rPr>
      </w:pPr>
    </w:p>
    <w:tbl>
      <w:tblPr>
        <w:tblW w:w="5000" w:type="pct"/>
        <w:tblLook w:val="00A0" w:firstRow="1" w:lastRow="0" w:firstColumn="1" w:lastColumn="0" w:noHBand="0" w:noVBand="0"/>
      </w:tblPr>
      <w:tblGrid>
        <w:gridCol w:w="7289"/>
        <w:gridCol w:w="1011"/>
      </w:tblGrid>
      <w:tr w:rsidR="00DA31F6" w:rsidRPr="00267B79" w14:paraId="2A92E345" w14:textId="77777777">
        <w:tc>
          <w:tcPr>
            <w:tcW w:w="4391" w:type="pct"/>
          </w:tcPr>
          <w:p w14:paraId="01B4C894" w14:textId="77777777" w:rsidR="000D259B" w:rsidRDefault="000D259B">
            <w:pPr>
              <w:jc w:val="both"/>
              <w:rPr>
                <w:rFonts w:asciiTheme="majorHAnsi" w:hAnsiTheme="majorHAnsi" w:cstheme="majorHAnsi"/>
                <w:sz w:val="20"/>
                <w:szCs w:val="20"/>
                <w:lang w:eastAsia="en-AU"/>
              </w:rPr>
            </w:pPr>
          </w:p>
        </w:tc>
        <w:tc>
          <w:tcPr>
            <w:tcW w:w="609" w:type="pct"/>
          </w:tcPr>
          <w:p w14:paraId="0F7F880C" w14:textId="77777777" w:rsidR="000D259B" w:rsidRDefault="00B36AA1">
            <w:pPr>
              <w:jc w:val="both"/>
              <w:rPr>
                <w:rFonts w:asciiTheme="majorHAnsi" w:hAnsiTheme="majorHAnsi" w:cstheme="majorHAnsi"/>
                <w:b/>
                <w:color w:val="0000FF"/>
                <w:sz w:val="20"/>
                <w:szCs w:val="20"/>
              </w:rPr>
            </w:pPr>
            <w:r w:rsidRPr="00B36AA1">
              <w:rPr>
                <w:rFonts w:asciiTheme="majorHAnsi" w:hAnsiTheme="majorHAnsi" w:cstheme="majorHAnsi"/>
                <w:b/>
                <w:color w:val="0000FF"/>
                <w:sz w:val="20"/>
                <w:szCs w:val="20"/>
              </w:rPr>
              <w:t>Sources</w:t>
            </w:r>
          </w:p>
        </w:tc>
      </w:tr>
      <w:tr w:rsidR="00DA31F6" w:rsidRPr="00267B79" w14:paraId="02CED2D9" w14:textId="77777777">
        <w:tc>
          <w:tcPr>
            <w:tcW w:w="4391" w:type="pct"/>
          </w:tcPr>
          <w:p w14:paraId="60258D4E" w14:textId="48FF96C2" w:rsidR="00763772" w:rsidRPr="009C0453" w:rsidRDefault="009C0453" w:rsidP="009C0453">
            <w:pPr>
              <w:pStyle w:val="CommentText"/>
              <w:jc w:val="both"/>
              <w:rPr>
                <w:rFonts w:asciiTheme="majorHAnsi" w:hAnsiTheme="majorHAnsi"/>
                <w:sz w:val="20"/>
                <w:szCs w:val="20"/>
              </w:rPr>
            </w:pPr>
            <w:r w:rsidRPr="009C0453">
              <w:rPr>
                <w:rFonts w:asciiTheme="majorHAnsi" w:hAnsiTheme="majorHAnsi"/>
                <w:sz w:val="20"/>
                <w:szCs w:val="20"/>
              </w:rPr>
              <w:t>Although t</w:t>
            </w:r>
            <w:r w:rsidR="0056107E" w:rsidRPr="009C0453">
              <w:rPr>
                <w:rFonts w:asciiTheme="majorHAnsi" w:hAnsiTheme="majorHAnsi"/>
                <w:sz w:val="20"/>
                <w:szCs w:val="20"/>
              </w:rPr>
              <w:t xml:space="preserve">he </w:t>
            </w:r>
            <w:r w:rsidRPr="009C0453">
              <w:rPr>
                <w:rFonts w:asciiTheme="majorHAnsi" w:hAnsiTheme="majorHAnsi"/>
                <w:sz w:val="20"/>
                <w:szCs w:val="20"/>
              </w:rPr>
              <w:t>bilateral p</w:t>
            </w:r>
            <w:r w:rsidR="0056107E" w:rsidRPr="009C0453">
              <w:rPr>
                <w:rFonts w:asciiTheme="majorHAnsi" w:hAnsiTheme="majorHAnsi"/>
                <w:sz w:val="20"/>
                <w:szCs w:val="20"/>
              </w:rPr>
              <w:t>rogram has clear thematic priorities in RMNCH, there are opportunities to improve the complementarity of its approaches and investment</w:t>
            </w:r>
            <w:r>
              <w:rPr>
                <w:rFonts w:asciiTheme="majorHAnsi" w:hAnsiTheme="majorHAnsi"/>
                <w:sz w:val="20"/>
                <w:szCs w:val="20"/>
              </w:rPr>
              <w:t>s</w:t>
            </w:r>
            <w:r w:rsidR="0056107E" w:rsidRPr="009C0453">
              <w:rPr>
                <w:rFonts w:asciiTheme="majorHAnsi" w:hAnsiTheme="majorHAnsi" w:cstheme="majorHAnsi"/>
                <w:sz w:val="20"/>
                <w:szCs w:val="20"/>
                <w:lang w:eastAsia="en-AU"/>
              </w:rPr>
              <w:t>.</w:t>
            </w:r>
            <w:r w:rsidR="0056107E" w:rsidRPr="0056107E">
              <w:rPr>
                <w:rFonts w:asciiTheme="majorHAnsi" w:hAnsiTheme="majorHAnsi" w:cstheme="majorHAnsi"/>
                <w:sz w:val="20"/>
                <w:szCs w:val="20"/>
                <w:lang w:eastAsia="en-AU"/>
              </w:rPr>
              <w:t xml:space="preserve"> While duplication is not a problem and program partners collaborate effectively in some areas (e.g. MSTL and RACS in training FMP doctors on FP, and HAI and Catalpa for Liga Inan), </w:t>
            </w:r>
            <w:r w:rsidR="0056107E" w:rsidRPr="0056107E">
              <w:rPr>
                <w:rFonts w:asciiTheme="majorHAnsi" w:hAnsiTheme="majorHAnsi"/>
                <w:sz w:val="20"/>
                <w:szCs w:val="20"/>
              </w:rPr>
              <w:t xml:space="preserve">each implementing partner seems to have its own relationship with MOH. </w:t>
            </w:r>
            <w:r w:rsidR="00225D84" w:rsidRPr="00EC0861">
              <w:rPr>
                <w:rFonts w:asciiTheme="majorHAnsi" w:hAnsiTheme="majorHAnsi"/>
                <w:sz w:val="20"/>
                <w:szCs w:val="20"/>
              </w:rPr>
              <w:t xml:space="preserve"> </w:t>
            </w:r>
          </w:p>
        </w:tc>
        <w:tc>
          <w:tcPr>
            <w:tcW w:w="609" w:type="pct"/>
            <w:vAlign w:val="center"/>
          </w:tcPr>
          <w:p w14:paraId="1BAACEDE" w14:textId="77777777" w:rsidR="000D259B" w:rsidRDefault="00B36AA1">
            <w:pPr>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B, M</w:t>
            </w:r>
          </w:p>
        </w:tc>
      </w:tr>
      <w:tr w:rsidR="00AF7E0D" w:rsidRPr="00267B79" w14:paraId="29681601" w14:textId="77777777">
        <w:tc>
          <w:tcPr>
            <w:tcW w:w="4391" w:type="pct"/>
          </w:tcPr>
          <w:p w14:paraId="537B8B26" w14:textId="219516C5" w:rsidR="001F3BF6" w:rsidRDefault="005E23E8">
            <w:pPr>
              <w:spacing w:after="120"/>
              <w:jc w:val="both"/>
              <w:rPr>
                <w:rFonts w:asciiTheme="majorHAnsi" w:hAnsiTheme="majorHAnsi" w:cstheme="majorHAnsi"/>
                <w:sz w:val="20"/>
                <w:szCs w:val="20"/>
                <w:lang w:eastAsia="en-AU"/>
              </w:rPr>
            </w:pPr>
            <w:r w:rsidRPr="005E23E8">
              <w:rPr>
                <w:rFonts w:asciiTheme="majorHAnsi" w:hAnsiTheme="majorHAnsi" w:cstheme="majorHAnsi"/>
                <w:sz w:val="20"/>
                <w:szCs w:val="20"/>
                <w:lang w:eastAsia="en-AU"/>
              </w:rPr>
              <w:t xml:space="preserve">Some stakeholders see </w:t>
            </w:r>
            <w:r w:rsidRPr="005E23E8">
              <w:rPr>
                <w:rFonts w:asciiTheme="majorHAnsi" w:hAnsiTheme="majorHAnsi"/>
                <w:sz w:val="20"/>
              </w:rPr>
              <w:t>the PHD management layer as another bureaucratic layer that increases complexity without adding value.</w:t>
            </w:r>
            <w:r w:rsidRPr="005E23E8">
              <w:rPr>
                <w:rFonts w:asciiTheme="majorHAnsi" w:hAnsiTheme="majorHAnsi" w:cstheme="majorHAnsi"/>
                <w:sz w:val="20"/>
                <w:szCs w:val="20"/>
                <w:lang w:eastAsia="en-AU"/>
              </w:rPr>
              <w:t xml:space="preserve"> This suggests that DFAT/PHD have not yet fully captured the potential comparative advantage of this arrangement – i.e. an extension of capacity which makes possible a division of labour, e.g. an arrangement in which PHD deals with routine administration and day-to-day management, while DFAT focuses on high-level policy dialogue and strategic matters.</w:t>
            </w:r>
          </w:p>
        </w:tc>
        <w:tc>
          <w:tcPr>
            <w:tcW w:w="609" w:type="pct"/>
            <w:vAlign w:val="center"/>
          </w:tcPr>
          <w:p w14:paraId="4596131D" w14:textId="77777777" w:rsidR="001F3BF6" w:rsidRDefault="005E23E8">
            <w:pPr>
              <w:jc w:val="both"/>
              <w:rPr>
                <w:rFonts w:asciiTheme="majorHAnsi" w:hAnsiTheme="majorHAnsi" w:cstheme="majorHAnsi"/>
                <w:color w:val="0000FF"/>
                <w:sz w:val="20"/>
                <w:szCs w:val="20"/>
              </w:rPr>
            </w:pPr>
            <w:r w:rsidRPr="005E23E8">
              <w:rPr>
                <w:rFonts w:asciiTheme="majorHAnsi" w:hAnsiTheme="majorHAnsi" w:cstheme="majorHAnsi"/>
                <w:color w:val="0000FF"/>
                <w:sz w:val="20"/>
                <w:szCs w:val="20"/>
              </w:rPr>
              <w:t>B, C</w:t>
            </w:r>
          </w:p>
        </w:tc>
      </w:tr>
      <w:tr w:rsidR="00BC6586" w:rsidRPr="00267B79" w14:paraId="4EBEA15A" w14:textId="77777777">
        <w:tc>
          <w:tcPr>
            <w:tcW w:w="4391" w:type="pct"/>
          </w:tcPr>
          <w:p w14:paraId="1920EF5F" w14:textId="77777777" w:rsidR="001F3BF6" w:rsidRDefault="005E23E8">
            <w:pPr>
              <w:spacing w:after="120"/>
              <w:jc w:val="both"/>
              <w:rPr>
                <w:rFonts w:asciiTheme="majorHAnsi" w:hAnsiTheme="majorHAnsi" w:cstheme="majorHAnsi"/>
                <w:sz w:val="20"/>
                <w:szCs w:val="20"/>
                <w:lang w:eastAsia="en-AU"/>
              </w:rPr>
            </w:pPr>
            <w:r w:rsidRPr="005E23E8">
              <w:rPr>
                <w:rFonts w:asciiTheme="majorHAnsi" w:hAnsiTheme="majorHAnsi" w:cstheme="majorHAnsi"/>
                <w:sz w:val="20"/>
                <w:szCs w:val="20"/>
                <w:lang w:eastAsia="en-AU"/>
              </w:rPr>
              <w:t>Other areas of potential comparative advantage for DFAT lie in its investments across many human development sectors through PHD, which are now being brought together under a new Monitoring, Evaluation and Learning Framework (MELF), and its ability to complement these by means of interventions funded from other Australian sources.</w:t>
            </w:r>
            <w:r w:rsidRPr="005E23E8">
              <w:rPr>
                <w:rStyle w:val="FootnoteReference"/>
                <w:rFonts w:asciiTheme="majorHAnsi" w:hAnsiTheme="majorHAnsi" w:cstheme="majorHAnsi"/>
                <w:sz w:val="20"/>
                <w:szCs w:val="20"/>
                <w:lang w:eastAsia="en-AU"/>
              </w:rPr>
              <w:footnoteReference w:id="70"/>
            </w:r>
          </w:p>
        </w:tc>
        <w:tc>
          <w:tcPr>
            <w:tcW w:w="609" w:type="pct"/>
            <w:vAlign w:val="center"/>
          </w:tcPr>
          <w:p w14:paraId="1F8BBC2C" w14:textId="77777777" w:rsidR="001F3BF6" w:rsidRDefault="001F3BF6">
            <w:pPr>
              <w:jc w:val="both"/>
              <w:rPr>
                <w:rFonts w:asciiTheme="majorHAnsi" w:hAnsiTheme="majorHAnsi" w:cstheme="majorHAnsi"/>
                <w:color w:val="0000FF"/>
                <w:sz w:val="20"/>
                <w:szCs w:val="20"/>
              </w:rPr>
            </w:pPr>
          </w:p>
        </w:tc>
      </w:tr>
    </w:tbl>
    <w:p w14:paraId="0240CA79" w14:textId="77777777" w:rsidR="001F3BF6" w:rsidRDefault="001F3BF6">
      <w:pPr>
        <w:jc w:val="both"/>
        <w:rPr>
          <w:rFonts w:asciiTheme="majorHAnsi" w:hAnsiTheme="majorHAnsi" w:cs="Calibri Light"/>
          <w:color w:val="000000"/>
        </w:rPr>
      </w:pPr>
    </w:p>
    <w:p w14:paraId="0AA43018" w14:textId="77777777" w:rsidR="001F3BF6" w:rsidRDefault="001F3BF6">
      <w:pPr>
        <w:jc w:val="both"/>
        <w:rPr>
          <w:rFonts w:asciiTheme="majorHAnsi" w:hAnsiTheme="majorHAnsi" w:cs="Calibri Light"/>
          <w:color w:val="000000"/>
        </w:rPr>
      </w:pPr>
    </w:p>
    <w:p w14:paraId="57D5BBAC" w14:textId="77777777" w:rsidR="000D259B" w:rsidRDefault="00C96208">
      <w:pPr>
        <w:pStyle w:val="Heading2"/>
        <w:jc w:val="both"/>
        <w:rPr>
          <w:lang w:eastAsia="en-AU"/>
        </w:rPr>
      </w:pPr>
      <w:bookmarkStart w:id="22" w:name="_Toc378838738"/>
      <w:r w:rsidRPr="00267B79">
        <w:rPr>
          <w:lang w:eastAsia="en-AU"/>
        </w:rPr>
        <w:t>8. L</w:t>
      </w:r>
      <w:r w:rsidR="00AA145D" w:rsidRPr="00267B79">
        <w:rPr>
          <w:lang w:eastAsia="en-AU"/>
        </w:rPr>
        <w:t>i</w:t>
      </w:r>
      <w:r w:rsidR="00530479" w:rsidRPr="00267B79">
        <w:rPr>
          <w:lang w:eastAsia="en-AU"/>
        </w:rPr>
        <w:t>kely sustainability of</w:t>
      </w:r>
      <w:r w:rsidR="00DA31F6" w:rsidRPr="00267B79">
        <w:rPr>
          <w:lang w:eastAsia="en-AU"/>
        </w:rPr>
        <w:t xml:space="preserve"> achievements of the DFAT</w:t>
      </w:r>
      <w:r w:rsidR="00530479" w:rsidRPr="00267B79">
        <w:rPr>
          <w:lang w:eastAsia="en-AU"/>
        </w:rPr>
        <w:t xml:space="preserve"> bilateral</w:t>
      </w:r>
      <w:r w:rsidR="00DA31F6" w:rsidRPr="00267B79">
        <w:rPr>
          <w:lang w:eastAsia="en-AU"/>
        </w:rPr>
        <w:t xml:space="preserve"> investments</w:t>
      </w:r>
      <w:bookmarkEnd w:id="22"/>
      <w:r w:rsidR="00DA31F6" w:rsidRPr="00267B79">
        <w:rPr>
          <w:lang w:eastAsia="en-AU"/>
        </w:rPr>
        <w:t xml:space="preserve"> </w:t>
      </w:r>
    </w:p>
    <w:p w14:paraId="3D8D93BC" w14:textId="77777777" w:rsidR="000D259B" w:rsidRDefault="000D259B">
      <w:pPr>
        <w:jc w:val="both"/>
        <w:rPr>
          <w:rFonts w:asciiTheme="majorHAnsi" w:hAnsiTheme="majorHAnsi"/>
        </w:rPr>
      </w:pPr>
    </w:p>
    <w:tbl>
      <w:tblPr>
        <w:tblW w:w="0" w:type="auto"/>
        <w:tblLook w:val="00A0" w:firstRow="1" w:lastRow="0" w:firstColumn="1" w:lastColumn="0" w:noHBand="0" w:noVBand="0"/>
      </w:tblPr>
      <w:tblGrid>
        <w:gridCol w:w="7285"/>
        <w:gridCol w:w="1015"/>
      </w:tblGrid>
      <w:tr w:rsidR="00272789" w:rsidRPr="00267B79" w14:paraId="70256A73" w14:textId="77777777">
        <w:tc>
          <w:tcPr>
            <w:tcW w:w="0" w:type="auto"/>
          </w:tcPr>
          <w:p w14:paraId="7B69712E" w14:textId="77777777" w:rsidR="000D259B" w:rsidRDefault="000D259B">
            <w:pPr>
              <w:jc w:val="both"/>
              <w:rPr>
                <w:rFonts w:asciiTheme="majorHAnsi" w:hAnsiTheme="majorHAnsi" w:cstheme="majorHAnsi"/>
                <w:b/>
                <w:sz w:val="20"/>
                <w:szCs w:val="20"/>
              </w:rPr>
            </w:pPr>
          </w:p>
        </w:tc>
        <w:tc>
          <w:tcPr>
            <w:tcW w:w="0" w:type="auto"/>
          </w:tcPr>
          <w:p w14:paraId="1727E268" w14:textId="77777777" w:rsidR="000D259B" w:rsidRDefault="00B36AA1">
            <w:pPr>
              <w:jc w:val="both"/>
              <w:rPr>
                <w:rFonts w:asciiTheme="majorHAnsi" w:hAnsiTheme="majorHAnsi" w:cstheme="majorHAnsi"/>
                <w:b/>
                <w:color w:val="0000FF"/>
                <w:sz w:val="20"/>
                <w:szCs w:val="20"/>
              </w:rPr>
            </w:pPr>
            <w:r w:rsidRPr="00B36AA1">
              <w:rPr>
                <w:rFonts w:asciiTheme="majorHAnsi" w:hAnsiTheme="majorHAnsi" w:cstheme="majorHAnsi"/>
                <w:b/>
                <w:color w:val="0000FF"/>
                <w:sz w:val="20"/>
                <w:szCs w:val="20"/>
              </w:rPr>
              <w:t>Sources</w:t>
            </w:r>
          </w:p>
        </w:tc>
      </w:tr>
      <w:tr w:rsidR="00272789" w:rsidRPr="00267B79" w14:paraId="607D8F18" w14:textId="77777777">
        <w:tc>
          <w:tcPr>
            <w:tcW w:w="0" w:type="auto"/>
          </w:tcPr>
          <w:p w14:paraId="6671A03B" w14:textId="77777777" w:rsidR="000D259B" w:rsidRDefault="00B36AA1">
            <w:pPr>
              <w:spacing w:after="120"/>
              <w:jc w:val="both"/>
              <w:rPr>
                <w:rFonts w:asciiTheme="majorHAnsi" w:hAnsiTheme="majorHAnsi" w:cstheme="majorHAnsi"/>
                <w:sz w:val="20"/>
                <w:szCs w:val="20"/>
              </w:rPr>
            </w:pPr>
            <w:r w:rsidRPr="00B36AA1">
              <w:rPr>
                <w:rFonts w:asciiTheme="majorHAnsi" w:hAnsiTheme="majorHAnsi"/>
                <w:sz w:val="20"/>
              </w:rPr>
              <w:t>In development aid, there are generally trade-offs between quick (and readily attributable) results in specific program areas and sustainability of achievements. The DFAT/PHD health program touches on most of the HS elements, but mainly in ways that focus on a limited program-specific set of outputs, leaving underlying systemic issues unchanged and making sustainability uncertain.</w:t>
            </w:r>
          </w:p>
        </w:tc>
        <w:tc>
          <w:tcPr>
            <w:tcW w:w="0" w:type="auto"/>
            <w:vAlign w:val="center"/>
          </w:tcPr>
          <w:p w14:paraId="301CEB59" w14:textId="77777777" w:rsidR="000D259B" w:rsidRDefault="000D259B">
            <w:pPr>
              <w:jc w:val="both"/>
              <w:rPr>
                <w:rFonts w:asciiTheme="majorHAnsi" w:hAnsiTheme="majorHAnsi" w:cstheme="majorHAnsi"/>
                <w:color w:val="0000FF"/>
                <w:sz w:val="20"/>
                <w:szCs w:val="20"/>
              </w:rPr>
            </w:pPr>
          </w:p>
        </w:tc>
      </w:tr>
      <w:tr w:rsidR="00272789" w:rsidRPr="00267B79" w14:paraId="5E731741" w14:textId="77777777">
        <w:tc>
          <w:tcPr>
            <w:tcW w:w="0" w:type="auto"/>
          </w:tcPr>
          <w:p w14:paraId="4BE77CC9" w14:textId="77777777" w:rsidR="000D259B" w:rsidRDefault="004B3B8F">
            <w:pPr>
              <w:spacing w:after="120"/>
              <w:jc w:val="both"/>
              <w:rPr>
                <w:rFonts w:asciiTheme="majorHAnsi" w:hAnsiTheme="majorHAnsi" w:cstheme="majorHAnsi"/>
                <w:sz w:val="20"/>
                <w:szCs w:val="20"/>
              </w:rPr>
            </w:pPr>
            <w:r w:rsidRPr="004B3B8F">
              <w:rPr>
                <w:rFonts w:asciiTheme="majorHAnsi" w:hAnsiTheme="majorHAnsi" w:cstheme="majorHAnsi"/>
                <w:sz w:val="20"/>
                <w:szCs w:val="20"/>
              </w:rPr>
              <w:lastRenderedPageBreak/>
              <w:t xml:space="preserve">Support for FP relies on a ‘protected’ arrangement for commodity supplies by providing ring-fenced funding through SAMES. This ensures a steady pipeline but doesn’t build national capacity in </w:t>
            </w:r>
            <w:r w:rsidR="00D1564C">
              <w:rPr>
                <w:rFonts w:asciiTheme="majorHAnsi" w:hAnsiTheme="majorHAnsi" w:cstheme="majorHAnsi"/>
                <w:sz w:val="20"/>
                <w:szCs w:val="20"/>
              </w:rPr>
              <w:t>planning</w:t>
            </w:r>
            <w:r w:rsidR="00121362">
              <w:rPr>
                <w:rFonts w:asciiTheme="majorHAnsi" w:hAnsiTheme="majorHAnsi" w:cstheme="majorHAnsi"/>
                <w:sz w:val="20"/>
                <w:szCs w:val="20"/>
              </w:rPr>
              <w:t xml:space="preserve"> and budgeting for procurement</w:t>
            </w:r>
            <w:r w:rsidR="0056107E" w:rsidRPr="0056107E">
              <w:rPr>
                <w:rFonts w:asciiTheme="majorHAnsi" w:hAnsiTheme="majorHAnsi" w:cstheme="majorHAnsi"/>
                <w:sz w:val="20"/>
                <w:szCs w:val="20"/>
              </w:rPr>
              <w:t>.</w:t>
            </w:r>
          </w:p>
        </w:tc>
        <w:tc>
          <w:tcPr>
            <w:tcW w:w="0" w:type="auto"/>
            <w:vAlign w:val="center"/>
          </w:tcPr>
          <w:p w14:paraId="0AAB0889" w14:textId="77777777" w:rsidR="000D259B" w:rsidRDefault="00B36AA1">
            <w:pPr>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B, C</w:t>
            </w:r>
          </w:p>
        </w:tc>
      </w:tr>
      <w:tr w:rsidR="00272789" w:rsidRPr="00267B79" w14:paraId="13310364" w14:textId="77777777">
        <w:tc>
          <w:tcPr>
            <w:tcW w:w="0" w:type="auto"/>
          </w:tcPr>
          <w:p w14:paraId="00500E41" w14:textId="77777777" w:rsidR="000D259B" w:rsidRDefault="00B36AA1">
            <w:pPr>
              <w:spacing w:after="120"/>
              <w:jc w:val="both"/>
              <w:rPr>
                <w:rFonts w:asciiTheme="majorHAnsi" w:hAnsiTheme="majorHAnsi" w:cstheme="majorHAnsi"/>
                <w:sz w:val="20"/>
                <w:szCs w:val="20"/>
              </w:rPr>
            </w:pPr>
            <w:r w:rsidRPr="00B36AA1">
              <w:rPr>
                <w:rFonts w:asciiTheme="majorHAnsi" w:hAnsiTheme="majorHAnsi" w:cstheme="majorHAnsi"/>
                <w:sz w:val="20"/>
                <w:szCs w:val="20"/>
              </w:rPr>
              <w:t>It should be possible to sustain HAI LL achievements through periodic refresher training. Better pre-service training (PST) will be needed to ensure competence of future midwifery graduates.</w:t>
            </w:r>
          </w:p>
        </w:tc>
        <w:tc>
          <w:tcPr>
            <w:tcW w:w="0" w:type="auto"/>
            <w:vAlign w:val="center"/>
          </w:tcPr>
          <w:p w14:paraId="1A3F8DD6" w14:textId="77777777" w:rsidR="000D259B" w:rsidRDefault="00B36AA1">
            <w:pPr>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B, L, M, O</w:t>
            </w:r>
          </w:p>
        </w:tc>
      </w:tr>
      <w:tr w:rsidR="00272789" w:rsidRPr="00267B79" w14:paraId="21B5613E" w14:textId="77777777">
        <w:tc>
          <w:tcPr>
            <w:tcW w:w="0" w:type="auto"/>
          </w:tcPr>
          <w:p w14:paraId="5A5BE175" w14:textId="77777777" w:rsidR="000D259B" w:rsidRDefault="00B36AA1">
            <w:pPr>
              <w:spacing w:after="120"/>
              <w:jc w:val="both"/>
              <w:rPr>
                <w:rFonts w:asciiTheme="majorHAnsi" w:hAnsiTheme="majorHAnsi" w:cstheme="majorHAnsi"/>
                <w:sz w:val="20"/>
                <w:szCs w:val="20"/>
                <w:lang w:eastAsia="en-AU"/>
              </w:rPr>
            </w:pPr>
            <w:r w:rsidRPr="00B36AA1">
              <w:rPr>
                <w:rFonts w:asciiTheme="majorHAnsi" w:hAnsiTheme="majorHAnsi" w:cstheme="majorHAnsi"/>
                <w:sz w:val="20"/>
                <w:szCs w:val="20"/>
                <w:lang w:eastAsia="en-AU"/>
              </w:rPr>
              <w:t xml:space="preserve">ATLASS II sustainability prospects are constrained by slow progress toward HNGV becoming an effective teaching hospital. </w:t>
            </w:r>
            <w:r w:rsidR="00763772">
              <w:rPr>
                <w:rFonts w:asciiTheme="majorHAnsi" w:hAnsiTheme="majorHAnsi" w:cstheme="majorHAnsi"/>
                <w:sz w:val="20"/>
                <w:szCs w:val="20"/>
                <w:lang w:eastAsia="en-AU"/>
              </w:rPr>
              <w:t>A</w:t>
            </w:r>
            <w:r w:rsidR="00C5474B">
              <w:rPr>
                <w:rFonts w:asciiTheme="majorHAnsi" w:hAnsiTheme="majorHAnsi" w:cstheme="majorHAnsi"/>
                <w:sz w:val="20"/>
                <w:szCs w:val="20"/>
                <w:lang w:eastAsia="en-AU"/>
              </w:rPr>
              <w:t>l</w:t>
            </w:r>
            <w:r w:rsidR="00763772">
              <w:rPr>
                <w:rFonts w:asciiTheme="majorHAnsi" w:hAnsiTheme="majorHAnsi" w:cstheme="majorHAnsi"/>
                <w:sz w:val="20"/>
                <w:szCs w:val="20"/>
                <w:lang w:eastAsia="en-AU"/>
              </w:rPr>
              <w:t>t</w:t>
            </w:r>
            <w:r w:rsidR="00C5474B">
              <w:rPr>
                <w:rFonts w:asciiTheme="majorHAnsi" w:hAnsiTheme="majorHAnsi" w:cstheme="majorHAnsi"/>
                <w:sz w:val="20"/>
                <w:szCs w:val="20"/>
                <w:lang w:eastAsia="en-AU"/>
              </w:rPr>
              <w:t xml:space="preserve">hough the technical </w:t>
            </w:r>
            <w:r w:rsidR="00D043B5">
              <w:rPr>
                <w:rFonts w:asciiTheme="majorHAnsi" w:hAnsiTheme="majorHAnsi" w:cstheme="majorHAnsi"/>
                <w:sz w:val="20"/>
                <w:szCs w:val="20"/>
                <w:lang w:eastAsia="en-AU"/>
              </w:rPr>
              <w:t>objectives</w:t>
            </w:r>
            <w:r w:rsidR="00C5474B">
              <w:rPr>
                <w:rFonts w:asciiTheme="majorHAnsi" w:hAnsiTheme="majorHAnsi" w:cstheme="majorHAnsi"/>
                <w:sz w:val="20"/>
                <w:szCs w:val="20"/>
                <w:lang w:eastAsia="en-AU"/>
              </w:rPr>
              <w:t xml:space="preserve"> of a handover might only take five years</w:t>
            </w:r>
            <w:r w:rsidR="00D043B5">
              <w:rPr>
                <w:rFonts w:asciiTheme="majorHAnsi" w:hAnsiTheme="majorHAnsi" w:cstheme="majorHAnsi"/>
                <w:sz w:val="20"/>
                <w:szCs w:val="20"/>
                <w:lang w:eastAsia="en-AU"/>
              </w:rPr>
              <w:t xml:space="preserve"> to complete</w:t>
            </w:r>
            <w:r w:rsidR="00C5474B">
              <w:rPr>
                <w:rFonts w:asciiTheme="majorHAnsi" w:hAnsiTheme="majorHAnsi" w:cstheme="majorHAnsi"/>
                <w:sz w:val="20"/>
                <w:szCs w:val="20"/>
                <w:lang w:eastAsia="en-AU"/>
              </w:rPr>
              <w:t>, at</w:t>
            </w:r>
            <w:r w:rsidR="00763772">
              <w:rPr>
                <w:rFonts w:asciiTheme="majorHAnsi" w:hAnsiTheme="majorHAnsi" w:cstheme="majorHAnsi"/>
                <w:sz w:val="20"/>
                <w:szCs w:val="20"/>
                <w:lang w:eastAsia="en-AU"/>
              </w:rPr>
              <w:t xml:space="preserve"> present </w:t>
            </w:r>
            <w:r w:rsidR="00763772">
              <w:rPr>
                <w:rFonts w:asciiTheme="majorHAnsi" w:hAnsiTheme="majorHAnsi" w:cstheme="majorHAnsi"/>
                <w:sz w:val="20"/>
                <w:szCs w:val="20"/>
              </w:rPr>
              <w:t>t</w:t>
            </w:r>
            <w:r w:rsidRPr="00B36AA1">
              <w:rPr>
                <w:rFonts w:asciiTheme="majorHAnsi" w:hAnsiTheme="majorHAnsi" w:cstheme="majorHAnsi"/>
                <w:sz w:val="20"/>
                <w:szCs w:val="20"/>
              </w:rPr>
              <w:t>here does not seem to be sufficient political will for the institutional changes needed to sustain ATLASS II training</w:t>
            </w:r>
            <w:r w:rsidRPr="00B36AA1">
              <w:rPr>
                <w:rFonts w:asciiTheme="majorHAnsi" w:hAnsiTheme="majorHAnsi" w:cstheme="majorHAnsi"/>
                <w:sz w:val="20"/>
                <w:szCs w:val="20"/>
                <w:lang w:val="en-GB"/>
              </w:rPr>
              <w:t>.</w:t>
            </w:r>
            <w:r w:rsidRPr="00B36AA1">
              <w:rPr>
                <w:rStyle w:val="FootnoteReference"/>
                <w:rFonts w:asciiTheme="majorHAnsi" w:hAnsiTheme="majorHAnsi" w:cstheme="majorHAnsi"/>
                <w:sz w:val="20"/>
                <w:szCs w:val="20"/>
                <w:lang w:val="en-GB"/>
              </w:rPr>
              <w:footnoteReference w:id="71"/>
            </w:r>
            <w:r w:rsidRPr="00B36AA1">
              <w:rPr>
                <w:rFonts w:asciiTheme="majorHAnsi" w:hAnsiTheme="majorHAnsi" w:cstheme="majorHAnsi"/>
                <w:sz w:val="20"/>
                <w:szCs w:val="20"/>
                <w:lang w:eastAsia="en-AU"/>
              </w:rPr>
              <w:t xml:space="preserve"> </w:t>
            </w:r>
          </w:p>
        </w:tc>
        <w:tc>
          <w:tcPr>
            <w:tcW w:w="0" w:type="auto"/>
            <w:vAlign w:val="center"/>
          </w:tcPr>
          <w:p w14:paraId="11E53881" w14:textId="77777777" w:rsidR="000D259B" w:rsidRDefault="00B36AA1">
            <w:pPr>
              <w:jc w:val="both"/>
              <w:rPr>
                <w:rFonts w:asciiTheme="majorHAnsi" w:hAnsiTheme="majorHAnsi" w:cstheme="majorHAnsi"/>
                <w:color w:val="0000FF"/>
                <w:sz w:val="20"/>
                <w:szCs w:val="20"/>
              </w:rPr>
            </w:pPr>
            <w:r w:rsidRPr="00B36AA1">
              <w:rPr>
                <w:rFonts w:asciiTheme="majorHAnsi" w:hAnsiTheme="majorHAnsi" w:cstheme="majorHAnsi"/>
                <w:color w:val="0000FF"/>
                <w:sz w:val="20"/>
                <w:szCs w:val="20"/>
              </w:rPr>
              <w:t>A, B, F, M, O</w:t>
            </w:r>
          </w:p>
        </w:tc>
      </w:tr>
      <w:tr w:rsidR="00272789" w:rsidRPr="00267B79" w14:paraId="5544D7BB" w14:textId="77777777">
        <w:tc>
          <w:tcPr>
            <w:tcW w:w="0" w:type="auto"/>
          </w:tcPr>
          <w:p w14:paraId="466039BA" w14:textId="77777777" w:rsidR="00763772" w:rsidRPr="00C85D03" w:rsidRDefault="004B3B8F">
            <w:pPr>
              <w:spacing w:after="120"/>
              <w:jc w:val="both"/>
              <w:rPr>
                <w:rFonts w:asciiTheme="majorHAnsi" w:hAnsiTheme="majorHAnsi" w:cstheme="majorHAnsi"/>
                <w:sz w:val="20"/>
                <w:szCs w:val="20"/>
                <w:lang w:eastAsia="en-AU"/>
              </w:rPr>
            </w:pPr>
            <w:r w:rsidRPr="00C85D03">
              <w:rPr>
                <w:rFonts w:asciiTheme="majorHAnsi" w:hAnsiTheme="majorHAnsi" w:cstheme="majorHAnsi"/>
                <w:sz w:val="20"/>
                <w:szCs w:val="20"/>
                <w:lang w:eastAsia="en-AU"/>
              </w:rPr>
              <w:t>HF readiness is the biggest issue</w:t>
            </w:r>
            <w:r w:rsidR="00612610" w:rsidRPr="00C85D03">
              <w:rPr>
                <w:rFonts w:asciiTheme="majorHAnsi" w:hAnsiTheme="majorHAnsi" w:cstheme="majorHAnsi"/>
                <w:sz w:val="20"/>
                <w:szCs w:val="20"/>
                <w:lang w:eastAsia="en-AU"/>
              </w:rPr>
              <w:t>:</w:t>
            </w:r>
            <w:r w:rsidRPr="00C85D03">
              <w:rPr>
                <w:rFonts w:asciiTheme="majorHAnsi" w:hAnsiTheme="majorHAnsi" w:cstheme="majorHAnsi"/>
                <w:sz w:val="20"/>
                <w:szCs w:val="20"/>
                <w:lang w:eastAsia="en-AU"/>
              </w:rPr>
              <w:t xml:space="preserve"> until there is accountability for it, progress </w:t>
            </w:r>
            <w:r w:rsidR="00612610" w:rsidRPr="00C85D03">
              <w:rPr>
                <w:rFonts w:asciiTheme="majorHAnsi" w:hAnsiTheme="majorHAnsi" w:cstheme="majorHAnsi"/>
                <w:sz w:val="20"/>
                <w:szCs w:val="20"/>
                <w:lang w:eastAsia="en-AU"/>
              </w:rPr>
              <w:t xml:space="preserve">in improving service delivery </w:t>
            </w:r>
            <w:r w:rsidRPr="00C85D03">
              <w:rPr>
                <w:rFonts w:asciiTheme="majorHAnsi" w:hAnsiTheme="majorHAnsi" w:cstheme="majorHAnsi"/>
                <w:sz w:val="20"/>
                <w:szCs w:val="20"/>
                <w:lang w:eastAsia="en-AU"/>
              </w:rPr>
              <w:t>will likely remain slow. In</w:t>
            </w:r>
            <w:r w:rsidR="00225D84" w:rsidRPr="00C85D03">
              <w:rPr>
                <w:rFonts w:asciiTheme="majorHAnsi" w:hAnsiTheme="majorHAnsi" w:cstheme="majorHAnsi"/>
                <w:sz w:val="20"/>
                <w:szCs w:val="20"/>
                <w:lang w:eastAsia="en-AU"/>
              </w:rPr>
              <w:t xml:space="preserve"> the </w:t>
            </w:r>
            <w:r w:rsidRPr="00C85D03">
              <w:rPr>
                <w:rFonts w:asciiTheme="majorHAnsi" w:hAnsiTheme="majorHAnsi" w:cstheme="majorHAnsi"/>
                <w:sz w:val="20"/>
                <w:szCs w:val="20"/>
                <w:lang w:eastAsia="en-AU"/>
              </w:rPr>
              <w:t>unready HFs there is a risk that trained staff lose skills and/or motivation (especially for doctors, who might move into the private sector or go abroad)</w:t>
            </w:r>
            <w:r w:rsidR="0056107E" w:rsidRPr="00C85D03">
              <w:rPr>
                <w:rFonts w:asciiTheme="majorHAnsi" w:hAnsiTheme="majorHAnsi" w:cstheme="majorHAnsi"/>
                <w:sz w:val="20"/>
                <w:szCs w:val="20"/>
                <w:lang w:eastAsia="en-AU"/>
              </w:rPr>
              <w:t>.</w:t>
            </w:r>
          </w:p>
        </w:tc>
        <w:tc>
          <w:tcPr>
            <w:tcW w:w="0" w:type="auto"/>
            <w:vAlign w:val="center"/>
          </w:tcPr>
          <w:p w14:paraId="749362DE" w14:textId="77777777" w:rsidR="000D259B" w:rsidRDefault="002D021D">
            <w:pPr>
              <w:jc w:val="both"/>
              <w:rPr>
                <w:rFonts w:asciiTheme="majorHAnsi" w:hAnsiTheme="majorHAnsi" w:cstheme="majorHAnsi"/>
                <w:color w:val="0000FF"/>
                <w:sz w:val="20"/>
                <w:szCs w:val="20"/>
              </w:rPr>
            </w:pPr>
            <w:r w:rsidRPr="00C85D03">
              <w:rPr>
                <w:rFonts w:asciiTheme="majorHAnsi" w:hAnsiTheme="majorHAnsi" w:cstheme="majorHAnsi"/>
                <w:color w:val="0000FF"/>
                <w:sz w:val="20"/>
                <w:szCs w:val="20"/>
              </w:rPr>
              <w:t>D, E, F, G, H, M, O</w:t>
            </w:r>
          </w:p>
        </w:tc>
      </w:tr>
      <w:tr w:rsidR="00272789" w:rsidRPr="00267B79" w14:paraId="7AFC2298" w14:textId="77777777">
        <w:tc>
          <w:tcPr>
            <w:tcW w:w="0" w:type="auto"/>
          </w:tcPr>
          <w:p w14:paraId="4D150F27" w14:textId="77777777" w:rsidR="000D259B" w:rsidRDefault="005E23E8">
            <w:pPr>
              <w:spacing w:after="120"/>
              <w:jc w:val="both"/>
              <w:rPr>
                <w:rFonts w:asciiTheme="majorHAnsi" w:hAnsiTheme="majorHAnsi" w:cstheme="majorHAnsi"/>
                <w:sz w:val="20"/>
                <w:szCs w:val="20"/>
                <w:lang w:eastAsia="en-AU"/>
              </w:rPr>
            </w:pPr>
            <w:r w:rsidRPr="005E23E8">
              <w:rPr>
                <w:rFonts w:asciiTheme="majorHAnsi" w:hAnsiTheme="majorHAnsi" w:cstheme="majorHAnsi"/>
                <w:sz w:val="20"/>
                <w:szCs w:val="20"/>
                <w:lang w:eastAsia="en-AU"/>
              </w:rPr>
              <w:t>GOTL wants to establish an autonomous ambulance service and the current IP is keen to support the handover. This augurs well for sustainability. However, creation of a new autonomous agency will require a formal high-level decision; sustainability also depends on mobilizing funding for at least 15-20 new ambulances very soon. In addition, there is an urgent need to replace about half of the 80 MFVs used by CHCs for a variety of tasks.</w:t>
            </w:r>
          </w:p>
        </w:tc>
        <w:tc>
          <w:tcPr>
            <w:tcW w:w="0" w:type="auto"/>
            <w:vAlign w:val="center"/>
          </w:tcPr>
          <w:p w14:paraId="3BF32C6D" w14:textId="77777777" w:rsidR="000D259B" w:rsidRDefault="005E23E8">
            <w:pPr>
              <w:jc w:val="both"/>
              <w:rPr>
                <w:rFonts w:asciiTheme="majorHAnsi" w:hAnsiTheme="majorHAnsi" w:cstheme="majorHAnsi"/>
                <w:color w:val="0000FF"/>
                <w:sz w:val="20"/>
                <w:szCs w:val="20"/>
                <w:highlight w:val="green"/>
              </w:rPr>
            </w:pPr>
            <w:r w:rsidRPr="005E23E8">
              <w:rPr>
                <w:rFonts w:asciiTheme="majorHAnsi" w:hAnsiTheme="majorHAnsi" w:cstheme="majorHAnsi"/>
                <w:color w:val="0000FF"/>
                <w:sz w:val="20"/>
                <w:szCs w:val="20"/>
              </w:rPr>
              <w:t>A, B, M, O</w:t>
            </w:r>
          </w:p>
        </w:tc>
      </w:tr>
      <w:tr w:rsidR="00272789" w:rsidRPr="00267B79" w14:paraId="472C9CDC" w14:textId="77777777">
        <w:tc>
          <w:tcPr>
            <w:tcW w:w="0" w:type="auto"/>
          </w:tcPr>
          <w:p w14:paraId="35C8089F" w14:textId="77777777" w:rsidR="000D259B" w:rsidRDefault="004B3B8F">
            <w:pPr>
              <w:spacing w:after="120"/>
              <w:jc w:val="both"/>
              <w:rPr>
                <w:rFonts w:asciiTheme="majorHAnsi" w:hAnsiTheme="majorHAnsi" w:cstheme="majorHAnsi"/>
                <w:sz w:val="20"/>
                <w:szCs w:val="20"/>
                <w:lang w:eastAsia="en-AU"/>
              </w:rPr>
            </w:pPr>
            <w:r w:rsidRPr="004B3B8F">
              <w:rPr>
                <w:rFonts w:asciiTheme="majorHAnsi" w:hAnsiTheme="majorHAnsi" w:cstheme="majorHAnsi"/>
                <w:sz w:val="20"/>
                <w:szCs w:val="20"/>
                <w:lang w:eastAsia="en-AU"/>
              </w:rPr>
              <w:t xml:space="preserve">MOH has committed to internalising Liga Inan, and </w:t>
            </w:r>
            <w:r w:rsidR="00D1564C">
              <w:rPr>
                <w:rFonts w:asciiTheme="majorHAnsi" w:hAnsiTheme="majorHAnsi" w:cstheme="majorHAnsi"/>
                <w:sz w:val="20"/>
                <w:szCs w:val="20"/>
                <w:lang w:eastAsia="en-AU"/>
              </w:rPr>
              <w:t>expects to</w:t>
            </w:r>
            <w:r w:rsidR="005E23E8" w:rsidRPr="005E23E8">
              <w:rPr>
                <w:rFonts w:asciiTheme="majorHAnsi" w:hAnsiTheme="majorHAnsi" w:cstheme="majorHAnsi"/>
                <w:sz w:val="20"/>
                <w:szCs w:val="20"/>
                <w:lang w:eastAsia="en-AU"/>
              </w:rPr>
              <w:t xml:space="preserve"> be able to run it following handover. In addition to improved coverage of phone networks, expanding coverage of mothers will require increased uptake of ANC1. </w:t>
            </w:r>
          </w:p>
        </w:tc>
        <w:tc>
          <w:tcPr>
            <w:tcW w:w="0" w:type="auto"/>
            <w:vAlign w:val="center"/>
          </w:tcPr>
          <w:p w14:paraId="55FF88B6" w14:textId="77777777" w:rsidR="000D259B" w:rsidRDefault="005E23E8">
            <w:pPr>
              <w:jc w:val="both"/>
              <w:rPr>
                <w:rFonts w:asciiTheme="majorHAnsi" w:hAnsiTheme="majorHAnsi" w:cstheme="majorHAnsi"/>
                <w:color w:val="0000FF"/>
                <w:sz w:val="20"/>
                <w:szCs w:val="20"/>
              </w:rPr>
            </w:pPr>
            <w:r w:rsidRPr="005E23E8">
              <w:rPr>
                <w:rFonts w:asciiTheme="majorHAnsi" w:hAnsiTheme="majorHAnsi" w:cstheme="majorHAnsi"/>
                <w:color w:val="0000FF"/>
                <w:sz w:val="20"/>
                <w:szCs w:val="20"/>
              </w:rPr>
              <w:t>A, B, M, L</w:t>
            </w:r>
          </w:p>
        </w:tc>
      </w:tr>
      <w:tr w:rsidR="00272789" w:rsidRPr="00267B79" w14:paraId="275DB3F5" w14:textId="77777777">
        <w:trPr>
          <w:trHeight w:val="879"/>
        </w:trPr>
        <w:tc>
          <w:tcPr>
            <w:tcW w:w="0" w:type="auto"/>
          </w:tcPr>
          <w:p w14:paraId="158A8F99" w14:textId="77777777" w:rsidR="000D259B" w:rsidRDefault="005E23E8">
            <w:pPr>
              <w:spacing w:after="120"/>
              <w:jc w:val="both"/>
              <w:rPr>
                <w:rFonts w:asciiTheme="majorHAnsi" w:hAnsiTheme="majorHAnsi" w:cstheme="majorHAnsi"/>
                <w:sz w:val="20"/>
                <w:szCs w:val="20"/>
                <w:lang w:eastAsia="en-AU"/>
              </w:rPr>
            </w:pPr>
            <w:r w:rsidRPr="005E23E8">
              <w:rPr>
                <w:rFonts w:asciiTheme="majorHAnsi" w:hAnsiTheme="majorHAnsi" w:cstheme="majorHAnsi"/>
                <w:sz w:val="20"/>
                <w:szCs w:val="20"/>
                <w:lang w:eastAsia="en-AU"/>
              </w:rPr>
              <w:t xml:space="preserve">Sustainability of what is achieved through TA depends on: (i) turnover of people trained and (ii) the extent to which relevant institutions embed new procedures and change their cultures. ‘Deep change’ will require strong MOH leadership, not just good TA. </w:t>
            </w:r>
          </w:p>
        </w:tc>
        <w:tc>
          <w:tcPr>
            <w:tcW w:w="0" w:type="auto"/>
            <w:vAlign w:val="center"/>
          </w:tcPr>
          <w:p w14:paraId="7FB394BB" w14:textId="77777777" w:rsidR="000D259B" w:rsidRDefault="005E23E8">
            <w:pPr>
              <w:jc w:val="both"/>
              <w:rPr>
                <w:rFonts w:asciiTheme="majorHAnsi" w:hAnsiTheme="majorHAnsi" w:cstheme="majorHAnsi"/>
                <w:color w:val="0000FF"/>
                <w:sz w:val="20"/>
                <w:szCs w:val="20"/>
              </w:rPr>
            </w:pPr>
            <w:r w:rsidRPr="005E23E8">
              <w:rPr>
                <w:rFonts w:asciiTheme="majorHAnsi" w:hAnsiTheme="majorHAnsi" w:cstheme="majorHAnsi"/>
                <w:color w:val="0000FF"/>
                <w:sz w:val="20"/>
                <w:szCs w:val="20"/>
              </w:rPr>
              <w:t>M, N, O</w:t>
            </w:r>
          </w:p>
        </w:tc>
      </w:tr>
    </w:tbl>
    <w:p w14:paraId="50CD98BE" w14:textId="77777777" w:rsidR="00A912BC" w:rsidRDefault="00A912BC">
      <w:pPr>
        <w:jc w:val="both"/>
        <w:rPr>
          <w:rFonts w:asciiTheme="majorHAnsi" w:hAnsiTheme="majorHAnsi" w:cs="Calibri Light"/>
          <w:color w:val="000000"/>
        </w:rPr>
      </w:pPr>
    </w:p>
    <w:p w14:paraId="7A698996" w14:textId="77777777" w:rsidR="00A912BC" w:rsidRDefault="00A912BC">
      <w:pPr>
        <w:jc w:val="both"/>
        <w:rPr>
          <w:rFonts w:asciiTheme="majorHAnsi" w:eastAsiaTheme="majorEastAsia" w:hAnsiTheme="majorHAnsi" w:cstheme="majorBidi"/>
          <w:b/>
          <w:bCs/>
          <w:color w:val="4F81BD" w:themeColor="accent1"/>
          <w:sz w:val="26"/>
          <w:szCs w:val="26"/>
          <w:lang w:eastAsia="en-AU"/>
        </w:rPr>
      </w:pPr>
    </w:p>
    <w:p w14:paraId="3DD03428" w14:textId="77777777" w:rsidR="00A912BC" w:rsidRDefault="00DA31F6">
      <w:pPr>
        <w:pStyle w:val="Heading2"/>
        <w:jc w:val="both"/>
        <w:rPr>
          <w:lang w:eastAsia="en-AU"/>
        </w:rPr>
      </w:pPr>
      <w:bookmarkStart w:id="23" w:name="_Toc378838739"/>
      <w:r w:rsidRPr="00267B79">
        <w:rPr>
          <w:lang w:eastAsia="en-AU"/>
        </w:rPr>
        <w:t>9</w:t>
      </w:r>
      <w:r w:rsidR="00530479" w:rsidRPr="00267B79">
        <w:rPr>
          <w:lang w:eastAsia="en-AU"/>
        </w:rPr>
        <w:t>.</w:t>
      </w:r>
      <w:r w:rsidRPr="00267B79">
        <w:rPr>
          <w:lang w:eastAsia="en-AU"/>
        </w:rPr>
        <w:t xml:space="preserve"> </w:t>
      </w:r>
      <w:r w:rsidR="00530479" w:rsidRPr="00267B79">
        <w:rPr>
          <w:lang w:eastAsia="en-AU"/>
        </w:rPr>
        <w:t xml:space="preserve">Lessons that </w:t>
      </w:r>
      <w:r w:rsidRPr="00267B79">
        <w:rPr>
          <w:lang w:eastAsia="en-AU"/>
        </w:rPr>
        <w:t>could improve existing or new</w:t>
      </w:r>
      <w:r w:rsidR="00530479" w:rsidRPr="00267B79">
        <w:rPr>
          <w:lang w:eastAsia="en-AU"/>
        </w:rPr>
        <w:t xml:space="preserve"> DFAT</w:t>
      </w:r>
      <w:r w:rsidRPr="00267B79">
        <w:rPr>
          <w:lang w:eastAsia="en-AU"/>
        </w:rPr>
        <w:t xml:space="preserve"> investments in health</w:t>
      </w:r>
      <w:bookmarkEnd w:id="23"/>
      <w:r w:rsidR="00530479" w:rsidRPr="00267B79">
        <w:rPr>
          <w:lang w:eastAsia="en-AU"/>
        </w:rPr>
        <w:t xml:space="preserve"> </w:t>
      </w:r>
    </w:p>
    <w:p w14:paraId="776DB553" w14:textId="77777777" w:rsidR="00A912BC" w:rsidRDefault="00A912BC">
      <w:pPr>
        <w:jc w:val="both"/>
        <w:rPr>
          <w:rFonts w:asciiTheme="majorHAnsi" w:hAnsiTheme="majorHAnsi"/>
        </w:rPr>
      </w:pPr>
    </w:p>
    <w:tbl>
      <w:tblPr>
        <w:tblW w:w="0" w:type="auto"/>
        <w:tblLook w:val="00A0" w:firstRow="1" w:lastRow="0" w:firstColumn="1" w:lastColumn="0" w:noHBand="0" w:noVBand="0"/>
      </w:tblPr>
      <w:tblGrid>
        <w:gridCol w:w="7426"/>
        <w:gridCol w:w="874"/>
      </w:tblGrid>
      <w:tr w:rsidR="00DA31F6" w:rsidRPr="00267B79" w14:paraId="66C3AE65" w14:textId="77777777">
        <w:tc>
          <w:tcPr>
            <w:tcW w:w="0" w:type="auto"/>
          </w:tcPr>
          <w:p w14:paraId="46D22657" w14:textId="77777777" w:rsidR="00A912BC" w:rsidRDefault="00A912BC">
            <w:pPr>
              <w:jc w:val="both"/>
              <w:rPr>
                <w:rFonts w:asciiTheme="majorHAnsi" w:hAnsiTheme="majorHAnsi" w:cstheme="majorHAnsi"/>
                <w:b/>
                <w:sz w:val="20"/>
                <w:szCs w:val="20"/>
              </w:rPr>
            </w:pPr>
          </w:p>
        </w:tc>
        <w:tc>
          <w:tcPr>
            <w:tcW w:w="0" w:type="auto"/>
          </w:tcPr>
          <w:p w14:paraId="0715B4BF" w14:textId="77777777" w:rsidR="00A912BC" w:rsidRDefault="004B3B8F">
            <w:pPr>
              <w:jc w:val="both"/>
              <w:rPr>
                <w:rFonts w:asciiTheme="majorHAnsi" w:hAnsiTheme="majorHAnsi" w:cstheme="majorHAnsi"/>
                <w:b/>
                <w:color w:val="0000FF"/>
                <w:sz w:val="20"/>
                <w:szCs w:val="20"/>
              </w:rPr>
            </w:pPr>
            <w:r w:rsidRPr="004B3B8F">
              <w:rPr>
                <w:rFonts w:asciiTheme="majorHAnsi" w:hAnsiTheme="majorHAnsi" w:cstheme="majorHAnsi"/>
                <w:b/>
                <w:color w:val="0000FF"/>
                <w:sz w:val="20"/>
                <w:szCs w:val="20"/>
              </w:rPr>
              <w:t>Source</w:t>
            </w:r>
          </w:p>
        </w:tc>
      </w:tr>
      <w:tr w:rsidR="006A505C" w:rsidRPr="00267B79" w14:paraId="5E540F01" w14:textId="77777777">
        <w:tc>
          <w:tcPr>
            <w:tcW w:w="0" w:type="auto"/>
          </w:tcPr>
          <w:p w14:paraId="7C063C91" w14:textId="5EA8A174" w:rsidR="003C0BA3" w:rsidRDefault="002D021D" w:rsidP="00612610">
            <w:pPr>
              <w:spacing w:after="120"/>
              <w:jc w:val="both"/>
              <w:rPr>
                <w:rFonts w:asciiTheme="majorHAnsi" w:hAnsiTheme="majorHAnsi" w:cstheme="majorHAnsi"/>
                <w:sz w:val="20"/>
                <w:szCs w:val="20"/>
                <w:lang w:eastAsia="en-AU"/>
              </w:rPr>
            </w:pPr>
            <w:r w:rsidRPr="002D021D">
              <w:rPr>
                <w:rFonts w:asciiTheme="majorHAnsi" w:hAnsiTheme="majorHAnsi" w:cstheme="majorHAnsi"/>
                <w:sz w:val="20"/>
                <w:szCs w:val="20"/>
                <w:lang w:eastAsia="en-AU"/>
              </w:rPr>
              <w:t xml:space="preserve">As in any system, TL’s health system is only as strong as its weakest link. Continuous monitoring of linkages and sequencing in the </w:t>
            </w:r>
            <w:r w:rsidR="00612610">
              <w:rPr>
                <w:rFonts w:asciiTheme="majorHAnsi" w:hAnsiTheme="majorHAnsi" w:cstheme="majorHAnsi"/>
                <w:sz w:val="20"/>
                <w:szCs w:val="20"/>
                <w:lang w:eastAsia="en-AU"/>
              </w:rPr>
              <w:t>development</w:t>
            </w:r>
            <w:r w:rsidR="00612610" w:rsidRPr="002D021D">
              <w:rPr>
                <w:rFonts w:asciiTheme="majorHAnsi" w:hAnsiTheme="majorHAnsi" w:cstheme="majorHAnsi"/>
                <w:sz w:val="20"/>
                <w:szCs w:val="20"/>
                <w:lang w:eastAsia="en-AU"/>
              </w:rPr>
              <w:t xml:space="preserve"> </w:t>
            </w:r>
            <w:r w:rsidRPr="002D021D">
              <w:rPr>
                <w:rFonts w:asciiTheme="majorHAnsi" w:hAnsiTheme="majorHAnsi" w:cstheme="majorHAnsi"/>
                <w:sz w:val="20"/>
                <w:szCs w:val="20"/>
                <w:lang w:eastAsia="en-AU"/>
              </w:rPr>
              <w:t>of the entire health system could help to ensure that different elements improve in ways that support each other to achieve objectives (e</w:t>
            </w:r>
            <w:r w:rsidR="0067019B">
              <w:rPr>
                <w:rFonts w:asciiTheme="majorHAnsi" w:hAnsiTheme="majorHAnsi" w:cstheme="majorHAnsi"/>
                <w:sz w:val="20"/>
                <w:szCs w:val="20"/>
                <w:lang w:eastAsia="en-AU"/>
              </w:rPr>
              <w:t>.</w:t>
            </w:r>
            <w:r w:rsidRPr="002D021D">
              <w:rPr>
                <w:rFonts w:asciiTheme="majorHAnsi" w:hAnsiTheme="majorHAnsi" w:cstheme="majorHAnsi"/>
                <w:sz w:val="20"/>
                <w:szCs w:val="20"/>
                <w:lang w:eastAsia="en-AU"/>
              </w:rPr>
              <w:t>g</w:t>
            </w:r>
            <w:r w:rsidR="0067019B">
              <w:rPr>
                <w:rFonts w:asciiTheme="majorHAnsi" w:hAnsiTheme="majorHAnsi" w:cstheme="majorHAnsi"/>
                <w:sz w:val="20"/>
                <w:szCs w:val="20"/>
                <w:lang w:eastAsia="en-AU"/>
              </w:rPr>
              <w:t>.</w:t>
            </w:r>
            <w:r w:rsidRPr="002D021D">
              <w:rPr>
                <w:rFonts w:asciiTheme="majorHAnsi" w:hAnsiTheme="majorHAnsi" w:cstheme="majorHAnsi"/>
                <w:sz w:val="20"/>
                <w:szCs w:val="20"/>
                <w:lang w:eastAsia="en-AU"/>
              </w:rPr>
              <w:t xml:space="preserve"> HF readiness needs to improve to enable staff to practice new skills). </w:t>
            </w:r>
          </w:p>
        </w:tc>
        <w:tc>
          <w:tcPr>
            <w:tcW w:w="0" w:type="auto"/>
            <w:vAlign w:val="center"/>
          </w:tcPr>
          <w:p w14:paraId="164E8BC0" w14:textId="77777777" w:rsidR="003C0BA3" w:rsidRDefault="002D021D">
            <w:pPr>
              <w:spacing w:after="120"/>
              <w:jc w:val="both"/>
              <w:rPr>
                <w:rFonts w:asciiTheme="majorHAnsi" w:hAnsiTheme="majorHAnsi" w:cstheme="majorHAnsi"/>
                <w:color w:val="0000FF"/>
                <w:sz w:val="20"/>
                <w:szCs w:val="20"/>
              </w:rPr>
            </w:pPr>
            <w:r w:rsidRPr="002D021D">
              <w:rPr>
                <w:rFonts w:asciiTheme="majorHAnsi" w:hAnsiTheme="majorHAnsi" w:cstheme="majorHAnsi"/>
                <w:color w:val="0000FF"/>
                <w:sz w:val="20"/>
                <w:szCs w:val="20"/>
              </w:rPr>
              <w:t>A, B, M, N, O</w:t>
            </w:r>
          </w:p>
        </w:tc>
      </w:tr>
      <w:tr w:rsidR="006A505C" w:rsidRPr="00267B79" w14:paraId="022BA261" w14:textId="77777777">
        <w:tc>
          <w:tcPr>
            <w:tcW w:w="0" w:type="auto"/>
          </w:tcPr>
          <w:p w14:paraId="59D0736D" w14:textId="6F973C22" w:rsidR="003C0BA3" w:rsidRDefault="002D021D">
            <w:pPr>
              <w:spacing w:after="120"/>
              <w:jc w:val="both"/>
              <w:rPr>
                <w:rFonts w:asciiTheme="majorHAnsi" w:hAnsiTheme="majorHAnsi" w:cstheme="majorHAnsi"/>
                <w:sz w:val="20"/>
              </w:rPr>
            </w:pPr>
            <w:r w:rsidRPr="002D021D">
              <w:rPr>
                <w:rFonts w:asciiTheme="majorHAnsi" w:hAnsiTheme="majorHAnsi" w:cstheme="majorHAnsi"/>
                <w:sz w:val="20"/>
              </w:rPr>
              <w:t xml:space="preserve">Although performance of the DFAT/PHD projects against their targets has generally been good or at least satisfactory, </w:t>
            </w:r>
            <w:r w:rsidRPr="00612610">
              <w:rPr>
                <w:rFonts w:asciiTheme="majorHAnsi" w:hAnsiTheme="majorHAnsi" w:cstheme="majorHAnsi"/>
                <w:sz w:val="20"/>
              </w:rPr>
              <w:t xml:space="preserve">there is </w:t>
            </w:r>
            <w:r w:rsidR="004B3B8F" w:rsidRPr="00612610">
              <w:rPr>
                <w:rFonts w:asciiTheme="majorHAnsi" w:hAnsiTheme="majorHAnsi" w:cstheme="majorHAnsi"/>
                <w:sz w:val="20"/>
              </w:rPr>
              <w:t>limited coherence within</w:t>
            </w:r>
            <w:r w:rsidR="004B3B8F" w:rsidRPr="004B3B8F">
              <w:rPr>
                <w:rFonts w:asciiTheme="majorHAnsi" w:hAnsiTheme="majorHAnsi" w:cstheme="majorHAnsi"/>
                <w:sz w:val="20"/>
              </w:rPr>
              <w:t xml:space="preserve"> the current portfolio of RMNCH investments</w:t>
            </w:r>
            <w:r w:rsidR="00612610">
              <w:rPr>
                <w:rFonts w:asciiTheme="majorHAnsi" w:hAnsiTheme="majorHAnsi" w:cstheme="majorHAnsi"/>
                <w:sz w:val="20"/>
              </w:rPr>
              <w:t xml:space="preserve">, i.e. the component projects are not unified in a way that makes the </w:t>
            </w:r>
            <w:r w:rsidR="00612610">
              <w:rPr>
                <w:rFonts w:asciiTheme="majorHAnsi" w:hAnsiTheme="majorHAnsi" w:cstheme="majorHAnsi"/>
                <w:sz w:val="20"/>
              </w:rPr>
              <w:lastRenderedPageBreak/>
              <w:t>whole greater than the sum of the parts.</w:t>
            </w:r>
            <w:r w:rsidR="004B3B8F" w:rsidRPr="004B3B8F">
              <w:rPr>
                <w:rFonts w:asciiTheme="majorHAnsi" w:hAnsiTheme="majorHAnsi" w:cstheme="majorHAnsi"/>
                <w:sz w:val="20"/>
              </w:rPr>
              <w:t xml:space="preserve"> </w:t>
            </w:r>
            <w:r w:rsidR="00612610">
              <w:rPr>
                <w:rFonts w:asciiTheme="majorHAnsi" w:hAnsiTheme="majorHAnsi" w:cstheme="majorHAnsi"/>
                <w:sz w:val="20"/>
              </w:rPr>
              <w:t>A</w:t>
            </w:r>
            <w:r w:rsidR="004B3B8F" w:rsidRPr="004B3B8F">
              <w:rPr>
                <w:rFonts w:asciiTheme="majorHAnsi" w:hAnsiTheme="majorHAnsi" w:cstheme="majorHAnsi"/>
                <w:sz w:val="20"/>
              </w:rPr>
              <w:t>t the same time, there have been important changes in health sector context during recent years. In view of this, and the fact that most of the current program contracts end in 2018, there is now both a need and an opportunity to redesign the program to ensure relevance to the evolving context and improve the mix of investments and modalities.</w:t>
            </w:r>
          </w:p>
        </w:tc>
        <w:tc>
          <w:tcPr>
            <w:tcW w:w="0" w:type="auto"/>
            <w:vAlign w:val="center"/>
          </w:tcPr>
          <w:p w14:paraId="2CE9032D" w14:textId="77777777" w:rsidR="003C0BA3" w:rsidRDefault="003C0BA3">
            <w:pPr>
              <w:spacing w:after="120"/>
              <w:jc w:val="both"/>
              <w:rPr>
                <w:rFonts w:asciiTheme="majorHAnsi" w:hAnsiTheme="majorHAnsi" w:cstheme="majorHAnsi"/>
                <w:color w:val="0000FF"/>
                <w:sz w:val="20"/>
                <w:szCs w:val="20"/>
              </w:rPr>
            </w:pPr>
          </w:p>
        </w:tc>
      </w:tr>
      <w:tr w:rsidR="006A505C" w:rsidRPr="00267B79" w14:paraId="727BABDD" w14:textId="77777777">
        <w:tc>
          <w:tcPr>
            <w:tcW w:w="0" w:type="auto"/>
          </w:tcPr>
          <w:p w14:paraId="5F010C39" w14:textId="77777777" w:rsidR="003C0BA3" w:rsidRDefault="002D021D">
            <w:pPr>
              <w:pStyle w:val="CommentText"/>
              <w:jc w:val="both"/>
              <w:rPr>
                <w:rFonts w:asciiTheme="majorHAnsi" w:hAnsiTheme="majorHAnsi" w:cstheme="majorHAnsi"/>
                <w:sz w:val="20"/>
                <w:szCs w:val="20"/>
              </w:rPr>
            </w:pPr>
            <w:r w:rsidRPr="002D021D">
              <w:rPr>
                <w:rFonts w:asciiTheme="majorHAnsi" w:hAnsiTheme="majorHAnsi"/>
                <w:sz w:val="20"/>
              </w:rPr>
              <w:t xml:space="preserve">Although MOH was engaged in the development of the current DFAT/PHD program, an increasingly assertive sense of ownership by MOH calls for </w:t>
            </w:r>
            <w:r w:rsidRPr="002D021D">
              <w:rPr>
                <w:rFonts w:asciiTheme="majorHAnsi" w:hAnsiTheme="majorHAnsi" w:cstheme="majorHAnsi"/>
                <w:sz w:val="20"/>
                <w:szCs w:val="20"/>
              </w:rPr>
              <w:t xml:space="preserve">more emphasis on alignment and harmonization as per the forthcoming MOH manual, </w:t>
            </w:r>
            <w:r w:rsidRPr="002D021D">
              <w:rPr>
                <w:rFonts w:asciiTheme="majorHAnsi" w:hAnsiTheme="majorHAnsi" w:cstheme="majorHAnsi"/>
                <w:sz w:val="20"/>
                <w:szCs w:val="20"/>
                <w:lang w:eastAsia="en-AU"/>
              </w:rPr>
              <w:t>with all new proposals submitted to MOH at an early stage for comments and advice, and national priorities determining geographical focus of activities</w:t>
            </w:r>
            <w:r w:rsidRPr="002D021D">
              <w:rPr>
                <w:rFonts w:asciiTheme="majorHAnsi" w:hAnsiTheme="majorHAnsi" w:cstheme="majorHAnsi"/>
                <w:sz w:val="20"/>
                <w:szCs w:val="20"/>
              </w:rPr>
              <w:t xml:space="preserve"> (the latter being something for which several interlocutors praised JSI).</w:t>
            </w:r>
          </w:p>
        </w:tc>
        <w:tc>
          <w:tcPr>
            <w:tcW w:w="0" w:type="auto"/>
            <w:vAlign w:val="center"/>
          </w:tcPr>
          <w:p w14:paraId="463ECE43" w14:textId="77777777" w:rsidR="003C0BA3" w:rsidRDefault="002D021D">
            <w:pPr>
              <w:spacing w:after="120"/>
              <w:jc w:val="both"/>
              <w:rPr>
                <w:rFonts w:asciiTheme="majorHAnsi" w:hAnsiTheme="majorHAnsi" w:cstheme="majorHAnsi"/>
                <w:color w:val="0000FF"/>
                <w:sz w:val="20"/>
                <w:szCs w:val="20"/>
              </w:rPr>
            </w:pPr>
            <w:r w:rsidRPr="002D021D">
              <w:rPr>
                <w:rFonts w:asciiTheme="majorHAnsi" w:hAnsiTheme="majorHAnsi" w:cstheme="majorHAnsi"/>
                <w:color w:val="0000FF"/>
                <w:sz w:val="20"/>
                <w:szCs w:val="20"/>
              </w:rPr>
              <w:t>A, M</w:t>
            </w:r>
          </w:p>
        </w:tc>
      </w:tr>
      <w:tr w:rsidR="006A505C" w:rsidRPr="00267B79" w14:paraId="6208D7A4" w14:textId="77777777">
        <w:tc>
          <w:tcPr>
            <w:tcW w:w="0" w:type="auto"/>
          </w:tcPr>
          <w:p w14:paraId="0D7D4116" w14:textId="77777777" w:rsidR="003C0BA3" w:rsidRDefault="002D021D">
            <w:pPr>
              <w:spacing w:after="120"/>
              <w:jc w:val="both"/>
              <w:rPr>
                <w:rFonts w:asciiTheme="majorHAnsi" w:hAnsiTheme="majorHAnsi" w:cstheme="majorHAnsi"/>
                <w:sz w:val="20"/>
                <w:szCs w:val="20"/>
                <w:lang w:eastAsia="en-AU"/>
              </w:rPr>
            </w:pPr>
            <w:r w:rsidRPr="002D021D">
              <w:rPr>
                <w:rFonts w:asciiTheme="majorHAnsi" w:hAnsiTheme="majorHAnsi" w:cstheme="majorHAnsi"/>
                <w:sz w:val="20"/>
                <w:szCs w:val="20"/>
              </w:rPr>
              <w:t>The program could focus more on building capacity to foster sustainability. Rights and equity (poor/rich and rural/urban as well as gender and disability) could also have more prominence. A more strategic approach to management would increase program coherence.</w:t>
            </w:r>
          </w:p>
        </w:tc>
        <w:tc>
          <w:tcPr>
            <w:tcW w:w="0" w:type="auto"/>
            <w:vAlign w:val="center"/>
          </w:tcPr>
          <w:p w14:paraId="1936AFF4" w14:textId="77777777" w:rsidR="003C0BA3" w:rsidRDefault="003C0BA3">
            <w:pPr>
              <w:spacing w:before="2" w:after="120"/>
              <w:jc w:val="both"/>
              <w:rPr>
                <w:rFonts w:asciiTheme="majorHAnsi" w:hAnsiTheme="majorHAnsi" w:cstheme="majorHAnsi"/>
                <w:color w:val="0000FF"/>
                <w:sz w:val="20"/>
                <w:szCs w:val="20"/>
              </w:rPr>
            </w:pPr>
          </w:p>
        </w:tc>
      </w:tr>
      <w:tr w:rsidR="006A505C" w:rsidRPr="00267B79" w14:paraId="7539109A" w14:textId="77777777">
        <w:tc>
          <w:tcPr>
            <w:tcW w:w="0" w:type="auto"/>
          </w:tcPr>
          <w:p w14:paraId="08458AAB" w14:textId="77777777" w:rsidR="003C0BA3" w:rsidRDefault="002D021D">
            <w:pPr>
              <w:spacing w:after="120"/>
              <w:jc w:val="both"/>
              <w:rPr>
                <w:rFonts w:asciiTheme="majorHAnsi" w:hAnsiTheme="majorHAnsi" w:cstheme="majorHAnsi"/>
                <w:sz w:val="20"/>
                <w:szCs w:val="20"/>
                <w:lang w:eastAsia="en-AU"/>
              </w:rPr>
            </w:pPr>
            <w:r w:rsidRPr="002D021D">
              <w:rPr>
                <w:rFonts w:asciiTheme="majorHAnsi" w:hAnsiTheme="majorHAnsi" w:cstheme="majorHAnsi"/>
                <w:sz w:val="20"/>
                <w:szCs w:val="20"/>
                <w:lang w:eastAsia="en-AU"/>
              </w:rPr>
              <w:t xml:space="preserve">The program needs a clear theory of change, together with a comprehensive and rigorous overall M&amp;E framework within which component projects can be logically ‘nested’. A Collective Impact approach to management of the program could involve planning, monitoring and reporting for the program overall rather than just for individual projects. </w:t>
            </w:r>
          </w:p>
        </w:tc>
        <w:tc>
          <w:tcPr>
            <w:tcW w:w="0" w:type="auto"/>
            <w:vAlign w:val="center"/>
          </w:tcPr>
          <w:p w14:paraId="6EE57EA9" w14:textId="77777777" w:rsidR="003C0BA3" w:rsidRDefault="002D021D">
            <w:pPr>
              <w:spacing w:before="2" w:after="120"/>
              <w:jc w:val="both"/>
              <w:rPr>
                <w:rFonts w:asciiTheme="majorHAnsi" w:hAnsiTheme="majorHAnsi" w:cstheme="majorHAnsi"/>
                <w:color w:val="0000FF"/>
                <w:sz w:val="20"/>
                <w:szCs w:val="20"/>
              </w:rPr>
            </w:pPr>
            <w:r w:rsidRPr="002D021D">
              <w:rPr>
                <w:rFonts w:asciiTheme="majorHAnsi" w:hAnsiTheme="majorHAnsi" w:cstheme="majorHAnsi"/>
                <w:color w:val="0000FF"/>
                <w:sz w:val="20"/>
                <w:szCs w:val="20"/>
              </w:rPr>
              <w:t>A, M</w:t>
            </w:r>
          </w:p>
        </w:tc>
      </w:tr>
      <w:tr w:rsidR="006A505C" w:rsidRPr="00267B79" w14:paraId="63E8F504" w14:textId="77777777">
        <w:tc>
          <w:tcPr>
            <w:tcW w:w="0" w:type="auto"/>
          </w:tcPr>
          <w:p w14:paraId="293EE3DA" w14:textId="77777777" w:rsidR="003C0BA3" w:rsidRDefault="004B3B8F">
            <w:pPr>
              <w:spacing w:after="120"/>
              <w:jc w:val="both"/>
              <w:rPr>
                <w:rFonts w:asciiTheme="majorHAnsi" w:hAnsiTheme="majorHAnsi" w:cstheme="majorHAnsi"/>
                <w:sz w:val="20"/>
                <w:szCs w:val="20"/>
                <w:lang w:eastAsia="en-AU"/>
              </w:rPr>
            </w:pPr>
            <w:r w:rsidRPr="004B3B8F">
              <w:rPr>
                <w:rFonts w:asciiTheme="majorHAnsi" w:hAnsiTheme="majorHAnsi" w:cstheme="majorHAnsi"/>
                <w:sz w:val="20"/>
                <w:szCs w:val="20"/>
                <w:lang w:eastAsia="en-AU"/>
              </w:rPr>
              <w:t>With limited funds - and especially as other donors depart - it’s important to focus on catalytic interventions with potential for transformation; these often involve the Information and Governance elements of the health system.</w:t>
            </w:r>
            <w:r w:rsidRPr="004B3B8F">
              <w:rPr>
                <w:rStyle w:val="FootnoteReference"/>
                <w:rFonts w:asciiTheme="majorHAnsi" w:hAnsiTheme="majorHAnsi" w:cstheme="majorHAnsi"/>
                <w:sz w:val="20"/>
                <w:szCs w:val="20"/>
                <w:lang w:eastAsia="en-AU"/>
              </w:rPr>
              <w:footnoteReference w:id="72"/>
            </w:r>
            <w:r w:rsidRPr="004B3B8F">
              <w:rPr>
                <w:rFonts w:asciiTheme="majorHAnsi" w:hAnsiTheme="majorHAnsi" w:cstheme="majorHAnsi"/>
                <w:sz w:val="20"/>
                <w:szCs w:val="20"/>
                <w:lang w:eastAsia="en-AU"/>
              </w:rPr>
              <w:t xml:space="preserve">  Close monitoring of political economy dynamics is vital to identifying emerging opportunities (and threats) as they arise; ongoing policy and strategy dialogue is essential to this, and flexibility helps in capitalising on opportunities and managing emerging risks. </w:t>
            </w:r>
          </w:p>
        </w:tc>
        <w:tc>
          <w:tcPr>
            <w:tcW w:w="0" w:type="auto"/>
            <w:vAlign w:val="center"/>
          </w:tcPr>
          <w:p w14:paraId="6CB7D811" w14:textId="77777777" w:rsidR="003C0BA3" w:rsidRDefault="003C0BA3">
            <w:pPr>
              <w:spacing w:after="120"/>
              <w:ind w:left="1760"/>
              <w:jc w:val="both"/>
              <w:rPr>
                <w:rFonts w:asciiTheme="majorHAnsi" w:hAnsiTheme="majorHAnsi" w:cstheme="majorHAnsi"/>
                <w:color w:val="0000FF"/>
                <w:sz w:val="20"/>
                <w:szCs w:val="20"/>
                <w:highlight w:val="green"/>
              </w:rPr>
            </w:pPr>
          </w:p>
        </w:tc>
      </w:tr>
    </w:tbl>
    <w:p w14:paraId="7B0C8992" w14:textId="77777777" w:rsidR="00A912BC" w:rsidRDefault="00A912BC">
      <w:pPr>
        <w:jc w:val="both"/>
        <w:rPr>
          <w:rFonts w:asciiTheme="majorHAnsi" w:hAnsiTheme="majorHAnsi" w:cs="Calibri Light"/>
          <w:color w:val="000000"/>
        </w:rPr>
      </w:pPr>
    </w:p>
    <w:p w14:paraId="2B068E31" w14:textId="77777777" w:rsidR="00A912BC" w:rsidRDefault="00DA31F6">
      <w:pPr>
        <w:pStyle w:val="Heading1"/>
        <w:jc w:val="both"/>
      </w:pPr>
      <w:bookmarkStart w:id="24" w:name="_Toc378838740"/>
      <w:r w:rsidRPr="00267B79">
        <w:t>RECOMMENDATIONS</w:t>
      </w:r>
      <w:bookmarkEnd w:id="24"/>
      <w:r w:rsidRPr="00267B79">
        <w:t xml:space="preserve"> </w:t>
      </w:r>
    </w:p>
    <w:p w14:paraId="3589B3DC" w14:textId="77777777" w:rsidR="00A912BC" w:rsidRDefault="00A912BC">
      <w:pPr>
        <w:jc w:val="both"/>
        <w:rPr>
          <w:rFonts w:asciiTheme="majorHAnsi" w:hAnsiTheme="majorHAnsi" w:cstheme="majorHAnsi"/>
        </w:rPr>
      </w:pPr>
    </w:p>
    <w:p w14:paraId="7EC5D263" w14:textId="77777777" w:rsidR="00A912BC" w:rsidRDefault="004B3B8F">
      <w:pPr>
        <w:pStyle w:val="CommentText"/>
        <w:jc w:val="both"/>
        <w:rPr>
          <w:rFonts w:asciiTheme="majorHAnsi" w:hAnsiTheme="majorHAnsi" w:cstheme="majorHAnsi"/>
          <w:sz w:val="20"/>
        </w:rPr>
      </w:pPr>
      <w:r w:rsidRPr="004B3B8F">
        <w:rPr>
          <w:rFonts w:asciiTheme="majorHAnsi" w:hAnsiTheme="majorHAnsi"/>
          <w:sz w:val="20"/>
        </w:rPr>
        <w:t>At the workshop on 13</w:t>
      </w:r>
      <w:r w:rsidRPr="004B3B8F">
        <w:rPr>
          <w:rFonts w:asciiTheme="majorHAnsi" w:hAnsiTheme="majorHAnsi"/>
          <w:sz w:val="20"/>
          <w:vertAlign w:val="superscript"/>
        </w:rPr>
        <w:t>th</w:t>
      </w:r>
      <w:r w:rsidRPr="004B3B8F">
        <w:rPr>
          <w:rFonts w:asciiTheme="majorHAnsi" w:hAnsiTheme="majorHAnsi"/>
          <w:sz w:val="20"/>
        </w:rPr>
        <w:t xml:space="preserve"> October, the Review team presented preliminary recommendations based on a summary analysis against the KEQs (see Annex 4); these were then discussed by participants. Having subsequently refined the analysis and considered various suggestions made at the workshop, the Review team </w:t>
      </w:r>
      <w:r w:rsidRPr="004B3B8F">
        <w:rPr>
          <w:rFonts w:asciiTheme="majorHAnsi" w:hAnsiTheme="majorHAnsi" w:cstheme="majorHAnsi"/>
          <w:sz w:val="20"/>
        </w:rPr>
        <w:t xml:space="preserve">concludes </w:t>
      </w:r>
      <w:r w:rsidR="009452CB">
        <w:rPr>
          <w:rFonts w:asciiTheme="majorHAnsi" w:hAnsiTheme="majorHAnsi" w:cstheme="majorHAnsi"/>
          <w:sz w:val="20"/>
        </w:rPr>
        <w:t xml:space="preserve">that </w:t>
      </w:r>
      <w:r w:rsidRPr="004B3B8F">
        <w:rPr>
          <w:rFonts w:asciiTheme="majorHAnsi" w:hAnsiTheme="majorHAnsi" w:cstheme="majorHAnsi"/>
          <w:sz w:val="20"/>
        </w:rPr>
        <w:t xml:space="preserve">there are important opportunities for DFAT/PHD to maximise the relevance, effectiveness, efficiency and sustainability of investments by making some adjustments during the coming year and redesigning the program as current contracts run out, with a view to expediting progress on unfinished RMNCH agendas from 2018 to 2021.  </w:t>
      </w:r>
    </w:p>
    <w:p w14:paraId="06252D82" w14:textId="77777777" w:rsidR="00A912BC" w:rsidRDefault="004B3B8F">
      <w:pPr>
        <w:jc w:val="both"/>
        <w:rPr>
          <w:rFonts w:asciiTheme="majorHAnsi" w:hAnsiTheme="majorHAnsi"/>
          <w:sz w:val="20"/>
        </w:rPr>
      </w:pPr>
      <w:r w:rsidRPr="004B3B8F">
        <w:rPr>
          <w:rFonts w:asciiTheme="majorHAnsi" w:hAnsiTheme="majorHAnsi"/>
          <w:sz w:val="20"/>
        </w:rPr>
        <w:t xml:space="preserve">Recommendations of the Review are based on: </w:t>
      </w:r>
    </w:p>
    <w:p w14:paraId="5B4F8C59" w14:textId="77777777" w:rsidR="00A912BC" w:rsidRDefault="00A912BC">
      <w:pPr>
        <w:jc w:val="both"/>
        <w:rPr>
          <w:rFonts w:asciiTheme="majorHAnsi" w:hAnsiTheme="majorHAnsi"/>
          <w:sz w:val="20"/>
        </w:rPr>
      </w:pPr>
    </w:p>
    <w:p w14:paraId="15C80E0C" w14:textId="77777777" w:rsidR="00A912BC" w:rsidRDefault="004B3B8F">
      <w:pPr>
        <w:pStyle w:val="ListParagraph"/>
        <w:numPr>
          <w:ilvl w:val="0"/>
          <w:numId w:val="22"/>
        </w:numPr>
        <w:jc w:val="both"/>
        <w:rPr>
          <w:rFonts w:asciiTheme="majorHAnsi" w:hAnsiTheme="majorHAnsi"/>
          <w:sz w:val="20"/>
        </w:rPr>
      </w:pPr>
      <w:r w:rsidRPr="004B3B8F">
        <w:rPr>
          <w:rFonts w:asciiTheme="majorHAnsi" w:hAnsiTheme="majorHAnsi"/>
          <w:sz w:val="20"/>
        </w:rPr>
        <w:t xml:space="preserve">Australia’s comparative advantage as the largest donor, with an established tradition of bilateral partnership and ample capacity for both strategic management and project administration; </w:t>
      </w:r>
    </w:p>
    <w:p w14:paraId="36CFA26D" w14:textId="77777777" w:rsidR="00A912BC" w:rsidRDefault="004B3B8F">
      <w:pPr>
        <w:pStyle w:val="ListParagraph"/>
        <w:numPr>
          <w:ilvl w:val="0"/>
          <w:numId w:val="22"/>
        </w:numPr>
        <w:jc w:val="both"/>
        <w:rPr>
          <w:rFonts w:asciiTheme="majorHAnsi" w:hAnsiTheme="majorHAnsi"/>
          <w:sz w:val="20"/>
        </w:rPr>
      </w:pPr>
      <w:r w:rsidRPr="004B3B8F">
        <w:rPr>
          <w:rFonts w:asciiTheme="majorHAnsi" w:hAnsiTheme="majorHAnsi"/>
          <w:sz w:val="20"/>
        </w:rPr>
        <w:t>performance</w:t>
      </w:r>
      <w:r w:rsidR="00612610">
        <w:rPr>
          <w:rFonts w:asciiTheme="majorHAnsi" w:hAnsiTheme="majorHAnsi"/>
          <w:sz w:val="20"/>
        </w:rPr>
        <w:t xml:space="preserve"> of the program during the period covered by the review</w:t>
      </w:r>
      <w:r w:rsidRPr="004B3B8F">
        <w:rPr>
          <w:rFonts w:asciiTheme="majorHAnsi" w:hAnsiTheme="majorHAnsi"/>
          <w:sz w:val="20"/>
        </w:rPr>
        <w:t>;</w:t>
      </w:r>
    </w:p>
    <w:p w14:paraId="5696EEB0" w14:textId="77777777" w:rsidR="00A912BC" w:rsidRDefault="004B3B8F">
      <w:pPr>
        <w:pStyle w:val="ListParagraph"/>
        <w:numPr>
          <w:ilvl w:val="0"/>
          <w:numId w:val="22"/>
        </w:numPr>
        <w:jc w:val="both"/>
        <w:rPr>
          <w:rFonts w:asciiTheme="majorHAnsi" w:hAnsiTheme="majorHAnsi"/>
          <w:sz w:val="20"/>
        </w:rPr>
      </w:pPr>
      <w:r w:rsidRPr="004B3B8F">
        <w:rPr>
          <w:rFonts w:asciiTheme="majorHAnsi" w:hAnsiTheme="majorHAnsi"/>
          <w:sz w:val="20"/>
        </w:rPr>
        <w:t xml:space="preserve">remaining gaps and challenges, especially insufficient support for EmONC and management within the sector and suboptimal balance and coherence within the program; and </w:t>
      </w:r>
    </w:p>
    <w:p w14:paraId="774FAD87" w14:textId="77777777" w:rsidR="00A912BC" w:rsidRDefault="004B3B8F">
      <w:pPr>
        <w:pStyle w:val="ListParagraph"/>
        <w:numPr>
          <w:ilvl w:val="0"/>
          <w:numId w:val="22"/>
        </w:numPr>
        <w:jc w:val="both"/>
        <w:rPr>
          <w:rFonts w:asciiTheme="majorHAnsi" w:hAnsiTheme="majorHAnsi"/>
          <w:sz w:val="20"/>
        </w:rPr>
      </w:pPr>
      <w:r w:rsidRPr="004B3B8F">
        <w:rPr>
          <w:rFonts w:asciiTheme="majorHAnsi" w:hAnsiTheme="majorHAnsi"/>
          <w:sz w:val="20"/>
        </w:rPr>
        <w:t xml:space="preserve">opportunities and risks arising from ongoing and expected contextual changes. </w:t>
      </w:r>
    </w:p>
    <w:p w14:paraId="46C0FAD8" w14:textId="77777777" w:rsidR="00A912BC" w:rsidRDefault="00A912BC">
      <w:pPr>
        <w:jc w:val="both"/>
        <w:rPr>
          <w:rFonts w:asciiTheme="majorHAnsi" w:hAnsiTheme="majorHAnsi"/>
          <w:b/>
          <w:sz w:val="20"/>
        </w:rPr>
      </w:pPr>
    </w:p>
    <w:p w14:paraId="74641266" w14:textId="77777777" w:rsidR="00A912BC" w:rsidRDefault="004B3B8F">
      <w:pPr>
        <w:jc w:val="both"/>
        <w:rPr>
          <w:rFonts w:asciiTheme="majorHAnsi" w:hAnsiTheme="majorHAnsi"/>
          <w:i/>
          <w:sz w:val="20"/>
        </w:rPr>
      </w:pPr>
      <w:r w:rsidRPr="004B3B8F">
        <w:rPr>
          <w:rFonts w:asciiTheme="majorHAnsi" w:hAnsiTheme="majorHAnsi"/>
          <w:i/>
          <w:sz w:val="20"/>
        </w:rPr>
        <w:t>Note that because a number of RMNCH-relevant strategies are being revised at present, (iii) and (iv) are the main drivers for the recommendations of the Review.</w:t>
      </w:r>
    </w:p>
    <w:p w14:paraId="3E22BC68" w14:textId="77777777" w:rsidR="00A912BC" w:rsidRDefault="00A912BC">
      <w:pPr>
        <w:jc w:val="both"/>
        <w:rPr>
          <w:rFonts w:asciiTheme="majorHAnsi" w:hAnsiTheme="majorHAnsi"/>
          <w:i/>
          <w:sz w:val="20"/>
        </w:rPr>
      </w:pPr>
    </w:p>
    <w:p w14:paraId="55A2A43E" w14:textId="77777777" w:rsidR="00A912BC" w:rsidRDefault="004B3B8F">
      <w:pPr>
        <w:pStyle w:val="CommentText"/>
        <w:jc w:val="both"/>
        <w:rPr>
          <w:rFonts w:asciiTheme="majorHAnsi" w:hAnsiTheme="majorHAnsi"/>
          <w:sz w:val="20"/>
        </w:rPr>
      </w:pPr>
      <w:r w:rsidRPr="004B3B8F">
        <w:rPr>
          <w:rFonts w:asciiTheme="majorHAnsi" w:hAnsiTheme="majorHAnsi" w:cstheme="majorHAnsi"/>
          <w:sz w:val="20"/>
        </w:rPr>
        <w:lastRenderedPageBreak/>
        <w:t xml:space="preserve">Recommendations are set out below under the following sub-headings: </w:t>
      </w:r>
    </w:p>
    <w:p w14:paraId="5B83BCC8" w14:textId="77777777" w:rsidR="00A912BC" w:rsidRDefault="004B3B8F" w:rsidP="00C35FAD">
      <w:pPr>
        <w:pStyle w:val="ListParagraph"/>
        <w:numPr>
          <w:ilvl w:val="0"/>
          <w:numId w:val="12"/>
        </w:numPr>
        <w:spacing w:after="120"/>
        <w:ind w:left="1077" w:hanging="357"/>
        <w:contextualSpacing w:val="0"/>
        <w:jc w:val="both"/>
        <w:rPr>
          <w:rFonts w:asciiTheme="majorHAnsi" w:hAnsiTheme="majorHAnsi" w:cstheme="majorHAnsi"/>
          <w:sz w:val="20"/>
        </w:rPr>
      </w:pPr>
      <w:r w:rsidRPr="004B3B8F">
        <w:rPr>
          <w:rFonts w:asciiTheme="majorHAnsi" w:hAnsiTheme="majorHAnsi" w:cstheme="majorHAnsi"/>
          <w:sz w:val="20"/>
        </w:rPr>
        <w:t xml:space="preserve">general recommendations concerning ways of working, strategic management and overall balance of investments </w:t>
      </w:r>
    </w:p>
    <w:p w14:paraId="67EE31D3" w14:textId="77777777" w:rsidR="00A912BC" w:rsidRDefault="004B3B8F" w:rsidP="00C35FAD">
      <w:pPr>
        <w:pStyle w:val="CommentText"/>
        <w:numPr>
          <w:ilvl w:val="0"/>
          <w:numId w:val="12"/>
        </w:numPr>
        <w:spacing w:after="120"/>
        <w:ind w:left="1077" w:hanging="357"/>
        <w:jc w:val="both"/>
        <w:rPr>
          <w:rFonts w:asciiTheme="majorHAnsi" w:hAnsiTheme="majorHAnsi"/>
          <w:sz w:val="20"/>
        </w:rPr>
      </w:pPr>
      <w:r w:rsidRPr="004B3B8F">
        <w:rPr>
          <w:rFonts w:asciiTheme="majorHAnsi" w:hAnsiTheme="majorHAnsi" w:cstheme="majorHAnsi"/>
          <w:sz w:val="20"/>
        </w:rPr>
        <w:t xml:space="preserve">recommendations, organised by elements of the health system, involving high-level actions </w:t>
      </w:r>
      <w:r w:rsidRPr="004B3B8F">
        <w:rPr>
          <w:rFonts w:asciiTheme="majorHAnsi" w:hAnsiTheme="majorHAnsi"/>
          <w:sz w:val="20"/>
        </w:rPr>
        <w:t xml:space="preserve">to prepare the ground for detailed redesign of the program </w:t>
      </w:r>
    </w:p>
    <w:p w14:paraId="37FA5E71" w14:textId="77777777" w:rsidR="00A912BC" w:rsidRDefault="004B3B8F" w:rsidP="00C35FAD">
      <w:pPr>
        <w:pStyle w:val="ListParagraph"/>
        <w:numPr>
          <w:ilvl w:val="0"/>
          <w:numId w:val="12"/>
        </w:numPr>
        <w:spacing w:after="120"/>
        <w:ind w:left="1077" w:hanging="357"/>
        <w:contextualSpacing w:val="0"/>
        <w:jc w:val="both"/>
        <w:rPr>
          <w:rFonts w:asciiTheme="majorHAnsi" w:hAnsiTheme="majorHAnsi" w:cstheme="majorHAnsi"/>
          <w:sz w:val="20"/>
        </w:rPr>
      </w:pPr>
      <w:r w:rsidRPr="004B3B8F">
        <w:rPr>
          <w:rFonts w:asciiTheme="majorHAnsi" w:hAnsiTheme="majorHAnsi" w:cstheme="majorHAnsi"/>
          <w:sz w:val="20"/>
        </w:rPr>
        <w:t>recommendations for individual investments, some of which will transition into GOTL while others will evolve or be created to comprise the ongoing re-designed program</w:t>
      </w:r>
    </w:p>
    <w:p w14:paraId="1B05F962" w14:textId="0EBEBBD2" w:rsidR="00A912BC" w:rsidRDefault="004B3B8F" w:rsidP="00C35FAD">
      <w:pPr>
        <w:pStyle w:val="ListParagraph"/>
        <w:numPr>
          <w:ilvl w:val="0"/>
          <w:numId w:val="12"/>
        </w:numPr>
        <w:spacing w:after="120"/>
        <w:ind w:left="1077" w:hanging="357"/>
        <w:contextualSpacing w:val="0"/>
        <w:jc w:val="both"/>
        <w:rPr>
          <w:rFonts w:asciiTheme="majorHAnsi" w:hAnsiTheme="majorHAnsi" w:cstheme="majorHAnsi"/>
          <w:sz w:val="20"/>
        </w:rPr>
      </w:pPr>
      <w:r w:rsidRPr="004B3B8F">
        <w:rPr>
          <w:rFonts w:asciiTheme="majorHAnsi" w:hAnsiTheme="majorHAnsi" w:cstheme="majorHAnsi"/>
          <w:sz w:val="20"/>
        </w:rPr>
        <w:t>suggestions for a multi</w:t>
      </w:r>
      <w:r w:rsidR="0067019B">
        <w:rPr>
          <w:rFonts w:asciiTheme="majorHAnsi" w:hAnsiTheme="majorHAnsi" w:cstheme="majorHAnsi"/>
          <w:sz w:val="20"/>
        </w:rPr>
        <w:t>-</w:t>
      </w:r>
      <w:r w:rsidRPr="004B3B8F">
        <w:rPr>
          <w:rFonts w:asciiTheme="majorHAnsi" w:hAnsiTheme="majorHAnsi" w:cstheme="majorHAnsi"/>
          <w:sz w:val="20"/>
        </w:rPr>
        <w:t>sectoral ‘whole-of-PHD’ approach</w:t>
      </w:r>
    </w:p>
    <w:p w14:paraId="4F3CE065" w14:textId="77777777" w:rsidR="00A912BC" w:rsidRDefault="004B3B8F" w:rsidP="00C35FAD">
      <w:pPr>
        <w:pStyle w:val="ListParagraph"/>
        <w:numPr>
          <w:ilvl w:val="0"/>
          <w:numId w:val="12"/>
        </w:numPr>
        <w:spacing w:after="120"/>
        <w:ind w:left="1077" w:hanging="357"/>
        <w:contextualSpacing w:val="0"/>
        <w:jc w:val="both"/>
        <w:rPr>
          <w:rFonts w:asciiTheme="majorHAnsi" w:hAnsiTheme="majorHAnsi" w:cstheme="majorHAnsi"/>
          <w:sz w:val="20"/>
        </w:rPr>
      </w:pPr>
      <w:r w:rsidRPr="004B3B8F">
        <w:rPr>
          <w:rFonts w:asciiTheme="majorHAnsi" w:hAnsiTheme="majorHAnsi" w:cstheme="majorHAnsi"/>
          <w:sz w:val="20"/>
        </w:rPr>
        <w:t>suggestions for what the program will not include</w:t>
      </w:r>
    </w:p>
    <w:p w14:paraId="6D795A94" w14:textId="77777777" w:rsidR="00A912BC" w:rsidRDefault="004B3B8F" w:rsidP="00C35FAD">
      <w:pPr>
        <w:pStyle w:val="ListParagraph"/>
        <w:numPr>
          <w:ilvl w:val="0"/>
          <w:numId w:val="12"/>
        </w:numPr>
        <w:spacing w:after="120"/>
        <w:ind w:left="1077" w:hanging="357"/>
        <w:contextualSpacing w:val="0"/>
        <w:jc w:val="both"/>
        <w:rPr>
          <w:rFonts w:asciiTheme="majorHAnsi" w:hAnsiTheme="majorHAnsi" w:cstheme="majorHAnsi"/>
          <w:sz w:val="20"/>
        </w:rPr>
      </w:pPr>
      <w:r w:rsidRPr="004B3B8F">
        <w:rPr>
          <w:rFonts w:asciiTheme="majorHAnsi" w:hAnsiTheme="majorHAnsi" w:cstheme="majorHAnsi"/>
          <w:sz w:val="20"/>
        </w:rPr>
        <w:t>recommendations for theory of change, M&amp;E and reporting</w:t>
      </w:r>
    </w:p>
    <w:p w14:paraId="6394E270" w14:textId="77777777" w:rsidR="00A912BC" w:rsidRDefault="00A912BC">
      <w:pPr>
        <w:jc w:val="both"/>
        <w:rPr>
          <w:rFonts w:asciiTheme="majorHAnsi" w:hAnsiTheme="majorHAnsi" w:cstheme="majorHAnsi"/>
          <w:sz w:val="20"/>
          <w:u w:val="single"/>
        </w:rPr>
      </w:pPr>
    </w:p>
    <w:p w14:paraId="61BFDA7F" w14:textId="77777777" w:rsidR="00F417BE" w:rsidRDefault="00F417BE">
      <w:pPr>
        <w:rPr>
          <w:rFonts w:asciiTheme="majorHAnsi" w:eastAsiaTheme="majorEastAsia" w:hAnsiTheme="majorHAnsi" w:cstheme="majorBidi"/>
          <w:b/>
          <w:bCs/>
          <w:color w:val="4F81BD" w:themeColor="accent1"/>
          <w:sz w:val="26"/>
          <w:szCs w:val="26"/>
        </w:rPr>
      </w:pPr>
      <w:r>
        <w:br w:type="page"/>
      </w:r>
    </w:p>
    <w:p w14:paraId="182E24FD" w14:textId="77777777" w:rsidR="00A912BC" w:rsidRDefault="0083363D">
      <w:pPr>
        <w:pStyle w:val="Heading2"/>
        <w:jc w:val="both"/>
        <w:rPr>
          <w:sz w:val="20"/>
        </w:rPr>
      </w:pPr>
      <w:bookmarkStart w:id="25" w:name="_Toc378838741"/>
      <w:r w:rsidRPr="00267B79">
        <w:lastRenderedPageBreak/>
        <w:t>1. G</w:t>
      </w:r>
      <w:r w:rsidR="00DA31F6" w:rsidRPr="00267B79">
        <w:t>eneral recommendations</w:t>
      </w:r>
      <w:bookmarkEnd w:id="25"/>
      <w:r w:rsidR="004B3B8F" w:rsidRPr="004B3B8F">
        <w:rPr>
          <w:rFonts w:cstheme="majorHAnsi"/>
          <w:sz w:val="20"/>
        </w:rPr>
        <w:t xml:space="preserve"> </w:t>
      </w:r>
    </w:p>
    <w:p w14:paraId="3D4DB223" w14:textId="77777777" w:rsidR="00A912BC" w:rsidRDefault="00A912BC">
      <w:pPr>
        <w:jc w:val="both"/>
        <w:rPr>
          <w:rFonts w:asciiTheme="majorHAnsi" w:hAnsiTheme="majorHAnsi" w:cstheme="majorHAnsi"/>
          <w:sz w:val="20"/>
        </w:rPr>
      </w:pPr>
    </w:p>
    <w:p w14:paraId="68B7B357" w14:textId="77777777" w:rsidR="00A912BC" w:rsidRDefault="004B3B8F">
      <w:pPr>
        <w:jc w:val="both"/>
        <w:rPr>
          <w:rFonts w:asciiTheme="majorHAnsi" w:hAnsiTheme="majorHAnsi" w:cstheme="majorHAnsi"/>
          <w:sz w:val="20"/>
        </w:rPr>
      </w:pPr>
      <w:r w:rsidRPr="004B3B8F">
        <w:rPr>
          <w:rFonts w:asciiTheme="majorHAnsi" w:hAnsiTheme="majorHAnsi" w:cstheme="majorHAnsi"/>
          <w:b/>
          <w:sz w:val="20"/>
        </w:rPr>
        <w:t>Improve ways of working</w:t>
      </w:r>
      <w:r w:rsidRPr="004B3B8F">
        <w:rPr>
          <w:rFonts w:asciiTheme="majorHAnsi" w:hAnsiTheme="majorHAnsi" w:cstheme="majorHAnsi"/>
          <w:sz w:val="20"/>
        </w:rPr>
        <w:t xml:space="preserve">: In response to improvements in MOH stewardship - including its efforts to update and refine key strategies and provide leadership in coordinating external partners (see Findings, Sections 1, 2 and 9) - DFAT/PHD should build on its comparative advantage as a large and long-established health sector donor to improve the effectiveness of its aid and further strengthen the bilateral relationship by: </w:t>
      </w:r>
    </w:p>
    <w:p w14:paraId="6A680D82" w14:textId="17EAE9E0" w:rsidR="00A912BC" w:rsidRDefault="00C85D03">
      <w:pPr>
        <w:pStyle w:val="ListParagraph"/>
        <w:numPr>
          <w:ilvl w:val="0"/>
          <w:numId w:val="7"/>
        </w:numPr>
        <w:jc w:val="both"/>
        <w:rPr>
          <w:rFonts w:asciiTheme="majorHAnsi" w:hAnsiTheme="majorHAnsi" w:cstheme="majorHAnsi"/>
          <w:sz w:val="20"/>
        </w:rPr>
      </w:pPr>
      <w:r w:rsidRPr="004B3B8F">
        <w:rPr>
          <w:rFonts w:asciiTheme="majorHAnsi" w:hAnsiTheme="majorHAnsi" w:cstheme="majorHAnsi"/>
          <w:sz w:val="20"/>
        </w:rPr>
        <w:t>emphasizing</w:t>
      </w:r>
      <w:r w:rsidR="004B3B8F" w:rsidRPr="004B3B8F">
        <w:rPr>
          <w:rFonts w:asciiTheme="majorHAnsi" w:hAnsiTheme="majorHAnsi" w:cstheme="majorHAnsi"/>
          <w:sz w:val="20"/>
        </w:rPr>
        <w:t xml:space="preserve"> </w:t>
      </w:r>
      <w:r w:rsidR="004B3B8F" w:rsidRPr="00F417BE">
        <w:rPr>
          <w:rFonts w:asciiTheme="majorHAnsi" w:hAnsiTheme="majorHAnsi" w:cstheme="majorHAnsi"/>
          <w:sz w:val="20"/>
        </w:rPr>
        <w:t xml:space="preserve">equity (poor/rich and rural/urban as well as gender and disability) and rights in </w:t>
      </w:r>
      <w:r w:rsidR="00F417BE">
        <w:rPr>
          <w:rFonts w:asciiTheme="majorHAnsi" w:hAnsiTheme="majorHAnsi" w:cstheme="majorHAnsi"/>
          <w:sz w:val="20"/>
        </w:rPr>
        <w:t xml:space="preserve">view of continued inequities in access and health outcomes and </w:t>
      </w:r>
      <w:r w:rsidR="004B3B8F" w:rsidRPr="00F417BE">
        <w:rPr>
          <w:rFonts w:asciiTheme="majorHAnsi" w:hAnsiTheme="majorHAnsi" w:cstheme="majorHAnsi"/>
          <w:sz w:val="20"/>
        </w:rPr>
        <w:t>accordance with the values expressed in NHSSP;</w:t>
      </w:r>
    </w:p>
    <w:p w14:paraId="34DB2C90" w14:textId="2A1B043A" w:rsidR="00A912BC" w:rsidRDefault="004B3B8F">
      <w:pPr>
        <w:pStyle w:val="ListParagraph"/>
        <w:numPr>
          <w:ilvl w:val="0"/>
          <w:numId w:val="7"/>
        </w:numPr>
        <w:jc w:val="both"/>
        <w:rPr>
          <w:rFonts w:asciiTheme="majorHAnsi" w:hAnsiTheme="majorHAnsi" w:cstheme="majorHAnsi"/>
          <w:sz w:val="20"/>
        </w:rPr>
      </w:pPr>
      <w:r w:rsidRPr="004B3B8F">
        <w:rPr>
          <w:rFonts w:asciiTheme="majorHAnsi" w:hAnsiTheme="majorHAnsi" w:cstheme="majorHAnsi"/>
          <w:sz w:val="20"/>
        </w:rPr>
        <w:t>giving greater emphasis to alignment with national priorities, i.e. by</w:t>
      </w:r>
      <w:r w:rsidR="00FF3C5E">
        <w:rPr>
          <w:rFonts w:asciiTheme="majorHAnsi" w:hAnsiTheme="majorHAnsi" w:cstheme="majorHAnsi"/>
          <w:sz w:val="20"/>
        </w:rPr>
        <w:t xml:space="preserve"> </w:t>
      </w:r>
      <w:r w:rsidRPr="004B3B8F">
        <w:rPr>
          <w:rFonts w:asciiTheme="majorHAnsi" w:hAnsiTheme="majorHAnsi" w:cstheme="majorHAnsi"/>
          <w:sz w:val="20"/>
        </w:rPr>
        <w:t>aligning with new/revised strategies/plans as they emerge and by responding to MOH direction on where to implement projects</w:t>
      </w:r>
      <w:r w:rsidRPr="004B3B8F">
        <w:rPr>
          <w:rFonts w:asciiTheme="majorHAnsi" w:hAnsiTheme="majorHAnsi"/>
          <w:sz w:val="20"/>
          <w:lang w:eastAsia="en-AU"/>
        </w:rPr>
        <w:t>;</w:t>
      </w:r>
      <w:r w:rsidRPr="004B3B8F">
        <w:rPr>
          <w:rStyle w:val="FootnoteReference"/>
          <w:rFonts w:asciiTheme="majorHAnsi" w:hAnsiTheme="majorHAnsi"/>
          <w:sz w:val="20"/>
          <w:lang w:eastAsia="en-AU"/>
        </w:rPr>
        <w:footnoteReference w:id="73"/>
      </w:r>
    </w:p>
    <w:p w14:paraId="57495F36" w14:textId="77777777" w:rsidR="00A912BC" w:rsidRDefault="004B3B8F">
      <w:pPr>
        <w:pStyle w:val="ListParagraph"/>
        <w:numPr>
          <w:ilvl w:val="0"/>
          <w:numId w:val="7"/>
        </w:numPr>
        <w:jc w:val="both"/>
        <w:rPr>
          <w:rFonts w:asciiTheme="majorHAnsi" w:hAnsiTheme="majorHAnsi" w:cstheme="majorHAnsi"/>
          <w:sz w:val="20"/>
        </w:rPr>
      </w:pPr>
      <w:r w:rsidRPr="004B3B8F">
        <w:rPr>
          <w:rFonts w:asciiTheme="majorHAnsi" w:hAnsiTheme="majorHAnsi" w:cstheme="majorHAnsi"/>
          <w:sz w:val="20"/>
        </w:rPr>
        <w:t>leading by example in improving harmonization (as per forthcoming MOH manual</w:t>
      </w:r>
      <w:r w:rsidRPr="004B3B8F">
        <w:rPr>
          <w:rFonts w:asciiTheme="majorHAnsi" w:hAnsiTheme="majorHAnsi"/>
          <w:sz w:val="20"/>
        </w:rPr>
        <w:t>)</w:t>
      </w:r>
      <w:r w:rsidRPr="004B3B8F">
        <w:rPr>
          <w:rFonts w:asciiTheme="majorHAnsi" w:hAnsiTheme="majorHAnsi" w:cstheme="majorHAnsi"/>
          <w:sz w:val="20"/>
        </w:rPr>
        <w:t xml:space="preserve">; </w:t>
      </w:r>
    </w:p>
    <w:p w14:paraId="34D67EB9" w14:textId="77777777" w:rsidR="00A912BC" w:rsidRDefault="004B3B8F">
      <w:pPr>
        <w:pStyle w:val="ListParagraph"/>
        <w:numPr>
          <w:ilvl w:val="0"/>
          <w:numId w:val="7"/>
        </w:numPr>
        <w:jc w:val="both"/>
        <w:rPr>
          <w:rFonts w:asciiTheme="majorHAnsi" w:hAnsiTheme="majorHAnsi"/>
          <w:sz w:val="20"/>
        </w:rPr>
      </w:pPr>
      <w:r w:rsidRPr="004B3B8F">
        <w:rPr>
          <w:rFonts w:asciiTheme="majorHAnsi" w:hAnsiTheme="majorHAnsi" w:cstheme="majorHAnsi"/>
          <w:sz w:val="20"/>
        </w:rPr>
        <w:t>working more closely with other donors to speak with one voice to GOTL; and</w:t>
      </w:r>
    </w:p>
    <w:p w14:paraId="23C84C76" w14:textId="77777777" w:rsidR="00A912BC" w:rsidRDefault="004B3B8F">
      <w:pPr>
        <w:pStyle w:val="ListParagraph"/>
        <w:numPr>
          <w:ilvl w:val="0"/>
          <w:numId w:val="7"/>
        </w:numPr>
        <w:jc w:val="both"/>
        <w:rPr>
          <w:rFonts w:asciiTheme="majorHAnsi" w:hAnsiTheme="majorHAnsi" w:cstheme="majorHAnsi"/>
          <w:sz w:val="20"/>
        </w:rPr>
      </w:pPr>
      <w:r w:rsidRPr="004B3B8F">
        <w:rPr>
          <w:rFonts w:asciiTheme="majorHAnsi" w:hAnsiTheme="majorHAnsi" w:cstheme="majorHAnsi"/>
          <w:sz w:val="20"/>
        </w:rPr>
        <w:t>increasing emphasis on building capacity of MOH and relevant autonomous health agencies.</w:t>
      </w:r>
    </w:p>
    <w:p w14:paraId="562A08C2" w14:textId="77777777" w:rsidR="00A912BC" w:rsidRDefault="00A912BC">
      <w:pPr>
        <w:jc w:val="both"/>
        <w:rPr>
          <w:rFonts w:asciiTheme="majorHAnsi" w:hAnsiTheme="majorHAnsi" w:cstheme="majorHAnsi"/>
          <w:b/>
          <w:sz w:val="20"/>
          <w:lang w:val="en-GB"/>
        </w:rPr>
      </w:pPr>
    </w:p>
    <w:p w14:paraId="259ED5AB" w14:textId="77777777" w:rsidR="00A912BC" w:rsidRDefault="004B3B8F">
      <w:pPr>
        <w:jc w:val="both"/>
        <w:rPr>
          <w:rFonts w:asciiTheme="majorHAnsi" w:hAnsiTheme="majorHAnsi" w:cstheme="majorHAnsi"/>
          <w:sz w:val="20"/>
        </w:rPr>
      </w:pPr>
      <w:r w:rsidRPr="004B3B8F">
        <w:rPr>
          <w:rFonts w:asciiTheme="majorHAnsi" w:hAnsiTheme="majorHAnsi" w:cstheme="majorHAnsi"/>
          <w:b/>
          <w:sz w:val="20"/>
          <w:lang w:val="en-GB"/>
        </w:rPr>
        <w:t>Manage the program more strategically:</w:t>
      </w:r>
      <w:r w:rsidRPr="004B3B8F">
        <w:rPr>
          <w:rFonts w:asciiTheme="majorHAnsi" w:hAnsiTheme="majorHAnsi" w:cstheme="majorHAnsi"/>
          <w:sz w:val="20"/>
          <w:lang w:val="en-GB"/>
        </w:rPr>
        <w:t xml:space="preserve"> In response to concerns about coherence (see Findings, Section 7), </w:t>
      </w:r>
      <w:r w:rsidRPr="004B3B8F">
        <w:rPr>
          <w:rFonts w:asciiTheme="majorHAnsi" w:hAnsiTheme="majorHAnsi" w:cstheme="majorHAnsi"/>
          <w:sz w:val="20"/>
        </w:rPr>
        <w:t xml:space="preserve">DFAT and PHD should actualise the potential comparative advantage of their partnership by: </w:t>
      </w:r>
    </w:p>
    <w:p w14:paraId="5977B6C5" w14:textId="77777777" w:rsidR="00A912BC" w:rsidRDefault="004B3B8F">
      <w:pPr>
        <w:pStyle w:val="ListParagraph"/>
        <w:numPr>
          <w:ilvl w:val="0"/>
          <w:numId w:val="8"/>
        </w:numPr>
        <w:jc w:val="both"/>
        <w:rPr>
          <w:rFonts w:asciiTheme="majorHAnsi" w:hAnsiTheme="majorHAnsi" w:cstheme="majorHAnsi"/>
          <w:sz w:val="20"/>
        </w:rPr>
      </w:pPr>
      <w:r w:rsidRPr="004B3B8F">
        <w:rPr>
          <w:rFonts w:asciiTheme="majorHAnsi" w:hAnsiTheme="majorHAnsi" w:cstheme="majorHAnsi"/>
          <w:sz w:val="20"/>
        </w:rPr>
        <w:t xml:space="preserve">determining their respective roles and functions with regard to policy, strategy and management, based on principles of efficiency and subsidiarity, and communicating these to stakeholders; </w:t>
      </w:r>
    </w:p>
    <w:p w14:paraId="60AB7F80" w14:textId="77777777" w:rsidR="00A912BC" w:rsidRDefault="004B3B8F">
      <w:pPr>
        <w:pStyle w:val="ListParagraph"/>
        <w:numPr>
          <w:ilvl w:val="0"/>
          <w:numId w:val="8"/>
        </w:numPr>
        <w:jc w:val="both"/>
        <w:rPr>
          <w:rFonts w:asciiTheme="majorHAnsi" w:hAnsiTheme="majorHAnsi" w:cstheme="majorHAnsi"/>
          <w:sz w:val="20"/>
          <w:lang w:val="en-GB"/>
        </w:rPr>
      </w:pPr>
      <w:r w:rsidRPr="004B3B8F">
        <w:rPr>
          <w:rFonts w:asciiTheme="majorHAnsi" w:hAnsiTheme="majorHAnsi" w:cstheme="majorHAnsi"/>
          <w:sz w:val="20"/>
          <w:lang w:val="en-GB"/>
        </w:rPr>
        <w:t>working closely with GOTL to maintain an overview of linkages and sequencing in the evoluti</w:t>
      </w:r>
      <w:r w:rsidR="00E4443A">
        <w:rPr>
          <w:rFonts w:asciiTheme="majorHAnsi" w:hAnsiTheme="majorHAnsi" w:cstheme="majorHAnsi"/>
          <w:sz w:val="20"/>
          <w:lang w:val="en-GB"/>
        </w:rPr>
        <w:t>on of the health system and encourage MOH</w:t>
      </w:r>
      <w:r w:rsidRPr="004B3B8F">
        <w:rPr>
          <w:rFonts w:asciiTheme="majorHAnsi" w:hAnsiTheme="majorHAnsi" w:cstheme="majorHAnsi"/>
          <w:sz w:val="20"/>
          <w:lang w:val="en-GB"/>
        </w:rPr>
        <w:t xml:space="preserve"> to ensure that different elements of the system improve in ways that support each other to achieve RMNCH objectives;</w:t>
      </w:r>
    </w:p>
    <w:p w14:paraId="2E474CD5" w14:textId="77777777" w:rsidR="00A912BC" w:rsidRDefault="004B3B8F">
      <w:pPr>
        <w:pStyle w:val="ListParagraph"/>
        <w:numPr>
          <w:ilvl w:val="0"/>
          <w:numId w:val="8"/>
        </w:numPr>
        <w:jc w:val="both"/>
        <w:rPr>
          <w:rFonts w:asciiTheme="majorHAnsi" w:hAnsiTheme="majorHAnsi" w:cstheme="majorHAnsi"/>
          <w:sz w:val="20"/>
          <w:lang w:val="en-GB"/>
        </w:rPr>
      </w:pPr>
      <w:r w:rsidRPr="004B3B8F">
        <w:rPr>
          <w:rFonts w:asciiTheme="majorHAnsi" w:hAnsiTheme="majorHAnsi" w:cstheme="majorHAnsi"/>
          <w:sz w:val="20"/>
          <w:lang w:val="en-GB"/>
        </w:rPr>
        <w:t>being alert to emerging opportunities for catalytic interventions with potential for systemic transformation that could improve RMNCH, while retaining flexibility to respond to them without delay; and</w:t>
      </w:r>
    </w:p>
    <w:p w14:paraId="005B6079" w14:textId="77777777" w:rsidR="00A912BC" w:rsidRDefault="004B3B8F">
      <w:pPr>
        <w:pStyle w:val="ListParagraph"/>
        <w:numPr>
          <w:ilvl w:val="0"/>
          <w:numId w:val="8"/>
        </w:numPr>
        <w:jc w:val="both"/>
        <w:rPr>
          <w:rFonts w:asciiTheme="majorHAnsi" w:hAnsiTheme="majorHAnsi" w:cstheme="majorHAnsi"/>
          <w:sz w:val="20"/>
        </w:rPr>
      </w:pPr>
      <w:r w:rsidRPr="004B3B8F">
        <w:rPr>
          <w:rFonts w:asciiTheme="majorHAnsi" w:hAnsiTheme="majorHAnsi" w:cstheme="majorHAnsi"/>
          <w:sz w:val="20"/>
        </w:rPr>
        <w:t xml:space="preserve">adopting a </w:t>
      </w:r>
      <w:r w:rsidRPr="004B3B8F">
        <w:rPr>
          <w:rFonts w:asciiTheme="majorHAnsi" w:hAnsiTheme="majorHAnsi" w:cstheme="majorHAnsi"/>
          <w:sz w:val="20"/>
          <w:szCs w:val="20"/>
          <w:lang w:eastAsia="en-AU"/>
        </w:rPr>
        <w:t>Collective Impact approach,</w:t>
      </w:r>
      <w:r w:rsidRPr="004B3B8F">
        <w:rPr>
          <w:rStyle w:val="FootnoteReference"/>
          <w:rFonts w:asciiTheme="majorHAnsi" w:hAnsiTheme="majorHAnsi" w:cstheme="majorHAnsi"/>
          <w:sz w:val="20"/>
          <w:szCs w:val="20"/>
          <w:lang w:eastAsia="en-AU"/>
        </w:rPr>
        <w:footnoteReference w:id="74"/>
      </w:r>
      <w:r w:rsidRPr="004B3B8F">
        <w:rPr>
          <w:rFonts w:asciiTheme="majorHAnsi" w:hAnsiTheme="majorHAnsi" w:cstheme="majorHAnsi"/>
          <w:sz w:val="20"/>
          <w:szCs w:val="20"/>
          <w:lang w:eastAsia="en-AU"/>
        </w:rPr>
        <w:t xml:space="preserve"> including quarterly meetings of program partners, to </w:t>
      </w:r>
      <w:r w:rsidRPr="004B3B8F">
        <w:rPr>
          <w:rFonts w:asciiTheme="majorHAnsi" w:hAnsiTheme="majorHAnsi" w:cstheme="majorHAnsi"/>
          <w:sz w:val="20"/>
        </w:rPr>
        <w:t xml:space="preserve">ensure complementary interventions add up to more than the sum of the (individual project) parts. </w:t>
      </w:r>
    </w:p>
    <w:p w14:paraId="4C90B44F" w14:textId="77777777" w:rsidR="00A912BC" w:rsidRDefault="00A912BC">
      <w:pPr>
        <w:jc w:val="both"/>
        <w:rPr>
          <w:rFonts w:asciiTheme="majorHAnsi" w:hAnsiTheme="majorHAnsi" w:cstheme="majorHAnsi"/>
          <w:sz w:val="20"/>
          <w:lang w:val="en-GB"/>
        </w:rPr>
      </w:pPr>
    </w:p>
    <w:p w14:paraId="666216EF" w14:textId="77777777" w:rsidR="00A912BC" w:rsidRPr="00C85D03" w:rsidRDefault="004B3B8F">
      <w:pPr>
        <w:jc w:val="both"/>
        <w:rPr>
          <w:rFonts w:asciiTheme="majorHAnsi" w:hAnsiTheme="majorHAnsi" w:cstheme="majorHAnsi"/>
          <w:sz w:val="20"/>
        </w:rPr>
      </w:pPr>
      <w:r w:rsidRPr="00C85D03">
        <w:rPr>
          <w:rFonts w:asciiTheme="majorHAnsi" w:hAnsiTheme="majorHAnsi" w:cstheme="majorHAnsi"/>
          <w:b/>
          <w:sz w:val="20"/>
        </w:rPr>
        <w:t>Improve the balance of investments</w:t>
      </w:r>
      <w:r w:rsidRPr="00C85D03">
        <w:rPr>
          <w:rFonts w:asciiTheme="majorHAnsi" w:hAnsiTheme="majorHAnsi" w:cstheme="majorHAnsi"/>
          <w:sz w:val="20"/>
        </w:rPr>
        <w:t xml:space="preserve">: In response to the evolving capacity of Timor-Leste’s health sector and to the imbalance created by expansion of the health workforce and focus on clinical competences while persistent systemic issues undermine quality of care (see Findings, Sections 1, 4, 5, 6 and 9), DFAT/PHD should: </w:t>
      </w:r>
    </w:p>
    <w:p w14:paraId="5C16CE0D" w14:textId="77777777" w:rsidR="00A912BC" w:rsidRPr="00C85D03" w:rsidRDefault="004B3B8F">
      <w:pPr>
        <w:pStyle w:val="ListParagraph"/>
        <w:numPr>
          <w:ilvl w:val="0"/>
          <w:numId w:val="9"/>
        </w:numPr>
        <w:jc w:val="both"/>
        <w:rPr>
          <w:rFonts w:asciiTheme="majorHAnsi" w:hAnsiTheme="majorHAnsi"/>
          <w:sz w:val="20"/>
        </w:rPr>
      </w:pPr>
      <w:r w:rsidRPr="00C85D03">
        <w:rPr>
          <w:rFonts w:asciiTheme="majorHAnsi" w:hAnsiTheme="majorHAnsi"/>
          <w:sz w:val="20"/>
        </w:rPr>
        <w:t xml:space="preserve">step back as MOH steps up, i.e., by reducing direct delivery in parallel to GOTL and putting more emphasis on supporting GOTL to deliver and improve at every level; </w:t>
      </w:r>
    </w:p>
    <w:p w14:paraId="71EBB2E5" w14:textId="77777777" w:rsidR="00A912BC" w:rsidRPr="00C85D03" w:rsidRDefault="004B3B8F">
      <w:pPr>
        <w:pStyle w:val="ListParagraph"/>
        <w:numPr>
          <w:ilvl w:val="0"/>
          <w:numId w:val="9"/>
        </w:numPr>
        <w:jc w:val="both"/>
        <w:rPr>
          <w:rFonts w:asciiTheme="majorHAnsi" w:hAnsiTheme="majorHAnsi" w:cstheme="majorHAnsi"/>
          <w:sz w:val="20"/>
        </w:rPr>
      </w:pPr>
      <w:r w:rsidRPr="00C85D03">
        <w:rPr>
          <w:rFonts w:asciiTheme="majorHAnsi" w:hAnsiTheme="majorHAnsi" w:cstheme="majorHAnsi"/>
          <w:sz w:val="20"/>
        </w:rPr>
        <w:t xml:space="preserve">give more emphasis to overall readiness </w:t>
      </w:r>
      <w:r w:rsidRPr="00C85D03">
        <w:rPr>
          <w:rFonts w:asciiTheme="majorHAnsi" w:hAnsiTheme="majorHAnsi" w:cstheme="majorHAnsi"/>
          <w:sz w:val="20"/>
          <w:lang w:val="en-GB"/>
        </w:rPr>
        <w:t xml:space="preserve">(based on MOH readiness criteria and standards) </w:t>
      </w:r>
      <w:r w:rsidRPr="00C85D03">
        <w:rPr>
          <w:rFonts w:asciiTheme="majorHAnsi" w:hAnsiTheme="majorHAnsi" w:cstheme="majorHAnsi"/>
          <w:sz w:val="20"/>
        </w:rPr>
        <w:t xml:space="preserve">for RMNCH service delivery; </w:t>
      </w:r>
      <w:r w:rsidRPr="00C85D03">
        <w:rPr>
          <w:rFonts w:asciiTheme="majorHAnsi" w:hAnsiTheme="majorHAnsi"/>
          <w:sz w:val="20"/>
        </w:rPr>
        <w:t>a</w:t>
      </w:r>
      <w:r w:rsidRPr="00C85D03">
        <w:rPr>
          <w:rFonts w:asciiTheme="majorHAnsi" w:hAnsiTheme="majorHAnsi" w:cstheme="majorHAnsi"/>
          <w:sz w:val="20"/>
        </w:rPr>
        <w:t xml:space="preserve">nd </w:t>
      </w:r>
    </w:p>
    <w:p w14:paraId="7A3AE3CA" w14:textId="77777777" w:rsidR="00A912BC" w:rsidRPr="00C85D03" w:rsidRDefault="004B3B8F">
      <w:pPr>
        <w:pStyle w:val="ListParagraph"/>
        <w:numPr>
          <w:ilvl w:val="0"/>
          <w:numId w:val="9"/>
        </w:numPr>
        <w:jc w:val="both"/>
        <w:rPr>
          <w:rFonts w:asciiTheme="majorHAnsi" w:hAnsiTheme="majorHAnsi"/>
          <w:sz w:val="20"/>
        </w:rPr>
      </w:pPr>
      <w:r w:rsidRPr="00C85D03">
        <w:rPr>
          <w:rFonts w:asciiTheme="majorHAnsi" w:hAnsiTheme="majorHAnsi" w:cstheme="majorHAnsi"/>
          <w:sz w:val="20"/>
        </w:rPr>
        <w:t>do more to promote and support systemic/institutional reforms and to help the health system adapt to decentralization.</w:t>
      </w:r>
    </w:p>
    <w:p w14:paraId="4041AC1A" w14:textId="77777777" w:rsidR="00A912BC" w:rsidRDefault="00A912BC">
      <w:pPr>
        <w:jc w:val="both"/>
        <w:rPr>
          <w:rFonts w:asciiTheme="majorHAnsi" w:hAnsiTheme="majorHAnsi"/>
          <w:sz w:val="20"/>
        </w:rPr>
      </w:pPr>
    </w:p>
    <w:p w14:paraId="327434B1" w14:textId="77777777" w:rsidR="00A912BC" w:rsidRDefault="00A912BC">
      <w:pPr>
        <w:jc w:val="both"/>
        <w:rPr>
          <w:rFonts w:asciiTheme="majorHAnsi" w:hAnsiTheme="majorHAnsi"/>
          <w:sz w:val="20"/>
        </w:rPr>
      </w:pPr>
    </w:p>
    <w:p w14:paraId="2F163C93" w14:textId="77777777" w:rsidR="00A912BC" w:rsidRDefault="0083363D">
      <w:pPr>
        <w:pStyle w:val="Heading2"/>
        <w:jc w:val="both"/>
        <w:rPr>
          <w:sz w:val="20"/>
          <w:lang w:val="en-AU"/>
        </w:rPr>
      </w:pPr>
      <w:bookmarkStart w:id="26" w:name="_Toc378838742"/>
      <w:r w:rsidRPr="00267B79">
        <w:t>2. R</w:t>
      </w:r>
      <w:r w:rsidR="00DA31F6" w:rsidRPr="00267B79">
        <w:t>ecommendations</w:t>
      </w:r>
      <w:r w:rsidR="002830C9" w:rsidRPr="00267B79">
        <w:t>,</w:t>
      </w:r>
      <w:r w:rsidR="00DA31F6" w:rsidRPr="00267B79">
        <w:t xml:space="preserve"> by </w:t>
      </w:r>
      <w:r w:rsidR="00F23095" w:rsidRPr="00267B79">
        <w:t xml:space="preserve">health system </w:t>
      </w:r>
      <w:r w:rsidR="008506EC" w:rsidRPr="00267B79">
        <w:t>objective</w:t>
      </w:r>
      <w:r w:rsidR="002830C9" w:rsidRPr="00267B79">
        <w:t>,</w:t>
      </w:r>
      <w:r w:rsidR="008506EC" w:rsidRPr="00267B79">
        <w:t xml:space="preserve"> </w:t>
      </w:r>
      <w:r w:rsidR="00784EC6" w:rsidRPr="00267B79">
        <w:t>in</w:t>
      </w:r>
      <w:r w:rsidR="008506EC" w:rsidRPr="00267B79">
        <w:t xml:space="preserve"> p</w:t>
      </w:r>
      <w:r w:rsidR="00784EC6" w:rsidRPr="00267B79">
        <w:t>reparation for redesign</w:t>
      </w:r>
      <w:bookmarkEnd w:id="26"/>
    </w:p>
    <w:p w14:paraId="031E97D1" w14:textId="77777777" w:rsidR="00A912BC" w:rsidRDefault="00A912BC">
      <w:pPr>
        <w:jc w:val="both"/>
        <w:rPr>
          <w:rFonts w:asciiTheme="majorHAnsi" w:hAnsiTheme="majorHAnsi"/>
          <w:sz w:val="20"/>
          <w:u w:val="single"/>
        </w:rPr>
      </w:pPr>
    </w:p>
    <w:p w14:paraId="47B2DA2F" w14:textId="77777777" w:rsidR="00C35FAD" w:rsidRDefault="004B3B8F">
      <w:pPr>
        <w:jc w:val="both"/>
        <w:rPr>
          <w:rFonts w:asciiTheme="majorHAnsi" w:hAnsiTheme="majorHAnsi" w:cstheme="majorHAnsi"/>
          <w:sz w:val="20"/>
        </w:rPr>
      </w:pPr>
      <w:r w:rsidRPr="004B3B8F">
        <w:rPr>
          <w:rFonts w:asciiTheme="majorHAnsi" w:hAnsiTheme="majorHAnsi" w:cstheme="majorHAnsi"/>
          <w:sz w:val="20"/>
        </w:rPr>
        <w:t xml:space="preserve">Recommendations in this section focus on the ‘bigger picture’ of the health system and on actions needed at policy and strategy level to pave the way for an effective redesign of the program. </w:t>
      </w:r>
    </w:p>
    <w:p w14:paraId="33690BD4" w14:textId="77777777" w:rsidR="00C35FAD" w:rsidRDefault="00C35FAD">
      <w:pPr>
        <w:jc w:val="both"/>
        <w:rPr>
          <w:rFonts w:asciiTheme="majorHAnsi" w:hAnsiTheme="majorHAnsi" w:cstheme="majorHAnsi"/>
          <w:sz w:val="20"/>
        </w:rPr>
      </w:pPr>
    </w:p>
    <w:p w14:paraId="5FF78AD2" w14:textId="77777777" w:rsidR="00A912BC" w:rsidRPr="00C35FAD" w:rsidRDefault="00C35FAD">
      <w:pPr>
        <w:jc w:val="both"/>
        <w:rPr>
          <w:rFonts w:asciiTheme="majorHAnsi" w:hAnsiTheme="majorHAnsi" w:cstheme="majorHAnsi"/>
          <w:b/>
          <w:sz w:val="20"/>
        </w:rPr>
      </w:pPr>
      <w:r w:rsidRPr="00C35FAD">
        <w:rPr>
          <w:rFonts w:asciiTheme="majorHAnsi" w:hAnsiTheme="majorHAnsi" w:cstheme="majorHAnsi"/>
          <w:b/>
          <w:sz w:val="20"/>
        </w:rPr>
        <w:t>Note that a</w:t>
      </w:r>
      <w:r w:rsidR="004B3B8F" w:rsidRPr="00C35FAD">
        <w:rPr>
          <w:rFonts w:asciiTheme="majorHAnsi" w:hAnsiTheme="majorHAnsi" w:cstheme="majorHAnsi"/>
          <w:b/>
          <w:sz w:val="20"/>
        </w:rPr>
        <w:t xml:space="preserve">ctions </w:t>
      </w:r>
      <w:r w:rsidRPr="00C35FAD">
        <w:rPr>
          <w:rFonts w:asciiTheme="majorHAnsi" w:hAnsiTheme="majorHAnsi" w:cstheme="majorHAnsi"/>
          <w:b/>
          <w:sz w:val="20"/>
        </w:rPr>
        <w:t>to</w:t>
      </w:r>
      <w:r w:rsidR="004B3B8F" w:rsidRPr="00C35FAD">
        <w:rPr>
          <w:rFonts w:asciiTheme="majorHAnsi" w:hAnsiTheme="majorHAnsi" w:cstheme="majorHAnsi"/>
          <w:b/>
          <w:sz w:val="20"/>
        </w:rPr>
        <w:t xml:space="preserve"> be taken more or less immediately are indicated by arrow-shaped bullets</w:t>
      </w:r>
      <w:r w:rsidRPr="00C35FAD">
        <w:rPr>
          <w:rFonts w:asciiTheme="majorHAnsi" w:hAnsiTheme="majorHAnsi" w:cstheme="majorHAnsi"/>
          <w:b/>
          <w:sz w:val="20"/>
        </w:rPr>
        <w:t xml:space="preserve"> (</w:t>
      </w:r>
      <w:r>
        <w:rPr>
          <w:rFonts w:asciiTheme="majorHAnsi" w:hAnsiTheme="majorHAnsi" w:cstheme="majorHAnsi"/>
          <w:b/>
          <w:sz w:val="20"/>
        </w:rPr>
        <w:t xml:space="preserve"> </w:t>
      </w:r>
      <w:r w:rsidRPr="00C35FAD">
        <w:rPr>
          <w:rFonts w:asciiTheme="majorHAnsi" w:hAnsiTheme="majorHAnsi" w:cstheme="majorHAnsi"/>
          <w:b/>
          <w:sz w:val="20"/>
        </w:rPr>
        <w:sym w:font="Wingdings 3" w:char="F086"/>
      </w:r>
      <w:r>
        <w:rPr>
          <w:rFonts w:asciiTheme="majorHAnsi" w:hAnsiTheme="majorHAnsi" w:cstheme="majorHAnsi"/>
          <w:b/>
          <w:sz w:val="20"/>
        </w:rPr>
        <w:t xml:space="preserve"> </w:t>
      </w:r>
      <w:r w:rsidRPr="00C35FAD">
        <w:rPr>
          <w:rFonts w:asciiTheme="majorHAnsi" w:hAnsiTheme="majorHAnsi" w:cstheme="majorHAnsi"/>
          <w:b/>
          <w:sz w:val="20"/>
        </w:rPr>
        <w:t>)</w:t>
      </w:r>
      <w:r w:rsidR="004B3B8F" w:rsidRPr="00C35FAD">
        <w:rPr>
          <w:rFonts w:asciiTheme="majorHAnsi" w:hAnsiTheme="majorHAnsi" w:cstheme="majorHAnsi"/>
          <w:b/>
          <w:sz w:val="20"/>
        </w:rPr>
        <w:t>.</w:t>
      </w:r>
    </w:p>
    <w:p w14:paraId="36958D15" w14:textId="77777777" w:rsidR="00A912BC" w:rsidRDefault="00A912BC">
      <w:pPr>
        <w:jc w:val="both"/>
        <w:rPr>
          <w:rFonts w:asciiTheme="majorHAnsi" w:hAnsiTheme="majorHAnsi"/>
          <w:sz w:val="20"/>
          <w:u w:val="single"/>
        </w:rPr>
      </w:pPr>
    </w:p>
    <w:p w14:paraId="22521C99" w14:textId="77777777" w:rsidR="00A912BC" w:rsidRDefault="004B3B8F">
      <w:pPr>
        <w:jc w:val="both"/>
        <w:rPr>
          <w:rFonts w:asciiTheme="majorHAnsi" w:hAnsiTheme="majorHAnsi"/>
          <w:sz w:val="20"/>
        </w:rPr>
      </w:pPr>
      <w:r w:rsidRPr="004B3B8F">
        <w:rPr>
          <w:rFonts w:asciiTheme="majorHAnsi" w:hAnsiTheme="majorHAnsi"/>
          <w:sz w:val="20"/>
          <w:u w:val="single"/>
        </w:rPr>
        <w:lastRenderedPageBreak/>
        <w:t>Stewardship</w:t>
      </w:r>
      <w:r w:rsidRPr="004B3B8F">
        <w:rPr>
          <w:rFonts w:asciiTheme="majorHAnsi" w:hAnsiTheme="majorHAnsi"/>
          <w:sz w:val="20"/>
        </w:rPr>
        <w:t>: In response to the improving trend in MOH ownership/leadership, its current focus on refining strategic priorities, DFAT’s potential comparative advantage in policy/strategic engagement and the program’s recent history of providing effective TA (see Findings, Section 1 and 5 and the general recommendations above), DFAT/PHD should:</w:t>
      </w:r>
    </w:p>
    <w:p w14:paraId="431FD560" w14:textId="77777777" w:rsidR="00A912BC" w:rsidRDefault="00A912BC">
      <w:pPr>
        <w:jc w:val="both"/>
        <w:rPr>
          <w:rFonts w:asciiTheme="majorHAnsi" w:hAnsiTheme="majorHAnsi"/>
          <w:sz w:val="20"/>
          <w:highlight w:val="yellow"/>
        </w:rPr>
      </w:pPr>
    </w:p>
    <w:p w14:paraId="37499BC4" w14:textId="77777777" w:rsidR="00A912BC" w:rsidRDefault="004B3B8F">
      <w:pPr>
        <w:pStyle w:val="ListParagraph"/>
        <w:numPr>
          <w:ilvl w:val="0"/>
          <w:numId w:val="25"/>
        </w:numPr>
        <w:jc w:val="both"/>
        <w:rPr>
          <w:rFonts w:asciiTheme="majorHAnsi" w:hAnsiTheme="majorHAnsi"/>
          <w:sz w:val="20"/>
        </w:rPr>
      </w:pPr>
      <w:r w:rsidRPr="004B3B8F">
        <w:rPr>
          <w:rFonts w:asciiTheme="majorHAnsi" w:hAnsiTheme="majorHAnsi"/>
          <w:sz w:val="20"/>
        </w:rPr>
        <w:t>provide short-term TA to support the MOH ‘configuration’ review and thereafter support the health sector to use findings to improve efficiency and equity;</w:t>
      </w:r>
    </w:p>
    <w:p w14:paraId="1DE98A84" w14:textId="697DF458" w:rsidR="00A912BC" w:rsidRDefault="004B3B8F">
      <w:pPr>
        <w:pStyle w:val="ListParagraph"/>
        <w:numPr>
          <w:ilvl w:val="0"/>
          <w:numId w:val="25"/>
        </w:numPr>
        <w:jc w:val="both"/>
        <w:rPr>
          <w:rFonts w:asciiTheme="majorHAnsi" w:hAnsiTheme="majorHAnsi"/>
          <w:sz w:val="20"/>
        </w:rPr>
      </w:pPr>
      <w:r w:rsidRPr="004B3B8F">
        <w:rPr>
          <w:rFonts w:asciiTheme="majorHAnsi" w:hAnsiTheme="majorHAnsi"/>
          <w:sz w:val="20"/>
        </w:rPr>
        <w:t xml:space="preserve">in the coming three to six months, explore the feasibility of MOH taking greater responsibility for selecting and managing TAs while having increased flexibility to identify its TA needs; this dialogue should emphasise that although PHD would manage the funds and administer contracts, such an arrangement will require a high level of commitment and a certain amount of additional work by MOH (i.e. in joint working with PHD to develop ground rules for use of the funds, drafting TOR for TA assignments, participating in selection of candidates, and monitoring performance); </w:t>
      </w:r>
    </w:p>
    <w:p w14:paraId="2373BB67" w14:textId="77777777" w:rsidR="00A912BC" w:rsidRDefault="004B3B8F">
      <w:pPr>
        <w:pStyle w:val="ListParagraph"/>
        <w:numPr>
          <w:ilvl w:val="0"/>
          <w:numId w:val="25"/>
        </w:numPr>
        <w:jc w:val="both"/>
        <w:rPr>
          <w:rFonts w:asciiTheme="majorHAnsi" w:hAnsiTheme="majorHAnsi"/>
          <w:sz w:val="20"/>
        </w:rPr>
      </w:pPr>
      <w:r w:rsidRPr="004B3B8F">
        <w:rPr>
          <w:rFonts w:asciiTheme="majorHAnsi" w:hAnsiTheme="majorHAnsi"/>
          <w:sz w:val="20"/>
        </w:rPr>
        <w:t>in the coming two to three months, engage with MOH and other partners on EmONC IPA to gauge: (i) evidence of MOH ownership and leadership; and (ii) what support is likely to come from GOTL and other donors; and</w:t>
      </w:r>
    </w:p>
    <w:p w14:paraId="29E922E7" w14:textId="77777777" w:rsidR="00A912BC" w:rsidRDefault="004B3B8F">
      <w:pPr>
        <w:pStyle w:val="ListParagraph"/>
        <w:numPr>
          <w:ilvl w:val="0"/>
          <w:numId w:val="25"/>
        </w:numPr>
        <w:jc w:val="both"/>
        <w:rPr>
          <w:rFonts w:asciiTheme="majorHAnsi" w:hAnsiTheme="majorHAnsi"/>
          <w:sz w:val="20"/>
        </w:rPr>
      </w:pPr>
      <w:r w:rsidRPr="004B3B8F">
        <w:rPr>
          <w:rFonts w:asciiTheme="majorHAnsi" w:hAnsiTheme="majorHAnsi"/>
          <w:sz w:val="20"/>
        </w:rPr>
        <w:t>subject to evidence of MOH ownership and leadership and willingness of other partners to contribute, engage during the coming six months in dialogue to prioritise and sequence EmONC IPA activities and refine costings, equipment needs, standard treatment guidelines (STG), etc (with a view to making a case for a DFAT/PHD contribution to a comprehensive MOH-led EmONC initiative).</w:t>
      </w:r>
    </w:p>
    <w:p w14:paraId="6FECD281" w14:textId="77777777" w:rsidR="00A912BC" w:rsidRDefault="00A912BC">
      <w:pPr>
        <w:jc w:val="both"/>
        <w:rPr>
          <w:rFonts w:asciiTheme="majorHAnsi" w:hAnsiTheme="majorHAnsi"/>
          <w:sz w:val="20"/>
        </w:rPr>
      </w:pPr>
    </w:p>
    <w:p w14:paraId="6B548FDA" w14:textId="77777777" w:rsidR="00A912BC" w:rsidRDefault="004B3B8F">
      <w:pPr>
        <w:jc w:val="both"/>
        <w:rPr>
          <w:rFonts w:asciiTheme="majorHAnsi" w:hAnsiTheme="majorHAnsi"/>
          <w:sz w:val="20"/>
        </w:rPr>
      </w:pPr>
      <w:r w:rsidRPr="004B3B8F">
        <w:rPr>
          <w:rFonts w:asciiTheme="majorHAnsi" w:hAnsiTheme="majorHAnsi"/>
          <w:sz w:val="20"/>
          <w:u w:val="single"/>
        </w:rPr>
        <w:t>Management</w:t>
      </w:r>
      <w:r w:rsidRPr="004B3B8F">
        <w:rPr>
          <w:rFonts w:asciiTheme="majorHAnsi" w:hAnsiTheme="majorHAnsi"/>
          <w:sz w:val="20"/>
        </w:rPr>
        <w:t>: In response to identified weaknesses in management at several levels that undermine quality of RMNCH care (see Findings, Section 1), DFAT/PHD should:</w:t>
      </w:r>
    </w:p>
    <w:p w14:paraId="261F9B1A" w14:textId="77777777" w:rsidR="00A912BC" w:rsidRDefault="00A912BC">
      <w:pPr>
        <w:jc w:val="both"/>
        <w:rPr>
          <w:rFonts w:asciiTheme="majorHAnsi" w:hAnsiTheme="majorHAnsi"/>
          <w:sz w:val="20"/>
        </w:rPr>
      </w:pPr>
    </w:p>
    <w:p w14:paraId="258E067E" w14:textId="77777777" w:rsidR="00A912BC" w:rsidRDefault="004B3B8F">
      <w:pPr>
        <w:pStyle w:val="ListParagraph"/>
        <w:numPr>
          <w:ilvl w:val="0"/>
          <w:numId w:val="10"/>
        </w:numPr>
        <w:jc w:val="both"/>
        <w:rPr>
          <w:rFonts w:asciiTheme="majorHAnsi" w:hAnsiTheme="majorHAnsi"/>
          <w:sz w:val="20"/>
        </w:rPr>
      </w:pPr>
      <w:r w:rsidRPr="004B3B8F">
        <w:rPr>
          <w:rFonts w:asciiTheme="majorHAnsi" w:hAnsiTheme="majorHAnsi"/>
          <w:sz w:val="20"/>
        </w:rPr>
        <w:t xml:space="preserve">subject to the provisions of the forthcoming MOH strategic plan for HR management, pursue dialogue with MOH and INS on development of a package of support for </w:t>
      </w:r>
      <w:r w:rsidR="00DD3D03">
        <w:rPr>
          <w:rFonts w:asciiTheme="majorHAnsi" w:hAnsiTheme="majorHAnsi"/>
          <w:sz w:val="20"/>
        </w:rPr>
        <w:t>middle-level manager</w:t>
      </w:r>
      <w:r w:rsidR="00EF5CA5">
        <w:rPr>
          <w:rFonts w:asciiTheme="majorHAnsi" w:hAnsiTheme="majorHAnsi"/>
          <w:sz w:val="20"/>
        </w:rPr>
        <w:t>s</w:t>
      </w:r>
      <w:r w:rsidRPr="004B3B8F">
        <w:rPr>
          <w:rFonts w:asciiTheme="majorHAnsi" w:hAnsiTheme="majorHAnsi"/>
          <w:sz w:val="20"/>
        </w:rPr>
        <w:t xml:space="preserve"> and senior MOH management (see also specific recommendations below).</w:t>
      </w:r>
    </w:p>
    <w:p w14:paraId="549BE5A4" w14:textId="77777777" w:rsidR="00A912BC" w:rsidRDefault="004B3B8F">
      <w:pPr>
        <w:pStyle w:val="ListParagraph"/>
        <w:ind w:left="680"/>
        <w:jc w:val="both"/>
        <w:rPr>
          <w:rFonts w:asciiTheme="majorHAnsi" w:hAnsiTheme="majorHAnsi"/>
          <w:color w:val="FF0000"/>
          <w:sz w:val="20"/>
        </w:rPr>
      </w:pPr>
      <w:r w:rsidRPr="004B3B8F">
        <w:rPr>
          <w:rFonts w:asciiTheme="majorHAnsi" w:hAnsiTheme="majorHAnsi"/>
          <w:color w:val="FF0000"/>
          <w:sz w:val="20"/>
        </w:rPr>
        <w:t xml:space="preserve"> </w:t>
      </w:r>
    </w:p>
    <w:p w14:paraId="7BC5A48F" w14:textId="77777777" w:rsidR="00A912BC" w:rsidRDefault="004B3B8F">
      <w:pPr>
        <w:jc w:val="both"/>
        <w:rPr>
          <w:rFonts w:asciiTheme="majorHAnsi" w:hAnsiTheme="majorHAnsi"/>
          <w:sz w:val="20"/>
          <w:u w:val="single"/>
        </w:rPr>
      </w:pPr>
      <w:r w:rsidRPr="004B3B8F">
        <w:rPr>
          <w:rFonts w:asciiTheme="majorHAnsi" w:hAnsiTheme="majorHAnsi"/>
          <w:sz w:val="20"/>
          <w:u w:val="single"/>
        </w:rPr>
        <w:t>Health workforce</w:t>
      </w:r>
      <w:r w:rsidRPr="004B3B8F">
        <w:rPr>
          <w:rFonts w:asciiTheme="majorHAnsi" w:hAnsiTheme="majorHAnsi"/>
          <w:sz w:val="20"/>
        </w:rPr>
        <w:t xml:space="preserve">: </w:t>
      </w:r>
    </w:p>
    <w:p w14:paraId="6846F5F0" w14:textId="77777777" w:rsidR="00A912BC" w:rsidRDefault="004B3B8F">
      <w:pPr>
        <w:pStyle w:val="ListParagraph"/>
        <w:numPr>
          <w:ilvl w:val="0"/>
          <w:numId w:val="6"/>
        </w:numPr>
        <w:jc w:val="both"/>
        <w:rPr>
          <w:rFonts w:asciiTheme="majorHAnsi" w:hAnsiTheme="majorHAnsi"/>
          <w:sz w:val="20"/>
        </w:rPr>
      </w:pPr>
      <w:r w:rsidRPr="004B3B8F">
        <w:rPr>
          <w:rFonts w:asciiTheme="majorHAnsi" w:hAnsiTheme="majorHAnsi"/>
          <w:sz w:val="20"/>
        </w:rPr>
        <w:t xml:space="preserve">in response to institutional challenges to improving </w:t>
      </w:r>
      <w:r w:rsidR="003C3C30">
        <w:rPr>
          <w:rFonts w:asciiTheme="majorHAnsi" w:hAnsiTheme="majorHAnsi"/>
          <w:sz w:val="20"/>
        </w:rPr>
        <w:t>PST</w:t>
      </w:r>
      <w:r w:rsidRPr="004B3B8F">
        <w:rPr>
          <w:rFonts w:asciiTheme="majorHAnsi" w:hAnsiTheme="majorHAnsi"/>
          <w:sz w:val="20"/>
        </w:rPr>
        <w:t xml:space="preserve"> (see Findings, Section 1) and in view of Australia’s expertise in this area, DFAT should pursue policy dialogue, drawing on experience in other countries, to promote/support institutional reform to improve PST and postgraduate medical education, including establishing HNGV as an effective teaching hospital </w:t>
      </w:r>
      <w:r w:rsidRPr="004B3B8F">
        <w:rPr>
          <w:rFonts w:asciiTheme="majorHAnsi" w:hAnsiTheme="majorHAnsi" w:cstheme="majorHAnsi"/>
          <w:sz w:val="20"/>
        </w:rPr>
        <w:t xml:space="preserve">with a strong cadre of Timorese clinical trainers and </w:t>
      </w:r>
      <w:r w:rsidRPr="004B3B8F">
        <w:rPr>
          <w:rFonts w:asciiTheme="majorHAnsi" w:hAnsiTheme="majorHAnsi" w:cstheme="majorHAnsi"/>
          <w:sz w:val="20"/>
          <w:lang w:eastAsia="en-AU"/>
        </w:rPr>
        <w:t>incentives for clinicians who teach; and</w:t>
      </w:r>
    </w:p>
    <w:p w14:paraId="0555D8ED" w14:textId="2F02643C" w:rsidR="00A912BC" w:rsidRDefault="004B3B8F">
      <w:pPr>
        <w:pStyle w:val="ListParagraph"/>
        <w:numPr>
          <w:ilvl w:val="0"/>
          <w:numId w:val="23"/>
        </w:numPr>
        <w:jc w:val="both"/>
        <w:rPr>
          <w:rFonts w:asciiTheme="majorHAnsi" w:hAnsiTheme="majorHAnsi"/>
          <w:sz w:val="20"/>
        </w:rPr>
      </w:pPr>
      <w:r w:rsidRPr="004B3B8F">
        <w:rPr>
          <w:rFonts w:asciiTheme="majorHAnsi" w:hAnsiTheme="majorHAnsi"/>
          <w:sz w:val="20"/>
        </w:rPr>
        <w:t>in anticipation of the satisfactory completion of the HAI Learning Labs project (see Findings, Section 4), which will free resources for more ambitious approaches to care at delivery with potentially greater impact (i.e. support for EmONC), DFAT should explore during 2018 the possibility of MOH committing, from 2019, to SCD/ENBC refresher training</w:t>
      </w:r>
      <w:r w:rsidR="008B23BA">
        <w:rPr>
          <w:rFonts w:asciiTheme="majorHAnsi" w:hAnsiTheme="majorHAnsi"/>
          <w:sz w:val="20"/>
        </w:rPr>
        <w:t xml:space="preserve"> for midwives (to support the skills emphasized in HAI LL) when the project</w:t>
      </w:r>
      <w:r w:rsidRPr="004B3B8F">
        <w:rPr>
          <w:rFonts w:asciiTheme="majorHAnsi" w:hAnsiTheme="majorHAnsi"/>
          <w:sz w:val="20"/>
        </w:rPr>
        <w:t xml:space="preserve"> cease</w:t>
      </w:r>
      <w:r w:rsidR="008B23BA">
        <w:rPr>
          <w:rFonts w:asciiTheme="majorHAnsi" w:hAnsiTheme="majorHAnsi"/>
          <w:sz w:val="20"/>
        </w:rPr>
        <w:t>s</w:t>
      </w:r>
      <w:r w:rsidRPr="004B3B8F">
        <w:rPr>
          <w:rFonts w:asciiTheme="majorHAnsi" w:hAnsiTheme="majorHAnsi"/>
          <w:sz w:val="20"/>
        </w:rPr>
        <w:t>.</w:t>
      </w:r>
    </w:p>
    <w:p w14:paraId="496F9C51" w14:textId="77777777" w:rsidR="00A912BC" w:rsidRDefault="00A912BC">
      <w:pPr>
        <w:jc w:val="both"/>
        <w:rPr>
          <w:rFonts w:asciiTheme="majorHAnsi" w:hAnsiTheme="majorHAnsi"/>
          <w:sz w:val="20"/>
        </w:rPr>
      </w:pPr>
    </w:p>
    <w:p w14:paraId="59CCAD4F" w14:textId="77777777" w:rsidR="00A912BC" w:rsidRDefault="004B3B8F">
      <w:pPr>
        <w:jc w:val="both"/>
        <w:rPr>
          <w:rFonts w:asciiTheme="majorHAnsi" w:hAnsiTheme="majorHAnsi"/>
          <w:sz w:val="20"/>
        </w:rPr>
      </w:pPr>
      <w:r w:rsidRPr="004B3B8F">
        <w:rPr>
          <w:rFonts w:asciiTheme="majorHAnsi" w:hAnsiTheme="majorHAnsi"/>
          <w:sz w:val="20"/>
          <w:u w:val="single"/>
        </w:rPr>
        <w:t>Infrastructure</w:t>
      </w:r>
      <w:r w:rsidRPr="004B3B8F">
        <w:rPr>
          <w:rFonts w:asciiTheme="majorHAnsi" w:hAnsiTheme="majorHAnsi"/>
          <w:sz w:val="20"/>
        </w:rPr>
        <w:t>: in view of the weaknesses identified, and as part of increased emphasis on readiness, which is vital to improving and sustaining quality of RMNCH care (see Findings, Section 1, 2, 4, 6 and 8 and general recommendations above), DFAT/PHD should:</w:t>
      </w:r>
    </w:p>
    <w:p w14:paraId="1C21A065" w14:textId="77777777" w:rsidR="00A912BC" w:rsidRDefault="004B3B8F">
      <w:pPr>
        <w:pStyle w:val="ListParagraph"/>
        <w:numPr>
          <w:ilvl w:val="0"/>
          <w:numId w:val="4"/>
        </w:numPr>
        <w:jc w:val="both"/>
        <w:rPr>
          <w:rFonts w:asciiTheme="majorHAnsi" w:hAnsiTheme="majorHAnsi"/>
          <w:sz w:val="20"/>
        </w:rPr>
      </w:pPr>
      <w:r w:rsidRPr="004B3B8F">
        <w:rPr>
          <w:rFonts w:asciiTheme="majorHAnsi" w:hAnsiTheme="majorHAnsi"/>
          <w:sz w:val="20"/>
        </w:rPr>
        <w:t>establish/strengthen liaison with MOH, SAMES and other partners to maintain an overview of trends in the functionality of the procurement/supplies system</w:t>
      </w:r>
    </w:p>
    <w:p w14:paraId="5112FD5C" w14:textId="77777777" w:rsidR="00A912BC" w:rsidRDefault="004B3B8F">
      <w:pPr>
        <w:pStyle w:val="ListParagraph"/>
        <w:numPr>
          <w:ilvl w:val="0"/>
          <w:numId w:val="4"/>
        </w:numPr>
        <w:jc w:val="both"/>
        <w:rPr>
          <w:rFonts w:asciiTheme="majorHAnsi" w:hAnsiTheme="majorHAnsi"/>
          <w:sz w:val="20"/>
        </w:rPr>
      </w:pPr>
      <w:r w:rsidRPr="004B3B8F">
        <w:rPr>
          <w:rFonts w:asciiTheme="majorHAnsi" w:hAnsiTheme="majorHAnsi"/>
          <w:sz w:val="20"/>
        </w:rPr>
        <w:t>consider needs for key items of equipment for BEmONC (as part of comprehensive MOH-led EmONC initiative) and the case for DFAT/PHD to provide support to fill any gaps;</w:t>
      </w:r>
    </w:p>
    <w:p w14:paraId="608E94E0" w14:textId="77777777" w:rsidR="00A912BC" w:rsidRDefault="00A912BC">
      <w:pPr>
        <w:pStyle w:val="ListParagraph"/>
        <w:ind w:left="682"/>
        <w:jc w:val="both"/>
        <w:rPr>
          <w:rFonts w:asciiTheme="majorHAnsi" w:hAnsiTheme="majorHAnsi"/>
          <w:sz w:val="20"/>
        </w:rPr>
      </w:pPr>
    </w:p>
    <w:p w14:paraId="58F24923" w14:textId="77777777" w:rsidR="00A912BC" w:rsidRDefault="004B3B8F">
      <w:pPr>
        <w:ind w:left="341"/>
        <w:jc w:val="both"/>
        <w:rPr>
          <w:rFonts w:asciiTheme="majorHAnsi" w:hAnsiTheme="majorHAnsi"/>
          <w:sz w:val="20"/>
        </w:rPr>
      </w:pPr>
      <w:r w:rsidRPr="004B3B8F">
        <w:rPr>
          <w:rFonts w:asciiTheme="majorHAnsi" w:hAnsiTheme="majorHAnsi"/>
          <w:sz w:val="20"/>
        </w:rPr>
        <w:t>And to improve prospects for sustaining the achievements of the Health Transport Program as responsibility transitions to GOTL (see Findings, Section 4 and 8), during 2018 DFAT/PHD should:</w:t>
      </w:r>
    </w:p>
    <w:p w14:paraId="61ECB5E7" w14:textId="77777777" w:rsidR="00A912BC" w:rsidRDefault="004B3B8F">
      <w:pPr>
        <w:pStyle w:val="ListParagraph"/>
        <w:numPr>
          <w:ilvl w:val="0"/>
          <w:numId w:val="24"/>
        </w:numPr>
        <w:jc w:val="both"/>
        <w:rPr>
          <w:rFonts w:asciiTheme="majorHAnsi" w:hAnsiTheme="majorHAnsi"/>
          <w:sz w:val="20"/>
        </w:rPr>
      </w:pPr>
      <w:r w:rsidRPr="004B3B8F">
        <w:rPr>
          <w:rFonts w:asciiTheme="majorHAnsi" w:hAnsiTheme="majorHAnsi"/>
          <w:sz w:val="20"/>
        </w:rPr>
        <w:t xml:space="preserve">provide short-term TA to support analysis and costing of options for GOTL autonomous ambulance service and vehicle inspection and maintenance; </w:t>
      </w:r>
    </w:p>
    <w:p w14:paraId="510B583A" w14:textId="77777777" w:rsidR="00A912BC" w:rsidRDefault="004B3B8F">
      <w:pPr>
        <w:pStyle w:val="ListParagraph"/>
        <w:numPr>
          <w:ilvl w:val="0"/>
          <w:numId w:val="24"/>
        </w:numPr>
        <w:jc w:val="both"/>
        <w:rPr>
          <w:rFonts w:asciiTheme="majorHAnsi" w:hAnsiTheme="majorHAnsi"/>
          <w:sz w:val="20"/>
        </w:rPr>
      </w:pPr>
      <w:r w:rsidRPr="004B3B8F">
        <w:rPr>
          <w:rFonts w:asciiTheme="majorHAnsi" w:hAnsiTheme="majorHAnsi"/>
          <w:sz w:val="20"/>
        </w:rPr>
        <w:t xml:space="preserve">support MOH to use the findings to make the case within GOTL for a new autonomous ambulance service and more money for new vehicles; and </w:t>
      </w:r>
    </w:p>
    <w:p w14:paraId="3B4485D5" w14:textId="77777777" w:rsidR="00A912BC" w:rsidRDefault="004B3B8F">
      <w:pPr>
        <w:pStyle w:val="ListParagraph"/>
        <w:numPr>
          <w:ilvl w:val="0"/>
          <w:numId w:val="17"/>
        </w:numPr>
        <w:jc w:val="both"/>
        <w:rPr>
          <w:rFonts w:asciiTheme="majorHAnsi" w:hAnsiTheme="majorHAnsi"/>
          <w:sz w:val="20"/>
        </w:rPr>
      </w:pPr>
      <w:r w:rsidRPr="004B3B8F">
        <w:rPr>
          <w:rFonts w:asciiTheme="majorHAnsi" w:hAnsiTheme="majorHAnsi"/>
          <w:sz w:val="20"/>
        </w:rPr>
        <w:lastRenderedPageBreak/>
        <w:t>reach agreement with GOTL on approach and timeline for handover of responsibilities.</w:t>
      </w:r>
    </w:p>
    <w:p w14:paraId="4ECF1146" w14:textId="77777777" w:rsidR="00A912BC" w:rsidRDefault="00A912BC">
      <w:pPr>
        <w:jc w:val="both"/>
        <w:rPr>
          <w:rFonts w:asciiTheme="majorHAnsi" w:hAnsiTheme="majorHAnsi" w:cstheme="majorHAnsi"/>
          <w:sz w:val="20"/>
          <w:lang w:eastAsia="en-AU"/>
        </w:rPr>
      </w:pPr>
    </w:p>
    <w:p w14:paraId="78D67C8C" w14:textId="77777777" w:rsidR="00A912BC" w:rsidRDefault="004B3B8F">
      <w:pPr>
        <w:jc w:val="both"/>
        <w:rPr>
          <w:rFonts w:asciiTheme="majorHAnsi" w:hAnsiTheme="majorHAnsi"/>
          <w:sz w:val="20"/>
          <w:u w:val="single"/>
        </w:rPr>
      </w:pPr>
      <w:r w:rsidRPr="004B3B8F">
        <w:rPr>
          <w:rFonts w:asciiTheme="majorHAnsi" w:hAnsiTheme="majorHAnsi"/>
          <w:sz w:val="20"/>
          <w:u w:val="single"/>
        </w:rPr>
        <w:t>Service delivery</w:t>
      </w:r>
      <w:r w:rsidRPr="004B3B8F">
        <w:rPr>
          <w:rFonts w:asciiTheme="majorHAnsi" w:hAnsiTheme="majorHAnsi"/>
          <w:sz w:val="20"/>
        </w:rPr>
        <w:t>: in order to maximize and sustain impact on utilization of RMNCH services as the program helps to improve their range, quality and reach (see Findings, Sections 4, 6 and 8), DFAT/PHD should:</w:t>
      </w:r>
    </w:p>
    <w:p w14:paraId="57750A0F" w14:textId="77777777" w:rsidR="00A912BC" w:rsidRDefault="004B3B8F">
      <w:pPr>
        <w:pStyle w:val="ListParagraph"/>
        <w:numPr>
          <w:ilvl w:val="0"/>
          <w:numId w:val="4"/>
        </w:numPr>
        <w:jc w:val="both"/>
        <w:rPr>
          <w:rFonts w:asciiTheme="majorHAnsi" w:hAnsiTheme="majorHAnsi" w:cstheme="majorHAnsi"/>
          <w:sz w:val="20"/>
          <w:lang w:eastAsia="en-AU"/>
        </w:rPr>
      </w:pPr>
      <w:r w:rsidRPr="004B3B8F">
        <w:rPr>
          <w:rFonts w:asciiTheme="majorHAnsi" w:hAnsiTheme="majorHAnsi"/>
          <w:sz w:val="20"/>
        </w:rPr>
        <w:t xml:space="preserve">ensure that Liga Inan is as effective as possible before its transition into MOH is completed (see next section for details); and </w:t>
      </w:r>
    </w:p>
    <w:p w14:paraId="400FBD63" w14:textId="77777777" w:rsidR="00A912BC" w:rsidRDefault="004B3B8F">
      <w:pPr>
        <w:pStyle w:val="ListParagraph"/>
        <w:numPr>
          <w:ilvl w:val="0"/>
          <w:numId w:val="4"/>
        </w:numPr>
        <w:jc w:val="both"/>
        <w:rPr>
          <w:rFonts w:asciiTheme="majorHAnsi" w:hAnsiTheme="majorHAnsi" w:cstheme="majorHAnsi"/>
          <w:sz w:val="20"/>
          <w:lang w:eastAsia="en-AU"/>
        </w:rPr>
      </w:pPr>
      <w:r w:rsidRPr="004B3B8F">
        <w:rPr>
          <w:rFonts w:asciiTheme="majorHAnsi" w:hAnsiTheme="majorHAnsi"/>
          <w:sz w:val="20"/>
        </w:rPr>
        <w:t xml:space="preserve">intensify integrated working with PHD Education and Gender programs to ensure inclusion of </w:t>
      </w:r>
      <w:r w:rsidRPr="004B3B8F">
        <w:rPr>
          <w:rFonts w:asciiTheme="majorHAnsi" w:hAnsiTheme="majorHAnsi" w:cs="Times New Roman"/>
          <w:color w:val="26282A"/>
          <w:sz w:val="20"/>
        </w:rPr>
        <w:t xml:space="preserve">adolescent girls and boys in efforts to alter gender norms, </w:t>
      </w:r>
      <w:r w:rsidRPr="004B3B8F">
        <w:rPr>
          <w:rFonts w:asciiTheme="majorHAnsi" w:hAnsiTheme="majorHAnsi" w:cstheme="majorHAnsi"/>
          <w:sz w:val="20"/>
        </w:rPr>
        <w:t>foster behaviour change and promote use of services.</w:t>
      </w:r>
    </w:p>
    <w:p w14:paraId="36E153EF" w14:textId="77777777" w:rsidR="00A912BC" w:rsidRDefault="00A912BC">
      <w:pPr>
        <w:jc w:val="both"/>
        <w:rPr>
          <w:rFonts w:asciiTheme="majorHAnsi" w:hAnsiTheme="majorHAnsi"/>
        </w:rPr>
      </w:pPr>
    </w:p>
    <w:p w14:paraId="7D5DD0E9" w14:textId="77777777" w:rsidR="00A912BC" w:rsidRDefault="0083363D">
      <w:pPr>
        <w:pStyle w:val="Heading2"/>
        <w:jc w:val="both"/>
      </w:pPr>
      <w:bookmarkStart w:id="27" w:name="_Toc378838743"/>
      <w:r w:rsidRPr="00267B79">
        <w:t>3. R</w:t>
      </w:r>
      <w:r w:rsidR="001E79DF" w:rsidRPr="00267B79">
        <w:t>ecommendations</w:t>
      </w:r>
      <w:r w:rsidR="00370A33" w:rsidRPr="00267B79">
        <w:t xml:space="preserve"> </w:t>
      </w:r>
      <w:r w:rsidR="002830C9" w:rsidRPr="00267B79">
        <w:t>for the evolution of individual program components</w:t>
      </w:r>
      <w:r w:rsidR="00370A33" w:rsidRPr="00267B79">
        <w:t>:</w:t>
      </w:r>
      <w:bookmarkEnd w:id="27"/>
    </w:p>
    <w:p w14:paraId="132479BA" w14:textId="77777777" w:rsidR="00675DD8" w:rsidRPr="00267B79" w:rsidRDefault="00675DD8">
      <w:pPr>
        <w:jc w:val="both"/>
        <w:rPr>
          <w:rFonts w:asciiTheme="majorHAnsi" w:hAnsiTheme="majorHAnsi"/>
          <w:sz w:val="20"/>
        </w:rPr>
      </w:pPr>
    </w:p>
    <w:p w14:paraId="795E8A71" w14:textId="77777777" w:rsidR="00A912BC" w:rsidRDefault="004B3B8F">
      <w:pPr>
        <w:jc w:val="both"/>
        <w:rPr>
          <w:rFonts w:asciiTheme="majorHAnsi" w:hAnsiTheme="majorHAnsi"/>
          <w:sz w:val="20"/>
        </w:rPr>
      </w:pPr>
      <w:r w:rsidRPr="004B3B8F">
        <w:rPr>
          <w:rFonts w:asciiTheme="majorHAnsi" w:hAnsiTheme="majorHAnsi"/>
          <w:sz w:val="20"/>
        </w:rPr>
        <w:t xml:space="preserve">Over the coming year, as the outcomes of preparatory activities described in the previous section unfold, DFAT/PHD should take specific steps to redesign the program, in close consultation with MOH and relevant autonomous agencies in the health sector. This will involve (a) ensuring successful transition of some activities into GOTL; (b) modifying some ongoing investments; and (c) creating some new ones; the end result will be </w:t>
      </w:r>
      <w:r w:rsidRPr="004B3B8F">
        <w:rPr>
          <w:rFonts w:asciiTheme="majorHAnsi" w:hAnsiTheme="majorHAnsi" w:cstheme="majorHAnsi"/>
          <w:sz w:val="20"/>
        </w:rPr>
        <w:t xml:space="preserve">a re-designed program with </w:t>
      </w:r>
      <w:r w:rsidRPr="004B3B8F">
        <w:rPr>
          <w:rFonts w:asciiTheme="majorHAnsi" w:hAnsiTheme="majorHAnsi"/>
          <w:sz w:val="20"/>
        </w:rPr>
        <w:t>five components.</w:t>
      </w:r>
    </w:p>
    <w:p w14:paraId="3AF201E5" w14:textId="77777777" w:rsidR="00A912BC" w:rsidRDefault="00A912BC">
      <w:pPr>
        <w:jc w:val="both"/>
        <w:rPr>
          <w:rFonts w:asciiTheme="majorHAnsi" w:hAnsiTheme="majorHAnsi" w:cstheme="majorHAnsi"/>
          <w:sz w:val="20"/>
        </w:rPr>
      </w:pPr>
    </w:p>
    <w:p w14:paraId="713F76F2" w14:textId="77777777" w:rsidR="00A912BC" w:rsidRDefault="00CF2633">
      <w:pPr>
        <w:pStyle w:val="Heading3"/>
        <w:jc w:val="both"/>
        <w:rPr>
          <w:rFonts w:cstheme="majorHAnsi"/>
        </w:rPr>
      </w:pPr>
      <w:bookmarkStart w:id="28" w:name="_Toc378838744"/>
      <w:r w:rsidRPr="00267B79">
        <w:rPr>
          <w:rFonts w:cstheme="majorHAnsi"/>
        </w:rPr>
        <w:t xml:space="preserve">(a) </w:t>
      </w:r>
      <w:r w:rsidRPr="00267B79">
        <w:t xml:space="preserve">Support transition of </w:t>
      </w:r>
      <w:r w:rsidR="005230DB" w:rsidRPr="00267B79">
        <w:t xml:space="preserve">two </w:t>
      </w:r>
      <w:r w:rsidR="003A46BE" w:rsidRPr="00267B79">
        <w:t>initiatives into GOTL</w:t>
      </w:r>
      <w:bookmarkEnd w:id="28"/>
    </w:p>
    <w:p w14:paraId="2AC30A11" w14:textId="77777777" w:rsidR="00A912BC" w:rsidRDefault="00A912BC">
      <w:pPr>
        <w:jc w:val="both"/>
        <w:rPr>
          <w:rFonts w:asciiTheme="majorHAnsi" w:hAnsiTheme="majorHAnsi" w:cstheme="majorHAnsi"/>
          <w:sz w:val="20"/>
        </w:rPr>
      </w:pPr>
    </w:p>
    <w:p w14:paraId="1765F43D" w14:textId="77777777" w:rsidR="00A912BC" w:rsidRDefault="004B3B8F">
      <w:pPr>
        <w:ind w:left="720"/>
        <w:jc w:val="both"/>
        <w:rPr>
          <w:rFonts w:asciiTheme="majorHAnsi" w:hAnsiTheme="majorHAnsi"/>
          <w:sz w:val="20"/>
        </w:rPr>
      </w:pPr>
      <w:r w:rsidRPr="004B3B8F">
        <w:rPr>
          <w:rFonts w:asciiTheme="majorHAnsi" w:hAnsiTheme="majorHAnsi"/>
          <w:b/>
          <w:sz w:val="20"/>
        </w:rPr>
        <w:t>Liga Inan</w:t>
      </w:r>
      <w:r w:rsidRPr="004B3B8F">
        <w:rPr>
          <w:rFonts w:asciiTheme="majorHAnsi" w:hAnsiTheme="majorHAnsi"/>
          <w:sz w:val="20"/>
        </w:rPr>
        <w:t xml:space="preserve">: To ensure that Liga Inan is as </w:t>
      </w:r>
      <w:r w:rsidR="00AC572F">
        <w:rPr>
          <w:rFonts w:asciiTheme="majorHAnsi" w:hAnsiTheme="majorHAnsi"/>
          <w:sz w:val="20"/>
        </w:rPr>
        <w:t>robust</w:t>
      </w:r>
      <w:r w:rsidRPr="004B3B8F">
        <w:rPr>
          <w:rFonts w:asciiTheme="majorHAnsi" w:hAnsiTheme="majorHAnsi"/>
          <w:sz w:val="20"/>
        </w:rPr>
        <w:t xml:space="preserve"> as possible before its transition into MOH is completed (see Findings, section 4, 6 and 8), DFAT/PHD should focus on the following during 2018: </w:t>
      </w:r>
    </w:p>
    <w:p w14:paraId="3D577544" w14:textId="77777777" w:rsidR="00A912BC" w:rsidRDefault="004B3B8F">
      <w:pPr>
        <w:pStyle w:val="ListParagraph"/>
        <w:numPr>
          <w:ilvl w:val="0"/>
          <w:numId w:val="26"/>
        </w:numPr>
        <w:jc w:val="both"/>
        <w:rPr>
          <w:rFonts w:asciiTheme="majorHAnsi" w:hAnsiTheme="majorHAnsi"/>
          <w:sz w:val="20"/>
          <w:lang w:eastAsia="en-AU"/>
        </w:rPr>
      </w:pPr>
      <w:r w:rsidRPr="004B3B8F">
        <w:rPr>
          <w:rFonts w:asciiTheme="majorHAnsi" w:hAnsiTheme="majorHAnsi"/>
          <w:sz w:val="20"/>
          <w:lang w:eastAsia="en-AU"/>
        </w:rPr>
        <w:t xml:space="preserve">encourage Health Alliance International (HAI) and INS to submit 2015 evaluation studies for publication in peer-reviewed journals and to share them with the authors of relevant systematic reviews </w:t>
      </w:r>
      <w:r w:rsidRPr="004B3B8F">
        <w:rPr>
          <w:rFonts w:asciiTheme="majorHAnsi" w:hAnsiTheme="majorHAnsi"/>
          <w:sz w:val="20"/>
        </w:rPr>
        <w:t xml:space="preserve">(since </w:t>
      </w:r>
      <w:r w:rsidRPr="004B3B8F">
        <w:rPr>
          <w:rFonts w:asciiTheme="majorHAnsi" w:hAnsiTheme="majorHAnsi" w:cstheme="majorHAnsi"/>
          <w:sz w:val="20"/>
          <w:szCs w:val="20"/>
        </w:rPr>
        <w:t>if quality is high, the studies should be shared as peer-reviewed publications, and if it is low the findings should be interpreted more cautiously and expectations adjusted accordingly)</w:t>
      </w:r>
      <w:r w:rsidRPr="004B3B8F">
        <w:rPr>
          <w:rFonts w:asciiTheme="majorHAnsi" w:hAnsiTheme="majorHAnsi"/>
          <w:sz w:val="20"/>
          <w:lang w:eastAsia="en-AU"/>
        </w:rPr>
        <w:t xml:space="preserve">; </w:t>
      </w:r>
    </w:p>
    <w:p w14:paraId="5F3A98E1" w14:textId="77777777" w:rsidR="00A912BC" w:rsidRDefault="004B3B8F">
      <w:pPr>
        <w:pStyle w:val="ListParagraph"/>
        <w:numPr>
          <w:ilvl w:val="0"/>
          <w:numId w:val="26"/>
        </w:numPr>
        <w:jc w:val="both"/>
        <w:rPr>
          <w:rFonts w:asciiTheme="majorHAnsi" w:hAnsiTheme="majorHAnsi"/>
          <w:sz w:val="20"/>
          <w:lang w:eastAsia="en-AU"/>
        </w:rPr>
      </w:pPr>
      <w:r w:rsidRPr="004B3B8F">
        <w:rPr>
          <w:rFonts w:asciiTheme="majorHAnsi" w:hAnsiTheme="majorHAnsi"/>
          <w:sz w:val="20"/>
          <w:lang w:eastAsia="en-AU"/>
        </w:rPr>
        <w:t xml:space="preserve">commission analysis of DHS 2016 results (as per Ly, 2012) to understand trend in inequities related to maternal care; </w:t>
      </w:r>
    </w:p>
    <w:p w14:paraId="6607CE25" w14:textId="09CC1191" w:rsidR="00A912BC" w:rsidRDefault="004B3B8F">
      <w:pPr>
        <w:pStyle w:val="ListParagraph"/>
        <w:numPr>
          <w:ilvl w:val="0"/>
          <w:numId w:val="26"/>
        </w:numPr>
        <w:jc w:val="both"/>
        <w:rPr>
          <w:rFonts w:asciiTheme="majorHAnsi" w:hAnsiTheme="majorHAnsi"/>
          <w:sz w:val="20"/>
          <w:lang w:eastAsia="en-AU"/>
        </w:rPr>
      </w:pPr>
      <w:r w:rsidRPr="004B3B8F">
        <w:rPr>
          <w:rFonts w:asciiTheme="majorHAnsi" w:hAnsiTheme="majorHAnsi"/>
          <w:sz w:val="20"/>
          <w:lang w:eastAsia="en-AU"/>
        </w:rPr>
        <w:t xml:space="preserve">explore alternative ways to reach those who are not currently reached by Liga Inan (e.g. through MSGs, etc); </w:t>
      </w:r>
    </w:p>
    <w:p w14:paraId="547C5C8C" w14:textId="77777777" w:rsidR="00A912BC" w:rsidRPr="004B7AC2" w:rsidRDefault="002D021D">
      <w:pPr>
        <w:pStyle w:val="ListParagraph"/>
        <w:numPr>
          <w:ilvl w:val="0"/>
          <w:numId w:val="26"/>
        </w:numPr>
        <w:jc w:val="both"/>
        <w:rPr>
          <w:rFonts w:asciiTheme="majorHAnsi" w:hAnsiTheme="majorHAnsi"/>
          <w:sz w:val="20"/>
          <w:lang w:eastAsia="en-AU"/>
        </w:rPr>
      </w:pPr>
      <w:r w:rsidRPr="002D021D">
        <w:rPr>
          <w:rFonts w:asciiTheme="majorHAnsi" w:hAnsiTheme="majorHAnsi"/>
          <w:sz w:val="20"/>
        </w:rPr>
        <w:t xml:space="preserve">find ways to enroll expectant mothers earlier in </w:t>
      </w:r>
      <w:r w:rsidRPr="004B7AC2">
        <w:rPr>
          <w:rFonts w:asciiTheme="majorHAnsi" w:hAnsiTheme="majorHAnsi"/>
          <w:sz w:val="20"/>
        </w:rPr>
        <w:t>pregnancy</w:t>
      </w:r>
      <w:r w:rsidR="006F31D3" w:rsidRPr="004B7AC2">
        <w:rPr>
          <w:rFonts w:asciiTheme="majorHAnsi" w:hAnsiTheme="majorHAnsi"/>
          <w:sz w:val="20"/>
        </w:rPr>
        <w:t xml:space="preserve"> </w:t>
      </w:r>
      <w:r w:rsidR="005E23E8" w:rsidRPr="004B7AC2">
        <w:rPr>
          <w:rFonts w:asciiTheme="majorHAnsi" w:hAnsiTheme="majorHAnsi"/>
          <w:sz w:val="20"/>
        </w:rPr>
        <w:t>(i.e.</w:t>
      </w:r>
      <w:r w:rsidR="00AC572F" w:rsidRPr="004B7AC2">
        <w:rPr>
          <w:rFonts w:asciiTheme="majorHAnsi" w:hAnsiTheme="majorHAnsi"/>
          <w:sz w:val="20"/>
        </w:rPr>
        <w:t>,</w:t>
      </w:r>
      <w:r w:rsidR="005E23E8" w:rsidRPr="004B7AC2">
        <w:rPr>
          <w:rFonts w:asciiTheme="majorHAnsi" w:hAnsiTheme="majorHAnsi"/>
          <w:sz w:val="20"/>
        </w:rPr>
        <w:t xml:space="preserve"> during the first trimester) to </w:t>
      </w:r>
      <w:r w:rsidR="00AC572F" w:rsidRPr="004B7AC2">
        <w:rPr>
          <w:rFonts w:asciiTheme="majorHAnsi" w:hAnsiTheme="majorHAnsi"/>
          <w:sz w:val="20"/>
        </w:rPr>
        <w:t>increase the</w:t>
      </w:r>
      <w:r w:rsidR="004B7AC2" w:rsidRPr="004B7AC2">
        <w:rPr>
          <w:rFonts w:asciiTheme="majorHAnsi" w:hAnsiTheme="majorHAnsi"/>
          <w:sz w:val="20"/>
        </w:rPr>
        <w:t xml:space="preserve">ir exposure to messages that promote </w:t>
      </w:r>
      <w:r w:rsidR="005E23E8" w:rsidRPr="004B7AC2">
        <w:rPr>
          <w:rFonts w:asciiTheme="majorHAnsi" w:hAnsiTheme="majorHAnsi"/>
          <w:sz w:val="20"/>
        </w:rPr>
        <w:t>ANC</w:t>
      </w:r>
      <w:r w:rsidR="004B7AC2" w:rsidRPr="004B7AC2">
        <w:rPr>
          <w:rFonts w:asciiTheme="majorHAnsi" w:hAnsiTheme="majorHAnsi"/>
          <w:sz w:val="20"/>
        </w:rPr>
        <w:t xml:space="preserve"> attendance and other helpful behaviours</w:t>
      </w:r>
      <w:r w:rsidRPr="004B7AC2">
        <w:rPr>
          <w:rFonts w:asciiTheme="majorHAnsi" w:hAnsiTheme="majorHAnsi"/>
          <w:sz w:val="20"/>
        </w:rPr>
        <w:t>;</w:t>
      </w:r>
      <w:r w:rsidRPr="004B7AC2">
        <w:rPr>
          <w:rFonts w:asciiTheme="majorHAnsi" w:hAnsiTheme="majorHAnsi"/>
          <w:sz w:val="20"/>
          <w:lang w:eastAsia="en-AU"/>
        </w:rPr>
        <w:t xml:space="preserve"> </w:t>
      </w:r>
    </w:p>
    <w:p w14:paraId="41F75168" w14:textId="74CA8AE4" w:rsidR="004B7AC2" w:rsidRDefault="004B3B8F">
      <w:pPr>
        <w:pStyle w:val="ListParagraph"/>
        <w:numPr>
          <w:ilvl w:val="0"/>
          <w:numId w:val="26"/>
        </w:numPr>
        <w:jc w:val="both"/>
        <w:rPr>
          <w:rFonts w:asciiTheme="majorHAnsi" w:hAnsiTheme="majorHAnsi"/>
          <w:sz w:val="20"/>
          <w:lang w:eastAsia="en-AU"/>
        </w:rPr>
      </w:pPr>
      <w:r w:rsidRPr="004B3B8F">
        <w:rPr>
          <w:rFonts w:asciiTheme="majorHAnsi" w:hAnsiTheme="majorHAnsi"/>
          <w:sz w:val="20"/>
          <w:lang w:eastAsia="en-AU"/>
        </w:rPr>
        <w:t>continue to target messages to husbands and in-laws (e.g. on birth planning, not s</w:t>
      </w:r>
      <w:r w:rsidR="004B7AC2">
        <w:rPr>
          <w:rFonts w:asciiTheme="majorHAnsi" w:hAnsiTheme="majorHAnsi"/>
          <w:sz w:val="20"/>
          <w:lang w:eastAsia="en-AU"/>
        </w:rPr>
        <w:t>moking near babies and children,</w:t>
      </w:r>
      <w:r w:rsidRPr="004B3B8F">
        <w:rPr>
          <w:rFonts w:asciiTheme="majorHAnsi" w:hAnsiTheme="majorHAnsi"/>
          <w:sz w:val="20"/>
          <w:lang w:eastAsia="en-AU"/>
        </w:rPr>
        <w:t xml:space="preserve"> using post-partum FP to space births, etc)</w:t>
      </w:r>
      <w:r w:rsidR="004B7AC2">
        <w:rPr>
          <w:rFonts w:asciiTheme="majorHAnsi" w:hAnsiTheme="majorHAnsi"/>
          <w:sz w:val="20"/>
          <w:lang w:eastAsia="en-AU"/>
        </w:rPr>
        <w:t>;</w:t>
      </w:r>
    </w:p>
    <w:p w14:paraId="47FAE7DC" w14:textId="77777777" w:rsidR="00A912BC" w:rsidRDefault="004B3B8F">
      <w:pPr>
        <w:pStyle w:val="ListParagraph"/>
        <w:numPr>
          <w:ilvl w:val="0"/>
          <w:numId w:val="26"/>
        </w:numPr>
        <w:jc w:val="both"/>
        <w:rPr>
          <w:rFonts w:asciiTheme="majorHAnsi" w:hAnsiTheme="majorHAnsi"/>
          <w:sz w:val="20"/>
          <w:lang w:eastAsia="en-AU"/>
        </w:rPr>
      </w:pPr>
      <w:r w:rsidRPr="004B3B8F">
        <w:rPr>
          <w:rFonts w:asciiTheme="majorHAnsi" w:hAnsiTheme="majorHAnsi"/>
          <w:sz w:val="20"/>
          <w:lang w:eastAsia="en-AU"/>
        </w:rPr>
        <w:t xml:space="preserve">explore whether Bobonaro could use </w:t>
      </w:r>
      <w:r w:rsidRPr="004B3B8F">
        <w:rPr>
          <w:rFonts w:asciiTheme="majorHAnsi" w:hAnsiTheme="majorHAnsi"/>
          <w:i/>
          <w:sz w:val="20"/>
          <w:lang w:eastAsia="en-AU"/>
        </w:rPr>
        <w:t>Saude na Familia</w:t>
      </w:r>
      <w:r w:rsidRPr="004B3B8F">
        <w:rPr>
          <w:rFonts w:asciiTheme="majorHAnsi" w:hAnsiTheme="majorHAnsi"/>
          <w:sz w:val="20"/>
          <w:lang w:eastAsia="en-AU"/>
        </w:rPr>
        <w:t xml:space="preserve"> (SnF) to track service uptake by those who are and are not registered in Liga Inan; and </w:t>
      </w:r>
    </w:p>
    <w:p w14:paraId="7F9DBE08" w14:textId="77777777" w:rsidR="00A912BC" w:rsidRDefault="002D021D">
      <w:pPr>
        <w:pStyle w:val="ListParagraph"/>
        <w:numPr>
          <w:ilvl w:val="0"/>
          <w:numId w:val="26"/>
        </w:numPr>
        <w:jc w:val="both"/>
        <w:rPr>
          <w:rFonts w:asciiTheme="majorHAnsi" w:hAnsiTheme="majorHAnsi"/>
          <w:sz w:val="20"/>
        </w:rPr>
      </w:pPr>
      <w:r w:rsidRPr="002D021D">
        <w:rPr>
          <w:rFonts w:asciiTheme="majorHAnsi" w:hAnsiTheme="majorHAnsi"/>
          <w:sz w:val="20"/>
        </w:rPr>
        <w:t xml:space="preserve">consider ways to integrate the Liga Inan dashboard so that it complements </w:t>
      </w:r>
      <w:r w:rsidR="004B7AC2" w:rsidRPr="007A0B44">
        <w:rPr>
          <w:rFonts w:asciiTheme="majorHAnsi" w:hAnsiTheme="majorHAnsi"/>
          <w:sz w:val="20"/>
        </w:rPr>
        <w:t>TLHIS</w:t>
      </w:r>
      <w:r w:rsidR="00F17C97" w:rsidRPr="007A0B44">
        <w:rPr>
          <w:rFonts w:asciiTheme="majorHAnsi" w:hAnsiTheme="majorHAnsi"/>
          <w:sz w:val="20"/>
        </w:rPr>
        <w:t>.</w:t>
      </w:r>
    </w:p>
    <w:p w14:paraId="61903450" w14:textId="77777777" w:rsidR="00A912BC" w:rsidRDefault="00A912BC">
      <w:pPr>
        <w:pStyle w:val="ListParagraph"/>
        <w:ind w:left="2160"/>
        <w:jc w:val="both"/>
        <w:rPr>
          <w:rFonts w:asciiTheme="majorHAnsi" w:hAnsiTheme="majorHAnsi"/>
          <w:sz w:val="20"/>
        </w:rPr>
      </w:pPr>
    </w:p>
    <w:p w14:paraId="7433C131" w14:textId="77777777" w:rsidR="00A912BC" w:rsidRDefault="004B3B8F">
      <w:pPr>
        <w:ind w:left="720"/>
        <w:jc w:val="both"/>
        <w:rPr>
          <w:rFonts w:asciiTheme="majorHAnsi" w:hAnsiTheme="majorHAnsi"/>
          <w:b/>
          <w:sz w:val="20"/>
        </w:rPr>
      </w:pPr>
      <w:r w:rsidRPr="004B3B8F">
        <w:rPr>
          <w:rFonts w:asciiTheme="majorHAnsi" w:hAnsiTheme="majorHAnsi"/>
          <w:b/>
          <w:sz w:val="20"/>
        </w:rPr>
        <w:t xml:space="preserve">Health Transport: </w:t>
      </w:r>
      <w:r w:rsidRPr="004B3B8F">
        <w:rPr>
          <w:rFonts w:asciiTheme="majorHAnsi" w:hAnsiTheme="majorHAnsi"/>
          <w:sz w:val="20"/>
        </w:rPr>
        <w:t xml:space="preserve">Once the approaches and timeline for transition of the Health Transport project are agreed, DFAT/PHD should facilitate sustainability (see Findings, section 8) by: </w:t>
      </w:r>
    </w:p>
    <w:p w14:paraId="008776BB" w14:textId="77777777" w:rsidR="001F3BF6" w:rsidRDefault="004B3B8F">
      <w:pPr>
        <w:pStyle w:val="ListParagraph"/>
        <w:numPr>
          <w:ilvl w:val="0"/>
          <w:numId w:val="11"/>
        </w:numPr>
        <w:ind w:left="1402"/>
        <w:jc w:val="both"/>
        <w:rPr>
          <w:rFonts w:asciiTheme="majorHAnsi" w:hAnsiTheme="majorHAnsi"/>
          <w:sz w:val="20"/>
        </w:rPr>
      </w:pPr>
      <w:r w:rsidRPr="004B3B8F">
        <w:rPr>
          <w:rFonts w:asciiTheme="majorHAnsi" w:hAnsiTheme="majorHAnsi"/>
          <w:sz w:val="20"/>
        </w:rPr>
        <w:t xml:space="preserve">providing interim support for transition of the Health Transport initiative, including </w:t>
      </w:r>
      <w:r w:rsidRPr="004B3B8F">
        <w:rPr>
          <w:rFonts w:asciiTheme="majorHAnsi" w:hAnsiTheme="majorHAnsi" w:cstheme="majorHAnsi"/>
          <w:sz w:val="20"/>
          <w:lang w:eastAsia="en-AU"/>
        </w:rPr>
        <w:t>operations research to assess how well the new arrangements work</w:t>
      </w:r>
      <w:r w:rsidRPr="004B3B8F">
        <w:rPr>
          <w:rFonts w:asciiTheme="majorHAnsi" w:hAnsiTheme="majorHAnsi"/>
          <w:sz w:val="20"/>
        </w:rPr>
        <w:t xml:space="preserve">; </w:t>
      </w:r>
    </w:p>
    <w:p w14:paraId="67E29635" w14:textId="77777777" w:rsidR="001F3BF6" w:rsidRDefault="004B3B8F">
      <w:pPr>
        <w:pStyle w:val="ListParagraph"/>
        <w:numPr>
          <w:ilvl w:val="0"/>
          <w:numId w:val="11"/>
        </w:numPr>
        <w:ind w:left="1402"/>
        <w:jc w:val="both"/>
        <w:rPr>
          <w:rFonts w:asciiTheme="majorHAnsi" w:hAnsiTheme="majorHAnsi"/>
          <w:sz w:val="20"/>
        </w:rPr>
      </w:pPr>
      <w:r w:rsidRPr="004B3B8F">
        <w:rPr>
          <w:rFonts w:asciiTheme="majorHAnsi" w:hAnsiTheme="majorHAnsi" w:cstheme="majorHAnsi"/>
          <w:sz w:val="20"/>
          <w:lang w:eastAsia="en-AU"/>
        </w:rPr>
        <w:t>completing the handover in 2019</w:t>
      </w:r>
      <w:r w:rsidR="00DF6D44">
        <w:rPr>
          <w:rFonts w:asciiTheme="majorHAnsi" w:hAnsiTheme="majorHAnsi" w:cstheme="majorHAnsi"/>
          <w:sz w:val="20"/>
          <w:lang w:eastAsia="en-AU"/>
        </w:rPr>
        <w:t xml:space="preserve"> or 2020</w:t>
      </w:r>
      <w:r w:rsidRPr="004B3B8F">
        <w:rPr>
          <w:rFonts w:asciiTheme="majorHAnsi" w:hAnsiTheme="majorHAnsi" w:cstheme="majorHAnsi"/>
          <w:sz w:val="20"/>
          <w:lang w:eastAsia="en-AU"/>
        </w:rPr>
        <w:t>.</w:t>
      </w:r>
      <w:r w:rsidRPr="004B3B8F">
        <w:rPr>
          <w:rStyle w:val="FootnoteReference"/>
          <w:rFonts w:asciiTheme="majorHAnsi" w:hAnsiTheme="majorHAnsi" w:cstheme="majorHAnsi"/>
          <w:sz w:val="20"/>
          <w:lang w:eastAsia="en-AU"/>
        </w:rPr>
        <w:footnoteReference w:id="75"/>
      </w:r>
      <w:r w:rsidRPr="004B3B8F">
        <w:rPr>
          <w:rFonts w:asciiTheme="majorHAnsi" w:hAnsiTheme="majorHAnsi" w:cstheme="majorHAnsi"/>
          <w:sz w:val="20"/>
          <w:lang w:eastAsia="en-AU"/>
        </w:rPr>
        <w:t xml:space="preserve"> </w:t>
      </w:r>
    </w:p>
    <w:p w14:paraId="7AA96AE2" w14:textId="77777777" w:rsidR="00A912BC" w:rsidRDefault="00A912BC">
      <w:pPr>
        <w:jc w:val="both"/>
        <w:rPr>
          <w:rFonts w:asciiTheme="majorHAnsi" w:hAnsiTheme="majorHAnsi"/>
          <w:sz w:val="20"/>
        </w:rPr>
      </w:pPr>
    </w:p>
    <w:p w14:paraId="50766087" w14:textId="77777777" w:rsidR="00A912BC" w:rsidRDefault="001C4500">
      <w:pPr>
        <w:pStyle w:val="Heading3"/>
        <w:jc w:val="both"/>
      </w:pPr>
      <w:bookmarkStart w:id="29" w:name="_Toc378838745"/>
      <w:r w:rsidRPr="00267B79">
        <w:rPr>
          <w:rFonts w:cstheme="majorHAnsi"/>
        </w:rPr>
        <w:t xml:space="preserve">(b) </w:t>
      </w:r>
      <w:r w:rsidR="00A44553" w:rsidRPr="00267B79">
        <w:t>Modify</w:t>
      </w:r>
      <w:r w:rsidR="005230DB" w:rsidRPr="00267B79">
        <w:t xml:space="preserve"> two</w:t>
      </w:r>
      <w:r w:rsidRPr="00267B79">
        <w:t xml:space="preserve"> investments that will </w:t>
      </w:r>
      <w:r w:rsidR="00F34032" w:rsidRPr="00267B79">
        <w:t xml:space="preserve">need to </w:t>
      </w:r>
      <w:r w:rsidRPr="00267B79">
        <w:t>continue</w:t>
      </w:r>
      <w:r w:rsidR="00AA0C38">
        <w:t xml:space="preserve"> for the duration of the bilateral program</w:t>
      </w:r>
      <w:bookmarkEnd w:id="29"/>
      <w:r w:rsidR="00F34032" w:rsidRPr="00267B79">
        <w:t xml:space="preserve"> </w:t>
      </w:r>
    </w:p>
    <w:p w14:paraId="686201C4" w14:textId="77777777" w:rsidR="00A912BC" w:rsidRDefault="00A912BC">
      <w:pPr>
        <w:jc w:val="both"/>
        <w:rPr>
          <w:rFonts w:asciiTheme="majorHAnsi" w:hAnsiTheme="majorHAnsi"/>
          <w:sz w:val="20"/>
        </w:rPr>
      </w:pPr>
    </w:p>
    <w:p w14:paraId="12EABD88" w14:textId="77777777" w:rsidR="00A912BC" w:rsidRDefault="004B3B8F" w:rsidP="00D13D8E">
      <w:pPr>
        <w:ind w:left="720"/>
        <w:jc w:val="both"/>
        <w:rPr>
          <w:rFonts w:asciiTheme="majorHAnsi" w:hAnsiTheme="majorHAnsi"/>
          <w:b/>
          <w:sz w:val="20"/>
        </w:rPr>
      </w:pPr>
      <w:r w:rsidRPr="004B3B8F">
        <w:rPr>
          <w:rFonts w:asciiTheme="majorHAnsi" w:hAnsiTheme="majorHAnsi"/>
          <w:b/>
          <w:sz w:val="20"/>
        </w:rPr>
        <w:lastRenderedPageBreak/>
        <w:t xml:space="preserve">Family Planning: </w:t>
      </w:r>
      <w:r w:rsidRPr="004B3B8F">
        <w:rPr>
          <w:rFonts w:asciiTheme="majorHAnsi" w:hAnsiTheme="majorHAnsi"/>
          <w:sz w:val="20"/>
        </w:rPr>
        <w:t>Since unmet need for FP remains substantial despite some recent improvements (see Findings, sections 1, 3 and 4), DFAT/PHD could consider re-tendering for this program component with a view to accelerating uptake of FP and further improving value for money, but such an approach seems unlikely to be worthwhile, given the fact that MSTL is an established and trusted partner and has already cut operational costs; moreover, the costs of transitioning to a new and untested implementing partner would inevitably be considerable and could outweigh any gains. Instead, DFAT/PHD should negotiate a post-2018 agreement in which MSTL:</w:t>
      </w:r>
    </w:p>
    <w:p w14:paraId="5275D183" w14:textId="77777777" w:rsidR="00A912BC" w:rsidRDefault="00A912BC">
      <w:pPr>
        <w:ind w:left="720"/>
        <w:jc w:val="both"/>
        <w:rPr>
          <w:rFonts w:asciiTheme="majorHAnsi" w:hAnsiTheme="majorHAnsi"/>
          <w:sz w:val="20"/>
        </w:rPr>
      </w:pPr>
    </w:p>
    <w:p w14:paraId="0CF376E5" w14:textId="77777777" w:rsidR="001F3BF6" w:rsidRDefault="004B3B8F">
      <w:pPr>
        <w:pStyle w:val="CommentText"/>
        <w:numPr>
          <w:ilvl w:val="0"/>
          <w:numId w:val="19"/>
        </w:numPr>
        <w:spacing w:after="120"/>
        <w:ind w:left="1400" w:hanging="340"/>
        <w:jc w:val="both"/>
        <w:rPr>
          <w:rFonts w:asciiTheme="majorHAnsi" w:hAnsiTheme="majorHAnsi"/>
          <w:sz w:val="20"/>
        </w:rPr>
      </w:pPr>
      <w:r w:rsidRPr="004B3B8F">
        <w:rPr>
          <w:rFonts w:asciiTheme="majorHAnsi" w:hAnsiTheme="majorHAnsi"/>
          <w:sz w:val="20"/>
        </w:rPr>
        <w:t>are pro-actively supported by DFAT/PHD in managing any tensions concerning FP policy;</w:t>
      </w:r>
    </w:p>
    <w:p w14:paraId="7324DCAC" w14:textId="77777777" w:rsidR="001F3BF6" w:rsidRDefault="004B3B8F">
      <w:pPr>
        <w:pStyle w:val="CommentText"/>
        <w:numPr>
          <w:ilvl w:val="0"/>
          <w:numId w:val="19"/>
        </w:numPr>
        <w:spacing w:after="120"/>
        <w:ind w:left="1400" w:hanging="340"/>
        <w:jc w:val="both"/>
        <w:rPr>
          <w:rFonts w:asciiTheme="majorHAnsi" w:hAnsiTheme="majorHAnsi"/>
          <w:sz w:val="20"/>
        </w:rPr>
      </w:pPr>
      <w:r w:rsidRPr="004B3B8F">
        <w:rPr>
          <w:rFonts w:asciiTheme="majorHAnsi" w:hAnsiTheme="majorHAnsi"/>
          <w:sz w:val="20"/>
        </w:rPr>
        <w:t>develop skills of MoH staff and then coach and mentor them to provide high quality services that (a) enable clients to make informed choices from a wide range of FP methods and (b) provide the methods that clients choose;</w:t>
      </w:r>
    </w:p>
    <w:p w14:paraId="68329623" w14:textId="77777777" w:rsidR="001F3BF6" w:rsidRDefault="004B3B8F">
      <w:pPr>
        <w:pStyle w:val="ListParagraph"/>
        <w:numPr>
          <w:ilvl w:val="0"/>
          <w:numId w:val="19"/>
        </w:numPr>
        <w:spacing w:after="120"/>
        <w:ind w:left="1400" w:hanging="340"/>
        <w:contextualSpacing w:val="0"/>
        <w:jc w:val="both"/>
        <w:rPr>
          <w:rFonts w:asciiTheme="majorHAnsi" w:hAnsiTheme="majorHAnsi" w:cstheme="majorHAnsi"/>
          <w:sz w:val="20"/>
          <w:lang w:eastAsia="en-AU"/>
        </w:rPr>
      </w:pPr>
      <w:r w:rsidRPr="004B3B8F">
        <w:rPr>
          <w:rFonts w:asciiTheme="majorHAnsi" w:hAnsiTheme="majorHAnsi" w:cstheme="majorHAnsi"/>
          <w:sz w:val="20"/>
          <w:lang w:eastAsia="en-AU"/>
        </w:rPr>
        <w:t>where HF staff are competent to provide FP, raise community awareness of the HF’s ability to</w:t>
      </w:r>
      <w:r w:rsidR="00D13D8E">
        <w:rPr>
          <w:rFonts w:asciiTheme="majorHAnsi" w:hAnsiTheme="majorHAnsi" w:cstheme="majorHAnsi"/>
          <w:sz w:val="20"/>
          <w:lang w:eastAsia="en-AU"/>
        </w:rPr>
        <w:t xml:space="preserve"> provide FP while making advice/</w:t>
      </w:r>
      <w:r w:rsidRPr="004B3B8F">
        <w:rPr>
          <w:rFonts w:asciiTheme="majorHAnsi" w:hAnsiTheme="majorHAnsi" w:cstheme="majorHAnsi"/>
          <w:sz w:val="20"/>
          <w:lang w:eastAsia="en-AU"/>
        </w:rPr>
        <w:t xml:space="preserve">coaching available to the HF on request; </w:t>
      </w:r>
    </w:p>
    <w:p w14:paraId="77B6AD07" w14:textId="28DD674C" w:rsidR="001F3BF6" w:rsidRDefault="00FD574A">
      <w:pPr>
        <w:pStyle w:val="ListParagraph"/>
        <w:numPr>
          <w:ilvl w:val="0"/>
          <w:numId w:val="19"/>
        </w:numPr>
        <w:spacing w:after="120"/>
        <w:ind w:left="1400" w:hanging="340"/>
        <w:contextualSpacing w:val="0"/>
        <w:jc w:val="both"/>
        <w:rPr>
          <w:rFonts w:asciiTheme="majorHAnsi" w:hAnsiTheme="majorHAnsi"/>
          <w:sz w:val="20"/>
        </w:rPr>
      </w:pPr>
      <w:r w:rsidRPr="00C85D03">
        <w:rPr>
          <w:rFonts w:asciiTheme="majorHAnsi" w:hAnsiTheme="majorHAnsi"/>
          <w:sz w:val="20"/>
        </w:rPr>
        <w:t xml:space="preserve">continue strengthening the existing efforts on demand generations targeting the key barriers for effective sexual and reproductive health and family planning services.  These can be done through the potential expansion of capacity building as well as the existing SRH and FP education sessions </w:t>
      </w:r>
      <w:r w:rsidR="00CD1BF8" w:rsidRPr="00C85D03">
        <w:rPr>
          <w:rFonts w:asciiTheme="majorHAnsi" w:hAnsiTheme="majorHAnsi"/>
          <w:sz w:val="20"/>
        </w:rPr>
        <w:t xml:space="preserve">(e.g. education/life skills, gender) </w:t>
      </w:r>
      <w:r w:rsidRPr="00C85D03">
        <w:rPr>
          <w:rFonts w:asciiTheme="majorHAnsi" w:hAnsiTheme="majorHAnsi"/>
          <w:sz w:val="20"/>
        </w:rPr>
        <w:t>wi</w:t>
      </w:r>
      <w:r w:rsidR="00CD1BF8" w:rsidRPr="00C85D03">
        <w:rPr>
          <w:rFonts w:asciiTheme="majorHAnsi" w:hAnsiTheme="majorHAnsi"/>
          <w:sz w:val="20"/>
        </w:rPr>
        <w:t xml:space="preserve">th communities, </w:t>
      </w:r>
      <w:r w:rsidRPr="00C85D03">
        <w:rPr>
          <w:rFonts w:asciiTheme="majorHAnsi" w:hAnsiTheme="majorHAnsi"/>
          <w:sz w:val="20"/>
        </w:rPr>
        <w:t>youth groups</w:t>
      </w:r>
      <w:r w:rsidR="00CD1BF8" w:rsidRPr="00C85D03">
        <w:rPr>
          <w:rFonts w:asciiTheme="majorHAnsi" w:hAnsiTheme="majorHAnsi"/>
          <w:sz w:val="20"/>
        </w:rPr>
        <w:t xml:space="preserve"> and other opportunities with different entities</w:t>
      </w:r>
      <w:r w:rsidRPr="00C85D03">
        <w:rPr>
          <w:rFonts w:asciiTheme="majorHAnsi" w:hAnsiTheme="majorHAnsi"/>
          <w:sz w:val="20"/>
        </w:rPr>
        <w:t xml:space="preserve">.    </w:t>
      </w:r>
      <w:r w:rsidR="004B3B8F" w:rsidRPr="00C85D03">
        <w:rPr>
          <w:rFonts w:asciiTheme="majorHAnsi" w:hAnsiTheme="majorHAnsi"/>
          <w:sz w:val="20"/>
        </w:rPr>
        <w:t>explore innovative ways to counter judgmental attitudes toward users of FP, boost demand,</w:t>
      </w:r>
      <w:r w:rsidR="004B3B8F" w:rsidRPr="004B3B8F">
        <w:rPr>
          <w:rFonts w:asciiTheme="majorHAnsi" w:hAnsiTheme="majorHAnsi"/>
          <w:sz w:val="20"/>
        </w:rPr>
        <w:t xml:space="preserve"> and reach those with unmet need, </w:t>
      </w:r>
      <w:r w:rsidR="004B3B8F" w:rsidRPr="004B3B8F">
        <w:rPr>
          <w:rFonts w:asciiTheme="majorHAnsi" w:hAnsiTheme="majorHAnsi" w:cstheme="majorHAnsi"/>
          <w:sz w:val="20"/>
          <w:lang w:eastAsia="en-AU"/>
        </w:rPr>
        <w:t xml:space="preserve">especially among those who are hardest to reach (this could involve working with </w:t>
      </w:r>
      <w:r w:rsidR="00DD3D03">
        <w:rPr>
          <w:rFonts w:asciiTheme="majorHAnsi" w:hAnsiTheme="majorHAnsi" w:cstheme="majorHAnsi"/>
          <w:sz w:val="20"/>
          <w:lang w:eastAsia="en-AU"/>
        </w:rPr>
        <w:t>middle-level manager</w:t>
      </w:r>
      <w:r w:rsidR="005220D0">
        <w:rPr>
          <w:rFonts w:asciiTheme="majorHAnsi" w:hAnsiTheme="majorHAnsi" w:cstheme="majorHAnsi"/>
          <w:sz w:val="20"/>
          <w:lang w:eastAsia="en-AU"/>
        </w:rPr>
        <w:t>s</w:t>
      </w:r>
      <w:r w:rsidR="004B3B8F" w:rsidRPr="004B3B8F">
        <w:rPr>
          <w:rFonts w:asciiTheme="majorHAnsi" w:hAnsiTheme="majorHAnsi" w:cstheme="majorHAnsi"/>
          <w:sz w:val="20"/>
          <w:lang w:eastAsia="en-AU"/>
        </w:rPr>
        <w:t xml:space="preserve"> and across sectors (e.g. education/life skills, gender));</w:t>
      </w:r>
      <w:r w:rsidR="004B3B8F" w:rsidRPr="004B3B8F">
        <w:rPr>
          <w:rFonts w:asciiTheme="majorHAnsi" w:hAnsiTheme="majorHAnsi"/>
          <w:sz w:val="20"/>
        </w:rPr>
        <w:t xml:space="preserve"> </w:t>
      </w:r>
    </w:p>
    <w:p w14:paraId="3618F076" w14:textId="46FDD59D" w:rsidR="001F3BF6" w:rsidRDefault="002D021D">
      <w:pPr>
        <w:pStyle w:val="ListParagraph"/>
        <w:numPr>
          <w:ilvl w:val="0"/>
          <w:numId w:val="19"/>
        </w:numPr>
        <w:spacing w:after="120"/>
        <w:ind w:left="1400" w:hanging="340"/>
        <w:contextualSpacing w:val="0"/>
        <w:jc w:val="both"/>
        <w:rPr>
          <w:rFonts w:asciiTheme="majorHAnsi" w:hAnsiTheme="majorHAnsi"/>
          <w:sz w:val="20"/>
        </w:rPr>
      </w:pPr>
      <w:r w:rsidRPr="002D021D">
        <w:rPr>
          <w:rFonts w:asciiTheme="majorHAnsi" w:hAnsiTheme="majorHAnsi"/>
          <w:sz w:val="20"/>
        </w:rPr>
        <w:t xml:space="preserve">commit to </w:t>
      </w:r>
      <w:r w:rsidR="005B077A">
        <w:rPr>
          <w:rFonts w:asciiTheme="majorHAnsi" w:hAnsiTheme="majorHAnsi"/>
          <w:sz w:val="20"/>
        </w:rPr>
        <w:t xml:space="preserve">increasing numbers accessing FP and </w:t>
      </w:r>
      <w:r w:rsidRPr="002D021D">
        <w:rPr>
          <w:rFonts w:asciiTheme="majorHAnsi" w:hAnsiTheme="majorHAnsi"/>
          <w:sz w:val="20"/>
        </w:rPr>
        <w:t>reducing cost</w:t>
      </w:r>
      <w:r w:rsidR="005B077A">
        <w:rPr>
          <w:rFonts w:asciiTheme="majorHAnsi" w:hAnsiTheme="majorHAnsi"/>
          <w:sz w:val="20"/>
        </w:rPr>
        <w:t xml:space="preserve"> </w:t>
      </w:r>
      <w:r w:rsidR="005B077A" w:rsidRPr="002D021D">
        <w:rPr>
          <w:rFonts w:asciiTheme="majorHAnsi" w:hAnsiTheme="majorHAnsi"/>
          <w:sz w:val="20"/>
        </w:rPr>
        <w:t xml:space="preserve"> </w:t>
      </w:r>
      <w:r w:rsidRPr="002D021D">
        <w:rPr>
          <w:rFonts w:asciiTheme="majorHAnsi" w:hAnsiTheme="majorHAnsi"/>
          <w:sz w:val="20"/>
        </w:rPr>
        <w:t xml:space="preserve">and </w:t>
      </w:r>
    </w:p>
    <w:p w14:paraId="75CDAFB6" w14:textId="12F8D50F" w:rsidR="001F3BF6" w:rsidRDefault="004B3B8F">
      <w:pPr>
        <w:pStyle w:val="ListParagraph"/>
        <w:numPr>
          <w:ilvl w:val="0"/>
          <w:numId w:val="19"/>
        </w:numPr>
        <w:spacing w:after="120"/>
        <w:ind w:left="1400" w:hanging="340"/>
        <w:contextualSpacing w:val="0"/>
        <w:jc w:val="both"/>
        <w:rPr>
          <w:rFonts w:asciiTheme="majorHAnsi" w:hAnsiTheme="majorHAnsi"/>
          <w:sz w:val="20"/>
        </w:rPr>
      </w:pPr>
      <w:r w:rsidRPr="004B3B8F">
        <w:rPr>
          <w:rFonts w:asciiTheme="majorHAnsi" w:hAnsiTheme="majorHAnsi" w:cstheme="majorHAnsi"/>
          <w:sz w:val="20"/>
          <w:lang w:eastAsia="en-AU"/>
        </w:rPr>
        <w:t>as MOH/SAMES capacity to forecast, order, procure and supply commodities improves (</w:t>
      </w:r>
      <w:r w:rsidRPr="004B3B8F">
        <w:rPr>
          <w:rFonts w:asciiTheme="majorHAnsi" w:hAnsiTheme="majorHAnsi"/>
          <w:sz w:val="20"/>
        </w:rPr>
        <w:t>under GAVI transition and mSupply rollout), liaise with UNFPA to reduce reliance on protected pipeline arrangement for FP commodities.</w:t>
      </w:r>
      <w:r w:rsidR="00814F6E">
        <w:rPr>
          <w:rFonts w:asciiTheme="majorHAnsi" w:hAnsiTheme="majorHAnsi"/>
          <w:sz w:val="20"/>
        </w:rPr>
        <w:t xml:space="preserve">  </w:t>
      </w:r>
      <w:r w:rsidR="005B077A">
        <w:rPr>
          <w:rFonts w:asciiTheme="majorHAnsi" w:hAnsiTheme="majorHAnsi"/>
          <w:sz w:val="20"/>
        </w:rPr>
        <w:t>However t</w:t>
      </w:r>
      <w:r w:rsidR="00814F6E">
        <w:rPr>
          <w:rFonts w:asciiTheme="majorHAnsi" w:hAnsiTheme="majorHAnsi"/>
          <w:sz w:val="20"/>
        </w:rPr>
        <w:t>his will need to be considered carefully in light of the revised MoH Family Planning policy</w:t>
      </w:r>
      <w:r w:rsidR="005B077A">
        <w:rPr>
          <w:rFonts w:asciiTheme="majorHAnsi" w:hAnsiTheme="majorHAnsi"/>
          <w:sz w:val="20"/>
        </w:rPr>
        <w:t xml:space="preserve"> and future GoTL commitments post 2018 election</w:t>
      </w:r>
      <w:r w:rsidR="00814F6E">
        <w:rPr>
          <w:rFonts w:asciiTheme="majorHAnsi" w:hAnsiTheme="majorHAnsi"/>
          <w:sz w:val="20"/>
        </w:rPr>
        <w:t>.</w:t>
      </w:r>
    </w:p>
    <w:p w14:paraId="6EDAD8F1" w14:textId="77777777" w:rsidR="00A912BC" w:rsidRDefault="004B3B8F">
      <w:pPr>
        <w:ind w:left="720"/>
        <w:jc w:val="both"/>
        <w:rPr>
          <w:rFonts w:asciiTheme="majorHAnsi" w:hAnsiTheme="majorHAnsi"/>
          <w:sz w:val="20"/>
        </w:rPr>
      </w:pPr>
      <w:r w:rsidRPr="004B3B8F">
        <w:rPr>
          <w:rFonts w:asciiTheme="majorHAnsi" w:hAnsiTheme="majorHAnsi"/>
          <w:sz w:val="20"/>
        </w:rPr>
        <w:t xml:space="preserve"> </w:t>
      </w:r>
    </w:p>
    <w:p w14:paraId="5CC19142" w14:textId="77777777" w:rsidR="00A912BC" w:rsidRDefault="004B3B8F">
      <w:pPr>
        <w:ind w:left="720"/>
        <w:jc w:val="both"/>
        <w:rPr>
          <w:rFonts w:asciiTheme="majorHAnsi" w:hAnsiTheme="majorHAnsi"/>
          <w:sz w:val="20"/>
        </w:rPr>
      </w:pPr>
      <w:r w:rsidRPr="004B3B8F">
        <w:rPr>
          <w:rFonts w:asciiTheme="majorHAnsi" w:hAnsiTheme="majorHAnsi"/>
          <w:sz w:val="20"/>
        </w:rPr>
        <w:t>Funding for the above is expected to be no higher than the present level. The Embassy’s current proposal to DFAT’s Gender Equality Fund, if successful, will help to increase the total level of resources for reproductive health in TL.</w:t>
      </w:r>
    </w:p>
    <w:p w14:paraId="08EE66A0" w14:textId="77777777" w:rsidR="00A912BC" w:rsidRDefault="00A912BC">
      <w:pPr>
        <w:ind w:left="720"/>
        <w:jc w:val="both"/>
        <w:rPr>
          <w:rFonts w:asciiTheme="majorHAnsi" w:hAnsiTheme="majorHAnsi"/>
          <w:sz w:val="20"/>
        </w:rPr>
      </w:pPr>
    </w:p>
    <w:p w14:paraId="3CE3ACD7" w14:textId="77777777" w:rsidR="00A912BC" w:rsidRDefault="00A912BC">
      <w:pPr>
        <w:ind w:left="720"/>
        <w:jc w:val="both"/>
        <w:rPr>
          <w:rFonts w:asciiTheme="majorHAnsi" w:hAnsiTheme="majorHAnsi" w:cstheme="majorHAnsi"/>
          <w:sz w:val="20"/>
          <w:highlight w:val="yellow"/>
          <w:lang w:eastAsia="en-AU"/>
        </w:rPr>
      </w:pPr>
    </w:p>
    <w:p w14:paraId="056A8E19" w14:textId="247038F6" w:rsidR="00A912BC" w:rsidRDefault="004B3B8F">
      <w:pPr>
        <w:ind w:left="720"/>
        <w:jc w:val="both"/>
        <w:rPr>
          <w:rFonts w:asciiTheme="majorHAnsi" w:hAnsiTheme="majorHAnsi"/>
          <w:sz w:val="20"/>
        </w:rPr>
      </w:pPr>
      <w:r w:rsidRPr="004B3B8F">
        <w:rPr>
          <w:rFonts w:asciiTheme="majorHAnsi" w:hAnsiTheme="majorHAnsi"/>
          <w:b/>
          <w:sz w:val="20"/>
        </w:rPr>
        <w:t xml:space="preserve">Postgraduate medical training: </w:t>
      </w:r>
      <w:r w:rsidR="002C4372">
        <w:rPr>
          <w:rFonts w:asciiTheme="majorHAnsi" w:hAnsiTheme="majorHAnsi"/>
          <w:sz w:val="20"/>
        </w:rPr>
        <w:t xml:space="preserve">From primary healthcare perspective, the review observed that </w:t>
      </w:r>
      <w:r w:rsidRPr="004B3B8F">
        <w:rPr>
          <w:rFonts w:asciiTheme="majorHAnsi" w:hAnsiTheme="majorHAnsi"/>
          <w:sz w:val="20"/>
        </w:rPr>
        <w:t>professional abilities of FMP doctors are appreciated</w:t>
      </w:r>
      <w:r w:rsidR="002C4372">
        <w:rPr>
          <w:rFonts w:asciiTheme="majorHAnsi" w:hAnsiTheme="majorHAnsi"/>
          <w:sz w:val="20"/>
        </w:rPr>
        <w:t xml:space="preserve"> and required.  However, </w:t>
      </w:r>
      <w:r w:rsidRPr="004B3B8F">
        <w:rPr>
          <w:rFonts w:asciiTheme="majorHAnsi" w:hAnsiTheme="majorHAnsi"/>
          <w:sz w:val="20"/>
        </w:rPr>
        <w:t>only a few are available to work in CHCs while enrolment for specialist training now exceeds the project target (see Findings, section 4 and 6), DFAT/PHD should:</w:t>
      </w:r>
    </w:p>
    <w:p w14:paraId="63DA0E53" w14:textId="77777777" w:rsidR="00A912BC" w:rsidRDefault="00A912BC">
      <w:pPr>
        <w:ind w:left="720"/>
        <w:jc w:val="both"/>
        <w:rPr>
          <w:rFonts w:asciiTheme="majorHAnsi" w:hAnsiTheme="majorHAnsi"/>
          <w:sz w:val="20"/>
        </w:rPr>
      </w:pPr>
    </w:p>
    <w:p w14:paraId="3F647DAA" w14:textId="0045F4E9" w:rsidR="00A912BC" w:rsidRDefault="002C4372">
      <w:pPr>
        <w:pStyle w:val="ListParagraph"/>
        <w:numPr>
          <w:ilvl w:val="0"/>
          <w:numId w:val="27"/>
        </w:numPr>
        <w:jc w:val="both"/>
        <w:rPr>
          <w:rFonts w:asciiTheme="majorHAnsi" w:hAnsiTheme="majorHAnsi"/>
          <w:b/>
          <w:sz w:val="20"/>
        </w:rPr>
      </w:pPr>
      <w:r>
        <w:rPr>
          <w:rFonts w:asciiTheme="majorHAnsi" w:hAnsiTheme="majorHAnsi"/>
          <w:sz w:val="20"/>
        </w:rPr>
        <w:t xml:space="preserve">pending the finalization of the MoH workforce plan and HR management strategy, </w:t>
      </w:r>
      <w:r w:rsidR="004B3B8F" w:rsidRPr="004B3B8F">
        <w:rPr>
          <w:rFonts w:asciiTheme="majorHAnsi" w:hAnsiTheme="majorHAnsi"/>
          <w:sz w:val="20"/>
        </w:rPr>
        <w:t>develop a new agreement with RACS for the period 2018-2021,:</w:t>
      </w:r>
    </w:p>
    <w:p w14:paraId="0D35B1BC" w14:textId="77777777" w:rsidR="00A912BC" w:rsidRDefault="00A912BC">
      <w:pPr>
        <w:ind w:left="720"/>
        <w:jc w:val="both"/>
        <w:rPr>
          <w:rFonts w:asciiTheme="majorHAnsi" w:hAnsiTheme="majorHAnsi"/>
          <w:sz w:val="20"/>
        </w:rPr>
      </w:pPr>
    </w:p>
    <w:p w14:paraId="5FF03E01" w14:textId="28A34153" w:rsidR="00A912BC" w:rsidRDefault="004B3B8F">
      <w:pPr>
        <w:spacing w:after="120"/>
        <w:ind w:left="2160"/>
        <w:jc w:val="both"/>
        <w:rPr>
          <w:rFonts w:asciiTheme="majorHAnsi" w:hAnsiTheme="majorHAnsi"/>
          <w:sz w:val="20"/>
        </w:rPr>
      </w:pPr>
      <w:r w:rsidRPr="004B3B8F">
        <w:rPr>
          <w:rFonts w:asciiTheme="majorHAnsi" w:hAnsiTheme="majorHAnsi"/>
          <w:sz w:val="20"/>
        </w:rPr>
        <w:t>the FMP curriculum is revised in light of both (a) the RACS 2017 evaluation and (b) the role of doctors in BEmONC (based on the EmONC I</w:t>
      </w:r>
      <w:r w:rsidR="002C4372">
        <w:rPr>
          <w:rFonts w:asciiTheme="majorHAnsi" w:hAnsiTheme="majorHAnsi"/>
          <w:sz w:val="20"/>
        </w:rPr>
        <w:t xml:space="preserve">mprovement </w:t>
      </w:r>
      <w:r w:rsidRPr="004B3B8F">
        <w:rPr>
          <w:rFonts w:asciiTheme="majorHAnsi" w:hAnsiTheme="majorHAnsi"/>
          <w:sz w:val="20"/>
        </w:rPr>
        <w:t>P</w:t>
      </w:r>
      <w:r w:rsidR="002C4372">
        <w:rPr>
          <w:rFonts w:asciiTheme="majorHAnsi" w:hAnsiTheme="majorHAnsi"/>
          <w:sz w:val="20"/>
        </w:rPr>
        <w:t xml:space="preserve">lan of </w:t>
      </w:r>
      <w:r w:rsidRPr="004B3B8F">
        <w:rPr>
          <w:rFonts w:asciiTheme="majorHAnsi" w:hAnsiTheme="majorHAnsi"/>
          <w:sz w:val="20"/>
        </w:rPr>
        <w:t>A</w:t>
      </w:r>
      <w:r w:rsidR="002C4372">
        <w:rPr>
          <w:rFonts w:asciiTheme="majorHAnsi" w:hAnsiTheme="majorHAnsi"/>
          <w:sz w:val="20"/>
        </w:rPr>
        <w:t>ction</w:t>
      </w:r>
      <w:r w:rsidRPr="004B3B8F">
        <w:rPr>
          <w:rFonts w:asciiTheme="majorHAnsi" w:hAnsiTheme="majorHAnsi"/>
          <w:sz w:val="20"/>
        </w:rPr>
        <w:t>);</w:t>
      </w:r>
    </w:p>
    <w:p w14:paraId="1E879BDC" w14:textId="77777777" w:rsidR="00A912BC" w:rsidRDefault="004B3B8F">
      <w:pPr>
        <w:spacing w:after="120"/>
        <w:ind w:left="2160"/>
        <w:jc w:val="both"/>
        <w:rPr>
          <w:rFonts w:asciiTheme="majorHAnsi" w:hAnsiTheme="majorHAnsi" w:cstheme="majorHAnsi"/>
          <w:sz w:val="20"/>
          <w:lang w:eastAsia="en-AU"/>
        </w:rPr>
      </w:pPr>
      <w:r w:rsidRPr="004B3B8F">
        <w:rPr>
          <w:rFonts w:asciiTheme="majorHAnsi" w:hAnsiTheme="majorHAnsi"/>
          <w:sz w:val="20"/>
        </w:rPr>
        <w:t xml:space="preserve">FMP graduates working in CHCs are followed up in order to understand their </w:t>
      </w:r>
      <w:r w:rsidRPr="004B3B8F">
        <w:rPr>
          <w:rFonts w:asciiTheme="majorHAnsi" w:hAnsiTheme="majorHAnsi" w:cstheme="majorHAnsi"/>
          <w:sz w:val="20"/>
          <w:lang w:eastAsia="en-AU"/>
        </w:rPr>
        <w:t>working conditions and liaise with management to improve HF readiness where necessary (note that this would not necessarily need to be done by RACS itself);</w:t>
      </w:r>
    </w:p>
    <w:p w14:paraId="53730530" w14:textId="77777777" w:rsidR="00A912BC" w:rsidRDefault="004B3B8F">
      <w:pPr>
        <w:spacing w:after="120"/>
        <w:ind w:left="2160"/>
        <w:jc w:val="both"/>
        <w:rPr>
          <w:rFonts w:asciiTheme="majorHAnsi" w:hAnsiTheme="majorHAnsi" w:cstheme="majorHAnsi"/>
          <w:sz w:val="20"/>
          <w:lang w:eastAsia="en-AU"/>
        </w:rPr>
      </w:pPr>
      <w:r w:rsidRPr="004B3B8F">
        <w:rPr>
          <w:rFonts w:asciiTheme="majorHAnsi" w:hAnsiTheme="majorHAnsi"/>
          <w:sz w:val="20"/>
        </w:rPr>
        <w:lastRenderedPageBreak/>
        <w:t xml:space="preserve">the project continues to promote best practice related to teaching, clinical governance and audit; </w:t>
      </w:r>
    </w:p>
    <w:p w14:paraId="7E9ADA1A" w14:textId="77777777" w:rsidR="00A912BC" w:rsidRDefault="004B3B8F">
      <w:pPr>
        <w:spacing w:after="120"/>
        <w:ind w:left="2160"/>
        <w:jc w:val="both"/>
        <w:rPr>
          <w:rFonts w:asciiTheme="majorHAnsi" w:hAnsiTheme="majorHAnsi"/>
          <w:sz w:val="20"/>
        </w:rPr>
      </w:pPr>
      <w:r w:rsidRPr="004B3B8F">
        <w:rPr>
          <w:rFonts w:asciiTheme="majorHAnsi" w:hAnsiTheme="majorHAnsi"/>
          <w:sz w:val="20"/>
        </w:rPr>
        <w:t xml:space="preserve">the project adopts a target of producing at least one and preferably two FMP doctors per CHC by 2021; and </w:t>
      </w:r>
    </w:p>
    <w:p w14:paraId="15AE0538" w14:textId="77777777" w:rsidR="00A912BC" w:rsidRDefault="004B3B8F">
      <w:pPr>
        <w:spacing w:after="120"/>
        <w:ind w:left="2160"/>
        <w:jc w:val="both"/>
        <w:rPr>
          <w:rFonts w:asciiTheme="majorHAnsi" w:hAnsiTheme="majorHAnsi" w:cstheme="majorHAnsi"/>
          <w:sz w:val="20"/>
          <w:lang w:eastAsia="en-AU"/>
        </w:rPr>
      </w:pPr>
      <w:r w:rsidRPr="004B3B8F">
        <w:rPr>
          <w:rFonts w:asciiTheme="majorHAnsi" w:hAnsiTheme="majorHAnsi"/>
          <w:sz w:val="20"/>
        </w:rPr>
        <w:t>the project finishes training those already enrolled for other special</w:t>
      </w:r>
      <w:r w:rsidRPr="004B3B8F">
        <w:rPr>
          <w:rFonts w:asciiTheme="majorHAnsi" w:hAnsiTheme="majorHAnsi" w:cstheme="majorHAnsi"/>
          <w:sz w:val="20"/>
          <w:lang w:eastAsia="en-AU"/>
        </w:rPr>
        <w:t>ties but does not enroll any more trainees for these areas during the project period</w:t>
      </w:r>
      <w:r w:rsidR="0069333C">
        <w:rPr>
          <w:rFonts w:asciiTheme="majorHAnsi" w:hAnsiTheme="majorHAnsi" w:cstheme="majorHAnsi"/>
          <w:sz w:val="20"/>
          <w:lang w:eastAsia="en-AU"/>
        </w:rPr>
        <w:t xml:space="preserve">, since </w:t>
      </w:r>
      <w:r w:rsidR="00691AA5">
        <w:rPr>
          <w:rFonts w:asciiTheme="majorHAnsi" w:hAnsiTheme="majorHAnsi" w:cstheme="majorHAnsi"/>
          <w:sz w:val="20"/>
          <w:lang w:eastAsia="en-AU"/>
        </w:rPr>
        <w:t>current enrolment is</w:t>
      </w:r>
      <w:r w:rsidR="0069333C">
        <w:rPr>
          <w:rFonts w:asciiTheme="majorHAnsi" w:hAnsiTheme="majorHAnsi" w:cstheme="majorHAnsi"/>
          <w:sz w:val="20"/>
          <w:lang w:eastAsia="en-AU"/>
        </w:rPr>
        <w:t xml:space="preserve"> already </w:t>
      </w:r>
      <w:r w:rsidR="00691AA5">
        <w:rPr>
          <w:rFonts w:asciiTheme="majorHAnsi" w:hAnsiTheme="majorHAnsi" w:cstheme="majorHAnsi"/>
          <w:sz w:val="20"/>
          <w:lang w:eastAsia="en-AU"/>
        </w:rPr>
        <w:t>running ahead of</w:t>
      </w:r>
      <w:r w:rsidR="0069333C">
        <w:rPr>
          <w:rFonts w:asciiTheme="majorHAnsi" w:hAnsiTheme="majorHAnsi" w:cstheme="majorHAnsi"/>
          <w:sz w:val="20"/>
          <w:lang w:eastAsia="en-AU"/>
        </w:rPr>
        <w:t xml:space="preserve"> targets.</w:t>
      </w:r>
    </w:p>
    <w:p w14:paraId="500AECDD" w14:textId="77777777" w:rsidR="00A912BC" w:rsidRDefault="00A912BC">
      <w:pPr>
        <w:ind w:left="720"/>
        <w:jc w:val="both"/>
        <w:rPr>
          <w:rFonts w:asciiTheme="majorHAnsi" w:hAnsiTheme="majorHAnsi" w:cstheme="majorHAnsi"/>
          <w:sz w:val="20"/>
          <w:lang w:eastAsia="en-AU"/>
        </w:rPr>
      </w:pPr>
    </w:p>
    <w:p w14:paraId="4E2DCAFA" w14:textId="489E6D63" w:rsidR="00A912BC" w:rsidRDefault="004B3B8F">
      <w:pPr>
        <w:ind w:left="720"/>
        <w:jc w:val="both"/>
        <w:rPr>
          <w:rFonts w:asciiTheme="majorHAnsi" w:hAnsiTheme="majorHAnsi"/>
          <w:sz w:val="20"/>
        </w:rPr>
      </w:pPr>
      <w:r w:rsidRPr="004B3B8F">
        <w:rPr>
          <w:rFonts w:asciiTheme="majorHAnsi" w:hAnsiTheme="majorHAnsi"/>
          <w:sz w:val="20"/>
        </w:rPr>
        <w:t>DFAT/PHD will need to work with RACS to explore budget implications of the above, with a view to keeping the budget at or below its current level.</w:t>
      </w:r>
      <w:r w:rsidR="003B6A72">
        <w:rPr>
          <w:rFonts w:asciiTheme="majorHAnsi" w:hAnsiTheme="majorHAnsi"/>
          <w:sz w:val="20"/>
        </w:rPr>
        <w:t xml:space="preserve">  At the same time, dialogue with the MoH on the planning and priorities for the government’s Human Capital Development Fund</w:t>
      </w:r>
    </w:p>
    <w:p w14:paraId="4DD0B9DA" w14:textId="77777777" w:rsidR="00A912BC" w:rsidRDefault="00A912BC">
      <w:pPr>
        <w:jc w:val="both"/>
        <w:rPr>
          <w:rFonts w:asciiTheme="majorHAnsi" w:hAnsiTheme="majorHAnsi"/>
          <w:sz w:val="20"/>
        </w:rPr>
      </w:pPr>
    </w:p>
    <w:p w14:paraId="5B76C2A6" w14:textId="77777777" w:rsidR="00A912BC" w:rsidRDefault="001C4500">
      <w:pPr>
        <w:pStyle w:val="Heading3"/>
        <w:jc w:val="both"/>
      </w:pPr>
      <w:bookmarkStart w:id="30" w:name="_Toc378838746"/>
      <w:r w:rsidRPr="00267B79">
        <w:t xml:space="preserve">(c) </w:t>
      </w:r>
      <w:r w:rsidR="005230DB" w:rsidRPr="00267B79">
        <w:t>Begin three n</w:t>
      </w:r>
      <w:r w:rsidRPr="00267B79">
        <w:t>ew investments</w:t>
      </w:r>
      <w:bookmarkEnd w:id="30"/>
      <w:r w:rsidR="0029590C" w:rsidRPr="00267B79">
        <w:t xml:space="preserve"> </w:t>
      </w:r>
    </w:p>
    <w:p w14:paraId="76164E11" w14:textId="77777777" w:rsidR="00A912BC" w:rsidRDefault="00A912BC">
      <w:pPr>
        <w:jc w:val="both"/>
        <w:rPr>
          <w:rFonts w:asciiTheme="majorHAnsi" w:hAnsiTheme="majorHAnsi"/>
          <w:sz w:val="20"/>
        </w:rPr>
      </w:pPr>
    </w:p>
    <w:p w14:paraId="50BDD45E" w14:textId="77777777" w:rsidR="00A912BC" w:rsidRDefault="002D021D">
      <w:pPr>
        <w:ind w:left="680"/>
        <w:jc w:val="both"/>
        <w:rPr>
          <w:rFonts w:asciiTheme="majorHAnsi" w:hAnsiTheme="majorHAnsi"/>
          <w:sz w:val="20"/>
        </w:rPr>
      </w:pPr>
      <w:r w:rsidRPr="002D021D">
        <w:rPr>
          <w:rFonts w:asciiTheme="majorHAnsi" w:hAnsiTheme="majorHAnsi"/>
          <w:b/>
          <w:sz w:val="20"/>
        </w:rPr>
        <w:t>Obstetric and neonatal care:</w:t>
      </w:r>
      <w:r w:rsidRPr="002D021D">
        <w:rPr>
          <w:rFonts w:asciiTheme="majorHAnsi" w:hAnsiTheme="majorHAnsi"/>
          <w:sz w:val="20"/>
        </w:rPr>
        <w:t xml:space="preserve"> Drawing on its experience and comparative advantage in this sub-sector, DFAT/PHD should increase the ambition of its program in relation to care at delivery in response to (i) MOH’s recognition of the importance of EmONC and readiness to address it (see Findings, section 1 and 2) and (ii) the evolution of arrangements for SCD/ENBC training (see Findings, section 6 and Recommendations by health system objective, above). To this end DFAT/PHD should:</w:t>
      </w:r>
    </w:p>
    <w:p w14:paraId="1D88ED19" w14:textId="77777777" w:rsidR="00A912BC" w:rsidRDefault="00A912BC">
      <w:pPr>
        <w:pStyle w:val="ListParagraph"/>
        <w:ind w:left="1134"/>
        <w:jc w:val="both"/>
        <w:rPr>
          <w:rFonts w:asciiTheme="majorHAnsi" w:hAnsiTheme="majorHAnsi"/>
          <w:sz w:val="20"/>
        </w:rPr>
      </w:pPr>
    </w:p>
    <w:p w14:paraId="28FC8E7B" w14:textId="77777777" w:rsidR="001F3BF6" w:rsidRDefault="004B3B8F">
      <w:pPr>
        <w:pStyle w:val="ListParagraph"/>
        <w:numPr>
          <w:ilvl w:val="0"/>
          <w:numId w:val="20"/>
        </w:numPr>
        <w:spacing w:after="120"/>
        <w:ind w:left="1359" w:hanging="340"/>
        <w:contextualSpacing w:val="0"/>
        <w:jc w:val="both"/>
        <w:rPr>
          <w:rFonts w:asciiTheme="majorHAnsi" w:hAnsiTheme="majorHAnsi"/>
          <w:sz w:val="20"/>
        </w:rPr>
      </w:pPr>
      <w:r w:rsidRPr="004B3B8F">
        <w:rPr>
          <w:rFonts w:asciiTheme="majorHAnsi" w:hAnsiTheme="majorHAnsi"/>
          <w:sz w:val="20"/>
        </w:rPr>
        <w:t xml:space="preserve">subject to the provisions of the new MOH HR strategy, work with INS to outline a curriculum for 4-6 weeks clinical training for new midwifery graduates prior to recruitment; this would cover FP, ANC, SCD/ENBC and PNC; candidates demonstrating competency would receive INS certificates; </w:t>
      </w:r>
    </w:p>
    <w:p w14:paraId="7BF2D993" w14:textId="77777777" w:rsidR="001F3BF6" w:rsidRDefault="004B3B8F">
      <w:pPr>
        <w:pStyle w:val="ListParagraph"/>
        <w:numPr>
          <w:ilvl w:val="0"/>
          <w:numId w:val="20"/>
        </w:numPr>
        <w:spacing w:after="120"/>
        <w:ind w:left="1359" w:hanging="340"/>
        <w:contextualSpacing w:val="0"/>
        <w:jc w:val="both"/>
        <w:rPr>
          <w:rFonts w:asciiTheme="majorHAnsi" w:hAnsiTheme="majorHAnsi"/>
          <w:sz w:val="20"/>
        </w:rPr>
      </w:pPr>
      <w:r w:rsidRPr="004B3B8F">
        <w:rPr>
          <w:rFonts w:asciiTheme="majorHAnsi" w:hAnsiTheme="majorHAnsi"/>
          <w:sz w:val="20"/>
        </w:rPr>
        <w:t xml:space="preserve">subject to evidence of MOH ownership and leadership of EmONC IPA and to indications that MOH and other partners will contribute, agree on BEmONC equipment to be supplied and work with INS to outline a curriculum for BEmONC competences needed among currently serving midwives in HFs targeted by the EmONC IPA; and </w:t>
      </w:r>
    </w:p>
    <w:p w14:paraId="2E91D4E3" w14:textId="77777777" w:rsidR="001F3BF6" w:rsidRDefault="004B3B8F">
      <w:pPr>
        <w:pStyle w:val="ListParagraph"/>
        <w:numPr>
          <w:ilvl w:val="0"/>
          <w:numId w:val="20"/>
        </w:numPr>
        <w:spacing w:after="120"/>
        <w:ind w:left="1359" w:hanging="340"/>
        <w:contextualSpacing w:val="0"/>
        <w:jc w:val="both"/>
        <w:rPr>
          <w:rFonts w:asciiTheme="majorHAnsi" w:hAnsiTheme="majorHAnsi"/>
          <w:sz w:val="20"/>
        </w:rPr>
      </w:pPr>
      <w:r w:rsidRPr="004B3B8F">
        <w:rPr>
          <w:rFonts w:asciiTheme="majorHAnsi" w:hAnsiTheme="majorHAnsi"/>
          <w:sz w:val="20"/>
        </w:rPr>
        <w:t>tender for a new project to work with MOH, INS and SAMES to deliver the above, to begin in 2019.</w:t>
      </w:r>
    </w:p>
    <w:p w14:paraId="2BA0E54D" w14:textId="77777777" w:rsidR="00A912BC" w:rsidRDefault="00A912BC">
      <w:pPr>
        <w:jc w:val="both"/>
        <w:rPr>
          <w:rFonts w:asciiTheme="majorHAnsi" w:hAnsiTheme="majorHAnsi"/>
          <w:sz w:val="20"/>
        </w:rPr>
      </w:pPr>
    </w:p>
    <w:p w14:paraId="568996D5" w14:textId="77777777" w:rsidR="00A912BC" w:rsidRDefault="004B3B8F">
      <w:pPr>
        <w:ind w:left="720"/>
        <w:jc w:val="both"/>
        <w:rPr>
          <w:rFonts w:asciiTheme="majorHAnsi" w:hAnsiTheme="majorHAnsi"/>
          <w:sz w:val="20"/>
        </w:rPr>
      </w:pPr>
      <w:r w:rsidRPr="004B3B8F">
        <w:rPr>
          <w:rFonts w:asciiTheme="majorHAnsi" w:hAnsiTheme="majorHAnsi"/>
          <w:b/>
          <w:sz w:val="20"/>
        </w:rPr>
        <w:t>Management:</w:t>
      </w:r>
      <w:r w:rsidRPr="004B3B8F">
        <w:rPr>
          <w:rFonts w:asciiTheme="majorHAnsi" w:hAnsiTheme="majorHAnsi"/>
          <w:sz w:val="20"/>
        </w:rPr>
        <w:t xml:space="preserve"> to address gaps in management skills, which already adversely affect the range, quality and reach of RMNCH services and may have more severe consequences as decentralization proceeds (see Findings, Section 1, 4 and 6), DFAT/PHD should:</w:t>
      </w:r>
    </w:p>
    <w:p w14:paraId="776C5DBD" w14:textId="77777777" w:rsidR="00A912BC" w:rsidRDefault="00A912BC">
      <w:pPr>
        <w:ind w:left="720"/>
        <w:jc w:val="both"/>
        <w:rPr>
          <w:rFonts w:asciiTheme="majorHAnsi" w:hAnsiTheme="majorHAnsi"/>
          <w:sz w:val="20"/>
        </w:rPr>
      </w:pPr>
    </w:p>
    <w:p w14:paraId="13551F3D" w14:textId="77777777" w:rsidR="001F3BF6" w:rsidRDefault="004B3B8F">
      <w:pPr>
        <w:pStyle w:val="ListParagraph"/>
        <w:numPr>
          <w:ilvl w:val="0"/>
          <w:numId w:val="21"/>
        </w:numPr>
        <w:ind w:left="1440"/>
        <w:jc w:val="both"/>
        <w:rPr>
          <w:rFonts w:asciiTheme="majorHAnsi" w:hAnsiTheme="majorHAnsi"/>
          <w:sz w:val="20"/>
        </w:rPr>
      </w:pPr>
      <w:r w:rsidRPr="004B3B8F">
        <w:rPr>
          <w:rFonts w:asciiTheme="majorHAnsi" w:hAnsiTheme="majorHAnsi"/>
          <w:sz w:val="20"/>
        </w:rPr>
        <w:t>subject to the provisions of the new MOH strategic plan for HR management, work with MOH and INS during 2018 to design an Initiative to Strengthen Health Management At Every Level (ISHMAEL) to begin in 2019;</w:t>
      </w:r>
    </w:p>
    <w:p w14:paraId="439C1923" w14:textId="77777777" w:rsidR="00A912BC" w:rsidRDefault="00A912BC">
      <w:pPr>
        <w:pStyle w:val="ListParagraph"/>
        <w:ind w:left="1440"/>
        <w:jc w:val="both"/>
        <w:rPr>
          <w:rFonts w:asciiTheme="majorHAnsi" w:hAnsiTheme="majorHAnsi"/>
          <w:sz w:val="20"/>
        </w:rPr>
      </w:pPr>
    </w:p>
    <w:p w14:paraId="567D3379" w14:textId="77777777" w:rsidR="001F3BF6" w:rsidRDefault="004B3B8F">
      <w:pPr>
        <w:pStyle w:val="ListParagraph"/>
        <w:numPr>
          <w:ilvl w:val="0"/>
          <w:numId w:val="21"/>
        </w:numPr>
        <w:ind w:left="1440"/>
        <w:jc w:val="both"/>
        <w:rPr>
          <w:rFonts w:asciiTheme="majorHAnsi" w:hAnsiTheme="majorHAnsi"/>
          <w:sz w:val="20"/>
        </w:rPr>
      </w:pPr>
      <w:r w:rsidRPr="004B3B8F">
        <w:rPr>
          <w:rFonts w:asciiTheme="majorHAnsi" w:hAnsiTheme="majorHAnsi"/>
          <w:sz w:val="20"/>
        </w:rPr>
        <w:t xml:space="preserve">among the first steps, include: (i) operations research with MOH to understand the challenges faced by </w:t>
      </w:r>
      <w:r w:rsidR="00DD3D03">
        <w:rPr>
          <w:rFonts w:asciiTheme="majorHAnsi" w:hAnsiTheme="majorHAnsi"/>
          <w:sz w:val="20"/>
        </w:rPr>
        <w:t>middle-level manager</w:t>
      </w:r>
      <w:r w:rsidR="003B68EA">
        <w:rPr>
          <w:rFonts w:asciiTheme="majorHAnsi" w:hAnsiTheme="majorHAnsi"/>
          <w:sz w:val="20"/>
        </w:rPr>
        <w:t>s</w:t>
      </w:r>
      <w:r w:rsidRPr="004B3B8F">
        <w:rPr>
          <w:rFonts w:asciiTheme="majorHAnsi" w:hAnsiTheme="majorHAnsi"/>
          <w:sz w:val="20"/>
        </w:rPr>
        <w:t xml:space="preserve"> in the context of decentralization; and (ii) TA to INS to review/adapt its existing Leadership and Management curriculum to the needs of </w:t>
      </w:r>
      <w:r w:rsidR="00DD3D03">
        <w:rPr>
          <w:rFonts w:asciiTheme="majorHAnsi" w:hAnsiTheme="majorHAnsi"/>
          <w:sz w:val="20"/>
        </w:rPr>
        <w:t>middle-level managers</w:t>
      </w:r>
      <w:r w:rsidRPr="004B3B8F">
        <w:rPr>
          <w:rFonts w:asciiTheme="majorHAnsi" w:hAnsiTheme="majorHAnsi"/>
          <w:sz w:val="20"/>
        </w:rPr>
        <w:t>, including skills for promoting a alignment of partners at municipal level, PFM, administration, supportive supervision, and management of infrastructure/equipment/supplies elements for RMNCH services (including BEmONC);</w:t>
      </w:r>
    </w:p>
    <w:p w14:paraId="1C2C880B" w14:textId="77777777" w:rsidR="00A912BC" w:rsidRDefault="00A912BC">
      <w:pPr>
        <w:jc w:val="both"/>
        <w:rPr>
          <w:rFonts w:asciiTheme="majorHAnsi" w:hAnsiTheme="majorHAnsi"/>
          <w:sz w:val="20"/>
        </w:rPr>
      </w:pPr>
    </w:p>
    <w:p w14:paraId="736BD4BA" w14:textId="77777777" w:rsidR="001F3BF6" w:rsidRDefault="004B3B8F">
      <w:pPr>
        <w:pStyle w:val="ListParagraph"/>
        <w:numPr>
          <w:ilvl w:val="0"/>
          <w:numId w:val="21"/>
        </w:numPr>
        <w:ind w:left="1440"/>
        <w:jc w:val="both"/>
        <w:rPr>
          <w:rFonts w:asciiTheme="majorHAnsi" w:hAnsiTheme="majorHAnsi"/>
          <w:sz w:val="20"/>
        </w:rPr>
      </w:pPr>
      <w:r w:rsidRPr="004B3B8F">
        <w:rPr>
          <w:rFonts w:asciiTheme="majorHAnsi" w:hAnsiTheme="majorHAnsi"/>
          <w:sz w:val="20"/>
        </w:rPr>
        <w:t xml:space="preserve">aim for an approach that is workplace-focused and practical (perhaps drawing on Australian TVET experience through </w:t>
      </w:r>
      <w:r w:rsidRPr="004B3B8F">
        <w:rPr>
          <w:rFonts w:asciiTheme="majorHAnsi" w:hAnsiTheme="majorHAnsi" w:cstheme="majorHAnsi"/>
          <w:sz w:val="20"/>
          <w:szCs w:val="20"/>
        </w:rPr>
        <w:t>Australia-Pacific Technical College</w:t>
      </w:r>
      <w:r w:rsidRPr="004B3B8F">
        <w:rPr>
          <w:rFonts w:asciiTheme="majorHAnsi" w:hAnsiTheme="majorHAnsi"/>
          <w:sz w:val="20"/>
        </w:rPr>
        <w:t xml:space="preserve"> (APTC) </w:t>
      </w:r>
      <w:r w:rsidR="00DD3D03">
        <w:rPr>
          <w:rFonts w:asciiTheme="majorHAnsi" w:hAnsiTheme="majorHAnsi"/>
          <w:sz w:val="20"/>
        </w:rPr>
        <w:t>middle-level manager</w:t>
      </w:r>
      <w:r w:rsidRPr="004B3B8F">
        <w:rPr>
          <w:rFonts w:asciiTheme="majorHAnsi" w:hAnsiTheme="majorHAnsi"/>
          <w:sz w:val="20"/>
        </w:rPr>
        <w:t xml:space="preserve"> courses and emphasizing ’logframe thinking’ for planning and management, decision-making, problem-solving, negotiating, etc); at a later stage, </w:t>
      </w:r>
      <w:r w:rsidRPr="004B3B8F">
        <w:rPr>
          <w:rFonts w:asciiTheme="majorHAnsi" w:hAnsiTheme="majorHAnsi"/>
          <w:sz w:val="20"/>
        </w:rPr>
        <w:lastRenderedPageBreak/>
        <w:t>related and complementary curricula can be developed for MOH senior managers, hospital managers and lower-level managers;</w:t>
      </w:r>
    </w:p>
    <w:p w14:paraId="0ACCCF65" w14:textId="77777777" w:rsidR="00A912BC" w:rsidRDefault="00A912BC">
      <w:pPr>
        <w:ind w:left="1080"/>
        <w:jc w:val="both"/>
        <w:rPr>
          <w:rFonts w:asciiTheme="majorHAnsi" w:hAnsiTheme="majorHAnsi"/>
          <w:sz w:val="20"/>
        </w:rPr>
      </w:pPr>
    </w:p>
    <w:p w14:paraId="6E3D17DA" w14:textId="77777777" w:rsidR="001F3BF6" w:rsidRDefault="004B3B8F">
      <w:pPr>
        <w:pStyle w:val="ListParagraph"/>
        <w:numPr>
          <w:ilvl w:val="0"/>
          <w:numId w:val="21"/>
        </w:numPr>
        <w:ind w:left="1440"/>
        <w:jc w:val="both"/>
        <w:rPr>
          <w:rFonts w:asciiTheme="majorHAnsi" w:hAnsiTheme="majorHAnsi"/>
          <w:sz w:val="20"/>
        </w:rPr>
      </w:pPr>
      <w:r w:rsidRPr="004B3B8F">
        <w:rPr>
          <w:rFonts w:asciiTheme="majorHAnsi" w:hAnsiTheme="majorHAnsi"/>
          <w:sz w:val="20"/>
        </w:rPr>
        <w:t>Include follow-up after training (FUAT) as part of the design, possibly involving coaching/mentoring support and update/refresher training after 1-2 years (linked to stages of decentralisation);</w:t>
      </w:r>
    </w:p>
    <w:p w14:paraId="38C8EEF2" w14:textId="77777777" w:rsidR="00A912BC" w:rsidRDefault="00A912BC">
      <w:pPr>
        <w:ind w:left="1080"/>
        <w:jc w:val="both"/>
        <w:rPr>
          <w:rFonts w:asciiTheme="majorHAnsi" w:hAnsiTheme="majorHAnsi"/>
          <w:sz w:val="20"/>
        </w:rPr>
      </w:pPr>
    </w:p>
    <w:p w14:paraId="0F83915C" w14:textId="77777777" w:rsidR="001F3BF6" w:rsidRDefault="004B3B8F">
      <w:pPr>
        <w:pStyle w:val="ListParagraph"/>
        <w:numPr>
          <w:ilvl w:val="0"/>
          <w:numId w:val="21"/>
        </w:numPr>
        <w:ind w:left="1440"/>
        <w:jc w:val="both"/>
        <w:rPr>
          <w:rFonts w:asciiTheme="majorHAnsi" w:hAnsiTheme="majorHAnsi"/>
          <w:sz w:val="20"/>
        </w:rPr>
      </w:pPr>
      <w:r w:rsidRPr="004B3B8F">
        <w:rPr>
          <w:rFonts w:asciiTheme="majorHAnsi" w:hAnsiTheme="majorHAnsi"/>
          <w:sz w:val="20"/>
        </w:rPr>
        <w:t xml:space="preserve">develop mechanisms to link this initiative to: (i) Community Based Monitoring activities; (ii) MOH ‘delegations’ to municipalities; (iii) DFAT/PHD TA to MOH on decentralization; and (iv) more broadly (through G4D) to central decision-making on decentralization; in other words, the initiative should feed into real-time system-wide monitoring of how decentralisation is working and what factors promote or inhibit functionality; and </w:t>
      </w:r>
    </w:p>
    <w:p w14:paraId="456C28EC" w14:textId="77777777" w:rsidR="00A912BC" w:rsidRDefault="00A912BC">
      <w:pPr>
        <w:ind w:left="1080"/>
        <w:jc w:val="both"/>
        <w:rPr>
          <w:rFonts w:asciiTheme="majorHAnsi" w:hAnsiTheme="majorHAnsi"/>
          <w:sz w:val="20"/>
        </w:rPr>
      </w:pPr>
    </w:p>
    <w:p w14:paraId="616ACFE8" w14:textId="77777777" w:rsidR="001F3BF6" w:rsidRDefault="004B3B8F">
      <w:pPr>
        <w:pStyle w:val="ListParagraph"/>
        <w:numPr>
          <w:ilvl w:val="0"/>
          <w:numId w:val="21"/>
        </w:numPr>
        <w:ind w:left="1440"/>
        <w:jc w:val="both"/>
        <w:rPr>
          <w:rFonts w:asciiTheme="majorHAnsi" w:hAnsiTheme="majorHAnsi"/>
          <w:sz w:val="20"/>
        </w:rPr>
      </w:pPr>
      <w:r w:rsidRPr="004B3B8F">
        <w:rPr>
          <w:rFonts w:asciiTheme="majorHAnsi" w:hAnsiTheme="majorHAnsi"/>
          <w:sz w:val="20"/>
        </w:rPr>
        <w:t>explore options for partnerships to implement this project, assuming (as a very rough estimate) a budget of AUD 1.5-2 million for the period 2019-2021.</w:t>
      </w:r>
    </w:p>
    <w:p w14:paraId="59B6DFE1" w14:textId="77777777" w:rsidR="00A912BC" w:rsidRDefault="00A912BC">
      <w:pPr>
        <w:ind w:left="720"/>
        <w:jc w:val="both"/>
        <w:rPr>
          <w:rFonts w:asciiTheme="majorHAnsi" w:hAnsiTheme="majorHAnsi"/>
          <w:sz w:val="20"/>
        </w:rPr>
      </w:pPr>
    </w:p>
    <w:p w14:paraId="57B7AA75" w14:textId="77777777" w:rsidR="00A912BC" w:rsidRDefault="00A912BC">
      <w:pPr>
        <w:jc w:val="both"/>
        <w:rPr>
          <w:rFonts w:asciiTheme="majorHAnsi" w:hAnsiTheme="majorHAnsi"/>
          <w:b/>
          <w:sz w:val="20"/>
        </w:rPr>
      </w:pPr>
    </w:p>
    <w:p w14:paraId="3C131DAD" w14:textId="77777777" w:rsidR="00A912BC" w:rsidRDefault="004B3B8F">
      <w:pPr>
        <w:ind w:left="720"/>
        <w:jc w:val="both"/>
        <w:rPr>
          <w:rFonts w:asciiTheme="majorHAnsi" w:hAnsiTheme="majorHAnsi"/>
          <w:sz w:val="20"/>
        </w:rPr>
      </w:pPr>
      <w:r w:rsidRPr="004B3B8F">
        <w:rPr>
          <w:rFonts w:asciiTheme="majorHAnsi" w:hAnsiTheme="majorHAnsi"/>
          <w:b/>
          <w:sz w:val="20"/>
        </w:rPr>
        <w:t>Technical Assistance:</w:t>
      </w:r>
      <w:r w:rsidRPr="004B3B8F">
        <w:rPr>
          <w:rFonts w:asciiTheme="majorHAnsi" w:hAnsiTheme="majorHAnsi"/>
          <w:sz w:val="20"/>
        </w:rPr>
        <w:t xml:space="preserve"> in response to improving MOH ownership and requests for a wider range of TA in the face of new challenges, as well as DFAT/PHD track record in supplying TA that has been effective and appreciated (see Findings, Section 1, 2 and 5), DFAT/PHD should: </w:t>
      </w:r>
    </w:p>
    <w:p w14:paraId="44664127" w14:textId="77777777" w:rsidR="00A912BC" w:rsidRDefault="00A912BC">
      <w:pPr>
        <w:ind w:left="720"/>
        <w:jc w:val="both"/>
        <w:rPr>
          <w:rFonts w:asciiTheme="majorHAnsi" w:hAnsiTheme="majorHAnsi"/>
          <w:sz w:val="20"/>
        </w:rPr>
      </w:pPr>
    </w:p>
    <w:p w14:paraId="21DE3DB3" w14:textId="77777777" w:rsidR="00A912BC" w:rsidRDefault="004B3B8F">
      <w:pPr>
        <w:pStyle w:val="ListParagraph"/>
        <w:numPr>
          <w:ilvl w:val="0"/>
          <w:numId w:val="28"/>
        </w:numPr>
        <w:jc w:val="both"/>
        <w:rPr>
          <w:rFonts w:asciiTheme="majorHAnsi" w:hAnsiTheme="majorHAnsi"/>
          <w:sz w:val="20"/>
        </w:rPr>
      </w:pPr>
      <w:r w:rsidRPr="004B3B8F">
        <w:rPr>
          <w:rFonts w:asciiTheme="majorHAnsi" w:hAnsiTheme="majorHAnsi"/>
          <w:sz w:val="20"/>
        </w:rPr>
        <w:t xml:space="preserve">in the coming three to six months, work with MOH to develop ground rules (e.g., eligibility criteria, management responsibilities etc) for a flexible TA budget line - with a fixed ceiling - within the DFAT/PHD program for a range of needs (e.g., health economics and financing, decentralization, health information, PFM, institutional reform for training of health workers, and </w:t>
      </w:r>
      <w:r w:rsidRPr="004B3B8F">
        <w:rPr>
          <w:rFonts w:asciiTheme="majorHAnsi" w:hAnsiTheme="majorHAnsi" w:cstheme="majorHAnsi"/>
          <w:sz w:val="20"/>
        </w:rPr>
        <w:t>citizen engagement in governance</w:t>
      </w:r>
      <w:r w:rsidRPr="004B3B8F">
        <w:rPr>
          <w:rFonts w:asciiTheme="majorHAnsi" w:hAnsiTheme="majorHAnsi"/>
          <w:sz w:val="20"/>
        </w:rPr>
        <w:t xml:space="preserve">); and </w:t>
      </w:r>
    </w:p>
    <w:p w14:paraId="65F1CF45" w14:textId="77777777" w:rsidR="00A912BC" w:rsidRDefault="00A912BC">
      <w:pPr>
        <w:ind w:left="720"/>
        <w:jc w:val="both"/>
        <w:rPr>
          <w:rFonts w:asciiTheme="majorHAnsi" w:hAnsiTheme="majorHAnsi"/>
          <w:sz w:val="20"/>
        </w:rPr>
      </w:pPr>
    </w:p>
    <w:p w14:paraId="08A982B4" w14:textId="77777777" w:rsidR="00A912BC" w:rsidRDefault="004B3B8F">
      <w:pPr>
        <w:pStyle w:val="ListParagraph"/>
        <w:numPr>
          <w:ilvl w:val="0"/>
          <w:numId w:val="29"/>
        </w:numPr>
        <w:jc w:val="both"/>
        <w:rPr>
          <w:rFonts w:asciiTheme="majorHAnsi" w:hAnsiTheme="majorHAnsi"/>
          <w:sz w:val="20"/>
        </w:rPr>
      </w:pPr>
      <w:r w:rsidRPr="004B3B8F">
        <w:rPr>
          <w:rFonts w:asciiTheme="majorHAnsi" w:hAnsiTheme="majorHAnsi"/>
          <w:sz w:val="20"/>
        </w:rPr>
        <w:t>subject to the outcome of this dialogue, create a Flexible TA budget line within the DFAT/PHD program of up to AUD 1 million per year from early- to mid-2018.</w:t>
      </w:r>
    </w:p>
    <w:p w14:paraId="6A07F7CC" w14:textId="77777777" w:rsidR="00A912BC" w:rsidRDefault="00A912BC">
      <w:pPr>
        <w:jc w:val="both"/>
        <w:rPr>
          <w:rFonts w:asciiTheme="majorHAnsi" w:hAnsiTheme="majorHAnsi"/>
        </w:rPr>
      </w:pPr>
    </w:p>
    <w:p w14:paraId="4EBA4718" w14:textId="77777777" w:rsidR="00A912BC" w:rsidRDefault="00A912BC">
      <w:pPr>
        <w:jc w:val="both"/>
        <w:rPr>
          <w:rFonts w:asciiTheme="majorHAnsi" w:hAnsiTheme="majorHAnsi"/>
        </w:rPr>
      </w:pPr>
    </w:p>
    <w:p w14:paraId="5B463278" w14:textId="77777777" w:rsidR="00A912BC" w:rsidRDefault="00E76A98">
      <w:pPr>
        <w:pStyle w:val="Heading2"/>
        <w:jc w:val="both"/>
      </w:pPr>
      <w:bookmarkStart w:id="31" w:name="_Toc378838747"/>
      <w:r w:rsidRPr="00267B79">
        <w:t xml:space="preserve">4. </w:t>
      </w:r>
      <w:r w:rsidR="00D5488F" w:rsidRPr="00267B79">
        <w:t>Suggestions for a ‘</w:t>
      </w:r>
      <w:r w:rsidR="00A2498E" w:rsidRPr="00267B79">
        <w:t>Whole-of-PHD</w:t>
      </w:r>
      <w:r w:rsidR="00D5488F" w:rsidRPr="00267B79">
        <w:t>’</w:t>
      </w:r>
      <w:r w:rsidR="00A2498E" w:rsidRPr="00267B79">
        <w:t xml:space="preserve"> approach</w:t>
      </w:r>
      <w:bookmarkEnd w:id="31"/>
    </w:p>
    <w:p w14:paraId="2F0AFBC3" w14:textId="77777777" w:rsidR="00A912BC" w:rsidRDefault="00A912BC">
      <w:pPr>
        <w:jc w:val="both"/>
        <w:rPr>
          <w:rFonts w:asciiTheme="majorHAnsi" w:hAnsiTheme="majorHAnsi"/>
          <w:sz w:val="20"/>
        </w:rPr>
      </w:pPr>
    </w:p>
    <w:p w14:paraId="53693D55" w14:textId="77777777" w:rsidR="00A912BC" w:rsidRDefault="004B3B8F">
      <w:pPr>
        <w:jc w:val="both"/>
        <w:rPr>
          <w:rFonts w:asciiTheme="majorHAnsi" w:hAnsiTheme="majorHAnsi"/>
          <w:sz w:val="20"/>
        </w:rPr>
      </w:pPr>
      <w:r w:rsidRPr="004B3B8F">
        <w:rPr>
          <w:rFonts w:asciiTheme="majorHAnsi" w:hAnsiTheme="majorHAnsi"/>
          <w:sz w:val="20"/>
        </w:rPr>
        <w:t>Improving RMNCH outcomes cuts across a number of sectors, and DFAT/PHD engagement in many of them confers considerable potential comparative advantage. The impact of the redesigned health program can be enhanced by leveraging investments across PHD to improve overall effectiveness and efficiency. Possibilities include:</w:t>
      </w:r>
    </w:p>
    <w:p w14:paraId="0762C963" w14:textId="77777777" w:rsidR="00A912BC" w:rsidRDefault="00A912BC">
      <w:pPr>
        <w:jc w:val="both"/>
        <w:rPr>
          <w:rFonts w:asciiTheme="majorHAnsi" w:hAnsiTheme="majorHAnsi"/>
          <w:sz w:val="20"/>
        </w:rPr>
      </w:pPr>
    </w:p>
    <w:p w14:paraId="73D496D4" w14:textId="77777777" w:rsidR="00A912BC" w:rsidRDefault="004B3B8F">
      <w:pPr>
        <w:jc w:val="both"/>
        <w:rPr>
          <w:rFonts w:asciiTheme="majorHAnsi" w:hAnsiTheme="majorHAnsi"/>
          <w:sz w:val="20"/>
        </w:rPr>
      </w:pPr>
      <w:r w:rsidRPr="004B3B8F">
        <w:rPr>
          <w:rFonts w:asciiTheme="majorHAnsi" w:hAnsiTheme="majorHAnsi"/>
          <w:i/>
          <w:sz w:val="20"/>
        </w:rPr>
        <w:t>Gender</w:t>
      </w:r>
      <w:r w:rsidRPr="004B3B8F">
        <w:rPr>
          <w:rFonts w:asciiTheme="majorHAnsi" w:hAnsiTheme="majorHAnsi"/>
          <w:sz w:val="20"/>
        </w:rPr>
        <w:t>: improving awareness of women’s rights, promotion of empowerment and transformative gender relations across whole of community/suco leadership;</w:t>
      </w:r>
    </w:p>
    <w:p w14:paraId="3DAB483D" w14:textId="77777777" w:rsidR="00A912BC" w:rsidRDefault="00A912BC">
      <w:pPr>
        <w:jc w:val="both"/>
        <w:rPr>
          <w:rFonts w:asciiTheme="majorHAnsi" w:hAnsiTheme="majorHAnsi"/>
          <w:sz w:val="20"/>
        </w:rPr>
      </w:pPr>
    </w:p>
    <w:p w14:paraId="6EFF2480" w14:textId="77777777" w:rsidR="00A912BC" w:rsidRDefault="004B3B8F">
      <w:pPr>
        <w:jc w:val="both"/>
        <w:rPr>
          <w:rFonts w:asciiTheme="majorHAnsi" w:hAnsiTheme="majorHAnsi"/>
          <w:sz w:val="20"/>
        </w:rPr>
      </w:pPr>
      <w:r w:rsidRPr="004B3B8F">
        <w:rPr>
          <w:rFonts w:asciiTheme="majorHAnsi" w:hAnsiTheme="majorHAnsi"/>
          <w:i/>
          <w:sz w:val="20"/>
        </w:rPr>
        <w:t>Disability</w:t>
      </w:r>
      <w:r w:rsidRPr="004B3B8F">
        <w:rPr>
          <w:rFonts w:asciiTheme="majorHAnsi" w:hAnsiTheme="majorHAnsi"/>
          <w:sz w:val="20"/>
        </w:rPr>
        <w:t>: promoting inclusion of people with disabilities in governance as well as facilitating access to and utilisation of health services</w:t>
      </w:r>
    </w:p>
    <w:p w14:paraId="4D282242" w14:textId="77777777" w:rsidR="00A912BC" w:rsidRDefault="00A912BC">
      <w:pPr>
        <w:jc w:val="both"/>
        <w:rPr>
          <w:rFonts w:asciiTheme="majorHAnsi" w:hAnsiTheme="majorHAnsi"/>
          <w:sz w:val="20"/>
        </w:rPr>
      </w:pPr>
    </w:p>
    <w:p w14:paraId="17B71D37" w14:textId="77777777" w:rsidR="00A912BC" w:rsidRDefault="004B3B8F">
      <w:pPr>
        <w:jc w:val="both"/>
        <w:rPr>
          <w:rFonts w:asciiTheme="majorHAnsi" w:hAnsiTheme="majorHAnsi"/>
          <w:sz w:val="20"/>
        </w:rPr>
      </w:pPr>
      <w:r w:rsidRPr="004B3B8F">
        <w:rPr>
          <w:rFonts w:asciiTheme="majorHAnsi" w:hAnsiTheme="majorHAnsi"/>
          <w:i/>
          <w:sz w:val="20"/>
        </w:rPr>
        <w:t>Education</w:t>
      </w:r>
      <w:r w:rsidRPr="004B3B8F">
        <w:rPr>
          <w:rFonts w:asciiTheme="majorHAnsi" w:hAnsiTheme="majorHAnsi"/>
          <w:sz w:val="20"/>
        </w:rPr>
        <w:t xml:space="preserve">: improving understanding sexual and reproductive health, including the benefits of delaying first pregnancy and spacing births; </w:t>
      </w:r>
    </w:p>
    <w:p w14:paraId="66E87549" w14:textId="77777777" w:rsidR="00A912BC" w:rsidRDefault="00A912BC">
      <w:pPr>
        <w:jc w:val="both"/>
        <w:rPr>
          <w:rFonts w:asciiTheme="majorHAnsi" w:hAnsiTheme="majorHAnsi"/>
          <w:sz w:val="20"/>
        </w:rPr>
      </w:pPr>
    </w:p>
    <w:p w14:paraId="7EE85519" w14:textId="16D14352" w:rsidR="00A912BC" w:rsidRDefault="004B3B8F">
      <w:pPr>
        <w:jc w:val="both"/>
        <w:rPr>
          <w:rFonts w:asciiTheme="majorHAnsi" w:hAnsiTheme="majorHAnsi"/>
          <w:sz w:val="20"/>
        </w:rPr>
      </w:pPr>
      <w:r w:rsidRPr="004B3B8F">
        <w:rPr>
          <w:rFonts w:asciiTheme="majorHAnsi" w:hAnsiTheme="majorHAnsi"/>
          <w:i/>
          <w:sz w:val="20"/>
        </w:rPr>
        <w:t>Nutrition</w:t>
      </w:r>
      <w:r w:rsidRPr="004B3B8F">
        <w:rPr>
          <w:rFonts w:asciiTheme="majorHAnsi" w:hAnsiTheme="majorHAnsi"/>
          <w:sz w:val="20"/>
        </w:rPr>
        <w:t>: improving nutrition for adolescents, women and infants by integrating messaging from Hamutuk program into Liga Inan and vice versa</w:t>
      </w:r>
      <w:r w:rsidR="005B077A">
        <w:rPr>
          <w:rFonts w:asciiTheme="majorHAnsi" w:hAnsiTheme="majorHAnsi"/>
          <w:sz w:val="20"/>
        </w:rPr>
        <w:t xml:space="preserve"> and improving the skills of frontline health workers to promote nutrition and treat malnutrition </w:t>
      </w:r>
    </w:p>
    <w:p w14:paraId="32158948" w14:textId="77777777" w:rsidR="00A912BC" w:rsidRDefault="00A912BC">
      <w:pPr>
        <w:jc w:val="both"/>
        <w:rPr>
          <w:rFonts w:asciiTheme="majorHAnsi" w:hAnsiTheme="majorHAnsi"/>
          <w:sz w:val="20"/>
        </w:rPr>
      </w:pPr>
    </w:p>
    <w:p w14:paraId="7F4069E4" w14:textId="77777777" w:rsidR="00A912BC" w:rsidRDefault="004B3B8F">
      <w:pPr>
        <w:jc w:val="both"/>
        <w:rPr>
          <w:rFonts w:asciiTheme="majorHAnsi" w:hAnsiTheme="majorHAnsi"/>
          <w:sz w:val="20"/>
        </w:rPr>
      </w:pPr>
      <w:r w:rsidRPr="004B3B8F">
        <w:rPr>
          <w:rFonts w:asciiTheme="majorHAnsi" w:hAnsiTheme="majorHAnsi"/>
          <w:i/>
          <w:sz w:val="20"/>
        </w:rPr>
        <w:t>WASH</w:t>
      </w:r>
      <w:r w:rsidRPr="004B3B8F">
        <w:rPr>
          <w:rFonts w:asciiTheme="majorHAnsi" w:hAnsiTheme="majorHAnsi"/>
          <w:sz w:val="20"/>
        </w:rPr>
        <w:t>: building on lessons from Water User Groups to inform CBM in the health sector</w:t>
      </w:r>
    </w:p>
    <w:p w14:paraId="652B4EC1" w14:textId="77777777" w:rsidR="00A912BC" w:rsidRDefault="00A912BC">
      <w:pPr>
        <w:jc w:val="both"/>
        <w:rPr>
          <w:rFonts w:asciiTheme="majorHAnsi" w:hAnsiTheme="majorHAnsi"/>
          <w:sz w:val="20"/>
        </w:rPr>
      </w:pPr>
    </w:p>
    <w:p w14:paraId="497936ED" w14:textId="77777777" w:rsidR="00A912BC" w:rsidRDefault="004B3B8F">
      <w:pPr>
        <w:jc w:val="both"/>
        <w:rPr>
          <w:rFonts w:asciiTheme="majorHAnsi" w:hAnsiTheme="majorHAnsi"/>
          <w:sz w:val="20"/>
        </w:rPr>
      </w:pPr>
      <w:r w:rsidRPr="004B3B8F">
        <w:rPr>
          <w:rFonts w:asciiTheme="majorHAnsi" w:hAnsiTheme="majorHAnsi"/>
          <w:i/>
          <w:sz w:val="20"/>
        </w:rPr>
        <w:lastRenderedPageBreak/>
        <w:t>Social protection</w:t>
      </w:r>
      <w:r w:rsidRPr="004B3B8F">
        <w:rPr>
          <w:rFonts w:asciiTheme="majorHAnsi" w:hAnsiTheme="majorHAnsi"/>
          <w:sz w:val="20"/>
        </w:rPr>
        <w:t xml:space="preserve">: if opportunities arise, investigating (i) health-related conditionalities for cash transfers and/or (ii) use of transport vouchers for rural/remote pregnant women to deliver in </w:t>
      </w:r>
      <w:r w:rsidR="0017620F">
        <w:rPr>
          <w:rFonts w:asciiTheme="majorHAnsi" w:hAnsiTheme="majorHAnsi"/>
          <w:sz w:val="20"/>
        </w:rPr>
        <w:t>HFs</w:t>
      </w:r>
      <w:r w:rsidRPr="004B3B8F">
        <w:rPr>
          <w:rFonts w:asciiTheme="majorHAnsi" w:hAnsiTheme="majorHAnsi"/>
          <w:sz w:val="20"/>
        </w:rPr>
        <w:t>.</w:t>
      </w:r>
    </w:p>
    <w:p w14:paraId="4A3D02C1" w14:textId="77777777" w:rsidR="00A912BC" w:rsidRDefault="00A912BC">
      <w:pPr>
        <w:jc w:val="both"/>
        <w:rPr>
          <w:rFonts w:asciiTheme="majorHAnsi" w:hAnsiTheme="majorHAnsi"/>
          <w:sz w:val="20"/>
        </w:rPr>
      </w:pPr>
    </w:p>
    <w:p w14:paraId="219F8C18" w14:textId="77777777" w:rsidR="00A912BC" w:rsidRDefault="004B3B8F">
      <w:pPr>
        <w:jc w:val="both"/>
        <w:rPr>
          <w:rFonts w:asciiTheme="majorHAnsi" w:hAnsiTheme="majorHAnsi"/>
          <w:sz w:val="20"/>
        </w:rPr>
      </w:pPr>
      <w:r w:rsidRPr="004B3B8F">
        <w:rPr>
          <w:rFonts w:asciiTheme="majorHAnsi" w:hAnsiTheme="majorHAnsi"/>
          <w:sz w:val="20"/>
        </w:rPr>
        <w:t>In municipalities where PHD has a presence across several sectors, it may be useful to put particular effort into assessing synergies, e.g., by giving emphasis to indicators that can capture synergies and/or by proposing additional in-depth studies.</w:t>
      </w:r>
    </w:p>
    <w:p w14:paraId="00CE305E" w14:textId="77777777" w:rsidR="00A912BC" w:rsidRDefault="00A912BC">
      <w:pPr>
        <w:jc w:val="both"/>
        <w:rPr>
          <w:rFonts w:asciiTheme="majorHAnsi" w:hAnsiTheme="majorHAnsi"/>
          <w:sz w:val="20"/>
        </w:rPr>
      </w:pPr>
    </w:p>
    <w:p w14:paraId="012229BE" w14:textId="77777777" w:rsidR="00A912BC" w:rsidRDefault="00A912BC">
      <w:pPr>
        <w:jc w:val="both"/>
        <w:rPr>
          <w:rFonts w:asciiTheme="majorHAnsi" w:hAnsiTheme="majorHAnsi"/>
          <w:sz w:val="20"/>
        </w:rPr>
      </w:pPr>
    </w:p>
    <w:p w14:paraId="16A81C38" w14:textId="77777777" w:rsidR="00A912BC" w:rsidRDefault="00A44553">
      <w:pPr>
        <w:pStyle w:val="Heading2"/>
        <w:jc w:val="both"/>
      </w:pPr>
      <w:bookmarkStart w:id="32" w:name="_Toc378838748"/>
      <w:r w:rsidRPr="00267B79">
        <w:t xml:space="preserve">5. </w:t>
      </w:r>
      <w:r w:rsidR="00B14A21" w:rsidRPr="00267B79">
        <w:t>Suggestions</w:t>
      </w:r>
      <w:r w:rsidR="00D5488F" w:rsidRPr="00267B79">
        <w:t xml:space="preserve"> for w</w:t>
      </w:r>
      <w:r w:rsidR="008E669D" w:rsidRPr="00267B79">
        <w:t>hat the program will not include</w:t>
      </w:r>
      <w:bookmarkEnd w:id="32"/>
    </w:p>
    <w:p w14:paraId="4A4F462D" w14:textId="77777777" w:rsidR="00A912BC" w:rsidRDefault="00A912BC">
      <w:pPr>
        <w:jc w:val="both"/>
        <w:rPr>
          <w:rFonts w:asciiTheme="majorHAnsi" w:hAnsiTheme="majorHAnsi"/>
          <w:b/>
          <w:sz w:val="20"/>
        </w:rPr>
      </w:pPr>
    </w:p>
    <w:p w14:paraId="5E4415E2" w14:textId="75106EDD" w:rsidR="00A912BC" w:rsidRDefault="004B3B8F">
      <w:pPr>
        <w:jc w:val="both"/>
        <w:rPr>
          <w:rFonts w:asciiTheme="majorHAnsi" w:hAnsiTheme="majorHAnsi"/>
          <w:sz w:val="20"/>
        </w:rPr>
      </w:pPr>
      <w:r w:rsidRPr="004B3B8F">
        <w:rPr>
          <w:rFonts w:asciiTheme="majorHAnsi" w:hAnsiTheme="majorHAnsi"/>
          <w:sz w:val="20"/>
        </w:rPr>
        <w:t xml:space="preserve">The program will not include any new buildings. With the exception of FP commodities (and only until such time as MOH/SAMES systems can reliably provide these), it will not supply drugs or consumables. With the exception of the MSTL clinic in Dili, which is needed as a training facility, the program will </w:t>
      </w:r>
      <w:r w:rsidR="00CD1BF8">
        <w:rPr>
          <w:rFonts w:asciiTheme="majorHAnsi" w:hAnsiTheme="majorHAnsi"/>
          <w:sz w:val="20"/>
        </w:rPr>
        <w:t>continue to deliver services alongside the Minist</w:t>
      </w:r>
      <w:r w:rsidR="00310F05">
        <w:rPr>
          <w:rFonts w:asciiTheme="majorHAnsi" w:hAnsiTheme="majorHAnsi"/>
          <w:sz w:val="20"/>
        </w:rPr>
        <w:t xml:space="preserve">ry of </w:t>
      </w:r>
      <w:r w:rsidR="00CD1BF8">
        <w:rPr>
          <w:rFonts w:asciiTheme="majorHAnsi" w:hAnsiTheme="majorHAnsi"/>
          <w:sz w:val="20"/>
        </w:rPr>
        <w:t>Health</w:t>
      </w:r>
      <w:r w:rsidRPr="004B3B8F">
        <w:rPr>
          <w:rFonts w:asciiTheme="majorHAnsi" w:hAnsiTheme="majorHAnsi"/>
          <w:sz w:val="20"/>
        </w:rPr>
        <w:t>.</w:t>
      </w:r>
    </w:p>
    <w:p w14:paraId="7508660D" w14:textId="77777777" w:rsidR="00A912BC" w:rsidRDefault="00A912BC">
      <w:pPr>
        <w:jc w:val="both"/>
        <w:rPr>
          <w:rFonts w:asciiTheme="majorHAnsi" w:hAnsiTheme="majorHAnsi"/>
          <w:sz w:val="20"/>
        </w:rPr>
      </w:pPr>
    </w:p>
    <w:p w14:paraId="5E3FF097" w14:textId="77777777" w:rsidR="00A912BC" w:rsidRDefault="004B3B8F">
      <w:pPr>
        <w:jc w:val="both"/>
        <w:rPr>
          <w:rFonts w:asciiTheme="majorHAnsi" w:hAnsiTheme="majorHAnsi"/>
        </w:rPr>
      </w:pPr>
      <w:r w:rsidRPr="004B3B8F">
        <w:rPr>
          <w:rFonts w:asciiTheme="majorHAnsi" w:hAnsiTheme="majorHAnsi"/>
          <w:sz w:val="20"/>
        </w:rPr>
        <w:t xml:space="preserve">The program should exclude anything that discriminates on the basis of ethnic origin, faith, disability, gender or sexuality. It must also exclude anything that harms children or </w:t>
      </w:r>
      <w:r w:rsidR="007C42FC">
        <w:rPr>
          <w:rFonts w:asciiTheme="majorHAnsi" w:hAnsiTheme="majorHAnsi"/>
          <w:sz w:val="20"/>
        </w:rPr>
        <w:t xml:space="preserve">damages </w:t>
      </w:r>
      <w:r w:rsidRPr="004B3B8F">
        <w:rPr>
          <w:rFonts w:asciiTheme="majorHAnsi" w:hAnsiTheme="majorHAnsi"/>
          <w:sz w:val="20"/>
        </w:rPr>
        <w:t>the environment.</w:t>
      </w:r>
    </w:p>
    <w:p w14:paraId="55FDB209" w14:textId="77777777" w:rsidR="00A912BC" w:rsidRDefault="00A912BC">
      <w:pPr>
        <w:jc w:val="both"/>
        <w:rPr>
          <w:rFonts w:asciiTheme="majorHAnsi" w:hAnsiTheme="majorHAnsi"/>
          <w:b/>
          <w:sz w:val="20"/>
        </w:rPr>
      </w:pPr>
    </w:p>
    <w:p w14:paraId="00A3F3AB" w14:textId="77777777" w:rsidR="00A912BC" w:rsidRDefault="00A912BC">
      <w:pPr>
        <w:jc w:val="both"/>
        <w:rPr>
          <w:rFonts w:asciiTheme="majorHAnsi" w:hAnsiTheme="majorHAnsi"/>
          <w:b/>
          <w:sz w:val="20"/>
        </w:rPr>
      </w:pPr>
    </w:p>
    <w:p w14:paraId="2CC785EB" w14:textId="77777777" w:rsidR="00A912BC" w:rsidRDefault="00A44553">
      <w:pPr>
        <w:pStyle w:val="Heading2"/>
        <w:jc w:val="both"/>
      </w:pPr>
      <w:bookmarkStart w:id="33" w:name="_Toc378838749"/>
      <w:r w:rsidRPr="00267B79">
        <w:t xml:space="preserve">6. </w:t>
      </w:r>
      <w:r w:rsidR="00D5488F" w:rsidRPr="00267B79">
        <w:t>Recommendations for t</w:t>
      </w:r>
      <w:r w:rsidR="009F2C81" w:rsidRPr="00267B79">
        <w:t>heory of change, M&amp;E and reporting</w:t>
      </w:r>
      <w:bookmarkEnd w:id="33"/>
    </w:p>
    <w:p w14:paraId="7D6954F2" w14:textId="77777777" w:rsidR="00A912BC" w:rsidRDefault="00A912BC">
      <w:pPr>
        <w:jc w:val="both"/>
        <w:rPr>
          <w:rFonts w:asciiTheme="majorHAnsi" w:hAnsiTheme="majorHAnsi"/>
          <w:b/>
          <w:color w:val="008000"/>
          <w:sz w:val="20"/>
        </w:rPr>
      </w:pPr>
    </w:p>
    <w:p w14:paraId="4CECC5AE" w14:textId="77777777" w:rsidR="00A912BC" w:rsidRDefault="004B3B8F">
      <w:pPr>
        <w:jc w:val="both"/>
        <w:rPr>
          <w:rFonts w:asciiTheme="majorHAnsi" w:hAnsiTheme="majorHAnsi"/>
          <w:sz w:val="20"/>
        </w:rPr>
      </w:pPr>
      <w:r w:rsidRPr="004B3B8F">
        <w:rPr>
          <w:rFonts w:asciiTheme="majorHAnsi" w:hAnsiTheme="majorHAnsi"/>
          <w:sz w:val="20"/>
        </w:rPr>
        <w:t xml:space="preserve">The redesigned health program will need a new theory of change and M&amp;E framework. These should be devised in alignment with NHSSP objectives so that MOH can readily see how they add value. </w:t>
      </w:r>
    </w:p>
    <w:p w14:paraId="32688CE3" w14:textId="77777777" w:rsidR="00A912BC" w:rsidRDefault="00A912BC">
      <w:pPr>
        <w:jc w:val="both"/>
        <w:rPr>
          <w:rFonts w:asciiTheme="majorHAnsi" w:hAnsiTheme="majorHAnsi"/>
          <w:sz w:val="20"/>
        </w:rPr>
      </w:pPr>
    </w:p>
    <w:p w14:paraId="6FF1B0C9" w14:textId="77777777" w:rsidR="00A912BC" w:rsidRDefault="004B3B8F">
      <w:pPr>
        <w:jc w:val="both"/>
        <w:rPr>
          <w:rFonts w:asciiTheme="majorHAnsi" w:hAnsiTheme="majorHAnsi"/>
          <w:sz w:val="20"/>
        </w:rPr>
      </w:pPr>
      <w:r w:rsidRPr="004B3B8F">
        <w:rPr>
          <w:rFonts w:asciiTheme="majorHAnsi" w:hAnsiTheme="majorHAnsi"/>
          <w:sz w:val="20"/>
        </w:rPr>
        <w:t xml:space="preserve">A simplified theory of change, intended as a starting point for further discussion and eventual refinement, is shown on the next page. Note that as this was drafted to align with NHSSP, demand-side elements are not specified separately but implied under Stewardship, Management and Service Delivery. </w:t>
      </w:r>
    </w:p>
    <w:p w14:paraId="2618046F" w14:textId="77777777" w:rsidR="00A912BC" w:rsidRDefault="00A912BC">
      <w:pPr>
        <w:jc w:val="both"/>
        <w:rPr>
          <w:rFonts w:asciiTheme="majorHAnsi" w:hAnsiTheme="majorHAnsi"/>
          <w:sz w:val="20"/>
        </w:rPr>
      </w:pPr>
    </w:p>
    <w:p w14:paraId="026EE215" w14:textId="77777777" w:rsidR="00A912BC" w:rsidRDefault="004B3B8F">
      <w:pPr>
        <w:jc w:val="both"/>
        <w:rPr>
          <w:rFonts w:asciiTheme="majorHAnsi" w:hAnsiTheme="majorHAnsi"/>
          <w:sz w:val="20"/>
        </w:rPr>
      </w:pPr>
      <w:r w:rsidRPr="004B3B8F">
        <w:rPr>
          <w:rFonts w:asciiTheme="majorHAnsi" w:hAnsiTheme="majorHAnsi"/>
          <w:sz w:val="20"/>
        </w:rPr>
        <w:t>Whole-of-health-program outcomes could be:</w:t>
      </w:r>
    </w:p>
    <w:p w14:paraId="72E3E53D" w14:textId="77777777" w:rsidR="00A912BC" w:rsidRDefault="00A912BC">
      <w:pPr>
        <w:jc w:val="both"/>
        <w:rPr>
          <w:rFonts w:asciiTheme="majorHAnsi" w:hAnsiTheme="majorHAnsi"/>
          <w:sz w:val="20"/>
        </w:rPr>
      </w:pPr>
    </w:p>
    <w:p w14:paraId="2BDE5C69" w14:textId="77777777" w:rsidR="00A912BC" w:rsidRDefault="004B3B8F" w:rsidP="007C42FC">
      <w:pPr>
        <w:ind w:left="720"/>
        <w:jc w:val="both"/>
        <w:rPr>
          <w:rFonts w:asciiTheme="majorHAnsi" w:hAnsiTheme="majorHAnsi"/>
          <w:color w:val="008000"/>
          <w:sz w:val="20"/>
          <w:highlight w:val="yellow"/>
        </w:rPr>
      </w:pPr>
      <w:r w:rsidRPr="004B3B8F">
        <w:rPr>
          <w:rFonts w:asciiTheme="majorHAnsi" w:hAnsiTheme="majorHAnsi"/>
          <w:sz w:val="20"/>
        </w:rPr>
        <w:t xml:space="preserve">Strengthened </w:t>
      </w:r>
      <w:r w:rsidRPr="004B3B8F">
        <w:rPr>
          <w:rFonts w:asciiTheme="majorHAnsi" w:hAnsiTheme="majorHAnsi"/>
          <w:sz w:val="20"/>
          <w:u w:val="single"/>
        </w:rPr>
        <w:t>stewardship and governance</w:t>
      </w:r>
      <w:r w:rsidRPr="004B3B8F">
        <w:rPr>
          <w:rFonts w:asciiTheme="majorHAnsi" w:hAnsiTheme="majorHAnsi"/>
          <w:sz w:val="20"/>
        </w:rPr>
        <w:t xml:space="preserve"> of health at all levels </w:t>
      </w:r>
    </w:p>
    <w:p w14:paraId="0C8BED4F" w14:textId="77777777" w:rsidR="00A912BC" w:rsidRDefault="004B3B8F" w:rsidP="0017620F">
      <w:pPr>
        <w:spacing w:after="120"/>
        <w:ind w:left="1440"/>
        <w:jc w:val="both"/>
        <w:rPr>
          <w:rFonts w:asciiTheme="majorHAnsi" w:hAnsiTheme="majorHAnsi"/>
          <w:sz w:val="20"/>
        </w:rPr>
      </w:pPr>
      <w:r w:rsidRPr="004B3B8F">
        <w:rPr>
          <w:rFonts w:asciiTheme="majorHAnsi" w:hAnsiTheme="majorHAnsi"/>
          <w:sz w:val="20"/>
        </w:rPr>
        <w:t xml:space="preserve">(through policy dialogue and TA - including TA for CBM - and by </w:t>
      </w:r>
      <w:r w:rsidR="00B73BD7">
        <w:rPr>
          <w:rFonts w:asciiTheme="majorHAnsi" w:hAnsiTheme="majorHAnsi"/>
          <w:sz w:val="20"/>
        </w:rPr>
        <w:t>facilitating</w:t>
      </w:r>
      <w:r w:rsidRPr="004B3B8F">
        <w:rPr>
          <w:rFonts w:asciiTheme="majorHAnsi" w:hAnsiTheme="majorHAnsi"/>
          <w:sz w:val="20"/>
        </w:rPr>
        <w:t xml:space="preserve"> </w:t>
      </w:r>
      <w:r w:rsidR="00DD3D03">
        <w:rPr>
          <w:rFonts w:asciiTheme="majorHAnsi" w:hAnsiTheme="majorHAnsi"/>
          <w:sz w:val="20"/>
        </w:rPr>
        <w:t>middle-level manager</w:t>
      </w:r>
      <w:r w:rsidRPr="004B3B8F">
        <w:rPr>
          <w:rFonts w:asciiTheme="majorHAnsi" w:hAnsiTheme="majorHAnsi"/>
          <w:sz w:val="20"/>
        </w:rPr>
        <w:t>s to channel feedback that could instigate action at higher levels)</w:t>
      </w:r>
    </w:p>
    <w:p w14:paraId="6F1B95E9" w14:textId="77777777" w:rsidR="00A912BC" w:rsidRDefault="004B3B8F" w:rsidP="007C42FC">
      <w:pPr>
        <w:ind w:left="720"/>
        <w:jc w:val="both"/>
        <w:rPr>
          <w:rFonts w:asciiTheme="majorHAnsi" w:hAnsiTheme="majorHAnsi"/>
          <w:sz w:val="20"/>
        </w:rPr>
      </w:pPr>
      <w:r w:rsidRPr="004B3B8F">
        <w:rPr>
          <w:rFonts w:asciiTheme="majorHAnsi" w:hAnsiTheme="majorHAnsi"/>
          <w:sz w:val="20"/>
        </w:rPr>
        <w:t xml:space="preserve">Better </w:t>
      </w:r>
      <w:r w:rsidRPr="004B3B8F">
        <w:rPr>
          <w:rFonts w:asciiTheme="majorHAnsi" w:hAnsiTheme="majorHAnsi"/>
          <w:sz w:val="20"/>
          <w:u w:val="single"/>
        </w:rPr>
        <w:t>management</w:t>
      </w:r>
      <w:r w:rsidRPr="004B3B8F">
        <w:rPr>
          <w:rFonts w:asciiTheme="majorHAnsi" w:hAnsiTheme="majorHAnsi"/>
          <w:sz w:val="20"/>
        </w:rPr>
        <w:t xml:space="preserve"> including administration and supervision</w:t>
      </w:r>
    </w:p>
    <w:p w14:paraId="1052FDEA" w14:textId="77777777" w:rsidR="00A912BC" w:rsidRPr="0017620F" w:rsidRDefault="004B3B8F" w:rsidP="0017620F">
      <w:pPr>
        <w:spacing w:after="120"/>
        <w:ind w:left="1440"/>
        <w:jc w:val="both"/>
        <w:rPr>
          <w:rFonts w:asciiTheme="majorHAnsi" w:hAnsiTheme="majorHAnsi"/>
          <w:sz w:val="20"/>
        </w:rPr>
      </w:pPr>
      <w:r w:rsidRPr="004B3B8F">
        <w:rPr>
          <w:rFonts w:asciiTheme="majorHAnsi" w:hAnsiTheme="majorHAnsi"/>
          <w:sz w:val="20"/>
        </w:rPr>
        <w:t xml:space="preserve">(through training, FUAT/coaching and operations research) </w:t>
      </w:r>
    </w:p>
    <w:p w14:paraId="5AE3ADA2" w14:textId="77777777" w:rsidR="00A912BC" w:rsidRDefault="004B3B8F" w:rsidP="007C42FC">
      <w:pPr>
        <w:ind w:left="720"/>
        <w:jc w:val="both"/>
        <w:rPr>
          <w:rFonts w:asciiTheme="majorHAnsi" w:hAnsiTheme="majorHAnsi"/>
          <w:sz w:val="20"/>
        </w:rPr>
      </w:pPr>
      <w:r w:rsidRPr="004B3B8F">
        <w:rPr>
          <w:rFonts w:asciiTheme="majorHAnsi" w:hAnsiTheme="majorHAnsi"/>
          <w:sz w:val="20"/>
          <w:u w:val="single"/>
        </w:rPr>
        <w:t>Health workforce</w:t>
      </w:r>
      <w:r w:rsidRPr="004B3B8F">
        <w:rPr>
          <w:rFonts w:asciiTheme="majorHAnsi" w:hAnsiTheme="majorHAnsi"/>
          <w:sz w:val="20"/>
        </w:rPr>
        <w:t xml:space="preserve"> with increased competences for RMNCH </w:t>
      </w:r>
    </w:p>
    <w:p w14:paraId="6B88FF75" w14:textId="77777777" w:rsidR="00A912BC" w:rsidRDefault="004B3B8F" w:rsidP="0017620F">
      <w:pPr>
        <w:spacing w:after="120"/>
        <w:ind w:left="1440"/>
        <w:jc w:val="both"/>
        <w:rPr>
          <w:rFonts w:asciiTheme="majorHAnsi" w:hAnsiTheme="majorHAnsi"/>
          <w:sz w:val="20"/>
        </w:rPr>
      </w:pPr>
      <w:r w:rsidRPr="004B3B8F">
        <w:rPr>
          <w:rFonts w:asciiTheme="majorHAnsi" w:hAnsiTheme="majorHAnsi"/>
          <w:sz w:val="20"/>
        </w:rPr>
        <w:t>(by strengthening skills in FP and delivery care, including BEmONC, and through postgraduate medical education)</w:t>
      </w:r>
    </w:p>
    <w:p w14:paraId="01BD2305" w14:textId="77777777" w:rsidR="00A912BC" w:rsidRDefault="004B3B8F" w:rsidP="007C42FC">
      <w:pPr>
        <w:ind w:left="720"/>
        <w:jc w:val="both"/>
        <w:rPr>
          <w:rFonts w:asciiTheme="majorHAnsi" w:hAnsiTheme="majorHAnsi"/>
          <w:sz w:val="20"/>
        </w:rPr>
      </w:pPr>
      <w:r w:rsidRPr="004B3B8F">
        <w:rPr>
          <w:rFonts w:asciiTheme="majorHAnsi" w:hAnsiTheme="majorHAnsi"/>
          <w:sz w:val="20"/>
        </w:rPr>
        <w:t xml:space="preserve">Improved health </w:t>
      </w:r>
      <w:r w:rsidRPr="004B3B8F">
        <w:rPr>
          <w:rFonts w:asciiTheme="majorHAnsi" w:hAnsiTheme="majorHAnsi"/>
          <w:sz w:val="20"/>
          <w:u w:val="single"/>
        </w:rPr>
        <w:t>infrastructure</w:t>
      </w:r>
      <w:r w:rsidRPr="004B3B8F">
        <w:rPr>
          <w:rFonts w:asciiTheme="majorHAnsi" w:hAnsiTheme="majorHAnsi"/>
          <w:sz w:val="20"/>
        </w:rPr>
        <w:t>, equipment and supplies</w:t>
      </w:r>
    </w:p>
    <w:p w14:paraId="4FF51F80" w14:textId="77777777" w:rsidR="00A912BC" w:rsidRDefault="004B3B8F" w:rsidP="0017620F">
      <w:pPr>
        <w:spacing w:after="120"/>
        <w:ind w:left="1440"/>
        <w:jc w:val="both"/>
        <w:rPr>
          <w:rFonts w:asciiTheme="majorHAnsi" w:hAnsiTheme="majorHAnsi"/>
          <w:sz w:val="20"/>
        </w:rPr>
      </w:pPr>
      <w:r w:rsidRPr="004B3B8F">
        <w:rPr>
          <w:rFonts w:asciiTheme="majorHAnsi" w:hAnsiTheme="majorHAnsi"/>
          <w:sz w:val="20"/>
        </w:rPr>
        <w:t>(by enabling managers to supervise and take measures to improve HF readiness, by providing some BEmONC equipment (if appropriate), and by ensuring supplies of FP commodities while reducing reliance on protected pipeline as and when possible)</w:t>
      </w:r>
    </w:p>
    <w:p w14:paraId="09C6638C" w14:textId="77777777" w:rsidR="00A912BC" w:rsidRDefault="004B3B8F" w:rsidP="007C42FC">
      <w:pPr>
        <w:ind w:left="720"/>
        <w:jc w:val="both"/>
        <w:rPr>
          <w:rFonts w:asciiTheme="majorHAnsi" w:hAnsiTheme="majorHAnsi"/>
          <w:sz w:val="20"/>
          <w:u w:val="single"/>
        </w:rPr>
      </w:pPr>
      <w:r w:rsidRPr="004B3B8F">
        <w:rPr>
          <w:rFonts w:asciiTheme="majorHAnsi" w:hAnsiTheme="majorHAnsi"/>
          <w:sz w:val="20"/>
        </w:rPr>
        <w:t xml:space="preserve">Enhanced RMNCH </w:t>
      </w:r>
      <w:r w:rsidRPr="004B3B8F">
        <w:rPr>
          <w:rFonts w:asciiTheme="majorHAnsi" w:hAnsiTheme="majorHAnsi"/>
          <w:sz w:val="20"/>
          <w:u w:val="single"/>
        </w:rPr>
        <w:t>service delivery</w:t>
      </w:r>
    </w:p>
    <w:p w14:paraId="1AE5A783" w14:textId="77777777" w:rsidR="00A912BC" w:rsidRDefault="004B3B8F" w:rsidP="0017620F">
      <w:pPr>
        <w:spacing w:after="120"/>
        <w:ind w:left="1440"/>
        <w:jc w:val="both"/>
        <w:rPr>
          <w:rFonts w:asciiTheme="majorHAnsi" w:hAnsiTheme="majorHAnsi"/>
          <w:sz w:val="20"/>
        </w:rPr>
      </w:pPr>
      <w:r w:rsidRPr="004B3B8F">
        <w:rPr>
          <w:rFonts w:asciiTheme="majorHAnsi" w:hAnsiTheme="majorHAnsi"/>
          <w:sz w:val="20"/>
        </w:rPr>
        <w:t>(by increasing the range, reach and quality of RMNCH services - and equitable utilization thereof - through all of the above).</w:t>
      </w:r>
    </w:p>
    <w:p w14:paraId="77580229" w14:textId="77777777" w:rsidR="00A912BC" w:rsidRDefault="00A912BC">
      <w:pPr>
        <w:jc w:val="both"/>
        <w:rPr>
          <w:rFonts w:asciiTheme="majorHAnsi" w:hAnsiTheme="majorHAnsi"/>
          <w:sz w:val="20"/>
        </w:rPr>
      </w:pPr>
    </w:p>
    <w:p w14:paraId="0657DA3B" w14:textId="77777777" w:rsidR="00A912BC" w:rsidRPr="00574DF1" w:rsidRDefault="004B3B8F">
      <w:pPr>
        <w:jc w:val="both"/>
        <w:rPr>
          <w:rFonts w:asciiTheme="majorHAnsi" w:hAnsiTheme="majorHAnsi" w:cs="Calibri Light"/>
          <w:color w:val="000000"/>
          <w:sz w:val="20"/>
        </w:rPr>
      </w:pPr>
      <w:r w:rsidRPr="004B3B8F">
        <w:rPr>
          <w:rFonts w:asciiTheme="majorHAnsi" w:hAnsiTheme="majorHAnsi" w:cs="Calibri Light"/>
          <w:color w:val="000000"/>
          <w:sz w:val="20"/>
        </w:rPr>
        <w:t xml:space="preserve">M&amp;E frameworks for individual projects will need to be developed in due course and nested into the above. To facilitate continued understanding and engagement of stakeholders, including MOH, these frameworks should be designed in ways that allow course corrections to be made from year to year without requiring major overhauls. Project reporting formats should be standardized in line with the partnership manual that MOH Directorate of Policy and Cooperation is developing. Annual overall </w:t>
      </w:r>
      <w:r w:rsidRPr="004B3B8F">
        <w:rPr>
          <w:rFonts w:asciiTheme="majorHAnsi" w:hAnsiTheme="majorHAnsi" w:cs="Calibri Light"/>
          <w:color w:val="000000"/>
          <w:sz w:val="20"/>
        </w:rPr>
        <w:lastRenderedPageBreak/>
        <w:t>program reports, as well as more frequent project reports, should be shared in accordance with MOH guidance</w:t>
      </w:r>
      <w:r w:rsidRPr="004B3B8F">
        <w:rPr>
          <w:rFonts w:asciiTheme="majorHAnsi" w:hAnsiTheme="majorHAnsi"/>
          <w:sz w:val="20"/>
        </w:rPr>
        <w:t>.</w:t>
      </w:r>
    </w:p>
    <w:p w14:paraId="735BBC4F" w14:textId="77777777" w:rsidR="008B233E" w:rsidRPr="008B233E" w:rsidRDefault="008B233E" w:rsidP="005478E9">
      <w:pPr>
        <w:jc w:val="both"/>
        <w:rPr>
          <w:rFonts w:asciiTheme="majorHAnsi" w:hAnsiTheme="majorHAnsi"/>
        </w:rPr>
        <w:sectPr w:rsidR="008B233E" w:rsidRPr="008B233E">
          <w:type w:val="continuous"/>
          <w:pgSz w:w="11900" w:h="16840"/>
          <w:pgMar w:top="1440" w:right="1800" w:bottom="1440" w:left="1800" w:header="708" w:footer="708" w:gutter="0"/>
          <w:cols w:space="708"/>
        </w:sectPr>
      </w:pPr>
    </w:p>
    <w:p w14:paraId="2154095A" w14:textId="77777777" w:rsidR="0012413B" w:rsidRPr="00267B79" w:rsidRDefault="003C0BA3">
      <w:pPr>
        <w:rPr>
          <w:rFonts w:asciiTheme="majorHAnsi" w:hAnsiTheme="majorHAnsi"/>
        </w:rPr>
        <w:sectPr w:rsidR="0012413B" w:rsidRPr="00267B79">
          <w:type w:val="continuous"/>
          <w:pgSz w:w="16840" w:h="11901" w:orient="landscape"/>
          <w:pgMar w:top="1797" w:right="1440" w:bottom="1797" w:left="1440" w:header="709" w:footer="709" w:gutter="0"/>
          <w:cols w:space="708"/>
        </w:sectPr>
      </w:pPr>
      <w:r>
        <w:rPr>
          <w:rFonts w:asciiTheme="majorHAnsi" w:hAnsiTheme="majorHAnsi"/>
          <w:noProof/>
          <w:lang w:val="en-AU" w:eastAsia="en-AU"/>
        </w:rPr>
        <w:lastRenderedPageBreak/>
        <w:drawing>
          <wp:inline distT="0" distB="0" distL="0" distR="0" wp14:anchorId="7EE90581" wp14:editId="4C851E93">
            <wp:extent cx="8020050" cy="5667375"/>
            <wp:effectExtent l="0" t="0" r="0" b="0"/>
            <wp:docPr id="1" name="Picture 0" descr="diagram 17102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71023.pdf"/>
                    <pic:cNvPicPr/>
                  </pic:nvPicPr>
                  <pic:blipFill>
                    <a:blip r:embed="rId17"/>
                    <a:stretch>
                      <a:fillRect/>
                    </a:stretch>
                  </pic:blipFill>
                  <pic:spPr>
                    <a:xfrm>
                      <a:off x="0" y="0"/>
                      <a:ext cx="8020050" cy="5667375"/>
                    </a:xfrm>
                    <a:prstGeom prst="rect">
                      <a:avLst/>
                    </a:prstGeom>
                  </pic:spPr>
                </pic:pic>
              </a:graphicData>
            </a:graphic>
          </wp:inline>
        </w:drawing>
      </w:r>
    </w:p>
    <w:p w14:paraId="2FF795D7" w14:textId="77777777" w:rsidR="00875871" w:rsidRPr="00267B79" w:rsidRDefault="00875871" w:rsidP="00EC6FA9">
      <w:pPr>
        <w:rPr>
          <w:rFonts w:asciiTheme="majorHAnsi" w:hAnsiTheme="majorHAnsi" w:cs="Calibri Light"/>
          <w:b/>
          <w:color w:val="000000"/>
        </w:rPr>
      </w:pPr>
    </w:p>
    <w:p w14:paraId="483C3245" w14:textId="77777777" w:rsidR="00A912BC" w:rsidRDefault="0074683D">
      <w:pPr>
        <w:pStyle w:val="Heading1"/>
        <w:jc w:val="both"/>
      </w:pPr>
      <w:bookmarkStart w:id="34" w:name="_Toc378838750"/>
      <w:r w:rsidRPr="00267B79">
        <w:t>RISKS</w:t>
      </w:r>
      <w:bookmarkEnd w:id="34"/>
      <w:r w:rsidRPr="00267B79">
        <w:t xml:space="preserve"> </w:t>
      </w:r>
    </w:p>
    <w:p w14:paraId="486160C0" w14:textId="77777777" w:rsidR="00A912BC" w:rsidRDefault="00A912BC">
      <w:pPr>
        <w:jc w:val="both"/>
        <w:rPr>
          <w:rFonts w:asciiTheme="majorHAnsi" w:hAnsiTheme="majorHAnsi"/>
        </w:rPr>
      </w:pPr>
    </w:p>
    <w:p w14:paraId="5AC97DDD" w14:textId="77777777" w:rsidR="00A912BC" w:rsidRDefault="004B3B8F">
      <w:pPr>
        <w:jc w:val="both"/>
        <w:rPr>
          <w:rFonts w:asciiTheme="majorHAnsi" w:hAnsiTheme="majorHAnsi"/>
          <w:sz w:val="20"/>
        </w:rPr>
      </w:pPr>
      <w:r w:rsidRPr="004B3B8F">
        <w:rPr>
          <w:rFonts w:asciiTheme="majorHAnsi" w:hAnsiTheme="majorHAnsi"/>
          <w:sz w:val="20"/>
        </w:rPr>
        <w:t>The program is expected to face – and to need to manage – the following risks:</w:t>
      </w:r>
    </w:p>
    <w:p w14:paraId="7EEE7880" w14:textId="77777777" w:rsidR="00A912BC" w:rsidRDefault="00A912BC">
      <w:pPr>
        <w:jc w:val="both"/>
        <w:rPr>
          <w:rFonts w:asciiTheme="majorHAnsi" w:hAnsiTheme="majorHAnsi"/>
          <w:sz w:val="20"/>
        </w:rPr>
      </w:pPr>
    </w:p>
    <w:p w14:paraId="1D91B1F3" w14:textId="77777777" w:rsidR="00A912BC" w:rsidRDefault="004B3B8F">
      <w:pPr>
        <w:jc w:val="both"/>
        <w:rPr>
          <w:rFonts w:asciiTheme="majorHAnsi" w:hAnsiTheme="majorHAnsi"/>
          <w:sz w:val="20"/>
        </w:rPr>
      </w:pPr>
      <w:r w:rsidRPr="004B3B8F">
        <w:rPr>
          <w:rFonts w:asciiTheme="majorHAnsi" w:hAnsiTheme="majorHAnsi"/>
          <w:sz w:val="20"/>
        </w:rPr>
        <w:t xml:space="preserve">Australian political risks could include acceleration of the recent downward trend in the overall aid budget, which might affect funding available for health in TL, or delay in progressing the Maritime Agreement, which might taint the bilateral relationship. Although the likelihood of these risks is low to moderate, their impacts on the program could be moderate to major. Careful monitoring of Australian national political dynamics by DFAT will be key to anticipating and managing such risks. </w:t>
      </w:r>
    </w:p>
    <w:p w14:paraId="79647D08" w14:textId="77777777" w:rsidR="00A912BC" w:rsidRDefault="00A912BC">
      <w:pPr>
        <w:jc w:val="both"/>
        <w:rPr>
          <w:rFonts w:asciiTheme="majorHAnsi" w:hAnsiTheme="majorHAnsi"/>
          <w:sz w:val="20"/>
        </w:rPr>
      </w:pPr>
    </w:p>
    <w:p w14:paraId="1F1DA03B" w14:textId="77777777" w:rsidR="00A912BC" w:rsidRDefault="004B3B8F">
      <w:pPr>
        <w:jc w:val="both"/>
        <w:rPr>
          <w:rFonts w:asciiTheme="majorHAnsi" w:hAnsiTheme="majorHAnsi"/>
          <w:sz w:val="20"/>
        </w:rPr>
      </w:pPr>
      <w:r w:rsidRPr="004B3B8F">
        <w:rPr>
          <w:rFonts w:asciiTheme="majorHAnsi" w:hAnsiTheme="majorHAnsi"/>
          <w:sz w:val="20"/>
        </w:rPr>
        <w:t>There is a low to moderate risk of overall political instability in TL, which could have moderate to major adverse impacts on program re-design and implementation.</w:t>
      </w:r>
    </w:p>
    <w:p w14:paraId="4E98C8E1" w14:textId="77777777" w:rsidR="00A912BC" w:rsidRDefault="00A912BC">
      <w:pPr>
        <w:jc w:val="both"/>
        <w:rPr>
          <w:rFonts w:asciiTheme="majorHAnsi" w:hAnsiTheme="majorHAnsi"/>
          <w:sz w:val="20"/>
        </w:rPr>
      </w:pPr>
    </w:p>
    <w:p w14:paraId="565F4A96" w14:textId="77777777" w:rsidR="00A912BC" w:rsidRDefault="004B3B8F">
      <w:pPr>
        <w:jc w:val="both"/>
        <w:rPr>
          <w:rFonts w:asciiTheme="majorHAnsi" w:hAnsiTheme="majorHAnsi"/>
          <w:sz w:val="20"/>
        </w:rPr>
      </w:pPr>
      <w:r w:rsidRPr="004B3B8F">
        <w:rPr>
          <w:rFonts w:asciiTheme="majorHAnsi" w:hAnsiTheme="majorHAnsi"/>
          <w:sz w:val="20"/>
        </w:rPr>
        <w:t>Changes to the political economy are likely in a dynamic and decentralizing health sector environment. These could have positive or negative impacts of high or low magnitude. DFAT/PHD therefore need to continuously monitor such changes and adjust approaches in response to emerging opportunities and/or threats.</w:t>
      </w:r>
    </w:p>
    <w:p w14:paraId="20BD3715" w14:textId="77777777" w:rsidR="00A912BC" w:rsidRDefault="00A912BC">
      <w:pPr>
        <w:jc w:val="both"/>
        <w:rPr>
          <w:rFonts w:asciiTheme="majorHAnsi" w:hAnsiTheme="majorHAnsi"/>
          <w:sz w:val="20"/>
        </w:rPr>
      </w:pPr>
    </w:p>
    <w:p w14:paraId="15F6EB43" w14:textId="77777777" w:rsidR="00A912BC" w:rsidRDefault="004B3B8F">
      <w:pPr>
        <w:jc w:val="both"/>
        <w:rPr>
          <w:rFonts w:asciiTheme="majorHAnsi" w:hAnsiTheme="majorHAnsi"/>
          <w:sz w:val="20"/>
        </w:rPr>
      </w:pPr>
      <w:r w:rsidRPr="004B3B8F">
        <w:rPr>
          <w:rFonts w:asciiTheme="majorHAnsi" w:hAnsiTheme="majorHAnsi"/>
          <w:sz w:val="20"/>
        </w:rPr>
        <w:t>Timor-Leste’s shrinking range of donors leaves the health sector with fewer external resources and makes Australia’s contribution and leadership role larger in relative terms. DFAT/PHD should lobby for continued funding from the Global Fund, to support malaria elimination, and should increasingly seek to set an example to other donors by aligning and harmonizing its aid and coordinating with other partners to speak with one voice to GOTL.</w:t>
      </w:r>
    </w:p>
    <w:p w14:paraId="3CAC1985" w14:textId="77777777" w:rsidR="00A912BC" w:rsidRDefault="00A912BC">
      <w:pPr>
        <w:jc w:val="both"/>
        <w:rPr>
          <w:rFonts w:asciiTheme="majorHAnsi" w:hAnsiTheme="majorHAnsi"/>
          <w:sz w:val="20"/>
        </w:rPr>
      </w:pPr>
    </w:p>
    <w:p w14:paraId="315BD54A" w14:textId="77777777" w:rsidR="00A912BC" w:rsidRDefault="004B3B8F">
      <w:pPr>
        <w:jc w:val="both"/>
        <w:rPr>
          <w:rFonts w:asciiTheme="majorHAnsi" w:hAnsiTheme="majorHAnsi"/>
          <w:sz w:val="20"/>
        </w:rPr>
      </w:pPr>
      <w:r w:rsidRPr="004B3B8F">
        <w:rPr>
          <w:rFonts w:asciiTheme="majorHAnsi" w:hAnsiTheme="majorHAnsi"/>
          <w:sz w:val="20"/>
        </w:rPr>
        <w:t>If MOH and other stakeholders experience the PHD management layer as something that increases complexity without adding value, it will hamper relationships and implementation. DFAT/PHD can manage this by using the principle of subsidiarity to clarify the hierarchy for decision-making and channels for communication, and by communicating these pro-actively.</w:t>
      </w:r>
    </w:p>
    <w:p w14:paraId="2B1246C9" w14:textId="77777777" w:rsidR="00A912BC" w:rsidRDefault="00A912BC">
      <w:pPr>
        <w:jc w:val="both"/>
        <w:rPr>
          <w:rFonts w:asciiTheme="majorHAnsi" w:hAnsiTheme="majorHAnsi"/>
          <w:sz w:val="20"/>
        </w:rPr>
      </w:pPr>
    </w:p>
    <w:p w14:paraId="77324AC2" w14:textId="77777777" w:rsidR="00A912BC" w:rsidRDefault="004B3B8F">
      <w:pPr>
        <w:jc w:val="both"/>
        <w:rPr>
          <w:rFonts w:asciiTheme="majorHAnsi" w:hAnsiTheme="majorHAnsi"/>
          <w:sz w:val="20"/>
        </w:rPr>
      </w:pPr>
      <w:r w:rsidRPr="004B3B8F">
        <w:rPr>
          <w:rFonts w:asciiTheme="majorHAnsi" w:hAnsiTheme="majorHAnsi"/>
          <w:sz w:val="20"/>
        </w:rPr>
        <w:t>Vehicle inspection and maintenance are more challenging than ambulance service management for MOH/GOTL to internalize, i.e., (i) HTP staff would be paid a lot less if employed by MOH so there is a risk they will leave; this could be mitigated if the current service were to be contracted in, at least for the first few years; and (ii) inspection and maintenance might not be handled well under decentralization; the Aileu model (now being tested) should be studied carefully to learn lessons.</w:t>
      </w:r>
    </w:p>
    <w:p w14:paraId="5F6AE817" w14:textId="77777777" w:rsidR="00A912BC" w:rsidRDefault="00A912BC">
      <w:pPr>
        <w:jc w:val="both"/>
        <w:rPr>
          <w:rFonts w:asciiTheme="majorHAnsi" w:hAnsiTheme="majorHAnsi"/>
          <w:sz w:val="20"/>
        </w:rPr>
      </w:pPr>
    </w:p>
    <w:p w14:paraId="23569EB0" w14:textId="77777777" w:rsidR="00A912BC" w:rsidRDefault="004B3B8F">
      <w:pPr>
        <w:jc w:val="both"/>
        <w:rPr>
          <w:rFonts w:asciiTheme="majorHAnsi" w:hAnsiTheme="majorHAnsi"/>
          <w:sz w:val="20"/>
        </w:rPr>
      </w:pPr>
      <w:r w:rsidRPr="004B3B8F">
        <w:rPr>
          <w:rFonts w:asciiTheme="majorHAnsi" w:hAnsiTheme="majorHAnsi"/>
          <w:sz w:val="20"/>
        </w:rPr>
        <w:t>A delay in the decision to create an autonomous ambulance service would in turn delay handover of responsibility to GOTL. DFAT/PHD can manage this risk by helping MOH make a strong case for establishing an autonomous agency.</w:t>
      </w:r>
    </w:p>
    <w:p w14:paraId="4D1281BB" w14:textId="77777777" w:rsidR="00A912BC" w:rsidRDefault="00A912BC">
      <w:pPr>
        <w:jc w:val="both"/>
        <w:rPr>
          <w:rFonts w:asciiTheme="majorHAnsi" w:hAnsiTheme="majorHAnsi"/>
          <w:sz w:val="20"/>
        </w:rPr>
      </w:pPr>
    </w:p>
    <w:p w14:paraId="5A07BAD3" w14:textId="77777777" w:rsidR="00A912BC" w:rsidRDefault="004B3B8F">
      <w:pPr>
        <w:jc w:val="both"/>
        <w:rPr>
          <w:rFonts w:asciiTheme="majorHAnsi" w:hAnsiTheme="majorHAnsi"/>
          <w:sz w:val="20"/>
        </w:rPr>
      </w:pPr>
      <w:r w:rsidRPr="004B3B8F">
        <w:rPr>
          <w:rFonts w:asciiTheme="majorHAnsi" w:hAnsiTheme="majorHAnsi"/>
          <w:sz w:val="20"/>
        </w:rPr>
        <w:t>Without a minimum of five to seven new ambulances per year, the emergency transport fleet will fail within a few years, leading to loss of morale and reputational risk for DFAT/PHD, as well as loss of life when emergencies arise. MFVs, for which municipalities are responsible, are already failing and about half of them now need to be replaced; SISCa, outreach and a number of other functions are already in jeopardy. Robust policy dialogue and TA during the handover period will be vital to managing this risk.</w:t>
      </w:r>
    </w:p>
    <w:p w14:paraId="75970CF6" w14:textId="77777777" w:rsidR="00A912BC" w:rsidRDefault="00A912BC">
      <w:pPr>
        <w:jc w:val="both"/>
        <w:rPr>
          <w:rFonts w:asciiTheme="majorHAnsi" w:hAnsiTheme="majorHAnsi"/>
          <w:sz w:val="20"/>
        </w:rPr>
      </w:pPr>
    </w:p>
    <w:p w14:paraId="3ED9312E" w14:textId="77777777" w:rsidR="00A912BC" w:rsidRDefault="004B3B8F">
      <w:pPr>
        <w:jc w:val="both"/>
        <w:rPr>
          <w:rFonts w:asciiTheme="majorHAnsi" w:hAnsiTheme="majorHAnsi"/>
          <w:sz w:val="20"/>
        </w:rPr>
      </w:pPr>
      <w:r w:rsidRPr="004B3B8F">
        <w:rPr>
          <w:rFonts w:asciiTheme="majorHAnsi" w:hAnsiTheme="majorHAnsi"/>
          <w:sz w:val="20"/>
        </w:rPr>
        <w:t>If expectations of Liga Inan are unrealistically high MOH could be blamed for disappointing performance following handover, leading to loss of morale. This risk should be managed by conducting further work during 2018 to confirm/adjust expectations (as outlined above).</w:t>
      </w:r>
    </w:p>
    <w:p w14:paraId="2D407646" w14:textId="77777777" w:rsidR="00A912BC" w:rsidRDefault="00A912BC">
      <w:pPr>
        <w:jc w:val="both"/>
        <w:rPr>
          <w:rFonts w:asciiTheme="majorHAnsi" w:hAnsiTheme="majorHAnsi"/>
          <w:sz w:val="20"/>
        </w:rPr>
      </w:pPr>
    </w:p>
    <w:p w14:paraId="1D0616A0" w14:textId="77777777" w:rsidR="00A912BC" w:rsidRDefault="004B3B8F">
      <w:pPr>
        <w:jc w:val="both"/>
        <w:rPr>
          <w:rFonts w:asciiTheme="majorHAnsi" w:hAnsiTheme="majorHAnsi"/>
          <w:sz w:val="20"/>
        </w:rPr>
      </w:pPr>
      <w:r w:rsidRPr="004B3B8F">
        <w:rPr>
          <w:rFonts w:asciiTheme="majorHAnsi" w:hAnsiTheme="majorHAnsi"/>
          <w:sz w:val="20"/>
        </w:rPr>
        <w:t xml:space="preserve">Cultural and faith-related sensitivities concerning FP will often or at least sometimes be at odds with a rights-based approach. DFAT/PHD and program partners need to handle this in a consistent and pro-active way.  </w:t>
      </w:r>
    </w:p>
    <w:p w14:paraId="0D9EBEA3" w14:textId="77777777" w:rsidR="00A912BC" w:rsidRDefault="00A912BC">
      <w:pPr>
        <w:pStyle w:val="ListParagraph"/>
        <w:ind w:left="454"/>
        <w:jc w:val="both"/>
        <w:rPr>
          <w:rFonts w:asciiTheme="majorHAnsi" w:hAnsiTheme="majorHAnsi"/>
          <w:sz w:val="20"/>
        </w:rPr>
      </w:pPr>
    </w:p>
    <w:p w14:paraId="1E0423C5" w14:textId="77777777" w:rsidR="00A912BC" w:rsidRDefault="004B3B8F">
      <w:pPr>
        <w:jc w:val="both"/>
        <w:rPr>
          <w:rFonts w:asciiTheme="majorHAnsi" w:hAnsiTheme="majorHAnsi"/>
          <w:sz w:val="20"/>
        </w:rPr>
      </w:pPr>
      <w:r w:rsidRPr="004B3B8F">
        <w:rPr>
          <w:rFonts w:asciiTheme="majorHAnsi" w:hAnsiTheme="majorHAnsi"/>
          <w:sz w:val="20"/>
        </w:rPr>
        <w:lastRenderedPageBreak/>
        <w:t>Relative to current arrangements for TA, a Flexible TA Fund will require more work from both MOH and PHD. Clear communication, careful preparation and pro-active management will be vital to managing the risk that funds are not fully or appropriately used.</w:t>
      </w:r>
    </w:p>
    <w:p w14:paraId="1FDD0B05" w14:textId="77777777" w:rsidR="00A912BC" w:rsidRDefault="00A912BC">
      <w:pPr>
        <w:jc w:val="both"/>
        <w:rPr>
          <w:rFonts w:asciiTheme="majorHAnsi" w:hAnsiTheme="majorHAnsi"/>
          <w:sz w:val="20"/>
        </w:rPr>
      </w:pPr>
    </w:p>
    <w:p w14:paraId="7DFC791B" w14:textId="77777777" w:rsidR="00A912BC" w:rsidRDefault="004B3B8F">
      <w:pPr>
        <w:jc w:val="both"/>
        <w:rPr>
          <w:rFonts w:asciiTheme="majorHAnsi" w:hAnsiTheme="majorHAnsi"/>
          <w:sz w:val="20"/>
        </w:rPr>
      </w:pPr>
      <w:r w:rsidRPr="004B3B8F">
        <w:rPr>
          <w:rFonts w:asciiTheme="majorHAnsi" w:hAnsiTheme="majorHAnsi"/>
          <w:sz w:val="20"/>
        </w:rPr>
        <w:t>The proposed shift of emphasis in support for midwifery creates a risk that those trained through LL subsequently lose their skills. This risk can be reduced if MOH commits to providing periodic refresher training on SCD/ENBC, and DFAT/PHD should engage in policy dialogue to promote this.</w:t>
      </w:r>
    </w:p>
    <w:p w14:paraId="59BF0D26" w14:textId="77777777" w:rsidR="00A912BC" w:rsidRDefault="00A912BC">
      <w:pPr>
        <w:jc w:val="both"/>
        <w:rPr>
          <w:rFonts w:asciiTheme="majorHAnsi" w:hAnsiTheme="majorHAnsi"/>
          <w:sz w:val="20"/>
        </w:rPr>
      </w:pPr>
    </w:p>
    <w:p w14:paraId="11684CE4" w14:textId="77777777" w:rsidR="00A912BC" w:rsidRDefault="002D021D">
      <w:pPr>
        <w:jc w:val="both"/>
        <w:rPr>
          <w:rFonts w:asciiTheme="majorHAnsi" w:hAnsiTheme="majorHAnsi"/>
          <w:sz w:val="20"/>
        </w:rPr>
      </w:pPr>
      <w:r w:rsidRPr="002D021D">
        <w:rPr>
          <w:rFonts w:asciiTheme="majorHAnsi" w:hAnsiTheme="majorHAnsi"/>
          <w:sz w:val="20"/>
        </w:rPr>
        <w:t>The proposed pre-recruitment training for new midwifery graduates should help to ensure quality of services, but amounts to yet another ‘work-around’ that ‘enables’ the ongoing institutional dysfunction regarding PST. It is therefore vital that DFAT/PHD engage pro-actively and opportunistically in policy dialogue to promote relevant institutional reforms.</w:t>
      </w:r>
    </w:p>
    <w:p w14:paraId="695A7163" w14:textId="77777777" w:rsidR="00A912BC" w:rsidRDefault="00A912BC">
      <w:pPr>
        <w:jc w:val="both"/>
        <w:rPr>
          <w:rFonts w:asciiTheme="majorHAnsi" w:hAnsiTheme="majorHAnsi"/>
          <w:sz w:val="20"/>
        </w:rPr>
      </w:pPr>
    </w:p>
    <w:p w14:paraId="4DBCC366" w14:textId="77777777" w:rsidR="00A912BC" w:rsidRDefault="004B3B8F">
      <w:pPr>
        <w:jc w:val="both"/>
        <w:rPr>
          <w:rFonts w:asciiTheme="majorHAnsi" w:hAnsiTheme="majorHAnsi"/>
          <w:sz w:val="20"/>
        </w:rPr>
      </w:pPr>
      <w:r w:rsidRPr="004B3B8F">
        <w:rPr>
          <w:rFonts w:asciiTheme="majorHAnsi" w:hAnsiTheme="majorHAnsi"/>
          <w:sz w:val="20"/>
        </w:rPr>
        <w:t>EmONC is a complex program and will fail without strong MOH ownership, leadership and commitment to improving HF readiness. As emphasized above, DFAT/PHD should seek evidence of these, and of sufficient complementary support from other partners, before making commitments to the EmONC IPA agenda.</w:t>
      </w:r>
    </w:p>
    <w:p w14:paraId="5DA0F120" w14:textId="77777777" w:rsidR="00A912BC" w:rsidRDefault="00A912BC">
      <w:pPr>
        <w:jc w:val="both"/>
        <w:rPr>
          <w:rFonts w:asciiTheme="majorHAnsi" w:hAnsiTheme="majorHAnsi"/>
          <w:sz w:val="20"/>
        </w:rPr>
      </w:pPr>
    </w:p>
    <w:p w14:paraId="024F4700" w14:textId="77777777" w:rsidR="00A912BC" w:rsidRDefault="004B3B8F">
      <w:pPr>
        <w:jc w:val="both"/>
        <w:rPr>
          <w:rFonts w:asciiTheme="majorHAnsi" w:hAnsiTheme="majorHAnsi"/>
          <w:sz w:val="20"/>
        </w:rPr>
      </w:pPr>
      <w:r w:rsidRPr="004B3B8F">
        <w:rPr>
          <w:rFonts w:asciiTheme="majorHAnsi" w:hAnsiTheme="majorHAnsi"/>
          <w:sz w:val="20"/>
        </w:rPr>
        <w:t>While other partners are supporting MOH and SAMES to improve forecasting, procurement and supply chains for equipment and commodities, there is still a risk that progress in these areas will continue to constrain HF readiness. DFAT/PHD therefore need to monitor the evolution of procurement and supply, use policy dialogue to advocate measures to overcome bottlenecks, and where necessary adjust implementation and expectations of its own projects.</w:t>
      </w:r>
    </w:p>
    <w:p w14:paraId="36636D78" w14:textId="77777777" w:rsidR="00A912BC" w:rsidRDefault="00A912BC">
      <w:pPr>
        <w:jc w:val="both"/>
        <w:rPr>
          <w:rFonts w:asciiTheme="majorHAnsi" w:hAnsiTheme="majorHAnsi"/>
          <w:sz w:val="20"/>
        </w:rPr>
      </w:pPr>
    </w:p>
    <w:p w14:paraId="1F6B5D5B" w14:textId="77777777" w:rsidR="00A912BC" w:rsidRDefault="004B3B8F">
      <w:pPr>
        <w:jc w:val="both"/>
        <w:rPr>
          <w:rFonts w:asciiTheme="majorHAnsi" w:hAnsiTheme="majorHAnsi"/>
          <w:sz w:val="20"/>
        </w:rPr>
      </w:pPr>
      <w:r w:rsidRPr="004B3B8F">
        <w:rPr>
          <w:rFonts w:asciiTheme="majorHAnsi" w:hAnsiTheme="majorHAnsi"/>
          <w:sz w:val="20"/>
        </w:rPr>
        <w:t xml:space="preserve">Evidence for management interventions is not abundant and much of what exists is context-specific. To avoid raising inappropriate expectations, which would create risks, this project should be seen as ‘experimental’, with emphasis on operations research and learning by doing. To improve chances of success, it will also be important to establish and make use of feedback mechanisms within the program (at the interface of management and stewardship) to raise awareness on persistent challenges (i.e., those that remain beyond the control of </w:t>
      </w:r>
      <w:r w:rsidR="00DD3D03">
        <w:rPr>
          <w:rFonts w:asciiTheme="majorHAnsi" w:hAnsiTheme="majorHAnsi"/>
          <w:sz w:val="20"/>
        </w:rPr>
        <w:t>middle-level manager</w:t>
      </w:r>
      <w:r w:rsidR="004562F2">
        <w:rPr>
          <w:rFonts w:asciiTheme="majorHAnsi" w:hAnsiTheme="majorHAnsi"/>
          <w:sz w:val="20"/>
        </w:rPr>
        <w:t>s</w:t>
      </w:r>
      <w:r w:rsidRPr="004B3B8F">
        <w:rPr>
          <w:rFonts w:asciiTheme="majorHAnsi" w:hAnsiTheme="majorHAnsi"/>
          <w:sz w:val="20"/>
        </w:rPr>
        <w:t xml:space="preserve">, despite training) at levels where decisions can be made to overcome them (which may range from community to national level). </w:t>
      </w:r>
    </w:p>
    <w:p w14:paraId="74E91E7C" w14:textId="77777777" w:rsidR="00A912BC" w:rsidRDefault="00A912BC">
      <w:pPr>
        <w:pStyle w:val="ListParagraph"/>
        <w:ind w:left="454"/>
        <w:jc w:val="both"/>
        <w:rPr>
          <w:rFonts w:asciiTheme="majorHAnsi" w:hAnsiTheme="majorHAnsi"/>
          <w:sz w:val="20"/>
        </w:rPr>
      </w:pPr>
    </w:p>
    <w:p w14:paraId="2E435E41" w14:textId="77777777" w:rsidR="00A912BC" w:rsidRDefault="004B3B8F">
      <w:pPr>
        <w:jc w:val="both"/>
        <w:rPr>
          <w:rFonts w:asciiTheme="majorHAnsi" w:hAnsiTheme="majorHAnsi"/>
          <w:sz w:val="20"/>
        </w:rPr>
      </w:pPr>
      <w:r w:rsidRPr="004B3B8F">
        <w:rPr>
          <w:rFonts w:asciiTheme="majorHAnsi" w:hAnsiTheme="majorHAnsi"/>
          <w:sz w:val="20"/>
        </w:rPr>
        <w:t xml:space="preserve">On the demand side, assuming CBM is eventually rolled out, there could be a risk of community fatigue if responses to the issues raised are inadequate. Ensuring links between Management project activities and CBM could help to mitigate this risk (e.g., early experience with CBM has shown that some communities have been able, without additional funds, to work with HFs to reach readiness standards in the space of three to six months). </w:t>
      </w:r>
    </w:p>
    <w:p w14:paraId="6983A9F8" w14:textId="77777777" w:rsidR="00A912BC" w:rsidRDefault="00A912BC">
      <w:pPr>
        <w:jc w:val="both"/>
        <w:rPr>
          <w:rFonts w:asciiTheme="majorHAnsi" w:hAnsiTheme="majorHAnsi"/>
        </w:rPr>
      </w:pPr>
    </w:p>
    <w:p w14:paraId="7B1C7E6F" w14:textId="77777777" w:rsidR="00A912BC" w:rsidRDefault="00A912BC">
      <w:pPr>
        <w:jc w:val="both"/>
        <w:rPr>
          <w:rFonts w:asciiTheme="majorHAnsi" w:hAnsiTheme="majorHAnsi"/>
        </w:rPr>
      </w:pPr>
    </w:p>
    <w:p w14:paraId="0F2B6562" w14:textId="77777777" w:rsidR="00A912BC" w:rsidRDefault="0074683D">
      <w:pPr>
        <w:pStyle w:val="Heading1"/>
        <w:jc w:val="both"/>
      </w:pPr>
      <w:bookmarkStart w:id="35" w:name="_Toc378838751"/>
      <w:r w:rsidRPr="00267B79">
        <w:t>CONCLUSIONS</w:t>
      </w:r>
      <w:bookmarkEnd w:id="35"/>
      <w:r w:rsidRPr="00267B79">
        <w:t xml:space="preserve"> </w:t>
      </w:r>
    </w:p>
    <w:p w14:paraId="0EDD1A3A" w14:textId="77777777" w:rsidR="00A912BC" w:rsidRDefault="00A912BC">
      <w:pPr>
        <w:jc w:val="both"/>
        <w:rPr>
          <w:rFonts w:asciiTheme="majorHAnsi" w:hAnsiTheme="majorHAnsi" w:cstheme="majorHAnsi"/>
        </w:rPr>
      </w:pPr>
    </w:p>
    <w:p w14:paraId="5343CA55" w14:textId="77777777" w:rsidR="00A912BC" w:rsidRDefault="004B3B8F">
      <w:pPr>
        <w:jc w:val="both"/>
        <w:rPr>
          <w:rFonts w:asciiTheme="majorHAnsi" w:hAnsiTheme="majorHAnsi"/>
          <w:sz w:val="20"/>
        </w:rPr>
      </w:pPr>
      <w:r w:rsidRPr="004B3B8F">
        <w:rPr>
          <w:rFonts w:asciiTheme="majorHAnsi" w:hAnsiTheme="majorHAnsi" w:cstheme="majorHAnsi"/>
          <w:sz w:val="20"/>
        </w:rPr>
        <w:t xml:space="preserve">The foregoing analysis demonstrates that </w:t>
      </w:r>
      <w:r w:rsidRPr="004B3B8F">
        <w:rPr>
          <w:rFonts w:asciiTheme="majorHAnsi" w:hAnsiTheme="majorHAnsi"/>
          <w:sz w:val="20"/>
        </w:rPr>
        <w:t xml:space="preserve">current DFAT/PHD bilateral health investments are aligned to Timor-Leste’s national health sector strategy and respond to needs identified therein. The five projects are performing reasonably well against their targets for building RMNCH skills/competences, improving the functionality of health transport, fostering informed choice from an expanded range of FP methods, and promoting uptake of these and other RMNCH services. TA for health information/M&amp;E has been well received by MOH and the PFM adviser is providing vital analyses of challenges such as the implications of decentralization for managers at municipality level. </w:t>
      </w:r>
    </w:p>
    <w:p w14:paraId="6AB5FF9C" w14:textId="77777777" w:rsidR="00A912BC" w:rsidRDefault="00A912BC">
      <w:pPr>
        <w:jc w:val="both"/>
        <w:rPr>
          <w:rFonts w:asciiTheme="majorHAnsi" w:hAnsiTheme="majorHAnsi"/>
          <w:sz w:val="20"/>
        </w:rPr>
      </w:pPr>
    </w:p>
    <w:p w14:paraId="631BF09E" w14:textId="77777777" w:rsidR="00A912BC" w:rsidRDefault="004B3B8F">
      <w:pPr>
        <w:jc w:val="both"/>
        <w:rPr>
          <w:rFonts w:asciiTheme="majorHAnsi" w:hAnsiTheme="majorHAnsi"/>
          <w:sz w:val="20"/>
        </w:rPr>
      </w:pPr>
      <w:r w:rsidRPr="004B3B8F">
        <w:rPr>
          <w:rFonts w:asciiTheme="majorHAnsi" w:hAnsiTheme="majorHAnsi"/>
          <w:sz w:val="20"/>
        </w:rPr>
        <w:t>It is likely that these interventions, which taken together represent an investment of AUD 7.5 million per annum, have contributed, together with other factors, to increasing the range, quality and reach of RMNCH services in Timor-Leste. These improvements, as well as more direct efforts to promote uptake, have almost certainly helped to boost utilization of RMNCH services, which likely contributed in turn to a recent reduction in infant mortality.</w:t>
      </w:r>
    </w:p>
    <w:p w14:paraId="41EABB49" w14:textId="77777777" w:rsidR="00A912BC" w:rsidRDefault="00A912BC">
      <w:pPr>
        <w:jc w:val="both"/>
        <w:rPr>
          <w:rFonts w:asciiTheme="majorHAnsi" w:hAnsiTheme="majorHAnsi"/>
          <w:sz w:val="20"/>
        </w:rPr>
      </w:pPr>
    </w:p>
    <w:p w14:paraId="651FA9D9" w14:textId="77777777" w:rsidR="00A912BC" w:rsidRDefault="004B3B8F">
      <w:pPr>
        <w:jc w:val="both"/>
        <w:rPr>
          <w:rFonts w:asciiTheme="majorHAnsi" w:hAnsiTheme="majorHAnsi"/>
          <w:sz w:val="20"/>
        </w:rPr>
      </w:pPr>
      <w:r w:rsidRPr="004B3B8F">
        <w:rPr>
          <w:rFonts w:asciiTheme="majorHAnsi" w:hAnsiTheme="majorHAnsi"/>
          <w:sz w:val="20"/>
        </w:rPr>
        <w:t xml:space="preserve">Nonetheless, RMNCH remains an unfinished agenda: unmet need for FP is considerable, a significant minority of pregnant women receive no ANC, only half of all deliveries take place in HFs, and seven out of 13 municipalities have no EmONC services, even though the latter are vital to improving maternal neonatal outcomes. </w:t>
      </w:r>
    </w:p>
    <w:p w14:paraId="0AC3CADE" w14:textId="77777777" w:rsidR="00A912BC" w:rsidRDefault="00A912BC">
      <w:pPr>
        <w:jc w:val="both"/>
        <w:rPr>
          <w:rFonts w:asciiTheme="majorHAnsi" w:hAnsiTheme="majorHAnsi" w:cstheme="majorHAnsi"/>
          <w:sz w:val="20"/>
          <w:szCs w:val="20"/>
          <w:highlight w:val="yellow"/>
        </w:rPr>
      </w:pPr>
    </w:p>
    <w:p w14:paraId="144A62BE" w14:textId="77777777" w:rsidR="00A912BC" w:rsidRDefault="004B3B8F">
      <w:pPr>
        <w:jc w:val="both"/>
        <w:rPr>
          <w:rFonts w:asciiTheme="majorHAnsi" w:hAnsiTheme="majorHAnsi" w:cstheme="majorHAnsi"/>
          <w:sz w:val="20"/>
          <w:szCs w:val="20"/>
        </w:rPr>
      </w:pPr>
      <w:r w:rsidRPr="004B3B8F">
        <w:rPr>
          <w:rFonts w:asciiTheme="majorHAnsi" w:hAnsiTheme="majorHAnsi" w:cstheme="majorHAnsi"/>
          <w:sz w:val="20"/>
          <w:szCs w:val="20"/>
        </w:rPr>
        <w:t xml:space="preserve">The current DFAT/PHD program gives disproportionate emphasis to improving RMNCH clinical skills and competences, despite the risk that these may not be fully utilized - and can even be lost - owing to lack of health facility readiness. </w:t>
      </w:r>
      <w:r w:rsidRPr="004B3B8F">
        <w:rPr>
          <w:rFonts w:asciiTheme="majorHAnsi" w:hAnsiTheme="majorHAnsi"/>
          <w:sz w:val="20"/>
        </w:rPr>
        <w:t xml:space="preserve">Sustainable RMNCH improvement will require attention to the wider health system, since all elements of the health system (stewardship, management, infrastructure, health workforce and service delivery) affect RMNCH directly or indirectly. Recognising these needs, MOH is now developing or refining several key strategies and plans, including a strategic plan for HR management and an Improvement Plan of Action for EmONC. </w:t>
      </w:r>
    </w:p>
    <w:p w14:paraId="04BAE06E" w14:textId="77777777" w:rsidR="00A912BC" w:rsidRDefault="00A912BC">
      <w:pPr>
        <w:jc w:val="both"/>
        <w:rPr>
          <w:rFonts w:asciiTheme="majorHAnsi" w:hAnsiTheme="majorHAnsi" w:cstheme="majorHAnsi"/>
          <w:sz w:val="20"/>
        </w:rPr>
      </w:pPr>
    </w:p>
    <w:p w14:paraId="1040816E" w14:textId="77777777" w:rsidR="00A912BC" w:rsidRDefault="004B3B8F">
      <w:pPr>
        <w:jc w:val="both"/>
        <w:rPr>
          <w:rFonts w:asciiTheme="majorHAnsi" w:hAnsiTheme="majorHAnsi"/>
          <w:sz w:val="20"/>
        </w:rPr>
      </w:pPr>
      <w:r w:rsidRPr="004B3B8F">
        <w:rPr>
          <w:rFonts w:asciiTheme="majorHAnsi" w:hAnsiTheme="majorHAnsi" w:cstheme="majorHAnsi"/>
          <w:sz w:val="20"/>
        </w:rPr>
        <w:t xml:space="preserve">In light of Australia’s comparative advantage and the need to respond to important ongoing and anticipated contextual changes in Timor-Leste’s health sector, DFAT/PHD can maximise the relevance, effectiveness, efficiency and sustainability of its health program by making some adjustments during the coming years. The report makes </w:t>
      </w:r>
      <w:r w:rsidRPr="004B3B8F">
        <w:rPr>
          <w:rFonts w:asciiTheme="majorHAnsi" w:hAnsiTheme="majorHAnsi"/>
          <w:sz w:val="20"/>
        </w:rPr>
        <w:t>detailed recommendations organized under several sub-headings, i.e., g</w:t>
      </w:r>
      <w:r w:rsidRPr="004B3B8F">
        <w:rPr>
          <w:rFonts w:asciiTheme="majorHAnsi" w:hAnsiTheme="majorHAnsi" w:cstheme="majorHAnsi"/>
          <w:sz w:val="20"/>
        </w:rPr>
        <w:t xml:space="preserve">eneral recommendations concerning ways of working and the balance of investments; recommendations for high-level actions </w:t>
      </w:r>
      <w:r w:rsidRPr="004B3B8F">
        <w:rPr>
          <w:rFonts w:asciiTheme="majorHAnsi" w:hAnsiTheme="majorHAnsi"/>
          <w:sz w:val="20"/>
        </w:rPr>
        <w:t xml:space="preserve">to prepare the ground for detailed redesign of the program, and </w:t>
      </w:r>
      <w:r w:rsidRPr="004B3B8F">
        <w:rPr>
          <w:rFonts w:asciiTheme="majorHAnsi" w:hAnsiTheme="majorHAnsi" w:cstheme="majorHAnsi"/>
          <w:sz w:val="20"/>
        </w:rPr>
        <w:t>recommendations for evolution of individual investments, resulting in a program with five components (</w:t>
      </w:r>
      <w:r w:rsidRPr="004B3B8F">
        <w:rPr>
          <w:rFonts w:asciiTheme="majorHAnsi" w:hAnsiTheme="majorHAnsi" w:cstheme="majorHAnsi"/>
          <w:i/>
          <w:sz w:val="20"/>
        </w:rPr>
        <w:t xml:space="preserve">Family planning, Postgraduate medical training, Obstetric/neonatal care, Management, </w:t>
      </w:r>
      <w:r w:rsidRPr="004B3B8F">
        <w:rPr>
          <w:rFonts w:asciiTheme="majorHAnsi" w:hAnsiTheme="majorHAnsi" w:cstheme="majorHAnsi"/>
          <w:sz w:val="20"/>
        </w:rPr>
        <w:t>and</w:t>
      </w:r>
      <w:r w:rsidRPr="004B3B8F">
        <w:rPr>
          <w:rFonts w:asciiTheme="majorHAnsi" w:hAnsiTheme="majorHAnsi" w:cstheme="majorHAnsi"/>
          <w:i/>
          <w:sz w:val="20"/>
        </w:rPr>
        <w:t xml:space="preserve"> Technical assistance</w:t>
      </w:r>
      <w:r w:rsidRPr="004B3B8F">
        <w:rPr>
          <w:rFonts w:asciiTheme="majorHAnsi" w:hAnsiTheme="majorHAnsi" w:cstheme="majorHAnsi"/>
          <w:sz w:val="20"/>
        </w:rPr>
        <w:t xml:space="preserve">) from 2019. </w:t>
      </w:r>
    </w:p>
    <w:p w14:paraId="15B2058C" w14:textId="77777777" w:rsidR="00A912BC" w:rsidRDefault="00A912BC">
      <w:pPr>
        <w:jc w:val="both"/>
        <w:rPr>
          <w:rFonts w:asciiTheme="majorHAnsi" w:hAnsiTheme="majorHAnsi"/>
          <w:b/>
        </w:rPr>
      </w:pPr>
    </w:p>
    <w:p w14:paraId="698B8241" w14:textId="77777777" w:rsidR="00A912BC" w:rsidRDefault="00A912BC">
      <w:pPr>
        <w:jc w:val="both"/>
        <w:rPr>
          <w:rFonts w:asciiTheme="majorHAnsi" w:hAnsiTheme="majorHAnsi"/>
          <w:sz w:val="20"/>
        </w:rPr>
      </w:pPr>
    </w:p>
    <w:p w14:paraId="2810F2DF" w14:textId="77777777" w:rsidR="00A912BC" w:rsidRDefault="00A912BC">
      <w:pPr>
        <w:jc w:val="both"/>
        <w:rPr>
          <w:rFonts w:asciiTheme="majorHAnsi" w:hAnsiTheme="majorHAnsi"/>
        </w:rPr>
      </w:pPr>
    </w:p>
    <w:p w14:paraId="2D422722" w14:textId="77777777" w:rsidR="00A107A0" w:rsidRPr="00267B79" w:rsidRDefault="004B3B8F">
      <w:pPr>
        <w:autoSpaceDE w:val="0"/>
        <w:autoSpaceDN w:val="0"/>
        <w:adjustRightInd w:val="0"/>
        <w:jc w:val="both"/>
        <w:rPr>
          <w:rFonts w:asciiTheme="majorHAnsi" w:hAnsiTheme="majorHAnsi"/>
        </w:rPr>
      </w:pPr>
      <w:r w:rsidRPr="004B3B8F">
        <w:rPr>
          <w:rFonts w:asciiTheme="majorHAnsi" w:hAnsiTheme="majorHAnsi"/>
        </w:rPr>
        <w:t xml:space="preserve"> </w:t>
      </w:r>
    </w:p>
    <w:p w14:paraId="5DE42030" w14:textId="77777777" w:rsidR="00620A3F" w:rsidRDefault="00620A3F">
      <w:pPr>
        <w:rPr>
          <w:rFonts w:asciiTheme="majorHAnsi" w:eastAsiaTheme="majorEastAsia" w:hAnsiTheme="majorHAnsi" w:cstheme="majorBidi"/>
          <w:b/>
          <w:bCs/>
          <w:color w:val="365F91" w:themeColor="accent1" w:themeShade="BF"/>
          <w:sz w:val="28"/>
          <w:szCs w:val="28"/>
          <w:lang w:val="en-AU"/>
        </w:rPr>
      </w:pPr>
      <w:r>
        <w:br w:type="page"/>
      </w:r>
    </w:p>
    <w:p w14:paraId="13B3AD4D" w14:textId="77777777" w:rsidR="00307D2E" w:rsidRDefault="00F9156E">
      <w:pPr>
        <w:pStyle w:val="Heading1"/>
      </w:pPr>
      <w:bookmarkStart w:id="36" w:name="_Toc378838752"/>
      <w:r w:rsidRPr="00267B79">
        <w:lastRenderedPageBreak/>
        <w:t>BIBLIOGRAPHY</w:t>
      </w:r>
      <w:bookmarkEnd w:id="36"/>
      <w:r w:rsidRPr="00267B79">
        <w:t xml:space="preserve"> </w:t>
      </w:r>
    </w:p>
    <w:p w14:paraId="6F0C30F8" w14:textId="77777777" w:rsidR="00307D2E" w:rsidRDefault="00307D2E">
      <w:pPr>
        <w:pStyle w:val="NormalWeb"/>
        <w:spacing w:before="2" w:after="2"/>
        <w:rPr>
          <w:rFonts w:asciiTheme="majorHAnsi" w:hAnsiTheme="majorHAnsi"/>
        </w:rPr>
      </w:pPr>
    </w:p>
    <w:p w14:paraId="41BF9DAB" w14:textId="77777777" w:rsidR="00307D2E" w:rsidRDefault="004B3B8F">
      <w:pPr>
        <w:rPr>
          <w:rFonts w:asciiTheme="majorHAnsi" w:hAnsiTheme="majorHAnsi"/>
          <w:sz w:val="18"/>
          <w:szCs w:val="52"/>
          <w:lang w:val="en-GB"/>
        </w:rPr>
      </w:pPr>
      <w:r w:rsidRPr="004B3B8F">
        <w:rPr>
          <w:rFonts w:asciiTheme="majorHAnsi" w:hAnsiTheme="majorHAnsi"/>
          <w:sz w:val="18"/>
          <w:szCs w:val="22"/>
        </w:rPr>
        <w:t xml:space="preserve">Australian Government Department of Foreign Affairs and Trade (DFAT), 2015. </w:t>
      </w:r>
      <w:r w:rsidRPr="004B3B8F">
        <w:rPr>
          <w:rFonts w:asciiTheme="majorHAnsi" w:hAnsiTheme="majorHAnsi"/>
          <w:sz w:val="18"/>
          <w:szCs w:val="52"/>
          <w:lang w:val="en-GB"/>
        </w:rPr>
        <w:t>Australia Timor-Leste Partnership for Human Development Investment Design Document.</w:t>
      </w:r>
    </w:p>
    <w:p w14:paraId="6F108176" w14:textId="77777777" w:rsidR="00307D2E" w:rsidRDefault="00307D2E">
      <w:pPr>
        <w:rPr>
          <w:rFonts w:asciiTheme="majorHAnsi" w:hAnsiTheme="majorHAnsi"/>
          <w:sz w:val="18"/>
          <w:szCs w:val="22"/>
        </w:rPr>
      </w:pPr>
    </w:p>
    <w:p w14:paraId="67436BA0" w14:textId="77777777" w:rsidR="00307D2E" w:rsidRDefault="004B3B8F">
      <w:pPr>
        <w:rPr>
          <w:rFonts w:asciiTheme="majorHAnsi" w:hAnsiTheme="majorHAnsi"/>
          <w:sz w:val="18"/>
          <w:szCs w:val="22"/>
        </w:rPr>
      </w:pPr>
      <w:r w:rsidRPr="004B3B8F">
        <w:rPr>
          <w:rFonts w:asciiTheme="majorHAnsi" w:hAnsiTheme="majorHAnsi"/>
          <w:sz w:val="18"/>
          <w:szCs w:val="22"/>
        </w:rPr>
        <w:t>Catalpa International, 2017. Liga Inan Quarterly Update, 2 June 2017.</w:t>
      </w:r>
    </w:p>
    <w:p w14:paraId="2084B85C" w14:textId="77777777" w:rsidR="00307D2E" w:rsidRDefault="00307D2E">
      <w:pPr>
        <w:rPr>
          <w:rFonts w:asciiTheme="majorHAnsi" w:hAnsiTheme="majorHAnsi"/>
          <w:sz w:val="18"/>
          <w:szCs w:val="22"/>
        </w:rPr>
      </w:pPr>
    </w:p>
    <w:p w14:paraId="1EA17618" w14:textId="77777777" w:rsidR="00307D2E" w:rsidRDefault="004B3B8F">
      <w:pPr>
        <w:pStyle w:val="EndnoteText"/>
        <w:rPr>
          <w:rFonts w:asciiTheme="majorHAnsi" w:hAnsiTheme="majorHAnsi"/>
          <w:sz w:val="18"/>
        </w:rPr>
      </w:pPr>
      <w:r w:rsidRPr="004B3B8F">
        <w:rPr>
          <w:rFonts w:asciiTheme="majorHAnsi" w:hAnsiTheme="majorHAnsi"/>
          <w:sz w:val="18"/>
        </w:rPr>
        <w:t>DFAT, 2015. Strategic Framework for Maternal and Infant Health Services, 2015-2018.</w:t>
      </w:r>
    </w:p>
    <w:p w14:paraId="333C33F0" w14:textId="77777777" w:rsidR="00307D2E" w:rsidRDefault="00307D2E">
      <w:pPr>
        <w:pStyle w:val="EndnoteText"/>
        <w:rPr>
          <w:rFonts w:asciiTheme="majorHAnsi" w:hAnsiTheme="majorHAnsi"/>
          <w:sz w:val="18"/>
        </w:rPr>
      </w:pPr>
    </w:p>
    <w:p w14:paraId="27A14106" w14:textId="77777777" w:rsidR="00307D2E" w:rsidRDefault="004B3B8F">
      <w:pPr>
        <w:pStyle w:val="NormalWeb"/>
        <w:spacing w:before="2" w:after="2"/>
        <w:rPr>
          <w:rFonts w:asciiTheme="majorHAnsi" w:hAnsiTheme="majorHAnsi"/>
          <w:sz w:val="18"/>
        </w:rPr>
      </w:pPr>
      <w:r w:rsidRPr="004B3B8F">
        <w:rPr>
          <w:rFonts w:asciiTheme="majorHAnsi" w:hAnsiTheme="majorHAnsi"/>
          <w:sz w:val="18"/>
        </w:rPr>
        <w:t xml:space="preserve">DHS, 2010: </w:t>
      </w:r>
      <w:r w:rsidRPr="004B3B8F">
        <w:rPr>
          <w:rFonts w:asciiTheme="majorHAnsi" w:hAnsiTheme="majorHAnsi"/>
          <w:sz w:val="18"/>
          <w:szCs w:val="22"/>
        </w:rPr>
        <w:t xml:space="preserve">National Statistics Directorate (NSD) [Timor-Leste], Ministry of Finance [Timor-Leste], and ICF Macro. 2010. </w:t>
      </w:r>
      <w:r w:rsidRPr="004B3B8F">
        <w:rPr>
          <w:rFonts w:asciiTheme="majorHAnsi" w:hAnsiTheme="majorHAnsi"/>
          <w:i/>
          <w:iCs/>
          <w:sz w:val="18"/>
          <w:szCs w:val="22"/>
        </w:rPr>
        <w:t>Timor-Leste Demographic and Health Survey 2009-10</w:t>
      </w:r>
      <w:r w:rsidRPr="004B3B8F">
        <w:rPr>
          <w:rFonts w:asciiTheme="majorHAnsi" w:hAnsiTheme="majorHAnsi"/>
          <w:sz w:val="18"/>
          <w:szCs w:val="22"/>
        </w:rPr>
        <w:t xml:space="preserve">. Dili, Timor-Leste: NSD [Timor- Leste] and ICF Macro. </w:t>
      </w:r>
    </w:p>
    <w:p w14:paraId="70485DEA" w14:textId="77777777" w:rsidR="00C6310F" w:rsidRDefault="00C6310F" w:rsidP="00291051">
      <w:pPr>
        <w:spacing w:beforeLines="1" w:before="2" w:afterLines="1" w:after="2"/>
        <w:rPr>
          <w:rFonts w:ascii="Avenir Next Condensed Medium" w:hAnsi="Avenir Next Condensed Medium" w:cs="Times New Roman"/>
          <w:sz w:val="18"/>
          <w:szCs w:val="20"/>
          <w:lang w:val="en-GB"/>
        </w:rPr>
      </w:pPr>
    </w:p>
    <w:p w14:paraId="2347D8F0" w14:textId="77777777" w:rsidR="00C6310F" w:rsidRDefault="00C6310F" w:rsidP="00291051">
      <w:pPr>
        <w:spacing w:beforeLines="1" w:before="2" w:afterLines="1" w:after="2"/>
        <w:rPr>
          <w:rFonts w:ascii="Avenir Next Condensed Medium" w:hAnsi="Avenir Next Condensed Medium" w:cs="Times New Roman"/>
          <w:sz w:val="18"/>
          <w:szCs w:val="20"/>
          <w:lang w:val="en-GB"/>
        </w:rPr>
      </w:pPr>
      <w:r>
        <w:rPr>
          <w:rFonts w:ascii="Avenir Next Condensed Medium" w:hAnsi="Avenir Next Condensed Medium" w:cs="Times New Roman"/>
          <w:sz w:val="18"/>
          <w:szCs w:val="20"/>
          <w:lang w:val="en-GB"/>
        </w:rPr>
        <w:t xml:space="preserve">DHS, 2016: General Directorate of Statistics (GDS) and ICF. 2017. Timor-Leste Demographic and Health Survey 2016: Key Indicators. Dili, Timor-Leste: GDS, and Rockville, Maryland, USA: ICF. </w:t>
      </w:r>
    </w:p>
    <w:p w14:paraId="165A3DA4" w14:textId="77777777" w:rsidR="00A912BC" w:rsidRDefault="00A912BC" w:rsidP="00515E67">
      <w:pPr>
        <w:rPr>
          <w:rFonts w:asciiTheme="majorHAnsi" w:hAnsiTheme="majorHAnsi"/>
          <w:sz w:val="18"/>
          <w:szCs w:val="22"/>
        </w:rPr>
      </w:pPr>
    </w:p>
    <w:p w14:paraId="1EFB76E0" w14:textId="77777777" w:rsidR="00A912BC" w:rsidRDefault="004B3B8F" w:rsidP="00515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contextualSpacing/>
        <w:rPr>
          <w:rFonts w:asciiTheme="majorHAnsi" w:hAnsiTheme="majorHAnsi" w:cs="Times"/>
          <w:sz w:val="18"/>
          <w:szCs w:val="22"/>
        </w:rPr>
      </w:pPr>
      <w:r w:rsidRPr="004B3B8F">
        <w:rPr>
          <w:rFonts w:asciiTheme="majorHAnsi" w:hAnsiTheme="majorHAnsi" w:cs="Times"/>
          <w:sz w:val="18"/>
          <w:szCs w:val="22"/>
        </w:rPr>
        <w:t>De Savigny, D and T Adam, 2009. Systems Thinking for Health Systems Strengthening. Alliance for Health Policy and Systems Research, World Health Organization, Geneva.</w:t>
      </w:r>
    </w:p>
    <w:p w14:paraId="300C2EFE" w14:textId="77777777" w:rsidR="00A912BC" w:rsidRDefault="00A912BC" w:rsidP="00515E67">
      <w:pPr>
        <w:rPr>
          <w:rFonts w:asciiTheme="majorHAnsi" w:hAnsiTheme="majorHAnsi"/>
          <w:sz w:val="18"/>
          <w:szCs w:val="22"/>
        </w:rPr>
      </w:pPr>
    </w:p>
    <w:p w14:paraId="5E7381EA"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szCs w:val="22"/>
        </w:rPr>
        <w:t xml:space="preserve">DiFranza, JR, et al 2006. </w:t>
      </w:r>
      <w:r w:rsidRPr="004B3B8F">
        <w:rPr>
          <w:rFonts w:asciiTheme="majorHAnsi" w:hAnsiTheme="majorHAnsi"/>
          <w:bCs/>
          <w:sz w:val="18"/>
          <w:szCs w:val="24"/>
        </w:rPr>
        <w:t xml:space="preserve">Prenatal and Postnatal Environmental Tobacco Smoke Exposure and Children’s Health. </w:t>
      </w:r>
      <w:r w:rsidRPr="004B3B8F">
        <w:rPr>
          <w:rFonts w:asciiTheme="majorHAnsi" w:hAnsiTheme="majorHAnsi"/>
          <w:i/>
          <w:iCs/>
          <w:sz w:val="18"/>
          <w:szCs w:val="24"/>
        </w:rPr>
        <w:t xml:space="preserve">Pediatrics </w:t>
      </w:r>
      <w:r w:rsidRPr="004B3B8F">
        <w:rPr>
          <w:rFonts w:asciiTheme="majorHAnsi" w:hAnsiTheme="majorHAnsi"/>
          <w:sz w:val="18"/>
          <w:szCs w:val="24"/>
        </w:rPr>
        <w:t xml:space="preserve">2004;113;1007-1015 DOI: 10.1542/peds.113.4.S1.1007 </w:t>
      </w:r>
    </w:p>
    <w:p w14:paraId="104BDE54" w14:textId="77777777" w:rsidR="00A912BC" w:rsidRDefault="00A912BC" w:rsidP="00515E67">
      <w:pPr>
        <w:rPr>
          <w:rFonts w:asciiTheme="majorHAnsi" w:hAnsiTheme="majorHAnsi"/>
          <w:sz w:val="18"/>
        </w:rPr>
      </w:pPr>
    </w:p>
    <w:p w14:paraId="499CFAB5" w14:textId="77777777" w:rsidR="00A912BC" w:rsidRDefault="004B3B8F" w:rsidP="00515E67">
      <w:pPr>
        <w:rPr>
          <w:rFonts w:asciiTheme="majorHAnsi" w:hAnsiTheme="majorHAnsi"/>
          <w:sz w:val="18"/>
        </w:rPr>
      </w:pPr>
      <w:r w:rsidRPr="004B3B8F">
        <w:rPr>
          <w:rFonts w:asciiTheme="majorHAnsi" w:hAnsiTheme="majorHAnsi"/>
          <w:sz w:val="18"/>
        </w:rPr>
        <w:t>Egger, D et al, 2005. Strengthening management in low-income countries: Making Health Systems Work: Working Paper No. 1. Geneva, WHO.</w:t>
      </w:r>
    </w:p>
    <w:p w14:paraId="264AC274" w14:textId="77777777" w:rsidR="00A912BC" w:rsidRDefault="00A912BC">
      <w:pPr>
        <w:jc w:val="both"/>
        <w:rPr>
          <w:rFonts w:asciiTheme="majorHAnsi" w:hAnsiTheme="majorHAnsi"/>
          <w:sz w:val="18"/>
        </w:rPr>
      </w:pPr>
    </w:p>
    <w:p w14:paraId="1D12A7AC" w14:textId="77777777" w:rsidR="00A912BC" w:rsidRDefault="004B3B8F" w:rsidP="00515E67">
      <w:pPr>
        <w:rPr>
          <w:rFonts w:asciiTheme="majorHAnsi" w:hAnsiTheme="majorHAnsi"/>
          <w:sz w:val="18"/>
        </w:rPr>
      </w:pPr>
      <w:r w:rsidRPr="004B3B8F">
        <w:rPr>
          <w:rFonts w:asciiTheme="majorHAnsi" w:hAnsiTheme="majorHAnsi"/>
          <w:sz w:val="18"/>
        </w:rPr>
        <w:t>Egger, D and E Ollier (2007) Managing the health Millennium Development Goals - the challenge of management strengthening. Lessons from three countries. Making Health Systems Work: Working Paper No. 8. Geneva, WHO.</w:t>
      </w:r>
    </w:p>
    <w:p w14:paraId="6FB7288E" w14:textId="77777777" w:rsidR="00A912BC" w:rsidRDefault="00A912BC" w:rsidP="00515E67">
      <w:pPr>
        <w:rPr>
          <w:rFonts w:asciiTheme="majorHAnsi" w:hAnsiTheme="majorHAnsi"/>
          <w:sz w:val="18"/>
        </w:rPr>
      </w:pPr>
    </w:p>
    <w:p w14:paraId="609BBCD4" w14:textId="77777777" w:rsidR="00A912BC" w:rsidRDefault="004B3B8F" w:rsidP="00515E67">
      <w:pPr>
        <w:rPr>
          <w:rFonts w:asciiTheme="majorHAnsi" w:hAnsiTheme="majorHAnsi"/>
          <w:sz w:val="18"/>
          <w:szCs w:val="16"/>
        </w:rPr>
      </w:pPr>
      <w:r w:rsidRPr="004B3B8F">
        <w:rPr>
          <w:rFonts w:asciiTheme="majorHAnsi" w:hAnsiTheme="majorHAnsi"/>
          <w:sz w:val="18"/>
          <w:szCs w:val="16"/>
        </w:rPr>
        <w:t xml:space="preserve">Elmusharaf, K et al, 2017. </w:t>
      </w:r>
      <w:r w:rsidRPr="004B3B8F">
        <w:rPr>
          <w:rFonts w:asciiTheme="majorHAnsi" w:hAnsiTheme="majorHAnsi"/>
          <w:sz w:val="18"/>
          <w:szCs w:val="46"/>
        </w:rPr>
        <w:t>Strategies to increase demand for maternal health services in resource-limited settings: challenges to be addressed.</w:t>
      </w:r>
      <w:r w:rsidRPr="004B3B8F">
        <w:rPr>
          <w:rFonts w:asciiTheme="majorHAnsi" w:hAnsiTheme="majorHAnsi"/>
          <w:sz w:val="18"/>
          <w:szCs w:val="16"/>
        </w:rPr>
        <w:t>BMC Public Health (2015) 15:870 DOI 10.1186/s12889- 015-2222-3.</w:t>
      </w:r>
    </w:p>
    <w:p w14:paraId="51A80AEC" w14:textId="77777777" w:rsidR="00A912BC" w:rsidRDefault="00A912BC" w:rsidP="00515E67">
      <w:pPr>
        <w:rPr>
          <w:rFonts w:asciiTheme="majorHAnsi" w:hAnsiTheme="majorHAnsi"/>
          <w:sz w:val="18"/>
          <w:szCs w:val="16"/>
        </w:rPr>
      </w:pPr>
    </w:p>
    <w:p w14:paraId="36B7EDE1" w14:textId="77777777" w:rsidR="00A912BC" w:rsidRDefault="004B3B8F" w:rsidP="00515E67">
      <w:pPr>
        <w:pStyle w:val="TitleSubheading"/>
        <w:spacing w:after="0"/>
        <w:ind w:left="0"/>
        <w:jc w:val="left"/>
        <w:rPr>
          <w:rFonts w:asciiTheme="majorHAnsi" w:hAnsiTheme="majorHAnsi"/>
          <w:sz w:val="18"/>
        </w:rPr>
      </w:pPr>
      <w:r w:rsidRPr="004B3B8F">
        <w:rPr>
          <w:rFonts w:asciiTheme="majorHAnsi" w:hAnsiTheme="majorHAnsi"/>
          <w:sz w:val="18"/>
          <w:szCs w:val="16"/>
        </w:rPr>
        <w:t xml:space="preserve">Fabricant, S, 2013. </w:t>
      </w:r>
      <w:bookmarkStart w:id="37" w:name="SubTitle"/>
      <w:r w:rsidRPr="004B3B8F">
        <w:rPr>
          <w:rFonts w:asciiTheme="majorHAnsi" w:hAnsiTheme="majorHAnsi" w:cs="Times New Roman"/>
          <w:color w:val="1B3A59"/>
          <w:sz w:val="18"/>
          <w:szCs w:val="20"/>
        </w:rPr>
        <w:t>Economic Inputs to the Timor Leste Health Design.</w:t>
      </w:r>
      <w:bookmarkEnd w:id="37"/>
      <w:r w:rsidRPr="004B3B8F">
        <w:rPr>
          <w:rFonts w:asciiTheme="majorHAnsi" w:hAnsiTheme="majorHAnsi" w:cs="Times New Roman"/>
          <w:color w:val="1B3A59"/>
          <w:sz w:val="18"/>
          <w:szCs w:val="20"/>
        </w:rPr>
        <w:t xml:space="preserve"> Canberra: </w:t>
      </w:r>
      <w:r w:rsidRPr="004B3B8F">
        <w:rPr>
          <w:rFonts w:asciiTheme="majorHAnsi" w:hAnsiTheme="majorHAnsi"/>
          <w:sz w:val="18"/>
        </w:rPr>
        <w:t xml:space="preserve">Health Resource Facility for Australia’s aid program. </w:t>
      </w:r>
    </w:p>
    <w:p w14:paraId="492DAB07" w14:textId="77777777" w:rsidR="00E952AF" w:rsidRPr="00267B79" w:rsidDel="005D51A5" w:rsidRDefault="00E952AF" w:rsidP="00515E67">
      <w:pPr>
        <w:pStyle w:val="TitleSubheading"/>
        <w:spacing w:after="0"/>
        <w:ind w:left="0"/>
        <w:jc w:val="left"/>
        <w:rPr>
          <w:rFonts w:asciiTheme="majorHAnsi" w:hAnsiTheme="majorHAnsi" w:cs="Times New Roman"/>
          <w:color w:val="1B3A59"/>
          <w:sz w:val="18"/>
          <w:szCs w:val="20"/>
        </w:rPr>
      </w:pPr>
    </w:p>
    <w:p w14:paraId="780700A9" w14:textId="77777777" w:rsidR="00A912BC" w:rsidRDefault="004B3B8F" w:rsidP="00515E67">
      <w:pPr>
        <w:pStyle w:val="NormalWeb"/>
        <w:spacing w:beforeLines="0" w:afterLines="0"/>
        <w:rPr>
          <w:rFonts w:asciiTheme="majorHAnsi" w:hAnsiTheme="majorHAnsi"/>
          <w:sz w:val="18"/>
        </w:rPr>
      </w:pPr>
      <w:r w:rsidRPr="004B3B8F">
        <w:rPr>
          <w:rFonts w:asciiTheme="majorHAnsi" w:hAnsiTheme="majorHAnsi"/>
          <w:sz w:val="18"/>
        </w:rPr>
        <w:t xml:space="preserve">Feigl, A et al, 2016. </w:t>
      </w:r>
      <w:r w:rsidRPr="004B3B8F">
        <w:rPr>
          <w:rFonts w:asciiTheme="majorHAnsi" w:hAnsiTheme="majorHAnsi"/>
          <w:iCs/>
          <w:sz w:val="18"/>
        </w:rPr>
        <w:t xml:space="preserve">A Rapid Assessment of Key Areas of the NHSSP for Timor-Leste: Strengths, Challenges, and Opportunities for Moving Forward. </w:t>
      </w:r>
      <w:r w:rsidRPr="004B3B8F">
        <w:rPr>
          <w:rFonts w:asciiTheme="majorHAnsi" w:hAnsiTheme="majorHAnsi"/>
          <w:sz w:val="18"/>
        </w:rPr>
        <w:t xml:space="preserve">March 2016. Bethesda, MD: Health Finance and Governance Project, Abt Associates Inc. </w:t>
      </w:r>
    </w:p>
    <w:p w14:paraId="3FB13A6C" w14:textId="77777777" w:rsidR="00A912BC" w:rsidRDefault="00A912BC" w:rsidP="00515E67">
      <w:pPr>
        <w:pStyle w:val="NormalWeb"/>
        <w:spacing w:beforeLines="0" w:afterLines="0"/>
        <w:rPr>
          <w:rFonts w:asciiTheme="majorHAnsi" w:hAnsiTheme="majorHAnsi"/>
          <w:sz w:val="18"/>
        </w:rPr>
      </w:pPr>
    </w:p>
    <w:p w14:paraId="0D1B11C9" w14:textId="77777777" w:rsidR="00A912BC" w:rsidRDefault="004B3B8F" w:rsidP="00515E67">
      <w:pPr>
        <w:pStyle w:val="EndnoteText"/>
        <w:rPr>
          <w:rFonts w:asciiTheme="majorHAnsi" w:hAnsiTheme="majorHAnsi"/>
          <w:sz w:val="18"/>
        </w:rPr>
      </w:pPr>
      <w:r w:rsidRPr="004B3B8F">
        <w:rPr>
          <w:rFonts w:asciiTheme="majorHAnsi" w:hAnsiTheme="majorHAnsi"/>
          <w:sz w:val="18"/>
        </w:rPr>
        <w:t>FP2020 Momentum at the midpoint 2015-2016. progress.familyplanning2020.org</w:t>
      </w:r>
    </w:p>
    <w:p w14:paraId="6286099C" w14:textId="77777777" w:rsidR="00A912BC" w:rsidRDefault="00A912BC" w:rsidP="00515E67">
      <w:pPr>
        <w:pStyle w:val="NormalWeb"/>
        <w:spacing w:beforeLines="0" w:afterLines="0"/>
        <w:rPr>
          <w:rFonts w:asciiTheme="majorHAnsi" w:hAnsiTheme="majorHAnsi"/>
          <w:sz w:val="18"/>
        </w:rPr>
      </w:pPr>
    </w:p>
    <w:p w14:paraId="4B2B8B59" w14:textId="77777777" w:rsidR="00A912BC" w:rsidRDefault="004B3B8F" w:rsidP="00515E67">
      <w:pPr>
        <w:pStyle w:val="NormalWeb"/>
        <w:spacing w:beforeLines="0" w:afterLines="0"/>
        <w:rPr>
          <w:rFonts w:asciiTheme="majorHAnsi" w:hAnsiTheme="majorHAnsi"/>
          <w:sz w:val="18"/>
        </w:rPr>
      </w:pPr>
      <w:r w:rsidRPr="004B3B8F">
        <w:rPr>
          <w:rFonts w:asciiTheme="majorHAnsi" w:hAnsiTheme="majorHAnsi"/>
          <w:sz w:val="18"/>
        </w:rPr>
        <w:t xml:space="preserve">Feroz, A et al 2017. </w:t>
      </w:r>
      <w:r w:rsidRPr="004B3B8F">
        <w:rPr>
          <w:rFonts w:asciiTheme="majorHAnsi" w:hAnsiTheme="majorHAnsi"/>
          <w:color w:val="111111"/>
          <w:sz w:val="18"/>
          <w:szCs w:val="46"/>
        </w:rPr>
        <w:t xml:space="preserve">Role of mHealth applications for improving antenatal and postnatal care in low and middle income countries: a systematic review. </w:t>
      </w:r>
      <w:r w:rsidRPr="004B3B8F">
        <w:rPr>
          <w:rFonts w:asciiTheme="majorHAnsi" w:hAnsiTheme="majorHAnsi"/>
          <w:color w:val="111111"/>
          <w:sz w:val="18"/>
          <w:szCs w:val="16"/>
        </w:rPr>
        <w:t xml:space="preserve">BMC Health Services Research (2017) 17:704 DOI 10.1186/s12913-017-2664-7 </w:t>
      </w:r>
    </w:p>
    <w:p w14:paraId="608DC1D4" w14:textId="77777777" w:rsidR="00A912BC" w:rsidRDefault="00A912BC" w:rsidP="00515E67">
      <w:pPr>
        <w:rPr>
          <w:rFonts w:asciiTheme="majorHAnsi" w:hAnsiTheme="majorHAnsi"/>
          <w:sz w:val="18"/>
        </w:rPr>
      </w:pPr>
    </w:p>
    <w:p w14:paraId="3951BC74" w14:textId="77777777" w:rsidR="00A912BC" w:rsidRDefault="004B3B8F" w:rsidP="00515E67">
      <w:pPr>
        <w:rPr>
          <w:rFonts w:asciiTheme="majorHAnsi" w:hAnsiTheme="majorHAnsi"/>
          <w:sz w:val="18"/>
          <w:szCs w:val="40"/>
          <w:lang w:val="en-GB"/>
        </w:rPr>
      </w:pPr>
      <w:r w:rsidRPr="004B3B8F">
        <w:rPr>
          <w:rFonts w:asciiTheme="majorHAnsi" w:hAnsiTheme="majorHAnsi"/>
          <w:sz w:val="18"/>
        </w:rPr>
        <w:t xml:space="preserve">Health Alliance International, 2017. </w:t>
      </w:r>
      <w:r w:rsidRPr="004B3B8F">
        <w:rPr>
          <w:rFonts w:asciiTheme="majorHAnsi" w:hAnsiTheme="majorHAnsi"/>
          <w:sz w:val="18"/>
          <w:szCs w:val="40"/>
          <w:lang w:val="en-GB"/>
        </w:rPr>
        <w:t xml:space="preserve">Support of Integrated Maternal and Newborn Care and Liga Inan Scale-Up in Partnership with the Timor-Leste Ministry of Health: Proposal Narrative Submitted to the Partnership for Human Development 1 July 2017 -31 December 2018. </w:t>
      </w:r>
    </w:p>
    <w:p w14:paraId="0FB79133" w14:textId="77777777" w:rsidR="00A912BC" w:rsidRDefault="00A912BC" w:rsidP="00515E67">
      <w:pPr>
        <w:rPr>
          <w:rFonts w:asciiTheme="majorHAnsi" w:hAnsiTheme="majorHAnsi"/>
          <w:sz w:val="18"/>
          <w:szCs w:val="40"/>
          <w:lang w:val="en-GB"/>
        </w:rPr>
      </w:pPr>
    </w:p>
    <w:p w14:paraId="104A09F4" w14:textId="77777777" w:rsidR="00A912BC" w:rsidRDefault="004B3B8F" w:rsidP="00515E67">
      <w:pPr>
        <w:pStyle w:val="textbox"/>
        <w:spacing w:beforeLines="0" w:afterLines="0"/>
        <w:rPr>
          <w:rFonts w:asciiTheme="majorHAnsi" w:hAnsiTheme="majorHAnsi" w:cs="Times New Roman"/>
          <w:sz w:val="18"/>
          <w:szCs w:val="14"/>
        </w:rPr>
      </w:pPr>
      <w:r w:rsidRPr="004B3B8F">
        <w:rPr>
          <w:rFonts w:asciiTheme="majorHAnsi" w:hAnsiTheme="majorHAnsi"/>
          <w:sz w:val="18"/>
          <w:szCs w:val="40"/>
        </w:rPr>
        <w:t xml:space="preserve">Health Financing Policy Options for Timor-Leste, 2016. </w:t>
      </w:r>
      <w:r w:rsidRPr="004B3B8F">
        <w:rPr>
          <w:rFonts w:asciiTheme="majorHAnsi" w:hAnsiTheme="majorHAnsi" w:cs="Times New Roman"/>
          <w:sz w:val="18"/>
          <w:szCs w:val="14"/>
        </w:rPr>
        <w:t>A policy options document developed to support development of Health Financing Policies and Strategies in Timor-Leste 2016. Draft Document, Version 8, October 21</w:t>
      </w:r>
      <w:r w:rsidRPr="004B3B8F">
        <w:rPr>
          <w:rFonts w:asciiTheme="majorHAnsi" w:hAnsiTheme="majorHAnsi" w:cs="Times New Roman"/>
          <w:sz w:val="18"/>
          <w:szCs w:val="14"/>
          <w:vertAlign w:val="superscript"/>
        </w:rPr>
        <w:t>st,</w:t>
      </w:r>
      <w:r w:rsidRPr="004B3B8F">
        <w:rPr>
          <w:rFonts w:asciiTheme="majorHAnsi" w:hAnsiTheme="majorHAnsi" w:cs="Times New Roman"/>
          <w:sz w:val="18"/>
          <w:szCs w:val="14"/>
        </w:rPr>
        <w:t xml:space="preserve"> 2016.</w:t>
      </w:r>
    </w:p>
    <w:p w14:paraId="036C8081" w14:textId="77777777" w:rsidR="00A912BC" w:rsidRDefault="00A912BC" w:rsidP="00515E67">
      <w:pPr>
        <w:rPr>
          <w:rFonts w:asciiTheme="majorHAnsi" w:hAnsiTheme="majorHAnsi"/>
          <w:sz w:val="18"/>
          <w:szCs w:val="40"/>
          <w:lang w:val="en-GB"/>
        </w:rPr>
      </w:pPr>
    </w:p>
    <w:p w14:paraId="748A8471" w14:textId="77777777" w:rsidR="00A912BC" w:rsidRDefault="004B3B8F" w:rsidP="00515E67">
      <w:pPr>
        <w:pStyle w:val="NormalWeb"/>
        <w:spacing w:before="2" w:after="2"/>
        <w:rPr>
          <w:rFonts w:asciiTheme="majorHAnsi" w:hAnsiTheme="majorHAnsi"/>
          <w:sz w:val="18"/>
          <w:szCs w:val="48"/>
        </w:rPr>
      </w:pPr>
      <w:r w:rsidRPr="004B3B8F">
        <w:rPr>
          <w:rFonts w:asciiTheme="majorHAnsi" w:hAnsiTheme="majorHAnsi"/>
          <w:sz w:val="18"/>
          <w:szCs w:val="40"/>
        </w:rPr>
        <w:t xml:space="preserve">Holloway, K, 2012. </w:t>
      </w:r>
      <w:r w:rsidRPr="004B3B8F">
        <w:rPr>
          <w:rFonts w:asciiTheme="majorHAnsi" w:hAnsiTheme="majorHAnsi"/>
          <w:bCs/>
          <w:sz w:val="18"/>
          <w:szCs w:val="72"/>
        </w:rPr>
        <w:t xml:space="preserve">Timor-Leste: </w:t>
      </w:r>
      <w:r w:rsidRPr="004B3B8F">
        <w:rPr>
          <w:rFonts w:asciiTheme="majorHAnsi" w:hAnsiTheme="majorHAnsi"/>
          <w:bCs/>
          <w:sz w:val="18"/>
          <w:szCs w:val="56"/>
        </w:rPr>
        <w:t xml:space="preserve">Pharmaceuticals in Health Care Delivery. </w:t>
      </w:r>
      <w:r w:rsidRPr="004B3B8F">
        <w:rPr>
          <w:rFonts w:asciiTheme="majorHAnsi" w:hAnsiTheme="majorHAnsi"/>
          <w:sz w:val="18"/>
          <w:szCs w:val="48"/>
        </w:rPr>
        <w:t>Mission Report 6-17 February 2012. New Delhi: World Health Organization.</w:t>
      </w:r>
    </w:p>
    <w:p w14:paraId="0107CA02" w14:textId="77777777" w:rsidR="00A912BC" w:rsidRDefault="00A912BC" w:rsidP="00515E67">
      <w:pPr>
        <w:pStyle w:val="NormalWeb"/>
        <w:spacing w:before="2" w:after="2"/>
        <w:rPr>
          <w:rFonts w:asciiTheme="majorHAnsi" w:hAnsiTheme="majorHAnsi"/>
          <w:sz w:val="18"/>
          <w:szCs w:val="48"/>
        </w:rPr>
      </w:pPr>
    </w:p>
    <w:p w14:paraId="22DD5205" w14:textId="77777777" w:rsidR="00A912BC" w:rsidRDefault="004B3B8F" w:rsidP="00515E67">
      <w:pPr>
        <w:pStyle w:val="EndnoteText"/>
        <w:spacing w:after="60"/>
        <w:rPr>
          <w:rFonts w:asciiTheme="majorHAnsi" w:hAnsiTheme="majorHAnsi"/>
          <w:sz w:val="18"/>
          <w:lang w:val="en-GB"/>
        </w:rPr>
      </w:pPr>
      <w:r w:rsidRPr="004B3B8F">
        <w:rPr>
          <w:rFonts w:asciiTheme="majorHAnsi" w:hAnsiTheme="majorHAnsi"/>
          <w:sz w:val="18"/>
        </w:rPr>
        <w:t xml:space="preserve">Holmer, H et al, 2015. </w:t>
      </w:r>
      <w:r w:rsidRPr="004B3B8F">
        <w:rPr>
          <w:rFonts w:asciiTheme="majorHAnsi" w:hAnsiTheme="majorHAnsi"/>
          <w:sz w:val="18"/>
          <w:lang w:val="en-GB"/>
        </w:rPr>
        <w:t xml:space="preserve">The global met need for emergency obstetric care: a systematic review. British Journal of Obstetrics and Gynaecology;122:183–189. DOI: 10.1111/1471-0528.13230 </w:t>
      </w:r>
    </w:p>
    <w:p w14:paraId="1FA05280" w14:textId="77777777" w:rsidR="00A912BC" w:rsidRDefault="00A912BC" w:rsidP="00515E67">
      <w:pPr>
        <w:pStyle w:val="NormalWeb"/>
        <w:spacing w:before="2" w:after="2"/>
        <w:rPr>
          <w:rFonts w:asciiTheme="majorHAnsi" w:hAnsiTheme="majorHAnsi"/>
          <w:sz w:val="18"/>
          <w:szCs w:val="48"/>
        </w:rPr>
      </w:pPr>
    </w:p>
    <w:p w14:paraId="6489BED1" w14:textId="77777777" w:rsidR="00A912BC" w:rsidRDefault="004B3B8F" w:rsidP="00515E67">
      <w:pPr>
        <w:rPr>
          <w:rFonts w:asciiTheme="majorHAnsi" w:hAnsiTheme="majorHAnsi"/>
          <w:sz w:val="18"/>
        </w:rPr>
      </w:pPr>
      <w:r w:rsidRPr="004B3B8F">
        <w:rPr>
          <w:rFonts w:asciiTheme="majorHAnsi" w:hAnsiTheme="majorHAnsi"/>
          <w:sz w:val="18"/>
        </w:rPr>
        <w:t>Hou, X and A Asante, 2016. Turning Challenges into Opportunities: the medium term health expenditure pressure study in Timor Leste. World Bank.</w:t>
      </w:r>
    </w:p>
    <w:p w14:paraId="136A56F8" w14:textId="77777777" w:rsidR="00A912BC" w:rsidRDefault="00A912BC" w:rsidP="00515E67">
      <w:pPr>
        <w:rPr>
          <w:rFonts w:asciiTheme="majorHAnsi" w:hAnsiTheme="majorHAnsi"/>
          <w:sz w:val="18"/>
        </w:rPr>
      </w:pPr>
    </w:p>
    <w:p w14:paraId="71972DA0"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rPr>
        <w:t xml:space="preserve">Kania, J and M Kramer, 2011. Collective impact. </w:t>
      </w:r>
      <w:r w:rsidRPr="004B3B8F">
        <w:rPr>
          <w:rFonts w:asciiTheme="majorHAnsi" w:hAnsiTheme="majorHAnsi"/>
          <w:sz w:val="18"/>
          <w:szCs w:val="28"/>
        </w:rPr>
        <w:t xml:space="preserve">Stanford Social Innovation Review Winter 2011 </w:t>
      </w:r>
    </w:p>
    <w:p w14:paraId="4FBE428B" w14:textId="77777777" w:rsidR="00A912BC" w:rsidRDefault="00A912BC" w:rsidP="00515E67">
      <w:pPr>
        <w:rPr>
          <w:rFonts w:asciiTheme="majorHAnsi" w:hAnsiTheme="majorHAnsi"/>
          <w:sz w:val="18"/>
        </w:rPr>
      </w:pPr>
    </w:p>
    <w:p w14:paraId="510BAC3B" w14:textId="77777777" w:rsidR="00A912BC" w:rsidRDefault="004B3B8F" w:rsidP="00515E67">
      <w:pPr>
        <w:rPr>
          <w:rFonts w:asciiTheme="majorHAnsi" w:hAnsiTheme="majorHAnsi"/>
          <w:sz w:val="18"/>
        </w:rPr>
      </w:pPr>
      <w:r w:rsidRPr="004B3B8F">
        <w:rPr>
          <w:rFonts w:asciiTheme="majorHAnsi" w:hAnsiTheme="majorHAnsi"/>
          <w:sz w:val="18"/>
        </w:rPr>
        <w:lastRenderedPageBreak/>
        <w:t xml:space="preserve">Kohler, H-P and J Behrman, 2014. </w:t>
      </w:r>
      <w:r w:rsidRPr="004B3B8F">
        <w:rPr>
          <w:rFonts w:asciiTheme="majorHAnsi" w:hAnsiTheme="majorHAnsi"/>
          <w:sz w:val="18"/>
          <w:szCs w:val="48"/>
        </w:rPr>
        <w:t xml:space="preserve">Benefits and costs of the population and demography targets for the post-2015 development agenda: </w:t>
      </w:r>
      <w:r w:rsidRPr="004B3B8F">
        <w:rPr>
          <w:rFonts w:asciiTheme="majorHAnsi" w:hAnsiTheme="majorHAnsi"/>
          <w:sz w:val="18"/>
          <w:szCs w:val="44"/>
        </w:rPr>
        <w:t xml:space="preserve">Post-2015 Consensus </w:t>
      </w:r>
      <w:r w:rsidRPr="004B3B8F">
        <w:rPr>
          <w:rFonts w:asciiTheme="majorHAnsi" w:hAnsiTheme="majorHAnsi"/>
          <w:sz w:val="18"/>
          <w:szCs w:val="48"/>
        </w:rPr>
        <w:t>Working paper as of 3 October 2014. Copenhagen Consensus Center.</w:t>
      </w:r>
    </w:p>
    <w:p w14:paraId="47DB3630" w14:textId="77777777" w:rsidR="00A912BC" w:rsidRDefault="00A912BC" w:rsidP="00515E67">
      <w:pPr>
        <w:rPr>
          <w:rFonts w:asciiTheme="majorHAnsi" w:hAnsiTheme="majorHAnsi"/>
          <w:sz w:val="18"/>
          <w:szCs w:val="40"/>
          <w:lang w:val="en-GB"/>
        </w:rPr>
      </w:pPr>
    </w:p>
    <w:p w14:paraId="3FBAB8B6" w14:textId="77777777" w:rsidR="00A912BC" w:rsidRDefault="004B3B8F" w:rsidP="00515E67">
      <w:pPr>
        <w:rPr>
          <w:rFonts w:asciiTheme="majorHAnsi" w:hAnsiTheme="majorHAnsi" w:cstheme="minorHAnsi"/>
          <w:sz w:val="18"/>
          <w:szCs w:val="20"/>
        </w:rPr>
      </w:pPr>
      <w:r w:rsidRPr="004B3B8F">
        <w:rPr>
          <w:rFonts w:asciiTheme="majorHAnsi" w:hAnsiTheme="majorHAnsi"/>
          <w:sz w:val="18"/>
          <w:szCs w:val="22"/>
        </w:rPr>
        <w:t xml:space="preserve">Ly, C, 2012. </w:t>
      </w:r>
      <w:r w:rsidRPr="004B3B8F">
        <w:rPr>
          <w:rFonts w:asciiTheme="majorHAnsi" w:hAnsiTheme="majorHAnsi" w:cstheme="minorHAnsi"/>
          <w:sz w:val="18"/>
          <w:szCs w:val="20"/>
        </w:rPr>
        <w:t>Determinants of Child and Maternal Health Outcomes: Timor-Leste (unpublished).</w:t>
      </w:r>
    </w:p>
    <w:p w14:paraId="794CFFD2" w14:textId="77777777" w:rsidR="00A912BC" w:rsidRDefault="00A912BC" w:rsidP="00515E67">
      <w:pPr>
        <w:rPr>
          <w:rFonts w:asciiTheme="majorHAnsi" w:hAnsiTheme="majorHAnsi" w:cstheme="minorHAnsi"/>
          <w:sz w:val="18"/>
          <w:szCs w:val="20"/>
        </w:rPr>
      </w:pPr>
    </w:p>
    <w:p w14:paraId="19FF1619" w14:textId="77777777" w:rsidR="00A912BC" w:rsidRDefault="004B3B8F" w:rsidP="00515E67">
      <w:pPr>
        <w:rPr>
          <w:rFonts w:asciiTheme="majorHAnsi" w:hAnsiTheme="majorHAnsi"/>
          <w:sz w:val="18"/>
          <w:szCs w:val="36"/>
          <w:lang w:val="en-GB"/>
        </w:rPr>
      </w:pPr>
      <w:r w:rsidRPr="004B3B8F">
        <w:rPr>
          <w:rFonts w:asciiTheme="majorHAnsi" w:hAnsiTheme="majorHAnsi"/>
          <w:sz w:val="18"/>
          <w:szCs w:val="36"/>
          <w:lang w:val="en-GB"/>
        </w:rPr>
        <w:t>Marie Stopes Timor-Leste, 2016. ‘EQUI-T’: Expanding Quality, Uptake and Impact – Together. Program Design Proposal submitted to Abt JTA on 6th December 2016.</w:t>
      </w:r>
    </w:p>
    <w:p w14:paraId="69FF8BD4" w14:textId="77777777" w:rsidR="00A912BC" w:rsidRDefault="00A912BC" w:rsidP="00515E67">
      <w:pPr>
        <w:rPr>
          <w:rFonts w:asciiTheme="majorHAnsi" w:hAnsiTheme="majorHAnsi"/>
          <w:sz w:val="18"/>
          <w:szCs w:val="36"/>
          <w:lang w:val="en-GB"/>
        </w:rPr>
      </w:pPr>
    </w:p>
    <w:p w14:paraId="0BA4408D" w14:textId="77777777" w:rsidR="00A912BC" w:rsidRDefault="004B3B8F" w:rsidP="00515E67">
      <w:pPr>
        <w:pStyle w:val="EndnoteText"/>
        <w:rPr>
          <w:rFonts w:asciiTheme="majorHAnsi" w:hAnsiTheme="majorHAnsi"/>
          <w:sz w:val="18"/>
        </w:rPr>
      </w:pPr>
      <w:r w:rsidRPr="004B3B8F">
        <w:rPr>
          <w:rFonts w:asciiTheme="majorHAnsi" w:hAnsiTheme="majorHAnsi"/>
          <w:sz w:val="18"/>
        </w:rPr>
        <w:t>Martins, N et al, 2015. Evaluation of Liga Inan project.</w:t>
      </w:r>
    </w:p>
    <w:p w14:paraId="374D105A" w14:textId="77777777" w:rsidR="00A912BC" w:rsidRDefault="00A912BC" w:rsidP="00515E67">
      <w:pPr>
        <w:rPr>
          <w:rFonts w:asciiTheme="majorHAnsi" w:hAnsiTheme="majorHAnsi"/>
          <w:sz w:val="18"/>
          <w:szCs w:val="36"/>
          <w:lang w:val="en-GB"/>
        </w:rPr>
      </w:pPr>
    </w:p>
    <w:p w14:paraId="22793034" w14:textId="77777777" w:rsidR="00A912BC" w:rsidRDefault="004B3B8F" w:rsidP="00515E67">
      <w:pPr>
        <w:pStyle w:val="NormalWeb"/>
        <w:spacing w:before="2" w:after="2"/>
        <w:rPr>
          <w:rFonts w:asciiTheme="majorHAnsi" w:hAnsiTheme="majorHAnsi"/>
          <w:sz w:val="18"/>
          <w:szCs w:val="24"/>
        </w:rPr>
      </w:pPr>
      <w:r w:rsidRPr="004B3B8F">
        <w:rPr>
          <w:rFonts w:asciiTheme="majorHAnsi" w:hAnsiTheme="majorHAnsi"/>
          <w:sz w:val="18"/>
        </w:rPr>
        <w:t xml:space="preserve">Ministry of Health Timor-Leste [ no date ]. </w:t>
      </w:r>
      <w:r w:rsidRPr="004B3B8F">
        <w:rPr>
          <w:rFonts w:asciiTheme="majorHAnsi" w:hAnsiTheme="majorHAnsi"/>
          <w:sz w:val="18"/>
          <w:szCs w:val="60"/>
        </w:rPr>
        <w:t xml:space="preserve">SAUDE NA FAMILIA: </w:t>
      </w:r>
      <w:r w:rsidRPr="004B3B8F">
        <w:rPr>
          <w:rFonts w:asciiTheme="majorHAnsi" w:hAnsiTheme="majorHAnsi"/>
          <w:sz w:val="18"/>
          <w:szCs w:val="28"/>
        </w:rPr>
        <w:t xml:space="preserve">Part of Comprehensive Primary Healthcare Package. </w:t>
      </w:r>
      <w:r w:rsidRPr="004B3B8F">
        <w:rPr>
          <w:rFonts w:asciiTheme="majorHAnsi" w:hAnsiTheme="majorHAnsi"/>
          <w:sz w:val="18"/>
          <w:szCs w:val="24"/>
        </w:rPr>
        <w:t xml:space="preserve">Success Stories from the Field. </w:t>
      </w:r>
    </w:p>
    <w:p w14:paraId="1E3AF6C3" w14:textId="77777777" w:rsidR="00A912BC" w:rsidRDefault="00A912BC" w:rsidP="00515E67">
      <w:pPr>
        <w:pStyle w:val="NormalWeb"/>
        <w:spacing w:before="2" w:after="2"/>
        <w:rPr>
          <w:rFonts w:asciiTheme="majorHAnsi" w:hAnsiTheme="majorHAnsi"/>
          <w:sz w:val="18"/>
          <w:szCs w:val="24"/>
        </w:rPr>
      </w:pPr>
    </w:p>
    <w:p w14:paraId="57194F56" w14:textId="77777777" w:rsidR="00A912BC" w:rsidRDefault="004B3B8F" w:rsidP="00515E67">
      <w:pPr>
        <w:pStyle w:val="NormalWeb"/>
        <w:spacing w:before="2" w:after="2"/>
        <w:rPr>
          <w:rFonts w:asciiTheme="majorHAnsi" w:hAnsiTheme="majorHAnsi"/>
          <w:sz w:val="18"/>
          <w:szCs w:val="18"/>
        </w:rPr>
      </w:pPr>
      <w:r w:rsidRPr="004B3B8F">
        <w:rPr>
          <w:rFonts w:asciiTheme="majorHAnsi" w:hAnsiTheme="majorHAnsi"/>
          <w:sz w:val="18"/>
          <w:szCs w:val="18"/>
        </w:rPr>
        <w:t>Ministry of Health Timor-Leste</w:t>
      </w:r>
      <w:r w:rsidRPr="004B3B8F">
        <w:rPr>
          <w:rFonts w:asciiTheme="majorHAnsi" w:hAnsiTheme="majorHAnsi"/>
          <w:iCs/>
          <w:sz w:val="18"/>
          <w:szCs w:val="18"/>
        </w:rPr>
        <w:t>, 2011. National Health Sector Strategic Plan 2011-2030</w:t>
      </w:r>
      <w:r w:rsidRPr="004B3B8F">
        <w:rPr>
          <w:rFonts w:asciiTheme="majorHAnsi" w:hAnsiTheme="majorHAnsi"/>
          <w:sz w:val="18"/>
          <w:szCs w:val="18"/>
        </w:rPr>
        <w:t xml:space="preserve">. </w:t>
      </w:r>
    </w:p>
    <w:p w14:paraId="01056E70" w14:textId="77777777" w:rsidR="00A912BC" w:rsidRDefault="00A912BC" w:rsidP="00515E67">
      <w:pPr>
        <w:pStyle w:val="NormalWeb"/>
        <w:spacing w:before="2" w:after="2"/>
        <w:rPr>
          <w:rFonts w:asciiTheme="majorHAnsi" w:hAnsiTheme="majorHAnsi"/>
          <w:sz w:val="18"/>
          <w:szCs w:val="18"/>
        </w:rPr>
      </w:pPr>
    </w:p>
    <w:p w14:paraId="486A6A25"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szCs w:val="22"/>
        </w:rPr>
        <w:t xml:space="preserve">Ministry of Health. 2015. </w:t>
      </w:r>
      <w:r w:rsidRPr="004B3B8F">
        <w:rPr>
          <w:rFonts w:asciiTheme="majorHAnsi" w:hAnsiTheme="majorHAnsi"/>
          <w:iCs/>
          <w:sz w:val="18"/>
          <w:szCs w:val="22"/>
        </w:rPr>
        <w:t>National Primary Health Care Programme</w:t>
      </w:r>
      <w:r w:rsidRPr="004B3B8F">
        <w:rPr>
          <w:rFonts w:asciiTheme="majorHAnsi" w:hAnsiTheme="majorHAnsi"/>
          <w:sz w:val="18"/>
          <w:szCs w:val="22"/>
        </w:rPr>
        <w:t xml:space="preserve">. Dili, Timor-Leste: Ministry of Health. </w:t>
      </w:r>
    </w:p>
    <w:p w14:paraId="3576F4C5" w14:textId="77777777" w:rsidR="00A912BC" w:rsidRDefault="00A912BC" w:rsidP="00515E67">
      <w:pPr>
        <w:rPr>
          <w:rFonts w:asciiTheme="majorHAnsi" w:hAnsiTheme="majorHAnsi" w:cstheme="minorHAnsi"/>
          <w:sz w:val="18"/>
          <w:szCs w:val="20"/>
        </w:rPr>
      </w:pPr>
    </w:p>
    <w:p w14:paraId="2F98FB04" w14:textId="77777777" w:rsidR="00A912BC" w:rsidRDefault="004B3B8F" w:rsidP="00515E67">
      <w:pPr>
        <w:rPr>
          <w:rFonts w:asciiTheme="majorHAnsi" w:hAnsiTheme="majorHAnsi"/>
          <w:sz w:val="18"/>
        </w:rPr>
      </w:pPr>
      <w:r w:rsidRPr="004B3B8F">
        <w:rPr>
          <w:rFonts w:asciiTheme="majorHAnsi" w:hAnsiTheme="majorHAnsi"/>
          <w:sz w:val="18"/>
        </w:rPr>
        <w:t>Ministry of Health Timor-Leste, 2016. Timor Leste Second National EmONC Assessment, September 2015 – January 2016.</w:t>
      </w:r>
    </w:p>
    <w:p w14:paraId="1AE28CF1" w14:textId="77777777" w:rsidR="00A912BC" w:rsidRDefault="00A912BC" w:rsidP="00515E67">
      <w:pPr>
        <w:rPr>
          <w:rFonts w:asciiTheme="majorHAnsi" w:hAnsiTheme="majorHAnsi"/>
          <w:sz w:val="18"/>
        </w:rPr>
      </w:pPr>
    </w:p>
    <w:p w14:paraId="0045ADC8" w14:textId="77777777" w:rsidR="00A912BC" w:rsidRDefault="004B3B8F" w:rsidP="00515E67">
      <w:pPr>
        <w:rPr>
          <w:rFonts w:asciiTheme="majorHAnsi" w:hAnsiTheme="majorHAnsi"/>
          <w:sz w:val="18"/>
        </w:rPr>
      </w:pPr>
      <w:r w:rsidRPr="004B3B8F">
        <w:rPr>
          <w:rFonts w:asciiTheme="majorHAnsi" w:hAnsiTheme="majorHAnsi"/>
          <w:sz w:val="18"/>
        </w:rPr>
        <w:t>Ministry of Health Timor-Leste, 2017. National Health Sector Strategic Plan 2011 – 2030: five-year implementation – review (PowerPoint).</w:t>
      </w:r>
    </w:p>
    <w:p w14:paraId="0C2875ED" w14:textId="77777777" w:rsidR="00A912BC" w:rsidRDefault="00A912BC">
      <w:pPr>
        <w:pStyle w:val="NormalWeb"/>
        <w:spacing w:before="2" w:after="2"/>
        <w:jc w:val="both"/>
        <w:rPr>
          <w:rFonts w:asciiTheme="majorHAnsi" w:hAnsiTheme="majorHAnsi"/>
          <w:sz w:val="18"/>
        </w:rPr>
      </w:pPr>
    </w:p>
    <w:p w14:paraId="0740B548" w14:textId="77777777" w:rsidR="00A912BC" w:rsidRDefault="004B3B8F" w:rsidP="00515E67">
      <w:pPr>
        <w:pStyle w:val="NormalWeb"/>
        <w:spacing w:before="2" w:after="2"/>
        <w:rPr>
          <w:rFonts w:asciiTheme="majorHAnsi" w:hAnsiTheme="majorHAnsi"/>
          <w:sz w:val="18"/>
          <w:szCs w:val="28"/>
        </w:rPr>
      </w:pPr>
      <w:r w:rsidRPr="004B3B8F">
        <w:rPr>
          <w:rFonts w:asciiTheme="majorHAnsi" w:hAnsiTheme="majorHAnsi"/>
          <w:sz w:val="18"/>
        </w:rPr>
        <w:t xml:space="preserve">Partnership for Human Development Australia Timor-Leste, 2016 (a). </w:t>
      </w:r>
      <w:r w:rsidRPr="004B3B8F">
        <w:rPr>
          <w:rFonts w:asciiTheme="majorHAnsi" w:hAnsiTheme="majorHAnsi"/>
          <w:sz w:val="18"/>
          <w:szCs w:val="28"/>
        </w:rPr>
        <w:t xml:space="preserve">Implementation Strategy, Sector: Health, Date: 11 November 2016. </w:t>
      </w:r>
    </w:p>
    <w:p w14:paraId="58774524" w14:textId="77777777" w:rsidR="00A912BC" w:rsidRDefault="00A912BC" w:rsidP="00515E67">
      <w:pPr>
        <w:pStyle w:val="NormalWeb"/>
        <w:spacing w:before="2" w:after="2"/>
        <w:rPr>
          <w:rFonts w:asciiTheme="majorHAnsi" w:hAnsiTheme="majorHAnsi"/>
          <w:sz w:val="18"/>
          <w:szCs w:val="28"/>
        </w:rPr>
      </w:pPr>
    </w:p>
    <w:p w14:paraId="72A45749"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rPr>
        <w:t>Partnership for Human Development Australia Timor-Leste, 2016 (b). Analysis of proposed 2017 Health Sector Budget (ppt).</w:t>
      </w:r>
    </w:p>
    <w:p w14:paraId="25B58355" w14:textId="77777777" w:rsidR="00A912BC" w:rsidRDefault="00A912BC" w:rsidP="00515E67">
      <w:pPr>
        <w:pStyle w:val="NormalWeb"/>
        <w:spacing w:before="2" w:after="2"/>
        <w:rPr>
          <w:rFonts w:asciiTheme="majorHAnsi" w:hAnsiTheme="majorHAnsi"/>
          <w:sz w:val="18"/>
        </w:rPr>
      </w:pPr>
    </w:p>
    <w:p w14:paraId="3F7C1870"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rPr>
        <w:t>Partnership for Human Development Australia Timor-Leste, 2017. [ PHD six-mo</w:t>
      </w:r>
      <w:bookmarkStart w:id="38" w:name="_Toc366917372"/>
      <w:r w:rsidRPr="004B3B8F">
        <w:rPr>
          <w:rFonts w:asciiTheme="majorHAnsi" w:hAnsiTheme="majorHAnsi"/>
          <w:sz w:val="18"/>
        </w:rPr>
        <w:t xml:space="preserve">nthly report for July-Dec 2016 </w:t>
      </w:r>
    </w:p>
    <w:p w14:paraId="16C2623F" w14:textId="77777777" w:rsidR="00A912BC" w:rsidRDefault="00A912BC" w:rsidP="00515E67">
      <w:pPr>
        <w:pStyle w:val="NormalWeb"/>
        <w:spacing w:before="2" w:after="2"/>
        <w:rPr>
          <w:rFonts w:asciiTheme="majorHAnsi" w:hAnsiTheme="majorHAnsi"/>
          <w:sz w:val="18"/>
        </w:rPr>
      </w:pPr>
    </w:p>
    <w:p w14:paraId="3A3FD165"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rPr>
        <w:t>Partnership for Maternal, Neonatal and Child Health, 2011. A global review of the key interventions related to reproductive, maternal, neonatal and child health (RMNCH). Geneva: PMNCH.</w:t>
      </w:r>
    </w:p>
    <w:p w14:paraId="3D50E69C" w14:textId="77777777" w:rsidR="00A912BC" w:rsidRDefault="00A912BC" w:rsidP="00515E67">
      <w:pPr>
        <w:pStyle w:val="NormalWeb"/>
        <w:spacing w:before="2" w:after="2"/>
        <w:rPr>
          <w:rFonts w:asciiTheme="majorHAnsi" w:hAnsiTheme="majorHAnsi"/>
          <w:sz w:val="18"/>
        </w:rPr>
      </w:pPr>
    </w:p>
    <w:p w14:paraId="63ABBD1F"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rPr>
        <w:t>Review of Australia Timor-Leste Partnership for Human Development Health Program</w:t>
      </w:r>
      <w:bookmarkEnd w:id="38"/>
      <w:r w:rsidRPr="004B3B8F">
        <w:rPr>
          <w:rFonts w:asciiTheme="majorHAnsi" w:hAnsiTheme="majorHAnsi"/>
          <w:sz w:val="18"/>
        </w:rPr>
        <w:t>. Review Plan 13</w:t>
      </w:r>
      <w:r w:rsidRPr="004B3B8F">
        <w:rPr>
          <w:rFonts w:asciiTheme="majorHAnsi" w:hAnsiTheme="majorHAnsi"/>
          <w:sz w:val="18"/>
          <w:vertAlign w:val="superscript"/>
        </w:rPr>
        <w:t>th</w:t>
      </w:r>
      <w:r w:rsidRPr="004B3B8F">
        <w:rPr>
          <w:rFonts w:asciiTheme="majorHAnsi" w:hAnsiTheme="majorHAnsi"/>
          <w:sz w:val="18"/>
        </w:rPr>
        <w:t xml:space="preserve"> September 2017</w:t>
      </w:r>
    </w:p>
    <w:p w14:paraId="4E832EEB" w14:textId="77777777" w:rsidR="00A912BC" w:rsidRDefault="00A912BC" w:rsidP="00515E67">
      <w:pPr>
        <w:pStyle w:val="NormalWeb"/>
        <w:spacing w:before="2" w:after="2"/>
        <w:rPr>
          <w:rFonts w:asciiTheme="majorHAnsi" w:hAnsiTheme="majorHAnsi"/>
          <w:sz w:val="18"/>
        </w:rPr>
      </w:pPr>
    </w:p>
    <w:p w14:paraId="19ABD35A"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szCs w:val="11"/>
        </w:rPr>
        <w:t>Rottingen, JA et</w:t>
      </w:r>
      <w:r w:rsidRPr="004B3B8F">
        <w:rPr>
          <w:rFonts w:asciiTheme="majorHAnsi" w:hAnsiTheme="majorHAnsi"/>
          <w:color w:val="222222"/>
          <w:sz w:val="18"/>
          <w:szCs w:val="11"/>
        </w:rPr>
        <w:t xml:space="preserve"> al, 2014. Shared Responsibilities for Health - A Coherent Global Framework for Health Financing Final Report of the Centre on Global Health Security Working Group on Health Financing Chatham House.</w:t>
      </w:r>
    </w:p>
    <w:p w14:paraId="6FD7DF56" w14:textId="77777777" w:rsidR="00A912BC" w:rsidRDefault="00A912BC" w:rsidP="00515E67">
      <w:pPr>
        <w:pStyle w:val="NormalWeb"/>
        <w:spacing w:before="2" w:after="2"/>
        <w:rPr>
          <w:rFonts w:asciiTheme="majorHAnsi" w:hAnsiTheme="majorHAnsi"/>
          <w:sz w:val="18"/>
        </w:rPr>
      </w:pPr>
    </w:p>
    <w:p w14:paraId="479FD68F" w14:textId="77777777" w:rsidR="00A912BC" w:rsidRDefault="004B3B8F" w:rsidP="00515E67">
      <w:pPr>
        <w:rPr>
          <w:rFonts w:asciiTheme="majorHAnsi" w:hAnsiTheme="majorHAnsi"/>
          <w:sz w:val="18"/>
          <w:szCs w:val="23"/>
          <w:lang w:val="en-GB"/>
        </w:rPr>
      </w:pPr>
      <w:r w:rsidRPr="004B3B8F">
        <w:rPr>
          <w:rFonts w:asciiTheme="majorHAnsi" w:hAnsiTheme="majorHAnsi"/>
          <w:sz w:val="18"/>
          <w:szCs w:val="23"/>
          <w:lang w:val="en-GB"/>
        </w:rPr>
        <w:t>Royal Australasian College of Surgeons (RACS), 2017a. Australia Timor-Leste Program of Assistance in Secondary Services - Phase II (ATLASS II) Six Month Report: January – June 2017.</w:t>
      </w:r>
    </w:p>
    <w:p w14:paraId="59F71094" w14:textId="77777777" w:rsidR="00A912BC" w:rsidRDefault="00A912BC" w:rsidP="00515E67">
      <w:pPr>
        <w:rPr>
          <w:rFonts w:asciiTheme="majorHAnsi" w:hAnsiTheme="majorHAnsi"/>
          <w:sz w:val="18"/>
          <w:szCs w:val="23"/>
          <w:lang w:val="en-GB"/>
        </w:rPr>
      </w:pPr>
    </w:p>
    <w:p w14:paraId="7643D56E" w14:textId="77777777" w:rsidR="00A912BC" w:rsidRDefault="004B3B8F" w:rsidP="00515E67">
      <w:pPr>
        <w:rPr>
          <w:rFonts w:asciiTheme="majorHAnsi" w:hAnsiTheme="majorHAnsi"/>
          <w:sz w:val="18"/>
          <w:szCs w:val="23"/>
          <w:lang w:val="en-GB"/>
        </w:rPr>
      </w:pPr>
      <w:r w:rsidRPr="004B3B8F">
        <w:rPr>
          <w:rFonts w:asciiTheme="majorHAnsi" w:hAnsiTheme="majorHAnsi"/>
          <w:bCs/>
          <w:sz w:val="18"/>
          <w:szCs w:val="30"/>
        </w:rPr>
        <w:t xml:space="preserve">Royal Australasian College of Surgeons (RACS), 2017b. </w:t>
      </w:r>
      <w:r w:rsidRPr="004B3B8F">
        <w:rPr>
          <w:rFonts w:asciiTheme="majorHAnsi" w:hAnsiTheme="majorHAnsi"/>
          <w:bCs/>
          <w:sz w:val="18"/>
          <w:szCs w:val="36"/>
        </w:rPr>
        <w:t xml:space="preserve">Doctors for the Districts: An evaluation of the RACS’ Family Medicine Program. </w:t>
      </w:r>
      <w:r w:rsidRPr="004B3B8F">
        <w:rPr>
          <w:rFonts w:asciiTheme="majorHAnsi" w:hAnsiTheme="majorHAnsi"/>
          <w:bCs/>
          <w:sz w:val="18"/>
          <w:szCs w:val="22"/>
        </w:rPr>
        <w:t>Dili, Timor-Leste.</w:t>
      </w:r>
    </w:p>
    <w:p w14:paraId="235FCABC" w14:textId="77777777" w:rsidR="00A912BC" w:rsidRDefault="00A912BC" w:rsidP="00515E67">
      <w:pPr>
        <w:rPr>
          <w:rFonts w:asciiTheme="majorHAnsi" w:hAnsiTheme="majorHAnsi"/>
          <w:sz w:val="18"/>
          <w:szCs w:val="23"/>
          <w:lang w:val="en-GB"/>
        </w:rPr>
      </w:pPr>
    </w:p>
    <w:p w14:paraId="2CF145D2" w14:textId="77777777" w:rsidR="00A912BC" w:rsidRDefault="004B3B8F" w:rsidP="00515E67">
      <w:pPr>
        <w:pStyle w:val="NormalWeb"/>
        <w:spacing w:beforeLines="0" w:afterLines="0"/>
        <w:rPr>
          <w:rFonts w:asciiTheme="majorHAnsi" w:hAnsiTheme="majorHAnsi"/>
          <w:sz w:val="18"/>
        </w:rPr>
      </w:pPr>
      <w:r w:rsidRPr="004B3B8F">
        <w:rPr>
          <w:rFonts w:asciiTheme="majorHAnsi" w:hAnsiTheme="majorHAnsi"/>
          <w:sz w:val="18"/>
          <w:szCs w:val="18"/>
        </w:rPr>
        <w:t xml:space="preserve">Singh, S and JE Darroch, 2012. </w:t>
      </w:r>
      <w:r w:rsidRPr="004B3B8F">
        <w:rPr>
          <w:rFonts w:asciiTheme="majorHAnsi" w:hAnsiTheme="majorHAnsi"/>
          <w:iCs/>
          <w:sz w:val="18"/>
          <w:szCs w:val="18"/>
        </w:rPr>
        <w:t xml:space="preserve">Adding It Up: Costs and Benefits of Contraceptive Services—Estimates for 2012, </w:t>
      </w:r>
      <w:r w:rsidRPr="004B3B8F">
        <w:rPr>
          <w:rFonts w:asciiTheme="majorHAnsi" w:hAnsiTheme="majorHAnsi"/>
          <w:sz w:val="18"/>
          <w:szCs w:val="18"/>
        </w:rPr>
        <w:t xml:space="preserve">New York: Guttmacher Institute and United Nations Population Fund (UNFPA), 2012, &lt; http://www. guttmacher.org/pubs/AIU-2012-estimates.pdf&gt;. </w:t>
      </w:r>
    </w:p>
    <w:p w14:paraId="3F10539E" w14:textId="77777777" w:rsidR="00A912BC" w:rsidRDefault="00A912BC" w:rsidP="00515E67">
      <w:pPr>
        <w:rPr>
          <w:rFonts w:asciiTheme="majorHAnsi" w:hAnsiTheme="majorHAnsi"/>
          <w:sz w:val="18"/>
          <w:szCs w:val="23"/>
          <w:lang w:val="en-GB"/>
        </w:rPr>
      </w:pPr>
    </w:p>
    <w:p w14:paraId="7064B56E" w14:textId="77777777" w:rsidR="00A912BC" w:rsidRDefault="004B3B8F" w:rsidP="00515E67">
      <w:pPr>
        <w:pStyle w:val="EndnoteText"/>
        <w:spacing w:after="60"/>
        <w:rPr>
          <w:rFonts w:asciiTheme="majorHAnsi" w:hAnsiTheme="majorHAnsi"/>
          <w:sz w:val="18"/>
        </w:rPr>
      </w:pPr>
      <w:r w:rsidRPr="004B3B8F">
        <w:rPr>
          <w:rFonts w:asciiTheme="majorHAnsi" w:hAnsiTheme="majorHAnsi"/>
          <w:sz w:val="18"/>
          <w:szCs w:val="16"/>
        </w:rPr>
        <w:t>Sondaal, SFV et al, 2016. Assessing the Effect of mHealth Interventions in Improving Maternal and Neonatal Care in Low- and Middle-Income Countries: A Systematic Review. PLoS ONE 11(5): e0154664. https://doi.org/10.1371/journal.pone.0154664</w:t>
      </w:r>
    </w:p>
    <w:p w14:paraId="62911F6A" w14:textId="77777777" w:rsidR="00A912BC" w:rsidRDefault="00A912BC" w:rsidP="00515E67">
      <w:pPr>
        <w:rPr>
          <w:rFonts w:asciiTheme="majorHAnsi" w:hAnsiTheme="majorHAnsi"/>
          <w:sz w:val="18"/>
        </w:rPr>
      </w:pPr>
    </w:p>
    <w:p w14:paraId="746F196B" w14:textId="77777777" w:rsidR="00A912BC" w:rsidRDefault="004B3B8F" w:rsidP="00515E67">
      <w:pPr>
        <w:rPr>
          <w:rFonts w:asciiTheme="majorHAnsi" w:hAnsiTheme="majorHAnsi"/>
          <w:sz w:val="18"/>
        </w:rPr>
      </w:pPr>
      <w:r w:rsidRPr="004B3B8F">
        <w:rPr>
          <w:rFonts w:asciiTheme="majorHAnsi" w:hAnsiTheme="majorHAnsi"/>
          <w:sz w:val="18"/>
        </w:rPr>
        <w:t>Specialist Health Service, 2016. Literature review on maternal and child health for Timor Leste, 30 June 2016.</w:t>
      </w:r>
    </w:p>
    <w:p w14:paraId="652F1DFF" w14:textId="77777777" w:rsidR="00A912BC" w:rsidRDefault="00A912BC" w:rsidP="00515E67">
      <w:pPr>
        <w:rPr>
          <w:rFonts w:asciiTheme="majorHAnsi" w:hAnsiTheme="majorHAnsi"/>
          <w:sz w:val="18"/>
          <w:szCs w:val="23"/>
          <w:lang w:val="en-GB"/>
        </w:rPr>
      </w:pPr>
    </w:p>
    <w:p w14:paraId="5B9EB0DA" w14:textId="77777777" w:rsidR="00A912BC" w:rsidRDefault="004B3B8F" w:rsidP="00515E67">
      <w:pPr>
        <w:rPr>
          <w:rFonts w:asciiTheme="majorHAnsi" w:hAnsiTheme="majorHAnsi"/>
          <w:sz w:val="18"/>
          <w:szCs w:val="20"/>
          <w:lang w:val="en-GB"/>
        </w:rPr>
      </w:pPr>
      <w:r w:rsidRPr="004B3B8F">
        <w:rPr>
          <w:rFonts w:asciiTheme="majorHAnsi" w:hAnsiTheme="majorHAnsi"/>
          <w:sz w:val="18"/>
          <w:szCs w:val="11"/>
          <w:shd w:val="clear" w:color="auto" w:fill="FFFFFF"/>
          <w:lang w:val="en-GB"/>
        </w:rPr>
        <w:t>World Bank, 2014. Health Equity and Financial Protection Report – Timor-Leste. Washington, D.C.: World Bank</w:t>
      </w:r>
    </w:p>
    <w:p w14:paraId="71F386A4" w14:textId="77777777" w:rsidR="00A912BC" w:rsidRDefault="00A912BC" w:rsidP="00515E67">
      <w:pPr>
        <w:rPr>
          <w:rFonts w:asciiTheme="majorHAnsi" w:hAnsiTheme="majorHAnsi"/>
          <w:sz w:val="18"/>
        </w:rPr>
      </w:pPr>
    </w:p>
    <w:p w14:paraId="26812D8D" w14:textId="77777777" w:rsidR="00A912BC" w:rsidRDefault="004B3B8F" w:rsidP="00515E67">
      <w:pPr>
        <w:rPr>
          <w:rFonts w:asciiTheme="majorHAnsi" w:hAnsiTheme="majorHAnsi"/>
          <w:sz w:val="18"/>
        </w:rPr>
      </w:pPr>
      <w:r w:rsidRPr="004B3B8F">
        <w:rPr>
          <w:rFonts w:asciiTheme="majorHAnsi" w:hAnsiTheme="majorHAnsi"/>
          <w:sz w:val="18"/>
        </w:rPr>
        <w:t>World Bank, 2015. Report on the Procurement Performance of the Ministry of Health, July 2015.</w:t>
      </w:r>
    </w:p>
    <w:p w14:paraId="44BD4A52" w14:textId="77777777" w:rsidR="00A912BC" w:rsidRDefault="00A912BC" w:rsidP="00515E67">
      <w:pPr>
        <w:rPr>
          <w:rFonts w:asciiTheme="majorHAnsi" w:hAnsiTheme="majorHAnsi"/>
          <w:sz w:val="18"/>
        </w:rPr>
      </w:pPr>
    </w:p>
    <w:p w14:paraId="2CD90C4C" w14:textId="77777777" w:rsidR="00A912BC" w:rsidRDefault="004B3B8F" w:rsidP="00515E67">
      <w:pPr>
        <w:rPr>
          <w:rFonts w:asciiTheme="majorHAnsi" w:hAnsiTheme="majorHAnsi"/>
          <w:sz w:val="18"/>
        </w:rPr>
      </w:pPr>
      <w:r w:rsidRPr="004B3B8F">
        <w:rPr>
          <w:rFonts w:asciiTheme="majorHAnsi" w:hAnsiTheme="majorHAnsi"/>
          <w:sz w:val="18"/>
        </w:rPr>
        <w:t>World Bank and OPM, 2015. Health worker survey in Timor-Leste Final report. Dili: World Bank and Oxford: Oxford Policy Management (OPM).</w:t>
      </w:r>
    </w:p>
    <w:p w14:paraId="1DB997A7" w14:textId="77777777" w:rsidR="00A912BC" w:rsidRDefault="00A912BC" w:rsidP="00515E67">
      <w:pPr>
        <w:rPr>
          <w:rFonts w:asciiTheme="majorHAnsi" w:hAnsiTheme="majorHAnsi"/>
          <w:sz w:val="18"/>
        </w:rPr>
      </w:pPr>
    </w:p>
    <w:p w14:paraId="73FBA58D" w14:textId="77777777" w:rsidR="00FF3FE2" w:rsidRDefault="004B3B8F" w:rsidP="00515E67">
      <w:pPr>
        <w:pStyle w:val="NormalWeb"/>
        <w:spacing w:before="2" w:after="2"/>
        <w:rPr>
          <w:rFonts w:asciiTheme="majorHAnsi" w:hAnsiTheme="majorHAnsi"/>
          <w:sz w:val="18"/>
          <w:szCs w:val="16"/>
        </w:rPr>
      </w:pPr>
      <w:r w:rsidRPr="004B3B8F">
        <w:rPr>
          <w:rFonts w:asciiTheme="majorHAnsi" w:hAnsiTheme="majorHAnsi"/>
          <w:sz w:val="18"/>
        </w:rPr>
        <w:lastRenderedPageBreak/>
        <w:t xml:space="preserve">World Health Organization, 2013. </w:t>
      </w:r>
      <w:r w:rsidRPr="004B3B8F">
        <w:rPr>
          <w:rFonts w:asciiTheme="majorHAnsi" w:hAnsiTheme="majorHAnsi"/>
          <w:sz w:val="18"/>
          <w:szCs w:val="16"/>
        </w:rPr>
        <w:t>The world health report 2013: research for universal health coverage. Geneva: WHO.</w:t>
      </w:r>
    </w:p>
    <w:p w14:paraId="180B01CB" w14:textId="77777777" w:rsidR="00FF3FE2" w:rsidRDefault="00FF3FE2" w:rsidP="00515E67">
      <w:pPr>
        <w:pStyle w:val="NormalWeb"/>
        <w:spacing w:before="2" w:after="2"/>
        <w:rPr>
          <w:rFonts w:asciiTheme="majorHAnsi" w:hAnsiTheme="majorHAnsi"/>
          <w:sz w:val="18"/>
          <w:szCs w:val="16"/>
        </w:rPr>
      </w:pPr>
    </w:p>
    <w:p w14:paraId="79508E0D" w14:textId="77777777" w:rsidR="00A912BC" w:rsidRDefault="00FF3FE2" w:rsidP="00515E67">
      <w:pPr>
        <w:pStyle w:val="NormalWeb"/>
        <w:spacing w:before="2" w:after="2"/>
        <w:rPr>
          <w:rFonts w:asciiTheme="majorHAnsi" w:hAnsiTheme="majorHAnsi"/>
          <w:sz w:val="18"/>
        </w:rPr>
      </w:pPr>
      <w:r w:rsidRPr="004B3B8F">
        <w:rPr>
          <w:rFonts w:asciiTheme="majorHAnsi" w:hAnsiTheme="majorHAnsi"/>
          <w:sz w:val="18"/>
        </w:rPr>
        <w:t>World Health Organization</w:t>
      </w:r>
      <w:r>
        <w:rPr>
          <w:rFonts w:asciiTheme="majorHAnsi" w:hAnsiTheme="majorHAnsi"/>
          <w:sz w:val="18"/>
        </w:rPr>
        <w:t>, 2015. Timor-Leste: WHO Statistical Profile.</w:t>
      </w:r>
    </w:p>
    <w:p w14:paraId="2266899A" w14:textId="77777777" w:rsidR="00A912BC" w:rsidRDefault="00A912BC" w:rsidP="00515E67">
      <w:pPr>
        <w:pStyle w:val="NormalWeb"/>
        <w:spacing w:before="2" w:after="2"/>
        <w:rPr>
          <w:rFonts w:asciiTheme="majorHAnsi" w:hAnsiTheme="majorHAnsi"/>
          <w:sz w:val="18"/>
        </w:rPr>
      </w:pPr>
    </w:p>
    <w:p w14:paraId="52B99C9B" w14:textId="77777777" w:rsidR="00A912BC" w:rsidRDefault="004B3B8F" w:rsidP="00515E67">
      <w:pPr>
        <w:pStyle w:val="NormalWeb"/>
        <w:spacing w:before="2" w:after="2"/>
        <w:rPr>
          <w:rFonts w:asciiTheme="majorHAnsi" w:hAnsiTheme="majorHAnsi"/>
          <w:sz w:val="18"/>
        </w:rPr>
      </w:pPr>
      <w:r w:rsidRPr="004B3B8F">
        <w:rPr>
          <w:rFonts w:asciiTheme="majorHAnsi" w:hAnsiTheme="majorHAnsi"/>
          <w:sz w:val="18"/>
        </w:rPr>
        <w:t>World Health Organization, 2015. National Survey for Non</w:t>
      </w:r>
      <w:r w:rsidR="00CE6A31">
        <w:rPr>
          <w:rFonts w:asciiTheme="majorHAnsi" w:hAnsiTheme="majorHAnsi"/>
          <w:sz w:val="18"/>
        </w:rPr>
        <w:t>-C</w:t>
      </w:r>
      <w:r w:rsidRPr="004B3B8F">
        <w:rPr>
          <w:rFonts w:asciiTheme="majorHAnsi" w:hAnsiTheme="majorHAnsi"/>
          <w:sz w:val="18"/>
        </w:rPr>
        <w:t xml:space="preserve">ommunicable Disease Risk Factors Using WHO STEPS Approach in Timor-Leste. New Delhi: WHO South-East Asia Regional Office. </w:t>
      </w:r>
    </w:p>
    <w:p w14:paraId="35B9C0F9" w14:textId="77777777" w:rsidR="00A912BC" w:rsidRDefault="004B3B8F">
      <w:pPr>
        <w:jc w:val="both"/>
        <w:rPr>
          <w:rFonts w:asciiTheme="majorHAnsi" w:hAnsiTheme="majorHAnsi"/>
          <w:b/>
          <w:color w:val="FF6600"/>
        </w:rPr>
      </w:pPr>
      <w:r w:rsidRPr="004B3B8F">
        <w:rPr>
          <w:rFonts w:asciiTheme="majorHAnsi" w:hAnsiTheme="majorHAnsi"/>
          <w:b/>
          <w:color w:val="FF6600"/>
        </w:rPr>
        <w:br w:type="page"/>
      </w:r>
    </w:p>
    <w:p w14:paraId="322CE20E" w14:textId="77777777" w:rsidR="00992100" w:rsidRPr="00267B79" w:rsidRDefault="004B63A7" w:rsidP="004B63A7">
      <w:pPr>
        <w:pStyle w:val="Heading1"/>
      </w:pPr>
      <w:bookmarkStart w:id="39" w:name="_Toc378838753"/>
      <w:r w:rsidRPr="00267B79">
        <w:lastRenderedPageBreak/>
        <w:t>ANNEXES</w:t>
      </w:r>
      <w:bookmarkEnd w:id="39"/>
    </w:p>
    <w:sectPr w:rsidR="00992100" w:rsidRPr="00267B79" w:rsidSect="0012413B">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B3A7" w14:textId="77777777" w:rsidR="00D26B03" w:rsidRDefault="00D26B03">
      <w:r>
        <w:separator/>
      </w:r>
    </w:p>
  </w:endnote>
  <w:endnote w:type="continuationSeparator" w:id="0">
    <w:p w14:paraId="7F68CE24" w14:textId="77777777" w:rsidR="00D26B03" w:rsidRDefault="00D2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Condensed Medium">
    <w:altName w:val="Arial Narro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harterITC">
    <w:altName w:val="Century Gothic"/>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6B7B" w14:textId="77777777" w:rsidR="00D26B03" w:rsidRDefault="00D26B03" w:rsidP="00964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9B2A86" w14:textId="77777777" w:rsidR="00D26B03" w:rsidRDefault="00D26B03" w:rsidP="009648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0EB6" w14:textId="06936C8E" w:rsidR="00D26B03" w:rsidRDefault="00D26B03" w:rsidP="009648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796">
      <w:rPr>
        <w:rStyle w:val="PageNumber"/>
        <w:noProof/>
      </w:rPr>
      <w:t>1</w:t>
    </w:r>
    <w:r>
      <w:rPr>
        <w:rStyle w:val="PageNumber"/>
      </w:rPr>
      <w:fldChar w:fldCharType="end"/>
    </w:r>
  </w:p>
  <w:p w14:paraId="1C743955" w14:textId="77777777" w:rsidR="00D26B03" w:rsidRDefault="00D26B03" w:rsidP="009648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CC66" w14:textId="77777777" w:rsidR="004A1796" w:rsidRDefault="004A1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88ECE" w14:textId="77777777" w:rsidR="00D26B03" w:rsidRDefault="00D26B03">
      <w:r>
        <w:separator/>
      </w:r>
    </w:p>
  </w:footnote>
  <w:footnote w:type="continuationSeparator" w:id="0">
    <w:p w14:paraId="66E86334" w14:textId="77777777" w:rsidR="00D26B03" w:rsidRDefault="00D26B03">
      <w:r>
        <w:continuationSeparator/>
      </w:r>
    </w:p>
  </w:footnote>
  <w:footnote w:id="1">
    <w:p w14:paraId="37F2CA83" w14:textId="77777777" w:rsidR="00D26B03" w:rsidRPr="007E5FD5" w:rsidRDefault="00D26B03" w:rsidP="009C58F2">
      <w:pPr>
        <w:pStyle w:val="FootnoteText"/>
        <w:jc w:val="both"/>
        <w:rPr>
          <w:lang w:val="en-US"/>
        </w:rPr>
      </w:pPr>
      <w:r>
        <w:rPr>
          <w:rStyle w:val="FootnoteReference"/>
        </w:rPr>
        <w:footnoteRef/>
      </w:r>
      <w:r>
        <w:t xml:space="preserve"> </w:t>
      </w:r>
      <w:r w:rsidRPr="00413A9D">
        <w:rPr>
          <w:rFonts w:ascii="Avenir Next Condensed Medium" w:hAnsi="Avenir Next Condensed Medium"/>
          <w:sz w:val="18"/>
        </w:rPr>
        <w:t>‘</w:t>
      </w:r>
      <w:r>
        <w:rPr>
          <w:rFonts w:ascii="Avenir Next Condensed Medium" w:hAnsi="Avenir Next Condensed Medium"/>
          <w:sz w:val="18"/>
          <w:szCs w:val="22"/>
        </w:rPr>
        <w:t>M</w:t>
      </w:r>
      <w:r w:rsidRPr="00413A9D">
        <w:rPr>
          <w:rFonts w:ascii="Avenir Next Condensed Medium" w:hAnsi="Avenir Next Condensed Medium"/>
          <w:sz w:val="18"/>
          <w:szCs w:val="22"/>
        </w:rPr>
        <w:t>ortality in the 2016 T</w:t>
      </w:r>
      <w:r>
        <w:rPr>
          <w:rFonts w:ascii="Avenir Next Condensed Medium" w:hAnsi="Avenir Next Condensed Medium"/>
          <w:sz w:val="18"/>
          <w:szCs w:val="22"/>
        </w:rPr>
        <w:t>imor-</w:t>
      </w:r>
      <w:r w:rsidRPr="00413A9D">
        <w:rPr>
          <w:rFonts w:ascii="Avenir Next Condensed Medium" w:hAnsi="Avenir Next Condensed Medium"/>
          <w:sz w:val="18"/>
          <w:szCs w:val="22"/>
        </w:rPr>
        <w:t>L</w:t>
      </w:r>
      <w:r>
        <w:rPr>
          <w:rFonts w:ascii="Avenir Next Condensed Medium" w:hAnsi="Avenir Next Condensed Medium"/>
          <w:sz w:val="18"/>
          <w:szCs w:val="22"/>
        </w:rPr>
        <w:t xml:space="preserve">este </w:t>
      </w:r>
      <w:r w:rsidRPr="00413A9D">
        <w:rPr>
          <w:rFonts w:ascii="Avenir Next Condensed Medium" w:hAnsi="Avenir Next Condensed Medium"/>
          <w:sz w:val="18"/>
          <w:szCs w:val="22"/>
        </w:rPr>
        <w:t>D</w:t>
      </w:r>
      <w:r>
        <w:rPr>
          <w:rFonts w:ascii="Avenir Next Condensed Medium" w:hAnsi="Avenir Next Condensed Medium"/>
          <w:sz w:val="18"/>
          <w:szCs w:val="22"/>
        </w:rPr>
        <w:t xml:space="preserve">emographic and </w:t>
      </w:r>
      <w:r w:rsidRPr="00413A9D">
        <w:rPr>
          <w:rFonts w:ascii="Avenir Next Condensed Medium" w:hAnsi="Avenir Next Condensed Medium"/>
          <w:sz w:val="18"/>
          <w:szCs w:val="22"/>
        </w:rPr>
        <w:t>H</w:t>
      </w:r>
      <w:r>
        <w:rPr>
          <w:rFonts w:ascii="Avenir Next Condensed Medium" w:hAnsi="Avenir Next Condensed Medium"/>
          <w:sz w:val="18"/>
          <w:szCs w:val="22"/>
        </w:rPr>
        <w:t xml:space="preserve">ealth </w:t>
      </w:r>
      <w:r w:rsidRPr="00413A9D">
        <w:rPr>
          <w:rFonts w:ascii="Avenir Next Condensed Medium" w:hAnsi="Avenir Next Condensed Medium"/>
          <w:sz w:val="18"/>
          <w:szCs w:val="22"/>
        </w:rPr>
        <w:t>S</w:t>
      </w:r>
      <w:r>
        <w:rPr>
          <w:rFonts w:ascii="Avenir Next Condensed Medium" w:hAnsi="Avenir Next Condensed Medium"/>
          <w:sz w:val="18"/>
          <w:szCs w:val="22"/>
        </w:rPr>
        <w:t>urvey (TLDHS)</w:t>
      </w:r>
      <w:r w:rsidRPr="00413A9D">
        <w:rPr>
          <w:rFonts w:ascii="Avenir Next Condensed Medium" w:hAnsi="Avenir Next Condensed Medium"/>
          <w:sz w:val="18"/>
          <w:szCs w:val="22"/>
        </w:rPr>
        <w:t xml:space="preserve"> may be underestimated’ and these ‘results should be considered with caution’ (DHS, 2016)</w:t>
      </w:r>
      <w:r>
        <w:rPr>
          <w:rFonts w:ascii="Avenir Next Condensed Medium" w:hAnsi="Avenir Next Condensed Medium"/>
          <w:sz w:val="18"/>
          <w:szCs w:val="22"/>
        </w:rPr>
        <w:t>.</w:t>
      </w:r>
    </w:p>
  </w:footnote>
  <w:footnote w:id="2">
    <w:p w14:paraId="2116B3E0" w14:textId="77777777" w:rsidR="00D26B03" w:rsidRPr="007E5FD5" w:rsidRDefault="00D26B03" w:rsidP="009C58F2">
      <w:pPr>
        <w:pStyle w:val="FootnoteText"/>
        <w:jc w:val="both"/>
        <w:rPr>
          <w:rFonts w:ascii="Arial Narrow" w:hAnsi="Arial Narrow"/>
          <w:sz w:val="18"/>
          <w:szCs w:val="18"/>
          <w:lang w:val="en-US"/>
        </w:rPr>
      </w:pPr>
      <w:r w:rsidRPr="008B233E">
        <w:rPr>
          <w:rStyle w:val="FootnoteReference"/>
          <w:rFonts w:ascii="Arial Narrow" w:hAnsi="Arial Narrow"/>
          <w:sz w:val="18"/>
          <w:szCs w:val="18"/>
        </w:rPr>
        <w:footnoteRef/>
      </w:r>
      <w:r w:rsidRPr="008B233E">
        <w:rPr>
          <w:rFonts w:ascii="Arial Narrow" w:hAnsi="Arial Narrow"/>
          <w:sz w:val="18"/>
          <w:szCs w:val="18"/>
        </w:rPr>
        <w:t xml:space="preserve"> </w:t>
      </w:r>
      <w:r w:rsidRPr="008B233E">
        <w:rPr>
          <w:rFonts w:ascii="Arial Narrow" w:hAnsi="Arial Narrow"/>
          <w:sz w:val="18"/>
          <w:szCs w:val="18"/>
          <w:lang w:val="en-US"/>
        </w:rPr>
        <w:t>2016 TLDHS</w:t>
      </w:r>
    </w:p>
  </w:footnote>
  <w:footnote w:id="3">
    <w:p w14:paraId="2811979D" w14:textId="77777777" w:rsidR="00D26B03" w:rsidRPr="00D473DE" w:rsidRDefault="00D26B03" w:rsidP="00D473DE">
      <w:pPr>
        <w:pStyle w:val="FootnoteText"/>
        <w:rPr>
          <w:rFonts w:ascii="Avenir Next Condensed Medium" w:hAnsi="Avenir Next Condensed Medium"/>
          <w:sz w:val="18"/>
        </w:rPr>
      </w:pPr>
      <w:r w:rsidRPr="00D473DE">
        <w:rPr>
          <w:rStyle w:val="FootnoteReference"/>
          <w:rFonts w:ascii="Avenir Next Condensed Medium" w:hAnsi="Avenir Next Condensed Medium"/>
          <w:sz w:val="18"/>
        </w:rPr>
        <w:footnoteRef/>
      </w:r>
      <w:r w:rsidRPr="00D473DE">
        <w:rPr>
          <w:rFonts w:ascii="Avenir Next Condensed Medium" w:hAnsi="Avenir Next Condensed Medium"/>
          <w:sz w:val="18"/>
        </w:rPr>
        <w:t xml:space="preserve"> Hou and Asante, 2016</w:t>
      </w:r>
    </w:p>
  </w:footnote>
  <w:footnote w:id="4">
    <w:p w14:paraId="45F22432" w14:textId="77777777" w:rsidR="00D26B03" w:rsidRPr="00D473DE" w:rsidRDefault="00D26B03" w:rsidP="00D473DE">
      <w:pPr>
        <w:pStyle w:val="FootnoteText"/>
        <w:rPr>
          <w:rFonts w:ascii="Avenir Next Condensed Medium" w:hAnsi="Avenir Next Condensed Medium"/>
          <w:sz w:val="18"/>
        </w:rPr>
      </w:pPr>
      <w:r w:rsidRPr="00D473DE">
        <w:rPr>
          <w:rStyle w:val="FootnoteReference"/>
          <w:rFonts w:ascii="Avenir Next Condensed Medium" w:hAnsi="Avenir Next Condensed Medium"/>
          <w:sz w:val="18"/>
        </w:rPr>
        <w:footnoteRef/>
      </w:r>
      <w:r w:rsidRPr="00D473DE">
        <w:rPr>
          <w:rFonts w:ascii="Avenir Next Condensed Medium" w:hAnsi="Avenir Next Condensed Medium"/>
          <w:sz w:val="18"/>
        </w:rPr>
        <w:t xml:space="preserve"> WHO, 2015.</w:t>
      </w:r>
    </w:p>
  </w:footnote>
  <w:footnote w:id="5">
    <w:p w14:paraId="75637AE9" w14:textId="77777777" w:rsidR="00D26B03" w:rsidRPr="00D473DE" w:rsidRDefault="00D26B03" w:rsidP="00D473DE">
      <w:pPr>
        <w:pStyle w:val="FootnoteText"/>
        <w:rPr>
          <w:rFonts w:ascii="Avenir Next Condensed Medium" w:hAnsi="Avenir Next Condensed Medium"/>
          <w:sz w:val="18"/>
        </w:rPr>
      </w:pPr>
      <w:r w:rsidRPr="00D473DE">
        <w:rPr>
          <w:rStyle w:val="FootnoteReference"/>
          <w:rFonts w:ascii="Avenir Next Condensed Medium" w:hAnsi="Avenir Next Condensed Medium"/>
          <w:sz w:val="18"/>
        </w:rPr>
        <w:footnoteRef/>
      </w:r>
      <w:r w:rsidRPr="00D473DE">
        <w:rPr>
          <w:rFonts w:ascii="Avenir Next Condensed Medium" w:hAnsi="Avenir Next Condensed Medium"/>
          <w:sz w:val="18"/>
        </w:rPr>
        <w:t xml:space="preserve"> Ly, 2012 </w:t>
      </w:r>
    </w:p>
  </w:footnote>
  <w:footnote w:id="6">
    <w:p w14:paraId="046F3A4E" w14:textId="77777777" w:rsidR="00D26B03" w:rsidRPr="00D473DE" w:rsidRDefault="00D26B03" w:rsidP="00D473DE">
      <w:pPr>
        <w:pStyle w:val="FootnoteText"/>
        <w:rPr>
          <w:rFonts w:ascii="Avenir Next Condensed Medium" w:hAnsi="Avenir Next Condensed Medium"/>
          <w:sz w:val="18"/>
        </w:rPr>
      </w:pPr>
      <w:r w:rsidRPr="00D473DE">
        <w:rPr>
          <w:rStyle w:val="FootnoteReference"/>
          <w:rFonts w:ascii="Avenir Next Condensed Medium" w:hAnsi="Avenir Next Condensed Medium"/>
          <w:sz w:val="18"/>
        </w:rPr>
        <w:footnoteRef/>
      </w:r>
      <w:r w:rsidRPr="00D473DE">
        <w:rPr>
          <w:rFonts w:ascii="Avenir Next Condensed Medium" w:hAnsi="Avenir Next Condensed Medium"/>
          <w:sz w:val="18"/>
        </w:rPr>
        <w:t xml:space="preserve"> ‘</w:t>
      </w:r>
      <w:r w:rsidRPr="00D473DE">
        <w:rPr>
          <w:rFonts w:ascii="Avenir Next Condensed Medium" w:hAnsi="Avenir Next Condensed Medium"/>
          <w:sz w:val="18"/>
          <w:szCs w:val="22"/>
        </w:rPr>
        <w:t>Mortality in the 2016 TLDHS may be underestimated’ and these ‘results should be considered with caution’ (DHS, 2016).</w:t>
      </w:r>
    </w:p>
  </w:footnote>
  <w:footnote w:id="7">
    <w:p w14:paraId="3A1C66FA" w14:textId="77777777" w:rsidR="00D26B03" w:rsidRPr="00D473DE" w:rsidRDefault="00D26B03" w:rsidP="00D473DE">
      <w:pPr>
        <w:pStyle w:val="FootnoteText"/>
        <w:rPr>
          <w:rFonts w:ascii="Avenir Next Condensed Medium" w:hAnsi="Avenir Next Condensed Medium"/>
          <w:sz w:val="18"/>
        </w:rPr>
      </w:pPr>
      <w:r w:rsidRPr="00D473DE">
        <w:rPr>
          <w:rStyle w:val="FootnoteReference"/>
          <w:rFonts w:ascii="Avenir Next Condensed Medium" w:hAnsi="Avenir Next Condensed Medium"/>
          <w:sz w:val="18"/>
        </w:rPr>
        <w:footnoteRef/>
      </w:r>
      <w:r w:rsidRPr="00D473DE">
        <w:rPr>
          <w:rFonts w:ascii="Avenir Next Condensed Medium" w:hAnsi="Avenir Next Condensed Medium"/>
          <w:sz w:val="18"/>
        </w:rPr>
        <w:t xml:space="preserve"> DHS, 2016</w:t>
      </w:r>
    </w:p>
  </w:footnote>
  <w:footnote w:id="8">
    <w:p w14:paraId="6EA757D7" w14:textId="77777777" w:rsidR="00D26B03" w:rsidRPr="00D473DE" w:rsidRDefault="00D26B03" w:rsidP="00D473DE">
      <w:pPr>
        <w:pStyle w:val="CommentText"/>
        <w:spacing w:after="0"/>
        <w:rPr>
          <w:rFonts w:ascii="Avenir Next Condensed Medium" w:hAnsi="Avenir Next Condensed Medium"/>
          <w:sz w:val="18"/>
        </w:rPr>
      </w:pPr>
      <w:r w:rsidRPr="00D473DE">
        <w:rPr>
          <w:rStyle w:val="FootnoteReference"/>
          <w:rFonts w:ascii="Avenir Next Condensed Medium" w:hAnsi="Avenir Next Condensed Medium"/>
          <w:sz w:val="18"/>
        </w:rPr>
        <w:footnoteRef/>
      </w:r>
      <w:r w:rsidRPr="00D473DE">
        <w:rPr>
          <w:rFonts w:ascii="Avenir Next Condensed Medium" w:hAnsi="Avenir Next Condensed Medium"/>
          <w:sz w:val="18"/>
        </w:rPr>
        <w:t xml:space="preserve"> There is debate about DHS 2016 findings for </w:t>
      </w:r>
      <w:r>
        <w:rPr>
          <w:rFonts w:ascii="Avenir Next Condensed Medium" w:hAnsi="Avenir Next Condensed Medium"/>
          <w:sz w:val="18"/>
        </w:rPr>
        <w:t>MMR</w:t>
      </w:r>
      <w:r w:rsidRPr="00D473DE">
        <w:rPr>
          <w:rFonts w:ascii="Avenir Next Condensed Medium" w:hAnsi="Avenir Next Condensed Medium"/>
          <w:sz w:val="18"/>
        </w:rPr>
        <w:t xml:space="preserve"> and further analysis is underway. In 2009-10, MMR was 557 per 100,000 live births; the adjusted estimate for 2013 was 270, with a ‘range of uncertainty’ between 140 and 500.</w:t>
      </w:r>
    </w:p>
  </w:footnote>
  <w:footnote w:id="9">
    <w:p w14:paraId="24E1B6D6" w14:textId="77777777" w:rsidR="00D26B03" w:rsidRDefault="00D26B03" w:rsidP="00D473DE">
      <w:pPr>
        <w:pStyle w:val="FootnoteText"/>
        <w:rPr>
          <w:rFonts w:ascii="Avenir Next Condensed Medium" w:hAnsi="Avenir Next Condensed Medium"/>
          <w:sz w:val="18"/>
        </w:rPr>
      </w:pPr>
      <w:r w:rsidRPr="00D473DE">
        <w:rPr>
          <w:rStyle w:val="FootnoteReference"/>
          <w:rFonts w:ascii="Avenir Next Condensed Medium" w:hAnsi="Avenir Next Condensed Medium"/>
          <w:sz w:val="18"/>
        </w:rPr>
        <w:footnoteRef/>
      </w:r>
      <w:r w:rsidRPr="00D473DE">
        <w:rPr>
          <w:rFonts w:ascii="Avenir Next Condensed Medium" w:hAnsi="Avenir Next Condensed Medium"/>
          <w:sz w:val="18"/>
        </w:rPr>
        <w:t xml:space="preserve"> Minis</w:t>
      </w:r>
      <w:r>
        <w:rPr>
          <w:rFonts w:ascii="Avenir Next Condensed Medium" w:hAnsi="Avenir Next Condensed Medium"/>
          <w:sz w:val="18"/>
        </w:rPr>
        <w:t>try of Health Timor-Leste, 2017</w:t>
      </w:r>
    </w:p>
  </w:footnote>
  <w:footnote w:id="10">
    <w:p w14:paraId="02300098" w14:textId="77777777" w:rsidR="00D26B03" w:rsidRDefault="00D26B03" w:rsidP="00D759EE">
      <w:pPr>
        <w:pStyle w:val="FootnoteText"/>
        <w:spacing w:after="120"/>
        <w:rPr>
          <w:rFonts w:ascii="Avenir Next Condensed Medium" w:hAnsi="Avenir Next Condensed Medium"/>
          <w:sz w:val="18"/>
        </w:rPr>
      </w:pPr>
      <w:r w:rsidRPr="00413A9D">
        <w:rPr>
          <w:rStyle w:val="FootnoteReference"/>
          <w:rFonts w:ascii="Avenir Next Condensed Medium" w:hAnsi="Avenir Next Condensed Medium"/>
          <w:sz w:val="18"/>
        </w:rPr>
        <w:footnoteRef/>
      </w:r>
      <w:r w:rsidRPr="00413A9D">
        <w:rPr>
          <w:rFonts w:ascii="Avenir Next Condensed Medium" w:hAnsi="Avenir Next Condensed Medium"/>
          <w:sz w:val="18"/>
        </w:rPr>
        <w:t xml:space="preserve"> DHS, 2016</w:t>
      </w:r>
    </w:p>
  </w:footnote>
  <w:footnote w:id="11">
    <w:p w14:paraId="06937A53" w14:textId="77777777" w:rsidR="00D26B03" w:rsidRPr="00F733A7" w:rsidRDefault="00D26B03" w:rsidP="00D139D0">
      <w:pPr>
        <w:pStyle w:val="FootnoteText"/>
        <w:jc w:val="both"/>
        <w:rPr>
          <w:rFonts w:ascii="Avenir Next Condensed Medium" w:hAnsi="Avenir Next Condensed Medium"/>
          <w:sz w:val="18"/>
        </w:rPr>
      </w:pPr>
      <w:r w:rsidRPr="00F733A7">
        <w:rPr>
          <w:rStyle w:val="FootnoteReference"/>
          <w:rFonts w:ascii="Avenir Next Condensed Medium" w:hAnsi="Avenir Next Condensed Medium"/>
          <w:sz w:val="18"/>
        </w:rPr>
        <w:footnoteRef/>
      </w:r>
      <w:r w:rsidRPr="00F733A7">
        <w:rPr>
          <w:rFonts w:ascii="Avenir Next Condensed Medium" w:hAnsi="Avenir Next Condensed Medium"/>
          <w:sz w:val="18"/>
        </w:rPr>
        <w:t xml:space="preserve"> DHS, 2016 </w:t>
      </w:r>
    </w:p>
  </w:footnote>
  <w:footnote w:id="12">
    <w:p w14:paraId="62C870FC" w14:textId="77777777" w:rsidR="00D26B03" w:rsidRPr="00F733A7" w:rsidRDefault="00D26B03" w:rsidP="00D139D0">
      <w:pPr>
        <w:pStyle w:val="FootnoteText"/>
        <w:jc w:val="both"/>
        <w:rPr>
          <w:rFonts w:ascii="Avenir Next Condensed Medium" w:hAnsi="Avenir Next Condensed Medium"/>
          <w:sz w:val="18"/>
        </w:rPr>
      </w:pPr>
      <w:r w:rsidRPr="00F733A7">
        <w:rPr>
          <w:rStyle w:val="FootnoteReference"/>
          <w:rFonts w:ascii="Avenir Next Condensed Medium" w:hAnsi="Avenir Next Condensed Medium"/>
          <w:sz w:val="18"/>
        </w:rPr>
        <w:footnoteRef/>
      </w:r>
      <w:r w:rsidRPr="00F733A7">
        <w:rPr>
          <w:rFonts w:ascii="Avenir Next Condensed Medium" w:hAnsi="Avenir Next Condensed Medium"/>
          <w:sz w:val="18"/>
        </w:rPr>
        <w:t xml:space="preserve"> WHO, 2015</w:t>
      </w:r>
    </w:p>
  </w:footnote>
  <w:footnote w:id="13">
    <w:p w14:paraId="3EA3522C" w14:textId="77777777" w:rsidR="00D26B03" w:rsidRPr="00F733A7" w:rsidRDefault="00D26B03" w:rsidP="00D139D0">
      <w:pPr>
        <w:pStyle w:val="FootnoteText"/>
        <w:jc w:val="both"/>
        <w:rPr>
          <w:rFonts w:ascii="Avenir Next Condensed Medium" w:hAnsi="Avenir Next Condensed Medium"/>
          <w:sz w:val="18"/>
        </w:rPr>
      </w:pPr>
      <w:r w:rsidRPr="00F733A7">
        <w:rPr>
          <w:rStyle w:val="FootnoteReference"/>
          <w:rFonts w:ascii="Avenir Next Condensed Medium" w:hAnsi="Avenir Next Condensed Medium"/>
          <w:sz w:val="18"/>
        </w:rPr>
        <w:footnoteRef/>
      </w:r>
      <w:r w:rsidRPr="00F733A7">
        <w:rPr>
          <w:rFonts w:ascii="Avenir Next Condensed Medium" w:hAnsi="Avenir Next Condensed Medium"/>
          <w:sz w:val="18"/>
        </w:rPr>
        <w:t xml:space="preserve"> Timor-Les</w:t>
      </w:r>
      <w:r>
        <w:rPr>
          <w:rFonts w:ascii="Avenir Next Condensed Medium" w:hAnsi="Avenir Next Condensed Medium"/>
          <w:sz w:val="18"/>
        </w:rPr>
        <w:t>te Health Sector M&amp;E Framework</w:t>
      </w:r>
    </w:p>
  </w:footnote>
  <w:footnote w:id="14">
    <w:p w14:paraId="1A943C5A" w14:textId="77777777" w:rsidR="00D26B03" w:rsidRDefault="00D26B03" w:rsidP="00D139D0">
      <w:pPr>
        <w:pStyle w:val="FootnoteText"/>
        <w:jc w:val="both"/>
      </w:pPr>
      <w:r>
        <w:rPr>
          <w:rStyle w:val="FootnoteReference"/>
        </w:rPr>
        <w:footnoteRef/>
      </w:r>
      <w:r>
        <w:t xml:space="preserve"> </w:t>
      </w:r>
      <w:r w:rsidRPr="00F733A7">
        <w:rPr>
          <w:rFonts w:ascii="Avenir Next Condensed Medium" w:hAnsi="Avenir Next Condensed Medium"/>
          <w:sz w:val="18"/>
          <w:szCs w:val="18"/>
        </w:rPr>
        <w:t>Ministry of Health Timor-Leste</w:t>
      </w:r>
      <w:r>
        <w:rPr>
          <w:rFonts w:ascii="Avenir Next Condensed Medium" w:hAnsi="Avenir Next Condensed Medium"/>
          <w:iCs/>
          <w:sz w:val="18"/>
          <w:szCs w:val="18"/>
        </w:rPr>
        <w:t>, 2011</w:t>
      </w:r>
    </w:p>
  </w:footnote>
  <w:footnote w:id="15">
    <w:p w14:paraId="43DBFE6B" w14:textId="77777777" w:rsidR="00D26B03" w:rsidRPr="00685BAE" w:rsidRDefault="00D26B03" w:rsidP="00D139D0">
      <w:pPr>
        <w:pStyle w:val="NormalWeb"/>
        <w:spacing w:beforeLines="0" w:afterLines="0"/>
        <w:jc w:val="both"/>
        <w:rPr>
          <w:rFonts w:ascii="Avenir Next Condensed Medium" w:hAnsi="Avenir Next Condensed Medium"/>
          <w:sz w:val="18"/>
        </w:rPr>
      </w:pPr>
      <w:r w:rsidRPr="00F733A7">
        <w:rPr>
          <w:rStyle w:val="FootnoteReference"/>
          <w:rFonts w:ascii="Avenir Next Condensed Medium" w:hAnsi="Avenir Next Condensed Medium"/>
          <w:sz w:val="18"/>
        </w:rPr>
        <w:footnoteRef/>
      </w:r>
      <w:r w:rsidRPr="00F733A7">
        <w:rPr>
          <w:rFonts w:ascii="Avenir Next Condensed Medium" w:hAnsi="Avenir Next Condensed Medium"/>
          <w:sz w:val="18"/>
        </w:rPr>
        <w:t xml:space="preserve"> Estimates vary over time and depending on methods used. </w:t>
      </w:r>
      <w:r w:rsidRPr="00F733A7">
        <w:rPr>
          <w:rFonts w:ascii="Avenir Next Condensed Medium" w:hAnsi="Avenir Next Condensed Medium" w:cs="Arial"/>
          <w:bCs/>
          <w:sz w:val="18"/>
        </w:rPr>
        <w:t xml:space="preserve">In 2007-08, 89% of care was sought in the public sector according to the World Bank (2014).  The </w:t>
      </w:r>
      <w:r w:rsidRPr="00F733A7">
        <w:rPr>
          <w:rFonts w:ascii="Avenir Next Condensed Medium" w:hAnsi="Avenir Next Condensed Medium"/>
          <w:sz w:val="18"/>
        </w:rPr>
        <w:t>NHSSP says  ‘… private clinics may be handling a quarter of basic health service delivery’ (MOH, 2011)</w:t>
      </w:r>
      <w:r w:rsidRPr="00F733A7">
        <w:rPr>
          <w:rFonts w:ascii="Avenir Next Condensed Medium" w:hAnsi="Avenir Next Condensed Medium" w:cs="Arial"/>
          <w:bCs/>
          <w:sz w:val="18"/>
        </w:rPr>
        <w:t>.</w:t>
      </w:r>
      <w:r w:rsidRPr="00F733A7">
        <w:rPr>
          <w:rFonts w:ascii="Avenir Next Condensed Medium" w:hAnsi="Avenir Next Condensed Medium"/>
          <w:sz w:val="18"/>
        </w:rPr>
        <w:t xml:space="preserve"> </w:t>
      </w:r>
      <w:r w:rsidRPr="00F733A7">
        <w:rPr>
          <w:rFonts w:ascii="Avenir Next Condensed Medium" w:hAnsi="Avenir Next Condensed Medium" w:cs="Arial"/>
          <w:bCs/>
          <w:sz w:val="18"/>
        </w:rPr>
        <w:t>Private expenditure on health as a percentage of total health expenditure was 29% in 2011 according to Fabricant (2013), while Hou and Asante (2016) say that 92% of all health spending in TL in 2013 was by government.</w:t>
      </w:r>
      <w:r w:rsidRPr="00685BAE">
        <w:rPr>
          <w:rFonts w:ascii="Avenir Next Condensed Medium" w:hAnsi="Avenir Next Condensed Medium" w:cs="Arial"/>
          <w:bCs/>
          <w:sz w:val="18"/>
        </w:rPr>
        <w:t xml:space="preserve"> </w:t>
      </w:r>
    </w:p>
  </w:footnote>
  <w:footnote w:id="16">
    <w:p w14:paraId="5D0024EC" w14:textId="46ADB1B0" w:rsidR="00D26B03" w:rsidRPr="00C85D03" w:rsidRDefault="00D26B03" w:rsidP="00D139D0">
      <w:pPr>
        <w:pStyle w:val="FootnoteText"/>
        <w:jc w:val="both"/>
        <w:rPr>
          <w:lang w:val="en-US"/>
        </w:rPr>
      </w:pPr>
      <w:r>
        <w:rPr>
          <w:rStyle w:val="FootnoteReference"/>
        </w:rPr>
        <w:footnoteRef/>
      </w:r>
      <w:r>
        <w:t xml:space="preserve"> </w:t>
      </w:r>
      <w:r w:rsidRPr="00685BAE">
        <w:rPr>
          <w:rFonts w:ascii="Avenir Next Condensed Medium" w:hAnsi="Avenir Next Condensed Medium"/>
          <w:sz w:val="18"/>
        </w:rPr>
        <w:t>MOH Timor-Leste</w:t>
      </w:r>
      <w:r>
        <w:rPr>
          <w:rFonts w:ascii="Avenir Next Condensed Medium" w:hAnsi="Avenir Next Condensed Medium"/>
          <w:sz w:val="18"/>
        </w:rPr>
        <w:t>, MoH Monitoring and Evaluation Guideline for Health Sector, Timor-Leste, p53-65</w:t>
      </w:r>
    </w:p>
  </w:footnote>
  <w:footnote w:id="17">
    <w:p w14:paraId="69BC31C6" w14:textId="77777777" w:rsidR="00D26B03" w:rsidRDefault="00D26B03" w:rsidP="00D139D0">
      <w:pPr>
        <w:pStyle w:val="FootnoteText"/>
        <w:jc w:val="both"/>
        <w:rPr>
          <w:rFonts w:ascii="Avenir Next Condensed Medium" w:hAnsi="Avenir Next Condensed Medium"/>
          <w:sz w:val="18"/>
        </w:rPr>
      </w:pPr>
      <w:r w:rsidRPr="00685BAE">
        <w:rPr>
          <w:rStyle w:val="FootnoteReference"/>
          <w:rFonts w:ascii="Avenir Next Condensed Medium" w:hAnsi="Avenir Next Condensed Medium"/>
          <w:sz w:val="18"/>
        </w:rPr>
        <w:footnoteRef/>
      </w:r>
      <w:r w:rsidRPr="00685BAE">
        <w:rPr>
          <w:rFonts w:ascii="Avenir Next Condensed Medium" w:hAnsi="Avenir Next Condensed Medium"/>
          <w:sz w:val="18"/>
        </w:rPr>
        <w:t xml:space="preserve"> MOH Timor-Leste, 2011,  p 46-47</w:t>
      </w:r>
    </w:p>
  </w:footnote>
  <w:footnote w:id="18">
    <w:p w14:paraId="73CE7023" w14:textId="77777777" w:rsidR="00D26B03" w:rsidRDefault="00D26B03" w:rsidP="00D139D0">
      <w:pPr>
        <w:pStyle w:val="FootnoteText"/>
        <w:jc w:val="both"/>
        <w:rPr>
          <w:rFonts w:ascii="Avenir Next Condensed Medium" w:hAnsi="Avenir Next Condensed Medium"/>
          <w:sz w:val="18"/>
        </w:rPr>
      </w:pPr>
      <w:r w:rsidRPr="00685BAE">
        <w:rPr>
          <w:rStyle w:val="FootnoteReference"/>
          <w:rFonts w:ascii="Avenir Next Condensed Medium" w:hAnsi="Avenir Next Condensed Medium"/>
          <w:sz w:val="18"/>
        </w:rPr>
        <w:footnoteRef/>
      </w:r>
      <w:r w:rsidRPr="00685BAE">
        <w:rPr>
          <w:rFonts w:ascii="Avenir Next Condensed Medium" w:hAnsi="Avenir Next Condensed Medium"/>
          <w:sz w:val="18"/>
        </w:rPr>
        <w:t xml:space="preserve"> MOH Timor-Leste, 2011, p 19</w:t>
      </w:r>
    </w:p>
  </w:footnote>
  <w:footnote w:id="19">
    <w:p w14:paraId="51B0EE8B" w14:textId="77777777" w:rsidR="00D26B03" w:rsidRDefault="00D26B03" w:rsidP="00D139D0">
      <w:pPr>
        <w:pStyle w:val="FootnoteText"/>
        <w:jc w:val="both"/>
      </w:pPr>
      <w:r>
        <w:rPr>
          <w:rStyle w:val="FootnoteReference"/>
        </w:rPr>
        <w:footnoteRef/>
      </w:r>
      <w:r>
        <w:t xml:space="preserve"> </w:t>
      </w:r>
      <w:r w:rsidRPr="00CD0D4D">
        <w:rPr>
          <w:rFonts w:ascii="Avenir Next Condensed Medium" w:hAnsi="Avenir Next Condensed Medium"/>
          <w:sz w:val="18"/>
        </w:rPr>
        <w:t>MOH Timor-Leste, 2016.</w:t>
      </w:r>
    </w:p>
  </w:footnote>
  <w:footnote w:id="20">
    <w:p w14:paraId="0BBC1FD8" w14:textId="77777777" w:rsidR="00D26B03" w:rsidRDefault="00D26B03" w:rsidP="00D139D0">
      <w:pPr>
        <w:pStyle w:val="FootnoteText"/>
        <w:jc w:val="both"/>
      </w:pPr>
      <w:r>
        <w:rPr>
          <w:rStyle w:val="FootnoteReference"/>
        </w:rPr>
        <w:footnoteRef/>
      </w:r>
      <w:r>
        <w:t xml:space="preserve"> </w:t>
      </w:r>
      <w:r w:rsidRPr="00CD0D4D">
        <w:rPr>
          <w:rFonts w:ascii="Avenir Next Condensed Medium" w:hAnsi="Avenir Next Condensed Medium"/>
          <w:sz w:val="18"/>
        </w:rPr>
        <w:t>MOH Timor-Leste, 2011, p 18-21</w:t>
      </w:r>
    </w:p>
  </w:footnote>
  <w:footnote w:id="21">
    <w:p w14:paraId="4B1E50AC" w14:textId="77777777" w:rsidR="00D26B03" w:rsidRDefault="00D26B03" w:rsidP="00D139D0">
      <w:pPr>
        <w:pStyle w:val="FootnoteText"/>
        <w:jc w:val="both"/>
        <w:rPr>
          <w:rFonts w:ascii="Avenir Next Condensed Medium" w:hAnsi="Avenir Next Condensed Medium"/>
          <w:sz w:val="18"/>
        </w:rPr>
      </w:pPr>
      <w:r w:rsidRPr="00A51855">
        <w:rPr>
          <w:rStyle w:val="FootnoteReference"/>
          <w:rFonts w:ascii="Avenir Next Condensed Medium" w:hAnsi="Avenir Next Condensed Medium"/>
          <w:sz w:val="18"/>
        </w:rPr>
        <w:footnoteRef/>
      </w:r>
      <w:r w:rsidRPr="00A51855">
        <w:rPr>
          <w:rFonts w:ascii="Avenir Next Condensed Medium" w:hAnsi="Avenir Next Condensed Medium"/>
          <w:sz w:val="18"/>
        </w:rPr>
        <w:t xml:space="preserve"> </w:t>
      </w:r>
      <w:r w:rsidRPr="00A51855">
        <w:rPr>
          <w:rFonts w:ascii="Avenir Next Condensed Medium" w:hAnsi="Avenir Next Condensed Medium" w:cstheme="majorHAnsi"/>
          <w:color w:val="222222"/>
          <w:sz w:val="18"/>
        </w:rPr>
        <w:t>This target that has already been achieved by some middle income countries and e</w:t>
      </w:r>
      <w:r>
        <w:rPr>
          <w:rFonts w:ascii="Avenir Next Condensed Medium" w:hAnsi="Avenir Next Condensed Medium" w:cstheme="majorHAnsi"/>
          <w:color w:val="222222"/>
          <w:sz w:val="18"/>
        </w:rPr>
        <w:t xml:space="preserve">ven a few low-income countries, </w:t>
      </w:r>
      <w:r w:rsidRPr="00A51855">
        <w:rPr>
          <w:rFonts w:ascii="Avenir Next Condensed Medium" w:hAnsi="Avenir Next Condensed Medium" w:cstheme="majorHAnsi"/>
          <w:color w:val="222222"/>
          <w:sz w:val="18"/>
        </w:rPr>
        <w:t>e.g. Rwanda</w:t>
      </w:r>
      <w:r>
        <w:rPr>
          <w:rFonts w:ascii="Avenir Next Condensed Medium" w:hAnsi="Avenir Next Condensed Medium" w:cstheme="majorHAnsi"/>
          <w:color w:val="222222"/>
          <w:sz w:val="18"/>
        </w:rPr>
        <w:t xml:space="preserve"> (</w:t>
      </w:r>
      <w:r w:rsidRPr="00A51855">
        <w:rPr>
          <w:rFonts w:ascii="Avenir Next Condensed Medium" w:hAnsi="Avenir Next Condensed Medium"/>
          <w:sz w:val="18"/>
        </w:rPr>
        <w:t>Rottingen et al, 2014</w:t>
      </w:r>
      <w:r>
        <w:rPr>
          <w:rFonts w:ascii="Avenir Next Condensed Medium" w:hAnsi="Avenir Next Condensed Medium"/>
          <w:sz w:val="18"/>
        </w:rPr>
        <w:t>).</w:t>
      </w:r>
    </w:p>
  </w:footnote>
  <w:footnote w:id="22">
    <w:p w14:paraId="6509C0F5" w14:textId="77777777" w:rsidR="00D26B03" w:rsidRDefault="00D26B03" w:rsidP="00D139D0">
      <w:pPr>
        <w:pStyle w:val="FootnoteText"/>
        <w:jc w:val="both"/>
        <w:rPr>
          <w:rFonts w:ascii="Avenir Next Condensed Medium" w:hAnsi="Avenir Next Condensed Medium"/>
          <w:sz w:val="18"/>
        </w:rPr>
      </w:pPr>
      <w:r>
        <w:rPr>
          <w:rStyle w:val="FootnoteReference"/>
          <w:rFonts w:ascii="Avenir Next Condensed Medium" w:hAnsi="Avenir Next Condensed Medium"/>
          <w:sz w:val="18"/>
        </w:rPr>
        <w:footnoteRef/>
      </w:r>
      <w:r w:rsidRPr="00432E24">
        <w:rPr>
          <w:rFonts w:ascii="Avenir Next Condensed Medium" w:hAnsi="Avenir Next Condensed Medium"/>
          <w:sz w:val="18"/>
        </w:rPr>
        <w:t xml:space="preserve"> PHDATL, 2016b</w:t>
      </w:r>
    </w:p>
  </w:footnote>
  <w:footnote w:id="23">
    <w:p w14:paraId="423C551D" w14:textId="77777777" w:rsidR="00D26B03" w:rsidRDefault="00D26B03" w:rsidP="00D139D0">
      <w:pPr>
        <w:jc w:val="both"/>
        <w:rPr>
          <w:rFonts w:ascii="Avenir Next Condensed Medium" w:hAnsi="Avenir Next Condensed Medium"/>
          <w:sz w:val="18"/>
          <w:szCs w:val="20"/>
          <w:lang w:val="en-GB"/>
        </w:rPr>
      </w:pPr>
      <w:r w:rsidRPr="003419FD">
        <w:rPr>
          <w:rStyle w:val="FootnoteReference"/>
          <w:rFonts w:ascii="Avenir Next Condensed Medium" w:hAnsi="Avenir Next Condensed Medium"/>
          <w:sz w:val="18"/>
        </w:rPr>
        <w:footnoteRef/>
      </w:r>
      <w:r w:rsidRPr="003419FD">
        <w:rPr>
          <w:rFonts w:ascii="Avenir Next Condensed Medium" w:hAnsi="Avenir Next Condensed Medium"/>
          <w:sz w:val="18"/>
        </w:rPr>
        <w:t xml:space="preserve"> </w:t>
      </w:r>
      <w:r w:rsidRPr="00CD0D4D">
        <w:rPr>
          <w:rFonts w:ascii="Avenir Next Condensed Medium" w:hAnsi="Avenir Next Condensed Medium"/>
          <w:sz w:val="18"/>
          <w:szCs w:val="30"/>
        </w:rPr>
        <w:t>This international body also says</w:t>
      </w:r>
      <w:r>
        <w:rPr>
          <w:rFonts w:ascii="Avenir Next Condensed Medium" w:hAnsi="Avenir Next Condensed Medium"/>
          <w:sz w:val="18"/>
          <w:szCs w:val="30"/>
        </w:rPr>
        <w:t>, however,</w:t>
      </w:r>
      <w:r w:rsidRPr="00CD0D4D">
        <w:rPr>
          <w:rFonts w:ascii="Avenir Next Condensed Medium" w:hAnsi="Avenir Next Condensed Medium"/>
          <w:sz w:val="18"/>
          <w:szCs w:val="30"/>
        </w:rPr>
        <w:t xml:space="preserve"> that ‘</w:t>
      </w:r>
      <w:r w:rsidRPr="00CD0D4D">
        <w:rPr>
          <w:rFonts w:ascii="Avenir Next Condensed Medium" w:hAnsi="Avenir Next Condensed Medium"/>
          <w:sz w:val="18"/>
        </w:rPr>
        <w:t>Most middle-income countries should be able to reach both targets [ i.e., 5% of GDP and USD 86 per capita ] without external support</w:t>
      </w:r>
      <w:r w:rsidRPr="00CD0D4D">
        <w:rPr>
          <w:rFonts w:ascii="Avenir Next Condensed Medium" w:hAnsi="Avenir Next Condensed Medium" w:cstheme="majorHAnsi"/>
          <w:sz w:val="18"/>
        </w:rPr>
        <w:t>.’ (</w:t>
      </w:r>
      <w:r w:rsidRPr="00B948A2">
        <w:rPr>
          <w:rFonts w:ascii="Avenir Next Condensed Medium" w:hAnsi="Avenir Next Condensed Medium"/>
          <w:color w:val="222222"/>
          <w:sz w:val="18"/>
          <w:szCs w:val="11"/>
          <w:lang w:val="en-GB"/>
        </w:rPr>
        <w:t>Rottingen et al, 2014)</w:t>
      </w:r>
    </w:p>
  </w:footnote>
  <w:footnote w:id="24">
    <w:p w14:paraId="1F9A18C5" w14:textId="77777777" w:rsidR="00D26B03" w:rsidRDefault="00D26B03" w:rsidP="00D139D0">
      <w:pPr>
        <w:jc w:val="both"/>
        <w:rPr>
          <w:rFonts w:ascii="Avenir Next Condensed Medium" w:hAnsi="Avenir Next Condensed Medium" w:cstheme="majorHAnsi"/>
          <w:sz w:val="18"/>
          <w:szCs w:val="20"/>
        </w:rPr>
      </w:pPr>
      <w:r w:rsidRPr="003419FD">
        <w:rPr>
          <w:rStyle w:val="FootnoteReference"/>
          <w:rFonts w:ascii="Avenir Next Condensed Medium" w:hAnsi="Avenir Next Condensed Medium"/>
          <w:sz w:val="18"/>
        </w:rPr>
        <w:footnoteRef/>
      </w:r>
      <w:r w:rsidRPr="003419FD">
        <w:rPr>
          <w:rFonts w:ascii="Avenir Next Condensed Medium" w:hAnsi="Avenir Next Condensed Medium"/>
          <w:sz w:val="18"/>
        </w:rPr>
        <w:t xml:space="preserve"> </w:t>
      </w:r>
      <w:r>
        <w:rPr>
          <w:rFonts w:ascii="Avenir Next Condensed Medium" w:hAnsi="Avenir Next Condensed Medium"/>
          <w:sz w:val="18"/>
        </w:rPr>
        <w:t>Hou and</w:t>
      </w:r>
      <w:r w:rsidRPr="00250B0E">
        <w:rPr>
          <w:rFonts w:ascii="Avenir Next Condensed Medium" w:hAnsi="Avenir Next Condensed Medium"/>
          <w:sz w:val="18"/>
        </w:rPr>
        <w:t xml:space="preserve"> Asante</w:t>
      </w:r>
      <w:r>
        <w:rPr>
          <w:rFonts w:ascii="Avenir Next Condensed Medium" w:hAnsi="Avenir Next Condensed Medium"/>
          <w:sz w:val="18"/>
        </w:rPr>
        <w:t xml:space="preserve">, 2016 </w:t>
      </w:r>
    </w:p>
  </w:footnote>
  <w:footnote w:id="25">
    <w:p w14:paraId="75B5123C" w14:textId="77777777" w:rsidR="00D26B03" w:rsidRDefault="00D26B03" w:rsidP="00884128">
      <w:pPr>
        <w:jc w:val="both"/>
        <w:rPr>
          <w:rFonts w:ascii="Avenir Next Condensed Medium" w:hAnsi="Avenir Next Condensed Medium" w:cstheme="majorHAnsi"/>
          <w:sz w:val="18"/>
          <w:szCs w:val="20"/>
        </w:rPr>
      </w:pPr>
      <w:r w:rsidRPr="003B57D4">
        <w:rPr>
          <w:rStyle w:val="FootnoteReference"/>
          <w:rFonts w:ascii="Avenir Next Condensed Medium" w:hAnsi="Avenir Next Condensed Medium"/>
          <w:sz w:val="18"/>
        </w:rPr>
        <w:footnoteRef/>
      </w:r>
      <w:r w:rsidRPr="003B57D4">
        <w:rPr>
          <w:rFonts w:ascii="Avenir Next Condensed Medium" w:hAnsi="Avenir Next Condensed Medium"/>
          <w:sz w:val="18"/>
        </w:rPr>
        <w:t xml:space="preserve"> </w:t>
      </w:r>
      <w:r w:rsidRPr="003B57D4">
        <w:rPr>
          <w:rFonts w:ascii="Avenir Next Condensed Medium" w:hAnsi="Avenir Next Condensed Medium" w:cstheme="majorHAnsi"/>
          <w:sz w:val="18"/>
          <w:szCs w:val="20"/>
        </w:rPr>
        <w:t>World B</w:t>
      </w:r>
      <w:r>
        <w:rPr>
          <w:rFonts w:ascii="Avenir Next Condensed Medium" w:hAnsi="Avenir Next Condensed Medium" w:cstheme="majorHAnsi"/>
          <w:sz w:val="18"/>
          <w:szCs w:val="20"/>
        </w:rPr>
        <w:t>ank, 2014</w:t>
      </w:r>
      <w:r w:rsidRPr="003419FD">
        <w:rPr>
          <w:rFonts w:ascii="Avenir Next Condensed Medium" w:hAnsi="Avenir Next Condensed Medium" w:cstheme="majorHAnsi"/>
          <w:sz w:val="18"/>
          <w:szCs w:val="20"/>
        </w:rPr>
        <w:t xml:space="preserve"> </w:t>
      </w:r>
    </w:p>
  </w:footnote>
  <w:footnote w:id="26">
    <w:p w14:paraId="3E896B61" w14:textId="77777777" w:rsidR="00D26B03" w:rsidRPr="00B61D40" w:rsidRDefault="00D26B03" w:rsidP="00884128">
      <w:pPr>
        <w:pStyle w:val="NormalWeb"/>
        <w:spacing w:beforeLines="0" w:afterLines="0"/>
        <w:jc w:val="both"/>
        <w:rPr>
          <w:rFonts w:ascii="Avenir Next Condensed Medium" w:hAnsi="Avenir Next Condensed Medium"/>
          <w:sz w:val="18"/>
        </w:rPr>
      </w:pPr>
      <w:r w:rsidRPr="00B61D40">
        <w:rPr>
          <w:rStyle w:val="FootnoteReference"/>
          <w:rFonts w:ascii="Avenir Next Condensed Medium" w:hAnsi="Avenir Next Condensed Medium"/>
          <w:sz w:val="18"/>
        </w:rPr>
        <w:footnoteRef/>
      </w:r>
      <w:r w:rsidRPr="00B61D40">
        <w:rPr>
          <w:rFonts w:ascii="Avenir Next Condensed Medium" w:hAnsi="Avenir Next Condensed Medium"/>
          <w:sz w:val="18"/>
        </w:rPr>
        <w:t xml:space="preserve"> Under SnF, a team of health professionals (doctor, midwife, and nurse) visits each household to help individuals, families and communities to understand their situation and enhance their access to health care (MOH, nd). </w:t>
      </w:r>
    </w:p>
  </w:footnote>
  <w:footnote w:id="27">
    <w:p w14:paraId="38E92B26" w14:textId="77777777" w:rsidR="00D26B03" w:rsidRPr="00B61D40" w:rsidRDefault="00D26B03" w:rsidP="00884128">
      <w:pPr>
        <w:pStyle w:val="FootnoteText"/>
        <w:spacing w:after="120"/>
        <w:jc w:val="both"/>
        <w:rPr>
          <w:rFonts w:ascii="Avenir Next Condensed Medium" w:hAnsi="Avenir Next Condensed Medium"/>
          <w:sz w:val="18"/>
        </w:rPr>
      </w:pPr>
      <w:r w:rsidRPr="00B61D40">
        <w:rPr>
          <w:rStyle w:val="FootnoteReference"/>
          <w:rFonts w:ascii="Avenir Next Condensed Medium" w:hAnsi="Avenir Next Condensed Medium"/>
          <w:sz w:val="18"/>
        </w:rPr>
        <w:footnoteRef/>
      </w:r>
      <w:r w:rsidRPr="00B61D40">
        <w:rPr>
          <w:rFonts w:ascii="Avenir Next Condensed Medium" w:hAnsi="Avenir Next Condensed Medium"/>
          <w:sz w:val="18"/>
        </w:rPr>
        <w:t xml:space="preserve"> Some stakeholders see SnF and TLHIS as duplicative, while others see them as serving different objectives; many remain unclear as to what SnF will and won’t do.  </w:t>
      </w:r>
    </w:p>
  </w:footnote>
  <w:footnote w:id="28">
    <w:p w14:paraId="64293282" w14:textId="77777777" w:rsidR="00D26B03" w:rsidRPr="00B61D40" w:rsidRDefault="00D26B03" w:rsidP="00884128">
      <w:pPr>
        <w:pStyle w:val="FootnoteText"/>
        <w:spacing w:after="120"/>
        <w:jc w:val="both"/>
        <w:rPr>
          <w:rFonts w:ascii="Avenir Next Condensed Medium" w:hAnsi="Avenir Next Condensed Medium"/>
          <w:sz w:val="18"/>
        </w:rPr>
      </w:pPr>
      <w:r w:rsidRPr="00B61D40">
        <w:rPr>
          <w:rStyle w:val="FootnoteReference"/>
          <w:rFonts w:ascii="Avenir Next Condensed Medium" w:hAnsi="Avenir Next Condensed Medium"/>
          <w:sz w:val="18"/>
        </w:rPr>
        <w:footnoteRef/>
      </w:r>
      <w:r w:rsidRPr="00B61D40">
        <w:rPr>
          <w:rFonts w:ascii="Avenir Next Condensed Medium" w:hAnsi="Avenir Next Condensed Medium"/>
          <w:sz w:val="18"/>
        </w:rPr>
        <w:t xml:space="preserve"> MOH Timor-Leste, 2017</w:t>
      </w:r>
    </w:p>
  </w:footnote>
  <w:footnote w:id="29">
    <w:p w14:paraId="1B83A009" w14:textId="77777777" w:rsidR="00D26B03" w:rsidRPr="00B61D40" w:rsidRDefault="00D26B03" w:rsidP="00884128">
      <w:pPr>
        <w:spacing w:after="120"/>
        <w:jc w:val="both"/>
        <w:rPr>
          <w:rFonts w:ascii="Avenir Next Condensed Medium" w:hAnsi="Avenir Next Condensed Medium" w:cstheme="majorHAnsi"/>
          <w:sz w:val="18"/>
          <w:szCs w:val="20"/>
        </w:rPr>
      </w:pPr>
      <w:r w:rsidRPr="00B61D40">
        <w:rPr>
          <w:rStyle w:val="FootnoteReference"/>
          <w:rFonts w:ascii="Avenir Next Condensed Medium" w:hAnsi="Avenir Next Condensed Medium"/>
          <w:sz w:val="18"/>
        </w:rPr>
        <w:footnoteRef/>
      </w:r>
      <w:r w:rsidRPr="00B61D40">
        <w:rPr>
          <w:rFonts w:ascii="Avenir Next Condensed Medium" w:hAnsi="Avenir Next Condensed Medium"/>
          <w:sz w:val="18"/>
        </w:rPr>
        <w:t xml:space="preserve"> MOH Timor-Leste, 2017</w:t>
      </w:r>
    </w:p>
  </w:footnote>
  <w:footnote w:id="30">
    <w:p w14:paraId="239F47F2" w14:textId="77777777" w:rsidR="00D26B03" w:rsidRPr="00943203" w:rsidRDefault="00D26B03" w:rsidP="00884128">
      <w:pPr>
        <w:spacing w:after="120"/>
        <w:jc w:val="both"/>
        <w:rPr>
          <w:rFonts w:ascii="Avenir Next Condensed Medium" w:hAnsi="Avenir Next Condensed Medium" w:cstheme="majorHAnsi"/>
          <w:sz w:val="18"/>
          <w:szCs w:val="20"/>
        </w:rPr>
      </w:pPr>
      <w:r w:rsidRPr="00943203">
        <w:rPr>
          <w:rStyle w:val="FootnoteReference"/>
          <w:rFonts w:ascii="Avenir Next Condensed Medium" w:hAnsi="Avenir Next Condensed Medium"/>
          <w:sz w:val="18"/>
        </w:rPr>
        <w:footnoteRef/>
      </w:r>
      <w:r w:rsidRPr="00943203">
        <w:rPr>
          <w:rFonts w:ascii="Avenir Next Condensed Medium" w:hAnsi="Avenir Next Condensed Medium"/>
          <w:sz w:val="18"/>
        </w:rPr>
        <w:t xml:space="preserve"> MOH Timor-Leste, 2017</w:t>
      </w:r>
    </w:p>
  </w:footnote>
  <w:footnote w:id="31">
    <w:p w14:paraId="3097DE1D" w14:textId="77777777" w:rsidR="00D26B03" w:rsidRPr="00943203" w:rsidRDefault="00D26B03" w:rsidP="00884128">
      <w:pPr>
        <w:pStyle w:val="FootnoteText"/>
        <w:spacing w:after="120"/>
        <w:jc w:val="both"/>
        <w:rPr>
          <w:rFonts w:ascii="Avenir Next Condensed Medium" w:hAnsi="Avenir Next Condensed Medium"/>
          <w:sz w:val="18"/>
        </w:rPr>
      </w:pPr>
      <w:r w:rsidRPr="00943203">
        <w:rPr>
          <w:rStyle w:val="FootnoteReference"/>
          <w:rFonts w:ascii="Avenir Next Condensed Medium" w:hAnsi="Avenir Next Condensed Medium"/>
          <w:sz w:val="18"/>
        </w:rPr>
        <w:footnoteRef/>
      </w:r>
      <w:r w:rsidRPr="00943203">
        <w:rPr>
          <w:rFonts w:ascii="Avenir Next Condensed Medium" w:hAnsi="Avenir Next Condensed Medium"/>
          <w:sz w:val="18"/>
        </w:rPr>
        <w:t xml:space="preserve"> MOH, 2015</w:t>
      </w:r>
    </w:p>
  </w:footnote>
  <w:footnote w:id="32">
    <w:p w14:paraId="4D30D826" w14:textId="77777777" w:rsidR="00D26B03" w:rsidRDefault="00D26B03" w:rsidP="00C6310F">
      <w:pPr>
        <w:pStyle w:val="FootnoteText"/>
        <w:rPr>
          <w:rFonts w:ascii="Avenir Next Condensed Medium" w:hAnsi="Avenir Next Condensed Medium"/>
          <w:sz w:val="18"/>
        </w:rPr>
      </w:pPr>
      <w:r w:rsidRPr="00943203">
        <w:rPr>
          <w:rStyle w:val="FootnoteReference"/>
          <w:rFonts w:ascii="Avenir Next Condensed Medium" w:hAnsi="Avenir Next Condensed Medium"/>
          <w:sz w:val="18"/>
        </w:rPr>
        <w:footnoteRef/>
      </w:r>
      <w:r w:rsidRPr="00943203">
        <w:rPr>
          <w:rFonts w:ascii="Avenir Next Condensed Medium" w:hAnsi="Avenir Next Condensed Medium"/>
          <w:sz w:val="18"/>
        </w:rPr>
        <w:t xml:space="preserve"> Hou and Asante, 2016</w:t>
      </w:r>
    </w:p>
  </w:footnote>
  <w:footnote w:id="33">
    <w:p w14:paraId="65E10CEF" w14:textId="77777777" w:rsidR="00D26B03" w:rsidRDefault="00D26B03" w:rsidP="00C6310F">
      <w:pPr>
        <w:pStyle w:val="FootnoteText"/>
      </w:pPr>
      <w:r w:rsidRPr="00943203">
        <w:rPr>
          <w:rStyle w:val="FootnoteReference"/>
          <w:rFonts w:ascii="Avenir Next Condensed Medium" w:hAnsi="Avenir Next Condensed Medium"/>
          <w:sz w:val="18"/>
        </w:rPr>
        <w:footnoteRef/>
      </w:r>
      <w:r w:rsidRPr="00943203">
        <w:rPr>
          <w:rFonts w:ascii="Avenir Next Condensed Medium" w:hAnsi="Avenir Next Condensed Medium"/>
          <w:sz w:val="18"/>
        </w:rPr>
        <w:t xml:space="preserve"> Hou and Asante, 2016</w:t>
      </w:r>
    </w:p>
  </w:footnote>
  <w:footnote w:id="34">
    <w:p w14:paraId="05BA1295" w14:textId="77777777" w:rsidR="00D26B03" w:rsidRDefault="00D26B03" w:rsidP="00C6310F">
      <w:pPr>
        <w:pStyle w:val="FootnoteText"/>
        <w:rPr>
          <w:rFonts w:ascii="Avenir Next Condensed Medium" w:hAnsi="Avenir Next Condensed Medium"/>
          <w:sz w:val="18"/>
        </w:rPr>
      </w:pPr>
      <w:r>
        <w:rPr>
          <w:rStyle w:val="FootnoteReference"/>
        </w:rPr>
        <w:footnoteRef/>
      </w:r>
      <w:r>
        <w:t xml:space="preserve"> </w:t>
      </w:r>
      <w:r w:rsidRPr="0064120F">
        <w:rPr>
          <w:rFonts w:ascii="Avenir Next Condensed Medium" w:hAnsi="Avenir Next Condensed Medium"/>
          <w:sz w:val="18"/>
        </w:rPr>
        <w:t>Hou and Asante,</w:t>
      </w:r>
      <w:r>
        <w:rPr>
          <w:rFonts w:ascii="Avenir Next Condensed Medium" w:hAnsi="Avenir Next Condensed Medium"/>
          <w:sz w:val="18"/>
        </w:rPr>
        <w:t xml:space="preserve"> 2016</w:t>
      </w:r>
    </w:p>
  </w:footnote>
  <w:footnote w:id="35">
    <w:p w14:paraId="4E6784DE" w14:textId="77777777" w:rsidR="00D26B03" w:rsidRDefault="00D26B03" w:rsidP="00C6310F">
      <w:pPr>
        <w:rPr>
          <w:rFonts w:ascii="Avenir Next Condensed Medium" w:hAnsi="Avenir Next Condensed Medium" w:cstheme="majorHAnsi"/>
          <w:sz w:val="18"/>
          <w:szCs w:val="20"/>
        </w:rPr>
      </w:pPr>
      <w:r w:rsidRPr="0064120F">
        <w:rPr>
          <w:rStyle w:val="FootnoteReference"/>
          <w:rFonts w:ascii="Avenir Next Condensed Medium" w:hAnsi="Avenir Next Condensed Medium"/>
          <w:sz w:val="18"/>
        </w:rPr>
        <w:footnoteRef/>
      </w:r>
      <w:r w:rsidRPr="0064120F">
        <w:rPr>
          <w:rFonts w:ascii="Avenir Next Condensed Medium" w:hAnsi="Avenir Next Condensed Medium"/>
          <w:sz w:val="18"/>
        </w:rPr>
        <w:t xml:space="preserve"> MOH Timor-Leste, 2017</w:t>
      </w:r>
    </w:p>
  </w:footnote>
  <w:footnote w:id="36">
    <w:p w14:paraId="74610EF7" w14:textId="77777777" w:rsidR="00D26B03" w:rsidRDefault="00D26B03" w:rsidP="00C6310F">
      <w:pPr>
        <w:pStyle w:val="FootnoteText"/>
        <w:rPr>
          <w:rFonts w:ascii="Avenir Next Condensed Medium" w:hAnsi="Avenir Next Condensed Medium"/>
          <w:sz w:val="18"/>
        </w:rPr>
      </w:pPr>
      <w:r w:rsidRPr="003419FD">
        <w:rPr>
          <w:rStyle w:val="FootnoteReference"/>
          <w:rFonts w:ascii="Avenir Next Condensed Medium" w:hAnsi="Avenir Next Condensed Medium"/>
          <w:sz w:val="18"/>
        </w:rPr>
        <w:footnoteRef/>
      </w:r>
      <w:r w:rsidRPr="003419FD">
        <w:rPr>
          <w:rFonts w:ascii="Avenir Next Condensed Medium" w:hAnsi="Avenir Next Condensed Medium"/>
          <w:sz w:val="18"/>
        </w:rPr>
        <w:t xml:space="preserve"> </w:t>
      </w:r>
      <w:r w:rsidRPr="003419FD">
        <w:rPr>
          <w:rFonts w:ascii="Avenir Next Condensed Medium" w:hAnsi="Avenir Next Condensed Medium" w:cstheme="majorHAnsi"/>
          <w:sz w:val="18"/>
        </w:rPr>
        <w:t>Ly, 2012</w:t>
      </w:r>
    </w:p>
  </w:footnote>
  <w:footnote w:id="37">
    <w:p w14:paraId="4A87FD29" w14:textId="77777777" w:rsidR="00D26B03" w:rsidRDefault="00D26B03" w:rsidP="00884128">
      <w:pPr>
        <w:pStyle w:val="FootnoteText"/>
        <w:jc w:val="both"/>
        <w:rPr>
          <w:rFonts w:ascii="Avenir Next Condensed Medium" w:hAnsi="Avenir Next Condensed Medium"/>
          <w:sz w:val="18"/>
          <w:lang w:val="en-GB"/>
        </w:rPr>
      </w:pPr>
      <w:r w:rsidRPr="003419FD">
        <w:rPr>
          <w:rStyle w:val="FootnoteReference"/>
          <w:rFonts w:ascii="Avenir Next Condensed Medium" w:hAnsi="Avenir Next Condensed Medium"/>
          <w:sz w:val="18"/>
        </w:rPr>
        <w:footnoteRef/>
      </w:r>
      <w:r w:rsidRPr="003419FD">
        <w:rPr>
          <w:rFonts w:ascii="Avenir Next Condensed Medium" w:hAnsi="Avenir Next Condensed Medium"/>
          <w:sz w:val="18"/>
        </w:rPr>
        <w:t xml:space="preserve"> Holmer et al, 2015</w:t>
      </w:r>
    </w:p>
  </w:footnote>
  <w:footnote w:id="38">
    <w:p w14:paraId="5E07E93B" w14:textId="77777777" w:rsidR="00D26B03" w:rsidRDefault="00D26B03" w:rsidP="00884128">
      <w:pPr>
        <w:jc w:val="both"/>
        <w:rPr>
          <w:rFonts w:ascii="Avenir Next Condensed Medium" w:hAnsi="Avenir Next Condensed Medium" w:cstheme="majorHAnsi"/>
          <w:sz w:val="18"/>
          <w:szCs w:val="20"/>
        </w:rPr>
      </w:pPr>
      <w:r w:rsidRPr="003419FD">
        <w:rPr>
          <w:rStyle w:val="FootnoteReference"/>
          <w:rFonts w:ascii="Avenir Next Condensed Medium" w:hAnsi="Avenir Next Condensed Medium"/>
          <w:sz w:val="18"/>
        </w:rPr>
        <w:footnoteRef/>
      </w:r>
      <w:r w:rsidRPr="003419FD">
        <w:rPr>
          <w:rFonts w:ascii="Avenir Next Condensed Medium" w:hAnsi="Avenir Next Condensed Medium"/>
          <w:sz w:val="18"/>
        </w:rPr>
        <w:t xml:space="preserve"> </w:t>
      </w:r>
      <w:r w:rsidRPr="00A213EC">
        <w:rPr>
          <w:rFonts w:ascii="Avenir Next Condensed Medium" w:hAnsi="Avenir Next Condensed Medium" w:cstheme="majorHAnsi"/>
          <w:sz w:val="18"/>
          <w:szCs w:val="20"/>
        </w:rPr>
        <w:t>WHO, 2013</w:t>
      </w:r>
    </w:p>
  </w:footnote>
  <w:footnote w:id="39">
    <w:p w14:paraId="708B6661" w14:textId="77777777" w:rsidR="00D26B03" w:rsidRDefault="00D26B03" w:rsidP="00884128">
      <w:pPr>
        <w:pStyle w:val="FootnoteText"/>
        <w:jc w:val="both"/>
        <w:rPr>
          <w:rFonts w:ascii="Avenir Next Condensed Medium" w:hAnsi="Avenir Next Condensed Medium"/>
          <w:sz w:val="18"/>
        </w:rPr>
      </w:pPr>
      <w:r w:rsidRPr="00203826">
        <w:rPr>
          <w:rStyle w:val="FootnoteReference"/>
          <w:rFonts w:ascii="Avenir Next Condensed Medium" w:hAnsi="Avenir Next Condensed Medium"/>
          <w:sz w:val="18"/>
        </w:rPr>
        <w:footnoteRef/>
      </w:r>
      <w:r w:rsidRPr="00203826">
        <w:rPr>
          <w:rFonts w:ascii="Avenir Next Condensed Medium" w:hAnsi="Avenir Next Condensed Medium"/>
          <w:sz w:val="18"/>
        </w:rPr>
        <w:t xml:space="preserve"> </w:t>
      </w:r>
      <w:r w:rsidRPr="00203826">
        <w:rPr>
          <w:rFonts w:ascii="Avenir Next Condensed Medium" w:hAnsi="Avenir Next Condensed Medium" w:cstheme="majorHAnsi"/>
          <w:sz w:val="18"/>
        </w:rPr>
        <w:t>Timor-Leste Second EmONC Need Assessment, 2016</w:t>
      </w:r>
    </w:p>
  </w:footnote>
  <w:footnote w:id="40">
    <w:p w14:paraId="2EE3914C" w14:textId="77777777" w:rsidR="00D26B03" w:rsidRDefault="00D26B03" w:rsidP="00884128">
      <w:pPr>
        <w:jc w:val="both"/>
        <w:rPr>
          <w:rFonts w:ascii="Avenir Next Condensed Medium" w:hAnsi="Avenir Next Condensed Medium" w:cstheme="majorHAnsi"/>
          <w:sz w:val="18"/>
        </w:rPr>
      </w:pPr>
      <w:r w:rsidRPr="00493CC7">
        <w:rPr>
          <w:rStyle w:val="FootnoteReference"/>
          <w:rFonts w:ascii="Avenir Next Condensed Medium" w:hAnsi="Avenir Next Condensed Medium"/>
          <w:sz w:val="18"/>
        </w:rPr>
        <w:footnoteRef/>
      </w:r>
      <w:r w:rsidRPr="00493CC7">
        <w:rPr>
          <w:rFonts w:ascii="Avenir Next Condensed Medium" w:hAnsi="Avenir Next Condensed Medium"/>
          <w:sz w:val="18"/>
        </w:rPr>
        <w:t xml:space="preserve"> </w:t>
      </w:r>
      <w:r w:rsidRPr="00493CC7">
        <w:rPr>
          <w:rFonts w:ascii="Avenir Next Condensed Medium" w:hAnsi="Avenir Next Condensed Medium" w:cstheme="majorHAnsi"/>
          <w:sz w:val="18"/>
        </w:rPr>
        <w:t xml:space="preserve">EOPOs had been agreed for each of the program’s five projects in 2013. In 2015, the DFAT health team developed a Strategic Framework for three of these investments, which specified seven EOPOs for 2018, with 2015 as a baseline. It seems that other projects and the two TAs were </w:t>
      </w:r>
      <w:r w:rsidRPr="00493CC7">
        <w:rPr>
          <w:rFonts w:ascii="Avenir Next Condensed Medium" w:hAnsi="Avenir Next Condensed Medium"/>
          <w:sz w:val="18"/>
        </w:rPr>
        <w:t>managed separately.</w:t>
      </w:r>
    </w:p>
  </w:footnote>
  <w:footnote w:id="41">
    <w:p w14:paraId="6B49E666" w14:textId="77777777" w:rsidR="00D26B03" w:rsidRDefault="00D26B03" w:rsidP="00884128">
      <w:pPr>
        <w:pStyle w:val="FootnoteText"/>
        <w:jc w:val="both"/>
        <w:rPr>
          <w:rFonts w:ascii="Avenir Next Condensed Medium" w:hAnsi="Avenir Next Condensed Medium"/>
          <w:sz w:val="18"/>
        </w:rPr>
      </w:pPr>
      <w:r w:rsidRPr="00493CC7">
        <w:rPr>
          <w:rStyle w:val="FootnoteReference"/>
          <w:rFonts w:ascii="Avenir Next Condensed Medium" w:hAnsi="Avenir Next Condensed Medium"/>
          <w:sz w:val="18"/>
        </w:rPr>
        <w:footnoteRef/>
      </w:r>
      <w:r w:rsidRPr="00493CC7">
        <w:rPr>
          <w:rFonts w:ascii="Avenir Next Condensed Medium" w:hAnsi="Avenir Next Condensed Medium"/>
          <w:sz w:val="18"/>
        </w:rPr>
        <w:t xml:space="preserve"> Review Plan, 2017 </w:t>
      </w:r>
    </w:p>
  </w:footnote>
  <w:footnote w:id="42">
    <w:p w14:paraId="0D18D670" w14:textId="127A06D6" w:rsidR="00D26B03" w:rsidRPr="00256B84" w:rsidRDefault="00D26B03" w:rsidP="00884128">
      <w:pPr>
        <w:pStyle w:val="FootnoteText"/>
        <w:jc w:val="both"/>
      </w:pPr>
      <w:r w:rsidRPr="00493CC7">
        <w:rPr>
          <w:rStyle w:val="FootnoteReference"/>
          <w:rFonts w:ascii="Avenir Next Condensed Medium" w:hAnsi="Avenir Next Condensed Medium"/>
          <w:sz w:val="18"/>
        </w:rPr>
        <w:footnoteRef/>
      </w:r>
      <w:r w:rsidRPr="00493CC7">
        <w:rPr>
          <w:rFonts w:ascii="Avenir Next Condensed Medium" w:hAnsi="Avenir Next Condensed Medium"/>
          <w:sz w:val="18"/>
        </w:rPr>
        <w:t xml:space="preserve"> Af</w:t>
      </w:r>
      <w:r>
        <w:rPr>
          <w:rFonts w:ascii="Avenir Next Condensed Medium" w:hAnsi="Avenir Next Condensed Medium"/>
          <w:sz w:val="18"/>
        </w:rPr>
        <w:t xml:space="preserve">ter the Review Plan was agreed and the Review team was well into its work in country, </w:t>
      </w:r>
      <w:r w:rsidRPr="00493CC7">
        <w:rPr>
          <w:rFonts w:ascii="Avenir Next Condensed Medium" w:hAnsi="Avenir Next Condensed Medium"/>
          <w:sz w:val="18"/>
        </w:rPr>
        <w:t xml:space="preserve">PHD </w:t>
      </w:r>
      <w:r>
        <w:rPr>
          <w:rFonts w:ascii="Avenir Next Condensed Medium" w:hAnsi="Avenir Next Condensed Medium"/>
          <w:sz w:val="18"/>
        </w:rPr>
        <w:t>approved</w:t>
      </w:r>
      <w:r w:rsidRPr="00493CC7">
        <w:rPr>
          <w:rFonts w:ascii="Avenir Next Condensed Medium" w:hAnsi="Avenir Next Condensed Medium"/>
          <w:sz w:val="18"/>
        </w:rPr>
        <w:t xml:space="preserve"> a revised Monitoring, Evaluation and Le</w:t>
      </w:r>
      <w:r>
        <w:rPr>
          <w:rFonts w:ascii="Avenir Next Condensed Medium" w:hAnsi="Avenir Next Condensed Medium"/>
          <w:sz w:val="18"/>
        </w:rPr>
        <w:t xml:space="preserve">arning Framework with new EOPOs, i.e., Sustainable improvement of quality, client-centred and inclusive RMNCAH services based on approved standards; Adolescents, men and women adopt targeted health behaviours; and </w:t>
      </w:r>
      <w:r w:rsidRPr="00256B84">
        <w:rPr>
          <w:rFonts w:ascii="Avenir Next Condensed Medium" w:hAnsi="Avenir Next Condensed Medium"/>
          <w:sz w:val="18"/>
        </w:rPr>
        <w:t>Adolescents, men and women of reproductive age including PWDs [ people with disabilities ] utilise appropriate RMNCAH services. These were not used in the Review but are provided here for information.</w:t>
      </w:r>
    </w:p>
  </w:footnote>
  <w:footnote w:id="43">
    <w:p w14:paraId="0CE73213" w14:textId="77777777" w:rsidR="00D26B03" w:rsidRPr="00256B84" w:rsidRDefault="00D26B03" w:rsidP="00884128">
      <w:pPr>
        <w:pStyle w:val="FootnoteText"/>
        <w:jc w:val="both"/>
        <w:rPr>
          <w:rFonts w:ascii="Avenir Next Condensed Medium" w:hAnsi="Avenir Next Condensed Medium"/>
          <w:sz w:val="18"/>
        </w:rPr>
      </w:pPr>
      <w:r w:rsidRPr="00256B84">
        <w:rPr>
          <w:rStyle w:val="FootnoteReference"/>
          <w:rFonts w:ascii="Avenir Next Condensed Medium" w:hAnsi="Avenir Next Condensed Medium"/>
          <w:sz w:val="18"/>
        </w:rPr>
        <w:footnoteRef/>
      </w:r>
      <w:r w:rsidRPr="00256B84">
        <w:rPr>
          <w:rFonts w:ascii="Avenir Next Condensed Medium" w:hAnsi="Avenir Next Condensed Medium"/>
          <w:sz w:val="18"/>
        </w:rPr>
        <w:t xml:space="preserve"> Partnership for Maternal, Neonatal and Child Health, 2011</w:t>
      </w:r>
    </w:p>
  </w:footnote>
  <w:footnote w:id="44">
    <w:p w14:paraId="1C78BCE6" w14:textId="77777777" w:rsidR="00D26B03" w:rsidRPr="00256B84" w:rsidRDefault="00D26B03" w:rsidP="00884128">
      <w:pPr>
        <w:pStyle w:val="FootnoteText"/>
        <w:jc w:val="both"/>
        <w:rPr>
          <w:rFonts w:ascii="Avenir Next Condensed Medium" w:hAnsi="Avenir Next Condensed Medium"/>
          <w:sz w:val="18"/>
        </w:rPr>
      </w:pPr>
      <w:r w:rsidRPr="00256B84">
        <w:rPr>
          <w:rStyle w:val="FootnoteReference"/>
          <w:rFonts w:ascii="Avenir Next Condensed Medium" w:hAnsi="Avenir Next Condensed Medium"/>
          <w:sz w:val="18"/>
        </w:rPr>
        <w:footnoteRef/>
      </w:r>
      <w:r w:rsidRPr="00256B84">
        <w:rPr>
          <w:rFonts w:ascii="Avenir Next Condensed Medium" w:hAnsi="Avenir Next Condensed Medium"/>
          <w:sz w:val="18"/>
        </w:rPr>
        <w:t xml:space="preserve"> NHSSP p 46-47</w:t>
      </w:r>
    </w:p>
  </w:footnote>
  <w:footnote w:id="45">
    <w:p w14:paraId="5EF38DA8" w14:textId="77777777" w:rsidR="00D26B03" w:rsidRPr="00333F9D" w:rsidRDefault="00D26B03" w:rsidP="00884128">
      <w:pPr>
        <w:pStyle w:val="CommentText"/>
        <w:spacing w:after="0"/>
        <w:jc w:val="both"/>
        <w:rPr>
          <w:rFonts w:ascii="Avenir Next Condensed Medium" w:hAnsi="Avenir Next Condensed Medium"/>
          <w:sz w:val="18"/>
        </w:rPr>
      </w:pPr>
      <w:r w:rsidRPr="00333F9D">
        <w:rPr>
          <w:rStyle w:val="FootnoteReference"/>
          <w:rFonts w:ascii="Avenir Next Condensed Medium" w:hAnsi="Avenir Next Condensed Medium"/>
          <w:sz w:val="18"/>
        </w:rPr>
        <w:footnoteRef/>
      </w:r>
      <w:r w:rsidRPr="00333F9D">
        <w:rPr>
          <w:rFonts w:ascii="Avenir Next Condensed Medium" w:hAnsi="Avenir Next Condensed Medium"/>
          <w:sz w:val="18"/>
        </w:rPr>
        <w:t xml:space="preserve"> Note that while HF readiness is not an EOPO, it is essentially an assumption that affects the first and second EOPO, and is greatly affected by the third EOPO. </w:t>
      </w:r>
    </w:p>
  </w:footnote>
  <w:footnote w:id="46">
    <w:p w14:paraId="408E5886" w14:textId="77777777" w:rsidR="00D26B03" w:rsidRDefault="00D26B03" w:rsidP="00884128">
      <w:pPr>
        <w:pStyle w:val="FootnoteText"/>
        <w:jc w:val="both"/>
      </w:pPr>
      <w:r w:rsidRPr="00333F9D">
        <w:rPr>
          <w:rStyle w:val="FootnoteReference"/>
          <w:rFonts w:ascii="Avenir Next Condensed Medium" w:hAnsi="Avenir Next Condensed Medium"/>
          <w:sz w:val="18"/>
        </w:rPr>
        <w:footnoteRef/>
      </w:r>
      <w:r w:rsidRPr="00333F9D">
        <w:rPr>
          <w:rFonts w:ascii="Avenir Next Condensed Medium" w:hAnsi="Avenir Next Condensed Medium"/>
          <w:sz w:val="18"/>
        </w:rPr>
        <w:t xml:space="preserve"> </w:t>
      </w:r>
      <w:r>
        <w:rPr>
          <w:rFonts w:ascii="Avenir Next Condensed Medium" w:hAnsi="Avenir Next Condensed Medium" w:cstheme="majorHAnsi"/>
          <w:sz w:val="18"/>
          <w:lang w:eastAsia="en-AU"/>
        </w:rPr>
        <w:t>N</w:t>
      </w:r>
      <w:r w:rsidRPr="00333F9D">
        <w:rPr>
          <w:rFonts w:ascii="Avenir Next Condensed Medium" w:hAnsi="Avenir Next Condensed Medium" w:cstheme="majorHAnsi"/>
          <w:sz w:val="18"/>
          <w:lang w:eastAsia="en-AU"/>
        </w:rPr>
        <w:t xml:space="preserve">ote that the DFAT strategic framework relates only to a subset of the entire bilateral health program, so its EOPOs differ from the EOPOs inferred for the program as a whole </w:t>
      </w:r>
      <w:r>
        <w:rPr>
          <w:rFonts w:ascii="Avenir Next Condensed Medium" w:hAnsi="Avenir Next Condensed Medium" w:cstheme="majorHAnsi"/>
          <w:sz w:val="18"/>
          <w:lang w:eastAsia="en-AU"/>
        </w:rPr>
        <w:t>(see Section 2</w:t>
      </w:r>
      <w:r w:rsidRPr="00333F9D">
        <w:rPr>
          <w:rFonts w:ascii="Avenir Next Condensed Medium" w:hAnsi="Avenir Next Condensed Medium" w:cstheme="majorHAnsi"/>
          <w:sz w:val="18"/>
          <w:lang w:eastAsia="en-AU"/>
        </w:rPr>
        <w:t>).</w:t>
      </w:r>
    </w:p>
  </w:footnote>
  <w:footnote w:id="47">
    <w:p w14:paraId="2FE6D523" w14:textId="77777777" w:rsidR="00D26B03" w:rsidRPr="00256B84" w:rsidRDefault="00D26B03" w:rsidP="00884128">
      <w:pPr>
        <w:pStyle w:val="FootnoteText"/>
        <w:jc w:val="both"/>
        <w:rPr>
          <w:rFonts w:ascii="Avenir Next Condensed Medium" w:hAnsi="Avenir Next Condensed Medium"/>
          <w:sz w:val="18"/>
        </w:rPr>
      </w:pPr>
      <w:r w:rsidRPr="00256B84">
        <w:rPr>
          <w:rStyle w:val="FootnoteReference"/>
          <w:rFonts w:ascii="Avenir Next Condensed Medium" w:hAnsi="Avenir Next Condensed Medium"/>
          <w:sz w:val="18"/>
        </w:rPr>
        <w:footnoteRef/>
      </w:r>
      <w:r w:rsidRPr="00256B84">
        <w:rPr>
          <w:rFonts w:ascii="Avenir Next Condensed Medium" w:hAnsi="Avenir Next Condensed Medium"/>
          <w:sz w:val="18"/>
        </w:rPr>
        <w:t xml:space="preserve"> DHS, 2010</w:t>
      </w:r>
      <w:r w:rsidRPr="00256B84">
        <w:rPr>
          <w:rFonts w:ascii="Avenir Next Condensed Medium" w:hAnsi="Avenir Next Condensed Medium" w:cstheme="majorHAnsi"/>
          <w:sz w:val="18"/>
        </w:rPr>
        <w:t xml:space="preserve">; DHS, 2016 </w:t>
      </w:r>
    </w:p>
  </w:footnote>
  <w:footnote w:id="48">
    <w:p w14:paraId="78556580" w14:textId="4BB19B5C" w:rsidR="00D26B03" w:rsidRPr="00C5482D" w:rsidRDefault="00D26B03" w:rsidP="00884128">
      <w:pPr>
        <w:pStyle w:val="FootnoteText"/>
        <w:jc w:val="both"/>
        <w:rPr>
          <w:rFonts w:ascii="Arial" w:hAnsi="Arial" w:cs="Arial"/>
          <w:sz w:val="18"/>
          <w:szCs w:val="18"/>
          <w:lang w:val="en-US"/>
        </w:rPr>
      </w:pPr>
      <w:r w:rsidRPr="00C5482D">
        <w:rPr>
          <w:rStyle w:val="FootnoteReference"/>
          <w:rFonts w:ascii="Arial" w:hAnsi="Arial" w:cs="Arial"/>
          <w:sz w:val="18"/>
          <w:szCs w:val="18"/>
        </w:rPr>
        <w:footnoteRef/>
      </w:r>
      <w:r w:rsidRPr="00C5482D">
        <w:rPr>
          <w:rFonts w:ascii="Arial" w:hAnsi="Arial" w:cs="Arial"/>
          <w:sz w:val="18"/>
          <w:szCs w:val="18"/>
        </w:rPr>
        <w:t xml:space="preserve"> </w:t>
      </w:r>
      <w:r>
        <w:rPr>
          <w:rFonts w:ascii="Avenir Next Condensed Medium" w:hAnsi="Avenir Next Condensed Medium"/>
          <w:sz w:val="18"/>
        </w:rPr>
        <w:t>Note that the DFAT program’s 2016 targets for FP were only partially met (see Annex 6) while those for earlier years were achieved in full (see Annex 7).</w:t>
      </w:r>
    </w:p>
  </w:footnote>
  <w:footnote w:id="49">
    <w:p w14:paraId="458B6BFE" w14:textId="77777777" w:rsidR="00D26B03" w:rsidRDefault="00D26B03" w:rsidP="00884128">
      <w:pPr>
        <w:pStyle w:val="FootnoteText"/>
        <w:jc w:val="both"/>
        <w:rPr>
          <w:rFonts w:ascii="Avenir Next Condensed Medium" w:hAnsi="Avenir Next Condensed Medium"/>
          <w:sz w:val="18"/>
        </w:rPr>
      </w:pPr>
      <w:r w:rsidRPr="00256B84">
        <w:rPr>
          <w:rStyle w:val="FootnoteReference"/>
          <w:rFonts w:ascii="Avenir Next Condensed Medium" w:hAnsi="Avenir Next Condensed Medium"/>
          <w:sz w:val="18"/>
        </w:rPr>
        <w:footnoteRef/>
      </w:r>
      <w:r w:rsidRPr="00256B84">
        <w:rPr>
          <w:rFonts w:ascii="Avenir Next Condensed Medium" w:hAnsi="Avenir Next Condensed Medium"/>
          <w:sz w:val="18"/>
        </w:rPr>
        <w:t xml:space="preserve"> In some communities there is </w:t>
      </w:r>
      <w:r w:rsidRPr="00256B84">
        <w:rPr>
          <w:rFonts w:asciiTheme="majorHAnsi" w:hAnsiTheme="majorHAnsi" w:cstheme="majorHAnsi"/>
          <w:sz w:val="18"/>
        </w:rPr>
        <w:t>Australian NGO Cooperation Program</w:t>
      </w:r>
      <w:r w:rsidRPr="00256B84">
        <w:rPr>
          <w:rFonts w:ascii="Avenir Next Condensed Medium" w:hAnsi="Avenir Next Condensed Medium"/>
          <w:sz w:val="18"/>
        </w:rPr>
        <w:t xml:space="preserve"> (ANCP) funding for MSGs.</w:t>
      </w:r>
    </w:p>
  </w:footnote>
  <w:footnote w:id="50">
    <w:p w14:paraId="10BAC5AB" w14:textId="77777777" w:rsidR="00D26B03" w:rsidRDefault="00D26B03" w:rsidP="00884128">
      <w:pPr>
        <w:pStyle w:val="FootnoteText"/>
        <w:jc w:val="both"/>
        <w:rPr>
          <w:rFonts w:ascii="Avenir Next Condensed Medium" w:hAnsi="Avenir Next Condensed Medium"/>
          <w:sz w:val="18"/>
        </w:rPr>
      </w:pPr>
      <w:r w:rsidRPr="00203826">
        <w:rPr>
          <w:rStyle w:val="FootnoteReference"/>
          <w:rFonts w:ascii="Avenir Next Condensed Medium" w:hAnsi="Avenir Next Condensed Medium"/>
          <w:sz w:val="18"/>
        </w:rPr>
        <w:footnoteRef/>
      </w:r>
      <w:r w:rsidRPr="00203826">
        <w:rPr>
          <w:rFonts w:ascii="Avenir Next Condensed Medium" w:hAnsi="Avenir Next Condensed Medium"/>
          <w:sz w:val="18"/>
        </w:rPr>
        <w:t xml:space="preserve"> Ministry of Health Timor-Leste, 2017</w:t>
      </w:r>
    </w:p>
  </w:footnote>
  <w:footnote w:id="51">
    <w:p w14:paraId="683DF527" w14:textId="77777777" w:rsidR="00D26B03" w:rsidRDefault="00D26B03" w:rsidP="00884128">
      <w:pPr>
        <w:pStyle w:val="FootnoteText"/>
        <w:jc w:val="both"/>
        <w:rPr>
          <w:rFonts w:ascii="Avenir Next Condensed Medium" w:hAnsi="Avenir Next Condensed Medium"/>
          <w:sz w:val="18"/>
        </w:rPr>
      </w:pPr>
      <w:r w:rsidRPr="00BE4300">
        <w:rPr>
          <w:rStyle w:val="FootnoteReference"/>
          <w:rFonts w:ascii="Avenir Next Condensed Medium" w:hAnsi="Avenir Next Condensed Medium"/>
          <w:sz w:val="18"/>
        </w:rPr>
        <w:footnoteRef/>
      </w:r>
      <w:r w:rsidRPr="00BE4300">
        <w:rPr>
          <w:rFonts w:ascii="Avenir Next Condensed Medium" w:hAnsi="Avenir Next Condensed Medium"/>
          <w:sz w:val="18"/>
        </w:rPr>
        <w:t xml:space="preserve"> DHS, 2010</w:t>
      </w:r>
      <w:r w:rsidRPr="00BE4300">
        <w:rPr>
          <w:rFonts w:ascii="Avenir Next Condensed Medium" w:hAnsi="Avenir Next Condensed Medium" w:cstheme="majorHAnsi"/>
          <w:sz w:val="18"/>
        </w:rPr>
        <w:t>; DHS, 2016</w:t>
      </w:r>
    </w:p>
  </w:footnote>
  <w:footnote w:id="52">
    <w:p w14:paraId="2BF2D6AD" w14:textId="77777777" w:rsidR="00D26B03" w:rsidRPr="007C44BB" w:rsidRDefault="00D26B03" w:rsidP="00884128">
      <w:pPr>
        <w:pStyle w:val="FootnoteText"/>
        <w:jc w:val="both"/>
        <w:rPr>
          <w:rFonts w:ascii="Avenir Next Condensed Medium" w:hAnsi="Avenir Next Condensed Medium"/>
          <w:sz w:val="18"/>
        </w:rPr>
      </w:pPr>
      <w:r w:rsidRPr="00CA19EB">
        <w:rPr>
          <w:rStyle w:val="FootnoteReference"/>
          <w:rFonts w:ascii="Avenir Next Condensed Medium" w:hAnsi="Avenir Next Condensed Medium"/>
          <w:sz w:val="18"/>
        </w:rPr>
        <w:footnoteRef/>
      </w:r>
      <w:r w:rsidRPr="00CA19EB">
        <w:rPr>
          <w:rFonts w:ascii="Avenir Next Condensed Medium" w:hAnsi="Avenir Next Condensed Medium"/>
          <w:sz w:val="18"/>
        </w:rPr>
        <w:t xml:space="preserve"> Ministry </w:t>
      </w:r>
      <w:r w:rsidRPr="007C44BB">
        <w:rPr>
          <w:rFonts w:ascii="Avenir Next Condensed Medium" w:hAnsi="Avenir Next Condensed Medium"/>
          <w:sz w:val="18"/>
        </w:rPr>
        <w:t>of Health Timor-Leste, 2017</w:t>
      </w:r>
    </w:p>
  </w:footnote>
  <w:footnote w:id="53">
    <w:p w14:paraId="1E2267D7" w14:textId="77777777" w:rsidR="00D26B03" w:rsidRPr="007C44BB" w:rsidRDefault="00D26B03" w:rsidP="00884128">
      <w:pPr>
        <w:pStyle w:val="FootnoteText"/>
        <w:jc w:val="both"/>
        <w:rPr>
          <w:rFonts w:ascii="Avenir Next Condensed Medium" w:hAnsi="Avenir Next Condensed Medium"/>
          <w:sz w:val="18"/>
        </w:rPr>
      </w:pPr>
      <w:r w:rsidRPr="007C44BB">
        <w:rPr>
          <w:rStyle w:val="FootnoteReference"/>
          <w:rFonts w:ascii="Avenir Next Condensed Medium" w:hAnsi="Avenir Next Condensed Medium"/>
          <w:sz w:val="18"/>
        </w:rPr>
        <w:footnoteRef/>
      </w:r>
      <w:r w:rsidRPr="007C44BB">
        <w:rPr>
          <w:rFonts w:ascii="Avenir Next Condensed Medium" w:hAnsi="Avenir Next Condensed Medium"/>
          <w:sz w:val="18"/>
        </w:rPr>
        <w:t xml:space="preserve"> DHS, 2010</w:t>
      </w:r>
      <w:r w:rsidRPr="007C44BB">
        <w:rPr>
          <w:rFonts w:ascii="Avenir Next Condensed Medium" w:hAnsi="Avenir Next Condensed Medium" w:cstheme="majorHAnsi"/>
          <w:sz w:val="18"/>
        </w:rPr>
        <w:t>; DHS, 2016</w:t>
      </w:r>
    </w:p>
  </w:footnote>
  <w:footnote w:id="54">
    <w:p w14:paraId="28F67767" w14:textId="77777777" w:rsidR="00D26B03" w:rsidRPr="007C44BB" w:rsidRDefault="00D26B03" w:rsidP="00884128">
      <w:pPr>
        <w:pStyle w:val="FootnoteText"/>
        <w:jc w:val="both"/>
        <w:rPr>
          <w:rFonts w:ascii="Avenir Next Condensed Medium" w:hAnsi="Avenir Next Condensed Medium"/>
          <w:sz w:val="18"/>
        </w:rPr>
      </w:pPr>
      <w:r w:rsidRPr="007C44BB">
        <w:rPr>
          <w:rStyle w:val="FootnoteReference"/>
          <w:rFonts w:ascii="Avenir Next Condensed Medium" w:hAnsi="Avenir Next Condensed Medium"/>
          <w:sz w:val="18"/>
        </w:rPr>
        <w:footnoteRef/>
      </w:r>
      <w:r w:rsidRPr="007C44BB">
        <w:rPr>
          <w:rFonts w:ascii="Avenir Next Condensed Medium" w:hAnsi="Avenir Next Condensed Medium"/>
          <w:sz w:val="18"/>
        </w:rPr>
        <w:t xml:space="preserve"> NHSSP, p 11</w:t>
      </w:r>
    </w:p>
  </w:footnote>
  <w:footnote w:id="55">
    <w:p w14:paraId="124F6B29" w14:textId="77777777" w:rsidR="00D26B03" w:rsidRDefault="00D26B03" w:rsidP="00884128">
      <w:pPr>
        <w:pStyle w:val="FootnoteText"/>
        <w:jc w:val="both"/>
      </w:pPr>
      <w:r w:rsidRPr="007C44BB">
        <w:rPr>
          <w:rStyle w:val="FootnoteReference"/>
          <w:rFonts w:ascii="Avenir Next Condensed Medium" w:hAnsi="Avenir Next Condensed Medium"/>
          <w:sz w:val="18"/>
        </w:rPr>
        <w:footnoteRef/>
      </w:r>
      <w:r w:rsidRPr="007C44BB">
        <w:rPr>
          <w:rFonts w:ascii="Avenir Next Condensed Medium" w:hAnsi="Avenir Next Condensed Medium"/>
          <w:sz w:val="18"/>
        </w:rPr>
        <w:t xml:space="preserve"> See footnote 45 (above), which also applies here.</w:t>
      </w:r>
      <w:r>
        <w:t xml:space="preserve"> </w:t>
      </w:r>
    </w:p>
  </w:footnote>
  <w:footnote w:id="56">
    <w:p w14:paraId="0BCEB4FA" w14:textId="3171C16A" w:rsidR="00D26B03" w:rsidRDefault="00D26B03" w:rsidP="00884128">
      <w:pPr>
        <w:pStyle w:val="FootnoteText"/>
        <w:jc w:val="both"/>
        <w:rPr>
          <w:rFonts w:ascii="Avenir Next Condensed Medium" w:hAnsi="Avenir Next Condensed Medium"/>
          <w:sz w:val="18"/>
        </w:rPr>
      </w:pPr>
      <w:r w:rsidRPr="00521BC5">
        <w:rPr>
          <w:rStyle w:val="FootnoteReference"/>
          <w:rFonts w:ascii="Avenir Next Condensed Medium" w:hAnsi="Avenir Next Condensed Medium"/>
          <w:sz w:val="18"/>
        </w:rPr>
        <w:footnoteRef/>
      </w:r>
      <w:r w:rsidRPr="00521BC5">
        <w:rPr>
          <w:rFonts w:ascii="Avenir Next Condensed Medium" w:hAnsi="Avenir Next Condensed Medium"/>
          <w:sz w:val="18"/>
        </w:rPr>
        <w:t xml:space="preserve"> </w:t>
      </w:r>
      <w:r>
        <w:rPr>
          <w:rFonts w:ascii="Avenir Next Condensed Medium" w:hAnsi="Avenir Next Condensed Medium"/>
          <w:sz w:val="18"/>
        </w:rPr>
        <w:t>HAI received a</w:t>
      </w:r>
      <w:r w:rsidRPr="00521BC5">
        <w:rPr>
          <w:rFonts w:ascii="Avenir Next Condensed Medium" w:hAnsi="Avenir Next Condensed Medium"/>
          <w:sz w:val="18"/>
        </w:rPr>
        <w:t xml:space="preserve">n additional AUD 500,000 from DFAT Canberra </w:t>
      </w:r>
      <w:r>
        <w:rPr>
          <w:rFonts w:ascii="Avenir Next Condensed Medium" w:hAnsi="Avenir Next Condensed Medium"/>
          <w:sz w:val="18"/>
        </w:rPr>
        <w:t xml:space="preserve"> to introduce an innovative, highly-realistic, low-tech EmONC simulation-based model, based on team training and geared for low resource settings, and to establish municipality-based, fixed skills lab for health provider training</w:t>
      </w:r>
      <w:r w:rsidRPr="00521BC5">
        <w:rPr>
          <w:rFonts w:ascii="Avenir Next Condensed Medium" w:hAnsi="Avenir Next Condensed Medium"/>
          <w:sz w:val="18"/>
        </w:rPr>
        <w:t xml:space="preserve">. </w:t>
      </w:r>
    </w:p>
  </w:footnote>
  <w:footnote w:id="57">
    <w:p w14:paraId="14018D53" w14:textId="77777777" w:rsidR="00D26B03" w:rsidRDefault="00D26B03" w:rsidP="00884128">
      <w:pPr>
        <w:pStyle w:val="CommentText"/>
        <w:spacing w:after="0"/>
        <w:jc w:val="both"/>
        <w:rPr>
          <w:rFonts w:ascii="Avenir Next Condensed Medium" w:hAnsi="Avenir Next Condensed Medium"/>
          <w:sz w:val="18"/>
        </w:rPr>
      </w:pPr>
      <w:r w:rsidRPr="00521BC5">
        <w:rPr>
          <w:rStyle w:val="FootnoteReference"/>
          <w:rFonts w:ascii="Avenir Next Condensed Medium" w:hAnsi="Avenir Next Condensed Medium"/>
          <w:sz w:val="18"/>
        </w:rPr>
        <w:footnoteRef/>
      </w:r>
      <w:r w:rsidRPr="00521BC5">
        <w:rPr>
          <w:rFonts w:ascii="Avenir Next Condensed Medium" w:hAnsi="Avenir Next Condensed Medium"/>
          <w:sz w:val="18"/>
        </w:rPr>
        <w:t xml:space="preserve"> In 2017 DFAT provided additional funds through the ANCP program to improve reproductive health education in secondary schools.</w:t>
      </w:r>
    </w:p>
  </w:footnote>
  <w:footnote w:id="58">
    <w:p w14:paraId="1A976CF7" w14:textId="77777777" w:rsidR="00D26B03" w:rsidRDefault="00D26B03" w:rsidP="00884128">
      <w:pPr>
        <w:pStyle w:val="FootnoteText"/>
        <w:jc w:val="both"/>
        <w:rPr>
          <w:rFonts w:ascii="Avenir Next Condensed Medium" w:hAnsi="Avenir Next Condensed Medium"/>
          <w:sz w:val="18"/>
        </w:rPr>
      </w:pPr>
      <w:r w:rsidRPr="008205FA">
        <w:rPr>
          <w:rStyle w:val="FootnoteReference"/>
          <w:rFonts w:ascii="Avenir Next Condensed Medium" w:hAnsi="Avenir Next Condensed Medium"/>
          <w:sz w:val="18"/>
        </w:rPr>
        <w:footnoteRef/>
      </w:r>
      <w:r w:rsidRPr="008205FA">
        <w:rPr>
          <w:rFonts w:ascii="Avenir Next Condensed Medium" w:hAnsi="Avenir Next Condensed Medium"/>
          <w:sz w:val="18"/>
        </w:rPr>
        <w:t xml:space="preserve"> </w:t>
      </w:r>
      <w:r w:rsidRPr="008205FA">
        <w:rPr>
          <w:rFonts w:ascii="Avenir Next Condensed Medium" w:hAnsi="Avenir Next Condensed Medium"/>
          <w:sz w:val="18"/>
          <w:szCs w:val="16"/>
        </w:rPr>
        <w:t xml:space="preserve">Sondaal et al, 2016 </w:t>
      </w:r>
    </w:p>
  </w:footnote>
  <w:footnote w:id="59">
    <w:p w14:paraId="3E3C01F8" w14:textId="77777777" w:rsidR="00D26B03" w:rsidRDefault="00D26B03" w:rsidP="00884128">
      <w:pPr>
        <w:pStyle w:val="FootnoteText"/>
        <w:jc w:val="both"/>
      </w:pPr>
      <w:r w:rsidRPr="008205FA">
        <w:rPr>
          <w:rStyle w:val="FootnoteReference"/>
          <w:rFonts w:ascii="Avenir Next Condensed Medium" w:hAnsi="Avenir Next Condensed Medium"/>
          <w:sz w:val="18"/>
        </w:rPr>
        <w:footnoteRef/>
      </w:r>
      <w:r w:rsidRPr="008205FA">
        <w:rPr>
          <w:rFonts w:ascii="Avenir Next Condensed Medium" w:hAnsi="Avenir Next Condensed Medium"/>
          <w:sz w:val="18"/>
        </w:rPr>
        <w:t xml:space="preserve"> DHS 2016</w:t>
      </w:r>
    </w:p>
  </w:footnote>
  <w:footnote w:id="60">
    <w:p w14:paraId="1F245073" w14:textId="77777777" w:rsidR="00D26B03" w:rsidRPr="006B3974" w:rsidRDefault="00D26B03" w:rsidP="00491C24">
      <w:pPr>
        <w:pStyle w:val="NormalWeb"/>
        <w:spacing w:beforeLines="0" w:afterLines="0"/>
        <w:rPr>
          <w:rFonts w:ascii="Avenir Next Condensed Medium" w:hAnsi="Avenir Next Condensed Medium"/>
          <w:sz w:val="18"/>
        </w:rPr>
      </w:pPr>
      <w:r w:rsidRPr="006B3974">
        <w:rPr>
          <w:rStyle w:val="FootnoteReference"/>
          <w:rFonts w:ascii="Avenir Next Condensed Medium" w:hAnsi="Avenir Next Condensed Medium"/>
          <w:sz w:val="18"/>
        </w:rPr>
        <w:footnoteRef/>
      </w:r>
      <w:r w:rsidRPr="006B3974">
        <w:rPr>
          <w:rFonts w:ascii="Avenir Next Condensed Medium" w:hAnsi="Avenir Next Condensed Medium"/>
          <w:sz w:val="18"/>
        </w:rPr>
        <w:t xml:space="preserve"> </w:t>
      </w:r>
      <w:r w:rsidRPr="006B3974">
        <w:rPr>
          <w:rFonts w:ascii="Avenir Next Condensed Medium" w:hAnsi="Avenir Next Condensed Medium"/>
          <w:sz w:val="18"/>
          <w:szCs w:val="18"/>
        </w:rPr>
        <w:t xml:space="preserve">Singh and Darroch, 2012 </w:t>
      </w:r>
    </w:p>
  </w:footnote>
  <w:footnote w:id="61">
    <w:p w14:paraId="4F2F1EF2" w14:textId="77777777" w:rsidR="00D26B03" w:rsidRDefault="00D26B03" w:rsidP="00491C24">
      <w:pPr>
        <w:pStyle w:val="FootnoteText"/>
        <w:rPr>
          <w:rFonts w:ascii="Avenir Next Condensed Medium" w:hAnsi="Avenir Next Condensed Medium"/>
          <w:sz w:val="18"/>
        </w:rPr>
      </w:pPr>
      <w:r w:rsidRPr="006B3974">
        <w:rPr>
          <w:rStyle w:val="FootnoteReference"/>
          <w:rFonts w:ascii="Avenir Next Condensed Medium" w:hAnsi="Avenir Next Condensed Medium"/>
          <w:sz w:val="18"/>
        </w:rPr>
        <w:footnoteRef/>
      </w:r>
      <w:r w:rsidRPr="006B3974">
        <w:rPr>
          <w:rFonts w:ascii="Avenir Next Condensed Medium" w:hAnsi="Avenir Next Condensed Medium"/>
          <w:sz w:val="18"/>
        </w:rPr>
        <w:t xml:space="preserve"> FP2020, 2016 </w:t>
      </w:r>
    </w:p>
  </w:footnote>
  <w:footnote w:id="62">
    <w:p w14:paraId="5DC31B94" w14:textId="77777777" w:rsidR="00D26B03" w:rsidRPr="006B3974" w:rsidRDefault="00D26B03" w:rsidP="00491C24">
      <w:pPr>
        <w:pStyle w:val="NormalWeb"/>
        <w:shd w:val="clear" w:color="auto" w:fill="FFFFFF"/>
        <w:spacing w:beforeLines="0" w:afterLines="0"/>
        <w:rPr>
          <w:rFonts w:ascii="Avenir Next Condensed Medium" w:hAnsi="Avenir Next Condensed Medium"/>
          <w:sz w:val="18"/>
        </w:rPr>
      </w:pPr>
      <w:r w:rsidRPr="006B3974">
        <w:rPr>
          <w:rStyle w:val="FootnoteReference"/>
          <w:rFonts w:ascii="Avenir Next Condensed Medium" w:hAnsi="Avenir Next Condensed Medium"/>
          <w:sz w:val="18"/>
        </w:rPr>
        <w:footnoteRef/>
      </w:r>
      <w:r w:rsidRPr="006B3974">
        <w:rPr>
          <w:rFonts w:ascii="Avenir Next Condensed Medium" w:hAnsi="Avenir Next Condensed Medium"/>
          <w:sz w:val="18"/>
        </w:rPr>
        <w:t xml:space="preserve"> Kohler and Behrman, 2014</w:t>
      </w:r>
    </w:p>
  </w:footnote>
  <w:footnote w:id="63">
    <w:p w14:paraId="2105EBA9" w14:textId="77777777" w:rsidR="00D26B03" w:rsidRPr="00491C24" w:rsidRDefault="00D26B03" w:rsidP="00884128">
      <w:pPr>
        <w:pStyle w:val="FootnoteText"/>
        <w:jc w:val="both"/>
        <w:rPr>
          <w:rFonts w:ascii="Avenir Next Condensed Medium" w:hAnsi="Avenir Next Condensed Medium" w:cstheme="majorHAnsi"/>
          <w:sz w:val="18"/>
        </w:rPr>
      </w:pPr>
      <w:r w:rsidRPr="00475C04">
        <w:rPr>
          <w:rStyle w:val="FootnoteReference"/>
          <w:rFonts w:ascii="Avenir Next Condensed Medium" w:hAnsi="Avenir Next Condensed Medium"/>
          <w:sz w:val="18"/>
        </w:rPr>
        <w:footnoteRef/>
      </w:r>
      <w:r>
        <w:rPr>
          <w:rFonts w:ascii="Avenir Next Condensed Medium" w:hAnsi="Avenir Next Condensed Medium"/>
          <w:sz w:val="18"/>
        </w:rPr>
        <w:t xml:space="preserve"> HAI will not run LL </w:t>
      </w:r>
      <w:r w:rsidRPr="00475C04">
        <w:rPr>
          <w:rFonts w:ascii="Avenir Next Condensed Medium" w:hAnsi="Avenir Next Condensed Medium"/>
          <w:sz w:val="18"/>
        </w:rPr>
        <w:t xml:space="preserve">in Ainaro, since </w:t>
      </w:r>
      <w:r w:rsidRPr="00475C04">
        <w:rPr>
          <w:rFonts w:ascii="Avenir Next Condensed Medium" w:hAnsi="Avenir Next Condensed Medium" w:cstheme="majorHAnsi"/>
          <w:sz w:val="18"/>
        </w:rPr>
        <w:t>the Korean In</w:t>
      </w:r>
      <w:r>
        <w:rPr>
          <w:rFonts w:ascii="Avenir Next Condensed Medium" w:hAnsi="Avenir Next Condensed Medium" w:cstheme="majorHAnsi"/>
          <w:sz w:val="18"/>
        </w:rPr>
        <w:t>ternational Cooperation Agency</w:t>
      </w:r>
      <w:r w:rsidRPr="00475C04">
        <w:rPr>
          <w:rFonts w:ascii="Avenir Next Condensed Medium" w:hAnsi="Avenir Next Condensed Medium" w:cstheme="majorHAnsi"/>
          <w:sz w:val="18"/>
        </w:rPr>
        <w:t xml:space="preserve"> </w:t>
      </w:r>
      <w:r>
        <w:rPr>
          <w:rFonts w:ascii="Avenir Next Condensed Medium" w:hAnsi="Avenir Next Condensed Medium" w:cstheme="majorHAnsi"/>
          <w:sz w:val="18"/>
        </w:rPr>
        <w:t xml:space="preserve">(KOICA) </w:t>
      </w:r>
      <w:r w:rsidRPr="00475C04">
        <w:rPr>
          <w:rFonts w:ascii="Avenir Next Condensed Medium" w:hAnsi="Avenir Next Condensed Medium" w:cstheme="majorHAnsi"/>
          <w:sz w:val="18"/>
        </w:rPr>
        <w:t>supports similar training there.</w:t>
      </w:r>
    </w:p>
  </w:footnote>
  <w:footnote w:id="64">
    <w:p w14:paraId="7B2E85A3" w14:textId="77777777" w:rsidR="00D26B03" w:rsidRDefault="00D26B03" w:rsidP="00884128">
      <w:pPr>
        <w:pStyle w:val="FootnoteText"/>
        <w:jc w:val="both"/>
        <w:rPr>
          <w:rFonts w:ascii="Avenir Next Condensed Medium" w:hAnsi="Avenir Next Condensed Medium"/>
          <w:sz w:val="18"/>
        </w:rPr>
      </w:pPr>
      <w:r w:rsidRPr="006B3974">
        <w:rPr>
          <w:rStyle w:val="FootnoteReference"/>
          <w:rFonts w:ascii="Avenir Next Condensed Medium" w:hAnsi="Avenir Next Condensed Medium"/>
          <w:sz w:val="18"/>
        </w:rPr>
        <w:footnoteRef/>
      </w:r>
      <w:r w:rsidRPr="006B3974">
        <w:rPr>
          <w:rFonts w:ascii="Avenir Next Condensed Medium" w:hAnsi="Avenir Next Condensed Medium"/>
          <w:sz w:val="18"/>
        </w:rPr>
        <w:t xml:space="preserve"> </w:t>
      </w:r>
      <w:r w:rsidRPr="006B3974">
        <w:rPr>
          <w:rFonts w:ascii="Avenir Next Condensed Medium" w:hAnsi="Avenir Next Condensed Medium"/>
          <w:bCs/>
          <w:sz w:val="18"/>
          <w:szCs w:val="30"/>
        </w:rPr>
        <w:t>Royal Australasian College of Surgeons, 2017a</w:t>
      </w:r>
    </w:p>
  </w:footnote>
  <w:footnote w:id="65">
    <w:p w14:paraId="42C9B6D9" w14:textId="77777777" w:rsidR="00D26B03" w:rsidRPr="006B3974" w:rsidRDefault="00D26B03" w:rsidP="00884128">
      <w:pPr>
        <w:pStyle w:val="NormalWeb"/>
        <w:spacing w:beforeLines="0" w:afterLines="0"/>
        <w:jc w:val="both"/>
        <w:rPr>
          <w:rFonts w:ascii="Avenir Next Condensed Medium" w:hAnsi="Avenir Next Condensed Medium"/>
          <w:sz w:val="18"/>
        </w:rPr>
      </w:pPr>
      <w:r w:rsidRPr="006B3974">
        <w:rPr>
          <w:rStyle w:val="FootnoteReference"/>
          <w:rFonts w:ascii="Avenir Next Condensed Medium" w:hAnsi="Avenir Next Condensed Medium"/>
          <w:sz w:val="18"/>
        </w:rPr>
        <w:footnoteRef/>
      </w:r>
      <w:r w:rsidRPr="006B3974">
        <w:rPr>
          <w:rFonts w:ascii="Avenir Next Condensed Medium" w:hAnsi="Avenir Next Condensed Medium"/>
          <w:sz w:val="18"/>
        </w:rPr>
        <w:t xml:space="preserve"> </w:t>
      </w:r>
      <w:r w:rsidRPr="006B3974">
        <w:rPr>
          <w:rFonts w:ascii="Avenir Next Condensed Medium" w:hAnsi="Avenir Next Condensed Medium"/>
          <w:bCs/>
          <w:sz w:val="18"/>
          <w:szCs w:val="30"/>
        </w:rPr>
        <w:t xml:space="preserve">Royal Australasian College of Surgeons, 2017b </w:t>
      </w:r>
    </w:p>
  </w:footnote>
  <w:footnote w:id="66">
    <w:p w14:paraId="4F788DC1" w14:textId="77777777" w:rsidR="00D26B03" w:rsidRPr="00151BF4" w:rsidRDefault="00D26B03" w:rsidP="00884128">
      <w:pPr>
        <w:pStyle w:val="FootnoteText"/>
        <w:jc w:val="both"/>
        <w:rPr>
          <w:rFonts w:ascii="Avenir Next Condensed Medium" w:hAnsi="Avenir Next Condensed Medium"/>
          <w:sz w:val="18"/>
          <w:lang w:val="fr-FR"/>
        </w:rPr>
      </w:pPr>
      <w:r w:rsidRPr="002E0D69">
        <w:rPr>
          <w:rStyle w:val="FootnoteReference"/>
          <w:rFonts w:ascii="Avenir Next Condensed Medium" w:hAnsi="Avenir Next Condensed Medium"/>
          <w:sz w:val="18"/>
        </w:rPr>
        <w:footnoteRef/>
      </w:r>
      <w:r w:rsidRPr="00151BF4">
        <w:rPr>
          <w:rFonts w:ascii="Avenir Next Condensed Medium" w:hAnsi="Avenir Next Condensed Medium"/>
          <w:sz w:val="18"/>
          <w:lang w:val="fr-FR"/>
        </w:rPr>
        <w:t xml:space="preserve"> RACS, 2017a</w:t>
      </w:r>
    </w:p>
  </w:footnote>
  <w:footnote w:id="67">
    <w:p w14:paraId="5EE306AB" w14:textId="77777777" w:rsidR="00D26B03" w:rsidRPr="00151BF4" w:rsidRDefault="00D26B03" w:rsidP="00884128">
      <w:pPr>
        <w:pStyle w:val="NormalWeb"/>
        <w:shd w:val="clear" w:color="auto" w:fill="FFFFFF"/>
        <w:spacing w:beforeLines="0" w:afterLines="0"/>
        <w:jc w:val="both"/>
        <w:rPr>
          <w:rFonts w:ascii="Avenir Next Condensed Medium" w:hAnsi="Avenir Next Condensed Medium"/>
          <w:sz w:val="18"/>
          <w:szCs w:val="16"/>
          <w:lang w:val="fr-FR"/>
        </w:rPr>
      </w:pPr>
      <w:r w:rsidRPr="002E0D69">
        <w:rPr>
          <w:rStyle w:val="FootnoteReference"/>
          <w:rFonts w:ascii="Avenir Next Condensed Medium" w:hAnsi="Avenir Next Condensed Medium"/>
          <w:sz w:val="18"/>
        </w:rPr>
        <w:footnoteRef/>
      </w:r>
      <w:r w:rsidRPr="00151BF4">
        <w:rPr>
          <w:rFonts w:ascii="Avenir Next Condensed Medium" w:hAnsi="Avenir Next Condensed Medium"/>
          <w:sz w:val="18"/>
          <w:lang w:val="fr-FR"/>
        </w:rPr>
        <w:t xml:space="preserve"> </w:t>
      </w:r>
      <w:r w:rsidRPr="00151BF4">
        <w:rPr>
          <w:rFonts w:ascii="Avenir Next Condensed Medium" w:hAnsi="Avenir Next Condensed Medium"/>
          <w:sz w:val="18"/>
          <w:szCs w:val="16"/>
          <w:lang w:val="fr-FR"/>
        </w:rPr>
        <w:t xml:space="preserve">Sondaal et al, 2016 </w:t>
      </w:r>
    </w:p>
  </w:footnote>
  <w:footnote w:id="68">
    <w:p w14:paraId="4683BAFE" w14:textId="77777777" w:rsidR="00D26B03" w:rsidRDefault="00D26B03" w:rsidP="00884128">
      <w:pPr>
        <w:pStyle w:val="FootnoteText"/>
        <w:jc w:val="both"/>
        <w:rPr>
          <w:rFonts w:ascii="Avenir Next Condensed Medium" w:hAnsi="Avenir Next Condensed Medium"/>
          <w:sz w:val="18"/>
        </w:rPr>
      </w:pPr>
      <w:r w:rsidRPr="002E0D69">
        <w:rPr>
          <w:rStyle w:val="FootnoteReference"/>
          <w:rFonts w:ascii="Avenir Next Condensed Medium" w:hAnsi="Avenir Next Condensed Medium"/>
          <w:sz w:val="18"/>
        </w:rPr>
        <w:footnoteRef/>
      </w:r>
      <w:r w:rsidRPr="002E0D69">
        <w:rPr>
          <w:rFonts w:ascii="Avenir Next Condensed Medium" w:hAnsi="Avenir Next Condensed Medium"/>
          <w:sz w:val="18"/>
        </w:rPr>
        <w:t xml:space="preserve"> I.e., unpublished </w:t>
      </w:r>
      <w:r>
        <w:rPr>
          <w:rFonts w:ascii="Avenir Next Condensed Medium" w:hAnsi="Avenir Next Condensed Medium"/>
          <w:sz w:val="18"/>
        </w:rPr>
        <w:t>studies</w:t>
      </w:r>
      <w:r w:rsidRPr="002E0D69">
        <w:rPr>
          <w:rFonts w:ascii="Avenir Next Condensed Medium" w:hAnsi="Avenir Next Condensed Medium"/>
          <w:sz w:val="18"/>
        </w:rPr>
        <w:t xml:space="preserve"> of Liga Inan are not </w:t>
      </w:r>
      <w:r>
        <w:rPr>
          <w:rFonts w:ascii="Avenir Next Condensed Medium" w:hAnsi="Avenir Next Condensed Medium"/>
          <w:sz w:val="18"/>
        </w:rPr>
        <w:t>cited</w:t>
      </w:r>
      <w:r w:rsidRPr="002E0D69">
        <w:rPr>
          <w:rFonts w:ascii="Avenir Next Condensed Medium" w:hAnsi="Avenir Next Condensed Medium"/>
          <w:sz w:val="18"/>
        </w:rPr>
        <w:t xml:space="preserve"> in relevant systematic reviews </w:t>
      </w:r>
      <w:r w:rsidRPr="00287166">
        <w:rPr>
          <w:rFonts w:ascii="Avenir Next Condensed Medium" w:hAnsi="Avenir Next Condensed Medium"/>
          <w:sz w:val="18"/>
        </w:rPr>
        <w:t>by Sondaal et al (2016) or Feroz</w:t>
      </w:r>
      <w:r w:rsidRPr="002E0D69">
        <w:rPr>
          <w:rFonts w:ascii="Avenir Next Condensed Medium" w:hAnsi="Avenir Next Condensed Medium"/>
          <w:sz w:val="18"/>
        </w:rPr>
        <w:t xml:space="preserve"> et al (2017)</w:t>
      </w:r>
    </w:p>
  </w:footnote>
  <w:footnote w:id="69">
    <w:p w14:paraId="46A97931" w14:textId="77777777" w:rsidR="00D26B03" w:rsidRDefault="00D26B03" w:rsidP="00884128">
      <w:pPr>
        <w:pStyle w:val="NormalWeb"/>
        <w:spacing w:beforeLines="0" w:afterLines="0"/>
        <w:jc w:val="both"/>
        <w:rPr>
          <w:rFonts w:ascii="Avenir Next Condensed Medium" w:hAnsi="Avenir Next Condensed Medium"/>
          <w:sz w:val="18"/>
        </w:rPr>
      </w:pPr>
      <w:r w:rsidRPr="002E0D69">
        <w:rPr>
          <w:rStyle w:val="FootnoteReference"/>
          <w:rFonts w:ascii="Avenir Next Condensed Medium" w:hAnsi="Avenir Next Condensed Medium"/>
          <w:sz w:val="18"/>
        </w:rPr>
        <w:footnoteRef/>
      </w:r>
      <w:r w:rsidRPr="002E0D69">
        <w:rPr>
          <w:rFonts w:ascii="Avenir Next Condensed Medium" w:hAnsi="Avenir Next Condensed Medium"/>
          <w:sz w:val="18"/>
        </w:rPr>
        <w:t xml:space="preserve"> </w:t>
      </w:r>
      <w:r w:rsidRPr="002E0D69">
        <w:rPr>
          <w:rFonts w:ascii="Avenir Next Condensed Medium" w:hAnsi="Avenir Next Condensed Medium"/>
          <w:sz w:val="18"/>
          <w:szCs w:val="16"/>
        </w:rPr>
        <w:t>Elmusharaf et al, 2017</w:t>
      </w:r>
      <w:r w:rsidRPr="003419FD">
        <w:rPr>
          <w:rFonts w:ascii="Avenir Next Condensed Medium" w:hAnsi="Avenir Next Condensed Medium"/>
          <w:sz w:val="18"/>
          <w:szCs w:val="16"/>
        </w:rPr>
        <w:t xml:space="preserve"> </w:t>
      </w:r>
    </w:p>
  </w:footnote>
  <w:footnote w:id="70">
    <w:p w14:paraId="6E9B1B40" w14:textId="77777777" w:rsidR="00D26B03" w:rsidRDefault="00D26B03" w:rsidP="00884128">
      <w:pPr>
        <w:pStyle w:val="FootnoteText"/>
        <w:jc w:val="both"/>
      </w:pPr>
      <w:r w:rsidRPr="00B74017">
        <w:rPr>
          <w:rStyle w:val="FootnoteReference"/>
        </w:rPr>
        <w:footnoteRef/>
      </w:r>
      <w:r w:rsidRPr="00B74017">
        <w:t xml:space="preserve"> </w:t>
      </w:r>
      <w:r w:rsidRPr="00B74017">
        <w:rPr>
          <w:rFonts w:ascii="Avenir Next Condensed Medium" w:hAnsi="Avenir Next Condensed Medium"/>
          <w:sz w:val="18"/>
        </w:rPr>
        <w:t xml:space="preserve">A current example of good practice </w:t>
      </w:r>
      <w:r>
        <w:rPr>
          <w:rFonts w:ascii="Avenir Next Condensed Medium" w:hAnsi="Avenir Next Condensed Medium"/>
          <w:sz w:val="18"/>
        </w:rPr>
        <w:t xml:space="preserve">for integrated working across sectors </w:t>
      </w:r>
      <w:r w:rsidRPr="00B74017">
        <w:rPr>
          <w:rFonts w:ascii="Avenir Next Condensed Medium" w:hAnsi="Avenir Next Condensed Medium"/>
          <w:sz w:val="18"/>
        </w:rPr>
        <w:t>is ANCP funding to Wateraid and MSTL to keep girls in school and enhance reproductive health education in schools.</w:t>
      </w:r>
      <w:r>
        <w:rPr>
          <w:rFonts w:ascii="Avenir Next Condensed Medium" w:hAnsi="Avenir Next Condensed Medium"/>
          <w:sz w:val="18"/>
        </w:rPr>
        <w:t xml:space="preserve"> </w:t>
      </w:r>
    </w:p>
  </w:footnote>
  <w:footnote w:id="71">
    <w:p w14:paraId="4F7146E8" w14:textId="77777777" w:rsidR="00D26B03" w:rsidRPr="00D51A1D" w:rsidRDefault="00D26B03" w:rsidP="00592AAF">
      <w:pPr>
        <w:spacing w:after="120"/>
        <w:jc w:val="both"/>
        <w:rPr>
          <w:rFonts w:ascii="Avenir Next Condensed Medium" w:hAnsi="Avenir Next Condensed Medium"/>
          <w:i/>
          <w:sz w:val="18"/>
          <w:szCs w:val="18"/>
          <w:lang w:val="en-GB"/>
        </w:rPr>
      </w:pPr>
      <w:r w:rsidRPr="003419FD">
        <w:rPr>
          <w:rStyle w:val="FootnoteReference"/>
          <w:rFonts w:ascii="Avenir Next Condensed Medium" w:hAnsi="Avenir Next Condensed Medium"/>
          <w:sz w:val="18"/>
        </w:rPr>
        <w:footnoteRef/>
      </w:r>
      <w:r w:rsidRPr="003419FD">
        <w:rPr>
          <w:rFonts w:ascii="Avenir Next Condensed Medium" w:hAnsi="Avenir Next Condensed Medium"/>
          <w:sz w:val="18"/>
        </w:rPr>
        <w:t xml:space="preserve"> ‘</w:t>
      </w:r>
      <w:r w:rsidRPr="003419FD">
        <w:rPr>
          <w:rFonts w:ascii="Avenir Next Condensed Medium" w:hAnsi="Avenir Next Condensed Medium"/>
          <w:i/>
          <w:sz w:val="18"/>
          <w:szCs w:val="18"/>
          <w:lang w:val="en-GB"/>
        </w:rPr>
        <w:t>While a handover remains the ultimate goal, the reality is that these institutions will not be ready to take responsibility for the implementation of the PG training by June 2018, end-of-contract for ATLASS II…</w:t>
      </w:r>
      <w:r w:rsidRPr="003419FD">
        <w:rPr>
          <w:rFonts w:ascii="Avenir Next Condensed Medium" w:hAnsi="Avenir Next Condensed Medium"/>
          <w:i/>
          <w:sz w:val="18"/>
          <w:szCs w:val="18"/>
        </w:rPr>
        <w:t xml:space="preserve"> </w:t>
      </w:r>
      <w:r w:rsidRPr="003419FD">
        <w:rPr>
          <w:rFonts w:ascii="Avenir Next Condensed Medium" w:hAnsi="Avenir Next Condensed Medium"/>
          <w:i/>
          <w:sz w:val="18"/>
          <w:szCs w:val="18"/>
          <w:lang w:val="en-GB"/>
        </w:rPr>
        <w:t xml:space="preserve">Currently and despite the program’s efforts, UNTL is not engaged nor has the financial or organisational capacity to coordinate, deliver or participate in any PG medical teaching activities, despite charging USD 2,000 tuition fees per trainee. Should ATLASS II stop delivering the training at end-of-contract, PG medical education in Timor-Leste will cease to be available… ATLASS II believes a phased approach is the best and only option. ATLASS II would need to work closely with the MoH, MoEdu, HNGV and UNTL to develop a realistic and thorough handover strategy allowing each institution to plan and develop the necessary capacity to assume their various responsibilities in a staged approach. This plan would need to be actioned in stages and monitored closely by the program to ensure each stakeholder remains on-target to meet their agreed responsibilities on time. These stakeholders would also need to improve their lines of communication and formalise their relationship and individual roles. ATLASS II believes a handover, </w:t>
      </w:r>
      <w:r w:rsidRPr="00D51A1D">
        <w:rPr>
          <w:rFonts w:ascii="Avenir Next Condensed Medium" w:hAnsi="Avenir Next Condensed Medium"/>
          <w:i/>
          <w:sz w:val="18"/>
          <w:szCs w:val="18"/>
          <w:lang w:val="en-GB"/>
        </w:rPr>
        <w:t xml:space="preserve">conducted in this way, would likely be achievable within a 5-year timeframe, although the caveat is that each party must be genuinely engaged and committed… ’ </w:t>
      </w:r>
      <w:r w:rsidRPr="00D51A1D">
        <w:rPr>
          <w:rFonts w:ascii="Avenir Next Condensed Medium" w:hAnsi="Avenir Next Condensed Medium"/>
          <w:sz w:val="18"/>
          <w:szCs w:val="18"/>
          <w:lang w:val="en-GB"/>
        </w:rPr>
        <w:t>(RACS, 2017)</w:t>
      </w:r>
    </w:p>
  </w:footnote>
  <w:footnote w:id="72">
    <w:p w14:paraId="47BA1869" w14:textId="77777777" w:rsidR="00D26B03" w:rsidRPr="00D51A1D" w:rsidRDefault="00D26B03" w:rsidP="002E0D69">
      <w:pPr>
        <w:pStyle w:val="FootnoteText"/>
        <w:spacing w:after="120"/>
        <w:rPr>
          <w:rFonts w:ascii="Avenir Next Condensed Medium" w:hAnsi="Avenir Next Condensed Medium"/>
          <w:sz w:val="18"/>
        </w:rPr>
      </w:pPr>
      <w:r w:rsidRPr="00D51A1D">
        <w:rPr>
          <w:rStyle w:val="FootnoteReference"/>
          <w:rFonts w:ascii="Avenir Next Condensed Medium" w:hAnsi="Avenir Next Condensed Medium"/>
          <w:sz w:val="18"/>
        </w:rPr>
        <w:footnoteRef/>
      </w:r>
      <w:r w:rsidRPr="00D51A1D">
        <w:rPr>
          <w:rFonts w:ascii="Avenir Next Condensed Medium" w:hAnsi="Avenir Next Condensed Medium"/>
          <w:sz w:val="18"/>
        </w:rPr>
        <w:t xml:space="preserve"> </w:t>
      </w:r>
      <w:r w:rsidRPr="00D51A1D">
        <w:rPr>
          <w:rFonts w:ascii="Avenir Next Condensed Medium" w:hAnsi="Avenir Next Condensed Medium" w:cstheme="majorHAnsi"/>
          <w:sz w:val="18"/>
          <w:lang w:eastAsia="en-AU"/>
        </w:rPr>
        <w:t>De Savigny and Adam, 2009</w:t>
      </w:r>
    </w:p>
  </w:footnote>
  <w:footnote w:id="73">
    <w:p w14:paraId="49473DB9" w14:textId="77777777" w:rsidR="00D26B03" w:rsidRPr="006954A6" w:rsidRDefault="00D26B03" w:rsidP="002E66EA">
      <w:pPr>
        <w:pStyle w:val="FootnoteText"/>
        <w:rPr>
          <w:rFonts w:ascii="Avenir Next Condensed Medium" w:hAnsi="Avenir Next Condensed Medium"/>
          <w:sz w:val="18"/>
        </w:rPr>
      </w:pPr>
      <w:r w:rsidRPr="006954A6">
        <w:rPr>
          <w:rStyle w:val="FootnoteReference"/>
          <w:rFonts w:ascii="Avenir Next Condensed Medium" w:hAnsi="Avenir Next Condensed Medium"/>
          <w:sz w:val="18"/>
        </w:rPr>
        <w:footnoteRef/>
      </w:r>
      <w:r w:rsidRPr="006954A6">
        <w:rPr>
          <w:rFonts w:ascii="Avenir Next Condensed Medium" w:hAnsi="Avenir Next Condensed Medium"/>
          <w:sz w:val="18"/>
        </w:rPr>
        <w:t xml:space="preserve"> </w:t>
      </w:r>
      <w:r>
        <w:rPr>
          <w:rFonts w:ascii="Avenir Next Condensed Medium" w:hAnsi="Avenir Next Condensed Medium"/>
          <w:sz w:val="18"/>
          <w:lang w:eastAsia="en-AU"/>
        </w:rPr>
        <w:t>This w</w:t>
      </w:r>
      <w:r w:rsidRPr="006954A6">
        <w:rPr>
          <w:rFonts w:ascii="Avenir Next Condensed Medium" w:hAnsi="Avenir Next Condensed Medium"/>
          <w:sz w:val="18"/>
          <w:lang w:eastAsia="en-AU"/>
        </w:rPr>
        <w:t xml:space="preserve">ould </w:t>
      </w:r>
      <w:r>
        <w:rPr>
          <w:rFonts w:ascii="Avenir Next Condensed Medium" w:hAnsi="Avenir Next Condensed Medium"/>
          <w:sz w:val="18"/>
          <w:lang w:eastAsia="en-AU"/>
        </w:rPr>
        <w:t>have</w:t>
      </w:r>
      <w:r w:rsidRPr="006954A6">
        <w:rPr>
          <w:rFonts w:ascii="Avenir Next Condensed Medium" w:hAnsi="Avenir Next Condensed Medium"/>
          <w:sz w:val="18"/>
          <w:lang w:eastAsia="en-AU"/>
        </w:rPr>
        <w:t xml:space="preserve"> priority over PHD’s interest in having ‘a geographic and multi-sectoral </w:t>
      </w:r>
      <w:r w:rsidRPr="00371AB4">
        <w:rPr>
          <w:rFonts w:ascii="Avenir Next Condensed Medium" w:hAnsi="Avenir Next Condensed Medium"/>
          <w:sz w:val="18"/>
          <w:lang w:eastAsia="en-AU"/>
        </w:rPr>
        <w:t>focus’</w:t>
      </w:r>
      <w:r w:rsidRPr="00371AB4">
        <w:rPr>
          <w:rFonts w:ascii="Avenir Next Condensed Medium" w:hAnsi="Avenir Next Condensed Medium"/>
          <w:sz w:val="18"/>
        </w:rPr>
        <w:t xml:space="preserve"> </w:t>
      </w:r>
      <w:r>
        <w:rPr>
          <w:rFonts w:ascii="Avenir Next Condensed Medium" w:hAnsi="Avenir Next Condensed Medium"/>
          <w:sz w:val="18"/>
        </w:rPr>
        <w:t>(see</w:t>
      </w:r>
      <w:r w:rsidRPr="00371AB4">
        <w:rPr>
          <w:rFonts w:ascii="Avenir Next Condensed Medium" w:hAnsi="Avenir Next Condensed Medium"/>
          <w:sz w:val="18"/>
        </w:rPr>
        <w:t xml:space="preserve"> Annex 1</w:t>
      </w:r>
      <w:r>
        <w:rPr>
          <w:rFonts w:ascii="Avenir Next Condensed Medium" w:hAnsi="Avenir Next Condensed Medium"/>
          <w:sz w:val="18"/>
        </w:rPr>
        <w:t>)</w:t>
      </w:r>
    </w:p>
  </w:footnote>
  <w:footnote w:id="74">
    <w:p w14:paraId="4D17CA48" w14:textId="77777777" w:rsidR="00D26B03" w:rsidRPr="00CC24BE" w:rsidRDefault="00D26B03">
      <w:pPr>
        <w:pStyle w:val="FootnoteText"/>
        <w:rPr>
          <w:rFonts w:ascii="Avenir Next Condensed Medium" w:hAnsi="Avenir Next Condensed Medium"/>
          <w:sz w:val="18"/>
        </w:rPr>
      </w:pPr>
      <w:r w:rsidRPr="00CC24BE">
        <w:rPr>
          <w:rStyle w:val="FootnoteReference"/>
          <w:rFonts w:ascii="Avenir Next Condensed Medium" w:hAnsi="Avenir Next Condensed Medium"/>
          <w:sz w:val="18"/>
        </w:rPr>
        <w:footnoteRef/>
      </w:r>
      <w:r w:rsidRPr="00CC24BE">
        <w:rPr>
          <w:rFonts w:ascii="Avenir Next Condensed Medium" w:hAnsi="Avenir Next Condensed Medium"/>
          <w:sz w:val="18"/>
        </w:rPr>
        <w:t xml:space="preserve"> Kania and Kramer, 2011</w:t>
      </w:r>
    </w:p>
  </w:footnote>
  <w:footnote w:id="75">
    <w:p w14:paraId="24B81176" w14:textId="77777777" w:rsidR="00D26B03" w:rsidRPr="004B3341" w:rsidRDefault="00D26B03">
      <w:pPr>
        <w:pStyle w:val="FootnoteText"/>
        <w:rPr>
          <w:rFonts w:ascii="Avenir Next Condensed Medium" w:hAnsi="Avenir Next Condensed Medium"/>
          <w:sz w:val="18"/>
        </w:rPr>
      </w:pPr>
      <w:r w:rsidRPr="004B3341">
        <w:rPr>
          <w:rStyle w:val="FootnoteReference"/>
          <w:rFonts w:ascii="Avenir Next Condensed Medium" w:hAnsi="Avenir Next Condensed Medium"/>
          <w:sz w:val="18"/>
        </w:rPr>
        <w:footnoteRef/>
      </w:r>
      <w:r w:rsidRPr="004B3341">
        <w:rPr>
          <w:rFonts w:ascii="Avenir Next Condensed Medium" w:hAnsi="Avenir Next Condensed Medium"/>
          <w:sz w:val="18"/>
        </w:rPr>
        <w:t xml:space="preserve"> There are differing perspectives among stakeholders regarding the timeline for accomplishing this; </w:t>
      </w:r>
      <w:r>
        <w:rPr>
          <w:rFonts w:ascii="Avenir Next Condensed Medium" w:hAnsi="Avenir Next Condensed Medium"/>
          <w:sz w:val="18"/>
        </w:rPr>
        <w:t>one expert view is that it can be done by</w:t>
      </w:r>
      <w:r w:rsidRPr="004B3341">
        <w:rPr>
          <w:rFonts w:ascii="Avenir Next Condensed Medium" w:hAnsi="Avenir Next Condensed Medium"/>
          <w:sz w:val="18"/>
        </w:rPr>
        <w:t xml:space="preserve"> the end of March 2019, but </w:t>
      </w:r>
      <w:r>
        <w:rPr>
          <w:rFonts w:ascii="Avenir Next Condensed Medium" w:hAnsi="Avenir Next Condensed Medium"/>
          <w:sz w:val="18"/>
        </w:rPr>
        <w:t>other observers think that target date</w:t>
      </w:r>
      <w:r w:rsidRPr="004B3341">
        <w:rPr>
          <w:rFonts w:ascii="Avenir Next Condensed Medium" w:hAnsi="Avenir Next Condensed Medium"/>
          <w:sz w:val="18"/>
        </w:rPr>
        <w:t xml:space="preserve"> </w:t>
      </w:r>
      <w:r>
        <w:rPr>
          <w:rFonts w:ascii="Avenir Next Condensed Medium" w:hAnsi="Avenir Next Condensed Medium"/>
          <w:sz w:val="18"/>
        </w:rPr>
        <w:t>may be</w:t>
      </w:r>
      <w:r w:rsidRPr="004B3341">
        <w:rPr>
          <w:rFonts w:ascii="Avenir Next Condensed Medium" w:hAnsi="Avenir Next Condensed Medium"/>
          <w:sz w:val="18"/>
        </w:rPr>
        <w:t xml:space="preserve"> overly ambitious.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C37C" w14:textId="77777777" w:rsidR="004A1796" w:rsidRDefault="004A1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4135" w14:textId="6461E69F" w:rsidR="00D26B03" w:rsidRDefault="00AD0AAD" w:rsidP="00AD0AAD">
    <w:pPr>
      <w:pStyle w:val="Header"/>
      <w:tabs>
        <w:tab w:val="clear" w:pos="4513"/>
        <w:tab w:val="clear" w:pos="9026"/>
        <w:tab w:val="center" w:pos="4150"/>
        <w:tab w:val="left" w:pos="472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947A8" w14:textId="77777777" w:rsidR="004A1796" w:rsidRDefault="004A1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7EC"/>
    <w:multiLevelType w:val="hybridMultilevel"/>
    <w:tmpl w:val="933E3E3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6453"/>
    <w:multiLevelType w:val="hybridMultilevel"/>
    <w:tmpl w:val="2A8239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E250F"/>
    <w:multiLevelType w:val="hybridMultilevel"/>
    <w:tmpl w:val="BC049DA0"/>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A4B64"/>
    <w:multiLevelType w:val="hybridMultilevel"/>
    <w:tmpl w:val="EC6EE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A34677"/>
    <w:multiLevelType w:val="hybridMultilevel"/>
    <w:tmpl w:val="1DD25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3115D8"/>
    <w:multiLevelType w:val="hybridMultilevel"/>
    <w:tmpl w:val="5E74EAF2"/>
    <w:lvl w:ilvl="0" w:tplc="6B4E2A04">
      <w:start w:val="1"/>
      <w:numFmt w:val="bullet"/>
      <w:lvlText w:val=""/>
      <w:lvlJc w:val="left"/>
      <w:pPr>
        <w:ind w:left="682" w:hanging="341"/>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5117FC"/>
    <w:multiLevelType w:val="multilevel"/>
    <w:tmpl w:val="99666192"/>
    <w:lvl w:ilvl="0">
      <w:start w:val="1"/>
      <w:numFmt w:val="bullet"/>
      <w:lvlText w:val=""/>
      <w:lvlJc w:val="left"/>
      <w:pPr>
        <w:ind w:left="682" w:hanging="341"/>
      </w:pPr>
      <w:rPr>
        <w:rFonts w:ascii="Symbol" w:hAnsi="Symbol" w:hint="default"/>
      </w:rPr>
    </w:lvl>
    <w:lvl w:ilvl="1">
      <w:start w:val="1"/>
      <w:numFmt w:val="bullet"/>
      <w:lvlText w:val="o"/>
      <w:lvlJc w:val="left"/>
      <w:pPr>
        <w:ind w:left="1101" w:hanging="360"/>
      </w:pPr>
      <w:rPr>
        <w:rFonts w:ascii="Courier New" w:hAnsi="Courier New" w:hint="default"/>
      </w:rPr>
    </w:lvl>
    <w:lvl w:ilvl="2">
      <w:start w:val="1"/>
      <w:numFmt w:val="bullet"/>
      <w:lvlText w:val=""/>
      <w:lvlJc w:val="left"/>
      <w:pPr>
        <w:ind w:left="1821" w:hanging="360"/>
      </w:pPr>
      <w:rPr>
        <w:rFonts w:ascii="Wingdings" w:hAnsi="Wingdings" w:hint="default"/>
      </w:rPr>
    </w:lvl>
    <w:lvl w:ilvl="3">
      <w:start w:val="1"/>
      <w:numFmt w:val="bullet"/>
      <w:lvlText w:val=""/>
      <w:lvlJc w:val="left"/>
      <w:pPr>
        <w:ind w:left="2541" w:hanging="360"/>
      </w:pPr>
      <w:rPr>
        <w:rFonts w:ascii="Symbol" w:hAnsi="Symbol" w:hint="default"/>
      </w:rPr>
    </w:lvl>
    <w:lvl w:ilvl="4">
      <w:start w:val="1"/>
      <w:numFmt w:val="bullet"/>
      <w:lvlText w:val="o"/>
      <w:lvlJc w:val="left"/>
      <w:pPr>
        <w:ind w:left="3261" w:hanging="360"/>
      </w:pPr>
      <w:rPr>
        <w:rFonts w:ascii="Courier New" w:hAnsi="Courier New" w:hint="default"/>
      </w:rPr>
    </w:lvl>
    <w:lvl w:ilvl="5">
      <w:start w:val="1"/>
      <w:numFmt w:val="bullet"/>
      <w:lvlText w:val=""/>
      <w:lvlJc w:val="left"/>
      <w:pPr>
        <w:ind w:left="3981" w:hanging="360"/>
      </w:pPr>
      <w:rPr>
        <w:rFonts w:ascii="Wingdings" w:hAnsi="Wingdings" w:hint="default"/>
      </w:rPr>
    </w:lvl>
    <w:lvl w:ilvl="6">
      <w:start w:val="1"/>
      <w:numFmt w:val="bullet"/>
      <w:lvlText w:val=""/>
      <w:lvlJc w:val="left"/>
      <w:pPr>
        <w:ind w:left="4701" w:hanging="360"/>
      </w:pPr>
      <w:rPr>
        <w:rFonts w:ascii="Symbol" w:hAnsi="Symbol" w:hint="default"/>
      </w:rPr>
    </w:lvl>
    <w:lvl w:ilvl="7">
      <w:start w:val="1"/>
      <w:numFmt w:val="bullet"/>
      <w:lvlText w:val="o"/>
      <w:lvlJc w:val="left"/>
      <w:pPr>
        <w:ind w:left="5421" w:hanging="360"/>
      </w:pPr>
      <w:rPr>
        <w:rFonts w:ascii="Courier New" w:hAnsi="Courier New" w:hint="default"/>
      </w:rPr>
    </w:lvl>
    <w:lvl w:ilvl="8">
      <w:start w:val="1"/>
      <w:numFmt w:val="bullet"/>
      <w:lvlText w:val=""/>
      <w:lvlJc w:val="left"/>
      <w:pPr>
        <w:ind w:left="6141" w:hanging="360"/>
      </w:pPr>
      <w:rPr>
        <w:rFonts w:ascii="Wingdings" w:hAnsi="Wingdings" w:hint="default"/>
      </w:rPr>
    </w:lvl>
  </w:abstractNum>
  <w:abstractNum w:abstractNumId="7" w15:restartNumberingAfterBreak="0">
    <w:nsid w:val="0AE10575"/>
    <w:multiLevelType w:val="hybridMultilevel"/>
    <w:tmpl w:val="212863E2"/>
    <w:lvl w:ilvl="0" w:tplc="6B4E2A04">
      <w:start w:val="1"/>
      <w:numFmt w:val="bullet"/>
      <w:lvlText w:val=""/>
      <w:lvlJc w:val="left"/>
      <w:pPr>
        <w:ind w:left="-758" w:hanging="341"/>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8" w15:restartNumberingAfterBreak="0">
    <w:nsid w:val="0F7F3069"/>
    <w:multiLevelType w:val="hybridMultilevel"/>
    <w:tmpl w:val="3B520404"/>
    <w:lvl w:ilvl="0" w:tplc="1F0C60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B00D4A"/>
    <w:multiLevelType w:val="hybridMultilevel"/>
    <w:tmpl w:val="26EE05EE"/>
    <w:lvl w:ilvl="0" w:tplc="0409000B">
      <w:start w:val="1"/>
      <w:numFmt w:val="bullet"/>
      <w:lvlText w:val=""/>
      <w:lvlJc w:val="left"/>
      <w:pPr>
        <w:ind w:left="701" w:hanging="360"/>
      </w:pPr>
      <w:rPr>
        <w:rFonts w:ascii="Wingdings" w:hAnsi="Wingdings" w:hint="default"/>
        <w:color w:val="auto"/>
      </w:rPr>
    </w:lvl>
    <w:lvl w:ilvl="1" w:tplc="04090003" w:tentative="1">
      <w:start w:val="1"/>
      <w:numFmt w:val="bullet"/>
      <w:lvlText w:val="o"/>
      <w:lvlJc w:val="left"/>
      <w:pPr>
        <w:ind w:left="1101" w:hanging="360"/>
      </w:pPr>
      <w:rPr>
        <w:rFonts w:ascii="Courier New" w:hAnsi="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0" w15:restartNumberingAfterBreak="0">
    <w:nsid w:val="10E72E15"/>
    <w:multiLevelType w:val="hybridMultilevel"/>
    <w:tmpl w:val="11E49654"/>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1" w15:restartNumberingAfterBreak="0">
    <w:nsid w:val="1A655CFD"/>
    <w:multiLevelType w:val="hybridMultilevel"/>
    <w:tmpl w:val="2D30010E"/>
    <w:lvl w:ilvl="0" w:tplc="6B4E2A04">
      <w:start w:val="1"/>
      <w:numFmt w:val="bullet"/>
      <w:lvlText w:val=""/>
      <w:lvlJc w:val="left"/>
      <w:pPr>
        <w:ind w:left="682" w:hanging="341"/>
      </w:pPr>
      <w:rPr>
        <w:rFonts w:ascii="Symbol" w:hAnsi="Symbol" w:hint="default"/>
      </w:rPr>
    </w:lvl>
    <w:lvl w:ilvl="1" w:tplc="04090003" w:tentative="1">
      <w:start w:val="1"/>
      <w:numFmt w:val="bullet"/>
      <w:lvlText w:val="o"/>
      <w:lvlJc w:val="left"/>
      <w:pPr>
        <w:ind w:left="1101" w:hanging="360"/>
      </w:pPr>
      <w:rPr>
        <w:rFonts w:ascii="Courier New" w:hAnsi="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2" w15:restartNumberingAfterBreak="0">
    <w:nsid w:val="1B333CE7"/>
    <w:multiLevelType w:val="hybridMultilevel"/>
    <w:tmpl w:val="3222B262"/>
    <w:lvl w:ilvl="0" w:tplc="6B4E2A04">
      <w:start w:val="1"/>
      <w:numFmt w:val="bullet"/>
      <w:lvlText w:val=""/>
      <w:lvlJc w:val="left"/>
      <w:pPr>
        <w:ind w:left="682" w:hanging="34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A6CA5"/>
    <w:multiLevelType w:val="hybridMultilevel"/>
    <w:tmpl w:val="7A2A0C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559" w:hanging="360"/>
      </w:pPr>
      <w:rPr>
        <w:rFonts w:ascii="Courier New" w:hAnsi="Courier New" w:hint="default"/>
      </w:rPr>
    </w:lvl>
    <w:lvl w:ilvl="2" w:tplc="04090005" w:tentative="1">
      <w:start w:val="1"/>
      <w:numFmt w:val="bullet"/>
      <w:lvlText w:val=""/>
      <w:lvlJc w:val="left"/>
      <w:pPr>
        <w:ind w:left="3279" w:hanging="360"/>
      </w:pPr>
      <w:rPr>
        <w:rFonts w:ascii="Wingdings" w:hAnsi="Wingdings" w:hint="default"/>
      </w:rPr>
    </w:lvl>
    <w:lvl w:ilvl="3" w:tplc="04090001" w:tentative="1">
      <w:start w:val="1"/>
      <w:numFmt w:val="bullet"/>
      <w:lvlText w:val=""/>
      <w:lvlJc w:val="left"/>
      <w:pPr>
        <w:ind w:left="3999" w:hanging="360"/>
      </w:pPr>
      <w:rPr>
        <w:rFonts w:ascii="Symbol" w:hAnsi="Symbol" w:hint="default"/>
      </w:rPr>
    </w:lvl>
    <w:lvl w:ilvl="4" w:tplc="04090003" w:tentative="1">
      <w:start w:val="1"/>
      <w:numFmt w:val="bullet"/>
      <w:lvlText w:val="o"/>
      <w:lvlJc w:val="left"/>
      <w:pPr>
        <w:ind w:left="4719" w:hanging="360"/>
      </w:pPr>
      <w:rPr>
        <w:rFonts w:ascii="Courier New" w:hAnsi="Courier New" w:hint="default"/>
      </w:rPr>
    </w:lvl>
    <w:lvl w:ilvl="5" w:tplc="04090005" w:tentative="1">
      <w:start w:val="1"/>
      <w:numFmt w:val="bullet"/>
      <w:lvlText w:val=""/>
      <w:lvlJc w:val="left"/>
      <w:pPr>
        <w:ind w:left="5439" w:hanging="360"/>
      </w:pPr>
      <w:rPr>
        <w:rFonts w:ascii="Wingdings" w:hAnsi="Wingdings" w:hint="default"/>
      </w:rPr>
    </w:lvl>
    <w:lvl w:ilvl="6" w:tplc="04090001" w:tentative="1">
      <w:start w:val="1"/>
      <w:numFmt w:val="bullet"/>
      <w:lvlText w:val=""/>
      <w:lvlJc w:val="left"/>
      <w:pPr>
        <w:ind w:left="6159" w:hanging="360"/>
      </w:pPr>
      <w:rPr>
        <w:rFonts w:ascii="Symbol" w:hAnsi="Symbol" w:hint="default"/>
      </w:rPr>
    </w:lvl>
    <w:lvl w:ilvl="7" w:tplc="04090003" w:tentative="1">
      <w:start w:val="1"/>
      <w:numFmt w:val="bullet"/>
      <w:lvlText w:val="o"/>
      <w:lvlJc w:val="left"/>
      <w:pPr>
        <w:ind w:left="6879" w:hanging="360"/>
      </w:pPr>
      <w:rPr>
        <w:rFonts w:ascii="Courier New" w:hAnsi="Courier New" w:hint="default"/>
      </w:rPr>
    </w:lvl>
    <w:lvl w:ilvl="8" w:tplc="04090005" w:tentative="1">
      <w:start w:val="1"/>
      <w:numFmt w:val="bullet"/>
      <w:lvlText w:val=""/>
      <w:lvlJc w:val="left"/>
      <w:pPr>
        <w:ind w:left="7599" w:hanging="360"/>
      </w:pPr>
      <w:rPr>
        <w:rFonts w:ascii="Wingdings" w:hAnsi="Wingdings" w:hint="default"/>
      </w:rPr>
    </w:lvl>
  </w:abstractNum>
  <w:abstractNum w:abstractNumId="14" w15:restartNumberingAfterBreak="0">
    <w:nsid w:val="21E450FB"/>
    <w:multiLevelType w:val="hybridMultilevel"/>
    <w:tmpl w:val="01241D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3978AF"/>
    <w:multiLevelType w:val="hybridMultilevel"/>
    <w:tmpl w:val="3DEAA66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159C5"/>
    <w:multiLevelType w:val="hybridMultilevel"/>
    <w:tmpl w:val="2F46E374"/>
    <w:lvl w:ilvl="0" w:tplc="EF9AA30E">
      <w:start w:val="1"/>
      <w:numFmt w:val="bullet"/>
      <w:lvlText w:val=""/>
      <w:lvlJc w:val="left"/>
      <w:pPr>
        <w:ind w:left="681" w:hanging="341"/>
      </w:pPr>
      <w:rPr>
        <w:rFonts w:ascii="Symbol" w:hAnsi="Symbol" w:hint="default"/>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7" w15:restartNumberingAfterBreak="0">
    <w:nsid w:val="302B2E88"/>
    <w:multiLevelType w:val="hybridMultilevel"/>
    <w:tmpl w:val="C7F0C760"/>
    <w:lvl w:ilvl="0" w:tplc="14B6EF80">
      <w:start w:val="1"/>
      <w:numFmt w:val="bullet"/>
      <w:lvlText w:val=""/>
      <w:lvlJc w:val="left"/>
      <w:pPr>
        <w:ind w:left="-208" w:hanging="76"/>
      </w:pPr>
      <w:rPr>
        <w:rFonts w:ascii="Symbol" w:hAnsi="Symbol" w:hint="default"/>
      </w:rPr>
    </w:lvl>
    <w:lvl w:ilvl="1" w:tplc="04090003" w:tentative="1">
      <w:start w:val="1"/>
      <w:numFmt w:val="bullet"/>
      <w:lvlText w:val="o"/>
      <w:lvlJc w:val="left"/>
      <w:pPr>
        <w:ind w:left="512" w:hanging="360"/>
      </w:pPr>
      <w:rPr>
        <w:rFonts w:ascii="Courier New" w:hAnsi="Courier New" w:hint="default"/>
      </w:rPr>
    </w:lvl>
    <w:lvl w:ilvl="2" w:tplc="04090005" w:tentative="1">
      <w:start w:val="1"/>
      <w:numFmt w:val="bullet"/>
      <w:lvlText w:val=""/>
      <w:lvlJc w:val="left"/>
      <w:pPr>
        <w:ind w:left="1232" w:hanging="360"/>
      </w:pPr>
      <w:rPr>
        <w:rFonts w:ascii="Wingdings" w:hAnsi="Wingdings" w:hint="default"/>
      </w:rPr>
    </w:lvl>
    <w:lvl w:ilvl="3" w:tplc="04090001" w:tentative="1">
      <w:start w:val="1"/>
      <w:numFmt w:val="bullet"/>
      <w:lvlText w:val=""/>
      <w:lvlJc w:val="left"/>
      <w:pPr>
        <w:ind w:left="1952" w:hanging="360"/>
      </w:pPr>
      <w:rPr>
        <w:rFonts w:ascii="Symbol" w:hAnsi="Symbol" w:hint="default"/>
      </w:rPr>
    </w:lvl>
    <w:lvl w:ilvl="4" w:tplc="04090003" w:tentative="1">
      <w:start w:val="1"/>
      <w:numFmt w:val="bullet"/>
      <w:lvlText w:val="o"/>
      <w:lvlJc w:val="left"/>
      <w:pPr>
        <w:ind w:left="2672" w:hanging="360"/>
      </w:pPr>
      <w:rPr>
        <w:rFonts w:ascii="Courier New" w:hAnsi="Courier New" w:hint="default"/>
      </w:rPr>
    </w:lvl>
    <w:lvl w:ilvl="5" w:tplc="04090005" w:tentative="1">
      <w:start w:val="1"/>
      <w:numFmt w:val="bullet"/>
      <w:lvlText w:val=""/>
      <w:lvlJc w:val="left"/>
      <w:pPr>
        <w:ind w:left="3392" w:hanging="360"/>
      </w:pPr>
      <w:rPr>
        <w:rFonts w:ascii="Wingdings" w:hAnsi="Wingdings" w:hint="default"/>
      </w:rPr>
    </w:lvl>
    <w:lvl w:ilvl="6" w:tplc="04090001" w:tentative="1">
      <w:start w:val="1"/>
      <w:numFmt w:val="bullet"/>
      <w:lvlText w:val=""/>
      <w:lvlJc w:val="left"/>
      <w:pPr>
        <w:ind w:left="4112" w:hanging="360"/>
      </w:pPr>
      <w:rPr>
        <w:rFonts w:ascii="Symbol" w:hAnsi="Symbol" w:hint="default"/>
      </w:rPr>
    </w:lvl>
    <w:lvl w:ilvl="7" w:tplc="04090003" w:tentative="1">
      <w:start w:val="1"/>
      <w:numFmt w:val="bullet"/>
      <w:lvlText w:val="o"/>
      <w:lvlJc w:val="left"/>
      <w:pPr>
        <w:ind w:left="4832" w:hanging="360"/>
      </w:pPr>
      <w:rPr>
        <w:rFonts w:ascii="Courier New" w:hAnsi="Courier New" w:hint="default"/>
      </w:rPr>
    </w:lvl>
    <w:lvl w:ilvl="8" w:tplc="04090005" w:tentative="1">
      <w:start w:val="1"/>
      <w:numFmt w:val="bullet"/>
      <w:lvlText w:val=""/>
      <w:lvlJc w:val="left"/>
      <w:pPr>
        <w:ind w:left="5552" w:hanging="360"/>
      </w:pPr>
      <w:rPr>
        <w:rFonts w:ascii="Wingdings" w:hAnsi="Wingdings" w:hint="default"/>
      </w:rPr>
    </w:lvl>
  </w:abstractNum>
  <w:abstractNum w:abstractNumId="18" w15:restartNumberingAfterBreak="0">
    <w:nsid w:val="36C3044A"/>
    <w:multiLevelType w:val="multilevel"/>
    <w:tmpl w:val="5162AC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6C6544"/>
    <w:multiLevelType w:val="hybridMultilevel"/>
    <w:tmpl w:val="73D42B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F603FE"/>
    <w:multiLevelType w:val="hybridMultilevel"/>
    <w:tmpl w:val="D02E2FAA"/>
    <w:lvl w:ilvl="0" w:tplc="B6F2FC08">
      <w:start w:val="1"/>
      <w:numFmt w:val="lowerRoman"/>
      <w:lvlText w:val="(%1)"/>
      <w:lvlJc w:val="left"/>
      <w:pPr>
        <w:ind w:left="794" w:hanging="4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251E17"/>
    <w:multiLevelType w:val="hybridMultilevel"/>
    <w:tmpl w:val="06E612B8"/>
    <w:lvl w:ilvl="0" w:tplc="EF9AA30E">
      <w:start w:val="1"/>
      <w:numFmt w:val="bullet"/>
      <w:lvlText w:val=""/>
      <w:lvlJc w:val="left"/>
      <w:pPr>
        <w:ind w:left="682" w:hanging="341"/>
      </w:pPr>
      <w:rPr>
        <w:rFonts w:ascii="Symbol" w:hAnsi="Symbol" w:hint="default"/>
      </w:rPr>
    </w:lvl>
    <w:lvl w:ilvl="1" w:tplc="04090003">
      <w:start w:val="1"/>
      <w:numFmt w:val="bullet"/>
      <w:lvlText w:val="o"/>
      <w:lvlJc w:val="left"/>
      <w:pPr>
        <w:ind w:left="1101" w:hanging="360"/>
      </w:pPr>
      <w:rPr>
        <w:rFonts w:ascii="Courier New" w:hAnsi="Courier New" w:hint="default"/>
      </w:rPr>
    </w:lvl>
    <w:lvl w:ilvl="2" w:tplc="04090005">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22" w15:restartNumberingAfterBreak="0">
    <w:nsid w:val="4AA677A3"/>
    <w:multiLevelType w:val="hybridMultilevel"/>
    <w:tmpl w:val="0D0E3F0C"/>
    <w:lvl w:ilvl="0" w:tplc="EF9AA30E">
      <w:start w:val="1"/>
      <w:numFmt w:val="bullet"/>
      <w:lvlText w:val=""/>
      <w:lvlJc w:val="left"/>
      <w:pPr>
        <w:ind w:left="682" w:hanging="341"/>
      </w:pPr>
      <w:rPr>
        <w:rFonts w:ascii="Symbol" w:hAnsi="Symbol" w:hint="default"/>
      </w:rPr>
    </w:lvl>
    <w:lvl w:ilvl="1" w:tplc="04090003" w:tentative="1">
      <w:start w:val="1"/>
      <w:numFmt w:val="bullet"/>
      <w:lvlText w:val="o"/>
      <w:lvlJc w:val="left"/>
      <w:pPr>
        <w:ind w:left="1101" w:hanging="360"/>
      </w:pPr>
      <w:rPr>
        <w:rFonts w:ascii="Courier New" w:hAnsi="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23" w15:restartNumberingAfterBreak="0">
    <w:nsid w:val="50FC1669"/>
    <w:multiLevelType w:val="hybridMultilevel"/>
    <w:tmpl w:val="F926AE2E"/>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5554C8"/>
    <w:multiLevelType w:val="hybridMultilevel"/>
    <w:tmpl w:val="CD18AF4A"/>
    <w:lvl w:ilvl="0" w:tplc="0C090001">
      <w:start w:val="1"/>
      <w:numFmt w:val="bullet"/>
      <w:lvlText w:val=""/>
      <w:lvlJc w:val="left"/>
      <w:pPr>
        <w:ind w:left="360" w:hanging="360"/>
      </w:pPr>
      <w:rPr>
        <w:rFonts w:ascii="Symbol" w:hAnsi="Symbol" w:hint="default"/>
      </w:rPr>
    </w:lvl>
    <w:lvl w:ilvl="1" w:tplc="85F472BE">
      <w:start w:val="1"/>
      <w:numFmt w:val="bullet"/>
      <w:lvlText w:val=""/>
      <w:lvlJc w:val="left"/>
      <w:pPr>
        <w:tabs>
          <w:tab w:val="num" w:pos="1004"/>
        </w:tabs>
        <w:ind w:left="1004" w:hanging="284"/>
      </w:pPr>
      <w:rPr>
        <w:rFonts w:ascii="Wingdings 3" w:hAnsi="Wingdings 3"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Mang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Mangal"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6F79A2"/>
    <w:multiLevelType w:val="hybridMultilevel"/>
    <w:tmpl w:val="25EE9E5A"/>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6" w15:restartNumberingAfterBreak="0">
    <w:nsid w:val="56611260"/>
    <w:multiLevelType w:val="multilevel"/>
    <w:tmpl w:val="EC6EE2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57608C"/>
    <w:multiLevelType w:val="multilevel"/>
    <w:tmpl w:val="3B0A4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A26467"/>
    <w:multiLevelType w:val="hybridMultilevel"/>
    <w:tmpl w:val="1950659A"/>
    <w:lvl w:ilvl="0" w:tplc="0C09000F">
      <w:start w:val="1"/>
      <w:numFmt w:val="decimal"/>
      <w:lvlText w:val="%1."/>
      <w:lvlJc w:val="left"/>
      <w:pPr>
        <w:ind w:left="2508" w:hanging="360"/>
      </w:pPr>
      <w:rPr>
        <w:rFonts w:hint="default"/>
      </w:rPr>
    </w:lvl>
    <w:lvl w:ilvl="1" w:tplc="04090019" w:tentative="1">
      <w:start w:val="1"/>
      <w:numFmt w:val="lowerLetter"/>
      <w:lvlText w:val="%2."/>
      <w:lvlJc w:val="left"/>
      <w:pPr>
        <w:ind w:left="3588" w:hanging="360"/>
      </w:pPr>
    </w:lvl>
    <w:lvl w:ilvl="2" w:tplc="0409001B" w:tentative="1">
      <w:start w:val="1"/>
      <w:numFmt w:val="lowerRoman"/>
      <w:lvlText w:val="%3."/>
      <w:lvlJc w:val="right"/>
      <w:pPr>
        <w:ind w:left="4308" w:hanging="180"/>
      </w:pPr>
    </w:lvl>
    <w:lvl w:ilvl="3" w:tplc="0409000F" w:tentative="1">
      <w:start w:val="1"/>
      <w:numFmt w:val="decimal"/>
      <w:lvlText w:val="%4."/>
      <w:lvlJc w:val="left"/>
      <w:pPr>
        <w:ind w:left="5028" w:hanging="360"/>
      </w:pPr>
    </w:lvl>
    <w:lvl w:ilvl="4" w:tplc="04090019" w:tentative="1">
      <w:start w:val="1"/>
      <w:numFmt w:val="lowerLetter"/>
      <w:lvlText w:val="%5."/>
      <w:lvlJc w:val="left"/>
      <w:pPr>
        <w:ind w:left="5748" w:hanging="360"/>
      </w:pPr>
    </w:lvl>
    <w:lvl w:ilvl="5" w:tplc="0409001B" w:tentative="1">
      <w:start w:val="1"/>
      <w:numFmt w:val="lowerRoman"/>
      <w:lvlText w:val="%6."/>
      <w:lvlJc w:val="right"/>
      <w:pPr>
        <w:ind w:left="6468" w:hanging="180"/>
      </w:pPr>
    </w:lvl>
    <w:lvl w:ilvl="6" w:tplc="0409000F" w:tentative="1">
      <w:start w:val="1"/>
      <w:numFmt w:val="decimal"/>
      <w:lvlText w:val="%7."/>
      <w:lvlJc w:val="left"/>
      <w:pPr>
        <w:ind w:left="7188" w:hanging="360"/>
      </w:pPr>
    </w:lvl>
    <w:lvl w:ilvl="7" w:tplc="04090019" w:tentative="1">
      <w:start w:val="1"/>
      <w:numFmt w:val="lowerLetter"/>
      <w:lvlText w:val="%8."/>
      <w:lvlJc w:val="left"/>
      <w:pPr>
        <w:ind w:left="7908" w:hanging="360"/>
      </w:pPr>
    </w:lvl>
    <w:lvl w:ilvl="8" w:tplc="0409001B" w:tentative="1">
      <w:start w:val="1"/>
      <w:numFmt w:val="lowerRoman"/>
      <w:lvlText w:val="%9."/>
      <w:lvlJc w:val="right"/>
      <w:pPr>
        <w:ind w:left="8628" w:hanging="180"/>
      </w:pPr>
    </w:lvl>
  </w:abstractNum>
  <w:abstractNum w:abstractNumId="29" w15:restartNumberingAfterBreak="0">
    <w:nsid w:val="5DBF2793"/>
    <w:multiLevelType w:val="hybridMultilevel"/>
    <w:tmpl w:val="D02E2FAA"/>
    <w:lvl w:ilvl="0" w:tplc="B6F2FC08">
      <w:start w:val="1"/>
      <w:numFmt w:val="lowerRoman"/>
      <w:lvlText w:val="(%1)"/>
      <w:lvlJc w:val="left"/>
      <w:pPr>
        <w:ind w:left="794" w:hanging="4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F0A65"/>
    <w:multiLevelType w:val="hybridMultilevel"/>
    <w:tmpl w:val="D6A4DE06"/>
    <w:lvl w:ilvl="0" w:tplc="6B4E2A04">
      <w:start w:val="1"/>
      <w:numFmt w:val="bullet"/>
      <w:lvlText w:val=""/>
      <w:lvlJc w:val="left"/>
      <w:pPr>
        <w:ind w:left="682" w:hanging="34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E78C0"/>
    <w:multiLevelType w:val="hybridMultilevel"/>
    <w:tmpl w:val="658035A2"/>
    <w:lvl w:ilvl="0" w:tplc="EF9AA30E">
      <w:start w:val="1"/>
      <w:numFmt w:val="bullet"/>
      <w:lvlText w:val=""/>
      <w:lvlJc w:val="left"/>
      <w:pPr>
        <w:ind w:left="682" w:hanging="341"/>
      </w:pPr>
      <w:rPr>
        <w:rFonts w:ascii="Symbol" w:hAnsi="Symbol" w:hint="default"/>
      </w:rPr>
    </w:lvl>
    <w:lvl w:ilvl="1" w:tplc="04090003" w:tentative="1">
      <w:start w:val="1"/>
      <w:numFmt w:val="bullet"/>
      <w:lvlText w:val="o"/>
      <w:lvlJc w:val="left"/>
      <w:pPr>
        <w:ind w:left="1101" w:hanging="360"/>
      </w:pPr>
      <w:rPr>
        <w:rFonts w:ascii="Courier New" w:hAnsi="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32" w15:restartNumberingAfterBreak="0">
    <w:nsid w:val="6C833960"/>
    <w:multiLevelType w:val="hybridMultilevel"/>
    <w:tmpl w:val="99666192"/>
    <w:lvl w:ilvl="0" w:tplc="12EA04A4">
      <w:start w:val="1"/>
      <w:numFmt w:val="bullet"/>
      <w:lvlText w:val=""/>
      <w:lvlJc w:val="left"/>
      <w:pPr>
        <w:ind w:left="682" w:hanging="341"/>
      </w:pPr>
      <w:rPr>
        <w:rFonts w:ascii="Symbol" w:hAnsi="Symbol" w:hint="default"/>
      </w:rPr>
    </w:lvl>
    <w:lvl w:ilvl="1" w:tplc="04090003" w:tentative="1">
      <w:start w:val="1"/>
      <w:numFmt w:val="bullet"/>
      <w:lvlText w:val="o"/>
      <w:lvlJc w:val="left"/>
      <w:pPr>
        <w:ind w:left="1101" w:hanging="360"/>
      </w:pPr>
      <w:rPr>
        <w:rFonts w:ascii="Courier New" w:hAnsi="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33" w15:restartNumberingAfterBreak="0">
    <w:nsid w:val="6FF27413"/>
    <w:multiLevelType w:val="hybridMultilevel"/>
    <w:tmpl w:val="A1908F4A"/>
    <w:lvl w:ilvl="0" w:tplc="EF9AA30E">
      <w:start w:val="1"/>
      <w:numFmt w:val="bullet"/>
      <w:lvlText w:val=""/>
      <w:lvlJc w:val="left"/>
      <w:pPr>
        <w:ind w:left="682" w:hanging="341"/>
      </w:pPr>
      <w:rPr>
        <w:rFonts w:ascii="Symbol" w:hAnsi="Symbol" w:hint="default"/>
      </w:rPr>
    </w:lvl>
    <w:lvl w:ilvl="1" w:tplc="04090003" w:tentative="1">
      <w:start w:val="1"/>
      <w:numFmt w:val="bullet"/>
      <w:lvlText w:val="o"/>
      <w:lvlJc w:val="left"/>
      <w:pPr>
        <w:ind w:left="1101" w:hanging="360"/>
      </w:pPr>
      <w:rPr>
        <w:rFonts w:ascii="Courier New" w:hAnsi="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34" w15:restartNumberingAfterBreak="0">
    <w:nsid w:val="708F7F79"/>
    <w:multiLevelType w:val="hybridMultilevel"/>
    <w:tmpl w:val="566CE090"/>
    <w:lvl w:ilvl="0" w:tplc="12EA04A4">
      <w:start w:val="1"/>
      <w:numFmt w:val="bullet"/>
      <w:lvlText w:val=""/>
      <w:lvlJc w:val="left"/>
      <w:pPr>
        <w:ind w:left="682" w:hanging="34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92889"/>
    <w:multiLevelType w:val="hybridMultilevel"/>
    <w:tmpl w:val="88F464FC"/>
    <w:lvl w:ilvl="0" w:tplc="0409000F">
      <w:start w:val="1"/>
      <w:numFmt w:val="decimal"/>
      <w:lvlText w:val="%1."/>
      <w:lvlJc w:val="left"/>
      <w:pPr>
        <w:ind w:left="1101" w:hanging="360"/>
      </w:p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6" w15:restartNumberingAfterBreak="0">
    <w:nsid w:val="7A5B4530"/>
    <w:multiLevelType w:val="hybridMultilevel"/>
    <w:tmpl w:val="1B2E2358"/>
    <w:lvl w:ilvl="0" w:tplc="EF9AA30E">
      <w:start w:val="1"/>
      <w:numFmt w:val="bullet"/>
      <w:lvlText w:val=""/>
      <w:lvlJc w:val="left"/>
      <w:pPr>
        <w:ind w:left="682" w:hanging="341"/>
      </w:pPr>
      <w:rPr>
        <w:rFonts w:ascii="Symbol" w:hAnsi="Symbol" w:hint="default"/>
      </w:rPr>
    </w:lvl>
    <w:lvl w:ilvl="1" w:tplc="04090003" w:tentative="1">
      <w:start w:val="1"/>
      <w:numFmt w:val="bullet"/>
      <w:lvlText w:val="o"/>
      <w:lvlJc w:val="left"/>
      <w:pPr>
        <w:ind w:left="1101" w:hanging="360"/>
      </w:pPr>
      <w:rPr>
        <w:rFonts w:ascii="Courier New" w:hAnsi="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37" w15:restartNumberingAfterBreak="0">
    <w:nsid w:val="7ACC3992"/>
    <w:multiLevelType w:val="hybridMultilevel"/>
    <w:tmpl w:val="8532667E"/>
    <w:lvl w:ilvl="0" w:tplc="6B4E2A04">
      <w:start w:val="1"/>
      <w:numFmt w:val="bullet"/>
      <w:lvlText w:val=""/>
      <w:lvlJc w:val="left"/>
      <w:pPr>
        <w:ind w:left="1402" w:hanging="341"/>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357C74"/>
    <w:multiLevelType w:val="hybridMultilevel"/>
    <w:tmpl w:val="F5FA3F46"/>
    <w:lvl w:ilvl="0" w:tplc="7B1C694C">
      <w:start w:val="1"/>
      <w:numFmt w:val="lowerLetter"/>
      <w:lvlText w:val="(%1)"/>
      <w:lvlJc w:val="left"/>
      <w:pPr>
        <w:ind w:left="360" w:hanging="360"/>
      </w:pPr>
      <w:rPr>
        <w:rFonts w:cstheme="majorHAns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E26936"/>
    <w:multiLevelType w:val="multilevel"/>
    <w:tmpl w:val="25EE9E5A"/>
    <w:lvl w:ilvl="0">
      <w:start w:val="1"/>
      <w:numFmt w:val="bullet"/>
      <w:lvlText w:val=""/>
      <w:lvlJc w:val="left"/>
      <w:pPr>
        <w:ind w:left="1460" w:hanging="360"/>
      </w:pPr>
      <w:rPr>
        <w:rFonts w:ascii="Wingdings" w:hAnsi="Wingdings" w:hint="default"/>
      </w:rPr>
    </w:lvl>
    <w:lvl w:ilvl="1">
      <w:start w:val="1"/>
      <w:numFmt w:val="bullet"/>
      <w:lvlText w:val="o"/>
      <w:lvlJc w:val="left"/>
      <w:pPr>
        <w:ind w:left="2180" w:hanging="360"/>
      </w:pPr>
      <w:rPr>
        <w:rFonts w:ascii="Courier New" w:hAnsi="Courier New" w:hint="default"/>
      </w:rPr>
    </w:lvl>
    <w:lvl w:ilvl="2">
      <w:start w:val="1"/>
      <w:numFmt w:val="bullet"/>
      <w:lvlText w:val=""/>
      <w:lvlJc w:val="left"/>
      <w:pPr>
        <w:ind w:left="2900" w:hanging="360"/>
      </w:pPr>
      <w:rPr>
        <w:rFonts w:ascii="Wingdings" w:hAnsi="Wingdings" w:hint="default"/>
      </w:rPr>
    </w:lvl>
    <w:lvl w:ilvl="3">
      <w:start w:val="1"/>
      <w:numFmt w:val="bullet"/>
      <w:lvlText w:val=""/>
      <w:lvlJc w:val="left"/>
      <w:pPr>
        <w:ind w:left="3620" w:hanging="360"/>
      </w:pPr>
      <w:rPr>
        <w:rFonts w:ascii="Symbol" w:hAnsi="Symbol" w:hint="default"/>
      </w:rPr>
    </w:lvl>
    <w:lvl w:ilvl="4">
      <w:start w:val="1"/>
      <w:numFmt w:val="bullet"/>
      <w:lvlText w:val="o"/>
      <w:lvlJc w:val="left"/>
      <w:pPr>
        <w:ind w:left="4340" w:hanging="360"/>
      </w:pPr>
      <w:rPr>
        <w:rFonts w:ascii="Courier New" w:hAnsi="Courier New" w:hint="default"/>
      </w:rPr>
    </w:lvl>
    <w:lvl w:ilvl="5">
      <w:start w:val="1"/>
      <w:numFmt w:val="bullet"/>
      <w:lvlText w:val=""/>
      <w:lvlJc w:val="left"/>
      <w:pPr>
        <w:ind w:left="5060" w:hanging="360"/>
      </w:pPr>
      <w:rPr>
        <w:rFonts w:ascii="Wingdings" w:hAnsi="Wingdings" w:hint="default"/>
      </w:rPr>
    </w:lvl>
    <w:lvl w:ilvl="6">
      <w:start w:val="1"/>
      <w:numFmt w:val="bullet"/>
      <w:lvlText w:val=""/>
      <w:lvlJc w:val="left"/>
      <w:pPr>
        <w:ind w:left="5780" w:hanging="360"/>
      </w:pPr>
      <w:rPr>
        <w:rFonts w:ascii="Symbol" w:hAnsi="Symbol" w:hint="default"/>
      </w:rPr>
    </w:lvl>
    <w:lvl w:ilvl="7">
      <w:start w:val="1"/>
      <w:numFmt w:val="bullet"/>
      <w:lvlText w:val="o"/>
      <w:lvlJc w:val="left"/>
      <w:pPr>
        <w:ind w:left="6500" w:hanging="360"/>
      </w:pPr>
      <w:rPr>
        <w:rFonts w:ascii="Courier New" w:hAnsi="Courier New" w:hint="default"/>
      </w:rPr>
    </w:lvl>
    <w:lvl w:ilvl="8">
      <w:start w:val="1"/>
      <w:numFmt w:val="bullet"/>
      <w:lvlText w:val=""/>
      <w:lvlJc w:val="left"/>
      <w:pPr>
        <w:ind w:left="7220" w:hanging="360"/>
      </w:pPr>
      <w:rPr>
        <w:rFonts w:ascii="Wingdings" w:hAnsi="Wingdings" w:hint="default"/>
      </w:rPr>
    </w:lvl>
  </w:abstractNum>
  <w:num w:numId="1">
    <w:abstractNumId w:val="24"/>
  </w:num>
  <w:num w:numId="2">
    <w:abstractNumId w:val="2"/>
  </w:num>
  <w:num w:numId="3">
    <w:abstractNumId w:val="15"/>
  </w:num>
  <w:num w:numId="4">
    <w:abstractNumId w:val="21"/>
  </w:num>
  <w:num w:numId="5">
    <w:abstractNumId w:val="22"/>
  </w:num>
  <w:num w:numId="6">
    <w:abstractNumId w:val="16"/>
  </w:num>
  <w:num w:numId="7">
    <w:abstractNumId w:val="33"/>
  </w:num>
  <w:num w:numId="8">
    <w:abstractNumId w:val="31"/>
  </w:num>
  <w:num w:numId="9">
    <w:abstractNumId w:val="36"/>
  </w:num>
  <w:num w:numId="10">
    <w:abstractNumId w:val="32"/>
  </w:num>
  <w:num w:numId="11">
    <w:abstractNumId w:val="34"/>
  </w:num>
  <w:num w:numId="12">
    <w:abstractNumId w:val="28"/>
  </w:num>
  <w:num w:numId="13">
    <w:abstractNumId w:val="11"/>
  </w:num>
  <w:num w:numId="14">
    <w:abstractNumId w:val="7"/>
  </w:num>
  <w:num w:numId="15">
    <w:abstractNumId w:val="38"/>
  </w:num>
  <w:num w:numId="16">
    <w:abstractNumId w:val="29"/>
  </w:num>
  <w:num w:numId="17">
    <w:abstractNumId w:val="30"/>
  </w:num>
  <w:num w:numId="18">
    <w:abstractNumId w:val="5"/>
  </w:num>
  <w:num w:numId="19">
    <w:abstractNumId w:val="12"/>
  </w:num>
  <w:num w:numId="20">
    <w:abstractNumId w:val="37"/>
  </w:num>
  <w:num w:numId="21">
    <w:abstractNumId w:val="23"/>
  </w:num>
  <w:num w:numId="22">
    <w:abstractNumId w:val="20"/>
  </w:num>
  <w:num w:numId="23">
    <w:abstractNumId w:val="10"/>
  </w:num>
  <w:num w:numId="24">
    <w:abstractNumId w:val="0"/>
  </w:num>
  <w:num w:numId="25">
    <w:abstractNumId w:val="9"/>
  </w:num>
  <w:num w:numId="26">
    <w:abstractNumId w:val="13"/>
  </w:num>
  <w:num w:numId="27">
    <w:abstractNumId w:val="14"/>
  </w:num>
  <w:num w:numId="28">
    <w:abstractNumId w:val="1"/>
  </w:num>
  <w:num w:numId="29">
    <w:abstractNumId w:val="19"/>
  </w:num>
  <w:num w:numId="30">
    <w:abstractNumId w:val="8"/>
  </w:num>
  <w:num w:numId="31">
    <w:abstractNumId w:val="35"/>
  </w:num>
  <w:num w:numId="32">
    <w:abstractNumId w:val="6"/>
  </w:num>
  <w:num w:numId="33">
    <w:abstractNumId w:val="18"/>
  </w:num>
  <w:num w:numId="34">
    <w:abstractNumId w:val="27"/>
  </w:num>
  <w:num w:numId="35">
    <w:abstractNumId w:val="25"/>
  </w:num>
  <w:num w:numId="36">
    <w:abstractNumId w:val="39"/>
  </w:num>
  <w:num w:numId="37">
    <w:abstractNumId w:val="3"/>
  </w:num>
  <w:num w:numId="38">
    <w:abstractNumId w:val="26"/>
  </w:num>
  <w:num w:numId="39">
    <w:abstractNumId w:val="17"/>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U0NLY0MDGysDAxMTRR0lEKTi0uzszPAykwrAUAKX7fBywAAAA="/>
  </w:docVars>
  <w:rsids>
    <w:rsidRoot w:val="0031768E"/>
    <w:rsid w:val="000001CA"/>
    <w:rsid w:val="00000D54"/>
    <w:rsid w:val="000019B3"/>
    <w:rsid w:val="00003BEA"/>
    <w:rsid w:val="00004661"/>
    <w:rsid w:val="00005BD8"/>
    <w:rsid w:val="00007149"/>
    <w:rsid w:val="00011E39"/>
    <w:rsid w:val="00013519"/>
    <w:rsid w:val="000135D5"/>
    <w:rsid w:val="00013E62"/>
    <w:rsid w:val="0001428E"/>
    <w:rsid w:val="0001473C"/>
    <w:rsid w:val="0001754C"/>
    <w:rsid w:val="00021C9D"/>
    <w:rsid w:val="000233EB"/>
    <w:rsid w:val="00024909"/>
    <w:rsid w:val="00025FC0"/>
    <w:rsid w:val="00026211"/>
    <w:rsid w:val="0003430E"/>
    <w:rsid w:val="000348DA"/>
    <w:rsid w:val="00034B7D"/>
    <w:rsid w:val="000357F9"/>
    <w:rsid w:val="000405C3"/>
    <w:rsid w:val="0004078D"/>
    <w:rsid w:val="00042ED5"/>
    <w:rsid w:val="0004308B"/>
    <w:rsid w:val="00043730"/>
    <w:rsid w:val="0004403E"/>
    <w:rsid w:val="00044647"/>
    <w:rsid w:val="00044ADE"/>
    <w:rsid w:val="00045651"/>
    <w:rsid w:val="0004716A"/>
    <w:rsid w:val="00051C77"/>
    <w:rsid w:val="00052809"/>
    <w:rsid w:val="00052DFD"/>
    <w:rsid w:val="00055378"/>
    <w:rsid w:val="00057705"/>
    <w:rsid w:val="000602CE"/>
    <w:rsid w:val="00060CC6"/>
    <w:rsid w:val="0006214C"/>
    <w:rsid w:val="0006437B"/>
    <w:rsid w:val="000663B2"/>
    <w:rsid w:val="000706D9"/>
    <w:rsid w:val="000709BA"/>
    <w:rsid w:val="00071E87"/>
    <w:rsid w:val="00072220"/>
    <w:rsid w:val="000727DB"/>
    <w:rsid w:val="00073AA6"/>
    <w:rsid w:val="00073CC7"/>
    <w:rsid w:val="000803B7"/>
    <w:rsid w:val="00080409"/>
    <w:rsid w:val="00080458"/>
    <w:rsid w:val="000817F0"/>
    <w:rsid w:val="000838D3"/>
    <w:rsid w:val="00084AC7"/>
    <w:rsid w:val="00084AEA"/>
    <w:rsid w:val="00084B47"/>
    <w:rsid w:val="00085BBE"/>
    <w:rsid w:val="00085DA8"/>
    <w:rsid w:val="000865D5"/>
    <w:rsid w:val="000869F5"/>
    <w:rsid w:val="00086D1F"/>
    <w:rsid w:val="00090F32"/>
    <w:rsid w:val="000914BA"/>
    <w:rsid w:val="00091AC7"/>
    <w:rsid w:val="00094103"/>
    <w:rsid w:val="0009496F"/>
    <w:rsid w:val="000956F4"/>
    <w:rsid w:val="00095BBA"/>
    <w:rsid w:val="00096F35"/>
    <w:rsid w:val="000A20AB"/>
    <w:rsid w:val="000A32F3"/>
    <w:rsid w:val="000A3416"/>
    <w:rsid w:val="000A4938"/>
    <w:rsid w:val="000A5061"/>
    <w:rsid w:val="000A56CD"/>
    <w:rsid w:val="000A618B"/>
    <w:rsid w:val="000A7FA4"/>
    <w:rsid w:val="000B02C7"/>
    <w:rsid w:val="000B6D77"/>
    <w:rsid w:val="000B701F"/>
    <w:rsid w:val="000B7B5F"/>
    <w:rsid w:val="000C1C0A"/>
    <w:rsid w:val="000C2827"/>
    <w:rsid w:val="000C2B43"/>
    <w:rsid w:val="000C2C03"/>
    <w:rsid w:val="000C3943"/>
    <w:rsid w:val="000C4033"/>
    <w:rsid w:val="000C6973"/>
    <w:rsid w:val="000C6974"/>
    <w:rsid w:val="000C7534"/>
    <w:rsid w:val="000C78E0"/>
    <w:rsid w:val="000C7DF8"/>
    <w:rsid w:val="000D09DA"/>
    <w:rsid w:val="000D259B"/>
    <w:rsid w:val="000D2840"/>
    <w:rsid w:val="000D3751"/>
    <w:rsid w:val="000D390B"/>
    <w:rsid w:val="000D394F"/>
    <w:rsid w:val="000D3AA6"/>
    <w:rsid w:val="000D5554"/>
    <w:rsid w:val="000D64A9"/>
    <w:rsid w:val="000D65DF"/>
    <w:rsid w:val="000D6D27"/>
    <w:rsid w:val="000D7C89"/>
    <w:rsid w:val="000D7D67"/>
    <w:rsid w:val="000E21EB"/>
    <w:rsid w:val="000E2F03"/>
    <w:rsid w:val="000F04C3"/>
    <w:rsid w:val="000F45B5"/>
    <w:rsid w:val="000F483A"/>
    <w:rsid w:val="000F61E5"/>
    <w:rsid w:val="000F64ED"/>
    <w:rsid w:val="000F67C8"/>
    <w:rsid w:val="000F6C24"/>
    <w:rsid w:val="000F6C78"/>
    <w:rsid w:val="000F7470"/>
    <w:rsid w:val="000F759A"/>
    <w:rsid w:val="001059DA"/>
    <w:rsid w:val="00105EDA"/>
    <w:rsid w:val="0010624C"/>
    <w:rsid w:val="00106E2A"/>
    <w:rsid w:val="001075E1"/>
    <w:rsid w:val="00112966"/>
    <w:rsid w:val="00113804"/>
    <w:rsid w:val="00114832"/>
    <w:rsid w:val="0011705F"/>
    <w:rsid w:val="00117A5B"/>
    <w:rsid w:val="00120762"/>
    <w:rsid w:val="001208F8"/>
    <w:rsid w:val="001209F6"/>
    <w:rsid w:val="00120F27"/>
    <w:rsid w:val="00121362"/>
    <w:rsid w:val="00122B22"/>
    <w:rsid w:val="0012302D"/>
    <w:rsid w:val="00123143"/>
    <w:rsid w:val="0012413B"/>
    <w:rsid w:val="00124181"/>
    <w:rsid w:val="00125AED"/>
    <w:rsid w:val="001272C7"/>
    <w:rsid w:val="001317D0"/>
    <w:rsid w:val="00132528"/>
    <w:rsid w:val="00132D7F"/>
    <w:rsid w:val="0013465A"/>
    <w:rsid w:val="00135B11"/>
    <w:rsid w:val="00136F22"/>
    <w:rsid w:val="00137255"/>
    <w:rsid w:val="00137855"/>
    <w:rsid w:val="001419E1"/>
    <w:rsid w:val="00142C09"/>
    <w:rsid w:val="0014421C"/>
    <w:rsid w:val="001456D2"/>
    <w:rsid w:val="00145FC2"/>
    <w:rsid w:val="00146667"/>
    <w:rsid w:val="0014681F"/>
    <w:rsid w:val="00147913"/>
    <w:rsid w:val="00150BCD"/>
    <w:rsid w:val="0015115F"/>
    <w:rsid w:val="00151BF4"/>
    <w:rsid w:val="00152FB7"/>
    <w:rsid w:val="0015730E"/>
    <w:rsid w:val="00163BCB"/>
    <w:rsid w:val="0016487F"/>
    <w:rsid w:val="00165A5E"/>
    <w:rsid w:val="00165B6E"/>
    <w:rsid w:val="00165EE4"/>
    <w:rsid w:val="00165F55"/>
    <w:rsid w:val="00170A73"/>
    <w:rsid w:val="00172C71"/>
    <w:rsid w:val="00174DE1"/>
    <w:rsid w:val="0017620F"/>
    <w:rsid w:val="001764E5"/>
    <w:rsid w:val="001773B2"/>
    <w:rsid w:val="00180AF6"/>
    <w:rsid w:val="0018292D"/>
    <w:rsid w:val="001829D3"/>
    <w:rsid w:val="00184984"/>
    <w:rsid w:val="00190E0E"/>
    <w:rsid w:val="00191F00"/>
    <w:rsid w:val="00192B2C"/>
    <w:rsid w:val="00192E6B"/>
    <w:rsid w:val="00192FD3"/>
    <w:rsid w:val="00193C36"/>
    <w:rsid w:val="00193F22"/>
    <w:rsid w:val="00194CAC"/>
    <w:rsid w:val="00196139"/>
    <w:rsid w:val="00196165"/>
    <w:rsid w:val="00196273"/>
    <w:rsid w:val="001A0E2B"/>
    <w:rsid w:val="001A150B"/>
    <w:rsid w:val="001A1534"/>
    <w:rsid w:val="001A1A4F"/>
    <w:rsid w:val="001A1EE8"/>
    <w:rsid w:val="001A49B8"/>
    <w:rsid w:val="001A4C27"/>
    <w:rsid w:val="001A7941"/>
    <w:rsid w:val="001B1775"/>
    <w:rsid w:val="001B1B2E"/>
    <w:rsid w:val="001B1F06"/>
    <w:rsid w:val="001B21FF"/>
    <w:rsid w:val="001B2A1C"/>
    <w:rsid w:val="001B32D0"/>
    <w:rsid w:val="001B5010"/>
    <w:rsid w:val="001B5EEF"/>
    <w:rsid w:val="001B610A"/>
    <w:rsid w:val="001B6667"/>
    <w:rsid w:val="001B7B37"/>
    <w:rsid w:val="001C07A4"/>
    <w:rsid w:val="001C15FA"/>
    <w:rsid w:val="001C1BDD"/>
    <w:rsid w:val="001C1CCE"/>
    <w:rsid w:val="001C4135"/>
    <w:rsid w:val="001C44BB"/>
    <w:rsid w:val="001C4500"/>
    <w:rsid w:val="001C5FF2"/>
    <w:rsid w:val="001C6079"/>
    <w:rsid w:val="001C7559"/>
    <w:rsid w:val="001D0AAB"/>
    <w:rsid w:val="001D1CAD"/>
    <w:rsid w:val="001D2C97"/>
    <w:rsid w:val="001D4A9F"/>
    <w:rsid w:val="001D5B09"/>
    <w:rsid w:val="001D5EC8"/>
    <w:rsid w:val="001D6EF9"/>
    <w:rsid w:val="001D7D8B"/>
    <w:rsid w:val="001E0295"/>
    <w:rsid w:val="001E2749"/>
    <w:rsid w:val="001E2930"/>
    <w:rsid w:val="001E49D3"/>
    <w:rsid w:val="001E4ACC"/>
    <w:rsid w:val="001E64D4"/>
    <w:rsid w:val="001E6987"/>
    <w:rsid w:val="001E6E79"/>
    <w:rsid w:val="001E7023"/>
    <w:rsid w:val="001E734D"/>
    <w:rsid w:val="001E7701"/>
    <w:rsid w:val="001E79DF"/>
    <w:rsid w:val="001F159E"/>
    <w:rsid w:val="001F2753"/>
    <w:rsid w:val="001F3BF6"/>
    <w:rsid w:val="001F486D"/>
    <w:rsid w:val="001F561E"/>
    <w:rsid w:val="00200DC7"/>
    <w:rsid w:val="0020229B"/>
    <w:rsid w:val="00202308"/>
    <w:rsid w:val="00203826"/>
    <w:rsid w:val="00203E9D"/>
    <w:rsid w:val="00205A1E"/>
    <w:rsid w:val="0021089C"/>
    <w:rsid w:val="002146F2"/>
    <w:rsid w:val="002173E1"/>
    <w:rsid w:val="002205FD"/>
    <w:rsid w:val="00220627"/>
    <w:rsid w:val="00221628"/>
    <w:rsid w:val="00221DC1"/>
    <w:rsid w:val="00222322"/>
    <w:rsid w:val="002224C8"/>
    <w:rsid w:val="00222AAD"/>
    <w:rsid w:val="00222EC8"/>
    <w:rsid w:val="00224078"/>
    <w:rsid w:val="00224273"/>
    <w:rsid w:val="0022429D"/>
    <w:rsid w:val="00224B09"/>
    <w:rsid w:val="00225D84"/>
    <w:rsid w:val="0022629A"/>
    <w:rsid w:val="00227B8F"/>
    <w:rsid w:val="002310AE"/>
    <w:rsid w:val="0023275F"/>
    <w:rsid w:val="00234437"/>
    <w:rsid w:val="00234C6D"/>
    <w:rsid w:val="002356B0"/>
    <w:rsid w:val="00235C2C"/>
    <w:rsid w:val="00237580"/>
    <w:rsid w:val="00237932"/>
    <w:rsid w:val="002417DA"/>
    <w:rsid w:val="00243341"/>
    <w:rsid w:val="002441C7"/>
    <w:rsid w:val="00244CB7"/>
    <w:rsid w:val="00244CCF"/>
    <w:rsid w:val="0025072E"/>
    <w:rsid w:val="00250B0E"/>
    <w:rsid w:val="0025202A"/>
    <w:rsid w:val="002524D7"/>
    <w:rsid w:val="002536FA"/>
    <w:rsid w:val="00255958"/>
    <w:rsid w:val="00255BA5"/>
    <w:rsid w:val="00256B84"/>
    <w:rsid w:val="002579B6"/>
    <w:rsid w:val="00257B7D"/>
    <w:rsid w:val="00262246"/>
    <w:rsid w:val="00263D18"/>
    <w:rsid w:val="0026499F"/>
    <w:rsid w:val="00264F5B"/>
    <w:rsid w:val="002650E5"/>
    <w:rsid w:val="00265EA4"/>
    <w:rsid w:val="00266E8D"/>
    <w:rsid w:val="00267832"/>
    <w:rsid w:val="00267B79"/>
    <w:rsid w:val="00270815"/>
    <w:rsid w:val="00270F90"/>
    <w:rsid w:val="002717F9"/>
    <w:rsid w:val="0027220E"/>
    <w:rsid w:val="00272789"/>
    <w:rsid w:val="002748D3"/>
    <w:rsid w:val="0027560E"/>
    <w:rsid w:val="00275689"/>
    <w:rsid w:val="00276499"/>
    <w:rsid w:val="00280E0C"/>
    <w:rsid w:val="00280EFF"/>
    <w:rsid w:val="00281140"/>
    <w:rsid w:val="00281BEC"/>
    <w:rsid w:val="002820D7"/>
    <w:rsid w:val="00282B60"/>
    <w:rsid w:val="002830C9"/>
    <w:rsid w:val="002833DA"/>
    <w:rsid w:val="00283838"/>
    <w:rsid w:val="00284530"/>
    <w:rsid w:val="002852B5"/>
    <w:rsid w:val="00286892"/>
    <w:rsid w:val="00286980"/>
    <w:rsid w:val="00287166"/>
    <w:rsid w:val="00290BC7"/>
    <w:rsid w:val="00290EAD"/>
    <w:rsid w:val="00291051"/>
    <w:rsid w:val="0029141C"/>
    <w:rsid w:val="00291491"/>
    <w:rsid w:val="002914E9"/>
    <w:rsid w:val="0029365A"/>
    <w:rsid w:val="002939D9"/>
    <w:rsid w:val="002943B4"/>
    <w:rsid w:val="0029453A"/>
    <w:rsid w:val="0029590C"/>
    <w:rsid w:val="0029677C"/>
    <w:rsid w:val="0029752E"/>
    <w:rsid w:val="002976B2"/>
    <w:rsid w:val="002977AC"/>
    <w:rsid w:val="002A1A26"/>
    <w:rsid w:val="002A2C19"/>
    <w:rsid w:val="002A3CAF"/>
    <w:rsid w:val="002A4F7E"/>
    <w:rsid w:val="002A59FC"/>
    <w:rsid w:val="002A5BD3"/>
    <w:rsid w:val="002A660C"/>
    <w:rsid w:val="002B07A5"/>
    <w:rsid w:val="002B0FB6"/>
    <w:rsid w:val="002B1481"/>
    <w:rsid w:val="002B26E7"/>
    <w:rsid w:val="002B32C7"/>
    <w:rsid w:val="002B38DB"/>
    <w:rsid w:val="002B4338"/>
    <w:rsid w:val="002B4B2A"/>
    <w:rsid w:val="002B5196"/>
    <w:rsid w:val="002B65A1"/>
    <w:rsid w:val="002B77CF"/>
    <w:rsid w:val="002C09BC"/>
    <w:rsid w:val="002C1497"/>
    <w:rsid w:val="002C2C23"/>
    <w:rsid w:val="002C4372"/>
    <w:rsid w:val="002C5E9C"/>
    <w:rsid w:val="002C6922"/>
    <w:rsid w:val="002D021D"/>
    <w:rsid w:val="002D2C51"/>
    <w:rsid w:val="002D3A1B"/>
    <w:rsid w:val="002D4BB4"/>
    <w:rsid w:val="002D6352"/>
    <w:rsid w:val="002D7C6C"/>
    <w:rsid w:val="002E0313"/>
    <w:rsid w:val="002E0D69"/>
    <w:rsid w:val="002E0FC3"/>
    <w:rsid w:val="002E2B17"/>
    <w:rsid w:val="002E353C"/>
    <w:rsid w:val="002E365B"/>
    <w:rsid w:val="002E46E4"/>
    <w:rsid w:val="002E4B16"/>
    <w:rsid w:val="002E66EA"/>
    <w:rsid w:val="002E686A"/>
    <w:rsid w:val="002E7C63"/>
    <w:rsid w:val="002F09E6"/>
    <w:rsid w:val="002F17DD"/>
    <w:rsid w:val="002F1BCB"/>
    <w:rsid w:val="002F1E55"/>
    <w:rsid w:val="002F25E7"/>
    <w:rsid w:val="002F300A"/>
    <w:rsid w:val="002F4905"/>
    <w:rsid w:val="002F4C03"/>
    <w:rsid w:val="002F4F2B"/>
    <w:rsid w:val="002F6524"/>
    <w:rsid w:val="002F664D"/>
    <w:rsid w:val="002F6C90"/>
    <w:rsid w:val="00300343"/>
    <w:rsid w:val="003010D1"/>
    <w:rsid w:val="00301140"/>
    <w:rsid w:val="003059CD"/>
    <w:rsid w:val="003060DF"/>
    <w:rsid w:val="003075AD"/>
    <w:rsid w:val="00307D2E"/>
    <w:rsid w:val="00310AE2"/>
    <w:rsid w:val="00310F05"/>
    <w:rsid w:val="00311148"/>
    <w:rsid w:val="00311FD8"/>
    <w:rsid w:val="00312360"/>
    <w:rsid w:val="00312840"/>
    <w:rsid w:val="00312D0E"/>
    <w:rsid w:val="00312F9E"/>
    <w:rsid w:val="0031386E"/>
    <w:rsid w:val="00313E7B"/>
    <w:rsid w:val="00314A8C"/>
    <w:rsid w:val="003153A4"/>
    <w:rsid w:val="003156C9"/>
    <w:rsid w:val="00315E01"/>
    <w:rsid w:val="003167B0"/>
    <w:rsid w:val="003168FD"/>
    <w:rsid w:val="0031768E"/>
    <w:rsid w:val="00317B16"/>
    <w:rsid w:val="00317C0E"/>
    <w:rsid w:val="00317DDC"/>
    <w:rsid w:val="00320498"/>
    <w:rsid w:val="0032138A"/>
    <w:rsid w:val="00322D71"/>
    <w:rsid w:val="003231D6"/>
    <w:rsid w:val="0032333D"/>
    <w:rsid w:val="00326217"/>
    <w:rsid w:val="0032762F"/>
    <w:rsid w:val="00331DB4"/>
    <w:rsid w:val="00333F48"/>
    <w:rsid w:val="00333F9D"/>
    <w:rsid w:val="00336385"/>
    <w:rsid w:val="00337760"/>
    <w:rsid w:val="00340051"/>
    <w:rsid w:val="0034057B"/>
    <w:rsid w:val="00340E56"/>
    <w:rsid w:val="003419FD"/>
    <w:rsid w:val="003425BA"/>
    <w:rsid w:val="0034372B"/>
    <w:rsid w:val="00344D47"/>
    <w:rsid w:val="0034571D"/>
    <w:rsid w:val="00351F7A"/>
    <w:rsid w:val="00352094"/>
    <w:rsid w:val="00355115"/>
    <w:rsid w:val="00355167"/>
    <w:rsid w:val="0036272C"/>
    <w:rsid w:val="00362E94"/>
    <w:rsid w:val="00363F58"/>
    <w:rsid w:val="00363FFE"/>
    <w:rsid w:val="00364A91"/>
    <w:rsid w:val="003702C7"/>
    <w:rsid w:val="00370A33"/>
    <w:rsid w:val="00370BFE"/>
    <w:rsid w:val="003713B3"/>
    <w:rsid w:val="00371654"/>
    <w:rsid w:val="00371AB4"/>
    <w:rsid w:val="0037270E"/>
    <w:rsid w:val="00375B49"/>
    <w:rsid w:val="0037653C"/>
    <w:rsid w:val="00377C28"/>
    <w:rsid w:val="00380A12"/>
    <w:rsid w:val="00381AFD"/>
    <w:rsid w:val="003829B4"/>
    <w:rsid w:val="00383FD7"/>
    <w:rsid w:val="0038545B"/>
    <w:rsid w:val="003855BA"/>
    <w:rsid w:val="003857A9"/>
    <w:rsid w:val="0038690B"/>
    <w:rsid w:val="00386BAB"/>
    <w:rsid w:val="00386E86"/>
    <w:rsid w:val="00391E90"/>
    <w:rsid w:val="0039365F"/>
    <w:rsid w:val="00393D82"/>
    <w:rsid w:val="003957E6"/>
    <w:rsid w:val="00397C08"/>
    <w:rsid w:val="003A004F"/>
    <w:rsid w:val="003A0635"/>
    <w:rsid w:val="003A0963"/>
    <w:rsid w:val="003A2633"/>
    <w:rsid w:val="003A3754"/>
    <w:rsid w:val="003A45A2"/>
    <w:rsid w:val="003A46BE"/>
    <w:rsid w:val="003A475A"/>
    <w:rsid w:val="003A51FF"/>
    <w:rsid w:val="003A6DD9"/>
    <w:rsid w:val="003A6EF0"/>
    <w:rsid w:val="003A7364"/>
    <w:rsid w:val="003A7BCF"/>
    <w:rsid w:val="003A7EBE"/>
    <w:rsid w:val="003B03E2"/>
    <w:rsid w:val="003B0956"/>
    <w:rsid w:val="003B1028"/>
    <w:rsid w:val="003B259E"/>
    <w:rsid w:val="003B2656"/>
    <w:rsid w:val="003B2F4D"/>
    <w:rsid w:val="003B318E"/>
    <w:rsid w:val="003B57D4"/>
    <w:rsid w:val="003B5D26"/>
    <w:rsid w:val="003B68EA"/>
    <w:rsid w:val="003B6A72"/>
    <w:rsid w:val="003B72DD"/>
    <w:rsid w:val="003B76C2"/>
    <w:rsid w:val="003B7C14"/>
    <w:rsid w:val="003C0BA3"/>
    <w:rsid w:val="003C0E68"/>
    <w:rsid w:val="003C3C30"/>
    <w:rsid w:val="003C76D4"/>
    <w:rsid w:val="003C7B41"/>
    <w:rsid w:val="003D1033"/>
    <w:rsid w:val="003D16EE"/>
    <w:rsid w:val="003D24B1"/>
    <w:rsid w:val="003D2654"/>
    <w:rsid w:val="003D2931"/>
    <w:rsid w:val="003D3647"/>
    <w:rsid w:val="003D4509"/>
    <w:rsid w:val="003D6269"/>
    <w:rsid w:val="003D7445"/>
    <w:rsid w:val="003D7B22"/>
    <w:rsid w:val="003E0217"/>
    <w:rsid w:val="003E23C8"/>
    <w:rsid w:val="003E2B13"/>
    <w:rsid w:val="003E3D47"/>
    <w:rsid w:val="003E40AB"/>
    <w:rsid w:val="003E6111"/>
    <w:rsid w:val="003E64FA"/>
    <w:rsid w:val="003E7916"/>
    <w:rsid w:val="003F0C87"/>
    <w:rsid w:val="003F1157"/>
    <w:rsid w:val="003F2EC1"/>
    <w:rsid w:val="003F5728"/>
    <w:rsid w:val="003F5CED"/>
    <w:rsid w:val="003F6F08"/>
    <w:rsid w:val="003F7925"/>
    <w:rsid w:val="0040228A"/>
    <w:rsid w:val="004042C0"/>
    <w:rsid w:val="0040789C"/>
    <w:rsid w:val="00407A6A"/>
    <w:rsid w:val="0041025F"/>
    <w:rsid w:val="00410A63"/>
    <w:rsid w:val="00410FA7"/>
    <w:rsid w:val="00411D64"/>
    <w:rsid w:val="004129FB"/>
    <w:rsid w:val="004131E7"/>
    <w:rsid w:val="004133CD"/>
    <w:rsid w:val="00413A9D"/>
    <w:rsid w:val="0041429E"/>
    <w:rsid w:val="00414F72"/>
    <w:rsid w:val="00415BB9"/>
    <w:rsid w:val="00415EEF"/>
    <w:rsid w:val="004205CF"/>
    <w:rsid w:val="004224D9"/>
    <w:rsid w:val="00424135"/>
    <w:rsid w:val="00425B16"/>
    <w:rsid w:val="00427963"/>
    <w:rsid w:val="00430532"/>
    <w:rsid w:val="004308F9"/>
    <w:rsid w:val="004323EB"/>
    <w:rsid w:val="00432A00"/>
    <w:rsid w:val="00432E24"/>
    <w:rsid w:val="004345AD"/>
    <w:rsid w:val="00434ABD"/>
    <w:rsid w:val="0043509B"/>
    <w:rsid w:val="0043645D"/>
    <w:rsid w:val="0043797D"/>
    <w:rsid w:val="00440070"/>
    <w:rsid w:val="00440487"/>
    <w:rsid w:val="00441699"/>
    <w:rsid w:val="00441D64"/>
    <w:rsid w:val="00442057"/>
    <w:rsid w:val="00442DDD"/>
    <w:rsid w:val="0044404E"/>
    <w:rsid w:val="00444BDE"/>
    <w:rsid w:val="00446D92"/>
    <w:rsid w:val="00446E5A"/>
    <w:rsid w:val="004479F6"/>
    <w:rsid w:val="00447CE5"/>
    <w:rsid w:val="004517C2"/>
    <w:rsid w:val="0045258F"/>
    <w:rsid w:val="0045376F"/>
    <w:rsid w:val="00454314"/>
    <w:rsid w:val="004562F2"/>
    <w:rsid w:val="004603D8"/>
    <w:rsid w:val="00460616"/>
    <w:rsid w:val="00460CD1"/>
    <w:rsid w:val="0046109D"/>
    <w:rsid w:val="004616D7"/>
    <w:rsid w:val="00462458"/>
    <w:rsid w:val="0046283F"/>
    <w:rsid w:val="00465820"/>
    <w:rsid w:val="00465CEE"/>
    <w:rsid w:val="00470048"/>
    <w:rsid w:val="004704E3"/>
    <w:rsid w:val="00470FD0"/>
    <w:rsid w:val="00471FE8"/>
    <w:rsid w:val="0047255C"/>
    <w:rsid w:val="0047492F"/>
    <w:rsid w:val="00475165"/>
    <w:rsid w:val="00475840"/>
    <w:rsid w:val="00475C04"/>
    <w:rsid w:val="004765C0"/>
    <w:rsid w:val="004808B2"/>
    <w:rsid w:val="00480EA3"/>
    <w:rsid w:val="00482993"/>
    <w:rsid w:val="00483E5C"/>
    <w:rsid w:val="0048548A"/>
    <w:rsid w:val="00486231"/>
    <w:rsid w:val="00486C28"/>
    <w:rsid w:val="0048742E"/>
    <w:rsid w:val="00490192"/>
    <w:rsid w:val="00490472"/>
    <w:rsid w:val="0049091C"/>
    <w:rsid w:val="00490EDA"/>
    <w:rsid w:val="00491C24"/>
    <w:rsid w:val="00493CC7"/>
    <w:rsid w:val="004943B8"/>
    <w:rsid w:val="00495AED"/>
    <w:rsid w:val="00495CBD"/>
    <w:rsid w:val="004970E4"/>
    <w:rsid w:val="00497107"/>
    <w:rsid w:val="00497668"/>
    <w:rsid w:val="004A1796"/>
    <w:rsid w:val="004A181B"/>
    <w:rsid w:val="004A1A7B"/>
    <w:rsid w:val="004A1BBB"/>
    <w:rsid w:val="004A1F22"/>
    <w:rsid w:val="004A2999"/>
    <w:rsid w:val="004A533A"/>
    <w:rsid w:val="004A5649"/>
    <w:rsid w:val="004A5C4B"/>
    <w:rsid w:val="004B04C0"/>
    <w:rsid w:val="004B1582"/>
    <w:rsid w:val="004B1E5B"/>
    <w:rsid w:val="004B2BAB"/>
    <w:rsid w:val="004B2BD8"/>
    <w:rsid w:val="004B2CEA"/>
    <w:rsid w:val="004B3341"/>
    <w:rsid w:val="004B3B8F"/>
    <w:rsid w:val="004B531F"/>
    <w:rsid w:val="004B5466"/>
    <w:rsid w:val="004B58D8"/>
    <w:rsid w:val="004B5E6B"/>
    <w:rsid w:val="004B63A7"/>
    <w:rsid w:val="004B6479"/>
    <w:rsid w:val="004B6891"/>
    <w:rsid w:val="004B6FB4"/>
    <w:rsid w:val="004B75C5"/>
    <w:rsid w:val="004B760B"/>
    <w:rsid w:val="004B775A"/>
    <w:rsid w:val="004B7AC2"/>
    <w:rsid w:val="004C039E"/>
    <w:rsid w:val="004C1F8D"/>
    <w:rsid w:val="004C235B"/>
    <w:rsid w:val="004C23AB"/>
    <w:rsid w:val="004C256D"/>
    <w:rsid w:val="004C260D"/>
    <w:rsid w:val="004C2893"/>
    <w:rsid w:val="004C2A06"/>
    <w:rsid w:val="004C38EE"/>
    <w:rsid w:val="004C5603"/>
    <w:rsid w:val="004C6ABB"/>
    <w:rsid w:val="004D0EC1"/>
    <w:rsid w:val="004D4FC4"/>
    <w:rsid w:val="004D60FD"/>
    <w:rsid w:val="004D7C16"/>
    <w:rsid w:val="004D7F9F"/>
    <w:rsid w:val="004E0873"/>
    <w:rsid w:val="004E19A5"/>
    <w:rsid w:val="004E1AA1"/>
    <w:rsid w:val="004E2329"/>
    <w:rsid w:val="004E374D"/>
    <w:rsid w:val="004E46BC"/>
    <w:rsid w:val="004E52E3"/>
    <w:rsid w:val="004E5A60"/>
    <w:rsid w:val="004E634B"/>
    <w:rsid w:val="004E6E71"/>
    <w:rsid w:val="004F166B"/>
    <w:rsid w:val="004F4335"/>
    <w:rsid w:val="004F5CF2"/>
    <w:rsid w:val="004F67C4"/>
    <w:rsid w:val="004F68E9"/>
    <w:rsid w:val="004F7FB0"/>
    <w:rsid w:val="0050235D"/>
    <w:rsid w:val="00502C67"/>
    <w:rsid w:val="00503147"/>
    <w:rsid w:val="00503CC2"/>
    <w:rsid w:val="00504119"/>
    <w:rsid w:val="005051AE"/>
    <w:rsid w:val="00505BA2"/>
    <w:rsid w:val="005101D8"/>
    <w:rsid w:val="00511DEA"/>
    <w:rsid w:val="00512AB9"/>
    <w:rsid w:val="0051362A"/>
    <w:rsid w:val="00513E82"/>
    <w:rsid w:val="005153F7"/>
    <w:rsid w:val="00515870"/>
    <w:rsid w:val="00515E67"/>
    <w:rsid w:val="00516369"/>
    <w:rsid w:val="00517AEF"/>
    <w:rsid w:val="00517D46"/>
    <w:rsid w:val="0052081D"/>
    <w:rsid w:val="00521BC5"/>
    <w:rsid w:val="005220D0"/>
    <w:rsid w:val="0052263F"/>
    <w:rsid w:val="00522FD1"/>
    <w:rsid w:val="005230DB"/>
    <w:rsid w:val="0052374A"/>
    <w:rsid w:val="00523D4F"/>
    <w:rsid w:val="00524872"/>
    <w:rsid w:val="0052504E"/>
    <w:rsid w:val="00525AD6"/>
    <w:rsid w:val="0052631B"/>
    <w:rsid w:val="005268D7"/>
    <w:rsid w:val="005278A4"/>
    <w:rsid w:val="00530254"/>
    <w:rsid w:val="00530479"/>
    <w:rsid w:val="00530E45"/>
    <w:rsid w:val="00531CB6"/>
    <w:rsid w:val="005333E9"/>
    <w:rsid w:val="00533C9B"/>
    <w:rsid w:val="00533CCD"/>
    <w:rsid w:val="00535016"/>
    <w:rsid w:val="005354FD"/>
    <w:rsid w:val="00535BE8"/>
    <w:rsid w:val="005362F4"/>
    <w:rsid w:val="00537725"/>
    <w:rsid w:val="0054347E"/>
    <w:rsid w:val="005434F4"/>
    <w:rsid w:val="00543CE0"/>
    <w:rsid w:val="00545F4C"/>
    <w:rsid w:val="00546A9F"/>
    <w:rsid w:val="005478E9"/>
    <w:rsid w:val="00547F5F"/>
    <w:rsid w:val="005500DB"/>
    <w:rsid w:val="00550139"/>
    <w:rsid w:val="00551ADB"/>
    <w:rsid w:val="005521C3"/>
    <w:rsid w:val="00553990"/>
    <w:rsid w:val="0055518A"/>
    <w:rsid w:val="005573E3"/>
    <w:rsid w:val="00560171"/>
    <w:rsid w:val="00560DF0"/>
    <w:rsid w:val="0056107E"/>
    <w:rsid w:val="0056123B"/>
    <w:rsid w:val="00562002"/>
    <w:rsid w:val="00562C39"/>
    <w:rsid w:val="005644C1"/>
    <w:rsid w:val="00566035"/>
    <w:rsid w:val="00566C92"/>
    <w:rsid w:val="0057045D"/>
    <w:rsid w:val="0057057E"/>
    <w:rsid w:val="00570B2B"/>
    <w:rsid w:val="00571A63"/>
    <w:rsid w:val="005732F9"/>
    <w:rsid w:val="00573889"/>
    <w:rsid w:val="00574DF1"/>
    <w:rsid w:val="00577F28"/>
    <w:rsid w:val="0058036E"/>
    <w:rsid w:val="005805B2"/>
    <w:rsid w:val="005808AB"/>
    <w:rsid w:val="00580918"/>
    <w:rsid w:val="005813B2"/>
    <w:rsid w:val="00581524"/>
    <w:rsid w:val="00583EA9"/>
    <w:rsid w:val="00584BA8"/>
    <w:rsid w:val="00585A73"/>
    <w:rsid w:val="0058612A"/>
    <w:rsid w:val="0059111F"/>
    <w:rsid w:val="00592881"/>
    <w:rsid w:val="00592890"/>
    <w:rsid w:val="00592AAF"/>
    <w:rsid w:val="00592F14"/>
    <w:rsid w:val="0059349D"/>
    <w:rsid w:val="00595096"/>
    <w:rsid w:val="00595EC7"/>
    <w:rsid w:val="00596F34"/>
    <w:rsid w:val="00597675"/>
    <w:rsid w:val="005A132E"/>
    <w:rsid w:val="005A1D10"/>
    <w:rsid w:val="005A3043"/>
    <w:rsid w:val="005A34A9"/>
    <w:rsid w:val="005A4F6E"/>
    <w:rsid w:val="005A52E1"/>
    <w:rsid w:val="005A5BBC"/>
    <w:rsid w:val="005A5C9D"/>
    <w:rsid w:val="005A6377"/>
    <w:rsid w:val="005A76F6"/>
    <w:rsid w:val="005A7961"/>
    <w:rsid w:val="005A7D87"/>
    <w:rsid w:val="005B032C"/>
    <w:rsid w:val="005B077A"/>
    <w:rsid w:val="005B1E5A"/>
    <w:rsid w:val="005B3737"/>
    <w:rsid w:val="005B3829"/>
    <w:rsid w:val="005B39D2"/>
    <w:rsid w:val="005B52C0"/>
    <w:rsid w:val="005B5480"/>
    <w:rsid w:val="005C1287"/>
    <w:rsid w:val="005C2729"/>
    <w:rsid w:val="005C2C7B"/>
    <w:rsid w:val="005C326A"/>
    <w:rsid w:val="005C42E3"/>
    <w:rsid w:val="005C684E"/>
    <w:rsid w:val="005C6959"/>
    <w:rsid w:val="005D0560"/>
    <w:rsid w:val="005D06E1"/>
    <w:rsid w:val="005D0E26"/>
    <w:rsid w:val="005D2A9D"/>
    <w:rsid w:val="005D3D49"/>
    <w:rsid w:val="005D51A5"/>
    <w:rsid w:val="005D64F9"/>
    <w:rsid w:val="005E06DB"/>
    <w:rsid w:val="005E1279"/>
    <w:rsid w:val="005E1364"/>
    <w:rsid w:val="005E20E0"/>
    <w:rsid w:val="005E23E8"/>
    <w:rsid w:val="005E2F61"/>
    <w:rsid w:val="005E36D1"/>
    <w:rsid w:val="005E487F"/>
    <w:rsid w:val="005E4B4F"/>
    <w:rsid w:val="005E6C21"/>
    <w:rsid w:val="005E75CB"/>
    <w:rsid w:val="005F0A04"/>
    <w:rsid w:val="005F0C6B"/>
    <w:rsid w:val="005F0E78"/>
    <w:rsid w:val="005F260F"/>
    <w:rsid w:val="005F38CD"/>
    <w:rsid w:val="005F3F52"/>
    <w:rsid w:val="005F5F40"/>
    <w:rsid w:val="005F6A11"/>
    <w:rsid w:val="005F7A36"/>
    <w:rsid w:val="005F7A4B"/>
    <w:rsid w:val="005F7F31"/>
    <w:rsid w:val="006013A7"/>
    <w:rsid w:val="00601B61"/>
    <w:rsid w:val="00601DA6"/>
    <w:rsid w:val="00604257"/>
    <w:rsid w:val="00604E62"/>
    <w:rsid w:val="00605619"/>
    <w:rsid w:val="006079F6"/>
    <w:rsid w:val="0061051D"/>
    <w:rsid w:val="006105C0"/>
    <w:rsid w:val="00610907"/>
    <w:rsid w:val="00612610"/>
    <w:rsid w:val="00612E3D"/>
    <w:rsid w:val="00613750"/>
    <w:rsid w:val="006142B0"/>
    <w:rsid w:val="006152BD"/>
    <w:rsid w:val="00616890"/>
    <w:rsid w:val="00617A0B"/>
    <w:rsid w:val="00620A3F"/>
    <w:rsid w:val="00620E60"/>
    <w:rsid w:val="00621286"/>
    <w:rsid w:val="00623BDE"/>
    <w:rsid w:val="00625E4E"/>
    <w:rsid w:val="00631E43"/>
    <w:rsid w:val="00631E4D"/>
    <w:rsid w:val="00632C24"/>
    <w:rsid w:val="006332E6"/>
    <w:rsid w:val="0063357C"/>
    <w:rsid w:val="00633935"/>
    <w:rsid w:val="00634328"/>
    <w:rsid w:val="0063621E"/>
    <w:rsid w:val="00637F0A"/>
    <w:rsid w:val="00640288"/>
    <w:rsid w:val="0064120F"/>
    <w:rsid w:val="00643E22"/>
    <w:rsid w:val="006443F0"/>
    <w:rsid w:val="00644C91"/>
    <w:rsid w:val="00645761"/>
    <w:rsid w:val="00646243"/>
    <w:rsid w:val="0064630B"/>
    <w:rsid w:val="006466C1"/>
    <w:rsid w:val="00647416"/>
    <w:rsid w:val="00647D4B"/>
    <w:rsid w:val="0065091D"/>
    <w:rsid w:val="006514A4"/>
    <w:rsid w:val="00651774"/>
    <w:rsid w:val="00651B18"/>
    <w:rsid w:val="006526A2"/>
    <w:rsid w:val="00654724"/>
    <w:rsid w:val="00655541"/>
    <w:rsid w:val="0065563C"/>
    <w:rsid w:val="00655BBD"/>
    <w:rsid w:val="006603A3"/>
    <w:rsid w:val="00660B19"/>
    <w:rsid w:val="0066122A"/>
    <w:rsid w:val="00661916"/>
    <w:rsid w:val="00661E6B"/>
    <w:rsid w:val="006625D6"/>
    <w:rsid w:val="00664BE8"/>
    <w:rsid w:val="006658DC"/>
    <w:rsid w:val="006659A2"/>
    <w:rsid w:val="00665E5E"/>
    <w:rsid w:val="006667B4"/>
    <w:rsid w:val="00667FBA"/>
    <w:rsid w:val="0067019B"/>
    <w:rsid w:val="0067042E"/>
    <w:rsid w:val="006713E3"/>
    <w:rsid w:val="006714A6"/>
    <w:rsid w:val="00671566"/>
    <w:rsid w:val="00673078"/>
    <w:rsid w:val="00673F5C"/>
    <w:rsid w:val="006745E5"/>
    <w:rsid w:val="006747DD"/>
    <w:rsid w:val="00675DD8"/>
    <w:rsid w:val="00675F15"/>
    <w:rsid w:val="006772D0"/>
    <w:rsid w:val="0068045E"/>
    <w:rsid w:val="0068367F"/>
    <w:rsid w:val="00684498"/>
    <w:rsid w:val="00684E7B"/>
    <w:rsid w:val="00685BAE"/>
    <w:rsid w:val="00687EB1"/>
    <w:rsid w:val="006901F7"/>
    <w:rsid w:val="006904EF"/>
    <w:rsid w:val="00691AA5"/>
    <w:rsid w:val="00692B34"/>
    <w:rsid w:val="0069333C"/>
    <w:rsid w:val="00693A3D"/>
    <w:rsid w:val="006940AA"/>
    <w:rsid w:val="006954A6"/>
    <w:rsid w:val="0069710B"/>
    <w:rsid w:val="006977AF"/>
    <w:rsid w:val="00697F6C"/>
    <w:rsid w:val="006A1FEA"/>
    <w:rsid w:val="006A3BB2"/>
    <w:rsid w:val="006A3CD2"/>
    <w:rsid w:val="006A505C"/>
    <w:rsid w:val="006A5229"/>
    <w:rsid w:val="006A65A7"/>
    <w:rsid w:val="006A7403"/>
    <w:rsid w:val="006A7B16"/>
    <w:rsid w:val="006A7B95"/>
    <w:rsid w:val="006B0BDE"/>
    <w:rsid w:val="006B17D5"/>
    <w:rsid w:val="006B1C4A"/>
    <w:rsid w:val="006B3080"/>
    <w:rsid w:val="006B3974"/>
    <w:rsid w:val="006B4542"/>
    <w:rsid w:val="006B47BA"/>
    <w:rsid w:val="006B69E4"/>
    <w:rsid w:val="006B7D02"/>
    <w:rsid w:val="006C0748"/>
    <w:rsid w:val="006C343D"/>
    <w:rsid w:val="006C3B7E"/>
    <w:rsid w:val="006C4881"/>
    <w:rsid w:val="006C4A34"/>
    <w:rsid w:val="006C4C09"/>
    <w:rsid w:val="006C7812"/>
    <w:rsid w:val="006D085B"/>
    <w:rsid w:val="006D0880"/>
    <w:rsid w:val="006D13A5"/>
    <w:rsid w:val="006D1500"/>
    <w:rsid w:val="006D30A9"/>
    <w:rsid w:val="006D3A7A"/>
    <w:rsid w:val="006D68F5"/>
    <w:rsid w:val="006E11CE"/>
    <w:rsid w:val="006E180F"/>
    <w:rsid w:val="006E3C5E"/>
    <w:rsid w:val="006E668E"/>
    <w:rsid w:val="006F1B84"/>
    <w:rsid w:val="006F2189"/>
    <w:rsid w:val="006F31D3"/>
    <w:rsid w:val="006F7403"/>
    <w:rsid w:val="007011B2"/>
    <w:rsid w:val="00701502"/>
    <w:rsid w:val="00701918"/>
    <w:rsid w:val="00701C20"/>
    <w:rsid w:val="00701EDC"/>
    <w:rsid w:val="00703068"/>
    <w:rsid w:val="00703EC3"/>
    <w:rsid w:val="00704816"/>
    <w:rsid w:val="007050F0"/>
    <w:rsid w:val="00705D34"/>
    <w:rsid w:val="007104C3"/>
    <w:rsid w:val="00710707"/>
    <w:rsid w:val="0071172A"/>
    <w:rsid w:val="0071228D"/>
    <w:rsid w:val="007124DB"/>
    <w:rsid w:val="00713B8F"/>
    <w:rsid w:val="007172D9"/>
    <w:rsid w:val="00720D99"/>
    <w:rsid w:val="00721901"/>
    <w:rsid w:val="007221BA"/>
    <w:rsid w:val="00722558"/>
    <w:rsid w:val="00722B0E"/>
    <w:rsid w:val="007243AA"/>
    <w:rsid w:val="007248A1"/>
    <w:rsid w:val="00726B36"/>
    <w:rsid w:val="007277D2"/>
    <w:rsid w:val="00731A58"/>
    <w:rsid w:val="007321E6"/>
    <w:rsid w:val="0073540D"/>
    <w:rsid w:val="0073677F"/>
    <w:rsid w:val="00736B2A"/>
    <w:rsid w:val="00736E63"/>
    <w:rsid w:val="00737410"/>
    <w:rsid w:val="00737F39"/>
    <w:rsid w:val="00740506"/>
    <w:rsid w:val="00741096"/>
    <w:rsid w:val="007417E1"/>
    <w:rsid w:val="0074180D"/>
    <w:rsid w:val="00741D93"/>
    <w:rsid w:val="00742218"/>
    <w:rsid w:val="00742B59"/>
    <w:rsid w:val="00742BA9"/>
    <w:rsid w:val="00743134"/>
    <w:rsid w:val="007439B3"/>
    <w:rsid w:val="0074411D"/>
    <w:rsid w:val="00746374"/>
    <w:rsid w:val="0074683D"/>
    <w:rsid w:val="00746CEE"/>
    <w:rsid w:val="00751A55"/>
    <w:rsid w:val="007527A9"/>
    <w:rsid w:val="00753D89"/>
    <w:rsid w:val="007543BA"/>
    <w:rsid w:val="00755487"/>
    <w:rsid w:val="007561A9"/>
    <w:rsid w:val="007568DA"/>
    <w:rsid w:val="00762B75"/>
    <w:rsid w:val="0076351E"/>
    <w:rsid w:val="00763772"/>
    <w:rsid w:val="00765B92"/>
    <w:rsid w:val="0076686F"/>
    <w:rsid w:val="007671F6"/>
    <w:rsid w:val="0077044A"/>
    <w:rsid w:val="00770954"/>
    <w:rsid w:val="00772927"/>
    <w:rsid w:val="007740EE"/>
    <w:rsid w:val="0077562B"/>
    <w:rsid w:val="00775706"/>
    <w:rsid w:val="00775D07"/>
    <w:rsid w:val="00776487"/>
    <w:rsid w:val="00781F4F"/>
    <w:rsid w:val="00782911"/>
    <w:rsid w:val="00782CFE"/>
    <w:rsid w:val="007838E8"/>
    <w:rsid w:val="00784C1C"/>
    <w:rsid w:val="00784EC6"/>
    <w:rsid w:val="0078564C"/>
    <w:rsid w:val="00785FE1"/>
    <w:rsid w:val="00787205"/>
    <w:rsid w:val="0079049E"/>
    <w:rsid w:val="00790C40"/>
    <w:rsid w:val="00791990"/>
    <w:rsid w:val="00791AEC"/>
    <w:rsid w:val="0079257B"/>
    <w:rsid w:val="00793F2A"/>
    <w:rsid w:val="007A0B44"/>
    <w:rsid w:val="007A158C"/>
    <w:rsid w:val="007A2124"/>
    <w:rsid w:val="007A3726"/>
    <w:rsid w:val="007A4686"/>
    <w:rsid w:val="007A5FCC"/>
    <w:rsid w:val="007A65A1"/>
    <w:rsid w:val="007A6A04"/>
    <w:rsid w:val="007A7A4E"/>
    <w:rsid w:val="007B0621"/>
    <w:rsid w:val="007B065F"/>
    <w:rsid w:val="007B0844"/>
    <w:rsid w:val="007B1344"/>
    <w:rsid w:val="007B239A"/>
    <w:rsid w:val="007B2ECA"/>
    <w:rsid w:val="007B4F4D"/>
    <w:rsid w:val="007B691C"/>
    <w:rsid w:val="007B74D5"/>
    <w:rsid w:val="007B7C2B"/>
    <w:rsid w:val="007C1580"/>
    <w:rsid w:val="007C36CB"/>
    <w:rsid w:val="007C39EF"/>
    <w:rsid w:val="007C42FC"/>
    <w:rsid w:val="007C44BB"/>
    <w:rsid w:val="007C4CC2"/>
    <w:rsid w:val="007C63BA"/>
    <w:rsid w:val="007D1FD2"/>
    <w:rsid w:val="007D4D7F"/>
    <w:rsid w:val="007D6D7E"/>
    <w:rsid w:val="007D799C"/>
    <w:rsid w:val="007E0459"/>
    <w:rsid w:val="007E08A8"/>
    <w:rsid w:val="007E0AC9"/>
    <w:rsid w:val="007E26C3"/>
    <w:rsid w:val="007E5F61"/>
    <w:rsid w:val="007E5FD5"/>
    <w:rsid w:val="007F06D8"/>
    <w:rsid w:val="007F091B"/>
    <w:rsid w:val="007F09C8"/>
    <w:rsid w:val="007F19C2"/>
    <w:rsid w:val="007F2C21"/>
    <w:rsid w:val="007F2EF0"/>
    <w:rsid w:val="007F2F97"/>
    <w:rsid w:val="007F306E"/>
    <w:rsid w:val="007F34CD"/>
    <w:rsid w:val="007F5576"/>
    <w:rsid w:val="007F668B"/>
    <w:rsid w:val="007F67BA"/>
    <w:rsid w:val="007F7CD9"/>
    <w:rsid w:val="0080035F"/>
    <w:rsid w:val="00801269"/>
    <w:rsid w:val="008012A3"/>
    <w:rsid w:val="00802DFA"/>
    <w:rsid w:val="008037A5"/>
    <w:rsid w:val="00803B81"/>
    <w:rsid w:val="008044D0"/>
    <w:rsid w:val="008048FF"/>
    <w:rsid w:val="00804A95"/>
    <w:rsid w:val="00805FD1"/>
    <w:rsid w:val="0080624F"/>
    <w:rsid w:val="00807961"/>
    <w:rsid w:val="00807C2E"/>
    <w:rsid w:val="00812F3F"/>
    <w:rsid w:val="0081357B"/>
    <w:rsid w:val="00814F6E"/>
    <w:rsid w:val="00815346"/>
    <w:rsid w:val="0081574B"/>
    <w:rsid w:val="00815B85"/>
    <w:rsid w:val="00816F43"/>
    <w:rsid w:val="00817C2E"/>
    <w:rsid w:val="008205FA"/>
    <w:rsid w:val="00820B61"/>
    <w:rsid w:val="00823F30"/>
    <w:rsid w:val="00824D79"/>
    <w:rsid w:val="00826B61"/>
    <w:rsid w:val="00826D3A"/>
    <w:rsid w:val="00827DF1"/>
    <w:rsid w:val="00827E57"/>
    <w:rsid w:val="00830EC9"/>
    <w:rsid w:val="00830F84"/>
    <w:rsid w:val="00831F25"/>
    <w:rsid w:val="008330AD"/>
    <w:rsid w:val="0083363D"/>
    <w:rsid w:val="00833892"/>
    <w:rsid w:val="00834CC1"/>
    <w:rsid w:val="00835125"/>
    <w:rsid w:val="00835CB4"/>
    <w:rsid w:val="0083762F"/>
    <w:rsid w:val="008407E3"/>
    <w:rsid w:val="008409FB"/>
    <w:rsid w:val="00840F1E"/>
    <w:rsid w:val="00842843"/>
    <w:rsid w:val="00843D04"/>
    <w:rsid w:val="00845D96"/>
    <w:rsid w:val="00845FE7"/>
    <w:rsid w:val="008506EC"/>
    <w:rsid w:val="00850C26"/>
    <w:rsid w:val="00850F50"/>
    <w:rsid w:val="0085287C"/>
    <w:rsid w:val="00854882"/>
    <w:rsid w:val="0085604A"/>
    <w:rsid w:val="0085624E"/>
    <w:rsid w:val="008572C4"/>
    <w:rsid w:val="0086027B"/>
    <w:rsid w:val="008607B9"/>
    <w:rsid w:val="008626A1"/>
    <w:rsid w:val="0086297E"/>
    <w:rsid w:val="00863013"/>
    <w:rsid w:val="00863E97"/>
    <w:rsid w:val="00866870"/>
    <w:rsid w:val="0086778A"/>
    <w:rsid w:val="008721E2"/>
    <w:rsid w:val="008724F8"/>
    <w:rsid w:val="0087348A"/>
    <w:rsid w:val="00874F99"/>
    <w:rsid w:val="00875871"/>
    <w:rsid w:val="00875F5D"/>
    <w:rsid w:val="008768B5"/>
    <w:rsid w:val="00877A87"/>
    <w:rsid w:val="00877CD0"/>
    <w:rsid w:val="0088090B"/>
    <w:rsid w:val="008809C4"/>
    <w:rsid w:val="00880E5C"/>
    <w:rsid w:val="008810FA"/>
    <w:rsid w:val="008826F4"/>
    <w:rsid w:val="00883829"/>
    <w:rsid w:val="00884128"/>
    <w:rsid w:val="0088438E"/>
    <w:rsid w:val="0088726A"/>
    <w:rsid w:val="0088788C"/>
    <w:rsid w:val="008917D1"/>
    <w:rsid w:val="0089317B"/>
    <w:rsid w:val="0089353B"/>
    <w:rsid w:val="00894B46"/>
    <w:rsid w:val="008953D4"/>
    <w:rsid w:val="00895C48"/>
    <w:rsid w:val="008A1A46"/>
    <w:rsid w:val="008A229A"/>
    <w:rsid w:val="008A2D00"/>
    <w:rsid w:val="008A354D"/>
    <w:rsid w:val="008A35BB"/>
    <w:rsid w:val="008A3C66"/>
    <w:rsid w:val="008A4BA2"/>
    <w:rsid w:val="008A4EF3"/>
    <w:rsid w:val="008A66C2"/>
    <w:rsid w:val="008A7BA4"/>
    <w:rsid w:val="008A7CDE"/>
    <w:rsid w:val="008B1BFD"/>
    <w:rsid w:val="008B233E"/>
    <w:rsid w:val="008B238F"/>
    <w:rsid w:val="008B23BA"/>
    <w:rsid w:val="008B2457"/>
    <w:rsid w:val="008B2610"/>
    <w:rsid w:val="008B2C94"/>
    <w:rsid w:val="008B3BF2"/>
    <w:rsid w:val="008B59A2"/>
    <w:rsid w:val="008B756F"/>
    <w:rsid w:val="008B76BF"/>
    <w:rsid w:val="008C2482"/>
    <w:rsid w:val="008C2993"/>
    <w:rsid w:val="008C4505"/>
    <w:rsid w:val="008C4E03"/>
    <w:rsid w:val="008C5966"/>
    <w:rsid w:val="008C6804"/>
    <w:rsid w:val="008C6EB6"/>
    <w:rsid w:val="008C7068"/>
    <w:rsid w:val="008C73FD"/>
    <w:rsid w:val="008D00DD"/>
    <w:rsid w:val="008D0380"/>
    <w:rsid w:val="008D193D"/>
    <w:rsid w:val="008D334B"/>
    <w:rsid w:val="008D3C6C"/>
    <w:rsid w:val="008D45D1"/>
    <w:rsid w:val="008D4C94"/>
    <w:rsid w:val="008D7259"/>
    <w:rsid w:val="008E02A2"/>
    <w:rsid w:val="008E06B3"/>
    <w:rsid w:val="008E0D24"/>
    <w:rsid w:val="008E1486"/>
    <w:rsid w:val="008E213B"/>
    <w:rsid w:val="008E27BD"/>
    <w:rsid w:val="008E3039"/>
    <w:rsid w:val="008E49E8"/>
    <w:rsid w:val="008E5396"/>
    <w:rsid w:val="008E5510"/>
    <w:rsid w:val="008E669D"/>
    <w:rsid w:val="008E798F"/>
    <w:rsid w:val="008F0779"/>
    <w:rsid w:val="008F0E53"/>
    <w:rsid w:val="008F0E64"/>
    <w:rsid w:val="008F0F2B"/>
    <w:rsid w:val="008F454B"/>
    <w:rsid w:val="008F4F58"/>
    <w:rsid w:val="00901229"/>
    <w:rsid w:val="00903594"/>
    <w:rsid w:val="00906175"/>
    <w:rsid w:val="009103D0"/>
    <w:rsid w:val="009103F3"/>
    <w:rsid w:val="00911190"/>
    <w:rsid w:val="00911BA4"/>
    <w:rsid w:val="009120AC"/>
    <w:rsid w:val="0091211E"/>
    <w:rsid w:val="00914515"/>
    <w:rsid w:val="00914DA5"/>
    <w:rsid w:val="00916FD0"/>
    <w:rsid w:val="00917D83"/>
    <w:rsid w:val="00920196"/>
    <w:rsid w:val="009207C2"/>
    <w:rsid w:val="0092104E"/>
    <w:rsid w:val="00921539"/>
    <w:rsid w:val="0092297B"/>
    <w:rsid w:val="00922C2C"/>
    <w:rsid w:val="00924570"/>
    <w:rsid w:val="009245C4"/>
    <w:rsid w:val="009259A2"/>
    <w:rsid w:val="00926757"/>
    <w:rsid w:val="00927E9D"/>
    <w:rsid w:val="009309D6"/>
    <w:rsid w:val="009315DA"/>
    <w:rsid w:val="0093306D"/>
    <w:rsid w:val="009332CB"/>
    <w:rsid w:val="00933B2D"/>
    <w:rsid w:val="00933D56"/>
    <w:rsid w:val="009341E1"/>
    <w:rsid w:val="0093515A"/>
    <w:rsid w:val="009356FC"/>
    <w:rsid w:val="009371BB"/>
    <w:rsid w:val="00937580"/>
    <w:rsid w:val="00937C71"/>
    <w:rsid w:val="0094014D"/>
    <w:rsid w:val="0094087F"/>
    <w:rsid w:val="00940CFD"/>
    <w:rsid w:val="00940D39"/>
    <w:rsid w:val="00940E66"/>
    <w:rsid w:val="00940F4A"/>
    <w:rsid w:val="0094111F"/>
    <w:rsid w:val="00942081"/>
    <w:rsid w:val="00942B0B"/>
    <w:rsid w:val="00942DF5"/>
    <w:rsid w:val="00943203"/>
    <w:rsid w:val="00944533"/>
    <w:rsid w:val="00944A3F"/>
    <w:rsid w:val="009452CB"/>
    <w:rsid w:val="0094627C"/>
    <w:rsid w:val="009465F9"/>
    <w:rsid w:val="00950072"/>
    <w:rsid w:val="00951A16"/>
    <w:rsid w:val="00951C22"/>
    <w:rsid w:val="00952182"/>
    <w:rsid w:val="00954630"/>
    <w:rsid w:val="009548D6"/>
    <w:rsid w:val="009558CA"/>
    <w:rsid w:val="00956243"/>
    <w:rsid w:val="00956DDE"/>
    <w:rsid w:val="009576FF"/>
    <w:rsid w:val="00962A41"/>
    <w:rsid w:val="00964848"/>
    <w:rsid w:val="00964EEC"/>
    <w:rsid w:val="00965EEF"/>
    <w:rsid w:val="00967275"/>
    <w:rsid w:val="0097051E"/>
    <w:rsid w:val="00975159"/>
    <w:rsid w:val="009759B9"/>
    <w:rsid w:val="00976D2B"/>
    <w:rsid w:val="009778CA"/>
    <w:rsid w:val="00980069"/>
    <w:rsid w:val="009801EE"/>
    <w:rsid w:val="009812E4"/>
    <w:rsid w:val="00981F7E"/>
    <w:rsid w:val="0098370A"/>
    <w:rsid w:val="00985101"/>
    <w:rsid w:val="00985364"/>
    <w:rsid w:val="0098594F"/>
    <w:rsid w:val="0098758A"/>
    <w:rsid w:val="00987FFD"/>
    <w:rsid w:val="00992100"/>
    <w:rsid w:val="00993F22"/>
    <w:rsid w:val="009948E9"/>
    <w:rsid w:val="0099571F"/>
    <w:rsid w:val="009974A7"/>
    <w:rsid w:val="009974AC"/>
    <w:rsid w:val="009A03DD"/>
    <w:rsid w:val="009A0724"/>
    <w:rsid w:val="009A10BE"/>
    <w:rsid w:val="009A3E06"/>
    <w:rsid w:val="009A4069"/>
    <w:rsid w:val="009A4B8B"/>
    <w:rsid w:val="009B33BA"/>
    <w:rsid w:val="009B34B5"/>
    <w:rsid w:val="009B45FA"/>
    <w:rsid w:val="009B530C"/>
    <w:rsid w:val="009B60C1"/>
    <w:rsid w:val="009B60DE"/>
    <w:rsid w:val="009B6422"/>
    <w:rsid w:val="009B6595"/>
    <w:rsid w:val="009B7668"/>
    <w:rsid w:val="009B791F"/>
    <w:rsid w:val="009C013E"/>
    <w:rsid w:val="009C0209"/>
    <w:rsid w:val="009C02F1"/>
    <w:rsid w:val="009C0453"/>
    <w:rsid w:val="009C2008"/>
    <w:rsid w:val="009C3834"/>
    <w:rsid w:val="009C3D30"/>
    <w:rsid w:val="009C3F05"/>
    <w:rsid w:val="009C4706"/>
    <w:rsid w:val="009C58F2"/>
    <w:rsid w:val="009C69AC"/>
    <w:rsid w:val="009C7310"/>
    <w:rsid w:val="009C7BC2"/>
    <w:rsid w:val="009D09BC"/>
    <w:rsid w:val="009D0D13"/>
    <w:rsid w:val="009D1AA1"/>
    <w:rsid w:val="009D1E9D"/>
    <w:rsid w:val="009D238D"/>
    <w:rsid w:val="009D25A2"/>
    <w:rsid w:val="009D3805"/>
    <w:rsid w:val="009D45DD"/>
    <w:rsid w:val="009D5580"/>
    <w:rsid w:val="009D61BD"/>
    <w:rsid w:val="009D662B"/>
    <w:rsid w:val="009D700B"/>
    <w:rsid w:val="009D7098"/>
    <w:rsid w:val="009D734A"/>
    <w:rsid w:val="009D7CB9"/>
    <w:rsid w:val="009E1902"/>
    <w:rsid w:val="009E2CA9"/>
    <w:rsid w:val="009E478E"/>
    <w:rsid w:val="009E6026"/>
    <w:rsid w:val="009E61B7"/>
    <w:rsid w:val="009E6972"/>
    <w:rsid w:val="009E6C92"/>
    <w:rsid w:val="009F0523"/>
    <w:rsid w:val="009F05EA"/>
    <w:rsid w:val="009F0D7D"/>
    <w:rsid w:val="009F1349"/>
    <w:rsid w:val="009F154D"/>
    <w:rsid w:val="009F2084"/>
    <w:rsid w:val="009F25B7"/>
    <w:rsid w:val="009F2C81"/>
    <w:rsid w:val="009F2F99"/>
    <w:rsid w:val="009F30F6"/>
    <w:rsid w:val="009F3438"/>
    <w:rsid w:val="009F593C"/>
    <w:rsid w:val="009F5F23"/>
    <w:rsid w:val="009F5FBA"/>
    <w:rsid w:val="009F72BA"/>
    <w:rsid w:val="009F74CE"/>
    <w:rsid w:val="009F77B9"/>
    <w:rsid w:val="00A0115A"/>
    <w:rsid w:val="00A01E39"/>
    <w:rsid w:val="00A03337"/>
    <w:rsid w:val="00A067C0"/>
    <w:rsid w:val="00A107A0"/>
    <w:rsid w:val="00A10A7F"/>
    <w:rsid w:val="00A10EA8"/>
    <w:rsid w:val="00A1146C"/>
    <w:rsid w:val="00A11DA6"/>
    <w:rsid w:val="00A11EB2"/>
    <w:rsid w:val="00A12F5F"/>
    <w:rsid w:val="00A13783"/>
    <w:rsid w:val="00A13EA4"/>
    <w:rsid w:val="00A17986"/>
    <w:rsid w:val="00A204E0"/>
    <w:rsid w:val="00A213EC"/>
    <w:rsid w:val="00A217B9"/>
    <w:rsid w:val="00A2192C"/>
    <w:rsid w:val="00A21B12"/>
    <w:rsid w:val="00A2498E"/>
    <w:rsid w:val="00A25569"/>
    <w:rsid w:val="00A25970"/>
    <w:rsid w:val="00A26248"/>
    <w:rsid w:val="00A30899"/>
    <w:rsid w:val="00A30948"/>
    <w:rsid w:val="00A32C94"/>
    <w:rsid w:val="00A32E09"/>
    <w:rsid w:val="00A33B1A"/>
    <w:rsid w:val="00A341B1"/>
    <w:rsid w:val="00A3452C"/>
    <w:rsid w:val="00A34EA5"/>
    <w:rsid w:val="00A355A8"/>
    <w:rsid w:val="00A35E52"/>
    <w:rsid w:val="00A360AC"/>
    <w:rsid w:val="00A368FA"/>
    <w:rsid w:val="00A37098"/>
    <w:rsid w:val="00A41BE1"/>
    <w:rsid w:val="00A42852"/>
    <w:rsid w:val="00A44553"/>
    <w:rsid w:val="00A45042"/>
    <w:rsid w:val="00A45EEB"/>
    <w:rsid w:val="00A50155"/>
    <w:rsid w:val="00A5063D"/>
    <w:rsid w:val="00A50DE4"/>
    <w:rsid w:val="00A51072"/>
    <w:rsid w:val="00A515E5"/>
    <w:rsid w:val="00A51855"/>
    <w:rsid w:val="00A5291B"/>
    <w:rsid w:val="00A56B0D"/>
    <w:rsid w:val="00A56F6B"/>
    <w:rsid w:val="00A60A00"/>
    <w:rsid w:val="00A6139D"/>
    <w:rsid w:val="00A61848"/>
    <w:rsid w:val="00A6432F"/>
    <w:rsid w:val="00A644C7"/>
    <w:rsid w:val="00A6540E"/>
    <w:rsid w:val="00A66FFB"/>
    <w:rsid w:val="00A676EA"/>
    <w:rsid w:val="00A67D75"/>
    <w:rsid w:val="00A7155F"/>
    <w:rsid w:val="00A72825"/>
    <w:rsid w:val="00A72EB1"/>
    <w:rsid w:val="00A763A5"/>
    <w:rsid w:val="00A76DDC"/>
    <w:rsid w:val="00A77A67"/>
    <w:rsid w:val="00A80261"/>
    <w:rsid w:val="00A83040"/>
    <w:rsid w:val="00A83A35"/>
    <w:rsid w:val="00A845F2"/>
    <w:rsid w:val="00A84923"/>
    <w:rsid w:val="00A84F05"/>
    <w:rsid w:val="00A85214"/>
    <w:rsid w:val="00A8526E"/>
    <w:rsid w:val="00A86AB3"/>
    <w:rsid w:val="00A87C38"/>
    <w:rsid w:val="00A87C9D"/>
    <w:rsid w:val="00A912BC"/>
    <w:rsid w:val="00A92814"/>
    <w:rsid w:val="00A93667"/>
    <w:rsid w:val="00A946C1"/>
    <w:rsid w:val="00A9617F"/>
    <w:rsid w:val="00A969B6"/>
    <w:rsid w:val="00AA0C38"/>
    <w:rsid w:val="00AA116B"/>
    <w:rsid w:val="00AA145D"/>
    <w:rsid w:val="00AA1FC1"/>
    <w:rsid w:val="00AA4DD5"/>
    <w:rsid w:val="00AA4ECF"/>
    <w:rsid w:val="00AA71D6"/>
    <w:rsid w:val="00AA7C0A"/>
    <w:rsid w:val="00AB03B1"/>
    <w:rsid w:val="00AB06DA"/>
    <w:rsid w:val="00AB0EC7"/>
    <w:rsid w:val="00AB0F86"/>
    <w:rsid w:val="00AB1286"/>
    <w:rsid w:val="00AB4AA3"/>
    <w:rsid w:val="00AB661D"/>
    <w:rsid w:val="00AC1107"/>
    <w:rsid w:val="00AC259A"/>
    <w:rsid w:val="00AC4C72"/>
    <w:rsid w:val="00AC572F"/>
    <w:rsid w:val="00AC61D7"/>
    <w:rsid w:val="00AC68A3"/>
    <w:rsid w:val="00AC6EBA"/>
    <w:rsid w:val="00AC7444"/>
    <w:rsid w:val="00AC7A8A"/>
    <w:rsid w:val="00AD0AAD"/>
    <w:rsid w:val="00AD18BD"/>
    <w:rsid w:val="00AD1E3B"/>
    <w:rsid w:val="00AD239A"/>
    <w:rsid w:val="00AD7014"/>
    <w:rsid w:val="00AE1314"/>
    <w:rsid w:val="00AE2395"/>
    <w:rsid w:val="00AE2B00"/>
    <w:rsid w:val="00AE2EF9"/>
    <w:rsid w:val="00AE3167"/>
    <w:rsid w:val="00AE3DBF"/>
    <w:rsid w:val="00AE563F"/>
    <w:rsid w:val="00AE783C"/>
    <w:rsid w:val="00AF0669"/>
    <w:rsid w:val="00AF1412"/>
    <w:rsid w:val="00AF17FF"/>
    <w:rsid w:val="00AF295D"/>
    <w:rsid w:val="00AF4713"/>
    <w:rsid w:val="00AF6A75"/>
    <w:rsid w:val="00AF6AB1"/>
    <w:rsid w:val="00AF6B08"/>
    <w:rsid w:val="00AF73D6"/>
    <w:rsid w:val="00AF7E0D"/>
    <w:rsid w:val="00B006BA"/>
    <w:rsid w:val="00B01CF3"/>
    <w:rsid w:val="00B02390"/>
    <w:rsid w:val="00B034B4"/>
    <w:rsid w:val="00B04237"/>
    <w:rsid w:val="00B05300"/>
    <w:rsid w:val="00B05C21"/>
    <w:rsid w:val="00B05DA5"/>
    <w:rsid w:val="00B062DE"/>
    <w:rsid w:val="00B06F8A"/>
    <w:rsid w:val="00B1093C"/>
    <w:rsid w:val="00B11085"/>
    <w:rsid w:val="00B11DE6"/>
    <w:rsid w:val="00B121CE"/>
    <w:rsid w:val="00B14640"/>
    <w:rsid w:val="00B146FF"/>
    <w:rsid w:val="00B14878"/>
    <w:rsid w:val="00B14A21"/>
    <w:rsid w:val="00B152C6"/>
    <w:rsid w:val="00B15DE0"/>
    <w:rsid w:val="00B15EAD"/>
    <w:rsid w:val="00B17E5C"/>
    <w:rsid w:val="00B208C4"/>
    <w:rsid w:val="00B2216A"/>
    <w:rsid w:val="00B262FB"/>
    <w:rsid w:val="00B2727E"/>
    <w:rsid w:val="00B27B49"/>
    <w:rsid w:val="00B30C7F"/>
    <w:rsid w:val="00B3297D"/>
    <w:rsid w:val="00B33A05"/>
    <w:rsid w:val="00B33B7F"/>
    <w:rsid w:val="00B34BBB"/>
    <w:rsid w:val="00B36AA1"/>
    <w:rsid w:val="00B37317"/>
    <w:rsid w:val="00B43F1E"/>
    <w:rsid w:val="00B44EA6"/>
    <w:rsid w:val="00B45BF8"/>
    <w:rsid w:val="00B4622B"/>
    <w:rsid w:val="00B470E3"/>
    <w:rsid w:val="00B504C1"/>
    <w:rsid w:val="00B524EF"/>
    <w:rsid w:val="00B52B24"/>
    <w:rsid w:val="00B52C87"/>
    <w:rsid w:val="00B53312"/>
    <w:rsid w:val="00B5355B"/>
    <w:rsid w:val="00B53C5A"/>
    <w:rsid w:val="00B562E7"/>
    <w:rsid w:val="00B57080"/>
    <w:rsid w:val="00B57496"/>
    <w:rsid w:val="00B57C9B"/>
    <w:rsid w:val="00B6056E"/>
    <w:rsid w:val="00B609E8"/>
    <w:rsid w:val="00B61610"/>
    <w:rsid w:val="00B61A15"/>
    <w:rsid w:val="00B61D40"/>
    <w:rsid w:val="00B65B9F"/>
    <w:rsid w:val="00B65E2E"/>
    <w:rsid w:val="00B66E9B"/>
    <w:rsid w:val="00B67A9E"/>
    <w:rsid w:val="00B67AB5"/>
    <w:rsid w:val="00B67DCD"/>
    <w:rsid w:val="00B702D1"/>
    <w:rsid w:val="00B702E2"/>
    <w:rsid w:val="00B7080C"/>
    <w:rsid w:val="00B709DA"/>
    <w:rsid w:val="00B71008"/>
    <w:rsid w:val="00B716D8"/>
    <w:rsid w:val="00B7273A"/>
    <w:rsid w:val="00B73BD7"/>
    <w:rsid w:val="00B74017"/>
    <w:rsid w:val="00B74045"/>
    <w:rsid w:val="00B74AAD"/>
    <w:rsid w:val="00B75ED8"/>
    <w:rsid w:val="00B772B9"/>
    <w:rsid w:val="00B80CB8"/>
    <w:rsid w:val="00B83375"/>
    <w:rsid w:val="00B847D8"/>
    <w:rsid w:val="00B855AF"/>
    <w:rsid w:val="00B859D2"/>
    <w:rsid w:val="00B85D2D"/>
    <w:rsid w:val="00B8602A"/>
    <w:rsid w:val="00B86C7A"/>
    <w:rsid w:val="00B874AF"/>
    <w:rsid w:val="00B87DBF"/>
    <w:rsid w:val="00B909A8"/>
    <w:rsid w:val="00B9125B"/>
    <w:rsid w:val="00B91398"/>
    <w:rsid w:val="00B9188F"/>
    <w:rsid w:val="00B91DD7"/>
    <w:rsid w:val="00B93342"/>
    <w:rsid w:val="00B948A2"/>
    <w:rsid w:val="00B95021"/>
    <w:rsid w:val="00B9533D"/>
    <w:rsid w:val="00B95450"/>
    <w:rsid w:val="00B9663A"/>
    <w:rsid w:val="00BA100B"/>
    <w:rsid w:val="00BA10DB"/>
    <w:rsid w:val="00BA1898"/>
    <w:rsid w:val="00BA1FEE"/>
    <w:rsid w:val="00BA2479"/>
    <w:rsid w:val="00BA2839"/>
    <w:rsid w:val="00BA2BEA"/>
    <w:rsid w:val="00BA307F"/>
    <w:rsid w:val="00BA3E09"/>
    <w:rsid w:val="00BA406F"/>
    <w:rsid w:val="00BA4170"/>
    <w:rsid w:val="00BA47DC"/>
    <w:rsid w:val="00BA4CA2"/>
    <w:rsid w:val="00BA4E16"/>
    <w:rsid w:val="00BA7C15"/>
    <w:rsid w:val="00BB0D42"/>
    <w:rsid w:val="00BB0E10"/>
    <w:rsid w:val="00BB2011"/>
    <w:rsid w:val="00BB22F1"/>
    <w:rsid w:val="00BB2E15"/>
    <w:rsid w:val="00BB40E7"/>
    <w:rsid w:val="00BB4C83"/>
    <w:rsid w:val="00BB5F12"/>
    <w:rsid w:val="00BB6431"/>
    <w:rsid w:val="00BB6A5D"/>
    <w:rsid w:val="00BC04AF"/>
    <w:rsid w:val="00BC1231"/>
    <w:rsid w:val="00BC2923"/>
    <w:rsid w:val="00BC30E2"/>
    <w:rsid w:val="00BC353F"/>
    <w:rsid w:val="00BC3C63"/>
    <w:rsid w:val="00BC5A4E"/>
    <w:rsid w:val="00BC5BFE"/>
    <w:rsid w:val="00BC6344"/>
    <w:rsid w:val="00BC6586"/>
    <w:rsid w:val="00BC7262"/>
    <w:rsid w:val="00BD1C2B"/>
    <w:rsid w:val="00BD2900"/>
    <w:rsid w:val="00BD32E8"/>
    <w:rsid w:val="00BD355D"/>
    <w:rsid w:val="00BD63FA"/>
    <w:rsid w:val="00BD65FC"/>
    <w:rsid w:val="00BD6F1F"/>
    <w:rsid w:val="00BD7D4E"/>
    <w:rsid w:val="00BE0EA6"/>
    <w:rsid w:val="00BE194F"/>
    <w:rsid w:val="00BE215B"/>
    <w:rsid w:val="00BE2319"/>
    <w:rsid w:val="00BE30AE"/>
    <w:rsid w:val="00BE4300"/>
    <w:rsid w:val="00BE555F"/>
    <w:rsid w:val="00BE5B97"/>
    <w:rsid w:val="00BE5DB7"/>
    <w:rsid w:val="00BE7520"/>
    <w:rsid w:val="00BF19A1"/>
    <w:rsid w:val="00BF2306"/>
    <w:rsid w:val="00BF2E2D"/>
    <w:rsid w:val="00BF3104"/>
    <w:rsid w:val="00BF3831"/>
    <w:rsid w:val="00BF41BF"/>
    <w:rsid w:val="00BF505E"/>
    <w:rsid w:val="00BF5717"/>
    <w:rsid w:val="00BF7963"/>
    <w:rsid w:val="00C00A4A"/>
    <w:rsid w:val="00C01B35"/>
    <w:rsid w:val="00C061F7"/>
    <w:rsid w:val="00C06C0B"/>
    <w:rsid w:val="00C07F6D"/>
    <w:rsid w:val="00C1013E"/>
    <w:rsid w:val="00C101B2"/>
    <w:rsid w:val="00C12909"/>
    <w:rsid w:val="00C12F70"/>
    <w:rsid w:val="00C13ADE"/>
    <w:rsid w:val="00C15A80"/>
    <w:rsid w:val="00C169FA"/>
    <w:rsid w:val="00C170EB"/>
    <w:rsid w:val="00C17D77"/>
    <w:rsid w:val="00C17E3C"/>
    <w:rsid w:val="00C21CAD"/>
    <w:rsid w:val="00C22300"/>
    <w:rsid w:val="00C22629"/>
    <w:rsid w:val="00C236CD"/>
    <w:rsid w:val="00C244E0"/>
    <w:rsid w:val="00C257C6"/>
    <w:rsid w:val="00C25FC0"/>
    <w:rsid w:val="00C265AB"/>
    <w:rsid w:val="00C32136"/>
    <w:rsid w:val="00C34852"/>
    <w:rsid w:val="00C34DEB"/>
    <w:rsid w:val="00C35FAD"/>
    <w:rsid w:val="00C36425"/>
    <w:rsid w:val="00C3740A"/>
    <w:rsid w:val="00C37C75"/>
    <w:rsid w:val="00C40080"/>
    <w:rsid w:val="00C40F86"/>
    <w:rsid w:val="00C4183E"/>
    <w:rsid w:val="00C420E4"/>
    <w:rsid w:val="00C42A82"/>
    <w:rsid w:val="00C43D80"/>
    <w:rsid w:val="00C455B0"/>
    <w:rsid w:val="00C457C4"/>
    <w:rsid w:val="00C465F3"/>
    <w:rsid w:val="00C46AAC"/>
    <w:rsid w:val="00C46C69"/>
    <w:rsid w:val="00C47D95"/>
    <w:rsid w:val="00C501F6"/>
    <w:rsid w:val="00C50473"/>
    <w:rsid w:val="00C50567"/>
    <w:rsid w:val="00C5062D"/>
    <w:rsid w:val="00C5201A"/>
    <w:rsid w:val="00C526C4"/>
    <w:rsid w:val="00C52C7D"/>
    <w:rsid w:val="00C53469"/>
    <w:rsid w:val="00C538FF"/>
    <w:rsid w:val="00C53B0A"/>
    <w:rsid w:val="00C5474B"/>
    <w:rsid w:val="00C5482D"/>
    <w:rsid w:val="00C5707F"/>
    <w:rsid w:val="00C60094"/>
    <w:rsid w:val="00C6031C"/>
    <w:rsid w:val="00C60338"/>
    <w:rsid w:val="00C60E35"/>
    <w:rsid w:val="00C61784"/>
    <w:rsid w:val="00C61C9C"/>
    <w:rsid w:val="00C6310F"/>
    <w:rsid w:val="00C63CBB"/>
    <w:rsid w:val="00C643FE"/>
    <w:rsid w:val="00C64C7D"/>
    <w:rsid w:val="00C677E7"/>
    <w:rsid w:val="00C679B6"/>
    <w:rsid w:val="00C701B3"/>
    <w:rsid w:val="00C70A38"/>
    <w:rsid w:val="00C71166"/>
    <w:rsid w:val="00C71BAE"/>
    <w:rsid w:val="00C723EB"/>
    <w:rsid w:val="00C731DB"/>
    <w:rsid w:val="00C748CF"/>
    <w:rsid w:val="00C76762"/>
    <w:rsid w:val="00C76FF5"/>
    <w:rsid w:val="00C775D1"/>
    <w:rsid w:val="00C77F53"/>
    <w:rsid w:val="00C80171"/>
    <w:rsid w:val="00C80588"/>
    <w:rsid w:val="00C833B0"/>
    <w:rsid w:val="00C85D03"/>
    <w:rsid w:val="00C86598"/>
    <w:rsid w:val="00C86C3E"/>
    <w:rsid w:val="00C87013"/>
    <w:rsid w:val="00C87B02"/>
    <w:rsid w:val="00C90376"/>
    <w:rsid w:val="00C90E64"/>
    <w:rsid w:val="00C92E8F"/>
    <w:rsid w:val="00C92E9C"/>
    <w:rsid w:val="00C939BD"/>
    <w:rsid w:val="00C93AAD"/>
    <w:rsid w:val="00C9449B"/>
    <w:rsid w:val="00C94E53"/>
    <w:rsid w:val="00C94FED"/>
    <w:rsid w:val="00C95415"/>
    <w:rsid w:val="00C96208"/>
    <w:rsid w:val="00C9652B"/>
    <w:rsid w:val="00C96757"/>
    <w:rsid w:val="00C96AF3"/>
    <w:rsid w:val="00C974B8"/>
    <w:rsid w:val="00C979D5"/>
    <w:rsid w:val="00CA03B8"/>
    <w:rsid w:val="00CA0785"/>
    <w:rsid w:val="00CA12AD"/>
    <w:rsid w:val="00CA19EB"/>
    <w:rsid w:val="00CA34F8"/>
    <w:rsid w:val="00CA38EA"/>
    <w:rsid w:val="00CA3C5B"/>
    <w:rsid w:val="00CA5449"/>
    <w:rsid w:val="00CA60A6"/>
    <w:rsid w:val="00CA6890"/>
    <w:rsid w:val="00CA695D"/>
    <w:rsid w:val="00CA6AE7"/>
    <w:rsid w:val="00CA79F2"/>
    <w:rsid w:val="00CB14B1"/>
    <w:rsid w:val="00CB1B6C"/>
    <w:rsid w:val="00CB2158"/>
    <w:rsid w:val="00CB2570"/>
    <w:rsid w:val="00CB322B"/>
    <w:rsid w:val="00CB444B"/>
    <w:rsid w:val="00CB4939"/>
    <w:rsid w:val="00CB678A"/>
    <w:rsid w:val="00CC0E5C"/>
    <w:rsid w:val="00CC24BE"/>
    <w:rsid w:val="00CC4F4E"/>
    <w:rsid w:val="00CC517B"/>
    <w:rsid w:val="00CC583A"/>
    <w:rsid w:val="00CC6A2E"/>
    <w:rsid w:val="00CC6AB3"/>
    <w:rsid w:val="00CC784D"/>
    <w:rsid w:val="00CD0D4D"/>
    <w:rsid w:val="00CD1BF8"/>
    <w:rsid w:val="00CD2181"/>
    <w:rsid w:val="00CD2A59"/>
    <w:rsid w:val="00CD7079"/>
    <w:rsid w:val="00CE01AB"/>
    <w:rsid w:val="00CE0357"/>
    <w:rsid w:val="00CE1BE8"/>
    <w:rsid w:val="00CE22B0"/>
    <w:rsid w:val="00CE23A8"/>
    <w:rsid w:val="00CE4165"/>
    <w:rsid w:val="00CE542E"/>
    <w:rsid w:val="00CE5DE3"/>
    <w:rsid w:val="00CE61A5"/>
    <w:rsid w:val="00CE67D4"/>
    <w:rsid w:val="00CE6A31"/>
    <w:rsid w:val="00CF1563"/>
    <w:rsid w:val="00CF2633"/>
    <w:rsid w:val="00CF2C6C"/>
    <w:rsid w:val="00CF380E"/>
    <w:rsid w:val="00CF3A14"/>
    <w:rsid w:val="00CF4807"/>
    <w:rsid w:val="00CF50DB"/>
    <w:rsid w:val="00CF617C"/>
    <w:rsid w:val="00CF76D1"/>
    <w:rsid w:val="00D00A92"/>
    <w:rsid w:val="00D027F7"/>
    <w:rsid w:val="00D03F63"/>
    <w:rsid w:val="00D043B5"/>
    <w:rsid w:val="00D05092"/>
    <w:rsid w:val="00D050CB"/>
    <w:rsid w:val="00D06609"/>
    <w:rsid w:val="00D109E3"/>
    <w:rsid w:val="00D111F2"/>
    <w:rsid w:val="00D11BCD"/>
    <w:rsid w:val="00D12107"/>
    <w:rsid w:val="00D121CD"/>
    <w:rsid w:val="00D13273"/>
    <w:rsid w:val="00D139D0"/>
    <w:rsid w:val="00D13D8E"/>
    <w:rsid w:val="00D143CB"/>
    <w:rsid w:val="00D1564C"/>
    <w:rsid w:val="00D205E2"/>
    <w:rsid w:val="00D22685"/>
    <w:rsid w:val="00D24ABD"/>
    <w:rsid w:val="00D24B3F"/>
    <w:rsid w:val="00D251F4"/>
    <w:rsid w:val="00D25AE8"/>
    <w:rsid w:val="00D26B03"/>
    <w:rsid w:val="00D26D55"/>
    <w:rsid w:val="00D2766A"/>
    <w:rsid w:val="00D27D13"/>
    <w:rsid w:val="00D27DEA"/>
    <w:rsid w:val="00D31984"/>
    <w:rsid w:val="00D31B59"/>
    <w:rsid w:val="00D321AF"/>
    <w:rsid w:val="00D34145"/>
    <w:rsid w:val="00D3473C"/>
    <w:rsid w:val="00D35078"/>
    <w:rsid w:val="00D3641E"/>
    <w:rsid w:val="00D36D54"/>
    <w:rsid w:val="00D378C5"/>
    <w:rsid w:val="00D400D1"/>
    <w:rsid w:val="00D401A3"/>
    <w:rsid w:val="00D407BB"/>
    <w:rsid w:val="00D41C30"/>
    <w:rsid w:val="00D4229D"/>
    <w:rsid w:val="00D42E8C"/>
    <w:rsid w:val="00D431DB"/>
    <w:rsid w:val="00D43351"/>
    <w:rsid w:val="00D43F16"/>
    <w:rsid w:val="00D4428F"/>
    <w:rsid w:val="00D45267"/>
    <w:rsid w:val="00D45CE0"/>
    <w:rsid w:val="00D46E7F"/>
    <w:rsid w:val="00D473DE"/>
    <w:rsid w:val="00D500C0"/>
    <w:rsid w:val="00D51A1D"/>
    <w:rsid w:val="00D530AB"/>
    <w:rsid w:val="00D53FFB"/>
    <w:rsid w:val="00D5488F"/>
    <w:rsid w:val="00D54F1E"/>
    <w:rsid w:val="00D568B0"/>
    <w:rsid w:val="00D56922"/>
    <w:rsid w:val="00D6226F"/>
    <w:rsid w:val="00D630E8"/>
    <w:rsid w:val="00D63AF7"/>
    <w:rsid w:val="00D65C42"/>
    <w:rsid w:val="00D66481"/>
    <w:rsid w:val="00D67CC6"/>
    <w:rsid w:val="00D7282B"/>
    <w:rsid w:val="00D73E3A"/>
    <w:rsid w:val="00D74154"/>
    <w:rsid w:val="00D759EE"/>
    <w:rsid w:val="00D7746B"/>
    <w:rsid w:val="00D77A91"/>
    <w:rsid w:val="00D835A3"/>
    <w:rsid w:val="00D83C88"/>
    <w:rsid w:val="00D84EFD"/>
    <w:rsid w:val="00D8637C"/>
    <w:rsid w:val="00D867B1"/>
    <w:rsid w:val="00D91EF0"/>
    <w:rsid w:val="00D94578"/>
    <w:rsid w:val="00D97CCE"/>
    <w:rsid w:val="00DA02EC"/>
    <w:rsid w:val="00DA0318"/>
    <w:rsid w:val="00DA178F"/>
    <w:rsid w:val="00DA31F6"/>
    <w:rsid w:val="00DA3786"/>
    <w:rsid w:val="00DA599D"/>
    <w:rsid w:val="00DA5CB1"/>
    <w:rsid w:val="00DA6F24"/>
    <w:rsid w:val="00DA772A"/>
    <w:rsid w:val="00DA7B8A"/>
    <w:rsid w:val="00DB2FB9"/>
    <w:rsid w:val="00DB2FCE"/>
    <w:rsid w:val="00DB30D1"/>
    <w:rsid w:val="00DB350B"/>
    <w:rsid w:val="00DB415B"/>
    <w:rsid w:val="00DB4B7C"/>
    <w:rsid w:val="00DB5457"/>
    <w:rsid w:val="00DB57B6"/>
    <w:rsid w:val="00DC0137"/>
    <w:rsid w:val="00DC0C47"/>
    <w:rsid w:val="00DC3508"/>
    <w:rsid w:val="00DC5E10"/>
    <w:rsid w:val="00DC6499"/>
    <w:rsid w:val="00DC76F4"/>
    <w:rsid w:val="00DC7B8E"/>
    <w:rsid w:val="00DD022B"/>
    <w:rsid w:val="00DD0CA0"/>
    <w:rsid w:val="00DD0CD1"/>
    <w:rsid w:val="00DD0DB5"/>
    <w:rsid w:val="00DD2B20"/>
    <w:rsid w:val="00DD2EDA"/>
    <w:rsid w:val="00DD3D03"/>
    <w:rsid w:val="00DD4AC8"/>
    <w:rsid w:val="00DD5EA2"/>
    <w:rsid w:val="00DD65D7"/>
    <w:rsid w:val="00DD76B5"/>
    <w:rsid w:val="00DE0127"/>
    <w:rsid w:val="00DE022F"/>
    <w:rsid w:val="00DE19FB"/>
    <w:rsid w:val="00DE22E3"/>
    <w:rsid w:val="00DE498C"/>
    <w:rsid w:val="00DE58FB"/>
    <w:rsid w:val="00DF00A9"/>
    <w:rsid w:val="00DF10F6"/>
    <w:rsid w:val="00DF17B7"/>
    <w:rsid w:val="00DF1DB8"/>
    <w:rsid w:val="00DF2B99"/>
    <w:rsid w:val="00DF3364"/>
    <w:rsid w:val="00DF433A"/>
    <w:rsid w:val="00DF58DC"/>
    <w:rsid w:val="00DF598D"/>
    <w:rsid w:val="00DF6D44"/>
    <w:rsid w:val="00E01E31"/>
    <w:rsid w:val="00E035A5"/>
    <w:rsid w:val="00E03C13"/>
    <w:rsid w:val="00E05CCD"/>
    <w:rsid w:val="00E061C5"/>
    <w:rsid w:val="00E07172"/>
    <w:rsid w:val="00E11557"/>
    <w:rsid w:val="00E1323C"/>
    <w:rsid w:val="00E13CF4"/>
    <w:rsid w:val="00E1553A"/>
    <w:rsid w:val="00E16B29"/>
    <w:rsid w:val="00E17448"/>
    <w:rsid w:val="00E209D9"/>
    <w:rsid w:val="00E22950"/>
    <w:rsid w:val="00E2325A"/>
    <w:rsid w:val="00E25CD8"/>
    <w:rsid w:val="00E25D73"/>
    <w:rsid w:val="00E26874"/>
    <w:rsid w:val="00E26A70"/>
    <w:rsid w:val="00E32EBF"/>
    <w:rsid w:val="00E32F05"/>
    <w:rsid w:val="00E34212"/>
    <w:rsid w:val="00E3430C"/>
    <w:rsid w:val="00E3485B"/>
    <w:rsid w:val="00E376A7"/>
    <w:rsid w:val="00E401BB"/>
    <w:rsid w:val="00E41D8B"/>
    <w:rsid w:val="00E43937"/>
    <w:rsid w:val="00E43A55"/>
    <w:rsid w:val="00E4443A"/>
    <w:rsid w:val="00E46814"/>
    <w:rsid w:val="00E507BB"/>
    <w:rsid w:val="00E50BBB"/>
    <w:rsid w:val="00E50BF1"/>
    <w:rsid w:val="00E50F8C"/>
    <w:rsid w:val="00E515EF"/>
    <w:rsid w:val="00E52540"/>
    <w:rsid w:val="00E5279F"/>
    <w:rsid w:val="00E54358"/>
    <w:rsid w:val="00E549A3"/>
    <w:rsid w:val="00E56763"/>
    <w:rsid w:val="00E57E8E"/>
    <w:rsid w:val="00E61D45"/>
    <w:rsid w:val="00E62303"/>
    <w:rsid w:val="00E70462"/>
    <w:rsid w:val="00E704A0"/>
    <w:rsid w:val="00E70943"/>
    <w:rsid w:val="00E71F8A"/>
    <w:rsid w:val="00E74507"/>
    <w:rsid w:val="00E746DA"/>
    <w:rsid w:val="00E7482D"/>
    <w:rsid w:val="00E74DD8"/>
    <w:rsid w:val="00E752CA"/>
    <w:rsid w:val="00E75553"/>
    <w:rsid w:val="00E75D29"/>
    <w:rsid w:val="00E76A98"/>
    <w:rsid w:val="00E77F02"/>
    <w:rsid w:val="00E81FDB"/>
    <w:rsid w:val="00E82699"/>
    <w:rsid w:val="00E845C5"/>
    <w:rsid w:val="00E84F20"/>
    <w:rsid w:val="00E856C5"/>
    <w:rsid w:val="00E8609A"/>
    <w:rsid w:val="00E864E4"/>
    <w:rsid w:val="00E86D46"/>
    <w:rsid w:val="00E8701F"/>
    <w:rsid w:val="00E901F6"/>
    <w:rsid w:val="00E91B6D"/>
    <w:rsid w:val="00E93911"/>
    <w:rsid w:val="00E93B1E"/>
    <w:rsid w:val="00E94AAB"/>
    <w:rsid w:val="00E94C9F"/>
    <w:rsid w:val="00E952AF"/>
    <w:rsid w:val="00E958C1"/>
    <w:rsid w:val="00EA163A"/>
    <w:rsid w:val="00EA2EC9"/>
    <w:rsid w:val="00EA4663"/>
    <w:rsid w:val="00EA49DA"/>
    <w:rsid w:val="00EA4E19"/>
    <w:rsid w:val="00EA6D9B"/>
    <w:rsid w:val="00EA76D7"/>
    <w:rsid w:val="00EB017F"/>
    <w:rsid w:val="00EB1B06"/>
    <w:rsid w:val="00EB1CFA"/>
    <w:rsid w:val="00EB1DDC"/>
    <w:rsid w:val="00EB24E6"/>
    <w:rsid w:val="00EB3A44"/>
    <w:rsid w:val="00EB429E"/>
    <w:rsid w:val="00EB441C"/>
    <w:rsid w:val="00EB540F"/>
    <w:rsid w:val="00EB61D6"/>
    <w:rsid w:val="00EB6C1F"/>
    <w:rsid w:val="00EB79F6"/>
    <w:rsid w:val="00EC0861"/>
    <w:rsid w:val="00EC1447"/>
    <w:rsid w:val="00EC19E8"/>
    <w:rsid w:val="00EC1B4E"/>
    <w:rsid w:val="00EC5066"/>
    <w:rsid w:val="00EC5D90"/>
    <w:rsid w:val="00EC6650"/>
    <w:rsid w:val="00EC6DBB"/>
    <w:rsid w:val="00EC6DE7"/>
    <w:rsid w:val="00EC6FA9"/>
    <w:rsid w:val="00EC6FAD"/>
    <w:rsid w:val="00EC7862"/>
    <w:rsid w:val="00ED30B7"/>
    <w:rsid w:val="00ED4226"/>
    <w:rsid w:val="00ED533B"/>
    <w:rsid w:val="00ED5CC0"/>
    <w:rsid w:val="00ED6F02"/>
    <w:rsid w:val="00EE1254"/>
    <w:rsid w:val="00EE386B"/>
    <w:rsid w:val="00EE3BE6"/>
    <w:rsid w:val="00EE4583"/>
    <w:rsid w:val="00EE496C"/>
    <w:rsid w:val="00EE60BF"/>
    <w:rsid w:val="00EE6837"/>
    <w:rsid w:val="00EF0684"/>
    <w:rsid w:val="00EF10D9"/>
    <w:rsid w:val="00EF327B"/>
    <w:rsid w:val="00EF407B"/>
    <w:rsid w:val="00EF5CA5"/>
    <w:rsid w:val="00EF6004"/>
    <w:rsid w:val="00EF6436"/>
    <w:rsid w:val="00EF697F"/>
    <w:rsid w:val="00EF7661"/>
    <w:rsid w:val="00EF76B2"/>
    <w:rsid w:val="00F0211B"/>
    <w:rsid w:val="00F032C6"/>
    <w:rsid w:val="00F061A0"/>
    <w:rsid w:val="00F071AC"/>
    <w:rsid w:val="00F07D8F"/>
    <w:rsid w:val="00F07E39"/>
    <w:rsid w:val="00F11909"/>
    <w:rsid w:val="00F125A4"/>
    <w:rsid w:val="00F13C0D"/>
    <w:rsid w:val="00F13DC3"/>
    <w:rsid w:val="00F14CD3"/>
    <w:rsid w:val="00F176F1"/>
    <w:rsid w:val="00F178A7"/>
    <w:rsid w:val="00F17C97"/>
    <w:rsid w:val="00F17D3C"/>
    <w:rsid w:val="00F205C0"/>
    <w:rsid w:val="00F220C4"/>
    <w:rsid w:val="00F222D7"/>
    <w:rsid w:val="00F23068"/>
    <w:rsid w:val="00F23095"/>
    <w:rsid w:val="00F23226"/>
    <w:rsid w:val="00F24430"/>
    <w:rsid w:val="00F249AB"/>
    <w:rsid w:val="00F2605D"/>
    <w:rsid w:val="00F26076"/>
    <w:rsid w:val="00F26250"/>
    <w:rsid w:val="00F2694F"/>
    <w:rsid w:val="00F2738E"/>
    <w:rsid w:val="00F300BB"/>
    <w:rsid w:val="00F30AE8"/>
    <w:rsid w:val="00F312D0"/>
    <w:rsid w:val="00F328AF"/>
    <w:rsid w:val="00F32CB0"/>
    <w:rsid w:val="00F34032"/>
    <w:rsid w:val="00F355DE"/>
    <w:rsid w:val="00F36682"/>
    <w:rsid w:val="00F37415"/>
    <w:rsid w:val="00F37F49"/>
    <w:rsid w:val="00F409CB"/>
    <w:rsid w:val="00F417BE"/>
    <w:rsid w:val="00F42338"/>
    <w:rsid w:val="00F425C6"/>
    <w:rsid w:val="00F42E0D"/>
    <w:rsid w:val="00F47A61"/>
    <w:rsid w:val="00F513E9"/>
    <w:rsid w:val="00F51D8C"/>
    <w:rsid w:val="00F52F50"/>
    <w:rsid w:val="00F5603E"/>
    <w:rsid w:val="00F56482"/>
    <w:rsid w:val="00F56755"/>
    <w:rsid w:val="00F57AC9"/>
    <w:rsid w:val="00F60930"/>
    <w:rsid w:val="00F627ED"/>
    <w:rsid w:val="00F634CB"/>
    <w:rsid w:val="00F6485D"/>
    <w:rsid w:val="00F64DA6"/>
    <w:rsid w:val="00F6522E"/>
    <w:rsid w:val="00F65979"/>
    <w:rsid w:val="00F668BC"/>
    <w:rsid w:val="00F66991"/>
    <w:rsid w:val="00F66C2D"/>
    <w:rsid w:val="00F67B74"/>
    <w:rsid w:val="00F7035E"/>
    <w:rsid w:val="00F70585"/>
    <w:rsid w:val="00F70C93"/>
    <w:rsid w:val="00F70D08"/>
    <w:rsid w:val="00F72988"/>
    <w:rsid w:val="00F733A7"/>
    <w:rsid w:val="00F73489"/>
    <w:rsid w:val="00F73A81"/>
    <w:rsid w:val="00F75824"/>
    <w:rsid w:val="00F75F75"/>
    <w:rsid w:val="00F7649B"/>
    <w:rsid w:val="00F77DC6"/>
    <w:rsid w:val="00F8121E"/>
    <w:rsid w:val="00F816B5"/>
    <w:rsid w:val="00F82621"/>
    <w:rsid w:val="00F83488"/>
    <w:rsid w:val="00F84D5C"/>
    <w:rsid w:val="00F8669D"/>
    <w:rsid w:val="00F86710"/>
    <w:rsid w:val="00F86AA4"/>
    <w:rsid w:val="00F86F7F"/>
    <w:rsid w:val="00F90829"/>
    <w:rsid w:val="00F91140"/>
    <w:rsid w:val="00F9156E"/>
    <w:rsid w:val="00F937B9"/>
    <w:rsid w:val="00F93CDE"/>
    <w:rsid w:val="00F93E18"/>
    <w:rsid w:val="00F94017"/>
    <w:rsid w:val="00F943B8"/>
    <w:rsid w:val="00F9774B"/>
    <w:rsid w:val="00FA02BD"/>
    <w:rsid w:val="00FA06A7"/>
    <w:rsid w:val="00FA0F3F"/>
    <w:rsid w:val="00FA29E9"/>
    <w:rsid w:val="00FA32CC"/>
    <w:rsid w:val="00FA3AA2"/>
    <w:rsid w:val="00FB0BFF"/>
    <w:rsid w:val="00FB129C"/>
    <w:rsid w:val="00FB14FB"/>
    <w:rsid w:val="00FB15CE"/>
    <w:rsid w:val="00FB165D"/>
    <w:rsid w:val="00FB3128"/>
    <w:rsid w:val="00FB4AC3"/>
    <w:rsid w:val="00FB5A50"/>
    <w:rsid w:val="00FB78B0"/>
    <w:rsid w:val="00FC057E"/>
    <w:rsid w:val="00FC074C"/>
    <w:rsid w:val="00FC09A8"/>
    <w:rsid w:val="00FC1B26"/>
    <w:rsid w:val="00FC2327"/>
    <w:rsid w:val="00FC271B"/>
    <w:rsid w:val="00FC3F4D"/>
    <w:rsid w:val="00FC5112"/>
    <w:rsid w:val="00FC6789"/>
    <w:rsid w:val="00FC788D"/>
    <w:rsid w:val="00FC7C12"/>
    <w:rsid w:val="00FC7C6A"/>
    <w:rsid w:val="00FD1ED6"/>
    <w:rsid w:val="00FD20CD"/>
    <w:rsid w:val="00FD51B1"/>
    <w:rsid w:val="00FD5419"/>
    <w:rsid w:val="00FD574A"/>
    <w:rsid w:val="00FD593B"/>
    <w:rsid w:val="00FD6445"/>
    <w:rsid w:val="00FD71E0"/>
    <w:rsid w:val="00FE0263"/>
    <w:rsid w:val="00FE0E5A"/>
    <w:rsid w:val="00FE2E87"/>
    <w:rsid w:val="00FE31A8"/>
    <w:rsid w:val="00FE4060"/>
    <w:rsid w:val="00FE5461"/>
    <w:rsid w:val="00FE5ABB"/>
    <w:rsid w:val="00FE603E"/>
    <w:rsid w:val="00FE685B"/>
    <w:rsid w:val="00FE6C46"/>
    <w:rsid w:val="00FE6D2D"/>
    <w:rsid w:val="00FF01EF"/>
    <w:rsid w:val="00FF045B"/>
    <w:rsid w:val="00FF1464"/>
    <w:rsid w:val="00FF19D6"/>
    <w:rsid w:val="00FF1EC1"/>
    <w:rsid w:val="00FF20AB"/>
    <w:rsid w:val="00FF20CA"/>
    <w:rsid w:val="00FF2758"/>
    <w:rsid w:val="00FF2C37"/>
    <w:rsid w:val="00FF3C5E"/>
    <w:rsid w:val="00FF3FE2"/>
    <w:rsid w:val="00FF6020"/>
    <w:rsid w:val="00FF6C3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64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FC"/>
    <w:rPr>
      <w:rFonts w:ascii="Century Gothic" w:hAnsi="Century Gothic"/>
      <w:sz w:val="22"/>
    </w:rPr>
  </w:style>
  <w:style w:type="paragraph" w:styleId="Heading1">
    <w:name w:val="heading 1"/>
    <w:basedOn w:val="Normal"/>
    <w:next w:val="Normal"/>
    <w:link w:val="Heading1Char"/>
    <w:qFormat/>
    <w:rsid w:val="00584BA8"/>
    <w:pPr>
      <w:keepNext/>
      <w:keepLines/>
      <w:spacing w:before="480"/>
      <w:outlineLvl w:val="0"/>
    </w:pPr>
    <w:rPr>
      <w:rFonts w:asciiTheme="majorHAnsi" w:eastAsiaTheme="majorEastAsia" w:hAnsiTheme="majorHAnsi" w:cstheme="majorBidi"/>
      <w:b/>
      <w:bCs/>
      <w:color w:val="365F91" w:themeColor="accent1" w:themeShade="BF"/>
      <w:sz w:val="28"/>
      <w:szCs w:val="28"/>
      <w:lang w:val="en-AU"/>
    </w:rPr>
  </w:style>
  <w:style w:type="paragraph" w:styleId="Heading2">
    <w:name w:val="heading 2"/>
    <w:basedOn w:val="Normal"/>
    <w:next w:val="Normal"/>
    <w:link w:val="Heading2Char"/>
    <w:rsid w:val="008336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83363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BF7963"/>
    <w:rPr>
      <w:rFonts w:ascii="Lucida Grande" w:hAnsi="Lucida Grande"/>
      <w:sz w:val="18"/>
      <w:szCs w:val="18"/>
    </w:rPr>
  </w:style>
  <w:style w:type="character" w:customStyle="1" w:styleId="BalloonTextChar">
    <w:name w:val="Balloon Text Char"/>
    <w:basedOn w:val="DefaultParagraphFont"/>
    <w:uiPriority w:val="99"/>
    <w:semiHidden/>
    <w:rsid w:val="007F6E82"/>
    <w:rPr>
      <w:rFonts w:ascii="Lucida Grande" w:hAnsi="Lucida Grande"/>
      <w:sz w:val="18"/>
      <w:szCs w:val="18"/>
    </w:rPr>
  </w:style>
  <w:style w:type="character" w:customStyle="1" w:styleId="BalloonTextChar11">
    <w:name w:val="Balloon Text Char11"/>
    <w:basedOn w:val="DefaultParagraphFont"/>
    <w:uiPriority w:val="99"/>
    <w:semiHidden/>
    <w:rsid w:val="007A1C8D"/>
    <w:rPr>
      <w:rFonts w:ascii="Lucida Grande" w:hAnsi="Lucida Grande"/>
      <w:sz w:val="18"/>
      <w:szCs w:val="18"/>
    </w:rPr>
  </w:style>
  <w:style w:type="character" w:customStyle="1" w:styleId="BalloonTextChar10">
    <w:name w:val="Balloon Text Char10"/>
    <w:basedOn w:val="DefaultParagraphFont"/>
    <w:uiPriority w:val="99"/>
    <w:semiHidden/>
    <w:rsid w:val="00E901CB"/>
    <w:rPr>
      <w:rFonts w:ascii="Lucida Grande" w:hAnsi="Lucida Grande"/>
      <w:sz w:val="18"/>
      <w:szCs w:val="18"/>
    </w:rPr>
  </w:style>
  <w:style w:type="character" w:customStyle="1" w:styleId="BalloonTextChar9">
    <w:name w:val="Balloon Text Char9"/>
    <w:basedOn w:val="DefaultParagraphFont"/>
    <w:uiPriority w:val="99"/>
    <w:semiHidden/>
    <w:rsid w:val="00E37E08"/>
    <w:rPr>
      <w:rFonts w:ascii="Lucida Grande" w:hAnsi="Lucida Grande"/>
      <w:sz w:val="18"/>
      <w:szCs w:val="18"/>
    </w:rPr>
  </w:style>
  <w:style w:type="character" w:customStyle="1" w:styleId="BalloonTextChar8">
    <w:name w:val="Balloon Text Char8"/>
    <w:basedOn w:val="DefaultParagraphFont"/>
    <w:uiPriority w:val="99"/>
    <w:semiHidden/>
    <w:rsid w:val="00E264BE"/>
    <w:rPr>
      <w:rFonts w:ascii="Lucida Grande" w:hAnsi="Lucida Grande"/>
      <w:sz w:val="18"/>
      <w:szCs w:val="18"/>
    </w:rPr>
  </w:style>
  <w:style w:type="character" w:customStyle="1" w:styleId="BalloonTextChar7">
    <w:name w:val="Balloon Text Char7"/>
    <w:basedOn w:val="DefaultParagraphFont"/>
    <w:uiPriority w:val="99"/>
    <w:semiHidden/>
    <w:rsid w:val="00CB27E8"/>
    <w:rPr>
      <w:rFonts w:ascii="Lucida Grande" w:hAnsi="Lucida Grande"/>
      <w:sz w:val="18"/>
      <w:szCs w:val="18"/>
    </w:rPr>
  </w:style>
  <w:style w:type="character" w:customStyle="1" w:styleId="BalloonTextChar6">
    <w:name w:val="Balloon Text Char6"/>
    <w:basedOn w:val="DefaultParagraphFont"/>
    <w:uiPriority w:val="99"/>
    <w:semiHidden/>
    <w:rsid w:val="00496083"/>
    <w:rPr>
      <w:rFonts w:ascii="Lucida Grande" w:hAnsi="Lucida Grande"/>
      <w:sz w:val="18"/>
      <w:szCs w:val="18"/>
    </w:rPr>
  </w:style>
  <w:style w:type="character" w:customStyle="1" w:styleId="BalloonTextChar5">
    <w:name w:val="Balloon Text Char5"/>
    <w:basedOn w:val="DefaultParagraphFont"/>
    <w:uiPriority w:val="99"/>
    <w:semiHidden/>
    <w:rsid w:val="00FC30B1"/>
    <w:rPr>
      <w:rFonts w:ascii="Lucida Grande" w:hAnsi="Lucida Grande"/>
      <w:sz w:val="18"/>
      <w:szCs w:val="18"/>
    </w:rPr>
  </w:style>
  <w:style w:type="character" w:customStyle="1" w:styleId="BalloonTextChar4">
    <w:name w:val="Balloon Text Char4"/>
    <w:basedOn w:val="DefaultParagraphFont"/>
    <w:uiPriority w:val="99"/>
    <w:semiHidden/>
    <w:rsid w:val="005A246D"/>
    <w:rPr>
      <w:rFonts w:ascii="Lucida Grande" w:hAnsi="Lucida Grande"/>
      <w:sz w:val="18"/>
      <w:szCs w:val="18"/>
    </w:rPr>
  </w:style>
  <w:style w:type="character" w:customStyle="1" w:styleId="BalloonTextChar3">
    <w:name w:val="Balloon Text Char3"/>
    <w:basedOn w:val="DefaultParagraphFont"/>
    <w:uiPriority w:val="99"/>
    <w:semiHidden/>
    <w:rsid w:val="00600EA5"/>
    <w:rPr>
      <w:rFonts w:ascii="Lucida Grande" w:hAnsi="Lucida Grande"/>
      <w:sz w:val="18"/>
      <w:szCs w:val="18"/>
    </w:rPr>
  </w:style>
  <w:style w:type="character" w:customStyle="1" w:styleId="Heading1Char">
    <w:name w:val="Heading 1 Char"/>
    <w:basedOn w:val="DefaultParagraphFont"/>
    <w:link w:val="Heading1"/>
    <w:rsid w:val="00584BA8"/>
    <w:rPr>
      <w:rFonts w:asciiTheme="majorHAnsi" w:eastAsiaTheme="majorEastAsia" w:hAnsiTheme="majorHAnsi" w:cstheme="majorBidi"/>
      <w:b/>
      <w:bCs/>
      <w:color w:val="365F91" w:themeColor="accent1" w:themeShade="BF"/>
      <w:sz w:val="28"/>
      <w:szCs w:val="28"/>
      <w:lang w:val="en-AU"/>
    </w:rPr>
  </w:style>
  <w:style w:type="paragraph" w:styleId="ListParagraph">
    <w:name w:val="List Paragraph"/>
    <w:basedOn w:val="Normal"/>
    <w:uiPriority w:val="34"/>
    <w:qFormat/>
    <w:rsid w:val="00992100"/>
    <w:pPr>
      <w:ind w:left="720"/>
      <w:contextualSpacing/>
    </w:pPr>
  </w:style>
  <w:style w:type="character" w:styleId="Hyperlink">
    <w:name w:val="Hyperlink"/>
    <w:basedOn w:val="DefaultParagraphFont"/>
    <w:uiPriority w:val="99"/>
    <w:unhideWhenUsed/>
    <w:rsid w:val="00BF7963"/>
    <w:rPr>
      <w:color w:val="0000FF" w:themeColor="hyperlink"/>
      <w:u w:val="single"/>
    </w:rPr>
  </w:style>
  <w:style w:type="character" w:styleId="CommentReference">
    <w:name w:val="annotation reference"/>
    <w:basedOn w:val="DefaultParagraphFont"/>
    <w:uiPriority w:val="99"/>
    <w:semiHidden/>
    <w:unhideWhenUsed/>
    <w:rsid w:val="00BF7963"/>
    <w:rPr>
      <w:sz w:val="18"/>
      <w:szCs w:val="18"/>
    </w:rPr>
  </w:style>
  <w:style w:type="paragraph" w:styleId="CommentText">
    <w:name w:val="annotation text"/>
    <w:basedOn w:val="Normal"/>
    <w:link w:val="CommentTextChar"/>
    <w:uiPriority w:val="99"/>
    <w:unhideWhenUsed/>
    <w:rsid w:val="00BF7963"/>
    <w:pPr>
      <w:spacing w:after="160"/>
    </w:pPr>
    <w:rPr>
      <w:rFonts w:asciiTheme="minorHAnsi" w:hAnsiTheme="minorHAnsi"/>
      <w:sz w:val="24"/>
      <w:lang w:val="en-AU"/>
    </w:rPr>
  </w:style>
  <w:style w:type="character" w:customStyle="1" w:styleId="CommentTextChar">
    <w:name w:val="Comment Text Char"/>
    <w:basedOn w:val="DefaultParagraphFont"/>
    <w:link w:val="CommentText"/>
    <w:uiPriority w:val="99"/>
    <w:rsid w:val="00BF7963"/>
    <w:rPr>
      <w:lang w:val="en-AU"/>
    </w:rPr>
  </w:style>
  <w:style w:type="character" w:customStyle="1" w:styleId="BalloonTextChar2">
    <w:name w:val="Balloon Text Char2"/>
    <w:basedOn w:val="DefaultParagraphFont"/>
    <w:link w:val="BalloonText"/>
    <w:uiPriority w:val="99"/>
    <w:semiHidden/>
    <w:rsid w:val="00BF7963"/>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B61610"/>
    <w:pPr>
      <w:spacing w:after="0"/>
    </w:pPr>
    <w:rPr>
      <w:rFonts w:ascii="Century Gothic" w:hAnsi="Century Gothic"/>
      <w:b/>
      <w:bCs/>
      <w:sz w:val="20"/>
      <w:szCs w:val="20"/>
      <w:lang w:val="en-US"/>
    </w:rPr>
  </w:style>
  <w:style w:type="character" w:customStyle="1" w:styleId="CommentSubjectChar">
    <w:name w:val="Comment Subject Char"/>
    <w:basedOn w:val="CommentTextChar"/>
    <w:link w:val="CommentSubject"/>
    <w:uiPriority w:val="99"/>
    <w:semiHidden/>
    <w:rsid w:val="00B61610"/>
    <w:rPr>
      <w:rFonts w:ascii="Century Gothic" w:hAnsi="Century Gothic"/>
      <w:b/>
      <w:bCs/>
      <w:sz w:val="20"/>
      <w:szCs w:val="20"/>
      <w:lang w:val="en-AU"/>
    </w:rPr>
  </w:style>
  <w:style w:type="paragraph" w:styleId="FootnoteText">
    <w:name w:val="footnote text"/>
    <w:basedOn w:val="Normal"/>
    <w:link w:val="FootnoteTextChar"/>
    <w:uiPriority w:val="99"/>
    <w:semiHidden/>
    <w:unhideWhenUsed/>
    <w:rsid w:val="006A7B95"/>
    <w:rPr>
      <w:rFonts w:asciiTheme="minorHAnsi" w:hAnsiTheme="minorHAnsi"/>
      <w:sz w:val="20"/>
      <w:szCs w:val="20"/>
      <w:lang w:val="en-AU"/>
    </w:rPr>
  </w:style>
  <w:style w:type="character" w:customStyle="1" w:styleId="FootnoteTextChar">
    <w:name w:val="Footnote Text Char"/>
    <w:basedOn w:val="DefaultParagraphFont"/>
    <w:link w:val="FootnoteText"/>
    <w:uiPriority w:val="99"/>
    <w:semiHidden/>
    <w:rsid w:val="006A7B95"/>
    <w:rPr>
      <w:sz w:val="20"/>
      <w:szCs w:val="20"/>
      <w:lang w:val="en-AU"/>
    </w:rPr>
  </w:style>
  <w:style w:type="character" w:styleId="FootnoteReference">
    <w:name w:val="footnote reference"/>
    <w:aliases w:val="ftref,Normal + Font:9 Point,Superscript 3 Point Times,16 Point,Superscript 6 Point,Fußnotenzeichen DISS,fr,BVI fnr,(NECG) Footnote Reference,footnote ref,Char Char Char Char Car Char,Ref,de nota al pie,Superscript 6 Point + 11 pt"/>
    <w:basedOn w:val="DefaultParagraphFont"/>
    <w:link w:val="referencianotaalpieChar"/>
    <w:uiPriority w:val="99"/>
    <w:unhideWhenUsed/>
    <w:qFormat/>
    <w:rsid w:val="006A7B95"/>
    <w:rPr>
      <w:vertAlign w:val="superscript"/>
    </w:rPr>
  </w:style>
  <w:style w:type="table" w:styleId="TableGrid">
    <w:name w:val="Table Grid"/>
    <w:basedOn w:val="TableNormal"/>
    <w:uiPriority w:val="39"/>
    <w:rsid w:val="00042E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24570"/>
    <w:pPr>
      <w:spacing w:beforeLines="1" w:afterLines="1"/>
    </w:pPr>
    <w:rPr>
      <w:rFonts w:ascii="Times" w:hAnsi="Times" w:cs="Times New Roman"/>
      <w:sz w:val="20"/>
      <w:szCs w:val="20"/>
      <w:lang w:val="en-GB"/>
    </w:rPr>
  </w:style>
  <w:style w:type="paragraph" w:styleId="EndnoteText">
    <w:name w:val="endnote text"/>
    <w:basedOn w:val="Normal"/>
    <w:link w:val="EndnoteTextChar"/>
    <w:uiPriority w:val="99"/>
    <w:unhideWhenUsed/>
    <w:rsid w:val="00924570"/>
    <w:rPr>
      <w:sz w:val="24"/>
    </w:rPr>
  </w:style>
  <w:style w:type="character" w:customStyle="1" w:styleId="EndnoteTextChar">
    <w:name w:val="Endnote Text Char"/>
    <w:basedOn w:val="DefaultParagraphFont"/>
    <w:link w:val="EndnoteText"/>
    <w:uiPriority w:val="99"/>
    <w:rsid w:val="00924570"/>
    <w:rPr>
      <w:rFonts w:ascii="Century Gothic" w:hAnsi="Century Gothic"/>
    </w:rPr>
  </w:style>
  <w:style w:type="character" w:styleId="EndnoteReference">
    <w:name w:val="endnote reference"/>
    <w:basedOn w:val="DefaultParagraphFont"/>
    <w:uiPriority w:val="99"/>
    <w:semiHidden/>
    <w:unhideWhenUsed/>
    <w:rsid w:val="00924570"/>
    <w:rPr>
      <w:vertAlign w:val="superscript"/>
    </w:rPr>
  </w:style>
  <w:style w:type="paragraph" w:styleId="Footer">
    <w:name w:val="footer"/>
    <w:basedOn w:val="Normal"/>
    <w:link w:val="FooterChar"/>
    <w:uiPriority w:val="99"/>
    <w:unhideWhenUsed/>
    <w:rsid w:val="00964848"/>
    <w:pPr>
      <w:tabs>
        <w:tab w:val="center" w:pos="4320"/>
        <w:tab w:val="right" w:pos="8640"/>
      </w:tabs>
    </w:pPr>
  </w:style>
  <w:style w:type="character" w:customStyle="1" w:styleId="FooterChar">
    <w:name w:val="Footer Char"/>
    <w:basedOn w:val="DefaultParagraphFont"/>
    <w:link w:val="Footer"/>
    <w:uiPriority w:val="99"/>
    <w:rsid w:val="00964848"/>
    <w:rPr>
      <w:rFonts w:ascii="Century Gothic" w:hAnsi="Century Gothic"/>
      <w:sz w:val="22"/>
    </w:rPr>
  </w:style>
  <w:style w:type="character" w:styleId="PageNumber">
    <w:name w:val="page number"/>
    <w:basedOn w:val="DefaultParagraphFont"/>
    <w:uiPriority w:val="99"/>
    <w:semiHidden/>
    <w:unhideWhenUsed/>
    <w:rsid w:val="00964848"/>
  </w:style>
  <w:style w:type="paragraph" w:styleId="Header">
    <w:name w:val="header"/>
    <w:basedOn w:val="Normal"/>
    <w:link w:val="HeaderChar"/>
    <w:uiPriority w:val="99"/>
    <w:unhideWhenUsed/>
    <w:rsid w:val="00584BA8"/>
    <w:pPr>
      <w:tabs>
        <w:tab w:val="center" w:pos="4513"/>
        <w:tab w:val="right" w:pos="9026"/>
      </w:tabs>
    </w:pPr>
    <w:rPr>
      <w:rFonts w:asciiTheme="minorHAnsi" w:hAnsiTheme="minorHAnsi"/>
      <w:szCs w:val="22"/>
      <w:lang w:val="en-AU"/>
    </w:rPr>
  </w:style>
  <w:style w:type="character" w:customStyle="1" w:styleId="HeaderChar">
    <w:name w:val="Header Char"/>
    <w:basedOn w:val="DefaultParagraphFont"/>
    <w:link w:val="Header"/>
    <w:uiPriority w:val="99"/>
    <w:rsid w:val="00584BA8"/>
    <w:rPr>
      <w:sz w:val="22"/>
      <w:szCs w:val="22"/>
      <w:lang w:val="en-AU"/>
    </w:rPr>
  </w:style>
  <w:style w:type="paragraph" w:customStyle="1" w:styleId="yiv7228263507ydp7d024440msonormal">
    <w:name w:val="yiv7228263507ydp7d024440msonormal"/>
    <w:basedOn w:val="Normal"/>
    <w:rsid w:val="00584BA8"/>
    <w:pPr>
      <w:spacing w:beforeLines="1" w:afterLines="1"/>
    </w:pPr>
    <w:rPr>
      <w:rFonts w:ascii="Times" w:hAnsi="Times"/>
      <w:sz w:val="20"/>
      <w:szCs w:val="20"/>
      <w:lang w:val="en-GB"/>
    </w:rPr>
  </w:style>
  <w:style w:type="paragraph" w:customStyle="1" w:styleId="yiv8907999203ydp97ae8a4fmsonormal">
    <w:name w:val="yiv8907999203ydp97ae8a4fmsonormal"/>
    <w:basedOn w:val="Normal"/>
    <w:rsid w:val="00584BA8"/>
    <w:pPr>
      <w:spacing w:beforeLines="1" w:afterLines="1"/>
    </w:pPr>
    <w:rPr>
      <w:rFonts w:ascii="Times" w:hAnsi="Times"/>
      <w:sz w:val="20"/>
      <w:szCs w:val="20"/>
      <w:lang w:val="en-GB"/>
    </w:rPr>
  </w:style>
  <w:style w:type="character" w:customStyle="1" w:styleId="apple-converted-space">
    <w:name w:val="apple-converted-space"/>
    <w:basedOn w:val="DefaultParagraphFont"/>
    <w:rsid w:val="00584BA8"/>
  </w:style>
  <w:style w:type="paragraph" w:customStyle="1" w:styleId="textbox">
    <w:name w:val="textbox"/>
    <w:basedOn w:val="Normal"/>
    <w:rsid w:val="00513E82"/>
    <w:pPr>
      <w:spacing w:beforeLines="1" w:afterLines="1"/>
    </w:pPr>
    <w:rPr>
      <w:rFonts w:ascii="Times" w:hAnsi="Times"/>
      <w:sz w:val="20"/>
      <w:szCs w:val="20"/>
      <w:lang w:val="en-GB"/>
    </w:rPr>
  </w:style>
  <w:style w:type="paragraph" w:styleId="Title">
    <w:name w:val="Title"/>
    <w:basedOn w:val="Normal"/>
    <w:next w:val="Normal"/>
    <w:link w:val="TitleChar"/>
    <w:uiPriority w:val="10"/>
    <w:qFormat/>
    <w:rsid w:val="00A84923"/>
    <w:pPr>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A84923"/>
    <w:rPr>
      <w:rFonts w:asciiTheme="majorHAnsi" w:eastAsiaTheme="majorEastAsia" w:hAnsiTheme="majorHAnsi" w:cstheme="majorBidi"/>
      <w:spacing w:val="-10"/>
      <w:kern w:val="28"/>
      <w:sz w:val="56"/>
      <w:szCs w:val="56"/>
      <w:lang w:val="en-AU"/>
    </w:rPr>
  </w:style>
  <w:style w:type="character" w:customStyle="1" w:styleId="UnresolvedMention1">
    <w:name w:val="Unresolved Mention1"/>
    <w:basedOn w:val="DefaultParagraphFont"/>
    <w:uiPriority w:val="99"/>
    <w:semiHidden/>
    <w:unhideWhenUsed/>
    <w:rsid w:val="00B702E2"/>
    <w:rPr>
      <w:color w:val="808080"/>
      <w:shd w:val="clear" w:color="auto" w:fill="E6E6E6"/>
    </w:rPr>
  </w:style>
  <w:style w:type="paragraph" w:styleId="NoSpacing">
    <w:name w:val="No Spacing"/>
    <w:uiPriority w:val="1"/>
    <w:qFormat/>
    <w:rsid w:val="00B702E2"/>
    <w:rPr>
      <w:sz w:val="22"/>
      <w:szCs w:val="22"/>
      <w:lang w:val="en-AU"/>
    </w:rPr>
  </w:style>
  <w:style w:type="character" w:customStyle="1" w:styleId="BalloonTextChar1">
    <w:name w:val="Balloon Text Char1"/>
    <w:basedOn w:val="DefaultParagraphFont"/>
    <w:uiPriority w:val="99"/>
    <w:semiHidden/>
    <w:rsid w:val="00B702E2"/>
    <w:rPr>
      <w:rFonts w:ascii="Segoe UI" w:hAnsi="Segoe UI" w:cs="Segoe UI"/>
      <w:sz w:val="18"/>
      <w:szCs w:val="18"/>
    </w:rPr>
  </w:style>
  <w:style w:type="paragraph" w:styleId="TOCHeading">
    <w:name w:val="TOC Heading"/>
    <w:basedOn w:val="Heading1"/>
    <w:next w:val="Normal"/>
    <w:uiPriority w:val="39"/>
    <w:unhideWhenUsed/>
    <w:qFormat/>
    <w:rsid w:val="00071E87"/>
    <w:pPr>
      <w:spacing w:line="276" w:lineRule="auto"/>
      <w:outlineLvl w:val="9"/>
    </w:pPr>
    <w:rPr>
      <w:lang w:val="en-US"/>
    </w:rPr>
  </w:style>
  <w:style w:type="paragraph" w:styleId="TOC2">
    <w:name w:val="toc 2"/>
    <w:basedOn w:val="Normal"/>
    <w:next w:val="Normal"/>
    <w:autoRedefine/>
    <w:uiPriority w:val="39"/>
    <w:unhideWhenUsed/>
    <w:rsid w:val="00071E87"/>
    <w:rPr>
      <w:rFonts w:asciiTheme="minorHAnsi" w:hAnsiTheme="minorHAnsi"/>
      <w:szCs w:val="22"/>
    </w:rPr>
  </w:style>
  <w:style w:type="paragraph" w:styleId="TOC1">
    <w:name w:val="toc 1"/>
    <w:basedOn w:val="Normal"/>
    <w:next w:val="Normal"/>
    <w:autoRedefine/>
    <w:uiPriority w:val="39"/>
    <w:unhideWhenUsed/>
    <w:rsid w:val="00440070"/>
    <w:pPr>
      <w:spacing w:before="120"/>
    </w:pPr>
    <w:rPr>
      <w:rFonts w:asciiTheme="majorHAnsi" w:hAnsiTheme="majorHAnsi"/>
      <w:b/>
      <w:color w:val="548DD4"/>
      <w:sz w:val="24"/>
    </w:rPr>
  </w:style>
  <w:style w:type="paragraph" w:styleId="TOC3">
    <w:name w:val="toc 3"/>
    <w:basedOn w:val="Normal"/>
    <w:next w:val="Normal"/>
    <w:autoRedefine/>
    <w:uiPriority w:val="39"/>
    <w:unhideWhenUsed/>
    <w:rsid w:val="00071E87"/>
    <w:pPr>
      <w:ind w:left="220"/>
    </w:pPr>
    <w:rPr>
      <w:rFonts w:asciiTheme="minorHAnsi" w:hAnsiTheme="minorHAnsi"/>
      <w:i/>
      <w:szCs w:val="22"/>
    </w:rPr>
  </w:style>
  <w:style w:type="paragraph" w:styleId="TOC4">
    <w:name w:val="toc 4"/>
    <w:basedOn w:val="Normal"/>
    <w:next w:val="Normal"/>
    <w:autoRedefine/>
    <w:uiPriority w:val="39"/>
    <w:semiHidden/>
    <w:unhideWhenUsed/>
    <w:rsid w:val="00071E87"/>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semiHidden/>
    <w:unhideWhenUsed/>
    <w:rsid w:val="00071E87"/>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semiHidden/>
    <w:unhideWhenUsed/>
    <w:rsid w:val="00071E87"/>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semiHidden/>
    <w:unhideWhenUsed/>
    <w:rsid w:val="00071E87"/>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semiHidden/>
    <w:unhideWhenUsed/>
    <w:rsid w:val="00071E87"/>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semiHidden/>
    <w:unhideWhenUsed/>
    <w:rsid w:val="00071E87"/>
    <w:pPr>
      <w:pBdr>
        <w:between w:val="double" w:sz="6" w:space="0" w:color="auto"/>
      </w:pBdr>
      <w:ind w:left="1540"/>
    </w:pPr>
    <w:rPr>
      <w:rFonts w:asciiTheme="minorHAnsi" w:hAnsiTheme="minorHAnsi"/>
      <w:sz w:val="20"/>
      <w:szCs w:val="20"/>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55518A"/>
    <w:pPr>
      <w:spacing w:after="160" w:line="240" w:lineRule="exact"/>
    </w:pPr>
    <w:rPr>
      <w:rFonts w:asciiTheme="minorHAnsi" w:hAnsiTheme="minorHAnsi"/>
      <w:sz w:val="24"/>
      <w:vertAlign w:val="superscript"/>
    </w:rPr>
  </w:style>
  <w:style w:type="paragraph" w:customStyle="1" w:styleId="TitleSubheading">
    <w:name w:val="Title Sub heading"/>
    <w:basedOn w:val="Normal"/>
    <w:rsid w:val="005D51A5"/>
    <w:pPr>
      <w:spacing w:after="120"/>
      <w:ind w:left="720"/>
      <w:jc w:val="both"/>
    </w:pPr>
    <w:rPr>
      <w:rFonts w:ascii="Arial" w:eastAsia="Times New Roman" w:hAnsi="Arial" w:cs="Mangal"/>
      <w:sz w:val="32"/>
      <w:lang w:val="en-GB" w:eastAsia="en-GB" w:bidi="hi-IN"/>
    </w:rPr>
  </w:style>
  <w:style w:type="paragraph" w:customStyle="1" w:styleId="TitleAuthors">
    <w:name w:val="Title Authors"/>
    <w:basedOn w:val="Normal"/>
    <w:rsid w:val="005D51A5"/>
    <w:pPr>
      <w:spacing w:after="120"/>
      <w:ind w:left="720"/>
      <w:jc w:val="both"/>
    </w:pPr>
    <w:rPr>
      <w:rFonts w:ascii="Arial" w:eastAsia="Times New Roman" w:hAnsi="Arial" w:cs="Mangal"/>
      <w:color w:val="C0C0C0"/>
      <w:sz w:val="28"/>
      <w:szCs w:val="28"/>
      <w:lang w:val="en-GB" w:eastAsia="en-GB" w:bidi="hi-IN"/>
    </w:rPr>
  </w:style>
  <w:style w:type="paragraph" w:customStyle="1" w:styleId="HRFAddress">
    <w:name w:val="HRF Address"/>
    <w:basedOn w:val="Normal"/>
    <w:rsid w:val="005D51A5"/>
    <w:pPr>
      <w:ind w:left="720"/>
      <w:jc w:val="both"/>
    </w:pPr>
    <w:rPr>
      <w:rFonts w:ascii="Arial" w:eastAsia="Times New Roman" w:hAnsi="Arial" w:cs="Arial"/>
      <w:szCs w:val="22"/>
      <w:lang w:val="en-GB" w:eastAsia="en-GB" w:bidi="hi-IN"/>
    </w:rPr>
  </w:style>
  <w:style w:type="paragraph" w:customStyle="1" w:styleId="Style1">
    <w:name w:val="Style1"/>
    <w:basedOn w:val="Title"/>
    <w:qFormat/>
    <w:rsid w:val="000135D5"/>
    <w:rPr>
      <w:caps/>
    </w:rPr>
  </w:style>
  <w:style w:type="paragraph" w:customStyle="1" w:styleId="Style2">
    <w:name w:val="Style2"/>
    <w:basedOn w:val="TOC1"/>
    <w:qFormat/>
    <w:rsid w:val="000135D5"/>
    <w:rPr>
      <w:sz w:val="32"/>
    </w:rPr>
  </w:style>
  <w:style w:type="character" w:customStyle="1" w:styleId="Heading2Char">
    <w:name w:val="Heading 2 Char"/>
    <w:basedOn w:val="DefaultParagraphFont"/>
    <w:link w:val="Heading2"/>
    <w:rsid w:val="008336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3363D"/>
    <w:rPr>
      <w:rFonts w:asciiTheme="majorHAnsi" w:eastAsiaTheme="majorEastAsia" w:hAnsiTheme="majorHAnsi" w:cstheme="majorBidi"/>
      <w:b/>
      <w:bCs/>
      <w:color w:val="4F81BD" w:themeColor="accent1"/>
      <w:sz w:val="22"/>
    </w:rPr>
  </w:style>
  <w:style w:type="paragraph" w:styleId="Revision">
    <w:name w:val="Revision"/>
    <w:hidden/>
    <w:semiHidden/>
    <w:rsid w:val="00EC0861"/>
    <w:rPr>
      <w:rFonts w:ascii="Century Gothic" w:hAnsi="Century Gothic"/>
      <w:sz w:val="22"/>
    </w:rPr>
  </w:style>
  <w:style w:type="character" w:customStyle="1" w:styleId="UnresolvedMention2">
    <w:name w:val="Unresolved Mention2"/>
    <w:basedOn w:val="DefaultParagraphFont"/>
    <w:uiPriority w:val="99"/>
    <w:semiHidden/>
    <w:unhideWhenUsed/>
    <w:rsid w:val="00C244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329">
      <w:bodyDiv w:val="1"/>
      <w:marLeft w:val="0"/>
      <w:marRight w:val="0"/>
      <w:marTop w:val="0"/>
      <w:marBottom w:val="0"/>
      <w:divBdr>
        <w:top w:val="none" w:sz="0" w:space="0" w:color="auto"/>
        <w:left w:val="none" w:sz="0" w:space="0" w:color="auto"/>
        <w:bottom w:val="none" w:sz="0" w:space="0" w:color="auto"/>
        <w:right w:val="none" w:sz="0" w:space="0" w:color="auto"/>
      </w:divBdr>
    </w:div>
    <w:div w:id="96483733">
      <w:bodyDiv w:val="1"/>
      <w:marLeft w:val="0"/>
      <w:marRight w:val="0"/>
      <w:marTop w:val="0"/>
      <w:marBottom w:val="0"/>
      <w:divBdr>
        <w:top w:val="none" w:sz="0" w:space="0" w:color="auto"/>
        <w:left w:val="none" w:sz="0" w:space="0" w:color="auto"/>
        <w:bottom w:val="none" w:sz="0" w:space="0" w:color="auto"/>
        <w:right w:val="none" w:sz="0" w:space="0" w:color="auto"/>
      </w:divBdr>
      <w:divsChild>
        <w:div w:id="669672842">
          <w:marLeft w:val="0"/>
          <w:marRight w:val="0"/>
          <w:marTop w:val="0"/>
          <w:marBottom w:val="0"/>
          <w:divBdr>
            <w:top w:val="none" w:sz="0" w:space="0" w:color="auto"/>
            <w:left w:val="none" w:sz="0" w:space="0" w:color="auto"/>
            <w:bottom w:val="none" w:sz="0" w:space="0" w:color="auto"/>
            <w:right w:val="none" w:sz="0" w:space="0" w:color="auto"/>
          </w:divBdr>
          <w:divsChild>
            <w:div w:id="1150094828">
              <w:marLeft w:val="0"/>
              <w:marRight w:val="0"/>
              <w:marTop w:val="0"/>
              <w:marBottom w:val="0"/>
              <w:divBdr>
                <w:top w:val="none" w:sz="0" w:space="0" w:color="auto"/>
                <w:left w:val="none" w:sz="0" w:space="0" w:color="auto"/>
                <w:bottom w:val="none" w:sz="0" w:space="0" w:color="auto"/>
                <w:right w:val="none" w:sz="0" w:space="0" w:color="auto"/>
              </w:divBdr>
              <w:divsChild>
                <w:div w:id="966083954">
                  <w:marLeft w:val="0"/>
                  <w:marRight w:val="0"/>
                  <w:marTop w:val="0"/>
                  <w:marBottom w:val="0"/>
                  <w:divBdr>
                    <w:top w:val="none" w:sz="0" w:space="0" w:color="auto"/>
                    <w:left w:val="none" w:sz="0" w:space="0" w:color="auto"/>
                    <w:bottom w:val="none" w:sz="0" w:space="0" w:color="auto"/>
                    <w:right w:val="none" w:sz="0" w:space="0" w:color="auto"/>
                  </w:divBdr>
                  <w:divsChild>
                    <w:div w:id="17816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9259">
      <w:bodyDiv w:val="1"/>
      <w:marLeft w:val="0"/>
      <w:marRight w:val="0"/>
      <w:marTop w:val="0"/>
      <w:marBottom w:val="0"/>
      <w:divBdr>
        <w:top w:val="none" w:sz="0" w:space="0" w:color="auto"/>
        <w:left w:val="none" w:sz="0" w:space="0" w:color="auto"/>
        <w:bottom w:val="none" w:sz="0" w:space="0" w:color="auto"/>
        <w:right w:val="none" w:sz="0" w:space="0" w:color="auto"/>
      </w:divBdr>
      <w:divsChild>
        <w:div w:id="1994291886">
          <w:marLeft w:val="0"/>
          <w:marRight w:val="0"/>
          <w:marTop w:val="0"/>
          <w:marBottom w:val="0"/>
          <w:divBdr>
            <w:top w:val="none" w:sz="0" w:space="0" w:color="auto"/>
            <w:left w:val="none" w:sz="0" w:space="0" w:color="auto"/>
            <w:bottom w:val="none" w:sz="0" w:space="0" w:color="auto"/>
            <w:right w:val="none" w:sz="0" w:space="0" w:color="auto"/>
          </w:divBdr>
          <w:divsChild>
            <w:div w:id="1995719227">
              <w:marLeft w:val="0"/>
              <w:marRight w:val="0"/>
              <w:marTop w:val="0"/>
              <w:marBottom w:val="0"/>
              <w:divBdr>
                <w:top w:val="none" w:sz="0" w:space="0" w:color="auto"/>
                <w:left w:val="none" w:sz="0" w:space="0" w:color="auto"/>
                <w:bottom w:val="none" w:sz="0" w:space="0" w:color="auto"/>
                <w:right w:val="none" w:sz="0" w:space="0" w:color="auto"/>
              </w:divBdr>
              <w:divsChild>
                <w:div w:id="1069576770">
                  <w:marLeft w:val="0"/>
                  <w:marRight w:val="0"/>
                  <w:marTop w:val="0"/>
                  <w:marBottom w:val="0"/>
                  <w:divBdr>
                    <w:top w:val="none" w:sz="0" w:space="0" w:color="auto"/>
                    <w:left w:val="none" w:sz="0" w:space="0" w:color="auto"/>
                    <w:bottom w:val="none" w:sz="0" w:space="0" w:color="auto"/>
                    <w:right w:val="none" w:sz="0" w:space="0" w:color="auto"/>
                  </w:divBdr>
                  <w:divsChild>
                    <w:div w:id="12598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3124">
      <w:bodyDiv w:val="1"/>
      <w:marLeft w:val="0"/>
      <w:marRight w:val="0"/>
      <w:marTop w:val="0"/>
      <w:marBottom w:val="0"/>
      <w:divBdr>
        <w:top w:val="none" w:sz="0" w:space="0" w:color="auto"/>
        <w:left w:val="none" w:sz="0" w:space="0" w:color="auto"/>
        <w:bottom w:val="none" w:sz="0" w:space="0" w:color="auto"/>
        <w:right w:val="none" w:sz="0" w:space="0" w:color="auto"/>
      </w:divBdr>
      <w:divsChild>
        <w:div w:id="1448230863">
          <w:marLeft w:val="0"/>
          <w:marRight w:val="0"/>
          <w:marTop w:val="0"/>
          <w:marBottom w:val="0"/>
          <w:divBdr>
            <w:top w:val="none" w:sz="0" w:space="0" w:color="auto"/>
            <w:left w:val="none" w:sz="0" w:space="0" w:color="auto"/>
            <w:bottom w:val="none" w:sz="0" w:space="0" w:color="auto"/>
            <w:right w:val="none" w:sz="0" w:space="0" w:color="auto"/>
          </w:divBdr>
          <w:divsChild>
            <w:div w:id="1980988367">
              <w:marLeft w:val="0"/>
              <w:marRight w:val="0"/>
              <w:marTop w:val="0"/>
              <w:marBottom w:val="0"/>
              <w:divBdr>
                <w:top w:val="none" w:sz="0" w:space="0" w:color="auto"/>
                <w:left w:val="none" w:sz="0" w:space="0" w:color="auto"/>
                <w:bottom w:val="none" w:sz="0" w:space="0" w:color="auto"/>
                <w:right w:val="none" w:sz="0" w:space="0" w:color="auto"/>
              </w:divBdr>
              <w:divsChild>
                <w:div w:id="46990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4488">
      <w:bodyDiv w:val="1"/>
      <w:marLeft w:val="0"/>
      <w:marRight w:val="0"/>
      <w:marTop w:val="0"/>
      <w:marBottom w:val="0"/>
      <w:divBdr>
        <w:top w:val="none" w:sz="0" w:space="0" w:color="auto"/>
        <w:left w:val="none" w:sz="0" w:space="0" w:color="auto"/>
        <w:bottom w:val="none" w:sz="0" w:space="0" w:color="auto"/>
        <w:right w:val="none" w:sz="0" w:space="0" w:color="auto"/>
      </w:divBdr>
      <w:divsChild>
        <w:div w:id="1413042949">
          <w:marLeft w:val="0"/>
          <w:marRight w:val="0"/>
          <w:marTop w:val="0"/>
          <w:marBottom w:val="0"/>
          <w:divBdr>
            <w:top w:val="none" w:sz="0" w:space="0" w:color="auto"/>
            <w:left w:val="none" w:sz="0" w:space="0" w:color="auto"/>
            <w:bottom w:val="none" w:sz="0" w:space="0" w:color="auto"/>
            <w:right w:val="none" w:sz="0" w:space="0" w:color="auto"/>
          </w:divBdr>
          <w:divsChild>
            <w:div w:id="968514385">
              <w:marLeft w:val="0"/>
              <w:marRight w:val="0"/>
              <w:marTop w:val="0"/>
              <w:marBottom w:val="0"/>
              <w:divBdr>
                <w:top w:val="none" w:sz="0" w:space="0" w:color="auto"/>
                <w:left w:val="none" w:sz="0" w:space="0" w:color="auto"/>
                <w:bottom w:val="none" w:sz="0" w:space="0" w:color="auto"/>
                <w:right w:val="none" w:sz="0" w:space="0" w:color="auto"/>
              </w:divBdr>
              <w:divsChild>
                <w:div w:id="9173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0617">
      <w:bodyDiv w:val="1"/>
      <w:marLeft w:val="0"/>
      <w:marRight w:val="0"/>
      <w:marTop w:val="0"/>
      <w:marBottom w:val="0"/>
      <w:divBdr>
        <w:top w:val="none" w:sz="0" w:space="0" w:color="auto"/>
        <w:left w:val="none" w:sz="0" w:space="0" w:color="auto"/>
        <w:bottom w:val="none" w:sz="0" w:space="0" w:color="auto"/>
        <w:right w:val="none" w:sz="0" w:space="0" w:color="auto"/>
      </w:divBdr>
      <w:divsChild>
        <w:div w:id="983857211">
          <w:marLeft w:val="0"/>
          <w:marRight w:val="0"/>
          <w:marTop w:val="0"/>
          <w:marBottom w:val="0"/>
          <w:divBdr>
            <w:top w:val="none" w:sz="0" w:space="0" w:color="auto"/>
            <w:left w:val="none" w:sz="0" w:space="0" w:color="auto"/>
            <w:bottom w:val="none" w:sz="0" w:space="0" w:color="auto"/>
            <w:right w:val="none" w:sz="0" w:space="0" w:color="auto"/>
          </w:divBdr>
          <w:divsChild>
            <w:div w:id="717902004">
              <w:marLeft w:val="0"/>
              <w:marRight w:val="0"/>
              <w:marTop w:val="0"/>
              <w:marBottom w:val="0"/>
              <w:divBdr>
                <w:top w:val="none" w:sz="0" w:space="0" w:color="auto"/>
                <w:left w:val="none" w:sz="0" w:space="0" w:color="auto"/>
                <w:bottom w:val="none" w:sz="0" w:space="0" w:color="auto"/>
                <w:right w:val="none" w:sz="0" w:space="0" w:color="auto"/>
              </w:divBdr>
              <w:divsChild>
                <w:div w:id="3204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9756">
      <w:bodyDiv w:val="1"/>
      <w:marLeft w:val="0"/>
      <w:marRight w:val="0"/>
      <w:marTop w:val="0"/>
      <w:marBottom w:val="0"/>
      <w:divBdr>
        <w:top w:val="none" w:sz="0" w:space="0" w:color="auto"/>
        <w:left w:val="none" w:sz="0" w:space="0" w:color="auto"/>
        <w:bottom w:val="none" w:sz="0" w:space="0" w:color="auto"/>
        <w:right w:val="none" w:sz="0" w:space="0" w:color="auto"/>
      </w:divBdr>
      <w:divsChild>
        <w:div w:id="1028144052">
          <w:marLeft w:val="0"/>
          <w:marRight w:val="0"/>
          <w:marTop w:val="0"/>
          <w:marBottom w:val="0"/>
          <w:divBdr>
            <w:top w:val="none" w:sz="0" w:space="0" w:color="auto"/>
            <w:left w:val="none" w:sz="0" w:space="0" w:color="auto"/>
            <w:bottom w:val="none" w:sz="0" w:space="0" w:color="auto"/>
            <w:right w:val="none" w:sz="0" w:space="0" w:color="auto"/>
          </w:divBdr>
          <w:divsChild>
            <w:div w:id="1599630315">
              <w:marLeft w:val="0"/>
              <w:marRight w:val="0"/>
              <w:marTop w:val="0"/>
              <w:marBottom w:val="0"/>
              <w:divBdr>
                <w:top w:val="none" w:sz="0" w:space="0" w:color="auto"/>
                <w:left w:val="none" w:sz="0" w:space="0" w:color="auto"/>
                <w:bottom w:val="none" w:sz="0" w:space="0" w:color="auto"/>
                <w:right w:val="none" w:sz="0" w:space="0" w:color="auto"/>
              </w:divBdr>
              <w:divsChild>
                <w:div w:id="8234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7579">
      <w:bodyDiv w:val="1"/>
      <w:marLeft w:val="0"/>
      <w:marRight w:val="0"/>
      <w:marTop w:val="0"/>
      <w:marBottom w:val="0"/>
      <w:divBdr>
        <w:top w:val="none" w:sz="0" w:space="0" w:color="auto"/>
        <w:left w:val="none" w:sz="0" w:space="0" w:color="auto"/>
        <w:bottom w:val="none" w:sz="0" w:space="0" w:color="auto"/>
        <w:right w:val="none" w:sz="0" w:space="0" w:color="auto"/>
      </w:divBdr>
      <w:divsChild>
        <w:div w:id="1642542324">
          <w:marLeft w:val="0"/>
          <w:marRight w:val="0"/>
          <w:marTop w:val="0"/>
          <w:marBottom w:val="0"/>
          <w:divBdr>
            <w:top w:val="none" w:sz="0" w:space="0" w:color="auto"/>
            <w:left w:val="none" w:sz="0" w:space="0" w:color="auto"/>
            <w:bottom w:val="none" w:sz="0" w:space="0" w:color="auto"/>
            <w:right w:val="none" w:sz="0" w:space="0" w:color="auto"/>
          </w:divBdr>
          <w:divsChild>
            <w:div w:id="1483541377">
              <w:marLeft w:val="0"/>
              <w:marRight w:val="0"/>
              <w:marTop w:val="0"/>
              <w:marBottom w:val="0"/>
              <w:divBdr>
                <w:top w:val="none" w:sz="0" w:space="0" w:color="auto"/>
                <w:left w:val="none" w:sz="0" w:space="0" w:color="auto"/>
                <w:bottom w:val="none" w:sz="0" w:space="0" w:color="auto"/>
                <w:right w:val="none" w:sz="0" w:space="0" w:color="auto"/>
              </w:divBdr>
              <w:divsChild>
                <w:div w:id="2126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2937">
      <w:bodyDiv w:val="1"/>
      <w:marLeft w:val="0"/>
      <w:marRight w:val="0"/>
      <w:marTop w:val="0"/>
      <w:marBottom w:val="0"/>
      <w:divBdr>
        <w:top w:val="none" w:sz="0" w:space="0" w:color="auto"/>
        <w:left w:val="none" w:sz="0" w:space="0" w:color="auto"/>
        <w:bottom w:val="none" w:sz="0" w:space="0" w:color="auto"/>
        <w:right w:val="none" w:sz="0" w:space="0" w:color="auto"/>
      </w:divBdr>
      <w:divsChild>
        <w:div w:id="566304520">
          <w:marLeft w:val="0"/>
          <w:marRight w:val="0"/>
          <w:marTop w:val="0"/>
          <w:marBottom w:val="0"/>
          <w:divBdr>
            <w:top w:val="none" w:sz="0" w:space="0" w:color="auto"/>
            <w:left w:val="none" w:sz="0" w:space="0" w:color="auto"/>
            <w:bottom w:val="none" w:sz="0" w:space="0" w:color="auto"/>
            <w:right w:val="none" w:sz="0" w:space="0" w:color="auto"/>
          </w:divBdr>
          <w:divsChild>
            <w:div w:id="5255993">
              <w:marLeft w:val="0"/>
              <w:marRight w:val="0"/>
              <w:marTop w:val="0"/>
              <w:marBottom w:val="0"/>
              <w:divBdr>
                <w:top w:val="none" w:sz="0" w:space="0" w:color="auto"/>
                <w:left w:val="none" w:sz="0" w:space="0" w:color="auto"/>
                <w:bottom w:val="none" w:sz="0" w:space="0" w:color="auto"/>
                <w:right w:val="none" w:sz="0" w:space="0" w:color="auto"/>
              </w:divBdr>
              <w:divsChild>
                <w:div w:id="1984654220">
                  <w:marLeft w:val="0"/>
                  <w:marRight w:val="0"/>
                  <w:marTop w:val="0"/>
                  <w:marBottom w:val="0"/>
                  <w:divBdr>
                    <w:top w:val="none" w:sz="0" w:space="0" w:color="auto"/>
                    <w:left w:val="none" w:sz="0" w:space="0" w:color="auto"/>
                    <w:bottom w:val="none" w:sz="0" w:space="0" w:color="auto"/>
                    <w:right w:val="none" w:sz="0" w:space="0" w:color="auto"/>
                  </w:divBdr>
                  <w:divsChild>
                    <w:div w:id="17052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9483">
      <w:bodyDiv w:val="1"/>
      <w:marLeft w:val="0"/>
      <w:marRight w:val="0"/>
      <w:marTop w:val="0"/>
      <w:marBottom w:val="0"/>
      <w:divBdr>
        <w:top w:val="none" w:sz="0" w:space="0" w:color="auto"/>
        <w:left w:val="none" w:sz="0" w:space="0" w:color="auto"/>
        <w:bottom w:val="none" w:sz="0" w:space="0" w:color="auto"/>
        <w:right w:val="none" w:sz="0" w:space="0" w:color="auto"/>
      </w:divBdr>
      <w:divsChild>
        <w:div w:id="1624077898">
          <w:marLeft w:val="0"/>
          <w:marRight w:val="0"/>
          <w:marTop w:val="0"/>
          <w:marBottom w:val="0"/>
          <w:divBdr>
            <w:top w:val="none" w:sz="0" w:space="0" w:color="auto"/>
            <w:left w:val="none" w:sz="0" w:space="0" w:color="auto"/>
            <w:bottom w:val="none" w:sz="0" w:space="0" w:color="auto"/>
            <w:right w:val="none" w:sz="0" w:space="0" w:color="auto"/>
          </w:divBdr>
          <w:divsChild>
            <w:div w:id="430123127">
              <w:marLeft w:val="0"/>
              <w:marRight w:val="0"/>
              <w:marTop w:val="0"/>
              <w:marBottom w:val="0"/>
              <w:divBdr>
                <w:top w:val="none" w:sz="0" w:space="0" w:color="auto"/>
                <w:left w:val="none" w:sz="0" w:space="0" w:color="auto"/>
                <w:bottom w:val="none" w:sz="0" w:space="0" w:color="auto"/>
                <w:right w:val="none" w:sz="0" w:space="0" w:color="auto"/>
              </w:divBdr>
              <w:divsChild>
                <w:div w:id="16654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5358">
      <w:bodyDiv w:val="1"/>
      <w:marLeft w:val="0"/>
      <w:marRight w:val="0"/>
      <w:marTop w:val="0"/>
      <w:marBottom w:val="0"/>
      <w:divBdr>
        <w:top w:val="none" w:sz="0" w:space="0" w:color="auto"/>
        <w:left w:val="none" w:sz="0" w:space="0" w:color="auto"/>
        <w:bottom w:val="none" w:sz="0" w:space="0" w:color="auto"/>
        <w:right w:val="none" w:sz="0" w:space="0" w:color="auto"/>
      </w:divBdr>
      <w:divsChild>
        <w:div w:id="1136144068">
          <w:marLeft w:val="0"/>
          <w:marRight w:val="0"/>
          <w:marTop w:val="0"/>
          <w:marBottom w:val="0"/>
          <w:divBdr>
            <w:top w:val="none" w:sz="0" w:space="0" w:color="auto"/>
            <w:left w:val="none" w:sz="0" w:space="0" w:color="auto"/>
            <w:bottom w:val="none" w:sz="0" w:space="0" w:color="auto"/>
            <w:right w:val="none" w:sz="0" w:space="0" w:color="auto"/>
          </w:divBdr>
          <w:divsChild>
            <w:div w:id="19668758">
              <w:marLeft w:val="0"/>
              <w:marRight w:val="0"/>
              <w:marTop w:val="0"/>
              <w:marBottom w:val="0"/>
              <w:divBdr>
                <w:top w:val="none" w:sz="0" w:space="0" w:color="auto"/>
                <w:left w:val="none" w:sz="0" w:space="0" w:color="auto"/>
                <w:bottom w:val="none" w:sz="0" w:space="0" w:color="auto"/>
                <w:right w:val="none" w:sz="0" w:space="0" w:color="auto"/>
              </w:divBdr>
              <w:divsChild>
                <w:div w:id="854150646">
                  <w:marLeft w:val="0"/>
                  <w:marRight w:val="0"/>
                  <w:marTop w:val="0"/>
                  <w:marBottom w:val="0"/>
                  <w:divBdr>
                    <w:top w:val="none" w:sz="0" w:space="0" w:color="auto"/>
                    <w:left w:val="none" w:sz="0" w:space="0" w:color="auto"/>
                    <w:bottom w:val="none" w:sz="0" w:space="0" w:color="auto"/>
                    <w:right w:val="none" w:sz="0" w:space="0" w:color="auto"/>
                  </w:divBdr>
                </w:div>
              </w:divsChild>
            </w:div>
            <w:div w:id="482622355">
              <w:marLeft w:val="0"/>
              <w:marRight w:val="0"/>
              <w:marTop w:val="0"/>
              <w:marBottom w:val="0"/>
              <w:divBdr>
                <w:top w:val="none" w:sz="0" w:space="0" w:color="auto"/>
                <w:left w:val="none" w:sz="0" w:space="0" w:color="auto"/>
                <w:bottom w:val="none" w:sz="0" w:space="0" w:color="auto"/>
                <w:right w:val="none" w:sz="0" w:space="0" w:color="auto"/>
              </w:divBdr>
              <w:divsChild>
                <w:div w:id="783646690">
                  <w:marLeft w:val="0"/>
                  <w:marRight w:val="0"/>
                  <w:marTop w:val="0"/>
                  <w:marBottom w:val="0"/>
                  <w:divBdr>
                    <w:top w:val="none" w:sz="0" w:space="0" w:color="auto"/>
                    <w:left w:val="none" w:sz="0" w:space="0" w:color="auto"/>
                    <w:bottom w:val="none" w:sz="0" w:space="0" w:color="auto"/>
                    <w:right w:val="none" w:sz="0" w:space="0" w:color="auto"/>
                  </w:divBdr>
                </w:div>
              </w:divsChild>
            </w:div>
            <w:div w:id="645428667">
              <w:marLeft w:val="0"/>
              <w:marRight w:val="0"/>
              <w:marTop w:val="0"/>
              <w:marBottom w:val="0"/>
              <w:divBdr>
                <w:top w:val="none" w:sz="0" w:space="0" w:color="auto"/>
                <w:left w:val="none" w:sz="0" w:space="0" w:color="auto"/>
                <w:bottom w:val="none" w:sz="0" w:space="0" w:color="auto"/>
                <w:right w:val="none" w:sz="0" w:space="0" w:color="auto"/>
              </w:divBdr>
              <w:divsChild>
                <w:div w:id="5245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30723">
      <w:bodyDiv w:val="1"/>
      <w:marLeft w:val="0"/>
      <w:marRight w:val="0"/>
      <w:marTop w:val="0"/>
      <w:marBottom w:val="0"/>
      <w:divBdr>
        <w:top w:val="none" w:sz="0" w:space="0" w:color="auto"/>
        <w:left w:val="none" w:sz="0" w:space="0" w:color="auto"/>
        <w:bottom w:val="none" w:sz="0" w:space="0" w:color="auto"/>
        <w:right w:val="none" w:sz="0" w:space="0" w:color="auto"/>
      </w:divBdr>
      <w:divsChild>
        <w:div w:id="1126969052">
          <w:marLeft w:val="0"/>
          <w:marRight w:val="0"/>
          <w:marTop w:val="0"/>
          <w:marBottom w:val="0"/>
          <w:divBdr>
            <w:top w:val="none" w:sz="0" w:space="0" w:color="auto"/>
            <w:left w:val="none" w:sz="0" w:space="0" w:color="auto"/>
            <w:bottom w:val="none" w:sz="0" w:space="0" w:color="auto"/>
            <w:right w:val="none" w:sz="0" w:space="0" w:color="auto"/>
          </w:divBdr>
          <w:divsChild>
            <w:div w:id="1852572647">
              <w:marLeft w:val="0"/>
              <w:marRight w:val="0"/>
              <w:marTop w:val="0"/>
              <w:marBottom w:val="0"/>
              <w:divBdr>
                <w:top w:val="none" w:sz="0" w:space="0" w:color="auto"/>
                <w:left w:val="none" w:sz="0" w:space="0" w:color="auto"/>
                <w:bottom w:val="none" w:sz="0" w:space="0" w:color="auto"/>
                <w:right w:val="none" w:sz="0" w:space="0" w:color="auto"/>
              </w:divBdr>
              <w:divsChild>
                <w:div w:id="381561949">
                  <w:marLeft w:val="0"/>
                  <w:marRight w:val="0"/>
                  <w:marTop w:val="0"/>
                  <w:marBottom w:val="0"/>
                  <w:divBdr>
                    <w:top w:val="none" w:sz="0" w:space="0" w:color="auto"/>
                    <w:left w:val="none" w:sz="0" w:space="0" w:color="auto"/>
                    <w:bottom w:val="none" w:sz="0" w:space="0" w:color="auto"/>
                    <w:right w:val="none" w:sz="0" w:space="0" w:color="auto"/>
                  </w:divBdr>
                  <w:divsChild>
                    <w:div w:id="4420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6013">
      <w:bodyDiv w:val="1"/>
      <w:marLeft w:val="0"/>
      <w:marRight w:val="0"/>
      <w:marTop w:val="0"/>
      <w:marBottom w:val="0"/>
      <w:divBdr>
        <w:top w:val="none" w:sz="0" w:space="0" w:color="auto"/>
        <w:left w:val="none" w:sz="0" w:space="0" w:color="auto"/>
        <w:bottom w:val="none" w:sz="0" w:space="0" w:color="auto"/>
        <w:right w:val="none" w:sz="0" w:space="0" w:color="auto"/>
      </w:divBdr>
    </w:div>
    <w:div w:id="1025835279">
      <w:bodyDiv w:val="1"/>
      <w:marLeft w:val="0"/>
      <w:marRight w:val="0"/>
      <w:marTop w:val="0"/>
      <w:marBottom w:val="0"/>
      <w:divBdr>
        <w:top w:val="none" w:sz="0" w:space="0" w:color="auto"/>
        <w:left w:val="none" w:sz="0" w:space="0" w:color="auto"/>
        <w:bottom w:val="none" w:sz="0" w:space="0" w:color="auto"/>
        <w:right w:val="none" w:sz="0" w:space="0" w:color="auto"/>
      </w:divBdr>
      <w:divsChild>
        <w:div w:id="805660974">
          <w:marLeft w:val="0"/>
          <w:marRight w:val="0"/>
          <w:marTop w:val="0"/>
          <w:marBottom w:val="0"/>
          <w:divBdr>
            <w:top w:val="none" w:sz="0" w:space="0" w:color="auto"/>
            <w:left w:val="none" w:sz="0" w:space="0" w:color="auto"/>
            <w:bottom w:val="none" w:sz="0" w:space="0" w:color="auto"/>
            <w:right w:val="none" w:sz="0" w:space="0" w:color="auto"/>
          </w:divBdr>
          <w:divsChild>
            <w:div w:id="742409145">
              <w:marLeft w:val="0"/>
              <w:marRight w:val="0"/>
              <w:marTop w:val="0"/>
              <w:marBottom w:val="0"/>
              <w:divBdr>
                <w:top w:val="none" w:sz="0" w:space="0" w:color="auto"/>
                <w:left w:val="none" w:sz="0" w:space="0" w:color="auto"/>
                <w:bottom w:val="none" w:sz="0" w:space="0" w:color="auto"/>
                <w:right w:val="none" w:sz="0" w:space="0" w:color="auto"/>
              </w:divBdr>
              <w:divsChild>
                <w:div w:id="11378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43239">
      <w:bodyDiv w:val="1"/>
      <w:marLeft w:val="0"/>
      <w:marRight w:val="0"/>
      <w:marTop w:val="0"/>
      <w:marBottom w:val="0"/>
      <w:divBdr>
        <w:top w:val="none" w:sz="0" w:space="0" w:color="auto"/>
        <w:left w:val="none" w:sz="0" w:space="0" w:color="auto"/>
        <w:bottom w:val="none" w:sz="0" w:space="0" w:color="auto"/>
        <w:right w:val="none" w:sz="0" w:space="0" w:color="auto"/>
      </w:divBdr>
      <w:divsChild>
        <w:div w:id="1803035135">
          <w:marLeft w:val="0"/>
          <w:marRight w:val="0"/>
          <w:marTop w:val="0"/>
          <w:marBottom w:val="0"/>
          <w:divBdr>
            <w:top w:val="none" w:sz="0" w:space="0" w:color="auto"/>
            <w:left w:val="none" w:sz="0" w:space="0" w:color="auto"/>
            <w:bottom w:val="none" w:sz="0" w:space="0" w:color="auto"/>
            <w:right w:val="none" w:sz="0" w:space="0" w:color="auto"/>
          </w:divBdr>
          <w:divsChild>
            <w:div w:id="1204441427">
              <w:marLeft w:val="0"/>
              <w:marRight w:val="0"/>
              <w:marTop w:val="0"/>
              <w:marBottom w:val="0"/>
              <w:divBdr>
                <w:top w:val="none" w:sz="0" w:space="0" w:color="auto"/>
                <w:left w:val="none" w:sz="0" w:space="0" w:color="auto"/>
                <w:bottom w:val="none" w:sz="0" w:space="0" w:color="auto"/>
                <w:right w:val="none" w:sz="0" w:space="0" w:color="auto"/>
              </w:divBdr>
              <w:divsChild>
                <w:div w:id="15621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85001">
      <w:bodyDiv w:val="1"/>
      <w:marLeft w:val="0"/>
      <w:marRight w:val="0"/>
      <w:marTop w:val="0"/>
      <w:marBottom w:val="0"/>
      <w:divBdr>
        <w:top w:val="none" w:sz="0" w:space="0" w:color="auto"/>
        <w:left w:val="none" w:sz="0" w:space="0" w:color="auto"/>
        <w:bottom w:val="none" w:sz="0" w:space="0" w:color="auto"/>
        <w:right w:val="none" w:sz="0" w:space="0" w:color="auto"/>
      </w:divBdr>
    </w:div>
    <w:div w:id="1344934206">
      <w:bodyDiv w:val="1"/>
      <w:marLeft w:val="0"/>
      <w:marRight w:val="0"/>
      <w:marTop w:val="0"/>
      <w:marBottom w:val="0"/>
      <w:divBdr>
        <w:top w:val="none" w:sz="0" w:space="0" w:color="auto"/>
        <w:left w:val="none" w:sz="0" w:space="0" w:color="auto"/>
        <w:bottom w:val="none" w:sz="0" w:space="0" w:color="auto"/>
        <w:right w:val="none" w:sz="0" w:space="0" w:color="auto"/>
      </w:divBdr>
      <w:divsChild>
        <w:div w:id="1187524196">
          <w:marLeft w:val="0"/>
          <w:marRight w:val="0"/>
          <w:marTop w:val="0"/>
          <w:marBottom w:val="0"/>
          <w:divBdr>
            <w:top w:val="none" w:sz="0" w:space="0" w:color="auto"/>
            <w:left w:val="none" w:sz="0" w:space="0" w:color="auto"/>
            <w:bottom w:val="none" w:sz="0" w:space="0" w:color="auto"/>
            <w:right w:val="none" w:sz="0" w:space="0" w:color="auto"/>
          </w:divBdr>
          <w:divsChild>
            <w:div w:id="982274402">
              <w:marLeft w:val="0"/>
              <w:marRight w:val="0"/>
              <w:marTop w:val="0"/>
              <w:marBottom w:val="0"/>
              <w:divBdr>
                <w:top w:val="none" w:sz="0" w:space="0" w:color="auto"/>
                <w:left w:val="none" w:sz="0" w:space="0" w:color="auto"/>
                <w:bottom w:val="none" w:sz="0" w:space="0" w:color="auto"/>
                <w:right w:val="none" w:sz="0" w:space="0" w:color="auto"/>
              </w:divBdr>
              <w:divsChild>
                <w:div w:id="1897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87852">
      <w:bodyDiv w:val="1"/>
      <w:marLeft w:val="0"/>
      <w:marRight w:val="0"/>
      <w:marTop w:val="0"/>
      <w:marBottom w:val="0"/>
      <w:divBdr>
        <w:top w:val="none" w:sz="0" w:space="0" w:color="auto"/>
        <w:left w:val="none" w:sz="0" w:space="0" w:color="auto"/>
        <w:bottom w:val="none" w:sz="0" w:space="0" w:color="auto"/>
        <w:right w:val="none" w:sz="0" w:space="0" w:color="auto"/>
      </w:divBdr>
      <w:divsChild>
        <w:div w:id="231046048">
          <w:marLeft w:val="0"/>
          <w:marRight w:val="0"/>
          <w:marTop w:val="0"/>
          <w:marBottom w:val="0"/>
          <w:divBdr>
            <w:top w:val="none" w:sz="0" w:space="0" w:color="auto"/>
            <w:left w:val="none" w:sz="0" w:space="0" w:color="auto"/>
            <w:bottom w:val="none" w:sz="0" w:space="0" w:color="auto"/>
            <w:right w:val="none" w:sz="0" w:space="0" w:color="auto"/>
          </w:divBdr>
          <w:divsChild>
            <w:div w:id="72893965">
              <w:marLeft w:val="0"/>
              <w:marRight w:val="0"/>
              <w:marTop w:val="0"/>
              <w:marBottom w:val="0"/>
              <w:divBdr>
                <w:top w:val="none" w:sz="0" w:space="0" w:color="auto"/>
                <w:left w:val="none" w:sz="0" w:space="0" w:color="auto"/>
                <w:bottom w:val="none" w:sz="0" w:space="0" w:color="auto"/>
                <w:right w:val="none" w:sz="0" w:space="0" w:color="auto"/>
              </w:divBdr>
              <w:divsChild>
                <w:div w:id="1699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44271">
      <w:bodyDiv w:val="1"/>
      <w:marLeft w:val="0"/>
      <w:marRight w:val="0"/>
      <w:marTop w:val="0"/>
      <w:marBottom w:val="0"/>
      <w:divBdr>
        <w:top w:val="none" w:sz="0" w:space="0" w:color="auto"/>
        <w:left w:val="none" w:sz="0" w:space="0" w:color="auto"/>
        <w:bottom w:val="none" w:sz="0" w:space="0" w:color="auto"/>
        <w:right w:val="none" w:sz="0" w:space="0" w:color="auto"/>
      </w:divBdr>
      <w:divsChild>
        <w:div w:id="1165897627">
          <w:marLeft w:val="0"/>
          <w:marRight w:val="0"/>
          <w:marTop w:val="0"/>
          <w:marBottom w:val="0"/>
          <w:divBdr>
            <w:top w:val="none" w:sz="0" w:space="0" w:color="auto"/>
            <w:left w:val="none" w:sz="0" w:space="0" w:color="auto"/>
            <w:bottom w:val="none" w:sz="0" w:space="0" w:color="auto"/>
            <w:right w:val="none" w:sz="0" w:space="0" w:color="auto"/>
          </w:divBdr>
          <w:divsChild>
            <w:div w:id="653149234">
              <w:marLeft w:val="0"/>
              <w:marRight w:val="0"/>
              <w:marTop w:val="0"/>
              <w:marBottom w:val="0"/>
              <w:divBdr>
                <w:top w:val="none" w:sz="0" w:space="0" w:color="auto"/>
                <w:left w:val="none" w:sz="0" w:space="0" w:color="auto"/>
                <w:bottom w:val="none" w:sz="0" w:space="0" w:color="auto"/>
                <w:right w:val="none" w:sz="0" w:space="0" w:color="auto"/>
              </w:divBdr>
              <w:divsChild>
                <w:div w:id="10436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3844">
      <w:bodyDiv w:val="1"/>
      <w:marLeft w:val="0"/>
      <w:marRight w:val="0"/>
      <w:marTop w:val="0"/>
      <w:marBottom w:val="0"/>
      <w:divBdr>
        <w:top w:val="none" w:sz="0" w:space="0" w:color="auto"/>
        <w:left w:val="none" w:sz="0" w:space="0" w:color="auto"/>
        <w:bottom w:val="none" w:sz="0" w:space="0" w:color="auto"/>
        <w:right w:val="none" w:sz="0" w:space="0" w:color="auto"/>
      </w:divBdr>
      <w:divsChild>
        <w:div w:id="243029915">
          <w:marLeft w:val="0"/>
          <w:marRight w:val="0"/>
          <w:marTop w:val="0"/>
          <w:marBottom w:val="0"/>
          <w:divBdr>
            <w:top w:val="none" w:sz="0" w:space="0" w:color="auto"/>
            <w:left w:val="none" w:sz="0" w:space="0" w:color="auto"/>
            <w:bottom w:val="none" w:sz="0" w:space="0" w:color="auto"/>
            <w:right w:val="none" w:sz="0" w:space="0" w:color="auto"/>
          </w:divBdr>
          <w:divsChild>
            <w:div w:id="452403032">
              <w:marLeft w:val="0"/>
              <w:marRight w:val="0"/>
              <w:marTop w:val="0"/>
              <w:marBottom w:val="0"/>
              <w:divBdr>
                <w:top w:val="none" w:sz="0" w:space="0" w:color="auto"/>
                <w:left w:val="none" w:sz="0" w:space="0" w:color="auto"/>
                <w:bottom w:val="none" w:sz="0" w:space="0" w:color="auto"/>
                <w:right w:val="none" w:sz="0" w:space="0" w:color="auto"/>
              </w:divBdr>
              <w:divsChild>
                <w:div w:id="15879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7252">
      <w:bodyDiv w:val="1"/>
      <w:marLeft w:val="0"/>
      <w:marRight w:val="0"/>
      <w:marTop w:val="0"/>
      <w:marBottom w:val="0"/>
      <w:divBdr>
        <w:top w:val="none" w:sz="0" w:space="0" w:color="auto"/>
        <w:left w:val="none" w:sz="0" w:space="0" w:color="auto"/>
        <w:bottom w:val="none" w:sz="0" w:space="0" w:color="auto"/>
        <w:right w:val="none" w:sz="0" w:space="0" w:color="auto"/>
      </w:divBdr>
      <w:divsChild>
        <w:div w:id="1100834346">
          <w:marLeft w:val="0"/>
          <w:marRight w:val="0"/>
          <w:marTop w:val="0"/>
          <w:marBottom w:val="0"/>
          <w:divBdr>
            <w:top w:val="none" w:sz="0" w:space="0" w:color="auto"/>
            <w:left w:val="none" w:sz="0" w:space="0" w:color="auto"/>
            <w:bottom w:val="none" w:sz="0" w:space="0" w:color="auto"/>
            <w:right w:val="none" w:sz="0" w:space="0" w:color="auto"/>
          </w:divBdr>
          <w:divsChild>
            <w:div w:id="109058912">
              <w:marLeft w:val="0"/>
              <w:marRight w:val="0"/>
              <w:marTop w:val="0"/>
              <w:marBottom w:val="0"/>
              <w:divBdr>
                <w:top w:val="none" w:sz="0" w:space="0" w:color="auto"/>
                <w:left w:val="none" w:sz="0" w:space="0" w:color="auto"/>
                <w:bottom w:val="none" w:sz="0" w:space="0" w:color="auto"/>
                <w:right w:val="none" w:sz="0" w:space="0" w:color="auto"/>
              </w:divBdr>
              <w:divsChild>
                <w:div w:id="19125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91168">
      <w:bodyDiv w:val="1"/>
      <w:marLeft w:val="0"/>
      <w:marRight w:val="0"/>
      <w:marTop w:val="0"/>
      <w:marBottom w:val="0"/>
      <w:divBdr>
        <w:top w:val="none" w:sz="0" w:space="0" w:color="auto"/>
        <w:left w:val="none" w:sz="0" w:space="0" w:color="auto"/>
        <w:bottom w:val="none" w:sz="0" w:space="0" w:color="auto"/>
        <w:right w:val="none" w:sz="0" w:space="0" w:color="auto"/>
      </w:divBdr>
      <w:divsChild>
        <w:div w:id="570622969">
          <w:marLeft w:val="0"/>
          <w:marRight w:val="0"/>
          <w:marTop w:val="0"/>
          <w:marBottom w:val="0"/>
          <w:divBdr>
            <w:top w:val="none" w:sz="0" w:space="0" w:color="auto"/>
            <w:left w:val="none" w:sz="0" w:space="0" w:color="auto"/>
            <w:bottom w:val="none" w:sz="0" w:space="0" w:color="auto"/>
            <w:right w:val="none" w:sz="0" w:space="0" w:color="auto"/>
          </w:divBdr>
          <w:divsChild>
            <w:div w:id="553004970">
              <w:marLeft w:val="0"/>
              <w:marRight w:val="0"/>
              <w:marTop w:val="0"/>
              <w:marBottom w:val="0"/>
              <w:divBdr>
                <w:top w:val="none" w:sz="0" w:space="0" w:color="auto"/>
                <w:left w:val="none" w:sz="0" w:space="0" w:color="auto"/>
                <w:bottom w:val="none" w:sz="0" w:space="0" w:color="auto"/>
                <w:right w:val="none" w:sz="0" w:space="0" w:color="auto"/>
              </w:divBdr>
              <w:divsChild>
                <w:div w:id="1648050248">
                  <w:marLeft w:val="0"/>
                  <w:marRight w:val="0"/>
                  <w:marTop w:val="0"/>
                  <w:marBottom w:val="0"/>
                  <w:divBdr>
                    <w:top w:val="none" w:sz="0" w:space="0" w:color="auto"/>
                    <w:left w:val="none" w:sz="0" w:space="0" w:color="auto"/>
                    <w:bottom w:val="none" w:sz="0" w:space="0" w:color="auto"/>
                    <w:right w:val="none" w:sz="0" w:space="0" w:color="auto"/>
                  </w:divBdr>
                  <w:divsChild>
                    <w:div w:id="11856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51491">
      <w:bodyDiv w:val="1"/>
      <w:marLeft w:val="0"/>
      <w:marRight w:val="0"/>
      <w:marTop w:val="0"/>
      <w:marBottom w:val="0"/>
      <w:divBdr>
        <w:top w:val="none" w:sz="0" w:space="0" w:color="auto"/>
        <w:left w:val="none" w:sz="0" w:space="0" w:color="auto"/>
        <w:bottom w:val="none" w:sz="0" w:space="0" w:color="auto"/>
        <w:right w:val="none" w:sz="0" w:space="0" w:color="auto"/>
      </w:divBdr>
      <w:divsChild>
        <w:div w:id="542327235">
          <w:marLeft w:val="0"/>
          <w:marRight w:val="0"/>
          <w:marTop w:val="0"/>
          <w:marBottom w:val="0"/>
          <w:divBdr>
            <w:top w:val="none" w:sz="0" w:space="0" w:color="auto"/>
            <w:left w:val="none" w:sz="0" w:space="0" w:color="auto"/>
            <w:bottom w:val="none" w:sz="0" w:space="0" w:color="auto"/>
            <w:right w:val="none" w:sz="0" w:space="0" w:color="auto"/>
          </w:divBdr>
          <w:divsChild>
            <w:div w:id="693269546">
              <w:marLeft w:val="0"/>
              <w:marRight w:val="0"/>
              <w:marTop w:val="0"/>
              <w:marBottom w:val="0"/>
              <w:divBdr>
                <w:top w:val="none" w:sz="0" w:space="0" w:color="auto"/>
                <w:left w:val="none" w:sz="0" w:space="0" w:color="auto"/>
                <w:bottom w:val="none" w:sz="0" w:space="0" w:color="auto"/>
                <w:right w:val="none" w:sz="0" w:space="0" w:color="auto"/>
              </w:divBdr>
              <w:divsChild>
                <w:div w:id="18497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0245">
      <w:bodyDiv w:val="1"/>
      <w:marLeft w:val="0"/>
      <w:marRight w:val="0"/>
      <w:marTop w:val="0"/>
      <w:marBottom w:val="0"/>
      <w:divBdr>
        <w:top w:val="none" w:sz="0" w:space="0" w:color="auto"/>
        <w:left w:val="none" w:sz="0" w:space="0" w:color="auto"/>
        <w:bottom w:val="none" w:sz="0" w:space="0" w:color="auto"/>
        <w:right w:val="none" w:sz="0" w:space="0" w:color="auto"/>
      </w:divBdr>
      <w:divsChild>
        <w:div w:id="2057584360">
          <w:marLeft w:val="0"/>
          <w:marRight w:val="0"/>
          <w:marTop w:val="0"/>
          <w:marBottom w:val="0"/>
          <w:divBdr>
            <w:top w:val="none" w:sz="0" w:space="0" w:color="auto"/>
            <w:left w:val="none" w:sz="0" w:space="0" w:color="auto"/>
            <w:bottom w:val="none" w:sz="0" w:space="0" w:color="auto"/>
            <w:right w:val="none" w:sz="0" w:space="0" w:color="auto"/>
          </w:divBdr>
          <w:divsChild>
            <w:div w:id="1586954383">
              <w:marLeft w:val="0"/>
              <w:marRight w:val="0"/>
              <w:marTop w:val="0"/>
              <w:marBottom w:val="0"/>
              <w:divBdr>
                <w:top w:val="none" w:sz="0" w:space="0" w:color="auto"/>
                <w:left w:val="none" w:sz="0" w:space="0" w:color="auto"/>
                <w:bottom w:val="none" w:sz="0" w:space="0" w:color="auto"/>
                <w:right w:val="none" w:sz="0" w:space="0" w:color="auto"/>
              </w:divBdr>
              <w:divsChild>
                <w:div w:id="1091701373">
                  <w:marLeft w:val="0"/>
                  <w:marRight w:val="0"/>
                  <w:marTop w:val="0"/>
                  <w:marBottom w:val="0"/>
                  <w:divBdr>
                    <w:top w:val="none" w:sz="0" w:space="0" w:color="auto"/>
                    <w:left w:val="none" w:sz="0" w:space="0" w:color="auto"/>
                    <w:bottom w:val="none" w:sz="0" w:space="0" w:color="auto"/>
                    <w:right w:val="none" w:sz="0" w:space="0" w:color="auto"/>
                  </w:divBdr>
                  <w:divsChild>
                    <w:div w:id="13089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5812">
      <w:bodyDiv w:val="1"/>
      <w:marLeft w:val="0"/>
      <w:marRight w:val="0"/>
      <w:marTop w:val="0"/>
      <w:marBottom w:val="0"/>
      <w:divBdr>
        <w:top w:val="none" w:sz="0" w:space="0" w:color="auto"/>
        <w:left w:val="none" w:sz="0" w:space="0" w:color="auto"/>
        <w:bottom w:val="none" w:sz="0" w:space="0" w:color="auto"/>
        <w:right w:val="none" w:sz="0" w:space="0" w:color="auto"/>
      </w:divBdr>
      <w:divsChild>
        <w:div w:id="137890987">
          <w:marLeft w:val="0"/>
          <w:marRight w:val="0"/>
          <w:marTop w:val="0"/>
          <w:marBottom w:val="0"/>
          <w:divBdr>
            <w:top w:val="none" w:sz="0" w:space="0" w:color="auto"/>
            <w:left w:val="none" w:sz="0" w:space="0" w:color="auto"/>
            <w:bottom w:val="none" w:sz="0" w:space="0" w:color="auto"/>
            <w:right w:val="none" w:sz="0" w:space="0" w:color="auto"/>
          </w:divBdr>
          <w:divsChild>
            <w:div w:id="408115456">
              <w:marLeft w:val="0"/>
              <w:marRight w:val="0"/>
              <w:marTop w:val="0"/>
              <w:marBottom w:val="0"/>
              <w:divBdr>
                <w:top w:val="none" w:sz="0" w:space="0" w:color="auto"/>
                <w:left w:val="none" w:sz="0" w:space="0" w:color="auto"/>
                <w:bottom w:val="none" w:sz="0" w:space="0" w:color="auto"/>
                <w:right w:val="none" w:sz="0" w:space="0" w:color="auto"/>
              </w:divBdr>
              <w:divsChild>
                <w:div w:id="298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397793">
      <w:bodyDiv w:val="1"/>
      <w:marLeft w:val="0"/>
      <w:marRight w:val="0"/>
      <w:marTop w:val="0"/>
      <w:marBottom w:val="0"/>
      <w:divBdr>
        <w:top w:val="none" w:sz="0" w:space="0" w:color="auto"/>
        <w:left w:val="none" w:sz="0" w:space="0" w:color="auto"/>
        <w:bottom w:val="none" w:sz="0" w:space="0" w:color="auto"/>
        <w:right w:val="none" w:sz="0" w:space="0" w:color="auto"/>
      </w:divBdr>
      <w:divsChild>
        <w:div w:id="1250314649">
          <w:marLeft w:val="0"/>
          <w:marRight w:val="0"/>
          <w:marTop w:val="0"/>
          <w:marBottom w:val="0"/>
          <w:divBdr>
            <w:top w:val="none" w:sz="0" w:space="0" w:color="auto"/>
            <w:left w:val="none" w:sz="0" w:space="0" w:color="auto"/>
            <w:bottom w:val="none" w:sz="0" w:space="0" w:color="auto"/>
            <w:right w:val="none" w:sz="0" w:space="0" w:color="auto"/>
          </w:divBdr>
          <w:divsChild>
            <w:div w:id="26954789">
              <w:marLeft w:val="0"/>
              <w:marRight w:val="0"/>
              <w:marTop w:val="0"/>
              <w:marBottom w:val="0"/>
              <w:divBdr>
                <w:top w:val="none" w:sz="0" w:space="0" w:color="auto"/>
                <w:left w:val="none" w:sz="0" w:space="0" w:color="auto"/>
                <w:bottom w:val="none" w:sz="0" w:space="0" w:color="auto"/>
                <w:right w:val="none" w:sz="0" w:space="0" w:color="auto"/>
              </w:divBdr>
              <w:divsChild>
                <w:div w:id="438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840CF7-5553-403C-A5C7-B0384E98B185}"/>
</file>

<file path=customXml/itemProps2.xml><?xml version="1.0" encoding="utf-8"?>
<ds:datastoreItem xmlns:ds="http://schemas.openxmlformats.org/officeDocument/2006/customXml" ds:itemID="{5CAD292B-A4C4-4E37-9BF6-60B52FDCF578}"/>
</file>

<file path=customXml/itemProps3.xml><?xml version="1.0" encoding="utf-8"?>
<ds:datastoreItem xmlns:ds="http://schemas.openxmlformats.org/officeDocument/2006/customXml" ds:itemID="{941E4F09-BF1C-4F8C-95CC-5A0C41E697BB}"/>
</file>

<file path=customXml/itemProps4.xml><?xml version="1.0" encoding="utf-8"?>
<ds:datastoreItem xmlns:ds="http://schemas.openxmlformats.org/officeDocument/2006/customXml" ds:itemID="{047FB160-93BF-4881-BDB3-6DC19055DCA3}"/>
</file>

<file path=docProps/app.xml><?xml version="1.0" encoding="utf-8"?>
<Properties xmlns="http://schemas.openxmlformats.org/officeDocument/2006/extended-properties" xmlns:vt="http://schemas.openxmlformats.org/officeDocument/2006/docPropsVTypes">
  <Template>Normal.dotm</Template>
  <TotalTime>0</TotalTime>
  <Pages>43</Pages>
  <Words>17544</Words>
  <Characters>100001</Characters>
  <Application>Microsoft Office Word</Application>
  <DocSecurity>0</DocSecurity>
  <Lines>833</Lines>
  <Paragraphs>234</Paragraphs>
  <ScaleCrop>false</ScaleCrop>
  <Company/>
  <LinksUpToDate>false</LinksUpToDate>
  <CharactersWithSpaces>117311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2019-01-31T23:56:00Z</dcterms:created>
  <dcterms:modified xsi:type="dcterms:W3CDTF">2019-01-31T23:56:00Z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d0568508-d77b-4143-becc-ad4e3912d026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1225800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