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6A" w:rsidRDefault="0059146A" w:rsidP="005B5769">
      <w:pPr>
        <w:pStyle w:val="ListBullet"/>
        <w:tabs>
          <w:tab w:val="clear" w:pos="284"/>
        </w:tabs>
      </w:pPr>
      <w:bookmarkStart w:id="0" w:name="_GoBack"/>
      <w:bookmarkEnd w:id="0"/>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0457E4F" wp14:editId="050B4EE8">
            <wp:simplePos x="0" y="0"/>
            <wp:positionH relativeFrom="page">
              <wp:posOffset>872490</wp:posOffset>
            </wp:positionH>
            <wp:positionV relativeFrom="page">
              <wp:posOffset>1561465</wp:posOffset>
            </wp:positionV>
            <wp:extent cx="3167380" cy="554355"/>
            <wp:effectExtent l="0" t="0" r="0" b="0"/>
            <wp:wrapNone/>
            <wp:docPr id="10" name="Picture 10"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1DDEC239" wp14:editId="05CDBF71">
            <wp:simplePos x="0" y="0"/>
            <wp:positionH relativeFrom="page">
              <wp:posOffset>7620</wp:posOffset>
            </wp:positionH>
            <wp:positionV relativeFrom="page">
              <wp:posOffset>-7620</wp:posOffset>
            </wp:positionV>
            <wp:extent cx="7750810" cy="10725785"/>
            <wp:effectExtent l="0" t="0" r="2540" b="0"/>
            <wp:wrapNone/>
            <wp:docPr id="11" name="Picture 11" title="Title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2015-16</w:t>
      </w:r>
    </w:p>
    <w:p w:rsidR="00C6626C" w:rsidRDefault="009E0DC7" w:rsidP="00A56F14">
      <w:r>
        <w:rPr>
          <w:sz w:val="40"/>
        </w:rPr>
        <w:t>Timor-Leste</w:t>
      </w:r>
    </w:p>
    <w:p w:rsidR="00C6626C" w:rsidRPr="002A51CA" w:rsidRDefault="00C6626C" w:rsidP="00A56F14">
      <w:pPr>
        <w:rPr>
          <w:sz w:val="24"/>
        </w:rPr>
      </w:pPr>
      <w:r w:rsidRPr="002A51CA">
        <w:rPr>
          <w:sz w:val="24"/>
        </w:rPr>
        <w:t>September 2016</w:t>
      </w:r>
    </w:p>
    <w:p w:rsidR="00C6626C" w:rsidRDefault="00C6626C" w:rsidP="00A56F14">
      <w:pPr>
        <w:sectPr w:rsidR="00C6626C" w:rsidSect="00C6626C">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docGrid w:linePitch="360"/>
        </w:sectPr>
      </w:pP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lastRenderedPageBreak/>
        <w:t>Key Messages</w:t>
      </w:r>
    </w:p>
    <w:p w:rsidR="001F3642" w:rsidRDefault="00C74A6B" w:rsidP="002A51CA">
      <w:pPr>
        <w:rPr>
          <w:color w:val="auto"/>
        </w:rPr>
      </w:pPr>
      <w:r>
        <w:rPr>
          <w:color w:val="auto"/>
        </w:rPr>
        <w:t>This</w:t>
      </w:r>
      <w:r w:rsidR="00EE5E2A" w:rsidRPr="009F229A">
        <w:rPr>
          <w:color w:val="auto"/>
        </w:rPr>
        <w:t xml:space="preserve"> report summarises the progress</w:t>
      </w:r>
      <w:r w:rsidR="00A7771A">
        <w:rPr>
          <w:color w:val="auto"/>
        </w:rPr>
        <w:t xml:space="preserve"> and performance</w:t>
      </w:r>
      <w:r w:rsidR="00EE5E2A" w:rsidRPr="009F229A">
        <w:rPr>
          <w:color w:val="auto"/>
        </w:rPr>
        <w:t xml:space="preserve"> of </w:t>
      </w:r>
      <w:r w:rsidR="00912E69" w:rsidRPr="009F229A">
        <w:rPr>
          <w:color w:val="auto"/>
        </w:rPr>
        <w:t>Australia’s</w:t>
      </w:r>
      <w:r w:rsidR="00EE5E2A" w:rsidRPr="009F229A">
        <w:rPr>
          <w:color w:val="auto"/>
        </w:rPr>
        <w:t xml:space="preserve"> aid </w:t>
      </w:r>
      <w:r w:rsidR="00912E69" w:rsidRPr="009F229A">
        <w:rPr>
          <w:color w:val="auto"/>
        </w:rPr>
        <w:t>investments in</w:t>
      </w:r>
      <w:r w:rsidR="00EE5E2A" w:rsidRPr="009F229A">
        <w:rPr>
          <w:color w:val="auto"/>
        </w:rPr>
        <w:t xml:space="preserve"> Timor-Les</w:t>
      </w:r>
      <w:r w:rsidR="00D143C8" w:rsidRPr="009F229A">
        <w:rPr>
          <w:color w:val="auto"/>
        </w:rPr>
        <w:t>te f</w:t>
      </w:r>
      <w:r w:rsidR="00912E69" w:rsidRPr="009F229A">
        <w:rPr>
          <w:color w:val="auto"/>
        </w:rPr>
        <w:t xml:space="preserve">or the period July 2015 </w:t>
      </w:r>
      <w:r w:rsidR="003D21BB">
        <w:rPr>
          <w:color w:val="auto"/>
        </w:rPr>
        <w:t>to</w:t>
      </w:r>
      <w:r w:rsidR="00D143C8" w:rsidRPr="009F229A">
        <w:rPr>
          <w:color w:val="auto"/>
        </w:rPr>
        <w:t xml:space="preserve"> June 2016 against the</w:t>
      </w:r>
      <w:r w:rsidR="00D3590A">
        <w:rPr>
          <w:color w:val="auto"/>
        </w:rPr>
        <w:t xml:space="preserve"> </w:t>
      </w:r>
      <w:r w:rsidR="00D143C8" w:rsidRPr="00CA65C7">
        <w:rPr>
          <w:i/>
          <w:color w:val="auto"/>
        </w:rPr>
        <w:t>Aid Investment Plan</w:t>
      </w:r>
      <w:r w:rsidR="00D3590A">
        <w:rPr>
          <w:i/>
          <w:color w:val="auto"/>
        </w:rPr>
        <w:t xml:space="preserve"> Timor-Leste</w:t>
      </w:r>
      <w:r w:rsidR="00E3361F" w:rsidRPr="00CA65C7">
        <w:rPr>
          <w:i/>
          <w:color w:val="auto"/>
        </w:rPr>
        <w:t xml:space="preserve"> 2015</w:t>
      </w:r>
      <w:r w:rsidR="00D3590A">
        <w:rPr>
          <w:i/>
          <w:color w:val="auto"/>
        </w:rPr>
        <w:t>/16-</w:t>
      </w:r>
      <w:r w:rsidR="00E3361F" w:rsidRPr="00CA65C7">
        <w:rPr>
          <w:i/>
          <w:color w:val="auto"/>
        </w:rPr>
        <w:t>201</w:t>
      </w:r>
      <w:r w:rsidR="00D3590A">
        <w:rPr>
          <w:i/>
          <w:color w:val="auto"/>
        </w:rPr>
        <w:t>8/1</w:t>
      </w:r>
      <w:r w:rsidR="00E3361F" w:rsidRPr="00CA65C7">
        <w:rPr>
          <w:i/>
          <w:color w:val="auto"/>
        </w:rPr>
        <w:t>9</w:t>
      </w:r>
      <w:r w:rsidR="00050C06">
        <w:rPr>
          <w:color w:val="auto"/>
        </w:rPr>
        <w:t>.</w:t>
      </w:r>
      <w:r w:rsidR="003D21BB">
        <w:rPr>
          <w:color w:val="auto"/>
        </w:rPr>
        <w:t xml:space="preserve"> </w:t>
      </w:r>
      <w:r w:rsidR="00C763D6" w:rsidRPr="009F229A">
        <w:rPr>
          <w:color w:val="auto"/>
        </w:rPr>
        <w:t>Australia</w:t>
      </w:r>
      <w:r w:rsidR="000320BC">
        <w:rPr>
          <w:color w:val="auto"/>
        </w:rPr>
        <w:t>’s aid program</w:t>
      </w:r>
      <w:r w:rsidR="00C763D6" w:rsidRPr="009F229A">
        <w:rPr>
          <w:color w:val="auto"/>
        </w:rPr>
        <w:t xml:space="preserve"> continued to deliver impressive outcomes in Timor-Leste. </w:t>
      </w:r>
    </w:p>
    <w:p w:rsidR="001F3642" w:rsidRDefault="001F3642" w:rsidP="002A299B">
      <w:pPr>
        <w:pStyle w:val="ListParagraph"/>
        <w:numPr>
          <w:ilvl w:val="0"/>
          <w:numId w:val="43"/>
        </w:numPr>
        <w:rPr>
          <w:color w:val="auto"/>
        </w:rPr>
      </w:pPr>
      <w:r>
        <w:rPr>
          <w:color w:val="auto"/>
        </w:rPr>
        <w:t xml:space="preserve">We completed </w:t>
      </w:r>
      <w:r w:rsidR="009C2344" w:rsidRPr="002A299B">
        <w:rPr>
          <w:color w:val="auto"/>
        </w:rPr>
        <w:t xml:space="preserve">our </w:t>
      </w:r>
      <w:r w:rsidR="00234F06" w:rsidRPr="002A299B">
        <w:rPr>
          <w:color w:val="auto"/>
        </w:rPr>
        <w:t xml:space="preserve">15 </w:t>
      </w:r>
      <w:r w:rsidR="001B7052" w:rsidRPr="002A299B">
        <w:rPr>
          <w:color w:val="auto"/>
        </w:rPr>
        <w:t>year investment</w:t>
      </w:r>
      <w:r w:rsidR="009C2344" w:rsidRPr="002A299B">
        <w:rPr>
          <w:color w:val="auto"/>
        </w:rPr>
        <w:t xml:space="preserve"> in </w:t>
      </w:r>
      <w:r w:rsidR="00234F06" w:rsidRPr="002A299B">
        <w:rPr>
          <w:color w:val="auto"/>
        </w:rPr>
        <w:t>the Seeds of Life program</w:t>
      </w:r>
      <w:r>
        <w:rPr>
          <w:color w:val="auto"/>
        </w:rPr>
        <w:t xml:space="preserve"> </w:t>
      </w:r>
      <w:r w:rsidR="00D906A1">
        <w:rPr>
          <w:color w:val="auto"/>
        </w:rPr>
        <w:t>with</w:t>
      </w:r>
      <w:r w:rsidR="00B722CE">
        <w:rPr>
          <w:color w:val="auto"/>
        </w:rPr>
        <w:t xml:space="preserve"> half of all rural households across the country </w:t>
      </w:r>
      <w:r w:rsidR="0086525B">
        <w:rPr>
          <w:color w:val="auto"/>
        </w:rPr>
        <w:t xml:space="preserve">now using </w:t>
      </w:r>
      <w:r w:rsidR="00B722CE">
        <w:rPr>
          <w:color w:val="auto"/>
        </w:rPr>
        <w:t xml:space="preserve">more </w:t>
      </w:r>
      <w:r w:rsidR="003D21BB">
        <w:rPr>
          <w:color w:val="auto"/>
        </w:rPr>
        <w:t xml:space="preserve">productive </w:t>
      </w:r>
      <w:r w:rsidR="003D21BB" w:rsidRPr="002A299B">
        <w:rPr>
          <w:color w:val="auto"/>
        </w:rPr>
        <w:t>seed</w:t>
      </w:r>
      <w:r w:rsidR="00AC0235" w:rsidRPr="002A299B">
        <w:rPr>
          <w:color w:val="auto"/>
        </w:rPr>
        <w:t xml:space="preserve"> and plant varieties. </w:t>
      </w:r>
    </w:p>
    <w:p w:rsidR="00A812CC" w:rsidRDefault="001F3642" w:rsidP="00A812CC">
      <w:pPr>
        <w:pStyle w:val="ListParagraph"/>
        <w:numPr>
          <w:ilvl w:val="0"/>
          <w:numId w:val="43"/>
        </w:numPr>
        <w:rPr>
          <w:color w:val="auto"/>
        </w:rPr>
      </w:pPr>
      <w:r>
        <w:rPr>
          <w:color w:val="auto"/>
        </w:rPr>
        <w:t>W</w:t>
      </w:r>
      <w:r w:rsidR="0038423B" w:rsidRPr="002A299B">
        <w:rPr>
          <w:color w:val="auto"/>
        </w:rPr>
        <w:t>e</w:t>
      </w:r>
      <w:r>
        <w:rPr>
          <w:color w:val="auto"/>
        </w:rPr>
        <w:t xml:space="preserve"> </w:t>
      </w:r>
      <w:r w:rsidR="00E806D4">
        <w:rPr>
          <w:color w:val="auto"/>
        </w:rPr>
        <w:t xml:space="preserve">supported the </w:t>
      </w:r>
      <w:r>
        <w:rPr>
          <w:color w:val="auto"/>
        </w:rPr>
        <w:t>Ministry of Educatio</w:t>
      </w:r>
      <w:r w:rsidR="00E806D4">
        <w:rPr>
          <w:color w:val="auto"/>
        </w:rPr>
        <w:t xml:space="preserve">n to distribute new curriculum materials to </w:t>
      </w:r>
      <w:r w:rsidR="0038423B" w:rsidRPr="002A299B">
        <w:rPr>
          <w:color w:val="auto"/>
        </w:rPr>
        <w:t>94 per cent of</w:t>
      </w:r>
      <w:r w:rsidR="00E806D4">
        <w:rPr>
          <w:color w:val="auto"/>
        </w:rPr>
        <w:t xml:space="preserve"> remote primary schools and 100 per cent of remote preschools</w:t>
      </w:r>
      <w:r w:rsidR="00090713">
        <w:rPr>
          <w:color w:val="auto"/>
        </w:rPr>
        <w:t>.</w:t>
      </w:r>
      <w:r w:rsidR="0038423B" w:rsidRPr="002A299B">
        <w:rPr>
          <w:color w:val="auto"/>
        </w:rPr>
        <w:t xml:space="preserve"> </w:t>
      </w:r>
    </w:p>
    <w:p w:rsidR="00A812CC" w:rsidRPr="00D8342B" w:rsidRDefault="00A812CC" w:rsidP="00D8342B">
      <w:pPr>
        <w:pStyle w:val="ListParagraph"/>
        <w:numPr>
          <w:ilvl w:val="0"/>
          <w:numId w:val="43"/>
        </w:numPr>
        <w:rPr>
          <w:color w:val="auto"/>
        </w:rPr>
      </w:pPr>
      <w:r w:rsidRPr="00D8342B">
        <w:rPr>
          <w:color w:val="auto"/>
        </w:rPr>
        <w:t>We helped nearly 40,000 people gain skills through community</w:t>
      </w:r>
      <w:r w:rsidR="00F5118E">
        <w:rPr>
          <w:color w:val="auto"/>
        </w:rPr>
        <w:t>-led</w:t>
      </w:r>
      <w:r w:rsidRPr="00D8342B">
        <w:rPr>
          <w:color w:val="auto"/>
        </w:rPr>
        <w:t xml:space="preserve"> infrastructure projects. </w:t>
      </w:r>
    </w:p>
    <w:p w:rsidR="001F3642" w:rsidRPr="00C11319" w:rsidRDefault="001F3642" w:rsidP="002A299B">
      <w:pPr>
        <w:pStyle w:val="ListParagraph"/>
        <w:numPr>
          <w:ilvl w:val="0"/>
          <w:numId w:val="43"/>
        </w:numPr>
        <w:rPr>
          <w:color w:val="auto"/>
        </w:rPr>
      </w:pPr>
      <w:r>
        <w:rPr>
          <w:color w:val="auto"/>
        </w:rPr>
        <w:t>We completed t</w:t>
      </w:r>
      <w:r w:rsidR="005C50B3" w:rsidRPr="002A299B">
        <w:rPr>
          <w:color w:val="auto"/>
        </w:rPr>
        <w:t xml:space="preserve">he </w:t>
      </w:r>
      <w:r w:rsidR="00A6660E" w:rsidRPr="002A299B">
        <w:rPr>
          <w:color w:val="auto"/>
        </w:rPr>
        <w:t xml:space="preserve">first national study into the prevalence and perpetration of gender-based </w:t>
      </w:r>
      <w:r w:rsidR="00A6660E" w:rsidRPr="00C11319">
        <w:rPr>
          <w:color w:val="auto"/>
        </w:rPr>
        <w:t>violence</w:t>
      </w:r>
      <w:r w:rsidR="005C50B3" w:rsidRPr="00C11319">
        <w:rPr>
          <w:color w:val="auto"/>
        </w:rPr>
        <w:t xml:space="preserve"> </w:t>
      </w:r>
      <w:r w:rsidR="00A6660E" w:rsidRPr="00C11319">
        <w:rPr>
          <w:color w:val="auto"/>
        </w:rPr>
        <w:t>and</w:t>
      </w:r>
      <w:r w:rsidR="002140D4" w:rsidRPr="00C11319">
        <w:rPr>
          <w:color w:val="auto"/>
        </w:rPr>
        <w:t xml:space="preserve"> </w:t>
      </w:r>
      <w:r w:rsidR="00A6660E" w:rsidRPr="00C11319">
        <w:rPr>
          <w:color w:val="auto"/>
        </w:rPr>
        <w:t>provided more than 1,</w:t>
      </w:r>
      <w:r w:rsidR="008E0068" w:rsidRPr="00C11319">
        <w:rPr>
          <w:color w:val="auto"/>
        </w:rPr>
        <w:t>1</w:t>
      </w:r>
      <w:r w:rsidR="0086525B" w:rsidRPr="00C11319">
        <w:rPr>
          <w:color w:val="auto"/>
        </w:rPr>
        <w:t>00</w:t>
      </w:r>
      <w:r w:rsidR="008E0068" w:rsidRPr="00C11319">
        <w:rPr>
          <w:color w:val="auto"/>
        </w:rPr>
        <w:t xml:space="preserve"> </w:t>
      </w:r>
      <w:r w:rsidR="00116043" w:rsidRPr="00C11319">
        <w:rPr>
          <w:color w:val="auto"/>
        </w:rPr>
        <w:t xml:space="preserve">new </w:t>
      </w:r>
      <w:r w:rsidR="008E0068" w:rsidRPr="00C11319">
        <w:rPr>
          <w:color w:val="auto"/>
        </w:rPr>
        <w:t>female</w:t>
      </w:r>
      <w:r w:rsidR="007950EE" w:rsidRPr="00C11319">
        <w:rPr>
          <w:color w:val="auto"/>
        </w:rPr>
        <w:t xml:space="preserve"> s</w:t>
      </w:r>
      <w:r w:rsidR="00A6660E" w:rsidRPr="00C11319">
        <w:rPr>
          <w:color w:val="auto"/>
        </w:rPr>
        <w:t xml:space="preserve">urvivors of violence with access to support services and legal aid. </w:t>
      </w:r>
    </w:p>
    <w:p w:rsidR="00C77851" w:rsidRPr="00C11319" w:rsidRDefault="00D46973" w:rsidP="00760BE2">
      <w:pPr>
        <w:pStyle w:val="ListParagraph"/>
        <w:numPr>
          <w:ilvl w:val="0"/>
          <w:numId w:val="43"/>
        </w:numPr>
      </w:pPr>
      <w:r w:rsidRPr="00C11319">
        <w:rPr>
          <w:color w:val="auto"/>
        </w:rPr>
        <w:t xml:space="preserve">We created </w:t>
      </w:r>
      <w:r w:rsidR="00CA65C7" w:rsidRPr="00C11319">
        <w:rPr>
          <w:color w:val="auto"/>
        </w:rPr>
        <w:t xml:space="preserve">more than </w:t>
      </w:r>
      <w:r w:rsidRPr="00C11319">
        <w:rPr>
          <w:color w:val="auto"/>
        </w:rPr>
        <w:t>$450,000 in additional income for 2,950 farmers (more than half women) and leveraged over $1.8 million in additional private investment.</w:t>
      </w:r>
    </w:p>
    <w:p w:rsidR="00341E56" w:rsidRPr="00C11319" w:rsidRDefault="00341E56" w:rsidP="00341E56">
      <w:pPr>
        <w:pStyle w:val="ListParagraph"/>
        <w:numPr>
          <w:ilvl w:val="0"/>
          <w:numId w:val="43"/>
        </w:numPr>
      </w:pPr>
      <w:r w:rsidRPr="00C11319">
        <w:rPr>
          <w:color w:val="auto"/>
        </w:rPr>
        <w:t>We supported the International Finance Corporation to improve business licensing processes, and the time taken to set up a business was reduced from 90 to 9 days.</w:t>
      </w:r>
    </w:p>
    <w:p w:rsidR="00CF0359" w:rsidRPr="00C11319" w:rsidRDefault="00D46973" w:rsidP="00CF0359">
      <w:pPr>
        <w:autoSpaceDE w:val="0"/>
        <w:autoSpaceDN w:val="0"/>
        <w:spacing w:after="0" w:line="240" w:lineRule="auto"/>
        <w:rPr>
          <w:color w:val="auto"/>
        </w:rPr>
      </w:pPr>
      <w:r w:rsidRPr="00C11319">
        <w:rPr>
          <w:color w:val="auto"/>
        </w:rPr>
        <w:t xml:space="preserve">Our policy </w:t>
      </w:r>
      <w:r w:rsidR="00755438" w:rsidRPr="00C11319">
        <w:rPr>
          <w:color w:val="auto"/>
        </w:rPr>
        <w:t xml:space="preserve">advocacy </w:t>
      </w:r>
      <w:r w:rsidR="00B35AD5" w:rsidRPr="00C11319">
        <w:rPr>
          <w:color w:val="auto"/>
        </w:rPr>
        <w:t>contributed to</w:t>
      </w:r>
      <w:r w:rsidRPr="00C11319">
        <w:rPr>
          <w:color w:val="auto"/>
        </w:rPr>
        <w:t xml:space="preserve"> increased funding commitments from the </w:t>
      </w:r>
      <w:r w:rsidR="00CA65C7" w:rsidRPr="00C11319">
        <w:rPr>
          <w:color w:val="auto"/>
        </w:rPr>
        <w:t xml:space="preserve">Government of </w:t>
      </w:r>
      <w:r w:rsidRPr="00C11319">
        <w:rPr>
          <w:color w:val="auto"/>
        </w:rPr>
        <w:t xml:space="preserve">Timor-Leste for water supply and road maintenance. </w:t>
      </w:r>
      <w:r w:rsidR="00C02F09" w:rsidRPr="00C11319">
        <w:rPr>
          <w:color w:val="auto"/>
        </w:rPr>
        <w:t xml:space="preserve">Our </w:t>
      </w:r>
      <w:r w:rsidR="00B817B8" w:rsidRPr="00C11319">
        <w:rPr>
          <w:color w:val="auto"/>
        </w:rPr>
        <w:t xml:space="preserve">support </w:t>
      </w:r>
      <w:r w:rsidR="00760BE2" w:rsidRPr="00C11319">
        <w:rPr>
          <w:color w:val="auto"/>
        </w:rPr>
        <w:t xml:space="preserve">to </w:t>
      </w:r>
      <w:r w:rsidR="0099219E" w:rsidRPr="00C11319">
        <w:rPr>
          <w:color w:val="auto"/>
        </w:rPr>
        <w:t>improve</w:t>
      </w:r>
      <w:r w:rsidR="00CB6636" w:rsidRPr="00C11319">
        <w:rPr>
          <w:color w:val="auto"/>
        </w:rPr>
        <w:t xml:space="preserve"> government systems</w:t>
      </w:r>
      <w:r w:rsidR="00760BE2" w:rsidRPr="00C11319">
        <w:rPr>
          <w:color w:val="auto"/>
        </w:rPr>
        <w:t xml:space="preserve"> </w:t>
      </w:r>
      <w:r w:rsidR="0099219E" w:rsidRPr="00C11319">
        <w:rPr>
          <w:color w:val="auto"/>
        </w:rPr>
        <w:t xml:space="preserve">contributed to better </w:t>
      </w:r>
      <w:r w:rsidR="00760BE2" w:rsidRPr="00C11319">
        <w:rPr>
          <w:color w:val="auto"/>
        </w:rPr>
        <w:t xml:space="preserve">budget planning </w:t>
      </w:r>
      <w:r w:rsidR="002F6029" w:rsidRPr="00C11319">
        <w:rPr>
          <w:color w:val="auto"/>
        </w:rPr>
        <w:t>across</w:t>
      </w:r>
      <w:r w:rsidR="00760BE2" w:rsidRPr="00C11319">
        <w:rPr>
          <w:color w:val="auto"/>
        </w:rPr>
        <w:t xml:space="preserve"> 23 ministries</w:t>
      </w:r>
      <w:r w:rsidR="000D5343" w:rsidRPr="00C11319">
        <w:rPr>
          <w:color w:val="auto"/>
        </w:rPr>
        <w:t xml:space="preserve">, commitments </w:t>
      </w:r>
      <w:r w:rsidR="00760BE2" w:rsidRPr="00C11319">
        <w:rPr>
          <w:color w:val="auto"/>
        </w:rPr>
        <w:t xml:space="preserve">to increase the number of women </w:t>
      </w:r>
      <w:r w:rsidR="000D5343" w:rsidRPr="00C11319">
        <w:rPr>
          <w:color w:val="auto"/>
        </w:rPr>
        <w:t xml:space="preserve">leaders </w:t>
      </w:r>
      <w:r w:rsidR="00760BE2" w:rsidRPr="00C11319">
        <w:rPr>
          <w:color w:val="auto"/>
        </w:rPr>
        <w:t xml:space="preserve">and </w:t>
      </w:r>
      <w:r w:rsidR="000D5343" w:rsidRPr="00C11319">
        <w:rPr>
          <w:color w:val="auto"/>
        </w:rPr>
        <w:t>pe</w:t>
      </w:r>
      <w:r w:rsidR="00760BE2" w:rsidRPr="00C11319">
        <w:rPr>
          <w:color w:val="auto"/>
        </w:rPr>
        <w:t>rsons with a disability across the public service</w:t>
      </w:r>
      <w:r w:rsidR="000D5343" w:rsidRPr="00C11319">
        <w:rPr>
          <w:color w:val="auto"/>
        </w:rPr>
        <w:t xml:space="preserve"> and new systems to develop and implement economic policy</w:t>
      </w:r>
      <w:r w:rsidR="00760BE2" w:rsidRPr="00C11319">
        <w:rPr>
          <w:color w:val="auto"/>
        </w:rPr>
        <w:t xml:space="preserve">. </w:t>
      </w:r>
      <w:r w:rsidR="00CF0359" w:rsidRPr="00C11319">
        <w:rPr>
          <w:color w:val="auto"/>
        </w:rPr>
        <w:t xml:space="preserve">We continued to support the </w:t>
      </w:r>
      <w:r w:rsidR="00B54704" w:rsidRPr="00C11319">
        <w:rPr>
          <w:color w:val="auto"/>
        </w:rPr>
        <w:t>g</w:t>
      </w:r>
      <w:r w:rsidR="00CF0359" w:rsidRPr="00C11319">
        <w:rPr>
          <w:color w:val="auto"/>
        </w:rPr>
        <w:t xml:space="preserve">overnment at the highest levels to recognise, motivate and inspire good practice and leadership in nutrition through initiatives </w:t>
      </w:r>
      <w:r w:rsidR="00B54704" w:rsidRPr="00C11319">
        <w:rPr>
          <w:color w:val="auto"/>
        </w:rPr>
        <w:t>such as the</w:t>
      </w:r>
      <w:r w:rsidR="00CF0359" w:rsidRPr="00C11319">
        <w:rPr>
          <w:color w:val="auto"/>
        </w:rPr>
        <w:t xml:space="preserve"> President’s Nutrition Awards and President’s Nutrition and Food Security Roundtable Dialogue.</w:t>
      </w:r>
    </w:p>
    <w:p w:rsidR="003A43A6" w:rsidRDefault="00A674FC" w:rsidP="003A43A6">
      <w:pPr>
        <w:rPr>
          <w:color w:val="auto"/>
        </w:rPr>
      </w:pPr>
      <w:r w:rsidRPr="00C11319">
        <w:rPr>
          <w:color w:val="auto"/>
        </w:rPr>
        <w:t xml:space="preserve">2015-16 was a period of </w:t>
      </w:r>
      <w:r w:rsidR="0057498A" w:rsidRPr="00C11319">
        <w:rPr>
          <w:color w:val="auto"/>
        </w:rPr>
        <w:t xml:space="preserve">transition for the </w:t>
      </w:r>
      <w:r w:rsidR="00932BC6">
        <w:rPr>
          <w:color w:val="auto"/>
        </w:rPr>
        <w:t xml:space="preserve">aid </w:t>
      </w:r>
      <w:r w:rsidR="0057498A" w:rsidRPr="00C11319">
        <w:rPr>
          <w:color w:val="auto"/>
        </w:rPr>
        <w:t>program</w:t>
      </w:r>
      <w:r w:rsidR="003C6BBD" w:rsidRPr="00C11319">
        <w:rPr>
          <w:color w:val="auto"/>
        </w:rPr>
        <w:t>:</w:t>
      </w:r>
      <w:r w:rsidR="005C50B3" w:rsidRPr="00C11319">
        <w:rPr>
          <w:color w:val="auto"/>
        </w:rPr>
        <w:t xml:space="preserve"> </w:t>
      </w:r>
      <w:r w:rsidR="003C6BBD" w:rsidRPr="00C11319">
        <w:rPr>
          <w:color w:val="auto"/>
        </w:rPr>
        <w:t>our</w:t>
      </w:r>
      <w:r w:rsidR="005C50B3" w:rsidRPr="00C11319">
        <w:rPr>
          <w:color w:val="auto"/>
        </w:rPr>
        <w:t xml:space="preserve"> </w:t>
      </w:r>
      <w:r w:rsidR="001A29F8" w:rsidRPr="00C11319">
        <w:rPr>
          <w:color w:val="auto"/>
        </w:rPr>
        <w:t>long-standing</w:t>
      </w:r>
      <w:r w:rsidR="004A71FB" w:rsidRPr="00C11319">
        <w:rPr>
          <w:color w:val="auto"/>
        </w:rPr>
        <w:t xml:space="preserve"> </w:t>
      </w:r>
      <w:r w:rsidR="00C4271C" w:rsidRPr="00C11319">
        <w:rPr>
          <w:color w:val="auto"/>
        </w:rPr>
        <w:t xml:space="preserve">investment </w:t>
      </w:r>
      <w:r w:rsidR="0057498A" w:rsidRPr="00C11319">
        <w:rPr>
          <w:color w:val="auto"/>
        </w:rPr>
        <w:t xml:space="preserve">in </w:t>
      </w:r>
      <w:r w:rsidR="007554E0" w:rsidRPr="00C11319">
        <w:rPr>
          <w:color w:val="auto"/>
        </w:rPr>
        <w:t>agriculture evolved from seed supply to improving</w:t>
      </w:r>
      <w:r w:rsidR="007554E0">
        <w:rPr>
          <w:color w:val="auto"/>
        </w:rPr>
        <w:t xml:space="preserve"> </w:t>
      </w:r>
      <w:r w:rsidR="004C66FB">
        <w:rPr>
          <w:color w:val="auto"/>
        </w:rPr>
        <w:t>market</w:t>
      </w:r>
      <w:r w:rsidR="007554E0">
        <w:rPr>
          <w:color w:val="auto"/>
        </w:rPr>
        <w:t xml:space="preserve"> systems</w:t>
      </w:r>
      <w:r w:rsidR="00C04579">
        <w:rPr>
          <w:color w:val="auto"/>
        </w:rPr>
        <w:t xml:space="preserve"> and nutrition</w:t>
      </w:r>
      <w:r w:rsidR="004A71FB">
        <w:rPr>
          <w:color w:val="auto"/>
        </w:rPr>
        <w:t>.</w:t>
      </w:r>
      <w:r w:rsidR="00604F51">
        <w:rPr>
          <w:color w:val="auto"/>
        </w:rPr>
        <w:t xml:space="preserve"> </w:t>
      </w:r>
      <w:r w:rsidR="00604F51" w:rsidRPr="002A299B">
        <w:rPr>
          <w:color w:val="auto"/>
        </w:rPr>
        <w:t>Where we have not had</w:t>
      </w:r>
      <w:r w:rsidR="00932BC6">
        <w:rPr>
          <w:color w:val="auto"/>
        </w:rPr>
        <w:t xml:space="preserve"> the impact we expected, we</w:t>
      </w:r>
      <w:r w:rsidR="00604F51" w:rsidRPr="002A299B">
        <w:rPr>
          <w:color w:val="auto"/>
        </w:rPr>
        <w:t xml:space="preserve"> adjusted our programs – for example, ending direct budget support to the Ministry of Finance</w:t>
      </w:r>
      <w:r w:rsidR="00604F51">
        <w:rPr>
          <w:color w:val="auto"/>
        </w:rPr>
        <w:t>.</w:t>
      </w:r>
      <w:r w:rsidR="004A71FB">
        <w:rPr>
          <w:color w:val="auto"/>
        </w:rPr>
        <w:t xml:space="preserve"> </w:t>
      </w:r>
      <w:r w:rsidR="00392B6D">
        <w:rPr>
          <w:color w:val="auto"/>
        </w:rPr>
        <w:t>Our</w:t>
      </w:r>
      <w:r w:rsidR="000A69A8">
        <w:rPr>
          <w:color w:val="auto"/>
        </w:rPr>
        <w:t xml:space="preserve"> </w:t>
      </w:r>
      <w:r w:rsidR="00762242" w:rsidRPr="00DC5450">
        <w:rPr>
          <w:color w:val="auto"/>
        </w:rPr>
        <w:t>new Partnership for Human Development consolidates one-third of Australia’s bilateral investments</w:t>
      </w:r>
      <w:r w:rsidR="00963B57">
        <w:rPr>
          <w:color w:val="auto"/>
        </w:rPr>
        <w:t xml:space="preserve"> – in health, education, nutrition, water, sanitation, disability and social protection</w:t>
      </w:r>
      <w:r w:rsidR="00CA65C7">
        <w:rPr>
          <w:color w:val="auto"/>
        </w:rPr>
        <w:t xml:space="preserve"> – </w:t>
      </w:r>
      <w:r w:rsidR="00C04579">
        <w:rPr>
          <w:color w:val="auto"/>
        </w:rPr>
        <w:t xml:space="preserve">adopting an innovative approach </w:t>
      </w:r>
      <w:r w:rsidR="00CA65C7">
        <w:rPr>
          <w:color w:val="auto"/>
        </w:rPr>
        <w:t>to improve</w:t>
      </w:r>
      <w:r w:rsidR="00762242" w:rsidRPr="00DC5450">
        <w:rPr>
          <w:color w:val="auto"/>
        </w:rPr>
        <w:t xml:space="preserve"> management efficiency, cross-program learning and development outcomes.</w:t>
      </w:r>
      <w:r w:rsidR="006D62DD">
        <w:rPr>
          <w:color w:val="auto"/>
        </w:rPr>
        <w:t xml:space="preserve"> </w:t>
      </w:r>
      <w:r w:rsidR="00C04579">
        <w:rPr>
          <w:color w:val="auto"/>
        </w:rPr>
        <w:t>Another program innovation is our new</w:t>
      </w:r>
      <w:r w:rsidR="003A43A6">
        <w:rPr>
          <w:color w:val="auto"/>
        </w:rPr>
        <w:t xml:space="preserve"> Monitoring and Evaluation House which will help the program generate and use credible information to improve performance at the investment level and for the program as a whole. </w:t>
      </w:r>
    </w:p>
    <w:p w:rsidR="00C6626C" w:rsidRPr="00C61187" w:rsidRDefault="00C6626C" w:rsidP="002A51CA">
      <w:pPr>
        <w:pStyle w:val="ListBullet"/>
        <w:tabs>
          <w:tab w:val="clear" w:pos="284"/>
        </w:tabs>
        <w:spacing w:before="360"/>
        <w:rPr>
          <w:kern w:val="28"/>
        </w:rPr>
      </w:pPr>
      <w:r w:rsidRPr="002A51CA">
        <w:rPr>
          <w:rFonts w:asciiTheme="majorHAnsi" w:eastAsiaTheme="majorEastAsia" w:hAnsiTheme="majorHAnsi" w:cstheme="majorBidi"/>
          <w:caps/>
          <w:color w:val="495965" w:themeColor="text2"/>
          <w:sz w:val="38"/>
          <w:szCs w:val="26"/>
          <w:lang w:val="en-GB" w:eastAsia="en-US"/>
        </w:rPr>
        <w:t>Context</w:t>
      </w:r>
    </w:p>
    <w:p w:rsidR="00D85984" w:rsidRDefault="00934A70" w:rsidP="00C06486">
      <w:pPr>
        <w:suppressAutoHyphens w:val="0"/>
        <w:autoSpaceDE w:val="0"/>
        <w:autoSpaceDN w:val="0"/>
        <w:spacing w:before="0" w:after="0" w:line="240" w:lineRule="auto"/>
      </w:pPr>
      <w:r>
        <w:rPr>
          <w:color w:val="auto"/>
        </w:rPr>
        <w:t xml:space="preserve">Timor-Leste aspires to become an upper middle income country by 2030 and has set down a clear development agenda through its </w:t>
      </w:r>
      <w:r w:rsidRPr="007554E0">
        <w:rPr>
          <w:i/>
          <w:color w:val="auto"/>
        </w:rPr>
        <w:t>Strategic Development Plan 2011-2030</w:t>
      </w:r>
      <w:r>
        <w:rPr>
          <w:color w:val="auto"/>
        </w:rPr>
        <w:t xml:space="preserve">. </w:t>
      </w:r>
      <w:r w:rsidR="00353B83">
        <w:rPr>
          <w:color w:val="auto"/>
        </w:rPr>
        <w:t>The domestic political environment remains stable as the country moves to</w:t>
      </w:r>
      <w:r w:rsidR="009F4540">
        <w:rPr>
          <w:color w:val="auto"/>
        </w:rPr>
        <w:t>wards</w:t>
      </w:r>
      <w:r w:rsidR="00353B83">
        <w:rPr>
          <w:color w:val="auto"/>
        </w:rPr>
        <w:t xml:space="preserve"> presidential and parliamentary elections in 2017. </w:t>
      </w:r>
      <w:r w:rsidR="006A54A5" w:rsidRPr="00B547E4">
        <w:rPr>
          <w:color w:val="auto"/>
        </w:rPr>
        <w:t>Despite impressive pro</w:t>
      </w:r>
      <w:r w:rsidR="006A54A5">
        <w:rPr>
          <w:color w:val="auto"/>
        </w:rPr>
        <w:t>gress since independence, t</w:t>
      </w:r>
      <w:r>
        <w:rPr>
          <w:color w:val="auto"/>
        </w:rPr>
        <w:t xml:space="preserve">he country’s economic challenges are considerable. </w:t>
      </w:r>
      <w:r w:rsidR="00353B83">
        <w:rPr>
          <w:color w:val="auto"/>
        </w:rPr>
        <w:t>Timor-</w:t>
      </w:r>
      <w:r w:rsidR="00353B83" w:rsidRPr="00B547E4">
        <w:rPr>
          <w:color w:val="auto"/>
        </w:rPr>
        <w:t>Leste remains</w:t>
      </w:r>
      <w:r w:rsidR="005A537A">
        <w:rPr>
          <w:color w:val="auto"/>
        </w:rPr>
        <w:t xml:space="preserve"> one</w:t>
      </w:r>
      <w:r w:rsidR="00353B83" w:rsidRPr="00B547E4">
        <w:rPr>
          <w:color w:val="auto"/>
        </w:rPr>
        <w:t xml:space="preserve"> </w:t>
      </w:r>
      <w:r w:rsidR="00353B83">
        <w:rPr>
          <w:color w:val="auto"/>
        </w:rPr>
        <w:t>of the most oil-dependent countries in the world</w:t>
      </w:r>
      <w:r w:rsidR="00830578">
        <w:rPr>
          <w:color w:val="auto"/>
        </w:rPr>
        <w:t xml:space="preserve"> with o</w:t>
      </w:r>
      <w:r w:rsidR="00353B83">
        <w:rPr>
          <w:color w:val="auto"/>
        </w:rPr>
        <w:t xml:space="preserve">il </w:t>
      </w:r>
      <w:r w:rsidR="007749E5">
        <w:rPr>
          <w:color w:val="auto"/>
        </w:rPr>
        <w:t xml:space="preserve">and gas </w:t>
      </w:r>
      <w:r w:rsidR="00353B83">
        <w:rPr>
          <w:color w:val="auto"/>
        </w:rPr>
        <w:t>revenues account</w:t>
      </w:r>
      <w:r w:rsidR="00830578">
        <w:rPr>
          <w:color w:val="auto"/>
        </w:rPr>
        <w:t>ing</w:t>
      </w:r>
      <w:r w:rsidR="00353B83">
        <w:rPr>
          <w:color w:val="auto"/>
        </w:rPr>
        <w:t xml:space="preserve"> for 70 per cent of GDP </w:t>
      </w:r>
      <w:r w:rsidR="00353B83" w:rsidRPr="00280C40">
        <w:rPr>
          <w:color w:val="auto"/>
        </w:rPr>
        <w:t>and almost 90 per</w:t>
      </w:r>
      <w:r w:rsidR="00994471">
        <w:rPr>
          <w:color w:val="auto"/>
        </w:rPr>
        <w:t xml:space="preserve"> </w:t>
      </w:r>
      <w:r w:rsidR="00353B83" w:rsidRPr="00280C40">
        <w:rPr>
          <w:color w:val="auto"/>
        </w:rPr>
        <w:t xml:space="preserve">cent of total government revenue </w:t>
      </w:r>
      <w:r w:rsidR="007C3FFB">
        <w:rPr>
          <w:color w:val="auto"/>
        </w:rPr>
        <w:t>between</w:t>
      </w:r>
      <w:r w:rsidR="00353B83" w:rsidRPr="00280C40">
        <w:rPr>
          <w:color w:val="auto"/>
        </w:rPr>
        <w:t xml:space="preserve"> 2010</w:t>
      </w:r>
      <w:r w:rsidR="007749E5">
        <w:rPr>
          <w:color w:val="auto"/>
        </w:rPr>
        <w:t xml:space="preserve"> and 20</w:t>
      </w:r>
      <w:r w:rsidR="00353B83" w:rsidRPr="00280C40">
        <w:rPr>
          <w:color w:val="auto"/>
        </w:rPr>
        <w:t>15</w:t>
      </w:r>
      <w:r w:rsidR="00353B83" w:rsidRPr="007F4F52">
        <w:rPr>
          <w:color w:val="auto"/>
        </w:rPr>
        <w:t>.</w:t>
      </w:r>
      <w:r w:rsidR="00353B83" w:rsidRPr="007F4F52">
        <w:rPr>
          <w:rStyle w:val="FootnoteReference"/>
          <w:color w:val="auto"/>
        </w:rPr>
        <w:footnoteReference w:id="1"/>
      </w:r>
      <w:r w:rsidR="00353B83" w:rsidRPr="007F4F52">
        <w:rPr>
          <w:rStyle w:val="FootnoteReference"/>
        </w:rPr>
        <w:t xml:space="preserve"> </w:t>
      </w:r>
    </w:p>
    <w:p w:rsidR="00A94B30" w:rsidRPr="006F02C8" w:rsidRDefault="00A94B30" w:rsidP="00830578">
      <w:pPr>
        <w:rPr>
          <w:color w:val="auto"/>
        </w:rPr>
      </w:pPr>
      <w:r>
        <w:t>G</w:t>
      </w:r>
      <w:r>
        <w:rPr>
          <w:color w:val="auto"/>
        </w:rPr>
        <w:t>overnment spending supported by the country’s oil and gas revenue</w:t>
      </w:r>
      <w:r w:rsidR="00EB7024">
        <w:rPr>
          <w:color w:val="auto"/>
        </w:rPr>
        <w:t>s</w:t>
      </w:r>
      <w:r>
        <w:rPr>
          <w:color w:val="auto"/>
        </w:rPr>
        <w:t xml:space="preserve"> continue to be the main driver of growth.</w:t>
      </w:r>
      <w:r w:rsidRPr="00A94B30">
        <w:rPr>
          <w:color w:val="auto"/>
        </w:rPr>
        <w:t xml:space="preserve"> </w:t>
      </w:r>
      <w:r w:rsidR="00F15B96">
        <w:rPr>
          <w:color w:val="auto"/>
        </w:rPr>
        <w:t>The IMF recorded n</w:t>
      </w:r>
      <w:r>
        <w:rPr>
          <w:color w:val="auto"/>
        </w:rPr>
        <w:t xml:space="preserve">on-oil GDP growth </w:t>
      </w:r>
      <w:r w:rsidR="00F15B96">
        <w:rPr>
          <w:color w:val="auto"/>
        </w:rPr>
        <w:t xml:space="preserve">at </w:t>
      </w:r>
      <w:r>
        <w:rPr>
          <w:color w:val="auto"/>
        </w:rPr>
        <w:t>4.3 per cent in 2015, down from 5.5 per cent in 2014</w:t>
      </w:r>
      <w:r w:rsidR="00D77CD6">
        <w:rPr>
          <w:color w:val="auto"/>
        </w:rPr>
        <w:t>.</w:t>
      </w:r>
      <w:r>
        <w:rPr>
          <w:color w:val="auto"/>
        </w:rPr>
        <w:t xml:space="preserve"> Per-capita expenditure on health, education, water, agriculture and social protection is declining to fund large-scale infrastructure projects</w:t>
      </w:r>
      <w:r w:rsidR="00AA50BC">
        <w:rPr>
          <w:color w:val="auto"/>
        </w:rPr>
        <w:t>, putting at risk</w:t>
      </w:r>
      <w:r>
        <w:rPr>
          <w:color w:val="auto"/>
        </w:rPr>
        <w:t xml:space="preserve"> recent development gains.</w:t>
      </w:r>
      <w:r w:rsidRPr="00A94B30">
        <w:rPr>
          <w:color w:val="auto"/>
        </w:rPr>
        <w:t xml:space="preserve"> </w:t>
      </w:r>
      <w:r w:rsidR="00932BC6">
        <w:rPr>
          <w:color w:val="auto"/>
        </w:rPr>
        <w:t xml:space="preserve">Current oil production has peaked and recent </w:t>
      </w:r>
      <w:r>
        <w:rPr>
          <w:color w:val="auto"/>
        </w:rPr>
        <w:t>drawdowns on oil revenue savings</w:t>
      </w:r>
      <w:r w:rsidR="00AA50BC">
        <w:rPr>
          <w:color w:val="auto"/>
        </w:rPr>
        <w:t xml:space="preserve"> </w:t>
      </w:r>
      <w:r>
        <w:rPr>
          <w:color w:val="auto"/>
        </w:rPr>
        <w:t xml:space="preserve">in the sovereign wealth fund </w:t>
      </w:r>
      <w:r w:rsidR="00AA50BC">
        <w:rPr>
          <w:color w:val="auto"/>
        </w:rPr>
        <w:t xml:space="preserve">to </w:t>
      </w:r>
      <w:r w:rsidR="00546A30">
        <w:rPr>
          <w:color w:val="auto"/>
        </w:rPr>
        <w:t>cover</w:t>
      </w:r>
      <w:r w:rsidR="00AA50BC">
        <w:rPr>
          <w:color w:val="auto"/>
        </w:rPr>
        <w:t xml:space="preserve"> government </w:t>
      </w:r>
      <w:r w:rsidR="00E17E28">
        <w:rPr>
          <w:color w:val="auto"/>
        </w:rPr>
        <w:t>expenditure</w:t>
      </w:r>
      <w:r w:rsidR="00AA50BC">
        <w:rPr>
          <w:color w:val="auto"/>
        </w:rPr>
        <w:t xml:space="preserve"> </w:t>
      </w:r>
      <w:r>
        <w:rPr>
          <w:color w:val="auto"/>
        </w:rPr>
        <w:t>are exceeding the government’s own sustainable estimates</w:t>
      </w:r>
      <w:r w:rsidR="00EC028C">
        <w:rPr>
          <w:color w:val="auto"/>
        </w:rPr>
        <w:t xml:space="preserve">. </w:t>
      </w:r>
      <w:r w:rsidR="00E803F0">
        <w:rPr>
          <w:color w:val="auto"/>
        </w:rPr>
        <w:t xml:space="preserve">The diversification of economic </w:t>
      </w:r>
      <w:r w:rsidR="00E803F0">
        <w:rPr>
          <w:color w:val="auto"/>
        </w:rPr>
        <w:lastRenderedPageBreak/>
        <w:t xml:space="preserve">activity from public to private, and from petroleum into other sectors, while maintaining a sustainable fiscal position and improving services </w:t>
      </w:r>
      <w:r w:rsidR="00FF08D4">
        <w:rPr>
          <w:color w:val="auto"/>
        </w:rPr>
        <w:t>remain</w:t>
      </w:r>
      <w:r w:rsidR="00E803F0">
        <w:rPr>
          <w:color w:val="auto"/>
        </w:rPr>
        <w:t xml:space="preserve"> key </w:t>
      </w:r>
      <w:r w:rsidR="00E803F0" w:rsidRPr="00D8342B">
        <w:rPr>
          <w:color w:val="auto"/>
        </w:rPr>
        <w:t>challenge</w:t>
      </w:r>
      <w:r w:rsidR="00EC028C" w:rsidRPr="00D8342B">
        <w:rPr>
          <w:color w:val="auto"/>
        </w:rPr>
        <w:t xml:space="preserve">s for Timor-Leste. </w:t>
      </w:r>
    </w:p>
    <w:p w:rsidR="007A2CBD" w:rsidRDefault="004C3F43" w:rsidP="007A2CBD">
      <w:pPr>
        <w:rPr>
          <w:color w:val="auto"/>
        </w:rPr>
      </w:pPr>
      <w:r>
        <w:rPr>
          <w:color w:val="auto"/>
        </w:rPr>
        <w:t xml:space="preserve">Most of </w:t>
      </w:r>
      <w:r w:rsidR="00E146C2">
        <w:rPr>
          <w:color w:val="auto"/>
        </w:rPr>
        <w:t xml:space="preserve">Timor-Leste’s </w:t>
      </w:r>
      <w:r>
        <w:rPr>
          <w:color w:val="auto"/>
        </w:rPr>
        <w:t xml:space="preserve">population live in rural </w:t>
      </w:r>
      <w:r w:rsidR="00DB5411">
        <w:rPr>
          <w:color w:val="auto"/>
        </w:rPr>
        <w:t xml:space="preserve">areas and </w:t>
      </w:r>
      <w:r w:rsidR="00D26C7C">
        <w:rPr>
          <w:color w:val="auto"/>
        </w:rPr>
        <w:t>are</w:t>
      </w:r>
      <w:r w:rsidR="00DB5411">
        <w:rPr>
          <w:color w:val="auto"/>
        </w:rPr>
        <w:t xml:space="preserve"> heavily reliant</w:t>
      </w:r>
      <w:r>
        <w:rPr>
          <w:color w:val="auto"/>
        </w:rPr>
        <w:t xml:space="preserve"> </w:t>
      </w:r>
      <w:r w:rsidR="00705944">
        <w:rPr>
          <w:color w:val="auto"/>
        </w:rPr>
        <w:t xml:space="preserve">on </w:t>
      </w:r>
      <w:r>
        <w:rPr>
          <w:color w:val="auto"/>
        </w:rPr>
        <w:t>subsistence agriculture</w:t>
      </w:r>
      <w:r w:rsidR="00D65748">
        <w:rPr>
          <w:color w:val="auto"/>
        </w:rPr>
        <w:t xml:space="preserve"> with little or no access to markets.</w:t>
      </w:r>
      <w:r w:rsidR="00812DDA" w:rsidRPr="00812DDA">
        <w:rPr>
          <w:color w:val="auto"/>
        </w:rPr>
        <w:t xml:space="preserve"> </w:t>
      </w:r>
      <w:r w:rsidR="00B43753">
        <w:rPr>
          <w:color w:val="auto"/>
        </w:rPr>
        <w:t xml:space="preserve">Rural communities are also vulnerable to shocks. In 2015, an El Nino event delayed the rainy season and led to </w:t>
      </w:r>
      <w:r w:rsidR="00B43753" w:rsidRPr="009253A8">
        <w:rPr>
          <w:color w:val="auto"/>
        </w:rPr>
        <w:t>water and food shortages across the country, causing crop failure, reduced family income and 70,000 livestock</w:t>
      </w:r>
      <w:r w:rsidR="00B43753">
        <w:rPr>
          <w:color w:val="auto"/>
        </w:rPr>
        <w:t xml:space="preserve"> deaths. The private sector remains small and there are limited employment opportunities. </w:t>
      </w:r>
      <w:r w:rsidR="00812DDA">
        <w:rPr>
          <w:color w:val="auto"/>
        </w:rPr>
        <w:t>One in four Timorese youth are not at school or work</w:t>
      </w:r>
      <w:r w:rsidR="001A1D82">
        <w:rPr>
          <w:color w:val="auto"/>
        </w:rPr>
        <w:t>.</w:t>
      </w:r>
      <w:r w:rsidR="00812DDA">
        <w:rPr>
          <w:rStyle w:val="FootnoteReference"/>
          <w:color w:val="auto"/>
        </w:rPr>
        <w:footnoteReference w:id="2"/>
      </w:r>
      <w:r w:rsidR="00812DDA">
        <w:rPr>
          <w:color w:val="auto"/>
        </w:rPr>
        <w:t xml:space="preserve"> </w:t>
      </w:r>
      <w:r w:rsidR="002038C3">
        <w:rPr>
          <w:color w:val="auto"/>
        </w:rPr>
        <w:t>Timor-</w:t>
      </w:r>
      <w:r w:rsidR="001A1D82">
        <w:rPr>
          <w:color w:val="auto"/>
        </w:rPr>
        <w:t>Leste</w:t>
      </w:r>
      <w:r w:rsidR="002038C3">
        <w:rPr>
          <w:color w:val="auto"/>
        </w:rPr>
        <w:t xml:space="preserve"> has</w:t>
      </w:r>
      <w:r w:rsidR="00812DDA">
        <w:rPr>
          <w:color w:val="auto"/>
        </w:rPr>
        <w:t xml:space="preserve"> among the world’s lowest rates for women’s workforce participation</w:t>
      </w:r>
      <w:r w:rsidR="002038C3">
        <w:rPr>
          <w:color w:val="auto"/>
        </w:rPr>
        <w:t xml:space="preserve"> as women continue to face barriers </w:t>
      </w:r>
      <w:r w:rsidR="003B1A40">
        <w:rPr>
          <w:color w:val="auto"/>
        </w:rPr>
        <w:t>moving from</w:t>
      </w:r>
      <w:r w:rsidR="002038C3">
        <w:rPr>
          <w:color w:val="auto"/>
        </w:rPr>
        <w:t xml:space="preserve"> informal to formal </w:t>
      </w:r>
      <w:r w:rsidR="003B1A40">
        <w:rPr>
          <w:color w:val="auto"/>
        </w:rPr>
        <w:t>work</w:t>
      </w:r>
      <w:r w:rsidR="00812DDA">
        <w:rPr>
          <w:color w:val="auto"/>
        </w:rPr>
        <w:t>.</w:t>
      </w:r>
      <w:r w:rsidR="00DB5411">
        <w:rPr>
          <w:color w:val="auto"/>
        </w:rPr>
        <w:t xml:space="preserve"> </w:t>
      </w:r>
      <w:r w:rsidR="003A245E">
        <w:rPr>
          <w:color w:val="auto"/>
        </w:rPr>
        <w:t>Doing business is a challenge</w:t>
      </w:r>
      <w:r w:rsidR="00B43753">
        <w:rPr>
          <w:color w:val="auto"/>
        </w:rPr>
        <w:t>,</w:t>
      </w:r>
      <w:r w:rsidR="003A245E">
        <w:rPr>
          <w:color w:val="auto"/>
        </w:rPr>
        <w:t xml:space="preserve"> with Timor-Leste </w:t>
      </w:r>
      <w:r w:rsidR="006C2FEE">
        <w:rPr>
          <w:color w:val="auto"/>
        </w:rPr>
        <w:t>plac</w:t>
      </w:r>
      <w:r w:rsidR="006A54A5">
        <w:rPr>
          <w:color w:val="auto"/>
        </w:rPr>
        <w:t>ed</w:t>
      </w:r>
      <w:r w:rsidR="003A245E">
        <w:rPr>
          <w:color w:val="auto"/>
        </w:rPr>
        <w:t xml:space="preserve"> 173 out of 189 in the World Bank’</w:t>
      </w:r>
      <w:r w:rsidR="006C2FEE">
        <w:rPr>
          <w:color w:val="auto"/>
        </w:rPr>
        <w:t xml:space="preserve">s </w:t>
      </w:r>
      <w:r w:rsidR="00937E03">
        <w:rPr>
          <w:color w:val="auto"/>
        </w:rPr>
        <w:t xml:space="preserve">2016 </w:t>
      </w:r>
      <w:r w:rsidR="006C2FEE">
        <w:rPr>
          <w:color w:val="auto"/>
        </w:rPr>
        <w:t>ease of doing business rankings</w:t>
      </w:r>
      <w:r w:rsidR="003A245E">
        <w:rPr>
          <w:color w:val="auto"/>
        </w:rPr>
        <w:t xml:space="preserve">. </w:t>
      </w:r>
    </w:p>
    <w:p w:rsidR="007A2CBD" w:rsidRDefault="00BD5C0C" w:rsidP="007A2CBD">
      <w:pPr>
        <w:rPr>
          <w:color w:val="auto"/>
        </w:rPr>
      </w:pPr>
      <w:r>
        <w:rPr>
          <w:color w:val="auto"/>
        </w:rPr>
        <w:t>With two-thirds of its 1.17 million population living on less than US$2 a day, Timor-Leste remains one</w:t>
      </w:r>
      <w:r w:rsidR="004B27E0">
        <w:rPr>
          <w:color w:val="auto"/>
        </w:rPr>
        <w:t xml:space="preserve"> of the poorest countries in the region</w:t>
      </w:r>
      <w:r w:rsidR="007A2CBD">
        <w:rPr>
          <w:color w:val="auto"/>
        </w:rPr>
        <w:t>. Timor-Leste has</w:t>
      </w:r>
      <w:r w:rsidR="00881363">
        <w:rPr>
          <w:color w:val="auto"/>
        </w:rPr>
        <w:t xml:space="preserve"> one of</w:t>
      </w:r>
      <w:r w:rsidR="007A2CBD">
        <w:rPr>
          <w:color w:val="auto"/>
        </w:rPr>
        <w:t xml:space="preserve"> the world’s highest rates of stunting </w:t>
      </w:r>
      <w:r w:rsidR="007A2CBD">
        <w:rPr>
          <w:rStyle w:val="FootnoteReference"/>
          <w:color w:val="auto"/>
        </w:rPr>
        <w:footnoteReference w:id="3"/>
      </w:r>
      <w:r w:rsidR="007A2CBD">
        <w:rPr>
          <w:color w:val="auto"/>
        </w:rPr>
        <w:t xml:space="preserve"> and </w:t>
      </w:r>
      <w:r w:rsidR="00090713">
        <w:rPr>
          <w:color w:val="auto"/>
        </w:rPr>
        <w:t>1</w:t>
      </w:r>
      <w:r w:rsidR="007A2CBD">
        <w:rPr>
          <w:color w:val="auto"/>
        </w:rPr>
        <w:t xml:space="preserve"> in 12 children die before the age of five due to poor neonatal health and preventable disease.</w:t>
      </w:r>
      <w:r w:rsidR="007A2CBD">
        <w:rPr>
          <w:rStyle w:val="FootnoteReference"/>
          <w:color w:val="auto"/>
        </w:rPr>
        <w:footnoteReference w:id="4"/>
      </w:r>
      <w:r w:rsidR="00652CD3">
        <w:rPr>
          <w:color w:val="auto"/>
        </w:rPr>
        <w:t xml:space="preserve"> </w:t>
      </w:r>
      <w:r w:rsidR="00B05682">
        <w:rPr>
          <w:color w:val="auto"/>
        </w:rPr>
        <w:t>Whilst primary school enrolment rates are improving, q</w:t>
      </w:r>
      <w:r w:rsidR="00287E8A">
        <w:rPr>
          <w:color w:val="auto"/>
        </w:rPr>
        <w:t xml:space="preserve">uality </w:t>
      </w:r>
      <w:r w:rsidR="00B05682">
        <w:rPr>
          <w:color w:val="auto"/>
        </w:rPr>
        <w:t>is poor</w:t>
      </w:r>
      <w:r w:rsidR="00287E8A">
        <w:rPr>
          <w:color w:val="auto"/>
        </w:rPr>
        <w:t xml:space="preserve"> with </w:t>
      </w:r>
      <w:r w:rsidR="00652CD3" w:rsidRPr="00D8342B">
        <w:rPr>
          <w:color w:val="auto"/>
        </w:rPr>
        <w:t>only one</w:t>
      </w:r>
      <w:r w:rsidR="00287E8A" w:rsidRPr="00D8342B">
        <w:rPr>
          <w:color w:val="auto"/>
        </w:rPr>
        <w:t xml:space="preserve"> in three grade one </w:t>
      </w:r>
      <w:r w:rsidR="00B05682" w:rsidRPr="00D8342B">
        <w:rPr>
          <w:color w:val="auto"/>
        </w:rPr>
        <w:t>students meeting</w:t>
      </w:r>
      <w:r w:rsidR="00652CD3" w:rsidRPr="00D8342B">
        <w:rPr>
          <w:color w:val="auto"/>
        </w:rPr>
        <w:t xml:space="preserve"> base numeracy standards and fewer meeting literacy standards.</w:t>
      </w:r>
      <w:r w:rsidR="00652CD3">
        <w:rPr>
          <w:rFonts w:cs="Calibri"/>
        </w:rPr>
        <w:t xml:space="preserve"> </w:t>
      </w:r>
      <w:r w:rsidR="007A2CBD">
        <w:rPr>
          <w:color w:val="auto"/>
        </w:rPr>
        <w:t>Gender equality remains a challenge. Women, on average, have more than five children and the country continues to have one of the region’s highest rates of maternal mortality</w:t>
      </w:r>
      <w:r w:rsidR="007C3FFB">
        <w:rPr>
          <w:color w:val="auto"/>
        </w:rPr>
        <w:t>,</w:t>
      </w:r>
      <w:r w:rsidR="007A2CBD">
        <w:rPr>
          <w:color w:val="auto"/>
        </w:rPr>
        <w:t xml:space="preserve"> with more than </w:t>
      </w:r>
      <w:r w:rsidR="00090713">
        <w:rPr>
          <w:color w:val="auto"/>
        </w:rPr>
        <w:t xml:space="preserve">1 </w:t>
      </w:r>
      <w:r w:rsidR="007A2CBD">
        <w:rPr>
          <w:color w:val="auto"/>
        </w:rPr>
        <w:t xml:space="preserve">in every </w:t>
      </w:r>
      <w:r w:rsidR="00090713">
        <w:rPr>
          <w:color w:val="auto"/>
        </w:rPr>
        <w:t xml:space="preserve">30 </w:t>
      </w:r>
      <w:r w:rsidR="007A2CBD">
        <w:rPr>
          <w:color w:val="auto"/>
        </w:rPr>
        <w:t xml:space="preserve">families losing their mother to childbirth. </w:t>
      </w:r>
      <w:r w:rsidR="005A537A">
        <w:rPr>
          <w:color w:val="auto"/>
        </w:rPr>
        <w:t>N</w:t>
      </w:r>
      <w:r w:rsidR="007A2CBD">
        <w:rPr>
          <w:color w:val="auto"/>
        </w:rPr>
        <w:t>ew</w:t>
      </w:r>
      <w:r w:rsidR="007A2CBD" w:rsidRPr="00914672">
        <w:rPr>
          <w:color w:val="auto"/>
        </w:rPr>
        <w:t xml:space="preserve"> data shows that 59</w:t>
      </w:r>
      <w:r w:rsidR="007A2CBD">
        <w:rPr>
          <w:color w:val="auto"/>
        </w:rPr>
        <w:t xml:space="preserve"> per cent</w:t>
      </w:r>
      <w:r w:rsidR="007A2CBD" w:rsidRPr="00914672">
        <w:rPr>
          <w:color w:val="auto"/>
        </w:rPr>
        <w:t xml:space="preserve"> of </w:t>
      </w:r>
      <w:r w:rsidR="007A2CBD">
        <w:rPr>
          <w:color w:val="auto"/>
        </w:rPr>
        <w:t xml:space="preserve">ever-partnered </w:t>
      </w:r>
      <w:r w:rsidR="007A2CBD" w:rsidRPr="00914672">
        <w:rPr>
          <w:color w:val="auto"/>
        </w:rPr>
        <w:t>women between 15 and 49 ha</w:t>
      </w:r>
      <w:r w:rsidR="007A2CBD">
        <w:rPr>
          <w:color w:val="auto"/>
        </w:rPr>
        <w:t>ve</w:t>
      </w:r>
      <w:r w:rsidR="007A2CBD" w:rsidRPr="00914672">
        <w:rPr>
          <w:color w:val="auto"/>
        </w:rPr>
        <w:t xml:space="preserve"> experienced physical </w:t>
      </w:r>
      <w:r w:rsidR="007A2CBD">
        <w:rPr>
          <w:color w:val="auto"/>
        </w:rPr>
        <w:t>and/</w:t>
      </w:r>
      <w:r w:rsidR="007A2CBD" w:rsidRPr="00914672">
        <w:rPr>
          <w:color w:val="auto"/>
        </w:rPr>
        <w:t>or sexual</w:t>
      </w:r>
      <w:r w:rsidR="007A2CBD">
        <w:rPr>
          <w:color w:val="auto"/>
        </w:rPr>
        <w:t xml:space="preserve"> </w:t>
      </w:r>
      <w:r w:rsidR="008217DC">
        <w:rPr>
          <w:color w:val="auto"/>
        </w:rPr>
        <w:t xml:space="preserve">violence </w:t>
      </w:r>
      <w:r w:rsidR="007A2CBD">
        <w:rPr>
          <w:color w:val="auto"/>
        </w:rPr>
        <w:t>by a male partner in their lifetime.</w:t>
      </w:r>
      <w:r w:rsidR="007A2CBD">
        <w:rPr>
          <w:rStyle w:val="FootnoteReference"/>
          <w:color w:val="auto"/>
        </w:rPr>
        <w:footnoteReference w:id="5"/>
      </w:r>
      <w:r w:rsidR="007A2CBD">
        <w:rPr>
          <w:color w:val="auto"/>
        </w:rPr>
        <w:t xml:space="preserve"> By the end of 2015, Timor-Leste had not achieved any of the eight Millennium Development Goals and had dropped four places in the United Nations ranking for human development.</w:t>
      </w:r>
      <w:r w:rsidR="007A2CBD">
        <w:rPr>
          <w:rStyle w:val="FootnoteReference"/>
          <w:color w:val="auto"/>
        </w:rPr>
        <w:footnoteReference w:id="6"/>
      </w:r>
      <w:r w:rsidR="007A2CBD">
        <w:rPr>
          <w:color w:val="auto"/>
        </w:rPr>
        <w:t xml:space="preserve"> </w:t>
      </w:r>
    </w:p>
    <w:p w:rsidR="0095094B" w:rsidRDefault="00932BC6" w:rsidP="00C06486">
      <w:pPr>
        <w:suppressAutoHyphens w:val="0"/>
        <w:autoSpaceDE w:val="0"/>
        <w:autoSpaceDN w:val="0"/>
        <w:spacing w:before="0" w:after="0" w:line="240" w:lineRule="auto"/>
        <w:rPr>
          <w:color w:val="auto"/>
        </w:rPr>
      </w:pPr>
      <w:r w:rsidRPr="00932BC6">
        <w:rPr>
          <w:color w:val="auto"/>
        </w:rPr>
        <w:t xml:space="preserve">Development of the resources of the Timor Sea has enabled Timor-Leste to accumulate more than $16 billion in its Petroleum Fund. </w:t>
      </w:r>
      <w:r>
        <w:rPr>
          <w:color w:val="auto"/>
        </w:rPr>
        <w:t xml:space="preserve">Although </w:t>
      </w:r>
      <w:r w:rsidRPr="00932BC6">
        <w:rPr>
          <w:color w:val="auto"/>
        </w:rPr>
        <w:t xml:space="preserve">our differences </w:t>
      </w:r>
      <w:r>
        <w:rPr>
          <w:color w:val="auto"/>
        </w:rPr>
        <w:t>over</w:t>
      </w:r>
      <w:r w:rsidRPr="00932BC6">
        <w:rPr>
          <w:color w:val="auto"/>
        </w:rPr>
        <w:t xml:space="preserve"> Timor Sea issues</w:t>
      </w:r>
      <w:r w:rsidR="00D269AD">
        <w:rPr>
          <w:color w:val="auto"/>
        </w:rPr>
        <w:t xml:space="preserve"> have affected </w:t>
      </w:r>
      <w:r>
        <w:rPr>
          <w:color w:val="auto"/>
        </w:rPr>
        <w:t xml:space="preserve">the bilateral relationship, Australia remains committed, including through development cooperation, to supporting Timor-Leste’s development priorities. </w:t>
      </w:r>
      <w:r w:rsidR="008301AF">
        <w:rPr>
          <w:color w:val="auto"/>
        </w:rPr>
        <w:t>O</w:t>
      </w:r>
      <w:r w:rsidR="00E53873" w:rsidRPr="00FC13F3">
        <w:rPr>
          <w:color w:val="auto"/>
        </w:rPr>
        <w:t>ur partnership approach aligns with the ‘New Deal’ principles of t</w:t>
      </w:r>
      <w:r w:rsidR="00282812">
        <w:rPr>
          <w:color w:val="auto"/>
        </w:rPr>
        <w:t xml:space="preserve">he g7+ group of fragile states, </w:t>
      </w:r>
      <w:r w:rsidR="00E53873" w:rsidRPr="00FC13F3">
        <w:rPr>
          <w:color w:val="auto"/>
        </w:rPr>
        <w:t xml:space="preserve">of which Timor-Leste is a leading member. </w:t>
      </w:r>
      <w:r w:rsidR="008042D3">
        <w:rPr>
          <w:color w:val="auto"/>
        </w:rPr>
        <w:t xml:space="preserve">In 2015-16 </w:t>
      </w:r>
      <w:r w:rsidR="00E53873" w:rsidRPr="00FC13F3">
        <w:rPr>
          <w:color w:val="auto"/>
        </w:rPr>
        <w:t>Australia’s</w:t>
      </w:r>
      <w:r w:rsidR="008042D3">
        <w:rPr>
          <w:color w:val="auto"/>
        </w:rPr>
        <w:t xml:space="preserve"> development</w:t>
      </w:r>
      <w:r w:rsidR="00E53873" w:rsidRPr="00FC13F3">
        <w:rPr>
          <w:color w:val="auto"/>
        </w:rPr>
        <w:t xml:space="preserve"> assistance was around one-third of all aid to Timor-Leste and </w:t>
      </w:r>
      <w:r w:rsidR="00482B70">
        <w:rPr>
          <w:color w:val="auto"/>
        </w:rPr>
        <w:t>four</w:t>
      </w:r>
      <w:r w:rsidR="00E53873" w:rsidRPr="00FC13F3">
        <w:rPr>
          <w:color w:val="auto"/>
        </w:rPr>
        <w:t xml:space="preserve"> per cent of Timor-Leste’s annual budget. Australia is the lead donor in </w:t>
      </w:r>
      <w:r w:rsidR="00877F78">
        <w:rPr>
          <w:color w:val="auto"/>
        </w:rPr>
        <w:t xml:space="preserve">most sectors in which we work; </w:t>
      </w:r>
      <w:r w:rsidR="00E53873" w:rsidRPr="00FC13F3">
        <w:rPr>
          <w:color w:val="auto"/>
        </w:rPr>
        <w:t>health, education, ending violence against women and agriculture. Other major donors include the United States, the European Union, Japan, the Asian Development Bank and the World Bank.</w:t>
      </w:r>
      <w:r w:rsidR="00877F78">
        <w:rPr>
          <w:color w:val="auto"/>
        </w:rPr>
        <w:t xml:space="preserve"> </w:t>
      </w:r>
      <w:r w:rsidR="00E53873" w:rsidRPr="00FC13F3">
        <w:rPr>
          <w:color w:val="auto"/>
        </w:rPr>
        <w:t xml:space="preserve">We work closely to coordinate development efforts with </w:t>
      </w:r>
      <w:r w:rsidR="00282812">
        <w:rPr>
          <w:color w:val="auto"/>
        </w:rPr>
        <w:t xml:space="preserve">the </w:t>
      </w:r>
      <w:r w:rsidR="00241EFF">
        <w:rPr>
          <w:color w:val="auto"/>
        </w:rPr>
        <w:t>g</w:t>
      </w:r>
      <w:r w:rsidR="00282812">
        <w:rPr>
          <w:color w:val="auto"/>
        </w:rPr>
        <w:t xml:space="preserve">overnment as well as </w:t>
      </w:r>
      <w:r w:rsidR="00E53873" w:rsidRPr="00FC13F3">
        <w:rPr>
          <w:color w:val="auto"/>
        </w:rPr>
        <w:t>bilateral and multilateral partners, including through working groups for aid coordination, agriculture, infrast</w:t>
      </w:r>
      <w:r w:rsidR="00D5780C">
        <w:rPr>
          <w:color w:val="auto"/>
        </w:rPr>
        <w:t>ructure, education and health</w:t>
      </w:r>
      <w:r w:rsidR="00E53873" w:rsidRPr="00FC13F3">
        <w:rPr>
          <w:color w:val="auto"/>
        </w:rPr>
        <w:t>. As aid becomes a smaller share of Timor-Leste’s state budget, Australia remains focused on assisting Timor-Leste to use its own resources to develop the economy and alleviate poverty.</w:t>
      </w:r>
      <w:r w:rsidR="00E53873">
        <w:rPr>
          <w:color w:val="auto"/>
        </w:rPr>
        <w:t xml:space="preserve"> </w:t>
      </w:r>
      <w:r w:rsidR="00E53873" w:rsidRPr="00FC13F3">
        <w:rPr>
          <w:color w:val="auto"/>
        </w:rPr>
        <w:t xml:space="preserve"> </w:t>
      </w:r>
    </w:p>
    <w:p w:rsidR="000313CB" w:rsidRDefault="00353B83" w:rsidP="002A299B">
      <w:pPr>
        <w:rPr>
          <w:color w:val="auto"/>
        </w:rPr>
      </w:pPr>
      <w:r>
        <w:rPr>
          <w:color w:val="auto"/>
        </w:rPr>
        <w:t>Australia is working in partnership with</w:t>
      </w:r>
      <w:r w:rsidR="0095094B" w:rsidRPr="002A299B">
        <w:rPr>
          <w:color w:val="auto"/>
        </w:rPr>
        <w:t xml:space="preserve"> Timor-Leste</w:t>
      </w:r>
      <w:r>
        <w:rPr>
          <w:color w:val="auto"/>
        </w:rPr>
        <w:t xml:space="preserve"> </w:t>
      </w:r>
      <w:r w:rsidR="0095094B" w:rsidRPr="002A299B">
        <w:rPr>
          <w:color w:val="auto"/>
        </w:rPr>
        <w:t xml:space="preserve">to create an environment conducive to economic growth by increasing agricultural productivity and access to markets, strengthening government capacity, improving equality for women and supporting the development of a healthy and educated population. Our aid program has three strategic objectives articulated in the </w:t>
      </w:r>
      <w:r w:rsidR="0095094B" w:rsidRPr="007554E0">
        <w:rPr>
          <w:i/>
          <w:color w:val="auto"/>
        </w:rPr>
        <w:t>Aid Investment Plan</w:t>
      </w:r>
      <w:r w:rsidR="0095094B" w:rsidRPr="002A299B">
        <w:rPr>
          <w:color w:val="auto"/>
        </w:rPr>
        <w:t xml:space="preserve">: improving livelihoods, enhancing human development and strengthening governance and institutions. </w:t>
      </w:r>
      <w:r w:rsidR="00877F78">
        <w:rPr>
          <w:color w:val="auto"/>
        </w:rPr>
        <w:t xml:space="preserve">Analysis of program performance </w:t>
      </w:r>
      <w:r w:rsidR="0095094B" w:rsidRPr="002A299B">
        <w:rPr>
          <w:color w:val="auto"/>
        </w:rPr>
        <w:t xml:space="preserve">under each </w:t>
      </w:r>
      <w:r w:rsidR="00830578">
        <w:rPr>
          <w:color w:val="auto"/>
        </w:rPr>
        <w:t>strategic objective is outlined</w:t>
      </w:r>
      <w:r w:rsidR="00877F78" w:rsidRPr="002A299B">
        <w:rPr>
          <w:color w:val="auto"/>
        </w:rPr>
        <w:t xml:space="preserve"> </w:t>
      </w:r>
      <w:r w:rsidR="0095094B" w:rsidRPr="002A299B">
        <w:rPr>
          <w:color w:val="auto"/>
        </w:rPr>
        <w:t xml:space="preserve">below.  </w:t>
      </w:r>
    </w:p>
    <w:p w:rsidR="0095094B" w:rsidRPr="002A51CA" w:rsidRDefault="00C6626C" w:rsidP="00D8342B">
      <w:pPr>
        <w:pStyle w:val="ListBullet"/>
        <w:keepNext/>
        <w:keepLines/>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rsidR="0095094B" w:rsidRDefault="00413A96" w:rsidP="00D8342B">
      <w:pPr>
        <w:keepNext/>
        <w:keepLines/>
        <w:rPr>
          <w:color w:val="auto"/>
        </w:rPr>
      </w:pPr>
      <w:r w:rsidRPr="006A23DB">
        <w:rPr>
          <w:color w:val="auto"/>
        </w:rPr>
        <w:t>In 2015-16, Australia’s total ODA to Timor-Leste was $99.1</w:t>
      </w:r>
      <w:r w:rsidR="006A23DB" w:rsidRPr="006A23DB">
        <w:rPr>
          <w:color w:val="auto"/>
        </w:rPr>
        <w:t xml:space="preserve"> million, down from $105.9 million in</w:t>
      </w:r>
      <w:r w:rsidR="006A23DB">
        <w:rPr>
          <w:color w:val="auto"/>
        </w:rPr>
        <w:t xml:space="preserve"> </w:t>
      </w:r>
      <w:r w:rsidR="00363D2F">
        <w:rPr>
          <w:color w:val="auto"/>
        </w:rPr>
        <w:t xml:space="preserve">2014-15. </w:t>
      </w:r>
    </w:p>
    <w:p w:rsidR="002A51CA" w:rsidRPr="00BF41E9" w:rsidRDefault="002A51CA" w:rsidP="00D90241">
      <w:pPr>
        <w:keepNext/>
        <w:keepLines/>
        <w:rPr>
          <w:b/>
          <w:sz w:val="20"/>
          <w:szCs w:val="20"/>
        </w:rPr>
      </w:pPr>
      <w:r w:rsidRPr="00BF41E9">
        <w:rPr>
          <w:b/>
          <w:sz w:val="20"/>
          <w:szCs w:val="20"/>
        </w:rPr>
        <w:t xml:space="preserve">Table </w:t>
      </w:r>
      <w:r w:rsidRPr="00BF41E9">
        <w:rPr>
          <w:b/>
          <w:sz w:val="20"/>
          <w:szCs w:val="20"/>
        </w:rPr>
        <w:fldChar w:fldCharType="begin"/>
      </w:r>
      <w:r w:rsidRPr="00BF41E9">
        <w:rPr>
          <w:b/>
          <w:sz w:val="20"/>
          <w:szCs w:val="20"/>
        </w:rPr>
        <w:instrText xml:space="preserve"> SEQ Table \* ARABIC </w:instrText>
      </w:r>
      <w:r w:rsidRPr="00BF41E9">
        <w:rPr>
          <w:b/>
          <w:sz w:val="20"/>
          <w:szCs w:val="20"/>
        </w:rPr>
        <w:fldChar w:fldCharType="separate"/>
      </w:r>
      <w:r w:rsidR="00B516BD">
        <w:rPr>
          <w:b/>
          <w:noProof/>
          <w:sz w:val="20"/>
          <w:szCs w:val="20"/>
        </w:rPr>
        <w:t>1</w:t>
      </w:r>
      <w:r w:rsidRPr="00BF41E9">
        <w:rPr>
          <w:b/>
          <w:noProof/>
          <w:sz w:val="20"/>
          <w:szCs w:val="20"/>
        </w:rPr>
        <w:fldChar w:fldCharType="end"/>
      </w:r>
      <w:r w:rsidRPr="00BF41E9">
        <w:rPr>
          <w:b/>
          <w:sz w:val="20"/>
          <w:szCs w:val="20"/>
        </w:rPr>
        <w:t xml:space="preserve"> Total ODA Expenditure in FY 2015-16</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Table 1. Total ODA Expenditure in Financial Year 2015-16"/>
        <w:tblDescription w:val="Objective 1, Improving Livelihoods, $17.11 million, 17 per cent. Objective 2, Enhancing Human Development, $29.71 million, 30 per cent. Objective 3, Strengthening Governance and Instututions, $20.67 million, 21 per cent. Multi-sector, operations and cross cutting, $13.91 million, 14 per cent. Sub total for bilateral expenditure, 81.4 million, 71 per cent. Regional and Global, $16.46 or 17 per cent. Other government departments, excluding Australian Federal Police, $1.21 million, 1 per cent. Total ODA expenditure, $99.1 million. "/>
      </w:tblPr>
      <w:tblGrid>
        <w:gridCol w:w="4644"/>
        <w:gridCol w:w="983"/>
        <w:gridCol w:w="1285"/>
      </w:tblGrid>
      <w:tr w:rsidR="00D33C9B" w:rsidRPr="006151FE" w:rsidTr="004E09A7">
        <w:trPr>
          <w:trHeight w:val="159"/>
          <w:tblHeader/>
        </w:trPr>
        <w:tc>
          <w:tcPr>
            <w:tcW w:w="4644" w:type="dxa"/>
          </w:tcPr>
          <w:p w:rsidR="00D33C9B" w:rsidRPr="00BF41E9" w:rsidRDefault="00D33C9B" w:rsidP="00D90241">
            <w:pPr>
              <w:keepNext/>
              <w:keepLines/>
              <w:spacing w:before="40" w:after="40" w:line="280" w:lineRule="exact"/>
              <w:rPr>
                <w:rFonts w:eastAsia="Times New Roman"/>
                <w:sz w:val="17"/>
                <w:szCs w:val="17"/>
              </w:rPr>
            </w:pPr>
          </w:p>
        </w:tc>
        <w:tc>
          <w:tcPr>
            <w:tcW w:w="983" w:type="dxa"/>
          </w:tcPr>
          <w:p w:rsidR="00D33C9B" w:rsidRPr="00BF41E9" w:rsidRDefault="00D33C9B" w:rsidP="005E1F4E">
            <w:pPr>
              <w:keepNext/>
              <w:keepLines/>
              <w:spacing w:before="40" w:after="40" w:line="280" w:lineRule="exact"/>
              <w:rPr>
                <w:rFonts w:eastAsia="Times New Roman"/>
                <w:b/>
                <w:sz w:val="17"/>
                <w:szCs w:val="17"/>
              </w:rPr>
            </w:pPr>
            <w:r w:rsidRPr="006151FE">
              <w:rPr>
                <w:rFonts w:eastAsia="Times New Roman"/>
                <w:b/>
                <w:sz w:val="17"/>
                <w:szCs w:val="17"/>
              </w:rPr>
              <w:t>A$ million</w:t>
            </w:r>
          </w:p>
        </w:tc>
        <w:tc>
          <w:tcPr>
            <w:tcW w:w="1285" w:type="dxa"/>
          </w:tcPr>
          <w:p w:rsidR="00D33C9B" w:rsidRPr="00BF41E9" w:rsidRDefault="00D33C9B">
            <w:pPr>
              <w:keepNext/>
              <w:keepLines/>
              <w:spacing w:before="40" w:after="40" w:line="280" w:lineRule="exact"/>
              <w:rPr>
                <w:rFonts w:eastAsia="Times New Roman"/>
                <w:b/>
                <w:sz w:val="17"/>
                <w:szCs w:val="17"/>
              </w:rPr>
            </w:pPr>
            <w:r w:rsidRPr="006151FE">
              <w:rPr>
                <w:rFonts w:eastAsia="Times New Roman"/>
                <w:b/>
                <w:sz w:val="17"/>
                <w:szCs w:val="17"/>
              </w:rPr>
              <w:t>% of total ODA</w:t>
            </w:r>
          </w:p>
        </w:tc>
      </w:tr>
      <w:tr w:rsidR="00D33C9B" w:rsidRPr="006151FE" w:rsidTr="002A299B">
        <w:trPr>
          <w:trHeight w:val="227"/>
        </w:trPr>
        <w:tc>
          <w:tcPr>
            <w:tcW w:w="4644" w:type="dxa"/>
          </w:tcPr>
          <w:p w:rsidR="00D33C9B" w:rsidRPr="003B0793" w:rsidRDefault="006151FE" w:rsidP="00D90241">
            <w:pPr>
              <w:keepNext/>
              <w:keepLines/>
              <w:spacing w:before="40" w:after="40" w:line="280" w:lineRule="exact"/>
              <w:rPr>
                <w:rFonts w:eastAsia="Times New Roman"/>
                <w:sz w:val="17"/>
                <w:szCs w:val="17"/>
              </w:rPr>
            </w:pPr>
            <w:r>
              <w:rPr>
                <w:rFonts w:eastAsia="Times New Roman"/>
                <w:sz w:val="17"/>
                <w:szCs w:val="17"/>
              </w:rPr>
              <w:t>O</w:t>
            </w:r>
            <w:r w:rsidR="00D33C9B" w:rsidRPr="003B0793">
              <w:rPr>
                <w:rFonts w:eastAsia="Times New Roman"/>
                <w:sz w:val="17"/>
                <w:szCs w:val="17"/>
              </w:rPr>
              <w:t>bjective 1</w:t>
            </w:r>
            <w:r w:rsidR="00D33C9B">
              <w:rPr>
                <w:rFonts w:eastAsia="Times New Roman"/>
                <w:sz w:val="17"/>
                <w:szCs w:val="17"/>
              </w:rPr>
              <w:t xml:space="preserve">: </w:t>
            </w:r>
            <w:r w:rsidR="000E6E34">
              <w:rPr>
                <w:rFonts w:eastAsia="Times New Roman"/>
                <w:sz w:val="17"/>
                <w:szCs w:val="17"/>
              </w:rPr>
              <w:t>Improving Li</w:t>
            </w:r>
            <w:r w:rsidR="00D33C9B" w:rsidRPr="0080079A">
              <w:rPr>
                <w:rFonts w:eastAsia="Times New Roman"/>
                <w:sz w:val="17"/>
                <w:szCs w:val="17"/>
              </w:rPr>
              <w:t>velihoods</w:t>
            </w:r>
          </w:p>
        </w:tc>
        <w:tc>
          <w:tcPr>
            <w:tcW w:w="983" w:type="dxa"/>
          </w:tcPr>
          <w:p w:rsidR="00D33C9B" w:rsidRPr="00580EA0" w:rsidRDefault="00D33C9B" w:rsidP="00D90241">
            <w:pPr>
              <w:keepNext/>
              <w:keepLines/>
              <w:spacing w:before="40" w:after="40" w:line="280" w:lineRule="exact"/>
              <w:rPr>
                <w:rFonts w:eastAsia="Times New Roman"/>
                <w:sz w:val="17"/>
                <w:szCs w:val="17"/>
              </w:rPr>
            </w:pPr>
            <w:r w:rsidRPr="00580EA0">
              <w:rPr>
                <w:rFonts w:eastAsia="Times New Roman"/>
                <w:sz w:val="17"/>
                <w:szCs w:val="17"/>
              </w:rPr>
              <w:t>17</w:t>
            </w:r>
            <w:r>
              <w:rPr>
                <w:rFonts w:eastAsia="Times New Roman"/>
                <w:sz w:val="17"/>
                <w:szCs w:val="17"/>
              </w:rPr>
              <w:t>.11</w:t>
            </w:r>
          </w:p>
        </w:tc>
        <w:tc>
          <w:tcPr>
            <w:tcW w:w="1285" w:type="dxa"/>
            <w:vAlign w:val="center"/>
          </w:tcPr>
          <w:p w:rsidR="00D33C9B" w:rsidRPr="00B6182F" w:rsidRDefault="00D33C9B" w:rsidP="005E1F4E">
            <w:pPr>
              <w:keepNext/>
              <w:keepLines/>
              <w:spacing w:before="40" w:after="40" w:line="280" w:lineRule="exact"/>
              <w:rPr>
                <w:rFonts w:eastAsia="Times New Roman"/>
                <w:sz w:val="17"/>
                <w:szCs w:val="17"/>
              </w:rPr>
            </w:pPr>
            <w:r w:rsidRPr="00B6182F">
              <w:rPr>
                <w:rFonts w:eastAsia="Times New Roman"/>
                <w:sz w:val="17"/>
                <w:szCs w:val="17"/>
              </w:rPr>
              <w:t>17</w:t>
            </w:r>
          </w:p>
        </w:tc>
      </w:tr>
      <w:tr w:rsidR="00D33C9B" w:rsidRPr="006151FE" w:rsidTr="002A299B">
        <w:trPr>
          <w:trHeight w:val="227"/>
        </w:trPr>
        <w:tc>
          <w:tcPr>
            <w:tcW w:w="4644" w:type="dxa"/>
          </w:tcPr>
          <w:p w:rsidR="00D33C9B" w:rsidRPr="003B0793" w:rsidRDefault="00D33C9B" w:rsidP="00D90241">
            <w:pPr>
              <w:keepNext/>
              <w:keepLines/>
              <w:spacing w:before="40" w:after="40" w:line="280" w:lineRule="exact"/>
              <w:rPr>
                <w:rFonts w:eastAsia="Times New Roman"/>
                <w:sz w:val="17"/>
                <w:szCs w:val="17"/>
              </w:rPr>
            </w:pPr>
            <w:r w:rsidRPr="003B0793">
              <w:rPr>
                <w:rFonts w:eastAsia="Times New Roman"/>
                <w:sz w:val="17"/>
                <w:szCs w:val="17"/>
              </w:rPr>
              <w:t>Objective 2</w:t>
            </w:r>
            <w:r>
              <w:rPr>
                <w:rFonts w:eastAsia="Times New Roman"/>
                <w:sz w:val="17"/>
                <w:szCs w:val="17"/>
              </w:rPr>
              <w:t xml:space="preserve">: </w:t>
            </w:r>
            <w:r w:rsidR="00A070AB">
              <w:rPr>
                <w:rFonts w:eastAsia="Times New Roman"/>
                <w:sz w:val="17"/>
                <w:szCs w:val="17"/>
              </w:rPr>
              <w:t>Enhancing Human Development</w:t>
            </w:r>
          </w:p>
        </w:tc>
        <w:tc>
          <w:tcPr>
            <w:tcW w:w="983" w:type="dxa"/>
          </w:tcPr>
          <w:p w:rsidR="00D33C9B" w:rsidRPr="00580EA0" w:rsidRDefault="00D33C9B" w:rsidP="00D90241">
            <w:pPr>
              <w:keepNext/>
              <w:keepLines/>
              <w:spacing w:before="40" w:after="40" w:line="280" w:lineRule="exact"/>
              <w:rPr>
                <w:rFonts w:eastAsia="Times New Roman"/>
                <w:sz w:val="17"/>
                <w:szCs w:val="17"/>
              </w:rPr>
            </w:pPr>
            <w:r w:rsidRPr="00580EA0">
              <w:rPr>
                <w:rFonts w:eastAsia="Times New Roman"/>
                <w:sz w:val="17"/>
                <w:szCs w:val="17"/>
              </w:rPr>
              <w:t>29</w:t>
            </w:r>
            <w:r>
              <w:rPr>
                <w:rFonts w:eastAsia="Times New Roman"/>
                <w:sz w:val="17"/>
                <w:szCs w:val="17"/>
              </w:rPr>
              <w:t>.</w:t>
            </w:r>
            <w:r w:rsidRPr="00580EA0">
              <w:rPr>
                <w:rFonts w:eastAsia="Times New Roman"/>
                <w:sz w:val="17"/>
                <w:szCs w:val="17"/>
              </w:rPr>
              <w:t>7</w:t>
            </w:r>
            <w:r>
              <w:rPr>
                <w:rFonts w:eastAsia="Times New Roman"/>
                <w:sz w:val="17"/>
                <w:szCs w:val="17"/>
              </w:rPr>
              <w:t>1</w:t>
            </w:r>
          </w:p>
        </w:tc>
        <w:tc>
          <w:tcPr>
            <w:tcW w:w="1285" w:type="dxa"/>
            <w:vAlign w:val="center"/>
          </w:tcPr>
          <w:p w:rsidR="00D33C9B" w:rsidRPr="00B6182F" w:rsidRDefault="00D33C9B" w:rsidP="005E1F4E">
            <w:pPr>
              <w:keepNext/>
              <w:keepLines/>
              <w:spacing w:before="40" w:after="40" w:line="280" w:lineRule="exact"/>
              <w:rPr>
                <w:rFonts w:eastAsia="Times New Roman"/>
                <w:sz w:val="17"/>
                <w:szCs w:val="17"/>
              </w:rPr>
            </w:pPr>
            <w:r w:rsidRPr="00B6182F">
              <w:rPr>
                <w:rFonts w:eastAsia="Times New Roman"/>
                <w:sz w:val="17"/>
                <w:szCs w:val="17"/>
              </w:rPr>
              <w:t>30</w:t>
            </w:r>
          </w:p>
        </w:tc>
      </w:tr>
      <w:tr w:rsidR="00D33C9B" w:rsidRPr="006151FE" w:rsidTr="002A299B">
        <w:trPr>
          <w:trHeight w:val="227"/>
        </w:trPr>
        <w:tc>
          <w:tcPr>
            <w:tcW w:w="4644" w:type="dxa"/>
          </w:tcPr>
          <w:p w:rsidR="00D33C9B" w:rsidRPr="003B0793" w:rsidRDefault="00D33C9B" w:rsidP="00D90241">
            <w:pPr>
              <w:keepNext/>
              <w:keepLines/>
              <w:spacing w:before="40" w:after="40" w:line="280" w:lineRule="exact"/>
              <w:rPr>
                <w:rFonts w:eastAsia="Times New Roman"/>
                <w:sz w:val="17"/>
                <w:szCs w:val="17"/>
              </w:rPr>
            </w:pPr>
            <w:r w:rsidRPr="003B0793">
              <w:rPr>
                <w:rFonts w:eastAsia="Times New Roman"/>
                <w:sz w:val="17"/>
                <w:szCs w:val="17"/>
              </w:rPr>
              <w:t>Objective 3</w:t>
            </w:r>
            <w:r w:rsidR="00241EFF">
              <w:rPr>
                <w:rFonts w:eastAsia="Times New Roman"/>
                <w:sz w:val="17"/>
                <w:szCs w:val="17"/>
              </w:rPr>
              <w:t>:</w:t>
            </w:r>
            <w:r>
              <w:rPr>
                <w:rFonts w:eastAsia="Times New Roman"/>
                <w:sz w:val="17"/>
                <w:szCs w:val="17"/>
              </w:rPr>
              <w:t xml:space="preserve"> </w:t>
            </w:r>
            <w:r w:rsidR="00A070AB">
              <w:rPr>
                <w:rFonts w:eastAsia="Times New Roman"/>
                <w:sz w:val="17"/>
                <w:szCs w:val="17"/>
              </w:rPr>
              <w:t>Strengthening Governance</w:t>
            </w:r>
            <w:r>
              <w:rPr>
                <w:rFonts w:eastAsia="Times New Roman"/>
                <w:sz w:val="17"/>
                <w:szCs w:val="17"/>
              </w:rPr>
              <w:t xml:space="preserve"> </w:t>
            </w:r>
            <w:r w:rsidR="0060108D">
              <w:rPr>
                <w:rFonts w:eastAsia="Times New Roman"/>
                <w:sz w:val="17"/>
                <w:szCs w:val="17"/>
              </w:rPr>
              <w:t>and Institutions</w:t>
            </w:r>
          </w:p>
        </w:tc>
        <w:tc>
          <w:tcPr>
            <w:tcW w:w="983" w:type="dxa"/>
          </w:tcPr>
          <w:p w:rsidR="00D33C9B" w:rsidRPr="00580EA0" w:rsidRDefault="00D33C9B" w:rsidP="00D90241">
            <w:pPr>
              <w:keepNext/>
              <w:keepLines/>
              <w:spacing w:before="40" w:after="40" w:line="280" w:lineRule="exact"/>
              <w:rPr>
                <w:rFonts w:eastAsia="Times New Roman"/>
                <w:sz w:val="17"/>
                <w:szCs w:val="17"/>
              </w:rPr>
            </w:pPr>
            <w:r>
              <w:rPr>
                <w:rFonts w:eastAsia="Times New Roman"/>
                <w:sz w:val="17"/>
                <w:szCs w:val="17"/>
              </w:rPr>
              <w:t>20.67</w:t>
            </w:r>
          </w:p>
        </w:tc>
        <w:tc>
          <w:tcPr>
            <w:tcW w:w="1285" w:type="dxa"/>
            <w:vAlign w:val="center"/>
          </w:tcPr>
          <w:p w:rsidR="00D33C9B" w:rsidRPr="00B6182F" w:rsidRDefault="00D33C9B" w:rsidP="005E1F4E">
            <w:pPr>
              <w:keepNext/>
              <w:keepLines/>
              <w:spacing w:before="40" w:after="40" w:line="280" w:lineRule="exact"/>
              <w:rPr>
                <w:rFonts w:eastAsia="Times New Roman"/>
                <w:sz w:val="17"/>
                <w:szCs w:val="17"/>
              </w:rPr>
            </w:pPr>
            <w:r w:rsidRPr="00B6182F">
              <w:rPr>
                <w:rFonts w:eastAsia="Times New Roman"/>
                <w:sz w:val="17"/>
                <w:szCs w:val="17"/>
              </w:rPr>
              <w:t>21</w:t>
            </w:r>
          </w:p>
        </w:tc>
      </w:tr>
      <w:tr w:rsidR="00D33C9B" w:rsidRPr="006151FE" w:rsidTr="002A299B">
        <w:trPr>
          <w:trHeight w:val="227"/>
        </w:trPr>
        <w:tc>
          <w:tcPr>
            <w:tcW w:w="4644" w:type="dxa"/>
          </w:tcPr>
          <w:p w:rsidR="00D33C9B" w:rsidRPr="003B0793" w:rsidRDefault="00D33C9B" w:rsidP="00D90241">
            <w:pPr>
              <w:keepNext/>
              <w:keepLines/>
              <w:spacing w:before="40" w:after="40" w:line="280" w:lineRule="exact"/>
              <w:rPr>
                <w:rFonts w:eastAsia="Times New Roman"/>
                <w:sz w:val="17"/>
                <w:szCs w:val="17"/>
              </w:rPr>
            </w:pPr>
            <w:r>
              <w:rPr>
                <w:rFonts w:eastAsia="Times New Roman"/>
                <w:sz w:val="17"/>
                <w:szCs w:val="17"/>
              </w:rPr>
              <w:t>Multi-sector (operations and cross-cutting)</w:t>
            </w:r>
          </w:p>
        </w:tc>
        <w:tc>
          <w:tcPr>
            <w:tcW w:w="983" w:type="dxa"/>
          </w:tcPr>
          <w:p w:rsidR="00D33C9B" w:rsidRPr="00580EA0" w:rsidRDefault="00D33C9B" w:rsidP="00D90241">
            <w:pPr>
              <w:keepNext/>
              <w:keepLines/>
              <w:spacing w:before="40" w:after="40" w:line="280" w:lineRule="exact"/>
              <w:rPr>
                <w:rFonts w:eastAsia="Times New Roman"/>
                <w:sz w:val="17"/>
                <w:szCs w:val="17"/>
              </w:rPr>
            </w:pPr>
            <w:r>
              <w:rPr>
                <w:rFonts w:eastAsia="Times New Roman"/>
                <w:sz w:val="17"/>
                <w:szCs w:val="17"/>
              </w:rPr>
              <w:t>13.91</w:t>
            </w:r>
          </w:p>
        </w:tc>
        <w:tc>
          <w:tcPr>
            <w:tcW w:w="1285" w:type="dxa"/>
            <w:vAlign w:val="center"/>
          </w:tcPr>
          <w:p w:rsidR="00D33C9B" w:rsidRPr="00B6182F" w:rsidRDefault="00D33C9B" w:rsidP="005E1F4E">
            <w:pPr>
              <w:keepNext/>
              <w:keepLines/>
              <w:spacing w:before="40" w:after="40" w:line="280" w:lineRule="exact"/>
              <w:rPr>
                <w:rFonts w:eastAsia="Times New Roman"/>
                <w:sz w:val="17"/>
                <w:szCs w:val="17"/>
              </w:rPr>
            </w:pPr>
            <w:r w:rsidRPr="00B6182F">
              <w:rPr>
                <w:rFonts w:eastAsia="Times New Roman"/>
                <w:sz w:val="17"/>
                <w:szCs w:val="17"/>
              </w:rPr>
              <w:t>14</w:t>
            </w:r>
          </w:p>
        </w:tc>
      </w:tr>
      <w:tr w:rsidR="00D33C9B" w:rsidRPr="006151FE" w:rsidTr="002A299B">
        <w:trPr>
          <w:trHeight w:val="227"/>
        </w:trPr>
        <w:tc>
          <w:tcPr>
            <w:tcW w:w="4644" w:type="dxa"/>
          </w:tcPr>
          <w:p w:rsidR="00D33C9B" w:rsidRPr="006151FE" w:rsidRDefault="00D33C9B" w:rsidP="00D90241">
            <w:pPr>
              <w:keepNext/>
              <w:keepLines/>
              <w:spacing w:before="40" w:after="40" w:line="280" w:lineRule="exact"/>
              <w:rPr>
                <w:rFonts w:eastAsia="Times New Roman"/>
                <w:b/>
                <w:sz w:val="17"/>
                <w:szCs w:val="17"/>
              </w:rPr>
            </w:pPr>
            <w:r w:rsidRPr="006151FE">
              <w:rPr>
                <w:rFonts w:eastAsia="Times New Roman"/>
                <w:b/>
                <w:sz w:val="17"/>
                <w:szCs w:val="17"/>
              </w:rPr>
              <w:t>Sub-Total Bilateral</w:t>
            </w:r>
          </w:p>
        </w:tc>
        <w:tc>
          <w:tcPr>
            <w:tcW w:w="983" w:type="dxa"/>
          </w:tcPr>
          <w:p w:rsidR="00D33C9B" w:rsidRPr="00BF41E9" w:rsidRDefault="00D33C9B" w:rsidP="00D90241">
            <w:pPr>
              <w:keepNext/>
              <w:keepLines/>
              <w:spacing w:before="40" w:after="40" w:line="280" w:lineRule="exact"/>
              <w:rPr>
                <w:rFonts w:eastAsia="Times New Roman"/>
                <w:b/>
                <w:sz w:val="17"/>
                <w:szCs w:val="17"/>
              </w:rPr>
            </w:pPr>
            <w:r w:rsidRPr="00BF41E9">
              <w:rPr>
                <w:rFonts w:eastAsia="Times New Roman"/>
                <w:b/>
                <w:sz w:val="17"/>
                <w:szCs w:val="17"/>
              </w:rPr>
              <w:t>81.4</w:t>
            </w:r>
          </w:p>
        </w:tc>
        <w:tc>
          <w:tcPr>
            <w:tcW w:w="1285" w:type="dxa"/>
            <w:vAlign w:val="center"/>
          </w:tcPr>
          <w:p w:rsidR="00D33C9B" w:rsidRPr="00BF41E9" w:rsidRDefault="00D33C9B" w:rsidP="005E1F4E">
            <w:pPr>
              <w:keepNext/>
              <w:keepLines/>
              <w:spacing w:before="40" w:after="40" w:line="280" w:lineRule="exact"/>
              <w:rPr>
                <w:rFonts w:eastAsia="Times New Roman"/>
                <w:b/>
                <w:sz w:val="17"/>
                <w:szCs w:val="17"/>
              </w:rPr>
            </w:pPr>
            <w:r w:rsidRPr="00BF41E9">
              <w:rPr>
                <w:rFonts w:eastAsia="Times New Roman"/>
                <w:b/>
                <w:sz w:val="17"/>
                <w:szCs w:val="17"/>
              </w:rPr>
              <w:t>71</w:t>
            </w:r>
          </w:p>
        </w:tc>
      </w:tr>
      <w:tr w:rsidR="00D33C9B" w:rsidRPr="006151FE" w:rsidTr="002A299B">
        <w:trPr>
          <w:trHeight w:val="227"/>
        </w:trPr>
        <w:tc>
          <w:tcPr>
            <w:tcW w:w="4644" w:type="dxa"/>
          </w:tcPr>
          <w:p w:rsidR="00D33C9B" w:rsidRPr="003B0793" w:rsidRDefault="00D33C9B" w:rsidP="00D90241">
            <w:pPr>
              <w:keepNext/>
              <w:keepLines/>
              <w:spacing w:before="40" w:after="40" w:line="280" w:lineRule="exact"/>
              <w:rPr>
                <w:rFonts w:eastAsia="Times New Roman"/>
                <w:sz w:val="17"/>
                <w:szCs w:val="17"/>
              </w:rPr>
            </w:pPr>
            <w:r w:rsidRPr="003B0793">
              <w:rPr>
                <w:rFonts w:eastAsia="Times New Roman"/>
                <w:sz w:val="17"/>
                <w:szCs w:val="17"/>
              </w:rPr>
              <w:t>Regional and Global</w:t>
            </w:r>
          </w:p>
        </w:tc>
        <w:tc>
          <w:tcPr>
            <w:tcW w:w="983" w:type="dxa"/>
          </w:tcPr>
          <w:p w:rsidR="00D33C9B" w:rsidRPr="00BF41E9" w:rsidRDefault="00D33C9B" w:rsidP="00D90241">
            <w:pPr>
              <w:keepNext/>
              <w:keepLines/>
              <w:spacing w:before="40" w:after="40" w:line="280" w:lineRule="exact"/>
              <w:rPr>
                <w:rFonts w:eastAsia="Times New Roman"/>
                <w:sz w:val="17"/>
                <w:szCs w:val="17"/>
              </w:rPr>
            </w:pPr>
            <w:r w:rsidRPr="00580EA0">
              <w:rPr>
                <w:rFonts w:eastAsia="Times New Roman"/>
                <w:sz w:val="17"/>
                <w:szCs w:val="17"/>
              </w:rPr>
              <w:t>16.46</w:t>
            </w:r>
          </w:p>
        </w:tc>
        <w:tc>
          <w:tcPr>
            <w:tcW w:w="1285" w:type="dxa"/>
            <w:vAlign w:val="center"/>
          </w:tcPr>
          <w:p w:rsidR="00D33C9B" w:rsidRPr="00B6182F" w:rsidRDefault="00D33C9B" w:rsidP="005E1F4E">
            <w:pPr>
              <w:keepNext/>
              <w:keepLines/>
              <w:spacing w:before="40" w:after="40" w:line="280" w:lineRule="exact"/>
              <w:rPr>
                <w:rFonts w:eastAsia="Times New Roman"/>
                <w:sz w:val="17"/>
                <w:szCs w:val="17"/>
              </w:rPr>
            </w:pPr>
            <w:r w:rsidRPr="00B6182F">
              <w:rPr>
                <w:rFonts w:eastAsia="Times New Roman"/>
                <w:sz w:val="17"/>
                <w:szCs w:val="17"/>
              </w:rPr>
              <w:t>17</w:t>
            </w:r>
          </w:p>
        </w:tc>
      </w:tr>
      <w:tr w:rsidR="00D33C9B" w:rsidRPr="006151FE" w:rsidTr="002A299B">
        <w:trPr>
          <w:trHeight w:val="227"/>
        </w:trPr>
        <w:tc>
          <w:tcPr>
            <w:tcW w:w="4644" w:type="dxa"/>
          </w:tcPr>
          <w:p w:rsidR="00D33C9B" w:rsidRPr="003B0793" w:rsidRDefault="00D33C9B" w:rsidP="00D90241">
            <w:pPr>
              <w:keepNext/>
              <w:keepLines/>
              <w:spacing w:before="40" w:after="40" w:line="280" w:lineRule="exact"/>
              <w:rPr>
                <w:rFonts w:eastAsia="Times New Roman"/>
                <w:sz w:val="17"/>
                <w:szCs w:val="17"/>
              </w:rPr>
            </w:pPr>
            <w:r w:rsidRPr="003B0793">
              <w:rPr>
                <w:rFonts w:eastAsia="Times New Roman"/>
                <w:sz w:val="17"/>
                <w:szCs w:val="17"/>
              </w:rPr>
              <w:t>Other Government Departments</w:t>
            </w:r>
            <w:r>
              <w:rPr>
                <w:rFonts w:eastAsia="Times New Roman"/>
                <w:sz w:val="17"/>
                <w:szCs w:val="17"/>
              </w:rPr>
              <w:t xml:space="preserve"> (excluding AFP)</w:t>
            </w:r>
          </w:p>
        </w:tc>
        <w:tc>
          <w:tcPr>
            <w:tcW w:w="983" w:type="dxa"/>
          </w:tcPr>
          <w:p w:rsidR="00D33C9B" w:rsidRPr="003B0793" w:rsidRDefault="00D33C9B" w:rsidP="00D90241">
            <w:pPr>
              <w:keepNext/>
              <w:keepLines/>
              <w:spacing w:before="40" w:after="40" w:line="280" w:lineRule="exact"/>
              <w:rPr>
                <w:rFonts w:eastAsia="Times New Roman"/>
                <w:sz w:val="17"/>
                <w:szCs w:val="17"/>
              </w:rPr>
            </w:pPr>
            <w:r w:rsidRPr="00F43B69">
              <w:rPr>
                <w:rFonts w:eastAsia="Times New Roman"/>
                <w:sz w:val="17"/>
                <w:szCs w:val="17"/>
              </w:rPr>
              <w:t>1.21</w:t>
            </w:r>
          </w:p>
        </w:tc>
        <w:tc>
          <w:tcPr>
            <w:tcW w:w="1285" w:type="dxa"/>
            <w:vAlign w:val="center"/>
          </w:tcPr>
          <w:p w:rsidR="00D33C9B" w:rsidRPr="00B6182F" w:rsidRDefault="00D33C9B" w:rsidP="005E1F4E">
            <w:pPr>
              <w:keepNext/>
              <w:keepLines/>
              <w:spacing w:before="40" w:after="40" w:line="280" w:lineRule="exact"/>
              <w:rPr>
                <w:rFonts w:eastAsia="Times New Roman"/>
                <w:sz w:val="17"/>
                <w:szCs w:val="17"/>
              </w:rPr>
            </w:pPr>
            <w:r w:rsidRPr="00B6182F">
              <w:rPr>
                <w:rFonts w:eastAsia="Times New Roman"/>
                <w:sz w:val="17"/>
                <w:szCs w:val="17"/>
              </w:rPr>
              <w:t>1</w:t>
            </w:r>
          </w:p>
        </w:tc>
      </w:tr>
      <w:tr w:rsidR="00D33C9B" w:rsidRPr="006151FE" w:rsidTr="00F961EE">
        <w:trPr>
          <w:trHeight w:val="80"/>
        </w:trPr>
        <w:tc>
          <w:tcPr>
            <w:tcW w:w="4644" w:type="dxa"/>
          </w:tcPr>
          <w:p w:rsidR="00D33C9B" w:rsidRPr="006151FE" w:rsidRDefault="00D33C9B" w:rsidP="00D90241">
            <w:pPr>
              <w:keepNext/>
              <w:keepLines/>
              <w:spacing w:before="40" w:after="40" w:line="280" w:lineRule="exact"/>
              <w:rPr>
                <w:rFonts w:eastAsia="Times New Roman"/>
                <w:b/>
                <w:sz w:val="17"/>
                <w:szCs w:val="17"/>
              </w:rPr>
            </w:pPr>
            <w:r w:rsidRPr="006151FE">
              <w:rPr>
                <w:rFonts w:eastAsia="Times New Roman"/>
                <w:b/>
                <w:sz w:val="17"/>
                <w:szCs w:val="17"/>
              </w:rPr>
              <w:t>Total ODA Expenditure</w:t>
            </w:r>
          </w:p>
        </w:tc>
        <w:tc>
          <w:tcPr>
            <w:tcW w:w="983" w:type="dxa"/>
          </w:tcPr>
          <w:p w:rsidR="00D33C9B" w:rsidRPr="00BF41E9" w:rsidRDefault="008044DB" w:rsidP="00D90241">
            <w:pPr>
              <w:keepNext/>
              <w:keepLines/>
              <w:spacing w:before="40" w:after="40" w:line="280" w:lineRule="exact"/>
              <w:rPr>
                <w:rFonts w:eastAsia="Times New Roman"/>
                <w:b/>
                <w:sz w:val="17"/>
                <w:szCs w:val="17"/>
              </w:rPr>
            </w:pPr>
            <w:r w:rsidRPr="00BF41E9">
              <w:rPr>
                <w:rFonts w:eastAsia="Times New Roman"/>
                <w:b/>
                <w:sz w:val="17"/>
                <w:szCs w:val="17"/>
              </w:rPr>
              <w:t>99.1</w:t>
            </w:r>
          </w:p>
        </w:tc>
        <w:tc>
          <w:tcPr>
            <w:tcW w:w="1285" w:type="dxa"/>
            <w:vAlign w:val="center"/>
          </w:tcPr>
          <w:p w:rsidR="00D33C9B" w:rsidRPr="00BF41E9" w:rsidRDefault="00D33C9B" w:rsidP="005E1F4E">
            <w:pPr>
              <w:keepNext/>
              <w:keepLines/>
              <w:spacing w:before="40" w:after="40" w:line="280" w:lineRule="exact"/>
              <w:rPr>
                <w:rFonts w:eastAsia="Times New Roman"/>
                <w:b/>
                <w:sz w:val="17"/>
                <w:szCs w:val="17"/>
              </w:rPr>
            </w:pPr>
            <w:r w:rsidRPr="00BF41E9">
              <w:rPr>
                <w:rFonts w:eastAsia="Times New Roman"/>
                <w:b/>
                <w:sz w:val="17"/>
                <w:szCs w:val="17"/>
              </w:rPr>
              <w:t>100%</w:t>
            </w:r>
          </w:p>
        </w:tc>
      </w:tr>
    </w:tbl>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Progress towards Objectives</w:t>
      </w:r>
      <w:r w:rsidRPr="002A51CA">
        <w:rPr>
          <w:rFonts w:asciiTheme="majorHAnsi" w:eastAsiaTheme="majorEastAsia" w:hAnsiTheme="majorHAnsi" w:cstheme="majorBidi"/>
          <w:caps/>
          <w:color w:val="495965" w:themeColor="text2"/>
          <w:sz w:val="38"/>
          <w:szCs w:val="26"/>
          <w:lang w:val="en-GB" w:eastAsia="en-US"/>
        </w:rPr>
        <w:tab/>
      </w:r>
    </w:p>
    <w:p w:rsidR="00A005F0" w:rsidRDefault="00D26CE4" w:rsidP="002A299B">
      <w:pPr>
        <w:pStyle w:val="ListBullet"/>
        <w:tabs>
          <w:tab w:val="clear" w:pos="284"/>
        </w:tabs>
        <w:rPr>
          <w:rFonts w:asciiTheme="minorHAnsi" w:eastAsiaTheme="minorHAnsi" w:hAnsiTheme="minorHAnsi" w:cstheme="minorBidi"/>
          <w:sz w:val="22"/>
          <w:szCs w:val="22"/>
          <w:lang w:val="en-GB" w:eastAsia="en-US"/>
        </w:rPr>
      </w:pPr>
      <w:r w:rsidRPr="00D26CE4">
        <w:rPr>
          <w:rFonts w:asciiTheme="minorHAnsi" w:hAnsiTheme="minorHAnsi"/>
          <w:sz w:val="22"/>
          <w:szCs w:val="22"/>
        </w:rPr>
        <w:t>The</w:t>
      </w:r>
      <w:r w:rsidR="00E61F2B" w:rsidRPr="002A299B">
        <w:rPr>
          <w:rFonts w:asciiTheme="minorHAnsi" w:eastAsiaTheme="minorHAnsi" w:hAnsiTheme="minorHAnsi" w:cstheme="minorBidi"/>
          <w:sz w:val="22"/>
          <w:szCs w:val="22"/>
          <w:lang w:val="en-GB" w:eastAsia="en-US"/>
        </w:rPr>
        <w:t xml:space="preserve"> performance of Australia’s aid program </w:t>
      </w:r>
      <w:r w:rsidR="00EC1690" w:rsidRPr="002A299B">
        <w:rPr>
          <w:rFonts w:asciiTheme="minorHAnsi" w:eastAsiaTheme="minorHAnsi" w:hAnsiTheme="minorHAnsi" w:cstheme="minorBidi"/>
          <w:sz w:val="22"/>
          <w:szCs w:val="22"/>
          <w:lang w:val="en-GB" w:eastAsia="en-US"/>
        </w:rPr>
        <w:t xml:space="preserve">to Timor-Leste </w:t>
      </w:r>
      <w:r w:rsidR="00E61F2B" w:rsidRPr="002A299B">
        <w:rPr>
          <w:rFonts w:asciiTheme="minorHAnsi" w:eastAsiaTheme="minorHAnsi" w:hAnsiTheme="minorHAnsi" w:cstheme="minorBidi"/>
          <w:sz w:val="22"/>
          <w:szCs w:val="22"/>
          <w:lang w:val="en-GB" w:eastAsia="en-US"/>
        </w:rPr>
        <w:t xml:space="preserve">is </w:t>
      </w:r>
      <w:r w:rsidR="008E292B">
        <w:rPr>
          <w:rFonts w:asciiTheme="minorHAnsi" w:eastAsiaTheme="minorHAnsi" w:hAnsiTheme="minorHAnsi" w:cstheme="minorBidi"/>
          <w:sz w:val="22"/>
          <w:szCs w:val="22"/>
          <w:lang w:val="en-GB" w:eastAsia="en-US"/>
        </w:rPr>
        <w:t>assessed under</w:t>
      </w:r>
      <w:r w:rsidR="00E61F2B" w:rsidRPr="002A299B">
        <w:rPr>
          <w:rFonts w:asciiTheme="minorHAnsi" w:eastAsiaTheme="minorHAnsi" w:hAnsiTheme="minorHAnsi" w:cstheme="minorBidi"/>
          <w:sz w:val="22"/>
          <w:szCs w:val="22"/>
          <w:lang w:val="en-GB" w:eastAsia="en-US"/>
        </w:rPr>
        <w:t xml:space="preserve"> the </w:t>
      </w:r>
      <w:r w:rsidR="00C25DCB" w:rsidRPr="002A299B">
        <w:rPr>
          <w:rFonts w:asciiTheme="minorHAnsi" w:eastAsiaTheme="minorHAnsi" w:hAnsiTheme="minorHAnsi" w:cstheme="minorBidi"/>
          <w:sz w:val="22"/>
          <w:szCs w:val="22"/>
          <w:lang w:val="en-GB" w:eastAsia="en-US"/>
        </w:rPr>
        <w:t xml:space="preserve">three </w:t>
      </w:r>
      <w:r w:rsidR="007B6C2F">
        <w:rPr>
          <w:rFonts w:asciiTheme="minorHAnsi" w:eastAsiaTheme="minorHAnsi" w:hAnsiTheme="minorHAnsi" w:cstheme="minorBidi"/>
          <w:sz w:val="22"/>
          <w:szCs w:val="22"/>
          <w:lang w:val="en-GB" w:eastAsia="en-US"/>
        </w:rPr>
        <w:t xml:space="preserve">strategic </w:t>
      </w:r>
      <w:r w:rsidR="00E61F2B" w:rsidRPr="002A299B">
        <w:rPr>
          <w:rFonts w:asciiTheme="minorHAnsi" w:eastAsiaTheme="minorHAnsi" w:hAnsiTheme="minorHAnsi" w:cstheme="minorBidi"/>
          <w:sz w:val="22"/>
          <w:szCs w:val="22"/>
          <w:lang w:val="en-GB" w:eastAsia="en-US"/>
        </w:rPr>
        <w:t>objectives and</w:t>
      </w:r>
      <w:r w:rsidR="00C25DCB" w:rsidRPr="002A299B">
        <w:rPr>
          <w:rFonts w:asciiTheme="minorHAnsi" w:eastAsiaTheme="minorHAnsi" w:hAnsiTheme="minorHAnsi" w:cstheme="minorBidi"/>
          <w:sz w:val="22"/>
          <w:szCs w:val="22"/>
          <w:lang w:val="en-GB" w:eastAsia="en-US"/>
        </w:rPr>
        <w:t xml:space="preserve"> eight</w:t>
      </w:r>
      <w:r w:rsidR="00E61F2B" w:rsidRPr="002A299B">
        <w:rPr>
          <w:rFonts w:asciiTheme="minorHAnsi" w:eastAsiaTheme="minorHAnsi" w:hAnsiTheme="minorHAnsi" w:cstheme="minorBidi"/>
          <w:sz w:val="22"/>
          <w:szCs w:val="22"/>
          <w:lang w:val="en-GB" w:eastAsia="en-US"/>
        </w:rPr>
        <w:t xml:space="preserve"> performance benchmarks outlined in the </w:t>
      </w:r>
      <w:r w:rsidR="00E61F2B" w:rsidRPr="007554E0">
        <w:rPr>
          <w:rFonts w:asciiTheme="minorHAnsi" w:eastAsiaTheme="minorHAnsi" w:hAnsiTheme="minorHAnsi" w:cstheme="minorBidi"/>
          <w:i/>
          <w:sz w:val="22"/>
          <w:szCs w:val="22"/>
          <w:lang w:val="en-GB" w:eastAsia="en-US"/>
        </w:rPr>
        <w:t>Aid Investment Plan</w:t>
      </w:r>
      <w:r w:rsidR="00E61F2B" w:rsidRPr="002A299B">
        <w:rPr>
          <w:rFonts w:asciiTheme="minorHAnsi" w:eastAsiaTheme="minorHAnsi" w:hAnsiTheme="minorHAnsi" w:cstheme="minorBidi"/>
          <w:sz w:val="22"/>
          <w:szCs w:val="22"/>
          <w:lang w:val="en-GB" w:eastAsia="en-US"/>
        </w:rPr>
        <w:t>.</w:t>
      </w:r>
      <w:r w:rsidR="005406E0" w:rsidRPr="002A299B">
        <w:rPr>
          <w:rFonts w:asciiTheme="minorHAnsi" w:eastAsiaTheme="minorHAnsi" w:hAnsiTheme="minorHAnsi" w:cstheme="minorBidi"/>
          <w:sz w:val="22"/>
          <w:szCs w:val="22"/>
          <w:lang w:val="en-GB" w:eastAsia="en-US"/>
        </w:rPr>
        <w:t xml:space="preserve"> </w:t>
      </w:r>
      <w:r w:rsidR="0065674D" w:rsidRPr="002A299B">
        <w:rPr>
          <w:rFonts w:asciiTheme="minorHAnsi" w:eastAsiaTheme="minorHAnsi" w:hAnsiTheme="minorHAnsi" w:cstheme="minorBidi"/>
          <w:sz w:val="22"/>
          <w:szCs w:val="22"/>
          <w:lang w:val="en-GB" w:eastAsia="en-US"/>
        </w:rPr>
        <w:t xml:space="preserve">Each </w:t>
      </w:r>
      <w:r w:rsidR="006620D3">
        <w:rPr>
          <w:rFonts w:asciiTheme="minorHAnsi" w:eastAsiaTheme="minorHAnsi" w:hAnsiTheme="minorHAnsi" w:cstheme="minorBidi"/>
          <w:sz w:val="22"/>
          <w:szCs w:val="22"/>
          <w:lang w:val="en-GB" w:eastAsia="en-US"/>
        </w:rPr>
        <w:t>strategic</w:t>
      </w:r>
      <w:r w:rsidR="0065674D" w:rsidRPr="002A299B">
        <w:rPr>
          <w:rFonts w:asciiTheme="minorHAnsi" w:eastAsiaTheme="minorHAnsi" w:hAnsiTheme="minorHAnsi" w:cstheme="minorBidi"/>
          <w:sz w:val="22"/>
          <w:szCs w:val="22"/>
          <w:lang w:val="en-GB" w:eastAsia="en-US"/>
        </w:rPr>
        <w:t xml:space="preserve"> objective is supported by several sub-objectives reflecting </w:t>
      </w:r>
      <w:r w:rsidR="00D67D10">
        <w:rPr>
          <w:rFonts w:asciiTheme="minorHAnsi" w:eastAsiaTheme="minorHAnsi" w:hAnsiTheme="minorHAnsi" w:cstheme="minorBidi"/>
          <w:sz w:val="22"/>
          <w:szCs w:val="22"/>
          <w:lang w:val="en-GB" w:eastAsia="en-US"/>
        </w:rPr>
        <w:t>sector based investments</w:t>
      </w:r>
      <w:r w:rsidR="00BA49C8" w:rsidRPr="002A299B">
        <w:rPr>
          <w:rFonts w:asciiTheme="minorHAnsi" w:eastAsiaTheme="minorHAnsi" w:hAnsiTheme="minorHAnsi" w:cstheme="minorBidi"/>
          <w:sz w:val="22"/>
          <w:szCs w:val="22"/>
          <w:lang w:val="en-GB" w:eastAsia="en-US"/>
        </w:rPr>
        <w:t xml:space="preserve">. </w:t>
      </w:r>
      <w:r w:rsidR="0065674D" w:rsidRPr="002A299B">
        <w:rPr>
          <w:rFonts w:asciiTheme="minorHAnsi" w:eastAsiaTheme="minorHAnsi" w:hAnsiTheme="minorHAnsi" w:cstheme="minorBidi"/>
          <w:sz w:val="22"/>
          <w:szCs w:val="22"/>
          <w:lang w:val="en-GB" w:eastAsia="en-US"/>
        </w:rPr>
        <w:t>Overall, the performance of Australia’s aid program</w:t>
      </w:r>
      <w:r w:rsidR="008866A8">
        <w:rPr>
          <w:rFonts w:asciiTheme="minorHAnsi" w:eastAsiaTheme="minorHAnsi" w:hAnsiTheme="minorHAnsi" w:cstheme="minorBidi"/>
          <w:sz w:val="22"/>
          <w:szCs w:val="22"/>
          <w:lang w:val="en-GB" w:eastAsia="en-US"/>
        </w:rPr>
        <w:t xml:space="preserve"> to Timor-Leste</w:t>
      </w:r>
      <w:r w:rsidR="00D17B14">
        <w:rPr>
          <w:rFonts w:asciiTheme="minorHAnsi" w:eastAsiaTheme="minorHAnsi" w:hAnsiTheme="minorHAnsi" w:cstheme="minorBidi"/>
          <w:sz w:val="22"/>
          <w:szCs w:val="22"/>
          <w:lang w:val="en-GB" w:eastAsia="en-US"/>
        </w:rPr>
        <w:t xml:space="preserve"> improved from last year, particularly under the </w:t>
      </w:r>
      <w:r w:rsidR="00FD791F" w:rsidRPr="002A299B">
        <w:rPr>
          <w:rFonts w:asciiTheme="minorHAnsi" w:eastAsiaTheme="minorHAnsi" w:hAnsiTheme="minorHAnsi" w:cstheme="minorBidi"/>
          <w:sz w:val="22"/>
          <w:szCs w:val="22"/>
          <w:lang w:val="en-GB" w:eastAsia="en-US"/>
        </w:rPr>
        <w:t xml:space="preserve">human development </w:t>
      </w:r>
      <w:r w:rsidR="00CD13BA" w:rsidRPr="002A299B">
        <w:rPr>
          <w:rFonts w:asciiTheme="minorHAnsi" w:eastAsiaTheme="minorHAnsi" w:hAnsiTheme="minorHAnsi" w:cstheme="minorBidi"/>
          <w:sz w:val="22"/>
          <w:szCs w:val="22"/>
          <w:lang w:val="en-GB" w:eastAsia="en-US"/>
        </w:rPr>
        <w:t>objective</w:t>
      </w:r>
      <w:r w:rsidR="0042409B" w:rsidRPr="002A299B">
        <w:rPr>
          <w:rFonts w:asciiTheme="minorHAnsi" w:eastAsiaTheme="minorHAnsi" w:hAnsiTheme="minorHAnsi" w:cstheme="minorBidi"/>
          <w:sz w:val="22"/>
          <w:szCs w:val="22"/>
          <w:lang w:val="en-GB" w:eastAsia="en-US"/>
        </w:rPr>
        <w:t xml:space="preserve"> as a result of improved program management</w:t>
      </w:r>
      <w:r w:rsidR="00B00210" w:rsidRPr="002A299B">
        <w:rPr>
          <w:rFonts w:asciiTheme="minorHAnsi" w:eastAsiaTheme="minorHAnsi" w:hAnsiTheme="minorHAnsi" w:cstheme="minorBidi"/>
          <w:sz w:val="22"/>
          <w:szCs w:val="22"/>
          <w:lang w:val="en-GB" w:eastAsia="en-US"/>
        </w:rPr>
        <w:t xml:space="preserve"> and consolidation</w:t>
      </w:r>
      <w:r w:rsidR="0042409B" w:rsidRPr="002A299B">
        <w:rPr>
          <w:rFonts w:asciiTheme="minorHAnsi" w:eastAsiaTheme="minorHAnsi" w:hAnsiTheme="minorHAnsi" w:cstheme="minorBidi"/>
          <w:sz w:val="22"/>
          <w:szCs w:val="22"/>
          <w:lang w:val="en-GB" w:eastAsia="en-US"/>
        </w:rPr>
        <w:t xml:space="preserve">. </w:t>
      </w:r>
      <w:r w:rsidR="00E31BB4">
        <w:rPr>
          <w:rFonts w:asciiTheme="minorHAnsi" w:eastAsiaTheme="minorHAnsi" w:hAnsiTheme="minorHAnsi" w:cstheme="minorBidi"/>
          <w:sz w:val="22"/>
          <w:szCs w:val="22"/>
          <w:lang w:val="en-GB" w:eastAsia="en-US"/>
        </w:rPr>
        <w:t xml:space="preserve">Lack of </w:t>
      </w:r>
      <w:r w:rsidR="002E79B0">
        <w:rPr>
          <w:rFonts w:asciiTheme="minorHAnsi" w:eastAsiaTheme="minorHAnsi" w:hAnsiTheme="minorHAnsi" w:cstheme="minorBidi"/>
          <w:sz w:val="22"/>
          <w:szCs w:val="22"/>
          <w:lang w:val="en-GB" w:eastAsia="en-US"/>
        </w:rPr>
        <w:t>c</w:t>
      </w:r>
      <w:r w:rsidR="000420AF" w:rsidRPr="002A299B">
        <w:rPr>
          <w:rFonts w:asciiTheme="minorHAnsi" w:eastAsiaTheme="minorHAnsi" w:hAnsiTheme="minorHAnsi" w:cstheme="minorBidi"/>
          <w:sz w:val="22"/>
          <w:szCs w:val="22"/>
          <w:lang w:val="en-GB" w:eastAsia="en-US"/>
        </w:rPr>
        <w:t xml:space="preserve">apacity and buy-in from the Government of Timor-Leste on reforms continued to slow progress in </w:t>
      </w:r>
      <w:r w:rsidR="00B87E82">
        <w:rPr>
          <w:rFonts w:asciiTheme="minorHAnsi" w:eastAsiaTheme="minorHAnsi" w:hAnsiTheme="minorHAnsi" w:cstheme="minorBidi"/>
          <w:sz w:val="22"/>
          <w:szCs w:val="22"/>
          <w:lang w:val="en-GB" w:eastAsia="en-US"/>
        </w:rPr>
        <w:t xml:space="preserve">water and sanitation, </w:t>
      </w:r>
      <w:r w:rsidR="000420AF" w:rsidRPr="002A299B">
        <w:rPr>
          <w:rFonts w:asciiTheme="minorHAnsi" w:eastAsiaTheme="minorHAnsi" w:hAnsiTheme="minorHAnsi" w:cstheme="minorBidi"/>
          <w:sz w:val="22"/>
          <w:szCs w:val="22"/>
          <w:lang w:val="en-GB" w:eastAsia="en-US"/>
        </w:rPr>
        <w:t>infrastructure and governance</w:t>
      </w:r>
      <w:r w:rsidR="00D17B14">
        <w:rPr>
          <w:rFonts w:asciiTheme="minorHAnsi" w:eastAsiaTheme="minorHAnsi" w:hAnsiTheme="minorHAnsi" w:cstheme="minorBidi"/>
          <w:sz w:val="22"/>
          <w:szCs w:val="22"/>
          <w:lang w:val="en-GB" w:eastAsia="en-US"/>
        </w:rPr>
        <w:t xml:space="preserve">. </w:t>
      </w:r>
    </w:p>
    <w:p w:rsidR="00BD3711" w:rsidRPr="000C75C1" w:rsidRDefault="00D96950" w:rsidP="000C75C1">
      <w:pPr>
        <w:pStyle w:val="Default"/>
        <w:rPr>
          <w:rFonts w:ascii="Calibri Light" w:hAnsi="Calibri Light" w:cs="Calibri Light"/>
        </w:rPr>
      </w:pPr>
      <w:r w:rsidRPr="007F04CE">
        <w:rPr>
          <w:noProof/>
          <w:lang w:eastAsia="en-AU"/>
        </w:rPr>
        <mc:AlternateContent>
          <mc:Choice Requires="wps">
            <w:drawing>
              <wp:anchor distT="0" distB="0" distL="114300" distR="114300" simplePos="0" relativeHeight="251704320" behindDoc="0" locked="0" layoutInCell="1" allowOverlap="1" wp14:anchorId="6A3254DF" wp14:editId="27EED943">
                <wp:simplePos x="0" y="0"/>
                <wp:positionH relativeFrom="column">
                  <wp:posOffset>-34290</wp:posOffset>
                </wp:positionH>
                <wp:positionV relativeFrom="paragraph">
                  <wp:posOffset>1544955</wp:posOffset>
                </wp:positionV>
                <wp:extent cx="6143625" cy="23431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343150"/>
                        </a:xfrm>
                        <a:prstGeom prst="rect">
                          <a:avLst/>
                        </a:prstGeom>
                        <a:solidFill>
                          <a:srgbClr val="FFFFFF"/>
                        </a:solidFill>
                        <a:ln w="9525">
                          <a:solidFill>
                            <a:srgbClr val="000000"/>
                          </a:solidFill>
                          <a:miter lim="800000"/>
                          <a:headEnd/>
                          <a:tailEnd/>
                        </a:ln>
                      </wps:spPr>
                      <wps:txbx>
                        <w:txbxContent>
                          <w:p w:rsidR="004E09A7" w:rsidRPr="00E56971" w:rsidRDefault="004E09A7" w:rsidP="00380311">
                            <w:pPr>
                              <w:rPr>
                                <w:color w:val="auto"/>
                              </w:rPr>
                            </w:pPr>
                            <w:r w:rsidRPr="00E56971">
                              <w:rPr>
                                <w:color w:val="auto"/>
                              </w:rPr>
                              <w:t xml:space="preserve">The Timor-Leste program </w:t>
                            </w:r>
                            <w:r>
                              <w:rPr>
                                <w:color w:val="auto"/>
                              </w:rPr>
                              <w:t>is committed to</w:t>
                            </w:r>
                            <w:r w:rsidRPr="00E56971">
                              <w:rPr>
                                <w:color w:val="auto"/>
                              </w:rPr>
                              <w:t xml:space="preserve"> address</w:t>
                            </w:r>
                            <w:r>
                              <w:rPr>
                                <w:color w:val="auto"/>
                              </w:rPr>
                              <w:t xml:space="preserve">ing </w:t>
                            </w:r>
                            <w:r w:rsidRPr="00E56971">
                              <w:rPr>
                                <w:b/>
                                <w:color w:val="auto"/>
                              </w:rPr>
                              <w:t>gender inequality</w:t>
                            </w:r>
                            <w:r>
                              <w:rPr>
                                <w:b/>
                                <w:color w:val="auto"/>
                              </w:rPr>
                              <w:t xml:space="preserve"> </w:t>
                            </w:r>
                            <w:r w:rsidRPr="00E56971">
                              <w:rPr>
                                <w:color w:val="auto"/>
                              </w:rPr>
                              <w:t xml:space="preserve">in all aspects of our work. Our Gender Working Group, led by senior managers and established in 2013, continues to meet quarterly to track progress against 56 activities outlined in our Gender Action Plan. </w:t>
                            </w:r>
                            <w:r>
                              <w:rPr>
                                <w:color w:val="auto"/>
                              </w:rPr>
                              <w:t>Post</w:t>
                            </w:r>
                            <w:r w:rsidRPr="00E56971">
                              <w:rPr>
                                <w:color w:val="auto"/>
                              </w:rPr>
                              <w:t xml:space="preserve"> recently finalised the </w:t>
                            </w:r>
                            <w:r w:rsidRPr="00E56971">
                              <w:rPr>
                                <w:i/>
                                <w:color w:val="auto"/>
                              </w:rPr>
                              <w:t>Gender Equality and Women’s Empowerment Strategy 2016-2021</w:t>
                            </w:r>
                            <w:r w:rsidRPr="00E56971">
                              <w:rPr>
                                <w:color w:val="auto"/>
                              </w:rPr>
                              <w:t xml:space="preserve"> which expands gender equality and women’s empowerment efforts beyond the aid program to the embassy’s foreign policy, public and economic diplomacy work. </w:t>
                            </w:r>
                          </w:p>
                          <w:p w:rsidR="004E09A7" w:rsidRPr="00E56971" w:rsidRDefault="004E09A7" w:rsidP="00380311">
                            <w:pPr>
                              <w:rPr>
                                <w:color w:val="auto"/>
                              </w:rPr>
                            </w:pPr>
                            <w:r w:rsidRPr="00E56971">
                              <w:rPr>
                                <w:color w:val="auto"/>
                              </w:rPr>
                              <w:t>In 2015-16, the aid program continued to make a tangible difference to the quality of life for women and girls in Timor-Leste. We created job opportunities for women, increased women’s voices in community projects, improved maternal care</w:t>
                            </w:r>
                            <w:r>
                              <w:rPr>
                                <w:color w:val="auto"/>
                              </w:rPr>
                              <w:t>,</w:t>
                            </w:r>
                            <w:r w:rsidRPr="00E56971">
                              <w:rPr>
                                <w:color w:val="auto"/>
                              </w:rPr>
                              <w:t xml:space="preserve"> inclusive education and improved services for survivors of gender-based violence. More than 90 per cent of aid </w:t>
                            </w:r>
                            <w:r>
                              <w:rPr>
                                <w:color w:val="auto"/>
                              </w:rPr>
                              <w:t>investments</w:t>
                            </w:r>
                            <w:r w:rsidRPr="00E56971">
                              <w:rPr>
                                <w:color w:val="auto"/>
                              </w:rPr>
                              <w:t xml:space="preserve"> were assessed as effectively promoting gender equality and empowering women and girls, compared to just 50 per cent five years ago. The increase reflects the success of our comprehensive approach to gender equality across the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121.65pt;width:483.7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">
                <v:textbox>
                  <w:txbxContent>
                    <w:p w:rsidR="004E09A7" w:rsidRPr="00E56971" w:rsidRDefault="004E09A7" w:rsidP="00380311">
                      <w:pPr>
                        <w:rPr>
                          <w:color w:val="auto"/>
                        </w:rPr>
                      </w:pPr>
                      <w:r w:rsidRPr="00E56971">
                        <w:rPr>
                          <w:color w:val="auto"/>
                        </w:rPr>
                        <w:t xml:space="preserve">The Timor-Leste program </w:t>
                      </w:r>
                      <w:r>
                        <w:rPr>
                          <w:color w:val="auto"/>
                        </w:rPr>
                        <w:t>is committed to</w:t>
                      </w:r>
                      <w:r w:rsidRPr="00E56971">
                        <w:rPr>
                          <w:color w:val="auto"/>
                        </w:rPr>
                        <w:t xml:space="preserve"> address</w:t>
                      </w:r>
                      <w:r>
                        <w:rPr>
                          <w:color w:val="auto"/>
                        </w:rPr>
                        <w:t xml:space="preserve">ing </w:t>
                      </w:r>
                      <w:r w:rsidRPr="00E56971">
                        <w:rPr>
                          <w:b/>
                          <w:color w:val="auto"/>
                        </w:rPr>
                        <w:t>gender inequality</w:t>
                      </w:r>
                      <w:r>
                        <w:rPr>
                          <w:b/>
                          <w:color w:val="auto"/>
                        </w:rPr>
                        <w:t xml:space="preserve"> </w:t>
                      </w:r>
                      <w:r w:rsidRPr="00E56971">
                        <w:rPr>
                          <w:color w:val="auto"/>
                        </w:rPr>
                        <w:t xml:space="preserve">in all aspects of our work. Our Gender Working Group, led by senior managers and established in 2013, continues to meet quarterly to track progress against 56 activities outlined in our Gender Action Plan. </w:t>
                      </w:r>
                      <w:r>
                        <w:rPr>
                          <w:color w:val="auto"/>
                        </w:rPr>
                        <w:t>Post</w:t>
                      </w:r>
                      <w:r w:rsidRPr="00E56971">
                        <w:rPr>
                          <w:color w:val="auto"/>
                        </w:rPr>
                        <w:t xml:space="preserve"> recently finalised the </w:t>
                      </w:r>
                      <w:r w:rsidRPr="00E56971">
                        <w:rPr>
                          <w:i/>
                          <w:color w:val="auto"/>
                        </w:rPr>
                        <w:t>Gender Equality and Women’s Empowerment Strategy 2016-2021</w:t>
                      </w:r>
                      <w:r w:rsidRPr="00E56971">
                        <w:rPr>
                          <w:color w:val="auto"/>
                        </w:rPr>
                        <w:t xml:space="preserve"> which expands gender equality and women’s empowerment efforts beyond the aid program to the embassy’s foreign policy, public and economic diplomacy work. </w:t>
                      </w:r>
                    </w:p>
                    <w:p w:rsidR="004E09A7" w:rsidRPr="00E56971" w:rsidRDefault="004E09A7" w:rsidP="00380311">
                      <w:pPr>
                        <w:rPr>
                          <w:color w:val="auto"/>
                        </w:rPr>
                      </w:pPr>
                      <w:r w:rsidRPr="00E56971">
                        <w:rPr>
                          <w:color w:val="auto"/>
                        </w:rPr>
                        <w:t>In 2015-16, the aid program continued to make a tangible difference to the quality of life for women and girls in Timor-Leste. We created job opportunities for women, increased women’s voices in community projects, improved maternal care</w:t>
                      </w:r>
                      <w:r>
                        <w:rPr>
                          <w:color w:val="auto"/>
                        </w:rPr>
                        <w:t>,</w:t>
                      </w:r>
                      <w:r w:rsidRPr="00E56971">
                        <w:rPr>
                          <w:color w:val="auto"/>
                        </w:rPr>
                        <w:t xml:space="preserve"> inclusive education and improved services for survivors of gender-based violence. More than 90 per cent of aid </w:t>
                      </w:r>
                      <w:r>
                        <w:rPr>
                          <w:color w:val="auto"/>
                        </w:rPr>
                        <w:t>investments</w:t>
                      </w:r>
                      <w:r w:rsidRPr="00E56971">
                        <w:rPr>
                          <w:color w:val="auto"/>
                        </w:rPr>
                        <w:t xml:space="preserve"> were assessed as effectively promoting gender equality and empowering women and girls, compared to just 50 per cent five years ago. The increase reflects the success of our comprehensive approach to gender equality across the program.</w:t>
                      </w:r>
                    </w:p>
                  </w:txbxContent>
                </v:textbox>
                <w10:wrap type="square"/>
              </v:shape>
            </w:pict>
          </mc:Fallback>
        </mc:AlternateContent>
      </w:r>
      <w:r w:rsidR="000C75C1" w:rsidRPr="000C75C1">
        <w:rPr>
          <w:rFonts w:asciiTheme="minorHAnsi" w:hAnsiTheme="minorHAnsi" w:cstheme="minorBidi"/>
          <w:color w:val="auto"/>
          <w:sz w:val="22"/>
          <w:szCs w:val="22"/>
          <w:lang w:val="en-GB"/>
        </w:rPr>
        <w:t>Across all programs we devote attention to improving nutrition, empowering women and girls, and supporting people with disabilities</w:t>
      </w:r>
      <w:r w:rsidR="000C75C1" w:rsidRPr="000C75C1">
        <w:rPr>
          <w:rFonts w:ascii="Calibri Light" w:hAnsi="Calibri Light" w:cs="Calibri Light"/>
          <w:sz w:val="18"/>
          <w:szCs w:val="18"/>
        </w:rPr>
        <w:t xml:space="preserve">. </w:t>
      </w:r>
      <w:r w:rsidR="00BD3711" w:rsidRPr="00BD3711">
        <w:rPr>
          <w:rFonts w:asciiTheme="minorHAnsi" w:hAnsiTheme="minorHAnsi" w:cstheme="minorBidi"/>
          <w:sz w:val="22"/>
          <w:szCs w:val="22"/>
          <w:lang w:val="en-GB"/>
        </w:rPr>
        <w:t>In November 2015, we launched a disability strategy to ensure disability inclusion is embedded across all our programs. In recognition of this pioneering work, we received a DFAT Good Practice Award for d</w:t>
      </w:r>
      <w:r w:rsidR="00BD3711">
        <w:rPr>
          <w:rFonts w:asciiTheme="minorHAnsi" w:hAnsiTheme="minorHAnsi" w:cstheme="minorBidi"/>
          <w:sz w:val="22"/>
          <w:szCs w:val="22"/>
          <w:lang w:val="en-GB"/>
        </w:rPr>
        <w:t xml:space="preserve">isability-inclusive development and received funds from the </w:t>
      </w:r>
      <w:r>
        <w:rPr>
          <w:rFonts w:asciiTheme="minorHAnsi" w:hAnsiTheme="minorHAnsi" w:cstheme="minorBidi"/>
          <w:sz w:val="22"/>
          <w:szCs w:val="22"/>
          <w:lang w:val="en-GB"/>
        </w:rPr>
        <w:t xml:space="preserve">DFAT </w:t>
      </w:r>
      <w:r w:rsidR="00BD3711" w:rsidRPr="00BD3711">
        <w:rPr>
          <w:rFonts w:asciiTheme="minorHAnsi" w:hAnsiTheme="minorHAnsi" w:cstheme="minorBidi"/>
          <w:sz w:val="22"/>
          <w:szCs w:val="22"/>
          <w:lang w:val="en-GB"/>
        </w:rPr>
        <w:t xml:space="preserve">Disability Inclusive Development Fund </w:t>
      </w:r>
      <w:r w:rsidR="004C66FB">
        <w:rPr>
          <w:rFonts w:asciiTheme="minorHAnsi" w:hAnsiTheme="minorHAnsi" w:cstheme="minorBidi"/>
          <w:sz w:val="22"/>
          <w:szCs w:val="22"/>
          <w:lang w:val="en-GB"/>
        </w:rPr>
        <w:t>to</w:t>
      </w:r>
      <w:r w:rsidR="000C73C8">
        <w:rPr>
          <w:rFonts w:asciiTheme="minorHAnsi" w:hAnsiTheme="minorHAnsi" w:cstheme="minorBidi"/>
          <w:sz w:val="22"/>
          <w:szCs w:val="22"/>
          <w:lang w:val="en-GB"/>
        </w:rPr>
        <w:t xml:space="preserve"> mainstream disability </w:t>
      </w:r>
      <w:r>
        <w:rPr>
          <w:rFonts w:asciiTheme="minorHAnsi" w:hAnsiTheme="minorHAnsi" w:cstheme="minorBidi"/>
          <w:sz w:val="22"/>
          <w:szCs w:val="22"/>
          <w:lang w:val="en-GB"/>
        </w:rPr>
        <w:t xml:space="preserve">across our portfolio </w:t>
      </w:r>
      <w:r w:rsidR="000C73C8">
        <w:rPr>
          <w:rFonts w:asciiTheme="minorHAnsi" w:hAnsiTheme="minorHAnsi" w:cstheme="minorBidi"/>
          <w:sz w:val="22"/>
          <w:szCs w:val="22"/>
          <w:lang w:val="en-GB"/>
        </w:rPr>
        <w:t>and implement disability specific interventions in education, social protection, health and nutrition</w:t>
      </w:r>
      <w:r w:rsidR="00BD3711">
        <w:rPr>
          <w:rFonts w:asciiTheme="minorHAnsi" w:hAnsiTheme="minorHAnsi" w:cstheme="minorBidi"/>
          <w:sz w:val="22"/>
          <w:szCs w:val="22"/>
          <w:lang w:val="en-GB"/>
        </w:rPr>
        <w:t xml:space="preserve">. </w:t>
      </w:r>
      <w:r w:rsidR="00BD3711" w:rsidRPr="00BD3711">
        <w:rPr>
          <w:rFonts w:asciiTheme="minorHAnsi" w:hAnsiTheme="minorHAnsi" w:cstheme="minorBidi"/>
          <w:sz w:val="22"/>
          <w:szCs w:val="22"/>
          <w:lang w:val="en-GB"/>
        </w:rPr>
        <w:t xml:space="preserve">We provide direct support to disabled people’s organisations like </w:t>
      </w:r>
      <w:hyperlink r:id="rId17" w:history="1">
        <w:r w:rsidR="00BD3711" w:rsidRPr="00BD3711">
          <w:rPr>
            <w:rFonts w:asciiTheme="minorHAnsi" w:hAnsiTheme="minorHAnsi" w:cstheme="minorBidi"/>
            <w:sz w:val="22"/>
            <w:szCs w:val="22"/>
            <w:lang w:val="en-GB"/>
          </w:rPr>
          <w:t>Asosiasaun Defisiensia Timor-Leste</w:t>
        </w:r>
      </w:hyperlink>
      <w:r w:rsidR="00BD3711" w:rsidRPr="00BD3711">
        <w:rPr>
          <w:rFonts w:asciiTheme="minorHAnsi" w:hAnsiTheme="minorHAnsi" w:cstheme="minorBidi"/>
          <w:sz w:val="22"/>
          <w:szCs w:val="22"/>
          <w:lang w:val="en-GB"/>
        </w:rPr>
        <w:t xml:space="preserve"> and </w:t>
      </w:r>
      <w:r w:rsidR="00BD3711">
        <w:rPr>
          <w:rFonts w:asciiTheme="minorHAnsi" w:hAnsiTheme="minorHAnsi" w:cstheme="minorBidi"/>
          <w:sz w:val="22"/>
          <w:szCs w:val="22"/>
          <w:lang w:val="en-GB"/>
        </w:rPr>
        <w:t xml:space="preserve">the </w:t>
      </w:r>
      <w:r w:rsidR="00BD3711" w:rsidRPr="00BD3711">
        <w:rPr>
          <w:rFonts w:asciiTheme="minorHAnsi" w:hAnsiTheme="minorHAnsi" w:cstheme="minorBidi"/>
          <w:sz w:val="22"/>
          <w:szCs w:val="22"/>
          <w:lang w:val="en-GB"/>
        </w:rPr>
        <w:t>National Disabled People's Organisation</w:t>
      </w:r>
      <w:r w:rsidR="00BD3711">
        <w:rPr>
          <w:rFonts w:asciiTheme="minorHAnsi" w:hAnsiTheme="minorHAnsi" w:cstheme="minorBidi"/>
          <w:sz w:val="22"/>
          <w:szCs w:val="22"/>
          <w:lang w:val="en-GB"/>
        </w:rPr>
        <w:t>,</w:t>
      </w:r>
      <w:r w:rsidR="00BD3711" w:rsidRPr="00BD3711">
        <w:rPr>
          <w:rFonts w:asciiTheme="minorHAnsi" w:hAnsiTheme="minorHAnsi" w:cstheme="minorBidi"/>
          <w:sz w:val="22"/>
          <w:szCs w:val="22"/>
          <w:lang w:val="en-GB"/>
        </w:rPr>
        <w:t xml:space="preserve"> </w:t>
      </w:r>
      <w:hyperlink r:id="rId18" w:history="1">
        <w:r w:rsidR="00BD3711">
          <w:rPr>
            <w:rFonts w:asciiTheme="minorHAnsi" w:hAnsiTheme="minorHAnsi" w:cstheme="minorBidi"/>
            <w:sz w:val="22"/>
            <w:szCs w:val="22"/>
            <w:lang w:val="en-GB"/>
          </w:rPr>
          <w:t>Ra'es Hadomi Timor Oan</w:t>
        </w:r>
      </w:hyperlink>
      <w:r w:rsidR="00BD3711" w:rsidRPr="00BD3711">
        <w:rPr>
          <w:rFonts w:asciiTheme="minorHAnsi" w:hAnsiTheme="minorHAnsi" w:cstheme="minorBidi"/>
          <w:sz w:val="22"/>
          <w:szCs w:val="22"/>
          <w:lang w:val="en-GB"/>
        </w:rPr>
        <w:t xml:space="preserve">. </w:t>
      </w:r>
    </w:p>
    <w:p w:rsidR="008C53FE" w:rsidRDefault="008C53FE">
      <w:pPr>
        <w:suppressAutoHyphens w:val="0"/>
        <w:spacing w:before="0" w:after="120" w:line="440" w:lineRule="atLeast"/>
      </w:pPr>
      <w:r>
        <w:br w:type="page"/>
      </w:r>
    </w:p>
    <w:p w:rsidR="007F04CE" w:rsidRPr="00BF41E9" w:rsidRDefault="007F04CE" w:rsidP="002A51CA">
      <w:pPr>
        <w:rPr>
          <w:b/>
          <w:sz w:val="20"/>
          <w:szCs w:val="20"/>
        </w:rPr>
      </w:pPr>
      <w:r w:rsidRPr="00BF41E9">
        <w:rPr>
          <w:b/>
          <w:sz w:val="20"/>
          <w:szCs w:val="20"/>
        </w:rPr>
        <w:t xml:space="preserve">Table </w:t>
      </w:r>
      <w:r w:rsidRPr="00BF41E9">
        <w:rPr>
          <w:b/>
          <w:sz w:val="20"/>
          <w:szCs w:val="20"/>
        </w:rPr>
        <w:fldChar w:fldCharType="begin"/>
      </w:r>
      <w:r w:rsidRPr="00BF41E9">
        <w:rPr>
          <w:b/>
          <w:sz w:val="20"/>
          <w:szCs w:val="20"/>
        </w:rPr>
        <w:instrText xml:space="preserve"> SEQ Table \* ARABIC </w:instrText>
      </w:r>
      <w:r w:rsidRPr="00BF41E9">
        <w:rPr>
          <w:b/>
          <w:sz w:val="20"/>
          <w:szCs w:val="20"/>
        </w:rPr>
        <w:fldChar w:fldCharType="separate"/>
      </w:r>
      <w:r w:rsidR="00B516BD">
        <w:rPr>
          <w:b/>
          <w:noProof/>
          <w:sz w:val="20"/>
          <w:szCs w:val="20"/>
        </w:rPr>
        <w:t>2</w:t>
      </w:r>
      <w:r w:rsidRPr="00BF41E9">
        <w:rPr>
          <w:b/>
          <w:noProof/>
          <w:sz w:val="20"/>
          <w:szCs w:val="20"/>
        </w:rPr>
        <w:fldChar w:fldCharType="end"/>
      </w:r>
      <w:r w:rsidRPr="00BF41E9">
        <w:rPr>
          <w:b/>
          <w:sz w:val="20"/>
          <w:szCs w:val="20"/>
        </w:rPr>
        <w:t xml:space="preserve"> Rating of the Program's Progress towards Australia’s Aid Objectives</w:t>
      </w:r>
    </w:p>
    <w:tbl>
      <w:tblPr>
        <w:tblStyle w:val="APPR"/>
        <w:tblW w:w="5000" w:type="pct"/>
        <w:tblLook w:val="0000" w:firstRow="0" w:lastRow="0" w:firstColumn="0" w:lastColumn="0" w:noHBand="0" w:noVBand="0"/>
        <w:tblCaption w:val="Rating of program performance"/>
        <w:tblDescription w:val="Summary comparison between FY 14/15 and FY 15/16 performance against the three objectives of the Aid Investment Plan"/>
      </w:tblPr>
      <w:tblGrid>
        <w:gridCol w:w="7046"/>
        <w:gridCol w:w="1157"/>
        <w:gridCol w:w="479"/>
        <w:gridCol w:w="1228"/>
      </w:tblGrid>
      <w:tr w:rsidR="002A51CA" w:rsidRPr="003B0793" w:rsidTr="00DB3740">
        <w:trPr>
          <w:cnfStyle w:val="000000010000" w:firstRow="0" w:lastRow="0" w:firstColumn="0" w:lastColumn="0" w:oddVBand="0" w:evenVBand="0" w:oddHBand="0" w:evenHBand="1" w:firstRowFirstColumn="0" w:firstRowLastColumn="0" w:lastRowFirstColumn="0" w:lastRowLastColumn="0"/>
          <w:trHeight w:val="357"/>
        </w:trPr>
        <w:tc>
          <w:tcPr>
            <w:tcW w:w="7004" w:type="dxa"/>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4624" behindDoc="0" locked="0" layoutInCell="1" allowOverlap="1" wp14:anchorId="1111A88C" wp14:editId="6D7BC817">
                  <wp:simplePos x="0" y="0"/>
                  <wp:positionH relativeFrom="column">
                    <wp:posOffset>0</wp:posOffset>
                  </wp:positionH>
                  <wp:positionV relativeFrom="paragraph">
                    <wp:posOffset>0</wp:posOffset>
                  </wp:positionV>
                  <wp:extent cx="1857375" cy="228600"/>
                  <wp:effectExtent l="0" t="0" r="9525" b="0"/>
                  <wp:wrapNone/>
                  <wp:docPr id="2" name="Picture 2"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9" w:type="dxa"/>
          </w:tcPr>
          <w:p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Previous Rating</w:t>
            </w:r>
          </w:p>
        </w:tc>
        <w:tc>
          <w:tcPr>
            <w:tcW w:w="451" w:type="dxa"/>
          </w:tcPr>
          <w:p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p>
        </w:tc>
        <w:tc>
          <w:tcPr>
            <w:tcW w:w="1186" w:type="dxa"/>
          </w:tcPr>
          <w:p w:rsidR="002A51CA" w:rsidRPr="003B0793" w:rsidRDefault="002A51CA" w:rsidP="003B0793">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Current Rating</w:t>
            </w:r>
          </w:p>
        </w:tc>
      </w:tr>
      <w:tr w:rsidR="002A51CA" w:rsidRPr="003B0793" w:rsidTr="00BF41E9">
        <w:trPr>
          <w:cnfStyle w:val="000000010000" w:firstRow="0" w:lastRow="0" w:firstColumn="0" w:lastColumn="0" w:oddVBand="0" w:evenVBand="0" w:oddHBand="0" w:evenHBand="1" w:firstRowFirstColumn="0" w:firstRowLastColumn="0" w:lastRowFirstColumn="0" w:lastRowLastColumn="0"/>
        </w:trPr>
        <w:tc>
          <w:tcPr>
            <w:tcW w:w="7004" w:type="dxa"/>
          </w:tcPr>
          <w:p w:rsidR="00740B58" w:rsidRPr="003B0793" w:rsidRDefault="002A51CA" w:rsidP="00740B58">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1</w:t>
            </w:r>
            <w:r w:rsidR="00740B58">
              <w:rPr>
                <w:rFonts w:asciiTheme="minorHAnsi" w:eastAsia="Times New Roman" w:hAnsiTheme="minorHAnsi"/>
                <w:iCs/>
                <w:szCs w:val="17"/>
                <w:lang w:eastAsia="en-US"/>
              </w:rPr>
              <w:t>: Improving livelihoods</w:t>
            </w:r>
          </w:p>
        </w:tc>
        <w:tc>
          <w:tcPr>
            <w:tcW w:w="1129" w:type="dxa"/>
            <w:shd w:val="clear" w:color="auto" w:fill="FFFFFF" w:themeFill="background1"/>
            <w:noWrap/>
          </w:tcPr>
          <w:p w:rsidR="002A51CA" w:rsidRPr="003B0793" w:rsidRDefault="00EF6C38"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szCs w:val="17"/>
                <w:lang w:eastAsia="en-US"/>
              </w:rPr>
              <w:t>n</w:t>
            </w:r>
            <w:r w:rsidRPr="00EF6C38">
              <w:rPr>
                <w:rFonts w:asciiTheme="minorHAnsi" w:eastAsia="Times New Roman" w:hAnsiTheme="minorHAnsi"/>
                <w:iCs/>
                <w:szCs w:val="17"/>
                <w:lang w:eastAsia="en-US"/>
              </w:rPr>
              <w:t>/a</w:t>
            </w:r>
          </w:p>
        </w:tc>
        <w:tc>
          <w:tcPr>
            <w:tcW w:w="451" w:type="dxa"/>
          </w:tcPr>
          <w:p w:rsidR="002A51CA" w:rsidRPr="003B0793" w:rsidRDefault="002A51CA"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186" w:type="dxa"/>
            <w:shd w:val="clear" w:color="auto" w:fill="auto"/>
            <w:noWrap/>
          </w:tcPr>
          <w:p w:rsidR="002A51CA" w:rsidRPr="003B0793" w:rsidRDefault="002A51CA" w:rsidP="002900E8">
            <w:pPr>
              <w:keepLines/>
              <w:spacing w:before="40" w:after="40" w:line="200" w:lineRule="atLeast"/>
              <w:jc w:val="center"/>
              <w:rPr>
                <w:rFonts w:asciiTheme="minorHAnsi" w:eastAsia="Times New Roman" w:hAnsiTheme="minorHAnsi"/>
                <w:iCs/>
                <w:color w:val="FFFFFF" w:themeColor="background1"/>
                <w:szCs w:val="17"/>
                <w:lang w:eastAsia="en-US"/>
              </w:rPr>
            </w:pPr>
          </w:p>
        </w:tc>
      </w:tr>
      <w:tr w:rsidR="00EF6C38" w:rsidRPr="003B0793" w:rsidTr="00FE57D1">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80079A" w:rsidRDefault="00EF6C38" w:rsidP="00740B58">
            <w:pPr>
              <w:keepLines/>
              <w:spacing w:before="40" w:after="40" w:line="200" w:lineRule="atLeast"/>
              <w:ind w:left="709"/>
              <w:rPr>
                <w:rFonts w:asciiTheme="minorHAnsi" w:eastAsia="Times New Roman" w:hAnsiTheme="minorHAnsi"/>
                <w:iCs/>
                <w:szCs w:val="17"/>
                <w:lang w:eastAsia="en-US"/>
              </w:rPr>
            </w:pPr>
            <w:r w:rsidRPr="0080079A">
              <w:rPr>
                <w:rFonts w:asciiTheme="minorHAnsi" w:eastAsia="Times New Roman" w:hAnsiTheme="minorHAnsi"/>
                <w:iCs/>
                <w:szCs w:val="17"/>
                <w:lang w:eastAsia="en-US"/>
              </w:rPr>
              <w:t xml:space="preserve">Rural </w:t>
            </w:r>
            <w:r w:rsidR="002D06B3">
              <w:rPr>
                <w:rFonts w:asciiTheme="minorHAnsi" w:eastAsia="Times New Roman" w:hAnsiTheme="minorHAnsi"/>
                <w:iCs/>
                <w:szCs w:val="17"/>
                <w:lang w:eastAsia="en-US"/>
              </w:rPr>
              <w:t>p</w:t>
            </w:r>
            <w:r w:rsidRPr="0080079A">
              <w:rPr>
                <w:rFonts w:asciiTheme="minorHAnsi" w:eastAsia="Times New Roman" w:hAnsiTheme="minorHAnsi"/>
                <w:iCs/>
                <w:szCs w:val="17"/>
                <w:lang w:eastAsia="en-US"/>
              </w:rPr>
              <w:t xml:space="preserve">opulation has better roads </w:t>
            </w:r>
          </w:p>
        </w:tc>
        <w:tc>
          <w:tcPr>
            <w:tcW w:w="1129" w:type="dxa"/>
            <w:tcBorders>
              <w:bottom w:val="single" w:sz="4" w:space="0" w:color="auto"/>
            </w:tcBorders>
            <w:shd w:val="clear" w:color="auto" w:fill="E36C0A"/>
            <w:noWrap/>
          </w:tcPr>
          <w:p w:rsidR="00EF6C38" w:rsidRPr="003B0793" w:rsidRDefault="00EF6C38" w:rsidP="0095295A">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451" w:type="dxa"/>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1186" w:type="dxa"/>
            <w:shd w:val="clear" w:color="auto" w:fill="E36C0A"/>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r>
      <w:tr w:rsidR="00EF6C38" w:rsidRPr="003B0793" w:rsidTr="00313DA0">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80079A" w:rsidRDefault="00EF6C38" w:rsidP="00740B58">
            <w:pPr>
              <w:keepLines/>
              <w:spacing w:before="40" w:after="40" w:line="200" w:lineRule="atLeast"/>
              <w:ind w:left="709"/>
              <w:rPr>
                <w:rFonts w:asciiTheme="minorHAnsi" w:eastAsia="Times New Roman" w:hAnsiTheme="minorHAnsi"/>
                <w:iCs/>
                <w:szCs w:val="17"/>
                <w:lang w:eastAsia="en-US"/>
              </w:rPr>
            </w:pPr>
            <w:r w:rsidRPr="0080079A">
              <w:rPr>
                <w:rFonts w:asciiTheme="minorHAnsi" w:eastAsia="Times New Roman" w:hAnsiTheme="minorHAnsi"/>
                <w:iCs/>
                <w:szCs w:val="17"/>
                <w:lang w:eastAsia="en-US"/>
              </w:rPr>
              <w:t>Increase productivity of major staple food crops through farmers using improved seed</w:t>
            </w:r>
          </w:p>
        </w:tc>
        <w:tc>
          <w:tcPr>
            <w:tcW w:w="1129" w:type="dxa"/>
            <w:shd w:val="clear" w:color="auto" w:fill="669900"/>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451" w:type="dxa"/>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1186" w:type="dxa"/>
            <w:shd w:val="clear" w:color="auto" w:fill="669900"/>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r>
      <w:tr w:rsidR="00EF6C38" w:rsidRPr="003B0793" w:rsidTr="00BF41E9">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3B0793" w:rsidRDefault="00EF6C38"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2</w:t>
            </w:r>
            <w:r>
              <w:rPr>
                <w:rFonts w:asciiTheme="minorHAnsi" w:eastAsia="Times New Roman" w:hAnsiTheme="minorHAnsi"/>
                <w:iCs/>
                <w:szCs w:val="17"/>
                <w:lang w:eastAsia="en-US"/>
              </w:rPr>
              <w:t xml:space="preserve">: </w:t>
            </w:r>
            <w:r w:rsidRPr="0080079A">
              <w:rPr>
                <w:rFonts w:asciiTheme="minorHAnsi" w:eastAsia="Times New Roman" w:hAnsiTheme="minorHAnsi"/>
                <w:iCs/>
                <w:szCs w:val="17"/>
                <w:lang w:eastAsia="en-US"/>
              </w:rPr>
              <w:t>Enhancing Human Development</w:t>
            </w:r>
          </w:p>
        </w:tc>
        <w:tc>
          <w:tcPr>
            <w:tcW w:w="1129" w:type="dxa"/>
            <w:shd w:val="clear" w:color="auto" w:fill="FFFFFF" w:themeFill="background1"/>
            <w:noWrap/>
          </w:tcPr>
          <w:p w:rsidR="00EF6C38" w:rsidRPr="00EF6C38" w:rsidRDefault="00EF6C38" w:rsidP="00EF6C38">
            <w:pPr>
              <w:keepLines/>
              <w:spacing w:before="40" w:after="40" w:line="200" w:lineRule="atLeast"/>
              <w:jc w:val="center"/>
              <w:rPr>
                <w:rFonts w:eastAsia="Times New Roman"/>
                <w:iCs/>
                <w:color w:val="FFFFFF" w:themeColor="background1"/>
                <w:szCs w:val="17"/>
              </w:rPr>
            </w:pPr>
            <w:r w:rsidRPr="00EF6C38">
              <w:rPr>
                <w:rFonts w:asciiTheme="minorHAnsi" w:eastAsia="Times New Roman" w:hAnsiTheme="minorHAnsi"/>
                <w:iCs/>
                <w:szCs w:val="17"/>
                <w:lang w:eastAsia="en-US"/>
              </w:rPr>
              <w:t>n/a</w:t>
            </w:r>
          </w:p>
        </w:tc>
        <w:tc>
          <w:tcPr>
            <w:tcW w:w="451" w:type="dxa"/>
          </w:tcPr>
          <w:p w:rsidR="00EF6C38" w:rsidRPr="003B0793" w:rsidRDefault="00EF6C38"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186" w:type="dxa"/>
            <w:shd w:val="clear" w:color="auto" w:fill="auto"/>
            <w:noWrap/>
          </w:tcPr>
          <w:p w:rsidR="00EF6C38" w:rsidRPr="003B0793" w:rsidRDefault="00EF6C38"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r>
      <w:tr w:rsidR="00EF6C38" w:rsidRPr="003B0793" w:rsidTr="00BC09F0">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3B0793" w:rsidRDefault="00EF6C38" w:rsidP="00740B58">
            <w:pPr>
              <w:keepLines/>
              <w:spacing w:before="40" w:after="40" w:line="200" w:lineRule="atLeast"/>
              <w:ind w:left="709"/>
              <w:rPr>
                <w:rFonts w:asciiTheme="minorHAnsi" w:eastAsia="Times New Roman" w:hAnsiTheme="minorHAnsi"/>
                <w:iCs/>
                <w:szCs w:val="17"/>
                <w:lang w:eastAsia="en-US"/>
              </w:rPr>
            </w:pPr>
            <w:r>
              <w:rPr>
                <w:rFonts w:asciiTheme="minorHAnsi" w:eastAsia="Times New Roman" w:hAnsiTheme="minorHAnsi"/>
                <w:iCs/>
                <w:szCs w:val="17"/>
                <w:lang w:eastAsia="en-US"/>
              </w:rPr>
              <w:t>Increased access to and use of safe water and sanitation</w:t>
            </w:r>
          </w:p>
        </w:tc>
        <w:tc>
          <w:tcPr>
            <w:tcW w:w="1129" w:type="dxa"/>
            <w:shd w:val="clear" w:color="auto" w:fill="669900"/>
            <w:noWrap/>
          </w:tcPr>
          <w:p w:rsidR="00EF6C38" w:rsidRPr="003B0793" w:rsidRDefault="00EF6C38" w:rsidP="00EF6C38">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451" w:type="dxa"/>
          </w:tcPr>
          <w:p w:rsidR="00EF6C38" w:rsidRPr="003B0793" w:rsidRDefault="00EF6C38" w:rsidP="0095295A">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186" w:type="dxa"/>
            <w:shd w:val="clear" w:color="auto" w:fill="E77119"/>
            <w:noWrap/>
          </w:tcPr>
          <w:p w:rsidR="00EF6C38" w:rsidRPr="003B0793" w:rsidRDefault="00EF6C38" w:rsidP="0095295A">
            <w:pPr>
              <w:keepLines/>
              <w:spacing w:before="40" w:after="40" w:line="200" w:lineRule="atLeast"/>
              <w:jc w:val="center"/>
              <w:rPr>
                <w:rFonts w:asciiTheme="minorHAnsi" w:eastAsia="Times New Roman" w:hAnsiTheme="minorHAnsi"/>
                <w:iCs/>
                <w:color w:val="FFFFFF" w:themeColor="background1"/>
                <w:szCs w:val="17"/>
                <w:lang w:eastAsia="en-US"/>
              </w:rPr>
            </w:pPr>
          </w:p>
        </w:tc>
      </w:tr>
      <w:tr w:rsidR="00EF6C38" w:rsidRPr="003B0793" w:rsidTr="00161B60">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3B0793" w:rsidRDefault="00EF6C38" w:rsidP="00417FA0">
            <w:pPr>
              <w:keepLines/>
              <w:spacing w:before="40" w:after="40" w:line="200" w:lineRule="atLeast"/>
              <w:ind w:left="709"/>
              <w:rPr>
                <w:rFonts w:asciiTheme="minorHAnsi" w:eastAsia="Times New Roman" w:hAnsiTheme="minorHAnsi"/>
                <w:iCs/>
                <w:szCs w:val="17"/>
                <w:lang w:eastAsia="en-US"/>
              </w:rPr>
            </w:pPr>
            <w:r>
              <w:rPr>
                <w:rFonts w:asciiTheme="minorHAnsi" w:eastAsia="Times New Roman" w:hAnsiTheme="minorHAnsi"/>
                <w:iCs/>
                <w:szCs w:val="17"/>
                <w:lang w:eastAsia="en-US"/>
              </w:rPr>
              <w:t xml:space="preserve">More children attain improved learning outcomes </w:t>
            </w:r>
          </w:p>
        </w:tc>
        <w:tc>
          <w:tcPr>
            <w:tcW w:w="1129" w:type="dxa"/>
            <w:shd w:val="clear" w:color="auto" w:fill="E36C0A"/>
            <w:noWrap/>
          </w:tcPr>
          <w:p w:rsidR="00EF6C38" w:rsidRPr="003B0793" w:rsidRDefault="00EF6C38" w:rsidP="0095295A">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451" w:type="dxa"/>
          </w:tcPr>
          <w:p w:rsidR="00EF6C38" w:rsidRPr="003B0793" w:rsidRDefault="00EF6C38" w:rsidP="0095295A">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186" w:type="dxa"/>
            <w:shd w:val="clear" w:color="auto" w:fill="669900"/>
            <w:noWrap/>
          </w:tcPr>
          <w:p w:rsidR="00EF6C38" w:rsidRPr="003B0793" w:rsidRDefault="00EF6C38" w:rsidP="0095295A">
            <w:pPr>
              <w:keepLines/>
              <w:spacing w:before="40" w:after="40" w:line="200" w:lineRule="atLeast"/>
              <w:jc w:val="center"/>
              <w:rPr>
                <w:rFonts w:asciiTheme="minorHAnsi" w:eastAsia="Times New Roman" w:hAnsiTheme="minorHAnsi"/>
                <w:iCs/>
                <w:color w:val="FFFFFF" w:themeColor="background1"/>
                <w:szCs w:val="17"/>
                <w:lang w:eastAsia="en-US"/>
              </w:rPr>
            </w:pPr>
          </w:p>
        </w:tc>
      </w:tr>
      <w:tr w:rsidR="00EF6C38" w:rsidRPr="003B0793" w:rsidTr="00D95159">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3B0793" w:rsidRDefault="00EF6C38" w:rsidP="00740B58">
            <w:pPr>
              <w:keepLines/>
              <w:spacing w:before="40" w:after="40" w:line="200" w:lineRule="atLeast"/>
              <w:ind w:left="709"/>
              <w:rPr>
                <w:rFonts w:asciiTheme="minorHAnsi" w:eastAsia="Times New Roman" w:hAnsiTheme="minorHAnsi"/>
                <w:iCs/>
                <w:szCs w:val="17"/>
                <w:lang w:eastAsia="en-US"/>
              </w:rPr>
            </w:pPr>
            <w:r>
              <w:rPr>
                <w:rFonts w:asciiTheme="minorHAnsi" w:eastAsia="Times New Roman" w:hAnsiTheme="minorHAnsi"/>
                <w:iCs/>
                <w:szCs w:val="17"/>
                <w:lang w:eastAsia="en-US"/>
              </w:rPr>
              <w:t xml:space="preserve">Households, especially the most vulnerable, increasingly practice behaviours that are conducive to better maternal health  </w:t>
            </w:r>
          </w:p>
        </w:tc>
        <w:tc>
          <w:tcPr>
            <w:tcW w:w="1129" w:type="dxa"/>
            <w:shd w:val="clear" w:color="auto" w:fill="EA5F00"/>
            <w:noWrap/>
          </w:tcPr>
          <w:p w:rsidR="00EF6C38" w:rsidRPr="003B0793" w:rsidRDefault="00EF6C38" w:rsidP="0095295A">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451" w:type="dxa"/>
          </w:tcPr>
          <w:p w:rsidR="00EF6C38" w:rsidRPr="003B0793" w:rsidRDefault="00EF6C38" w:rsidP="0095295A">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186" w:type="dxa"/>
            <w:shd w:val="clear" w:color="auto" w:fill="EA5F00"/>
            <w:noWrap/>
          </w:tcPr>
          <w:p w:rsidR="00EF6C38" w:rsidRPr="00265060" w:rsidRDefault="00EF6C38" w:rsidP="0095295A">
            <w:pPr>
              <w:keepLines/>
              <w:spacing w:before="40" w:after="40" w:line="200" w:lineRule="atLeast"/>
              <w:jc w:val="center"/>
              <w:rPr>
                <w:rFonts w:eastAsia="Times New Roman"/>
                <w:iCs/>
                <w:color w:val="FFFFFF" w:themeColor="background1"/>
                <w:szCs w:val="17"/>
              </w:rPr>
            </w:pPr>
          </w:p>
        </w:tc>
      </w:tr>
      <w:tr w:rsidR="00EF6C38" w:rsidRPr="003B0793" w:rsidTr="00313DA0">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80079A" w:rsidRDefault="00EF6C38" w:rsidP="00740B58">
            <w:pPr>
              <w:keepLines/>
              <w:spacing w:before="40" w:after="40" w:line="200" w:lineRule="atLeast"/>
              <w:ind w:left="709"/>
              <w:rPr>
                <w:rFonts w:asciiTheme="minorHAnsi" w:eastAsia="Times New Roman" w:hAnsiTheme="minorHAnsi"/>
                <w:iCs/>
                <w:szCs w:val="17"/>
                <w:lang w:eastAsia="en-US"/>
              </w:rPr>
            </w:pPr>
            <w:r w:rsidRPr="0080079A">
              <w:rPr>
                <w:rFonts w:asciiTheme="minorHAnsi" w:eastAsia="Times New Roman" w:hAnsiTheme="minorHAnsi"/>
                <w:iCs/>
                <w:szCs w:val="17"/>
                <w:lang w:eastAsia="en-US"/>
              </w:rPr>
              <w:t>Reduced violence against women and improved support and legal services for women and children affected by violence</w:t>
            </w:r>
          </w:p>
        </w:tc>
        <w:tc>
          <w:tcPr>
            <w:tcW w:w="1129" w:type="dxa"/>
            <w:shd w:val="clear" w:color="auto" w:fill="E36C0A"/>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451" w:type="dxa"/>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1186" w:type="dxa"/>
            <w:shd w:val="clear" w:color="auto" w:fill="669900"/>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r>
      <w:tr w:rsidR="00EF6C38" w:rsidRPr="003B0793" w:rsidTr="00313DA0">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80079A" w:rsidRDefault="00EF6C38" w:rsidP="00740B58">
            <w:pPr>
              <w:keepLines/>
              <w:spacing w:before="40" w:after="40" w:line="200" w:lineRule="atLeast"/>
              <w:ind w:left="709"/>
              <w:rPr>
                <w:rFonts w:asciiTheme="minorHAnsi" w:eastAsia="Times New Roman" w:hAnsiTheme="minorHAnsi"/>
                <w:iCs/>
                <w:szCs w:val="17"/>
                <w:lang w:eastAsia="en-US"/>
              </w:rPr>
            </w:pPr>
            <w:r w:rsidRPr="0080079A">
              <w:rPr>
                <w:rFonts w:asciiTheme="minorHAnsi" w:eastAsia="Times New Roman" w:hAnsiTheme="minorHAnsi"/>
                <w:iCs/>
                <w:szCs w:val="17"/>
                <w:lang w:eastAsia="en-US"/>
              </w:rPr>
              <w:t>Human and economic development enhanced by communities building small-scale infrastructure that meets their development needs</w:t>
            </w:r>
          </w:p>
        </w:tc>
        <w:tc>
          <w:tcPr>
            <w:tcW w:w="1129" w:type="dxa"/>
            <w:shd w:val="clear" w:color="auto" w:fill="669900"/>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451" w:type="dxa"/>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1186" w:type="dxa"/>
            <w:shd w:val="clear" w:color="auto" w:fill="669900"/>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r>
      <w:tr w:rsidR="00EF6C38" w:rsidRPr="003B0793" w:rsidTr="00BF41E9">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3B0793" w:rsidRDefault="00EF6C38"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3</w:t>
            </w:r>
            <w:r>
              <w:rPr>
                <w:rFonts w:asciiTheme="minorHAnsi" w:eastAsia="Times New Roman" w:hAnsiTheme="minorHAnsi"/>
                <w:iCs/>
                <w:szCs w:val="17"/>
                <w:lang w:eastAsia="en-US"/>
              </w:rPr>
              <w:t xml:space="preserve">: </w:t>
            </w:r>
            <w:r w:rsidRPr="0080079A">
              <w:rPr>
                <w:rFonts w:asciiTheme="minorHAnsi" w:eastAsia="Times New Roman" w:hAnsiTheme="minorHAnsi"/>
                <w:iCs/>
                <w:szCs w:val="17"/>
                <w:lang w:eastAsia="en-US"/>
              </w:rPr>
              <w:t>Strengthening Governance and Human Development</w:t>
            </w:r>
          </w:p>
        </w:tc>
        <w:tc>
          <w:tcPr>
            <w:tcW w:w="1129" w:type="dxa"/>
            <w:shd w:val="clear" w:color="auto" w:fill="auto"/>
            <w:noWrap/>
          </w:tcPr>
          <w:p w:rsidR="00EF6C38" w:rsidRPr="003B0793" w:rsidRDefault="00EF6C38"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szCs w:val="17"/>
                <w:lang w:eastAsia="en-US"/>
              </w:rPr>
              <w:t>n/a</w:t>
            </w:r>
          </w:p>
        </w:tc>
        <w:tc>
          <w:tcPr>
            <w:tcW w:w="451" w:type="dxa"/>
          </w:tcPr>
          <w:p w:rsidR="00EF6C38" w:rsidRPr="003B0793" w:rsidRDefault="00EF6C38"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1186" w:type="dxa"/>
            <w:shd w:val="clear" w:color="auto" w:fill="auto"/>
            <w:noWrap/>
          </w:tcPr>
          <w:p w:rsidR="00EF6C38" w:rsidRPr="003B0793" w:rsidRDefault="00EF6C38" w:rsidP="00D15A00">
            <w:pPr>
              <w:keepLines/>
              <w:spacing w:before="40" w:after="40" w:line="200" w:lineRule="atLeast"/>
              <w:jc w:val="center"/>
              <w:rPr>
                <w:rFonts w:asciiTheme="minorHAnsi" w:eastAsia="Times New Roman" w:hAnsiTheme="minorHAnsi"/>
                <w:iCs/>
                <w:color w:val="FFFFFF" w:themeColor="background1"/>
                <w:szCs w:val="17"/>
                <w:lang w:eastAsia="en-US"/>
              </w:rPr>
            </w:pPr>
          </w:p>
        </w:tc>
      </w:tr>
      <w:tr w:rsidR="00EF6C38" w:rsidRPr="003B0793" w:rsidTr="00CE712C">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80079A" w:rsidRDefault="00EF6C38" w:rsidP="0080079A">
            <w:pPr>
              <w:keepLines/>
              <w:spacing w:before="40" w:after="40" w:line="200" w:lineRule="atLeast"/>
              <w:ind w:left="709"/>
              <w:rPr>
                <w:rFonts w:asciiTheme="minorHAnsi" w:eastAsia="Times New Roman" w:hAnsiTheme="minorHAnsi"/>
                <w:iCs/>
                <w:szCs w:val="17"/>
                <w:lang w:eastAsia="en-US"/>
              </w:rPr>
            </w:pPr>
            <w:r w:rsidRPr="0080079A">
              <w:rPr>
                <w:rFonts w:asciiTheme="minorHAnsi" w:eastAsia="Times New Roman" w:hAnsiTheme="minorHAnsi"/>
                <w:iCs/>
                <w:szCs w:val="17"/>
                <w:lang w:eastAsia="en-US"/>
              </w:rPr>
              <w:t>Poverty reduction in Timor-Leste through improved economic development and delivery of services</w:t>
            </w:r>
          </w:p>
        </w:tc>
        <w:tc>
          <w:tcPr>
            <w:tcW w:w="1129" w:type="dxa"/>
            <w:shd w:val="clear" w:color="auto" w:fill="E36C0A"/>
            <w:noWrap/>
          </w:tcPr>
          <w:p w:rsidR="00EF6C38" w:rsidRPr="00EF6C38" w:rsidRDefault="00EF6C38" w:rsidP="00EF28FF">
            <w:pPr>
              <w:keepLines/>
              <w:spacing w:before="40" w:after="40" w:line="200" w:lineRule="atLeast"/>
              <w:rPr>
                <w:rFonts w:eastAsia="Times New Roman"/>
                <w:iCs/>
                <w:color w:val="FFFFFF" w:themeColor="background1"/>
                <w:szCs w:val="17"/>
              </w:rPr>
            </w:pPr>
          </w:p>
        </w:tc>
        <w:tc>
          <w:tcPr>
            <w:tcW w:w="451" w:type="dxa"/>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1186" w:type="dxa"/>
            <w:shd w:val="clear" w:color="auto" w:fill="E36C0A"/>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r>
      <w:tr w:rsidR="00EF6C38" w:rsidRPr="003B0793" w:rsidTr="00EF28FF">
        <w:trPr>
          <w:cnfStyle w:val="000000010000" w:firstRow="0" w:lastRow="0" w:firstColumn="0" w:lastColumn="0" w:oddVBand="0" w:evenVBand="0" w:oddHBand="0" w:evenHBand="1" w:firstRowFirstColumn="0" w:firstRowLastColumn="0" w:lastRowFirstColumn="0" w:lastRowLastColumn="0"/>
        </w:trPr>
        <w:tc>
          <w:tcPr>
            <w:tcW w:w="7004" w:type="dxa"/>
          </w:tcPr>
          <w:p w:rsidR="00EF6C38" w:rsidRPr="0080079A" w:rsidRDefault="00EF6C38" w:rsidP="0080079A">
            <w:pPr>
              <w:keepLines/>
              <w:spacing w:before="40" w:after="40" w:line="200" w:lineRule="atLeast"/>
              <w:ind w:left="709"/>
              <w:rPr>
                <w:rFonts w:asciiTheme="minorHAnsi" w:eastAsia="Times New Roman" w:hAnsiTheme="minorHAnsi"/>
                <w:iCs/>
                <w:szCs w:val="17"/>
                <w:lang w:eastAsia="en-US"/>
              </w:rPr>
            </w:pPr>
            <w:r w:rsidRPr="0080079A">
              <w:rPr>
                <w:rFonts w:asciiTheme="minorHAnsi" w:eastAsia="Times New Roman" w:hAnsiTheme="minorHAnsi"/>
                <w:iCs/>
                <w:szCs w:val="17"/>
                <w:lang w:eastAsia="en-US"/>
              </w:rPr>
              <w:t>Police service effective and accountable in supporting rule of law</w:t>
            </w:r>
          </w:p>
        </w:tc>
        <w:tc>
          <w:tcPr>
            <w:tcW w:w="1129" w:type="dxa"/>
            <w:shd w:val="clear" w:color="auto" w:fill="E36C0A"/>
            <w:noWrap/>
          </w:tcPr>
          <w:p w:rsidR="00EF6C38" w:rsidRPr="00EF6C38" w:rsidRDefault="00EF6C38" w:rsidP="00D15A00">
            <w:pPr>
              <w:keepLines/>
              <w:spacing w:before="40" w:after="40" w:line="200" w:lineRule="atLeast"/>
              <w:jc w:val="center"/>
              <w:rPr>
                <w:rFonts w:eastAsia="Times New Roman"/>
                <w:iCs/>
                <w:color w:val="FFFFFF" w:themeColor="background1"/>
                <w:szCs w:val="17"/>
              </w:rPr>
            </w:pPr>
          </w:p>
        </w:tc>
        <w:tc>
          <w:tcPr>
            <w:tcW w:w="451" w:type="dxa"/>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c>
          <w:tcPr>
            <w:tcW w:w="1186" w:type="dxa"/>
            <w:shd w:val="clear" w:color="auto" w:fill="669900"/>
            <w:noWrap/>
          </w:tcPr>
          <w:p w:rsidR="00EF6C38" w:rsidRPr="003B0793" w:rsidRDefault="00EF6C38" w:rsidP="00D15A00">
            <w:pPr>
              <w:keepLines/>
              <w:spacing w:before="40" w:after="40" w:line="200" w:lineRule="atLeast"/>
              <w:jc w:val="center"/>
              <w:rPr>
                <w:rFonts w:eastAsia="Times New Roman"/>
                <w:iCs/>
                <w:color w:val="FFFFFF" w:themeColor="background1"/>
                <w:szCs w:val="17"/>
              </w:rPr>
            </w:pPr>
          </w:p>
        </w:tc>
      </w:tr>
    </w:tbl>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rsidR="00D26CE4" w:rsidRDefault="00D63480" w:rsidP="00703FE8">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703FE8">
        <w:rPr>
          <w:rFonts w:asciiTheme="majorHAnsi" w:eastAsiaTheme="majorEastAsia" w:hAnsiTheme="majorHAnsi" w:cstheme="majorBidi"/>
          <w:caps/>
          <w:color w:val="495965" w:themeColor="text2"/>
          <w:sz w:val="38"/>
          <w:szCs w:val="26"/>
          <w:lang w:val="en-GB" w:eastAsia="en-US"/>
        </w:rPr>
        <w:t xml:space="preserve">Objective 1: Improving livelihoods </w:t>
      </w:r>
    </w:p>
    <w:p w:rsidR="00D26CE4" w:rsidRPr="002A299B" w:rsidRDefault="00D26CE4" w:rsidP="002A299B">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This section includes progress in the following programs: rural roads, agriculture, market access and workforce development.</w:t>
      </w:r>
    </w:p>
    <w:tbl>
      <w:tblPr>
        <w:tblStyle w:val="APPR"/>
        <w:tblW w:w="5000" w:type="pct"/>
        <w:tblLook w:val="0000" w:firstRow="0" w:lastRow="0" w:firstColumn="0" w:lastColumn="0" w:noHBand="0" w:noVBand="0"/>
        <w:tblCaption w:val="Objective 1.1 Rating"/>
        <w:tblDescription w:val="Objective 1.1. Rural population has better roads. Previous rating amber, current rating amber "/>
      </w:tblPr>
      <w:tblGrid>
        <w:gridCol w:w="6844"/>
        <w:gridCol w:w="1253"/>
        <w:gridCol w:w="484"/>
        <w:gridCol w:w="1329"/>
      </w:tblGrid>
      <w:tr w:rsidR="002F613D" w:rsidRPr="0019341B" w:rsidTr="00BF41E9">
        <w:trPr>
          <w:cnfStyle w:val="000000010000" w:firstRow="0" w:lastRow="0" w:firstColumn="0" w:lastColumn="0" w:oddVBand="0" w:evenVBand="0" w:oddHBand="0" w:evenHBand="1" w:firstRowFirstColumn="0" w:firstRowLastColumn="0" w:lastRowFirstColumn="0" w:lastRowLastColumn="0"/>
          <w:trHeight w:val="534"/>
        </w:trPr>
        <w:tc>
          <w:tcPr>
            <w:tcW w:w="7597" w:type="dxa"/>
          </w:tcPr>
          <w:p w:rsidR="002F613D" w:rsidRPr="0037449F" w:rsidRDefault="002F613D" w:rsidP="0037449F">
            <w:pPr>
              <w:pStyle w:val="TableTextColumnHeading"/>
            </w:pPr>
            <w:r w:rsidRPr="0037449F">
              <w:rPr>
                <w:noProof/>
              </w:rPr>
              <w:drawing>
                <wp:anchor distT="0" distB="0" distL="114300" distR="114300" simplePos="0" relativeHeight="251685888" behindDoc="0" locked="0" layoutInCell="1" allowOverlap="1" wp14:anchorId="40B81444" wp14:editId="70EE3C8F">
                  <wp:simplePos x="0" y="0"/>
                  <wp:positionH relativeFrom="column">
                    <wp:posOffset>0</wp:posOffset>
                  </wp:positionH>
                  <wp:positionV relativeFrom="paragraph">
                    <wp:posOffset>0</wp:posOffset>
                  </wp:positionV>
                  <wp:extent cx="1857375" cy="228600"/>
                  <wp:effectExtent l="0" t="0" r="9525" b="0"/>
                  <wp:wrapNone/>
                  <wp:docPr id="3" name="Picture 3"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49F">
              <w:t xml:space="preserve"> </w:t>
            </w:r>
          </w:p>
        </w:tc>
        <w:tc>
          <w:tcPr>
            <w:tcW w:w="1225" w:type="dxa"/>
          </w:tcPr>
          <w:p w:rsidR="002F613D" w:rsidRPr="0019341B" w:rsidRDefault="002F613D" w:rsidP="0037449F">
            <w:pPr>
              <w:pStyle w:val="TableTextColumnHeading"/>
            </w:pPr>
            <w:r>
              <w:t>Previous Rating</w:t>
            </w:r>
          </w:p>
        </w:tc>
        <w:tc>
          <w:tcPr>
            <w:tcW w:w="489" w:type="dxa"/>
          </w:tcPr>
          <w:p w:rsidR="002F613D" w:rsidRDefault="002F613D" w:rsidP="001A4D7B">
            <w:pPr>
              <w:pStyle w:val="TableTextColumnHeading"/>
            </w:pPr>
          </w:p>
        </w:tc>
        <w:tc>
          <w:tcPr>
            <w:tcW w:w="1287" w:type="dxa"/>
          </w:tcPr>
          <w:p w:rsidR="002F613D" w:rsidRPr="0019341B" w:rsidRDefault="002F613D" w:rsidP="001A4D7B">
            <w:pPr>
              <w:pStyle w:val="TableTextColumnHeading"/>
            </w:pPr>
            <w:r>
              <w:t>Current Rating</w:t>
            </w:r>
          </w:p>
        </w:tc>
      </w:tr>
      <w:tr w:rsidR="002F613D" w:rsidRPr="009D53C4" w:rsidTr="00E673E3">
        <w:trPr>
          <w:cnfStyle w:val="000000010000" w:firstRow="0" w:lastRow="0" w:firstColumn="0" w:lastColumn="0" w:oddVBand="0" w:evenVBand="0" w:oddHBand="0" w:evenHBand="1" w:firstRowFirstColumn="0" w:firstRowLastColumn="0" w:lastRowFirstColumn="0" w:lastRowLastColumn="0"/>
        </w:trPr>
        <w:tc>
          <w:tcPr>
            <w:tcW w:w="7597" w:type="dxa"/>
          </w:tcPr>
          <w:p w:rsidR="002F613D" w:rsidRPr="00C74A6B" w:rsidRDefault="002F613D" w:rsidP="0095295A">
            <w:pPr>
              <w:pStyle w:val="TableTextEntries"/>
              <w:rPr>
                <w:rFonts w:asciiTheme="majorHAnsi" w:hAnsiTheme="majorHAnsi"/>
                <w:b/>
                <w:sz w:val="20"/>
                <w:szCs w:val="20"/>
              </w:rPr>
            </w:pPr>
            <w:r w:rsidRPr="00C74A6B">
              <w:rPr>
                <w:b/>
                <w:sz w:val="20"/>
                <w:szCs w:val="20"/>
              </w:rPr>
              <w:t>Objective 1.1: Rural population has better roads</w:t>
            </w:r>
          </w:p>
        </w:tc>
        <w:tc>
          <w:tcPr>
            <w:tcW w:w="1225" w:type="dxa"/>
            <w:shd w:val="clear" w:color="auto" w:fill="E36C0A"/>
            <w:noWrap/>
          </w:tcPr>
          <w:p w:rsidR="002F613D" w:rsidRPr="00443639" w:rsidRDefault="002F613D" w:rsidP="0095295A">
            <w:pPr>
              <w:pStyle w:val="TableTextEntries"/>
              <w:jc w:val="center"/>
              <w:rPr>
                <w:color w:val="FFFFFF" w:themeColor="background1"/>
              </w:rPr>
            </w:pPr>
          </w:p>
        </w:tc>
        <w:tc>
          <w:tcPr>
            <w:tcW w:w="489" w:type="dxa"/>
          </w:tcPr>
          <w:p w:rsidR="002F613D" w:rsidRPr="00443639" w:rsidRDefault="002F613D" w:rsidP="0095295A">
            <w:pPr>
              <w:pStyle w:val="TableTextEntries"/>
              <w:jc w:val="center"/>
              <w:rPr>
                <w:color w:val="FFFFFF" w:themeColor="background1"/>
              </w:rPr>
            </w:pPr>
          </w:p>
        </w:tc>
        <w:tc>
          <w:tcPr>
            <w:tcW w:w="1287" w:type="dxa"/>
            <w:shd w:val="clear" w:color="auto" w:fill="E36C0A"/>
            <w:noWrap/>
          </w:tcPr>
          <w:p w:rsidR="002F613D" w:rsidRPr="00443639" w:rsidRDefault="002F613D" w:rsidP="0095295A">
            <w:pPr>
              <w:pStyle w:val="TableTextEntries"/>
              <w:jc w:val="center"/>
              <w:rPr>
                <w:color w:val="FFFFFF" w:themeColor="background1"/>
              </w:rPr>
            </w:pPr>
          </w:p>
        </w:tc>
      </w:tr>
    </w:tbl>
    <w:p w:rsidR="002F613D" w:rsidRPr="00616CF6" w:rsidRDefault="002F613D" w:rsidP="002F613D">
      <w:pPr>
        <w:pStyle w:val="ListBullet"/>
        <w:tabs>
          <w:tab w:val="clear" w:pos="284"/>
        </w:tabs>
        <w:rPr>
          <w:rFonts w:asciiTheme="minorHAnsi" w:hAnsiTheme="minorHAnsi" w:cstheme="minorHAnsi"/>
          <w:i/>
          <w:sz w:val="22"/>
          <w:szCs w:val="22"/>
        </w:rPr>
      </w:pPr>
      <w:r w:rsidRPr="009B3F5E">
        <w:rPr>
          <w:rFonts w:asciiTheme="minorHAnsi" w:hAnsiTheme="minorHAnsi" w:cstheme="minorHAnsi"/>
          <w:i/>
          <w:sz w:val="22"/>
          <w:szCs w:val="22"/>
        </w:rPr>
        <w:t xml:space="preserve">The objective was rated amber in recognition </w:t>
      </w:r>
      <w:r w:rsidR="002431AF">
        <w:rPr>
          <w:rFonts w:asciiTheme="minorHAnsi" w:hAnsiTheme="minorHAnsi" w:cstheme="minorHAnsi"/>
          <w:i/>
          <w:sz w:val="22"/>
          <w:szCs w:val="22"/>
        </w:rPr>
        <w:t>of</w:t>
      </w:r>
      <w:r w:rsidR="00A26B6D">
        <w:rPr>
          <w:rFonts w:asciiTheme="minorHAnsi" w:hAnsiTheme="minorHAnsi" w:cstheme="minorHAnsi"/>
          <w:i/>
          <w:sz w:val="22"/>
          <w:szCs w:val="22"/>
        </w:rPr>
        <w:t xml:space="preserve"> </w:t>
      </w:r>
      <w:r w:rsidRPr="009B3F5E">
        <w:rPr>
          <w:rFonts w:asciiTheme="minorHAnsi" w:hAnsiTheme="minorHAnsi" w:cstheme="minorHAnsi"/>
          <w:i/>
          <w:sz w:val="22"/>
          <w:szCs w:val="22"/>
        </w:rPr>
        <w:t xml:space="preserve">continued challenges to secure </w:t>
      </w:r>
      <w:r w:rsidR="003063D0">
        <w:rPr>
          <w:rFonts w:asciiTheme="minorHAnsi" w:hAnsiTheme="minorHAnsi" w:cstheme="minorHAnsi"/>
          <w:i/>
          <w:sz w:val="22"/>
          <w:szCs w:val="22"/>
        </w:rPr>
        <w:t>certainty around the</w:t>
      </w:r>
      <w:r>
        <w:rPr>
          <w:rFonts w:asciiTheme="minorHAnsi" w:hAnsiTheme="minorHAnsi" w:cstheme="minorHAnsi"/>
          <w:i/>
          <w:sz w:val="22"/>
          <w:szCs w:val="22"/>
        </w:rPr>
        <w:t xml:space="preserve"> </w:t>
      </w:r>
      <w:r w:rsidR="00690511">
        <w:rPr>
          <w:rFonts w:asciiTheme="minorHAnsi" w:hAnsiTheme="minorHAnsi" w:cstheme="minorHAnsi"/>
          <w:i/>
          <w:sz w:val="22"/>
          <w:szCs w:val="22"/>
        </w:rPr>
        <w:t xml:space="preserve">Government of </w:t>
      </w:r>
      <w:r>
        <w:rPr>
          <w:rFonts w:asciiTheme="minorHAnsi" w:hAnsiTheme="minorHAnsi" w:cstheme="minorHAnsi"/>
          <w:i/>
          <w:sz w:val="22"/>
          <w:szCs w:val="22"/>
        </w:rPr>
        <w:t>Timor-Leste</w:t>
      </w:r>
      <w:r w:rsidR="00690511">
        <w:rPr>
          <w:rFonts w:asciiTheme="minorHAnsi" w:hAnsiTheme="minorHAnsi" w:cstheme="minorHAnsi"/>
          <w:i/>
          <w:sz w:val="22"/>
          <w:szCs w:val="22"/>
        </w:rPr>
        <w:t>’s</w:t>
      </w:r>
      <w:r>
        <w:rPr>
          <w:rFonts w:asciiTheme="minorHAnsi" w:hAnsiTheme="minorHAnsi" w:cstheme="minorHAnsi"/>
          <w:i/>
          <w:sz w:val="22"/>
          <w:szCs w:val="22"/>
        </w:rPr>
        <w:t xml:space="preserve"> commitment </w:t>
      </w:r>
      <w:r w:rsidR="003063D0">
        <w:rPr>
          <w:rFonts w:asciiTheme="minorHAnsi" w:hAnsiTheme="minorHAnsi" w:cstheme="minorHAnsi"/>
          <w:i/>
          <w:sz w:val="22"/>
          <w:szCs w:val="22"/>
        </w:rPr>
        <w:t xml:space="preserve">of funding and staff resources for rural roads maintenance and rehabilitation. </w:t>
      </w:r>
    </w:p>
    <w:p w:rsidR="002F613D" w:rsidRPr="00C11319" w:rsidRDefault="002F613D" w:rsidP="002F613D">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Rural roads are essential to improving economic development opportunities and providing access to basic services such as health and education. </w:t>
      </w:r>
      <w:r w:rsidRPr="00616CF6">
        <w:rPr>
          <w:rFonts w:asciiTheme="minorHAnsi" w:hAnsiTheme="minorHAnsi" w:cstheme="minorHAnsi"/>
          <w:sz w:val="22"/>
          <w:szCs w:val="22"/>
        </w:rPr>
        <w:t xml:space="preserve">Australia’s rural roads program, </w:t>
      </w:r>
      <w:r w:rsidRPr="0026075D">
        <w:rPr>
          <w:rFonts w:asciiTheme="minorHAnsi" w:hAnsiTheme="minorHAnsi" w:cstheme="minorHAnsi"/>
          <w:b/>
          <w:sz w:val="22"/>
          <w:szCs w:val="22"/>
        </w:rPr>
        <w:t>Roads for Development</w:t>
      </w:r>
      <w:r w:rsidRPr="00616CF6">
        <w:rPr>
          <w:rFonts w:asciiTheme="minorHAnsi" w:hAnsiTheme="minorHAnsi" w:cstheme="minorHAnsi"/>
          <w:sz w:val="22"/>
          <w:szCs w:val="22"/>
        </w:rPr>
        <w:t xml:space="preserve"> (R4D, 2012-16, $3</w:t>
      </w:r>
      <w:r>
        <w:rPr>
          <w:rFonts w:asciiTheme="minorHAnsi" w:hAnsiTheme="minorHAnsi" w:cstheme="minorHAnsi"/>
          <w:sz w:val="22"/>
          <w:szCs w:val="22"/>
        </w:rPr>
        <w:t>6</w:t>
      </w:r>
      <w:r w:rsidRPr="00616CF6">
        <w:rPr>
          <w:rFonts w:asciiTheme="minorHAnsi" w:hAnsiTheme="minorHAnsi" w:cstheme="minorHAnsi"/>
          <w:sz w:val="22"/>
          <w:szCs w:val="22"/>
        </w:rPr>
        <w:t xml:space="preserve"> million), contributes to the </w:t>
      </w:r>
      <w:r w:rsidRPr="00616CF6">
        <w:rPr>
          <w:rFonts w:asciiTheme="minorHAnsi" w:hAnsiTheme="minorHAnsi" w:cstheme="minorHAnsi"/>
          <w:i/>
          <w:sz w:val="22"/>
          <w:szCs w:val="22"/>
        </w:rPr>
        <w:t>Strategic Development Plan</w:t>
      </w:r>
      <w:r w:rsidRPr="00616CF6">
        <w:rPr>
          <w:rFonts w:asciiTheme="minorHAnsi" w:hAnsiTheme="minorHAnsi" w:cstheme="minorHAnsi"/>
          <w:sz w:val="22"/>
          <w:szCs w:val="22"/>
        </w:rPr>
        <w:t xml:space="preserve"> target of all roads in Timor-Leste being fully </w:t>
      </w:r>
      <w:r w:rsidRPr="00C11319">
        <w:rPr>
          <w:rFonts w:asciiTheme="minorHAnsi" w:hAnsiTheme="minorHAnsi" w:cstheme="minorHAnsi"/>
          <w:sz w:val="22"/>
          <w:szCs w:val="22"/>
        </w:rPr>
        <w:t xml:space="preserve">rehabilitated to international standards. </w:t>
      </w:r>
    </w:p>
    <w:p w:rsidR="002F613D" w:rsidRDefault="00D95159" w:rsidP="002F613D">
      <w:pPr>
        <w:pStyle w:val="ListBullet"/>
        <w:tabs>
          <w:tab w:val="clear" w:pos="284"/>
        </w:tabs>
        <w:rPr>
          <w:rFonts w:asciiTheme="minorHAnsi" w:hAnsiTheme="minorHAnsi" w:cstheme="minorHAnsi"/>
          <w:sz w:val="22"/>
          <w:szCs w:val="22"/>
        </w:rPr>
      </w:pPr>
      <w:r w:rsidRPr="00C11319">
        <w:rPr>
          <w:rFonts w:asciiTheme="minorHAnsi" w:hAnsiTheme="minorHAnsi" w:cstheme="minorHAnsi"/>
          <w:sz w:val="22"/>
          <w:szCs w:val="22"/>
        </w:rPr>
        <w:t>Since 2012, R4D has rehabilitated 131km of ‘core rural road’</w:t>
      </w:r>
      <w:r w:rsidR="00C11319">
        <w:rPr>
          <w:rFonts w:asciiTheme="minorHAnsi" w:hAnsiTheme="minorHAnsi" w:cstheme="minorHAnsi"/>
          <w:sz w:val="22"/>
          <w:szCs w:val="22"/>
        </w:rPr>
        <w:t xml:space="preserve"> (</w:t>
      </w:r>
      <w:r w:rsidR="00C11319" w:rsidRPr="00C11319">
        <w:rPr>
          <w:rFonts w:asciiTheme="minorHAnsi" w:hAnsiTheme="minorHAnsi" w:cstheme="minorHAnsi"/>
          <w:sz w:val="22"/>
          <w:szCs w:val="22"/>
        </w:rPr>
        <w:t>7 per cent of the 1975km of ‘core rural road’ in Timor-Leste</w:t>
      </w:r>
      <w:r w:rsidR="00C11319">
        <w:rPr>
          <w:rFonts w:asciiTheme="minorHAnsi" w:hAnsiTheme="minorHAnsi" w:cstheme="minorHAnsi"/>
          <w:sz w:val="22"/>
          <w:szCs w:val="22"/>
        </w:rPr>
        <w:t>)</w:t>
      </w:r>
      <w:r w:rsidR="00C11319" w:rsidRPr="00C11319" w:rsidDel="00C11319">
        <w:rPr>
          <w:rFonts w:asciiTheme="minorHAnsi" w:hAnsiTheme="minorHAnsi" w:cstheme="minorHAnsi"/>
          <w:sz w:val="22"/>
          <w:szCs w:val="22"/>
        </w:rPr>
        <w:t xml:space="preserve"> </w:t>
      </w:r>
      <w:r w:rsidRPr="00C11319">
        <w:rPr>
          <w:rFonts w:asciiTheme="minorHAnsi" w:hAnsiTheme="minorHAnsi" w:cstheme="minorHAnsi"/>
          <w:sz w:val="22"/>
          <w:szCs w:val="22"/>
        </w:rPr>
        <w:t>and maintained a further 376.1kms of road</w:t>
      </w:r>
      <w:r w:rsidR="00C11319">
        <w:rPr>
          <w:rFonts w:asciiTheme="minorHAnsi" w:hAnsiTheme="minorHAnsi" w:cstheme="minorHAnsi"/>
          <w:sz w:val="22"/>
          <w:szCs w:val="22"/>
        </w:rPr>
        <w:t xml:space="preserve"> (</w:t>
      </w:r>
      <w:r w:rsidR="00C11319" w:rsidRPr="00C11319">
        <w:rPr>
          <w:rFonts w:asciiTheme="minorHAnsi" w:hAnsiTheme="minorHAnsi" w:cstheme="minorHAnsi"/>
          <w:sz w:val="22"/>
          <w:szCs w:val="22"/>
        </w:rPr>
        <w:t>19 per cent</w:t>
      </w:r>
      <w:r w:rsidR="00C11319">
        <w:rPr>
          <w:rFonts w:asciiTheme="minorHAnsi" w:hAnsiTheme="minorHAnsi" w:cstheme="minorHAnsi"/>
          <w:sz w:val="22"/>
          <w:szCs w:val="22"/>
        </w:rPr>
        <w:t xml:space="preserve"> of </w:t>
      </w:r>
      <w:r w:rsidR="00C11319" w:rsidRPr="00C11319">
        <w:rPr>
          <w:rFonts w:asciiTheme="minorHAnsi" w:hAnsiTheme="minorHAnsi" w:cstheme="minorHAnsi"/>
          <w:sz w:val="22"/>
          <w:szCs w:val="22"/>
        </w:rPr>
        <w:t>‘core rural road’</w:t>
      </w:r>
      <w:r w:rsidR="00C11319">
        <w:rPr>
          <w:rFonts w:asciiTheme="minorHAnsi" w:hAnsiTheme="minorHAnsi" w:cstheme="minorHAnsi"/>
          <w:sz w:val="22"/>
          <w:szCs w:val="22"/>
        </w:rPr>
        <w:t>)</w:t>
      </w:r>
      <w:r w:rsidRPr="00C11319">
        <w:rPr>
          <w:rFonts w:asciiTheme="minorHAnsi" w:hAnsiTheme="minorHAnsi" w:cstheme="minorHAnsi"/>
          <w:sz w:val="22"/>
          <w:szCs w:val="22"/>
        </w:rPr>
        <w:t xml:space="preserve">. The </w:t>
      </w:r>
      <w:r w:rsidR="00BA5CC1">
        <w:rPr>
          <w:rFonts w:asciiTheme="minorHAnsi" w:hAnsiTheme="minorHAnsi" w:cstheme="minorHAnsi"/>
          <w:sz w:val="22"/>
          <w:szCs w:val="22"/>
        </w:rPr>
        <w:t xml:space="preserve">program achieved its </w:t>
      </w:r>
      <w:r w:rsidRPr="00C11319">
        <w:rPr>
          <w:rFonts w:asciiTheme="minorHAnsi" w:hAnsiTheme="minorHAnsi" w:cstheme="minorHAnsi"/>
          <w:sz w:val="22"/>
          <w:szCs w:val="22"/>
        </w:rPr>
        <w:t xml:space="preserve">performance benchmark target for 2015-16 with 27.9km of </w:t>
      </w:r>
      <w:r w:rsidR="00F37F07">
        <w:rPr>
          <w:rFonts w:asciiTheme="minorHAnsi" w:hAnsiTheme="minorHAnsi" w:cstheme="minorHAnsi"/>
          <w:sz w:val="22"/>
          <w:szCs w:val="22"/>
        </w:rPr>
        <w:t xml:space="preserve">additional </w:t>
      </w:r>
      <w:r w:rsidRPr="00C11319">
        <w:rPr>
          <w:rFonts w:asciiTheme="minorHAnsi" w:hAnsiTheme="minorHAnsi" w:cstheme="minorHAnsi"/>
          <w:sz w:val="22"/>
          <w:szCs w:val="22"/>
        </w:rPr>
        <w:t xml:space="preserve">rural roads rehabilitated </w:t>
      </w:r>
      <w:r w:rsidR="00BA5CC1">
        <w:rPr>
          <w:rFonts w:asciiTheme="minorHAnsi" w:hAnsiTheme="minorHAnsi" w:cstheme="minorHAnsi"/>
          <w:sz w:val="22"/>
          <w:szCs w:val="22"/>
        </w:rPr>
        <w:t>(original target of 25km)</w:t>
      </w:r>
      <w:r w:rsidRPr="00C11319">
        <w:rPr>
          <w:rFonts w:asciiTheme="minorHAnsi" w:hAnsiTheme="minorHAnsi" w:cstheme="minorHAnsi"/>
          <w:sz w:val="22"/>
          <w:szCs w:val="22"/>
        </w:rPr>
        <w:t xml:space="preserve">. </w:t>
      </w:r>
      <w:r w:rsidR="00E56971" w:rsidRPr="00C11319">
        <w:rPr>
          <w:rFonts w:asciiTheme="minorHAnsi" w:hAnsiTheme="minorHAnsi" w:cstheme="minorHAnsi"/>
          <w:sz w:val="22"/>
          <w:szCs w:val="22"/>
        </w:rPr>
        <w:t xml:space="preserve">Since 2012, </w:t>
      </w:r>
      <w:r w:rsidR="002F613D" w:rsidRPr="00C11319">
        <w:rPr>
          <w:rFonts w:asciiTheme="minorHAnsi" w:hAnsiTheme="minorHAnsi" w:cstheme="minorHAnsi"/>
          <w:sz w:val="22"/>
          <w:szCs w:val="22"/>
        </w:rPr>
        <w:t xml:space="preserve">R4D </w:t>
      </w:r>
      <w:r w:rsidR="00E56971" w:rsidRPr="00C11319">
        <w:rPr>
          <w:rFonts w:asciiTheme="minorHAnsi" w:hAnsiTheme="minorHAnsi" w:cstheme="minorHAnsi"/>
          <w:sz w:val="22"/>
          <w:szCs w:val="22"/>
        </w:rPr>
        <w:t xml:space="preserve">has </w:t>
      </w:r>
      <w:r w:rsidR="002F613D" w:rsidRPr="00C11319">
        <w:rPr>
          <w:rFonts w:asciiTheme="minorHAnsi" w:hAnsiTheme="minorHAnsi" w:cstheme="minorHAnsi"/>
          <w:sz w:val="22"/>
          <w:szCs w:val="22"/>
        </w:rPr>
        <w:t>fostered the private sector in Timor-Leste</w:t>
      </w:r>
      <w:r w:rsidR="009670CB" w:rsidRPr="00C11319">
        <w:rPr>
          <w:rFonts w:asciiTheme="minorHAnsi" w:hAnsiTheme="minorHAnsi" w:cstheme="minorHAnsi"/>
          <w:sz w:val="22"/>
          <w:szCs w:val="22"/>
        </w:rPr>
        <w:t xml:space="preserve"> by generating more than</w:t>
      </w:r>
      <w:r w:rsidR="00AF7B5E">
        <w:rPr>
          <w:rFonts w:asciiTheme="minorHAnsi" w:hAnsiTheme="minorHAnsi" w:cstheme="minorHAnsi"/>
          <w:sz w:val="22"/>
          <w:szCs w:val="22"/>
        </w:rPr>
        <w:t xml:space="preserve"> 100 contracts f</w:t>
      </w:r>
      <w:r w:rsidR="002F613D" w:rsidRPr="00C11319">
        <w:rPr>
          <w:rFonts w:asciiTheme="minorHAnsi" w:hAnsiTheme="minorHAnsi" w:cstheme="minorHAnsi"/>
          <w:sz w:val="22"/>
          <w:szCs w:val="22"/>
        </w:rPr>
        <w:t>o</w:t>
      </w:r>
      <w:r w:rsidR="00AF7B5E">
        <w:rPr>
          <w:rFonts w:asciiTheme="minorHAnsi" w:hAnsiTheme="minorHAnsi" w:cstheme="minorHAnsi"/>
          <w:sz w:val="22"/>
          <w:szCs w:val="22"/>
        </w:rPr>
        <w:t>r</w:t>
      </w:r>
      <w:r w:rsidR="002F613D" w:rsidRPr="00C11319">
        <w:rPr>
          <w:rFonts w:asciiTheme="minorHAnsi" w:hAnsiTheme="minorHAnsi" w:cstheme="minorHAnsi"/>
          <w:sz w:val="22"/>
          <w:szCs w:val="22"/>
        </w:rPr>
        <w:t xml:space="preserve"> local</w:t>
      </w:r>
      <w:r w:rsidR="002F613D">
        <w:rPr>
          <w:rFonts w:asciiTheme="minorHAnsi" w:hAnsiTheme="minorHAnsi" w:cstheme="minorHAnsi"/>
          <w:sz w:val="22"/>
          <w:szCs w:val="22"/>
        </w:rPr>
        <w:t xml:space="preserve"> construction companies and creating around 570,000 labour days of short-term employment for rural people.</w:t>
      </w:r>
      <w:r w:rsidR="00CB2300">
        <w:rPr>
          <w:rFonts w:asciiTheme="minorHAnsi" w:hAnsiTheme="minorHAnsi" w:cstheme="minorHAnsi"/>
          <w:sz w:val="22"/>
          <w:szCs w:val="22"/>
        </w:rPr>
        <w:t xml:space="preserve"> In 2015-16, the program</w:t>
      </w:r>
      <w:r w:rsidR="002F613D">
        <w:rPr>
          <w:rFonts w:asciiTheme="minorHAnsi" w:hAnsiTheme="minorHAnsi" w:cstheme="minorHAnsi"/>
          <w:sz w:val="22"/>
          <w:szCs w:val="22"/>
        </w:rPr>
        <w:t xml:space="preserve"> </w:t>
      </w:r>
      <w:r w:rsidR="002F613D" w:rsidRPr="00DE1174">
        <w:rPr>
          <w:rFonts w:asciiTheme="minorHAnsi" w:hAnsiTheme="minorHAnsi" w:cstheme="minorHAnsi"/>
          <w:sz w:val="22"/>
          <w:szCs w:val="22"/>
        </w:rPr>
        <w:t xml:space="preserve">delivered </w:t>
      </w:r>
      <w:r w:rsidR="002F613D">
        <w:rPr>
          <w:rFonts w:asciiTheme="minorHAnsi" w:hAnsiTheme="minorHAnsi" w:cstheme="minorHAnsi"/>
          <w:sz w:val="22"/>
          <w:szCs w:val="22"/>
        </w:rPr>
        <w:t>formal training (4</w:t>
      </w:r>
      <w:r w:rsidR="00751A8A">
        <w:rPr>
          <w:rFonts w:asciiTheme="minorHAnsi" w:hAnsiTheme="minorHAnsi" w:cstheme="minorHAnsi"/>
          <w:sz w:val="22"/>
          <w:szCs w:val="22"/>
        </w:rPr>
        <w:t>,</w:t>
      </w:r>
      <w:r w:rsidR="002F613D">
        <w:rPr>
          <w:rFonts w:asciiTheme="minorHAnsi" w:hAnsiTheme="minorHAnsi" w:cstheme="minorHAnsi"/>
          <w:sz w:val="22"/>
          <w:szCs w:val="22"/>
        </w:rPr>
        <w:t xml:space="preserve">329 </w:t>
      </w:r>
      <w:r w:rsidR="002F613D" w:rsidRPr="00DE1174">
        <w:rPr>
          <w:rFonts w:asciiTheme="minorHAnsi" w:hAnsiTheme="minorHAnsi" w:cstheme="minorHAnsi"/>
          <w:sz w:val="22"/>
          <w:szCs w:val="22"/>
        </w:rPr>
        <w:t>days</w:t>
      </w:r>
      <w:r w:rsidR="002F613D">
        <w:rPr>
          <w:rFonts w:asciiTheme="minorHAnsi" w:hAnsiTheme="minorHAnsi" w:cstheme="minorHAnsi"/>
          <w:sz w:val="22"/>
          <w:szCs w:val="22"/>
        </w:rPr>
        <w:t>)</w:t>
      </w:r>
      <w:r w:rsidR="002F613D" w:rsidRPr="00DE1174">
        <w:rPr>
          <w:rFonts w:asciiTheme="minorHAnsi" w:hAnsiTheme="minorHAnsi" w:cstheme="minorHAnsi"/>
          <w:sz w:val="22"/>
          <w:szCs w:val="22"/>
        </w:rPr>
        <w:t xml:space="preserve"> to </w:t>
      </w:r>
      <w:r w:rsidR="002F613D">
        <w:rPr>
          <w:rFonts w:asciiTheme="minorHAnsi" w:hAnsiTheme="minorHAnsi" w:cstheme="minorHAnsi"/>
          <w:sz w:val="22"/>
          <w:szCs w:val="22"/>
        </w:rPr>
        <w:t xml:space="preserve">more than </w:t>
      </w:r>
      <w:r w:rsidR="002F613D" w:rsidRPr="00DE1174">
        <w:rPr>
          <w:rFonts w:asciiTheme="minorHAnsi" w:hAnsiTheme="minorHAnsi" w:cstheme="minorHAnsi"/>
          <w:sz w:val="22"/>
          <w:szCs w:val="22"/>
        </w:rPr>
        <w:t>100 local contractors</w:t>
      </w:r>
      <w:r w:rsidR="00382BBF">
        <w:rPr>
          <w:rFonts w:asciiTheme="minorHAnsi" w:hAnsiTheme="minorHAnsi" w:cstheme="minorHAnsi"/>
          <w:sz w:val="22"/>
          <w:szCs w:val="22"/>
        </w:rPr>
        <w:t xml:space="preserve">. While this has improved the quality of </w:t>
      </w:r>
      <w:r w:rsidR="00D84B3E">
        <w:rPr>
          <w:rFonts w:asciiTheme="minorHAnsi" w:hAnsiTheme="minorHAnsi" w:cstheme="minorHAnsi"/>
          <w:sz w:val="22"/>
          <w:szCs w:val="22"/>
        </w:rPr>
        <w:t>roadworks</w:t>
      </w:r>
      <w:r w:rsidR="00382BBF">
        <w:rPr>
          <w:rFonts w:asciiTheme="minorHAnsi" w:hAnsiTheme="minorHAnsi" w:cstheme="minorHAnsi"/>
          <w:sz w:val="22"/>
          <w:szCs w:val="22"/>
        </w:rPr>
        <w:t>, it is from a lower-than-expected skill base in the general workforce, highlighting the need for regular, ongoing contractor development. Another</w:t>
      </w:r>
      <w:r w:rsidR="002F613D">
        <w:rPr>
          <w:rFonts w:asciiTheme="minorHAnsi" w:hAnsiTheme="minorHAnsi" w:cstheme="minorHAnsi"/>
          <w:sz w:val="22"/>
          <w:szCs w:val="22"/>
        </w:rPr>
        <w:t xml:space="preserve"> challenge </w:t>
      </w:r>
      <w:r w:rsidR="00382BBF">
        <w:rPr>
          <w:rFonts w:asciiTheme="minorHAnsi" w:hAnsiTheme="minorHAnsi" w:cstheme="minorHAnsi"/>
          <w:sz w:val="22"/>
          <w:szCs w:val="22"/>
        </w:rPr>
        <w:t xml:space="preserve">for </w:t>
      </w:r>
      <w:r w:rsidR="002F613D">
        <w:rPr>
          <w:rFonts w:asciiTheme="minorHAnsi" w:hAnsiTheme="minorHAnsi" w:cstheme="minorHAnsi"/>
          <w:sz w:val="22"/>
          <w:szCs w:val="22"/>
        </w:rPr>
        <w:t xml:space="preserve">sustainable business growth </w:t>
      </w:r>
      <w:r w:rsidR="00382BBF">
        <w:rPr>
          <w:rFonts w:asciiTheme="minorHAnsi" w:hAnsiTheme="minorHAnsi" w:cstheme="minorHAnsi"/>
          <w:sz w:val="22"/>
          <w:szCs w:val="22"/>
        </w:rPr>
        <w:t xml:space="preserve">is the </w:t>
      </w:r>
      <w:r w:rsidR="002F613D">
        <w:rPr>
          <w:rFonts w:asciiTheme="minorHAnsi" w:hAnsiTheme="minorHAnsi" w:cstheme="minorHAnsi"/>
          <w:sz w:val="22"/>
          <w:szCs w:val="22"/>
        </w:rPr>
        <w:t>uncertainty and d</w:t>
      </w:r>
      <w:r w:rsidR="007C46DC">
        <w:rPr>
          <w:rFonts w:asciiTheme="minorHAnsi" w:hAnsiTheme="minorHAnsi" w:cstheme="minorHAnsi"/>
          <w:sz w:val="22"/>
          <w:szCs w:val="22"/>
        </w:rPr>
        <w:t xml:space="preserve">elays with </w:t>
      </w:r>
      <w:r w:rsidR="000502EE">
        <w:rPr>
          <w:rFonts w:asciiTheme="minorHAnsi" w:hAnsiTheme="minorHAnsi" w:cstheme="minorHAnsi"/>
          <w:sz w:val="22"/>
          <w:szCs w:val="22"/>
        </w:rPr>
        <w:t xml:space="preserve">Government of Timor-Leste </w:t>
      </w:r>
      <w:r w:rsidR="002F613D">
        <w:rPr>
          <w:rFonts w:asciiTheme="minorHAnsi" w:hAnsiTheme="minorHAnsi" w:cstheme="minorHAnsi"/>
          <w:sz w:val="22"/>
          <w:szCs w:val="22"/>
        </w:rPr>
        <w:t>funding and</w:t>
      </w:r>
      <w:r w:rsidR="00E67939">
        <w:rPr>
          <w:rFonts w:asciiTheme="minorHAnsi" w:hAnsiTheme="minorHAnsi" w:cstheme="minorHAnsi"/>
          <w:sz w:val="22"/>
          <w:szCs w:val="22"/>
        </w:rPr>
        <w:t xml:space="preserve"> </w:t>
      </w:r>
      <w:r w:rsidR="00382BBF">
        <w:rPr>
          <w:rFonts w:asciiTheme="minorHAnsi" w:hAnsiTheme="minorHAnsi" w:cstheme="minorHAnsi"/>
          <w:sz w:val="22"/>
          <w:szCs w:val="22"/>
        </w:rPr>
        <w:t>late payment of invoices for contractors.</w:t>
      </w:r>
    </w:p>
    <w:p w:rsidR="006151FE" w:rsidRDefault="006151FE" w:rsidP="002F613D">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High</w:t>
      </w:r>
      <w:r w:rsidR="002F613D">
        <w:rPr>
          <w:rFonts w:asciiTheme="minorHAnsi" w:hAnsiTheme="minorHAnsi" w:cstheme="minorHAnsi"/>
          <w:sz w:val="22"/>
          <w:szCs w:val="22"/>
        </w:rPr>
        <w:t xml:space="preserve">-level policy dialogue and </w:t>
      </w:r>
      <w:r w:rsidR="001B7052">
        <w:rPr>
          <w:rFonts w:asciiTheme="minorHAnsi" w:hAnsiTheme="minorHAnsi" w:cstheme="minorHAnsi"/>
          <w:sz w:val="22"/>
          <w:szCs w:val="22"/>
        </w:rPr>
        <w:t xml:space="preserve">advocacy resulted in </w:t>
      </w:r>
      <w:r w:rsidR="002F613D">
        <w:rPr>
          <w:rFonts w:asciiTheme="minorHAnsi" w:hAnsiTheme="minorHAnsi" w:cstheme="minorHAnsi"/>
          <w:sz w:val="22"/>
          <w:szCs w:val="22"/>
        </w:rPr>
        <w:t>increased funding commitment</w:t>
      </w:r>
      <w:r w:rsidR="005146A1">
        <w:rPr>
          <w:rFonts w:asciiTheme="minorHAnsi" w:hAnsiTheme="minorHAnsi" w:cstheme="minorHAnsi"/>
          <w:sz w:val="22"/>
          <w:szCs w:val="22"/>
        </w:rPr>
        <w:t xml:space="preserve"> by the Government of Timor-Leste</w:t>
      </w:r>
      <w:r w:rsidR="002F613D">
        <w:rPr>
          <w:rFonts w:asciiTheme="minorHAnsi" w:hAnsiTheme="minorHAnsi" w:cstheme="minorHAnsi"/>
          <w:sz w:val="22"/>
          <w:szCs w:val="22"/>
        </w:rPr>
        <w:t xml:space="preserve"> for rehabilitation and maintenance works </w:t>
      </w:r>
      <w:r w:rsidR="006A6C93">
        <w:rPr>
          <w:rFonts w:asciiTheme="minorHAnsi" w:hAnsiTheme="minorHAnsi" w:cstheme="minorHAnsi"/>
          <w:sz w:val="22"/>
          <w:szCs w:val="22"/>
        </w:rPr>
        <w:t>in the</w:t>
      </w:r>
      <w:r w:rsidR="008217DC">
        <w:rPr>
          <w:rFonts w:asciiTheme="minorHAnsi" w:hAnsiTheme="minorHAnsi" w:cstheme="minorHAnsi"/>
          <w:sz w:val="22"/>
          <w:szCs w:val="22"/>
        </w:rPr>
        <w:t>ir</w:t>
      </w:r>
      <w:r w:rsidR="006A6C93">
        <w:rPr>
          <w:rFonts w:asciiTheme="minorHAnsi" w:hAnsiTheme="minorHAnsi" w:cstheme="minorHAnsi"/>
          <w:sz w:val="22"/>
          <w:szCs w:val="22"/>
        </w:rPr>
        <w:t xml:space="preserve"> 2016 financial year </w:t>
      </w:r>
      <w:r w:rsidR="002F613D">
        <w:rPr>
          <w:rFonts w:asciiTheme="minorHAnsi" w:hAnsiTheme="minorHAnsi" w:cstheme="minorHAnsi"/>
          <w:sz w:val="22"/>
          <w:szCs w:val="22"/>
        </w:rPr>
        <w:t>(US</w:t>
      </w:r>
      <w:r w:rsidR="00751A8A">
        <w:rPr>
          <w:rFonts w:asciiTheme="minorHAnsi" w:hAnsiTheme="minorHAnsi" w:cstheme="minorHAnsi"/>
          <w:sz w:val="22"/>
          <w:szCs w:val="22"/>
        </w:rPr>
        <w:t>D</w:t>
      </w:r>
      <w:r w:rsidR="002F613D">
        <w:rPr>
          <w:rFonts w:asciiTheme="minorHAnsi" w:hAnsiTheme="minorHAnsi" w:cstheme="minorHAnsi"/>
          <w:sz w:val="22"/>
          <w:szCs w:val="22"/>
        </w:rPr>
        <w:t>10 million</w:t>
      </w:r>
      <w:r w:rsidR="002D06B3">
        <w:rPr>
          <w:rFonts w:asciiTheme="minorHAnsi" w:hAnsiTheme="minorHAnsi" w:cstheme="minorHAnsi"/>
          <w:sz w:val="22"/>
          <w:szCs w:val="22"/>
        </w:rPr>
        <w:t>,</w:t>
      </w:r>
      <w:r w:rsidR="00751A8A">
        <w:rPr>
          <w:rFonts w:asciiTheme="minorHAnsi" w:hAnsiTheme="minorHAnsi" w:cstheme="minorHAnsi"/>
          <w:sz w:val="22"/>
          <w:szCs w:val="22"/>
        </w:rPr>
        <w:t xml:space="preserve"> up from USD</w:t>
      </w:r>
      <w:r w:rsidR="002F613D">
        <w:rPr>
          <w:rFonts w:asciiTheme="minorHAnsi" w:hAnsiTheme="minorHAnsi" w:cstheme="minorHAnsi"/>
          <w:sz w:val="22"/>
          <w:szCs w:val="22"/>
        </w:rPr>
        <w:t xml:space="preserve">5.1 million in 2015). The Government’s commitment to adequate staffing </w:t>
      </w:r>
      <w:r w:rsidR="005A30A2">
        <w:rPr>
          <w:rFonts w:asciiTheme="minorHAnsi" w:hAnsiTheme="minorHAnsi" w:cstheme="minorHAnsi"/>
          <w:sz w:val="22"/>
          <w:szCs w:val="22"/>
        </w:rPr>
        <w:t>ha</w:t>
      </w:r>
      <w:r w:rsidR="00A67DBD">
        <w:rPr>
          <w:rFonts w:asciiTheme="minorHAnsi" w:hAnsiTheme="minorHAnsi" w:cstheme="minorHAnsi"/>
          <w:sz w:val="22"/>
          <w:szCs w:val="22"/>
        </w:rPr>
        <w:t>s</w:t>
      </w:r>
      <w:r w:rsidR="002F613D">
        <w:rPr>
          <w:rFonts w:asciiTheme="minorHAnsi" w:hAnsiTheme="minorHAnsi" w:cstheme="minorHAnsi"/>
          <w:sz w:val="22"/>
          <w:szCs w:val="22"/>
        </w:rPr>
        <w:t xml:space="preserve"> </w:t>
      </w:r>
      <w:r w:rsidR="00B4745E">
        <w:rPr>
          <w:rFonts w:asciiTheme="minorHAnsi" w:hAnsiTheme="minorHAnsi" w:cstheme="minorHAnsi"/>
          <w:sz w:val="22"/>
          <w:szCs w:val="22"/>
        </w:rPr>
        <w:t>improved moderately</w:t>
      </w:r>
      <w:r w:rsidR="002F613D">
        <w:rPr>
          <w:rFonts w:asciiTheme="minorHAnsi" w:hAnsiTheme="minorHAnsi" w:cstheme="minorHAnsi"/>
          <w:sz w:val="22"/>
          <w:szCs w:val="22"/>
        </w:rPr>
        <w:t xml:space="preserve"> </w:t>
      </w:r>
      <w:r w:rsidR="00E67939">
        <w:rPr>
          <w:rFonts w:asciiTheme="minorHAnsi" w:hAnsiTheme="minorHAnsi" w:cstheme="minorHAnsi"/>
          <w:sz w:val="22"/>
          <w:szCs w:val="22"/>
        </w:rPr>
        <w:t xml:space="preserve">with the </w:t>
      </w:r>
      <w:r w:rsidR="00F127A1" w:rsidRPr="00616CF6">
        <w:rPr>
          <w:rFonts w:asciiTheme="minorHAnsi" w:hAnsiTheme="minorHAnsi" w:cstheme="minorHAnsi"/>
          <w:sz w:val="22"/>
          <w:szCs w:val="22"/>
        </w:rPr>
        <w:t xml:space="preserve">Ministry of Public Works, Transport and Communications’ </w:t>
      </w:r>
      <w:r w:rsidR="00E67939">
        <w:rPr>
          <w:rFonts w:asciiTheme="minorHAnsi" w:hAnsiTheme="minorHAnsi" w:cstheme="minorHAnsi"/>
          <w:sz w:val="22"/>
          <w:szCs w:val="22"/>
        </w:rPr>
        <w:t>(</w:t>
      </w:r>
      <w:r w:rsidR="002F613D" w:rsidRPr="00B660E6">
        <w:rPr>
          <w:rFonts w:asciiTheme="minorHAnsi" w:hAnsiTheme="minorHAnsi" w:cstheme="minorHAnsi"/>
          <w:sz w:val="22"/>
          <w:szCs w:val="22"/>
        </w:rPr>
        <w:t>MPWTC</w:t>
      </w:r>
      <w:r w:rsidR="00E67939">
        <w:rPr>
          <w:rFonts w:asciiTheme="minorHAnsi" w:hAnsiTheme="minorHAnsi" w:cstheme="minorHAnsi"/>
          <w:sz w:val="22"/>
          <w:szCs w:val="22"/>
        </w:rPr>
        <w:t>)</w:t>
      </w:r>
      <w:r w:rsidR="002F613D" w:rsidRPr="00B660E6">
        <w:rPr>
          <w:rFonts w:asciiTheme="minorHAnsi" w:hAnsiTheme="minorHAnsi" w:cstheme="minorHAnsi"/>
          <w:sz w:val="22"/>
          <w:szCs w:val="22"/>
        </w:rPr>
        <w:t xml:space="preserve"> </w:t>
      </w:r>
      <w:r w:rsidR="002F613D">
        <w:rPr>
          <w:rFonts w:asciiTheme="minorHAnsi" w:hAnsiTheme="minorHAnsi" w:cstheme="minorHAnsi"/>
          <w:sz w:val="22"/>
          <w:szCs w:val="22"/>
        </w:rPr>
        <w:t xml:space="preserve">taking responsibility for </w:t>
      </w:r>
      <w:r w:rsidR="002F613D" w:rsidRPr="00B660E6">
        <w:rPr>
          <w:rFonts w:asciiTheme="minorHAnsi" w:hAnsiTheme="minorHAnsi" w:cstheme="minorHAnsi"/>
          <w:sz w:val="22"/>
          <w:szCs w:val="22"/>
        </w:rPr>
        <w:t xml:space="preserve">salary payments for </w:t>
      </w:r>
      <w:r w:rsidR="00EB6525">
        <w:rPr>
          <w:rFonts w:asciiTheme="minorHAnsi" w:hAnsiTheme="minorHAnsi" w:cstheme="minorHAnsi"/>
          <w:sz w:val="22"/>
          <w:szCs w:val="22"/>
        </w:rPr>
        <w:t>nine</w:t>
      </w:r>
      <w:r w:rsidR="002F613D" w:rsidRPr="00B660E6">
        <w:rPr>
          <w:rFonts w:asciiTheme="minorHAnsi" w:hAnsiTheme="minorHAnsi" w:cstheme="minorHAnsi"/>
          <w:sz w:val="22"/>
          <w:szCs w:val="22"/>
        </w:rPr>
        <w:t xml:space="preserve"> contracted temporary MPWTC-R4D staff </w:t>
      </w:r>
      <w:r w:rsidR="004E79A2">
        <w:rPr>
          <w:rFonts w:asciiTheme="minorHAnsi" w:hAnsiTheme="minorHAnsi" w:cstheme="minorHAnsi"/>
          <w:sz w:val="22"/>
          <w:szCs w:val="22"/>
        </w:rPr>
        <w:t>from</w:t>
      </w:r>
      <w:r w:rsidR="004E79A2" w:rsidRPr="00B660E6">
        <w:rPr>
          <w:rFonts w:asciiTheme="minorHAnsi" w:hAnsiTheme="minorHAnsi" w:cstheme="minorHAnsi"/>
          <w:sz w:val="22"/>
          <w:szCs w:val="22"/>
        </w:rPr>
        <w:t xml:space="preserve"> </w:t>
      </w:r>
      <w:r w:rsidR="002F613D" w:rsidRPr="00B660E6">
        <w:rPr>
          <w:rFonts w:asciiTheme="minorHAnsi" w:hAnsiTheme="minorHAnsi" w:cstheme="minorHAnsi"/>
          <w:sz w:val="22"/>
          <w:szCs w:val="22"/>
        </w:rPr>
        <w:t>January 2016</w:t>
      </w:r>
      <w:r w:rsidR="002F613D">
        <w:rPr>
          <w:rFonts w:asciiTheme="minorHAnsi" w:hAnsiTheme="minorHAnsi" w:cstheme="minorHAnsi"/>
          <w:sz w:val="22"/>
          <w:szCs w:val="22"/>
        </w:rPr>
        <w:t>.</w:t>
      </w:r>
      <w:r w:rsidR="001B7052">
        <w:rPr>
          <w:rFonts w:asciiTheme="minorHAnsi" w:hAnsiTheme="minorHAnsi" w:cstheme="minorHAnsi"/>
          <w:sz w:val="22"/>
          <w:szCs w:val="22"/>
        </w:rPr>
        <w:t xml:space="preserve"> </w:t>
      </w:r>
      <w:r w:rsidR="00382BBF">
        <w:rPr>
          <w:rFonts w:asciiTheme="minorHAnsi" w:hAnsiTheme="minorHAnsi" w:cstheme="minorHAnsi"/>
          <w:sz w:val="22"/>
          <w:szCs w:val="22"/>
        </w:rPr>
        <w:t xml:space="preserve">Nevertheless, despite the relatively small amount of funds involved, uncertainty over the </w:t>
      </w:r>
      <w:r w:rsidR="000502EE">
        <w:rPr>
          <w:rFonts w:asciiTheme="minorHAnsi" w:hAnsiTheme="minorHAnsi" w:cstheme="minorHAnsi"/>
          <w:sz w:val="22"/>
          <w:szCs w:val="22"/>
        </w:rPr>
        <w:t>Government of Timor-Leste</w:t>
      </w:r>
      <w:r w:rsidR="002D06B3">
        <w:rPr>
          <w:rFonts w:asciiTheme="minorHAnsi" w:hAnsiTheme="minorHAnsi" w:cstheme="minorHAnsi"/>
          <w:sz w:val="22"/>
          <w:szCs w:val="22"/>
        </w:rPr>
        <w:t>’s</w:t>
      </w:r>
      <w:r w:rsidR="000502EE">
        <w:rPr>
          <w:rFonts w:asciiTheme="minorHAnsi" w:hAnsiTheme="minorHAnsi" w:cstheme="minorHAnsi"/>
          <w:sz w:val="22"/>
          <w:szCs w:val="22"/>
        </w:rPr>
        <w:t xml:space="preserve"> </w:t>
      </w:r>
      <w:r w:rsidR="00382BBF">
        <w:rPr>
          <w:rFonts w:asciiTheme="minorHAnsi" w:hAnsiTheme="minorHAnsi" w:cstheme="minorHAnsi"/>
          <w:sz w:val="22"/>
          <w:szCs w:val="22"/>
        </w:rPr>
        <w:t xml:space="preserve">financial commitment, not just for roads, but most programs, remains during the 2017 budget preparation cycle. </w:t>
      </w:r>
    </w:p>
    <w:p w:rsidR="002D06B3" w:rsidRDefault="00EB6525" w:rsidP="002F613D">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R4D continued to achieve close to </w:t>
      </w:r>
      <w:r w:rsidR="00F1109F">
        <w:rPr>
          <w:rFonts w:asciiTheme="minorHAnsi" w:hAnsiTheme="minorHAnsi" w:cstheme="minorHAnsi"/>
          <w:sz w:val="22"/>
          <w:szCs w:val="22"/>
        </w:rPr>
        <w:t xml:space="preserve">the </w:t>
      </w:r>
      <w:r>
        <w:rPr>
          <w:rFonts w:asciiTheme="minorHAnsi" w:hAnsiTheme="minorHAnsi" w:cstheme="minorHAnsi"/>
          <w:sz w:val="22"/>
          <w:szCs w:val="22"/>
        </w:rPr>
        <w:t>target of 30 per</w:t>
      </w:r>
      <w:r w:rsidR="00EE33EF">
        <w:rPr>
          <w:rFonts w:asciiTheme="minorHAnsi" w:hAnsiTheme="minorHAnsi" w:cstheme="minorHAnsi"/>
          <w:sz w:val="22"/>
          <w:szCs w:val="22"/>
        </w:rPr>
        <w:t xml:space="preserve"> </w:t>
      </w:r>
      <w:r>
        <w:rPr>
          <w:rFonts w:asciiTheme="minorHAnsi" w:hAnsiTheme="minorHAnsi" w:cstheme="minorHAnsi"/>
          <w:sz w:val="22"/>
          <w:szCs w:val="22"/>
        </w:rPr>
        <w:t xml:space="preserve">cent of </w:t>
      </w:r>
      <w:r w:rsidR="00040A7A">
        <w:rPr>
          <w:rFonts w:asciiTheme="minorHAnsi" w:hAnsiTheme="minorHAnsi" w:cstheme="minorHAnsi"/>
          <w:sz w:val="22"/>
          <w:szCs w:val="22"/>
        </w:rPr>
        <w:t xml:space="preserve">its </w:t>
      </w:r>
      <w:r>
        <w:rPr>
          <w:rFonts w:asciiTheme="minorHAnsi" w:hAnsiTheme="minorHAnsi" w:cstheme="minorHAnsi"/>
          <w:sz w:val="22"/>
          <w:szCs w:val="22"/>
        </w:rPr>
        <w:t xml:space="preserve">labour force being women, with 6,429 women </w:t>
      </w:r>
      <w:r w:rsidRPr="00C112F9">
        <w:rPr>
          <w:rFonts w:asciiTheme="minorHAnsi" w:hAnsiTheme="minorHAnsi" w:cstheme="minorHAnsi"/>
          <w:sz w:val="22"/>
          <w:szCs w:val="22"/>
        </w:rPr>
        <w:t>employed on works</w:t>
      </w:r>
      <w:r>
        <w:rPr>
          <w:rFonts w:asciiTheme="minorHAnsi" w:hAnsiTheme="minorHAnsi" w:cstheme="minorHAnsi"/>
          <w:sz w:val="22"/>
          <w:szCs w:val="22"/>
        </w:rPr>
        <w:t xml:space="preserve"> to date (27 per</w:t>
      </w:r>
      <w:r w:rsidR="00EE33EF">
        <w:rPr>
          <w:rFonts w:asciiTheme="minorHAnsi" w:hAnsiTheme="minorHAnsi" w:cstheme="minorHAnsi"/>
          <w:sz w:val="22"/>
          <w:szCs w:val="22"/>
        </w:rPr>
        <w:t xml:space="preserve"> </w:t>
      </w:r>
      <w:r>
        <w:rPr>
          <w:rFonts w:asciiTheme="minorHAnsi" w:hAnsiTheme="minorHAnsi" w:cstheme="minorHAnsi"/>
          <w:sz w:val="22"/>
          <w:szCs w:val="22"/>
        </w:rPr>
        <w:t>cent)</w:t>
      </w:r>
      <w:r w:rsidRPr="00C112F9">
        <w:rPr>
          <w:rFonts w:asciiTheme="minorHAnsi" w:hAnsiTheme="minorHAnsi" w:cstheme="minorHAnsi"/>
          <w:sz w:val="22"/>
          <w:szCs w:val="22"/>
        </w:rPr>
        <w:t xml:space="preserve">. </w:t>
      </w:r>
      <w:r>
        <w:rPr>
          <w:rFonts w:asciiTheme="minorHAnsi" w:hAnsiTheme="minorHAnsi" w:cstheme="minorHAnsi"/>
          <w:sz w:val="22"/>
          <w:szCs w:val="22"/>
        </w:rPr>
        <w:t xml:space="preserve">The program </w:t>
      </w:r>
      <w:r w:rsidR="001525F9">
        <w:rPr>
          <w:rFonts w:asciiTheme="minorHAnsi" w:hAnsiTheme="minorHAnsi" w:cstheme="minorHAnsi"/>
          <w:sz w:val="22"/>
          <w:szCs w:val="22"/>
        </w:rPr>
        <w:t xml:space="preserve">has </w:t>
      </w:r>
      <w:r w:rsidR="0044355C">
        <w:rPr>
          <w:rFonts w:asciiTheme="minorHAnsi" w:hAnsiTheme="minorHAnsi" w:cstheme="minorHAnsi"/>
          <w:sz w:val="22"/>
          <w:szCs w:val="22"/>
        </w:rPr>
        <w:t>al</w:t>
      </w:r>
      <w:r>
        <w:rPr>
          <w:rFonts w:asciiTheme="minorHAnsi" w:hAnsiTheme="minorHAnsi" w:cstheme="minorHAnsi"/>
          <w:sz w:val="22"/>
          <w:szCs w:val="22"/>
        </w:rPr>
        <w:t xml:space="preserve">located </w:t>
      </w:r>
      <w:r w:rsidRPr="00C112F9">
        <w:rPr>
          <w:rFonts w:asciiTheme="minorHAnsi" w:hAnsiTheme="minorHAnsi" w:cstheme="minorHAnsi"/>
          <w:sz w:val="22"/>
          <w:szCs w:val="22"/>
        </w:rPr>
        <w:t>135,000 labour days to women, with a total cash tra</w:t>
      </w:r>
      <w:r w:rsidR="00C533DE">
        <w:rPr>
          <w:rFonts w:asciiTheme="minorHAnsi" w:hAnsiTheme="minorHAnsi" w:cstheme="minorHAnsi"/>
          <w:sz w:val="22"/>
          <w:szCs w:val="22"/>
        </w:rPr>
        <w:t>nsfer in excess of USD635</w:t>
      </w:r>
      <w:r w:rsidR="00081E65">
        <w:rPr>
          <w:rFonts w:asciiTheme="minorHAnsi" w:hAnsiTheme="minorHAnsi" w:cstheme="minorHAnsi"/>
          <w:sz w:val="22"/>
          <w:szCs w:val="22"/>
        </w:rPr>
        <w:t>, 000</w:t>
      </w:r>
      <w:r>
        <w:rPr>
          <w:rFonts w:asciiTheme="minorHAnsi" w:hAnsiTheme="minorHAnsi" w:cstheme="minorHAnsi"/>
          <w:sz w:val="22"/>
          <w:szCs w:val="22"/>
        </w:rPr>
        <w:t xml:space="preserve">. </w:t>
      </w:r>
      <w:r w:rsidR="00382BBF">
        <w:rPr>
          <w:rFonts w:asciiTheme="minorHAnsi" w:hAnsiTheme="minorHAnsi" w:cstheme="minorHAnsi"/>
          <w:sz w:val="22"/>
          <w:szCs w:val="22"/>
        </w:rPr>
        <w:t>Impact assessments by the program’s Social and Safeguards adviser show that s</w:t>
      </w:r>
      <w:r w:rsidR="002F613D">
        <w:rPr>
          <w:rFonts w:asciiTheme="minorHAnsi" w:hAnsiTheme="minorHAnsi" w:cstheme="minorHAnsi"/>
          <w:sz w:val="22"/>
          <w:szCs w:val="22"/>
        </w:rPr>
        <w:t>hort</w:t>
      </w:r>
      <w:r w:rsidR="002F613D" w:rsidRPr="00C112F9">
        <w:rPr>
          <w:rFonts w:asciiTheme="minorHAnsi" w:hAnsiTheme="minorHAnsi" w:cstheme="minorHAnsi"/>
          <w:sz w:val="22"/>
          <w:szCs w:val="22"/>
        </w:rPr>
        <w:t>-term employment opportunities</w:t>
      </w:r>
      <w:r w:rsidR="002F613D">
        <w:rPr>
          <w:rFonts w:asciiTheme="minorHAnsi" w:hAnsiTheme="minorHAnsi" w:cstheme="minorHAnsi"/>
          <w:sz w:val="22"/>
          <w:szCs w:val="22"/>
        </w:rPr>
        <w:t xml:space="preserve"> have benefited women by increasing skills confidence in work and</w:t>
      </w:r>
      <w:r w:rsidR="002F613D" w:rsidRPr="00C112F9">
        <w:rPr>
          <w:rFonts w:asciiTheme="minorHAnsi" w:hAnsiTheme="minorHAnsi" w:cstheme="minorHAnsi"/>
          <w:sz w:val="22"/>
          <w:szCs w:val="22"/>
        </w:rPr>
        <w:t xml:space="preserve"> expressing</w:t>
      </w:r>
      <w:r w:rsidR="002F613D">
        <w:rPr>
          <w:rFonts w:asciiTheme="minorHAnsi" w:hAnsiTheme="minorHAnsi" w:cstheme="minorHAnsi"/>
          <w:sz w:val="22"/>
          <w:szCs w:val="22"/>
        </w:rPr>
        <w:t xml:space="preserve"> opinions within the household. </w:t>
      </w:r>
      <w:r w:rsidR="00382BBF">
        <w:rPr>
          <w:rFonts w:asciiTheme="minorHAnsi" w:hAnsiTheme="minorHAnsi" w:cstheme="minorHAnsi"/>
          <w:sz w:val="22"/>
          <w:szCs w:val="22"/>
        </w:rPr>
        <w:t>The assessments also show that r</w:t>
      </w:r>
      <w:r w:rsidR="002F613D">
        <w:rPr>
          <w:rFonts w:asciiTheme="minorHAnsi" w:hAnsiTheme="minorHAnsi" w:cstheme="minorHAnsi"/>
          <w:sz w:val="22"/>
          <w:szCs w:val="22"/>
        </w:rPr>
        <w:t>ural women have experienced</w:t>
      </w:r>
      <w:r w:rsidR="002F613D" w:rsidRPr="00C112F9">
        <w:rPr>
          <w:rFonts w:asciiTheme="minorHAnsi" w:hAnsiTheme="minorHAnsi" w:cstheme="minorHAnsi"/>
          <w:sz w:val="22"/>
          <w:szCs w:val="22"/>
        </w:rPr>
        <w:t xml:space="preserve"> </w:t>
      </w:r>
      <w:r w:rsidR="002F613D">
        <w:rPr>
          <w:rFonts w:asciiTheme="minorHAnsi" w:hAnsiTheme="minorHAnsi" w:cstheme="minorHAnsi"/>
          <w:sz w:val="22"/>
          <w:szCs w:val="22"/>
        </w:rPr>
        <w:t xml:space="preserve">improvements in </w:t>
      </w:r>
      <w:r w:rsidR="00DE7EF5">
        <w:rPr>
          <w:rFonts w:asciiTheme="minorHAnsi" w:hAnsiTheme="minorHAnsi" w:cstheme="minorHAnsi"/>
          <w:sz w:val="22"/>
          <w:szCs w:val="22"/>
        </w:rPr>
        <w:t>access to more diverse food sources and health</w:t>
      </w:r>
      <w:r w:rsidR="002F613D">
        <w:rPr>
          <w:rFonts w:asciiTheme="minorHAnsi" w:hAnsiTheme="minorHAnsi" w:cstheme="minorHAnsi"/>
          <w:sz w:val="22"/>
          <w:szCs w:val="22"/>
        </w:rPr>
        <w:t xml:space="preserve"> services, time reduction in water collection and increased income as a result of </w:t>
      </w:r>
      <w:r w:rsidR="002F613D" w:rsidRPr="00C11319">
        <w:rPr>
          <w:rFonts w:asciiTheme="minorHAnsi" w:hAnsiTheme="minorHAnsi" w:cstheme="minorHAnsi"/>
          <w:sz w:val="22"/>
          <w:szCs w:val="22"/>
        </w:rPr>
        <w:t>improved road access.</w:t>
      </w:r>
      <w:r w:rsidR="000A5260" w:rsidRPr="00C11319">
        <w:rPr>
          <w:rFonts w:asciiTheme="minorHAnsi" w:hAnsiTheme="minorHAnsi" w:cstheme="minorHAnsi"/>
          <w:sz w:val="22"/>
          <w:szCs w:val="22"/>
        </w:rPr>
        <w:t xml:space="preserve"> In 2015-16, around 30 per cent of all contracts were won by female-</w:t>
      </w:r>
      <w:r w:rsidR="005732F3" w:rsidRPr="00C11319">
        <w:rPr>
          <w:rFonts w:asciiTheme="minorHAnsi" w:hAnsiTheme="minorHAnsi" w:cstheme="minorHAnsi"/>
          <w:sz w:val="22"/>
          <w:szCs w:val="22"/>
        </w:rPr>
        <w:t xml:space="preserve">led </w:t>
      </w:r>
      <w:r w:rsidR="000A5260" w:rsidRPr="00C11319">
        <w:rPr>
          <w:rFonts w:asciiTheme="minorHAnsi" w:hAnsiTheme="minorHAnsi" w:cstheme="minorHAnsi"/>
          <w:sz w:val="22"/>
          <w:szCs w:val="22"/>
        </w:rPr>
        <w:t>companies.</w:t>
      </w:r>
      <w:r w:rsidR="000A5260">
        <w:rPr>
          <w:rFonts w:asciiTheme="minorHAnsi" w:hAnsiTheme="minorHAnsi" w:cstheme="minorHAnsi"/>
          <w:sz w:val="22"/>
          <w:szCs w:val="22"/>
        </w:rPr>
        <w:t xml:space="preserve"> </w:t>
      </w:r>
      <w:r w:rsidR="002F613D">
        <w:rPr>
          <w:rFonts w:asciiTheme="minorHAnsi" w:hAnsiTheme="minorHAnsi" w:cstheme="minorHAnsi"/>
          <w:sz w:val="22"/>
          <w:szCs w:val="22"/>
        </w:rPr>
        <w:t xml:space="preserve"> </w:t>
      </w:r>
    </w:p>
    <w:p w:rsidR="00D41049" w:rsidRDefault="00D26CE4" w:rsidP="002F613D">
      <w:pPr>
        <w:pStyle w:val="ListBullet"/>
        <w:tabs>
          <w:tab w:val="clear" w:pos="284"/>
        </w:tabs>
        <w:rPr>
          <w:rFonts w:asciiTheme="minorHAnsi" w:hAnsiTheme="minorHAnsi" w:cstheme="minorHAnsi"/>
          <w:sz w:val="22"/>
          <w:szCs w:val="22"/>
        </w:rPr>
      </w:pPr>
      <w:r w:rsidRPr="00616CF6">
        <w:rPr>
          <w:rFonts w:asciiTheme="minorHAnsi" w:hAnsiTheme="minorHAnsi" w:cstheme="minorHAnsi"/>
          <w:sz w:val="22"/>
          <w:szCs w:val="22"/>
        </w:rPr>
        <w:t xml:space="preserve">The R4D program has </w:t>
      </w:r>
      <w:r>
        <w:rPr>
          <w:rFonts w:asciiTheme="minorHAnsi" w:hAnsiTheme="minorHAnsi" w:cstheme="minorHAnsi"/>
          <w:sz w:val="22"/>
          <w:szCs w:val="22"/>
        </w:rPr>
        <w:t>made</w:t>
      </w:r>
      <w:r w:rsidRPr="00616CF6">
        <w:rPr>
          <w:rFonts w:asciiTheme="minorHAnsi" w:hAnsiTheme="minorHAnsi" w:cstheme="minorHAnsi"/>
          <w:sz w:val="22"/>
          <w:szCs w:val="22"/>
        </w:rPr>
        <w:t xml:space="preserve"> gradual progress against its </w:t>
      </w:r>
      <w:r>
        <w:rPr>
          <w:rFonts w:asciiTheme="minorHAnsi" w:hAnsiTheme="minorHAnsi" w:cstheme="minorHAnsi"/>
          <w:sz w:val="22"/>
          <w:szCs w:val="22"/>
        </w:rPr>
        <w:t>aims</w:t>
      </w:r>
      <w:r w:rsidRPr="00616CF6">
        <w:rPr>
          <w:rFonts w:asciiTheme="minorHAnsi" w:hAnsiTheme="minorHAnsi" w:cstheme="minorHAnsi"/>
          <w:sz w:val="22"/>
          <w:szCs w:val="22"/>
        </w:rPr>
        <w:t xml:space="preserve"> of strengthening MPWTC</w:t>
      </w:r>
      <w:r w:rsidR="00F127A1">
        <w:rPr>
          <w:rFonts w:asciiTheme="minorHAnsi" w:hAnsiTheme="minorHAnsi" w:cstheme="minorHAnsi"/>
          <w:sz w:val="22"/>
          <w:szCs w:val="22"/>
        </w:rPr>
        <w:t>’s</w:t>
      </w:r>
      <w:r w:rsidRPr="00616CF6">
        <w:rPr>
          <w:rFonts w:asciiTheme="minorHAnsi" w:hAnsiTheme="minorHAnsi" w:cstheme="minorHAnsi"/>
          <w:sz w:val="22"/>
          <w:szCs w:val="22"/>
        </w:rPr>
        <w:t xml:space="preserve"> capacity to rehabilitate and maintain the rural road network</w:t>
      </w:r>
      <w:r w:rsidR="00981354">
        <w:rPr>
          <w:rFonts w:asciiTheme="minorHAnsi" w:hAnsiTheme="minorHAnsi" w:cstheme="minorHAnsi"/>
          <w:sz w:val="22"/>
          <w:szCs w:val="22"/>
        </w:rPr>
        <w:t xml:space="preserve"> but f</w:t>
      </w:r>
      <w:r w:rsidR="000264E4">
        <w:rPr>
          <w:rFonts w:asciiTheme="minorHAnsi" w:hAnsiTheme="minorHAnsi" w:cstheme="minorHAnsi"/>
          <w:sz w:val="22"/>
          <w:szCs w:val="22"/>
        </w:rPr>
        <w:t xml:space="preserve">urther </w:t>
      </w:r>
      <w:r w:rsidR="00DA03B4">
        <w:rPr>
          <w:rFonts w:asciiTheme="minorHAnsi" w:hAnsiTheme="minorHAnsi" w:cstheme="minorHAnsi"/>
          <w:sz w:val="22"/>
          <w:szCs w:val="22"/>
        </w:rPr>
        <w:t>government funding</w:t>
      </w:r>
      <w:r w:rsidR="000264E4">
        <w:rPr>
          <w:rFonts w:asciiTheme="minorHAnsi" w:hAnsiTheme="minorHAnsi" w:cstheme="minorHAnsi"/>
          <w:sz w:val="22"/>
          <w:szCs w:val="22"/>
        </w:rPr>
        <w:t xml:space="preserve"> and </w:t>
      </w:r>
      <w:r w:rsidR="00981354">
        <w:rPr>
          <w:rFonts w:asciiTheme="minorHAnsi" w:hAnsiTheme="minorHAnsi" w:cstheme="minorHAnsi"/>
          <w:sz w:val="22"/>
          <w:szCs w:val="22"/>
        </w:rPr>
        <w:t>staff resources are</w:t>
      </w:r>
      <w:r w:rsidR="000264E4">
        <w:rPr>
          <w:rFonts w:asciiTheme="minorHAnsi" w:hAnsiTheme="minorHAnsi" w:cstheme="minorHAnsi"/>
          <w:sz w:val="22"/>
          <w:szCs w:val="22"/>
        </w:rPr>
        <w:t xml:space="preserve"> needed to achieve </w:t>
      </w:r>
      <w:r w:rsidR="0072058A">
        <w:rPr>
          <w:rFonts w:asciiTheme="minorHAnsi" w:hAnsiTheme="minorHAnsi" w:cstheme="minorHAnsi"/>
          <w:sz w:val="22"/>
          <w:szCs w:val="22"/>
        </w:rPr>
        <w:t xml:space="preserve">long-term </w:t>
      </w:r>
      <w:r w:rsidR="000264E4">
        <w:rPr>
          <w:rFonts w:asciiTheme="minorHAnsi" w:hAnsiTheme="minorHAnsi" w:cstheme="minorHAnsi"/>
          <w:sz w:val="22"/>
          <w:szCs w:val="22"/>
        </w:rPr>
        <w:t xml:space="preserve">outcomes. </w:t>
      </w:r>
      <w:r>
        <w:rPr>
          <w:rFonts w:asciiTheme="minorHAnsi" w:hAnsiTheme="minorHAnsi" w:cstheme="minorHAnsi"/>
          <w:sz w:val="22"/>
          <w:szCs w:val="22"/>
        </w:rPr>
        <w:t xml:space="preserve">Government structural changes over the past year split funding and administrative responsibilities for road maintenance and rehabilitation works between the MPWTC and the Ministry of Planning and Strategic Investment causing additional challenges and delays to contract implementation and the payment of contractors. </w:t>
      </w:r>
    </w:p>
    <w:p w:rsidR="002F613D" w:rsidRPr="00616CF6" w:rsidRDefault="00ED4CD5" w:rsidP="002F613D">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In 2015-16, the Timor-Leste program focused on developing t</w:t>
      </w:r>
      <w:r w:rsidR="0096333D">
        <w:rPr>
          <w:rFonts w:asciiTheme="minorHAnsi" w:hAnsiTheme="minorHAnsi" w:cstheme="minorHAnsi"/>
          <w:sz w:val="22"/>
          <w:szCs w:val="22"/>
        </w:rPr>
        <w:t>he next phase of R4D</w:t>
      </w:r>
      <w:r>
        <w:rPr>
          <w:rFonts w:asciiTheme="minorHAnsi" w:hAnsiTheme="minorHAnsi" w:cstheme="minorHAnsi"/>
          <w:sz w:val="22"/>
          <w:szCs w:val="22"/>
        </w:rPr>
        <w:t xml:space="preserve"> in partnership with the MPQTC, </w:t>
      </w:r>
      <w:r w:rsidR="00CE17A0">
        <w:rPr>
          <w:rFonts w:asciiTheme="minorHAnsi" w:hAnsiTheme="minorHAnsi" w:cstheme="minorHAnsi"/>
          <w:sz w:val="22"/>
          <w:szCs w:val="22"/>
        </w:rPr>
        <w:t xml:space="preserve">which </w:t>
      </w:r>
      <w:r w:rsidR="00C01B93">
        <w:rPr>
          <w:rFonts w:asciiTheme="minorHAnsi" w:hAnsiTheme="minorHAnsi" w:cstheme="minorHAnsi"/>
          <w:sz w:val="22"/>
          <w:szCs w:val="22"/>
        </w:rPr>
        <w:t xml:space="preserve">will </w:t>
      </w:r>
      <w:r>
        <w:rPr>
          <w:rFonts w:asciiTheme="minorHAnsi" w:hAnsiTheme="minorHAnsi" w:cstheme="minorHAnsi"/>
          <w:sz w:val="22"/>
          <w:szCs w:val="22"/>
        </w:rPr>
        <w:t>c</w:t>
      </w:r>
      <w:r w:rsidR="002F613D">
        <w:rPr>
          <w:rFonts w:asciiTheme="minorHAnsi" w:hAnsiTheme="minorHAnsi" w:cstheme="minorHAnsi"/>
          <w:sz w:val="22"/>
          <w:szCs w:val="22"/>
        </w:rPr>
        <w:t>ommenc</w:t>
      </w:r>
      <w:r w:rsidR="00C66829">
        <w:rPr>
          <w:rFonts w:asciiTheme="minorHAnsi" w:hAnsiTheme="minorHAnsi" w:cstheme="minorHAnsi"/>
          <w:sz w:val="22"/>
          <w:szCs w:val="22"/>
        </w:rPr>
        <w:t>e</w:t>
      </w:r>
      <w:r w:rsidR="002F613D">
        <w:rPr>
          <w:rFonts w:asciiTheme="minorHAnsi" w:hAnsiTheme="minorHAnsi" w:cstheme="minorHAnsi"/>
          <w:sz w:val="22"/>
          <w:szCs w:val="22"/>
        </w:rPr>
        <w:t xml:space="preserve"> in 2017. </w:t>
      </w:r>
      <w:r w:rsidR="006F02C8">
        <w:rPr>
          <w:rFonts w:asciiTheme="minorHAnsi" w:hAnsiTheme="minorHAnsi" w:cstheme="minorHAnsi"/>
          <w:sz w:val="22"/>
          <w:szCs w:val="22"/>
        </w:rPr>
        <w:t>Responding to the findings</w:t>
      </w:r>
      <w:r>
        <w:rPr>
          <w:rFonts w:asciiTheme="minorHAnsi" w:hAnsiTheme="minorHAnsi" w:cstheme="minorHAnsi"/>
          <w:sz w:val="22"/>
          <w:szCs w:val="22"/>
        </w:rPr>
        <w:t xml:space="preserve"> of the </w:t>
      </w:r>
      <w:r w:rsidR="00134327">
        <w:rPr>
          <w:rFonts w:asciiTheme="minorHAnsi" w:hAnsiTheme="minorHAnsi" w:cstheme="minorHAnsi"/>
          <w:sz w:val="22"/>
          <w:szCs w:val="22"/>
        </w:rPr>
        <w:t xml:space="preserve">mid-term review </w:t>
      </w:r>
      <w:r>
        <w:rPr>
          <w:rFonts w:asciiTheme="minorHAnsi" w:hAnsiTheme="minorHAnsi" w:cstheme="minorHAnsi"/>
          <w:sz w:val="22"/>
          <w:szCs w:val="22"/>
        </w:rPr>
        <w:t xml:space="preserve">of the first phase, it </w:t>
      </w:r>
      <w:r w:rsidR="002F613D">
        <w:rPr>
          <w:rFonts w:asciiTheme="minorHAnsi" w:hAnsiTheme="minorHAnsi" w:cstheme="minorHAnsi"/>
          <w:sz w:val="22"/>
          <w:szCs w:val="22"/>
        </w:rPr>
        <w:t>will focus on institutional reform and capacity development, including at the municipal level, to ensure the Government is well-placed to lead and manage the development of the nation’s rural roads network.</w:t>
      </w:r>
      <w:r w:rsidR="00D26CE4" w:rsidRPr="00D26CE4">
        <w:rPr>
          <w:rFonts w:asciiTheme="minorHAnsi" w:hAnsiTheme="minorHAnsi" w:cstheme="minorHAnsi"/>
          <w:sz w:val="22"/>
          <w:szCs w:val="22"/>
        </w:rPr>
        <w:t xml:space="preserve"> </w:t>
      </w:r>
    </w:p>
    <w:p w:rsidR="009F3E38" w:rsidRPr="00FA64D1" w:rsidRDefault="002F613D" w:rsidP="00FA64D1">
      <w:pPr>
        <w:pStyle w:val="ListBullet"/>
        <w:tabs>
          <w:tab w:val="clear" w:pos="284"/>
        </w:tabs>
        <w:rPr>
          <w:rFonts w:asciiTheme="minorHAnsi" w:hAnsiTheme="minorHAnsi" w:cstheme="minorHAnsi"/>
          <w:sz w:val="22"/>
          <w:szCs w:val="22"/>
        </w:rPr>
      </w:pPr>
      <w:r w:rsidRPr="00616CF6">
        <w:rPr>
          <w:rFonts w:asciiTheme="minorHAnsi" w:hAnsiTheme="minorHAnsi" w:cstheme="minorHAnsi"/>
          <w:b/>
          <w:sz w:val="22"/>
          <w:szCs w:val="22"/>
        </w:rPr>
        <w:t>Management response:</w:t>
      </w:r>
      <w:r w:rsidRPr="00616CF6">
        <w:rPr>
          <w:rFonts w:asciiTheme="minorHAnsi" w:hAnsiTheme="minorHAnsi" w:cstheme="minorHAnsi"/>
          <w:sz w:val="22"/>
          <w:szCs w:val="22"/>
        </w:rPr>
        <w:t xml:space="preserve"> </w:t>
      </w:r>
      <w:r w:rsidR="00382BBF">
        <w:rPr>
          <w:rFonts w:asciiTheme="minorHAnsi" w:hAnsiTheme="minorHAnsi" w:cstheme="minorHAnsi"/>
          <w:sz w:val="22"/>
          <w:szCs w:val="22"/>
        </w:rPr>
        <w:t xml:space="preserve">As part of the </w:t>
      </w:r>
      <w:r w:rsidR="00EB7467">
        <w:rPr>
          <w:rFonts w:asciiTheme="minorHAnsi" w:hAnsiTheme="minorHAnsi" w:cstheme="minorHAnsi"/>
          <w:sz w:val="22"/>
          <w:szCs w:val="22"/>
        </w:rPr>
        <w:t xml:space="preserve">planned </w:t>
      </w:r>
      <w:r w:rsidR="00382BBF">
        <w:rPr>
          <w:rFonts w:asciiTheme="minorHAnsi" w:hAnsiTheme="minorHAnsi" w:cstheme="minorHAnsi"/>
          <w:sz w:val="22"/>
          <w:szCs w:val="22"/>
        </w:rPr>
        <w:t xml:space="preserve">second phase, </w:t>
      </w:r>
      <w:r w:rsidRPr="00616CF6">
        <w:rPr>
          <w:rFonts w:asciiTheme="minorHAnsi" w:hAnsiTheme="minorHAnsi" w:cstheme="minorHAnsi"/>
          <w:sz w:val="22"/>
          <w:szCs w:val="22"/>
        </w:rPr>
        <w:t xml:space="preserve">DFAT will </w:t>
      </w:r>
      <w:r>
        <w:rPr>
          <w:rFonts w:asciiTheme="minorHAnsi" w:hAnsiTheme="minorHAnsi" w:cstheme="minorHAnsi"/>
          <w:sz w:val="22"/>
          <w:szCs w:val="22"/>
        </w:rPr>
        <w:t xml:space="preserve">work closely with the </w:t>
      </w:r>
      <w:r w:rsidR="00D178D0">
        <w:rPr>
          <w:rFonts w:asciiTheme="minorHAnsi" w:hAnsiTheme="minorHAnsi" w:cstheme="minorHAnsi"/>
          <w:sz w:val="22"/>
          <w:szCs w:val="22"/>
        </w:rPr>
        <w:t xml:space="preserve">Government of </w:t>
      </w:r>
      <w:r>
        <w:rPr>
          <w:rFonts w:asciiTheme="minorHAnsi" w:hAnsiTheme="minorHAnsi" w:cstheme="minorHAnsi"/>
          <w:sz w:val="22"/>
          <w:szCs w:val="22"/>
        </w:rPr>
        <w:t>Timor-Leste and partners to</w:t>
      </w:r>
      <w:r w:rsidR="00D26CE4">
        <w:rPr>
          <w:rFonts w:asciiTheme="minorHAnsi" w:hAnsiTheme="minorHAnsi" w:cstheme="minorHAnsi"/>
          <w:sz w:val="22"/>
          <w:szCs w:val="22"/>
        </w:rPr>
        <w:t xml:space="preserve"> manage</w:t>
      </w:r>
      <w:r>
        <w:rPr>
          <w:rFonts w:asciiTheme="minorHAnsi" w:hAnsiTheme="minorHAnsi" w:cstheme="minorHAnsi"/>
          <w:sz w:val="22"/>
          <w:szCs w:val="22"/>
        </w:rPr>
        <w:t xml:space="preserve"> the transition from 2017 </w:t>
      </w:r>
      <w:r w:rsidR="00312E99">
        <w:rPr>
          <w:rFonts w:asciiTheme="minorHAnsi" w:hAnsiTheme="minorHAnsi" w:cstheme="minorHAnsi"/>
          <w:sz w:val="22"/>
          <w:szCs w:val="22"/>
        </w:rPr>
        <w:t>incorporating</w:t>
      </w:r>
      <w:r>
        <w:rPr>
          <w:rFonts w:asciiTheme="minorHAnsi" w:hAnsiTheme="minorHAnsi" w:cstheme="minorHAnsi"/>
          <w:sz w:val="22"/>
          <w:szCs w:val="22"/>
        </w:rPr>
        <w:t xml:space="preserve"> lessons and successes of R4D to date. </w:t>
      </w:r>
      <w:r w:rsidR="00382BBF">
        <w:rPr>
          <w:rFonts w:asciiTheme="minorHAnsi" w:hAnsiTheme="minorHAnsi" w:cstheme="minorHAnsi"/>
          <w:sz w:val="22"/>
          <w:szCs w:val="22"/>
        </w:rPr>
        <w:t xml:space="preserve">As part of the second phase, </w:t>
      </w:r>
      <w:r>
        <w:rPr>
          <w:rFonts w:asciiTheme="minorHAnsi" w:hAnsiTheme="minorHAnsi" w:cstheme="minorHAnsi"/>
          <w:sz w:val="22"/>
          <w:szCs w:val="22"/>
        </w:rPr>
        <w:t>DFAT will seek to enter into a new subsidiary arrangement with the</w:t>
      </w:r>
      <w:r w:rsidR="00690511">
        <w:rPr>
          <w:rFonts w:asciiTheme="minorHAnsi" w:hAnsiTheme="minorHAnsi" w:cstheme="minorHAnsi"/>
          <w:sz w:val="22"/>
          <w:szCs w:val="22"/>
        </w:rPr>
        <w:t xml:space="preserve"> Government of Timor-Leste</w:t>
      </w:r>
      <w:r>
        <w:rPr>
          <w:rFonts w:asciiTheme="minorHAnsi" w:hAnsiTheme="minorHAnsi" w:cstheme="minorHAnsi"/>
          <w:sz w:val="22"/>
          <w:szCs w:val="22"/>
        </w:rPr>
        <w:t xml:space="preserve">, </w:t>
      </w:r>
      <w:r w:rsidR="005732F3">
        <w:rPr>
          <w:rFonts w:asciiTheme="minorHAnsi" w:hAnsiTheme="minorHAnsi" w:cstheme="minorHAnsi"/>
          <w:sz w:val="22"/>
          <w:szCs w:val="22"/>
        </w:rPr>
        <w:t>link</w:t>
      </w:r>
      <w:r w:rsidR="007A700C">
        <w:rPr>
          <w:rFonts w:asciiTheme="minorHAnsi" w:hAnsiTheme="minorHAnsi" w:cstheme="minorHAnsi"/>
          <w:sz w:val="22"/>
          <w:szCs w:val="22"/>
        </w:rPr>
        <w:t>ing</w:t>
      </w:r>
      <w:r>
        <w:rPr>
          <w:rFonts w:asciiTheme="minorHAnsi" w:hAnsiTheme="minorHAnsi" w:cstheme="minorHAnsi"/>
          <w:sz w:val="22"/>
          <w:szCs w:val="22"/>
        </w:rPr>
        <w:t xml:space="preserve"> Australian technical assistance to Go</w:t>
      </w:r>
      <w:r w:rsidR="00506BD8">
        <w:rPr>
          <w:rFonts w:asciiTheme="minorHAnsi" w:hAnsiTheme="minorHAnsi" w:cstheme="minorHAnsi"/>
          <w:sz w:val="22"/>
          <w:szCs w:val="22"/>
        </w:rPr>
        <w:t>vernment</w:t>
      </w:r>
      <w:r>
        <w:rPr>
          <w:rFonts w:asciiTheme="minorHAnsi" w:hAnsiTheme="minorHAnsi" w:cstheme="minorHAnsi"/>
          <w:sz w:val="22"/>
          <w:szCs w:val="22"/>
        </w:rPr>
        <w:t xml:space="preserve"> commitments of resources for capital funding, adequate staffing and operational budgets. </w:t>
      </w:r>
    </w:p>
    <w:tbl>
      <w:tblPr>
        <w:tblStyle w:val="APPR"/>
        <w:tblW w:w="5000" w:type="pct"/>
        <w:tblLook w:val="0000" w:firstRow="0" w:lastRow="0" w:firstColumn="0" w:lastColumn="0" w:noHBand="0" w:noVBand="0"/>
        <w:tblCaption w:val="Objective 1.2 Rating"/>
        <w:tblDescription w:val="Objective 1.2 Increase productivity of major staple crops. Previous rating green, current rating green "/>
      </w:tblPr>
      <w:tblGrid>
        <w:gridCol w:w="6657"/>
        <w:gridCol w:w="1439"/>
        <w:gridCol w:w="485"/>
        <w:gridCol w:w="1329"/>
      </w:tblGrid>
      <w:tr w:rsidR="00D63480" w:rsidRPr="0019341B" w:rsidTr="00BF41E9">
        <w:trPr>
          <w:cnfStyle w:val="000000010000" w:firstRow="0" w:lastRow="0" w:firstColumn="0" w:lastColumn="0" w:oddVBand="0" w:evenVBand="0" w:oddHBand="0" w:evenHBand="1" w:firstRowFirstColumn="0" w:firstRowLastColumn="0" w:lastRowFirstColumn="0" w:lastRowLastColumn="0"/>
          <w:trHeight w:val="400"/>
        </w:trPr>
        <w:tc>
          <w:tcPr>
            <w:tcW w:w="6615" w:type="dxa"/>
          </w:tcPr>
          <w:p w:rsidR="00D63480" w:rsidRPr="0019341B" w:rsidRDefault="00D63480" w:rsidP="0037449F">
            <w:pPr>
              <w:pStyle w:val="TableTextColumnHeading"/>
            </w:pPr>
            <w:r w:rsidRPr="0019341B">
              <w:rPr>
                <w:noProof/>
              </w:rPr>
              <w:drawing>
                <wp:anchor distT="0" distB="0" distL="114300" distR="114300" simplePos="0" relativeHeight="251683840" behindDoc="0" locked="0" layoutInCell="1" allowOverlap="1" wp14:anchorId="31540246" wp14:editId="7EE7F697">
                  <wp:simplePos x="0" y="0"/>
                  <wp:positionH relativeFrom="column">
                    <wp:posOffset>0</wp:posOffset>
                  </wp:positionH>
                  <wp:positionV relativeFrom="paragraph">
                    <wp:posOffset>0</wp:posOffset>
                  </wp:positionV>
                  <wp:extent cx="1857375" cy="228600"/>
                  <wp:effectExtent l="0" t="0" r="9525" b="0"/>
                  <wp:wrapNone/>
                  <wp:docPr id="1" name="Picture 1"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411" w:type="dxa"/>
          </w:tcPr>
          <w:p w:rsidR="00D63480" w:rsidRPr="0019341B" w:rsidRDefault="00D63480" w:rsidP="0037449F">
            <w:pPr>
              <w:pStyle w:val="TableTextColumnHeading"/>
            </w:pPr>
            <w:r>
              <w:t>Previous Rating</w:t>
            </w:r>
          </w:p>
        </w:tc>
        <w:tc>
          <w:tcPr>
            <w:tcW w:w="457" w:type="dxa"/>
          </w:tcPr>
          <w:p w:rsidR="00D63480" w:rsidRDefault="00D63480" w:rsidP="001A4D7B">
            <w:pPr>
              <w:pStyle w:val="TableTextColumnHeading"/>
            </w:pPr>
          </w:p>
        </w:tc>
        <w:tc>
          <w:tcPr>
            <w:tcW w:w="1287" w:type="dxa"/>
          </w:tcPr>
          <w:p w:rsidR="00D63480" w:rsidRPr="0019341B" w:rsidRDefault="00D63480" w:rsidP="001A4D7B">
            <w:pPr>
              <w:pStyle w:val="TableTextColumnHeading"/>
            </w:pPr>
            <w:r>
              <w:t>Current Rating</w:t>
            </w:r>
          </w:p>
        </w:tc>
      </w:tr>
      <w:tr w:rsidR="00D63480" w:rsidRPr="009D53C4" w:rsidTr="00BF41E9">
        <w:trPr>
          <w:cnfStyle w:val="000000010000" w:firstRow="0" w:lastRow="0" w:firstColumn="0" w:lastColumn="0" w:oddVBand="0" w:evenVBand="0" w:oddHBand="0" w:evenHBand="1" w:firstRowFirstColumn="0" w:firstRowLastColumn="0" w:lastRowFirstColumn="0" w:lastRowLastColumn="0"/>
        </w:trPr>
        <w:tc>
          <w:tcPr>
            <w:tcW w:w="6615" w:type="dxa"/>
          </w:tcPr>
          <w:p w:rsidR="00D63480" w:rsidRPr="00C74A6B" w:rsidRDefault="00D63480" w:rsidP="0095295A">
            <w:pPr>
              <w:pStyle w:val="TableTextEntries"/>
              <w:rPr>
                <w:b/>
              </w:rPr>
            </w:pPr>
            <w:r w:rsidRPr="00C74A6B">
              <w:rPr>
                <w:b/>
                <w:sz w:val="20"/>
                <w:szCs w:val="20"/>
              </w:rPr>
              <w:t>Objective 1.2: Increase productivity of major staple food crops through farmers using improved seed</w:t>
            </w:r>
          </w:p>
        </w:tc>
        <w:tc>
          <w:tcPr>
            <w:tcW w:w="1411" w:type="dxa"/>
            <w:shd w:val="clear" w:color="auto" w:fill="669900"/>
            <w:noWrap/>
          </w:tcPr>
          <w:p w:rsidR="00D63480" w:rsidRPr="00443639" w:rsidRDefault="00D63480" w:rsidP="0095295A">
            <w:pPr>
              <w:pStyle w:val="TableTextEntries"/>
              <w:jc w:val="center"/>
              <w:rPr>
                <w:color w:val="FFFFFF" w:themeColor="background1"/>
              </w:rPr>
            </w:pPr>
          </w:p>
        </w:tc>
        <w:tc>
          <w:tcPr>
            <w:tcW w:w="457" w:type="dxa"/>
          </w:tcPr>
          <w:p w:rsidR="00D63480" w:rsidRPr="00443639" w:rsidRDefault="00D63480" w:rsidP="0095295A">
            <w:pPr>
              <w:pStyle w:val="TableTextEntries"/>
              <w:jc w:val="center"/>
              <w:rPr>
                <w:color w:val="FFFFFF" w:themeColor="background1"/>
              </w:rPr>
            </w:pPr>
          </w:p>
        </w:tc>
        <w:tc>
          <w:tcPr>
            <w:tcW w:w="1287" w:type="dxa"/>
            <w:shd w:val="clear" w:color="auto" w:fill="669900"/>
            <w:noWrap/>
          </w:tcPr>
          <w:p w:rsidR="00D63480" w:rsidRPr="00443639" w:rsidRDefault="00D63480" w:rsidP="0095295A">
            <w:pPr>
              <w:pStyle w:val="TableTextEntries"/>
              <w:jc w:val="center"/>
              <w:rPr>
                <w:color w:val="FFFFFF" w:themeColor="background1"/>
              </w:rPr>
            </w:pPr>
          </w:p>
        </w:tc>
      </w:tr>
    </w:tbl>
    <w:p w:rsidR="00D63480" w:rsidRPr="004870E9" w:rsidRDefault="00D63480" w:rsidP="00D63480">
      <w:pPr>
        <w:pStyle w:val="ListBullet"/>
        <w:tabs>
          <w:tab w:val="clear" w:pos="284"/>
        </w:tabs>
        <w:rPr>
          <w:rFonts w:asciiTheme="minorHAnsi" w:hAnsiTheme="minorHAnsi"/>
          <w:i/>
          <w:sz w:val="22"/>
          <w:szCs w:val="22"/>
        </w:rPr>
      </w:pPr>
      <w:r w:rsidRPr="004870E9">
        <w:rPr>
          <w:rFonts w:asciiTheme="minorHAnsi" w:hAnsiTheme="minorHAnsi"/>
          <w:i/>
          <w:sz w:val="22"/>
          <w:szCs w:val="22"/>
        </w:rPr>
        <w:t xml:space="preserve">The objective was rated green as a result of </w:t>
      </w:r>
      <w:r>
        <w:rPr>
          <w:rFonts w:asciiTheme="minorHAnsi" w:hAnsiTheme="minorHAnsi"/>
          <w:i/>
          <w:sz w:val="22"/>
          <w:szCs w:val="22"/>
        </w:rPr>
        <w:t>key achievements</w:t>
      </w:r>
      <w:r w:rsidRPr="004870E9">
        <w:rPr>
          <w:rFonts w:asciiTheme="minorHAnsi" w:hAnsiTheme="minorHAnsi"/>
          <w:i/>
          <w:sz w:val="22"/>
          <w:szCs w:val="22"/>
        </w:rPr>
        <w:t xml:space="preserve"> </w:t>
      </w:r>
      <w:r>
        <w:rPr>
          <w:rFonts w:asciiTheme="minorHAnsi" w:hAnsiTheme="minorHAnsi"/>
          <w:i/>
          <w:sz w:val="22"/>
          <w:szCs w:val="22"/>
        </w:rPr>
        <w:t>by</w:t>
      </w:r>
      <w:r w:rsidRPr="004870E9">
        <w:rPr>
          <w:rFonts w:asciiTheme="minorHAnsi" w:hAnsiTheme="minorHAnsi"/>
          <w:i/>
          <w:sz w:val="22"/>
          <w:szCs w:val="22"/>
        </w:rPr>
        <w:t xml:space="preserve"> the Seeds of Life program towards improving Timor-Leste’s food security and seed sovereignty </w:t>
      </w:r>
      <w:r>
        <w:rPr>
          <w:rFonts w:asciiTheme="minorHAnsi" w:hAnsiTheme="minorHAnsi"/>
          <w:i/>
          <w:sz w:val="22"/>
          <w:szCs w:val="22"/>
        </w:rPr>
        <w:t>through the establishment of a sustainable national seed s</w:t>
      </w:r>
      <w:r w:rsidRPr="004870E9">
        <w:rPr>
          <w:rFonts w:asciiTheme="minorHAnsi" w:hAnsiTheme="minorHAnsi"/>
          <w:i/>
          <w:sz w:val="22"/>
          <w:szCs w:val="22"/>
        </w:rPr>
        <w:t>ystem</w:t>
      </w:r>
      <w:r>
        <w:rPr>
          <w:rFonts w:asciiTheme="minorHAnsi" w:hAnsiTheme="minorHAnsi"/>
          <w:i/>
          <w:sz w:val="22"/>
          <w:szCs w:val="22"/>
        </w:rPr>
        <w:t xml:space="preserve"> (NSS).</w:t>
      </w:r>
    </w:p>
    <w:p w:rsidR="00D63480" w:rsidRPr="00F3081A" w:rsidRDefault="00D63480" w:rsidP="00F3081A">
      <w:pPr>
        <w:pStyle w:val="ListBullet"/>
        <w:tabs>
          <w:tab w:val="clear" w:pos="284"/>
        </w:tabs>
        <w:rPr>
          <w:rFonts w:asciiTheme="minorHAnsi" w:hAnsiTheme="minorHAnsi" w:cstheme="minorHAnsi"/>
          <w:sz w:val="22"/>
          <w:szCs w:val="22"/>
        </w:rPr>
      </w:pPr>
      <w:r w:rsidRPr="00F3081A">
        <w:rPr>
          <w:rFonts w:asciiTheme="minorHAnsi" w:hAnsiTheme="minorHAnsi" w:cstheme="minorHAnsi"/>
          <w:sz w:val="22"/>
          <w:szCs w:val="22"/>
        </w:rPr>
        <w:t xml:space="preserve">Australia’s support to the agriculture sector contributes towards the Timor-Leste </w:t>
      </w:r>
      <w:r w:rsidRPr="00A91A7E">
        <w:rPr>
          <w:rFonts w:asciiTheme="minorHAnsi" w:hAnsiTheme="minorHAnsi" w:cstheme="minorHAnsi"/>
          <w:i/>
          <w:sz w:val="22"/>
          <w:szCs w:val="22"/>
        </w:rPr>
        <w:t>Strategic Development Plan</w:t>
      </w:r>
      <w:r w:rsidRPr="00F3081A">
        <w:rPr>
          <w:rFonts w:asciiTheme="minorHAnsi" w:hAnsiTheme="minorHAnsi" w:cstheme="minorHAnsi"/>
          <w:sz w:val="22"/>
          <w:szCs w:val="22"/>
        </w:rPr>
        <w:t xml:space="preserve"> goal of food security by 2020 and an expanded agriculture sector</w:t>
      </w:r>
      <w:r w:rsidR="00506BD8">
        <w:rPr>
          <w:rFonts w:asciiTheme="minorHAnsi" w:hAnsiTheme="minorHAnsi" w:cstheme="minorHAnsi"/>
          <w:sz w:val="22"/>
          <w:szCs w:val="22"/>
        </w:rPr>
        <w:t xml:space="preserve">. </w:t>
      </w:r>
      <w:r w:rsidRPr="00F3081A">
        <w:rPr>
          <w:rFonts w:asciiTheme="minorHAnsi" w:hAnsiTheme="minorHAnsi" w:cstheme="minorHAnsi"/>
          <w:sz w:val="22"/>
          <w:szCs w:val="22"/>
        </w:rPr>
        <w:t xml:space="preserve">Australia also supports coordination between development partners and </w:t>
      </w:r>
      <w:r w:rsidR="00D00988">
        <w:rPr>
          <w:rFonts w:asciiTheme="minorHAnsi" w:hAnsiTheme="minorHAnsi" w:cstheme="minorHAnsi"/>
          <w:sz w:val="22"/>
          <w:szCs w:val="22"/>
        </w:rPr>
        <w:t>the Ministry of Agriculture</w:t>
      </w:r>
      <w:r w:rsidR="00697210">
        <w:rPr>
          <w:rFonts w:asciiTheme="minorHAnsi" w:hAnsiTheme="minorHAnsi" w:cstheme="minorHAnsi"/>
          <w:sz w:val="22"/>
          <w:szCs w:val="22"/>
        </w:rPr>
        <w:t xml:space="preserve"> and Fisheries</w:t>
      </w:r>
      <w:r w:rsidR="00D00988">
        <w:rPr>
          <w:rFonts w:asciiTheme="minorHAnsi" w:hAnsiTheme="minorHAnsi" w:cstheme="minorHAnsi"/>
          <w:sz w:val="22"/>
          <w:szCs w:val="22"/>
        </w:rPr>
        <w:t xml:space="preserve"> (</w:t>
      </w:r>
      <w:r w:rsidRPr="00F3081A">
        <w:rPr>
          <w:rFonts w:asciiTheme="minorHAnsi" w:hAnsiTheme="minorHAnsi" w:cstheme="minorHAnsi"/>
          <w:sz w:val="22"/>
          <w:szCs w:val="22"/>
        </w:rPr>
        <w:t>MAF</w:t>
      </w:r>
      <w:r w:rsidR="00D00988">
        <w:rPr>
          <w:rFonts w:asciiTheme="minorHAnsi" w:hAnsiTheme="minorHAnsi" w:cstheme="minorHAnsi"/>
          <w:sz w:val="22"/>
          <w:szCs w:val="22"/>
        </w:rPr>
        <w:t>)</w:t>
      </w:r>
      <w:r w:rsidRPr="00F3081A">
        <w:rPr>
          <w:rFonts w:asciiTheme="minorHAnsi" w:hAnsiTheme="minorHAnsi" w:cstheme="minorHAnsi"/>
          <w:sz w:val="22"/>
          <w:szCs w:val="22"/>
        </w:rPr>
        <w:t xml:space="preserve"> as co-Chair of the MAF Agriculture and Fisheries Development Partner forum.</w:t>
      </w:r>
    </w:p>
    <w:p w:rsidR="00D63480" w:rsidRPr="00F3081A" w:rsidRDefault="00D63480" w:rsidP="00F3081A">
      <w:pPr>
        <w:pStyle w:val="ListBullet"/>
        <w:tabs>
          <w:tab w:val="clear" w:pos="284"/>
        </w:tabs>
        <w:rPr>
          <w:rFonts w:asciiTheme="minorHAnsi" w:hAnsiTheme="minorHAnsi" w:cstheme="minorHAnsi"/>
          <w:sz w:val="22"/>
          <w:szCs w:val="22"/>
        </w:rPr>
      </w:pPr>
      <w:r w:rsidRPr="00F3081A">
        <w:rPr>
          <w:rFonts w:asciiTheme="minorHAnsi" w:hAnsiTheme="minorHAnsi" w:cstheme="minorHAnsi"/>
          <w:sz w:val="22"/>
          <w:szCs w:val="22"/>
        </w:rPr>
        <w:t xml:space="preserve">Australia’s long running </w:t>
      </w:r>
      <w:r w:rsidRPr="00BF41E9">
        <w:rPr>
          <w:rFonts w:asciiTheme="minorHAnsi" w:hAnsiTheme="minorHAnsi" w:cstheme="minorHAnsi"/>
          <w:b/>
          <w:sz w:val="22"/>
          <w:szCs w:val="22"/>
        </w:rPr>
        <w:t>Seeds of Life</w:t>
      </w:r>
      <w:r w:rsidRPr="00F3081A">
        <w:rPr>
          <w:rFonts w:asciiTheme="minorHAnsi" w:hAnsiTheme="minorHAnsi" w:cstheme="minorHAnsi"/>
          <w:sz w:val="22"/>
          <w:szCs w:val="22"/>
        </w:rPr>
        <w:t xml:space="preserve"> (SOL</w:t>
      </w:r>
      <w:r w:rsidR="002E31D5">
        <w:rPr>
          <w:rFonts w:asciiTheme="minorHAnsi" w:hAnsiTheme="minorHAnsi" w:cstheme="minorHAnsi"/>
          <w:sz w:val="22"/>
          <w:szCs w:val="22"/>
        </w:rPr>
        <w:t xml:space="preserve"> </w:t>
      </w:r>
      <w:r w:rsidR="002E31D5" w:rsidRPr="00F3081A">
        <w:rPr>
          <w:rFonts w:asciiTheme="minorHAnsi" w:hAnsiTheme="minorHAnsi" w:cstheme="minorHAnsi"/>
          <w:sz w:val="22"/>
          <w:szCs w:val="22"/>
        </w:rPr>
        <w:t>$36.4 million</w:t>
      </w:r>
      <w:r w:rsidRPr="00F3081A">
        <w:rPr>
          <w:rFonts w:asciiTheme="minorHAnsi" w:hAnsiTheme="minorHAnsi" w:cstheme="minorHAnsi"/>
          <w:sz w:val="22"/>
          <w:szCs w:val="22"/>
        </w:rPr>
        <w:t xml:space="preserve">, 2001-16) program concluded in June 2016 following the transition of responsibility for the NSS to MAF. SOL, co-funded by ACIAR, supported farming households to boost agricultural productivity and self-sufficiency through improved access to more diverse and productive varieties of staple crops and legumes with the release of 19 new more productive varieties. </w:t>
      </w:r>
      <w:r w:rsidR="00FC1508">
        <w:rPr>
          <w:rFonts w:asciiTheme="minorHAnsi" w:hAnsiTheme="minorHAnsi" w:cstheme="minorHAnsi"/>
          <w:sz w:val="22"/>
          <w:szCs w:val="22"/>
        </w:rPr>
        <w:t xml:space="preserve">The </w:t>
      </w:r>
      <w:r w:rsidRPr="00F3081A">
        <w:rPr>
          <w:rFonts w:asciiTheme="minorHAnsi" w:hAnsiTheme="minorHAnsi" w:cstheme="minorHAnsi"/>
          <w:sz w:val="22"/>
          <w:szCs w:val="22"/>
        </w:rPr>
        <w:t>end-of-program survey indicate</w:t>
      </w:r>
      <w:r w:rsidR="00FC1508">
        <w:rPr>
          <w:rFonts w:asciiTheme="minorHAnsi" w:hAnsiTheme="minorHAnsi" w:cstheme="minorHAnsi"/>
          <w:sz w:val="22"/>
          <w:szCs w:val="22"/>
        </w:rPr>
        <w:t>d</w:t>
      </w:r>
      <w:r w:rsidRPr="00F3081A">
        <w:rPr>
          <w:rFonts w:asciiTheme="minorHAnsi" w:hAnsiTheme="minorHAnsi" w:cstheme="minorHAnsi"/>
          <w:sz w:val="22"/>
          <w:szCs w:val="22"/>
        </w:rPr>
        <w:t xml:space="preserve"> that SOL achieved close to its target of around 50 percent (63,000) of rural households in Timor-Leste adopting and routinely growing improved seed varieties, and 84 percent of these reporting improved yields. SOL has contributed to a decrease in food shortages and created opportunities for household income generation. </w:t>
      </w:r>
    </w:p>
    <w:p w:rsidR="00D63480" w:rsidRPr="00F3081A" w:rsidRDefault="00D63480" w:rsidP="00F3081A">
      <w:pPr>
        <w:pStyle w:val="ListBullet"/>
        <w:tabs>
          <w:tab w:val="clear" w:pos="284"/>
        </w:tabs>
        <w:rPr>
          <w:rFonts w:asciiTheme="minorHAnsi" w:hAnsiTheme="minorHAnsi" w:cstheme="minorHAnsi"/>
          <w:sz w:val="22"/>
          <w:szCs w:val="22"/>
        </w:rPr>
      </w:pPr>
      <w:r w:rsidRPr="00F3081A">
        <w:rPr>
          <w:rFonts w:asciiTheme="minorHAnsi" w:hAnsiTheme="minorHAnsi" w:cstheme="minorHAnsi"/>
          <w:sz w:val="22"/>
          <w:szCs w:val="22"/>
        </w:rPr>
        <w:t>The establishment of the</w:t>
      </w:r>
      <w:r w:rsidR="00506BD8">
        <w:rPr>
          <w:rFonts w:asciiTheme="minorHAnsi" w:hAnsiTheme="minorHAnsi" w:cstheme="minorHAnsi"/>
          <w:sz w:val="22"/>
          <w:szCs w:val="22"/>
        </w:rPr>
        <w:t xml:space="preserve"> NSS,</w:t>
      </w:r>
      <w:r w:rsidRPr="00F3081A">
        <w:rPr>
          <w:rFonts w:asciiTheme="minorHAnsi" w:hAnsiTheme="minorHAnsi" w:cstheme="minorHAnsi"/>
          <w:sz w:val="22"/>
          <w:szCs w:val="22"/>
        </w:rPr>
        <w:t xml:space="preserve"> </w:t>
      </w:r>
      <w:r w:rsidR="00382BBF">
        <w:rPr>
          <w:rFonts w:asciiTheme="minorHAnsi" w:hAnsiTheme="minorHAnsi" w:cstheme="minorHAnsi"/>
          <w:sz w:val="22"/>
          <w:szCs w:val="22"/>
        </w:rPr>
        <w:t>which ensures the supply of quality-tested seeds of all new varieties to farmers</w:t>
      </w:r>
      <w:r w:rsidR="00506BD8">
        <w:rPr>
          <w:rFonts w:asciiTheme="minorHAnsi" w:hAnsiTheme="minorHAnsi" w:cstheme="minorHAnsi"/>
          <w:sz w:val="22"/>
          <w:szCs w:val="22"/>
        </w:rPr>
        <w:t>,</w:t>
      </w:r>
      <w:r w:rsidRPr="00F3081A">
        <w:rPr>
          <w:rFonts w:asciiTheme="minorHAnsi" w:hAnsiTheme="minorHAnsi" w:cstheme="minorHAnsi"/>
          <w:sz w:val="22"/>
          <w:szCs w:val="22"/>
        </w:rPr>
        <w:t xml:space="preserve"> has been a key SOL achievement. SOL helped establish </w:t>
      </w:r>
      <w:r w:rsidR="00697210">
        <w:rPr>
          <w:rFonts w:asciiTheme="minorHAnsi" w:hAnsiTheme="minorHAnsi" w:cstheme="minorHAnsi"/>
          <w:sz w:val="22"/>
          <w:szCs w:val="22"/>
        </w:rPr>
        <w:t>more than</w:t>
      </w:r>
      <w:r w:rsidR="00697210" w:rsidRPr="00F3081A">
        <w:rPr>
          <w:rFonts w:asciiTheme="minorHAnsi" w:hAnsiTheme="minorHAnsi" w:cstheme="minorHAnsi"/>
          <w:sz w:val="22"/>
          <w:szCs w:val="22"/>
        </w:rPr>
        <w:t xml:space="preserve"> </w:t>
      </w:r>
      <w:r w:rsidRPr="00F3081A">
        <w:rPr>
          <w:rFonts w:asciiTheme="minorHAnsi" w:hAnsiTheme="minorHAnsi" w:cstheme="minorHAnsi"/>
          <w:sz w:val="22"/>
          <w:szCs w:val="22"/>
        </w:rPr>
        <w:t>1,200 community seed producer groups (32</w:t>
      </w:r>
      <w:r w:rsidR="005732F3">
        <w:rPr>
          <w:rFonts w:asciiTheme="minorHAnsi" w:hAnsiTheme="minorHAnsi" w:cstheme="minorHAnsi"/>
          <w:sz w:val="22"/>
          <w:szCs w:val="22"/>
        </w:rPr>
        <w:t xml:space="preserve"> per cent</w:t>
      </w:r>
      <w:r w:rsidR="00134E54">
        <w:rPr>
          <w:rFonts w:asciiTheme="minorHAnsi" w:hAnsiTheme="minorHAnsi" w:cstheme="minorHAnsi"/>
          <w:sz w:val="22"/>
          <w:szCs w:val="22"/>
        </w:rPr>
        <w:t xml:space="preserve"> of members are</w:t>
      </w:r>
      <w:r w:rsidRPr="00F3081A">
        <w:rPr>
          <w:rFonts w:asciiTheme="minorHAnsi" w:hAnsiTheme="minorHAnsi" w:cstheme="minorHAnsi"/>
          <w:sz w:val="22"/>
          <w:szCs w:val="22"/>
        </w:rPr>
        <w:t xml:space="preserve">  female), and worked closely with our Market Development Facility (MDF) to establish a national network including 70 registered commercial seed producers, a national industry association (ANAPROFIKO) and the country’s first industry business association on agricultural inputs (ANSA). SOL contributed to economic opportunities through the expansion of agricultural shops and assisted 32 shops in 13 municipalities. SOL also supported the establishment of a national seed council, the revision and approval of a national seed policy and embedding the system at the municipal level which will contribute to the ongoing sustainability of the seed system. </w:t>
      </w:r>
    </w:p>
    <w:p w:rsidR="00506BD8" w:rsidRDefault="00D63480" w:rsidP="00F3081A">
      <w:pPr>
        <w:pStyle w:val="ListBullet"/>
        <w:tabs>
          <w:tab w:val="clear" w:pos="284"/>
        </w:tabs>
        <w:rPr>
          <w:rFonts w:asciiTheme="minorHAnsi" w:hAnsiTheme="minorHAnsi" w:cstheme="minorHAnsi"/>
          <w:sz w:val="22"/>
          <w:szCs w:val="22"/>
        </w:rPr>
      </w:pPr>
      <w:r w:rsidRPr="00F3081A">
        <w:rPr>
          <w:rFonts w:asciiTheme="minorHAnsi" w:hAnsiTheme="minorHAnsi" w:cstheme="minorHAnsi"/>
          <w:sz w:val="22"/>
          <w:szCs w:val="22"/>
        </w:rPr>
        <w:t xml:space="preserve">The </w:t>
      </w:r>
      <w:r w:rsidR="000502EE">
        <w:rPr>
          <w:rFonts w:asciiTheme="minorHAnsi" w:hAnsiTheme="minorHAnsi" w:cstheme="minorHAnsi"/>
          <w:sz w:val="22"/>
          <w:szCs w:val="22"/>
        </w:rPr>
        <w:t xml:space="preserve">Government of Timor-Leste </w:t>
      </w:r>
      <w:r w:rsidRPr="00F3081A">
        <w:rPr>
          <w:rFonts w:asciiTheme="minorHAnsi" w:hAnsiTheme="minorHAnsi" w:cstheme="minorHAnsi"/>
          <w:sz w:val="22"/>
          <w:szCs w:val="22"/>
        </w:rPr>
        <w:t>has shown commitment to take respon</w:t>
      </w:r>
      <w:r w:rsidR="00086A46">
        <w:rPr>
          <w:rFonts w:asciiTheme="minorHAnsi" w:hAnsiTheme="minorHAnsi" w:cstheme="minorHAnsi"/>
          <w:sz w:val="22"/>
          <w:szCs w:val="22"/>
        </w:rPr>
        <w:t xml:space="preserve">sibility for the NSS by fully </w:t>
      </w:r>
      <w:r w:rsidRPr="00F3081A">
        <w:rPr>
          <w:rFonts w:asciiTheme="minorHAnsi" w:hAnsiTheme="minorHAnsi" w:cstheme="minorHAnsi"/>
          <w:sz w:val="22"/>
          <w:szCs w:val="22"/>
        </w:rPr>
        <w:t xml:space="preserve">funding it in 2016 </w:t>
      </w:r>
      <w:r w:rsidR="002D06B3">
        <w:rPr>
          <w:rFonts w:asciiTheme="minorHAnsi" w:hAnsiTheme="minorHAnsi" w:cstheme="minorHAnsi"/>
          <w:sz w:val="22"/>
          <w:szCs w:val="22"/>
        </w:rPr>
        <w:t>including</w:t>
      </w:r>
      <w:r w:rsidRPr="00F3081A">
        <w:rPr>
          <w:rFonts w:asciiTheme="minorHAnsi" w:hAnsiTheme="minorHAnsi" w:cstheme="minorHAnsi"/>
          <w:sz w:val="22"/>
          <w:szCs w:val="22"/>
        </w:rPr>
        <w:t xml:space="preserve"> seed development, procurement and staffing. </w:t>
      </w:r>
      <w:r w:rsidR="00382BBF">
        <w:rPr>
          <w:rFonts w:asciiTheme="minorHAnsi" w:hAnsiTheme="minorHAnsi" w:cstheme="minorHAnsi"/>
          <w:sz w:val="22"/>
          <w:szCs w:val="22"/>
        </w:rPr>
        <w:t xml:space="preserve">Even if, as expected, </w:t>
      </w:r>
      <w:r w:rsidR="00382BBF" w:rsidRPr="00F3081A">
        <w:rPr>
          <w:rFonts w:asciiTheme="minorHAnsi" w:hAnsiTheme="minorHAnsi" w:cstheme="minorHAnsi"/>
          <w:sz w:val="22"/>
          <w:szCs w:val="22"/>
        </w:rPr>
        <w:t>MAF’s 2017 budget is cut, there are indications that the NSS will be adequately funded. However, future fluctuations in sector budgets and the 2017 elections pose a risk to ongoing resourcing</w:t>
      </w:r>
      <w:r w:rsidR="00F970C4">
        <w:rPr>
          <w:rFonts w:asciiTheme="minorHAnsi" w:hAnsiTheme="minorHAnsi" w:cstheme="minorHAnsi"/>
          <w:sz w:val="22"/>
          <w:szCs w:val="22"/>
        </w:rPr>
        <w:t xml:space="preserve">. </w:t>
      </w:r>
    </w:p>
    <w:p w:rsidR="00D63480" w:rsidRDefault="00CE5387" w:rsidP="00F3081A">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An independent </w:t>
      </w:r>
      <w:r w:rsidR="00583CC3">
        <w:rPr>
          <w:rFonts w:asciiTheme="minorHAnsi" w:hAnsiTheme="minorHAnsi" w:cstheme="minorHAnsi"/>
          <w:sz w:val="22"/>
          <w:szCs w:val="22"/>
        </w:rPr>
        <w:t xml:space="preserve">program </w:t>
      </w:r>
      <w:r>
        <w:rPr>
          <w:rFonts w:asciiTheme="minorHAnsi" w:hAnsiTheme="minorHAnsi" w:cstheme="minorHAnsi"/>
          <w:sz w:val="22"/>
          <w:szCs w:val="22"/>
        </w:rPr>
        <w:t xml:space="preserve">study in 2015 found </w:t>
      </w:r>
      <w:r w:rsidR="00382BBF">
        <w:rPr>
          <w:rFonts w:asciiTheme="minorHAnsi" w:hAnsiTheme="minorHAnsi" w:cstheme="minorHAnsi"/>
          <w:sz w:val="22"/>
          <w:szCs w:val="22"/>
        </w:rPr>
        <w:t xml:space="preserve">that </w:t>
      </w:r>
      <w:r w:rsidR="00D63480" w:rsidRPr="00F3081A">
        <w:rPr>
          <w:rFonts w:asciiTheme="minorHAnsi" w:hAnsiTheme="minorHAnsi" w:cstheme="minorHAnsi"/>
          <w:sz w:val="22"/>
          <w:szCs w:val="22"/>
        </w:rPr>
        <w:t>SOL achieved its targets of engaging, on average, one</w:t>
      </w:r>
      <w:r w:rsidR="002D06B3">
        <w:rPr>
          <w:rFonts w:asciiTheme="minorHAnsi" w:hAnsiTheme="minorHAnsi" w:cstheme="minorHAnsi"/>
          <w:sz w:val="22"/>
          <w:szCs w:val="22"/>
        </w:rPr>
        <w:t>-</w:t>
      </w:r>
      <w:r w:rsidR="00D63480" w:rsidRPr="00F3081A">
        <w:rPr>
          <w:rFonts w:asciiTheme="minorHAnsi" w:hAnsiTheme="minorHAnsi" w:cstheme="minorHAnsi"/>
          <w:sz w:val="22"/>
          <w:szCs w:val="22"/>
        </w:rPr>
        <w:t>third female participation across the program</w:t>
      </w:r>
      <w:r>
        <w:rPr>
          <w:rFonts w:asciiTheme="minorHAnsi" w:hAnsiTheme="minorHAnsi" w:cstheme="minorHAnsi"/>
          <w:sz w:val="22"/>
          <w:szCs w:val="22"/>
        </w:rPr>
        <w:t xml:space="preserve"> including </w:t>
      </w:r>
      <w:r w:rsidRPr="00F3081A">
        <w:rPr>
          <w:rFonts w:asciiTheme="minorHAnsi" w:hAnsiTheme="minorHAnsi" w:cstheme="minorHAnsi"/>
          <w:sz w:val="22"/>
          <w:szCs w:val="22"/>
        </w:rPr>
        <w:t>women’s engagement in commercial and community seed multiplication initiatives, seed distribution and capacity building activities</w:t>
      </w:r>
      <w:r w:rsidR="00D63480" w:rsidRPr="00F3081A">
        <w:rPr>
          <w:rFonts w:asciiTheme="minorHAnsi" w:hAnsiTheme="minorHAnsi" w:cstheme="minorHAnsi"/>
          <w:sz w:val="22"/>
          <w:szCs w:val="22"/>
        </w:rPr>
        <w:t xml:space="preserve">. </w:t>
      </w:r>
      <w:r w:rsidR="00F95C74">
        <w:rPr>
          <w:rFonts w:asciiTheme="minorHAnsi" w:hAnsiTheme="minorHAnsi" w:cstheme="minorHAnsi"/>
          <w:sz w:val="22"/>
          <w:szCs w:val="22"/>
        </w:rPr>
        <w:t xml:space="preserve">In 2015-16, </w:t>
      </w:r>
      <w:r w:rsidR="00D63480" w:rsidRPr="00F3081A">
        <w:rPr>
          <w:rFonts w:asciiTheme="minorHAnsi" w:hAnsiTheme="minorHAnsi" w:cstheme="minorHAnsi"/>
          <w:sz w:val="22"/>
          <w:szCs w:val="22"/>
        </w:rPr>
        <w:t>SOL reached 32 per</w:t>
      </w:r>
      <w:r w:rsidR="007F03F6">
        <w:rPr>
          <w:rFonts w:asciiTheme="minorHAnsi" w:hAnsiTheme="minorHAnsi" w:cstheme="minorHAnsi"/>
          <w:sz w:val="22"/>
          <w:szCs w:val="22"/>
        </w:rPr>
        <w:t xml:space="preserve"> cent of female</w:t>
      </w:r>
      <w:r w:rsidR="00D63480" w:rsidRPr="00F3081A">
        <w:rPr>
          <w:rFonts w:asciiTheme="minorHAnsi" w:hAnsiTheme="minorHAnsi" w:cstheme="minorHAnsi"/>
          <w:sz w:val="22"/>
          <w:szCs w:val="22"/>
        </w:rPr>
        <w:t xml:space="preserve">-headed households to improve seed access by vulnerable households. SOL also established a system to ensure </w:t>
      </w:r>
      <w:r w:rsidR="00DB37CB">
        <w:rPr>
          <w:rFonts w:asciiTheme="minorHAnsi" w:hAnsiTheme="minorHAnsi" w:cstheme="minorHAnsi"/>
          <w:sz w:val="22"/>
          <w:szCs w:val="22"/>
        </w:rPr>
        <w:t xml:space="preserve">other </w:t>
      </w:r>
      <w:r w:rsidR="00D63480" w:rsidRPr="00F3081A">
        <w:rPr>
          <w:rFonts w:asciiTheme="minorHAnsi" w:hAnsiTheme="minorHAnsi" w:cstheme="minorHAnsi"/>
          <w:sz w:val="22"/>
          <w:szCs w:val="22"/>
        </w:rPr>
        <w:t>vulnerable households (family member with a disability, sole parent households or the elderly) ha</w:t>
      </w:r>
      <w:r w:rsidR="00391098">
        <w:rPr>
          <w:rFonts w:asciiTheme="minorHAnsi" w:hAnsiTheme="minorHAnsi" w:cstheme="minorHAnsi"/>
          <w:sz w:val="22"/>
          <w:szCs w:val="22"/>
        </w:rPr>
        <w:t>d</w:t>
      </w:r>
      <w:r w:rsidR="00D63480" w:rsidRPr="00F3081A">
        <w:rPr>
          <w:rFonts w:asciiTheme="minorHAnsi" w:hAnsiTheme="minorHAnsi" w:cstheme="minorHAnsi"/>
          <w:sz w:val="22"/>
          <w:szCs w:val="22"/>
        </w:rPr>
        <w:t xml:space="preserve"> access to improved seeds and other planting materials</w:t>
      </w:r>
      <w:r w:rsidR="00697210">
        <w:rPr>
          <w:rFonts w:asciiTheme="minorHAnsi" w:hAnsiTheme="minorHAnsi" w:cstheme="minorHAnsi"/>
          <w:sz w:val="22"/>
          <w:szCs w:val="22"/>
        </w:rPr>
        <w:t>.</w:t>
      </w:r>
    </w:p>
    <w:p w:rsidR="00207470" w:rsidRPr="00F3081A" w:rsidRDefault="00207470" w:rsidP="00207470">
      <w:pPr>
        <w:pStyle w:val="ListBullet"/>
        <w:tabs>
          <w:tab w:val="clear" w:pos="284"/>
        </w:tabs>
        <w:rPr>
          <w:rFonts w:asciiTheme="minorHAnsi" w:hAnsiTheme="minorHAnsi" w:cstheme="minorHAnsi"/>
          <w:sz w:val="22"/>
          <w:szCs w:val="22"/>
        </w:rPr>
      </w:pPr>
      <w:r w:rsidRPr="00F3081A">
        <w:rPr>
          <w:rFonts w:asciiTheme="minorHAnsi" w:hAnsiTheme="minorHAnsi" w:cstheme="minorHAnsi"/>
          <w:sz w:val="22"/>
          <w:szCs w:val="22"/>
        </w:rPr>
        <w:t>Australia’s rural development programs respon</w:t>
      </w:r>
      <w:r>
        <w:rPr>
          <w:rFonts w:asciiTheme="minorHAnsi" w:hAnsiTheme="minorHAnsi" w:cstheme="minorHAnsi"/>
          <w:sz w:val="22"/>
          <w:szCs w:val="22"/>
        </w:rPr>
        <w:t>ded</w:t>
      </w:r>
      <w:r w:rsidRPr="00F3081A">
        <w:rPr>
          <w:rFonts w:asciiTheme="minorHAnsi" w:hAnsiTheme="minorHAnsi" w:cstheme="minorHAnsi"/>
          <w:sz w:val="22"/>
          <w:szCs w:val="22"/>
        </w:rPr>
        <w:t xml:space="preserve"> to the impacts of </w:t>
      </w:r>
      <w:r w:rsidRPr="00300E7A">
        <w:rPr>
          <w:rFonts w:asciiTheme="minorHAnsi" w:hAnsiTheme="minorHAnsi" w:cstheme="minorHAnsi"/>
          <w:b/>
          <w:sz w:val="22"/>
          <w:szCs w:val="22"/>
        </w:rPr>
        <w:t xml:space="preserve">El Niño </w:t>
      </w:r>
      <w:r w:rsidRPr="00F3081A">
        <w:rPr>
          <w:rFonts w:asciiTheme="minorHAnsi" w:hAnsiTheme="minorHAnsi" w:cstheme="minorHAnsi"/>
          <w:sz w:val="22"/>
          <w:szCs w:val="22"/>
        </w:rPr>
        <w:t xml:space="preserve">in </w:t>
      </w:r>
      <w:r w:rsidR="00DB37CB">
        <w:rPr>
          <w:rFonts w:asciiTheme="minorHAnsi" w:hAnsiTheme="minorHAnsi" w:cstheme="minorHAnsi"/>
          <w:sz w:val="22"/>
          <w:szCs w:val="22"/>
        </w:rPr>
        <w:t>2015-16</w:t>
      </w:r>
      <w:r>
        <w:rPr>
          <w:rFonts w:asciiTheme="minorHAnsi" w:hAnsiTheme="minorHAnsi" w:cstheme="minorHAnsi"/>
          <w:sz w:val="22"/>
          <w:szCs w:val="22"/>
        </w:rPr>
        <w:t xml:space="preserve"> to preserve and improve the livelihoods of Timor’s rural population</w:t>
      </w:r>
      <w:r w:rsidR="00D96035">
        <w:rPr>
          <w:rFonts w:asciiTheme="minorHAnsi" w:hAnsiTheme="minorHAnsi" w:cstheme="minorHAnsi"/>
          <w:sz w:val="22"/>
          <w:szCs w:val="22"/>
        </w:rPr>
        <w:t>. SOL provided advice to the g</w:t>
      </w:r>
      <w:r w:rsidRPr="00F3081A">
        <w:rPr>
          <w:rFonts w:asciiTheme="minorHAnsi" w:hAnsiTheme="minorHAnsi" w:cstheme="minorHAnsi"/>
          <w:sz w:val="22"/>
          <w:szCs w:val="22"/>
        </w:rPr>
        <w:t>overnment on assessments of El Niño and improved resilience through better seed access and more diverse and hardier crops.</w:t>
      </w:r>
      <w:r w:rsidR="00CE6BE8">
        <w:rPr>
          <w:rFonts w:asciiTheme="minorHAnsi" w:hAnsiTheme="minorHAnsi" w:cstheme="minorHAnsi"/>
          <w:sz w:val="22"/>
          <w:szCs w:val="22"/>
        </w:rPr>
        <w:t xml:space="preserve"> </w:t>
      </w:r>
      <w:r w:rsidR="00CA1F1A">
        <w:rPr>
          <w:rFonts w:asciiTheme="minorHAnsi" w:hAnsiTheme="minorHAnsi" w:cstheme="minorHAnsi"/>
          <w:sz w:val="22"/>
          <w:szCs w:val="22"/>
        </w:rPr>
        <w:t xml:space="preserve">In addition, we </w:t>
      </w:r>
      <w:r>
        <w:rPr>
          <w:rFonts w:asciiTheme="minorHAnsi" w:hAnsiTheme="minorHAnsi" w:cstheme="minorHAnsi"/>
          <w:sz w:val="22"/>
          <w:szCs w:val="22"/>
        </w:rPr>
        <w:t>funded</w:t>
      </w:r>
      <w:r w:rsidR="00045BEE">
        <w:rPr>
          <w:rFonts w:asciiTheme="minorHAnsi" w:hAnsiTheme="minorHAnsi" w:cstheme="minorHAnsi"/>
          <w:sz w:val="22"/>
          <w:szCs w:val="22"/>
        </w:rPr>
        <w:t xml:space="preserve"> the</w:t>
      </w:r>
      <w:r>
        <w:rPr>
          <w:rFonts w:asciiTheme="minorHAnsi" w:hAnsiTheme="minorHAnsi" w:cstheme="minorHAnsi"/>
          <w:sz w:val="22"/>
          <w:szCs w:val="22"/>
        </w:rPr>
        <w:t xml:space="preserve"> </w:t>
      </w:r>
      <w:r w:rsidRPr="00F3081A">
        <w:rPr>
          <w:rFonts w:asciiTheme="minorHAnsi" w:hAnsiTheme="minorHAnsi" w:cstheme="minorHAnsi"/>
          <w:sz w:val="22"/>
          <w:szCs w:val="22"/>
        </w:rPr>
        <w:t xml:space="preserve">Australian Red Cross and DFAT’s Humanitarian Partnership Agreement partners (Care, Oxfam, Caritas, Plan and World Vision) to provide </w:t>
      </w:r>
      <w:r w:rsidR="00CA1F1A">
        <w:rPr>
          <w:rFonts w:asciiTheme="minorHAnsi" w:hAnsiTheme="minorHAnsi" w:cstheme="minorHAnsi"/>
          <w:sz w:val="22"/>
          <w:szCs w:val="22"/>
        </w:rPr>
        <w:t xml:space="preserve">emergency </w:t>
      </w:r>
      <w:r w:rsidRPr="00F3081A">
        <w:rPr>
          <w:rFonts w:asciiTheme="minorHAnsi" w:hAnsiTheme="minorHAnsi" w:cstheme="minorHAnsi"/>
          <w:sz w:val="22"/>
          <w:szCs w:val="22"/>
        </w:rPr>
        <w:t>livelihoods, food security, risk reduction, health and hygiene and water management assistance</w:t>
      </w:r>
      <w:r>
        <w:rPr>
          <w:rFonts w:asciiTheme="minorHAnsi" w:hAnsiTheme="minorHAnsi" w:cstheme="minorHAnsi"/>
          <w:sz w:val="22"/>
          <w:szCs w:val="22"/>
        </w:rPr>
        <w:t xml:space="preserve"> to households</w:t>
      </w:r>
      <w:r w:rsidR="00CA1F1A">
        <w:rPr>
          <w:rFonts w:asciiTheme="minorHAnsi" w:hAnsiTheme="minorHAnsi" w:cstheme="minorHAnsi"/>
          <w:sz w:val="22"/>
          <w:szCs w:val="22"/>
        </w:rPr>
        <w:t xml:space="preserve"> affected by drought</w:t>
      </w:r>
      <w:r>
        <w:rPr>
          <w:rFonts w:asciiTheme="minorHAnsi" w:hAnsiTheme="minorHAnsi" w:cstheme="minorHAnsi"/>
          <w:sz w:val="22"/>
          <w:szCs w:val="22"/>
        </w:rPr>
        <w:t xml:space="preserve">. </w:t>
      </w:r>
      <w:r w:rsidRPr="00F3081A">
        <w:rPr>
          <w:rFonts w:asciiTheme="minorHAnsi" w:hAnsiTheme="minorHAnsi" w:cstheme="minorHAnsi"/>
          <w:sz w:val="22"/>
          <w:szCs w:val="22"/>
        </w:rPr>
        <w:t xml:space="preserve"> </w:t>
      </w:r>
    </w:p>
    <w:p w:rsidR="00CE4C20" w:rsidRDefault="005410E2" w:rsidP="00F3081A">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In 2015-16, the Timor-Leste </w:t>
      </w:r>
      <w:r w:rsidR="00CA4C58">
        <w:rPr>
          <w:rFonts w:asciiTheme="minorHAnsi" w:hAnsiTheme="minorHAnsi" w:cstheme="minorHAnsi"/>
          <w:sz w:val="22"/>
          <w:szCs w:val="22"/>
        </w:rPr>
        <w:t>program focused on the design</w:t>
      </w:r>
      <w:r w:rsidR="00DB37CB">
        <w:rPr>
          <w:rFonts w:asciiTheme="minorHAnsi" w:hAnsiTheme="minorHAnsi" w:cstheme="minorHAnsi"/>
          <w:sz w:val="22"/>
          <w:szCs w:val="22"/>
        </w:rPr>
        <w:t xml:space="preserve"> and inception</w:t>
      </w:r>
      <w:r w:rsidR="00CA4C58">
        <w:rPr>
          <w:rFonts w:asciiTheme="minorHAnsi" w:hAnsiTheme="minorHAnsi" w:cstheme="minorHAnsi"/>
          <w:sz w:val="22"/>
          <w:szCs w:val="22"/>
        </w:rPr>
        <w:t xml:space="preserve"> of Australia’</w:t>
      </w:r>
      <w:r w:rsidR="00DB37CB">
        <w:rPr>
          <w:rFonts w:asciiTheme="minorHAnsi" w:hAnsiTheme="minorHAnsi" w:cstheme="minorHAnsi"/>
          <w:sz w:val="22"/>
          <w:szCs w:val="22"/>
        </w:rPr>
        <w:t xml:space="preserve">s new investment in agriculture, </w:t>
      </w:r>
      <w:r w:rsidR="00CA4C58" w:rsidRPr="00F3081A">
        <w:rPr>
          <w:rFonts w:asciiTheme="minorHAnsi" w:hAnsiTheme="minorHAnsi" w:cstheme="minorHAnsi"/>
          <w:sz w:val="22"/>
          <w:szCs w:val="22"/>
        </w:rPr>
        <w:t>To’os Ba Moris Diak (TOMAK</w:t>
      </w:r>
      <w:r w:rsidR="00CA4C58">
        <w:rPr>
          <w:rFonts w:asciiTheme="minorHAnsi" w:hAnsiTheme="minorHAnsi" w:cstheme="minorHAnsi"/>
          <w:sz w:val="22"/>
          <w:szCs w:val="22"/>
        </w:rPr>
        <w:t>)</w:t>
      </w:r>
      <w:r w:rsidR="00CC5236">
        <w:rPr>
          <w:rFonts w:asciiTheme="minorHAnsi" w:hAnsiTheme="minorHAnsi" w:cstheme="minorHAnsi"/>
          <w:sz w:val="22"/>
          <w:szCs w:val="22"/>
        </w:rPr>
        <w:t xml:space="preserve"> which commenced in June 2016</w:t>
      </w:r>
      <w:r w:rsidR="00CA4C58">
        <w:rPr>
          <w:rFonts w:asciiTheme="minorHAnsi" w:hAnsiTheme="minorHAnsi" w:cstheme="minorHAnsi"/>
          <w:sz w:val="22"/>
          <w:szCs w:val="22"/>
        </w:rPr>
        <w:t>. TOMA</w:t>
      </w:r>
      <w:r>
        <w:rPr>
          <w:rFonts w:asciiTheme="minorHAnsi" w:hAnsiTheme="minorHAnsi" w:cstheme="minorHAnsi"/>
          <w:sz w:val="22"/>
          <w:szCs w:val="22"/>
        </w:rPr>
        <w:t xml:space="preserve">K builds on the </w:t>
      </w:r>
      <w:r w:rsidR="00D63480" w:rsidRPr="00F3081A">
        <w:rPr>
          <w:rFonts w:asciiTheme="minorHAnsi" w:hAnsiTheme="minorHAnsi" w:cstheme="minorHAnsi"/>
          <w:sz w:val="22"/>
          <w:szCs w:val="22"/>
        </w:rPr>
        <w:t xml:space="preserve">achievements of SOL </w:t>
      </w:r>
      <w:r w:rsidR="00DB37CB">
        <w:rPr>
          <w:rFonts w:asciiTheme="minorHAnsi" w:hAnsiTheme="minorHAnsi" w:cstheme="minorHAnsi"/>
          <w:sz w:val="22"/>
          <w:szCs w:val="22"/>
        </w:rPr>
        <w:t xml:space="preserve">and aims to </w:t>
      </w:r>
      <w:r w:rsidR="00D63480" w:rsidRPr="00F3081A">
        <w:rPr>
          <w:rFonts w:asciiTheme="minorHAnsi" w:hAnsiTheme="minorHAnsi" w:cstheme="minorHAnsi"/>
          <w:sz w:val="22"/>
          <w:szCs w:val="22"/>
        </w:rPr>
        <w:t xml:space="preserve">improve food security and nutrition through a </w:t>
      </w:r>
      <w:r w:rsidR="00391098">
        <w:rPr>
          <w:rFonts w:asciiTheme="minorHAnsi" w:hAnsiTheme="minorHAnsi" w:cstheme="minorHAnsi"/>
          <w:sz w:val="22"/>
          <w:szCs w:val="22"/>
        </w:rPr>
        <w:t>market</w:t>
      </w:r>
      <w:r w:rsidR="00391098" w:rsidRPr="00F3081A">
        <w:rPr>
          <w:rFonts w:asciiTheme="minorHAnsi" w:hAnsiTheme="minorHAnsi" w:cstheme="minorHAnsi"/>
          <w:sz w:val="22"/>
          <w:szCs w:val="22"/>
        </w:rPr>
        <w:t xml:space="preserve"> </w:t>
      </w:r>
      <w:r w:rsidR="00D63480" w:rsidRPr="00F3081A">
        <w:rPr>
          <w:rFonts w:asciiTheme="minorHAnsi" w:hAnsiTheme="minorHAnsi" w:cstheme="minorHAnsi"/>
          <w:sz w:val="22"/>
          <w:szCs w:val="22"/>
        </w:rPr>
        <w:t>systems approach.</w:t>
      </w:r>
      <w:r w:rsidR="00CC5236">
        <w:rPr>
          <w:rFonts w:asciiTheme="minorHAnsi" w:hAnsiTheme="minorHAnsi" w:cstheme="minorHAnsi"/>
          <w:sz w:val="22"/>
          <w:szCs w:val="22"/>
        </w:rPr>
        <w:t xml:space="preserve"> </w:t>
      </w:r>
    </w:p>
    <w:p w:rsidR="00CE4C20" w:rsidRDefault="00775E13" w:rsidP="00CE4C20">
      <w:pPr>
        <w:pStyle w:val="ListBullet"/>
        <w:tabs>
          <w:tab w:val="clear" w:pos="284"/>
        </w:tabs>
        <w:rPr>
          <w:rFonts w:asciiTheme="minorHAnsi" w:hAnsiTheme="minorHAnsi" w:cstheme="minorHAnsi"/>
          <w:sz w:val="22"/>
          <w:szCs w:val="22"/>
        </w:rPr>
      </w:pPr>
      <w:r w:rsidRPr="00380311">
        <w:rPr>
          <w:rFonts w:asciiTheme="minorHAnsi" w:hAnsiTheme="minorHAnsi" w:cstheme="minorHAnsi"/>
          <w:noProof/>
          <w:sz w:val="22"/>
          <w:szCs w:val="22"/>
        </w:rPr>
        <mc:AlternateContent>
          <mc:Choice Requires="wps">
            <w:drawing>
              <wp:anchor distT="0" distB="0" distL="114300" distR="114300" simplePos="0" relativeHeight="251702272" behindDoc="0" locked="0" layoutInCell="1" allowOverlap="1" wp14:anchorId="05C95915" wp14:editId="186B4064">
                <wp:simplePos x="0" y="0"/>
                <wp:positionH relativeFrom="column">
                  <wp:posOffset>-24765</wp:posOffset>
                </wp:positionH>
                <wp:positionV relativeFrom="paragraph">
                  <wp:posOffset>988695</wp:posOffset>
                </wp:positionV>
                <wp:extent cx="6038850" cy="187642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76425"/>
                        </a:xfrm>
                        <a:prstGeom prst="rect">
                          <a:avLst/>
                        </a:prstGeom>
                        <a:solidFill>
                          <a:srgbClr val="FFFFFF"/>
                        </a:solidFill>
                        <a:ln w="9525">
                          <a:solidFill>
                            <a:srgbClr val="000000"/>
                          </a:solidFill>
                          <a:miter lim="800000"/>
                          <a:headEnd/>
                          <a:tailEnd/>
                        </a:ln>
                      </wps:spPr>
                      <wps:txbx>
                        <w:txbxContent>
                          <w:p w:rsidR="004E09A7" w:rsidRPr="00FD036B" w:rsidRDefault="004E09A7" w:rsidP="00380311">
                            <w:pPr>
                              <w:rPr>
                                <w:rFonts w:cs="Calibri"/>
                                <w:color w:val="auto"/>
                              </w:rPr>
                            </w:pPr>
                            <w:r w:rsidRPr="006F02C8">
                              <w:rPr>
                                <w:rFonts w:cs="Calibri"/>
                                <w:color w:val="auto"/>
                              </w:rPr>
                              <w:t>Malnutrition is a key challenge in Timor-Leste</w:t>
                            </w:r>
                            <w:r>
                              <w:rPr>
                                <w:rFonts w:cs="Calibri"/>
                                <w:color w:val="auto"/>
                              </w:rPr>
                              <w:t xml:space="preserve"> with fifty per cent of children stunted.</w:t>
                            </w:r>
                            <w:r w:rsidRPr="006F02C8">
                              <w:rPr>
                                <w:rFonts w:cs="Calibri"/>
                                <w:color w:val="auto"/>
                              </w:rPr>
                              <w:t xml:space="preserve"> In 2015-16, we commenced a </w:t>
                            </w:r>
                            <w:r w:rsidRPr="009549E3">
                              <w:rPr>
                                <w:rFonts w:cs="Calibri"/>
                                <w:b/>
                                <w:color w:val="auto"/>
                              </w:rPr>
                              <w:t>multi-sector</w:t>
                            </w:r>
                            <w:r>
                              <w:rPr>
                                <w:rFonts w:cs="Calibri"/>
                                <w:b/>
                                <w:color w:val="auto"/>
                              </w:rPr>
                              <w:t xml:space="preserve"> </w:t>
                            </w:r>
                            <w:r w:rsidRPr="009549E3">
                              <w:rPr>
                                <w:rFonts w:cs="Calibri"/>
                                <w:color w:val="auto"/>
                              </w:rPr>
                              <w:t xml:space="preserve">and </w:t>
                            </w:r>
                            <w:r>
                              <w:rPr>
                                <w:rFonts w:cs="Calibri"/>
                                <w:b/>
                                <w:color w:val="auto"/>
                              </w:rPr>
                              <w:t>innovative</w:t>
                            </w:r>
                            <w:r w:rsidRPr="009549E3">
                              <w:rPr>
                                <w:rFonts w:cs="Calibri"/>
                                <w:b/>
                                <w:color w:val="auto"/>
                              </w:rPr>
                              <w:t xml:space="preserve"> nutrition program</w:t>
                            </w:r>
                            <w:r w:rsidRPr="006F02C8">
                              <w:rPr>
                                <w:rFonts w:cs="Calibri"/>
                                <w:color w:val="auto"/>
                              </w:rPr>
                              <w:t xml:space="preserve"> in partnership</w:t>
                            </w:r>
                            <w:r>
                              <w:rPr>
                                <w:rFonts w:cs="Calibri"/>
                                <w:color w:val="auto"/>
                              </w:rPr>
                              <w:t xml:space="preserve"> with</w:t>
                            </w:r>
                            <w:r w:rsidRPr="006F02C8">
                              <w:rPr>
                                <w:rFonts w:cs="Calibri"/>
                                <w:color w:val="auto"/>
                              </w:rPr>
                              <w:t xml:space="preserve"> </w:t>
                            </w:r>
                            <w:r w:rsidRPr="009F12CE">
                              <w:rPr>
                                <w:rFonts w:cs="Calibri"/>
                                <w:color w:val="auto"/>
                              </w:rPr>
                              <w:t xml:space="preserve">19 existing </w:t>
                            </w:r>
                            <w:r>
                              <w:rPr>
                                <w:rFonts w:cs="Calibri"/>
                                <w:color w:val="auto"/>
                              </w:rPr>
                              <w:t xml:space="preserve">government and non-government </w:t>
                            </w:r>
                            <w:r w:rsidRPr="009F12CE">
                              <w:rPr>
                                <w:rFonts w:cs="Calibri"/>
                                <w:color w:val="auto"/>
                              </w:rPr>
                              <w:t>partners</w:t>
                            </w:r>
                            <w:r w:rsidRPr="006F02C8">
                              <w:rPr>
                                <w:rFonts w:cs="Calibri"/>
                                <w:color w:val="auto"/>
                              </w:rPr>
                              <w:t>, called ‘Hamutuk’ ($4.3 million</w:t>
                            </w:r>
                            <w:r>
                              <w:rPr>
                                <w:rFonts w:cs="Calibri"/>
                                <w:color w:val="auto"/>
                              </w:rPr>
                              <w:t>,</w:t>
                            </w:r>
                            <w:r w:rsidRPr="006F02C8">
                              <w:rPr>
                                <w:rFonts w:cs="Calibri"/>
                                <w:color w:val="auto"/>
                              </w:rPr>
                              <w:t xml:space="preserve"> 2015-18)</w:t>
                            </w:r>
                            <w:r>
                              <w:rPr>
                                <w:rFonts w:cs="Calibri"/>
                                <w:color w:val="auto"/>
                              </w:rPr>
                              <w:t xml:space="preserve">. The program is collaborating with the Australian Department of Prime Minister and Cabinet’s Behavioural Insights Unit to develop behaviour change interventions and targeted messaging that make existing activities </w:t>
                            </w:r>
                            <w:r w:rsidRPr="006F02C8">
                              <w:rPr>
                                <w:rFonts w:cs="Calibri"/>
                                <w:color w:val="auto"/>
                              </w:rPr>
                              <w:t>in agriculture, water, sanitation, hygiene, health and education</w:t>
                            </w:r>
                            <w:r>
                              <w:rPr>
                                <w:rFonts w:cs="Calibri"/>
                                <w:color w:val="auto"/>
                              </w:rPr>
                              <w:t xml:space="preserve"> more nutrition sensitive. </w:t>
                            </w:r>
                            <w:r w:rsidRPr="006F02C8">
                              <w:rPr>
                                <w:rFonts w:cs="Calibri"/>
                                <w:color w:val="auto"/>
                              </w:rPr>
                              <w:t xml:space="preserve">With the support of DFAT’s InnovationXchange, </w:t>
                            </w:r>
                            <w:r>
                              <w:rPr>
                                <w:rFonts w:cs="Calibri"/>
                                <w:color w:val="auto"/>
                              </w:rPr>
                              <w:t xml:space="preserve">the program will </w:t>
                            </w:r>
                            <w:r w:rsidRPr="006F02C8">
                              <w:rPr>
                                <w:rFonts w:cstheme="minorHAnsi"/>
                                <w:color w:val="auto"/>
                              </w:rPr>
                              <w:t>test a range of technologies to</w:t>
                            </w:r>
                            <w:r>
                              <w:rPr>
                                <w:rFonts w:cstheme="minorHAnsi"/>
                                <w:color w:val="auto"/>
                              </w:rPr>
                              <w:t xml:space="preserve"> improve information sharing and coordination between partners and to speed up monitoring.</w:t>
                            </w:r>
                            <w:r>
                              <w:rPr>
                                <w:rFonts w:cs="Calibri"/>
                                <w:color w:val="auto"/>
                              </w:rPr>
                              <w:t xml:space="preserve"> For example, e</w:t>
                            </w:r>
                            <w:r>
                              <w:rPr>
                                <w:rFonts w:cstheme="minorHAnsi"/>
                                <w:color w:val="auto"/>
                              </w:rPr>
                              <w:t xml:space="preserve">ach household will have its own QR code which, when scanned, will provide data on recent visits, real-time statistics and reminders to reinforce core behaviour change messages. </w:t>
                            </w:r>
                          </w:p>
                          <w:p w:rsidR="004E09A7" w:rsidRPr="006F02C8" w:rsidRDefault="004E09A7">
                            <w:pPr>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5pt;margin-top:77.85pt;width:475.5pt;height:14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">
                <v:textbox>
                  <w:txbxContent>
                    <w:p w:rsidR="004E09A7" w:rsidRPr="00FD036B" w:rsidRDefault="004E09A7" w:rsidP="00380311">
                      <w:pPr>
                        <w:rPr>
                          <w:rFonts w:cs="Calibri"/>
                          <w:color w:val="auto"/>
                        </w:rPr>
                      </w:pPr>
                      <w:r w:rsidRPr="006F02C8">
                        <w:rPr>
                          <w:rFonts w:cs="Calibri"/>
                          <w:color w:val="auto"/>
                        </w:rPr>
                        <w:t>Malnutrition is a key challenge in Timor-Leste</w:t>
                      </w:r>
                      <w:r>
                        <w:rPr>
                          <w:rFonts w:cs="Calibri"/>
                          <w:color w:val="auto"/>
                        </w:rPr>
                        <w:t xml:space="preserve"> with fifty per cent of children stunted.</w:t>
                      </w:r>
                      <w:r w:rsidRPr="006F02C8">
                        <w:rPr>
                          <w:rFonts w:cs="Calibri"/>
                          <w:color w:val="auto"/>
                        </w:rPr>
                        <w:t xml:space="preserve"> In 2015-16, we commenced a </w:t>
                      </w:r>
                      <w:r w:rsidRPr="009549E3">
                        <w:rPr>
                          <w:rFonts w:cs="Calibri"/>
                          <w:b/>
                          <w:color w:val="auto"/>
                        </w:rPr>
                        <w:t>multi-sector</w:t>
                      </w:r>
                      <w:r>
                        <w:rPr>
                          <w:rFonts w:cs="Calibri"/>
                          <w:b/>
                          <w:color w:val="auto"/>
                        </w:rPr>
                        <w:t xml:space="preserve"> </w:t>
                      </w:r>
                      <w:r w:rsidRPr="009549E3">
                        <w:rPr>
                          <w:rFonts w:cs="Calibri"/>
                          <w:color w:val="auto"/>
                        </w:rPr>
                        <w:t xml:space="preserve">and </w:t>
                      </w:r>
                      <w:r>
                        <w:rPr>
                          <w:rFonts w:cs="Calibri"/>
                          <w:b/>
                          <w:color w:val="auto"/>
                        </w:rPr>
                        <w:t>innovative</w:t>
                      </w:r>
                      <w:r w:rsidRPr="009549E3">
                        <w:rPr>
                          <w:rFonts w:cs="Calibri"/>
                          <w:b/>
                          <w:color w:val="auto"/>
                        </w:rPr>
                        <w:t xml:space="preserve"> nutrition program</w:t>
                      </w:r>
                      <w:r w:rsidRPr="006F02C8">
                        <w:rPr>
                          <w:rFonts w:cs="Calibri"/>
                          <w:color w:val="auto"/>
                        </w:rPr>
                        <w:t xml:space="preserve"> in partnership</w:t>
                      </w:r>
                      <w:r>
                        <w:rPr>
                          <w:rFonts w:cs="Calibri"/>
                          <w:color w:val="auto"/>
                        </w:rPr>
                        <w:t xml:space="preserve"> with</w:t>
                      </w:r>
                      <w:r w:rsidRPr="006F02C8">
                        <w:rPr>
                          <w:rFonts w:cs="Calibri"/>
                          <w:color w:val="auto"/>
                        </w:rPr>
                        <w:t xml:space="preserve"> </w:t>
                      </w:r>
                      <w:r w:rsidRPr="009F12CE">
                        <w:rPr>
                          <w:rFonts w:cs="Calibri"/>
                          <w:color w:val="auto"/>
                        </w:rPr>
                        <w:t xml:space="preserve">19 existing </w:t>
                      </w:r>
                      <w:r>
                        <w:rPr>
                          <w:rFonts w:cs="Calibri"/>
                          <w:color w:val="auto"/>
                        </w:rPr>
                        <w:t xml:space="preserve">government and non-government </w:t>
                      </w:r>
                      <w:r w:rsidRPr="009F12CE">
                        <w:rPr>
                          <w:rFonts w:cs="Calibri"/>
                          <w:color w:val="auto"/>
                        </w:rPr>
                        <w:t>partners</w:t>
                      </w:r>
                      <w:r w:rsidRPr="006F02C8">
                        <w:rPr>
                          <w:rFonts w:cs="Calibri"/>
                          <w:color w:val="auto"/>
                        </w:rPr>
                        <w:t>, called ‘Hamutuk’ ($4.3 million</w:t>
                      </w:r>
                      <w:r>
                        <w:rPr>
                          <w:rFonts w:cs="Calibri"/>
                          <w:color w:val="auto"/>
                        </w:rPr>
                        <w:t>,</w:t>
                      </w:r>
                      <w:r w:rsidRPr="006F02C8">
                        <w:rPr>
                          <w:rFonts w:cs="Calibri"/>
                          <w:color w:val="auto"/>
                        </w:rPr>
                        <w:t xml:space="preserve"> 2015-18)</w:t>
                      </w:r>
                      <w:r>
                        <w:rPr>
                          <w:rFonts w:cs="Calibri"/>
                          <w:color w:val="auto"/>
                        </w:rPr>
                        <w:t xml:space="preserve">. The program is collaborating with the Australian Department of Prime Minister and Cabinet’s Behavioural Insights Unit to develop behaviour change interventions and targeted messaging that make existing activities </w:t>
                      </w:r>
                      <w:r w:rsidRPr="006F02C8">
                        <w:rPr>
                          <w:rFonts w:cs="Calibri"/>
                          <w:color w:val="auto"/>
                        </w:rPr>
                        <w:t>in agriculture, water, sanitation, hygiene, health and education</w:t>
                      </w:r>
                      <w:r>
                        <w:rPr>
                          <w:rFonts w:cs="Calibri"/>
                          <w:color w:val="auto"/>
                        </w:rPr>
                        <w:t xml:space="preserve"> more nutrition sensitive. </w:t>
                      </w:r>
                      <w:r w:rsidRPr="006F02C8">
                        <w:rPr>
                          <w:rFonts w:cs="Calibri"/>
                          <w:color w:val="auto"/>
                        </w:rPr>
                        <w:t xml:space="preserve">With the support of DFAT’s InnovationXchange, </w:t>
                      </w:r>
                      <w:r>
                        <w:rPr>
                          <w:rFonts w:cs="Calibri"/>
                          <w:color w:val="auto"/>
                        </w:rPr>
                        <w:t xml:space="preserve">the program will </w:t>
                      </w:r>
                      <w:r w:rsidRPr="006F02C8">
                        <w:rPr>
                          <w:rFonts w:cstheme="minorHAnsi"/>
                          <w:color w:val="auto"/>
                        </w:rPr>
                        <w:t>test a range of technologies to</w:t>
                      </w:r>
                      <w:r>
                        <w:rPr>
                          <w:rFonts w:cstheme="minorHAnsi"/>
                          <w:color w:val="auto"/>
                        </w:rPr>
                        <w:t xml:space="preserve"> improve information sharing and coordination between partners and to speed up monitoring.</w:t>
                      </w:r>
                      <w:r>
                        <w:rPr>
                          <w:rFonts w:cs="Calibri"/>
                          <w:color w:val="auto"/>
                        </w:rPr>
                        <w:t xml:space="preserve"> For example, e</w:t>
                      </w:r>
                      <w:r>
                        <w:rPr>
                          <w:rFonts w:cstheme="minorHAnsi"/>
                          <w:color w:val="auto"/>
                        </w:rPr>
                        <w:t xml:space="preserve">ach household will have its own QR code which, when scanned, will provide data on recent visits, real-time statistics and reminders to reinforce core behaviour change messages. </w:t>
                      </w:r>
                    </w:p>
                    <w:p w:rsidR="004E09A7" w:rsidRPr="006F02C8" w:rsidRDefault="004E09A7">
                      <w:pPr>
                        <w:rPr>
                          <w:color w:val="auto"/>
                        </w:rPr>
                      </w:pPr>
                    </w:p>
                  </w:txbxContent>
                </v:textbox>
                <w10:wrap type="square"/>
              </v:shape>
            </w:pict>
          </mc:Fallback>
        </mc:AlternateContent>
      </w:r>
      <w:r w:rsidR="00CE4C20" w:rsidRPr="008D7A89">
        <w:rPr>
          <w:rFonts w:asciiTheme="minorHAnsi" w:hAnsiTheme="minorHAnsi" w:cstheme="minorHAnsi"/>
          <w:b/>
          <w:sz w:val="22"/>
          <w:szCs w:val="22"/>
        </w:rPr>
        <w:t>Management response:</w:t>
      </w:r>
      <w:r w:rsidR="00CE4C20" w:rsidRPr="00F3081A">
        <w:rPr>
          <w:rFonts w:asciiTheme="minorHAnsi" w:hAnsiTheme="minorHAnsi" w:cstheme="minorHAnsi"/>
          <w:sz w:val="22"/>
          <w:szCs w:val="22"/>
        </w:rPr>
        <w:t xml:space="preserve"> </w:t>
      </w:r>
      <w:r w:rsidR="00CE4C20">
        <w:rPr>
          <w:rFonts w:asciiTheme="minorHAnsi" w:hAnsiTheme="minorHAnsi" w:cstheme="minorHAnsi"/>
          <w:sz w:val="22"/>
          <w:szCs w:val="22"/>
        </w:rPr>
        <w:t xml:space="preserve">DFAT’s main priority in 2016-17 will be to </w:t>
      </w:r>
      <w:r w:rsidR="00CE4C20" w:rsidRPr="00F3081A">
        <w:rPr>
          <w:rFonts w:asciiTheme="minorHAnsi" w:hAnsiTheme="minorHAnsi" w:cstheme="minorHAnsi"/>
          <w:sz w:val="22"/>
          <w:szCs w:val="22"/>
        </w:rPr>
        <w:t>support implementation of TOMAK</w:t>
      </w:r>
      <w:r w:rsidR="00CE4C20">
        <w:rPr>
          <w:rFonts w:asciiTheme="minorHAnsi" w:hAnsiTheme="minorHAnsi" w:cstheme="minorHAnsi"/>
          <w:sz w:val="22"/>
          <w:szCs w:val="22"/>
        </w:rPr>
        <w:t xml:space="preserve"> during its </w:t>
      </w:r>
      <w:r w:rsidR="00CE4C20" w:rsidRPr="00F3081A">
        <w:rPr>
          <w:rFonts w:asciiTheme="minorHAnsi" w:hAnsiTheme="minorHAnsi" w:cstheme="minorHAnsi"/>
          <w:sz w:val="22"/>
          <w:szCs w:val="22"/>
        </w:rPr>
        <w:t>inception period</w:t>
      </w:r>
      <w:r w:rsidR="00CE4C20">
        <w:rPr>
          <w:rFonts w:asciiTheme="minorHAnsi" w:hAnsiTheme="minorHAnsi" w:cstheme="minorHAnsi"/>
          <w:sz w:val="22"/>
          <w:szCs w:val="22"/>
        </w:rPr>
        <w:t xml:space="preserve"> with a focus on nutrition and its linkages across the whole bilateral program. </w:t>
      </w:r>
      <w:r w:rsidR="00CE4C20" w:rsidRPr="00F3081A">
        <w:rPr>
          <w:rFonts w:asciiTheme="minorHAnsi" w:hAnsiTheme="minorHAnsi" w:cstheme="minorHAnsi"/>
          <w:sz w:val="22"/>
          <w:szCs w:val="22"/>
        </w:rPr>
        <w:t>DFAT</w:t>
      </w:r>
      <w:r w:rsidR="00CE4C20">
        <w:rPr>
          <w:rFonts w:asciiTheme="minorHAnsi" w:hAnsiTheme="minorHAnsi" w:cstheme="minorHAnsi"/>
          <w:sz w:val="22"/>
          <w:szCs w:val="22"/>
        </w:rPr>
        <w:t xml:space="preserve"> will also use its position as the donor representative on the National Seed Council and Australia’s close relationship with </w:t>
      </w:r>
      <w:r w:rsidR="00DB37CB">
        <w:rPr>
          <w:rFonts w:asciiTheme="minorHAnsi" w:hAnsiTheme="minorHAnsi" w:cstheme="minorHAnsi"/>
          <w:sz w:val="22"/>
          <w:szCs w:val="22"/>
        </w:rPr>
        <w:t>MAF</w:t>
      </w:r>
      <w:r w:rsidR="00CE4C20">
        <w:rPr>
          <w:rFonts w:asciiTheme="minorHAnsi" w:hAnsiTheme="minorHAnsi" w:cstheme="minorHAnsi"/>
          <w:sz w:val="22"/>
          <w:szCs w:val="22"/>
        </w:rPr>
        <w:t>, including through TOMAK and ACIAR’s programs</w:t>
      </w:r>
      <w:r w:rsidR="00CE4C20" w:rsidRPr="00F3081A">
        <w:rPr>
          <w:rFonts w:asciiTheme="minorHAnsi" w:hAnsiTheme="minorHAnsi" w:cstheme="minorHAnsi"/>
          <w:sz w:val="22"/>
          <w:szCs w:val="22"/>
        </w:rPr>
        <w:t xml:space="preserve"> to monitor and advocate for the sustainability of the NSS</w:t>
      </w:r>
      <w:r w:rsidR="00CE4C20">
        <w:rPr>
          <w:rFonts w:asciiTheme="minorHAnsi" w:hAnsiTheme="minorHAnsi" w:cstheme="minorHAnsi"/>
          <w:sz w:val="22"/>
          <w:szCs w:val="22"/>
        </w:rPr>
        <w:t xml:space="preserve">. </w:t>
      </w:r>
    </w:p>
    <w:p w:rsidR="00207470" w:rsidRDefault="00EE1AAE" w:rsidP="00F3081A">
      <w:pPr>
        <w:pStyle w:val="ListBullet"/>
        <w:tabs>
          <w:tab w:val="clear" w:pos="284"/>
        </w:tabs>
        <w:rPr>
          <w:rFonts w:asciiTheme="minorHAnsi" w:hAnsiTheme="minorHAnsi" w:cstheme="minorHAnsi"/>
          <w:i/>
          <w:sz w:val="22"/>
          <w:szCs w:val="22"/>
        </w:rPr>
      </w:pPr>
      <w:r>
        <w:rPr>
          <w:rFonts w:asciiTheme="minorHAnsi" w:hAnsiTheme="minorHAnsi" w:cstheme="minorHAnsi"/>
          <w:i/>
          <w:sz w:val="22"/>
          <w:szCs w:val="22"/>
        </w:rPr>
        <w:t xml:space="preserve">Other Livelihood Investments </w:t>
      </w:r>
    </w:p>
    <w:p w:rsidR="004C5A11" w:rsidRDefault="004C5A11" w:rsidP="004C5A11">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Australia </w:t>
      </w:r>
      <w:r w:rsidR="00705B16">
        <w:rPr>
          <w:rFonts w:asciiTheme="minorHAnsi" w:hAnsiTheme="minorHAnsi" w:cstheme="minorHAnsi"/>
          <w:sz w:val="22"/>
          <w:szCs w:val="22"/>
        </w:rPr>
        <w:t xml:space="preserve">continued to </w:t>
      </w:r>
      <w:r w:rsidR="002A299B">
        <w:rPr>
          <w:rFonts w:asciiTheme="minorHAnsi" w:hAnsiTheme="minorHAnsi" w:cstheme="minorHAnsi"/>
          <w:sz w:val="22"/>
          <w:szCs w:val="22"/>
        </w:rPr>
        <w:t>support</w:t>
      </w:r>
      <w:r>
        <w:rPr>
          <w:rFonts w:asciiTheme="minorHAnsi" w:hAnsiTheme="minorHAnsi" w:cstheme="minorHAnsi"/>
          <w:sz w:val="22"/>
          <w:szCs w:val="22"/>
        </w:rPr>
        <w:t xml:space="preserve"> the development of Timor-Leste’s private sector, particularly through </w:t>
      </w:r>
      <w:r w:rsidRPr="007554E0">
        <w:rPr>
          <w:rFonts w:asciiTheme="minorHAnsi" w:hAnsiTheme="minorHAnsi" w:cstheme="minorHAnsi"/>
          <w:sz w:val="22"/>
          <w:szCs w:val="22"/>
        </w:rPr>
        <w:t xml:space="preserve">the </w:t>
      </w:r>
      <w:r w:rsidRPr="00BF41E9">
        <w:rPr>
          <w:rFonts w:asciiTheme="minorHAnsi" w:hAnsiTheme="minorHAnsi" w:cstheme="minorHAnsi"/>
          <w:b/>
          <w:sz w:val="22"/>
          <w:szCs w:val="22"/>
        </w:rPr>
        <w:t>Market Development Facility</w:t>
      </w:r>
      <w:r w:rsidR="00B05BF4">
        <w:rPr>
          <w:rFonts w:asciiTheme="minorHAnsi" w:hAnsiTheme="minorHAnsi" w:cstheme="minorHAnsi"/>
          <w:b/>
          <w:sz w:val="22"/>
          <w:szCs w:val="22"/>
        </w:rPr>
        <w:t xml:space="preserve"> </w:t>
      </w:r>
      <w:r>
        <w:rPr>
          <w:rFonts w:asciiTheme="minorHAnsi" w:hAnsiTheme="minorHAnsi" w:cstheme="minorHAnsi"/>
          <w:sz w:val="22"/>
          <w:szCs w:val="22"/>
        </w:rPr>
        <w:t>(MDF</w:t>
      </w:r>
      <w:r w:rsidR="000A0600">
        <w:rPr>
          <w:rFonts w:asciiTheme="minorHAnsi" w:hAnsiTheme="minorHAnsi" w:cstheme="minorHAnsi"/>
          <w:sz w:val="22"/>
          <w:szCs w:val="22"/>
        </w:rPr>
        <w:t xml:space="preserve"> $8 million, 2013-18</w:t>
      </w:r>
      <w:r>
        <w:rPr>
          <w:rFonts w:asciiTheme="minorHAnsi" w:hAnsiTheme="minorHAnsi" w:cstheme="minorHAnsi"/>
          <w:sz w:val="22"/>
          <w:szCs w:val="22"/>
        </w:rPr>
        <w:t xml:space="preserve">). MDF created </w:t>
      </w:r>
      <w:r w:rsidR="000B27D8">
        <w:rPr>
          <w:rFonts w:asciiTheme="minorHAnsi" w:hAnsiTheme="minorHAnsi" w:cstheme="minorHAnsi"/>
          <w:sz w:val="22"/>
          <w:szCs w:val="22"/>
        </w:rPr>
        <w:t>more than</w:t>
      </w:r>
      <w:r>
        <w:rPr>
          <w:rFonts w:asciiTheme="minorHAnsi" w:hAnsiTheme="minorHAnsi" w:cstheme="minorHAnsi"/>
          <w:sz w:val="22"/>
          <w:szCs w:val="22"/>
        </w:rPr>
        <w:t xml:space="preserve"> $450,000 in additional income for 2,950 farmers (1160 men and 1790 women) and leveraged over $1,800,000 in additional private investment. Examples of MDF projects include:</w:t>
      </w:r>
    </w:p>
    <w:p w:rsidR="004C5A11" w:rsidRDefault="004C5A11" w:rsidP="004C5A11">
      <w:pPr>
        <w:pStyle w:val="ListBullet"/>
        <w:numPr>
          <w:ilvl w:val="0"/>
          <w:numId w:val="38"/>
        </w:numPr>
        <w:tabs>
          <w:tab w:val="clear" w:pos="284"/>
        </w:tabs>
        <w:rPr>
          <w:rFonts w:asciiTheme="minorHAnsi" w:hAnsiTheme="minorHAnsi" w:cstheme="minorHAnsi"/>
          <w:sz w:val="22"/>
          <w:szCs w:val="22"/>
        </w:rPr>
      </w:pPr>
      <w:r>
        <w:rPr>
          <w:rFonts w:asciiTheme="minorHAnsi" w:hAnsiTheme="minorHAnsi" w:cstheme="minorHAnsi"/>
          <w:sz w:val="22"/>
          <w:szCs w:val="22"/>
        </w:rPr>
        <w:t>Working with business partner Timor Global to introduce farm-gate testing for aflatoxin (a carcinogenic mould that reduces crop quality) that will mean farmers can produce higher quality maize that is safer to consume. This gives them access to more markets, including supplying Timorese producers that rely on imported crops</w:t>
      </w:r>
      <w:r w:rsidR="004249B4">
        <w:rPr>
          <w:rFonts w:asciiTheme="minorHAnsi" w:hAnsiTheme="minorHAnsi" w:cstheme="minorHAnsi"/>
          <w:sz w:val="22"/>
          <w:szCs w:val="22"/>
        </w:rPr>
        <w:t xml:space="preserve"> and</w:t>
      </w:r>
      <w:r>
        <w:rPr>
          <w:rFonts w:asciiTheme="minorHAnsi" w:hAnsiTheme="minorHAnsi" w:cstheme="minorHAnsi"/>
          <w:sz w:val="22"/>
          <w:szCs w:val="22"/>
        </w:rPr>
        <w:t xml:space="preserve"> improve farmer and consumer health</w:t>
      </w:r>
      <w:r w:rsidR="00705B16">
        <w:rPr>
          <w:rFonts w:asciiTheme="minorHAnsi" w:hAnsiTheme="minorHAnsi" w:cstheme="minorHAnsi"/>
          <w:sz w:val="22"/>
          <w:szCs w:val="22"/>
        </w:rPr>
        <w:t>.</w:t>
      </w:r>
    </w:p>
    <w:p w:rsidR="004C5A11" w:rsidRPr="00B15CB4" w:rsidRDefault="004C5A11" w:rsidP="004C5A11">
      <w:pPr>
        <w:pStyle w:val="ListBullet"/>
        <w:numPr>
          <w:ilvl w:val="0"/>
          <w:numId w:val="38"/>
        </w:numPr>
        <w:tabs>
          <w:tab w:val="clear" w:pos="284"/>
        </w:tabs>
        <w:rPr>
          <w:rFonts w:asciiTheme="minorHAnsi" w:hAnsiTheme="minorHAnsi" w:cstheme="minorHAnsi"/>
          <w:sz w:val="22"/>
          <w:szCs w:val="22"/>
        </w:rPr>
      </w:pPr>
      <w:r>
        <w:rPr>
          <w:rFonts w:asciiTheme="minorHAnsi" w:hAnsiTheme="minorHAnsi" w:cstheme="minorHAnsi"/>
          <w:sz w:val="22"/>
          <w:szCs w:val="22"/>
        </w:rPr>
        <w:t>Partnering with Loja Agi Agricultura, a Dili-based agricultural supply company to make female farmers more productive (for example, teaching safer pesticide spraying and ways to irrigate without carrying water by hand over long dista</w:t>
      </w:r>
      <w:r w:rsidR="003D7CB7">
        <w:rPr>
          <w:rFonts w:asciiTheme="minorHAnsi" w:hAnsiTheme="minorHAnsi" w:cstheme="minorHAnsi"/>
          <w:sz w:val="22"/>
          <w:szCs w:val="22"/>
        </w:rPr>
        <w:t>nces). Women are involved in 40 per cent</w:t>
      </w:r>
      <w:r>
        <w:rPr>
          <w:rFonts w:asciiTheme="minorHAnsi" w:hAnsiTheme="minorHAnsi" w:cstheme="minorHAnsi"/>
          <w:sz w:val="22"/>
          <w:szCs w:val="22"/>
        </w:rPr>
        <w:t xml:space="preserve"> of all agricultural roles, but are often not targeted by suppliers and are constrained by a lack of access to good information. This work boosts sales of agricultural products, improves farm productivity and supports women to </w:t>
      </w:r>
      <w:r w:rsidR="00B53F67">
        <w:rPr>
          <w:rFonts w:asciiTheme="minorHAnsi" w:hAnsiTheme="minorHAnsi" w:cstheme="minorHAnsi"/>
          <w:sz w:val="22"/>
          <w:szCs w:val="22"/>
        </w:rPr>
        <w:t xml:space="preserve">access and </w:t>
      </w:r>
      <w:r>
        <w:rPr>
          <w:rFonts w:asciiTheme="minorHAnsi" w:hAnsiTheme="minorHAnsi" w:cstheme="minorHAnsi"/>
          <w:sz w:val="22"/>
          <w:szCs w:val="22"/>
        </w:rPr>
        <w:t>contribute to the</w:t>
      </w:r>
      <w:r w:rsidR="00B53F67">
        <w:rPr>
          <w:rFonts w:asciiTheme="minorHAnsi" w:hAnsiTheme="minorHAnsi" w:cstheme="minorHAnsi"/>
          <w:sz w:val="22"/>
          <w:szCs w:val="22"/>
        </w:rPr>
        <w:t xml:space="preserve"> formal</w:t>
      </w:r>
      <w:r>
        <w:rPr>
          <w:rFonts w:asciiTheme="minorHAnsi" w:hAnsiTheme="minorHAnsi" w:cstheme="minorHAnsi"/>
          <w:sz w:val="22"/>
          <w:szCs w:val="22"/>
        </w:rPr>
        <w:t xml:space="preserve"> economy.</w:t>
      </w:r>
    </w:p>
    <w:p w:rsidR="004C5A11" w:rsidRDefault="00831E97" w:rsidP="001A3F71">
      <w:pPr>
        <w:pStyle w:val="ListBullet"/>
        <w:tabs>
          <w:tab w:val="clear" w:pos="284"/>
        </w:tabs>
        <w:rPr>
          <w:rFonts w:asciiTheme="minorHAnsi" w:hAnsiTheme="minorHAnsi" w:cstheme="minorHAnsi"/>
          <w:sz w:val="22"/>
          <w:szCs w:val="22"/>
        </w:rPr>
      </w:pPr>
      <w:r w:rsidRPr="00A02FC7">
        <w:rPr>
          <w:rFonts w:asciiTheme="minorHAnsi" w:hAnsiTheme="minorHAnsi" w:cstheme="minorHAnsi"/>
          <w:sz w:val="22"/>
          <w:szCs w:val="22"/>
        </w:rPr>
        <w:t xml:space="preserve">In 2016, the Timor-Leste program consolidated its various skills development programs </w:t>
      </w:r>
      <w:r w:rsidR="00F81155" w:rsidRPr="00A02FC7">
        <w:rPr>
          <w:rFonts w:asciiTheme="minorHAnsi" w:hAnsiTheme="minorHAnsi" w:cstheme="minorHAnsi"/>
          <w:sz w:val="22"/>
          <w:szCs w:val="22"/>
        </w:rPr>
        <w:t>(scholarships, English language training</w:t>
      </w:r>
      <w:r w:rsidR="00A02FC7" w:rsidRPr="00A02FC7">
        <w:rPr>
          <w:rFonts w:asciiTheme="minorHAnsi" w:hAnsiTheme="minorHAnsi" w:cstheme="minorHAnsi"/>
          <w:sz w:val="22"/>
          <w:szCs w:val="22"/>
        </w:rPr>
        <w:t xml:space="preserve">, </w:t>
      </w:r>
      <w:r w:rsidR="00F81155" w:rsidRPr="00A02FC7">
        <w:rPr>
          <w:rFonts w:asciiTheme="minorHAnsi" w:hAnsiTheme="minorHAnsi" w:cstheme="minorHAnsi"/>
          <w:sz w:val="22"/>
          <w:szCs w:val="22"/>
        </w:rPr>
        <w:t>youth employment</w:t>
      </w:r>
      <w:r w:rsidR="00303E5D" w:rsidRPr="00A02FC7">
        <w:rPr>
          <w:rFonts w:asciiTheme="minorHAnsi" w:hAnsiTheme="minorHAnsi" w:cstheme="minorHAnsi"/>
          <w:sz w:val="22"/>
          <w:szCs w:val="22"/>
        </w:rPr>
        <w:t xml:space="preserve"> training</w:t>
      </w:r>
      <w:r w:rsidR="00A02FC7" w:rsidRPr="00A02FC7">
        <w:rPr>
          <w:rFonts w:asciiTheme="minorHAnsi" w:hAnsiTheme="minorHAnsi" w:cstheme="minorHAnsi"/>
          <w:sz w:val="22"/>
          <w:szCs w:val="22"/>
        </w:rPr>
        <w:t xml:space="preserve"> </w:t>
      </w:r>
      <w:r w:rsidR="00B05BF4">
        <w:rPr>
          <w:rFonts w:asciiTheme="minorHAnsi" w:hAnsiTheme="minorHAnsi" w:cstheme="minorHAnsi"/>
          <w:sz w:val="22"/>
          <w:szCs w:val="22"/>
        </w:rPr>
        <w:t xml:space="preserve">and </w:t>
      </w:r>
      <w:r w:rsidR="00A02FC7" w:rsidRPr="00A02FC7">
        <w:rPr>
          <w:rFonts w:asciiTheme="minorHAnsi" w:hAnsiTheme="minorHAnsi" w:cstheme="minorHAnsi"/>
          <w:sz w:val="22"/>
          <w:szCs w:val="22"/>
        </w:rPr>
        <w:t>preparing Timorese for the Seasonal Worker Program</w:t>
      </w:r>
      <w:r w:rsidR="00F81155" w:rsidRPr="00A02FC7">
        <w:rPr>
          <w:rFonts w:asciiTheme="minorHAnsi" w:hAnsiTheme="minorHAnsi" w:cstheme="minorHAnsi"/>
          <w:sz w:val="22"/>
          <w:szCs w:val="22"/>
        </w:rPr>
        <w:t xml:space="preserve">) </w:t>
      </w:r>
      <w:r w:rsidRPr="00A02FC7">
        <w:rPr>
          <w:rFonts w:asciiTheme="minorHAnsi" w:hAnsiTheme="minorHAnsi" w:cstheme="minorHAnsi"/>
          <w:sz w:val="22"/>
          <w:szCs w:val="22"/>
        </w:rPr>
        <w:t xml:space="preserve">into one </w:t>
      </w:r>
      <w:r w:rsidRPr="001A3F71">
        <w:rPr>
          <w:rFonts w:asciiTheme="minorHAnsi" w:hAnsiTheme="minorHAnsi" w:cstheme="minorHAnsi"/>
          <w:b/>
          <w:sz w:val="22"/>
          <w:szCs w:val="22"/>
        </w:rPr>
        <w:t>W</w:t>
      </w:r>
      <w:r w:rsidR="00A02FC7" w:rsidRPr="001A3F71">
        <w:rPr>
          <w:rFonts w:asciiTheme="minorHAnsi" w:hAnsiTheme="minorHAnsi" w:cstheme="minorHAnsi"/>
          <w:b/>
          <w:sz w:val="22"/>
          <w:szCs w:val="22"/>
        </w:rPr>
        <w:t>orkforce Development Program</w:t>
      </w:r>
      <w:r w:rsidR="008C32AE" w:rsidRPr="00D8342B">
        <w:rPr>
          <w:rFonts w:asciiTheme="minorHAnsi" w:hAnsiTheme="minorHAnsi" w:cstheme="minorHAnsi"/>
          <w:sz w:val="22"/>
          <w:szCs w:val="22"/>
        </w:rPr>
        <w:t xml:space="preserve"> ($</w:t>
      </w:r>
      <w:r w:rsidR="008C32AE">
        <w:rPr>
          <w:rFonts w:asciiTheme="minorHAnsi" w:hAnsiTheme="minorHAnsi" w:cstheme="minorHAnsi"/>
          <w:sz w:val="22"/>
          <w:szCs w:val="22"/>
        </w:rPr>
        <w:t>13 million, 2014-19)</w:t>
      </w:r>
      <w:r w:rsidR="00A02FC7">
        <w:rPr>
          <w:rFonts w:asciiTheme="minorHAnsi" w:hAnsiTheme="minorHAnsi" w:cstheme="minorHAnsi"/>
          <w:sz w:val="22"/>
          <w:szCs w:val="22"/>
        </w:rPr>
        <w:t xml:space="preserve">. </w:t>
      </w:r>
      <w:r w:rsidR="001A3F71">
        <w:rPr>
          <w:rFonts w:asciiTheme="minorHAnsi" w:hAnsiTheme="minorHAnsi" w:cstheme="minorHAnsi"/>
          <w:sz w:val="22"/>
          <w:szCs w:val="22"/>
        </w:rPr>
        <w:t>T</w:t>
      </w:r>
      <w:r w:rsidR="00A02FC7">
        <w:rPr>
          <w:rFonts w:asciiTheme="minorHAnsi" w:hAnsiTheme="minorHAnsi" w:cstheme="minorHAnsi"/>
          <w:sz w:val="22"/>
          <w:szCs w:val="22"/>
        </w:rPr>
        <w:t xml:space="preserve">he program </w:t>
      </w:r>
      <w:r w:rsidR="00A02FC7" w:rsidRPr="00EA5C05">
        <w:rPr>
          <w:rFonts w:asciiTheme="minorHAnsi" w:hAnsiTheme="minorHAnsi" w:cstheme="minorHAnsi"/>
          <w:sz w:val="22"/>
          <w:szCs w:val="22"/>
        </w:rPr>
        <w:t>supported the placement of 2</w:t>
      </w:r>
      <w:r w:rsidR="00134327">
        <w:rPr>
          <w:rFonts w:asciiTheme="minorHAnsi" w:hAnsiTheme="minorHAnsi" w:cstheme="minorHAnsi"/>
          <w:sz w:val="22"/>
          <w:szCs w:val="22"/>
        </w:rPr>
        <w:t>3</w:t>
      </w:r>
      <w:r w:rsidR="00A02FC7" w:rsidRPr="00EA5C05">
        <w:rPr>
          <w:rFonts w:asciiTheme="minorHAnsi" w:hAnsiTheme="minorHAnsi" w:cstheme="minorHAnsi"/>
          <w:sz w:val="22"/>
          <w:szCs w:val="22"/>
        </w:rPr>
        <w:t xml:space="preserve"> Australia Awardees</w:t>
      </w:r>
      <w:r w:rsidR="001A3F71">
        <w:rPr>
          <w:rFonts w:asciiTheme="minorHAnsi" w:hAnsiTheme="minorHAnsi" w:cstheme="minorHAnsi"/>
          <w:sz w:val="22"/>
          <w:szCs w:val="22"/>
        </w:rPr>
        <w:t xml:space="preserve"> in 2015 and</w:t>
      </w:r>
      <w:r w:rsidR="00A02FC7" w:rsidRPr="00EA5C05">
        <w:rPr>
          <w:rFonts w:asciiTheme="minorHAnsi" w:hAnsiTheme="minorHAnsi" w:cstheme="minorHAnsi"/>
          <w:sz w:val="22"/>
          <w:szCs w:val="22"/>
        </w:rPr>
        <w:t xml:space="preserve"> awarded a further 15 for </w:t>
      </w:r>
      <w:r w:rsidR="00A02FC7">
        <w:rPr>
          <w:rFonts w:asciiTheme="minorHAnsi" w:hAnsiTheme="minorHAnsi" w:cstheme="minorHAnsi"/>
          <w:sz w:val="22"/>
          <w:szCs w:val="22"/>
        </w:rPr>
        <w:t xml:space="preserve">2016 </w:t>
      </w:r>
      <w:r w:rsidR="00A02FC7" w:rsidRPr="00EA5C05">
        <w:rPr>
          <w:rFonts w:asciiTheme="minorHAnsi" w:hAnsiTheme="minorHAnsi" w:cstheme="minorHAnsi"/>
          <w:sz w:val="22"/>
          <w:szCs w:val="22"/>
        </w:rPr>
        <w:t>(7</w:t>
      </w:r>
      <w:r w:rsidR="00A02FC7">
        <w:rPr>
          <w:rFonts w:asciiTheme="minorHAnsi" w:hAnsiTheme="minorHAnsi" w:cstheme="minorHAnsi"/>
          <w:sz w:val="22"/>
          <w:szCs w:val="22"/>
        </w:rPr>
        <w:t xml:space="preserve"> female</w:t>
      </w:r>
      <w:r w:rsidR="00A02FC7" w:rsidRPr="00EA5C05">
        <w:rPr>
          <w:rFonts w:asciiTheme="minorHAnsi" w:hAnsiTheme="minorHAnsi" w:cstheme="minorHAnsi"/>
          <w:sz w:val="22"/>
          <w:szCs w:val="22"/>
        </w:rPr>
        <w:t>: 8</w:t>
      </w:r>
      <w:r w:rsidR="00A02FC7">
        <w:rPr>
          <w:rFonts w:asciiTheme="minorHAnsi" w:hAnsiTheme="minorHAnsi" w:cstheme="minorHAnsi"/>
          <w:sz w:val="22"/>
          <w:szCs w:val="22"/>
        </w:rPr>
        <w:t xml:space="preserve"> male</w:t>
      </w:r>
      <w:r w:rsidR="00A02FC7" w:rsidRPr="00EA5C05">
        <w:rPr>
          <w:rFonts w:asciiTheme="minorHAnsi" w:hAnsiTheme="minorHAnsi" w:cstheme="minorHAnsi"/>
          <w:sz w:val="22"/>
          <w:szCs w:val="22"/>
        </w:rPr>
        <w:t>)</w:t>
      </w:r>
      <w:r w:rsidR="006F2B17">
        <w:rPr>
          <w:rFonts w:asciiTheme="minorHAnsi" w:hAnsiTheme="minorHAnsi" w:cstheme="minorHAnsi"/>
          <w:sz w:val="22"/>
          <w:szCs w:val="22"/>
        </w:rPr>
        <w:t xml:space="preserve">. </w:t>
      </w:r>
      <w:r w:rsidR="00A02FC7" w:rsidRPr="00EA5C05">
        <w:rPr>
          <w:rFonts w:asciiTheme="minorHAnsi" w:hAnsiTheme="minorHAnsi" w:cstheme="minorHAnsi"/>
          <w:sz w:val="22"/>
          <w:szCs w:val="22"/>
        </w:rPr>
        <w:t xml:space="preserve"> </w:t>
      </w:r>
    </w:p>
    <w:p w:rsidR="00153A88" w:rsidRDefault="0090289F" w:rsidP="000C17E0">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Objective </w:t>
      </w:r>
      <w:r>
        <w:rPr>
          <w:rFonts w:asciiTheme="majorHAnsi" w:eastAsiaTheme="majorEastAsia" w:hAnsiTheme="majorHAnsi" w:cstheme="majorBidi"/>
          <w:caps/>
          <w:color w:val="495965" w:themeColor="text2"/>
          <w:sz w:val="38"/>
          <w:szCs w:val="26"/>
          <w:lang w:val="en-GB" w:eastAsia="en-US"/>
        </w:rPr>
        <w:t>2 – Enhancing human development</w:t>
      </w:r>
    </w:p>
    <w:p w:rsidR="00325BB1" w:rsidRPr="002A299B" w:rsidRDefault="00325BB1" w:rsidP="002A299B">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This section includes progress in the following programs: water and sanitation, education, health, ending violence against women and community development.</w:t>
      </w:r>
    </w:p>
    <w:tbl>
      <w:tblPr>
        <w:tblStyle w:val="APPR"/>
        <w:tblW w:w="5021" w:type="pct"/>
        <w:tblLook w:val="0000" w:firstRow="0" w:lastRow="0" w:firstColumn="0" w:lastColumn="0" w:noHBand="0" w:noVBand="0"/>
        <w:tblCaption w:val="Objective 2.1 Rating"/>
        <w:tblDescription w:val="Objective 2.1. Increased access to safe water and sanitation. Previous rating green, current rating amber"/>
      </w:tblPr>
      <w:tblGrid>
        <w:gridCol w:w="6844"/>
        <w:gridCol w:w="1373"/>
        <w:gridCol w:w="142"/>
        <w:gridCol w:w="264"/>
        <w:gridCol w:w="1146"/>
        <w:gridCol w:w="183"/>
      </w:tblGrid>
      <w:tr w:rsidR="00153A88" w:rsidRPr="0019341B" w:rsidTr="00BF41E9">
        <w:trPr>
          <w:cnfStyle w:val="000000010000" w:firstRow="0" w:lastRow="0" w:firstColumn="0" w:lastColumn="0" w:oddVBand="0" w:evenVBand="0" w:oddHBand="0" w:evenHBand="1" w:firstRowFirstColumn="0" w:firstRowLastColumn="0" w:lastRowFirstColumn="0" w:lastRowLastColumn="0"/>
          <w:trHeight w:val="428"/>
        </w:trPr>
        <w:tc>
          <w:tcPr>
            <w:tcW w:w="6802" w:type="dxa"/>
          </w:tcPr>
          <w:p w:rsidR="00153A88" w:rsidRPr="0019341B" w:rsidRDefault="00153A88" w:rsidP="0037449F">
            <w:pPr>
              <w:pStyle w:val="TableTextColumnHeading"/>
            </w:pPr>
            <w:r w:rsidRPr="0019341B">
              <w:rPr>
                <w:noProof/>
              </w:rPr>
              <w:drawing>
                <wp:anchor distT="0" distB="0" distL="114300" distR="114300" simplePos="0" relativeHeight="251687936" behindDoc="0" locked="0" layoutInCell="1" allowOverlap="1" wp14:anchorId="6591F3EC" wp14:editId="2B479C65">
                  <wp:simplePos x="0" y="0"/>
                  <wp:positionH relativeFrom="column">
                    <wp:posOffset>0</wp:posOffset>
                  </wp:positionH>
                  <wp:positionV relativeFrom="paragraph">
                    <wp:posOffset>0</wp:posOffset>
                  </wp:positionV>
                  <wp:extent cx="1857375" cy="228600"/>
                  <wp:effectExtent l="0" t="0" r="9525" b="0"/>
                  <wp:wrapNone/>
                  <wp:docPr id="4" name="Picture 4"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487" w:type="dxa"/>
            <w:gridSpan w:val="2"/>
          </w:tcPr>
          <w:p w:rsidR="00153A88" w:rsidRPr="0019341B" w:rsidRDefault="00153A88" w:rsidP="0037449F">
            <w:pPr>
              <w:pStyle w:val="TableTextColumnHeading"/>
            </w:pPr>
            <w:r>
              <w:t>Previous Rating</w:t>
            </w:r>
          </w:p>
        </w:tc>
        <w:tc>
          <w:tcPr>
            <w:tcW w:w="236" w:type="dxa"/>
          </w:tcPr>
          <w:p w:rsidR="00153A88" w:rsidRDefault="00153A88" w:rsidP="001A4D7B">
            <w:pPr>
              <w:pStyle w:val="TableTextColumnHeading"/>
            </w:pPr>
          </w:p>
        </w:tc>
        <w:tc>
          <w:tcPr>
            <w:tcW w:w="1287" w:type="dxa"/>
            <w:gridSpan w:val="2"/>
          </w:tcPr>
          <w:p w:rsidR="00153A88" w:rsidRPr="0019341B" w:rsidRDefault="00153A88" w:rsidP="001A4D7B">
            <w:pPr>
              <w:pStyle w:val="TableTextColumnHeading"/>
            </w:pPr>
            <w:r>
              <w:t>Current Rating</w:t>
            </w:r>
          </w:p>
        </w:tc>
      </w:tr>
      <w:tr w:rsidR="00153A88" w:rsidRPr="009D53C4" w:rsidTr="00AB7ADA">
        <w:trPr>
          <w:gridAfter w:val="1"/>
          <w:cnfStyle w:val="000000010000" w:firstRow="0" w:lastRow="0" w:firstColumn="0" w:lastColumn="0" w:oddVBand="0" w:evenVBand="0" w:oddHBand="0" w:evenHBand="1" w:firstRowFirstColumn="0" w:firstRowLastColumn="0" w:lastRowFirstColumn="0" w:lastRowLastColumn="0"/>
          <w:wAfter w:w="141" w:type="dxa"/>
        </w:trPr>
        <w:tc>
          <w:tcPr>
            <w:tcW w:w="6802" w:type="dxa"/>
          </w:tcPr>
          <w:p w:rsidR="00153A88" w:rsidRPr="00C74A6B" w:rsidRDefault="00153A88" w:rsidP="0095295A">
            <w:pPr>
              <w:pStyle w:val="TableTextEntries"/>
              <w:rPr>
                <w:b/>
                <w:sz w:val="20"/>
                <w:szCs w:val="20"/>
              </w:rPr>
            </w:pPr>
            <w:r w:rsidRPr="00C74A6B">
              <w:rPr>
                <w:b/>
                <w:sz w:val="20"/>
                <w:szCs w:val="20"/>
              </w:rPr>
              <w:t>Objective 2.1: Increased access to and use of safe water and sanitation</w:t>
            </w:r>
          </w:p>
        </w:tc>
        <w:tc>
          <w:tcPr>
            <w:tcW w:w="1345" w:type="dxa"/>
            <w:shd w:val="clear" w:color="auto" w:fill="669900"/>
            <w:noWrap/>
          </w:tcPr>
          <w:p w:rsidR="00153A88" w:rsidRPr="00443639" w:rsidRDefault="00153A88" w:rsidP="0095295A">
            <w:pPr>
              <w:pStyle w:val="TableTextEntries"/>
              <w:jc w:val="center"/>
              <w:rPr>
                <w:color w:val="FFFFFF" w:themeColor="background1"/>
              </w:rPr>
            </w:pPr>
          </w:p>
        </w:tc>
        <w:tc>
          <w:tcPr>
            <w:tcW w:w="378" w:type="dxa"/>
            <w:gridSpan w:val="2"/>
          </w:tcPr>
          <w:p w:rsidR="00153A88" w:rsidRPr="00443639" w:rsidRDefault="00153A88" w:rsidP="0095295A">
            <w:pPr>
              <w:pStyle w:val="TableTextEntries"/>
              <w:jc w:val="center"/>
              <w:rPr>
                <w:color w:val="FFFFFF" w:themeColor="background1"/>
              </w:rPr>
            </w:pPr>
          </w:p>
        </w:tc>
        <w:tc>
          <w:tcPr>
            <w:tcW w:w="1118" w:type="dxa"/>
            <w:shd w:val="clear" w:color="auto" w:fill="E77119"/>
            <w:noWrap/>
          </w:tcPr>
          <w:p w:rsidR="00153A88" w:rsidRPr="00443639" w:rsidRDefault="00153A88" w:rsidP="0095295A">
            <w:pPr>
              <w:pStyle w:val="TableTextEntries"/>
              <w:jc w:val="center"/>
              <w:rPr>
                <w:color w:val="FFFFFF" w:themeColor="background1"/>
              </w:rPr>
            </w:pPr>
          </w:p>
        </w:tc>
      </w:tr>
    </w:tbl>
    <w:p w:rsidR="00776865" w:rsidRPr="00776865" w:rsidRDefault="00776865" w:rsidP="00776865">
      <w:pPr>
        <w:pStyle w:val="ListBullet"/>
        <w:tabs>
          <w:tab w:val="clear" w:pos="284"/>
        </w:tabs>
        <w:rPr>
          <w:rFonts w:asciiTheme="minorHAnsi" w:hAnsiTheme="minorHAnsi" w:cstheme="minorHAnsi"/>
          <w:i/>
          <w:sz w:val="22"/>
          <w:szCs w:val="22"/>
        </w:rPr>
      </w:pPr>
      <w:r w:rsidRPr="00776865">
        <w:rPr>
          <w:rFonts w:asciiTheme="minorHAnsi" w:hAnsiTheme="minorHAnsi" w:cstheme="minorHAnsi"/>
          <w:i/>
          <w:sz w:val="22"/>
          <w:szCs w:val="22"/>
        </w:rPr>
        <w:t xml:space="preserve">The objective was rated amber in recognition of mixed results in the BESIK program which exceeded targets for sanitation and hygiene activities but fell short of meeting targets for access to clean water supply. While the program </w:t>
      </w:r>
      <w:r>
        <w:rPr>
          <w:rFonts w:asciiTheme="minorHAnsi" w:hAnsiTheme="minorHAnsi" w:cstheme="minorHAnsi"/>
          <w:i/>
          <w:sz w:val="22"/>
          <w:szCs w:val="22"/>
        </w:rPr>
        <w:t xml:space="preserve">successfully advocated for the </w:t>
      </w:r>
      <w:r w:rsidRPr="00776865">
        <w:rPr>
          <w:rFonts w:asciiTheme="minorHAnsi" w:hAnsiTheme="minorHAnsi" w:cstheme="minorHAnsi"/>
          <w:i/>
          <w:sz w:val="22"/>
          <w:szCs w:val="22"/>
        </w:rPr>
        <w:t>Governmen</w:t>
      </w:r>
      <w:r w:rsidR="009C361D">
        <w:rPr>
          <w:rFonts w:asciiTheme="minorHAnsi" w:hAnsiTheme="minorHAnsi" w:cstheme="minorHAnsi"/>
          <w:i/>
          <w:sz w:val="22"/>
          <w:szCs w:val="22"/>
        </w:rPr>
        <w:t xml:space="preserve">t of Timor-Leste to prioritise </w:t>
      </w:r>
      <w:r w:rsidRPr="00776865">
        <w:rPr>
          <w:rFonts w:asciiTheme="minorHAnsi" w:hAnsiTheme="minorHAnsi" w:cstheme="minorHAnsi"/>
          <w:i/>
          <w:sz w:val="22"/>
          <w:szCs w:val="22"/>
        </w:rPr>
        <w:t xml:space="preserve">water supply operations and maintenance (O&amp;M), including through an increase in funding in 2015 and 2016, uncertainty about future resources for O&amp;M and sanitation remain a concern for the sustainability of BESIK’s investments. </w:t>
      </w:r>
    </w:p>
    <w:p w:rsidR="00AA2711" w:rsidRDefault="00AA2711" w:rsidP="00776865">
      <w:pPr>
        <w:pStyle w:val="ListBullet"/>
        <w:tabs>
          <w:tab w:val="clear" w:pos="284"/>
        </w:tabs>
        <w:rPr>
          <w:rFonts w:asciiTheme="minorHAnsi" w:hAnsiTheme="minorHAnsi" w:cstheme="minorHAnsi"/>
          <w:sz w:val="22"/>
          <w:szCs w:val="22"/>
        </w:rPr>
      </w:pPr>
      <w:r w:rsidRPr="00423CC2">
        <w:rPr>
          <w:rFonts w:asciiTheme="minorHAnsi" w:hAnsiTheme="minorHAnsi" w:cstheme="minorHAnsi"/>
          <w:sz w:val="22"/>
          <w:szCs w:val="22"/>
        </w:rPr>
        <w:t xml:space="preserve">Australia’s support </w:t>
      </w:r>
      <w:r w:rsidRPr="00300E7A">
        <w:rPr>
          <w:rFonts w:asciiTheme="minorHAnsi" w:hAnsiTheme="minorHAnsi" w:cstheme="minorHAnsi"/>
          <w:sz w:val="22"/>
          <w:szCs w:val="22"/>
        </w:rPr>
        <w:t xml:space="preserve">to </w:t>
      </w:r>
      <w:r w:rsidRPr="003E7077">
        <w:rPr>
          <w:rFonts w:asciiTheme="minorHAnsi" w:hAnsiTheme="minorHAnsi" w:cstheme="minorHAnsi"/>
          <w:b/>
          <w:sz w:val="22"/>
          <w:szCs w:val="22"/>
        </w:rPr>
        <w:t>rural water and sanitation</w:t>
      </w:r>
      <w:r w:rsidRPr="00423CC2">
        <w:rPr>
          <w:rFonts w:asciiTheme="minorHAnsi" w:hAnsiTheme="minorHAnsi" w:cstheme="minorHAnsi"/>
          <w:sz w:val="22"/>
          <w:szCs w:val="22"/>
        </w:rPr>
        <w:t xml:space="preserve"> aligns with the </w:t>
      </w:r>
      <w:r w:rsidRPr="00423CC2">
        <w:rPr>
          <w:rFonts w:asciiTheme="minorHAnsi" w:hAnsiTheme="minorHAnsi" w:cstheme="minorHAnsi"/>
          <w:i/>
          <w:sz w:val="22"/>
          <w:szCs w:val="22"/>
        </w:rPr>
        <w:t>Strategic Development Plan</w:t>
      </w:r>
      <w:r w:rsidRPr="00423CC2">
        <w:rPr>
          <w:rFonts w:asciiTheme="minorHAnsi" w:hAnsiTheme="minorHAnsi" w:cstheme="minorHAnsi"/>
          <w:sz w:val="22"/>
          <w:szCs w:val="22"/>
        </w:rPr>
        <w:t xml:space="preserve"> vision of all Timor-Leste citizens having access to </w:t>
      </w:r>
      <w:r w:rsidRPr="00C11319">
        <w:rPr>
          <w:rFonts w:asciiTheme="minorHAnsi" w:hAnsiTheme="minorHAnsi" w:cstheme="minorHAnsi"/>
          <w:sz w:val="22"/>
          <w:szCs w:val="22"/>
        </w:rPr>
        <w:t>clean water and improved sanitation by 2030. This support has been delivered through the Rural Water Supply and Sanitation Program (BESIK, 2012-16, AU$28 million). BESIK concluded in June 2016</w:t>
      </w:r>
      <w:r w:rsidR="00502774" w:rsidRPr="00C11319">
        <w:rPr>
          <w:rFonts w:asciiTheme="minorHAnsi" w:hAnsiTheme="minorHAnsi" w:cstheme="minorHAnsi"/>
          <w:sz w:val="22"/>
          <w:szCs w:val="22"/>
        </w:rPr>
        <w:t xml:space="preserve"> and w</w:t>
      </w:r>
      <w:r w:rsidR="00D31C60" w:rsidRPr="00C11319">
        <w:rPr>
          <w:rFonts w:asciiTheme="minorHAnsi" w:hAnsiTheme="minorHAnsi" w:cstheme="minorHAnsi"/>
          <w:sz w:val="22"/>
          <w:szCs w:val="22"/>
        </w:rPr>
        <w:t xml:space="preserve">as </w:t>
      </w:r>
      <w:r w:rsidR="00502774" w:rsidRPr="00C11319">
        <w:rPr>
          <w:rFonts w:asciiTheme="minorHAnsi" w:hAnsiTheme="minorHAnsi" w:cstheme="minorHAnsi"/>
          <w:sz w:val="22"/>
          <w:szCs w:val="22"/>
        </w:rPr>
        <w:t>Australia’s</w:t>
      </w:r>
      <w:r w:rsidR="00D31C60" w:rsidRPr="00C11319">
        <w:rPr>
          <w:rFonts w:asciiTheme="minorHAnsi" w:hAnsiTheme="minorHAnsi" w:cstheme="minorHAnsi"/>
          <w:sz w:val="22"/>
          <w:szCs w:val="22"/>
        </w:rPr>
        <w:t xml:space="preserve"> third phase of support for water, sanitation and hygiene</w:t>
      </w:r>
      <w:r w:rsidR="00A41367">
        <w:rPr>
          <w:rFonts w:asciiTheme="minorHAnsi" w:hAnsiTheme="minorHAnsi" w:cstheme="minorHAnsi"/>
          <w:sz w:val="22"/>
          <w:szCs w:val="22"/>
        </w:rPr>
        <w:t xml:space="preserve"> in Timor-Leste</w:t>
      </w:r>
      <w:r w:rsidR="00D31C60" w:rsidRPr="00C11319">
        <w:rPr>
          <w:rFonts w:asciiTheme="minorHAnsi" w:hAnsiTheme="minorHAnsi" w:cstheme="minorHAnsi"/>
          <w:sz w:val="22"/>
          <w:szCs w:val="22"/>
        </w:rPr>
        <w:t xml:space="preserve"> since 2002</w:t>
      </w:r>
      <w:r w:rsidRPr="00C11319">
        <w:rPr>
          <w:rFonts w:asciiTheme="minorHAnsi" w:hAnsiTheme="minorHAnsi" w:cstheme="minorHAnsi"/>
          <w:sz w:val="22"/>
          <w:szCs w:val="22"/>
        </w:rPr>
        <w:t xml:space="preserve">. The program reached more than 112,000 </w:t>
      </w:r>
      <w:r w:rsidR="00FA6CE8" w:rsidRPr="00C11319">
        <w:rPr>
          <w:rFonts w:asciiTheme="minorHAnsi" w:hAnsiTheme="minorHAnsi" w:cstheme="minorHAnsi"/>
          <w:sz w:val="22"/>
          <w:szCs w:val="22"/>
        </w:rPr>
        <w:t xml:space="preserve">people </w:t>
      </w:r>
      <w:r w:rsidRPr="00C11319">
        <w:rPr>
          <w:rFonts w:asciiTheme="minorHAnsi" w:hAnsiTheme="minorHAnsi" w:cstheme="minorHAnsi"/>
          <w:sz w:val="22"/>
          <w:szCs w:val="22"/>
        </w:rPr>
        <w:t>(approximately one in ten Timorese) through water, sanitation and hygiene promotion activities from</w:t>
      </w:r>
      <w:r>
        <w:rPr>
          <w:rFonts w:asciiTheme="minorHAnsi" w:hAnsiTheme="minorHAnsi" w:cstheme="minorHAnsi"/>
          <w:sz w:val="22"/>
          <w:szCs w:val="22"/>
        </w:rPr>
        <w:t xml:space="preserve"> 2012 to 2016, with 21,775 people gaining improved access to clean water or sanitation and hygiene behaviour change programs in 2015-16, against the </w:t>
      </w:r>
      <w:r w:rsidR="009578AA">
        <w:rPr>
          <w:rFonts w:asciiTheme="minorHAnsi" w:hAnsiTheme="minorHAnsi" w:cstheme="minorHAnsi"/>
          <w:sz w:val="22"/>
          <w:szCs w:val="22"/>
        </w:rPr>
        <w:t xml:space="preserve">performance benchmark </w:t>
      </w:r>
      <w:r>
        <w:rPr>
          <w:rFonts w:asciiTheme="minorHAnsi" w:hAnsiTheme="minorHAnsi" w:cstheme="minorHAnsi"/>
          <w:sz w:val="22"/>
          <w:szCs w:val="22"/>
        </w:rPr>
        <w:t xml:space="preserve">target of 23,000. </w:t>
      </w:r>
    </w:p>
    <w:p w:rsidR="005E612D" w:rsidRPr="003E5DD4" w:rsidRDefault="00AA2711" w:rsidP="00AA2711">
      <w:pPr>
        <w:pStyle w:val="ListBullet"/>
        <w:tabs>
          <w:tab w:val="clear" w:pos="284"/>
        </w:tabs>
        <w:rPr>
          <w:rFonts w:asciiTheme="minorHAnsi" w:hAnsiTheme="minorHAnsi" w:cstheme="minorHAnsi"/>
          <w:sz w:val="22"/>
          <w:szCs w:val="22"/>
        </w:rPr>
      </w:pPr>
      <w:r w:rsidRPr="003E5DD4">
        <w:rPr>
          <w:rFonts w:asciiTheme="minorHAnsi" w:hAnsiTheme="minorHAnsi" w:cstheme="minorHAnsi"/>
          <w:sz w:val="22"/>
          <w:szCs w:val="22"/>
        </w:rPr>
        <w:t xml:space="preserve">BESIK’s innovative sanitation and hygiene </w:t>
      </w:r>
      <w:r>
        <w:rPr>
          <w:rFonts w:asciiTheme="minorHAnsi" w:hAnsiTheme="minorHAnsi" w:cstheme="minorHAnsi"/>
          <w:sz w:val="22"/>
          <w:szCs w:val="22"/>
        </w:rPr>
        <w:t>activities</w:t>
      </w:r>
      <w:r w:rsidRPr="003E5DD4">
        <w:rPr>
          <w:rFonts w:asciiTheme="minorHAnsi" w:hAnsiTheme="minorHAnsi" w:cstheme="minorHAnsi"/>
          <w:sz w:val="22"/>
          <w:szCs w:val="22"/>
        </w:rPr>
        <w:t xml:space="preserve"> in Bobonaro in 2015-16</w:t>
      </w:r>
      <w:r w:rsidR="00CE41CF">
        <w:rPr>
          <w:rFonts w:asciiTheme="minorHAnsi" w:hAnsiTheme="minorHAnsi" w:cstheme="minorHAnsi"/>
          <w:sz w:val="22"/>
          <w:szCs w:val="22"/>
        </w:rPr>
        <w:t xml:space="preserve"> w</w:t>
      </w:r>
      <w:r w:rsidR="00D31C60">
        <w:rPr>
          <w:rFonts w:asciiTheme="minorHAnsi" w:hAnsiTheme="minorHAnsi" w:cstheme="minorHAnsi"/>
          <w:sz w:val="22"/>
          <w:szCs w:val="22"/>
        </w:rPr>
        <w:t>ere</w:t>
      </w:r>
      <w:r w:rsidR="00CE41CF">
        <w:rPr>
          <w:rFonts w:asciiTheme="minorHAnsi" w:hAnsiTheme="minorHAnsi" w:cstheme="minorHAnsi"/>
          <w:sz w:val="22"/>
          <w:szCs w:val="22"/>
        </w:rPr>
        <w:t xml:space="preserve"> a key achievement, increasing</w:t>
      </w:r>
      <w:r w:rsidRPr="003E5DD4">
        <w:rPr>
          <w:rFonts w:asciiTheme="minorHAnsi" w:hAnsiTheme="minorHAnsi" w:cstheme="minorHAnsi"/>
          <w:sz w:val="22"/>
          <w:szCs w:val="22"/>
        </w:rPr>
        <w:t xml:space="preserve"> sanitation coverage from 47</w:t>
      </w:r>
      <w:r w:rsidR="00226645">
        <w:rPr>
          <w:rFonts w:asciiTheme="minorHAnsi" w:hAnsiTheme="minorHAnsi" w:cstheme="minorHAnsi"/>
          <w:sz w:val="22"/>
          <w:szCs w:val="22"/>
        </w:rPr>
        <w:t xml:space="preserve"> per cent</w:t>
      </w:r>
      <w:r w:rsidRPr="003E5DD4">
        <w:rPr>
          <w:rFonts w:asciiTheme="minorHAnsi" w:hAnsiTheme="minorHAnsi" w:cstheme="minorHAnsi"/>
          <w:sz w:val="22"/>
          <w:szCs w:val="22"/>
        </w:rPr>
        <w:t xml:space="preserve"> to 9</w:t>
      </w:r>
      <w:r w:rsidR="005E612D">
        <w:rPr>
          <w:rFonts w:asciiTheme="minorHAnsi" w:hAnsiTheme="minorHAnsi" w:cstheme="minorHAnsi"/>
          <w:sz w:val="22"/>
          <w:szCs w:val="22"/>
        </w:rPr>
        <w:t>2</w:t>
      </w:r>
      <w:r w:rsidR="00226645">
        <w:rPr>
          <w:rFonts w:asciiTheme="minorHAnsi" w:hAnsiTheme="minorHAnsi" w:cstheme="minorHAnsi"/>
          <w:sz w:val="22"/>
          <w:szCs w:val="22"/>
        </w:rPr>
        <w:t xml:space="preserve"> per cent</w:t>
      </w:r>
      <w:r>
        <w:rPr>
          <w:rFonts w:asciiTheme="minorHAnsi" w:hAnsiTheme="minorHAnsi" w:cstheme="minorHAnsi"/>
          <w:sz w:val="22"/>
          <w:szCs w:val="22"/>
        </w:rPr>
        <w:t xml:space="preserve"> of the population</w:t>
      </w:r>
      <w:r w:rsidRPr="003E5DD4">
        <w:rPr>
          <w:rFonts w:asciiTheme="minorHAnsi" w:hAnsiTheme="minorHAnsi" w:cstheme="minorHAnsi"/>
          <w:sz w:val="22"/>
          <w:szCs w:val="22"/>
        </w:rPr>
        <w:t xml:space="preserve">. Working with </w:t>
      </w:r>
      <w:r>
        <w:rPr>
          <w:rFonts w:asciiTheme="minorHAnsi" w:hAnsiTheme="minorHAnsi" w:cstheme="minorHAnsi"/>
          <w:sz w:val="22"/>
          <w:szCs w:val="22"/>
        </w:rPr>
        <w:t xml:space="preserve">the </w:t>
      </w:r>
      <w:r w:rsidR="005E612D">
        <w:rPr>
          <w:rFonts w:asciiTheme="minorHAnsi" w:hAnsiTheme="minorHAnsi" w:cstheme="minorHAnsi"/>
          <w:sz w:val="22"/>
          <w:szCs w:val="22"/>
        </w:rPr>
        <w:t xml:space="preserve">local government, </w:t>
      </w:r>
      <w:r w:rsidRPr="003E5DD4">
        <w:rPr>
          <w:rFonts w:asciiTheme="minorHAnsi" w:hAnsiTheme="minorHAnsi" w:cstheme="minorHAnsi"/>
          <w:sz w:val="22"/>
          <w:szCs w:val="22"/>
        </w:rPr>
        <w:t>private sector and</w:t>
      </w:r>
      <w:r>
        <w:rPr>
          <w:rFonts w:asciiTheme="minorHAnsi" w:hAnsiTheme="minorHAnsi" w:cstheme="minorHAnsi"/>
          <w:sz w:val="22"/>
          <w:szCs w:val="22"/>
        </w:rPr>
        <w:t xml:space="preserve"> NGOs, BESIK provided </w:t>
      </w:r>
      <w:r w:rsidR="005E612D">
        <w:rPr>
          <w:rFonts w:asciiTheme="minorHAnsi" w:hAnsiTheme="minorHAnsi" w:cstheme="minorHAnsi"/>
          <w:sz w:val="22"/>
          <w:szCs w:val="22"/>
        </w:rPr>
        <w:t>54,748</w:t>
      </w:r>
      <w:r w:rsidRPr="003E5DD4">
        <w:rPr>
          <w:rFonts w:asciiTheme="minorHAnsi" w:hAnsiTheme="minorHAnsi" w:cstheme="minorHAnsi"/>
          <w:sz w:val="22"/>
          <w:szCs w:val="22"/>
        </w:rPr>
        <w:t xml:space="preserve"> people with improved sanitation and hygiene knowledge through a behaviour change</w:t>
      </w:r>
      <w:r w:rsidR="00D21A15">
        <w:rPr>
          <w:rFonts w:asciiTheme="minorHAnsi" w:hAnsiTheme="minorHAnsi" w:cstheme="minorHAnsi"/>
          <w:sz w:val="22"/>
          <w:szCs w:val="22"/>
        </w:rPr>
        <w:t>,</w:t>
      </w:r>
      <w:r w:rsidRPr="003E5DD4">
        <w:rPr>
          <w:rFonts w:asciiTheme="minorHAnsi" w:hAnsiTheme="minorHAnsi" w:cstheme="minorHAnsi"/>
          <w:sz w:val="22"/>
          <w:szCs w:val="22"/>
        </w:rPr>
        <w:t xml:space="preserve"> communication campaign and community </w:t>
      </w:r>
      <w:r w:rsidR="00D21A15">
        <w:rPr>
          <w:rFonts w:asciiTheme="minorHAnsi" w:hAnsiTheme="minorHAnsi" w:cstheme="minorHAnsi"/>
          <w:sz w:val="22"/>
          <w:szCs w:val="22"/>
        </w:rPr>
        <w:t>e</w:t>
      </w:r>
      <w:r w:rsidR="005E612D">
        <w:rPr>
          <w:rFonts w:asciiTheme="minorHAnsi" w:hAnsiTheme="minorHAnsi" w:cstheme="minorHAnsi"/>
          <w:sz w:val="22"/>
          <w:szCs w:val="22"/>
        </w:rPr>
        <w:t xml:space="preserve">ngagement processes. </w:t>
      </w:r>
      <w:r w:rsidR="005E612D" w:rsidRPr="005A7E8A">
        <w:rPr>
          <w:rFonts w:asciiTheme="minorHAnsi" w:hAnsiTheme="minorHAnsi" w:cstheme="minorHAnsi"/>
          <w:sz w:val="22"/>
          <w:szCs w:val="22"/>
        </w:rPr>
        <w:t xml:space="preserve">BESIK also supported households to build 5,916 new toilets, providing sanitation for an additional 29,580 people in target areas, exceeding the revised target of 25,000. </w:t>
      </w:r>
      <w:r w:rsidR="005E612D">
        <w:rPr>
          <w:rFonts w:asciiTheme="minorHAnsi" w:hAnsiTheme="minorHAnsi" w:cstheme="minorHAnsi"/>
          <w:sz w:val="22"/>
          <w:szCs w:val="22"/>
        </w:rPr>
        <w:t xml:space="preserve"> </w:t>
      </w:r>
      <w:r w:rsidR="005E612D" w:rsidRPr="005A7E8A">
        <w:rPr>
          <w:rFonts w:asciiTheme="minorHAnsi" w:hAnsiTheme="minorHAnsi" w:cstheme="minorHAnsi"/>
          <w:sz w:val="22"/>
          <w:szCs w:val="22"/>
        </w:rPr>
        <w:t xml:space="preserve">This success can be attributed to strong local government leadership, </w:t>
      </w:r>
      <w:r w:rsidR="00D21A15" w:rsidRPr="005A7E8A">
        <w:rPr>
          <w:rFonts w:asciiTheme="minorHAnsi" w:hAnsiTheme="minorHAnsi" w:cstheme="minorHAnsi"/>
          <w:sz w:val="22"/>
          <w:szCs w:val="22"/>
        </w:rPr>
        <w:t>efforts to</w:t>
      </w:r>
      <w:r w:rsidR="005E612D" w:rsidRPr="005A7E8A">
        <w:rPr>
          <w:rFonts w:asciiTheme="minorHAnsi" w:hAnsiTheme="minorHAnsi" w:cstheme="minorHAnsi"/>
          <w:sz w:val="22"/>
          <w:szCs w:val="22"/>
        </w:rPr>
        <w:t xml:space="preserve"> strengthen the government system, complemented by community level activities, which collectively have reduced the risk of disease and improved nutritional outcomes.</w:t>
      </w:r>
    </w:p>
    <w:p w:rsidR="00383EAF" w:rsidRDefault="00AA2711" w:rsidP="00383EA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Effective policy dialogue and advocacy by BESIK, including the development of analysis to </w:t>
      </w:r>
      <w:r w:rsidR="0004008E">
        <w:rPr>
          <w:rFonts w:asciiTheme="minorHAnsi" w:hAnsiTheme="minorHAnsi" w:cstheme="minorHAnsi"/>
          <w:sz w:val="22"/>
          <w:szCs w:val="22"/>
        </w:rPr>
        <w:t xml:space="preserve">inform the </w:t>
      </w:r>
      <w:r>
        <w:rPr>
          <w:rFonts w:asciiTheme="minorHAnsi" w:hAnsiTheme="minorHAnsi" w:cstheme="minorHAnsi"/>
          <w:sz w:val="22"/>
          <w:szCs w:val="22"/>
        </w:rPr>
        <w:t xml:space="preserve">budget, </w:t>
      </w:r>
      <w:r w:rsidR="0004008E">
        <w:rPr>
          <w:rFonts w:asciiTheme="minorHAnsi" w:hAnsiTheme="minorHAnsi" w:cstheme="minorHAnsi"/>
          <w:sz w:val="22"/>
          <w:szCs w:val="22"/>
        </w:rPr>
        <w:t xml:space="preserve">influenced </w:t>
      </w:r>
      <w:r>
        <w:rPr>
          <w:rFonts w:asciiTheme="minorHAnsi" w:hAnsiTheme="minorHAnsi" w:cstheme="minorHAnsi"/>
          <w:sz w:val="22"/>
          <w:szCs w:val="22"/>
        </w:rPr>
        <w:t xml:space="preserve">the </w:t>
      </w:r>
      <w:r w:rsidR="000502EE">
        <w:rPr>
          <w:rFonts w:asciiTheme="minorHAnsi" w:hAnsiTheme="minorHAnsi" w:cstheme="minorHAnsi"/>
          <w:sz w:val="22"/>
          <w:szCs w:val="22"/>
        </w:rPr>
        <w:t xml:space="preserve">Government of Timor-Leste </w:t>
      </w:r>
      <w:r>
        <w:rPr>
          <w:rFonts w:asciiTheme="minorHAnsi" w:hAnsiTheme="minorHAnsi" w:cstheme="minorHAnsi"/>
          <w:sz w:val="22"/>
          <w:szCs w:val="22"/>
        </w:rPr>
        <w:t xml:space="preserve">to increase funding for </w:t>
      </w:r>
      <w:r w:rsidRPr="00AA2711">
        <w:rPr>
          <w:rFonts w:asciiTheme="minorHAnsi" w:hAnsiTheme="minorHAnsi" w:cstheme="minorHAnsi"/>
          <w:sz w:val="22"/>
          <w:szCs w:val="22"/>
        </w:rPr>
        <w:t xml:space="preserve">water supply O&amp;M </w:t>
      </w:r>
      <w:r w:rsidR="0004008E">
        <w:rPr>
          <w:rFonts w:asciiTheme="minorHAnsi" w:hAnsiTheme="minorHAnsi" w:cstheme="minorHAnsi"/>
          <w:sz w:val="22"/>
          <w:szCs w:val="22"/>
        </w:rPr>
        <w:t xml:space="preserve">from zero in 2014 </w:t>
      </w:r>
      <w:r w:rsidRPr="00AA2711">
        <w:rPr>
          <w:rFonts w:asciiTheme="minorHAnsi" w:hAnsiTheme="minorHAnsi" w:cstheme="minorHAnsi"/>
          <w:sz w:val="22"/>
          <w:szCs w:val="22"/>
        </w:rPr>
        <w:t>to US</w:t>
      </w:r>
      <w:r w:rsidR="001C3E0D">
        <w:rPr>
          <w:rFonts w:asciiTheme="minorHAnsi" w:hAnsiTheme="minorHAnsi" w:cstheme="minorHAnsi"/>
          <w:sz w:val="22"/>
          <w:szCs w:val="22"/>
        </w:rPr>
        <w:t>D</w:t>
      </w:r>
      <w:r w:rsidRPr="00AA2711">
        <w:rPr>
          <w:rFonts w:asciiTheme="minorHAnsi" w:hAnsiTheme="minorHAnsi" w:cstheme="minorHAnsi"/>
          <w:sz w:val="22"/>
          <w:szCs w:val="22"/>
        </w:rPr>
        <w:t>1.9 million in 2016</w:t>
      </w:r>
      <w:r w:rsidR="0004008E">
        <w:rPr>
          <w:rFonts w:asciiTheme="minorHAnsi" w:hAnsiTheme="minorHAnsi" w:cstheme="minorHAnsi"/>
          <w:sz w:val="22"/>
          <w:szCs w:val="22"/>
        </w:rPr>
        <w:t xml:space="preserve">. </w:t>
      </w:r>
      <w:r w:rsidR="00383EAF" w:rsidRPr="00871742">
        <w:rPr>
          <w:rFonts w:asciiTheme="minorHAnsi" w:hAnsiTheme="minorHAnsi" w:cstheme="minorHAnsi"/>
          <w:sz w:val="22"/>
          <w:szCs w:val="22"/>
        </w:rPr>
        <w:t xml:space="preserve">BESIK </w:t>
      </w:r>
      <w:r w:rsidR="00383EAF">
        <w:rPr>
          <w:rFonts w:asciiTheme="minorHAnsi" w:hAnsiTheme="minorHAnsi" w:cstheme="minorHAnsi"/>
          <w:sz w:val="22"/>
          <w:szCs w:val="22"/>
        </w:rPr>
        <w:t>contributed to</w:t>
      </w:r>
      <w:r w:rsidR="00383EAF" w:rsidRPr="00871742">
        <w:rPr>
          <w:rFonts w:asciiTheme="minorHAnsi" w:hAnsiTheme="minorHAnsi" w:cstheme="minorHAnsi"/>
          <w:sz w:val="22"/>
          <w:szCs w:val="22"/>
        </w:rPr>
        <w:t xml:space="preserve"> </w:t>
      </w:r>
      <w:r w:rsidR="00383EAF">
        <w:rPr>
          <w:rFonts w:asciiTheme="minorHAnsi" w:hAnsiTheme="minorHAnsi" w:cstheme="minorHAnsi"/>
          <w:sz w:val="22"/>
          <w:szCs w:val="22"/>
        </w:rPr>
        <w:t>strengthening Government of Timor-Leste policy in</w:t>
      </w:r>
      <w:r w:rsidR="00383EAF" w:rsidRPr="00871742">
        <w:rPr>
          <w:rFonts w:asciiTheme="minorHAnsi" w:hAnsiTheme="minorHAnsi" w:cstheme="minorHAnsi"/>
          <w:sz w:val="22"/>
          <w:szCs w:val="22"/>
        </w:rPr>
        <w:t xml:space="preserve"> 2015-16</w:t>
      </w:r>
      <w:r w:rsidR="00383EAF">
        <w:rPr>
          <w:rFonts w:asciiTheme="minorHAnsi" w:hAnsiTheme="minorHAnsi" w:cstheme="minorHAnsi"/>
          <w:sz w:val="22"/>
          <w:szCs w:val="22"/>
        </w:rPr>
        <w:t>, supporting the relevant government departments to finalise the</w:t>
      </w:r>
      <w:r w:rsidR="00383EAF" w:rsidRPr="00871742">
        <w:rPr>
          <w:rFonts w:asciiTheme="minorHAnsi" w:hAnsiTheme="minorHAnsi" w:cstheme="minorHAnsi"/>
          <w:sz w:val="22"/>
          <w:szCs w:val="22"/>
        </w:rPr>
        <w:t xml:space="preserve"> water resource management policy</w:t>
      </w:r>
      <w:r w:rsidR="00383EAF" w:rsidRPr="00823277">
        <w:rPr>
          <w:rFonts w:asciiTheme="minorHAnsi" w:hAnsiTheme="minorHAnsi" w:cstheme="minorHAnsi"/>
          <w:sz w:val="22"/>
          <w:szCs w:val="22"/>
        </w:rPr>
        <w:t xml:space="preserve"> </w:t>
      </w:r>
      <w:r w:rsidR="00383EAF" w:rsidRPr="00871742">
        <w:rPr>
          <w:rFonts w:asciiTheme="minorHAnsi" w:hAnsiTheme="minorHAnsi" w:cstheme="minorHAnsi"/>
          <w:sz w:val="22"/>
          <w:szCs w:val="22"/>
        </w:rPr>
        <w:t xml:space="preserve">and </w:t>
      </w:r>
      <w:r w:rsidR="00383EAF">
        <w:rPr>
          <w:rFonts w:asciiTheme="minorHAnsi" w:hAnsiTheme="minorHAnsi" w:cstheme="minorHAnsi"/>
          <w:sz w:val="22"/>
          <w:szCs w:val="22"/>
        </w:rPr>
        <w:t xml:space="preserve">law and water supply policy, which are currently awaiting approval by the Council of Ministers. </w:t>
      </w:r>
    </w:p>
    <w:p w:rsidR="00AA2711" w:rsidRPr="00AA2711" w:rsidRDefault="0004008E" w:rsidP="00AA2711">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A 2016 BESIK commissioned</w:t>
      </w:r>
      <w:r w:rsidR="00AA2711" w:rsidRPr="00AA2711">
        <w:rPr>
          <w:rFonts w:asciiTheme="minorHAnsi" w:hAnsiTheme="minorHAnsi" w:cstheme="minorHAnsi"/>
          <w:sz w:val="22"/>
          <w:szCs w:val="22"/>
        </w:rPr>
        <w:t xml:space="preserve"> report found that women beneficiaries are on average saving up to 2 hours and 37 minutes daily from improved water supply. They use this time for productive activities such as gardening, farming, and preparing food stuffs for sale, or other improvements in personal hygiene, domestic cleanliness and food safety. The study also found that improved water supply reduced children’s workloads and supported school attendance. </w:t>
      </w:r>
    </w:p>
    <w:p w:rsidR="00AA2711" w:rsidRDefault="00AA2711" w:rsidP="00AA2711">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BESIK faced a range of challenges including</w:t>
      </w:r>
      <w:r w:rsidR="0004008E">
        <w:rPr>
          <w:rFonts w:asciiTheme="minorHAnsi" w:hAnsiTheme="minorHAnsi" w:cstheme="minorHAnsi"/>
          <w:sz w:val="22"/>
          <w:szCs w:val="22"/>
        </w:rPr>
        <w:t xml:space="preserve"> leadership</w:t>
      </w:r>
      <w:r w:rsidR="00655502">
        <w:rPr>
          <w:rFonts w:asciiTheme="minorHAnsi" w:hAnsiTheme="minorHAnsi" w:cstheme="minorHAnsi"/>
          <w:sz w:val="22"/>
          <w:szCs w:val="22"/>
        </w:rPr>
        <w:t xml:space="preserve"> change and</w:t>
      </w:r>
      <w:r w:rsidRPr="00F30660">
        <w:rPr>
          <w:rFonts w:asciiTheme="minorHAnsi" w:hAnsiTheme="minorHAnsi" w:cstheme="minorHAnsi"/>
          <w:sz w:val="22"/>
          <w:szCs w:val="22"/>
        </w:rPr>
        <w:t xml:space="preserve"> </w:t>
      </w:r>
      <w:r>
        <w:rPr>
          <w:rFonts w:asciiTheme="minorHAnsi" w:hAnsiTheme="minorHAnsi" w:cstheme="minorHAnsi"/>
          <w:sz w:val="22"/>
          <w:szCs w:val="22"/>
        </w:rPr>
        <w:t>a 30 per</w:t>
      </w:r>
      <w:r w:rsidR="003600CC">
        <w:rPr>
          <w:rFonts w:asciiTheme="minorHAnsi" w:hAnsiTheme="minorHAnsi" w:cstheme="minorHAnsi"/>
          <w:sz w:val="22"/>
          <w:szCs w:val="22"/>
        </w:rPr>
        <w:t xml:space="preserve"> </w:t>
      </w:r>
      <w:r>
        <w:rPr>
          <w:rFonts w:asciiTheme="minorHAnsi" w:hAnsiTheme="minorHAnsi" w:cstheme="minorHAnsi"/>
          <w:sz w:val="22"/>
          <w:szCs w:val="22"/>
        </w:rPr>
        <w:t xml:space="preserve">cent </w:t>
      </w:r>
      <w:r w:rsidRPr="00F30660">
        <w:rPr>
          <w:rFonts w:asciiTheme="minorHAnsi" w:hAnsiTheme="minorHAnsi" w:cstheme="minorHAnsi"/>
          <w:sz w:val="22"/>
          <w:szCs w:val="22"/>
        </w:rPr>
        <w:t xml:space="preserve">budget </w:t>
      </w:r>
      <w:r>
        <w:rPr>
          <w:rFonts w:asciiTheme="minorHAnsi" w:hAnsiTheme="minorHAnsi" w:cstheme="minorHAnsi"/>
          <w:sz w:val="22"/>
          <w:szCs w:val="22"/>
        </w:rPr>
        <w:t xml:space="preserve">cut by DFAT in 2015 that involved substantial international and local staff reductions and was accompanied by a change in the </w:t>
      </w:r>
      <w:r w:rsidR="0004008E">
        <w:rPr>
          <w:rFonts w:asciiTheme="minorHAnsi" w:hAnsiTheme="minorHAnsi" w:cstheme="minorHAnsi"/>
          <w:sz w:val="22"/>
          <w:szCs w:val="22"/>
        </w:rPr>
        <w:t>program scope to focus more on strengthening government service delivery</w:t>
      </w:r>
      <w:r>
        <w:rPr>
          <w:rFonts w:asciiTheme="minorHAnsi" w:hAnsiTheme="minorHAnsi" w:cstheme="minorHAnsi"/>
          <w:sz w:val="22"/>
          <w:szCs w:val="22"/>
        </w:rPr>
        <w:t>. These issues were exacerbated by</w:t>
      </w:r>
      <w:r w:rsidRPr="00F30660">
        <w:rPr>
          <w:rFonts w:asciiTheme="minorHAnsi" w:hAnsiTheme="minorHAnsi" w:cstheme="minorHAnsi"/>
          <w:sz w:val="22"/>
          <w:szCs w:val="22"/>
        </w:rPr>
        <w:t xml:space="preserve"> inadequate </w:t>
      </w:r>
      <w:r>
        <w:rPr>
          <w:rFonts w:asciiTheme="minorHAnsi" w:hAnsiTheme="minorHAnsi" w:cstheme="minorHAnsi"/>
          <w:sz w:val="22"/>
          <w:szCs w:val="22"/>
        </w:rPr>
        <w:t xml:space="preserve">resourcing </w:t>
      </w:r>
      <w:r w:rsidRPr="00F30660">
        <w:rPr>
          <w:rFonts w:asciiTheme="minorHAnsi" w:hAnsiTheme="minorHAnsi" w:cstheme="minorHAnsi"/>
          <w:sz w:val="22"/>
          <w:szCs w:val="22"/>
        </w:rPr>
        <w:t xml:space="preserve">from the </w:t>
      </w:r>
      <w:r w:rsidR="006A7DDC">
        <w:rPr>
          <w:rFonts w:asciiTheme="minorHAnsi" w:hAnsiTheme="minorHAnsi" w:cstheme="minorHAnsi"/>
          <w:sz w:val="22"/>
          <w:szCs w:val="22"/>
        </w:rPr>
        <w:t>g</w:t>
      </w:r>
      <w:r w:rsidRPr="00F30660">
        <w:rPr>
          <w:rFonts w:asciiTheme="minorHAnsi" w:hAnsiTheme="minorHAnsi" w:cstheme="minorHAnsi"/>
          <w:sz w:val="22"/>
          <w:szCs w:val="22"/>
        </w:rPr>
        <w:t>overnmen</w:t>
      </w:r>
      <w:r>
        <w:rPr>
          <w:rFonts w:asciiTheme="minorHAnsi" w:hAnsiTheme="minorHAnsi" w:cstheme="minorHAnsi"/>
          <w:sz w:val="22"/>
          <w:szCs w:val="22"/>
        </w:rPr>
        <w:t xml:space="preserve">t </w:t>
      </w:r>
      <w:r w:rsidRPr="00F30660">
        <w:rPr>
          <w:rFonts w:asciiTheme="minorHAnsi" w:hAnsiTheme="minorHAnsi" w:cstheme="minorHAnsi"/>
          <w:sz w:val="22"/>
          <w:szCs w:val="22"/>
        </w:rPr>
        <w:t xml:space="preserve">in </w:t>
      </w:r>
      <w:r>
        <w:rPr>
          <w:rFonts w:asciiTheme="minorHAnsi" w:hAnsiTheme="minorHAnsi" w:cstheme="minorHAnsi"/>
          <w:sz w:val="22"/>
          <w:szCs w:val="22"/>
        </w:rPr>
        <w:t xml:space="preserve">sanitation. Even so, </w:t>
      </w:r>
      <w:r w:rsidRPr="00F30660">
        <w:rPr>
          <w:rFonts w:asciiTheme="minorHAnsi" w:hAnsiTheme="minorHAnsi" w:cstheme="minorHAnsi"/>
          <w:sz w:val="22"/>
          <w:szCs w:val="22"/>
        </w:rPr>
        <w:t>BESIK r</w:t>
      </w:r>
      <w:r>
        <w:rPr>
          <w:rFonts w:asciiTheme="minorHAnsi" w:hAnsiTheme="minorHAnsi" w:cstheme="minorHAnsi"/>
          <w:sz w:val="22"/>
          <w:szCs w:val="22"/>
        </w:rPr>
        <w:t xml:space="preserve">esponded </w:t>
      </w:r>
      <w:r w:rsidRPr="00F30660">
        <w:rPr>
          <w:rFonts w:asciiTheme="minorHAnsi" w:hAnsiTheme="minorHAnsi" w:cstheme="minorHAnsi"/>
          <w:sz w:val="22"/>
          <w:szCs w:val="22"/>
        </w:rPr>
        <w:t>flexibl</w:t>
      </w:r>
      <w:r>
        <w:rPr>
          <w:rFonts w:asciiTheme="minorHAnsi" w:hAnsiTheme="minorHAnsi" w:cstheme="minorHAnsi"/>
          <w:sz w:val="22"/>
          <w:szCs w:val="22"/>
        </w:rPr>
        <w:t xml:space="preserve">y to these challenges </w:t>
      </w:r>
      <w:r w:rsidRPr="00F30660">
        <w:rPr>
          <w:rFonts w:asciiTheme="minorHAnsi" w:hAnsiTheme="minorHAnsi" w:cstheme="minorHAnsi"/>
          <w:sz w:val="22"/>
          <w:szCs w:val="22"/>
        </w:rPr>
        <w:t xml:space="preserve">and </w:t>
      </w:r>
      <w:r>
        <w:rPr>
          <w:rFonts w:asciiTheme="minorHAnsi" w:hAnsiTheme="minorHAnsi" w:cstheme="minorHAnsi"/>
          <w:sz w:val="22"/>
          <w:szCs w:val="22"/>
        </w:rPr>
        <w:t>was able to support significant</w:t>
      </w:r>
      <w:r w:rsidRPr="00F30660">
        <w:rPr>
          <w:rFonts w:asciiTheme="minorHAnsi" w:hAnsiTheme="minorHAnsi" w:cstheme="minorHAnsi"/>
          <w:sz w:val="22"/>
          <w:szCs w:val="22"/>
        </w:rPr>
        <w:t xml:space="preserve"> improvements in water and sanitation.</w:t>
      </w:r>
      <w:r>
        <w:rPr>
          <w:rFonts w:asciiTheme="minorHAnsi" w:hAnsiTheme="minorHAnsi" w:cstheme="minorHAnsi"/>
          <w:sz w:val="22"/>
          <w:szCs w:val="22"/>
        </w:rPr>
        <w:t xml:space="preserve"> </w:t>
      </w:r>
    </w:p>
    <w:p w:rsidR="00AA2711" w:rsidRPr="002A299B" w:rsidRDefault="00AA2711" w:rsidP="00AA2711">
      <w:pPr>
        <w:pStyle w:val="ListBullet"/>
        <w:rPr>
          <w:rFonts w:asciiTheme="minorHAnsi" w:hAnsiTheme="minorHAnsi" w:cstheme="minorHAnsi"/>
          <w:sz w:val="22"/>
          <w:szCs w:val="22"/>
        </w:rPr>
      </w:pPr>
      <w:r w:rsidRPr="002A299B">
        <w:rPr>
          <w:rFonts w:asciiTheme="minorHAnsi" w:hAnsiTheme="minorHAnsi" w:cstheme="minorHAnsi"/>
          <w:sz w:val="22"/>
          <w:szCs w:val="22"/>
        </w:rPr>
        <w:t xml:space="preserve">BESIK continued to support disability-inclusiveness through development of a disability module in partnership with Ra'es Hadomi Timor Oan (RHTO)(National Disabled People’s organisation) and WaterAid to raise awareness among municipal-level water and sanitation staff about the issues faced by people with a disability. The module was trialled in Liquica in April 2016 </w:t>
      </w:r>
      <w:r>
        <w:rPr>
          <w:rFonts w:asciiTheme="minorHAnsi" w:hAnsiTheme="minorHAnsi" w:cstheme="minorHAnsi"/>
          <w:sz w:val="22"/>
          <w:szCs w:val="22"/>
        </w:rPr>
        <w:t>will be used</w:t>
      </w:r>
      <w:r w:rsidRPr="002A299B">
        <w:rPr>
          <w:rFonts w:asciiTheme="minorHAnsi" w:hAnsiTheme="minorHAnsi" w:cstheme="minorHAnsi"/>
          <w:sz w:val="22"/>
          <w:szCs w:val="22"/>
        </w:rPr>
        <w:t xml:space="preserve"> more </w:t>
      </w:r>
      <w:r w:rsidR="006A7DDC">
        <w:rPr>
          <w:rFonts w:asciiTheme="minorHAnsi" w:hAnsiTheme="minorHAnsi" w:cstheme="minorHAnsi"/>
          <w:sz w:val="22"/>
          <w:szCs w:val="22"/>
        </w:rPr>
        <w:t>widely</w:t>
      </w:r>
      <w:r w:rsidR="0004008E">
        <w:rPr>
          <w:rFonts w:asciiTheme="minorHAnsi" w:hAnsiTheme="minorHAnsi" w:cstheme="minorHAnsi"/>
          <w:sz w:val="22"/>
          <w:szCs w:val="22"/>
        </w:rPr>
        <w:t xml:space="preserve">. </w:t>
      </w:r>
      <w:r w:rsidR="0004008E" w:rsidRPr="005A7E8A">
        <w:rPr>
          <w:rFonts w:asciiTheme="minorHAnsi" w:hAnsiTheme="minorHAnsi" w:cstheme="minorHAnsi"/>
          <w:sz w:val="22"/>
          <w:szCs w:val="22"/>
        </w:rPr>
        <w:t>BESIK</w:t>
      </w:r>
      <w:r w:rsidR="006B1525" w:rsidRPr="005A7E8A">
        <w:rPr>
          <w:rFonts w:asciiTheme="minorHAnsi" w:hAnsiTheme="minorHAnsi" w:cstheme="minorHAnsi"/>
          <w:sz w:val="22"/>
          <w:szCs w:val="22"/>
        </w:rPr>
        <w:t xml:space="preserve"> </w:t>
      </w:r>
      <w:r w:rsidR="00D21A15" w:rsidRPr="005A7E8A">
        <w:rPr>
          <w:rFonts w:asciiTheme="minorHAnsi" w:hAnsiTheme="minorHAnsi" w:cstheme="minorHAnsi"/>
          <w:sz w:val="22"/>
          <w:szCs w:val="22"/>
        </w:rPr>
        <w:t xml:space="preserve">also </w:t>
      </w:r>
      <w:r w:rsidR="006B1525" w:rsidRPr="005A7E8A">
        <w:rPr>
          <w:rFonts w:asciiTheme="minorHAnsi" w:hAnsiTheme="minorHAnsi" w:cstheme="minorHAnsi"/>
          <w:sz w:val="22"/>
          <w:szCs w:val="22"/>
        </w:rPr>
        <w:t xml:space="preserve">helped the government introduce systems to maximise </w:t>
      </w:r>
      <w:r w:rsidR="0004008E" w:rsidRPr="005A7E8A">
        <w:rPr>
          <w:rFonts w:asciiTheme="minorHAnsi" w:hAnsiTheme="minorHAnsi" w:cstheme="minorHAnsi"/>
          <w:sz w:val="22"/>
          <w:szCs w:val="22"/>
        </w:rPr>
        <w:t xml:space="preserve">improved access and accessibility of WASH infrastructure by people living with a disability. </w:t>
      </w:r>
      <w:r>
        <w:rPr>
          <w:rFonts w:asciiTheme="minorHAnsi" w:hAnsiTheme="minorHAnsi" w:cstheme="minorHAnsi"/>
          <w:sz w:val="22"/>
          <w:szCs w:val="22"/>
        </w:rPr>
        <w:t xml:space="preserve"> </w:t>
      </w:r>
    </w:p>
    <w:p w:rsidR="00AA2711" w:rsidRPr="00263EEA" w:rsidRDefault="00AA2711" w:rsidP="00AA2711">
      <w:pPr>
        <w:autoSpaceDE w:val="0"/>
        <w:autoSpaceDN w:val="0"/>
        <w:adjustRightInd w:val="0"/>
        <w:spacing w:after="120"/>
        <w:rPr>
          <w:rFonts w:eastAsia="Times New Roman" w:cstheme="minorHAnsi"/>
          <w:color w:val="auto"/>
          <w:lang w:val="en-AU" w:eastAsia="en-AU"/>
        </w:rPr>
      </w:pPr>
      <w:r w:rsidRPr="00C11319">
        <w:rPr>
          <w:rFonts w:eastAsia="Times New Roman" w:cstheme="minorHAnsi"/>
          <w:b/>
          <w:color w:val="auto"/>
          <w:lang w:val="en-AU" w:eastAsia="en-AU"/>
        </w:rPr>
        <w:t>Management response</w:t>
      </w:r>
      <w:r w:rsidRPr="00C11319">
        <w:rPr>
          <w:rFonts w:eastAsia="Times New Roman" w:cstheme="minorHAnsi"/>
          <w:color w:val="auto"/>
          <w:lang w:val="en-AU" w:eastAsia="en-AU"/>
        </w:rPr>
        <w:t xml:space="preserve">: </w:t>
      </w:r>
      <w:r w:rsidR="00352EC9">
        <w:rPr>
          <w:color w:val="auto"/>
        </w:rPr>
        <w:t xml:space="preserve">DFAT’s </w:t>
      </w:r>
      <w:r w:rsidR="009B4502" w:rsidRPr="00C11319">
        <w:rPr>
          <w:color w:val="auto"/>
        </w:rPr>
        <w:t>budget for water and sanitation has been substantially reduced over 2016-17 to allow time to consider support to the sector as part of our Part</w:t>
      </w:r>
      <w:r w:rsidR="00352EC9">
        <w:rPr>
          <w:color w:val="auto"/>
        </w:rPr>
        <w:t>nership for Human Development. </w:t>
      </w:r>
      <w:r w:rsidR="009B4502" w:rsidRPr="00C11319">
        <w:rPr>
          <w:color w:val="auto"/>
        </w:rPr>
        <w:t>Staff from the Human Development team will work with counterparts at the M</w:t>
      </w:r>
      <w:r w:rsidR="00F064F9" w:rsidRPr="00C11319">
        <w:rPr>
          <w:color w:val="auto"/>
        </w:rPr>
        <w:t>inistry of Health (M</w:t>
      </w:r>
      <w:r w:rsidR="009B4502" w:rsidRPr="00C11319">
        <w:rPr>
          <w:color w:val="auto"/>
        </w:rPr>
        <w:t>oH</w:t>
      </w:r>
      <w:r w:rsidR="00F064F9" w:rsidRPr="00C11319">
        <w:rPr>
          <w:color w:val="auto"/>
        </w:rPr>
        <w:t>)</w:t>
      </w:r>
      <w:r w:rsidR="009B4502" w:rsidRPr="00C11319">
        <w:rPr>
          <w:color w:val="auto"/>
        </w:rPr>
        <w:t xml:space="preserve"> to progress Australia’s support in sanitation and will consult with counterparts from the MPWTC and other stakeholders as they consider possible future support in water.</w:t>
      </w:r>
      <w:r w:rsidR="009B4502" w:rsidRPr="00D8342B">
        <w:rPr>
          <w:color w:val="auto"/>
        </w:rPr>
        <w:t xml:space="preserve"> </w:t>
      </w:r>
    </w:p>
    <w:tbl>
      <w:tblPr>
        <w:tblStyle w:val="APPR"/>
        <w:tblW w:w="5234" w:type="pct"/>
        <w:tblLook w:val="0000" w:firstRow="0" w:lastRow="0" w:firstColumn="0" w:lastColumn="0" w:noHBand="0" w:noVBand="0"/>
        <w:tblCaption w:val="Objective 2.2 rating"/>
        <w:tblDescription w:val="Objective 2.2, More children attain improved learning outcomes. Previous rating amber, current rating green"/>
      </w:tblPr>
      <w:tblGrid>
        <w:gridCol w:w="6846"/>
        <w:gridCol w:w="1253"/>
        <w:gridCol w:w="261"/>
        <w:gridCol w:w="424"/>
        <w:gridCol w:w="1329"/>
        <w:gridCol w:w="261"/>
      </w:tblGrid>
      <w:tr w:rsidR="0014442C" w:rsidRPr="0019341B" w:rsidTr="00BF41E9">
        <w:trPr>
          <w:cnfStyle w:val="000000010000" w:firstRow="0" w:lastRow="0" w:firstColumn="0" w:lastColumn="0" w:oddVBand="0" w:evenVBand="0" w:oddHBand="0" w:evenHBand="1" w:firstRowFirstColumn="0" w:firstRowLastColumn="0" w:lastRowFirstColumn="0" w:lastRowLastColumn="0"/>
          <w:trHeight w:val="439"/>
        </w:trPr>
        <w:tc>
          <w:tcPr>
            <w:tcW w:w="6804" w:type="dxa"/>
          </w:tcPr>
          <w:p w:rsidR="0014442C" w:rsidRPr="0019341B" w:rsidRDefault="0014442C" w:rsidP="0037449F">
            <w:pPr>
              <w:pStyle w:val="TableTextColumnHeading"/>
            </w:pPr>
            <w:r w:rsidRPr="0019341B">
              <w:rPr>
                <w:noProof/>
              </w:rPr>
              <w:drawing>
                <wp:anchor distT="0" distB="0" distL="114300" distR="114300" simplePos="0" relativeHeight="251692032" behindDoc="0" locked="0" layoutInCell="1" allowOverlap="1" wp14:anchorId="7F29EAB4" wp14:editId="061E05A3">
                  <wp:simplePos x="0" y="0"/>
                  <wp:positionH relativeFrom="column">
                    <wp:posOffset>0</wp:posOffset>
                  </wp:positionH>
                  <wp:positionV relativeFrom="paragraph">
                    <wp:posOffset>0</wp:posOffset>
                  </wp:positionV>
                  <wp:extent cx="1857375" cy="228600"/>
                  <wp:effectExtent l="0" t="0" r="9525" b="0"/>
                  <wp:wrapNone/>
                  <wp:docPr id="7" name="Picture 7"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486" w:type="dxa"/>
            <w:gridSpan w:val="2"/>
          </w:tcPr>
          <w:p w:rsidR="0014442C" w:rsidRPr="0019341B" w:rsidRDefault="0014442C" w:rsidP="0037449F">
            <w:pPr>
              <w:pStyle w:val="TableTextColumnHeading"/>
            </w:pPr>
            <w:r>
              <w:t>Previous Rating</w:t>
            </w:r>
          </w:p>
        </w:tc>
        <w:tc>
          <w:tcPr>
            <w:tcW w:w="396" w:type="dxa"/>
          </w:tcPr>
          <w:p w:rsidR="0014442C" w:rsidRDefault="0014442C" w:rsidP="001A4D7B">
            <w:pPr>
              <w:pStyle w:val="TableTextColumnHeading"/>
            </w:pPr>
          </w:p>
        </w:tc>
        <w:tc>
          <w:tcPr>
            <w:tcW w:w="1548" w:type="dxa"/>
            <w:gridSpan w:val="2"/>
          </w:tcPr>
          <w:p w:rsidR="0014442C" w:rsidRPr="0019341B" w:rsidRDefault="0014442C" w:rsidP="001A4D7B">
            <w:pPr>
              <w:pStyle w:val="TableTextColumnHeading"/>
            </w:pPr>
            <w:r>
              <w:t>Current Rating</w:t>
            </w:r>
          </w:p>
        </w:tc>
      </w:tr>
      <w:tr w:rsidR="0014442C" w:rsidRPr="009D53C4" w:rsidTr="00BF41E9">
        <w:trPr>
          <w:gridAfter w:val="1"/>
          <w:cnfStyle w:val="000000010000" w:firstRow="0" w:lastRow="0" w:firstColumn="0" w:lastColumn="0" w:oddVBand="0" w:evenVBand="0" w:oddHBand="0" w:evenHBand="1" w:firstRowFirstColumn="0" w:firstRowLastColumn="0" w:lastRowFirstColumn="0" w:lastRowLastColumn="0"/>
          <w:wAfter w:w="219" w:type="dxa"/>
        </w:trPr>
        <w:tc>
          <w:tcPr>
            <w:tcW w:w="6804" w:type="dxa"/>
          </w:tcPr>
          <w:p w:rsidR="0014442C" w:rsidRPr="00352EC9" w:rsidRDefault="0014442C" w:rsidP="00A2321C">
            <w:pPr>
              <w:pStyle w:val="TableTextEntries"/>
              <w:rPr>
                <w:b/>
                <w:sz w:val="20"/>
                <w:szCs w:val="20"/>
              </w:rPr>
            </w:pPr>
            <w:r w:rsidRPr="00352EC9">
              <w:rPr>
                <w:b/>
                <w:sz w:val="20"/>
                <w:szCs w:val="20"/>
              </w:rPr>
              <w:t>Objective 2.2: More children</w:t>
            </w:r>
            <w:r w:rsidR="00FB6FDA" w:rsidRPr="00352EC9">
              <w:rPr>
                <w:b/>
                <w:sz w:val="20"/>
                <w:szCs w:val="20"/>
              </w:rPr>
              <w:t xml:space="preserve"> </w:t>
            </w:r>
            <w:r w:rsidRPr="00352EC9">
              <w:rPr>
                <w:b/>
                <w:sz w:val="20"/>
                <w:szCs w:val="20"/>
              </w:rPr>
              <w:t>attain improved learning outcomes</w:t>
            </w:r>
          </w:p>
        </w:tc>
        <w:tc>
          <w:tcPr>
            <w:tcW w:w="1225" w:type="dxa"/>
            <w:shd w:val="clear" w:color="auto" w:fill="E36C0A"/>
            <w:noWrap/>
          </w:tcPr>
          <w:p w:rsidR="0014442C" w:rsidRPr="00443639" w:rsidRDefault="0014442C" w:rsidP="0095295A">
            <w:pPr>
              <w:pStyle w:val="TableTextEntries"/>
              <w:jc w:val="center"/>
              <w:rPr>
                <w:color w:val="FFFFFF" w:themeColor="background1"/>
              </w:rPr>
            </w:pPr>
          </w:p>
        </w:tc>
        <w:tc>
          <w:tcPr>
            <w:tcW w:w="657" w:type="dxa"/>
            <w:gridSpan w:val="2"/>
          </w:tcPr>
          <w:p w:rsidR="0014442C" w:rsidRPr="00443639" w:rsidRDefault="0014442C" w:rsidP="0095295A">
            <w:pPr>
              <w:pStyle w:val="TableTextEntries"/>
              <w:jc w:val="center"/>
              <w:rPr>
                <w:color w:val="FFFFFF" w:themeColor="background1"/>
              </w:rPr>
            </w:pPr>
          </w:p>
        </w:tc>
        <w:tc>
          <w:tcPr>
            <w:tcW w:w="1301" w:type="dxa"/>
            <w:shd w:val="clear" w:color="auto" w:fill="72AF2F"/>
            <w:noWrap/>
          </w:tcPr>
          <w:p w:rsidR="0014442C" w:rsidRPr="00443639" w:rsidRDefault="0014442C" w:rsidP="0095295A">
            <w:pPr>
              <w:pStyle w:val="TableTextEntries"/>
              <w:jc w:val="center"/>
              <w:rPr>
                <w:color w:val="FFFFFF" w:themeColor="background1"/>
              </w:rPr>
            </w:pPr>
          </w:p>
        </w:tc>
      </w:tr>
    </w:tbl>
    <w:p w:rsidR="00512D1A" w:rsidRPr="00512D1A" w:rsidRDefault="00512D1A" w:rsidP="00512D1A">
      <w:pPr>
        <w:pStyle w:val="ListBullet"/>
        <w:tabs>
          <w:tab w:val="clear" w:pos="284"/>
          <w:tab w:val="left" w:pos="720"/>
        </w:tabs>
        <w:rPr>
          <w:rFonts w:asciiTheme="minorHAnsi" w:hAnsiTheme="minorHAnsi" w:cs="Calibri"/>
          <w:i/>
          <w:sz w:val="22"/>
          <w:szCs w:val="22"/>
        </w:rPr>
      </w:pPr>
      <w:r w:rsidRPr="00512D1A">
        <w:rPr>
          <w:rFonts w:asciiTheme="minorHAnsi" w:hAnsiTheme="minorHAnsi" w:cs="Calibri"/>
          <w:i/>
          <w:sz w:val="22"/>
          <w:szCs w:val="22"/>
        </w:rPr>
        <w:t xml:space="preserve">The objective was rated green in recognition of the reestablishment of a strong working relationship with the Ministry of Education (MoE).  This led to the design and implementation of the Professional Learning and Mentoring Program, a program for teachers and school leaders which will support the implementation of Timor-Leste’s new basic education curriculum.  </w:t>
      </w:r>
    </w:p>
    <w:p w:rsidR="00512D1A" w:rsidRPr="00512D1A" w:rsidRDefault="00512D1A" w:rsidP="00512D1A">
      <w:pPr>
        <w:pStyle w:val="ListBullet"/>
        <w:tabs>
          <w:tab w:val="clear" w:pos="284"/>
          <w:tab w:val="left" w:pos="720"/>
        </w:tabs>
        <w:rPr>
          <w:rFonts w:asciiTheme="minorHAnsi" w:hAnsiTheme="minorHAnsi" w:cs="Calibri"/>
          <w:sz w:val="22"/>
          <w:szCs w:val="22"/>
        </w:rPr>
      </w:pPr>
      <w:r w:rsidRPr="00512D1A">
        <w:rPr>
          <w:rFonts w:asciiTheme="minorHAnsi" w:hAnsiTheme="minorHAnsi" w:cs="Calibri"/>
          <w:sz w:val="22"/>
          <w:szCs w:val="22"/>
        </w:rPr>
        <w:t xml:space="preserve">Australia’s </w:t>
      </w:r>
      <w:r w:rsidRPr="00512D1A">
        <w:rPr>
          <w:rFonts w:asciiTheme="minorHAnsi" w:hAnsiTheme="minorHAnsi" w:cs="Calibri"/>
          <w:b/>
          <w:sz w:val="22"/>
          <w:szCs w:val="22"/>
        </w:rPr>
        <w:t>education program</w:t>
      </w:r>
      <w:r w:rsidRPr="00512D1A">
        <w:rPr>
          <w:rFonts w:asciiTheme="minorHAnsi" w:hAnsiTheme="minorHAnsi" w:cs="Calibri"/>
          <w:sz w:val="22"/>
          <w:szCs w:val="22"/>
        </w:rPr>
        <w:t xml:space="preserve"> ($23 million, 2012-2018) supports Timor-Leste’s </w:t>
      </w:r>
      <w:r w:rsidRPr="00512D1A">
        <w:rPr>
          <w:rFonts w:asciiTheme="minorHAnsi" w:hAnsiTheme="minorHAnsi" w:cs="Calibri"/>
          <w:i/>
          <w:sz w:val="22"/>
          <w:szCs w:val="22"/>
        </w:rPr>
        <w:t>National Education Strategic Plan</w:t>
      </w:r>
      <w:r w:rsidRPr="00512D1A">
        <w:rPr>
          <w:rFonts w:asciiTheme="minorHAnsi" w:hAnsiTheme="minorHAnsi" w:cs="Calibri"/>
          <w:sz w:val="22"/>
          <w:szCs w:val="22"/>
        </w:rPr>
        <w:t xml:space="preserve"> and</w:t>
      </w:r>
      <w:r w:rsidRPr="00512D1A">
        <w:rPr>
          <w:rFonts w:asciiTheme="minorHAnsi" w:hAnsiTheme="minorHAnsi" w:cs="Calibri"/>
          <w:i/>
          <w:sz w:val="22"/>
          <w:szCs w:val="22"/>
        </w:rPr>
        <w:t xml:space="preserve"> Strategic Development Plan</w:t>
      </w:r>
      <w:r w:rsidRPr="00512D1A">
        <w:rPr>
          <w:rFonts w:asciiTheme="minorHAnsi" w:hAnsiTheme="minorHAnsi" w:cs="Calibri"/>
          <w:sz w:val="22"/>
          <w:szCs w:val="22"/>
        </w:rPr>
        <w:t xml:space="preserve"> which outline a vision of quality education for all Timorese children. Australia’s support aims to improve learning outcomes in the early school years, in particular to improve literacy and numeracy, and to help the MoE address system constraints. The priority of MoE during 2015-16 was to roll-out its new student-centred basic education curriculum, which focuses on improving literacy and numeracy.</w:t>
      </w:r>
    </w:p>
    <w:p w:rsidR="00512D1A" w:rsidRPr="00512D1A" w:rsidRDefault="00512D1A" w:rsidP="00512D1A">
      <w:pPr>
        <w:pStyle w:val="ListBullet"/>
        <w:tabs>
          <w:tab w:val="clear" w:pos="284"/>
          <w:tab w:val="left" w:pos="720"/>
        </w:tabs>
        <w:rPr>
          <w:rFonts w:asciiTheme="minorHAnsi" w:hAnsiTheme="minorHAnsi" w:cs="Calibri"/>
          <w:sz w:val="22"/>
          <w:szCs w:val="22"/>
        </w:rPr>
      </w:pPr>
      <w:r w:rsidRPr="00512D1A">
        <w:rPr>
          <w:rFonts w:asciiTheme="minorHAnsi" w:hAnsiTheme="minorHAnsi" w:cs="Calibri"/>
          <w:sz w:val="22"/>
          <w:szCs w:val="22"/>
        </w:rPr>
        <w:t xml:space="preserve">Over 2015-16, by working beside MoE and responding to the Ministry’s priorities, </w:t>
      </w:r>
      <w:r>
        <w:rPr>
          <w:rFonts w:asciiTheme="minorHAnsi" w:hAnsiTheme="minorHAnsi" w:cs="Calibri"/>
          <w:sz w:val="22"/>
          <w:szCs w:val="22"/>
        </w:rPr>
        <w:t>DFAT</w:t>
      </w:r>
      <w:r w:rsidRPr="00512D1A">
        <w:rPr>
          <w:rFonts w:asciiTheme="minorHAnsi" w:hAnsiTheme="minorHAnsi" w:cs="Calibri"/>
          <w:sz w:val="22"/>
          <w:szCs w:val="22"/>
        </w:rPr>
        <w:t xml:space="preserve"> re-established itself as a trusted and preferred partner.  In this period, the </w:t>
      </w:r>
      <w:r>
        <w:rPr>
          <w:rFonts w:asciiTheme="minorHAnsi" w:hAnsiTheme="minorHAnsi" w:cs="Calibri"/>
          <w:sz w:val="22"/>
          <w:szCs w:val="22"/>
        </w:rPr>
        <w:t>MoE</w:t>
      </w:r>
      <w:r w:rsidRPr="00512D1A">
        <w:rPr>
          <w:rFonts w:asciiTheme="minorHAnsi" w:hAnsiTheme="minorHAnsi" w:cs="Calibri"/>
          <w:sz w:val="22"/>
          <w:szCs w:val="22"/>
        </w:rPr>
        <w:t xml:space="preserve">’s first priority was to develop and implement a nation-wide distribution system to deliver the new basic education curriculum and associated materials (140 items per school) to the country’s 1133 primary schools and 280 preschools. DFAT and MoE jointly committed resources </w:t>
      </w:r>
      <w:r w:rsidR="00C01B93">
        <w:rPr>
          <w:rFonts w:asciiTheme="minorHAnsi" w:hAnsiTheme="minorHAnsi" w:cs="Calibri"/>
          <w:sz w:val="22"/>
          <w:szCs w:val="22"/>
        </w:rPr>
        <w:t xml:space="preserve">to develop packing and distribution systems that delivered resources to </w:t>
      </w:r>
      <w:r w:rsidRPr="00512D1A">
        <w:rPr>
          <w:rFonts w:asciiTheme="minorHAnsi" w:hAnsiTheme="minorHAnsi" w:cs="Calibri"/>
          <w:sz w:val="22"/>
          <w:szCs w:val="22"/>
        </w:rPr>
        <w:t>94 per cent of rural schools and 100 per cent of preschools, exceeding shared expectations given the challenging topography in Timor-Leste. Distribution will continue biannually to update materials, with the MoE now funding the majority of costs. We also engaged an education economist to map both physical infrastructure and human resource needs from now to 2030, to enable the Ministry to make evidence</w:t>
      </w:r>
      <w:r w:rsidR="00C11319">
        <w:rPr>
          <w:rFonts w:asciiTheme="minorHAnsi" w:hAnsiTheme="minorHAnsi" w:cs="Calibri"/>
          <w:sz w:val="22"/>
          <w:szCs w:val="22"/>
        </w:rPr>
        <w:t>-</w:t>
      </w:r>
      <w:r w:rsidRPr="00512D1A">
        <w:rPr>
          <w:rFonts w:asciiTheme="minorHAnsi" w:hAnsiTheme="minorHAnsi" w:cs="Calibri"/>
          <w:sz w:val="22"/>
          <w:szCs w:val="22"/>
        </w:rPr>
        <w:t>based budget bids for education resources in a fiscally constrained budgetary environment.</w:t>
      </w:r>
    </w:p>
    <w:p w:rsidR="00512D1A" w:rsidRPr="00512D1A" w:rsidRDefault="00C01B93" w:rsidP="00512D1A">
      <w:pPr>
        <w:pStyle w:val="ListBullet"/>
        <w:tabs>
          <w:tab w:val="clear" w:pos="284"/>
          <w:tab w:val="left" w:pos="720"/>
        </w:tabs>
        <w:rPr>
          <w:rFonts w:asciiTheme="minorHAnsi" w:hAnsiTheme="minorHAnsi" w:cs="Calibri"/>
          <w:sz w:val="22"/>
          <w:szCs w:val="22"/>
        </w:rPr>
      </w:pPr>
      <w:r>
        <w:rPr>
          <w:rFonts w:asciiTheme="minorHAnsi" w:hAnsiTheme="minorHAnsi" w:cs="Calibri"/>
          <w:sz w:val="22"/>
          <w:szCs w:val="22"/>
        </w:rPr>
        <w:t xml:space="preserve">A </w:t>
      </w:r>
      <w:r w:rsidR="00512D1A" w:rsidRPr="00512D1A">
        <w:rPr>
          <w:rFonts w:asciiTheme="minorHAnsi" w:hAnsiTheme="minorHAnsi" w:cs="Calibri"/>
          <w:sz w:val="22"/>
          <w:szCs w:val="22"/>
        </w:rPr>
        <w:t xml:space="preserve">key area of support </w:t>
      </w:r>
      <w:r w:rsidR="007A7702">
        <w:rPr>
          <w:rFonts w:asciiTheme="minorHAnsi" w:hAnsiTheme="minorHAnsi" w:cs="Calibri"/>
          <w:sz w:val="22"/>
          <w:szCs w:val="22"/>
        </w:rPr>
        <w:t xml:space="preserve">in 2015-16 </w:t>
      </w:r>
      <w:r w:rsidR="00512D1A" w:rsidRPr="00512D1A">
        <w:rPr>
          <w:rFonts w:asciiTheme="minorHAnsi" w:hAnsiTheme="minorHAnsi" w:cs="Calibri"/>
          <w:sz w:val="22"/>
          <w:szCs w:val="22"/>
        </w:rPr>
        <w:t xml:space="preserve">was </w:t>
      </w:r>
      <w:r>
        <w:rPr>
          <w:rFonts w:asciiTheme="minorHAnsi" w:hAnsiTheme="minorHAnsi" w:cs="Calibri"/>
          <w:sz w:val="22"/>
          <w:szCs w:val="22"/>
        </w:rPr>
        <w:t xml:space="preserve">our response to MoE’s request to </w:t>
      </w:r>
      <w:r w:rsidR="00512D1A" w:rsidRPr="00512D1A">
        <w:rPr>
          <w:rFonts w:asciiTheme="minorHAnsi" w:hAnsiTheme="minorHAnsi" w:cs="Calibri"/>
          <w:sz w:val="22"/>
          <w:szCs w:val="22"/>
        </w:rPr>
        <w:t xml:space="preserve">improve teacher performance and support education leaders to use the new curriculum. </w:t>
      </w:r>
      <w:r>
        <w:rPr>
          <w:rFonts w:asciiTheme="minorHAnsi" w:hAnsiTheme="minorHAnsi" w:cs="Calibri"/>
          <w:sz w:val="22"/>
          <w:szCs w:val="22"/>
        </w:rPr>
        <w:t>With</w:t>
      </w:r>
      <w:r w:rsidR="00512D1A" w:rsidRPr="00512D1A">
        <w:rPr>
          <w:rFonts w:asciiTheme="minorHAnsi" w:hAnsiTheme="minorHAnsi" w:cs="Calibri"/>
          <w:sz w:val="22"/>
          <w:szCs w:val="22"/>
        </w:rPr>
        <w:t xml:space="preserve"> MoE, we designed a Professional Learning and Mentoring Program (PLMP), </w:t>
      </w:r>
      <w:r>
        <w:rPr>
          <w:rFonts w:asciiTheme="minorHAnsi" w:hAnsiTheme="minorHAnsi" w:cs="Calibri"/>
          <w:sz w:val="22"/>
          <w:szCs w:val="22"/>
        </w:rPr>
        <w:t xml:space="preserve">and </w:t>
      </w:r>
      <w:r w:rsidR="00512D1A" w:rsidRPr="00512D1A">
        <w:rPr>
          <w:rFonts w:asciiTheme="minorHAnsi" w:hAnsiTheme="minorHAnsi" w:cs="Calibri"/>
          <w:sz w:val="22"/>
          <w:szCs w:val="22"/>
        </w:rPr>
        <w:t xml:space="preserve">launched </w:t>
      </w:r>
      <w:r>
        <w:rPr>
          <w:rFonts w:asciiTheme="minorHAnsi" w:hAnsiTheme="minorHAnsi" w:cs="Calibri"/>
          <w:sz w:val="22"/>
          <w:szCs w:val="22"/>
        </w:rPr>
        <w:t xml:space="preserve">a pilot </w:t>
      </w:r>
      <w:r w:rsidR="00512D1A" w:rsidRPr="00512D1A">
        <w:rPr>
          <w:rFonts w:asciiTheme="minorHAnsi" w:hAnsiTheme="minorHAnsi" w:cs="Calibri"/>
          <w:sz w:val="22"/>
          <w:szCs w:val="22"/>
        </w:rPr>
        <w:t xml:space="preserve">in 60 schools in two districts in April 2016. The program involves tailored training for school leaders, backed up by regular classroom observation of teachers, </w:t>
      </w:r>
      <w:r>
        <w:rPr>
          <w:rFonts w:asciiTheme="minorHAnsi" w:hAnsiTheme="minorHAnsi" w:cs="Calibri"/>
          <w:sz w:val="22"/>
          <w:szCs w:val="22"/>
        </w:rPr>
        <w:t xml:space="preserve">in-classroom mentoring of teachers by international and national mentors, </w:t>
      </w:r>
      <w:r w:rsidR="00512D1A" w:rsidRPr="00512D1A">
        <w:rPr>
          <w:rFonts w:asciiTheme="minorHAnsi" w:hAnsiTheme="minorHAnsi" w:cs="Calibri"/>
          <w:sz w:val="22"/>
          <w:szCs w:val="22"/>
        </w:rPr>
        <w:t xml:space="preserve">weekly peer learning sessions.  School clusters </w:t>
      </w:r>
      <w:r w:rsidR="005B3DE6">
        <w:rPr>
          <w:rFonts w:asciiTheme="minorHAnsi" w:hAnsiTheme="minorHAnsi" w:cs="Calibri"/>
          <w:sz w:val="22"/>
          <w:szCs w:val="22"/>
        </w:rPr>
        <w:t>are</w:t>
      </w:r>
      <w:r w:rsidR="00512D1A" w:rsidRPr="00512D1A">
        <w:rPr>
          <w:rFonts w:asciiTheme="minorHAnsi" w:hAnsiTheme="minorHAnsi" w:cs="Calibri"/>
          <w:sz w:val="22"/>
          <w:szCs w:val="22"/>
        </w:rPr>
        <w:t xml:space="preserve"> required to nominate women as well as men to participate in the program, and mentoring includes checking that girls as well as boys are being called on in lessons. Early audits of the program found positive changes in teaching, and reports document that teachers who are participating in the program are implementing child centred and active learning practices.  </w:t>
      </w:r>
    </w:p>
    <w:p w:rsidR="00512D1A" w:rsidRPr="00512D1A" w:rsidRDefault="00512D1A" w:rsidP="00512D1A">
      <w:pPr>
        <w:pStyle w:val="ListBullet"/>
        <w:tabs>
          <w:tab w:val="clear" w:pos="284"/>
          <w:tab w:val="left" w:pos="720"/>
        </w:tabs>
        <w:rPr>
          <w:rFonts w:asciiTheme="minorHAnsi" w:hAnsiTheme="minorHAnsi" w:cs="Calibri"/>
          <w:sz w:val="22"/>
          <w:szCs w:val="22"/>
        </w:rPr>
      </w:pPr>
      <w:r w:rsidRPr="00512D1A">
        <w:rPr>
          <w:rFonts w:asciiTheme="minorHAnsi" w:hAnsiTheme="minorHAnsi" w:cs="Calibri"/>
          <w:sz w:val="22"/>
          <w:szCs w:val="22"/>
        </w:rPr>
        <w:t xml:space="preserve">MoE has committed </w:t>
      </w:r>
      <w:r w:rsidR="005B3DE6">
        <w:rPr>
          <w:rFonts w:asciiTheme="minorHAnsi" w:hAnsiTheme="minorHAnsi" w:cs="Calibri"/>
          <w:sz w:val="22"/>
          <w:szCs w:val="22"/>
        </w:rPr>
        <w:t>its</w:t>
      </w:r>
      <w:r w:rsidR="00C11319" w:rsidRPr="00512D1A">
        <w:rPr>
          <w:rFonts w:asciiTheme="minorHAnsi" w:hAnsiTheme="minorHAnsi" w:cs="Calibri"/>
          <w:sz w:val="22"/>
          <w:szCs w:val="22"/>
        </w:rPr>
        <w:t xml:space="preserve"> </w:t>
      </w:r>
      <w:r w:rsidRPr="00512D1A">
        <w:rPr>
          <w:rFonts w:asciiTheme="minorHAnsi" w:hAnsiTheme="minorHAnsi" w:cs="Calibri"/>
          <w:sz w:val="22"/>
          <w:szCs w:val="22"/>
        </w:rPr>
        <w:t xml:space="preserve">own resources to the </w:t>
      </w:r>
      <w:r w:rsidR="00C01B93">
        <w:rPr>
          <w:rFonts w:asciiTheme="minorHAnsi" w:hAnsiTheme="minorHAnsi" w:cs="Calibri"/>
          <w:sz w:val="22"/>
          <w:szCs w:val="22"/>
        </w:rPr>
        <w:t>PLMP</w:t>
      </w:r>
      <w:r w:rsidRPr="00512D1A">
        <w:rPr>
          <w:rFonts w:asciiTheme="minorHAnsi" w:hAnsiTheme="minorHAnsi" w:cs="Calibri"/>
          <w:sz w:val="22"/>
          <w:szCs w:val="22"/>
        </w:rPr>
        <w:t xml:space="preserve">, recruiting local mentors to work with Australian funded mentors, and requested the program be expanded to six districts by 2017 with a schedule for national rollout over the next five years. Another 120 schools </w:t>
      </w:r>
      <w:r w:rsidR="00C01B93">
        <w:rPr>
          <w:rFonts w:asciiTheme="minorHAnsi" w:hAnsiTheme="minorHAnsi" w:cs="Calibri"/>
          <w:sz w:val="22"/>
          <w:szCs w:val="22"/>
        </w:rPr>
        <w:t>will come</w:t>
      </w:r>
      <w:r w:rsidRPr="00512D1A">
        <w:rPr>
          <w:rFonts w:asciiTheme="minorHAnsi" w:hAnsiTheme="minorHAnsi" w:cs="Calibri"/>
          <w:sz w:val="22"/>
          <w:szCs w:val="22"/>
        </w:rPr>
        <w:t xml:space="preserve"> on line in July 2016.  The program will track trends in literacy and numeracy on a regular basis through </w:t>
      </w:r>
      <w:r w:rsidR="00C01B93">
        <w:rPr>
          <w:rFonts w:asciiTheme="minorHAnsi" w:hAnsiTheme="minorHAnsi" w:cs="Calibri"/>
          <w:sz w:val="22"/>
          <w:szCs w:val="22"/>
        </w:rPr>
        <w:t xml:space="preserve">mini </w:t>
      </w:r>
      <w:r w:rsidRPr="00512D1A">
        <w:rPr>
          <w:rFonts w:asciiTheme="minorHAnsi" w:hAnsiTheme="minorHAnsi" w:cs="Calibri"/>
          <w:sz w:val="22"/>
          <w:szCs w:val="22"/>
        </w:rPr>
        <w:t xml:space="preserve">Early Grade Reading </w:t>
      </w:r>
      <w:r w:rsidR="00C01B93">
        <w:rPr>
          <w:rFonts w:asciiTheme="minorHAnsi" w:hAnsiTheme="minorHAnsi" w:cs="Calibri"/>
          <w:sz w:val="22"/>
          <w:szCs w:val="22"/>
        </w:rPr>
        <w:t xml:space="preserve">(EGRA) </w:t>
      </w:r>
      <w:r w:rsidRPr="00512D1A">
        <w:rPr>
          <w:rFonts w:asciiTheme="minorHAnsi" w:hAnsiTheme="minorHAnsi" w:cs="Calibri"/>
          <w:sz w:val="22"/>
          <w:szCs w:val="22"/>
        </w:rPr>
        <w:t>and Mathematics Assessments</w:t>
      </w:r>
      <w:r w:rsidR="00C01B93">
        <w:rPr>
          <w:rFonts w:asciiTheme="minorHAnsi" w:hAnsiTheme="minorHAnsi" w:cs="Calibri"/>
          <w:sz w:val="22"/>
          <w:szCs w:val="22"/>
        </w:rPr>
        <w:t xml:space="preserve"> (EGMA)</w:t>
      </w:r>
      <w:r w:rsidRPr="00512D1A">
        <w:rPr>
          <w:rFonts w:asciiTheme="minorHAnsi" w:hAnsiTheme="minorHAnsi" w:cs="Calibri"/>
          <w:sz w:val="22"/>
          <w:szCs w:val="22"/>
        </w:rPr>
        <w:t xml:space="preserve">, to measure the impact of both the new curriculum and the PLMP on learning outcomes, and to inform changes to the program </w:t>
      </w:r>
      <w:r w:rsidR="00C6268F" w:rsidRPr="00512D1A">
        <w:rPr>
          <w:rFonts w:asciiTheme="minorHAnsi" w:hAnsiTheme="minorHAnsi" w:cs="Calibri"/>
          <w:sz w:val="22"/>
          <w:szCs w:val="22"/>
        </w:rPr>
        <w:t>and curriculum</w:t>
      </w:r>
      <w:r w:rsidRPr="00512D1A">
        <w:rPr>
          <w:rFonts w:asciiTheme="minorHAnsi" w:hAnsiTheme="minorHAnsi" w:cs="Calibri"/>
          <w:sz w:val="22"/>
          <w:szCs w:val="22"/>
        </w:rPr>
        <w:t xml:space="preserve"> where challenges are identified.</w:t>
      </w:r>
    </w:p>
    <w:p w:rsidR="007C1B99" w:rsidRDefault="00512D1A" w:rsidP="00512D1A">
      <w:pPr>
        <w:pStyle w:val="ListBullet"/>
        <w:tabs>
          <w:tab w:val="clear" w:pos="284"/>
          <w:tab w:val="left" w:pos="720"/>
        </w:tabs>
        <w:rPr>
          <w:rFonts w:asciiTheme="minorHAnsi" w:hAnsiTheme="minorHAnsi" w:cs="Calibri"/>
          <w:sz w:val="22"/>
          <w:szCs w:val="22"/>
        </w:rPr>
      </w:pPr>
      <w:r w:rsidRPr="00512D1A">
        <w:rPr>
          <w:rFonts w:asciiTheme="minorHAnsi" w:hAnsiTheme="minorHAnsi" w:cs="Calibri"/>
          <w:sz w:val="22"/>
          <w:szCs w:val="22"/>
        </w:rPr>
        <w:t xml:space="preserve">Poor literacy and numeracy has also been linked to a lack of learning resources in accessible languages. In 2015-16, Australia provided literacy and sports packs to all primary schools to bridge a gap in </w:t>
      </w:r>
      <w:r w:rsidR="00081E65" w:rsidRPr="00512D1A">
        <w:rPr>
          <w:rFonts w:asciiTheme="minorHAnsi" w:hAnsiTheme="minorHAnsi" w:cs="Calibri"/>
          <w:sz w:val="22"/>
          <w:szCs w:val="22"/>
        </w:rPr>
        <w:t>Tetum</w:t>
      </w:r>
      <w:r w:rsidRPr="00512D1A">
        <w:rPr>
          <w:rFonts w:asciiTheme="minorHAnsi" w:hAnsiTheme="minorHAnsi" w:cs="Calibri"/>
          <w:sz w:val="22"/>
          <w:szCs w:val="22"/>
        </w:rPr>
        <w:t xml:space="preserve"> learning resources. Australia also continued to fund a MoE led mother-tongue pilot, implemented by </w:t>
      </w:r>
      <w:r w:rsidR="00C11319">
        <w:rPr>
          <w:rFonts w:asciiTheme="minorHAnsi" w:hAnsiTheme="minorHAnsi" w:cs="Calibri"/>
          <w:sz w:val="22"/>
          <w:szCs w:val="22"/>
        </w:rPr>
        <w:t xml:space="preserve">the </w:t>
      </w:r>
      <w:r w:rsidRPr="00512D1A">
        <w:rPr>
          <w:rFonts w:asciiTheme="minorHAnsi" w:hAnsiTheme="minorHAnsi" w:cs="Calibri"/>
          <w:sz w:val="22"/>
          <w:szCs w:val="22"/>
        </w:rPr>
        <w:t>UNESCO National Commission</w:t>
      </w:r>
      <w:r w:rsidR="00C11319">
        <w:rPr>
          <w:rFonts w:asciiTheme="minorHAnsi" w:hAnsiTheme="minorHAnsi" w:cs="Calibri"/>
          <w:sz w:val="22"/>
          <w:szCs w:val="22"/>
        </w:rPr>
        <w:t>,</w:t>
      </w:r>
      <w:r w:rsidRPr="00512D1A">
        <w:rPr>
          <w:rFonts w:asciiTheme="minorHAnsi" w:hAnsiTheme="minorHAnsi" w:cs="Calibri"/>
          <w:sz w:val="22"/>
          <w:szCs w:val="22"/>
        </w:rPr>
        <w:t xml:space="preserve"> which included </w:t>
      </w:r>
      <w:r w:rsidR="00C01B93">
        <w:rPr>
          <w:rFonts w:asciiTheme="minorHAnsi" w:hAnsiTheme="minorHAnsi" w:cs="Calibri"/>
          <w:sz w:val="22"/>
          <w:szCs w:val="22"/>
        </w:rPr>
        <w:t xml:space="preserve">development and distribution of </w:t>
      </w:r>
      <w:r w:rsidRPr="00512D1A">
        <w:rPr>
          <w:rFonts w:asciiTheme="minorHAnsi" w:hAnsiTheme="minorHAnsi" w:cs="Calibri"/>
          <w:sz w:val="22"/>
          <w:szCs w:val="22"/>
        </w:rPr>
        <w:t>reading materials in three local languages. Early resu</w:t>
      </w:r>
      <w:r w:rsidR="005B3DE6">
        <w:rPr>
          <w:rFonts w:asciiTheme="minorHAnsi" w:hAnsiTheme="minorHAnsi" w:cs="Calibri"/>
          <w:sz w:val="22"/>
          <w:szCs w:val="22"/>
        </w:rPr>
        <w:t>lts show that there are nearly four</w:t>
      </w:r>
      <w:r w:rsidRPr="00512D1A">
        <w:rPr>
          <w:rFonts w:asciiTheme="minorHAnsi" w:hAnsiTheme="minorHAnsi" w:cs="Calibri"/>
          <w:sz w:val="22"/>
          <w:szCs w:val="22"/>
        </w:rPr>
        <w:t xml:space="preserve"> times as many students in the mother-tongue schools who are classified as good readers than in non-pilot public schools. Australia will continue to support the pilot to provide evidence for the MoE to use when making policy decisions about language of instructi</w:t>
      </w:r>
      <w:r w:rsidR="007C1B99">
        <w:rPr>
          <w:rFonts w:asciiTheme="minorHAnsi" w:hAnsiTheme="minorHAnsi" w:cs="Calibri"/>
          <w:sz w:val="22"/>
          <w:szCs w:val="22"/>
        </w:rPr>
        <w:t xml:space="preserve">on in the early school years. </w:t>
      </w:r>
    </w:p>
    <w:p w:rsidR="00512D1A" w:rsidRPr="00512D1A" w:rsidRDefault="00512D1A" w:rsidP="00512D1A">
      <w:pPr>
        <w:pStyle w:val="ListBullet"/>
        <w:tabs>
          <w:tab w:val="clear" w:pos="284"/>
          <w:tab w:val="left" w:pos="720"/>
        </w:tabs>
        <w:rPr>
          <w:rFonts w:asciiTheme="minorHAnsi" w:hAnsiTheme="minorHAnsi" w:cs="Calibri"/>
          <w:sz w:val="22"/>
          <w:szCs w:val="22"/>
        </w:rPr>
      </w:pPr>
      <w:r w:rsidRPr="00512D1A">
        <w:rPr>
          <w:rFonts w:asciiTheme="minorHAnsi" w:hAnsiTheme="minorHAnsi" w:cs="Calibri"/>
          <w:sz w:val="22"/>
          <w:szCs w:val="22"/>
        </w:rPr>
        <w:t xml:space="preserve">Beyond our engagement with MoE, Australia continued its teacher training programs with the Alola Foundation and the Baucau Catholic Teachers College which trained 262 pre-service and in-service teachers (184 female: 78 male) in 2015-16, in line with expected targets. Several of these graduates are now working as mentors through the PLMP. </w:t>
      </w:r>
    </w:p>
    <w:p w:rsidR="00512D1A" w:rsidRDefault="00512D1A" w:rsidP="00E049FB">
      <w:pPr>
        <w:pStyle w:val="ListBullet"/>
        <w:tabs>
          <w:tab w:val="clear" w:pos="284"/>
          <w:tab w:val="left" w:pos="720"/>
        </w:tabs>
        <w:rPr>
          <w:rFonts w:asciiTheme="minorHAnsi" w:hAnsiTheme="minorHAnsi" w:cs="Calibri"/>
          <w:sz w:val="22"/>
          <w:szCs w:val="22"/>
        </w:rPr>
      </w:pPr>
      <w:r w:rsidRPr="00512D1A">
        <w:rPr>
          <w:rFonts w:asciiTheme="minorHAnsi" w:hAnsiTheme="minorHAnsi" w:cs="Calibri"/>
          <w:b/>
          <w:sz w:val="22"/>
          <w:szCs w:val="22"/>
        </w:rPr>
        <w:t>Management response</w:t>
      </w:r>
      <w:r w:rsidRPr="00512D1A">
        <w:rPr>
          <w:rFonts w:asciiTheme="minorHAnsi" w:hAnsiTheme="minorHAnsi" w:cs="Calibri"/>
          <w:sz w:val="22"/>
          <w:szCs w:val="22"/>
        </w:rPr>
        <w:t xml:space="preserve">: We will formally transition our support to the Alola Foundation and the Baucau Catholic Teachers College to work as part of PLMP in 2016-17.  We will also work enhance our support to assist school leaders and teachers understand and respond to the needs of children with a disability, to assist MoE realise their goal of inclusive education. </w:t>
      </w:r>
    </w:p>
    <w:tbl>
      <w:tblPr>
        <w:tblStyle w:val="APPR"/>
        <w:tblW w:w="5000" w:type="pct"/>
        <w:tblLook w:val="0000" w:firstRow="0" w:lastRow="0" w:firstColumn="0" w:lastColumn="0" w:noHBand="0" w:noVBand="0"/>
        <w:tblCaption w:val="Objective 2.3 Rating"/>
        <w:tblDescription w:val="Objective 2.3 - health. PRevious rating amber, current rating amber"/>
      </w:tblPr>
      <w:tblGrid>
        <w:gridCol w:w="6844"/>
        <w:gridCol w:w="1253"/>
        <w:gridCol w:w="484"/>
        <w:gridCol w:w="1329"/>
      </w:tblGrid>
      <w:tr w:rsidR="005304EE" w:rsidRPr="0019341B" w:rsidTr="000426F9">
        <w:trPr>
          <w:cnfStyle w:val="000000010000" w:firstRow="0" w:lastRow="0" w:firstColumn="0" w:lastColumn="0" w:oddVBand="0" w:evenVBand="0" w:oddHBand="0" w:evenHBand="1" w:firstRowFirstColumn="0" w:firstRowLastColumn="0" w:lastRowFirstColumn="0" w:lastRowLastColumn="0"/>
          <w:trHeight w:val="651"/>
        </w:trPr>
        <w:tc>
          <w:tcPr>
            <w:tcW w:w="6802" w:type="dxa"/>
          </w:tcPr>
          <w:p w:rsidR="005304EE" w:rsidRPr="0019341B" w:rsidRDefault="005304EE" w:rsidP="000426F9">
            <w:pPr>
              <w:pStyle w:val="ListBullet"/>
            </w:pPr>
            <w:r w:rsidRPr="0019341B">
              <w:rPr>
                <w:noProof/>
              </w:rPr>
              <w:drawing>
                <wp:anchor distT="0" distB="0" distL="114300" distR="114300" simplePos="0" relativeHeight="251706368" behindDoc="0" locked="0" layoutInCell="1" allowOverlap="1" wp14:anchorId="2724B932" wp14:editId="46E18104">
                  <wp:simplePos x="0" y="0"/>
                  <wp:positionH relativeFrom="column">
                    <wp:posOffset>0</wp:posOffset>
                  </wp:positionH>
                  <wp:positionV relativeFrom="paragraph">
                    <wp:posOffset>0</wp:posOffset>
                  </wp:positionV>
                  <wp:extent cx="1857375" cy="228600"/>
                  <wp:effectExtent l="0" t="0" r="9525" b="0"/>
                  <wp:wrapNone/>
                  <wp:docPr id="14" name="Picture 14"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5304EE" w:rsidRPr="0019341B" w:rsidRDefault="005304EE" w:rsidP="000426F9">
            <w:pPr>
              <w:pStyle w:val="TableTextColumnHeading"/>
            </w:pPr>
            <w:r>
              <w:t>Previous Rating</w:t>
            </w:r>
          </w:p>
        </w:tc>
        <w:tc>
          <w:tcPr>
            <w:tcW w:w="456" w:type="dxa"/>
          </w:tcPr>
          <w:p w:rsidR="005304EE" w:rsidRDefault="005304EE" w:rsidP="000426F9">
            <w:pPr>
              <w:pStyle w:val="TableTextColumnHeading"/>
            </w:pPr>
          </w:p>
        </w:tc>
        <w:tc>
          <w:tcPr>
            <w:tcW w:w="1287" w:type="dxa"/>
          </w:tcPr>
          <w:p w:rsidR="005304EE" w:rsidRPr="0019341B" w:rsidRDefault="005304EE" w:rsidP="000426F9">
            <w:pPr>
              <w:pStyle w:val="TableTextColumnHeading"/>
            </w:pPr>
            <w:r>
              <w:t>Current Rating</w:t>
            </w:r>
          </w:p>
        </w:tc>
      </w:tr>
      <w:tr w:rsidR="005304EE" w:rsidRPr="009D53C4" w:rsidTr="00C11319">
        <w:trPr>
          <w:cnfStyle w:val="000000010000" w:firstRow="0" w:lastRow="0" w:firstColumn="0" w:lastColumn="0" w:oddVBand="0" w:evenVBand="0" w:oddHBand="0" w:evenHBand="1" w:firstRowFirstColumn="0" w:firstRowLastColumn="0" w:lastRowFirstColumn="0" w:lastRowLastColumn="0"/>
        </w:trPr>
        <w:tc>
          <w:tcPr>
            <w:tcW w:w="6802" w:type="dxa"/>
          </w:tcPr>
          <w:p w:rsidR="005304EE" w:rsidRPr="005B3DE6" w:rsidRDefault="005304EE" w:rsidP="000426F9">
            <w:pPr>
              <w:pStyle w:val="TableTextEntries"/>
              <w:rPr>
                <w:b/>
                <w:sz w:val="20"/>
                <w:szCs w:val="20"/>
              </w:rPr>
            </w:pPr>
            <w:r w:rsidRPr="005B3DE6">
              <w:rPr>
                <w:b/>
                <w:sz w:val="20"/>
                <w:szCs w:val="20"/>
              </w:rPr>
              <w:t xml:space="preserve">Objective 2.3: Households, especially the most vulnerable, increasingly practice behaviours that are conducive to better maternal and child health and use reproductive, maternal, newborn and child health services. </w:t>
            </w:r>
          </w:p>
        </w:tc>
        <w:tc>
          <w:tcPr>
            <w:tcW w:w="1225" w:type="dxa"/>
            <w:shd w:val="clear" w:color="auto" w:fill="E36C0A"/>
            <w:noWrap/>
          </w:tcPr>
          <w:p w:rsidR="005304EE" w:rsidRPr="00443639" w:rsidRDefault="005304EE" w:rsidP="000426F9">
            <w:pPr>
              <w:pStyle w:val="TableTextEntries"/>
              <w:jc w:val="center"/>
              <w:rPr>
                <w:color w:val="FFFFFF" w:themeColor="background1"/>
              </w:rPr>
            </w:pPr>
          </w:p>
        </w:tc>
        <w:tc>
          <w:tcPr>
            <w:tcW w:w="456" w:type="dxa"/>
          </w:tcPr>
          <w:p w:rsidR="005304EE" w:rsidRPr="00443639" w:rsidRDefault="005304EE" w:rsidP="000426F9">
            <w:pPr>
              <w:pStyle w:val="TableTextEntries"/>
              <w:jc w:val="center"/>
              <w:rPr>
                <w:color w:val="FFFFFF" w:themeColor="background1"/>
              </w:rPr>
            </w:pPr>
          </w:p>
        </w:tc>
        <w:tc>
          <w:tcPr>
            <w:tcW w:w="1287" w:type="dxa"/>
            <w:shd w:val="clear" w:color="auto" w:fill="EA5F00"/>
            <w:noWrap/>
          </w:tcPr>
          <w:p w:rsidR="005304EE" w:rsidRPr="00443639" w:rsidRDefault="005304EE" w:rsidP="000426F9">
            <w:pPr>
              <w:pStyle w:val="TableTextEntries"/>
              <w:jc w:val="center"/>
              <w:rPr>
                <w:color w:val="FFFFFF" w:themeColor="background1"/>
              </w:rPr>
            </w:pPr>
          </w:p>
        </w:tc>
      </w:tr>
    </w:tbl>
    <w:p w:rsidR="005352A7" w:rsidRDefault="005352A7" w:rsidP="005304EE">
      <w:pPr>
        <w:pStyle w:val="ListBullet"/>
        <w:tabs>
          <w:tab w:val="clear" w:pos="284"/>
          <w:tab w:val="left" w:pos="720"/>
        </w:tabs>
        <w:rPr>
          <w:rFonts w:asciiTheme="minorHAnsi" w:hAnsiTheme="minorHAnsi" w:cs="Calibri"/>
          <w:i/>
          <w:sz w:val="22"/>
          <w:szCs w:val="22"/>
        </w:rPr>
      </w:pPr>
      <w:r>
        <w:rPr>
          <w:rFonts w:asciiTheme="minorHAnsi" w:hAnsiTheme="minorHAnsi" w:cs="Calibri"/>
          <w:i/>
          <w:sz w:val="22"/>
          <w:szCs w:val="22"/>
        </w:rPr>
        <w:t>The objective was rated amber</w:t>
      </w:r>
      <w:r w:rsidR="00690511">
        <w:rPr>
          <w:rFonts w:asciiTheme="minorHAnsi" w:hAnsiTheme="minorHAnsi" w:cs="Calibri"/>
          <w:i/>
          <w:sz w:val="22"/>
          <w:szCs w:val="22"/>
        </w:rPr>
        <w:t>,</w:t>
      </w:r>
      <w:r>
        <w:rPr>
          <w:rFonts w:asciiTheme="minorHAnsi" w:hAnsiTheme="minorHAnsi" w:cs="Calibri"/>
          <w:i/>
          <w:sz w:val="22"/>
          <w:szCs w:val="22"/>
        </w:rPr>
        <w:t xml:space="preserve"> reflec</w:t>
      </w:r>
      <w:r w:rsidR="00325723">
        <w:rPr>
          <w:rFonts w:asciiTheme="minorHAnsi" w:hAnsiTheme="minorHAnsi" w:cs="Calibri"/>
          <w:i/>
          <w:sz w:val="22"/>
          <w:szCs w:val="22"/>
        </w:rPr>
        <w:t>ting</w:t>
      </w:r>
      <w:r>
        <w:rPr>
          <w:rFonts w:asciiTheme="minorHAnsi" w:hAnsiTheme="minorHAnsi" w:cs="Calibri"/>
          <w:i/>
          <w:sz w:val="22"/>
          <w:szCs w:val="22"/>
        </w:rPr>
        <w:t xml:space="preserve"> good </w:t>
      </w:r>
      <w:r w:rsidR="00690511">
        <w:rPr>
          <w:rFonts w:asciiTheme="minorHAnsi" w:hAnsiTheme="minorHAnsi" w:cs="Calibri"/>
          <w:i/>
          <w:sz w:val="22"/>
          <w:szCs w:val="22"/>
        </w:rPr>
        <w:t xml:space="preserve">progress </w:t>
      </w:r>
      <w:r w:rsidR="00D52D12">
        <w:rPr>
          <w:rFonts w:asciiTheme="minorHAnsi" w:hAnsiTheme="minorHAnsi" w:cs="Calibri"/>
          <w:i/>
          <w:sz w:val="22"/>
          <w:szCs w:val="22"/>
        </w:rPr>
        <w:t xml:space="preserve">while some constraints </w:t>
      </w:r>
      <w:r>
        <w:rPr>
          <w:rFonts w:asciiTheme="minorHAnsi" w:hAnsiTheme="minorHAnsi" w:cs="Calibri"/>
          <w:i/>
          <w:sz w:val="22"/>
          <w:szCs w:val="22"/>
        </w:rPr>
        <w:t xml:space="preserve">remain. There were </w:t>
      </w:r>
      <w:r w:rsidR="00265060">
        <w:rPr>
          <w:rFonts w:asciiTheme="minorHAnsi" w:hAnsiTheme="minorHAnsi" w:cs="Calibri"/>
          <w:i/>
          <w:sz w:val="22"/>
          <w:szCs w:val="22"/>
        </w:rPr>
        <w:t xml:space="preserve">improvements in </w:t>
      </w:r>
      <w:r w:rsidR="005304EE" w:rsidRPr="005304EE">
        <w:rPr>
          <w:rFonts w:asciiTheme="minorHAnsi" w:hAnsiTheme="minorHAnsi" w:cs="Calibri"/>
          <w:i/>
          <w:sz w:val="22"/>
          <w:szCs w:val="22"/>
        </w:rPr>
        <w:t>maternal and child health services</w:t>
      </w:r>
      <w:r w:rsidR="005304EE">
        <w:rPr>
          <w:rFonts w:asciiTheme="minorHAnsi" w:hAnsiTheme="minorHAnsi" w:cs="Calibri"/>
          <w:i/>
          <w:sz w:val="22"/>
          <w:szCs w:val="22"/>
        </w:rPr>
        <w:t xml:space="preserve"> and</w:t>
      </w:r>
      <w:r w:rsidR="005304EE" w:rsidRPr="005304EE">
        <w:rPr>
          <w:rFonts w:asciiTheme="minorHAnsi" w:hAnsiTheme="minorHAnsi" w:cs="Calibri"/>
          <w:i/>
          <w:sz w:val="22"/>
          <w:szCs w:val="22"/>
        </w:rPr>
        <w:t xml:space="preserve"> </w:t>
      </w:r>
      <w:r w:rsidR="00265060">
        <w:rPr>
          <w:rFonts w:asciiTheme="minorHAnsi" w:hAnsiTheme="minorHAnsi" w:cs="Calibri"/>
          <w:i/>
          <w:sz w:val="22"/>
          <w:szCs w:val="22"/>
        </w:rPr>
        <w:t xml:space="preserve">the </w:t>
      </w:r>
      <w:r w:rsidR="005304EE" w:rsidRPr="005304EE">
        <w:rPr>
          <w:rFonts w:asciiTheme="minorHAnsi" w:hAnsiTheme="minorHAnsi" w:cs="Calibri"/>
          <w:i/>
          <w:sz w:val="22"/>
          <w:szCs w:val="22"/>
        </w:rPr>
        <w:t>skills development of doctors, midwives and paramedics</w:t>
      </w:r>
      <w:r>
        <w:rPr>
          <w:rFonts w:asciiTheme="minorHAnsi" w:hAnsiTheme="minorHAnsi" w:cs="Calibri"/>
          <w:i/>
          <w:sz w:val="22"/>
          <w:szCs w:val="22"/>
        </w:rPr>
        <w:t xml:space="preserve">. However, </w:t>
      </w:r>
      <w:r w:rsidR="00265060">
        <w:rPr>
          <w:rFonts w:asciiTheme="minorHAnsi" w:hAnsiTheme="minorHAnsi" w:cs="Calibri"/>
          <w:i/>
          <w:sz w:val="22"/>
          <w:szCs w:val="22"/>
        </w:rPr>
        <w:t>th</w:t>
      </w:r>
      <w:r>
        <w:rPr>
          <w:rFonts w:asciiTheme="minorHAnsi" w:hAnsiTheme="minorHAnsi" w:cs="Calibri"/>
          <w:i/>
          <w:sz w:val="22"/>
          <w:szCs w:val="22"/>
        </w:rPr>
        <w:t xml:space="preserve">e health portfolio was administratively burdensome. </w:t>
      </w:r>
    </w:p>
    <w:p w:rsidR="005304EE" w:rsidRPr="005304EE" w:rsidRDefault="005304EE" w:rsidP="005304EE">
      <w:pPr>
        <w:pStyle w:val="ListBullet"/>
        <w:tabs>
          <w:tab w:val="clear" w:pos="284"/>
          <w:tab w:val="left" w:pos="720"/>
        </w:tabs>
        <w:rPr>
          <w:rFonts w:asciiTheme="minorHAnsi" w:hAnsiTheme="minorHAnsi" w:cs="Calibri"/>
          <w:sz w:val="22"/>
          <w:szCs w:val="22"/>
        </w:rPr>
      </w:pPr>
      <w:r w:rsidRPr="005304EE">
        <w:rPr>
          <w:rFonts w:asciiTheme="minorHAnsi" w:hAnsiTheme="minorHAnsi" w:cs="Calibri"/>
          <w:sz w:val="22"/>
          <w:szCs w:val="22"/>
        </w:rPr>
        <w:t>Australia is the largest bilateral health donor ($28 million</w:t>
      </w:r>
      <w:r w:rsidR="00E36697">
        <w:rPr>
          <w:rFonts w:asciiTheme="minorHAnsi" w:hAnsiTheme="minorHAnsi" w:cs="Calibri"/>
          <w:sz w:val="22"/>
          <w:szCs w:val="22"/>
        </w:rPr>
        <w:t>,</w:t>
      </w:r>
      <w:r w:rsidRPr="005304EE">
        <w:rPr>
          <w:rFonts w:asciiTheme="minorHAnsi" w:hAnsiTheme="minorHAnsi" w:cs="Calibri"/>
          <w:sz w:val="22"/>
          <w:szCs w:val="22"/>
        </w:rPr>
        <w:t xml:space="preserve"> 2014-18) to Timor-Leste’s health sector and focuses support on </w:t>
      </w:r>
      <w:r w:rsidRPr="005304EE">
        <w:rPr>
          <w:rFonts w:asciiTheme="minorHAnsi" w:hAnsiTheme="minorHAnsi" w:cs="Calibri"/>
          <w:b/>
          <w:sz w:val="22"/>
          <w:szCs w:val="22"/>
        </w:rPr>
        <w:t>improving maternal and child health</w:t>
      </w:r>
      <w:r w:rsidRPr="005304EE">
        <w:rPr>
          <w:rFonts w:asciiTheme="minorHAnsi" w:hAnsiTheme="minorHAnsi" w:cs="Calibri"/>
          <w:sz w:val="22"/>
          <w:szCs w:val="22"/>
        </w:rPr>
        <w:t xml:space="preserve"> in line with the </w:t>
      </w:r>
      <w:r w:rsidRPr="005304EE">
        <w:rPr>
          <w:rFonts w:asciiTheme="minorHAnsi" w:hAnsiTheme="minorHAnsi" w:cs="Calibri"/>
          <w:i/>
          <w:sz w:val="22"/>
          <w:szCs w:val="22"/>
        </w:rPr>
        <w:t>National Health Sector Support Plan</w:t>
      </w:r>
      <w:r w:rsidRPr="005304EE">
        <w:rPr>
          <w:rFonts w:asciiTheme="minorHAnsi" w:hAnsiTheme="minorHAnsi" w:cs="Calibri"/>
          <w:sz w:val="22"/>
          <w:szCs w:val="22"/>
        </w:rPr>
        <w:t xml:space="preserve">. </w:t>
      </w:r>
      <w:r w:rsidR="00BB1A4D">
        <w:rPr>
          <w:rFonts w:asciiTheme="minorHAnsi" w:hAnsiTheme="minorHAnsi" w:cs="Calibri"/>
          <w:sz w:val="22"/>
          <w:szCs w:val="22"/>
        </w:rPr>
        <w:t xml:space="preserve">The program aims to improve the continuum of care for maternal and child health including family planning and antenatal care, delivery and postnatal care and critical care for infants and children. </w:t>
      </w:r>
      <w:r>
        <w:rPr>
          <w:rFonts w:asciiTheme="minorHAnsi" w:hAnsiTheme="minorHAnsi" w:cs="Calibri"/>
          <w:sz w:val="22"/>
          <w:szCs w:val="22"/>
        </w:rPr>
        <w:t xml:space="preserve"> </w:t>
      </w:r>
    </w:p>
    <w:p w:rsidR="005304EE" w:rsidRPr="005304EE" w:rsidRDefault="005304EE" w:rsidP="005304EE">
      <w:pPr>
        <w:pStyle w:val="ListBullet"/>
        <w:tabs>
          <w:tab w:val="clear" w:pos="284"/>
          <w:tab w:val="left" w:pos="720"/>
        </w:tabs>
        <w:rPr>
          <w:rFonts w:asciiTheme="minorHAnsi" w:hAnsiTheme="minorHAnsi" w:cs="Calibri"/>
          <w:sz w:val="22"/>
          <w:szCs w:val="22"/>
        </w:rPr>
      </w:pPr>
      <w:r>
        <w:rPr>
          <w:rFonts w:asciiTheme="minorHAnsi" w:hAnsiTheme="minorHAnsi" w:cs="Calibri"/>
          <w:sz w:val="22"/>
          <w:szCs w:val="22"/>
        </w:rPr>
        <w:t>In 2015-16 t</w:t>
      </w:r>
      <w:r w:rsidRPr="005304EE">
        <w:rPr>
          <w:rFonts w:asciiTheme="minorHAnsi" w:hAnsiTheme="minorHAnsi" w:cs="Calibri"/>
          <w:sz w:val="22"/>
          <w:szCs w:val="22"/>
        </w:rPr>
        <w:t xml:space="preserve">he </w:t>
      </w:r>
      <w:r>
        <w:rPr>
          <w:rFonts w:asciiTheme="minorHAnsi" w:hAnsiTheme="minorHAnsi" w:cs="Calibri"/>
          <w:sz w:val="22"/>
          <w:szCs w:val="22"/>
        </w:rPr>
        <w:t xml:space="preserve">program </w:t>
      </w:r>
      <w:r w:rsidRPr="005304EE">
        <w:rPr>
          <w:rFonts w:asciiTheme="minorHAnsi" w:hAnsiTheme="minorHAnsi" w:cs="Calibri"/>
          <w:sz w:val="22"/>
          <w:szCs w:val="22"/>
        </w:rPr>
        <w:t xml:space="preserve">maintained its support to improving access to family planning services, in particular long term methods of contraception like implants which provide five years contraception. Through our service partners we provided more than 34,000 family planning services across 11 of 13 municipalities, up from coverage in 8 municipalities in 2014-15. We reached more than 76,000 people or around one in 15 Timorese, with family planning education programs. We supported the launch of a youth hotline for sexual and reproductive health with more than 16,000 callers accessing this in the first 12 months. </w:t>
      </w:r>
    </w:p>
    <w:p w:rsidR="00133005" w:rsidRDefault="005304EE" w:rsidP="005304EE">
      <w:pPr>
        <w:pStyle w:val="ListBullet"/>
        <w:tabs>
          <w:tab w:val="clear" w:pos="284"/>
          <w:tab w:val="left" w:pos="720"/>
        </w:tabs>
        <w:rPr>
          <w:rFonts w:asciiTheme="minorHAnsi" w:hAnsiTheme="minorHAnsi" w:cs="Calibri"/>
          <w:sz w:val="22"/>
          <w:szCs w:val="22"/>
        </w:rPr>
      </w:pPr>
      <w:r w:rsidRPr="005304EE">
        <w:rPr>
          <w:rFonts w:asciiTheme="minorHAnsi" w:hAnsiTheme="minorHAnsi" w:cs="Calibri"/>
          <w:sz w:val="22"/>
          <w:szCs w:val="22"/>
        </w:rPr>
        <w:t>The program continued to focus on improved quality of care</w:t>
      </w:r>
      <w:r w:rsidR="00912A48">
        <w:rPr>
          <w:rFonts w:asciiTheme="minorHAnsi" w:hAnsiTheme="minorHAnsi" w:cs="Calibri"/>
          <w:sz w:val="22"/>
          <w:szCs w:val="22"/>
        </w:rPr>
        <w:t xml:space="preserve"> by</w:t>
      </w:r>
      <w:r w:rsidRPr="005304EE">
        <w:rPr>
          <w:rFonts w:asciiTheme="minorHAnsi" w:hAnsiTheme="minorHAnsi" w:cs="Calibri"/>
          <w:sz w:val="22"/>
          <w:szCs w:val="22"/>
        </w:rPr>
        <w:t xml:space="preserve"> training health professionals. Our support upskill</w:t>
      </w:r>
      <w:r w:rsidR="00C01B93">
        <w:rPr>
          <w:rFonts w:asciiTheme="minorHAnsi" w:hAnsiTheme="minorHAnsi" w:cs="Calibri"/>
          <w:sz w:val="22"/>
          <w:szCs w:val="22"/>
        </w:rPr>
        <w:t xml:space="preserve">ed </w:t>
      </w:r>
      <w:r w:rsidRPr="005304EE">
        <w:rPr>
          <w:rFonts w:asciiTheme="minorHAnsi" w:hAnsiTheme="minorHAnsi" w:cs="Calibri"/>
          <w:sz w:val="22"/>
          <w:szCs w:val="22"/>
        </w:rPr>
        <w:t>doctors through the National Hospital as part of our long term partnership with the Royal Aus</w:t>
      </w:r>
      <w:r w:rsidR="00912A48">
        <w:rPr>
          <w:rFonts w:asciiTheme="minorHAnsi" w:hAnsiTheme="minorHAnsi" w:cs="Calibri"/>
          <w:sz w:val="22"/>
          <w:szCs w:val="22"/>
        </w:rPr>
        <w:t>tralasian College of Surgeons</w:t>
      </w:r>
      <w:r w:rsidR="00C94A5D">
        <w:rPr>
          <w:rFonts w:asciiTheme="minorHAnsi" w:hAnsiTheme="minorHAnsi" w:cs="Calibri"/>
          <w:sz w:val="22"/>
          <w:szCs w:val="22"/>
        </w:rPr>
        <w:t xml:space="preserve"> (RACS)</w:t>
      </w:r>
      <w:r w:rsidR="00912A48">
        <w:rPr>
          <w:rFonts w:asciiTheme="minorHAnsi" w:hAnsiTheme="minorHAnsi" w:cs="Calibri"/>
          <w:sz w:val="22"/>
          <w:szCs w:val="22"/>
        </w:rPr>
        <w:t xml:space="preserve">. </w:t>
      </w:r>
      <w:r w:rsidRPr="005304EE">
        <w:rPr>
          <w:rFonts w:asciiTheme="minorHAnsi" w:hAnsiTheme="minorHAnsi" w:cs="Calibri"/>
          <w:sz w:val="22"/>
          <w:szCs w:val="22"/>
        </w:rPr>
        <w:t>International specialists in obstetrics, emergency medicine, surgery, anaesthetics, paediatrics and family medicine train up to 40 merit selected junior doctors (equal numbers of male and female)</w:t>
      </w:r>
      <w:r w:rsidR="00C01B93">
        <w:rPr>
          <w:rFonts w:asciiTheme="minorHAnsi" w:hAnsiTheme="minorHAnsi" w:cs="Calibri"/>
          <w:sz w:val="22"/>
          <w:szCs w:val="22"/>
        </w:rPr>
        <w:t xml:space="preserve"> a year for two-year internships</w:t>
      </w:r>
      <w:r w:rsidRPr="005304EE">
        <w:rPr>
          <w:rFonts w:asciiTheme="minorHAnsi" w:hAnsiTheme="minorHAnsi" w:cs="Calibri"/>
          <w:sz w:val="22"/>
          <w:szCs w:val="22"/>
        </w:rPr>
        <w:t>.</w:t>
      </w:r>
      <w:r w:rsidR="00912A48">
        <w:rPr>
          <w:rFonts w:asciiTheme="minorHAnsi" w:hAnsiTheme="minorHAnsi" w:cs="Calibri"/>
          <w:sz w:val="22"/>
          <w:szCs w:val="22"/>
        </w:rPr>
        <w:t xml:space="preserve"> </w:t>
      </w:r>
      <w:r w:rsidRPr="005304EE">
        <w:rPr>
          <w:rFonts w:asciiTheme="minorHAnsi" w:hAnsiTheme="minorHAnsi" w:cs="Calibri"/>
          <w:sz w:val="22"/>
          <w:szCs w:val="22"/>
        </w:rPr>
        <w:t>This compl</w:t>
      </w:r>
      <w:r w:rsidR="00C11319">
        <w:rPr>
          <w:rFonts w:asciiTheme="minorHAnsi" w:hAnsiTheme="minorHAnsi" w:cs="Calibri"/>
          <w:sz w:val="22"/>
          <w:szCs w:val="22"/>
        </w:rPr>
        <w:t>e</w:t>
      </w:r>
      <w:r w:rsidRPr="005304EE">
        <w:rPr>
          <w:rFonts w:asciiTheme="minorHAnsi" w:hAnsiTheme="minorHAnsi" w:cs="Calibri"/>
          <w:sz w:val="22"/>
          <w:szCs w:val="22"/>
        </w:rPr>
        <w:t xml:space="preserve">ments the academic qualification that Timorese doctors have been receiving in Cuba, funded through the </w:t>
      </w:r>
      <w:r w:rsidR="00E36697">
        <w:rPr>
          <w:rFonts w:asciiTheme="minorHAnsi" w:hAnsiTheme="minorHAnsi" w:cs="Calibri"/>
          <w:sz w:val="22"/>
          <w:szCs w:val="22"/>
        </w:rPr>
        <w:t>MoH</w:t>
      </w:r>
      <w:r w:rsidRPr="005304EE">
        <w:rPr>
          <w:rFonts w:asciiTheme="minorHAnsi" w:hAnsiTheme="minorHAnsi" w:cs="Calibri"/>
          <w:sz w:val="22"/>
          <w:szCs w:val="22"/>
        </w:rPr>
        <w:t xml:space="preserve">. </w:t>
      </w:r>
      <w:r w:rsidR="00B516BD">
        <w:rPr>
          <w:rFonts w:asciiTheme="minorHAnsi" w:hAnsiTheme="minorHAnsi" w:cs="Calibri"/>
          <w:sz w:val="22"/>
          <w:szCs w:val="22"/>
        </w:rPr>
        <w:t>Challenges</w:t>
      </w:r>
      <w:r w:rsidR="00C94A5D">
        <w:rPr>
          <w:rFonts w:asciiTheme="minorHAnsi" w:hAnsiTheme="minorHAnsi" w:cs="Calibri"/>
          <w:sz w:val="22"/>
          <w:szCs w:val="22"/>
        </w:rPr>
        <w:t xml:space="preserve"> remain in this part of the</w:t>
      </w:r>
      <w:r w:rsidR="00B516BD">
        <w:rPr>
          <w:rFonts w:asciiTheme="minorHAnsi" w:hAnsiTheme="minorHAnsi" w:cs="Calibri"/>
          <w:sz w:val="22"/>
          <w:szCs w:val="22"/>
        </w:rPr>
        <w:t xml:space="preserve"> program; in 2015-16 the Government limited the</w:t>
      </w:r>
      <w:r w:rsidR="00B516BD" w:rsidRPr="00A5027E">
        <w:rPr>
          <w:rFonts w:asciiTheme="minorHAnsi" w:hAnsiTheme="minorHAnsi" w:cs="Calibri"/>
          <w:sz w:val="22"/>
          <w:szCs w:val="22"/>
        </w:rPr>
        <w:t xml:space="preserve"> RACS intern positions </w:t>
      </w:r>
      <w:r w:rsidR="00C11319">
        <w:rPr>
          <w:rFonts w:asciiTheme="minorHAnsi" w:hAnsiTheme="minorHAnsi" w:cs="Calibri"/>
          <w:sz w:val="22"/>
          <w:szCs w:val="22"/>
        </w:rPr>
        <w:t>following their</w:t>
      </w:r>
      <w:r w:rsidR="00B516BD" w:rsidRPr="00A5027E">
        <w:rPr>
          <w:rFonts w:asciiTheme="minorHAnsi" w:hAnsiTheme="minorHAnsi" w:cs="Calibri"/>
          <w:sz w:val="22"/>
          <w:szCs w:val="22"/>
        </w:rPr>
        <w:t xml:space="preserve"> decision </w:t>
      </w:r>
      <w:r w:rsidR="00B516BD">
        <w:rPr>
          <w:rFonts w:asciiTheme="minorHAnsi" w:hAnsiTheme="minorHAnsi" w:cs="Calibri"/>
          <w:sz w:val="22"/>
          <w:szCs w:val="22"/>
        </w:rPr>
        <w:t>to deploy junior d</w:t>
      </w:r>
      <w:r w:rsidR="00B516BD" w:rsidRPr="00A5027E">
        <w:rPr>
          <w:rFonts w:asciiTheme="minorHAnsi" w:hAnsiTheme="minorHAnsi" w:cs="Calibri"/>
          <w:sz w:val="22"/>
          <w:szCs w:val="22"/>
        </w:rPr>
        <w:t xml:space="preserve">octors </w:t>
      </w:r>
      <w:r w:rsidR="00B516BD">
        <w:rPr>
          <w:rFonts w:asciiTheme="minorHAnsi" w:hAnsiTheme="minorHAnsi" w:cs="Calibri"/>
          <w:sz w:val="22"/>
          <w:szCs w:val="22"/>
        </w:rPr>
        <w:t>to</w:t>
      </w:r>
      <w:r w:rsidR="00B516BD" w:rsidRPr="00A5027E">
        <w:rPr>
          <w:rFonts w:asciiTheme="minorHAnsi" w:hAnsiTheme="minorHAnsi" w:cs="Calibri"/>
          <w:sz w:val="22"/>
          <w:szCs w:val="22"/>
        </w:rPr>
        <w:t xml:space="preserve"> the municipalities</w:t>
      </w:r>
      <w:r w:rsidR="00C94A5D">
        <w:rPr>
          <w:rFonts w:asciiTheme="minorHAnsi" w:hAnsiTheme="minorHAnsi" w:cs="Calibri"/>
          <w:sz w:val="22"/>
          <w:szCs w:val="22"/>
        </w:rPr>
        <w:t xml:space="preserve"> and there are ongoing difficulties for the accreditation of the RACS trained junior doctors. </w:t>
      </w:r>
    </w:p>
    <w:p w:rsidR="005304EE" w:rsidRPr="005304EE" w:rsidRDefault="005304EE" w:rsidP="005304EE">
      <w:pPr>
        <w:pStyle w:val="ListBullet"/>
        <w:tabs>
          <w:tab w:val="clear" w:pos="284"/>
          <w:tab w:val="left" w:pos="720"/>
        </w:tabs>
        <w:rPr>
          <w:rFonts w:asciiTheme="minorHAnsi" w:hAnsiTheme="minorHAnsi" w:cs="Calibri"/>
          <w:sz w:val="22"/>
          <w:szCs w:val="22"/>
        </w:rPr>
      </w:pPr>
      <w:r w:rsidRPr="005304EE">
        <w:rPr>
          <w:rFonts w:asciiTheme="minorHAnsi" w:hAnsiTheme="minorHAnsi" w:cs="Calibri"/>
          <w:sz w:val="22"/>
          <w:szCs w:val="22"/>
        </w:rPr>
        <w:t xml:space="preserve">Australia continued to support health transport services to improve access to emergency care. During 2015-16, a transport emergency hotline (fully staffed by Red Cross volunteers) was introduced, a female mechanic joined the maintenance team and three-wheel community staffed ambulances were introduced as a pilot on Atauro Island. Birthing kits were rolled-out to all 120 ambulances and multi-function vehicles.  </w:t>
      </w:r>
    </w:p>
    <w:p w:rsidR="005304EE" w:rsidRDefault="005304EE" w:rsidP="005304EE">
      <w:pPr>
        <w:pStyle w:val="ListBullet"/>
        <w:tabs>
          <w:tab w:val="clear" w:pos="284"/>
          <w:tab w:val="left" w:pos="720"/>
        </w:tabs>
        <w:rPr>
          <w:rFonts w:asciiTheme="minorHAnsi" w:hAnsiTheme="minorHAnsi" w:cs="Calibri"/>
          <w:sz w:val="22"/>
          <w:szCs w:val="22"/>
        </w:rPr>
      </w:pPr>
      <w:r w:rsidRPr="005304EE">
        <w:rPr>
          <w:rFonts w:asciiTheme="minorHAnsi" w:hAnsiTheme="minorHAnsi" w:cs="Calibri"/>
          <w:sz w:val="22"/>
          <w:szCs w:val="22"/>
        </w:rPr>
        <w:t xml:space="preserve">A key achievement in 2015-16 was the implementation of the innovative </w:t>
      </w:r>
      <w:r w:rsidRPr="00912A48">
        <w:rPr>
          <w:rFonts w:asciiTheme="minorHAnsi" w:hAnsiTheme="minorHAnsi" w:cs="Calibri"/>
          <w:i/>
          <w:sz w:val="22"/>
          <w:szCs w:val="22"/>
        </w:rPr>
        <w:t>Liga Inan</w:t>
      </w:r>
      <w:r w:rsidRPr="005304EE">
        <w:rPr>
          <w:rFonts w:asciiTheme="minorHAnsi" w:hAnsiTheme="minorHAnsi" w:cs="Calibri"/>
          <w:sz w:val="22"/>
          <w:szCs w:val="22"/>
        </w:rPr>
        <w:t xml:space="preserve"> ‘Connecting Mums’ pilot </w:t>
      </w:r>
      <w:r w:rsidR="00912A48">
        <w:rPr>
          <w:rFonts w:asciiTheme="minorHAnsi" w:hAnsiTheme="minorHAnsi" w:cs="Calibri"/>
          <w:sz w:val="22"/>
          <w:szCs w:val="22"/>
        </w:rPr>
        <w:t xml:space="preserve">program </w:t>
      </w:r>
      <w:r w:rsidRPr="005304EE">
        <w:rPr>
          <w:rFonts w:asciiTheme="minorHAnsi" w:hAnsiTheme="minorHAnsi" w:cs="Calibri"/>
          <w:sz w:val="22"/>
          <w:szCs w:val="22"/>
        </w:rPr>
        <w:t xml:space="preserve">which has led to more women seeking antenatal care and giving birth with the assistance of a health professional. The program uses simple mobile phone technology to facilitate communication and build trust between expectant mothers and community health workers. An impact evaluation led by the </w:t>
      </w:r>
      <w:r w:rsidR="00E36697">
        <w:rPr>
          <w:rFonts w:asciiTheme="minorHAnsi" w:hAnsiTheme="minorHAnsi" w:cs="Calibri"/>
          <w:sz w:val="22"/>
          <w:szCs w:val="22"/>
        </w:rPr>
        <w:t>MoH</w:t>
      </w:r>
      <w:r w:rsidRPr="005304EE">
        <w:rPr>
          <w:rFonts w:asciiTheme="minorHAnsi" w:hAnsiTheme="minorHAnsi" w:cs="Calibri"/>
          <w:sz w:val="22"/>
          <w:szCs w:val="22"/>
        </w:rPr>
        <w:t xml:space="preserve"> in September 2015, found that women in the program in Manufahi were nearly twice as likely to have a skilled birth attendant and deliver at a health </w:t>
      </w:r>
      <w:r w:rsidR="00912A48">
        <w:rPr>
          <w:rFonts w:asciiTheme="minorHAnsi" w:hAnsiTheme="minorHAnsi" w:cs="Calibri"/>
          <w:sz w:val="22"/>
          <w:szCs w:val="22"/>
        </w:rPr>
        <w:t xml:space="preserve">centre. </w:t>
      </w:r>
      <w:r w:rsidRPr="005304EE">
        <w:rPr>
          <w:rFonts w:asciiTheme="minorHAnsi" w:hAnsiTheme="minorHAnsi" w:cs="Calibri"/>
          <w:sz w:val="22"/>
          <w:szCs w:val="22"/>
        </w:rPr>
        <w:t>They were also seven times more likely to have a postpartum care visit and five times more likely to have their newborns receive a postnatal</w:t>
      </w:r>
      <w:r w:rsidR="00C11319">
        <w:rPr>
          <w:rFonts w:asciiTheme="minorHAnsi" w:hAnsiTheme="minorHAnsi" w:cs="Calibri"/>
          <w:sz w:val="22"/>
          <w:szCs w:val="22"/>
        </w:rPr>
        <w:t xml:space="preserve"> visit</w:t>
      </w:r>
      <w:r w:rsidRPr="005304EE">
        <w:rPr>
          <w:rFonts w:asciiTheme="minorHAnsi" w:hAnsiTheme="minorHAnsi" w:cs="Calibri"/>
          <w:sz w:val="22"/>
          <w:szCs w:val="22"/>
        </w:rPr>
        <w:t xml:space="preserve"> within two days of delivery, compared with the control site. The program trained 250 midwives on safe and clean birth delivery in rural health centres and posts in response to the increased demand. </w:t>
      </w:r>
    </w:p>
    <w:p w:rsidR="00B516BD" w:rsidRPr="005304EE" w:rsidRDefault="00117C84" w:rsidP="005304EE">
      <w:pPr>
        <w:pStyle w:val="ListBullet"/>
        <w:tabs>
          <w:tab w:val="clear" w:pos="284"/>
          <w:tab w:val="left" w:pos="720"/>
        </w:tabs>
        <w:rPr>
          <w:rFonts w:asciiTheme="minorHAnsi" w:hAnsiTheme="minorHAnsi" w:cs="Calibri"/>
          <w:sz w:val="22"/>
          <w:szCs w:val="22"/>
        </w:rPr>
      </w:pPr>
      <w:r>
        <w:rPr>
          <w:rFonts w:asciiTheme="minorHAnsi" w:hAnsiTheme="minorHAnsi" w:cs="Calibri"/>
          <w:sz w:val="22"/>
          <w:szCs w:val="22"/>
        </w:rPr>
        <w:t>The management of the program remained administratively burdensome, with</w:t>
      </w:r>
      <w:r w:rsidR="00133005">
        <w:rPr>
          <w:rFonts w:asciiTheme="minorHAnsi" w:hAnsiTheme="minorHAnsi" w:cs="Calibri"/>
          <w:sz w:val="22"/>
          <w:szCs w:val="22"/>
        </w:rPr>
        <w:t xml:space="preserve"> three</w:t>
      </w:r>
      <w:r>
        <w:rPr>
          <w:rFonts w:asciiTheme="minorHAnsi" w:hAnsiTheme="minorHAnsi" w:cs="Calibri"/>
          <w:sz w:val="22"/>
          <w:szCs w:val="22"/>
        </w:rPr>
        <w:t xml:space="preserve">3 separate </w:t>
      </w:r>
      <w:r w:rsidR="005E5C68">
        <w:rPr>
          <w:rFonts w:asciiTheme="minorHAnsi" w:hAnsiTheme="minorHAnsi" w:cs="Calibri"/>
          <w:sz w:val="22"/>
          <w:szCs w:val="22"/>
        </w:rPr>
        <w:t>modalities</w:t>
      </w:r>
      <w:r>
        <w:rPr>
          <w:rFonts w:asciiTheme="minorHAnsi" w:hAnsiTheme="minorHAnsi" w:cs="Calibri"/>
          <w:sz w:val="22"/>
          <w:szCs w:val="22"/>
        </w:rPr>
        <w:t xml:space="preserve">. This </w:t>
      </w:r>
      <w:r w:rsidR="005E5C68">
        <w:rPr>
          <w:rFonts w:asciiTheme="minorHAnsi" w:hAnsiTheme="minorHAnsi" w:cs="Calibri"/>
          <w:sz w:val="22"/>
          <w:szCs w:val="22"/>
        </w:rPr>
        <w:t xml:space="preserve">limited our </w:t>
      </w:r>
      <w:r>
        <w:rPr>
          <w:rFonts w:asciiTheme="minorHAnsi" w:hAnsiTheme="minorHAnsi" w:cs="Calibri"/>
          <w:sz w:val="22"/>
          <w:szCs w:val="22"/>
        </w:rPr>
        <w:t>capacity t</w:t>
      </w:r>
      <w:r w:rsidR="005E5C68">
        <w:rPr>
          <w:rFonts w:asciiTheme="minorHAnsi" w:hAnsiTheme="minorHAnsi" w:cs="Calibri"/>
          <w:sz w:val="22"/>
          <w:szCs w:val="22"/>
        </w:rPr>
        <w:t>o undertake a sector-wide assessment of w</w:t>
      </w:r>
      <w:r w:rsidR="00B516BD" w:rsidRPr="0044367D">
        <w:rPr>
          <w:rFonts w:asciiTheme="minorHAnsi" w:hAnsiTheme="minorHAnsi" w:cs="Calibri"/>
          <w:sz w:val="22"/>
          <w:szCs w:val="22"/>
        </w:rPr>
        <w:t>hether our investments are the most appropriate to</w:t>
      </w:r>
      <w:r w:rsidR="005352A7">
        <w:rPr>
          <w:rFonts w:asciiTheme="minorHAnsi" w:hAnsiTheme="minorHAnsi" w:cs="Calibri"/>
          <w:sz w:val="22"/>
          <w:szCs w:val="22"/>
        </w:rPr>
        <w:t xml:space="preserve"> improve </w:t>
      </w:r>
      <w:r w:rsidR="00B516BD">
        <w:rPr>
          <w:rFonts w:asciiTheme="minorHAnsi" w:hAnsiTheme="minorHAnsi" w:cs="Calibri"/>
          <w:sz w:val="22"/>
          <w:szCs w:val="22"/>
        </w:rPr>
        <w:t>maternal and child health</w:t>
      </w:r>
      <w:r w:rsidR="00B516BD" w:rsidRPr="0044367D">
        <w:rPr>
          <w:rFonts w:asciiTheme="minorHAnsi" w:hAnsiTheme="minorHAnsi" w:cs="Calibri"/>
          <w:sz w:val="22"/>
          <w:szCs w:val="22"/>
        </w:rPr>
        <w:t>.</w:t>
      </w:r>
      <w:r w:rsidR="00B516BD">
        <w:rPr>
          <w:rFonts w:asciiTheme="minorHAnsi" w:hAnsiTheme="minorHAnsi" w:cs="Calibri"/>
          <w:sz w:val="22"/>
          <w:szCs w:val="22"/>
        </w:rPr>
        <w:t xml:space="preserve"> </w:t>
      </w:r>
      <w:r w:rsidR="005E5C68">
        <w:rPr>
          <w:rFonts w:asciiTheme="minorHAnsi" w:hAnsiTheme="minorHAnsi" w:cs="Calibri"/>
          <w:sz w:val="22"/>
          <w:szCs w:val="22"/>
        </w:rPr>
        <w:t xml:space="preserve">Additionally, </w:t>
      </w:r>
      <w:r w:rsidR="00B516BD" w:rsidRPr="0044367D">
        <w:rPr>
          <w:rFonts w:asciiTheme="minorHAnsi" w:hAnsiTheme="minorHAnsi" w:cs="Calibri"/>
          <w:sz w:val="22"/>
          <w:szCs w:val="22"/>
        </w:rPr>
        <w:t xml:space="preserve">the </w:t>
      </w:r>
      <w:r w:rsidR="00B516BD">
        <w:rPr>
          <w:rFonts w:asciiTheme="minorHAnsi" w:hAnsiTheme="minorHAnsi" w:cs="Calibri"/>
          <w:sz w:val="22"/>
          <w:szCs w:val="22"/>
        </w:rPr>
        <w:t>World Bank</w:t>
      </w:r>
      <w:r w:rsidR="00B516BD" w:rsidRPr="0044367D">
        <w:rPr>
          <w:rFonts w:asciiTheme="minorHAnsi" w:hAnsiTheme="minorHAnsi" w:cs="Calibri"/>
          <w:sz w:val="22"/>
          <w:szCs w:val="22"/>
        </w:rPr>
        <w:t>,</w:t>
      </w:r>
      <w:r w:rsidR="005E5C68">
        <w:rPr>
          <w:rFonts w:asciiTheme="minorHAnsi" w:hAnsiTheme="minorHAnsi" w:cs="Calibri"/>
          <w:sz w:val="22"/>
          <w:szCs w:val="22"/>
        </w:rPr>
        <w:t xml:space="preserve"> MoH</w:t>
      </w:r>
      <w:r w:rsidR="00B516BD">
        <w:rPr>
          <w:rFonts w:asciiTheme="minorHAnsi" w:hAnsiTheme="minorHAnsi" w:cs="Calibri"/>
          <w:sz w:val="22"/>
          <w:szCs w:val="22"/>
        </w:rPr>
        <w:t xml:space="preserve"> </w:t>
      </w:r>
      <w:r w:rsidR="00B516BD" w:rsidRPr="0044367D">
        <w:rPr>
          <w:rFonts w:asciiTheme="minorHAnsi" w:hAnsiTheme="minorHAnsi" w:cs="Calibri"/>
          <w:sz w:val="22"/>
          <w:szCs w:val="22"/>
        </w:rPr>
        <w:t xml:space="preserve">and </w:t>
      </w:r>
      <w:r w:rsidR="005E5C68">
        <w:rPr>
          <w:rFonts w:asciiTheme="minorHAnsi" w:hAnsiTheme="minorHAnsi" w:cs="Calibri"/>
          <w:sz w:val="22"/>
          <w:szCs w:val="22"/>
        </w:rPr>
        <w:t xml:space="preserve">DFAT </w:t>
      </w:r>
      <w:r w:rsidR="00C11319">
        <w:rPr>
          <w:rFonts w:asciiTheme="minorHAnsi" w:hAnsiTheme="minorHAnsi" w:cs="Calibri"/>
          <w:sz w:val="22"/>
          <w:szCs w:val="22"/>
        </w:rPr>
        <w:t xml:space="preserve">were unable to reach agreement </w:t>
      </w:r>
      <w:r w:rsidR="00B516BD" w:rsidRPr="0044367D">
        <w:rPr>
          <w:rFonts w:asciiTheme="minorHAnsi" w:hAnsiTheme="minorHAnsi" w:cs="Calibri"/>
          <w:sz w:val="22"/>
          <w:szCs w:val="22"/>
        </w:rPr>
        <w:t xml:space="preserve">on </w:t>
      </w:r>
      <w:r w:rsidR="00B516BD">
        <w:rPr>
          <w:rFonts w:asciiTheme="minorHAnsi" w:hAnsiTheme="minorHAnsi" w:cs="Calibri"/>
          <w:sz w:val="22"/>
          <w:szCs w:val="22"/>
        </w:rPr>
        <w:t xml:space="preserve">the </w:t>
      </w:r>
      <w:r w:rsidR="00B516BD" w:rsidRPr="0044367D">
        <w:rPr>
          <w:rFonts w:asciiTheme="minorHAnsi" w:hAnsiTheme="minorHAnsi" w:cs="Calibri"/>
          <w:sz w:val="22"/>
          <w:szCs w:val="22"/>
        </w:rPr>
        <w:t>expenditure of remaining funds in the W</w:t>
      </w:r>
      <w:r w:rsidR="00265060">
        <w:rPr>
          <w:rFonts w:asciiTheme="minorHAnsi" w:hAnsiTheme="minorHAnsi" w:cs="Calibri"/>
          <w:sz w:val="22"/>
          <w:szCs w:val="22"/>
        </w:rPr>
        <w:t>orld Bank</w:t>
      </w:r>
      <w:r w:rsidR="00B516BD" w:rsidRPr="0044367D">
        <w:rPr>
          <w:rFonts w:asciiTheme="minorHAnsi" w:hAnsiTheme="minorHAnsi" w:cs="Calibri"/>
          <w:sz w:val="22"/>
          <w:szCs w:val="22"/>
        </w:rPr>
        <w:t xml:space="preserve"> Trust Fund</w:t>
      </w:r>
      <w:r w:rsidR="00B516BD">
        <w:rPr>
          <w:rFonts w:asciiTheme="minorHAnsi" w:hAnsiTheme="minorHAnsi" w:cs="Calibri"/>
          <w:sz w:val="22"/>
          <w:szCs w:val="22"/>
        </w:rPr>
        <w:t>.</w:t>
      </w:r>
      <w:r w:rsidR="005E5C68" w:rsidRPr="005E5C68">
        <w:rPr>
          <w:rFonts w:asciiTheme="minorHAnsi" w:hAnsiTheme="minorHAnsi" w:cs="Calibri"/>
          <w:sz w:val="22"/>
          <w:szCs w:val="22"/>
        </w:rPr>
        <w:t xml:space="preserve"> </w:t>
      </w:r>
    </w:p>
    <w:p w:rsidR="005304EE" w:rsidRPr="005304EE" w:rsidRDefault="00912A48" w:rsidP="005304EE">
      <w:pPr>
        <w:pStyle w:val="ListBullet"/>
        <w:tabs>
          <w:tab w:val="clear" w:pos="284"/>
          <w:tab w:val="left" w:pos="720"/>
        </w:tabs>
        <w:rPr>
          <w:rFonts w:asciiTheme="minorHAnsi" w:hAnsiTheme="minorHAnsi" w:cs="Calibri"/>
          <w:sz w:val="22"/>
          <w:szCs w:val="22"/>
        </w:rPr>
      </w:pPr>
      <w:r w:rsidRPr="005304EE">
        <w:rPr>
          <w:rFonts w:asciiTheme="minorHAnsi" w:hAnsiTheme="minorHAnsi" w:cs="Calibri"/>
          <w:sz w:val="22"/>
          <w:szCs w:val="22"/>
        </w:rPr>
        <w:t xml:space="preserve">The improvement of monitoring and evaluation systems was a significant focus in 2015, and included the development of an M&amp;E plan and the replacement of lengthy program reporting with targeted performance discussions. </w:t>
      </w:r>
      <w:r w:rsidR="005304EE" w:rsidRPr="005304EE">
        <w:rPr>
          <w:rFonts w:asciiTheme="minorHAnsi" w:hAnsiTheme="minorHAnsi" w:cs="Calibri"/>
          <w:sz w:val="22"/>
          <w:szCs w:val="22"/>
        </w:rPr>
        <w:t xml:space="preserve">To ensure our programs were inclusive, a qualitative study was conducted to better understand challenges faced by women with a </w:t>
      </w:r>
      <w:r>
        <w:rPr>
          <w:rFonts w:asciiTheme="minorHAnsi" w:hAnsiTheme="minorHAnsi" w:cs="Calibri"/>
          <w:sz w:val="22"/>
          <w:szCs w:val="22"/>
        </w:rPr>
        <w:t xml:space="preserve">disability in maternal health. </w:t>
      </w:r>
      <w:r w:rsidR="005304EE" w:rsidRPr="005304EE">
        <w:rPr>
          <w:rFonts w:asciiTheme="minorHAnsi" w:hAnsiTheme="minorHAnsi" w:cs="Calibri"/>
          <w:sz w:val="22"/>
          <w:szCs w:val="22"/>
        </w:rPr>
        <w:t>This will inform programs in 2016-17</w:t>
      </w:r>
      <w:r>
        <w:rPr>
          <w:rFonts w:asciiTheme="minorHAnsi" w:hAnsiTheme="minorHAnsi" w:cs="Calibri"/>
          <w:sz w:val="22"/>
          <w:szCs w:val="22"/>
        </w:rPr>
        <w:t xml:space="preserve">. </w:t>
      </w:r>
    </w:p>
    <w:p w:rsidR="00133005" w:rsidRDefault="005304EE" w:rsidP="00292970">
      <w:pPr>
        <w:pStyle w:val="ListBullet"/>
        <w:tabs>
          <w:tab w:val="clear" w:pos="284"/>
          <w:tab w:val="left" w:pos="720"/>
        </w:tabs>
        <w:rPr>
          <w:rFonts w:asciiTheme="minorHAnsi" w:hAnsiTheme="minorHAnsi" w:cs="Calibri"/>
          <w:sz w:val="22"/>
          <w:szCs w:val="22"/>
        </w:rPr>
      </w:pPr>
      <w:r w:rsidRPr="005304EE">
        <w:rPr>
          <w:rFonts w:asciiTheme="minorHAnsi" w:hAnsiTheme="minorHAnsi" w:cs="Calibri"/>
          <w:b/>
          <w:sz w:val="22"/>
          <w:szCs w:val="22"/>
        </w:rPr>
        <w:t>Management response:</w:t>
      </w:r>
      <w:r w:rsidRPr="005304EE">
        <w:rPr>
          <w:rFonts w:asciiTheme="minorHAnsi" w:hAnsiTheme="minorHAnsi" w:cs="Calibri"/>
          <w:sz w:val="22"/>
          <w:szCs w:val="22"/>
        </w:rPr>
        <w:t xml:space="preserve"> The Health team will support</w:t>
      </w:r>
      <w:r>
        <w:rPr>
          <w:rFonts w:asciiTheme="minorHAnsi" w:hAnsiTheme="minorHAnsi" w:cs="Calibri"/>
          <w:sz w:val="22"/>
          <w:szCs w:val="22"/>
        </w:rPr>
        <w:t xml:space="preserve"> the</w:t>
      </w:r>
      <w:r w:rsidRPr="005304EE">
        <w:rPr>
          <w:rFonts w:asciiTheme="minorHAnsi" w:hAnsiTheme="minorHAnsi" w:cs="Calibri"/>
          <w:sz w:val="22"/>
          <w:szCs w:val="22"/>
        </w:rPr>
        <w:t xml:space="preserve"> transition of the program to the Australia Timor-Leste Partnership for Human Development from July 2016. The current investments will be reviewed as part of the transition to take on board research findings and to ensure our investments are best targeted towards improving maternal and child health.</w:t>
      </w:r>
    </w:p>
    <w:p w:rsidR="00EB3A59" w:rsidRDefault="00EB3A59" w:rsidP="00292970">
      <w:pPr>
        <w:pStyle w:val="ListBullet"/>
        <w:tabs>
          <w:tab w:val="clear" w:pos="284"/>
          <w:tab w:val="left" w:pos="720"/>
        </w:tabs>
        <w:rPr>
          <w:rFonts w:asciiTheme="minorHAnsi" w:hAnsiTheme="minorHAnsi" w:cs="Calibri"/>
          <w:sz w:val="22"/>
          <w:szCs w:val="22"/>
        </w:rPr>
      </w:pPr>
    </w:p>
    <w:p w:rsidR="00EB3A59" w:rsidRPr="00292970" w:rsidRDefault="00EB3A59" w:rsidP="00292970">
      <w:pPr>
        <w:pStyle w:val="ListBullet"/>
        <w:tabs>
          <w:tab w:val="clear" w:pos="284"/>
          <w:tab w:val="left" w:pos="720"/>
        </w:tabs>
        <w:rPr>
          <w:rFonts w:asciiTheme="minorHAnsi" w:hAnsiTheme="minorHAnsi" w:cs="Calibri"/>
          <w:sz w:val="22"/>
          <w:szCs w:val="22"/>
        </w:rPr>
      </w:pPr>
    </w:p>
    <w:tbl>
      <w:tblPr>
        <w:tblStyle w:val="APPR"/>
        <w:tblW w:w="5000" w:type="pct"/>
        <w:tblLook w:val="0000" w:firstRow="0" w:lastRow="0" w:firstColumn="0" w:lastColumn="0" w:noHBand="0" w:noVBand="0"/>
        <w:tblCaption w:val="Objective 2.4 Rating"/>
        <w:tblDescription w:val="Objective 2.4, reduced violence against women and improved support and legal services. Previous rating amber, current rating green"/>
      </w:tblPr>
      <w:tblGrid>
        <w:gridCol w:w="6843"/>
        <w:gridCol w:w="1253"/>
        <w:gridCol w:w="485"/>
        <w:gridCol w:w="1329"/>
      </w:tblGrid>
      <w:tr w:rsidR="005F3638" w:rsidRPr="0019341B" w:rsidTr="005F3638">
        <w:trPr>
          <w:cnfStyle w:val="000000010000" w:firstRow="0" w:lastRow="0" w:firstColumn="0" w:lastColumn="0" w:oddVBand="0" w:evenVBand="0" w:oddHBand="0" w:evenHBand="1" w:firstRowFirstColumn="0" w:firstRowLastColumn="0" w:lastRowFirstColumn="0" w:lastRowLastColumn="0"/>
          <w:trHeight w:val="651"/>
        </w:trPr>
        <w:tc>
          <w:tcPr>
            <w:tcW w:w="6801" w:type="dxa"/>
          </w:tcPr>
          <w:p w:rsidR="005F3638" w:rsidRPr="0019341B" w:rsidRDefault="005F3638" w:rsidP="0037449F">
            <w:pPr>
              <w:pStyle w:val="TableTextColumnHeading"/>
            </w:pPr>
            <w:r w:rsidRPr="0019341B">
              <w:rPr>
                <w:noProof/>
              </w:rPr>
              <w:drawing>
                <wp:anchor distT="0" distB="0" distL="114300" distR="114300" simplePos="0" relativeHeight="251696128" behindDoc="0" locked="0" layoutInCell="1" allowOverlap="1" wp14:anchorId="541F45BA" wp14:editId="4EC2D127">
                  <wp:simplePos x="0" y="0"/>
                  <wp:positionH relativeFrom="column">
                    <wp:posOffset>0</wp:posOffset>
                  </wp:positionH>
                  <wp:positionV relativeFrom="paragraph">
                    <wp:posOffset>0</wp:posOffset>
                  </wp:positionV>
                  <wp:extent cx="1857375" cy="228600"/>
                  <wp:effectExtent l="0" t="0" r="9525" b="0"/>
                  <wp:wrapNone/>
                  <wp:docPr id="9" name="Picture 9"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5F3638" w:rsidRPr="0019341B" w:rsidRDefault="005F3638" w:rsidP="0037449F">
            <w:pPr>
              <w:pStyle w:val="TableTextColumnHeading"/>
            </w:pPr>
            <w:r>
              <w:t>Previous Rating</w:t>
            </w:r>
          </w:p>
        </w:tc>
        <w:tc>
          <w:tcPr>
            <w:tcW w:w="457" w:type="dxa"/>
          </w:tcPr>
          <w:p w:rsidR="005F3638" w:rsidRDefault="005F3638" w:rsidP="001A4D7B">
            <w:pPr>
              <w:pStyle w:val="TableTextColumnHeading"/>
            </w:pPr>
          </w:p>
        </w:tc>
        <w:tc>
          <w:tcPr>
            <w:tcW w:w="1287" w:type="dxa"/>
          </w:tcPr>
          <w:p w:rsidR="005F3638" w:rsidRPr="0019341B" w:rsidRDefault="005F3638" w:rsidP="001A4D7B">
            <w:pPr>
              <w:pStyle w:val="TableTextColumnHeading"/>
            </w:pPr>
            <w:r>
              <w:t>Current Rating</w:t>
            </w:r>
          </w:p>
        </w:tc>
      </w:tr>
      <w:tr w:rsidR="005F3638" w:rsidRPr="009D53C4" w:rsidTr="00B949DD">
        <w:trPr>
          <w:cnfStyle w:val="000000010000" w:firstRow="0" w:lastRow="0" w:firstColumn="0" w:lastColumn="0" w:oddVBand="0" w:evenVBand="0" w:oddHBand="0" w:evenHBand="1" w:firstRowFirstColumn="0" w:firstRowLastColumn="0" w:lastRowFirstColumn="0" w:lastRowLastColumn="0"/>
        </w:trPr>
        <w:tc>
          <w:tcPr>
            <w:tcW w:w="6801" w:type="dxa"/>
          </w:tcPr>
          <w:p w:rsidR="005F3638" w:rsidRPr="00133005" w:rsidRDefault="005F3638" w:rsidP="0095295A">
            <w:pPr>
              <w:pStyle w:val="TableTextEntries"/>
              <w:rPr>
                <w:b/>
                <w:sz w:val="20"/>
                <w:szCs w:val="20"/>
              </w:rPr>
            </w:pPr>
            <w:r w:rsidRPr="00133005">
              <w:rPr>
                <w:b/>
                <w:sz w:val="20"/>
                <w:szCs w:val="20"/>
              </w:rPr>
              <w:t>Objective 2.4: Reduced violence against women and improved support and legal services for women and children affected by violence</w:t>
            </w:r>
          </w:p>
        </w:tc>
        <w:tc>
          <w:tcPr>
            <w:tcW w:w="1225" w:type="dxa"/>
            <w:shd w:val="clear" w:color="auto" w:fill="E36C0A"/>
            <w:noWrap/>
          </w:tcPr>
          <w:p w:rsidR="005F3638" w:rsidRPr="00443639" w:rsidRDefault="005F3638" w:rsidP="0095295A">
            <w:pPr>
              <w:pStyle w:val="TableTextEntries"/>
              <w:jc w:val="center"/>
              <w:rPr>
                <w:color w:val="FFFFFF" w:themeColor="background1"/>
              </w:rPr>
            </w:pPr>
          </w:p>
        </w:tc>
        <w:tc>
          <w:tcPr>
            <w:tcW w:w="457" w:type="dxa"/>
          </w:tcPr>
          <w:p w:rsidR="005F3638" w:rsidRPr="00443639" w:rsidRDefault="005F3638" w:rsidP="0095295A">
            <w:pPr>
              <w:pStyle w:val="TableTextEntries"/>
              <w:jc w:val="center"/>
              <w:rPr>
                <w:color w:val="FFFFFF" w:themeColor="background1"/>
              </w:rPr>
            </w:pPr>
          </w:p>
        </w:tc>
        <w:tc>
          <w:tcPr>
            <w:tcW w:w="1287" w:type="dxa"/>
            <w:shd w:val="clear" w:color="auto" w:fill="669900"/>
            <w:noWrap/>
          </w:tcPr>
          <w:p w:rsidR="005F3638" w:rsidRPr="00443639" w:rsidRDefault="005F3638" w:rsidP="0095295A">
            <w:pPr>
              <w:pStyle w:val="TableTextEntries"/>
              <w:jc w:val="center"/>
              <w:rPr>
                <w:color w:val="FFFFFF" w:themeColor="background1"/>
              </w:rPr>
            </w:pPr>
          </w:p>
        </w:tc>
      </w:tr>
    </w:tbl>
    <w:p w:rsidR="00DE1CB5" w:rsidRPr="00D8342B" w:rsidRDefault="00DE1CB5" w:rsidP="00DE1CB5">
      <w:pPr>
        <w:pStyle w:val="ListBullet"/>
        <w:spacing w:before="120"/>
        <w:rPr>
          <w:rFonts w:asciiTheme="minorHAnsi" w:hAnsiTheme="minorHAnsi"/>
          <w:i/>
          <w:iCs/>
          <w:sz w:val="22"/>
          <w:szCs w:val="22"/>
        </w:rPr>
      </w:pPr>
      <w:r w:rsidRPr="00D8342B">
        <w:rPr>
          <w:rFonts w:asciiTheme="minorHAnsi" w:hAnsiTheme="minorHAnsi"/>
          <w:i/>
          <w:iCs/>
          <w:sz w:val="22"/>
          <w:szCs w:val="22"/>
        </w:rPr>
        <w:t>The objective was rated green in recognition of the program’s effective transition from mobilisation to implementation which resulted in the delivery of more and higher quality support services to women and children affected by violence</w:t>
      </w:r>
      <w:r w:rsidR="00EC6DD4">
        <w:rPr>
          <w:rFonts w:asciiTheme="minorHAnsi" w:hAnsiTheme="minorHAnsi"/>
          <w:i/>
          <w:iCs/>
          <w:sz w:val="22"/>
          <w:szCs w:val="22"/>
        </w:rPr>
        <w:t>, despite budget reductions</w:t>
      </w:r>
      <w:r w:rsidRPr="00D8342B">
        <w:rPr>
          <w:rFonts w:asciiTheme="minorHAnsi" w:hAnsiTheme="minorHAnsi"/>
          <w:i/>
          <w:iCs/>
          <w:sz w:val="22"/>
          <w:szCs w:val="22"/>
        </w:rPr>
        <w:t xml:space="preserve">. Baseline research, finalised this year, will provide data to measure success over the life of the program and inform the design of critical violence prevention activities to contribute to reduced levels of violence against women. </w:t>
      </w:r>
    </w:p>
    <w:p w:rsidR="00DE1CB5" w:rsidRPr="00D8342B" w:rsidRDefault="00DE1CB5" w:rsidP="00DE1CB5">
      <w:pPr>
        <w:pStyle w:val="Default"/>
        <w:spacing w:before="120"/>
        <w:rPr>
          <w:rFonts w:asciiTheme="minorHAnsi" w:hAnsiTheme="minorHAnsi"/>
          <w:color w:val="auto"/>
          <w:sz w:val="22"/>
          <w:szCs w:val="22"/>
          <w:lang w:eastAsia="en-AU"/>
        </w:rPr>
      </w:pPr>
      <w:r w:rsidRPr="00D8342B">
        <w:rPr>
          <w:rFonts w:asciiTheme="minorHAnsi" w:hAnsiTheme="minorHAnsi"/>
          <w:color w:val="auto"/>
          <w:sz w:val="22"/>
          <w:szCs w:val="22"/>
        </w:rPr>
        <w:t>I</w:t>
      </w:r>
      <w:r w:rsidRPr="00D8342B">
        <w:rPr>
          <w:rFonts w:asciiTheme="minorHAnsi" w:hAnsiTheme="minorHAnsi"/>
          <w:color w:val="auto"/>
          <w:sz w:val="22"/>
          <w:szCs w:val="22"/>
          <w:lang w:eastAsia="en-AU"/>
        </w:rPr>
        <w:t>n 2015-16, Australia’s Nabilan (</w:t>
      </w:r>
      <w:r w:rsidRPr="00D8342B">
        <w:rPr>
          <w:rFonts w:asciiTheme="minorHAnsi" w:hAnsiTheme="minorHAnsi"/>
          <w:b/>
          <w:bCs/>
          <w:color w:val="auto"/>
          <w:sz w:val="22"/>
          <w:szCs w:val="22"/>
          <w:lang w:eastAsia="en-AU"/>
        </w:rPr>
        <w:t>Ending Violence Against Women</w:t>
      </w:r>
      <w:r w:rsidRPr="00D8342B">
        <w:rPr>
          <w:rFonts w:asciiTheme="minorHAnsi" w:hAnsiTheme="minorHAnsi"/>
          <w:color w:val="auto"/>
          <w:sz w:val="22"/>
          <w:szCs w:val="22"/>
          <w:lang w:eastAsia="en-AU"/>
        </w:rPr>
        <w:t>) Program ($17.75m; 2014-18) made significant progress and is on track to achieving its goal of contributing to reduced rates of gender-based violence and improving the wellbeing of women and children affected by violence in Timor-Leste. The program is implemented by The Asia Foundation and works across government and civil-society or</w:t>
      </w:r>
      <w:r w:rsidR="008A3B36" w:rsidRPr="00D8342B">
        <w:rPr>
          <w:rFonts w:asciiTheme="minorHAnsi" w:hAnsiTheme="minorHAnsi"/>
          <w:color w:val="auto"/>
          <w:sz w:val="22"/>
          <w:szCs w:val="22"/>
          <w:lang w:eastAsia="en-AU"/>
        </w:rPr>
        <w:t>ganisations to develop researc</w:t>
      </w:r>
      <w:r w:rsidR="008A3B36">
        <w:rPr>
          <w:rFonts w:asciiTheme="minorHAnsi" w:hAnsiTheme="minorHAnsi"/>
          <w:color w:val="auto"/>
          <w:sz w:val="22"/>
          <w:szCs w:val="22"/>
          <w:lang w:eastAsia="en-AU"/>
        </w:rPr>
        <w:t>h,</w:t>
      </w:r>
      <w:r w:rsidRPr="00D8342B">
        <w:rPr>
          <w:rFonts w:asciiTheme="minorHAnsi" w:hAnsiTheme="minorHAnsi"/>
          <w:color w:val="auto"/>
          <w:sz w:val="22"/>
          <w:szCs w:val="22"/>
          <w:lang w:eastAsia="en-AU"/>
        </w:rPr>
        <w:t xml:space="preserve"> prevent violence</w:t>
      </w:r>
      <w:r w:rsidR="008A3B36">
        <w:rPr>
          <w:rFonts w:asciiTheme="minorHAnsi" w:hAnsiTheme="minorHAnsi"/>
          <w:color w:val="auto"/>
          <w:sz w:val="22"/>
          <w:szCs w:val="22"/>
          <w:lang w:eastAsia="en-AU"/>
        </w:rPr>
        <w:t xml:space="preserve"> as well as</w:t>
      </w:r>
      <w:r w:rsidRPr="00D8342B">
        <w:rPr>
          <w:rFonts w:asciiTheme="minorHAnsi" w:hAnsiTheme="minorHAnsi"/>
          <w:color w:val="auto"/>
          <w:sz w:val="22"/>
          <w:szCs w:val="22"/>
          <w:lang w:eastAsia="en-AU"/>
        </w:rPr>
        <w:t xml:space="preserve"> provide services and access to justice for survivors of violence in line with Timor Leste’s National Action Plan for Gender-Based Violence (NAP). </w:t>
      </w:r>
    </w:p>
    <w:p w:rsidR="00DE1CB5" w:rsidRPr="00D8342B" w:rsidRDefault="00DE1CB5" w:rsidP="00DE1CB5">
      <w:pPr>
        <w:pStyle w:val="Default"/>
        <w:spacing w:before="120"/>
        <w:rPr>
          <w:rFonts w:asciiTheme="minorHAnsi" w:hAnsiTheme="minorHAnsi"/>
          <w:color w:val="auto"/>
          <w:sz w:val="22"/>
          <w:szCs w:val="22"/>
          <w:lang w:eastAsia="en-AU"/>
        </w:rPr>
      </w:pPr>
      <w:r w:rsidRPr="00D8342B">
        <w:rPr>
          <w:rFonts w:asciiTheme="minorHAnsi" w:hAnsiTheme="minorHAnsi"/>
          <w:color w:val="auto"/>
          <w:sz w:val="22"/>
          <w:szCs w:val="22"/>
          <w:lang w:eastAsia="en-AU"/>
        </w:rPr>
        <w:t xml:space="preserve">A major achievement for the program in 2015-16 was the finalisation of Nabilan </w:t>
      </w:r>
      <w:r w:rsidRPr="00D8342B">
        <w:rPr>
          <w:rFonts w:asciiTheme="minorHAnsi" w:hAnsiTheme="minorHAnsi"/>
          <w:i/>
          <w:iCs/>
          <w:color w:val="auto"/>
          <w:sz w:val="22"/>
          <w:szCs w:val="22"/>
          <w:lang w:eastAsia="en-AU"/>
        </w:rPr>
        <w:t>Health and Life Experiences Baseline Study</w:t>
      </w:r>
      <w:r w:rsidRPr="00D8342B">
        <w:rPr>
          <w:rFonts w:asciiTheme="minorHAnsi" w:hAnsiTheme="minorHAnsi"/>
          <w:color w:val="auto"/>
          <w:sz w:val="22"/>
          <w:szCs w:val="22"/>
          <w:lang w:eastAsia="en-AU"/>
        </w:rPr>
        <w:t xml:space="preserve"> on the national prevalence and perpetration of violence in Timor-Leste. The study confirmed Nabilan’s relevance with 59 per cent of ever-partnered women between 15 and 49 reporting that they had experienced physical and/or sexual violence by a male partner in their lifetime, a rate higher than most countries in South-East Asia. The study establishes a baseline for the program to track progress against intended outcomes, identify gaps in services and is informing the design of prevention programs. For example, the study highlighted the urgent need to target older boys with sexual violence prevention messages around consent and respect given more than half the men who perpetrated rape had </w:t>
      </w:r>
      <w:r w:rsidR="00C01B93">
        <w:rPr>
          <w:rFonts w:asciiTheme="minorHAnsi" w:hAnsiTheme="minorHAnsi"/>
          <w:color w:val="auto"/>
          <w:sz w:val="22"/>
          <w:szCs w:val="22"/>
          <w:lang w:eastAsia="en-AU"/>
        </w:rPr>
        <w:t xml:space="preserve">first </w:t>
      </w:r>
      <w:r w:rsidRPr="00D8342B">
        <w:rPr>
          <w:rFonts w:asciiTheme="minorHAnsi" w:hAnsiTheme="minorHAnsi"/>
          <w:color w:val="auto"/>
          <w:sz w:val="22"/>
          <w:szCs w:val="22"/>
          <w:lang w:eastAsia="en-AU"/>
        </w:rPr>
        <w:t xml:space="preserve">done so as teenagers. The study’s findings have been cited by the Prime Minister, used by other organisations and partners and have informed the design of violence prevention toolkits by the Government of Timor-Leste and the revision of the NAP. </w:t>
      </w:r>
    </w:p>
    <w:p w:rsidR="00DE1CB5" w:rsidRPr="00D8342B" w:rsidRDefault="00DE1CB5" w:rsidP="00DE1CB5">
      <w:pPr>
        <w:pStyle w:val="Default"/>
        <w:spacing w:before="120"/>
        <w:rPr>
          <w:rFonts w:asciiTheme="minorHAnsi" w:hAnsiTheme="minorHAnsi"/>
          <w:color w:val="auto"/>
          <w:sz w:val="22"/>
          <w:szCs w:val="22"/>
          <w:lang w:eastAsia="en-AU"/>
        </w:rPr>
      </w:pPr>
      <w:r w:rsidRPr="00D8342B">
        <w:rPr>
          <w:rFonts w:asciiTheme="minorHAnsi" w:hAnsiTheme="minorHAnsi"/>
          <w:color w:val="auto"/>
          <w:sz w:val="22"/>
          <w:szCs w:val="22"/>
          <w:lang w:eastAsia="en-AU"/>
        </w:rPr>
        <w:t>Nabilan continued to support local service providers to deliver</w:t>
      </w:r>
      <w:r w:rsidRPr="00D8342B">
        <w:rPr>
          <w:rFonts w:asciiTheme="minorHAnsi" w:hAnsiTheme="minorHAnsi"/>
          <w:color w:val="auto"/>
          <w:sz w:val="20"/>
          <w:szCs w:val="20"/>
        </w:rPr>
        <w:t xml:space="preserve"> </w:t>
      </w:r>
      <w:r w:rsidRPr="00D8342B">
        <w:rPr>
          <w:rFonts w:asciiTheme="minorHAnsi" w:hAnsiTheme="minorHAnsi"/>
          <w:color w:val="auto"/>
          <w:sz w:val="22"/>
          <w:szCs w:val="22"/>
          <w:lang w:eastAsia="en-AU"/>
        </w:rPr>
        <w:t xml:space="preserve">improved support and legal services for an increasing number of women and children affected by violence. </w:t>
      </w:r>
      <w:r w:rsidR="00CE422B" w:rsidRPr="00D8342B">
        <w:rPr>
          <w:rFonts w:asciiTheme="minorHAnsi" w:hAnsiTheme="minorHAnsi"/>
          <w:color w:val="auto"/>
          <w:sz w:val="22"/>
          <w:szCs w:val="22"/>
          <w:lang w:eastAsia="en-AU"/>
        </w:rPr>
        <w:t>In 2015-16, 5</w:t>
      </w:r>
      <w:r w:rsidR="00143CD0">
        <w:rPr>
          <w:rFonts w:asciiTheme="minorHAnsi" w:hAnsiTheme="minorHAnsi"/>
          <w:color w:val="auto"/>
          <w:sz w:val="22"/>
          <w:szCs w:val="22"/>
          <w:lang w:eastAsia="en-AU"/>
        </w:rPr>
        <w:t>,</w:t>
      </w:r>
      <w:r w:rsidR="00CE422B" w:rsidRPr="00D8342B">
        <w:rPr>
          <w:rFonts w:asciiTheme="minorHAnsi" w:hAnsiTheme="minorHAnsi"/>
          <w:color w:val="auto"/>
          <w:sz w:val="22"/>
          <w:szCs w:val="22"/>
          <w:lang w:eastAsia="en-AU"/>
        </w:rPr>
        <w:t>353</w:t>
      </w:r>
      <w:r w:rsidRPr="00D8342B">
        <w:rPr>
          <w:rFonts w:asciiTheme="minorHAnsi" w:hAnsiTheme="minorHAnsi"/>
          <w:color w:val="auto"/>
          <w:sz w:val="22"/>
          <w:szCs w:val="22"/>
          <w:lang w:eastAsia="en-AU"/>
        </w:rPr>
        <w:t xml:space="preserve"> support services were provided to both new and existing clients including legal support, medical treatment, shelter, counselling and life skills training. This includes services for 1</w:t>
      </w:r>
      <w:r w:rsidR="00143CD0">
        <w:rPr>
          <w:rFonts w:asciiTheme="minorHAnsi" w:hAnsiTheme="minorHAnsi"/>
          <w:color w:val="auto"/>
          <w:sz w:val="22"/>
          <w:szCs w:val="22"/>
          <w:lang w:eastAsia="en-AU"/>
        </w:rPr>
        <w:t>,</w:t>
      </w:r>
      <w:r w:rsidRPr="00D8342B">
        <w:rPr>
          <w:rFonts w:asciiTheme="minorHAnsi" w:hAnsiTheme="minorHAnsi"/>
          <w:color w:val="auto"/>
          <w:sz w:val="22"/>
          <w:szCs w:val="22"/>
          <w:lang w:eastAsia="en-AU"/>
        </w:rPr>
        <w:t xml:space="preserve">121 new female survivors of violence (at least </w:t>
      </w:r>
      <w:r w:rsidR="008A3B36">
        <w:rPr>
          <w:rFonts w:asciiTheme="minorHAnsi" w:hAnsiTheme="minorHAnsi"/>
          <w:color w:val="auto"/>
          <w:sz w:val="22"/>
          <w:szCs w:val="22"/>
          <w:lang w:eastAsia="en-AU"/>
        </w:rPr>
        <w:t xml:space="preserve">27 </w:t>
      </w:r>
      <w:r w:rsidRPr="00D8342B">
        <w:rPr>
          <w:rFonts w:asciiTheme="minorHAnsi" w:hAnsiTheme="minorHAnsi"/>
          <w:color w:val="auto"/>
          <w:sz w:val="22"/>
          <w:szCs w:val="22"/>
          <w:lang w:eastAsia="en-AU"/>
        </w:rPr>
        <w:t>were persons with a disability), exceeding the revised program performance benchmark of 1</w:t>
      </w:r>
      <w:r w:rsidR="00143CD0">
        <w:rPr>
          <w:rFonts w:asciiTheme="minorHAnsi" w:hAnsiTheme="minorHAnsi"/>
          <w:color w:val="auto"/>
          <w:sz w:val="22"/>
          <w:szCs w:val="22"/>
          <w:lang w:eastAsia="en-AU"/>
        </w:rPr>
        <w:t>,</w:t>
      </w:r>
      <w:r w:rsidRPr="00D8342B">
        <w:rPr>
          <w:rFonts w:asciiTheme="minorHAnsi" w:hAnsiTheme="minorHAnsi"/>
          <w:color w:val="auto"/>
          <w:sz w:val="22"/>
          <w:szCs w:val="22"/>
          <w:lang w:eastAsia="en-AU"/>
        </w:rPr>
        <w:t>000. Nabilan delivered disability awareness training to all service providers, improved physical accessibility to some services and is funding an EVAW officer within the national disabled people’s organisations to raise awareness of referral options and link people to services. Nabilan monitored more than 1</w:t>
      </w:r>
      <w:r w:rsidR="00143CD0">
        <w:rPr>
          <w:rFonts w:asciiTheme="minorHAnsi" w:hAnsiTheme="minorHAnsi"/>
          <w:color w:val="auto"/>
          <w:sz w:val="22"/>
          <w:szCs w:val="22"/>
          <w:lang w:eastAsia="en-AU"/>
        </w:rPr>
        <w:t>,</w:t>
      </w:r>
      <w:r w:rsidRPr="00D8342B">
        <w:rPr>
          <w:rFonts w:asciiTheme="minorHAnsi" w:hAnsiTheme="minorHAnsi"/>
          <w:color w:val="auto"/>
          <w:sz w:val="22"/>
          <w:szCs w:val="22"/>
          <w:lang w:eastAsia="en-AU"/>
        </w:rPr>
        <w:t xml:space="preserve">700 court cases to build evidence and understanding of women’s experience of the justice system and has contributed to increased use of conditionality on court sentences for gender-based violence. Nabilan also supported a local legal aid organisation to prepare the first Timorese complaint to any human rights treaty body, under the Optional Protocol of the CEDAW Committee, on behalf of a client serving a 15 year prison sentence for murdering her husband in self–defence, leading to a presidential pardon. </w:t>
      </w:r>
    </w:p>
    <w:p w:rsidR="00DE1CB5" w:rsidRPr="00D8342B" w:rsidRDefault="00DE1CB5" w:rsidP="00DE1CB5">
      <w:pPr>
        <w:rPr>
          <w:color w:val="auto"/>
          <w:lang w:eastAsia="en-AU"/>
        </w:rPr>
      </w:pPr>
      <w:r w:rsidRPr="00D8342B">
        <w:rPr>
          <w:color w:val="auto"/>
          <w:lang w:eastAsia="en-AU"/>
        </w:rPr>
        <w:t xml:space="preserve">Nabilan has strong partnerships with the Government and leads donor coordination efforts around gender, convening regular research and gender forums to address gaps in service delivery and support evidence-based programming. A government coordination mechanism and increased authority, capacity and budget of relevant Government ministries are needed to enhance success. The program also coordinates with activities to address gender-based violence under the Timor-Leste Police Development Program. </w:t>
      </w:r>
    </w:p>
    <w:p w:rsidR="00DE1CB5" w:rsidRDefault="00DE1CB5" w:rsidP="00DE1CB5">
      <w:pPr>
        <w:rPr>
          <w:color w:val="1F497D"/>
          <w:lang w:eastAsia="en-AU"/>
        </w:rPr>
      </w:pPr>
      <w:r w:rsidRPr="00D8342B">
        <w:rPr>
          <w:b/>
          <w:bCs/>
          <w:color w:val="auto"/>
          <w:lang w:eastAsia="en-AU"/>
        </w:rPr>
        <w:t>Management Response</w:t>
      </w:r>
      <w:r w:rsidRPr="00D8342B">
        <w:rPr>
          <w:color w:val="auto"/>
          <w:lang w:eastAsia="en-AU"/>
        </w:rPr>
        <w:t xml:space="preserve">: DFAT will apply for Gender Equality Fund and Innovation funds to </w:t>
      </w:r>
      <w:r w:rsidR="00C01B93">
        <w:rPr>
          <w:color w:val="auto"/>
          <w:lang w:eastAsia="en-AU"/>
        </w:rPr>
        <w:t xml:space="preserve">more widely use </w:t>
      </w:r>
      <w:r w:rsidRPr="00D8342B">
        <w:rPr>
          <w:color w:val="auto"/>
          <w:lang w:eastAsia="en-AU"/>
        </w:rPr>
        <w:t xml:space="preserve">the </w:t>
      </w:r>
      <w:r w:rsidR="00C01B93">
        <w:rPr>
          <w:color w:val="auto"/>
          <w:lang w:eastAsia="en-AU"/>
        </w:rPr>
        <w:t>baseline</w:t>
      </w:r>
      <w:r w:rsidRPr="00D8342B">
        <w:rPr>
          <w:color w:val="auto"/>
          <w:lang w:eastAsia="en-AU"/>
        </w:rPr>
        <w:t xml:space="preserve"> data </w:t>
      </w:r>
      <w:r w:rsidR="00C01B93">
        <w:rPr>
          <w:color w:val="auto"/>
          <w:lang w:eastAsia="en-AU"/>
        </w:rPr>
        <w:t xml:space="preserve">for prevention activities </w:t>
      </w:r>
      <w:r w:rsidRPr="00D8342B">
        <w:rPr>
          <w:color w:val="auto"/>
          <w:lang w:eastAsia="en-AU"/>
        </w:rPr>
        <w:t>including through the development of a TV series aimed at opening the conversation around violence and chang</w:t>
      </w:r>
      <w:r w:rsidR="009A6A7C" w:rsidRPr="00D8342B">
        <w:rPr>
          <w:color w:val="auto"/>
          <w:lang w:eastAsia="en-AU"/>
        </w:rPr>
        <w:t xml:space="preserve">ing </w:t>
      </w:r>
      <w:r w:rsidR="002A13AE">
        <w:rPr>
          <w:color w:val="auto"/>
          <w:lang w:eastAsia="en-AU"/>
        </w:rPr>
        <w:t xml:space="preserve">the </w:t>
      </w:r>
      <w:r w:rsidR="009A6A7C" w:rsidRPr="00D8342B">
        <w:rPr>
          <w:color w:val="auto"/>
          <w:lang w:eastAsia="en-AU"/>
        </w:rPr>
        <w:t>behaviour</w:t>
      </w:r>
      <w:r w:rsidR="002A13AE">
        <w:rPr>
          <w:color w:val="auto"/>
          <w:lang w:eastAsia="en-AU"/>
        </w:rPr>
        <w:t>s</w:t>
      </w:r>
      <w:r w:rsidR="009A6A7C" w:rsidRPr="00D8342B">
        <w:rPr>
          <w:color w:val="auto"/>
          <w:lang w:eastAsia="en-AU"/>
        </w:rPr>
        <w:t xml:space="preserve"> of teenage boys. </w:t>
      </w:r>
      <w:r w:rsidRPr="00D8342B">
        <w:rPr>
          <w:color w:val="auto"/>
          <w:lang w:eastAsia="en-AU"/>
        </w:rPr>
        <w:t xml:space="preserve">An independent review will inform the decision about a possible second phase of Nabilan post-2018.  </w:t>
      </w:r>
    </w:p>
    <w:tbl>
      <w:tblPr>
        <w:tblStyle w:val="APPR"/>
        <w:tblW w:w="5000" w:type="pct"/>
        <w:tblLook w:val="0000" w:firstRow="0" w:lastRow="0" w:firstColumn="0" w:lastColumn="0" w:noHBand="0" w:noVBand="0"/>
        <w:tblCaption w:val="Objective 2.5 rating"/>
        <w:tblDescription w:val="Objective 2.5, previous rating green, current rating green"/>
      </w:tblPr>
      <w:tblGrid>
        <w:gridCol w:w="6844"/>
        <w:gridCol w:w="1253"/>
        <w:gridCol w:w="484"/>
        <w:gridCol w:w="1329"/>
      </w:tblGrid>
      <w:tr w:rsidR="001E08AD" w:rsidRPr="0019341B" w:rsidTr="00724EFB">
        <w:trPr>
          <w:cnfStyle w:val="000000010000" w:firstRow="0" w:lastRow="0" w:firstColumn="0" w:lastColumn="0" w:oddVBand="0" w:evenVBand="0" w:oddHBand="0" w:evenHBand="1" w:firstRowFirstColumn="0" w:firstRowLastColumn="0" w:lastRowFirstColumn="0" w:lastRowLastColumn="0"/>
          <w:trHeight w:val="651"/>
        </w:trPr>
        <w:tc>
          <w:tcPr>
            <w:tcW w:w="6802" w:type="dxa"/>
          </w:tcPr>
          <w:p w:rsidR="001E08AD" w:rsidRPr="0019341B" w:rsidRDefault="001E08AD" w:rsidP="0037449F">
            <w:pPr>
              <w:pStyle w:val="TableTextColumnHeading"/>
            </w:pPr>
            <w:r w:rsidRPr="0019341B">
              <w:rPr>
                <w:noProof/>
              </w:rPr>
              <w:drawing>
                <wp:anchor distT="0" distB="0" distL="114300" distR="114300" simplePos="0" relativeHeight="251689984" behindDoc="0" locked="0" layoutInCell="1" allowOverlap="1" wp14:anchorId="22DEA42E" wp14:editId="524D3879">
                  <wp:simplePos x="0" y="0"/>
                  <wp:positionH relativeFrom="column">
                    <wp:posOffset>0</wp:posOffset>
                  </wp:positionH>
                  <wp:positionV relativeFrom="paragraph">
                    <wp:posOffset>0</wp:posOffset>
                  </wp:positionV>
                  <wp:extent cx="1857375" cy="228600"/>
                  <wp:effectExtent l="0" t="0" r="9525" b="0"/>
                  <wp:wrapNone/>
                  <wp:docPr id="6" name="Picture 6"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1E08AD" w:rsidRPr="0019341B" w:rsidRDefault="001E08AD" w:rsidP="0037449F">
            <w:pPr>
              <w:pStyle w:val="TableTextColumnHeading"/>
            </w:pPr>
            <w:r>
              <w:t>Previous Rating</w:t>
            </w:r>
          </w:p>
        </w:tc>
        <w:tc>
          <w:tcPr>
            <w:tcW w:w="456" w:type="dxa"/>
          </w:tcPr>
          <w:p w:rsidR="001E08AD" w:rsidRDefault="001E08AD" w:rsidP="001A4D7B">
            <w:pPr>
              <w:pStyle w:val="TableTextColumnHeading"/>
            </w:pPr>
          </w:p>
        </w:tc>
        <w:tc>
          <w:tcPr>
            <w:tcW w:w="1287" w:type="dxa"/>
          </w:tcPr>
          <w:p w:rsidR="001E08AD" w:rsidRPr="0019341B" w:rsidRDefault="001E08AD" w:rsidP="001A4D7B">
            <w:pPr>
              <w:pStyle w:val="TableTextColumnHeading"/>
            </w:pPr>
            <w:r>
              <w:t>Current Rating</w:t>
            </w:r>
          </w:p>
        </w:tc>
      </w:tr>
      <w:tr w:rsidR="001E08AD" w:rsidRPr="009D53C4" w:rsidTr="00724EFB">
        <w:trPr>
          <w:cnfStyle w:val="000000010000" w:firstRow="0" w:lastRow="0" w:firstColumn="0" w:lastColumn="0" w:oddVBand="0" w:evenVBand="0" w:oddHBand="0" w:evenHBand="1" w:firstRowFirstColumn="0" w:firstRowLastColumn="0" w:lastRowFirstColumn="0" w:lastRowLastColumn="0"/>
        </w:trPr>
        <w:tc>
          <w:tcPr>
            <w:tcW w:w="6802" w:type="dxa"/>
          </w:tcPr>
          <w:p w:rsidR="001E08AD" w:rsidRPr="00143CD0" w:rsidRDefault="001E08AD" w:rsidP="0095295A">
            <w:pPr>
              <w:pStyle w:val="TableTextEntries"/>
              <w:rPr>
                <w:b/>
                <w:sz w:val="20"/>
                <w:szCs w:val="20"/>
              </w:rPr>
            </w:pPr>
            <w:r w:rsidRPr="00143CD0">
              <w:rPr>
                <w:b/>
                <w:sz w:val="20"/>
                <w:szCs w:val="20"/>
              </w:rPr>
              <w:t>Objective 2.5: Human and economic development enhanced by communities building small-scale infrastructure that meets their development needs</w:t>
            </w:r>
          </w:p>
        </w:tc>
        <w:tc>
          <w:tcPr>
            <w:tcW w:w="1225" w:type="dxa"/>
            <w:shd w:val="clear" w:color="auto" w:fill="669900"/>
            <w:noWrap/>
          </w:tcPr>
          <w:p w:rsidR="001E08AD" w:rsidRPr="00443639" w:rsidRDefault="001E08AD" w:rsidP="0095295A">
            <w:pPr>
              <w:pStyle w:val="TableTextEntries"/>
              <w:jc w:val="center"/>
              <w:rPr>
                <w:color w:val="FFFFFF" w:themeColor="background1"/>
              </w:rPr>
            </w:pPr>
          </w:p>
        </w:tc>
        <w:tc>
          <w:tcPr>
            <w:tcW w:w="456" w:type="dxa"/>
          </w:tcPr>
          <w:p w:rsidR="001E08AD" w:rsidRPr="00443639" w:rsidRDefault="001E08AD" w:rsidP="0095295A">
            <w:pPr>
              <w:pStyle w:val="TableTextEntries"/>
              <w:jc w:val="center"/>
              <w:rPr>
                <w:color w:val="FFFFFF" w:themeColor="background1"/>
              </w:rPr>
            </w:pPr>
          </w:p>
        </w:tc>
        <w:tc>
          <w:tcPr>
            <w:tcW w:w="1287" w:type="dxa"/>
            <w:shd w:val="clear" w:color="auto" w:fill="669900"/>
            <w:noWrap/>
          </w:tcPr>
          <w:p w:rsidR="001E08AD" w:rsidRPr="00443639" w:rsidRDefault="001E08AD" w:rsidP="0095295A">
            <w:pPr>
              <w:pStyle w:val="TableTextEntries"/>
              <w:jc w:val="center"/>
              <w:rPr>
                <w:color w:val="FFFFFF" w:themeColor="background1"/>
              </w:rPr>
            </w:pPr>
          </w:p>
        </w:tc>
      </w:tr>
    </w:tbl>
    <w:p w:rsidR="001E08AD" w:rsidRDefault="001E08AD" w:rsidP="001E08AD">
      <w:pPr>
        <w:spacing w:before="20" w:after="20" w:line="180" w:lineRule="atLeast"/>
        <w:jc w:val="both"/>
        <w:rPr>
          <w:rFonts w:eastAsia="Times New Roman"/>
          <w:b/>
          <w:sz w:val="16"/>
          <w:szCs w:val="14"/>
        </w:rPr>
      </w:pPr>
    </w:p>
    <w:p w:rsidR="001E08AD" w:rsidRPr="00F333B0" w:rsidRDefault="001E08AD" w:rsidP="001E08AD">
      <w:pPr>
        <w:pStyle w:val="ListBullet"/>
        <w:tabs>
          <w:tab w:val="clear" w:pos="284"/>
        </w:tabs>
        <w:rPr>
          <w:rFonts w:asciiTheme="minorHAnsi" w:hAnsiTheme="minorHAnsi"/>
          <w:i/>
          <w:sz w:val="22"/>
          <w:szCs w:val="22"/>
        </w:rPr>
      </w:pPr>
      <w:r w:rsidRPr="00F333B0">
        <w:rPr>
          <w:rFonts w:asciiTheme="minorHAnsi" w:hAnsiTheme="minorHAnsi"/>
          <w:i/>
          <w:sz w:val="22"/>
          <w:szCs w:val="22"/>
        </w:rPr>
        <w:t>The objective was rated green to reflect good</w:t>
      </w:r>
      <w:r w:rsidR="00FC6F12">
        <w:rPr>
          <w:rFonts w:asciiTheme="minorHAnsi" w:hAnsiTheme="minorHAnsi"/>
          <w:i/>
          <w:sz w:val="22"/>
          <w:szCs w:val="22"/>
        </w:rPr>
        <w:t xml:space="preserve"> and on-track</w:t>
      </w:r>
      <w:r w:rsidRPr="00F333B0">
        <w:rPr>
          <w:rFonts w:asciiTheme="minorHAnsi" w:hAnsiTheme="minorHAnsi"/>
          <w:i/>
          <w:sz w:val="22"/>
          <w:szCs w:val="22"/>
        </w:rPr>
        <w:t xml:space="preserve"> progress made despite </w:t>
      </w:r>
      <w:r w:rsidR="009A48C9">
        <w:rPr>
          <w:rFonts w:asciiTheme="minorHAnsi" w:hAnsiTheme="minorHAnsi"/>
          <w:i/>
          <w:sz w:val="22"/>
          <w:szCs w:val="22"/>
        </w:rPr>
        <w:t xml:space="preserve">budget reductions, </w:t>
      </w:r>
      <w:r>
        <w:rPr>
          <w:rFonts w:asciiTheme="minorHAnsi" w:hAnsiTheme="minorHAnsi"/>
          <w:i/>
          <w:sz w:val="22"/>
          <w:szCs w:val="22"/>
        </w:rPr>
        <w:t xml:space="preserve">political change and uncertainty around the </w:t>
      </w:r>
      <w:r w:rsidRPr="00F333B0">
        <w:rPr>
          <w:rFonts w:asciiTheme="minorHAnsi" w:hAnsiTheme="minorHAnsi"/>
          <w:i/>
          <w:sz w:val="22"/>
          <w:szCs w:val="22"/>
        </w:rPr>
        <w:t xml:space="preserve">new </w:t>
      </w:r>
      <w:r w:rsidR="00690511">
        <w:rPr>
          <w:rFonts w:asciiTheme="minorHAnsi" w:hAnsiTheme="minorHAnsi"/>
          <w:i/>
          <w:sz w:val="22"/>
          <w:szCs w:val="22"/>
        </w:rPr>
        <w:t xml:space="preserve">Government of </w:t>
      </w:r>
      <w:r w:rsidR="00D339B2">
        <w:rPr>
          <w:rFonts w:asciiTheme="minorHAnsi" w:hAnsiTheme="minorHAnsi"/>
          <w:i/>
          <w:sz w:val="22"/>
          <w:szCs w:val="22"/>
        </w:rPr>
        <w:t xml:space="preserve">Timor-Leste </w:t>
      </w:r>
      <w:r w:rsidRPr="00F333B0">
        <w:rPr>
          <w:rFonts w:asciiTheme="minorHAnsi" w:hAnsiTheme="minorHAnsi"/>
          <w:i/>
          <w:sz w:val="22"/>
          <w:szCs w:val="22"/>
        </w:rPr>
        <w:t xml:space="preserve">budget </w:t>
      </w:r>
      <w:r>
        <w:rPr>
          <w:rFonts w:asciiTheme="minorHAnsi" w:hAnsiTheme="minorHAnsi"/>
          <w:i/>
          <w:sz w:val="22"/>
          <w:szCs w:val="22"/>
        </w:rPr>
        <w:t>commitment for</w:t>
      </w:r>
      <w:r w:rsidRPr="00F333B0">
        <w:rPr>
          <w:rFonts w:asciiTheme="minorHAnsi" w:hAnsiTheme="minorHAnsi"/>
          <w:i/>
          <w:sz w:val="22"/>
          <w:szCs w:val="22"/>
        </w:rPr>
        <w:t xml:space="preserve"> the National Program for Village Development (PNDS)</w:t>
      </w:r>
      <w:r>
        <w:rPr>
          <w:rFonts w:asciiTheme="minorHAnsi" w:hAnsiTheme="minorHAnsi"/>
          <w:i/>
          <w:sz w:val="22"/>
          <w:szCs w:val="22"/>
        </w:rPr>
        <w:t xml:space="preserve"> in 2015</w:t>
      </w:r>
      <w:r w:rsidRPr="00F333B0">
        <w:rPr>
          <w:rFonts w:asciiTheme="minorHAnsi" w:hAnsiTheme="minorHAnsi"/>
          <w:i/>
          <w:sz w:val="22"/>
          <w:szCs w:val="22"/>
        </w:rPr>
        <w:t xml:space="preserve">. </w:t>
      </w:r>
    </w:p>
    <w:p w:rsidR="001E08AD" w:rsidRDefault="001E08AD" w:rsidP="001E08AD">
      <w:pPr>
        <w:pStyle w:val="ListBullet"/>
        <w:tabs>
          <w:tab w:val="clear" w:pos="284"/>
        </w:tabs>
        <w:rPr>
          <w:rFonts w:asciiTheme="minorHAnsi" w:hAnsiTheme="minorHAnsi"/>
          <w:sz w:val="22"/>
          <w:szCs w:val="22"/>
        </w:rPr>
      </w:pPr>
      <w:r w:rsidRPr="002635C0">
        <w:rPr>
          <w:rFonts w:asciiTheme="minorHAnsi" w:hAnsiTheme="minorHAnsi"/>
          <w:sz w:val="22"/>
          <w:szCs w:val="22"/>
        </w:rPr>
        <w:t xml:space="preserve">PNDS is a </w:t>
      </w:r>
      <w:r w:rsidR="000502EE">
        <w:rPr>
          <w:rFonts w:asciiTheme="minorHAnsi" w:hAnsiTheme="minorHAnsi"/>
          <w:sz w:val="22"/>
          <w:szCs w:val="22"/>
        </w:rPr>
        <w:t xml:space="preserve">Government of Timor-Leste </w:t>
      </w:r>
      <w:r w:rsidRPr="002635C0">
        <w:rPr>
          <w:rFonts w:asciiTheme="minorHAnsi" w:hAnsiTheme="minorHAnsi"/>
          <w:sz w:val="22"/>
          <w:szCs w:val="22"/>
        </w:rPr>
        <w:t xml:space="preserve">community development program that aims </w:t>
      </w:r>
      <w:r>
        <w:rPr>
          <w:rFonts w:asciiTheme="minorHAnsi" w:hAnsiTheme="minorHAnsi"/>
          <w:sz w:val="22"/>
          <w:szCs w:val="22"/>
        </w:rPr>
        <w:t>to improve</w:t>
      </w:r>
      <w:r w:rsidRPr="002635C0">
        <w:rPr>
          <w:rFonts w:asciiTheme="minorHAnsi" w:hAnsiTheme="minorHAnsi"/>
          <w:sz w:val="22"/>
          <w:szCs w:val="22"/>
        </w:rPr>
        <w:t xml:space="preserve"> human development </w:t>
      </w:r>
      <w:r>
        <w:rPr>
          <w:rFonts w:asciiTheme="minorHAnsi" w:hAnsiTheme="minorHAnsi"/>
          <w:sz w:val="22"/>
          <w:szCs w:val="22"/>
        </w:rPr>
        <w:t xml:space="preserve">and economic growth </w:t>
      </w:r>
      <w:r w:rsidRPr="002635C0">
        <w:rPr>
          <w:rFonts w:asciiTheme="minorHAnsi" w:hAnsiTheme="minorHAnsi"/>
          <w:sz w:val="22"/>
          <w:szCs w:val="22"/>
        </w:rPr>
        <w:t>at the village level</w:t>
      </w:r>
      <w:r>
        <w:rPr>
          <w:rFonts w:asciiTheme="minorHAnsi" w:hAnsiTheme="minorHAnsi"/>
          <w:sz w:val="22"/>
          <w:szCs w:val="22"/>
        </w:rPr>
        <w:t>. It is a key element of the G</w:t>
      </w:r>
      <w:r w:rsidR="000240FF">
        <w:rPr>
          <w:rFonts w:asciiTheme="minorHAnsi" w:hAnsiTheme="minorHAnsi"/>
          <w:sz w:val="22"/>
          <w:szCs w:val="22"/>
        </w:rPr>
        <w:t>overnment of Timor-Leste’s</w:t>
      </w:r>
      <w:r>
        <w:rPr>
          <w:rFonts w:asciiTheme="minorHAnsi" w:hAnsiTheme="minorHAnsi"/>
          <w:sz w:val="22"/>
          <w:szCs w:val="22"/>
        </w:rPr>
        <w:t xml:space="preserve"> strategy to improve rural development. There is broad </w:t>
      </w:r>
      <w:r w:rsidR="00EC6DD4">
        <w:rPr>
          <w:rFonts w:asciiTheme="minorHAnsi" w:hAnsiTheme="minorHAnsi"/>
          <w:sz w:val="22"/>
          <w:szCs w:val="22"/>
        </w:rPr>
        <w:t>g</w:t>
      </w:r>
      <w:r>
        <w:rPr>
          <w:rFonts w:asciiTheme="minorHAnsi" w:hAnsiTheme="minorHAnsi"/>
          <w:sz w:val="22"/>
          <w:szCs w:val="22"/>
        </w:rPr>
        <w:t>overnment support for PNDS with the</w:t>
      </w:r>
      <w:r w:rsidR="00642014">
        <w:rPr>
          <w:rFonts w:asciiTheme="minorHAnsi" w:hAnsiTheme="minorHAnsi"/>
          <w:sz w:val="22"/>
          <w:szCs w:val="22"/>
        </w:rPr>
        <w:t xml:space="preserve"> President, the</w:t>
      </w:r>
      <w:r>
        <w:rPr>
          <w:rFonts w:asciiTheme="minorHAnsi" w:hAnsiTheme="minorHAnsi"/>
          <w:sz w:val="22"/>
          <w:szCs w:val="22"/>
        </w:rPr>
        <w:t xml:space="preserve"> Prime Minister</w:t>
      </w:r>
      <w:r w:rsidR="00642014">
        <w:rPr>
          <w:rFonts w:asciiTheme="minorHAnsi" w:hAnsiTheme="minorHAnsi"/>
          <w:sz w:val="22"/>
          <w:szCs w:val="22"/>
        </w:rPr>
        <w:t xml:space="preserve"> </w:t>
      </w:r>
      <w:r>
        <w:rPr>
          <w:rFonts w:asciiTheme="minorHAnsi" w:hAnsiTheme="minorHAnsi"/>
          <w:sz w:val="22"/>
          <w:szCs w:val="22"/>
        </w:rPr>
        <w:t xml:space="preserve">and relevant Ministers publicly reaffirming their support in 2015 and the budget commitment to PNDS maintained in 2016. </w:t>
      </w:r>
    </w:p>
    <w:p w:rsidR="001E08AD" w:rsidRDefault="001E08AD" w:rsidP="001E08AD">
      <w:pPr>
        <w:pStyle w:val="ListBullet"/>
        <w:tabs>
          <w:tab w:val="clear" w:pos="284"/>
        </w:tabs>
        <w:rPr>
          <w:rFonts w:asciiTheme="minorHAnsi" w:hAnsiTheme="minorHAnsi"/>
          <w:sz w:val="22"/>
          <w:szCs w:val="22"/>
        </w:rPr>
      </w:pPr>
      <w:r w:rsidRPr="002635C0">
        <w:rPr>
          <w:rFonts w:asciiTheme="minorHAnsi" w:hAnsiTheme="minorHAnsi"/>
          <w:sz w:val="22"/>
          <w:szCs w:val="22"/>
        </w:rPr>
        <w:t>PNDS provides communities with an annual grant of around US</w:t>
      </w:r>
      <w:r w:rsidR="00EC6DD4">
        <w:rPr>
          <w:rFonts w:asciiTheme="minorHAnsi" w:hAnsiTheme="minorHAnsi"/>
          <w:sz w:val="22"/>
          <w:szCs w:val="22"/>
        </w:rPr>
        <w:t>D</w:t>
      </w:r>
      <w:r w:rsidRPr="002635C0">
        <w:rPr>
          <w:rFonts w:asciiTheme="minorHAnsi" w:hAnsiTheme="minorHAnsi"/>
          <w:sz w:val="22"/>
          <w:szCs w:val="22"/>
        </w:rPr>
        <w:t>50</w:t>
      </w:r>
      <w:r w:rsidR="00081E65" w:rsidRPr="002635C0">
        <w:rPr>
          <w:rFonts w:asciiTheme="minorHAnsi" w:hAnsiTheme="minorHAnsi"/>
          <w:sz w:val="22"/>
          <w:szCs w:val="22"/>
        </w:rPr>
        <w:t>, 000</w:t>
      </w:r>
      <w:r w:rsidRPr="002635C0">
        <w:rPr>
          <w:rFonts w:asciiTheme="minorHAnsi" w:hAnsiTheme="minorHAnsi"/>
          <w:sz w:val="22"/>
          <w:szCs w:val="22"/>
        </w:rPr>
        <w:t xml:space="preserve"> to</w:t>
      </w:r>
      <w:r>
        <w:rPr>
          <w:rFonts w:asciiTheme="minorHAnsi" w:hAnsiTheme="minorHAnsi"/>
          <w:sz w:val="22"/>
          <w:szCs w:val="22"/>
        </w:rPr>
        <w:t xml:space="preserve"> construct, manage </w:t>
      </w:r>
      <w:r w:rsidRPr="002635C0">
        <w:rPr>
          <w:rFonts w:asciiTheme="minorHAnsi" w:hAnsiTheme="minorHAnsi"/>
          <w:sz w:val="22"/>
          <w:szCs w:val="22"/>
        </w:rPr>
        <w:t>and maintain small scale infrastructure projects. These projects include building or refurbishing irrigation channels, bridges, motorbike paths</w:t>
      </w:r>
      <w:r>
        <w:rPr>
          <w:rFonts w:asciiTheme="minorHAnsi" w:hAnsiTheme="minorHAnsi"/>
          <w:sz w:val="22"/>
          <w:szCs w:val="22"/>
        </w:rPr>
        <w:t xml:space="preserve">, market places, water systems, </w:t>
      </w:r>
      <w:r w:rsidRPr="002635C0">
        <w:rPr>
          <w:rFonts w:asciiTheme="minorHAnsi" w:hAnsiTheme="minorHAnsi"/>
          <w:sz w:val="22"/>
          <w:szCs w:val="22"/>
        </w:rPr>
        <w:t xml:space="preserve">schools or health posts. </w:t>
      </w:r>
      <w:r>
        <w:rPr>
          <w:rFonts w:asciiTheme="minorHAnsi" w:hAnsiTheme="minorHAnsi"/>
          <w:sz w:val="22"/>
          <w:szCs w:val="22"/>
        </w:rPr>
        <w:t>PNDS is a</w:t>
      </w:r>
      <w:r w:rsidR="00C51A1A">
        <w:rPr>
          <w:rFonts w:asciiTheme="minorHAnsi" w:hAnsiTheme="minorHAnsi"/>
          <w:sz w:val="22"/>
          <w:szCs w:val="22"/>
        </w:rPr>
        <w:t xml:space="preserve"> nation-wide</w:t>
      </w:r>
      <w:r>
        <w:rPr>
          <w:rFonts w:asciiTheme="minorHAnsi" w:hAnsiTheme="minorHAnsi"/>
          <w:sz w:val="22"/>
          <w:szCs w:val="22"/>
        </w:rPr>
        <w:t xml:space="preserve"> program </w:t>
      </w:r>
      <w:r w:rsidR="00C51A1A">
        <w:rPr>
          <w:rFonts w:asciiTheme="minorHAnsi" w:hAnsiTheme="minorHAnsi"/>
          <w:sz w:val="22"/>
          <w:szCs w:val="22"/>
        </w:rPr>
        <w:t xml:space="preserve">using a </w:t>
      </w:r>
      <w:r>
        <w:rPr>
          <w:rFonts w:asciiTheme="minorHAnsi" w:hAnsiTheme="minorHAnsi"/>
          <w:sz w:val="22"/>
          <w:szCs w:val="22"/>
        </w:rPr>
        <w:t>direct funding</w:t>
      </w:r>
      <w:r w:rsidR="00C51A1A">
        <w:rPr>
          <w:rFonts w:asciiTheme="minorHAnsi" w:hAnsiTheme="minorHAnsi"/>
          <w:sz w:val="22"/>
          <w:szCs w:val="22"/>
        </w:rPr>
        <w:t xml:space="preserve">, </w:t>
      </w:r>
      <w:r>
        <w:rPr>
          <w:rFonts w:asciiTheme="minorHAnsi" w:hAnsiTheme="minorHAnsi"/>
          <w:sz w:val="22"/>
          <w:szCs w:val="22"/>
        </w:rPr>
        <w:t>community-driven approach that</w:t>
      </w:r>
      <w:r w:rsidR="00C51A1A">
        <w:rPr>
          <w:rFonts w:asciiTheme="minorHAnsi" w:hAnsiTheme="minorHAnsi"/>
          <w:sz w:val="22"/>
          <w:szCs w:val="22"/>
        </w:rPr>
        <w:t xml:space="preserve"> reach</w:t>
      </w:r>
      <w:r w:rsidR="007F025D">
        <w:rPr>
          <w:rFonts w:asciiTheme="minorHAnsi" w:hAnsiTheme="minorHAnsi"/>
          <w:sz w:val="22"/>
          <w:szCs w:val="22"/>
        </w:rPr>
        <w:t>es all</w:t>
      </w:r>
      <w:r w:rsidR="00C51A1A">
        <w:rPr>
          <w:rFonts w:asciiTheme="minorHAnsi" w:hAnsiTheme="minorHAnsi"/>
          <w:sz w:val="22"/>
          <w:szCs w:val="22"/>
        </w:rPr>
        <w:t xml:space="preserve"> </w:t>
      </w:r>
      <w:r w:rsidR="00501F5E">
        <w:rPr>
          <w:rFonts w:asciiTheme="minorHAnsi" w:hAnsiTheme="minorHAnsi"/>
          <w:sz w:val="22"/>
          <w:szCs w:val="22"/>
        </w:rPr>
        <w:t>villages</w:t>
      </w:r>
      <w:r>
        <w:rPr>
          <w:rFonts w:asciiTheme="minorHAnsi" w:hAnsiTheme="minorHAnsi"/>
          <w:sz w:val="22"/>
          <w:szCs w:val="22"/>
        </w:rPr>
        <w:t xml:space="preserve">. </w:t>
      </w:r>
      <w:r w:rsidR="00382BBF">
        <w:rPr>
          <w:rFonts w:asciiTheme="minorHAnsi" w:hAnsiTheme="minorHAnsi"/>
          <w:sz w:val="22"/>
          <w:szCs w:val="22"/>
        </w:rPr>
        <w:t>According to independent monitoring and research by The Asia Foundation</w:t>
      </w:r>
      <w:r w:rsidR="00175AED">
        <w:rPr>
          <w:rFonts w:asciiTheme="minorHAnsi" w:hAnsiTheme="minorHAnsi"/>
          <w:sz w:val="22"/>
          <w:szCs w:val="22"/>
        </w:rPr>
        <w:t xml:space="preserve"> and supported by DFAT</w:t>
      </w:r>
      <w:r w:rsidR="00382BBF">
        <w:rPr>
          <w:rFonts w:asciiTheme="minorHAnsi" w:hAnsiTheme="minorHAnsi"/>
          <w:sz w:val="22"/>
          <w:szCs w:val="22"/>
        </w:rPr>
        <w:t>, the program</w:t>
      </w:r>
      <w:r>
        <w:rPr>
          <w:rFonts w:asciiTheme="minorHAnsi" w:hAnsiTheme="minorHAnsi"/>
          <w:sz w:val="22"/>
          <w:szCs w:val="22"/>
        </w:rPr>
        <w:t xml:space="preserve"> has led</w:t>
      </w:r>
      <w:r w:rsidRPr="002635C0">
        <w:rPr>
          <w:rFonts w:asciiTheme="minorHAnsi" w:hAnsiTheme="minorHAnsi"/>
          <w:sz w:val="22"/>
          <w:szCs w:val="22"/>
        </w:rPr>
        <w:t xml:space="preserve"> </w:t>
      </w:r>
      <w:r>
        <w:rPr>
          <w:rFonts w:asciiTheme="minorHAnsi" w:hAnsiTheme="minorHAnsi"/>
          <w:sz w:val="22"/>
          <w:szCs w:val="22"/>
        </w:rPr>
        <w:t xml:space="preserve">to </w:t>
      </w:r>
      <w:r w:rsidRPr="002635C0">
        <w:rPr>
          <w:rFonts w:asciiTheme="minorHAnsi" w:hAnsiTheme="minorHAnsi"/>
          <w:sz w:val="22"/>
          <w:szCs w:val="22"/>
        </w:rPr>
        <w:t xml:space="preserve">the </w:t>
      </w:r>
      <w:r w:rsidR="000502EE">
        <w:rPr>
          <w:rFonts w:asciiTheme="minorHAnsi" w:hAnsiTheme="minorHAnsi"/>
          <w:sz w:val="22"/>
          <w:szCs w:val="22"/>
        </w:rPr>
        <w:t xml:space="preserve">Government of Timor-Leste </w:t>
      </w:r>
      <w:r>
        <w:rPr>
          <w:rFonts w:asciiTheme="minorHAnsi" w:hAnsiTheme="minorHAnsi"/>
          <w:sz w:val="22"/>
          <w:szCs w:val="22"/>
        </w:rPr>
        <w:t>achieving</w:t>
      </w:r>
      <w:r w:rsidRPr="002635C0">
        <w:rPr>
          <w:rFonts w:asciiTheme="minorHAnsi" w:hAnsiTheme="minorHAnsi"/>
          <w:sz w:val="22"/>
          <w:szCs w:val="22"/>
        </w:rPr>
        <w:t xml:space="preserve"> improvements in local governance, local economic stimulation, increased access to basic services and community empowerment </w:t>
      </w:r>
      <w:r>
        <w:rPr>
          <w:rFonts w:asciiTheme="minorHAnsi" w:hAnsiTheme="minorHAnsi"/>
          <w:sz w:val="22"/>
          <w:szCs w:val="22"/>
        </w:rPr>
        <w:t>for</w:t>
      </w:r>
      <w:r w:rsidRPr="002635C0">
        <w:rPr>
          <w:rFonts w:asciiTheme="minorHAnsi" w:hAnsiTheme="minorHAnsi"/>
          <w:sz w:val="22"/>
          <w:szCs w:val="22"/>
        </w:rPr>
        <w:t xml:space="preserve"> people living in poverty. </w:t>
      </w:r>
    </w:p>
    <w:p w:rsidR="001E08AD" w:rsidRPr="002635C0" w:rsidRDefault="001E08AD" w:rsidP="001E08AD">
      <w:pPr>
        <w:pStyle w:val="ListBullet"/>
        <w:tabs>
          <w:tab w:val="clear" w:pos="284"/>
        </w:tabs>
        <w:rPr>
          <w:rFonts w:asciiTheme="minorHAnsi" w:hAnsiTheme="minorHAnsi"/>
          <w:sz w:val="22"/>
          <w:szCs w:val="22"/>
        </w:rPr>
      </w:pPr>
      <w:r w:rsidRPr="002635C0">
        <w:rPr>
          <w:rFonts w:asciiTheme="minorHAnsi" w:hAnsiTheme="minorHAnsi"/>
          <w:sz w:val="22"/>
          <w:szCs w:val="22"/>
        </w:rPr>
        <w:t xml:space="preserve">Australia’s </w:t>
      </w:r>
      <w:r w:rsidRPr="00300E7A">
        <w:rPr>
          <w:rFonts w:asciiTheme="minorHAnsi" w:hAnsiTheme="minorHAnsi"/>
          <w:b/>
          <w:sz w:val="22"/>
          <w:szCs w:val="22"/>
        </w:rPr>
        <w:t>PNDS Support Program</w:t>
      </w:r>
      <w:r w:rsidRPr="002635C0">
        <w:rPr>
          <w:rFonts w:asciiTheme="minorHAnsi" w:hAnsiTheme="minorHAnsi"/>
          <w:sz w:val="22"/>
          <w:szCs w:val="22"/>
        </w:rPr>
        <w:t xml:space="preserve"> (</w:t>
      </w:r>
      <w:r>
        <w:rPr>
          <w:rFonts w:asciiTheme="minorHAnsi" w:hAnsiTheme="minorHAnsi"/>
          <w:sz w:val="22"/>
          <w:szCs w:val="22"/>
        </w:rPr>
        <w:t xml:space="preserve">PNDSSP, </w:t>
      </w:r>
      <w:r w:rsidRPr="002635C0">
        <w:rPr>
          <w:rFonts w:asciiTheme="minorHAnsi" w:hAnsiTheme="minorHAnsi"/>
          <w:sz w:val="22"/>
          <w:szCs w:val="22"/>
        </w:rPr>
        <w:t>$42million, 2012-17)</w:t>
      </w:r>
      <w:r w:rsidR="007F025D">
        <w:rPr>
          <w:rFonts w:asciiTheme="minorHAnsi" w:hAnsiTheme="minorHAnsi"/>
          <w:sz w:val="22"/>
          <w:szCs w:val="22"/>
        </w:rPr>
        <w:t xml:space="preserve"> supports </w:t>
      </w:r>
      <w:r w:rsidR="00EC6DD4">
        <w:rPr>
          <w:rFonts w:asciiTheme="minorHAnsi" w:hAnsiTheme="minorHAnsi"/>
          <w:sz w:val="22"/>
          <w:szCs w:val="22"/>
        </w:rPr>
        <w:t>the g</w:t>
      </w:r>
      <w:r>
        <w:rPr>
          <w:rFonts w:asciiTheme="minorHAnsi" w:hAnsiTheme="minorHAnsi"/>
          <w:sz w:val="22"/>
          <w:szCs w:val="22"/>
        </w:rPr>
        <w:t>overnment’s program goals and aims</w:t>
      </w:r>
      <w:r w:rsidRPr="002635C0">
        <w:rPr>
          <w:rFonts w:asciiTheme="minorHAnsi" w:hAnsiTheme="minorHAnsi"/>
          <w:sz w:val="22"/>
          <w:szCs w:val="22"/>
        </w:rPr>
        <w:t xml:space="preserve"> to help the </w:t>
      </w:r>
      <w:r w:rsidR="00EC6DD4">
        <w:rPr>
          <w:rFonts w:asciiTheme="minorHAnsi" w:hAnsiTheme="minorHAnsi"/>
          <w:sz w:val="22"/>
          <w:szCs w:val="22"/>
        </w:rPr>
        <w:t>g</w:t>
      </w:r>
      <w:r w:rsidRPr="002635C0">
        <w:rPr>
          <w:rFonts w:asciiTheme="minorHAnsi" w:hAnsiTheme="minorHAnsi"/>
          <w:sz w:val="22"/>
          <w:szCs w:val="22"/>
        </w:rPr>
        <w:t xml:space="preserve">overnment secure sufficient resources for PNDS, build and improve the use of systems to implement PNDS, and foster </w:t>
      </w:r>
      <w:r>
        <w:rPr>
          <w:rFonts w:asciiTheme="minorHAnsi" w:hAnsiTheme="minorHAnsi"/>
          <w:sz w:val="22"/>
          <w:szCs w:val="22"/>
        </w:rPr>
        <w:t xml:space="preserve">better </w:t>
      </w:r>
      <w:r w:rsidRPr="002635C0">
        <w:rPr>
          <w:rFonts w:asciiTheme="minorHAnsi" w:hAnsiTheme="minorHAnsi"/>
          <w:sz w:val="22"/>
          <w:szCs w:val="22"/>
        </w:rPr>
        <w:t>leadership and management by PNDS staff. Australia does not contribute funds to PNDS grants</w:t>
      </w:r>
      <w:r w:rsidR="002F0BA9">
        <w:rPr>
          <w:rFonts w:asciiTheme="minorHAnsi" w:hAnsiTheme="minorHAnsi"/>
          <w:sz w:val="22"/>
          <w:szCs w:val="22"/>
        </w:rPr>
        <w:t>;</w:t>
      </w:r>
      <w:r w:rsidRPr="002635C0">
        <w:rPr>
          <w:rFonts w:asciiTheme="minorHAnsi" w:hAnsiTheme="minorHAnsi"/>
          <w:sz w:val="22"/>
          <w:szCs w:val="22"/>
        </w:rPr>
        <w:t xml:space="preserve"> </w:t>
      </w:r>
      <w:r w:rsidR="007F025D">
        <w:rPr>
          <w:rFonts w:asciiTheme="minorHAnsi" w:hAnsiTheme="minorHAnsi"/>
          <w:sz w:val="22"/>
          <w:szCs w:val="22"/>
        </w:rPr>
        <w:t>these</w:t>
      </w:r>
      <w:r w:rsidRPr="002635C0">
        <w:rPr>
          <w:rFonts w:asciiTheme="minorHAnsi" w:hAnsiTheme="minorHAnsi"/>
          <w:sz w:val="22"/>
          <w:szCs w:val="22"/>
        </w:rPr>
        <w:t xml:space="preserve"> are </w:t>
      </w:r>
      <w:r w:rsidR="007F025D">
        <w:rPr>
          <w:rFonts w:asciiTheme="minorHAnsi" w:hAnsiTheme="minorHAnsi"/>
          <w:sz w:val="22"/>
          <w:szCs w:val="22"/>
        </w:rPr>
        <w:t xml:space="preserve">funded </w:t>
      </w:r>
      <w:r w:rsidRPr="002635C0">
        <w:rPr>
          <w:rFonts w:asciiTheme="minorHAnsi" w:hAnsiTheme="minorHAnsi"/>
          <w:sz w:val="22"/>
          <w:szCs w:val="22"/>
        </w:rPr>
        <w:t xml:space="preserve">by the </w:t>
      </w:r>
      <w:r w:rsidR="000502EE">
        <w:rPr>
          <w:rFonts w:asciiTheme="minorHAnsi" w:hAnsiTheme="minorHAnsi"/>
          <w:sz w:val="22"/>
          <w:szCs w:val="22"/>
        </w:rPr>
        <w:t xml:space="preserve">Government of Timor-Leste </w:t>
      </w:r>
      <w:r w:rsidR="003476B6">
        <w:rPr>
          <w:rFonts w:asciiTheme="minorHAnsi" w:hAnsiTheme="minorHAnsi"/>
          <w:sz w:val="22"/>
          <w:szCs w:val="22"/>
        </w:rPr>
        <w:t>to ensure local ownership and sustainability</w:t>
      </w:r>
      <w:r w:rsidRPr="002635C0">
        <w:rPr>
          <w:rFonts w:asciiTheme="minorHAnsi" w:hAnsiTheme="minorHAnsi"/>
          <w:sz w:val="22"/>
          <w:szCs w:val="22"/>
        </w:rPr>
        <w:t xml:space="preserve">. </w:t>
      </w:r>
    </w:p>
    <w:p w:rsidR="001E08AD" w:rsidRPr="002635C0" w:rsidRDefault="001E08AD" w:rsidP="001E08AD">
      <w:pPr>
        <w:pStyle w:val="ListBullet"/>
        <w:tabs>
          <w:tab w:val="clear" w:pos="284"/>
        </w:tabs>
        <w:rPr>
          <w:rFonts w:asciiTheme="minorHAnsi" w:hAnsiTheme="minorHAnsi"/>
          <w:sz w:val="22"/>
          <w:szCs w:val="22"/>
        </w:rPr>
      </w:pPr>
      <w:r>
        <w:rPr>
          <w:rFonts w:asciiTheme="minorHAnsi" w:hAnsiTheme="minorHAnsi"/>
          <w:sz w:val="22"/>
          <w:szCs w:val="22"/>
        </w:rPr>
        <w:t xml:space="preserve">Since June 2013, </w:t>
      </w:r>
      <w:r w:rsidR="000860BE">
        <w:rPr>
          <w:rFonts w:asciiTheme="minorHAnsi" w:hAnsiTheme="minorHAnsi"/>
          <w:sz w:val="22"/>
          <w:szCs w:val="22"/>
        </w:rPr>
        <w:t xml:space="preserve">more than </w:t>
      </w:r>
      <w:r>
        <w:rPr>
          <w:rFonts w:asciiTheme="minorHAnsi" w:hAnsiTheme="minorHAnsi"/>
          <w:sz w:val="22"/>
          <w:szCs w:val="22"/>
        </w:rPr>
        <w:t>1,000</w:t>
      </w:r>
      <w:r w:rsidRPr="002635C0">
        <w:rPr>
          <w:rFonts w:asciiTheme="minorHAnsi" w:hAnsiTheme="minorHAnsi"/>
          <w:sz w:val="22"/>
          <w:szCs w:val="22"/>
        </w:rPr>
        <w:t xml:space="preserve"> PNDS projects </w:t>
      </w:r>
      <w:r>
        <w:rPr>
          <w:rFonts w:asciiTheme="minorHAnsi" w:hAnsiTheme="minorHAnsi"/>
          <w:sz w:val="22"/>
          <w:szCs w:val="22"/>
        </w:rPr>
        <w:t>have</w:t>
      </w:r>
      <w:r w:rsidRPr="002635C0">
        <w:rPr>
          <w:rFonts w:asciiTheme="minorHAnsi" w:hAnsiTheme="minorHAnsi"/>
          <w:sz w:val="22"/>
          <w:szCs w:val="22"/>
        </w:rPr>
        <w:t xml:space="preserve"> been constructed </w:t>
      </w:r>
      <w:r w:rsidR="00D422E2">
        <w:rPr>
          <w:rFonts w:asciiTheme="minorHAnsi" w:hAnsiTheme="minorHAnsi"/>
          <w:sz w:val="22"/>
          <w:szCs w:val="22"/>
        </w:rPr>
        <w:t>across</w:t>
      </w:r>
      <w:r w:rsidRPr="002635C0">
        <w:rPr>
          <w:rFonts w:asciiTheme="minorHAnsi" w:hAnsiTheme="minorHAnsi"/>
          <w:sz w:val="22"/>
          <w:szCs w:val="22"/>
        </w:rPr>
        <w:t xml:space="preserve"> </w:t>
      </w:r>
      <w:r w:rsidR="004A403B">
        <w:rPr>
          <w:rFonts w:asciiTheme="minorHAnsi" w:hAnsiTheme="minorHAnsi"/>
          <w:sz w:val="22"/>
          <w:szCs w:val="22"/>
        </w:rPr>
        <w:t xml:space="preserve">all of Timor’s </w:t>
      </w:r>
      <w:r>
        <w:rPr>
          <w:rFonts w:asciiTheme="minorHAnsi" w:hAnsiTheme="minorHAnsi"/>
          <w:sz w:val="22"/>
          <w:szCs w:val="22"/>
        </w:rPr>
        <w:t xml:space="preserve">442 </w:t>
      </w:r>
      <w:r w:rsidRPr="00A5218F">
        <w:rPr>
          <w:rFonts w:asciiTheme="minorHAnsi" w:hAnsiTheme="minorHAnsi"/>
          <w:sz w:val="22"/>
          <w:szCs w:val="22"/>
        </w:rPr>
        <w:t xml:space="preserve">villages, </w:t>
      </w:r>
      <w:r w:rsidRPr="00370414">
        <w:rPr>
          <w:rFonts w:asciiTheme="minorHAnsi" w:hAnsiTheme="minorHAnsi"/>
          <w:sz w:val="22"/>
          <w:szCs w:val="22"/>
        </w:rPr>
        <w:t xml:space="preserve">which is on </w:t>
      </w:r>
      <w:r w:rsidR="003539C4">
        <w:rPr>
          <w:rFonts w:asciiTheme="minorHAnsi" w:hAnsiTheme="minorHAnsi"/>
          <w:sz w:val="22"/>
          <w:szCs w:val="22"/>
        </w:rPr>
        <w:t>track for end of program targets</w:t>
      </w:r>
      <w:r w:rsidRPr="00370414">
        <w:rPr>
          <w:rFonts w:asciiTheme="minorHAnsi" w:hAnsiTheme="minorHAnsi"/>
          <w:sz w:val="22"/>
          <w:szCs w:val="22"/>
        </w:rPr>
        <w:t xml:space="preserve">. In the reporting period more than 38,300 people participated in a PNDS project and more than 22,800 people undertook community-based PNDS training. This training helped build skills to manage and implement the grants; examples of the effectiveness of the training </w:t>
      </w:r>
      <w:r w:rsidR="002F0BA9">
        <w:rPr>
          <w:rFonts w:asciiTheme="minorHAnsi" w:hAnsiTheme="minorHAnsi"/>
          <w:sz w:val="22"/>
          <w:szCs w:val="22"/>
        </w:rPr>
        <w:t>are</w:t>
      </w:r>
      <w:r w:rsidRPr="00370414">
        <w:rPr>
          <w:rFonts w:asciiTheme="minorHAnsi" w:hAnsiTheme="minorHAnsi"/>
          <w:sz w:val="22"/>
          <w:szCs w:val="22"/>
        </w:rPr>
        <w:t xml:space="preserve"> that </w:t>
      </w:r>
      <w:r>
        <w:rPr>
          <w:rFonts w:asciiTheme="minorHAnsi" w:hAnsiTheme="minorHAnsi"/>
          <w:sz w:val="22"/>
          <w:szCs w:val="22"/>
        </w:rPr>
        <w:t>during 2016</w:t>
      </w:r>
      <w:r w:rsidR="001927B7">
        <w:rPr>
          <w:rFonts w:asciiTheme="minorHAnsi" w:hAnsiTheme="minorHAnsi"/>
          <w:sz w:val="22"/>
          <w:szCs w:val="22"/>
        </w:rPr>
        <w:t>,</w:t>
      </w:r>
      <w:r>
        <w:rPr>
          <w:rFonts w:asciiTheme="minorHAnsi" w:hAnsiTheme="minorHAnsi"/>
          <w:sz w:val="22"/>
          <w:szCs w:val="22"/>
        </w:rPr>
        <w:t xml:space="preserve"> </w:t>
      </w:r>
      <w:r w:rsidRPr="00370414">
        <w:rPr>
          <w:rFonts w:asciiTheme="minorHAnsi" w:hAnsiTheme="minorHAnsi"/>
          <w:sz w:val="22"/>
          <w:szCs w:val="22"/>
        </w:rPr>
        <w:t>8</w:t>
      </w:r>
      <w:r>
        <w:rPr>
          <w:rFonts w:asciiTheme="minorHAnsi" w:hAnsiTheme="minorHAnsi"/>
          <w:sz w:val="22"/>
          <w:szCs w:val="22"/>
        </w:rPr>
        <w:t>5</w:t>
      </w:r>
      <w:r w:rsidRPr="00370414">
        <w:rPr>
          <w:rFonts w:asciiTheme="minorHAnsi" w:hAnsiTheme="minorHAnsi"/>
          <w:sz w:val="22"/>
          <w:szCs w:val="22"/>
        </w:rPr>
        <w:t xml:space="preserve"> per cent of communities demonstrated money management skills in their handling of the grants and 84 per cent of PNDS projects </w:t>
      </w:r>
      <w:r>
        <w:rPr>
          <w:rFonts w:asciiTheme="minorHAnsi" w:hAnsiTheme="minorHAnsi"/>
          <w:sz w:val="22"/>
          <w:szCs w:val="22"/>
        </w:rPr>
        <w:t xml:space="preserve">were </w:t>
      </w:r>
      <w:r w:rsidRPr="00370414">
        <w:rPr>
          <w:rFonts w:asciiTheme="minorHAnsi" w:hAnsiTheme="minorHAnsi"/>
          <w:sz w:val="22"/>
          <w:szCs w:val="22"/>
        </w:rPr>
        <w:t xml:space="preserve">rated as good on construction </w:t>
      </w:r>
      <w:r>
        <w:rPr>
          <w:rFonts w:asciiTheme="minorHAnsi" w:hAnsiTheme="minorHAnsi"/>
          <w:sz w:val="22"/>
          <w:szCs w:val="22"/>
        </w:rPr>
        <w:t>quality</w:t>
      </w:r>
      <w:r w:rsidRPr="00370414">
        <w:rPr>
          <w:rFonts w:asciiTheme="minorHAnsi" w:hAnsiTheme="minorHAnsi"/>
          <w:sz w:val="22"/>
          <w:szCs w:val="22"/>
        </w:rPr>
        <w:t xml:space="preserve"> during </w:t>
      </w:r>
      <w:r>
        <w:rPr>
          <w:rFonts w:asciiTheme="minorHAnsi" w:hAnsiTheme="minorHAnsi"/>
          <w:sz w:val="22"/>
          <w:szCs w:val="22"/>
        </w:rPr>
        <w:t xml:space="preserve">the annual </w:t>
      </w:r>
      <w:r w:rsidRPr="00370414">
        <w:rPr>
          <w:rFonts w:asciiTheme="minorHAnsi" w:hAnsiTheme="minorHAnsi"/>
          <w:sz w:val="22"/>
          <w:szCs w:val="22"/>
        </w:rPr>
        <w:t>technical audit</w:t>
      </w:r>
      <w:r w:rsidR="005A3E7B">
        <w:rPr>
          <w:rFonts w:asciiTheme="minorHAnsi" w:hAnsiTheme="minorHAnsi"/>
          <w:sz w:val="22"/>
          <w:szCs w:val="22"/>
        </w:rPr>
        <w:t>, exceeding the 2015-16 performance benchmark of 70 per cent</w:t>
      </w:r>
      <w:r w:rsidRPr="00370414">
        <w:rPr>
          <w:rFonts w:asciiTheme="minorHAnsi" w:hAnsiTheme="minorHAnsi"/>
          <w:sz w:val="22"/>
          <w:szCs w:val="22"/>
        </w:rPr>
        <w:t>.</w:t>
      </w:r>
      <w:r w:rsidRPr="002635C0">
        <w:rPr>
          <w:rFonts w:asciiTheme="minorHAnsi" w:hAnsiTheme="minorHAnsi"/>
          <w:sz w:val="22"/>
          <w:szCs w:val="22"/>
        </w:rPr>
        <w:t xml:space="preserve"> </w:t>
      </w:r>
    </w:p>
    <w:p w:rsidR="001E08AD" w:rsidRDefault="001E08AD" w:rsidP="001E08AD">
      <w:pPr>
        <w:pStyle w:val="ListBullet"/>
        <w:tabs>
          <w:tab w:val="clear" w:pos="284"/>
        </w:tabs>
        <w:rPr>
          <w:rFonts w:asciiTheme="minorHAnsi" w:hAnsiTheme="minorHAnsi"/>
          <w:sz w:val="22"/>
          <w:szCs w:val="22"/>
        </w:rPr>
      </w:pPr>
      <w:r>
        <w:rPr>
          <w:rFonts w:asciiTheme="minorHAnsi" w:hAnsiTheme="minorHAnsi"/>
          <w:sz w:val="22"/>
          <w:szCs w:val="22"/>
        </w:rPr>
        <w:t>PNDSSP showed flexibility throughout 2015-16, providing quality support despite budget re</w:t>
      </w:r>
      <w:r w:rsidR="00167D98">
        <w:rPr>
          <w:rFonts w:asciiTheme="minorHAnsi" w:hAnsiTheme="minorHAnsi"/>
          <w:sz w:val="22"/>
          <w:szCs w:val="22"/>
        </w:rPr>
        <w:t>ductions</w:t>
      </w:r>
      <w:r>
        <w:rPr>
          <w:rFonts w:asciiTheme="minorHAnsi" w:hAnsiTheme="minorHAnsi"/>
          <w:sz w:val="22"/>
          <w:szCs w:val="22"/>
        </w:rPr>
        <w:t xml:space="preserve">. PNDSSP and the </w:t>
      </w:r>
      <w:r w:rsidR="000502EE">
        <w:rPr>
          <w:rFonts w:asciiTheme="minorHAnsi" w:hAnsiTheme="minorHAnsi"/>
          <w:sz w:val="22"/>
          <w:szCs w:val="22"/>
        </w:rPr>
        <w:t xml:space="preserve">Government of Timor-Leste </w:t>
      </w:r>
      <w:r>
        <w:rPr>
          <w:rFonts w:asciiTheme="minorHAnsi" w:hAnsiTheme="minorHAnsi"/>
          <w:sz w:val="22"/>
          <w:szCs w:val="22"/>
        </w:rPr>
        <w:t xml:space="preserve">agreed on revised priorities and identified areas for improved </w:t>
      </w:r>
      <w:r w:rsidR="00673C76">
        <w:rPr>
          <w:rFonts w:asciiTheme="minorHAnsi" w:hAnsiTheme="minorHAnsi"/>
          <w:sz w:val="22"/>
          <w:szCs w:val="22"/>
        </w:rPr>
        <w:t xml:space="preserve">efficiency. </w:t>
      </w:r>
      <w:r w:rsidRPr="00D8539C">
        <w:rPr>
          <w:rFonts w:asciiTheme="minorHAnsi" w:hAnsiTheme="minorHAnsi"/>
          <w:sz w:val="22"/>
          <w:szCs w:val="22"/>
        </w:rPr>
        <w:t xml:space="preserve"> Australia has also revised</w:t>
      </w:r>
      <w:r>
        <w:rPr>
          <w:rFonts w:asciiTheme="minorHAnsi" w:hAnsiTheme="minorHAnsi"/>
          <w:sz w:val="22"/>
          <w:szCs w:val="22"/>
        </w:rPr>
        <w:t xml:space="preserve"> PNDSSP management structure </w:t>
      </w:r>
      <w:r w:rsidR="00673C76">
        <w:rPr>
          <w:rFonts w:asciiTheme="minorHAnsi" w:hAnsiTheme="minorHAnsi"/>
          <w:sz w:val="22"/>
          <w:szCs w:val="22"/>
        </w:rPr>
        <w:t>following</w:t>
      </w:r>
      <w:r w:rsidR="00382BBF">
        <w:rPr>
          <w:rFonts w:asciiTheme="minorHAnsi" w:hAnsiTheme="minorHAnsi"/>
          <w:sz w:val="22"/>
          <w:szCs w:val="22"/>
        </w:rPr>
        <w:t xml:space="preserve"> budget cuts, staff reductions and evolution</w:t>
      </w:r>
      <w:r w:rsidR="007E06DA">
        <w:rPr>
          <w:rFonts w:asciiTheme="minorHAnsi" w:hAnsiTheme="minorHAnsi"/>
          <w:sz w:val="22"/>
          <w:szCs w:val="22"/>
        </w:rPr>
        <w:t xml:space="preserve"> </w:t>
      </w:r>
      <w:r w:rsidR="00382BBF">
        <w:rPr>
          <w:rFonts w:asciiTheme="minorHAnsi" w:hAnsiTheme="minorHAnsi"/>
          <w:sz w:val="22"/>
          <w:szCs w:val="22"/>
        </w:rPr>
        <w:t>of the program from its establishment phase</w:t>
      </w:r>
      <w:r>
        <w:rPr>
          <w:rFonts w:asciiTheme="minorHAnsi" w:hAnsiTheme="minorHAnsi"/>
          <w:sz w:val="22"/>
          <w:szCs w:val="22"/>
        </w:rPr>
        <w:t xml:space="preserve">. Australia’s continued policy dialogue and advocacy contributed to the </w:t>
      </w:r>
      <w:r w:rsidR="000502EE">
        <w:rPr>
          <w:rFonts w:asciiTheme="minorHAnsi" w:hAnsiTheme="minorHAnsi"/>
          <w:sz w:val="22"/>
          <w:szCs w:val="22"/>
        </w:rPr>
        <w:t xml:space="preserve">Government of Timor-Leste </w:t>
      </w:r>
      <w:r>
        <w:rPr>
          <w:rFonts w:asciiTheme="minorHAnsi" w:hAnsiTheme="minorHAnsi"/>
          <w:sz w:val="22"/>
          <w:szCs w:val="22"/>
        </w:rPr>
        <w:t xml:space="preserve">2016 budget commitment for PNDS. </w:t>
      </w:r>
    </w:p>
    <w:p w:rsidR="001E08AD" w:rsidRDefault="001E08AD" w:rsidP="001E08AD">
      <w:pPr>
        <w:pStyle w:val="ListBullet"/>
        <w:tabs>
          <w:tab w:val="clear" w:pos="284"/>
        </w:tabs>
        <w:rPr>
          <w:rFonts w:asciiTheme="minorHAnsi" w:hAnsiTheme="minorHAnsi"/>
          <w:sz w:val="22"/>
          <w:szCs w:val="22"/>
        </w:rPr>
      </w:pPr>
      <w:r>
        <w:rPr>
          <w:rFonts w:asciiTheme="minorHAnsi" w:hAnsiTheme="minorHAnsi"/>
          <w:sz w:val="22"/>
          <w:szCs w:val="22"/>
        </w:rPr>
        <w:t xml:space="preserve">Gender equality remained a focus of PNDS, with its gender strategy and action plan finalised in 2015. An independent review in </w:t>
      </w:r>
      <w:r w:rsidR="007F025D">
        <w:rPr>
          <w:rFonts w:asciiTheme="minorHAnsi" w:hAnsiTheme="minorHAnsi"/>
          <w:sz w:val="22"/>
          <w:szCs w:val="22"/>
        </w:rPr>
        <w:t xml:space="preserve">April </w:t>
      </w:r>
      <w:r>
        <w:rPr>
          <w:rFonts w:asciiTheme="minorHAnsi" w:hAnsiTheme="minorHAnsi"/>
          <w:sz w:val="22"/>
          <w:szCs w:val="22"/>
        </w:rPr>
        <w:t>2016 found</w:t>
      </w:r>
      <w:r w:rsidR="00673C76">
        <w:rPr>
          <w:rFonts w:asciiTheme="minorHAnsi" w:hAnsiTheme="minorHAnsi"/>
          <w:sz w:val="22"/>
          <w:szCs w:val="22"/>
        </w:rPr>
        <w:t xml:space="preserve"> that</w:t>
      </w:r>
      <w:r>
        <w:rPr>
          <w:rFonts w:asciiTheme="minorHAnsi" w:hAnsiTheme="minorHAnsi"/>
          <w:sz w:val="22"/>
          <w:szCs w:val="22"/>
        </w:rPr>
        <w:t xml:space="preserve"> PNDSSP provides very effective support on gender equality and </w:t>
      </w:r>
      <w:r w:rsidR="00673C76">
        <w:rPr>
          <w:rFonts w:asciiTheme="minorHAnsi" w:hAnsiTheme="minorHAnsi"/>
          <w:sz w:val="22"/>
          <w:szCs w:val="22"/>
        </w:rPr>
        <w:t xml:space="preserve">has made </w:t>
      </w:r>
      <w:r>
        <w:rPr>
          <w:rFonts w:asciiTheme="minorHAnsi" w:hAnsiTheme="minorHAnsi"/>
          <w:sz w:val="22"/>
          <w:szCs w:val="22"/>
        </w:rPr>
        <w:t>good progress on promoting disability-inclusive development. Women’s participation in PNDS processes is on target at 40 per</w:t>
      </w:r>
      <w:r w:rsidR="00494309">
        <w:rPr>
          <w:rFonts w:asciiTheme="minorHAnsi" w:hAnsiTheme="minorHAnsi"/>
          <w:sz w:val="22"/>
          <w:szCs w:val="22"/>
        </w:rPr>
        <w:t xml:space="preserve"> </w:t>
      </w:r>
      <w:r>
        <w:rPr>
          <w:rFonts w:asciiTheme="minorHAnsi" w:hAnsiTheme="minorHAnsi"/>
          <w:sz w:val="22"/>
          <w:szCs w:val="22"/>
        </w:rPr>
        <w:t>cent, with participation at 45 per</w:t>
      </w:r>
      <w:r w:rsidR="00494309">
        <w:rPr>
          <w:rFonts w:asciiTheme="minorHAnsi" w:hAnsiTheme="minorHAnsi"/>
          <w:sz w:val="22"/>
          <w:szCs w:val="22"/>
        </w:rPr>
        <w:t xml:space="preserve"> </w:t>
      </w:r>
      <w:r>
        <w:rPr>
          <w:rFonts w:asciiTheme="minorHAnsi" w:hAnsiTheme="minorHAnsi"/>
          <w:sz w:val="22"/>
          <w:szCs w:val="22"/>
        </w:rPr>
        <w:t xml:space="preserve">cent in priority setting at the village level. Training on gender and disability-inclusive development has been provided to municipal PNDS directors and standard PNDS construction includes </w:t>
      </w:r>
      <w:r w:rsidRPr="00C11319">
        <w:rPr>
          <w:rFonts w:asciiTheme="minorHAnsi" w:hAnsiTheme="minorHAnsi"/>
          <w:sz w:val="22"/>
          <w:szCs w:val="22"/>
        </w:rPr>
        <w:t xml:space="preserve">accessible points for people with a disability. </w:t>
      </w:r>
      <w:r w:rsidR="004A36FC" w:rsidRPr="00C11319">
        <w:rPr>
          <w:rFonts w:asciiTheme="minorHAnsi" w:hAnsiTheme="minorHAnsi"/>
          <w:sz w:val="22"/>
          <w:szCs w:val="22"/>
        </w:rPr>
        <w:t>The review found that over the long term PNDS has the potential to achieve transformational change in gender equality. PNDSSP works with the national disabled people’s organisation (</w:t>
      </w:r>
      <w:r w:rsidR="004A36FC" w:rsidRPr="00C11319">
        <w:rPr>
          <w:rFonts w:asciiTheme="minorHAnsi" w:hAnsiTheme="minorHAnsi"/>
        </w:rPr>
        <w:t>RHTO</w:t>
      </w:r>
      <w:r w:rsidR="004A36FC" w:rsidRPr="00C11319">
        <w:rPr>
          <w:rFonts w:asciiTheme="minorHAnsi" w:hAnsiTheme="minorHAnsi"/>
          <w:sz w:val="22"/>
          <w:szCs w:val="22"/>
        </w:rPr>
        <w:t>)</w:t>
      </w:r>
      <w:r w:rsidR="00637621" w:rsidRPr="00C11319">
        <w:rPr>
          <w:rFonts w:asciiTheme="minorHAnsi" w:hAnsiTheme="minorHAnsi"/>
          <w:sz w:val="22"/>
          <w:szCs w:val="22"/>
        </w:rPr>
        <w:t xml:space="preserve"> </w:t>
      </w:r>
      <w:r w:rsidR="004A36FC" w:rsidRPr="00C11319">
        <w:rPr>
          <w:rFonts w:asciiTheme="minorHAnsi" w:hAnsiTheme="minorHAnsi"/>
          <w:sz w:val="22"/>
          <w:szCs w:val="22"/>
        </w:rPr>
        <w:t>to provide training</w:t>
      </w:r>
      <w:r w:rsidR="004A36FC" w:rsidRPr="00C11319">
        <w:rPr>
          <w:rFonts w:asciiTheme="minorHAnsi" w:hAnsiTheme="minorHAnsi"/>
        </w:rPr>
        <w:t xml:space="preserve"> for PNDS facilitators on disability inclusive approaches.</w:t>
      </w:r>
      <w:r w:rsidR="004A36FC">
        <w:rPr>
          <w:rFonts w:asciiTheme="minorHAnsi" w:hAnsiTheme="minorHAnsi"/>
          <w:sz w:val="22"/>
          <w:szCs w:val="22"/>
        </w:rPr>
        <w:t xml:space="preserve"> </w:t>
      </w:r>
    </w:p>
    <w:p w:rsidR="001E08AD" w:rsidRDefault="001E08AD" w:rsidP="001E08AD">
      <w:pPr>
        <w:pStyle w:val="ListBullet"/>
        <w:tabs>
          <w:tab w:val="clear" w:pos="284"/>
        </w:tabs>
        <w:rPr>
          <w:rFonts w:asciiTheme="minorHAnsi" w:hAnsiTheme="minorHAnsi"/>
          <w:sz w:val="22"/>
          <w:szCs w:val="22"/>
        </w:rPr>
      </w:pPr>
      <w:r w:rsidRPr="002635C0">
        <w:rPr>
          <w:rFonts w:asciiTheme="minorHAnsi" w:hAnsiTheme="minorHAnsi"/>
          <w:b/>
          <w:sz w:val="22"/>
          <w:szCs w:val="22"/>
        </w:rPr>
        <w:t>Management response:</w:t>
      </w:r>
      <w:r w:rsidR="00382BBF">
        <w:rPr>
          <w:rFonts w:asciiTheme="minorHAnsi" w:hAnsiTheme="minorHAnsi"/>
          <w:b/>
          <w:sz w:val="22"/>
          <w:szCs w:val="22"/>
        </w:rPr>
        <w:t xml:space="preserve"> </w:t>
      </w:r>
      <w:r w:rsidR="00382BBF">
        <w:rPr>
          <w:rFonts w:asciiTheme="minorHAnsi" w:hAnsiTheme="minorHAnsi"/>
          <w:sz w:val="22"/>
          <w:szCs w:val="22"/>
        </w:rPr>
        <w:t xml:space="preserve">DFAT’s </w:t>
      </w:r>
      <w:r w:rsidR="0044444A">
        <w:rPr>
          <w:rFonts w:asciiTheme="minorHAnsi" w:hAnsiTheme="minorHAnsi"/>
          <w:sz w:val="22"/>
          <w:szCs w:val="22"/>
        </w:rPr>
        <w:t>will</w:t>
      </w:r>
      <w:r w:rsidR="00494309">
        <w:rPr>
          <w:rFonts w:asciiTheme="minorHAnsi" w:hAnsiTheme="minorHAnsi"/>
          <w:sz w:val="22"/>
          <w:szCs w:val="22"/>
        </w:rPr>
        <w:t xml:space="preserve"> advo</w:t>
      </w:r>
      <w:r w:rsidR="0044444A">
        <w:rPr>
          <w:rFonts w:asciiTheme="minorHAnsi" w:hAnsiTheme="minorHAnsi"/>
          <w:sz w:val="22"/>
          <w:szCs w:val="22"/>
        </w:rPr>
        <w:t>cate</w:t>
      </w:r>
      <w:r w:rsidR="00382BBF">
        <w:rPr>
          <w:rFonts w:asciiTheme="minorHAnsi" w:hAnsiTheme="minorHAnsi"/>
          <w:sz w:val="22"/>
          <w:szCs w:val="22"/>
        </w:rPr>
        <w:t xml:space="preserve"> to </w:t>
      </w:r>
      <w:r w:rsidR="00382BBF" w:rsidRPr="006F02C8">
        <w:rPr>
          <w:rFonts w:asciiTheme="minorHAnsi" w:hAnsiTheme="minorHAnsi"/>
          <w:sz w:val="22"/>
          <w:szCs w:val="22"/>
        </w:rPr>
        <w:t>ensure</w:t>
      </w:r>
      <w:r w:rsidR="00382BBF" w:rsidRPr="00D8539C">
        <w:rPr>
          <w:rFonts w:asciiTheme="minorHAnsi" w:hAnsiTheme="minorHAnsi"/>
          <w:sz w:val="22"/>
          <w:szCs w:val="22"/>
        </w:rPr>
        <w:t xml:space="preserve"> Timor-Leste budget support for 2017 PNDS grants. Post will also look to build stronger links between civil society organisations</w:t>
      </w:r>
      <w:r w:rsidR="00382BBF">
        <w:rPr>
          <w:rFonts w:asciiTheme="minorHAnsi" w:hAnsiTheme="minorHAnsi"/>
          <w:sz w:val="22"/>
          <w:szCs w:val="22"/>
        </w:rPr>
        <w:t xml:space="preserve"> and PNDS. </w:t>
      </w:r>
      <w:r w:rsidRPr="002635C0">
        <w:rPr>
          <w:rFonts w:asciiTheme="minorHAnsi" w:hAnsiTheme="minorHAnsi"/>
          <w:sz w:val="22"/>
          <w:szCs w:val="22"/>
        </w:rPr>
        <w:t xml:space="preserve"> </w:t>
      </w:r>
    </w:p>
    <w:p w:rsidR="001C0F78" w:rsidRDefault="001C0F78" w:rsidP="001C0F78">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Objective </w:t>
      </w:r>
      <w:r>
        <w:rPr>
          <w:rFonts w:asciiTheme="majorHAnsi" w:eastAsiaTheme="majorEastAsia" w:hAnsiTheme="majorHAnsi" w:cstheme="majorBidi"/>
          <w:caps/>
          <w:color w:val="495965" w:themeColor="text2"/>
          <w:sz w:val="38"/>
          <w:szCs w:val="26"/>
          <w:lang w:val="en-GB" w:eastAsia="en-US"/>
        </w:rPr>
        <w:t xml:space="preserve">3 – </w:t>
      </w:r>
      <w:r w:rsidR="00D65DA0">
        <w:rPr>
          <w:rFonts w:asciiTheme="majorHAnsi" w:eastAsiaTheme="majorEastAsia" w:hAnsiTheme="majorHAnsi" w:cstheme="majorBidi"/>
          <w:caps/>
          <w:color w:val="495965" w:themeColor="text2"/>
          <w:sz w:val="38"/>
          <w:szCs w:val="26"/>
          <w:lang w:val="en-GB" w:eastAsia="en-US"/>
        </w:rPr>
        <w:t xml:space="preserve">Strengthening governance </w:t>
      </w:r>
      <w:r w:rsidR="008F052B">
        <w:rPr>
          <w:rFonts w:asciiTheme="majorHAnsi" w:eastAsiaTheme="majorEastAsia" w:hAnsiTheme="majorHAnsi" w:cstheme="majorBidi"/>
          <w:caps/>
          <w:color w:val="495965" w:themeColor="text2"/>
          <w:sz w:val="38"/>
          <w:szCs w:val="26"/>
          <w:lang w:val="en-GB" w:eastAsia="en-US"/>
        </w:rPr>
        <w:t>and institutions</w:t>
      </w:r>
    </w:p>
    <w:p w:rsidR="001C0F78" w:rsidRPr="000D5636" w:rsidRDefault="001C0F78" w:rsidP="001E08AD">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This section includes progress in the following programs: </w:t>
      </w:r>
      <w:r w:rsidR="00D65DA0">
        <w:rPr>
          <w:rFonts w:asciiTheme="minorHAnsi" w:hAnsiTheme="minorHAnsi" w:cstheme="minorHAnsi"/>
          <w:sz w:val="22"/>
          <w:szCs w:val="22"/>
        </w:rPr>
        <w:t>governance for development and policing</w:t>
      </w:r>
      <w:r>
        <w:rPr>
          <w:rFonts w:asciiTheme="minorHAnsi" w:hAnsiTheme="minorHAnsi" w:cstheme="minorHAnsi"/>
          <w:sz w:val="22"/>
          <w:szCs w:val="22"/>
        </w:rPr>
        <w:t>.</w:t>
      </w:r>
    </w:p>
    <w:tbl>
      <w:tblPr>
        <w:tblStyle w:val="APPR"/>
        <w:tblW w:w="5000" w:type="pct"/>
        <w:tblLook w:val="0000" w:firstRow="0" w:lastRow="0" w:firstColumn="0" w:lastColumn="0" w:noHBand="0" w:noVBand="0"/>
        <w:tblCaption w:val="Objective 3.1 rating"/>
        <w:tblDescription w:val="Previous rating amber, current rating amber"/>
      </w:tblPr>
      <w:tblGrid>
        <w:gridCol w:w="6844"/>
        <w:gridCol w:w="1253"/>
        <w:gridCol w:w="484"/>
        <w:gridCol w:w="1329"/>
      </w:tblGrid>
      <w:tr w:rsidR="00D424FD" w:rsidRPr="0019341B" w:rsidTr="00BF41E9">
        <w:trPr>
          <w:cnfStyle w:val="000000010000" w:firstRow="0" w:lastRow="0" w:firstColumn="0" w:lastColumn="0" w:oddVBand="0" w:evenVBand="0" w:oddHBand="0" w:evenHBand="1" w:firstRowFirstColumn="0" w:firstRowLastColumn="0" w:lastRowFirstColumn="0" w:lastRowLastColumn="0"/>
          <w:trHeight w:val="514"/>
        </w:trPr>
        <w:tc>
          <w:tcPr>
            <w:tcW w:w="6802" w:type="dxa"/>
          </w:tcPr>
          <w:p w:rsidR="00D424FD" w:rsidRPr="0019341B" w:rsidRDefault="00D424FD" w:rsidP="0037449F">
            <w:pPr>
              <w:pStyle w:val="TableTextColumnHeading"/>
            </w:pPr>
            <w:r w:rsidRPr="0019341B">
              <w:rPr>
                <w:noProof/>
              </w:rPr>
              <w:drawing>
                <wp:anchor distT="0" distB="0" distL="114300" distR="114300" simplePos="0" relativeHeight="251694080" behindDoc="0" locked="0" layoutInCell="1" allowOverlap="1" wp14:anchorId="777C69E6" wp14:editId="7AF784A0">
                  <wp:simplePos x="0" y="0"/>
                  <wp:positionH relativeFrom="column">
                    <wp:posOffset>0</wp:posOffset>
                  </wp:positionH>
                  <wp:positionV relativeFrom="paragraph">
                    <wp:posOffset>0</wp:posOffset>
                  </wp:positionV>
                  <wp:extent cx="1857375" cy="228600"/>
                  <wp:effectExtent l="0" t="0" r="9525" b="0"/>
                  <wp:wrapNone/>
                  <wp:docPr id="8" name="Picture 8"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D424FD" w:rsidRPr="0019341B" w:rsidRDefault="00D424FD" w:rsidP="0037449F">
            <w:pPr>
              <w:pStyle w:val="TableTextColumnHeading"/>
            </w:pPr>
            <w:r>
              <w:t>Previous Rating</w:t>
            </w:r>
          </w:p>
        </w:tc>
        <w:tc>
          <w:tcPr>
            <w:tcW w:w="456" w:type="dxa"/>
          </w:tcPr>
          <w:p w:rsidR="00D424FD" w:rsidRDefault="00D424FD" w:rsidP="001A4D7B">
            <w:pPr>
              <w:pStyle w:val="TableTextColumnHeading"/>
            </w:pPr>
          </w:p>
        </w:tc>
        <w:tc>
          <w:tcPr>
            <w:tcW w:w="1287" w:type="dxa"/>
          </w:tcPr>
          <w:p w:rsidR="00D424FD" w:rsidRPr="0019341B" w:rsidRDefault="00D424FD" w:rsidP="001A4D7B">
            <w:pPr>
              <w:pStyle w:val="TableTextColumnHeading"/>
            </w:pPr>
            <w:r>
              <w:t>Current Rating</w:t>
            </w:r>
          </w:p>
        </w:tc>
      </w:tr>
      <w:tr w:rsidR="00D424FD" w:rsidRPr="009D53C4" w:rsidTr="00410A1E">
        <w:trPr>
          <w:cnfStyle w:val="000000010000" w:firstRow="0" w:lastRow="0" w:firstColumn="0" w:lastColumn="0" w:oddVBand="0" w:evenVBand="0" w:oddHBand="0" w:evenHBand="1" w:firstRowFirstColumn="0" w:firstRowLastColumn="0" w:lastRowFirstColumn="0" w:lastRowLastColumn="0"/>
        </w:trPr>
        <w:tc>
          <w:tcPr>
            <w:tcW w:w="6802" w:type="dxa"/>
          </w:tcPr>
          <w:p w:rsidR="00D424FD" w:rsidRPr="00B00C28" w:rsidRDefault="00D424FD" w:rsidP="0095295A">
            <w:pPr>
              <w:pStyle w:val="TableTextEntries"/>
              <w:rPr>
                <w:b/>
                <w:sz w:val="20"/>
                <w:szCs w:val="20"/>
              </w:rPr>
            </w:pPr>
            <w:r w:rsidRPr="00B00C28">
              <w:rPr>
                <w:b/>
                <w:sz w:val="20"/>
                <w:szCs w:val="20"/>
              </w:rPr>
              <w:t>Objective 3.1 Poverty reduction in Timor-Leste through improved economic development and delivery of services</w:t>
            </w:r>
          </w:p>
        </w:tc>
        <w:tc>
          <w:tcPr>
            <w:tcW w:w="1225" w:type="dxa"/>
            <w:shd w:val="clear" w:color="auto" w:fill="E36C0A"/>
            <w:noWrap/>
          </w:tcPr>
          <w:p w:rsidR="00D424FD" w:rsidRPr="00443639" w:rsidRDefault="00D424FD" w:rsidP="0095295A">
            <w:pPr>
              <w:pStyle w:val="TableTextEntries"/>
              <w:tabs>
                <w:tab w:val="center" w:pos="535"/>
              </w:tabs>
              <w:rPr>
                <w:color w:val="FFFFFF" w:themeColor="background1"/>
              </w:rPr>
            </w:pPr>
          </w:p>
        </w:tc>
        <w:tc>
          <w:tcPr>
            <w:tcW w:w="456" w:type="dxa"/>
          </w:tcPr>
          <w:p w:rsidR="00D424FD" w:rsidRPr="00443639" w:rsidRDefault="00D424FD" w:rsidP="0095295A">
            <w:pPr>
              <w:pStyle w:val="TableTextEntries"/>
              <w:jc w:val="center"/>
              <w:rPr>
                <w:color w:val="FFFFFF" w:themeColor="background1"/>
              </w:rPr>
            </w:pPr>
          </w:p>
        </w:tc>
        <w:tc>
          <w:tcPr>
            <w:tcW w:w="1287" w:type="dxa"/>
            <w:shd w:val="clear" w:color="auto" w:fill="E36C0A"/>
            <w:noWrap/>
          </w:tcPr>
          <w:p w:rsidR="00D424FD" w:rsidRPr="00443639" w:rsidRDefault="00D424FD" w:rsidP="00CE712C">
            <w:pPr>
              <w:pStyle w:val="TableTextEntries"/>
              <w:tabs>
                <w:tab w:val="center" w:pos="535"/>
              </w:tabs>
              <w:rPr>
                <w:color w:val="FFFFFF" w:themeColor="background1"/>
              </w:rPr>
            </w:pPr>
            <w:r>
              <w:rPr>
                <w:color w:val="FFFFFF" w:themeColor="background1"/>
              </w:rPr>
              <w:tab/>
            </w:r>
          </w:p>
        </w:tc>
      </w:tr>
    </w:tbl>
    <w:p w:rsidR="00D424FD" w:rsidRPr="003205E7" w:rsidRDefault="00D424FD" w:rsidP="00D424FD">
      <w:pPr>
        <w:spacing w:before="20" w:after="20" w:line="180" w:lineRule="atLeast"/>
        <w:jc w:val="both"/>
        <w:rPr>
          <w:rFonts w:eastAsia="Times New Roman"/>
          <w:b/>
          <w:sz w:val="16"/>
          <w:szCs w:val="14"/>
        </w:rPr>
      </w:pPr>
    </w:p>
    <w:p w:rsidR="00C6175F" w:rsidRDefault="00C6175F" w:rsidP="00C6175F">
      <w:pPr>
        <w:pStyle w:val="ListBullet"/>
        <w:tabs>
          <w:tab w:val="clear" w:pos="284"/>
        </w:tabs>
        <w:rPr>
          <w:rFonts w:asciiTheme="minorHAnsi" w:hAnsiTheme="minorHAnsi" w:cstheme="minorHAnsi"/>
          <w:i/>
          <w:sz w:val="22"/>
          <w:szCs w:val="22"/>
        </w:rPr>
      </w:pPr>
      <w:r w:rsidRPr="007161F4">
        <w:rPr>
          <w:rFonts w:asciiTheme="minorHAnsi" w:hAnsiTheme="minorHAnsi" w:cstheme="minorHAnsi"/>
          <w:i/>
          <w:sz w:val="22"/>
          <w:szCs w:val="22"/>
        </w:rPr>
        <w:t xml:space="preserve">While </w:t>
      </w:r>
      <w:r>
        <w:rPr>
          <w:rFonts w:asciiTheme="minorHAnsi" w:hAnsiTheme="minorHAnsi" w:cstheme="minorHAnsi"/>
          <w:i/>
          <w:sz w:val="22"/>
          <w:szCs w:val="22"/>
        </w:rPr>
        <w:t>Australia’s economic governance programs</w:t>
      </w:r>
      <w:r w:rsidRPr="007161F4">
        <w:rPr>
          <w:rFonts w:asciiTheme="minorHAnsi" w:hAnsiTheme="minorHAnsi" w:cstheme="minorHAnsi"/>
          <w:i/>
          <w:sz w:val="22"/>
          <w:szCs w:val="22"/>
        </w:rPr>
        <w:t xml:space="preserve"> performed well during the assessment period, concerns about the efficiency and effectiveness of direct budget support</w:t>
      </w:r>
      <w:r>
        <w:rPr>
          <w:rFonts w:asciiTheme="minorHAnsi" w:hAnsiTheme="minorHAnsi" w:cstheme="minorHAnsi"/>
          <w:i/>
          <w:sz w:val="22"/>
          <w:szCs w:val="22"/>
        </w:rPr>
        <w:t xml:space="preserve"> (DBS)</w:t>
      </w:r>
      <w:r w:rsidRPr="007161F4">
        <w:rPr>
          <w:rFonts w:asciiTheme="minorHAnsi" w:hAnsiTheme="minorHAnsi" w:cstheme="minorHAnsi"/>
          <w:i/>
          <w:sz w:val="22"/>
          <w:szCs w:val="22"/>
        </w:rPr>
        <w:t xml:space="preserve"> to the Ministry of Finance </w:t>
      </w:r>
      <w:r>
        <w:rPr>
          <w:rFonts w:asciiTheme="minorHAnsi" w:hAnsiTheme="minorHAnsi" w:cstheme="minorHAnsi"/>
          <w:i/>
          <w:sz w:val="22"/>
          <w:szCs w:val="22"/>
        </w:rPr>
        <w:t>brought</w:t>
      </w:r>
      <w:r w:rsidRPr="007161F4">
        <w:rPr>
          <w:rFonts w:asciiTheme="minorHAnsi" w:hAnsiTheme="minorHAnsi" w:cstheme="minorHAnsi"/>
          <w:i/>
          <w:sz w:val="22"/>
          <w:szCs w:val="22"/>
        </w:rPr>
        <w:t xml:space="preserve"> the overall rating down to amber. The DBS program was ended in June 2016.</w:t>
      </w:r>
    </w:p>
    <w:p w:rsidR="00C6175F" w:rsidRDefault="00C6175F" w:rsidP="00C6175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Australia’s </w:t>
      </w:r>
      <w:r w:rsidRPr="00BF41E9">
        <w:rPr>
          <w:rFonts w:asciiTheme="minorHAnsi" w:hAnsiTheme="minorHAnsi" w:cstheme="minorHAnsi"/>
          <w:b/>
          <w:sz w:val="22"/>
          <w:szCs w:val="22"/>
        </w:rPr>
        <w:t>Governance for Development</w:t>
      </w:r>
      <w:r>
        <w:rPr>
          <w:rFonts w:asciiTheme="minorHAnsi" w:hAnsiTheme="minorHAnsi" w:cstheme="minorHAnsi"/>
          <w:sz w:val="22"/>
          <w:szCs w:val="22"/>
        </w:rPr>
        <w:t xml:space="preserve"> (GfD)($58 million, 2013-18) program supports the </w:t>
      </w:r>
      <w:r w:rsidR="000502EE">
        <w:rPr>
          <w:rFonts w:asciiTheme="minorHAnsi" w:hAnsiTheme="minorHAnsi" w:cstheme="minorHAnsi"/>
          <w:sz w:val="22"/>
          <w:szCs w:val="22"/>
        </w:rPr>
        <w:t xml:space="preserve">Government of Timor-Leste </w:t>
      </w:r>
      <w:r>
        <w:rPr>
          <w:rFonts w:asciiTheme="minorHAnsi" w:hAnsiTheme="minorHAnsi" w:cstheme="minorHAnsi"/>
          <w:sz w:val="22"/>
          <w:szCs w:val="22"/>
        </w:rPr>
        <w:t xml:space="preserve">to reduce poverty in Timor-Leste through economic development and the delivery of </w:t>
      </w:r>
      <w:r w:rsidRPr="00D8539C">
        <w:rPr>
          <w:rFonts w:asciiTheme="minorHAnsi" w:hAnsiTheme="minorHAnsi" w:cstheme="minorHAnsi"/>
          <w:sz w:val="22"/>
          <w:szCs w:val="22"/>
        </w:rPr>
        <w:t xml:space="preserve">services. This includes </w:t>
      </w:r>
      <w:r>
        <w:rPr>
          <w:rFonts w:asciiTheme="minorHAnsi" w:hAnsiTheme="minorHAnsi" w:cstheme="minorHAnsi"/>
          <w:sz w:val="22"/>
          <w:szCs w:val="22"/>
        </w:rPr>
        <w:t>technical assistance</w:t>
      </w:r>
      <w:r w:rsidRPr="00D8539C">
        <w:rPr>
          <w:rFonts w:asciiTheme="minorHAnsi" w:hAnsiTheme="minorHAnsi" w:cstheme="minorHAnsi"/>
          <w:sz w:val="22"/>
          <w:szCs w:val="22"/>
        </w:rPr>
        <w:t xml:space="preserve"> to make budgets sustainable, i</w:t>
      </w:r>
      <w:r w:rsidR="00A356A6">
        <w:rPr>
          <w:rFonts w:asciiTheme="minorHAnsi" w:hAnsiTheme="minorHAnsi" w:cstheme="minorHAnsi"/>
          <w:sz w:val="22"/>
          <w:szCs w:val="22"/>
        </w:rPr>
        <w:t>ncrease</w:t>
      </w:r>
      <w:r w:rsidRPr="00D8539C">
        <w:rPr>
          <w:rFonts w:asciiTheme="minorHAnsi" w:hAnsiTheme="minorHAnsi" w:cstheme="minorHAnsi"/>
          <w:sz w:val="22"/>
          <w:szCs w:val="22"/>
        </w:rPr>
        <w:t xml:space="preserve"> </w:t>
      </w:r>
      <w:r>
        <w:rPr>
          <w:rFonts w:asciiTheme="minorHAnsi" w:hAnsiTheme="minorHAnsi" w:cstheme="minorHAnsi"/>
          <w:sz w:val="22"/>
          <w:szCs w:val="22"/>
        </w:rPr>
        <w:t xml:space="preserve">non-oil </w:t>
      </w:r>
      <w:r w:rsidRPr="00D8539C">
        <w:rPr>
          <w:rFonts w:asciiTheme="minorHAnsi" w:hAnsiTheme="minorHAnsi" w:cstheme="minorHAnsi"/>
          <w:sz w:val="22"/>
          <w:szCs w:val="22"/>
        </w:rPr>
        <w:t xml:space="preserve">economic growth and </w:t>
      </w:r>
      <w:r>
        <w:rPr>
          <w:rFonts w:asciiTheme="minorHAnsi" w:hAnsiTheme="minorHAnsi" w:cstheme="minorHAnsi"/>
          <w:sz w:val="22"/>
          <w:szCs w:val="22"/>
        </w:rPr>
        <w:t xml:space="preserve">improve service delivery through better central agency budget and human resource systems.  </w:t>
      </w:r>
    </w:p>
    <w:p w:rsidR="00031423" w:rsidRDefault="00C6175F" w:rsidP="00C6175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GfD’s core work is supporting central and key economic agencies, including the Prime Minister’s Office (OPM) and the ministries responsible for finance, economic coordination, the civil service, telecommunications and statistics. GfD also works to resolve public financial management (PFM) issues in the health, public works and social solidarity ministries. GfD does this by providing technical advisers to work in Ministries or DFAT staff working directly with government. </w:t>
      </w:r>
    </w:p>
    <w:p w:rsidR="00C6175F" w:rsidRDefault="00C6175F" w:rsidP="00C6175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GfD </w:t>
      </w:r>
      <w:r w:rsidR="00B34B29">
        <w:rPr>
          <w:rFonts w:asciiTheme="minorHAnsi" w:hAnsiTheme="minorHAnsi" w:cstheme="minorHAnsi"/>
          <w:sz w:val="22"/>
          <w:szCs w:val="22"/>
        </w:rPr>
        <w:t>supports the priorities of the government, and responded</w:t>
      </w:r>
      <w:r>
        <w:rPr>
          <w:rFonts w:asciiTheme="minorHAnsi" w:hAnsiTheme="minorHAnsi" w:cstheme="minorHAnsi"/>
          <w:sz w:val="22"/>
          <w:szCs w:val="22"/>
        </w:rPr>
        <w:t xml:space="preserve"> quickly to an April 2016 request from OPM for technical assistance to l</w:t>
      </w:r>
      <w:r w:rsidR="002F39D7">
        <w:rPr>
          <w:rFonts w:asciiTheme="minorHAnsi" w:hAnsiTheme="minorHAnsi" w:cstheme="minorHAnsi"/>
          <w:sz w:val="22"/>
          <w:szCs w:val="22"/>
        </w:rPr>
        <w:t>ink budget to service delivery</w:t>
      </w:r>
      <w:r>
        <w:rPr>
          <w:rFonts w:asciiTheme="minorHAnsi" w:hAnsiTheme="minorHAnsi" w:cstheme="minorHAnsi"/>
          <w:sz w:val="22"/>
          <w:szCs w:val="22"/>
        </w:rPr>
        <w:t>. The OPM has expressed appreciation for the</w:t>
      </w:r>
      <w:r w:rsidR="006A1F06">
        <w:rPr>
          <w:rFonts w:asciiTheme="minorHAnsi" w:hAnsiTheme="minorHAnsi" w:cstheme="minorHAnsi"/>
          <w:sz w:val="22"/>
          <w:szCs w:val="22"/>
        </w:rPr>
        <w:t xml:space="preserve"> prompt and flexible response.</w:t>
      </w:r>
      <w:r w:rsidR="003655CB">
        <w:rPr>
          <w:rFonts w:asciiTheme="minorHAnsi" w:hAnsiTheme="minorHAnsi" w:cstheme="minorHAnsi"/>
          <w:sz w:val="22"/>
          <w:szCs w:val="22"/>
        </w:rPr>
        <w:t xml:space="preserve"> This support</w:t>
      </w:r>
      <w:r>
        <w:rPr>
          <w:rFonts w:asciiTheme="minorHAnsi" w:hAnsiTheme="minorHAnsi" w:cstheme="minorHAnsi"/>
          <w:sz w:val="22"/>
          <w:szCs w:val="22"/>
        </w:rPr>
        <w:t xml:space="preserve"> for public financial management reform will enable ministries to link budget choices to service delivery outcomes for the first time in Timor-Leste in the 2017 budget. It will also provide better quality information for ministries, members of government and parliament, donors, media and civil society to have a more informed, results-oriented debate about the best use of resources and to better understand the impact of budget </w:t>
      </w:r>
      <w:r w:rsidR="00C97D01">
        <w:rPr>
          <w:rFonts w:asciiTheme="minorHAnsi" w:hAnsiTheme="minorHAnsi" w:cstheme="minorHAnsi"/>
          <w:sz w:val="22"/>
          <w:szCs w:val="22"/>
        </w:rPr>
        <w:t xml:space="preserve">decisions on service delivery. </w:t>
      </w:r>
      <w:r>
        <w:rPr>
          <w:rFonts w:asciiTheme="minorHAnsi" w:hAnsiTheme="minorHAnsi" w:cstheme="minorHAnsi"/>
          <w:sz w:val="22"/>
          <w:szCs w:val="22"/>
        </w:rPr>
        <w:t>The strong demand for this support (23 ministries participated up from 10 originally planned) illustrates the value placed on this program. This work is also a first step towards multi-year budget planning.</w:t>
      </w:r>
    </w:p>
    <w:p w:rsidR="00C6175F" w:rsidRDefault="00C6175F" w:rsidP="00C6175F">
      <w:pPr>
        <w:pStyle w:val="ListBullet"/>
        <w:tabs>
          <w:tab w:val="clear" w:pos="284"/>
        </w:tabs>
        <w:rPr>
          <w:rFonts w:asciiTheme="minorHAnsi" w:hAnsiTheme="minorHAnsi" w:cstheme="minorHAnsi"/>
          <w:sz w:val="22"/>
          <w:szCs w:val="22"/>
        </w:rPr>
      </w:pPr>
      <w:r w:rsidRPr="00D8539C">
        <w:rPr>
          <w:rFonts w:asciiTheme="minorHAnsi" w:hAnsiTheme="minorHAnsi" w:cstheme="minorHAnsi"/>
          <w:sz w:val="22"/>
          <w:szCs w:val="22"/>
        </w:rPr>
        <w:t xml:space="preserve">Australia helped </w:t>
      </w:r>
      <w:r>
        <w:rPr>
          <w:rFonts w:asciiTheme="minorHAnsi" w:hAnsiTheme="minorHAnsi" w:cstheme="minorHAnsi"/>
          <w:sz w:val="22"/>
          <w:szCs w:val="22"/>
        </w:rPr>
        <w:t>the Office of the Minister of State, Coordinating Minister for Economic Affairs (</w:t>
      </w:r>
      <w:r w:rsidRPr="00D8539C">
        <w:rPr>
          <w:rFonts w:asciiTheme="minorHAnsi" w:hAnsiTheme="minorHAnsi" w:cstheme="minorHAnsi"/>
          <w:sz w:val="22"/>
          <w:szCs w:val="22"/>
        </w:rPr>
        <w:t>MECAE</w:t>
      </w:r>
      <w:r>
        <w:rPr>
          <w:rFonts w:asciiTheme="minorHAnsi" w:hAnsiTheme="minorHAnsi" w:cstheme="minorHAnsi"/>
          <w:sz w:val="22"/>
          <w:szCs w:val="22"/>
        </w:rPr>
        <w:t>)</w:t>
      </w:r>
      <w:r w:rsidRPr="00D8539C">
        <w:rPr>
          <w:rFonts w:asciiTheme="minorHAnsi" w:hAnsiTheme="minorHAnsi" w:cstheme="minorHAnsi"/>
          <w:sz w:val="22"/>
          <w:szCs w:val="22"/>
        </w:rPr>
        <w:t xml:space="preserve"> </w:t>
      </w:r>
      <w:r>
        <w:rPr>
          <w:rFonts w:asciiTheme="minorHAnsi" w:hAnsiTheme="minorHAnsi" w:cstheme="minorHAnsi"/>
          <w:sz w:val="22"/>
          <w:szCs w:val="22"/>
        </w:rPr>
        <w:t xml:space="preserve">to strengthen economic policy making and coordination across government through the provision of technical advice that enabled MECAE to </w:t>
      </w:r>
      <w:r w:rsidRPr="00D8539C">
        <w:rPr>
          <w:rFonts w:asciiTheme="minorHAnsi" w:hAnsiTheme="minorHAnsi" w:cstheme="minorHAnsi"/>
          <w:sz w:val="22"/>
          <w:szCs w:val="22"/>
        </w:rPr>
        <w:t xml:space="preserve">build internal systems to develop, consult and implement economic policy and law. </w:t>
      </w:r>
      <w:r>
        <w:rPr>
          <w:rFonts w:asciiTheme="minorHAnsi" w:hAnsiTheme="minorHAnsi" w:cstheme="minorHAnsi"/>
          <w:sz w:val="22"/>
          <w:szCs w:val="22"/>
        </w:rPr>
        <w:t>For example, Australian technical a</w:t>
      </w:r>
      <w:r w:rsidRPr="00D8539C">
        <w:rPr>
          <w:rFonts w:asciiTheme="minorHAnsi" w:hAnsiTheme="minorHAnsi" w:cstheme="minorHAnsi"/>
          <w:sz w:val="22"/>
          <w:szCs w:val="22"/>
        </w:rPr>
        <w:t xml:space="preserve">ssistance </w:t>
      </w:r>
      <w:r>
        <w:rPr>
          <w:rFonts w:asciiTheme="minorHAnsi" w:hAnsiTheme="minorHAnsi" w:cstheme="minorHAnsi"/>
          <w:sz w:val="22"/>
          <w:szCs w:val="22"/>
        </w:rPr>
        <w:t>has supported the development of a private investment law that will improve the investment landscape in Timor-Leste, encouraging local and foreign investment and economic diversification.</w:t>
      </w:r>
    </w:p>
    <w:p w:rsidR="00C6175F" w:rsidRDefault="00C6175F" w:rsidP="00C6175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In partnership with the Civil Service Commission (CSC), we are working to improve human resource systems within government and to build skills and leadership across the public service. With support from an Australian-funded technical adviser</w:t>
      </w:r>
      <w:r w:rsidR="001B7605">
        <w:rPr>
          <w:rFonts w:asciiTheme="minorHAnsi" w:hAnsiTheme="minorHAnsi" w:cstheme="minorHAnsi"/>
          <w:sz w:val="22"/>
          <w:szCs w:val="22"/>
        </w:rPr>
        <w:t>,</w:t>
      </w:r>
      <w:r>
        <w:rPr>
          <w:rFonts w:asciiTheme="minorHAnsi" w:hAnsiTheme="minorHAnsi" w:cstheme="minorHAnsi"/>
          <w:sz w:val="22"/>
          <w:szCs w:val="22"/>
        </w:rPr>
        <w:t xml:space="preserve"> the CSC’s strategic plan for the public service now includes a goal to create a diverse civil service with implementation strategies to increase the number of women in leadership roles and the representation of people with a disability across the public service. GfD also built future leadership across the public sector by supporting national early-career professionals to increase skills and experience through on-the-job training.</w:t>
      </w:r>
    </w:p>
    <w:p w:rsidR="00C6175F" w:rsidRDefault="00C6175F" w:rsidP="00C6175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Australia’s </w:t>
      </w:r>
      <w:r w:rsidRPr="00BF41E9">
        <w:rPr>
          <w:rFonts w:asciiTheme="minorHAnsi" w:hAnsiTheme="minorHAnsi" w:cstheme="minorHAnsi"/>
          <w:b/>
          <w:sz w:val="22"/>
          <w:szCs w:val="22"/>
        </w:rPr>
        <w:t>direct budget support</w:t>
      </w:r>
      <w:r>
        <w:rPr>
          <w:rFonts w:asciiTheme="minorHAnsi" w:hAnsiTheme="minorHAnsi" w:cstheme="minorHAnsi"/>
          <w:b/>
          <w:sz w:val="22"/>
          <w:szCs w:val="22"/>
        </w:rPr>
        <w:t xml:space="preserve"> </w:t>
      </w:r>
      <w:r w:rsidRPr="0038306A">
        <w:rPr>
          <w:rFonts w:asciiTheme="minorHAnsi" w:hAnsiTheme="minorHAnsi" w:cstheme="minorHAnsi"/>
          <w:sz w:val="22"/>
          <w:szCs w:val="22"/>
        </w:rPr>
        <w:t>($12 million, 2014-18)</w:t>
      </w:r>
      <w:r>
        <w:rPr>
          <w:rFonts w:asciiTheme="minorHAnsi" w:hAnsiTheme="minorHAnsi" w:cstheme="minorHAnsi"/>
          <w:sz w:val="22"/>
          <w:szCs w:val="22"/>
        </w:rPr>
        <w:t xml:space="preserve"> to the Ministry of Finance did not perform well during the assessment period and, as a result, has been discontinued. This support was intended to help support the Ministry to improve the way it undertakes public financial management reform. While promising progress was made in the second half of 2014, during 2015 a rigorous monitoring and evaluation and risk management process identified a range of concerns which were raised with the Ministry, and subsequently the support was ended. Future support for public financial management reform will be implemented in the broader GfD program.</w:t>
      </w:r>
    </w:p>
    <w:p w:rsidR="00C6175F" w:rsidRDefault="00C6175F" w:rsidP="00C6175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A</w:t>
      </w:r>
      <w:r w:rsidRPr="001B7052">
        <w:rPr>
          <w:rFonts w:asciiTheme="minorHAnsi" w:hAnsiTheme="minorHAnsi" w:cstheme="minorHAnsi"/>
          <w:sz w:val="22"/>
          <w:szCs w:val="22"/>
        </w:rPr>
        <w:t xml:space="preserve"> partnership with the Australian Bureau of Statistics helped support the national statistics office</w:t>
      </w:r>
      <w:r w:rsidR="00F67CDB">
        <w:rPr>
          <w:rFonts w:asciiTheme="minorHAnsi" w:hAnsiTheme="minorHAnsi" w:cstheme="minorHAnsi"/>
          <w:sz w:val="22"/>
          <w:szCs w:val="22"/>
        </w:rPr>
        <w:t xml:space="preserve"> run the 2015 census by itself </w:t>
      </w:r>
      <w:r w:rsidRPr="001B7052">
        <w:rPr>
          <w:rFonts w:asciiTheme="minorHAnsi" w:hAnsiTheme="minorHAnsi" w:cstheme="minorHAnsi"/>
          <w:sz w:val="22"/>
          <w:szCs w:val="22"/>
        </w:rPr>
        <w:t xml:space="preserve">for the first time. This included helping target the census </w:t>
      </w:r>
      <w:r w:rsidR="0015073E">
        <w:rPr>
          <w:rFonts w:asciiTheme="minorHAnsi" w:hAnsiTheme="minorHAnsi" w:cstheme="minorHAnsi"/>
          <w:sz w:val="22"/>
          <w:szCs w:val="22"/>
        </w:rPr>
        <w:t>to</w:t>
      </w:r>
      <w:r w:rsidRPr="001B7052">
        <w:rPr>
          <w:rFonts w:asciiTheme="minorHAnsi" w:hAnsiTheme="minorHAnsi" w:cstheme="minorHAnsi"/>
          <w:sz w:val="22"/>
          <w:szCs w:val="22"/>
        </w:rPr>
        <w:t xml:space="preserve"> women-only households and to collect gender-relevant data about the head of household. Preliminary results </w:t>
      </w:r>
      <w:r>
        <w:rPr>
          <w:rFonts w:asciiTheme="minorHAnsi" w:hAnsiTheme="minorHAnsi" w:cstheme="minorHAnsi"/>
          <w:sz w:val="22"/>
          <w:szCs w:val="22"/>
        </w:rPr>
        <w:t>r</w:t>
      </w:r>
      <w:r w:rsidRPr="001B7052">
        <w:rPr>
          <w:rFonts w:asciiTheme="minorHAnsi" w:hAnsiTheme="minorHAnsi" w:cstheme="minorHAnsi"/>
          <w:sz w:val="22"/>
          <w:szCs w:val="22"/>
        </w:rPr>
        <w:t>eleased in October 2015</w:t>
      </w:r>
      <w:r>
        <w:rPr>
          <w:rFonts w:asciiTheme="minorHAnsi" w:hAnsiTheme="minorHAnsi" w:cstheme="minorHAnsi"/>
          <w:sz w:val="22"/>
          <w:szCs w:val="22"/>
        </w:rPr>
        <w:t xml:space="preserve"> have improved the evidence base for economic policy making with the Government of Timor-Leste</w:t>
      </w:r>
      <w:r w:rsidRPr="001B7052">
        <w:rPr>
          <w:rFonts w:asciiTheme="minorHAnsi" w:hAnsiTheme="minorHAnsi" w:cstheme="minorHAnsi"/>
          <w:sz w:val="22"/>
          <w:szCs w:val="22"/>
        </w:rPr>
        <w:t xml:space="preserve">.  </w:t>
      </w:r>
      <w:r w:rsidR="00BD4909">
        <w:rPr>
          <w:rFonts w:asciiTheme="minorHAnsi" w:hAnsiTheme="minorHAnsi" w:cstheme="minorHAnsi"/>
          <w:sz w:val="22"/>
          <w:szCs w:val="22"/>
        </w:rPr>
        <w:t>Our partnership with</w:t>
      </w:r>
      <w:r w:rsidR="00860E8F" w:rsidRPr="00BD4909">
        <w:rPr>
          <w:rFonts w:asciiTheme="minorHAnsi" w:hAnsiTheme="minorHAnsi" w:cstheme="minorHAnsi"/>
          <w:sz w:val="22"/>
          <w:szCs w:val="22"/>
        </w:rPr>
        <w:t xml:space="preserve"> The Asia Foundation</w:t>
      </w:r>
      <w:r w:rsidR="0015073E">
        <w:rPr>
          <w:rFonts w:asciiTheme="minorHAnsi" w:hAnsiTheme="minorHAnsi" w:cstheme="minorHAnsi"/>
          <w:sz w:val="22"/>
          <w:szCs w:val="22"/>
        </w:rPr>
        <w:t xml:space="preserve"> helped</w:t>
      </w:r>
      <w:r w:rsidR="00860E8F" w:rsidRPr="00BD4909">
        <w:rPr>
          <w:rFonts w:asciiTheme="minorHAnsi" w:hAnsiTheme="minorHAnsi" w:cstheme="minorHAnsi"/>
          <w:sz w:val="22"/>
          <w:szCs w:val="22"/>
        </w:rPr>
        <w:t xml:space="preserve"> to implement a request from the Prime Minister for citizen feedback on the quality of government agriculture, infrastructure, education, and health services to improve service delivery. </w:t>
      </w:r>
      <w:r w:rsidR="00BD4909">
        <w:rPr>
          <w:rFonts w:asciiTheme="minorHAnsi" w:hAnsiTheme="minorHAnsi" w:cstheme="minorHAnsi"/>
          <w:sz w:val="22"/>
          <w:szCs w:val="22"/>
        </w:rPr>
        <w:t xml:space="preserve">We also supported </w:t>
      </w:r>
      <w:r w:rsidR="00090713">
        <w:rPr>
          <w:rFonts w:asciiTheme="minorHAnsi" w:hAnsiTheme="minorHAnsi" w:cstheme="minorHAnsi"/>
          <w:sz w:val="22"/>
          <w:szCs w:val="22"/>
        </w:rPr>
        <w:t>T</w:t>
      </w:r>
      <w:r w:rsidR="00BD4909">
        <w:rPr>
          <w:rFonts w:asciiTheme="minorHAnsi" w:hAnsiTheme="minorHAnsi" w:cstheme="minorHAnsi"/>
          <w:sz w:val="22"/>
          <w:szCs w:val="22"/>
        </w:rPr>
        <w:t>he</w:t>
      </w:r>
      <w:r w:rsidR="00860E8F" w:rsidRPr="00BD4909">
        <w:rPr>
          <w:rFonts w:asciiTheme="minorHAnsi" w:hAnsiTheme="minorHAnsi" w:cstheme="minorHAnsi"/>
          <w:sz w:val="22"/>
          <w:szCs w:val="22"/>
        </w:rPr>
        <w:t xml:space="preserve"> Asia Foundation </w:t>
      </w:r>
      <w:r w:rsidR="00BD4909">
        <w:rPr>
          <w:rFonts w:asciiTheme="minorHAnsi" w:hAnsiTheme="minorHAnsi" w:cstheme="minorHAnsi"/>
          <w:sz w:val="22"/>
          <w:szCs w:val="22"/>
        </w:rPr>
        <w:t>to assist the</w:t>
      </w:r>
      <w:r w:rsidR="00860E8F" w:rsidRPr="00BD4909">
        <w:rPr>
          <w:rFonts w:asciiTheme="minorHAnsi" w:hAnsiTheme="minorHAnsi" w:cstheme="minorHAnsi"/>
          <w:sz w:val="22"/>
          <w:szCs w:val="22"/>
        </w:rPr>
        <w:t xml:space="preserve"> Ministry of Tourism to develop a national tourism and branding campaign to grow this important non-oil sector of the economy.</w:t>
      </w:r>
    </w:p>
    <w:p w:rsidR="002E3D60" w:rsidRDefault="00C6175F" w:rsidP="00C6175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Support to the International Finance Corporation to improve </w:t>
      </w:r>
      <w:r w:rsidRPr="00C11319">
        <w:rPr>
          <w:rFonts w:asciiTheme="minorHAnsi" w:hAnsiTheme="minorHAnsi" w:cstheme="minorHAnsi"/>
          <w:sz w:val="22"/>
          <w:szCs w:val="22"/>
        </w:rPr>
        <w:t xml:space="preserve">business licensing processes has reduced the time it takes to set up a business from 90 to 9 days, and further progress is being made. This will support efforts to develop the private sector and boost economic growth. </w:t>
      </w:r>
      <w:r w:rsidR="002E3D60" w:rsidRPr="00C11319">
        <w:rPr>
          <w:rFonts w:asciiTheme="minorHAnsi" w:hAnsiTheme="minorHAnsi" w:cstheme="minorHAnsi"/>
          <w:sz w:val="22"/>
          <w:szCs w:val="22"/>
        </w:rPr>
        <w:t xml:space="preserve">We also supported research in areas of economic development through Monash University. In 2016 this included studies on measuring poverty and economic development in Timor-Leste. </w:t>
      </w:r>
      <w:r w:rsidR="00C06486" w:rsidRPr="00C11319">
        <w:rPr>
          <w:rFonts w:asciiTheme="minorHAnsi" w:hAnsiTheme="minorHAnsi" w:cstheme="minorHAnsi"/>
          <w:sz w:val="22"/>
          <w:szCs w:val="22"/>
        </w:rPr>
        <w:t xml:space="preserve"> </w:t>
      </w:r>
      <w:r w:rsidR="002E3D60" w:rsidRPr="00C11319">
        <w:rPr>
          <w:rFonts w:asciiTheme="minorHAnsi" w:hAnsiTheme="minorHAnsi" w:cstheme="minorHAnsi"/>
          <w:sz w:val="22"/>
          <w:szCs w:val="22"/>
        </w:rPr>
        <w:t>Our economic governance work is also supported by our work on private sector development and diversification through the Market Development Facility (see p</w:t>
      </w:r>
      <w:r w:rsidR="00EE1C88" w:rsidRPr="00C11319">
        <w:rPr>
          <w:rFonts w:asciiTheme="minorHAnsi" w:hAnsiTheme="minorHAnsi" w:cstheme="minorHAnsi"/>
          <w:sz w:val="22"/>
          <w:szCs w:val="22"/>
        </w:rPr>
        <w:t>.8</w:t>
      </w:r>
      <w:r w:rsidR="002E3D60" w:rsidRPr="00C11319">
        <w:rPr>
          <w:rFonts w:asciiTheme="minorHAnsi" w:hAnsiTheme="minorHAnsi" w:cstheme="minorHAnsi"/>
          <w:sz w:val="22"/>
          <w:szCs w:val="22"/>
        </w:rPr>
        <w:t>).</w:t>
      </w:r>
    </w:p>
    <w:p w:rsidR="00C6175F" w:rsidRPr="006E7ECD" w:rsidRDefault="00C6175F" w:rsidP="00C6175F">
      <w:pPr>
        <w:pStyle w:val="ListBullet"/>
        <w:tabs>
          <w:tab w:val="clear" w:pos="284"/>
        </w:tabs>
        <w:rPr>
          <w:rFonts w:asciiTheme="minorHAnsi" w:hAnsiTheme="minorHAnsi" w:cstheme="minorHAnsi"/>
          <w:b/>
          <w:sz w:val="22"/>
          <w:szCs w:val="22"/>
        </w:rPr>
      </w:pPr>
      <w:r w:rsidRPr="006E7ECD">
        <w:rPr>
          <w:rFonts w:asciiTheme="minorHAnsi" w:hAnsiTheme="minorHAnsi" w:cstheme="minorHAnsi"/>
          <w:b/>
          <w:sz w:val="22"/>
          <w:szCs w:val="22"/>
        </w:rPr>
        <w:t>Management response</w:t>
      </w:r>
      <w:r>
        <w:rPr>
          <w:rFonts w:asciiTheme="minorHAnsi" w:hAnsiTheme="minorHAnsi" w:cstheme="minorHAnsi"/>
          <w:b/>
          <w:sz w:val="22"/>
          <w:szCs w:val="22"/>
        </w:rPr>
        <w:t xml:space="preserve">: </w:t>
      </w:r>
      <w:r w:rsidRPr="000D5636">
        <w:rPr>
          <w:rFonts w:asciiTheme="minorHAnsi" w:hAnsiTheme="minorHAnsi" w:cstheme="minorHAnsi"/>
          <w:sz w:val="22"/>
          <w:szCs w:val="22"/>
        </w:rPr>
        <w:t>Elections in</w:t>
      </w:r>
      <w:r>
        <w:rPr>
          <w:rFonts w:asciiTheme="minorHAnsi" w:hAnsiTheme="minorHAnsi" w:cstheme="minorHAnsi"/>
          <w:sz w:val="22"/>
          <w:szCs w:val="22"/>
        </w:rPr>
        <w:t xml:space="preserve"> Timor-Leste in mid-2017 will provide challenges and opportunities for Australia’s economic governance programs. There will be more oppor</w:t>
      </w:r>
      <w:r w:rsidR="007A700C">
        <w:rPr>
          <w:rFonts w:asciiTheme="minorHAnsi" w:hAnsiTheme="minorHAnsi" w:cstheme="minorHAnsi"/>
          <w:sz w:val="22"/>
          <w:szCs w:val="22"/>
        </w:rPr>
        <w:t>tunities to support good reform work in support of economic diversification and private sector growth</w:t>
      </w:r>
      <w:r>
        <w:rPr>
          <w:rFonts w:asciiTheme="minorHAnsi" w:hAnsiTheme="minorHAnsi" w:cstheme="minorHAnsi"/>
          <w:sz w:val="22"/>
          <w:szCs w:val="22"/>
        </w:rPr>
        <w:t xml:space="preserve"> as the current government completes its term, and then challenges as government business slows ahead of the election. DFAT’s economic governance team will make the most of chances to support good work, while also ensuring that reforms are given enough time and resources to survive beyond the pre-election period.</w:t>
      </w:r>
    </w:p>
    <w:tbl>
      <w:tblPr>
        <w:tblStyle w:val="APPR"/>
        <w:tblW w:w="5000" w:type="pct"/>
        <w:tblLook w:val="0000" w:firstRow="0" w:lastRow="0" w:firstColumn="0" w:lastColumn="0" w:noHBand="0" w:noVBand="0"/>
        <w:tblCaption w:val="Objective 3.2 Rating"/>
        <w:tblDescription w:val="Previous rating amber, current rating green"/>
      </w:tblPr>
      <w:tblGrid>
        <w:gridCol w:w="6844"/>
        <w:gridCol w:w="1253"/>
        <w:gridCol w:w="484"/>
        <w:gridCol w:w="1329"/>
      </w:tblGrid>
      <w:tr w:rsidR="00930E8A" w:rsidRPr="0019341B" w:rsidTr="0095295A">
        <w:trPr>
          <w:cnfStyle w:val="000000010000" w:firstRow="0" w:lastRow="0" w:firstColumn="0" w:lastColumn="0" w:oddVBand="0" w:evenVBand="0" w:oddHBand="0" w:evenHBand="1" w:firstRowFirstColumn="0" w:firstRowLastColumn="0" w:lastRowFirstColumn="0" w:lastRowLastColumn="0"/>
          <w:trHeight w:val="651"/>
        </w:trPr>
        <w:tc>
          <w:tcPr>
            <w:tcW w:w="6802" w:type="dxa"/>
          </w:tcPr>
          <w:p w:rsidR="00930E8A" w:rsidRPr="0019341B" w:rsidRDefault="00930E8A" w:rsidP="0037449F">
            <w:pPr>
              <w:pStyle w:val="TableTextColumnHeading"/>
            </w:pPr>
            <w:r w:rsidRPr="0019341B">
              <w:rPr>
                <w:noProof/>
              </w:rPr>
              <w:drawing>
                <wp:anchor distT="0" distB="0" distL="114300" distR="114300" simplePos="0" relativeHeight="251698176" behindDoc="0" locked="0" layoutInCell="1" allowOverlap="1" wp14:anchorId="04A7F9DF" wp14:editId="3B298A59">
                  <wp:simplePos x="0" y="0"/>
                  <wp:positionH relativeFrom="column">
                    <wp:posOffset>0</wp:posOffset>
                  </wp:positionH>
                  <wp:positionV relativeFrom="paragraph">
                    <wp:posOffset>0</wp:posOffset>
                  </wp:positionV>
                  <wp:extent cx="1857375" cy="228600"/>
                  <wp:effectExtent l="0" t="0" r="9525" b="0"/>
                  <wp:wrapNone/>
                  <wp:docPr id="13" name="Picture 13"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1225" w:type="dxa"/>
          </w:tcPr>
          <w:p w:rsidR="00930E8A" w:rsidRPr="0019341B" w:rsidRDefault="00930E8A" w:rsidP="0037449F">
            <w:pPr>
              <w:pStyle w:val="TableTextColumnHeading"/>
            </w:pPr>
            <w:r>
              <w:t>Previous Rating</w:t>
            </w:r>
          </w:p>
        </w:tc>
        <w:tc>
          <w:tcPr>
            <w:tcW w:w="456" w:type="dxa"/>
          </w:tcPr>
          <w:p w:rsidR="00930E8A" w:rsidRDefault="00930E8A" w:rsidP="001A4D7B">
            <w:pPr>
              <w:pStyle w:val="TableTextColumnHeading"/>
            </w:pPr>
          </w:p>
        </w:tc>
        <w:tc>
          <w:tcPr>
            <w:tcW w:w="1287" w:type="dxa"/>
          </w:tcPr>
          <w:p w:rsidR="00930E8A" w:rsidRPr="0019341B" w:rsidRDefault="00930E8A" w:rsidP="001A4D7B">
            <w:pPr>
              <w:pStyle w:val="TableTextColumnHeading"/>
            </w:pPr>
            <w:r>
              <w:t>Current Rating</w:t>
            </w:r>
          </w:p>
        </w:tc>
      </w:tr>
      <w:tr w:rsidR="00930E8A" w:rsidRPr="009D53C4" w:rsidTr="000B1300">
        <w:trPr>
          <w:cnfStyle w:val="000000010000" w:firstRow="0" w:lastRow="0" w:firstColumn="0" w:lastColumn="0" w:oddVBand="0" w:evenVBand="0" w:oddHBand="0" w:evenHBand="1" w:firstRowFirstColumn="0" w:firstRowLastColumn="0" w:lastRowFirstColumn="0" w:lastRowLastColumn="0"/>
        </w:trPr>
        <w:tc>
          <w:tcPr>
            <w:tcW w:w="6802" w:type="dxa"/>
          </w:tcPr>
          <w:p w:rsidR="00930E8A" w:rsidRPr="00894F15" w:rsidRDefault="00930E8A" w:rsidP="00930E8A">
            <w:pPr>
              <w:pStyle w:val="TableTextEntries"/>
              <w:rPr>
                <w:b/>
                <w:sz w:val="20"/>
                <w:szCs w:val="20"/>
              </w:rPr>
            </w:pPr>
            <w:r w:rsidRPr="00894F15">
              <w:rPr>
                <w:b/>
                <w:sz w:val="20"/>
                <w:szCs w:val="20"/>
              </w:rPr>
              <w:t>Objective 3.2 Police service effective and accountable in supporting rule of law</w:t>
            </w:r>
          </w:p>
        </w:tc>
        <w:tc>
          <w:tcPr>
            <w:tcW w:w="1225" w:type="dxa"/>
            <w:shd w:val="clear" w:color="auto" w:fill="E36C0A"/>
            <w:noWrap/>
          </w:tcPr>
          <w:p w:rsidR="00930E8A" w:rsidRPr="00443639" w:rsidRDefault="00930E8A" w:rsidP="0095295A">
            <w:pPr>
              <w:pStyle w:val="TableTextEntries"/>
              <w:tabs>
                <w:tab w:val="center" w:pos="535"/>
              </w:tabs>
              <w:rPr>
                <w:color w:val="FFFFFF" w:themeColor="background1"/>
              </w:rPr>
            </w:pPr>
          </w:p>
        </w:tc>
        <w:tc>
          <w:tcPr>
            <w:tcW w:w="456" w:type="dxa"/>
          </w:tcPr>
          <w:p w:rsidR="00930E8A" w:rsidRPr="00443639" w:rsidRDefault="00930E8A" w:rsidP="0095295A">
            <w:pPr>
              <w:pStyle w:val="TableTextEntries"/>
              <w:jc w:val="center"/>
              <w:rPr>
                <w:color w:val="FFFFFF" w:themeColor="background1"/>
              </w:rPr>
            </w:pPr>
          </w:p>
        </w:tc>
        <w:tc>
          <w:tcPr>
            <w:tcW w:w="1287" w:type="dxa"/>
            <w:shd w:val="clear" w:color="auto" w:fill="669900"/>
            <w:noWrap/>
          </w:tcPr>
          <w:p w:rsidR="00930E8A" w:rsidRPr="00443639" w:rsidRDefault="00930E8A" w:rsidP="0095295A">
            <w:pPr>
              <w:pStyle w:val="TableTextEntries"/>
              <w:tabs>
                <w:tab w:val="center" w:pos="535"/>
              </w:tabs>
              <w:rPr>
                <w:color w:val="FFFFFF" w:themeColor="background1"/>
              </w:rPr>
            </w:pPr>
            <w:r>
              <w:rPr>
                <w:color w:val="FFFFFF" w:themeColor="background1"/>
              </w:rPr>
              <w:tab/>
            </w:r>
          </w:p>
        </w:tc>
      </w:tr>
    </w:tbl>
    <w:p w:rsidR="00930E8A" w:rsidRPr="003205E7" w:rsidRDefault="00930E8A" w:rsidP="00930E8A">
      <w:pPr>
        <w:spacing w:before="20" w:after="20" w:line="180" w:lineRule="atLeast"/>
        <w:jc w:val="both"/>
        <w:rPr>
          <w:rFonts w:eastAsia="Times New Roman"/>
          <w:b/>
          <w:sz w:val="16"/>
          <w:szCs w:val="14"/>
        </w:rPr>
      </w:pPr>
    </w:p>
    <w:p w:rsidR="00647512" w:rsidRPr="00647512" w:rsidRDefault="00647512" w:rsidP="00647512">
      <w:pPr>
        <w:pStyle w:val="ListBullet"/>
        <w:tabs>
          <w:tab w:val="clear" w:pos="284"/>
        </w:tabs>
        <w:rPr>
          <w:rFonts w:asciiTheme="minorHAnsi" w:hAnsiTheme="minorHAnsi" w:cstheme="minorHAnsi"/>
          <w:i/>
          <w:sz w:val="22"/>
          <w:szCs w:val="22"/>
        </w:rPr>
      </w:pPr>
      <w:r w:rsidRPr="00647512">
        <w:rPr>
          <w:rFonts w:asciiTheme="minorHAnsi" w:hAnsiTheme="minorHAnsi" w:cstheme="minorHAnsi"/>
          <w:i/>
          <w:sz w:val="22"/>
          <w:szCs w:val="22"/>
        </w:rPr>
        <w:t>The green rating reflects the positive changes by Policia Nacional de Timor-Leste (PNTL) to improve governance standards, strengthen management and leadership development and promote gender initiatives with AFP support.</w:t>
      </w:r>
    </w:p>
    <w:p w:rsidR="00647512" w:rsidRPr="00647512" w:rsidRDefault="00647512" w:rsidP="00647512">
      <w:pPr>
        <w:pStyle w:val="ListBullet"/>
        <w:tabs>
          <w:tab w:val="clear" w:pos="284"/>
        </w:tabs>
        <w:rPr>
          <w:rFonts w:asciiTheme="minorHAnsi" w:hAnsiTheme="minorHAnsi" w:cstheme="minorHAnsi"/>
          <w:sz w:val="22"/>
          <w:szCs w:val="22"/>
        </w:rPr>
      </w:pPr>
      <w:r w:rsidRPr="00647512">
        <w:rPr>
          <w:rFonts w:asciiTheme="minorHAnsi" w:hAnsiTheme="minorHAnsi" w:cstheme="minorHAnsi"/>
          <w:sz w:val="22"/>
          <w:szCs w:val="22"/>
        </w:rPr>
        <w:t>The Australian Federal Police (AFP) delivers Australia’s support against this objective through the Timor-Leste Police Development Program (TLPDP).  The AFP has provided development support to the PNTL since 2004 and is the longest serving de</w:t>
      </w:r>
      <w:r w:rsidR="00894F15">
        <w:rPr>
          <w:rFonts w:asciiTheme="minorHAnsi" w:hAnsiTheme="minorHAnsi" w:cstheme="minorHAnsi"/>
          <w:sz w:val="22"/>
          <w:szCs w:val="22"/>
        </w:rPr>
        <w:t xml:space="preserve">velopment partner to the PNTL. </w:t>
      </w:r>
      <w:r w:rsidRPr="00647512">
        <w:rPr>
          <w:rFonts w:asciiTheme="minorHAnsi" w:hAnsiTheme="minorHAnsi" w:cstheme="minorHAnsi"/>
          <w:sz w:val="22"/>
          <w:szCs w:val="22"/>
        </w:rPr>
        <w:t>The</w:t>
      </w:r>
      <w:r w:rsidR="00894F15">
        <w:rPr>
          <w:rFonts w:asciiTheme="minorHAnsi" w:hAnsiTheme="minorHAnsi" w:cstheme="minorHAnsi"/>
          <w:sz w:val="22"/>
          <w:szCs w:val="22"/>
        </w:rPr>
        <w:t xml:space="preserve"> current phase of TLPDP </w:t>
      </w:r>
      <w:r w:rsidRPr="00647512">
        <w:rPr>
          <w:rFonts w:asciiTheme="minorHAnsi" w:hAnsiTheme="minorHAnsi" w:cstheme="minorHAnsi"/>
          <w:sz w:val="22"/>
          <w:szCs w:val="22"/>
        </w:rPr>
        <w:t xml:space="preserve">supports the PNTL to build its organisational strength and operational policing capacity.  </w:t>
      </w:r>
    </w:p>
    <w:p w:rsidR="00647512" w:rsidRPr="00647512" w:rsidRDefault="00647512" w:rsidP="00647512">
      <w:pPr>
        <w:pStyle w:val="ListBullet"/>
        <w:tabs>
          <w:tab w:val="clear" w:pos="284"/>
        </w:tabs>
        <w:rPr>
          <w:rFonts w:asciiTheme="minorHAnsi" w:hAnsiTheme="minorHAnsi" w:cstheme="minorHAnsi"/>
          <w:sz w:val="22"/>
          <w:szCs w:val="22"/>
        </w:rPr>
      </w:pPr>
      <w:r w:rsidRPr="00647512">
        <w:rPr>
          <w:rFonts w:asciiTheme="minorHAnsi" w:hAnsiTheme="minorHAnsi" w:cstheme="minorHAnsi"/>
          <w:sz w:val="22"/>
          <w:szCs w:val="22"/>
        </w:rPr>
        <w:t>Continual improvements within the PNTL have translated to more positive perceptions of safety and the effectiveness of police in Timor-Leste. In 2015, TLPDP co-financed the third Community Police Perceptions Study which found that 51 per cent of the public reported felt somewhat or very concerned about their safety, a drop of 13 per cent from 2013. The general public’s perception that citizens and police were working together to address security problems in their community has increased markedly to 84 per cent in 2015 from just 50 per cent in 2013. Victims are also more likely today than they were in 2013 to seek PNTL assistance in the first instance with 99 per cent of the general public reporting that they trusted the police.</w:t>
      </w:r>
    </w:p>
    <w:p w:rsidR="00647512" w:rsidRPr="00647512" w:rsidRDefault="00647512" w:rsidP="00647512">
      <w:pPr>
        <w:pStyle w:val="ListBullet"/>
        <w:tabs>
          <w:tab w:val="clear" w:pos="284"/>
        </w:tabs>
        <w:rPr>
          <w:rFonts w:asciiTheme="minorHAnsi" w:hAnsiTheme="minorHAnsi" w:cstheme="minorHAnsi"/>
          <w:sz w:val="22"/>
          <w:szCs w:val="22"/>
        </w:rPr>
      </w:pPr>
      <w:r w:rsidRPr="00647512">
        <w:rPr>
          <w:rFonts w:asciiTheme="minorHAnsi" w:hAnsiTheme="minorHAnsi" w:cstheme="minorHAnsi"/>
          <w:sz w:val="22"/>
          <w:szCs w:val="22"/>
        </w:rPr>
        <w:t>Significant progress has been made with increasing local ownership of TLPDP activities and alignment with PNTL systems. The commitment of the PNTL Commander General to chair the newly established TLPDP Program Coordination Board will ensure the program remains relevant to the PNTL and growing PNTL ownership of the activities of the TLPDP. Nine joint work plans supporting PNTL/TLPDP capacity development activities for 2016-17 have been created that focus on priorities of governance, leadership and training, gender and specialist operational support. Progress against the work plans will be monitored and evaluated by the Board.</w:t>
      </w:r>
    </w:p>
    <w:p w:rsidR="00647512" w:rsidRPr="00647512" w:rsidRDefault="00647512" w:rsidP="00647512">
      <w:pPr>
        <w:pStyle w:val="ListBullet"/>
        <w:tabs>
          <w:tab w:val="clear" w:pos="284"/>
        </w:tabs>
        <w:rPr>
          <w:rFonts w:asciiTheme="minorHAnsi" w:hAnsiTheme="minorHAnsi" w:cstheme="minorHAnsi"/>
          <w:sz w:val="22"/>
          <w:szCs w:val="22"/>
        </w:rPr>
      </w:pPr>
      <w:r w:rsidRPr="00647512">
        <w:rPr>
          <w:rFonts w:asciiTheme="minorHAnsi" w:hAnsiTheme="minorHAnsi" w:cstheme="minorHAnsi"/>
          <w:sz w:val="22"/>
          <w:szCs w:val="22"/>
        </w:rPr>
        <w:t>In 2015-16 the PNTL gradually increased its delivery of training courses previously delivered by the TLPDP/AFP</w:t>
      </w:r>
      <w:r w:rsidRPr="00647512" w:rsidDel="00B25159">
        <w:rPr>
          <w:rFonts w:asciiTheme="minorHAnsi" w:hAnsiTheme="minorHAnsi" w:cstheme="minorHAnsi"/>
          <w:sz w:val="22"/>
          <w:szCs w:val="22"/>
        </w:rPr>
        <w:t>.</w:t>
      </w:r>
      <w:r w:rsidR="00894F15">
        <w:rPr>
          <w:rFonts w:asciiTheme="minorHAnsi" w:hAnsiTheme="minorHAnsi" w:cstheme="minorHAnsi"/>
          <w:sz w:val="22"/>
          <w:szCs w:val="22"/>
        </w:rPr>
        <w:t xml:space="preserve">  </w:t>
      </w:r>
      <w:r w:rsidRPr="00647512">
        <w:rPr>
          <w:rFonts w:asciiTheme="minorHAnsi" w:hAnsiTheme="minorHAnsi" w:cstheme="minorHAnsi"/>
          <w:sz w:val="22"/>
          <w:szCs w:val="22"/>
        </w:rPr>
        <w:t>For the first time, the PNTL took responsibility to deliver training courses with limited input from TLPDP. The PNTL delivered over 80 per cent of Command Control and Coordination (C3) courses (132 participants), Investigations Level 1 training (30 participants), and delivered 26 Incident Management System (IMS) courses (601 participants). These courses had previously been delivered entirely by TLPDP. This increased capacity validates the train the trainer and accompaniment model utilised by TLPDP which will continue into 2016-17.</w:t>
      </w:r>
    </w:p>
    <w:p w:rsidR="00647512" w:rsidRPr="00647512" w:rsidRDefault="00647512" w:rsidP="00647512">
      <w:pPr>
        <w:pStyle w:val="ListBullet"/>
        <w:tabs>
          <w:tab w:val="clear" w:pos="284"/>
        </w:tabs>
        <w:rPr>
          <w:rFonts w:asciiTheme="minorHAnsi" w:hAnsiTheme="minorHAnsi" w:cstheme="minorHAnsi"/>
          <w:sz w:val="22"/>
          <w:szCs w:val="22"/>
        </w:rPr>
      </w:pPr>
      <w:r w:rsidRPr="00647512">
        <w:rPr>
          <w:rFonts w:asciiTheme="minorHAnsi" w:hAnsiTheme="minorHAnsi" w:cstheme="minorHAnsi"/>
          <w:sz w:val="22"/>
          <w:szCs w:val="22"/>
        </w:rPr>
        <w:t>The PNTL demonstrated its increased capacity and professionalism while managing medium to large scale protests in Dili that occurred in February and March 2016. The capabilities demonstrated by the PNTL during this period are a strong indication of the effectiveness of C3, leadership and “first responder” training courses delivered through TLPDP over the past two years. The PNTL developed operational orders for these events without AFP assistance and implement</w:t>
      </w:r>
      <w:r>
        <w:rPr>
          <w:rFonts w:asciiTheme="minorHAnsi" w:hAnsiTheme="minorHAnsi" w:cstheme="minorHAnsi"/>
          <w:sz w:val="22"/>
          <w:szCs w:val="22"/>
        </w:rPr>
        <w:t>ed</w:t>
      </w:r>
      <w:r w:rsidRPr="00647512">
        <w:rPr>
          <w:rFonts w:asciiTheme="minorHAnsi" w:hAnsiTheme="minorHAnsi" w:cstheme="minorHAnsi"/>
          <w:sz w:val="22"/>
          <w:szCs w:val="22"/>
        </w:rPr>
        <w:t xml:space="preserve"> the orders with only minor advisory support from the AFP. Continued improvement in event/crisis management will be a focus of further TLPDP/PNTL cooperation in the lead up to national elections in 2017. </w:t>
      </w:r>
    </w:p>
    <w:p w:rsidR="00647512" w:rsidRDefault="00647512" w:rsidP="00647512">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In 2015-16 TLPDP supported the roll out of the Incident Management System (IMS) which registered</w:t>
      </w:r>
      <w:r w:rsidRPr="00901E34">
        <w:rPr>
          <w:rFonts w:asciiTheme="minorHAnsi" w:hAnsiTheme="minorHAnsi" w:cstheme="minorHAnsi"/>
          <w:sz w:val="22"/>
          <w:szCs w:val="22"/>
        </w:rPr>
        <w:t xml:space="preserve"> </w:t>
      </w:r>
      <w:r>
        <w:rPr>
          <w:rFonts w:asciiTheme="minorHAnsi" w:hAnsiTheme="minorHAnsi" w:cstheme="minorHAnsi"/>
          <w:sz w:val="22"/>
          <w:szCs w:val="22"/>
        </w:rPr>
        <w:t>4</w:t>
      </w:r>
      <w:r w:rsidR="00894F15">
        <w:rPr>
          <w:rFonts w:asciiTheme="minorHAnsi" w:hAnsiTheme="minorHAnsi" w:cstheme="minorHAnsi"/>
          <w:sz w:val="22"/>
          <w:szCs w:val="22"/>
        </w:rPr>
        <w:t>,</w:t>
      </w:r>
      <w:r>
        <w:rPr>
          <w:rFonts w:asciiTheme="minorHAnsi" w:hAnsiTheme="minorHAnsi" w:cstheme="minorHAnsi"/>
          <w:sz w:val="22"/>
          <w:szCs w:val="22"/>
        </w:rPr>
        <w:t xml:space="preserve">004 incidents, an increase </w:t>
      </w:r>
      <w:r w:rsidRPr="007801D6">
        <w:rPr>
          <w:rFonts w:asciiTheme="minorHAnsi" w:hAnsiTheme="minorHAnsi" w:cstheme="minorHAnsi"/>
          <w:sz w:val="22"/>
          <w:szCs w:val="22"/>
        </w:rPr>
        <w:t>of 10</w:t>
      </w:r>
      <w:r>
        <w:rPr>
          <w:rFonts w:asciiTheme="minorHAnsi" w:hAnsiTheme="minorHAnsi" w:cstheme="minorHAnsi"/>
          <w:sz w:val="22"/>
          <w:szCs w:val="22"/>
        </w:rPr>
        <w:t xml:space="preserve"> per cent from the previous year. PNTL have embedded IMS training into existing courses such as the Investigation Level 1 Course, to ensure training is targeted and remains relevant to the primary and end users.  Through TLPDP supported training, the PNTL is progressively increasing the analytical skills of IMS staff enabling enhanced reporting through improved information management, leading to more effective operational decision making by PNTL management. </w:t>
      </w:r>
    </w:p>
    <w:p w:rsidR="00647512" w:rsidRDefault="00647512" w:rsidP="00647512">
      <w:pPr>
        <w:pStyle w:val="ListBullet"/>
        <w:tabs>
          <w:tab w:val="clear" w:pos="284"/>
        </w:tabs>
        <w:rPr>
          <w:rFonts w:asciiTheme="minorHAnsi" w:hAnsiTheme="minorHAnsi" w:cstheme="minorHAnsi"/>
          <w:sz w:val="22"/>
          <w:szCs w:val="22"/>
        </w:rPr>
      </w:pPr>
      <w:r w:rsidRPr="00647512">
        <w:rPr>
          <w:rFonts w:asciiTheme="minorHAnsi" w:hAnsiTheme="minorHAnsi" w:cstheme="minorHAnsi"/>
          <w:sz w:val="22"/>
          <w:szCs w:val="22"/>
        </w:rPr>
        <w:t>The PNTL and TLPDP worked together on a gender based environmental scan, the results of which have informed a two-step strategy to improve gender equality within the PNTL. Under the direction of the Program Coordination Board, and with support of TLPDP, the PNTL will implement the strategy during 2016-17 with a focus on improving</w:t>
      </w:r>
      <w:r w:rsidRPr="005E4D9F">
        <w:rPr>
          <w:rFonts w:asciiTheme="minorHAnsi" w:hAnsiTheme="minorHAnsi" w:cstheme="minorHAnsi"/>
          <w:sz w:val="22"/>
          <w:szCs w:val="22"/>
        </w:rPr>
        <w:t xml:space="preserve"> policing responsiveness to gender based </w:t>
      </w:r>
      <w:r>
        <w:rPr>
          <w:rFonts w:asciiTheme="minorHAnsi" w:hAnsiTheme="minorHAnsi" w:cstheme="minorHAnsi"/>
          <w:sz w:val="22"/>
          <w:szCs w:val="22"/>
        </w:rPr>
        <w:t>violence, improving</w:t>
      </w:r>
      <w:r w:rsidRPr="005E4D9F">
        <w:rPr>
          <w:rFonts w:asciiTheme="minorHAnsi" w:hAnsiTheme="minorHAnsi" w:cstheme="minorHAnsi"/>
          <w:sz w:val="22"/>
          <w:szCs w:val="22"/>
        </w:rPr>
        <w:t xml:space="preserve"> the status and profile of female PNTL officers </w:t>
      </w:r>
      <w:r>
        <w:rPr>
          <w:rFonts w:asciiTheme="minorHAnsi" w:hAnsiTheme="minorHAnsi" w:cstheme="minorHAnsi"/>
          <w:sz w:val="22"/>
          <w:szCs w:val="22"/>
        </w:rPr>
        <w:t xml:space="preserve">and </w:t>
      </w:r>
      <w:r w:rsidRPr="005E4D9F">
        <w:rPr>
          <w:rFonts w:asciiTheme="minorHAnsi" w:hAnsiTheme="minorHAnsi" w:cstheme="minorHAnsi"/>
          <w:sz w:val="22"/>
          <w:szCs w:val="22"/>
        </w:rPr>
        <w:t>address</w:t>
      </w:r>
      <w:r>
        <w:rPr>
          <w:rFonts w:asciiTheme="minorHAnsi" w:hAnsiTheme="minorHAnsi" w:cstheme="minorHAnsi"/>
          <w:sz w:val="22"/>
          <w:szCs w:val="22"/>
        </w:rPr>
        <w:t>ing</w:t>
      </w:r>
      <w:r w:rsidRPr="005E4D9F">
        <w:rPr>
          <w:rFonts w:asciiTheme="minorHAnsi" w:hAnsiTheme="minorHAnsi" w:cstheme="minorHAnsi"/>
          <w:sz w:val="22"/>
          <w:szCs w:val="22"/>
        </w:rPr>
        <w:t xml:space="preserve"> the declining recruitment rate </w:t>
      </w:r>
      <w:r>
        <w:rPr>
          <w:rFonts w:asciiTheme="minorHAnsi" w:hAnsiTheme="minorHAnsi" w:cstheme="minorHAnsi"/>
          <w:sz w:val="22"/>
          <w:szCs w:val="22"/>
        </w:rPr>
        <w:t>of</w:t>
      </w:r>
      <w:r w:rsidRPr="005E4D9F">
        <w:rPr>
          <w:rFonts w:asciiTheme="minorHAnsi" w:hAnsiTheme="minorHAnsi" w:cstheme="minorHAnsi"/>
          <w:sz w:val="22"/>
          <w:szCs w:val="22"/>
        </w:rPr>
        <w:t xml:space="preserve"> women recruits.</w:t>
      </w:r>
      <w:r w:rsidR="00894F15">
        <w:rPr>
          <w:rFonts w:asciiTheme="minorHAnsi" w:hAnsiTheme="minorHAnsi" w:cstheme="minorHAnsi"/>
          <w:sz w:val="22"/>
          <w:szCs w:val="22"/>
        </w:rPr>
        <w:t xml:space="preserve"> In 2015-16, t</w:t>
      </w:r>
      <w:r>
        <w:rPr>
          <w:rFonts w:asciiTheme="minorHAnsi" w:hAnsiTheme="minorHAnsi" w:cstheme="minorHAnsi"/>
          <w:sz w:val="22"/>
          <w:szCs w:val="22"/>
        </w:rPr>
        <w:t>he PNTL prioritised the upgrading</w:t>
      </w:r>
      <w:r w:rsidRPr="005E4D9F">
        <w:rPr>
          <w:rFonts w:asciiTheme="minorHAnsi" w:hAnsiTheme="minorHAnsi" w:cstheme="minorHAnsi"/>
          <w:sz w:val="22"/>
          <w:szCs w:val="22"/>
        </w:rPr>
        <w:t xml:space="preserve"> </w:t>
      </w:r>
      <w:r>
        <w:rPr>
          <w:rFonts w:asciiTheme="minorHAnsi" w:hAnsiTheme="minorHAnsi" w:cstheme="minorHAnsi"/>
          <w:sz w:val="22"/>
          <w:szCs w:val="22"/>
        </w:rPr>
        <w:t xml:space="preserve">of the </w:t>
      </w:r>
      <w:r w:rsidRPr="005E4D9F">
        <w:rPr>
          <w:rFonts w:asciiTheme="minorHAnsi" w:hAnsiTheme="minorHAnsi" w:cstheme="minorHAnsi"/>
          <w:sz w:val="22"/>
          <w:szCs w:val="22"/>
        </w:rPr>
        <w:t xml:space="preserve">facilities </w:t>
      </w:r>
      <w:r>
        <w:rPr>
          <w:rFonts w:asciiTheme="minorHAnsi" w:hAnsiTheme="minorHAnsi" w:cstheme="minorHAnsi"/>
          <w:sz w:val="22"/>
          <w:szCs w:val="22"/>
        </w:rPr>
        <w:t>in</w:t>
      </w:r>
      <w:r w:rsidRPr="005E4D9F">
        <w:rPr>
          <w:rFonts w:asciiTheme="minorHAnsi" w:hAnsiTheme="minorHAnsi" w:cstheme="minorHAnsi"/>
          <w:sz w:val="22"/>
          <w:szCs w:val="22"/>
        </w:rPr>
        <w:t xml:space="preserve"> 10 Vulnerable Person Units </w:t>
      </w:r>
      <w:r>
        <w:rPr>
          <w:rFonts w:asciiTheme="minorHAnsi" w:hAnsiTheme="minorHAnsi" w:cstheme="minorHAnsi"/>
          <w:sz w:val="22"/>
          <w:szCs w:val="22"/>
        </w:rPr>
        <w:t>which</w:t>
      </w:r>
      <w:r w:rsidRPr="005E4D9F">
        <w:rPr>
          <w:rFonts w:asciiTheme="minorHAnsi" w:hAnsiTheme="minorHAnsi" w:cstheme="minorHAnsi"/>
          <w:sz w:val="22"/>
          <w:szCs w:val="22"/>
        </w:rPr>
        <w:t xml:space="preserve"> </w:t>
      </w:r>
      <w:r>
        <w:rPr>
          <w:rFonts w:asciiTheme="minorHAnsi" w:hAnsiTheme="minorHAnsi" w:cstheme="minorHAnsi"/>
          <w:sz w:val="22"/>
          <w:szCs w:val="22"/>
        </w:rPr>
        <w:t>has</w:t>
      </w:r>
      <w:r w:rsidRPr="005E4D9F">
        <w:rPr>
          <w:rFonts w:asciiTheme="minorHAnsi" w:hAnsiTheme="minorHAnsi" w:cstheme="minorHAnsi"/>
          <w:sz w:val="22"/>
          <w:szCs w:val="22"/>
        </w:rPr>
        <w:t xml:space="preserve"> creat</w:t>
      </w:r>
      <w:r>
        <w:rPr>
          <w:rFonts w:asciiTheme="minorHAnsi" w:hAnsiTheme="minorHAnsi" w:cstheme="minorHAnsi"/>
          <w:sz w:val="22"/>
          <w:szCs w:val="22"/>
        </w:rPr>
        <w:t>ed</w:t>
      </w:r>
      <w:r w:rsidRPr="005E4D9F">
        <w:rPr>
          <w:rFonts w:asciiTheme="minorHAnsi" w:hAnsiTheme="minorHAnsi" w:cstheme="minorHAnsi"/>
          <w:sz w:val="22"/>
          <w:szCs w:val="22"/>
        </w:rPr>
        <w:t xml:space="preserve"> suitable and safe </w:t>
      </w:r>
      <w:r>
        <w:rPr>
          <w:rFonts w:asciiTheme="minorHAnsi" w:hAnsiTheme="minorHAnsi" w:cstheme="minorHAnsi"/>
          <w:sz w:val="22"/>
          <w:szCs w:val="22"/>
        </w:rPr>
        <w:t>setting</w:t>
      </w:r>
      <w:r w:rsidRPr="005E4D9F">
        <w:rPr>
          <w:rFonts w:asciiTheme="minorHAnsi" w:hAnsiTheme="minorHAnsi" w:cstheme="minorHAnsi"/>
          <w:sz w:val="22"/>
          <w:szCs w:val="22"/>
        </w:rPr>
        <w:t xml:space="preserve"> for victims and witnesses</w:t>
      </w:r>
      <w:r>
        <w:rPr>
          <w:rFonts w:asciiTheme="minorHAnsi" w:hAnsiTheme="minorHAnsi" w:cstheme="minorHAnsi"/>
          <w:sz w:val="22"/>
          <w:szCs w:val="22"/>
        </w:rPr>
        <w:t xml:space="preserve"> when reporting instances</w:t>
      </w:r>
      <w:r w:rsidRPr="005E4D9F">
        <w:rPr>
          <w:rFonts w:asciiTheme="minorHAnsi" w:hAnsiTheme="minorHAnsi" w:cstheme="minorHAnsi"/>
          <w:sz w:val="22"/>
          <w:szCs w:val="22"/>
        </w:rPr>
        <w:t xml:space="preserve"> of gender based violence. TLPDP </w:t>
      </w:r>
      <w:r>
        <w:rPr>
          <w:rFonts w:asciiTheme="minorHAnsi" w:hAnsiTheme="minorHAnsi" w:cstheme="minorHAnsi"/>
          <w:sz w:val="22"/>
          <w:szCs w:val="22"/>
        </w:rPr>
        <w:t xml:space="preserve">also </w:t>
      </w:r>
      <w:r w:rsidRPr="005E4D9F">
        <w:rPr>
          <w:rFonts w:asciiTheme="minorHAnsi" w:hAnsiTheme="minorHAnsi" w:cstheme="minorHAnsi"/>
          <w:sz w:val="22"/>
          <w:szCs w:val="22"/>
        </w:rPr>
        <w:t xml:space="preserve">supported PNTL to deliver domestic violence awareness campaigns in all 13 districts </w:t>
      </w:r>
      <w:r>
        <w:rPr>
          <w:rFonts w:asciiTheme="minorHAnsi" w:hAnsiTheme="minorHAnsi" w:cstheme="minorHAnsi"/>
          <w:sz w:val="22"/>
          <w:szCs w:val="22"/>
        </w:rPr>
        <w:t>and</w:t>
      </w:r>
      <w:r w:rsidRPr="005E4D9F">
        <w:rPr>
          <w:rFonts w:asciiTheme="minorHAnsi" w:hAnsiTheme="minorHAnsi" w:cstheme="minorHAnsi"/>
          <w:sz w:val="22"/>
          <w:szCs w:val="22"/>
        </w:rPr>
        <w:t xml:space="preserve"> contributed to the development of the revised</w:t>
      </w:r>
      <w:r>
        <w:rPr>
          <w:rFonts w:asciiTheme="minorHAnsi" w:hAnsiTheme="minorHAnsi" w:cstheme="minorHAnsi"/>
          <w:sz w:val="22"/>
          <w:szCs w:val="22"/>
        </w:rPr>
        <w:t xml:space="preserve"> Timor-Leste</w:t>
      </w:r>
      <w:r w:rsidRPr="005E4D9F">
        <w:rPr>
          <w:rFonts w:asciiTheme="minorHAnsi" w:hAnsiTheme="minorHAnsi" w:cstheme="minorHAnsi"/>
          <w:sz w:val="22"/>
          <w:szCs w:val="22"/>
        </w:rPr>
        <w:t xml:space="preserve"> National Action Plan on Gender Based Violence. </w:t>
      </w:r>
    </w:p>
    <w:p w:rsidR="00647512" w:rsidRPr="005E4D9F" w:rsidRDefault="00647512" w:rsidP="00647512">
      <w:pPr>
        <w:pStyle w:val="ListBullet"/>
        <w:tabs>
          <w:tab w:val="clear" w:pos="284"/>
        </w:tabs>
        <w:rPr>
          <w:rFonts w:asciiTheme="minorHAnsi" w:hAnsiTheme="minorHAnsi" w:cstheme="minorHAnsi"/>
          <w:sz w:val="22"/>
          <w:szCs w:val="22"/>
        </w:rPr>
      </w:pPr>
      <w:r w:rsidRPr="00647512">
        <w:rPr>
          <w:rFonts w:asciiTheme="minorHAnsi" w:hAnsiTheme="minorHAnsi" w:cstheme="minorHAnsi"/>
          <w:b/>
          <w:sz w:val="22"/>
          <w:szCs w:val="22"/>
        </w:rPr>
        <w:t>Management response:</w:t>
      </w:r>
      <w:r>
        <w:rPr>
          <w:rFonts w:asciiTheme="minorHAnsi" w:hAnsiTheme="minorHAnsi" w:cstheme="minorHAnsi"/>
          <w:sz w:val="22"/>
          <w:szCs w:val="22"/>
        </w:rPr>
        <w:t xml:space="preserve"> </w:t>
      </w:r>
      <w:r w:rsidRPr="009128EF">
        <w:rPr>
          <w:rFonts w:asciiTheme="minorHAnsi" w:hAnsiTheme="minorHAnsi" w:cstheme="minorHAnsi"/>
          <w:sz w:val="22"/>
          <w:szCs w:val="22"/>
        </w:rPr>
        <w:t>The AFP will work to consolidat</w:t>
      </w:r>
      <w:r>
        <w:rPr>
          <w:rFonts w:asciiTheme="minorHAnsi" w:hAnsiTheme="minorHAnsi" w:cstheme="minorHAnsi"/>
          <w:sz w:val="22"/>
          <w:szCs w:val="22"/>
        </w:rPr>
        <w:t>e</w:t>
      </w:r>
      <w:r w:rsidRPr="009128EF">
        <w:rPr>
          <w:rFonts w:asciiTheme="minorHAnsi" w:hAnsiTheme="minorHAnsi" w:cstheme="minorHAnsi"/>
          <w:sz w:val="22"/>
          <w:szCs w:val="22"/>
        </w:rPr>
        <w:t xml:space="preserve"> the PNTL/TLPDP </w:t>
      </w:r>
      <w:r>
        <w:rPr>
          <w:rFonts w:asciiTheme="minorHAnsi" w:hAnsiTheme="minorHAnsi" w:cstheme="minorHAnsi"/>
          <w:sz w:val="22"/>
          <w:szCs w:val="22"/>
        </w:rPr>
        <w:t>Program</w:t>
      </w:r>
      <w:r w:rsidRPr="009128EF">
        <w:rPr>
          <w:rFonts w:asciiTheme="minorHAnsi" w:hAnsiTheme="minorHAnsi" w:cstheme="minorHAnsi"/>
          <w:sz w:val="22"/>
          <w:szCs w:val="22"/>
        </w:rPr>
        <w:t xml:space="preserve"> Coordination Board</w:t>
      </w:r>
      <w:r>
        <w:rPr>
          <w:rFonts w:asciiTheme="minorHAnsi" w:hAnsiTheme="minorHAnsi" w:cstheme="minorHAnsi"/>
          <w:sz w:val="22"/>
          <w:szCs w:val="22"/>
        </w:rPr>
        <w:t xml:space="preserve"> and monitor progress on work plan activities during 2016-17.The national elections in 2017 are likely to create scheduling and accessibility challenges for the mainstream activities of TLPDP, but also provide opportunities to support the PNTL in its role in the lead up to and during the elections.</w:t>
      </w:r>
    </w:p>
    <w:p w:rsidR="00647512" w:rsidRDefault="00647512" w:rsidP="00647512">
      <w:pPr>
        <w:jc w:val="both"/>
      </w:pPr>
    </w:p>
    <w:p w:rsidR="002A51CA" w:rsidRPr="002A51CA" w:rsidRDefault="002A51CA" w:rsidP="00900B0B">
      <w:pPr>
        <w:pStyle w:val="ListBullet"/>
        <w:tabs>
          <w:tab w:val="clear" w:pos="284"/>
        </w:tabs>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Performance Benchmarks</w:t>
      </w:r>
      <w:r w:rsidRPr="002A51CA">
        <w:rPr>
          <w:rFonts w:asciiTheme="majorHAnsi" w:eastAsiaTheme="majorEastAsia" w:hAnsiTheme="majorHAnsi" w:cstheme="majorBidi"/>
          <w:caps/>
          <w:color w:val="495965" w:themeColor="text2"/>
          <w:sz w:val="38"/>
          <w:szCs w:val="26"/>
          <w:lang w:val="en-GB" w:eastAsia="en-US"/>
        </w:rPr>
        <w:tab/>
      </w:r>
    </w:p>
    <w:p w:rsidR="009A0D1C" w:rsidRPr="00C11319" w:rsidRDefault="00A65483" w:rsidP="0003487F">
      <w:pPr>
        <w:pStyle w:val="ListBullet"/>
        <w:tabs>
          <w:tab w:val="clear" w:pos="284"/>
        </w:tabs>
        <w:rPr>
          <w:rFonts w:asciiTheme="minorHAnsi" w:hAnsiTheme="minorHAnsi" w:cstheme="minorHAnsi"/>
          <w:sz w:val="22"/>
          <w:szCs w:val="22"/>
        </w:rPr>
      </w:pPr>
      <w:r w:rsidRPr="00C11319">
        <w:rPr>
          <w:rFonts w:asciiTheme="minorHAnsi" w:hAnsiTheme="minorHAnsi" w:cstheme="minorHAnsi"/>
          <w:sz w:val="22"/>
          <w:szCs w:val="22"/>
        </w:rPr>
        <w:t>P</w:t>
      </w:r>
      <w:r w:rsidR="008729D5" w:rsidRPr="00C11319">
        <w:rPr>
          <w:rFonts w:asciiTheme="minorHAnsi" w:hAnsiTheme="minorHAnsi" w:cstheme="minorHAnsi"/>
          <w:sz w:val="22"/>
          <w:szCs w:val="22"/>
        </w:rPr>
        <w:t xml:space="preserve">erformance benchmarks were established for the program </w:t>
      </w:r>
      <w:r w:rsidR="009A0D1C" w:rsidRPr="00C11319">
        <w:rPr>
          <w:rFonts w:asciiTheme="minorHAnsi" w:hAnsiTheme="minorHAnsi" w:cstheme="minorHAnsi"/>
          <w:sz w:val="22"/>
          <w:szCs w:val="22"/>
        </w:rPr>
        <w:t>in the</w:t>
      </w:r>
      <w:r w:rsidR="008729D5" w:rsidRPr="00C11319">
        <w:rPr>
          <w:rFonts w:asciiTheme="minorHAnsi" w:hAnsiTheme="minorHAnsi" w:cstheme="minorHAnsi"/>
          <w:sz w:val="22"/>
          <w:szCs w:val="22"/>
        </w:rPr>
        <w:t xml:space="preserve"> </w:t>
      </w:r>
      <w:r w:rsidR="008729D5" w:rsidRPr="00C11319">
        <w:rPr>
          <w:rFonts w:asciiTheme="minorHAnsi" w:hAnsiTheme="minorHAnsi" w:cstheme="minorHAnsi"/>
          <w:i/>
          <w:sz w:val="22"/>
          <w:szCs w:val="22"/>
        </w:rPr>
        <w:t>Aid Investment Plan</w:t>
      </w:r>
      <w:r w:rsidR="009A0D1C" w:rsidRPr="00C11319">
        <w:rPr>
          <w:rFonts w:asciiTheme="minorHAnsi" w:hAnsiTheme="minorHAnsi" w:cstheme="minorHAnsi"/>
          <w:i/>
          <w:sz w:val="22"/>
          <w:szCs w:val="22"/>
        </w:rPr>
        <w:t xml:space="preserve"> </w:t>
      </w:r>
      <w:r w:rsidR="009A0D1C" w:rsidRPr="00C11319">
        <w:rPr>
          <w:rFonts w:asciiTheme="minorHAnsi" w:hAnsiTheme="minorHAnsi" w:cstheme="minorHAnsi"/>
          <w:sz w:val="22"/>
          <w:szCs w:val="22"/>
        </w:rPr>
        <w:t>which was finalised in September 2015</w:t>
      </w:r>
      <w:r w:rsidR="00B6182F" w:rsidRPr="00C11319">
        <w:rPr>
          <w:rFonts w:asciiTheme="minorHAnsi" w:hAnsiTheme="minorHAnsi" w:cstheme="minorHAnsi"/>
          <w:sz w:val="22"/>
          <w:szCs w:val="22"/>
        </w:rPr>
        <w:t xml:space="preserve">. </w:t>
      </w:r>
      <w:r w:rsidR="009A0D1C" w:rsidRPr="00C11319">
        <w:rPr>
          <w:rFonts w:asciiTheme="minorHAnsi" w:hAnsiTheme="minorHAnsi" w:cstheme="minorHAnsi"/>
          <w:sz w:val="22"/>
          <w:szCs w:val="22"/>
        </w:rPr>
        <w:t xml:space="preserve">In 2015-16, </w:t>
      </w:r>
      <w:r w:rsidR="00D95159" w:rsidRPr="00C11319">
        <w:rPr>
          <w:rFonts w:asciiTheme="minorHAnsi" w:hAnsiTheme="minorHAnsi" w:cstheme="minorHAnsi"/>
          <w:sz w:val="22"/>
          <w:szCs w:val="22"/>
        </w:rPr>
        <w:t>three</w:t>
      </w:r>
      <w:r w:rsidR="009C0B0C" w:rsidRPr="00C11319">
        <w:rPr>
          <w:rFonts w:asciiTheme="minorHAnsi" w:hAnsiTheme="minorHAnsi" w:cstheme="minorHAnsi"/>
          <w:sz w:val="22"/>
          <w:szCs w:val="22"/>
        </w:rPr>
        <w:t xml:space="preserve"> </w:t>
      </w:r>
      <w:r w:rsidR="00EF3295" w:rsidRPr="00C11319">
        <w:rPr>
          <w:rFonts w:asciiTheme="minorHAnsi" w:hAnsiTheme="minorHAnsi" w:cstheme="minorHAnsi"/>
          <w:sz w:val="22"/>
          <w:szCs w:val="22"/>
        </w:rPr>
        <w:t xml:space="preserve">of </w:t>
      </w:r>
      <w:r w:rsidR="009A0D1C" w:rsidRPr="00C11319">
        <w:rPr>
          <w:rFonts w:asciiTheme="minorHAnsi" w:hAnsiTheme="minorHAnsi" w:cstheme="minorHAnsi"/>
          <w:sz w:val="22"/>
          <w:szCs w:val="22"/>
        </w:rPr>
        <w:t xml:space="preserve">our eight </w:t>
      </w:r>
      <w:r w:rsidR="0016111A" w:rsidRPr="00C11319">
        <w:rPr>
          <w:rFonts w:asciiTheme="minorHAnsi" w:hAnsiTheme="minorHAnsi" w:cstheme="minorHAnsi"/>
          <w:sz w:val="22"/>
          <w:szCs w:val="22"/>
        </w:rPr>
        <w:t>benchmarks</w:t>
      </w:r>
      <w:r w:rsidR="00F21CDA" w:rsidRPr="00C11319">
        <w:rPr>
          <w:rFonts w:asciiTheme="minorHAnsi" w:hAnsiTheme="minorHAnsi" w:cstheme="minorHAnsi"/>
          <w:sz w:val="22"/>
          <w:szCs w:val="22"/>
        </w:rPr>
        <w:t xml:space="preserve"> </w:t>
      </w:r>
      <w:r w:rsidR="0016111A" w:rsidRPr="00C11319">
        <w:rPr>
          <w:rFonts w:asciiTheme="minorHAnsi" w:hAnsiTheme="minorHAnsi" w:cstheme="minorHAnsi"/>
          <w:sz w:val="22"/>
          <w:szCs w:val="22"/>
        </w:rPr>
        <w:t>were achieved</w:t>
      </w:r>
      <w:r w:rsidR="009C0B0C" w:rsidRPr="00C11319">
        <w:rPr>
          <w:rFonts w:asciiTheme="minorHAnsi" w:hAnsiTheme="minorHAnsi" w:cstheme="minorHAnsi"/>
          <w:sz w:val="22"/>
          <w:szCs w:val="22"/>
        </w:rPr>
        <w:t>, two were not able to be measured</w:t>
      </w:r>
      <w:r w:rsidR="00240071" w:rsidRPr="00C11319">
        <w:rPr>
          <w:rFonts w:asciiTheme="minorHAnsi" w:hAnsiTheme="minorHAnsi" w:cstheme="minorHAnsi"/>
          <w:sz w:val="22"/>
          <w:szCs w:val="22"/>
        </w:rPr>
        <w:t xml:space="preserve"> and </w:t>
      </w:r>
      <w:r w:rsidR="00D95159" w:rsidRPr="00C11319">
        <w:rPr>
          <w:rFonts w:asciiTheme="minorHAnsi" w:hAnsiTheme="minorHAnsi" w:cstheme="minorHAnsi"/>
          <w:sz w:val="22"/>
          <w:szCs w:val="22"/>
        </w:rPr>
        <w:t>three</w:t>
      </w:r>
      <w:r w:rsidR="00240071" w:rsidRPr="00C11319">
        <w:rPr>
          <w:rFonts w:asciiTheme="minorHAnsi" w:hAnsiTheme="minorHAnsi" w:cstheme="minorHAnsi"/>
          <w:sz w:val="22"/>
          <w:szCs w:val="22"/>
        </w:rPr>
        <w:t xml:space="preserve"> were partly-achieved</w:t>
      </w:r>
      <w:r w:rsidR="0016111A" w:rsidRPr="00C11319">
        <w:rPr>
          <w:rFonts w:asciiTheme="minorHAnsi" w:hAnsiTheme="minorHAnsi" w:cstheme="minorHAnsi"/>
          <w:sz w:val="22"/>
          <w:szCs w:val="22"/>
        </w:rPr>
        <w:t xml:space="preserve"> </w:t>
      </w:r>
      <w:r w:rsidR="00EF3295" w:rsidRPr="00C11319">
        <w:rPr>
          <w:rFonts w:asciiTheme="minorHAnsi" w:hAnsiTheme="minorHAnsi" w:cstheme="minorHAnsi"/>
          <w:sz w:val="22"/>
          <w:szCs w:val="22"/>
        </w:rPr>
        <w:t xml:space="preserve">as outlined in </w:t>
      </w:r>
      <w:r w:rsidR="00EF3295" w:rsidRPr="00C11319">
        <w:rPr>
          <w:rFonts w:asciiTheme="minorHAnsi" w:hAnsiTheme="minorHAnsi" w:cstheme="minorHAnsi"/>
          <w:b/>
          <w:sz w:val="22"/>
          <w:szCs w:val="22"/>
        </w:rPr>
        <w:t>Annex B</w:t>
      </w:r>
      <w:r w:rsidR="00EF3295" w:rsidRPr="00C11319">
        <w:rPr>
          <w:rFonts w:asciiTheme="minorHAnsi" w:hAnsiTheme="minorHAnsi" w:cstheme="minorHAnsi"/>
          <w:sz w:val="22"/>
          <w:szCs w:val="22"/>
        </w:rPr>
        <w:t>.</w:t>
      </w:r>
      <w:r w:rsidR="0016111A" w:rsidRPr="00C11319">
        <w:rPr>
          <w:rFonts w:asciiTheme="minorHAnsi" w:hAnsiTheme="minorHAnsi" w:cstheme="minorHAnsi"/>
          <w:sz w:val="22"/>
          <w:szCs w:val="22"/>
        </w:rPr>
        <w:t xml:space="preserve"> </w:t>
      </w:r>
      <w:r w:rsidR="009A0D1C" w:rsidRPr="00C11319">
        <w:rPr>
          <w:rFonts w:asciiTheme="minorHAnsi" w:hAnsiTheme="minorHAnsi" w:cstheme="minorHAnsi"/>
          <w:sz w:val="22"/>
          <w:szCs w:val="22"/>
        </w:rPr>
        <w:t xml:space="preserve">The benchmark target </w:t>
      </w:r>
      <w:r w:rsidR="00C2214F" w:rsidRPr="00C11319">
        <w:rPr>
          <w:rFonts w:asciiTheme="minorHAnsi" w:hAnsiTheme="minorHAnsi" w:cstheme="minorHAnsi"/>
          <w:sz w:val="22"/>
          <w:szCs w:val="22"/>
        </w:rPr>
        <w:t>relating to service</w:t>
      </w:r>
      <w:r w:rsidR="00894F15">
        <w:rPr>
          <w:rFonts w:asciiTheme="minorHAnsi" w:hAnsiTheme="minorHAnsi" w:cstheme="minorHAnsi"/>
          <w:sz w:val="22"/>
          <w:szCs w:val="22"/>
        </w:rPr>
        <w:t>s</w:t>
      </w:r>
      <w:r w:rsidR="00C2214F" w:rsidRPr="00C11319">
        <w:rPr>
          <w:rFonts w:asciiTheme="minorHAnsi" w:hAnsiTheme="minorHAnsi" w:cstheme="minorHAnsi"/>
          <w:sz w:val="22"/>
          <w:szCs w:val="22"/>
        </w:rPr>
        <w:t xml:space="preserve"> for women and girls affected by violence </w:t>
      </w:r>
      <w:r w:rsidR="009A0D1C" w:rsidRPr="00C11319">
        <w:rPr>
          <w:rFonts w:asciiTheme="minorHAnsi" w:hAnsiTheme="minorHAnsi" w:cstheme="minorHAnsi"/>
          <w:sz w:val="22"/>
          <w:szCs w:val="22"/>
        </w:rPr>
        <w:t xml:space="preserve">was revised and lowered to reflect a </w:t>
      </w:r>
      <w:r w:rsidR="00894F15">
        <w:rPr>
          <w:rFonts w:asciiTheme="minorHAnsi" w:hAnsiTheme="minorHAnsi" w:cstheme="minorHAnsi"/>
          <w:sz w:val="22"/>
          <w:szCs w:val="22"/>
        </w:rPr>
        <w:t>program</w:t>
      </w:r>
      <w:r w:rsidR="00BC382C">
        <w:rPr>
          <w:rFonts w:asciiTheme="minorHAnsi" w:hAnsiTheme="minorHAnsi" w:cstheme="minorHAnsi"/>
          <w:sz w:val="22"/>
          <w:szCs w:val="22"/>
        </w:rPr>
        <w:t xml:space="preserve"> </w:t>
      </w:r>
      <w:r w:rsidR="009A0D1C" w:rsidRPr="00C11319">
        <w:rPr>
          <w:rFonts w:asciiTheme="minorHAnsi" w:hAnsiTheme="minorHAnsi" w:cstheme="minorHAnsi"/>
          <w:sz w:val="22"/>
          <w:szCs w:val="22"/>
        </w:rPr>
        <w:t xml:space="preserve">budget cut of </w:t>
      </w:r>
      <w:r w:rsidR="00C2214F" w:rsidRPr="00C11319">
        <w:rPr>
          <w:rFonts w:asciiTheme="minorHAnsi" w:hAnsiTheme="minorHAnsi" w:cstheme="minorHAnsi"/>
          <w:sz w:val="22"/>
          <w:szCs w:val="22"/>
        </w:rPr>
        <w:t>20 per cent</w:t>
      </w:r>
      <w:r w:rsidR="00894F15">
        <w:rPr>
          <w:rFonts w:asciiTheme="minorHAnsi" w:hAnsiTheme="minorHAnsi" w:cstheme="minorHAnsi"/>
          <w:sz w:val="22"/>
          <w:szCs w:val="22"/>
        </w:rPr>
        <w:t xml:space="preserve"> and subsequent reductions in </w:t>
      </w:r>
      <w:r w:rsidR="009A0D1C" w:rsidRPr="00C11319">
        <w:rPr>
          <w:rFonts w:asciiTheme="minorHAnsi" w:hAnsiTheme="minorHAnsi" w:cstheme="minorHAnsi"/>
          <w:sz w:val="22"/>
          <w:szCs w:val="22"/>
        </w:rPr>
        <w:t>grant funding to service providers</w:t>
      </w:r>
      <w:r w:rsidR="00C2214F" w:rsidRPr="00C11319">
        <w:rPr>
          <w:rFonts w:asciiTheme="minorHAnsi" w:hAnsiTheme="minorHAnsi" w:cstheme="minorHAnsi"/>
          <w:sz w:val="22"/>
          <w:szCs w:val="22"/>
        </w:rPr>
        <w:t xml:space="preserve">. </w:t>
      </w:r>
      <w:r w:rsidRPr="00C11319">
        <w:rPr>
          <w:rFonts w:asciiTheme="minorHAnsi" w:hAnsiTheme="minorHAnsi" w:cstheme="minorHAnsi"/>
          <w:sz w:val="22"/>
          <w:szCs w:val="22"/>
        </w:rPr>
        <w:t>For reporting in 2016-17 and beyond, w</w:t>
      </w:r>
      <w:r w:rsidR="00C262BB" w:rsidRPr="00C11319">
        <w:rPr>
          <w:rFonts w:asciiTheme="minorHAnsi" w:hAnsiTheme="minorHAnsi" w:cstheme="minorHAnsi"/>
          <w:sz w:val="22"/>
          <w:szCs w:val="22"/>
        </w:rPr>
        <w:t xml:space="preserve">e </w:t>
      </w:r>
      <w:r w:rsidRPr="00C11319">
        <w:rPr>
          <w:rFonts w:asciiTheme="minorHAnsi" w:hAnsiTheme="minorHAnsi" w:cstheme="minorHAnsi"/>
          <w:sz w:val="22"/>
          <w:szCs w:val="22"/>
        </w:rPr>
        <w:t xml:space="preserve">will </w:t>
      </w:r>
      <w:r w:rsidR="009A0D1C" w:rsidRPr="00C11319">
        <w:rPr>
          <w:rFonts w:asciiTheme="minorHAnsi" w:hAnsiTheme="minorHAnsi" w:cstheme="minorHAnsi"/>
          <w:sz w:val="22"/>
          <w:szCs w:val="22"/>
        </w:rPr>
        <w:t xml:space="preserve">further revise our performance benchmarks to ensure they reflect </w:t>
      </w:r>
      <w:r w:rsidR="00D95159" w:rsidRPr="00C11319">
        <w:rPr>
          <w:rFonts w:asciiTheme="minorHAnsi" w:hAnsiTheme="minorHAnsi" w:cstheme="minorHAnsi"/>
          <w:sz w:val="22"/>
          <w:szCs w:val="22"/>
        </w:rPr>
        <w:t>changes in</w:t>
      </w:r>
      <w:r w:rsidR="009A0D1C" w:rsidRPr="00C11319">
        <w:rPr>
          <w:rFonts w:asciiTheme="minorHAnsi" w:hAnsiTheme="minorHAnsi" w:cstheme="minorHAnsi"/>
          <w:sz w:val="22"/>
          <w:szCs w:val="22"/>
        </w:rPr>
        <w:t xml:space="preserve"> our aid program. For example, we will finalise a new performance benchmark for the health program, given it represents our largest spend in the human development </w:t>
      </w:r>
      <w:r w:rsidR="00E131B7" w:rsidRPr="00C11319">
        <w:rPr>
          <w:rFonts w:asciiTheme="minorHAnsi" w:hAnsiTheme="minorHAnsi" w:cstheme="minorHAnsi"/>
          <w:sz w:val="22"/>
          <w:szCs w:val="22"/>
        </w:rPr>
        <w:t>pillar, revise</w:t>
      </w:r>
      <w:r w:rsidR="009A0D1C" w:rsidRPr="00C11319">
        <w:rPr>
          <w:rFonts w:asciiTheme="minorHAnsi" w:hAnsiTheme="minorHAnsi" w:cstheme="minorHAnsi"/>
          <w:sz w:val="22"/>
          <w:szCs w:val="22"/>
        </w:rPr>
        <w:t xml:space="preserve"> our </w:t>
      </w:r>
      <w:r w:rsidR="00D95159" w:rsidRPr="00C11319">
        <w:rPr>
          <w:rFonts w:asciiTheme="minorHAnsi" w:hAnsiTheme="minorHAnsi" w:cstheme="minorHAnsi"/>
          <w:sz w:val="22"/>
          <w:szCs w:val="22"/>
        </w:rPr>
        <w:t xml:space="preserve">economic </w:t>
      </w:r>
      <w:r w:rsidR="009A0D1C" w:rsidRPr="00C11319">
        <w:rPr>
          <w:rFonts w:asciiTheme="minorHAnsi" w:hAnsiTheme="minorHAnsi" w:cstheme="minorHAnsi"/>
          <w:sz w:val="22"/>
          <w:szCs w:val="22"/>
        </w:rPr>
        <w:t>governance target given the changes to our assistance in this sector</w:t>
      </w:r>
      <w:r w:rsidR="00E131B7" w:rsidRPr="00C11319">
        <w:rPr>
          <w:rFonts w:asciiTheme="minorHAnsi" w:hAnsiTheme="minorHAnsi" w:cstheme="minorHAnsi"/>
          <w:sz w:val="22"/>
          <w:szCs w:val="22"/>
        </w:rPr>
        <w:t xml:space="preserve"> and confirm our rural development targets are appropriate for the recently launched TOMAK program. </w:t>
      </w:r>
      <w:r w:rsidR="009A0D1C" w:rsidRPr="00C11319">
        <w:rPr>
          <w:rFonts w:asciiTheme="minorHAnsi" w:hAnsiTheme="minorHAnsi" w:cstheme="minorHAnsi"/>
          <w:sz w:val="22"/>
          <w:szCs w:val="22"/>
        </w:rPr>
        <w:t xml:space="preserve">We will use the expertise of the M&amp;E house to </w:t>
      </w:r>
      <w:r w:rsidR="00D95159" w:rsidRPr="00C11319">
        <w:rPr>
          <w:rFonts w:asciiTheme="minorHAnsi" w:hAnsiTheme="minorHAnsi" w:cstheme="minorHAnsi"/>
          <w:sz w:val="22"/>
          <w:szCs w:val="22"/>
        </w:rPr>
        <w:t>assist</w:t>
      </w:r>
      <w:r w:rsidR="00E36697" w:rsidRPr="00C11319">
        <w:rPr>
          <w:rFonts w:asciiTheme="minorHAnsi" w:hAnsiTheme="minorHAnsi" w:cstheme="minorHAnsi"/>
          <w:sz w:val="22"/>
          <w:szCs w:val="22"/>
        </w:rPr>
        <w:t xml:space="preserve"> </w:t>
      </w:r>
      <w:r w:rsidR="009A0D1C" w:rsidRPr="00C11319">
        <w:rPr>
          <w:rFonts w:asciiTheme="minorHAnsi" w:hAnsiTheme="minorHAnsi" w:cstheme="minorHAnsi"/>
          <w:sz w:val="22"/>
          <w:szCs w:val="22"/>
        </w:rPr>
        <w:t>make these revisions. The table below outlines the current targets for the next three financial years.</w:t>
      </w:r>
    </w:p>
    <w:p w:rsidR="0003487F" w:rsidRDefault="00517234" w:rsidP="00AB2AB5">
      <w:pPr>
        <w:pStyle w:val="ListBullet"/>
        <w:tabs>
          <w:tab w:val="clear" w:pos="284"/>
        </w:tabs>
        <w:rPr>
          <w:rFonts w:asciiTheme="minorHAnsi" w:hAnsiTheme="minorHAnsi" w:cstheme="minorHAnsi"/>
          <w:sz w:val="22"/>
          <w:szCs w:val="22"/>
        </w:rPr>
      </w:pPr>
      <w:r w:rsidRPr="00C11319">
        <w:rPr>
          <w:rFonts w:asciiTheme="minorHAnsi" w:hAnsiTheme="minorHAnsi" w:cstheme="minorHAnsi"/>
          <w:sz w:val="22"/>
          <w:szCs w:val="22"/>
        </w:rPr>
        <w:t xml:space="preserve">The program continued to track well against DFAT’s ten high level targets for improved accountability and effectiveness outlined in the </w:t>
      </w:r>
      <w:r w:rsidRPr="00C11319">
        <w:rPr>
          <w:rFonts w:asciiTheme="minorHAnsi" w:hAnsiTheme="minorHAnsi" w:cstheme="minorHAnsi"/>
          <w:i/>
          <w:sz w:val="22"/>
          <w:szCs w:val="22"/>
        </w:rPr>
        <w:t>Making Performance Count</w:t>
      </w:r>
      <w:r w:rsidRPr="00C11319">
        <w:rPr>
          <w:rFonts w:asciiTheme="minorHAnsi" w:hAnsiTheme="minorHAnsi" w:cstheme="minorHAnsi"/>
          <w:sz w:val="22"/>
          <w:szCs w:val="22"/>
        </w:rPr>
        <w:t xml:space="preserve"> strategy</w:t>
      </w:r>
      <w:r w:rsidRPr="00517234">
        <w:rPr>
          <w:rFonts w:asciiTheme="minorHAnsi" w:hAnsiTheme="minorHAnsi" w:cstheme="minorHAnsi"/>
          <w:sz w:val="22"/>
          <w:szCs w:val="22"/>
        </w:rPr>
        <w:t>. In 2015-16, 21 per cent of bilateral aid to Timor-Leste was directed to aid-for-trade investments and the program exceeded the target for empowering women and girls with 91 per cent of investments effectively addressing gender issues. The program delivered high standards for value-for-money with 91 per cent of investments meeting effecti</w:t>
      </w:r>
      <w:r w:rsidR="00F1615A">
        <w:rPr>
          <w:rFonts w:asciiTheme="minorHAnsi" w:hAnsiTheme="minorHAnsi" w:cstheme="minorHAnsi"/>
          <w:sz w:val="22"/>
          <w:szCs w:val="22"/>
        </w:rPr>
        <w:t>veness and efficiency standards. O</w:t>
      </w:r>
      <w:r w:rsidRPr="00517234">
        <w:rPr>
          <w:rFonts w:asciiTheme="minorHAnsi" w:hAnsiTheme="minorHAnsi" w:cstheme="minorHAnsi"/>
          <w:sz w:val="22"/>
          <w:szCs w:val="22"/>
        </w:rPr>
        <w:t>ne investment that did not meet value-for-money standards</w:t>
      </w:r>
      <w:r w:rsidR="00F1615A">
        <w:rPr>
          <w:rFonts w:asciiTheme="minorHAnsi" w:hAnsiTheme="minorHAnsi" w:cstheme="minorHAnsi"/>
          <w:sz w:val="22"/>
          <w:szCs w:val="22"/>
        </w:rPr>
        <w:t xml:space="preserve"> was cancelled</w:t>
      </w:r>
      <w:r w:rsidRPr="00517234">
        <w:rPr>
          <w:rFonts w:asciiTheme="minorHAnsi" w:hAnsiTheme="minorHAnsi" w:cstheme="minorHAnsi"/>
          <w:sz w:val="22"/>
          <w:szCs w:val="22"/>
        </w:rPr>
        <w:t xml:space="preserve">. </w:t>
      </w:r>
      <w:r w:rsidR="0003487F">
        <w:rPr>
          <w:rFonts w:asciiTheme="minorHAnsi" w:hAnsiTheme="minorHAnsi" w:cstheme="minorHAnsi"/>
          <w:sz w:val="22"/>
          <w:szCs w:val="22"/>
        </w:rPr>
        <w:t>In 2015-16, the number of investments remained the same</w:t>
      </w:r>
      <w:r w:rsidR="00F1615A">
        <w:rPr>
          <w:rFonts w:asciiTheme="minorHAnsi" w:hAnsiTheme="minorHAnsi" w:cstheme="minorHAnsi"/>
          <w:sz w:val="22"/>
          <w:szCs w:val="22"/>
        </w:rPr>
        <w:t xml:space="preserve"> (having already exceeded the 20 per cent consolidation target)</w:t>
      </w:r>
      <w:r w:rsidR="0003487F">
        <w:rPr>
          <w:rFonts w:asciiTheme="minorHAnsi" w:hAnsiTheme="minorHAnsi" w:cstheme="minorHAnsi"/>
          <w:sz w:val="22"/>
          <w:szCs w:val="22"/>
        </w:rPr>
        <w:t xml:space="preserve"> however the program reduced the overall number of individual agreements and contracts by 16 per cent, improving our efficiency.  </w:t>
      </w:r>
    </w:p>
    <w:p w:rsidR="002A51CA" w:rsidRPr="008C2F58" w:rsidRDefault="002A51CA" w:rsidP="002A51CA">
      <w:pPr>
        <w:pStyle w:val="Caption"/>
        <w:rPr>
          <w:sz w:val="24"/>
        </w:rPr>
      </w:pPr>
      <w:r w:rsidRPr="008C2F58">
        <w:rPr>
          <w:sz w:val="24"/>
        </w:rPr>
        <w:t xml:space="preserve">Performance Benchmarks 2016-17 to 2018-19 </w:t>
      </w:r>
    </w:p>
    <w:tbl>
      <w:tblPr>
        <w:tblStyle w:val="DFATTable"/>
        <w:tblW w:w="4837" w:type="pct"/>
        <w:tblBorders>
          <w:top w:val="none" w:sz="0" w:space="0" w:color="auto"/>
          <w:bottom w:val="none" w:sz="0" w:space="0" w:color="auto"/>
        </w:tblBorders>
        <w:tblLayout w:type="fixed"/>
        <w:tblLook w:val="04A0" w:firstRow="1" w:lastRow="0" w:firstColumn="1" w:lastColumn="0" w:noHBand="0" w:noVBand="1"/>
        <w:tblCaption w:val="Performance Benchmarks 2016-17 to 2018-19"/>
      </w:tblPr>
      <w:tblGrid>
        <w:gridCol w:w="561"/>
        <w:gridCol w:w="4225"/>
        <w:gridCol w:w="1584"/>
        <w:gridCol w:w="1762"/>
        <w:gridCol w:w="1401"/>
      </w:tblGrid>
      <w:tr w:rsidR="00636620" w:rsidTr="004E09A7">
        <w:trPr>
          <w:trHeight w:val="359"/>
          <w:tblHeader/>
        </w:trPr>
        <w:tc>
          <w:tcPr>
            <w:tcW w:w="294" w:type="pct"/>
            <w:tcBorders>
              <w:top w:val="single" w:sz="12" w:space="0" w:color="auto"/>
            </w:tcBorders>
          </w:tcPr>
          <w:p w:rsidR="00636620" w:rsidRPr="00D8342B" w:rsidRDefault="00636620" w:rsidP="0095295A">
            <w:pPr>
              <w:pStyle w:val="Default"/>
              <w:rPr>
                <w:rFonts w:asciiTheme="minorHAnsi" w:hAnsiTheme="minorHAnsi" w:cstheme="minorBidi"/>
                <w:color w:val="auto"/>
                <w:sz w:val="20"/>
                <w:szCs w:val="20"/>
                <w:lang w:val="en-GB"/>
              </w:rPr>
            </w:pPr>
          </w:p>
        </w:tc>
        <w:tc>
          <w:tcPr>
            <w:tcW w:w="2216" w:type="pct"/>
            <w:tcBorders>
              <w:top w:val="single" w:sz="12" w:space="0" w:color="auto"/>
            </w:tcBorders>
          </w:tcPr>
          <w:p w:rsidR="00636620" w:rsidRPr="00D8342B" w:rsidRDefault="00636620" w:rsidP="0095295A">
            <w:pPr>
              <w:pStyle w:val="Default"/>
              <w:rPr>
                <w:rFonts w:asciiTheme="minorHAnsi" w:hAnsiTheme="minorHAnsi" w:cstheme="minorBidi"/>
                <w:color w:val="auto"/>
                <w:sz w:val="20"/>
                <w:szCs w:val="20"/>
                <w:lang w:val="en-GB"/>
              </w:rPr>
            </w:pPr>
          </w:p>
        </w:tc>
        <w:tc>
          <w:tcPr>
            <w:tcW w:w="831" w:type="pct"/>
            <w:tcBorders>
              <w:top w:val="single" w:sz="12" w:space="0" w:color="auto"/>
            </w:tcBorders>
          </w:tcPr>
          <w:p w:rsidR="00636620" w:rsidRPr="00D8342B" w:rsidRDefault="00693276" w:rsidP="00693276">
            <w:pPr>
              <w:pStyle w:val="TableHeading1"/>
              <w:ind w:firstLine="32"/>
              <w:jc w:val="center"/>
              <w:rPr>
                <w:rFonts w:asciiTheme="minorHAnsi" w:hAnsiTheme="minorHAnsi"/>
                <w:sz w:val="20"/>
                <w:szCs w:val="20"/>
              </w:rPr>
            </w:pPr>
            <w:r w:rsidRPr="00D8342B">
              <w:rPr>
                <w:rFonts w:asciiTheme="minorHAnsi" w:hAnsiTheme="minorHAnsi"/>
                <w:sz w:val="20"/>
                <w:szCs w:val="20"/>
              </w:rPr>
              <w:t>2016-17</w:t>
            </w:r>
          </w:p>
        </w:tc>
        <w:tc>
          <w:tcPr>
            <w:tcW w:w="924" w:type="pct"/>
            <w:tcBorders>
              <w:top w:val="single" w:sz="12" w:space="0" w:color="auto"/>
            </w:tcBorders>
          </w:tcPr>
          <w:p w:rsidR="00636620" w:rsidRPr="00D8342B" w:rsidRDefault="00693276" w:rsidP="00693276">
            <w:pPr>
              <w:pStyle w:val="TableHeading1"/>
              <w:ind w:firstLine="32"/>
              <w:jc w:val="center"/>
              <w:rPr>
                <w:rFonts w:asciiTheme="minorHAnsi" w:hAnsiTheme="minorHAnsi"/>
                <w:sz w:val="20"/>
                <w:szCs w:val="20"/>
              </w:rPr>
            </w:pPr>
            <w:r w:rsidRPr="00D8342B">
              <w:rPr>
                <w:rFonts w:asciiTheme="minorHAnsi" w:hAnsiTheme="minorHAnsi"/>
                <w:sz w:val="20"/>
                <w:szCs w:val="20"/>
              </w:rPr>
              <w:t>2017-18</w:t>
            </w:r>
          </w:p>
        </w:tc>
        <w:tc>
          <w:tcPr>
            <w:tcW w:w="735" w:type="pct"/>
            <w:tcBorders>
              <w:top w:val="single" w:sz="12" w:space="0" w:color="auto"/>
            </w:tcBorders>
          </w:tcPr>
          <w:p w:rsidR="00636620" w:rsidRPr="00D8342B" w:rsidRDefault="00693276" w:rsidP="00693276">
            <w:pPr>
              <w:pStyle w:val="TableHeading1"/>
              <w:ind w:firstLine="32"/>
              <w:jc w:val="center"/>
              <w:rPr>
                <w:rFonts w:asciiTheme="minorHAnsi" w:hAnsiTheme="minorHAnsi"/>
                <w:sz w:val="20"/>
                <w:szCs w:val="20"/>
              </w:rPr>
            </w:pPr>
            <w:r w:rsidRPr="00D8342B">
              <w:rPr>
                <w:rFonts w:asciiTheme="minorHAnsi" w:hAnsiTheme="minorHAnsi"/>
                <w:sz w:val="20"/>
                <w:szCs w:val="20"/>
              </w:rPr>
              <w:t>2018-19</w:t>
            </w:r>
          </w:p>
        </w:tc>
      </w:tr>
      <w:tr w:rsidR="00693276" w:rsidTr="00693276">
        <w:trPr>
          <w:trHeight w:val="425"/>
        </w:trPr>
        <w:tc>
          <w:tcPr>
            <w:tcW w:w="5000" w:type="pct"/>
            <w:gridSpan w:val="5"/>
          </w:tcPr>
          <w:p w:rsidR="00693276" w:rsidRPr="00D8342B" w:rsidRDefault="00693276" w:rsidP="00693276">
            <w:pPr>
              <w:pStyle w:val="TableHeading1"/>
              <w:rPr>
                <w:rFonts w:asciiTheme="minorHAnsi" w:hAnsiTheme="minorHAnsi"/>
                <w:sz w:val="20"/>
                <w:szCs w:val="20"/>
              </w:rPr>
            </w:pPr>
            <w:r w:rsidRPr="00D8342B">
              <w:rPr>
                <w:rFonts w:asciiTheme="minorHAnsi" w:hAnsiTheme="minorHAnsi"/>
                <w:sz w:val="20"/>
                <w:szCs w:val="20"/>
              </w:rPr>
              <w:t>Objective 1: Improving livelihoods</w:t>
            </w:r>
          </w:p>
        </w:tc>
      </w:tr>
      <w:tr w:rsidR="00636620" w:rsidTr="00636620">
        <w:trPr>
          <w:trHeight w:val="535"/>
        </w:trPr>
        <w:tc>
          <w:tcPr>
            <w:tcW w:w="294" w:type="pct"/>
            <w:hideMark/>
          </w:tcPr>
          <w:p w:rsidR="00636620" w:rsidRPr="00D8342B" w:rsidRDefault="00636620" w:rsidP="0095295A">
            <w:pPr>
              <w:pStyle w:val="Default"/>
              <w:rPr>
                <w:rFonts w:asciiTheme="minorHAnsi" w:hAnsiTheme="minorHAnsi"/>
                <w:color w:val="auto"/>
                <w:sz w:val="20"/>
                <w:szCs w:val="20"/>
              </w:rPr>
            </w:pPr>
            <w:r w:rsidRPr="00D8342B">
              <w:rPr>
                <w:rFonts w:asciiTheme="minorHAnsi" w:hAnsiTheme="minorHAnsi" w:cstheme="minorBidi"/>
                <w:color w:val="auto"/>
                <w:sz w:val="20"/>
                <w:szCs w:val="20"/>
                <w:lang w:val="en-GB"/>
              </w:rPr>
              <w:t>1.1</w:t>
            </w:r>
            <w:r w:rsidRPr="00D8342B">
              <w:rPr>
                <w:rFonts w:asciiTheme="minorHAnsi" w:hAnsiTheme="minorHAnsi"/>
                <w:color w:val="auto"/>
                <w:sz w:val="20"/>
                <w:szCs w:val="20"/>
              </w:rPr>
              <w:t xml:space="preserve"> </w:t>
            </w:r>
          </w:p>
        </w:tc>
        <w:tc>
          <w:tcPr>
            <w:tcW w:w="2216" w:type="pct"/>
            <w:hideMark/>
          </w:tcPr>
          <w:p w:rsidR="00636620" w:rsidRPr="00D8342B" w:rsidRDefault="00E37257" w:rsidP="0095295A">
            <w:pPr>
              <w:pStyle w:val="Default"/>
              <w:rPr>
                <w:rFonts w:asciiTheme="minorHAnsi" w:hAnsiTheme="minorHAnsi"/>
                <w:color w:val="auto"/>
                <w:sz w:val="20"/>
                <w:szCs w:val="20"/>
              </w:rPr>
            </w:pPr>
            <w:r>
              <w:rPr>
                <w:rFonts w:asciiTheme="minorHAnsi" w:hAnsiTheme="minorHAnsi" w:cstheme="minorBidi"/>
                <w:color w:val="auto"/>
                <w:sz w:val="20"/>
                <w:szCs w:val="20"/>
                <w:lang w:val="en-GB"/>
              </w:rPr>
              <w:t>275</w:t>
            </w:r>
            <w:r w:rsidR="00636620" w:rsidRPr="00D8342B">
              <w:rPr>
                <w:rFonts w:asciiTheme="minorHAnsi" w:hAnsiTheme="minorHAnsi" w:cstheme="minorBidi"/>
                <w:color w:val="auto"/>
                <w:sz w:val="20"/>
                <w:szCs w:val="20"/>
                <w:lang w:val="en-GB"/>
              </w:rPr>
              <w:t>km of additional rural roads are rehabilitated</w:t>
            </w:r>
            <w:r w:rsidR="00636620" w:rsidRPr="00D8342B">
              <w:rPr>
                <w:rFonts w:asciiTheme="minorHAnsi" w:hAnsiTheme="minorHAnsi"/>
                <w:color w:val="auto"/>
                <w:sz w:val="20"/>
                <w:szCs w:val="20"/>
              </w:rPr>
              <w:t xml:space="preserve"> </w:t>
            </w:r>
          </w:p>
        </w:tc>
        <w:tc>
          <w:tcPr>
            <w:tcW w:w="831" w:type="pct"/>
            <w:hideMark/>
          </w:tcPr>
          <w:p w:rsidR="00636620" w:rsidRPr="00D8342B" w:rsidRDefault="00636620" w:rsidP="00636620">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75km</w:t>
            </w:r>
          </w:p>
        </w:tc>
        <w:tc>
          <w:tcPr>
            <w:tcW w:w="924" w:type="pct"/>
            <w:hideMark/>
          </w:tcPr>
          <w:p w:rsidR="00636620" w:rsidRPr="00D8342B" w:rsidRDefault="00636620" w:rsidP="00636620">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100km</w:t>
            </w:r>
          </w:p>
        </w:tc>
        <w:tc>
          <w:tcPr>
            <w:tcW w:w="735" w:type="pct"/>
            <w:hideMark/>
          </w:tcPr>
          <w:p w:rsidR="00636620" w:rsidRPr="00D8342B" w:rsidRDefault="00636620" w:rsidP="00636620">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100km</w:t>
            </w:r>
          </w:p>
        </w:tc>
      </w:tr>
      <w:tr w:rsidR="00636620" w:rsidRPr="009D7414" w:rsidTr="00636620">
        <w:trPr>
          <w:trHeight w:val="614"/>
        </w:trPr>
        <w:tc>
          <w:tcPr>
            <w:tcW w:w="294" w:type="pct"/>
            <w:hideMark/>
          </w:tcPr>
          <w:p w:rsidR="00636620" w:rsidRPr="00D8342B" w:rsidRDefault="0063662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1.2</w:t>
            </w:r>
          </w:p>
        </w:tc>
        <w:tc>
          <w:tcPr>
            <w:tcW w:w="2216" w:type="pct"/>
          </w:tcPr>
          <w:p w:rsidR="00636620" w:rsidRPr="00D8342B" w:rsidRDefault="00C21512" w:rsidP="0095295A">
            <w:pPr>
              <w:pStyle w:val="Default"/>
              <w:rPr>
                <w:rFonts w:asciiTheme="minorHAnsi" w:hAnsiTheme="minorHAnsi" w:cstheme="minorBidi"/>
                <w:color w:val="auto"/>
                <w:sz w:val="20"/>
                <w:szCs w:val="20"/>
                <w:lang w:val="en-GB"/>
              </w:rPr>
            </w:pPr>
            <w:r>
              <w:rPr>
                <w:rFonts w:asciiTheme="minorHAnsi" w:hAnsiTheme="minorHAnsi" w:cstheme="minorBidi"/>
                <w:color w:val="auto"/>
                <w:sz w:val="20"/>
                <w:szCs w:val="20"/>
                <w:lang w:val="en-GB"/>
              </w:rPr>
              <w:t>3</w:t>
            </w:r>
            <w:r w:rsidR="00636620" w:rsidRPr="00D8342B">
              <w:rPr>
                <w:rFonts w:asciiTheme="minorHAnsi" w:hAnsiTheme="minorHAnsi" w:cstheme="minorBidi"/>
                <w:color w:val="auto"/>
                <w:sz w:val="20"/>
                <w:szCs w:val="20"/>
                <w:lang w:val="en-GB"/>
              </w:rPr>
              <w:t>0% of farming households in the targeted area will experience a significant increase in income</w:t>
            </w:r>
          </w:p>
        </w:tc>
        <w:tc>
          <w:tcPr>
            <w:tcW w:w="831" w:type="pct"/>
          </w:tcPr>
          <w:p w:rsidR="00636620" w:rsidRPr="00D8342B" w:rsidRDefault="00465417" w:rsidP="0095295A">
            <w:pPr>
              <w:pStyle w:val="Default"/>
              <w:jc w:val="center"/>
              <w:rPr>
                <w:rFonts w:asciiTheme="minorHAnsi" w:hAnsiTheme="minorHAnsi" w:cstheme="minorBidi"/>
                <w:color w:val="auto"/>
                <w:sz w:val="20"/>
                <w:szCs w:val="20"/>
                <w:lang w:val="en-GB" w:eastAsia="en-US"/>
              </w:rPr>
            </w:pPr>
            <w:r w:rsidRPr="00D8342B">
              <w:rPr>
                <w:rFonts w:asciiTheme="minorHAnsi" w:hAnsiTheme="minorHAnsi" w:cstheme="minorBidi"/>
                <w:color w:val="auto"/>
                <w:sz w:val="20"/>
                <w:szCs w:val="20"/>
                <w:lang w:val="en-GB"/>
              </w:rPr>
              <w:t>10</w:t>
            </w:r>
            <w:r w:rsidR="00636620" w:rsidRPr="00D8342B">
              <w:rPr>
                <w:rFonts w:asciiTheme="minorHAnsi" w:hAnsiTheme="minorHAnsi" w:cstheme="minorBidi"/>
                <w:color w:val="auto"/>
                <w:sz w:val="20"/>
                <w:szCs w:val="20"/>
                <w:lang w:val="en-GB"/>
              </w:rPr>
              <w:t>% of households</w:t>
            </w:r>
          </w:p>
        </w:tc>
        <w:tc>
          <w:tcPr>
            <w:tcW w:w="924" w:type="pct"/>
          </w:tcPr>
          <w:p w:rsidR="00636620" w:rsidRPr="00D8342B" w:rsidRDefault="00465417" w:rsidP="0095295A">
            <w:pPr>
              <w:pStyle w:val="Default"/>
              <w:jc w:val="center"/>
              <w:rPr>
                <w:rFonts w:asciiTheme="minorHAnsi" w:hAnsiTheme="minorHAnsi" w:cstheme="minorBidi"/>
                <w:color w:val="auto"/>
                <w:sz w:val="20"/>
                <w:szCs w:val="20"/>
                <w:lang w:val="en-GB" w:eastAsia="en-US"/>
              </w:rPr>
            </w:pPr>
            <w:r w:rsidRPr="00D8342B">
              <w:rPr>
                <w:rFonts w:asciiTheme="minorHAnsi" w:hAnsiTheme="minorHAnsi" w:cstheme="minorBidi"/>
                <w:color w:val="auto"/>
                <w:sz w:val="20"/>
                <w:szCs w:val="20"/>
                <w:lang w:val="en-GB"/>
              </w:rPr>
              <w:t>20</w:t>
            </w:r>
            <w:r w:rsidR="00636620" w:rsidRPr="00D8342B">
              <w:rPr>
                <w:rFonts w:asciiTheme="minorHAnsi" w:hAnsiTheme="minorHAnsi" w:cstheme="minorBidi"/>
                <w:color w:val="auto"/>
                <w:sz w:val="20"/>
                <w:szCs w:val="20"/>
                <w:lang w:val="en-GB"/>
              </w:rPr>
              <w:t>% of households</w:t>
            </w:r>
          </w:p>
        </w:tc>
        <w:tc>
          <w:tcPr>
            <w:tcW w:w="735" w:type="pct"/>
          </w:tcPr>
          <w:p w:rsidR="00636620" w:rsidRPr="00D8342B" w:rsidRDefault="00465417" w:rsidP="0095295A">
            <w:pPr>
              <w:pStyle w:val="Default"/>
              <w:jc w:val="center"/>
              <w:rPr>
                <w:rFonts w:asciiTheme="minorHAnsi" w:hAnsiTheme="minorHAnsi" w:cstheme="minorBidi"/>
                <w:color w:val="auto"/>
                <w:sz w:val="20"/>
                <w:szCs w:val="20"/>
                <w:lang w:val="en-GB" w:eastAsia="en-US"/>
              </w:rPr>
            </w:pPr>
            <w:r w:rsidRPr="00D8342B">
              <w:rPr>
                <w:rFonts w:asciiTheme="minorHAnsi" w:hAnsiTheme="minorHAnsi" w:cstheme="minorBidi"/>
                <w:color w:val="auto"/>
                <w:sz w:val="20"/>
                <w:szCs w:val="20"/>
                <w:lang w:val="en-GB"/>
              </w:rPr>
              <w:t>30</w:t>
            </w:r>
            <w:r w:rsidR="00636620" w:rsidRPr="00D8342B">
              <w:rPr>
                <w:rFonts w:asciiTheme="minorHAnsi" w:hAnsiTheme="minorHAnsi" w:cstheme="minorBidi"/>
                <w:color w:val="auto"/>
                <w:sz w:val="20"/>
                <w:szCs w:val="20"/>
                <w:lang w:val="en-GB"/>
              </w:rPr>
              <w:t>% of households</w:t>
            </w:r>
          </w:p>
        </w:tc>
      </w:tr>
      <w:tr w:rsidR="00636620" w:rsidRPr="009D7414" w:rsidTr="00636620">
        <w:trPr>
          <w:trHeight w:val="385"/>
        </w:trPr>
        <w:tc>
          <w:tcPr>
            <w:tcW w:w="5000" w:type="pct"/>
            <w:gridSpan w:val="5"/>
          </w:tcPr>
          <w:p w:rsidR="00636620" w:rsidRPr="00D8342B" w:rsidRDefault="00636620" w:rsidP="0095295A">
            <w:pPr>
              <w:pStyle w:val="TableHeading1"/>
              <w:rPr>
                <w:rFonts w:asciiTheme="minorHAnsi" w:hAnsiTheme="minorHAnsi"/>
                <w:sz w:val="20"/>
                <w:szCs w:val="20"/>
              </w:rPr>
            </w:pPr>
            <w:r w:rsidRPr="00D8342B">
              <w:rPr>
                <w:rFonts w:asciiTheme="minorHAnsi" w:hAnsiTheme="minorHAnsi"/>
                <w:sz w:val="20"/>
                <w:szCs w:val="20"/>
              </w:rPr>
              <w:t xml:space="preserve">Objective 2: Enhancing human development </w:t>
            </w:r>
          </w:p>
        </w:tc>
      </w:tr>
      <w:tr w:rsidR="00636620" w:rsidRPr="009D7414" w:rsidTr="007554E0">
        <w:trPr>
          <w:trHeight w:val="614"/>
        </w:trPr>
        <w:tc>
          <w:tcPr>
            <w:tcW w:w="294" w:type="pct"/>
          </w:tcPr>
          <w:p w:rsidR="00636620" w:rsidRPr="00D8342B" w:rsidRDefault="0063662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2.</w:t>
            </w:r>
            <w:r w:rsidR="00BC382C">
              <w:rPr>
                <w:rFonts w:asciiTheme="minorHAnsi" w:hAnsiTheme="minorHAnsi" w:cstheme="minorBidi"/>
                <w:color w:val="auto"/>
                <w:sz w:val="20"/>
                <w:szCs w:val="20"/>
                <w:lang w:val="en-GB"/>
              </w:rPr>
              <w:t>1</w:t>
            </w:r>
          </w:p>
        </w:tc>
        <w:tc>
          <w:tcPr>
            <w:tcW w:w="2216" w:type="pct"/>
          </w:tcPr>
          <w:p w:rsidR="00636620" w:rsidRPr="00D8342B" w:rsidRDefault="00E131B7" w:rsidP="0095295A">
            <w:pPr>
              <w:pStyle w:val="Default"/>
              <w:rPr>
                <w:rFonts w:asciiTheme="minorHAnsi" w:hAnsiTheme="minorHAnsi" w:cstheme="minorBidi"/>
                <w:color w:val="auto"/>
                <w:sz w:val="20"/>
                <w:szCs w:val="20"/>
                <w:lang w:val="en-GB"/>
              </w:rPr>
            </w:pPr>
            <w:r>
              <w:rPr>
                <w:rFonts w:asciiTheme="minorHAnsi" w:hAnsiTheme="minorHAnsi" w:cstheme="minorBidi"/>
                <w:color w:val="auto"/>
                <w:sz w:val="20"/>
                <w:szCs w:val="20"/>
                <w:lang w:val="en-GB"/>
              </w:rPr>
              <w:t>4700</w:t>
            </w:r>
            <w:r w:rsidRPr="00D8342B">
              <w:rPr>
                <w:rFonts w:asciiTheme="minorHAnsi" w:hAnsiTheme="minorHAnsi" w:cstheme="minorBidi"/>
                <w:color w:val="auto"/>
                <w:sz w:val="20"/>
                <w:szCs w:val="20"/>
                <w:lang w:val="en-GB"/>
              </w:rPr>
              <w:t xml:space="preserve"> </w:t>
            </w:r>
            <w:r w:rsidR="00636620" w:rsidRPr="00D8342B">
              <w:rPr>
                <w:rFonts w:asciiTheme="minorHAnsi" w:hAnsiTheme="minorHAnsi" w:cstheme="minorBidi"/>
                <w:color w:val="auto"/>
                <w:sz w:val="20"/>
                <w:szCs w:val="20"/>
                <w:lang w:val="en-GB"/>
              </w:rPr>
              <w:t xml:space="preserve">additional women and girls affected by violence are accessing legal, medical and social support services </w:t>
            </w:r>
          </w:p>
        </w:tc>
        <w:tc>
          <w:tcPr>
            <w:tcW w:w="831" w:type="pct"/>
            <w:shd w:val="clear" w:color="auto" w:fill="auto"/>
          </w:tcPr>
          <w:p w:rsidR="00636620" w:rsidRPr="00D8342B" w:rsidRDefault="002A1708" w:rsidP="0095295A">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1300</w:t>
            </w:r>
          </w:p>
        </w:tc>
        <w:tc>
          <w:tcPr>
            <w:tcW w:w="924" w:type="pct"/>
            <w:shd w:val="clear" w:color="auto" w:fill="auto"/>
          </w:tcPr>
          <w:p w:rsidR="00636620" w:rsidRPr="00D8342B" w:rsidRDefault="002A1708" w:rsidP="0095295A">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 xml:space="preserve">1600 </w:t>
            </w:r>
          </w:p>
        </w:tc>
        <w:tc>
          <w:tcPr>
            <w:tcW w:w="735" w:type="pct"/>
            <w:shd w:val="clear" w:color="auto" w:fill="auto"/>
          </w:tcPr>
          <w:p w:rsidR="00636620" w:rsidRPr="00D8342B" w:rsidRDefault="002A1708" w:rsidP="0095295A">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1800</w:t>
            </w:r>
          </w:p>
        </w:tc>
      </w:tr>
      <w:tr w:rsidR="00636620" w:rsidRPr="009D7414" w:rsidTr="00636620">
        <w:trPr>
          <w:trHeight w:val="614"/>
        </w:trPr>
        <w:tc>
          <w:tcPr>
            <w:tcW w:w="294" w:type="pct"/>
          </w:tcPr>
          <w:p w:rsidR="00636620" w:rsidRPr="00D8342B" w:rsidRDefault="00BC382C" w:rsidP="00BC382C">
            <w:pPr>
              <w:pStyle w:val="Default"/>
              <w:rPr>
                <w:rFonts w:asciiTheme="minorHAnsi" w:hAnsiTheme="minorHAnsi" w:cstheme="minorBidi"/>
                <w:color w:val="auto"/>
                <w:sz w:val="20"/>
                <w:szCs w:val="20"/>
                <w:lang w:val="en-GB"/>
              </w:rPr>
            </w:pPr>
            <w:r>
              <w:rPr>
                <w:rFonts w:asciiTheme="minorHAnsi" w:hAnsiTheme="minorHAnsi" w:cstheme="minorBidi"/>
                <w:color w:val="auto"/>
                <w:sz w:val="20"/>
                <w:szCs w:val="20"/>
                <w:lang w:val="en-GB"/>
              </w:rPr>
              <w:t>2.2</w:t>
            </w:r>
          </w:p>
        </w:tc>
        <w:tc>
          <w:tcPr>
            <w:tcW w:w="2216" w:type="pct"/>
          </w:tcPr>
          <w:p w:rsidR="00636620" w:rsidRPr="00D8342B" w:rsidRDefault="0063662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 xml:space="preserve">80% of village infrastructure built by the National Program for Village Development is rated ‘good’ against technical standards and assessments </w:t>
            </w:r>
          </w:p>
        </w:tc>
        <w:tc>
          <w:tcPr>
            <w:tcW w:w="831" w:type="pct"/>
          </w:tcPr>
          <w:p w:rsidR="00636620" w:rsidRPr="00D8342B" w:rsidRDefault="00636620" w:rsidP="0095295A">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75%</w:t>
            </w:r>
          </w:p>
          <w:p w:rsidR="00636620" w:rsidRPr="00D8342B" w:rsidRDefault="00636620" w:rsidP="0095295A">
            <w:pPr>
              <w:pStyle w:val="Default"/>
              <w:jc w:val="center"/>
              <w:rPr>
                <w:rFonts w:asciiTheme="minorHAnsi" w:hAnsiTheme="minorHAnsi" w:cstheme="minorBidi"/>
                <w:color w:val="auto"/>
                <w:sz w:val="20"/>
                <w:szCs w:val="20"/>
                <w:lang w:val="en-GB"/>
              </w:rPr>
            </w:pPr>
          </w:p>
        </w:tc>
        <w:tc>
          <w:tcPr>
            <w:tcW w:w="924" w:type="pct"/>
          </w:tcPr>
          <w:p w:rsidR="00636620" w:rsidRPr="00D8342B" w:rsidRDefault="00636620" w:rsidP="0095295A">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80%</w:t>
            </w:r>
          </w:p>
          <w:p w:rsidR="00636620" w:rsidRPr="00D8342B" w:rsidRDefault="00636620" w:rsidP="0095295A">
            <w:pPr>
              <w:pStyle w:val="Default"/>
              <w:jc w:val="center"/>
              <w:rPr>
                <w:rFonts w:asciiTheme="minorHAnsi" w:hAnsiTheme="minorHAnsi" w:cstheme="minorBidi"/>
                <w:color w:val="auto"/>
                <w:sz w:val="20"/>
                <w:szCs w:val="20"/>
                <w:lang w:val="en-GB"/>
              </w:rPr>
            </w:pPr>
          </w:p>
        </w:tc>
        <w:tc>
          <w:tcPr>
            <w:tcW w:w="735" w:type="pct"/>
          </w:tcPr>
          <w:p w:rsidR="00636620" w:rsidRPr="00D8342B" w:rsidRDefault="00636620" w:rsidP="0095295A">
            <w:pPr>
              <w:pStyle w:val="Default"/>
              <w:jc w:val="center"/>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80%</w:t>
            </w:r>
          </w:p>
        </w:tc>
      </w:tr>
      <w:tr w:rsidR="00636620" w:rsidRPr="009D7414" w:rsidTr="00636620">
        <w:trPr>
          <w:trHeight w:val="446"/>
        </w:trPr>
        <w:tc>
          <w:tcPr>
            <w:tcW w:w="5000" w:type="pct"/>
            <w:gridSpan w:val="5"/>
          </w:tcPr>
          <w:p w:rsidR="00636620" w:rsidRPr="00D8342B" w:rsidRDefault="00636620" w:rsidP="0095295A">
            <w:pPr>
              <w:pStyle w:val="TableHeading1"/>
              <w:rPr>
                <w:rFonts w:asciiTheme="minorHAnsi" w:hAnsiTheme="minorHAnsi"/>
                <w:sz w:val="20"/>
                <w:szCs w:val="20"/>
              </w:rPr>
            </w:pPr>
            <w:r w:rsidRPr="00D8342B">
              <w:rPr>
                <w:rFonts w:asciiTheme="minorHAnsi" w:hAnsiTheme="minorHAnsi"/>
                <w:sz w:val="20"/>
                <w:szCs w:val="20"/>
              </w:rPr>
              <w:t>Objective 3: Strengthening governance and institutions</w:t>
            </w:r>
          </w:p>
        </w:tc>
      </w:tr>
      <w:tr w:rsidR="00AB3C90" w:rsidRPr="009D7414" w:rsidTr="00636620">
        <w:trPr>
          <w:trHeight w:val="614"/>
        </w:trPr>
        <w:tc>
          <w:tcPr>
            <w:tcW w:w="294" w:type="pct"/>
          </w:tcPr>
          <w:p w:rsidR="00AB3C90" w:rsidRPr="00D8342B" w:rsidRDefault="00BC382C" w:rsidP="0095295A">
            <w:pPr>
              <w:pStyle w:val="Default"/>
              <w:rPr>
                <w:rFonts w:asciiTheme="minorHAnsi" w:hAnsiTheme="minorHAnsi" w:cstheme="minorBidi"/>
                <w:color w:val="auto"/>
                <w:sz w:val="20"/>
                <w:szCs w:val="20"/>
                <w:lang w:val="en-GB"/>
              </w:rPr>
            </w:pPr>
            <w:r>
              <w:rPr>
                <w:rFonts w:asciiTheme="minorHAnsi" w:hAnsiTheme="minorHAnsi" w:cstheme="minorBidi"/>
                <w:color w:val="auto"/>
                <w:sz w:val="20"/>
                <w:szCs w:val="20"/>
                <w:lang w:val="en-GB"/>
              </w:rPr>
              <w:t>3.1</w:t>
            </w:r>
          </w:p>
        </w:tc>
        <w:tc>
          <w:tcPr>
            <w:tcW w:w="2216" w:type="pct"/>
          </w:tcPr>
          <w:p w:rsidR="00AB3C90" w:rsidRPr="00D8342B" w:rsidRDefault="00AB3C9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 xml:space="preserve">Improvements in the rating of police in a small set (4) of specific questions in a yearly national Community Perceptions Survey </w:t>
            </w:r>
          </w:p>
        </w:tc>
        <w:tc>
          <w:tcPr>
            <w:tcW w:w="831" w:type="pct"/>
          </w:tcPr>
          <w:p w:rsidR="00AB3C90" w:rsidRPr="00D8342B" w:rsidRDefault="00AB3C9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 xml:space="preserve">improvement on 1 or more measures </w:t>
            </w:r>
          </w:p>
          <w:p w:rsidR="00AB3C90" w:rsidRPr="00D8342B" w:rsidRDefault="00AB3C90" w:rsidP="0095295A">
            <w:pPr>
              <w:pStyle w:val="Default"/>
              <w:rPr>
                <w:rFonts w:asciiTheme="minorHAnsi" w:hAnsiTheme="minorHAnsi" w:cstheme="minorBidi"/>
                <w:color w:val="auto"/>
                <w:sz w:val="20"/>
                <w:szCs w:val="20"/>
                <w:lang w:val="en-GB"/>
              </w:rPr>
            </w:pPr>
          </w:p>
        </w:tc>
        <w:tc>
          <w:tcPr>
            <w:tcW w:w="924" w:type="pct"/>
          </w:tcPr>
          <w:p w:rsidR="00AB3C90" w:rsidRPr="00D8342B" w:rsidRDefault="00AB3C9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 xml:space="preserve">improvement on 2 or more measures </w:t>
            </w:r>
          </w:p>
          <w:p w:rsidR="00AB3C90" w:rsidRPr="00D8342B" w:rsidRDefault="00AB3C90" w:rsidP="0095295A">
            <w:pPr>
              <w:pStyle w:val="Default"/>
              <w:rPr>
                <w:rFonts w:asciiTheme="minorHAnsi" w:hAnsiTheme="minorHAnsi" w:cstheme="minorBidi"/>
                <w:color w:val="auto"/>
                <w:sz w:val="20"/>
                <w:szCs w:val="20"/>
                <w:lang w:val="en-GB"/>
              </w:rPr>
            </w:pPr>
          </w:p>
        </w:tc>
        <w:tc>
          <w:tcPr>
            <w:tcW w:w="735" w:type="pct"/>
          </w:tcPr>
          <w:p w:rsidR="00AB3C90" w:rsidRPr="00D8342B" w:rsidRDefault="00AB3C9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 xml:space="preserve">improvement on all 4 measures </w:t>
            </w:r>
          </w:p>
          <w:p w:rsidR="00AB3C90" w:rsidRPr="00D8342B" w:rsidRDefault="00AB3C90" w:rsidP="0095295A">
            <w:pPr>
              <w:pStyle w:val="Default"/>
              <w:rPr>
                <w:rFonts w:asciiTheme="minorHAnsi" w:hAnsiTheme="minorHAnsi" w:cstheme="minorBidi"/>
                <w:color w:val="auto"/>
                <w:sz w:val="20"/>
                <w:szCs w:val="20"/>
                <w:lang w:val="en-GB"/>
              </w:rPr>
            </w:pPr>
          </w:p>
        </w:tc>
      </w:tr>
      <w:tr w:rsidR="00AB3C90" w:rsidRPr="009D7414" w:rsidTr="00636620">
        <w:trPr>
          <w:trHeight w:val="386"/>
        </w:trPr>
        <w:tc>
          <w:tcPr>
            <w:tcW w:w="5000" w:type="pct"/>
            <w:gridSpan w:val="5"/>
          </w:tcPr>
          <w:p w:rsidR="00AB3C90" w:rsidRPr="00D8342B" w:rsidRDefault="00AB3C90" w:rsidP="0095295A">
            <w:pPr>
              <w:pStyle w:val="TableHeading1"/>
              <w:rPr>
                <w:rFonts w:asciiTheme="minorHAnsi" w:hAnsiTheme="minorHAnsi"/>
                <w:sz w:val="20"/>
                <w:szCs w:val="20"/>
              </w:rPr>
            </w:pPr>
            <w:r w:rsidRPr="00D8342B">
              <w:rPr>
                <w:rFonts w:asciiTheme="minorHAnsi" w:hAnsiTheme="minorHAnsi"/>
                <w:sz w:val="20"/>
                <w:szCs w:val="20"/>
              </w:rPr>
              <w:t xml:space="preserve">Multi-sector performance benchmark </w:t>
            </w:r>
          </w:p>
        </w:tc>
      </w:tr>
      <w:tr w:rsidR="00AB3C90" w:rsidRPr="009D7414" w:rsidTr="00636620">
        <w:trPr>
          <w:trHeight w:val="614"/>
        </w:trPr>
        <w:tc>
          <w:tcPr>
            <w:tcW w:w="294" w:type="pct"/>
            <w:tcBorders>
              <w:bottom w:val="single" w:sz="12" w:space="0" w:color="auto"/>
            </w:tcBorders>
          </w:tcPr>
          <w:p w:rsidR="00AB3C90" w:rsidRPr="00D8342B" w:rsidRDefault="00AB3C90" w:rsidP="0095295A">
            <w:pPr>
              <w:pStyle w:val="Default"/>
              <w:rPr>
                <w:rFonts w:asciiTheme="minorHAnsi" w:hAnsiTheme="minorHAnsi" w:cstheme="minorBidi"/>
                <w:color w:val="auto"/>
                <w:sz w:val="20"/>
                <w:szCs w:val="20"/>
                <w:lang w:val="en-GB"/>
              </w:rPr>
            </w:pPr>
          </w:p>
        </w:tc>
        <w:tc>
          <w:tcPr>
            <w:tcW w:w="2216" w:type="pct"/>
            <w:tcBorders>
              <w:bottom w:val="single" w:sz="12" w:space="0" w:color="auto"/>
            </w:tcBorders>
          </w:tcPr>
          <w:p w:rsidR="00AB3C90" w:rsidRPr="00D8342B" w:rsidRDefault="00AB3C9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 xml:space="preserve">By 2018-19, the prevalence of stunting among children 0-23 months in target sites reduces by 10% of 2015-16 prevalence. </w:t>
            </w:r>
          </w:p>
        </w:tc>
        <w:tc>
          <w:tcPr>
            <w:tcW w:w="831" w:type="pct"/>
            <w:tcBorders>
              <w:bottom w:val="single" w:sz="12" w:space="0" w:color="auto"/>
            </w:tcBorders>
          </w:tcPr>
          <w:p w:rsidR="00AB3C90" w:rsidRPr="00D8342B" w:rsidRDefault="00AB3C90" w:rsidP="0095295A">
            <w:pPr>
              <w:pStyle w:val="Default"/>
              <w:rPr>
                <w:rFonts w:asciiTheme="minorHAnsi" w:hAnsiTheme="minorHAnsi" w:cstheme="minorBidi"/>
                <w:color w:val="auto"/>
                <w:sz w:val="20"/>
                <w:szCs w:val="20"/>
                <w:lang w:val="en-GB"/>
              </w:rPr>
            </w:pPr>
          </w:p>
        </w:tc>
        <w:tc>
          <w:tcPr>
            <w:tcW w:w="924" w:type="pct"/>
            <w:tcBorders>
              <w:bottom w:val="single" w:sz="12" w:space="0" w:color="auto"/>
            </w:tcBorders>
          </w:tcPr>
          <w:p w:rsidR="00AB3C90" w:rsidRPr="00D8342B" w:rsidRDefault="00AB3C90" w:rsidP="0095295A">
            <w:pPr>
              <w:pStyle w:val="Default"/>
              <w:rPr>
                <w:rFonts w:asciiTheme="minorHAnsi" w:hAnsiTheme="minorHAnsi" w:cstheme="minorBidi"/>
                <w:color w:val="auto"/>
                <w:sz w:val="20"/>
                <w:szCs w:val="20"/>
                <w:lang w:val="en-GB"/>
              </w:rPr>
            </w:pPr>
          </w:p>
        </w:tc>
        <w:tc>
          <w:tcPr>
            <w:tcW w:w="735" w:type="pct"/>
            <w:tcBorders>
              <w:bottom w:val="single" w:sz="12" w:space="0" w:color="auto"/>
            </w:tcBorders>
          </w:tcPr>
          <w:p w:rsidR="00AB3C90" w:rsidRPr="00D8342B" w:rsidRDefault="00AB3C90" w:rsidP="0095295A">
            <w:pPr>
              <w:pStyle w:val="Default"/>
              <w:rPr>
                <w:rFonts w:asciiTheme="minorHAnsi" w:hAnsiTheme="minorHAnsi" w:cstheme="minorBidi"/>
                <w:color w:val="auto"/>
                <w:sz w:val="20"/>
                <w:szCs w:val="20"/>
                <w:lang w:val="en-GB"/>
              </w:rPr>
            </w:pPr>
            <w:r w:rsidRPr="00D8342B">
              <w:rPr>
                <w:rFonts w:asciiTheme="minorHAnsi" w:hAnsiTheme="minorHAnsi" w:cstheme="minorBidi"/>
                <w:color w:val="auto"/>
                <w:sz w:val="20"/>
                <w:szCs w:val="20"/>
                <w:lang w:val="en-GB"/>
              </w:rPr>
              <w:t xml:space="preserve">10% reduction from baseline (2015-16) </w:t>
            </w:r>
          </w:p>
        </w:tc>
      </w:tr>
    </w:tbl>
    <w:p w:rsidR="002A51CA" w:rsidRDefault="002A51CA" w:rsidP="002A51CA">
      <w:pPr>
        <w:pStyle w:val="Heading2"/>
      </w:pPr>
      <w:r>
        <w:t>Mutual obligations</w:t>
      </w:r>
    </w:p>
    <w:p w:rsidR="00A37274" w:rsidRDefault="007F125F" w:rsidP="006D131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In</w:t>
      </w:r>
      <w:r w:rsidR="006D131F">
        <w:rPr>
          <w:rFonts w:asciiTheme="minorHAnsi" w:hAnsiTheme="minorHAnsi" w:cstheme="minorHAnsi"/>
          <w:sz w:val="22"/>
          <w:szCs w:val="22"/>
        </w:rPr>
        <w:t xml:space="preserve"> the 2011 </w:t>
      </w:r>
      <w:r w:rsidR="006D131F">
        <w:rPr>
          <w:rFonts w:asciiTheme="minorHAnsi" w:hAnsiTheme="minorHAnsi" w:cstheme="minorHAnsi"/>
          <w:i/>
          <w:sz w:val="22"/>
          <w:szCs w:val="22"/>
        </w:rPr>
        <w:t>Strategic Planning Agreement for Development</w:t>
      </w:r>
      <w:r>
        <w:rPr>
          <w:rFonts w:asciiTheme="minorHAnsi" w:hAnsiTheme="minorHAnsi" w:cstheme="minorHAnsi"/>
          <w:sz w:val="22"/>
          <w:szCs w:val="22"/>
        </w:rPr>
        <w:t xml:space="preserve">, </w:t>
      </w:r>
      <w:r w:rsidR="006D131F">
        <w:rPr>
          <w:rFonts w:asciiTheme="minorHAnsi" w:hAnsiTheme="minorHAnsi" w:cstheme="minorHAnsi"/>
          <w:sz w:val="22"/>
          <w:szCs w:val="22"/>
        </w:rPr>
        <w:t xml:space="preserve">Australia committed to delivering a high quality program in line with Timor-Leste’s own </w:t>
      </w:r>
      <w:r w:rsidR="006D131F">
        <w:rPr>
          <w:rFonts w:asciiTheme="minorHAnsi" w:hAnsiTheme="minorHAnsi" w:cstheme="minorHAnsi"/>
          <w:i/>
          <w:sz w:val="22"/>
          <w:szCs w:val="22"/>
        </w:rPr>
        <w:t>Strategic Development Plan</w:t>
      </w:r>
      <w:r w:rsidR="006D131F">
        <w:rPr>
          <w:rFonts w:asciiTheme="minorHAnsi" w:hAnsiTheme="minorHAnsi" w:cstheme="minorHAnsi"/>
          <w:sz w:val="22"/>
          <w:szCs w:val="22"/>
        </w:rPr>
        <w:t xml:space="preserve"> and sectoral development plans</w:t>
      </w:r>
      <w:r>
        <w:rPr>
          <w:rFonts w:asciiTheme="minorHAnsi" w:hAnsiTheme="minorHAnsi" w:cstheme="minorHAnsi"/>
          <w:sz w:val="22"/>
          <w:szCs w:val="22"/>
        </w:rPr>
        <w:t xml:space="preserve"> and </w:t>
      </w:r>
      <w:r w:rsidR="006D131F">
        <w:rPr>
          <w:rFonts w:asciiTheme="minorHAnsi" w:hAnsiTheme="minorHAnsi" w:cstheme="minorHAnsi"/>
          <w:sz w:val="22"/>
          <w:szCs w:val="22"/>
        </w:rPr>
        <w:t xml:space="preserve">Timor-Leste committed to pursuing poverty reduction and inclusive economic growth. Our assistance has been delivered in line with </w:t>
      </w:r>
      <w:r w:rsidR="00A37274">
        <w:rPr>
          <w:rFonts w:asciiTheme="minorHAnsi" w:hAnsiTheme="minorHAnsi" w:cstheme="minorHAnsi"/>
          <w:sz w:val="22"/>
          <w:szCs w:val="22"/>
        </w:rPr>
        <w:t xml:space="preserve">the principles and sector priorities identified in </w:t>
      </w:r>
      <w:r w:rsidR="00C93702">
        <w:rPr>
          <w:rFonts w:asciiTheme="minorHAnsi" w:hAnsiTheme="minorHAnsi" w:cstheme="minorHAnsi"/>
          <w:sz w:val="22"/>
          <w:szCs w:val="22"/>
        </w:rPr>
        <w:t>both the Agreement and Strategic Plan</w:t>
      </w:r>
      <w:r w:rsidR="00A37274">
        <w:rPr>
          <w:rFonts w:asciiTheme="minorHAnsi" w:hAnsiTheme="minorHAnsi" w:cstheme="minorHAnsi"/>
          <w:sz w:val="22"/>
          <w:szCs w:val="22"/>
        </w:rPr>
        <w:t xml:space="preserve">. </w:t>
      </w:r>
      <w:r w:rsidR="00C93702">
        <w:rPr>
          <w:rFonts w:asciiTheme="minorHAnsi" w:hAnsiTheme="minorHAnsi" w:cstheme="minorHAnsi"/>
          <w:sz w:val="22"/>
          <w:szCs w:val="22"/>
        </w:rPr>
        <w:t xml:space="preserve">An update to the Strategic Planning Agreement and high level talks were not </w:t>
      </w:r>
      <w:r w:rsidR="002C3F76">
        <w:rPr>
          <w:rFonts w:asciiTheme="minorHAnsi" w:hAnsiTheme="minorHAnsi" w:cstheme="minorHAnsi"/>
          <w:sz w:val="22"/>
          <w:szCs w:val="22"/>
        </w:rPr>
        <w:t>pursued</w:t>
      </w:r>
      <w:r w:rsidR="0036128D">
        <w:rPr>
          <w:rFonts w:asciiTheme="minorHAnsi" w:hAnsiTheme="minorHAnsi" w:cstheme="minorHAnsi"/>
          <w:sz w:val="22"/>
          <w:szCs w:val="22"/>
        </w:rPr>
        <w:t xml:space="preserve"> </w:t>
      </w:r>
      <w:r w:rsidR="00C93702">
        <w:rPr>
          <w:rFonts w:asciiTheme="minorHAnsi" w:hAnsiTheme="minorHAnsi" w:cstheme="minorHAnsi"/>
          <w:sz w:val="22"/>
          <w:szCs w:val="22"/>
        </w:rPr>
        <w:t>in 2015</w:t>
      </w:r>
      <w:r>
        <w:rPr>
          <w:rFonts w:asciiTheme="minorHAnsi" w:hAnsiTheme="minorHAnsi" w:cstheme="minorHAnsi"/>
          <w:sz w:val="22"/>
          <w:szCs w:val="22"/>
        </w:rPr>
        <w:t>.</w:t>
      </w:r>
      <w:r w:rsidR="00C93702">
        <w:rPr>
          <w:rFonts w:asciiTheme="minorHAnsi" w:hAnsiTheme="minorHAnsi" w:cstheme="minorHAnsi"/>
          <w:sz w:val="22"/>
          <w:szCs w:val="22"/>
        </w:rPr>
        <w:t xml:space="preserve"> </w:t>
      </w:r>
    </w:p>
    <w:p w:rsidR="00060A32" w:rsidRDefault="00A37274" w:rsidP="006D131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We</w:t>
      </w:r>
      <w:r w:rsidR="006D131F">
        <w:rPr>
          <w:rFonts w:asciiTheme="minorHAnsi" w:hAnsiTheme="minorHAnsi" w:cstheme="minorHAnsi"/>
          <w:sz w:val="22"/>
          <w:szCs w:val="22"/>
        </w:rPr>
        <w:t xml:space="preserve"> regula</w:t>
      </w:r>
      <w:r w:rsidR="00E929BE">
        <w:rPr>
          <w:rFonts w:asciiTheme="minorHAnsi" w:hAnsiTheme="minorHAnsi" w:cstheme="minorHAnsi"/>
          <w:sz w:val="22"/>
          <w:szCs w:val="22"/>
        </w:rPr>
        <w:t>rly discuss and consult with</w:t>
      </w:r>
      <w:r w:rsidR="00282944">
        <w:rPr>
          <w:rFonts w:asciiTheme="minorHAnsi" w:hAnsiTheme="minorHAnsi" w:cstheme="minorHAnsi"/>
          <w:sz w:val="22"/>
          <w:szCs w:val="22"/>
        </w:rPr>
        <w:t xml:space="preserve"> government partners and </w:t>
      </w:r>
      <w:r w:rsidR="006D131F">
        <w:rPr>
          <w:rFonts w:asciiTheme="minorHAnsi" w:hAnsiTheme="minorHAnsi" w:cstheme="minorHAnsi"/>
          <w:sz w:val="22"/>
          <w:szCs w:val="22"/>
        </w:rPr>
        <w:t xml:space="preserve">have particularly strong relationships </w:t>
      </w:r>
      <w:r w:rsidR="0002327A">
        <w:rPr>
          <w:rFonts w:asciiTheme="minorHAnsi" w:hAnsiTheme="minorHAnsi" w:cstheme="minorHAnsi"/>
          <w:sz w:val="22"/>
          <w:szCs w:val="22"/>
        </w:rPr>
        <w:t xml:space="preserve">and regular senior level engagement </w:t>
      </w:r>
      <w:r w:rsidR="006D131F">
        <w:rPr>
          <w:rFonts w:asciiTheme="minorHAnsi" w:hAnsiTheme="minorHAnsi" w:cstheme="minorHAnsi"/>
          <w:sz w:val="22"/>
          <w:szCs w:val="22"/>
        </w:rPr>
        <w:t>with the M</w:t>
      </w:r>
      <w:r w:rsidR="00C230E1">
        <w:rPr>
          <w:rFonts w:asciiTheme="minorHAnsi" w:hAnsiTheme="minorHAnsi" w:cstheme="minorHAnsi"/>
          <w:sz w:val="22"/>
          <w:szCs w:val="22"/>
        </w:rPr>
        <w:t>oH</w:t>
      </w:r>
      <w:r w:rsidR="006D131F">
        <w:rPr>
          <w:rFonts w:asciiTheme="minorHAnsi" w:hAnsiTheme="minorHAnsi" w:cstheme="minorHAnsi"/>
          <w:sz w:val="22"/>
          <w:szCs w:val="22"/>
        </w:rPr>
        <w:t>, the M</w:t>
      </w:r>
      <w:r w:rsidR="00C230E1">
        <w:rPr>
          <w:rFonts w:asciiTheme="minorHAnsi" w:hAnsiTheme="minorHAnsi" w:cstheme="minorHAnsi"/>
          <w:sz w:val="22"/>
          <w:szCs w:val="22"/>
        </w:rPr>
        <w:t>oE</w:t>
      </w:r>
      <w:r w:rsidR="006D131F">
        <w:rPr>
          <w:rFonts w:asciiTheme="minorHAnsi" w:hAnsiTheme="minorHAnsi" w:cstheme="minorHAnsi"/>
          <w:sz w:val="22"/>
          <w:szCs w:val="22"/>
        </w:rPr>
        <w:t xml:space="preserve"> and the M</w:t>
      </w:r>
      <w:r w:rsidR="00C230E1">
        <w:rPr>
          <w:rFonts w:asciiTheme="minorHAnsi" w:hAnsiTheme="minorHAnsi" w:cstheme="minorHAnsi"/>
          <w:sz w:val="22"/>
          <w:szCs w:val="22"/>
        </w:rPr>
        <w:t>AF</w:t>
      </w:r>
      <w:r w:rsidR="00B11CEF">
        <w:rPr>
          <w:rFonts w:asciiTheme="minorHAnsi" w:hAnsiTheme="minorHAnsi" w:cstheme="minorHAnsi"/>
          <w:sz w:val="22"/>
          <w:szCs w:val="22"/>
        </w:rPr>
        <w:t xml:space="preserve"> with whom w</w:t>
      </w:r>
      <w:r w:rsidR="00E929BE">
        <w:rPr>
          <w:rFonts w:asciiTheme="minorHAnsi" w:hAnsiTheme="minorHAnsi" w:cstheme="minorHAnsi"/>
          <w:sz w:val="22"/>
          <w:szCs w:val="22"/>
        </w:rPr>
        <w:t>e implement</w:t>
      </w:r>
      <w:r w:rsidR="00CA29DD">
        <w:rPr>
          <w:rFonts w:asciiTheme="minorHAnsi" w:hAnsiTheme="minorHAnsi" w:cstheme="minorHAnsi"/>
          <w:sz w:val="22"/>
          <w:szCs w:val="22"/>
        </w:rPr>
        <w:t xml:space="preserve"> </w:t>
      </w:r>
      <w:r w:rsidR="00E929BE">
        <w:rPr>
          <w:rFonts w:asciiTheme="minorHAnsi" w:hAnsiTheme="minorHAnsi" w:cstheme="minorHAnsi"/>
          <w:sz w:val="22"/>
          <w:szCs w:val="22"/>
        </w:rPr>
        <w:t>j</w:t>
      </w:r>
      <w:r w:rsidR="00CA29DD">
        <w:rPr>
          <w:rFonts w:asciiTheme="minorHAnsi" w:hAnsiTheme="minorHAnsi" w:cstheme="minorHAnsi"/>
          <w:sz w:val="22"/>
          <w:szCs w:val="22"/>
        </w:rPr>
        <w:t xml:space="preserve">ointly agreed priorities and annual work plans. </w:t>
      </w:r>
    </w:p>
    <w:p w:rsidR="006D131F" w:rsidRDefault="00A7512C" w:rsidP="006D131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I</w:t>
      </w:r>
      <w:r w:rsidR="006D131F">
        <w:rPr>
          <w:rFonts w:asciiTheme="minorHAnsi" w:hAnsiTheme="minorHAnsi" w:cstheme="minorHAnsi"/>
          <w:sz w:val="22"/>
          <w:szCs w:val="22"/>
        </w:rPr>
        <w:t xml:space="preserve">n line with Australia and Timor-Leste’s commitments under the </w:t>
      </w:r>
      <w:r w:rsidR="006D131F">
        <w:rPr>
          <w:rFonts w:asciiTheme="minorHAnsi" w:hAnsiTheme="minorHAnsi" w:cstheme="minorHAnsi"/>
          <w:i/>
          <w:sz w:val="22"/>
          <w:szCs w:val="22"/>
        </w:rPr>
        <w:t>New Deal for Engagement in Fragil</w:t>
      </w:r>
      <w:r w:rsidR="009D25F9">
        <w:rPr>
          <w:rFonts w:asciiTheme="minorHAnsi" w:hAnsiTheme="minorHAnsi" w:cstheme="minorHAnsi"/>
          <w:i/>
          <w:sz w:val="22"/>
          <w:szCs w:val="22"/>
        </w:rPr>
        <w:t>e States</w:t>
      </w:r>
      <w:r w:rsidR="00E81908">
        <w:rPr>
          <w:rFonts w:asciiTheme="minorHAnsi" w:hAnsiTheme="minorHAnsi" w:cstheme="minorHAnsi"/>
          <w:i/>
          <w:sz w:val="22"/>
          <w:szCs w:val="22"/>
        </w:rPr>
        <w:t>,</w:t>
      </w:r>
      <w:r w:rsidR="009D25F9">
        <w:rPr>
          <w:rFonts w:asciiTheme="minorHAnsi" w:hAnsiTheme="minorHAnsi" w:cstheme="minorHAnsi"/>
          <w:i/>
          <w:sz w:val="22"/>
          <w:szCs w:val="22"/>
        </w:rPr>
        <w:t xml:space="preserve"> </w:t>
      </w:r>
      <w:r w:rsidR="009D25F9">
        <w:rPr>
          <w:rFonts w:asciiTheme="minorHAnsi" w:hAnsiTheme="minorHAnsi" w:cstheme="minorHAnsi"/>
          <w:sz w:val="22"/>
          <w:szCs w:val="22"/>
        </w:rPr>
        <w:t>our investments</w:t>
      </w:r>
      <w:r w:rsidR="00E81908">
        <w:rPr>
          <w:rFonts w:asciiTheme="minorHAnsi" w:hAnsiTheme="minorHAnsi" w:cstheme="minorHAnsi"/>
          <w:sz w:val="22"/>
          <w:szCs w:val="22"/>
        </w:rPr>
        <w:t xml:space="preserve"> that </w:t>
      </w:r>
      <w:r w:rsidR="006D131F">
        <w:rPr>
          <w:rFonts w:asciiTheme="minorHAnsi" w:hAnsiTheme="minorHAnsi" w:cstheme="minorHAnsi"/>
          <w:sz w:val="22"/>
          <w:szCs w:val="22"/>
        </w:rPr>
        <w:t>strengthen and support</w:t>
      </w:r>
      <w:r>
        <w:rPr>
          <w:rFonts w:asciiTheme="minorHAnsi" w:hAnsiTheme="minorHAnsi" w:cstheme="minorHAnsi"/>
          <w:sz w:val="22"/>
          <w:szCs w:val="22"/>
        </w:rPr>
        <w:t xml:space="preserve"> </w:t>
      </w:r>
      <w:r w:rsidR="00E81908">
        <w:rPr>
          <w:rFonts w:asciiTheme="minorHAnsi" w:hAnsiTheme="minorHAnsi" w:cstheme="minorHAnsi"/>
          <w:sz w:val="22"/>
          <w:szCs w:val="22"/>
        </w:rPr>
        <w:t xml:space="preserve">Timorese </w:t>
      </w:r>
      <w:r w:rsidR="00C230E1">
        <w:rPr>
          <w:rFonts w:asciiTheme="minorHAnsi" w:hAnsiTheme="minorHAnsi" w:cstheme="minorHAnsi"/>
          <w:sz w:val="22"/>
          <w:szCs w:val="22"/>
        </w:rPr>
        <w:t>G</w:t>
      </w:r>
      <w:r>
        <w:rPr>
          <w:rFonts w:asciiTheme="minorHAnsi" w:hAnsiTheme="minorHAnsi" w:cstheme="minorHAnsi"/>
          <w:sz w:val="22"/>
          <w:szCs w:val="22"/>
        </w:rPr>
        <w:t>overnment systems</w:t>
      </w:r>
      <w:r w:rsidR="00E81908">
        <w:rPr>
          <w:rFonts w:asciiTheme="minorHAnsi" w:hAnsiTheme="minorHAnsi" w:cstheme="minorHAnsi"/>
          <w:sz w:val="22"/>
          <w:szCs w:val="22"/>
        </w:rPr>
        <w:t xml:space="preserve"> include</w:t>
      </w:r>
      <w:r w:rsidR="006D131F">
        <w:rPr>
          <w:rFonts w:asciiTheme="minorHAnsi" w:hAnsiTheme="minorHAnsi" w:cstheme="minorHAnsi"/>
          <w:sz w:val="22"/>
          <w:szCs w:val="22"/>
        </w:rPr>
        <w:t xml:space="preserve"> Governance for Development (working with the </w:t>
      </w:r>
      <w:r w:rsidR="00C230E1">
        <w:rPr>
          <w:rFonts w:asciiTheme="minorHAnsi" w:hAnsiTheme="minorHAnsi" w:cstheme="minorHAnsi"/>
          <w:sz w:val="22"/>
          <w:szCs w:val="22"/>
        </w:rPr>
        <w:t xml:space="preserve">OPM </w:t>
      </w:r>
      <w:r w:rsidR="006D131F">
        <w:rPr>
          <w:rFonts w:asciiTheme="minorHAnsi" w:hAnsiTheme="minorHAnsi" w:cstheme="minorHAnsi"/>
          <w:sz w:val="22"/>
          <w:szCs w:val="22"/>
        </w:rPr>
        <w:t>and 23 other ministries to improve public financial management), Roads for Development (supporting the M</w:t>
      </w:r>
      <w:r w:rsidR="00C230E1">
        <w:rPr>
          <w:rFonts w:asciiTheme="minorHAnsi" w:hAnsiTheme="minorHAnsi" w:cstheme="minorHAnsi"/>
          <w:sz w:val="22"/>
          <w:szCs w:val="22"/>
        </w:rPr>
        <w:t>PWTC</w:t>
      </w:r>
      <w:r w:rsidR="00DB3740">
        <w:rPr>
          <w:rFonts w:asciiTheme="minorHAnsi" w:hAnsiTheme="minorHAnsi" w:cstheme="minorHAnsi"/>
          <w:sz w:val="22"/>
          <w:szCs w:val="22"/>
        </w:rPr>
        <w:t xml:space="preserve"> </w:t>
      </w:r>
      <w:r w:rsidR="006D131F">
        <w:rPr>
          <w:rFonts w:asciiTheme="minorHAnsi" w:hAnsiTheme="minorHAnsi" w:cstheme="minorHAnsi"/>
          <w:sz w:val="22"/>
          <w:szCs w:val="22"/>
        </w:rPr>
        <w:t>to help rehabilitate and maintain rural roads by supporting improved planning, budgeting and contracting of rural road works) and the PNDS Support Program (</w:t>
      </w:r>
      <w:r w:rsidR="006D131F" w:rsidRPr="000F334D">
        <w:rPr>
          <w:rFonts w:asciiTheme="minorHAnsi" w:hAnsiTheme="minorHAnsi" w:cstheme="minorHAnsi"/>
          <w:sz w:val="22"/>
          <w:szCs w:val="22"/>
        </w:rPr>
        <w:t>help</w:t>
      </w:r>
      <w:r w:rsidR="006D131F">
        <w:rPr>
          <w:rFonts w:asciiTheme="minorHAnsi" w:hAnsiTheme="minorHAnsi" w:cstheme="minorHAnsi"/>
          <w:sz w:val="22"/>
          <w:szCs w:val="22"/>
        </w:rPr>
        <w:t>ing</w:t>
      </w:r>
      <w:r w:rsidR="006D131F" w:rsidRPr="000F334D">
        <w:rPr>
          <w:rFonts w:asciiTheme="minorHAnsi" w:hAnsiTheme="minorHAnsi" w:cstheme="minorHAnsi"/>
          <w:sz w:val="22"/>
          <w:szCs w:val="22"/>
        </w:rPr>
        <w:t xml:space="preserve"> the Ministry for State Administration to better manage </w:t>
      </w:r>
      <w:r w:rsidR="00CF5658">
        <w:rPr>
          <w:rFonts w:asciiTheme="minorHAnsi" w:hAnsiTheme="minorHAnsi" w:cstheme="minorHAnsi"/>
          <w:sz w:val="22"/>
          <w:szCs w:val="22"/>
        </w:rPr>
        <w:t>its program of small grants to village</w:t>
      </w:r>
      <w:r w:rsidR="006D131F" w:rsidRPr="000F334D">
        <w:rPr>
          <w:rFonts w:asciiTheme="minorHAnsi" w:hAnsiTheme="minorHAnsi" w:cstheme="minorHAnsi"/>
          <w:sz w:val="22"/>
          <w:szCs w:val="22"/>
        </w:rPr>
        <w:t>s to plan, construct and manage their own infrastructure projects</w:t>
      </w:r>
      <w:r w:rsidR="008573D8">
        <w:rPr>
          <w:rFonts w:asciiTheme="minorHAnsi" w:hAnsiTheme="minorHAnsi" w:cstheme="minorHAnsi"/>
          <w:sz w:val="22"/>
          <w:szCs w:val="22"/>
        </w:rPr>
        <w:t>)</w:t>
      </w:r>
      <w:r w:rsidR="006D131F">
        <w:rPr>
          <w:rFonts w:asciiTheme="minorHAnsi" w:hAnsiTheme="minorHAnsi" w:cstheme="minorHAnsi"/>
          <w:sz w:val="22"/>
          <w:szCs w:val="22"/>
        </w:rPr>
        <w:t>.</w:t>
      </w:r>
      <w:r w:rsidR="006D131F" w:rsidRPr="007C1E98">
        <w:rPr>
          <w:rFonts w:asciiTheme="minorHAnsi" w:hAnsiTheme="minorHAnsi" w:cstheme="minorHAnsi"/>
          <w:sz w:val="22"/>
          <w:szCs w:val="22"/>
        </w:rPr>
        <w:t xml:space="preserve"> </w:t>
      </w:r>
      <w:r w:rsidR="006D131F">
        <w:rPr>
          <w:rFonts w:asciiTheme="minorHAnsi" w:hAnsiTheme="minorHAnsi" w:cstheme="minorHAnsi"/>
          <w:sz w:val="22"/>
          <w:szCs w:val="22"/>
        </w:rPr>
        <w:t>We have also</w:t>
      </w:r>
      <w:r w:rsidR="006D131F" w:rsidRPr="00E61494">
        <w:rPr>
          <w:rFonts w:asciiTheme="minorHAnsi" w:hAnsiTheme="minorHAnsi" w:cstheme="minorHAnsi"/>
          <w:sz w:val="22"/>
          <w:szCs w:val="22"/>
        </w:rPr>
        <w:t xml:space="preserve"> contributed to policy advocacy to </w:t>
      </w:r>
      <w:r w:rsidR="006D131F">
        <w:rPr>
          <w:rFonts w:asciiTheme="minorHAnsi" w:hAnsiTheme="minorHAnsi" w:cstheme="minorHAnsi"/>
          <w:sz w:val="22"/>
          <w:szCs w:val="22"/>
        </w:rPr>
        <w:t>secure</w:t>
      </w:r>
      <w:r w:rsidR="006D131F" w:rsidRPr="00E61494">
        <w:rPr>
          <w:rFonts w:asciiTheme="minorHAnsi" w:hAnsiTheme="minorHAnsi" w:cstheme="minorHAnsi"/>
          <w:sz w:val="22"/>
          <w:szCs w:val="22"/>
        </w:rPr>
        <w:t xml:space="preserve"> </w:t>
      </w:r>
      <w:r w:rsidR="00C230E1">
        <w:rPr>
          <w:rFonts w:asciiTheme="minorHAnsi" w:hAnsiTheme="minorHAnsi" w:cstheme="minorHAnsi"/>
          <w:sz w:val="22"/>
          <w:szCs w:val="22"/>
        </w:rPr>
        <w:t>G</w:t>
      </w:r>
      <w:r w:rsidR="006D131F">
        <w:rPr>
          <w:rFonts w:asciiTheme="minorHAnsi" w:hAnsiTheme="minorHAnsi" w:cstheme="minorHAnsi"/>
          <w:sz w:val="22"/>
          <w:szCs w:val="22"/>
        </w:rPr>
        <w:t>overnment</w:t>
      </w:r>
      <w:r w:rsidR="00852B4A">
        <w:rPr>
          <w:rFonts w:asciiTheme="minorHAnsi" w:hAnsiTheme="minorHAnsi" w:cstheme="minorHAnsi"/>
          <w:sz w:val="22"/>
          <w:szCs w:val="22"/>
        </w:rPr>
        <w:t xml:space="preserve"> of Timor-Leste</w:t>
      </w:r>
      <w:r w:rsidR="006D131F">
        <w:rPr>
          <w:rFonts w:asciiTheme="minorHAnsi" w:hAnsiTheme="minorHAnsi" w:cstheme="minorHAnsi"/>
          <w:sz w:val="22"/>
          <w:szCs w:val="22"/>
        </w:rPr>
        <w:t xml:space="preserve"> funding</w:t>
      </w:r>
      <w:r w:rsidR="006D131F" w:rsidRPr="00E61494">
        <w:rPr>
          <w:rFonts w:asciiTheme="minorHAnsi" w:hAnsiTheme="minorHAnsi" w:cstheme="minorHAnsi"/>
          <w:sz w:val="22"/>
          <w:szCs w:val="22"/>
        </w:rPr>
        <w:t xml:space="preserve"> for rural roads</w:t>
      </w:r>
      <w:r w:rsidR="006D131F">
        <w:rPr>
          <w:rFonts w:asciiTheme="minorHAnsi" w:hAnsiTheme="minorHAnsi" w:cstheme="minorHAnsi"/>
          <w:sz w:val="22"/>
          <w:szCs w:val="22"/>
        </w:rPr>
        <w:t>, water supply system maintenance</w:t>
      </w:r>
      <w:r w:rsidR="006D131F" w:rsidRPr="00E61494">
        <w:rPr>
          <w:rFonts w:asciiTheme="minorHAnsi" w:hAnsiTheme="minorHAnsi" w:cstheme="minorHAnsi"/>
          <w:sz w:val="22"/>
          <w:szCs w:val="22"/>
        </w:rPr>
        <w:t xml:space="preserve"> </w:t>
      </w:r>
      <w:r w:rsidR="006D131F">
        <w:rPr>
          <w:rFonts w:asciiTheme="minorHAnsi" w:hAnsiTheme="minorHAnsi" w:cstheme="minorHAnsi"/>
          <w:sz w:val="22"/>
          <w:szCs w:val="22"/>
        </w:rPr>
        <w:t>and PNDS</w:t>
      </w:r>
      <w:r w:rsidR="006D5FBB">
        <w:rPr>
          <w:rFonts w:asciiTheme="minorHAnsi" w:hAnsiTheme="minorHAnsi" w:cstheme="minorHAnsi"/>
          <w:sz w:val="22"/>
          <w:szCs w:val="22"/>
        </w:rPr>
        <w:t xml:space="preserve">. </w:t>
      </w:r>
      <w:r w:rsidR="00AB775E">
        <w:rPr>
          <w:rFonts w:asciiTheme="minorHAnsi" w:hAnsiTheme="minorHAnsi" w:cstheme="minorHAnsi"/>
          <w:sz w:val="22"/>
          <w:szCs w:val="22"/>
        </w:rPr>
        <w:t>Going forward, our programs are placing a stronger emphasis on mutual accountabi</w:t>
      </w:r>
      <w:r w:rsidR="00F239D8">
        <w:rPr>
          <w:rFonts w:asciiTheme="minorHAnsi" w:hAnsiTheme="minorHAnsi" w:cstheme="minorHAnsi"/>
          <w:sz w:val="22"/>
          <w:szCs w:val="22"/>
        </w:rPr>
        <w:t>lity for resources and results, for example</w:t>
      </w:r>
      <w:r w:rsidR="00AB775E">
        <w:rPr>
          <w:rFonts w:asciiTheme="minorHAnsi" w:hAnsiTheme="minorHAnsi" w:cstheme="minorHAnsi"/>
          <w:sz w:val="22"/>
          <w:szCs w:val="22"/>
        </w:rPr>
        <w:t xml:space="preserve"> financing commitments for roads maintenance. Where mutual obligations are not being met, we </w:t>
      </w:r>
      <w:r w:rsidR="00F239D8">
        <w:rPr>
          <w:rFonts w:asciiTheme="minorHAnsi" w:hAnsiTheme="minorHAnsi" w:cstheme="minorHAnsi"/>
          <w:sz w:val="22"/>
          <w:szCs w:val="22"/>
        </w:rPr>
        <w:t xml:space="preserve">have adjusted our programs, for example ending </w:t>
      </w:r>
      <w:r w:rsidR="00975563">
        <w:rPr>
          <w:rFonts w:asciiTheme="minorHAnsi" w:hAnsiTheme="minorHAnsi" w:cstheme="minorHAnsi"/>
          <w:sz w:val="22"/>
          <w:szCs w:val="22"/>
        </w:rPr>
        <w:t xml:space="preserve">direct </w:t>
      </w:r>
      <w:r w:rsidR="00F239D8">
        <w:rPr>
          <w:rFonts w:asciiTheme="minorHAnsi" w:hAnsiTheme="minorHAnsi" w:cstheme="minorHAnsi"/>
          <w:sz w:val="22"/>
          <w:szCs w:val="22"/>
        </w:rPr>
        <w:t>budget support to the Ministry of Finance</w:t>
      </w:r>
      <w:r w:rsidR="00FE3123">
        <w:rPr>
          <w:rFonts w:asciiTheme="minorHAnsi" w:hAnsiTheme="minorHAnsi" w:cstheme="minorHAnsi"/>
          <w:sz w:val="22"/>
          <w:szCs w:val="22"/>
        </w:rPr>
        <w:t xml:space="preserve"> in mid-2016.</w:t>
      </w:r>
      <w:r w:rsidR="00F239D8">
        <w:rPr>
          <w:rFonts w:asciiTheme="minorHAnsi" w:hAnsiTheme="minorHAnsi" w:cstheme="minorHAnsi"/>
          <w:sz w:val="22"/>
          <w:szCs w:val="22"/>
        </w:rPr>
        <w:t xml:space="preserve"> </w:t>
      </w:r>
    </w:p>
    <w:p w:rsidR="002A51CA" w:rsidRPr="00D8644A" w:rsidRDefault="002A51CA" w:rsidP="00D8644A">
      <w:pPr>
        <w:pStyle w:val="Heading2"/>
      </w:pPr>
      <w:r w:rsidRPr="002A51CA">
        <w:t xml:space="preserve">Program Quality and Partner Performance </w:t>
      </w:r>
    </w:p>
    <w:p w:rsidR="005F752B" w:rsidRDefault="006D131F" w:rsidP="005343C4">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 xml:space="preserve">Our monitoring and evaluation work </w:t>
      </w:r>
      <w:r w:rsidR="007C723B">
        <w:rPr>
          <w:rFonts w:asciiTheme="minorHAnsi" w:hAnsiTheme="minorHAnsi" w:cstheme="minorHAnsi"/>
          <w:sz w:val="22"/>
          <w:szCs w:val="22"/>
        </w:rPr>
        <w:t>provides</w:t>
      </w:r>
      <w:r>
        <w:rPr>
          <w:rFonts w:asciiTheme="minorHAnsi" w:hAnsiTheme="minorHAnsi" w:cstheme="minorHAnsi"/>
          <w:sz w:val="22"/>
          <w:szCs w:val="22"/>
        </w:rPr>
        <w:t xml:space="preserve"> good information about performance </w:t>
      </w:r>
      <w:r w:rsidR="0071095A">
        <w:rPr>
          <w:rFonts w:asciiTheme="minorHAnsi" w:hAnsiTheme="minorHAnsi" w:cstheme="minorHAnsi"/>
          <w:sz w:val="22"/>
          <w:szCs w:val="22"/>
        </w:rPr>
        <w:t>within</w:t>
      </w:r>
      <w:r>
        <w:rPr>
          <w:rFonts w:asciiTheme="minorHAnsi" w:hAnsiTheme="minorHAnsi" w:cstheme="minorHAnsi"/>
          <w:sz w:val="22"/>
          <w:szCs w:val="22"/>
        </w:rPr>
        <w:t xml:space="preserve"> our </w:t>
      </w:r>
      <w:r w:rsidR="008079A5">
        <w:rPr>
          <w:rFonts w:asciiTheme="minorHAnsi" w:hAnsiTheme="minorHAnsi" w:cstheme="minorHAnsi"/>
          <w:sz w:val="22"/>
          <w:szCs w:val="22"/>
        </w:rPr>
        <w:t xml:space="preserve">individual investments </w:t>
      </w:r>
      <w:r>
        <w:rPr>
          <w:rFonts w:asciiTheme="minorHAnsi" w:hAnsiTheme="minorHAnsi" w:cstheme="minorHAnsi"/>
          <w:sz w:val="22"/>
          <w:szCs w:val="22"/>
        </w:rPr>
        <w:t xml:space="preserve">and </w:t>
      </w:r>
      <w:r w:rsidR="000F369E">
        <w:rPr>
          <w:rFonts w:asciiTheme="minorHAnsi" w:hAnsiTheme="minorHAnsi" w:cstheme="minorHAnsi"/>
          <w:sz w:val="22"/>
          <w:szCs w:val="22"/>
        </w:rPr>
        <w:t>we have invested</w:t>
      </w:r>
      <w:r w:rsidR="007C723B">
        <w:rPr>
          <w:rFonts w:asciiTheme="minorHAnsi" w:hAnsiTheme="minorHAnsi" w:cstheme="minorHAnsi"/>
          <w:sz w:val="22"/>
          <w:szCs w:val="22"/>
        </w:rPr>
        <w:t xml:space="preserve"> significant</w:t>
      </w:r>
      <w:r w:rsidR="000F369E">
        <w:rPr>
          <w:rFonts w:asciiTheme="minorHAnsi" w:hAnsiTheme="minorHAnsi" w:cstheme="minorHAnsi"/>
          <w:sz w:val="22"/>
          <w:szCs w:val="22"/>
        </w:rPr>
        <w:t xml:space="preserve"> resources in</w:t>
      </w:r>
      <w:r>
        <w:rPr>
          <w:rFonts w:asciiTheme="minorHAnsi" w:hAnsiTheme="minorHAnsi" w:cstheme="minorHAnsi"/>
          <w:sz w:val="22"/>
          <w:szCs w:val="22"/>
        </w:rPr>
        <w:t xml:space="preserve"> build</w:t>
      </w:r>
      <w:r w:rsidR="000F369E">
        <w:rPr>
          <w:rFonts w:asciiTheme="minorHAnsi" w:hAnsiTheme="minorHAnsi" w:cstheme="minorHAnsi"/>
          <w:sz w:val="22"/>
          <w:szCs w:val="22"/>
        </w:rPr>
        <w:t>ing</w:t>
      </w:r>
      <w:r>
        <w:rPr>
          <w:rFonts w:asciiTheme="minorHAnsi" w:hAnsiTheme="minorHAnsi" w:cstheme="minorHAnsi"/>
          <w:sz w:val="22"/>
          <w:szCs w:val="22"/>
        </w:rPr>
        <w:t xml:space="preserve"> staff monitoring and evaluation capacity.</w:t>
      </w:r>
      <w:r w:rsidR="00060376">
        <w:rPr>
          <w:rFonts w:asciiTheme="minorHAnsi" w:hAnsiTheme="minorHAnsi" w:cstheme="minorHAnsi"/>
          <w:sz w:val="22"/>
          <w:szCs w:val="22"/>
        </w:rPr>
        <w:t xml:space="preserve"> </w:t>
      </w:r>
      <w:r w:rsidR="00455693">
        <w:rPr>
          <w:rFonts w:asciiTheme="minorHAnsi" w:hAnsiTheme="minorHAnsi" w:cstheme="minorHAnsi"/>
          <w:sz w:val="22"/>
          <w:szCs w:val="22"/>
        </w:rPr>
        <w:t>In 2</w:t>
      </w:r>
      <w:r w:rsidR="00894F15">
        <w:rPr>
          <w:rFonts w:asciiTheme="minorHAnsi" w:hAnsiTheme="minorHAnsi" w:cstheme="minorHAnsi"/>
          <w:sz w:val="22"/>
          <w:szCs w:val="22"/>
        </w:rPr>
        <w:t>0</w:t>
      </w:r>
      <w:r w:rsidR="00455693">
        <w:rPr>
          <w:rFonts w:asciiTheme="minorHAnsi" w:hAnsiTheme="minorHAnsi" w:cstheme="minorHAnsi"/>
          <w:sz w:val="22"/>
          <w:szCs w:val="22"/>
        </w:rPr>
        <w:t xml:space="preserve">15-16, we completed evaluations in our water and sanitation, agriculture programs and in MDF and PNDSSP that have informed our assessment of performance in this report. A forward evaluation pipeline is outlined in </w:t>
      </w:r>
      <w:r w:rsidR="00455693" w:rsidRPr="007554E0">
        <w:rPr>
          <w:rFonts w:asciiTheme="minorHAnsi" w:hAnsiTheme="minorHAnsi" w:cstheme="minorHAnsi"/>
          <w:b/>
          <w:sz w:val="22"/>
          <w:szCs w:val="22"/>
        </w:rPr>
        <w:t>Annex C</w:t>
      </w:r>
      <w:r w:rsidR="00455693" w:rsidRPr="006F02C8">
        <w:rPr>
          <w:rFonts w:asciiTheme="minorHAnsi" w:hAnsiTheme="minorHAnsi" w:cstheme="minorHAnsi"/>
          <w:sz w:val="22"/>
          <w:szCs w:val="22"/>
        </w:rPr>
        <w:t>.</w:t>
      </w:r>
      <w:r w:rsidR="00455693">
        <w:rPr>
          <w:rFonts w:asciiTheme="minorHAnsi" w:hAnsiTheme="minorHAnsi" w:cstheme="minorHAnsi"/>
          <w:sz w:val="22"/>
          <w:szCs w:val="22"/>
        </w:rPr>
        <w:t xml:space="preserve"> </w:t>
      </w:r>
      <w:r w:rsidR="00060376">
        <w:rPr>
          <w:rFonts w:asciiTheme="minorHAnsi" w:hAnsiTheme="minorHAnsi" w:cstheme="minorHAnsi"/>
          <w:sz w:val="22"/>
          <w:szCs w:val="22"/>
        </w:rPr>
        <w:t>However, we can improve our reporting at a whole-of-program level and in late 2016</w:t>
      </w:r>
      <w:r w:rsidR="005B557A">
        <w:rPr>
          <w:rFonts w:asciiTheme="minorHAnsi" w:hAnsiTheme="minorHAnsi" w:cstheme="minorHAnsi"/>
          <w:sz w:val="22"/>
          <w:szCs w:val="22"/>
        </w:rPr>
        <w:t xml:space="preserve"> will</w:t>
      </w:r>
      <w:r w:rsidRPr="00D8539C">
        <w:rPr>
          <w:rFonts w:asciiTheme="minorHAnsi" w:hAnsiTheme="minorHAnsi" w:cstheme="minorHAnsi"/>
          <w:sz w:val="22"/>
          <w:szCs w:val="22"/>
        </w:rPr>
        <w:t xml:space="preserve"> </w:t>
      </w:r>
      <w:r w:rsidR="00455693">
        <w:rPr>
          <w:rFonts w:asciiTheme="minorHAnsi" w:hAnsiTheme="minorHAnsi" w:cstheme="minorHAnsi"/>
          <w:sz w:val="22"/>
          <w:szCs w:val="22"/>
        </w:rPr>
        <w:t>launch</w:t>
      </w:r>
      <w:r w:rsidR="005B557A">
        <w:rPr>
          <w:rFonts w:asciiTheme="minorHAnsi" w:hAnsiTheme="minorHAnsi" w:cstheme="minorHAnsi"/>
          <w:sz w:val="22"/>
          <w:szCs w:val="22"/>
        </w:rPr>
        <w:t xml:space="preserve"> a</w:t>
      </w:r>
      <w:r w:rsidRPr="00D8539C">
        <w:rPr>
          <w:rFonts w:asciiTheme="minorHAnsi" w:hAnsiTheme="minorHAnsi" w:cstheme="minorHAnsi"/>
          <w:sz w:val="22"/>
          <w:szCs w:val="22"/>
        </w:rPr>
        <w:t xml:space="preserve"> new approach to monitoring and evaluation</w:t>
      </w:r>
      <w:r w:rsidR="008F47EC">
        <w:rPr>
          <w:rFonts w:asciiTheme="minorHAnsi" w:hAnsiTheme="minorHAnsi" w:cstheme="minorHAnsi"/>
          <w:sz w:val="22"/>
          <w:szCs w:val="22"/>
        </w:rPr>
        <w:t xml:space="preserve">, </w:t>
      </w:r>
      <w:r w:rsidRPr="00D8539C">
        <w:rPr>
          <w:rFonts w:asciiTheme="minorHAnsi" w:hAnsiTheme="minorHAnsi" w:cstheme="minorHAnsi"/>
          <w:sz w:val="22"/>
          <w:szCs w:val="22"/>
        </w:rPr>
        <w:t xml:space="preserve">Buka Hatene – which means ‘to seek knowledge’ in </w:t>
      </w:r>
      <w:r w:rsidR="00081E65" w:rsidRPr="00D8539C">
        <w:rPr>
          <w:rFonts w:asciiTheme="minorHAnsi" w:hAnsiTheme="minorHAnsi" w:cstheme="minorHAnsi"/>
          <w:sz w:val="22"/>
          <w:szCs w:val="22"/>
        </w:rPr>
        <w:t>Tetum</w:t>
      </w:r>
      <w:r w:rsidRPr="00D8539C">
        <w:rPr>
          <w:rFonts w:asciiTheme="minorHAnsi" w:hAnsiTheme="minorHAnsi" w:cstheme="minorHAnsi"/>
          <w:sz w:val="22"/>
          <w:szCs w:val="22"/>
        </w:rPr>
        <w:t xml:space="preserve"> – and</w:t>
      </w:r>
      <w:r w:rsidR="008F47EC">
        <w:rPr>
          <w:rFonts w:asciiTheme="minorHAnsi" w:hAnsiTheme="minorHAnsi" w:cstheme="minorHAnsi"/>
          <w:sz w:val="22"/>
          <w:szCs w:val="22"/>
        </w:rPr>
        <w:t xml:space="preserve"> also known as ‘the M&amp;E House’.</w:t>
      </w:r>
      <w:r w:rsidRPr="005343C4">
        <w:rPr>
          <w:rFonts w:asciiTheme="minorHAnsi" w:hAnsiTheme="minorHAnsi" w:cstheme="minorHAnsi"/>
          <w:sz w:val="22"/>
          <w:szCs w:val="22"/>
        </w:rPr>
        <w:t xml:space="preserve"> The M&amp;E House will assist DFAT to review strategic priorities and objectives</w:t>
      </w:r>
      <w:r>
        <w:rPr>
          <w:rFonts w:asciiTheme="minorHAnsi" w:hAnsiTheme="minorHAnsi" w:cstheme="minorHAnsi"/>
          <w:sz w:val="22"/>
          <w:szCs w:val="22"/>
        </w:rPr>
        <w:t xml:space="preserve">, support </w:t>
      </w:r>
      <w:r w:rsidR="005B557A">
        <w:rPr>
          <w:rFonts w:asciiTheme="minorHAnsi" w:hAnsiTheme="minorHAnsi" w:cstheme="minorHAnsi"/>
          <w:sz w:val="22"/>
          <w:szCs w:val="22"/>
        </w:rPr>
        <w:t xml:space="preserve">more consistent </w:t>
      </w:r>
      <w:r>
        <w:rPr>
          <w:rFonts w:asciiTheme="minorHAnsi" w:hAnsiTheme="minorHAnsi" w:cstheme="minorHAnsi"/>
          <w:sz w:val="22"/>
          <w:szCs w:val="22"/>
        </w:rPr>
        <w:t>monitoring and evaluation in programs and help Embassy and contractor staff use performance information to improve program effectiveness</w:t>
      </w:r>
      <w:r w:rsidRPr="005343C4">
        <w:rPr>
          <w:rFonts w:asciiTheme="minorHAnsi" w:hAnsiTheme="minorHAnsi" w:cstheme="minorHAnsi"/>
          <w:sz w:val="22"/>
          <w:szCs w:val="22"/>
        </w:rPr>
        <w:t xml:space="preserve">. </w:t>
      </w:r>
      <w:r w:rsidR="005B557A">
        <w:rPr>
          <w:rFonts w:asciiTheme="minorHAnsi" w:hAnsiTheme="minorHAnsi" w:cstheme="minorHAnsi"/>
          <w:sz w:val="22"/>
          <w:szCs w:val="22"/>
        </w:rPr>
        <w:t xml:space="preserve">This will enable us to </w:t>
      </w:r>
      <w:r w:rsidR="00802191">
        <w:rPr>
          <w:rFonts w:asciiTheme="minorHAnsi" w:hAnsiTheme="minorHAnsi" w:cstheme="minorHAnsi"/>
          <w:sz w:val="22"/>
          <w:szCs w:val="22"/>
        </w:rPr>
        <w:t xml:space="preserve">report against </w:t>
      </w:r>
      <w:r w:rsidRPr="005343C4">
        <w:rPr>
          <w:rFonts w:asciiTheme="minorHAnsi" w:hAnsiTheme="minorHAnsi" w:cstheme="minorHAnsi"/>
          <w:sz w:val="22"/>
          <w:szCs w:val="22"/>
        </w:rPr>
        <w:t xml:space="preserve">performance </w:t>
      </w:r>
      <w:r w:rsidR="00802191">
        <w:rPr>
          <w:rFonts w:asciiTheme="minorHAnsi" w:hAnsiTheme="minorHAnsi" w:cstheme="minorHAnsi"/>
          <w:sz w:val="22"/>
          <w:szCs w:val="22"/>
        </w:rPr>
        <w:t>for</w:t>
      </w:r>
      <w:r w:rsidRPr="005343C4">
        <w:rPr>
          <w:rFonts w:asciiTheme="minorHAnsi" w:hAnsiTheme="minorHAnsi" w:cstheme="minorHAnsi"/>
          <w:sz w:val="22"/>
          <w:szCs w:val="22"/>
        </w:rPr>
        <w:t xml:space="preserve"> our individual investments and a</w:t>
      </w:r>
      <w:r w:rsidR="00475F53">
        <w:rPr>
          <w:rFonts w:asciiTheme="minorHAnsi" w:hAnsiTheme="minorHAnsi" w:cstheme="minorHAnsi"/>
          <w:sz w:val="22"/>
          <w:szCs w:val="22"/>
        </w:rPr>
        <w:t>t the whole-of portfolio level</w:t>
      </w:r>
      <w:r w:rsidR="00802191">
        <w:rPr>
          <w:rFonts w:asciiTheme="minorHAnsi" w:hAnsiTheme="minorHAnsi" w:cstheme="minorHAnsi"/>
          <w:sz w:val="22"/>
          <w:szCs w:val="22"/>
        </w:rPr>
        <w:t xml:space="preserve">. </w:t>
      </w:r>
    </w:p>
    <w:p w:rsidR="002A51CA" w:rsidRPr="002A51CA" w:rsidRDefault="002A51CA" w:rsidP="002A51CA">
      <w:pPr>
        <w:pStyle w:val="Heading2"/>
      </w:pPr>
      <w:r w:rsidRPr="002A51CA">
        <w:t>Analysis of Aid Quality Checks (AQCs)</w:t>
      </w:r>
    </w:p>
    <w:p w:rsidR="006D131F" w:rsidRPr="00AB6FF8" w:rsidRDefault="006D131F" w:rsidP="006D131F">
      <w:pPr>
        <w:pStyle w:val="ListBullet"/>
        <w:tabs>
          <w:tab w:val="clear" w:pos="284"/>
        </w:tabs>
        <w:rPr>
          <w:rFonts w:asciiTheme="minorHAnsi" w:hAnsiTheme="minorHAnsi" w:cstheme="minorHAnsi"/>
          <w:sz w:val="22"/>
          <w:szCs w:val="22"/>
        </w:rPr>
      </w:pPr>
      <w:r>
        <w:rPr>
          <w:rFonts w:asciiTheme="minorHAnsi" w:hAnsiTheme="minorHAnsi" w:cstheme="minorHAnsi"/>
          <w:sz w:val="22"/>
          <w:szCs w:val="22"/>
        </w:rPr>
        <w:t>Aid Quality Checks showed improved in</w:t>
      </w:r>
      <w:r w:rsidR="002F69CB">
        <w:rPr>
          <w:rFonts w:asciiTheme="minorHAnsi" w:hAnsiTheme="minorHAnsi" w:cstheme="minorHAnsi"/>
          <w:sz w:val="22"/>
          <w:szCs w:val="22"/>
        </w:rPr>
        <w:t xml:space="preserve">vestment performance in 2015-16 (see </w:t>
      </w:r>
      <w:r w:rsidR="002F69CB" w:rsidRPr="002F69CB">
        <w:rPr>
          <w:rFonts w:asciiTheme="minorHAnsi" w:hAnsiTheme="minorHAnsi" w:cstheme="minorHAnsi"/>
          <w:b/>
          <w:sz w:val="22"/>
          <w:szCs w:val="22"/>
        </w:rPr>
        <w:t>Annex D</w:t>
      </w:r>
      <w:r w:rsidR="002F69CB">
        <w:rPr>
          <w:rFonts w:asciiTheme="minorHAnsi" w:hAnsiTheme="minorHAnsi" w:cstheme="minorHAnsi"/>
          <w:sz w:val="22"/>
          <w:szCs w:val="22"/>
        </w:rPr>
        <w:t>).</w:t>
      </w:r>
      <w:r>
        <w:rPr>
          <w:rFonts w:asciiTheme="minorHAnsi" w:hAnsiTheme="minorHAnsi" w:cstheme="minorHAnsi"/>
          <w:sz w:val="22"/>
          <w:szCs w:val="22"/>
        </w:rPr>
        <w:t xml:space="preserve"> </w:t>
      </w:r>
      <w:r w:rsidR="00D35518">
        <w:rPr>
          <w:rFonts w:asciiTheme="minorHAnsi" w:hAnsiTheme="minorHAnsi" w:cstheme="minorHAnsi"/>
          <w:sz w:val="22"/>
          <w:szCs w:val="22"/>
        </w:rPr>
        <w:t>Twelve</w:t>
      </w:r>
      <w:r w:rsidR="00D35518" w:rsidRPr="00AB6FF8">
        <w:rPr>
          <w:rFonts w:asciiTheme="minorHAnsi" w:hAnsiTheme="minorHAnsi" w:cstheme="minorHAnsi"/>
          <w:sz w:val="22"/>
          <w:szCs w:val="22"/>
        </w:rPr>
        <w:t xml:space="preserve"> </w:t>
      </w:r>
      <w:r>
        <w:rPr>
          <w:rFonts w:asciiTheme="minorHAnsi" w:hAnsiTheme="minorHAnsi" w:cstheme="minorHAnsi"/>
          <w:sz w:val="22"/>
          <w:szCs w:val="22"/>
        </w:rPr>
        <w:t>AQCs</w:t>
      </w:r>
      <w:r w:rsidRPr="00AB6FF8">
        <w:rPr>
          <w:rFonts w:asciiTheme="minorHAnsi" w:hAnsiTheme="minorHAnsi" w:cstheme="minorHAnsi"/>
          <w:sz w:val="22"/>
          <w:szCs w:val="22"/>
        </w:rPr>
        <w:t xml:space="preserve"> were undertaken in early 2016</w:t>
      </w:r>
      <w:r w:rsidR="00731CA9">
        <w:rPr>
          <w:rFonts w:asciiTheme="minorHAnsi" w:hAnsiTheme="minorHAnsi" w:cstheme="minorHAnsi"/>
          <w:sz w:val="22"/>
          <w:szCs w:val="22"/>
        </w:rPr>
        <w:t xml:space="preserve"> and were rigorously contested through peer review</w:t>
      </w:r>
      <w:r w:rsidRPr="00AB6FF8">
        <w:rPr>
          <w:rFonts w:asciiTheme="minorHAnsi" w:hAnsiTheme="minorHAnsi" w:cstheme="minorHAnsi"/>
          <w:sz w:val="22"/>
          <w:szCs w:val="22"/>
        </w:rPr>
        <w:t xml:space="preserve">. High scores for effectiveness, efficiency and gender equality were consistent across the program, with </w:t>
      </w:r>
      <w:r>
        <w:rPr>
          <w:rFonts w:asciiTheme="minorHAnsi" w:hAnsiTheme="minorHAnsi" w:cstheme="minorHAnsi"/>
          <w:sz w:val="22"/>
          <w:szCs w:val="22"/>
        </w:rPr>
        <w:t xml:space="preserve">the exception of direct budget support to the Ministry of Finance. </w:t>
      </w:r>
      <w:r w:rsidRPr="00AB6FF8">
        <w:rPr>
          <w:rFonts w:asciiTheme="minorHAnsi" w:hAnsiTheme="minorHAnsi" w:cstheme="minorHAnsi"/>
          <w:sz w:val="22"/>
          <w:szCs w:val="22"/>
        </w:rPr>
        <w:t>M&amp;E and sustainability scores for all investments were</w:t>
      </w:r>
      <w:r w:rsidR="00894F15">
        <w:rPr>
          <w:rFonts w:asciiTheme="minorHAnsi" w:hAnsiTheme="minorHAnsi" w:cstheme="minorHAnsi"/>
          <w:sz w:val="22"/>
          <w:szCs w:val="22"/>
        </w:rPr>
        <w:t xml:space="preserve"> four</w:t>
      </w:r>
      <w:r w:rsidRPr="00AB6FF8">
        <w:rPr>
          <w:rFonts w:asciiTheme="minorHAnsi" w:hAnsiTheme="minorHAnsi" w:cstheme="minorHAnsi"/>
          <w:sz w:val="22"/>
          <w:szCs w:val="22"/>
        </w:rPr>
        <w:t xml:space="preserve"> or higher, which is </w:t>
      </w:r>
      <w:r>
        <w:rPr>
          <w:rFonts w:asciiTheme="minorHAnsi" w:hAnsiTheme="minorHAnsi" w:cstheme="minorHAnsi"/>
          <w:sz w:val="22"/>
          <w:szCs w:val="22"/>
        </w:rPr>
        <w:t>satisfactory, but suggests that there is room for improvement. As noted above, the new M&amp;E House will</w:t>
      </w:r>
      <w:r w:rsidRPr="00AB6FF8">
        <w:rPr>
          <w:rFonts w:asciiTheme="minorHAnsi" w:hAnsiTheme="minorHAnsi" w:cstheme="minorHAnsi"/>
          <w:sz w:val="22"/>
          <w:szCs w:val="22"/>
        </w:rPr>
        <w:t xml:space="preserve"> help programs use </w:t>
      </w:r>
      <w:r w:rsidR="000355F0">
        <w:rPr>
          <w:rFonts w:asciiTheme="minorHAnsi" w:hAnsiTheme="minorHAnsi" w:cstheme="minorHAnsi"/>
          <w:sz w:val="22"/>
          <w:szCs w:val="22"/>
        </w:rPr>
        <w:t xml:space="preserve">targeted </w:t>
      </w:r>
      <w:r w:rsidRPr="00AB6FF8">
        <w:rPr>
          <w:rFonts w:asciiTheme="minorHAnsi" w:hAnsiTheme="minorHAnsi" w:cstheme="minorHAnsi"/>
          <w:sz w:val="22"/>
          <w:szCs w:val="22"/>
        </w:rPr>
        <w:t xml:space="preserve">and influential data </w:t>
      </w:r>
      <w:r>
        <w:rPr>
          <w:rFonts w:asciiTheme="minorHAnsi" w:hAnsiTheme="minorHAnsi" w:cstheme="minorHAnsi"/>
          <w:sz w:val="22"/>
          <w:szCs w:val="22"/>
        </w:rPr>
        <w:t>to inform</w:t>
      </w:r>
      <w:r w:rsidR="00672EAF">
        <w:rPr>
          <w:rFonts w:asciiTheme="minorHAnsi" w:hAnsiTheme="minorHAnsi" w:cstheme="minorHAnsi"/>
          <w:sz w:val="22"/>
          <w:szCs w:val="22"/>
        </w:rPr>
        <w:t xml:space="preserve"> better</w:t>
      </w:r>
      <w:r>
        <w:rPr>
          <w:rFonts w:asciiTheme="minorHAnsi" w:hAnsiTheme="minorHAnsi" w:cstheme="minorHAnsi"/>
          <w:sz w:val="22"/>
          <w:szCs w:val="22"/>
        </w:rPr>
        <w:t xml:space="preserve"> program decision-making</w:t>
      </w:r>
      <w:r w:rsidR="007B0151">
        <w:rPr>
          <w:rFonts w:asciiTheme="minorHAnsi" w:hAnsiTheme="minorHAnsi" w:cstheme="minorHAnsi"/>
          <w:sz w:val="22"/>
          <w:szCs w:val="22"/>
        </w:rPr>
        <w:t xml:space="preserve"> and performance</w:t>
      </w:r>
      <w:r w:rsidRPr="00AB6FF8">
        <w:rPr>
          <w:rFonts w:asciiTheme="minorHAnsi" w:hAnsiTheme="minorHAnsi" w:cstheme="minorHAnsi"/>
          <w:sz w:val="22"/>
          <w:szCs w:val="22"/>
        </w:rPr>
        <w:t xml:space="preserve">. </w:t>
      </w:r>
      <w:r>
        <w:rPr>
          <w:rFonts w:asciiTheme="minorHAnsi" w:hAnsiTheme="minorHAnsi" w:cstheme="minorHAnsi"/>
          <w:sz w:val="22"/>
          <w:szCs w:val="22"/>
        </w:rPr>
        <w:t>Where AQCs identified poor program performance, we took action. For example, low effectiveness, efficiency and gender equality scores for the direct budget support program to the Ministry of Finance led to further discussion</w:t>
      </w:r>
      <w:r w:rsidR="00731CA9">
        <w:rPr>
          <w:rFonts w:asciiTheme="minorHAnsi" w:hAnsiTheme="minorHAnsi" w:cstheme="minorHAnsi"/>
          <w:sz w:val="22"/>
          <w:szCs w:val="22"/>
        </w:rPr>
        <w:t>s</w:t>
      </w:r>
      <w:r>
        <w:rPr>
          <w:rFonts w:asciiTheme="minorHAnsi" w:hAnsiTheme="minorHAnsi" w:cstheme="minorHAnsi"/>
          <w:sz w:val="22"/>
          <w:szCs w:val="22"/>
        </w:rPr>
        <w:t xml:space="preserve"> and the program was ended in June.</w:t>
      </w:r>
      <w:r w:rsidRPr="00AB6FF8" w:rsidDel="00BD2BA5">
        <w:rPr>
          <w:rFonts w:asciiTheme="minorHAnsi" w:hAnsiTheme="minorHAnsi" w:cstheme="minorHAnsi"/>
          <w:sz w:val="22"/>
          <w:szCs w:val="22"/>
        </w:rPr>
        <w:t xml:space="preserve"> </w:t>
      </w:r>
    </w:p>
    <w:p w:rsidR="002A51CA" w:rsidRPr="002A51CA" w:rsidRDefault="002A51CA" w:rsidP="002A51CA">
      <w:pPr>
        <w:pStyle w:val="Heading2"/>
      </w:pPr>
      <w:r w:rsidRPr="00BF41E9">
        <w:t>Performance of key delivery partners</w:t>
      </w:r>
    </w:p>
    <w:p w:rsidR="006D131F" w:rsidRPr="00170E7E" w:rsidRDefault="006D131F" w:rsidP="006D131F">
      <w:pPr>
        <w:pStyle w:val="ListBullet"/>
        <w:tabs>
          <w:tab w:val="clear" w:pos="284"/>
        </w:tabs>
        <w:rPr>
          <w:rFonts w:asciiTheme="minorHAnsi" w:hAnsiTheme="minorHAnsi" w:cstheme="minorHAnsi"/>
          <w:sz w:val="22"/>
          <w:szCs w:val="22"/>
        </w:rPr>
      </w:pPr>
      <w:r w:rsidRPr="00170E7E">
        <w:rPr>
          <w:rFonts w:asciiTheme="minorHAnsi" w:hAnsiTheme="minorHAnsi" w:cstheme="minorHAnsi"/>
          <w:sz w:val="22"/>
          <w:szCs w:val="22"/>
        </w:rPr>
        <w:t xml:space="preserve">We work with a large range of partners in Timor-Leste including the government, NGOs, multilateral organisations and managing contractors. </w:t>
      </w:r>
      <w:r w:rsidR="00894F15">
        <w:rPr>
          <w:rFonts w:asciiTheme="minorHAnsi" w:hAnsiTheme="minorHAnsi" w:cstheme="minorHAnsi"/>
          <w:sz w:val="22"/>
          <w:szCs w:val="22"/>
        </w:rPr>
        <w:t>Fourteen</w:t>
      </w:r>
      <w:r>
        <w:rPr>
          <w:rFonts w:asciiTheme="minorHAnsi" w:hAnsiTheme="minorHAnsi" w:cstheme="minorHAnsi"/>
          <w:sz w:val="22"/>
          <w:szCs w:val="22"/>
        </w:rPr>
        <w:t xml:space="preserve"> </w:t>
      </w:r>
      <w:r w:rsidRPr="00170E7E">
        <w:rPr>
          <w:rFonts w:asciiTheme="minorHAnsi" w:hAnsiTheme="minorHAnsi" w:cstheme="minorHAnsi"/>
          <w:sz w:val="22"/>
          <w:szCs w:val="22"/>
        </w:rPr>
        <w:t>Partner Performance Assessments (PPAs) were conducted in early 2016 (</w:t>
      </w:r>
      <w:r w:rsidR="002765DD">
        <w:rPr>
          <w:rFonts w:asciiTheme="minorHAnsi" w:hAnsiTheme="minorHAnsi" w:cstheme="minorHAnsi"/>
          <w:sz w:val="22"/>
          <w:szCs w:val="22"/>
        </w:rPr>
        <w:t>eight</w:t>
      </w:r>
      <w:r w:rsidRPr="00170E7E">
        <w:rPr>
          <w:rFonts w:asciiTheme="minorHAnsi" w:hAnsiTheme="minorHAnsi" w:cstheme="minorHAnsi"/>
          <w:sz w:val="22"/>
          <w:szCs w:val="22"/>
        </w:rPr>
        <w:t xml:space="preserve"> commercial suppliers,</w:t>
      </w:r>
      <w:r w:rsidR="002765DD">
        <w:rPr>
          <w:rFonts w:asciiTheme="minorHAnsi" w:hAnsiTheme="minorHAnsi" w:cstheme="minorHAnsi"/>
          <w:sz w:val="22"/>
          <w:szCs w:val="22"/>
        </w:rPr>
        <w:t xml:space="preserve"> four NGOs, one</w:t>
      </w:r>
      <w:r w:rsidRPr="00170E7E">
        <w:rPr>
          <w:rFonts w:asciiTheme="minorHAnsi" w:hAnsiTheme="minorHAnsi" w:cstheme="minorHAnsi"/>
          <w:sz w:val="22"/>
          <w:szCs w:val="22"/>
        </w:rPr>
        <w:t xml:space="preserve"> multilateral organisation and </w:t>
      </w:r>
      <w:r w:rsidR="002765DD">
        <w:rPr>
          <w:rFonts w:asciiTheme="minorHAnsi" w:hAnsiTheme="minorHAnsi" w:cstheme="minorHAnsi"/>
          <w:sz w:val="22"/>
          <w:szCs w:val="22"/>
        </w:rPr>
        <w:t>one</w:t>
      </w:r>
      <w:r w:rsidRPr="00170E7E">
        <w:rPr>
          <w:rFonts w:asciiTheme="minorHAnsi" w:hAnsiTheme="minorHAnsi" w:cstheme="minorHAnsi"/>
          <w:sz w:val="22"/>
          <w:szCs w:val="22"/>
        </w:rPr>
        <w:t xml:space="preserve"> academic institution). </w:t>
      </w:r>
      <w:r>
        <w:rPr>
          <w:rFonts w:asciiTheme="minorHAnsi" w:hAnsiTheme="minorHAnsi" w:cstheme="minorHAnsi"/>
          <w:sz w:val="22"/>
          <w:szCs w:val="22"/>
        </w:rPr>
        <w:t xml:space="preserve">All PPAs found partners had achieved </w:t>
      </w:r>
      <w:r w:rsidRPr="00743378">
        <w:rPr>
          <w:rFonts w:asciiTheme="minorHAnsi" w:hAnsiTheme="minorHAnsi" w:cstheme="minorHAnsi"/>
          <w:sz w:val="22"/>
          <w:szCs w:val="22"/>
        </w:rPr>
        <w:t xml:space="preserve">satisfactory </w:t>
      </w:r>
      <w:r w:rsidRPr="00BF41E9">
        <w:rPr>
          <w:rFonts w:asciiTheme="minorHAnsi" w:hAnsiTheme="minorHAnsi" w:cstheme="minorHAnsi"/>
          <w:sz w:val="22"/>
          <w:szCs w:val="22"/>
        </w:rPr>
        <w:t xml:space="preserve">scores on all assessment criteria. </w:t>
      </w:r>
      <w:r>
        <w:rPr>
          <w:rFonts w:asciiTheme="minorHAnsi" w:hAnsiTheme="minorHAnsi" w:cstheme="minorHAnsi"/>
          <w:sz w:val="22"/>
          <w:szCs w:val="22"/>
        </w:rPr>
        <w:t>Where there have been concerns with partner performance (for example, the effectiveness and efficiency of supporting the World Bank through one trust fund), concerns have been raised with partners and action taken to discontinue support that isn’t working</w:t>
      </w:r>
      <w:r w:rsidR="00B41198">
        <w:rPr>
          <w:rFonts w:asciiTheme="minorHAnsi" w:hAnsiTheme="minorHAnsi" w:cstheme="minorHAnsi"/>
          <w:sz w:val="22"/>
          <w:szCs w:val="22"/>
        </w:rPr>
        <w:t xml:space="preserve"> effectively</w:t>
      </w:r>
      <w:r>
        <w:rPr>
          <w:rFonts w:asciiTheme="minorHAnsi" w:hAnsiTheme="minorHAnsi" w:cstheme="minorHAnsi"/>
          <w:sz w:val="22"/>
          <w:szCs w:val="22"/>
        </w:rPr>
        <w:t>.</w:t>
      </w:r>
      <w:r w:rsidRPr="00170E7E">
        <w:rPr>
          <w:rFonts w:asciiTheme="minorHAnsi" w:hAnsiTheme="minorHAnsi" w:cstheme="minorHAnsi"/>
          <w:sz w:val="22"/>
          <w:szCs w:val="22"/>
        </w:rPr>
        <w:t xml:space="preserve"> </w:t>
      </w:r>
    </w:p>
    <w:p w:rsidR="002A51CA" w:rsidRPr="002A51CA" w:rsidRDefault="002A51CA" w:rsidP="002A51CA">
      <w:pPr>
        <w:pStyle w:val="Heading2"/>
      </w:pPr>
      <w:r w:rsidRPr="001B7052">
        <w:t>Risks</w:t>
      </w:r>
    </w:p>
    <w:p w:rsidR="002A51CA" w:rsidRPr="008C2F58" w:rsidRDefault="002A51CA" w:rsidP="002A51CA">
      <w:pPr>
        <w:rPr>
          <w:b/>
          <w:sz w:val="24"/>
        </w:rPr>
      </w:pPr>
      <w:r w:rsidRPr="008C2F58">
        <w:rPr>
          <w:b/>
          <w:sz w:val="24"/>
        </w:rPr>
        <w:t>Table 3 Management of Key Risks to Achieving Objectives</w:t>
      </w:r>
    </w:p>
    <w:tbl>
      <w:tblPr>
        <w:tblStyle w:val="APPR"/>
        <w:tblW w:w="5290" w:type="pct"/>
        <w:tblLook w:val="0600" w:firstRow="0" w:lastRow="0" w:firstColumn="0" w:lastColumn="0" w:noHBand="1" w:noVBand="1"/>
        <w:tblCaption w:val="Management of Key Risks to Achieving Objectives"/>
      </w:tblPr>
      <w:tblGrid>
        <w:gridCol w:w="2304"/>
        <w:gridCol w:w="3193"/>
        <w:gridCol w:w="3536"/>
        <w:gridCol w:w="1452"/>
      </w:tblGrid>
      <w:tr w:rsidR="002A51CA" w:rsidRPr="00C61187" w:rsidTr="001B7052">
        <w:tc>
          <w:tcPr>
            <w:tcW w:w="2262" w:type="dxa"/>
            <w:hideMark/>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Key risks</w:t>
            </w:r>
          </w:p>
        </w:tc>
        <w:tc>
          <w:tcPr>
            <w:tcW w:w="3165" w:type="dxa"/>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actions were taken to manage the risks over the past year?</w:t>
            </w:r>
          </w:p>
        </w:tc>
        <w:tc>
          <w:tcPr>
            <w:tcW w:w="3508" w:type="dxa"/>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What further actions will be taken to manage the risks in the coming year?</w:t>
            </w:r>
          </w:p>
        </w:tc>
        <w:tc>
          <w:tcPr>
            <w:tcW w:w="1410" w:type="dxa"/>
          </w:tcPr>
          <w:p w:rsidR="002A51CA" w:rsidRPr="003B0793" w:rsidRDefault="002A51CA"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 Rating (low, medium, high, very high)</w:t>
            </w:r>
          </w:p>
        </w:tc>
      </w:tr>
      <w:tr w:rsidR="00007A93" w:rsidRPr="009B4A9D" w:rsidTr="001B705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262" w:type="dxa"/>
            <w:hideMark/>
          </w:tcPr>
          <w:p w:rsidR="007C1B99" w:rsidRPr="006D131F" w:rsidRDefault="009B4A9D" w:rsidP="007C1B99">
            <w:pPr>
              <w:pStyle w:val="Default"/>
              <w:rPr>
                <w:rFonts w:asciiTheme="minorHAnsi" w:hAnsiTheme="minorHAnsi"/>
                <w:sz w:val="16"/>
                <w:szCs w:val="16"/>
              </w:rPr>
            </w:pPr>
            <w:r w:rsidRPr="006D131F">
              <w:rPr>
                <w:rFonts w:asciiTheme="minorHAnsi" w:hAnsiTheme="minorHAnsi"/>
                <w:b w:val="0"/>
                <w:sz w:val="16"/>
                <w:szCs w:val="16"/>
              </w:rPr>
              <w:t>Political and</w:t>
            </w:r>
            <w:r w:rsidR="00B72A62">
              <w:rPr>
                <w:rFonts w:asciiTheme="minorHAnsi" w:hAnsiTheme="minorHAnsi"/>
                <w:b w:val="0"/>
                <w:sz w:val="16"/>
                <w:szCs w:val="16"/>
              </w:rPr>
              <w:t>/or</w:t>
            </w:r>
            <w:r w:rsidRPr="006D131F">
              <w:rPr>
                <w:rFonts w:asciiTheme="minorHAnsi" w:hAnsiTheme="minorHAnsi"/>
                <w:b w:val="0"/>
                <w:sz w:val="16"/>
                <w:szCs w:val="16"/>
              </w:rPr>
              <w:t xml:space="preserve"> bureaucratic </w:t>
            </w:r>
            <w:r w:rsidR="00B72A62">
              <w:rPr>
                <w:rFonts w:asciiTheme="minorHAnsi" w:hAnsiTheme="minorHAnsi"/>
                <w:b w:val="0"/>
                <w:sz w:val="16"/>
                <w:szCs w:val="16"/>
              </w:rPr>
              <w:t>uncertainty</w:t>
            </w:r>
            <w:r w:rsidRPr="006D131F">
              <w:rPr>
                <w:rFonts w:asciiTheme="minorHAnsi" w:hAnsiTheme="minorHAnsi"/>
                <w:b w:val="0"/>
                <w:sz w:val="16"/>
                <w:szCs w:val="16"/>
              </w:rPr>
              <w:t xml:space="preserve"> (including in the lead-up to elections in 2017) affects program implementation</w:t>
            </w:r>
          </w:p>
          <w:p w:rsidR="009B4A9D" w:rsidRPr="006D131F" w:rsidRDefault="009B4A9D">
            <w:pPr>
              <w:pStyle w:val="Default"/>
              <w:rPr>
                <w:rFonts w:asciiTheme="minorHAnsi" w:hAnsiTheme="minorHAnsi"/>
                <w:b w:val="0"/>
                <w:sz w:val="16"/>
                <w:szCs w:val="16"/>
                <w:lang w:eastAsia="en-US"/>
              </w:rPr>
            </w:pPr>
            <w:r w:rsidRPr="006D131F">
              <w:rPr>
                <w:rFonts w:asciiTheme="minorHAnsi" w:hAnsiTheme="minorHAnsi"/>
                <w:b w:val="0"/>
                <w:sz w:val="16"/>
                <w:szCs w:val="16"/>
              </w:rPr>
              <w:t xml:space="preserve"> </w:t>
            </w:r>
          </w:p>
        </w:tc>
        <w:tc>
          <w:tcPr>
            <w:tcW w:w="3165" w:type="dxa"/>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 xml:space="preserve">Regular and active engagement with counterpart ministries. Where appropriate, responsiveness to changing ministerial priorities and provision of technical assistance. </w:t>
            </w:r>
          </w:p>
          <w:p w:rsidR="009B4A9D" w:rsidRPr="006D131F" w:rsidRDefault="009B4A9D">
            <w:pPr>
              <w:pStyle w:val="Default"/>
              <w:rPr>
                <w:rFonts w:asciiTheme="minorHAnsi" w:hAnsiTheme="minorHAnsi"/>
                <w:b w:val="0"/>
                <w:sz w:val="16"/>
                <w:szCs w:val="16"/>
              </w:rPr>
            </w:pPr>
          </w:p>
          <w:p w:rsidR="009B4A9D" w:rsidRPr="006D131F" w:rsidRDefault="009B4A9D">
            <w:pPr>
              <w:pStyle w:val="Default"/>
              <w:rPr>
                <w:rFonts w:asciiTheme="minorHAnsi" w:hAnsiTheme="minorHAnsi"/>
                <w:b w:val="0"/>
                <w:sz w:val="16"/>
                <w:szCs w:val="16"/>
                <w:lang w:eastAsia="en-US"/>
              </w:rPr>
            </w:pPr>
          </w:p>
        </w:tc>
        <w:tc>
          <w:tcPr>
            <w:tcW w:w="3508" w:type="dxa"/>
            <w:hideMark/>
          </w:tcPr>
          <w:p w:rsidR="009B4A9D" w:rsidRPr="006D131F" w:rsidRDefault="009B4A9D">
            <w:pPr>
              <w:pStyle w:val="Default"/>
              <w:rPr>
                <w:rFonts w:asciiTheme="minorHAnsi" w:hAnsiTheme="minorHAnsi"/>
                <w:b w:val="0"/>
                <w:sz w:val="16"/>
                <w:szCs w:val="16"/>
                <w:lang w:eastAsia="en-US"/>
              </w:rPr>
            </w:pPr>
            <w:r w:rsidRPr="006D131F">
              <w:rPr>
                <w:rFonts w:asciiTheme="minorHAnsi" w:hAnsiTheme="minorHAnsi"/>
                <w:b w:val="0"/>
                <w:sz w:val="16"/>
                <w:szCs w:val="16"/>
              </w:rPr>
              <w:t xml:space="preserve">Link closely with political team at embassy to understand and predict possible changes. Closely monitor aid investment performance. Advocacy to ensure GoTL commits to its articulated development priorities and plans. Proactive engagement with incoming government officials. </w:t>
            </w:r>
          </w:p>
        </w:tc>
        <w:tc>
          <w:tcPr>
            <w:tcW w:w="1410" w:type="dxa"/>
            <w:hideMark/>
          </w:tcPr>
          <w:p w:rsidR="009B4A9D" w:rsidRPr="006D131F" w:rsidRDefault="009B4A9D">
            <w:pPr>
              <w:pStyle w:val="Default"/>
              <w:rPr>
                <w:rFonts w:asciiTheme="minorHAnsi" w:hAnsiTheme="minorHAnsi"/>
                <w:b w:val="0"/>
                <w:sz w:val="16"/>
                <w:szCs w:val="16"/>
                <w:lang w:eastAsia="en-US"/>
              </w:rPr>
            </w:pPr>
            <w:r w:rsidRPr="006D131F">
              <w:rPr>
                <w:rFonts w:asciiTheme="minorHAnsi" w:hAnsiTheme="minorHAnsi"/>
                <w:b w:val="0"/>
                <w:sz w:val="16"/>
                <w:szCs w:val="16"/>
              </w:rPr>
              <w:t>High</w:t>
            </w:r>
          </w:p>
        </w:tc>
      </w:tr>
      <w:tr w:rsidR="00007A93" w:rsidRPr="009B4A9D" w:rsidTr="001B705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262"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 xml:space="preserve">Disagreements between Australia and Timor-Leste on </w:t>
            </w:r>
            <w:r w:rsidR="00B72A62">
              <w:rPr>
                <w:rFonts w:asciiTheme="minorHAnsi" w:hAnsiTheme="minorHAnsi"/>
                <w:b w:val="0"/>
                <w:sz w:val="16"/>
                <w:szCs w:val="16"/>
              </w:rPr>
              <w:t xml:space="preserve">maritime boundaries </w:t>
            </w:r>
            <w:r w:rsidRPr="006D131F">
              <w:rPr>
                <w:rFonts w:asciiTheme="minorHAnsi" w:hAnsiTheme="minorHAnsi"/>
                <w:b w:val="0"/>
                <w:sz w:val="16"/>
                <w:szCs w:val="16"/>
              </w:rPr>
              <w:t xml:space="preserve">affect the development partnership </w:t>
            </w:r>
          </w:p>
        </w:tc>
        <w:tc>
          <w:tcPr>
            <w:tcW w:w="3165"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 xml:space="preserve">Close communication and deepening of relationships with central and line ministries at all levels.  </w:t>
            </w:r>
          </w:p>
        </w:tc>
        <w:tc>
          <w:tcPr>
            <w:tcW w:w="3508"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 xml:space="preserve">Continue to build strong relationships with key GoTL counterparts to deliver an effective, efficient and resilient aid program. Enhanced public diplomacy efforts to communicate effectiveness and impact of Australian aid.  </w:t>
            </w:r>
          </w:p>
        </w:tc>
        <w:tc>
          <w:tcPr>
            <w:tcW w:w="1410"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High</w:t>
            </w:r>
          </w:p>
        </w:tc>
      </w:tr>
      <w:tr w:rsidR="00007A93" w:rsidRPr="009B4A9D" w:rsidTr="001B7052">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262" w:type="dxa"/>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 xml:space="preserve">Weak quality of expenditure by </w:t>
            </w:r>
            <w:r w:rsidR="000502EE">
              <w:rPr>
                <w:rFonts w:asciiTheme="minorHAnsi" w:hAnsiTheme="minorHAnsi"/>
                <w:b w:val="0"/>
                <w:sz w:val="16"/>
                <w:szCs w:val="16"/>
              </w:rPr>
              <w:t xml:space="preserve">Government of Timor-Leste </w:t>
            </w:r>
            <w:r w:rsidRPr="006D131F">
              <w:rPr>
                <w:rFonts w:asciiTheme="minorHAnsi" w:hAnsiTheme="minorHAnsi"/>
                <w:b w:val="0"/>
                <w:sz w:val="16"/>
                <w:szCs w:val="16"/>
              </w:rPr>
              <w:t xml:space="preserve">undermines social and economic development and effectiveness of </w:t>
            </w:r>
            <w:r w:rsidR="00D44484">
              <w:rPr>
                <w:rFonts w:asciiTheme="minorHAnsi" w:hAnsiTheme="minorHAnsi"/>
                <w:b w:val="0"/>
                <w:sz w:val="16"/>
                <w:szCs w:val="16"/>
              </w:rPr>
              <w:t xml:space="preserve">the development partnership </w:t>
            </w:r>
          </w:p>
          <w:p w:rsidR="009B4A9D" w:rsidRPr="006D131F" w:rsidRDefault="009B4A9D">
            <w:pPr>
              <w:pStyle w:val="Default"/>
              <w:rPr>
                <w:rFonts w:asciiTheme="minorHAnsi" w:hAnsiTheme="minorHAnsi"/>
                <w:b w:val="0"/>
                <w:sz w:val="16"/>
                <w:szCs w:val="16"/>
              </w:rPr>
            </w:pPr>
          </w:p>
        </w:tc>
        <w:tc>
          <w:tcPr>
            <w:tcW w:w="3165" w:type="dxa"/>
            <w:hideMark/>
          </w:tcPr>
          <w:p w:rsidR="009B4A9D" w:rsidRPr="006D131F" w:rsidRDefault="009B4A9D" w:rsidP="00022CC6">
            <w:pPr>
              <w:pStyle w:val="Default"/>
              <w:rPr>
                <w:rFonts w:asciiTheme="minorHAnsi" w:hAnsiTheme="minorHAnsi"/>
                <w:b w:val="0"/>
                <w:sz w:val="16"/>
                <w:szCs w:val="16"/>
              </w:rPr>
            </w:pPr>
            <w:r w:rsidRPr="006D131F">
              <w:rPr>
                <w:rFonts w:asciiTheme="minorHAnsi" w:hAnsiTheme="minorHAnsi"/>
                <w:b w:val="0"/>
                <w:sz w:val="16"/>
                <w:szCs w:val="16"/>
              </w:rPr>
              <w:t>Continued support to GoTL central and key economic agencies to progress reforms and improve systems. Australian support for improved public financial management through the G</w:t>
            </w:r>
            <w:r w:rsidR="00022CC6">
              <w:rPr>
                <w:rFonts w:asciiTheme="minorHAnsi" w:hAnsiTheme="minorHAnsi"/>
                <w:b w:val="0"/>
                <w:sz w:val="16"/>
                <w:szCs w:val="16"/>
              </w:rPr>
              <w:t>fD</w:t>
            </w:r>
            <w:r w:rsidRPr="006D131F">
              <w:rPr>
                <w:rFonts w:asciiTheme="minorHAnsi" w:hAnsiTheme="minorHAnsi"/>
                <w:b w:val="0"/>
                <w:sz w:val="16"/>
                <w:szCs w:val="16"/>
              </w:rPr>
              <w:t xml:space="preserve"> program improved budget planning and reporting processes across 23 ministries, and increased level of information that will be available about government policy and spending priorities in 2017. Informed assessments about GoTL commitments and capacity shaped design, modalities and partnerships in new programs. </w:t>
            </w:r>
          </w:p>
        </w:tc>
        <w:tc>
          <w:tcPr>
            <w:tcW w:w="3508"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 xml:space="preserve">Continue to monitor GoTL’s ambitious reform agenda, and target support to areas where progress is being made. </w:t>
            </w:r>
            <w:r w:rsidR="00B72A62">
              <w:rPr>
                <w:rFonts w:asciiTheme="minorHAnsi" w:hAnsiTheme="minorHAnsi"/>
                <w:b w:val="0"/>
                <w:sz w:val="16"/>
                <w:szCs w:val="16"/>
              </w:rPr>
              <w:t>Advocate to</w:t>
            </w:r>
            <w:r w:rsidRPr="006D131F">
              <w:rPr>
                <w:rFonts w:asciiTheme="minorHAnsi" w:hAnsiTheme="minorHAnsi"/>
                <w:b w:val="0"/>
                <w:sz w:val="16"/>
                <w:szCs w:val="16"/>
              </w:rPr>
              <w:t xml:space="preserve"> the GoTL and in coalition with other donors on budget commitments for service delivery, fiscal sustainability and economic diversification. Continue to push for mutual accountability and obligations across programs. Maintain mix of programs with government and non-government partners. Programs to realistically assess GoTL contributions and capacities and shape programs in response. </w:t>
            </w:r>
          </w:p>
        </w:tc>
        <w:tc>
          <w:tcPr>
            <w:tcW w:w="1410"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High</w:t>
            </w:r>
          </w:p>
        </w:tc>
      </w:tr>
      <w:tr w:rsidR="00007A93" w:rsidRPr="009B4A9D" w:rsidTr="00C11319">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2262"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Consolidation of one-third of aid program</w:t>
            </w:r>
            <w:r w:rsidR="00022CC6">
              <w:rPr>
                <w:rFonts w:asciiTheme="minorHAnsi" w:hAnsiTheme="minorHAnsi"/>
                <w:b w:val="0"/>
                <w:sz w:val="16"/>
                <w:szCs w:val="16"/>
              </w:rPr>
              <w:t xml:space="preserve"> into the Partnership for Human Development</w:t>
            </w:r>
            <w:r w:rsidRPr="006D131F">
              <w:rPr>
                <w:rFonts w:asciiTheme="minorHAnsi" w:hAnsiTheme="minorHAnsi"/>
                <w:b w:val="0"/>
                <w:sz w:val="16"/>
                <w:szCs w:val="16"/>
              </w:rPr>
              <w:t xml:space="preserve"> </w:t>
            </w:r>
            <w:r w:rsidR="00A360D6">
              <w:rPr>
                <w:rFonts w:asciiTheme="minorHAnsi" w:hAnsiTheme="minorHAnsi"/>
                <w:b w:val="0"/>
                <w:sz w:val="16"/>
                <w:szCs w:val="16"/>
              </w:rPr>
              <w:t xml:space="preserve">risks loss of direct relationships or </w:t>
            </w:r>
            <w:r w:rsidRPr="006D131F">
              <w:rPr>
                <w:rFonts w:asciiTheme="minorHAnsi" w:hAnsiTheme="minorHAnsi"/>
                <w:b w:val="0"/>
                <w:sz w:val="16"/>
                <w:szCs w:val="16"/>
              </w:rPr>
              <w:t>does not lead to more efficient or effective delivery</w:t>
            </w:r>
            <w:r w:rsidR="00A360D6">
              <w:rPr>
                <w:rFonts w:asciiTheme="minorHAnsi" w:hAnsiTheme="minorHAnsi"/>
                <w:b w:val="0"/>
                <w:sz w:val="16"/>
                <w:szCs w:val="16"/>
              </w:rPr>
              <w:t xml:space="preserve"> of activities</w:t>
            </w:r>
            <w:r w:rsidRPr="006D131F">
              <w:rPr>
                <w:rFonts w:asciiTheme="minorHAnsi" w:hAnsiTheme="minorHAnsi"/>
                <w:b w:val="0"/>
                <w:sz w:val="16"/>
                <w:szCs w:val="16"/>
              </w:rPr>
              <w:t xml:space="preserve"> </w:t>
            </w:r>
          </w:p>
        </w:tc>
        <w:tc>
          <w:tcPr>
            <w:tcW w:w="3165"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 xml:space="preserve">Strong design and thorough consultation and tender processes. </w:t>
            </w:r>
          </w:p>
        </w:tc>
        <w:tc>
          <w:tcPr>
            <w:tcW w:w="3508" w:type="dxa"/>
            <w:hideMark/>
          </w:tcPr>
          <w:p w:rsidR="009B4A9D" w:rsidRPr="006D131F" w:rsidRDefault="009B4A9D" w:rsidP="00DD671E">
            <w:pPr>
              <w:pStyle w:val="Default"/>
              <w:rPr>
                <w:rFonts w:asciiTheme="minorHAnsi" w:hAnsiTheme="minorHAnsi"/>
                <w:b w:val="0"/>
                <w:sz w:val="16"/>
                <w:szCs w:val="16"/>
              </w:rPr>
            </w:pPr>
            <w:r w:rsidRPr="006D131F">
              <w:rPr>
                <w:rFonts w:asciiTheme="minorHAnsi" w:hAnsiTheme="minorHAnsi"/>
                <w:b w:val="0"/>
                <w:sz w:val="16"/>
                <w:szCs w:val="16"/>
              </w:rPr>
              <w:t>Direct more staff time to relationship building within and across sectors and GoTL agencies. Active management of the contract. Australian head of managing contractor to visit biannually to quality assure implementation</w:t>
            </w:r>
            <w:r w:rsidRPr="00C11319">
              <w:rPr>
                <w:rFonts w:asciiTheme="minorHAnsi" w:hAnsiTheme="minorHAnsi"/>
                <w:b w:val="0"/>
                <w:sz w:val="16"/>
                <w:szCs w:val="16"/>
              </w:rPr>
              <w:t xml:space="preserve">. </w:t>
            </w:r>
            <w:r w:rsidR="00DD671E" w:rsidRPr="00C11319">
              <w:rPr>
                <w:rFonts w:asciiTheme="minorHAnsi" w:hAnsiTheme="minorHAnsi"/>
                <w:b w:val="0"/>
                <w:sz w:val="16"/>
                <w:szCs w:val="16"/>
              </w:rPr>
              <w:t>DFAT’s Aid and Contracting Division</w:t>
            </w:r>
            <w:r w:rsidR="00295FDE" w:rsidRPr="00C11319">
              <w:rPr>
                <w:rFonts w:asciiTheme="minorHAnsi" w:hAnsiTheme="minorHAnsi"/>
                <w:b w:val="0"/>
                <w:sz w:val="16"/>
                <w:szCs w:val="16"/>
              </w:rPr>
              <w:t xml:space="preserve"> will undertake review </w:t>
            </w:r>
            <w:r w:rsidR="00E33F45" w:rsidRPr="00C11319">
              <w:rPr>
                <w:rFonts w:asciiTheme="minorHAnsi" w:hAnsiTheme="minorHAnsi"/>
                <w:b w:val="0"/>
                <w:sz w:val="16"/>
                <w:szCs w:val="16"/>
              </w:rPr>
              <w:t>six</w:t>
            </w:r>
            <w:r w:rsidR="00D35518" w:rsidRPr="00C11319">
              <w:rPr>
                <w:rFonts w:asciiTheme="minorHAnsi" w:hAnsiTheme="minorHAnsi"/>
                <w:b w:val="0"/>
                <w:sz w:val="16"/>
                <w:szCs w:val="16"/>
              </w:rPr>
              <w:t xml:space="preserve"> </w:t>
            </w:r>
            <w:r w:rsidR="00295FDE" w:rsidRPr="00C11319">
              <w:rPr>
                <w:rFonts w:asciiTheme="minorHAnsi" w:hAnsiTheme="minorHAnsi"/>
                <w:b w:val="0"/>
                <w:sz w:val="16"/>
                <w:szCs w:val="16"/>
              </w:rPr>
              <w:t>months into implementation.</w:t>
            </w:r>
            <w:r w:rsidR="00295FDE">
              <w:rPr>
                <w:rFonts w:asciiTheme="minorHAnsi" w:hAnsiTheme="minorHAnsi"/>
                <w:b w:val="0"/>
                <w:sz w:val="16"/>
                <w:szCs w:val="16"/>
              </w:rPr>
              <w:t xml:space="preserve"> </w:t>
            </w:r>
          </w:p>
        </w:tc>
        <w:tc>
          <w:tcPr>
            <w:tcW w:w="1410" w:type="dxa"/>
            <w:hideMark/>
          </w:tcPr>
          <w:p w:rsidR="009B4A9D" w:rsidRPr="006D131F" w:rsidRDefault="009B4A9D">
            <w:pPr>
              <w:pStyle w:val="Default"/>
              <w:rPr>
                <w:rFonts w:asciiTheme="minorHAnsi" w:hAnsiTheme="minorHAnsi"/>
                <w:b w:val="0"/>
                <w:sz w:val="16"/>
                <w:szCs w:val="16"/>
              </w:rPr>
            </w:pPr>
            <w:r w:rsidRPr="006D131F">
              <w:rPr>
                <w:rFonts w:asciiTheme="minorHAnsi" w:hAnsiTheme="minorHAnsi"/>
                <w:b w:val="0"/>
                <w:sz w:val="16"/>
                <w:szCs w:val="16"/>
              </w:rPr>
              <w:t>Medium</w:t>
            </w:r>
          </w:p>
        </w:tc>
      </w:tr>
    </w:tbl>
    <w:p w:rsidR="002A51CA" w:rsidRPr="00C61187" w:rsidRDefault="002A51CA" w:rsidP="002A51CA">
      <w:pPr>
        <w:spacing w:before="20" w:after="20" w:line="180" w:lineRule="atLeast"/>
        <w:jc w:val="both"/>
        <w:rPr>
          <w:rFonts w:ascii="Franklin Gothic Book" w:eastAsia="Times New Roman" w:hAnsi="Franklin Gothic Book"/>
          <w:b/>
          <w:sz w:val="14"/>
          <w:szCs w:val="14"/>
        </w:rPr>
      </w:pPr>
    </w:p>
    <w:p w:rsidR="002A51CA" w:rsidRPr="002A51CA" w:rsidRDefault="002A51CA" w:rsidP="002A51CA">
      <w:pPr>
        <w:pStyle w:val="Heading2"/>
      </w:pPr>
      <w:r w:rsidRPr="001B7052">
        <w:t>Management Responses</w:t>
      </w:r>
      <w:r w:rsidRPr="002A51CA">
        <w:tab/>
      </w:r>
      <w:r w:rsidRPr="002A51CA">
        <w:tab/>
      </w:r>
    </w:p>
    <w:p w:rsidR="00D35518" w:rsidRDefault="009B4A9D" w:rsidP="001B7052">
      <w:pPr>
        <w:rPr>
          <w:color w:val="auto"/>
        </w:rPr>
      </w:pPr>
      <w:r>
        <w:rPr>
          <w:color w:val="auto"/>
        </w:rPr>
        <w:t xml:space="preserve">The program made sound progress </w:t>
      </w:r>
      <w:r w:rsidRPr="006C1D3E">
        <w:rPr>
          <w:color w:val="auto"/>
        </w:rPr>
        <w:t>against management responses identified in the 2015-16 APPR (</w:t>
      </w:r>
      <w:r w:rsidRPr="006C1D3E">
        <w:rPr>
          <w:b/>
          <w:color w:val="auto"/>
        </w:rPr>
        <w:t>Annex A</w:t>
      </w:r>
      <w:r w:rsidRPr="006C1D3E">
        <w:rPr>
          <w:color w:val="auto"/>
        </w:rPr>
        <w:t xml:space="preserve">). Out of fourteen actions across the program, </w:t>
      </w:r>
      <w:r w:rsidR="006D131F" w:rsidRPr="006C1D3E">
        <w:rPr>
          <w:color w:val="auto"/>
        </w:rPr>
        <w:t>ten</w:t>
      </w:r>
      <w:r w:rsidRPr="006C1D3E">
        <w:rPr>
          <w:color w:val="auto"/>
        </w:rPr>
        <w:t xml:space="preserve"> were achieved, </w:t>
      </w:r>
      <w:r w:rsidR="006D131F" w:rsidRPr="006C1D3E">
        <w:rPr>
          <w:color w:val="auto"/>
        </w:rPr>
        <w:t>two</w:t>
      </w:r>
      <w:r w:rsidRPr="006C1D3E">
        <w:rPr>
          <w:color w:val="auto"/>
        </w:rPr>
        <w:t xml:space="preserve"> </w:t>
      </w:r>
      <w:r w:rsidR="006C1D3E">
        <w:rPr>
          <w:color w:val="auto"/>
        </w:rPr>
        <w:t xml:space="preserve">were </w:t>
      </w:r>
      <w:r w:rsidRPr="006C1D3E">
        <w:rPr>
          <w:color w:val="auto"/>
        </w:rPr>
        <w:t>partly-achieved and two not</w:t>
      </w:r>
      <w:r>
        <w:rPr>
          <w:color w:val="auto"/>
        </w:rPr>
        <w:t xml:space="preserve"> achieved. Progress was tracked o</w:t>
      </w:r>
      <w:r w:rsidR="00B85CB4">
        <w:rPr>
          <w:color w:val="auto"/>
        </w:rPr>
        <w:t>n a monthly basis as part of</w:t>
      </w:r>
      <w:r>
        <w:rPr>
          <w:color w:val="auto"/>
        </w:rPr>
        <w:t xml:space="preserve"> management dashboard meeting</w:t>
      </w:r>
      <w:r w:rsidR="00B85CB4">
        <w:rPr>
          <w:color w:val="auto"/>
        </w:rPr>
        <w:t>s</w:t>
      </w:r>
      <w:r>
        <w:rPr>
          <w:color w:val="auto"/>
        </w:rPr>
        <w:t xml:space="preserve"> between senior and program staff in Dili and in Canberra.</w:t>
      </w:r>
      <w:r w:rsidR="001B7052" w:rsidRPr="001B7052">
        <w:rPr>
          <w:color w:val="auto"/>
        </w:rPr>
        <w:t xml:space="preserve"> </w:t>
      </w:r>
      <w:r w:rsidR="001B7052">
        <w:rPr>
          <w:color w:val="auto"/>
        </w:rPr>
        <w:t xml:space="preserve"> </w:t>
      </w:r>
    </w:p>
    <w:p w:rsidR="001B7052" w:rsidRDefault="0071095A" w:rsidP="001B7052">
      <w:pPr>
        <w:rPr>
          <w:color w:val="auto"/>
        </w:rPr>
      </w:pPr>
      <w:r>
        <w:rPr>
          <w:color w:val="auto"/>
        </w:rPr>
        <w:t xml:space="preserve">As well as the management responses identified </w:t>
      </w:r>
      <w:r w:rsidR="00DD0D0E">
        <w:rPr>
          <w:color w:val="auto"/>
        </w:rPr>
        <w:t xml:space="preserve">under each </w:t>
      </w:r>
      <w:r w:rsidR="00EB6BE7">
        <w:rPr>
          <w:color w:val="auto"/>
        </w:rPr>
        <w:t>strategic objective</w:t>
      </w:r>
      <w:r>
        <w:rPr>
          <w:color w:val="auto"/>
        </w:rPr>
        <w:t xml:space="preserve">, </w:t>
      </w:r>
      <w:r w:rsidR="00DD0D0E">
        <w:rPr>
          <w:color w:val="auto"/>
        </w:rPr>
        <w:t>i</w:t>
      </w:r>
      <w:r w:rsidR="001B7052">
        <w:rPr>
          <w:color w:val="auto"/>
        </w:rPr>
        <w:t>n 2016-17 Australia’s aid program will:</w:t>
      </w:r>
    </w:p>
    <w:p w:rsidR="009B4A9D" w:rsidRPr="00164879" w:rsidRDefault="009B4A9D" w:rsidP="005E01FE">
      <w:pPr>
        <w:spacing w:after="0"/>
        <w:rPr>
          <w:i/>
          <w:color w:val="auto"/>
        </w:rPr>
      </w:pPr>
      <w:r w:rsidRPr="00164879">
        <w:rPr>
          <w:i/>
          <w:color w:val="auto"/>
        </w:rPr>
        <w:t xml:space="preserve">Strategic: </w:t>
      </w:r>
    </w:p>
    <w:p w:rsidR="009B4A9D" w:rsidRPr="005E01FE" w:rsidRDefault="009B4A9D" w:rsidP="005E01FE">
      <w:pPr>
        <w:pStyle w:val="ListParagraph"/>
        <w:numPr>
          <w:ilvl w:val="0"/>
          <w:numId w:val="41"/>
        </w:numPr>
        <w:spacing w:after="0"/>
        <w:rPr>
          <w:color w:val="auto"/>
        </w:rPr>
      </w:pPr>
      <w:r w:rsidRPr="001D3A81">
        <w:rPr>
          <w:color w:val="auto"/>
        </w:rPr>
        <w:t xml:space="preserve">Closely monitor </w:t>
      </w:r>
      <w:r w:rsidR="00517234">
        <w:rPr>
          <w:color w:val="auto"/>
        </w:rPr>
        <w:t xml:space="preserve">political </w:t>
      </w:r>
      <w:r w:rsidRPr="001D3A81">
        <w:rPr>
          <w:color w:val="auto"/>
        </w:rPr>
        <w:t xml:space="preserve">developments related to the 2017 presidential and parliamentary elections. We will </w:t>
      </w:r>
      <w:r>
        <w:rPr>
          <w:color w:val="auto"/>
        </w:rPr>
        <w:t>respond</w:t>
      </w:r>
      <w:r w:rsidRPr="001D3A81">
        <w:rPr>
          <w:color w:val="auto"/>
        </w:rPr>
        <w:t xml:space="preserve"> to opportunities </w:t>
      </w:r>
      <w:r w:rsidRPr="00387F30">
        <w:rPr>
          <w:color w:val="auto"/>
        </w:rPr>
        <w:t>to support good reform work as the current government completes its term</w:t>
      </w:r>
      <w:r>
        <w:rPr>
          <w:color w:val="auto"/>
        </w:rPr>
        <w:t xml:space="preserve"> and manage risks as </w:t>
      </w:r>
      <w:r w:rsidRPr="00387F30">
        <w:rPr>
          <w:color w:val="auto"/>
        </w:rPr>
        <w:t>government busine</w:t>
      </w:r>
      <w:r>
        <w:rPr>
          <w:color w:val="auto"/>
        </w:rPr>
        <w:t>ss slows around the election.</w:t>
      </w:r>
    </w:p>
    <w:p w:rsidR="009B4A9D" w:rsidRPr="005E01FE" w:rsidRDefault="009B4A9D" w:rsidP="005E01FE">
      <w:pPr>
        <w:pStyle w:val="ListParagraph"/>
        <w:numPr>
          <w:ilvl w:val="0"/>
          <w:numId w:val="41"/>
        </w:numPr>
        <w:spacing w:after="0"/>
        <w:rPr>
          <w:color w:val="auto"/>
        </w:rPr>
      </w:pPr>
      <w:r>
        <w:rPr>
          <w:color w:val="auto"/>
        </w:rPr>
        <w:t xml:space="preserve">Ensure active management of relationships with government, other development partners and across the sectors of programs as we transition to new programs. We will </w:t>
      </w:r>
      <w:r w:rsidR="00001B2F">
        <w:rPr>
          <w:color w:val="auto"/>
        </w:rPr>
        <w:t>leverage</w:t>
      </w:r>
      <w:r w:rsidR="00853057">
        <w:rPr>
          <w:color w:val="auto"/>
        </w:rPr>
        <w:t xml:space="preserve"> the Partnership for Human Development</w:t>
      </w:r>
      <w:r w:rsidR="00C01B93">
        <w:rPr>
          <w:color w:val="auto"/>
        </w:rPr>
        <w:t xml:space="preserve"> and</w:t>
      </w:r>
      <w:r w:rsidR="00853057">
        <w:rPr>
          <w:color w:val="auto"/>
        </w:rPr>
        <w:t xml:space="preserve"> </w:t>
      </w:r>
      <w:r>
        <w:rPr>
          <w:color w:val="auto"/>
        </w:rPr>
        <w:t xml:space="preserve">hold </w:t>
      </w:r>
      <w:r w:rsidR="00517234">
        <w:rPr>
          <w:color w:val="auto"/>
        </w:rPr>
        <w:t>regular</w:t>
      </w:r>
      <w:r>
        <w:rPr>
          <w:color w:val="auto"/>
        </w:rPr>
        <w:t xml:space="preserve"> team leader meetings to break down silos and share program successes and lessons learned. </w:t>
      </w:r>
    </w:p>
    <w:p w:rsidR="009B4A9D" w:rsidRPr="007554E0" w:rsidRDefault="009B4A9D" w:rsidP="005E01FE">
      <w:pPr>
        <w:pStyle w:val="ListParagraph"/>
        <w:numPr>
          <w:ilvl w:val="0"/>
          <w:numId w:val="41"/>
        </w:numPr>
        <w:spacing w:after="0"/>
        <w:rPr>
          <w:color w:val="auto"/>
        </w:rPr>
      </w:pPr>
      <w:r w:rsidRPr="007B0151">
        <w:rPr>
          <w:color w:val="auto"/>
        </w:rPr>
        <w:t xml:space="preserve">Take a stronger lead in donor coordination with a view </w:t>
      </w:r>
      <w:r w:rsidR="00DD0D0E">
        <w:rPr>
          <w:color w:val="auto"/>
        </w:rPr>
        <w:t>t</w:t>
      </w:r>
      <w:r w:rsidRPr="007B0151">
        <w:rPr>
          <w:color w:val="auto"/>
        </w:rPr>
        <w:t>o</w:t>
      </w:r>
      <w:r w:rsidR="00C06733">
        <w:rPr>
          <w:color w:val="auto"/>
        </w:rPr>
        <w:t xml:space="preserve"> better</w:t>
      </w:r>
      <w:r w:rsidR="00EB6BE7">
        <w:rPr>
          <w:color w:val="auto"/>
        </w:rPr>
        <w:t xml:space="preserve"> </w:t>
      </w:r>
      <w:r w:rsidR="00517234" w:rsidRPr="007B0151">
        <w:rPr>
          <w:color w:val="auto"/>
        </w:rPr>
        <w:t>coordinate</w:t>
      </w:r>
      <w:r w:rsidRPr="007B0151">
        <w:rPr>
          <w:color w:val="auto"/>
        </w:rPr>
        <w:t xml:space="preserve"> policy </w:t>
      </w:r>
      <w:r w:rsidR="00EB6BE7">
        <w:rPr>
          <w:color w:val="auto"/>
        </w:rPr>
        <w:t>advocacy</w:t>
      </w:r>
      <w:r w:rsidRPr="007B0151">
        <w:rPr>
          <w:color w:val="auto"/>
        </w:rPr>
        <w:t xml:space="preserve"> with the </w:t>
      </w:r>
      <w:r w:rsidR="00517234" w:rsidRPr="007B0151">
        <w:rPr>
          <w:color w:val="auto"/>
        </w:rPr>
        <w:t>Government</w:t>
      </w:r>
      <w:r w:rsidR="00D35518">
        <w:rPr>
          <w:color w:val="auto"/>
        </w:rPr>
        <w:t xml:space="preserve"> of Timor-Leste</w:t>
      </w:r>
      <w:r w:rsidRPr="007B0151">
        <w:rPr>
          <w:color w:val="auto"/>
        </w:rPr>
        <w:t xml:space="preserve">. We will establish a more formal structure for donor coordination in the infrastructure sector and continue to chair </w:t>
      </w:r>
      <w:r w:rsidR="00D92947">
        <w:rPr>
          <w:color w:val="auto"/>
        </w:rPr>
        <w:t xml:space="preserve">sector </w:t>
      </w:r>
      <w:r w:rsidRPr="007B0151">
        <w:rPr>
          <w:color w:val="auto"/>
        </w:rPr>
        <w:t>working groups</w:t>
      </w:r>
      <w:r w:rsidR="00D92947">
        <w:rPr>
          <w:color w:val="auto"/>
        </w:rPr>
        <w:t>.</w:t>
      </w:r>
      <w:r w:rsidRPr="007B0151">
        <w:rPr>
          <w:color w:val="auto"/>
        </w:rPr>
        <w:t xml:space="preserve"> </w:t>
      </w:r>
    </w:p>
    <w:p w:rsidR="009B4A9D" w:rsidRDefault="009B4A9D" w:rsidP="005E01FE">
      <w:pPr>
        <w:spacing w:after="0"/>
        <w:rPr>
          <w:color w:val="auto"/>
        </w:rPr>
      </w:pPr>
      <w:r>
        <w:rPr>
          <w:color w:val="auto"/>
        </w:rPr>
        <w:t>Operational:</w:t>
      </w:r>
    </w:p>
    <w:p w:rsidR="009B4A9D" w:rsidRPr="005E01FE" w:rsidRDefault="009B4A9D" w:rsidP="005E01FE">
      <w:pPr>
        <w:pStyle w:val="ListParagraph"/>
        <w:numPr>
          <w:ilvl w:val="0"/>
          <w:numId w:val="41"/>
        </w:numPr>
        <w:spacing w:after="0"/>
        <w:rPr>
          <w:color w:val="auto"/>
        </w:rPr>
      </w:pPr>
      <w:r>
        <w:rPr>
          <w:color w:val="auto"/>
        </w:rPr>
        <w:t xml:space="preserve">Improve program performance reporting. </w:t>
      </w:r>
      <w:r w:rsidR="00D35518">
        <w:rPr>
          <w:color w:val="auto"/>
        </w:rPr>
        <w:t xml:space="preserve">With </w:t>
      </w:r>
      <w:r w:rsidR="00E36697">
        <w:rPr>
          <w:color w:val="auto"/>
        </w:rPr>
        <w:t xml:space="preserve">assistance from </w:t>
      </w:r>
      <w:r w:rsidR="00D35518">
        <w:rPr>
          <w:color w:val="auto"/>
        </w:rPr>
        <w:t>of the M&amp;E House, w</w:t>
      </w:r>
      <w:r>
        <w:rPr>
          <w:color w:val="auto"/>
        </w:rPr>
        <w:t>e will finalise a</w:t>
      </w:r>
      <w:r w:rsidRPr="002F4656">
        <w:rPr>
          <w:color w:val="auto"/>
        </w:rPr>
        <w:t xml:space="preserve"> performance assessment framework in line with the AIP to strengthen our ability to </w:t>
      </w:r>
      <w:r>
        <w:rPr>
          <w:color w:val="auto"/>
        </w:rPr>
        <w:t>measure and communicate results</w:t>
      </w:r>
      <w:r w:rsidR="00D35518">
        <w:rPr>
          <w:color w:val="auto"/>
        </w:rPr>
        <w:t>. W</w:t>
      </w:r>
      <w:r>
        <w:rPr>
          <w:color w:val="auto"/>
        </w:rPr>
        <w:t xml:space="preserve">e will review the framework every six months.  </w:t>
      </w:r>
    </w:p>
    <w:p w:rsidR="009B4A9D" w:rsidRPr="005E01FE" w:rsidRDefault="009B4A9D" w:rsidP="005E01FE">
      <w:pPr>
        <w:pStyle w:val="ListParagraph"/>
        <w:numPr>
          <w:ilvl w:val="0"/>
          <w:numId w:val="41"/>
        </w:numPr>
        <w:spacing w:after="0"/>
        <w:rPr>
          <w:color w:val="auto"/>
        </w:rPr>
      </w:pPr>
      <w:r w:rsidRPr="00B71C41">
        <w:rPr>
          <w:color w:val="auto"/>
        </w:rPr>
        <w:t>Focus on smooth transition and implementation of new investments in human development, agriculture and monitoring and evaluation</w:t>
      </w:r>
      <w:r>
        <w:rPr>
          <w:color w:val="auto"/>
        </w:rPr>
        <w:t xml:space="preserve">. We </w:t>
      </w:r>
      <w:r w:rsidRPr="00AE6742">
        <w:rPr>
          <w:color w:val="auto"/>
        </w:rPr>
        <w:t>will ensure transition plans are in place, there is effective communication with partners and that senior management has ongoing visibility of progress</w:t>
      </w:r>
      <w:r>
        <w:rPr>
          <w:color w:val="auto"/>
        </w:rPr>
        <w:t>.</w:t>
      </w:r>
    </w:p>
    <w:p w:rsidR="00DD0D0E" w:rsidRDefault="00DD0D0E" w:rsidP="005E01FE">
      <w:pPr>
        <w:pStyle w:val="ListParagraph"/>
        <w:numPr>
          <w:ilvl w:val="0"/>
          <w:numId w:val="41"/>
        </w:numPr>
        <w:spacing w:after="0"/>
        <w:rPr>
          <w:color w:val="auto"/>
        </w:rPr>
      </w:pPr>
      <w:r w:rsidRPr="006F02C8">
        <w:rPr>
          <w:color w:val="auto"/>
        </w:rPr>
        <w:t>Progress opportunities for disability inclu</w:t>
      </w:r>
      <w:r w:rsidRPr="00DD0D0E">
        <w:rPr>
          <w:color w:val="auto"/>
        </w:rPr>
        <w:t>sive development mainstreaming</w:t>
      </w:r>
      <w:r w:rsidR="00D35518">
        <w:rPr>
          <w:color w:val="auto"/>
        </w:rPr>
        <w:t xml:space="preserve"> and improved reporting</w:t>
      </w:r>
      <w:r w:rsidRPr="00DD0D0E">
        <w:rPr>
          <w:color w:val="auto"/>
        </w:rPr>
        <w:t xml:space="preserve"> </w:t>
      </w:r>
      <w:r>
        <w:rPr>
          <w:color w:val="auto"/>
        </w:rPr>
        <w:t>in</w:t>
      </w:r>
      <w:r w:rsidRPr="006F02C8">
        <w:rPr>
          <w:color w:val="auto"/>
        </w:rPr>
        <w:t xml:space="preserve"> each of our programs. The new Partnership for Human Development will ensure disability is central to work in health, education, nutrition and gender sectors</w:t>
      </w:r>
      <w:r>
        <w:rPr>
          <w:color w:val="auto"/>
        </w:rPr>
        <w:t xml:space="preserve"> and we will focus on support </w:t>
      </w:r>
      <w:r w:rsidR="00E95401">
        <w:rPr>
          <w:color w:val="auto"/>
        </w:rPr>
        <w:t xml:space="preserve">to </w:t>
      </w:r>
      <w:r>
        <w:rPr>
          <w:color w:val="auto"/>
        </w:rPr>
        <w:t xml:space="preserve">existing and new </w:t>
      </w:r>
      <w:r w:rsidRPr="006F02C8">
        <w:rPr>
          <w:color w:val="auto"/>
        </w:rPr>
        <w:t>programs such as PNDS, T</w:t>
      </w:r>
      <w:r w:rsidRPr="00DD0D0E">
        <w:rPr>
          <w:color w:val="auto"/>
        </w:rPr>
        <w:t>OMAK</w:t>
      </w:r>
      <w:r w:rsidRPr="006F02C8">
        <w:rPr>
          <w:color w:val="auto"/>
        </w:rPr>
        <w:t xml:space="preserve">, M&amp;E House and </w:t>
      </w:r>
      <w:r w:rsidR="000E42E2">
        <w:rPr>
          <w:color w:val="auto"/>
        </w:rPr>
        <w:t xml:space="preserve">GfD. </w:t>
      </w:r>
    </w:p>
    <w:p w:rsidR="00DD0D0E" w:rsidRPr="006F02C8" w:rsidRDefault="00DD0D0E" w:rsidP="005E01FE">
      <w:pPr>
        <w:pStyle w:val="ListParagraph"/>
        <w:spacing w:before="0" w:after="0"/>
        <w:rPr>
          <w:color w:val="auto"/>
        </w:rPr>
      </w:pPr>
    </w:p>
    <w:p w:rsidR="00D15A00" w:rsidRDefault="00D15A00" w:rsidP="002A51CA">
      <w:pPr>
        <w:sectPr w:rsidR="00D15A00" w:rsidSect="00345C61">
          <w:pgSz w:w="11906" w:h="16838" w:code="9"/>
          <w:pgMar w:top="1527" w:right="1134" w:bottom="1135" w:left="1134" w:header="1418" w:footer="567" w:gutter="0"/>
          <w:cols w:space="397"/>
          <w:docGrid w:linePitch="360"/>
        </w:sectPr>
      </w:pPr>
    </w:p>
    <w:p w:rsidR="00086AF2" w:rsidRPr="00C61187" w:rsidRDefault="00086AF2" w:rsidP="009E777F">
      <w:pPr>
        <w:pStyle w:val="Subtitle"/>
        <w:numPr>
          <w:ilvl w:val="0"/>
          <w:numId w:val="0"/>
        </w:numPr>
      </w:pPr>
      <w:r w:rsidRPr="00400B0F">
        <w:t>Annex A - Progress in Addressing Management Responses</w:t>
      </w:r>
    </w:p>
    <w:tbl>
      <w:tblPr>
        <w:tblStyle w:val="APPR"/>
        <w:tblpPr w:leftFromText="180" w:rightFromText="180" w:vertAnchor="text" w:tblpY="1"/>
        <w:tblW w:w="5084" w:type="pct"/>
        <w:tblLayout w:type="fixed"/>
        <w:tblLook w:val="0000" w:firstRow="0" w:lastRow="0" w:firstColumn="0" w:lastColumn="0" w:noHBand="0" w:noVBand="0"/>
        <w:tblCaption w:val="Progress in addressing management responses identified in 2014-15 APPR"/>
      </w:tblPr>
      <w:tblGrid>
        <w:gridCol w:w="6757"/>
        <w:gridCol w:w="1279"/>
        <w:gridCol w:w="6652"/>
      </w:tblGrid>
      <w:tr w:rsidR="00086AF2" w:rsidRPr="0010756F" w:rsidTr="007554E0">
        <w:trPr>
          <w:cnfStyle w:val="000000010000" w:firstRow="0" w:lastRow="0" w:firstColumn="0" w:lastColumn="0" w:oddVBand="0" w:evenVBand="0" w:oddHBand="0" w:evenHBand="1" w:firstRowFirstColumn="0" w:firstRowLastColumn="0" w:lastRowFirstColumn="0" w:lastRowLastColumn="0"/>
          <w:trHeight w:val="22"/>
        </w:trPr>
        <w:tc>
          <w:tcPr>
            <w:tcW w:w="6715" w:type="dxa"/>
          </w:tcPr>
          <w:p w:rsidR="00086AF2" w:rsidRPr="006F02C8" w:rsidRDefault="00086AF2" w:rsidP="0095295A">
            <w:pPr>
              <w:keepLines/>
              <w:spacing w:before="80" w:after="80" w:line="200" w:lineRule="atLeast"/>
              <w:rPr>
                <w:rFonts w:asciiTheme="minorHAnsi" w:eastAsia="Times New Roman" w:hAnsiTheme="minorHAnsi"/>
                <w:b/>
                <w:iCs/>
                <w:color w:val="auto"/>
                <w:szCs w:val="17"/>
              </w:rPr>
            </w:pPr>
            <w:r w:rsidRPr="0010756F">
              <w:rPr>
                <w:rFonts w:eastAsia="Times New Roman"/>
                <w:b/>
                <w:iCs/>
                <w:color w:val="auto"/>
                <w:szCs w:val="17"/>
              </w:rPr>
              <w:t>Management responses identified in 2014-15 APPR</w:t>
            </w:r>
            <w:r w:rsidRPr="0010756F">
              <w:rPr>
                <w:rFonts w:eastAsia="Times New Roman"/>
                <w:b/>
                <w:iCs/>
                <w:color w:val="auto"/>
                <w:szCs w:val="17"/>
              </w:rPr>
              <w:tab/>
            </w:r>
          </w:p>
        </w:tc>
        <w:tc>
          <w:tcPr>
            <w:tcW w:w="1251" w:type="dxa"/>
          </w:tcPr>
          <w:p w:rsidR="00086AF2" w:rsidRPr="006F02C8" w:rsidRDefault="00086AF2" w:rsidP="0095295A">
            <w:pPr>
              <w:keepLines/>
              <w:spacing w:before="80" w:after="80" w:line="200" w:lineRule="atLeast"/>
              <w:jc w:val="center"/>
              <w:rPr>
                <w:rFonts w:asciiTheme="minorHAnsi" w:eastAsia="Times New Roman" w:hAnsiTheme="minorHAnsi"/>
                <w:b/>
                <w:iCs/>
                <w:color w:val="auto"/>
                <w:szCs w:val="17"/>
              </w:rPr>
            </w:pPr>
            <w:r w:rsidRPr="0010756F">
              <w:rPr>
                <w:rFonts w:eastAsia="Times New Roman"/>
                <w:b/>
                <w:iCs/>
                <w:color w:val="auto"/>
                <w:szCs w:val="17"/>
              </w:rPr>
              <w:t>Rating</w:t>
            </w:r>
          </w:p>
        </w:tc>
        <w:tc>
          <w:tcPr>
            <w:tcW w:w="6610" w:type="dxa"/>
          </w:tcPr>
          <w:p w:rsidR="00086AF2" w:rsidRPr="006F02C8" w:rsidRDefault="00086AF2" w:rsidP="0095295A">
            <w:pPr>
              <w:keepLines/>
              <w:spacing w:before="80" w:after="80" w:line="200" w:lineRule="atLeast"/>
              <w:jc w:val="center"/>
              <w:rPr>
                <w:rFonts w:asciiTheme="minorHAnsi" w:eastAsia="Times New Roman" w:hAnsiTheme="minorHAnsi"/>
                <w:b/>
                <w:iCs/>
                <w:color w:val="auto"/>
                <w:szCs w:val="17"/>
              </w:rPr>
            </w:pPr>
            <w:r w:rsidRPr="0010756F">
              <w:rPr>
                <w:rFonts w:eastAsia="Times New Roman"/>
                <w:b/>
                <w:iCs/>
                <w:color w:val="auto"/>
                <w:szCs w:val="17"/>
              </w:rPr>
              <w:t>Progress made  in 2015-16</w:t>
            </w:r>
          </w:p>
        </w:tc>
      </w:tr>
      <w:tr w:rsidR="00086AF2" w:rsidRPr="0010756F" w:rsidTr="00637ADB">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A207A5">
            <w:pPr>
              <w:keepLines/>
              <w:spacing w:before="40" w:after="40" w:line="240" w:lineRule="auto"/>
              <w:rPr>
                <w:rFonts w:asciiTheme="minorHAnsi" w:eastAsia="Times New Roman" w:hAnsiTheme="minorHAnsi"/>
                <w:iCs/>
                <w:color w:val="auto"/>
                <w:szCs w:val="17"/>
              </w:rPr>
            </w:pPr>
            <w:r w:rsidRPr="0071588C">
              <w:rPr>
                <w:rFonts w:asciiTheme="minorHAnsi" w:hAnsiTheme="minorHAnsi"/>
                <w:color w:val="auto"/>
                <w:szCs w:val="17"/>
              </w:rPr>
              <w:t>The Post will draw on evidence-based analysis to inform dialogue with the Ministry of Finance and key line ministries on policy challenges across all three levels of public finance management: fiscal sustainability, allocative efficiency and operational performance.</w:t>
            </w:r>
          </w:p>
        </w:tc>
        <w:tc>
          <w:tcPr>
            <w:tcW w:w="1251" w:type="dxa"/>
            <w:shd w:val="clear" w:color="auto" w:fill="F7AA32"/>
          </w:tcPr>
          <w:p w:rsidR="00086AF2" w:rsidRPr="0071588C" w:rsidRDefault="00086AF2" w:rsidP="00A207A5">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BF41E9" w:rsidP="00A207A5">
            <w:pPr>
              <w:keepLines/>
              <w:spacing w:before="40" w:after="40" w:line="240" w:lineRule="auto"/>
              <w:rPr>
                <w:rFonts w:asciiTheme="minorHAnsi" w:eastAsia="Times New Roman" w:hAnsiTheme="minorHAnsi"/>
                <w:iCs/>
                <w:color w:val="auto"/>
                <w:szCs w:val="17"/>
                <w:highlight w:val="yellow"/>
              </w:rPr>
            </w:pPr>
            <w:r w:rsidRPr="0071588C">
              <w:rPr>
                <w:rFonts w:asciiTheme="minorHAnsi" w:hAnsiTheme="minorHAnsi"/>
                <w:color w:val="auto"/>
                <w:szCs w:val="17"/>
              </w:rPr>
              <w:t>Improvements in public financial management have occurred as a result of our work with the OP</w:t>
            </w:r>
            <w:r w:rsidR="00A207A5">
              <w:rPr>
                <w:rFonts w:asciiTheme="minorHAnsi" w:hAnsiTheme="minorHAnsi"/>
                <w:color w:val="auto"/>
                <w:szCs w:val="17"/>
              </w:rPr>
              <w:t>M and relevant line ministries.</w:t>
            </w:r>
            <w:r w:rsidR="004E2014">
              <w:rPr>
                <w:rFonts w:asciiTheme="minorHAnsi" w:hAnsiTheme="minorHAnsi"/>
                <w:color w:val="auto"/>
                <w:szCs w:val="17"/>
              </w:rPr>
              <w:t xml:space="preserve"> </w:t>
            </w:r>
            <w:r w:rsidRPr="0071588C">
              <w:rPr>
                <w:rFonts w:asciiTheme="minorHAnsi" w:hAnsiTheme="minorHAnsi"/>
                <w:color w:val="auto"/>
                <w:szCs w:val="17"/>
              </w:rPr>
              <w:t>The introduction of program classifications in the budget process will guide budget planning and implementation across the civil service.</w:t>
            </w: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A207A5" w:rsidP="00A207A5">
            <w:pPr>
              <w:pStyle w:val="ListBullet"/>
              <w:tabs>
                <w:tab w:val="clear" w:pos="284"/>
              </w:tabs>
              <w:spacing w:line="240" w:lineRule="auto"/>
              <w:rPr>
                <w:rFonts w:asciiTheme="minorHAnsi" w:hAnsiTheme="minorHAnsi"/>
                <w:sz w:val="17"/>
                <w:szCs w:val="17"/>
              </w:rPr>
            </w:pPr>
            <w:r>
              <w:rPr>
                <w:rFonts w:asciiTheme="minorHAnsi" w:hAnsiTheme="minorHAnsi"/>
                <w:sz w:val="17"/>
                <w:szCs w:val="17"/>
              </w:rPr>
              <w:t xml:space="preserve">The Post will build flexibility </w:t>
            </w:r>
            <w:r w:rsidR="00086AF2" w:rsidRPr="0071588C">
              <w:rPr>
                <w:rFonts w:asciiTheme="minorHAnsi" w:hAnsiTheme="minorHAnsi"/>
                <w:sz w:val="17"/>
                <w:szCs w:val="17"/>
              </w:rPr>
              <w:t xml:space="preserve">into programs to respond to Timor-Leste’s emerging/changing priorities, where appropriate, while focusing on achieving high level outcomes. We will continue to build trust, strong relationships, and a strong understanding of the political economic context. </w:t>
            </w:r>
          </w:p>
        </w:tc>
        <w:tc>
          <w:tcPr>
            <w:tcW w:w="1251" w:type="dxa"/>
            <w:shd w:val="clear" w:color="auto" w:fill="7FB64D" w:themeFill="accent3" w:themeFillShade="BF"/>
          </w:tcPr>
          <w:p w:rsidR="00086AF2" w:rsidRPr="0071588C" w:rsidRDefault="00086AF2" w:rsidP="00A207A5">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A207A5" w:rsidRDefault="00BF41E9" w:rsidP="00A207A5">
            <w:pPr>
              <w:keepLines/>
              <w:spacing w:before="40" w:after="40" w:line="240" w:lineRule="auto"/>
              <w:rPr>
                <w:rFonts w:asciiTheme="minorHAnsi" w:hAnsiTheme="minorHAnsi"/>
                <w:b/>
                <w:color w:val="auto"/>
                <w:szCs w:val="17"/>
              </w:rPr>
            </w:pPr>
            <w:r w:rsidRPr="0071588C">
              <w:rPr>
                <w:rFonts w:asciiTheme="minorHAnsi" w:hAnsiTheme="minorHAnsi"/>
                <w:color w:val="auto"/>
                <w:szCs w:val="17"/>
              </w:rPr>
              <w:t>In education, we responded to requests from the Ministry of Education with assistance to distribute the new school curriculum and to implement a new teacher training and mentoring program to support use of the curriculum.</w:t>
            </w:r>
            <w:r w:rsidR="00A207A5">
              <w:rPr>
                <w:rFonts w:asciiTheme="minorHAnsi" w:hAnsiTheme="minorHAnsi"/>
                <w:color w:val="auto"/>
                <w:szCs w:val="17"/>
              </w:rPr>
              <w:t xml:space="preserve">  </w:t>
            </w:r>
            <w:r w:rsidRPr="0071588C">
              <w:rPr>
                <w:rFonts w:asciiTheme="minorHAnsi" w:hAnsiTheme="minorHAnsi"/>
                <w:color w:val="auto"/>
                <w:szCs w:val="17"/>
              </w:rPr>
              <w:t xml:space="preserve">When opportunities arose to support the OPM to strengthen public financial management, we responded quickly with support. We supported the Office of the Minister of State, Coordinating Minister for Economic Affairs (MECAE) in response to opportunities to advance private investment law and strengthen economic policy making.  Our quick response to opportunity in the Civic Service Commission has meant that the Governments Civil Service strategic plan includes specific provisions for social inclusion. </w:t>
            </w:r>
          </w:p>
        </w:tc>
      </w:tr>
      <w:tr w:rsidR="00086AF2" w:rsidRPr="0010756F" w:rsidTr="00226E9C">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A207A5">
            <w:pPr>
              <w:pStyle w:val="ListBullet"/>
              <w:tabs>
                <w:tab w:val="clear" w:pos="284"/>
              </w:tabs>
              <w:spacing w:line="240" w:lineRule="auto"/>
              <w:rPr>
                <w:rFonts w:asciiTheme="minorHAnsi" w:hAnsiTheme="minorHAnsi"/>
                <w:sz w:val="17"/>
                <w:szCs w:val="17"/>
              </w:rPr>
            </w:pPr>
            <w:r w:rsidRPr="0071588C">
              <w:rPr>
                <w:rFonts w:asciiTheme="minorHAnsi" w:hAnsiTheme="minorHAnsi"/>
                <w:sz w:val="17"/>
                <w:szCs w:val="17"/>
              </w:rPr>
              <w:t xml:space="preserve">The Post will agree development priorities with the </w:t>
            </w:r>
            <w:r w:rsidR="000502EE">
              <w:rPr>
                <w:rFonts w:asciiTheme="minorHAnsi" w:hAnsiTheme="minorHAnsi"/>
                <w:sz w:val="17"/>
                <w:szCs w:val="17"/>
              </w:rPr>
              <w:t xml:space="preserve">Government of Timor-Leste </w:t>
            </w:r>
            <w:r w:rsidRPr="0071588C">
              <w:rPr>
                <w:rFonts w:asciiTheme="minorHAnsi" w:hAnsiTheme="minorHAnsi"/>
                <w:sz w:val="17"/>
                <w:szCs w:val="17"/>
              </w:rPr>
              <w:t xml:space="preserve">through an updated Australia-Timor-Leste high-level agreement (to succeed the </w:t>
            </w:r>
            <w:r w:rsidRPr="0071588C">
              <w:rPr>
                <w:rFonts w:asciiTheme="minorHAnsi" w:hAnsiTheme="minorHAnsi"/>
                <w:i/>
                <w:sz w:val="17"/>
                <w:szCs w:val="17"/>
              </w:rPr>
              <w:t>Strategic Planning Agreement on Development</w:t>
            </w:r>
            <w:r w:rsidRPr="0071588C">
              <w:rPr>
                <w:rFonts w:asciiTheme="minorHAnsi" w:hAnsiTheme="minorHAnsi"/>
                <w:sz w:val="17"/>
                <w:szCs w:val="17"/>
              </w:rPr>
              <w:t xml:space="preserve">). </w:t>
            </w:r>
          </w:p>
        </w:tc>
        <w:tc>
          <w:tcPr>
            <w:tcW w:w="1251" w:type="dxa"/>
            <w:shd w:val="clear" w:color="auto" w:fill="FF0000"/>
          </w:tcPr>
          <w:p w:rsidR="00086AF2" w:rsidRPr="0071588C" w:rsidRDefault="00086AF2" w:rsidP="00A207A5">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226E9C" w:rsidP="00A207A5">
            <w:pPr>
              <w:keepLines/>
              <w:spacing w:before="40" w:after="40" w:line="240" w:lineRule="auto"/>
              <w:rPr>
                <w:rFonts w:asciiTheme="minorHAnsi" w:eastAsia="Times New Roman" w:hAnsiTheme="minorHAnsi"/>
                <w:iCs/>
                <w:color w:val="auto"/>
                <w:szCs w:val="17"/>
              </w:rPr>
            </w:pPr>
            <w:r w:rsidRPr="0071588C">
              <w:rPr>
                <w:rFonts w:asciiTheme="minorHAnsi" w:eastAsia="Times New Roman" w:hAnsiTheme="minorHAnsi"/>
                <w:iCs/>
                <w:color w:val="auto"/>
                <w:szCs w:val="17"/>
              </w:rPr>
              <w:t xml:space="preserve">Due to broader issues in the bilateral relationship, we </w:t>
            </w:r>
            <w:r w:rsidR="007212D0" w:rsidRPr="0071588C">
              <w:rPr>
                <w:rFonts w:asciiTheme="minorHAnsi" w:eastAsia="Times New Roman" w:hAnsiTheme="minorHAnsi"/>
                <w:iCs/>
                <w:color w:val="auto"/>
                <w:szCs w:val="17"/>
              </w:rPr>
              <w:t xml:space="preserve">have not </w:t>
            </w:r>
            <w:r w:rsidRPr="0071588C">
              <w:rPr>
                <w:rFonts w:asciiTheme="minorHAnsi" w:eastAsia="Times New Roman" w:hAnsiTheme="minorHAnsi"/>
                <w:iCs/>
                <w:color w:val="auto"/>
                <w:szCs w:val="17"/>
              </w:rPr>
              <w:t>develop</w:t>
            </w:r>
            <w:r w:rsidR="007212D0" w:rsidRPr="0071588C">
              <w:rPr>
                <w:rFonts w:asciiTheme="minorHAnsi" w:eastAsia="Times New Roman" w:hAnsiTheme="minorHAnsi"/>
                <w:iCs/>
                <w:color w:val="auto"/>
                <w:szCs w:val="17"/>
              </w:rPr>
              <w:t>ed</w:t>
            </w:r>
            <w:r w:rsidRPr="0071588C">
              <w:rPr>
                <w:rFonts w:asciiTheme="minorHAnsi" w:eastAsia="Times New Roman" w:hAnsiTheme="minorHAnsi"/>
                <w:iCs/>
                <w:color w:val="auto"/>
                <w:szCs w:val="17"/>
              </w:rPr>
              <w:t xml:space="preserve"> a new high-level agreement to succeed the current agreement. </w:t>
            </w: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A207A5">
            <w:pPr>
              <w:pStyle w:val="ListBullet"/>
              <w:tabs>
                <w:tab w:val="clear" w:pos="284"/>
              </w:tabs>
              <w:spacing w:line="240" w:lineRule="auto"/>
              <w:rPr>
                <w:rFonts w:asciiTheme="minorHAnsi" w:hAnsiTheme="minorHAnsi"/>
                <w:sz w:val="17"/>
                <w:szCs w:val="17"/>
              </w:rPr>
            </w:pPr>
            <w:r w:rsidRPr="0071588C">
              <w:rPr>
                <w:rFonts w:asciiTheme="minorHAnsi" w:hAnsiTheme="minorHAnsi"/>
                <w:sz w:val="17"/>
                <w:szCs w:val="17"/>
              </w:rPr>
              <w:t xml:space="preserve">The Post will manage the Australian Official Development Assistance budget uncertainty by maintaining flexibility within the existing program, communicating regularly with partners on budget implications, and focusing on program efficiency through consolidation of contractors. </w:t>
            </w:r>
          </w:p>
        </w:tc>
        <w:tc>
          <w:tcPr>
            <w:tcW w:w="1251" w:type="dxa"/>
            <w:shd w:val="clear" w:color="auto" w:fill="7FB64D" w:themeFill="accent3" w:themeFillShade="BF"/>
          </w:tcPr>
          <w:p w:rsidR="00086AF2" w:rsidRPr="0071588C" w:rsidRDefault="00086AF2" w:rsidP="00A207A5">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517234" w:rsidP="00A207A5">
            <w:pPr>
              <w:keepLines/>
              <w:spacing w:before="40" w:after="40" w:line="240" w:lineRule="auto"/>
              <w:rPr>
                <w:rFonts w:asciiTheme="minorHAnsi" w:eastAsia="Times New Roman" w:hAnsiTheme="minorHAnsi"/>
                <w:iCs/>
                <w:color w:val="auto"/>
                <w:szCs w:val="17"/>
              </w:rPr>
            </w:pPr>
            <w:r w:rsidRPr="0071588C">
              <w:rPr>
                <w:rFonts w:asciiTheme="minorHAnsi" w:hAnsiTheme="minorHAnsi"/>
                <w:color w:val="auto"/>
                <w:szCs w:val="17"/>
              </w:rPr>
              <w:t xml:space="preserve">The program responded effectively to a budget adjustment over the reporting period and delivered 100% on-time expenditure of program funds. </w:t>
            </w:r>
            <w:r w:rsidR="00086AF2" w:rsidRPr="0071588C">
              <w:rPr>
                <w:rFonts w:asciiTheme="minorHAnsi" w:eastAsia="Times New Roman" w:hAnsiTheme="minorHAnsi"/>
                <w:iCs/>
                <w:color w:val="auto"/>
                <w:szCs w:val="17"/>
              </w:rPr>
              <w:t xml:space="preserve">We tendered and awarded a contract to consolidate all human development investments under one partnership. </w:t>
            </w:r>
            <w:r w:rsidR="00371DA2" w:rsidRPr="0071588C">
              <w:rPr>
                <w:rFonts w:asciiTheme="minorHAnsi" w:eastAsia="Times New Roman" w:hAnsiTheme="minorHAnsi"/>
                <w:iCs/>
                <w:color w:val="auto"/>
                <w:szCs w:val="17"/>
              </w:rPr>
              <w:t xml:space="preserve"> We also consolidated all workforce development activities under one investment including Australia Awards, skills development and English language training.  </w:t>
            </w: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A207A5">
            <w:pPr>
              <w:pStyle w:val="ListBullet"/>
              <w:tabs>
                <w:tab w:val="clear" w:pos="284"/>
              </w:tabs>
              <w:spacing w:line="240" w:lineRule="auto"/>
              <w:rPr>
                <w:rFonts w:asciiTheme="minorHAnsi" w:hAnsiTheme="minorHAnsi"/>
                <w:sz w:val="17"/>
                <w:szCs w:val="17"/>
              </w:rPr>
            </w:pPr>
            <w:r w:rsidRPr="0071588C">
              <w:rPr>
                <w:rFonts w:asciiTheme="minorHAnsi" w:hAnsiTheme="minorHAnsi"/>
                <w:sz w:val="17"/>
                <w:szCs w:val="17"/>
              </w:rPr>
              <w:t xml:space="preserve">The Post will take a new approach to strengthening performance by setting up a monitoring and evaluation services provider contractor.  </w:t>
            </w:r>
          </w:p>
        </w:tc>
        <w:tc>
          <w:tcPr>
            <w:tcW w:w="1251" w:type="dxa"/>
            <w:shd w:val="clear" w:color="auto" w:fill="7FB64D" w:themeFill="accent3" w:themeFillShade="BF"/>
          </w:tcPr>
          <w:p w:rsidR="00086AF2" w:rsidRPr="0071588C" w:rsidRDefault="00086AF2" w:rsidP="00A207A5">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A47DBD" w:rsidP="00A207A5">
            <w:pPr>
              <w:keepLines/>
              <w:spacing w:before="40" w:after="40" w:line="240" w:lineRule="auto"/>
              <w:rPr>
                <w:rFonts w:asciiTheme="minorHAnsi" w:eastAsia="Times New Roman" w:hAnsiTheme="minorHAnsi"/>
                <w:iCs/>
                <w:color w:val="auto"/>
                <w:szCs w:val="17"/>
              </w:rPr>
            </w:pPr>
            <w:r w:rsidRPr="0071588C">
              <w:rPr>
                <w:rFonts w:asciiTheme="minorHAnsi" w:eastAsia="Times New Roman" w:hAnsiTheme="minorHAnsi"/>
                <w:iCs/>
                <w:color w:val="auto"/>
                <w:szCs w:val="17"/>
              </w:rPr>
              <w:t xml:space="preserve">In 2015-16 the program designed and tendered a new monitoring and evaluation service, </w:t>
            </w:r>
            <w:r w:rsidR="00294FC5" w:rsidRPr="0071588C">
              <w:rPr>
                <w:rFonts w:asciiTheme="minorHAnsi" w:eastAsia="Times New Roman" w:hAnsiTheme="minorHAnsi"/>
                <w:iCs/>
                <w:color w:val="auto"/>
                <w:szCs w:val="17"/>
              </w:rPr>
              <w:t xml:space="preserve">‘Buka Hatene’ – the M&amp;E house. </w:t>
            </w: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95295A">
            <w:pPr>
              <w:pStyle w:val="ListBullet"/>
              <w:tabs>
                <w:tab w:val="clear" w:pos="284"/>
              </w:tabs>
              <w:rPr>
                <w:rFonts w:asciiTheme="minorHAnsi" w:hAnsiTheme="minorHAnsi"/>
                <w:b/>
                <w:sz w:val="17"/>
                <w:szCs w:val="17"/>
              </w:rPr>
            </w:pPr>
            <w:r w:rsidRPr="0071588C">
              <w:rPr>
                <w:rFonts w:asciiTheme="minorHAnsi" w:hAnsiTheme="minorHAnsi"/>
                <w:b/>
                <w:sz w:val="17"/>
                <w:szCs w:val="17"/>
              </w:rPr>
              <w:t>Objective 1: Improving livelihoods</w:t>
            </w:r>
          </w:p>
        </w:tc>
        <w:tc>
          <w:tcPr>
            <w:tcW w:w="1251" w:type="dxa"/>
            <w:shd w:val="clear" w:color="auto" w:fill="auto"/>
          </w:tcPr>
          <w:p w:rsidR="00086AF2" w:rsidRPr="0071588C" w:rsidRDefault="00086AF2" w:rsidP="0095295A">
            <w:pPr>
              <w:keepLines/>
              <w:spacing w:before="40" w:after="40" w:line="200" w:lineRule="atLeast"/>
              <w:jc w:val="center"/>
              <w:rPr>
                <w:rFonts w:asciiTheme="minorHAnsi" w:eastAsia="Times New Roman" w:hAnsiTheme="minorHAnsi"/>
                <w:iCs/>
                <w:color w:val="auto"/>
                <w:szCs w:val="17"/>
              </w:rPr>
            </w:pPr>
          </w:p>
        </w:tc>
        <w:tc>
          <w:tcPr>
            <w:tcW w:w="6610" w:type="dxa"/>
          </w:tcPr>
          <w:p w:rsidR="00086AF2" w:rsidRPr="0071588C" w:rsidRDefault="00086AF2" w:rsidP="0095295A">
            <w:pPr>
              <w:keepLines/>
              <w:spacing w:before="40" w:after="40" w:line="200" w:lineRule="atLeast"/>
              <w:rPr>
                <w:rFonts w:asciiTheme="minorHAnsi" w:eastAsia="Times New Roman" w:hAnsiTheme="minorHAnsi"/>
                <w:iCs/>
                <w:color w:val="auto"/>
                <w:szCs w:val="17"/>
              </w:rPr>
            </w:pPr>
          </w:p>
        </w:tc>
      </w:tr>
      <w:tr w:rsidR="0026369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263692" w:rsidRPr="0071588C" w:rsidRDefault="00263692" w:rsidP="00263692">
            <w:pPr>
              <w:pStyle w:val="ListBullet"/>
              <w:tabs>
                <w:tab w:val="clear" w:pos="284"/>
              </w:tabs>
              <w:rPr>
                <w:rFonts w:asciiTheme="minorHAnsi" w:hAnsiTheme="minorHAnsi"/>
                <w:b/>
                <w:iCs/>
                <w:sz w:val="17"/>
                <w:szCs w:val="17"/>
              </w:rPr>
            </w:pPr>
            <w:r w:rsidRPr="0071588C">
              <w:rPr>
                <w:rFonts w:asciiTheme="minorHAnsi" w:hAnsiTheme="minorHAnsi"/>
                <w:b/>
                <w:iCs/>
                <w:sz w:val="17"/>
                <w:szCs w:val="17"/>
              </w:rPr>
              <w:t>1.1 Rural Population has better roads</w:t>
            </w:r>
          </w:p>
          <w:p w:rsidR="00263692" w:rsidRPr="0071588C" w:rsidRDefault="00263692" w:rsidP="0034484A">
            <w:pPr>
              <w:pStyle w:val="ListBullet"/>
              <w:tabs>
                <w:tab w:val="clear" w:pos="284"/>
              </w:tabs>
              <w:spacing w:line="240" w:lineRule="auto"/>
              <w:rPr>
                <w:rFonts w:asciiTheme="minorHAnsi" w:hAnsiTheme="minorHAnsi"/>
                <w:b/>
                <w:sz w:val="17"/>
                <w:szCs w:val="17"/>
              </w:rPr>
            </w:pPr>
            <w:r w:rsidRPr="0071588C">
              <w:rPr>
                <w:rFonts w:asciiTheme="minorHAnsi" w:hAnsiTheme="minorHAnsi"/>
                <w:sz w:val="17"/>
                <w:szCs w:val="17"/>
              </w:rPr>
              <w:t>DFAT will explore options, through a design by early 2016, for the structure of a second phase of R4D that take into account the ongoing challenges with joint resourcing.</w:t>
            </w:r>
          </w:p>
        </w:tc>
        <w:tc>
          <w:tcPr>
            <w:tcW w:w="1251" w:type="dxa"/>
            <w:shd w:val="clear" w:color="auto" w:fill="7FB64D" w:themeFill="accent3" w:themeFillShade="BF"/>
          </w:tcPr>
          <w:p w:rsidR="00263692" w:rsidRPr="0071588C" w:rsidRDefault="00263692" w:rsidP="00263692">
            <w:pPr>
              <w:keepLines/>
              <w:spacing w:before="40" w:after="40" w:line="200" w:lineRule="atLeast"/>
              <w:jc w:val="center"/>
              <w:rPr>
                <w:rFonts w:asciiTheme="minorHAnsi" w:eastAsia="Times New Roman" w:hAnsiTheme="minorHAnsi"/>
                <w:iCs/>
                <w:color w:val="auto"/>
                <w:szCs w:val="17"/>
              </w:rPr>
            </w:pPr>
          </w:p>
        </w:tc>
        <w:tc>
          <w:tcPr>
            <w:tcW w:w="6610" w:type="dxa"/>
          </w:tcPr>
          <w:p w:rsidR="00263692" w:rsidRPr="0071588C" w:rsidRDefault="00263692" w:rsidP="00022CC6">
            <w:pPr>
              <w:keepLines/>
              <w:spacing w:before="40" w:after="40" w:line="200" w:lineRule="atLeast"/>
              <w:rPr>
                <w:rFonts w:asciiTheme="minorHAnsi" w:eastAsia="Times New Roman" w:hAnsiTheme="minorHAnsi"/>
                <w:iCs/>
                <w:color w:val="auto"/>
                <w:szCs w:val="17"/>
                <w:highlight w:val="yellow"/>
              </w:rPr>
            </w:pPr>
            <w:r w:rsidRPr="0071588C">
              <w:rPr>
                <w:rFonts w:asciiTheme="minorHAnsi" w:eastAsia="Times New Roman" w:hAnsiTheme="minorHAnsi"/>
                <w:iCs/>
                <w:color w:val="auto"/>
                <w:szCs w:val="17"/>
              </w:rPr>
              <w:t xml:space="preserve">A design </w:t>
            </w:r>
            <w:r w:rsidR="007212D0" w:rsidRPr="0071588C">
              <w:rPr>
                <w:rFonts w:asciiTheme="minorHAnsi" w:eastAsia="Times New Roman" w:hAnsiTheme="minorHAnsi"/>
                <w:iCs/>
                <w:color w:val="auto"/>
                <w:szCs w:val="17"/>
              </w:rPr>
              <w:t xml:space="preserve">process </w:t>
            </w:r>
            <w:r w:rsidRPr="0071588C">
              <w:rPr>
                <w:rFonts w:asciiTheme="minorHAnsi" w:eastAsia="Times New Roman" w:hAnsiTheme="minorHAnsi"/>
                <w:iCs/>
                <w:color w:val="auto"/>
                <w:szCs w:val="17"/>
              </w:rPr>
              <w:t xml:space="preserve">for Phase II of R4D </w:t>
            </w:r>
            <w:r w:rsidR="007212D0" w:rsidRPr="0071588C">
              <w:rPr>
                <w:rFonts w:asciiTheme="minorHAnsi" w:eastAsia="Times New Roman" w:hAnsiTheme="minorHAnsi"/>
                <w:iCs/>
                <w:color w:val="auto"/>
                <w:szCs w:val="17"/>
              </w:rPr>
              <w:t xml:space="preserve">was undertaken and </w:t>
            </w:r>
            <w:r w:rsidR="00234877" w:rsidRPr="0071588C">
              <w:rPr>
                <w:rFonts w:asciiTheme="minorHAnsi" w:eastAsia="Times New Roman" w:hAnsiTheme="minorHAnsi"/>
                <w:iCs/>
                <w:color w:val="auto"/>
                <w:szCs w:val="17"/>
              </w:rPr>
              <w:t xml:space="preserve">the </w:t>
            </w:r>
            <w:r w:rsidR="007212D0" w:rsidRPr="0071588C">
              <w:rPr>
                <w:rFonts w:asciiTheme="minorHAnsi" w:eastAsia="Times New Roman" w:hAnsiTheme="minorHAnsi"/>
                <w:iCs/>
                <w:color w:val="auto"/>
                <w:szCs w:val="17"/>
              </w:rPr>
              <w:t>final desi</w:t>
            </w:r>
            <w:r w:rsidR="007B0151" w:rsidRPr="0071588C">
              <w:rPr>
                <w:rFonts w:asciiTheme="minorHAnsi" w:eastAsia="Times New Roman" w:hAnsiTheme="minorHAnsi"/>
                <w:iCs/>
                <w:color w:val="auto"/>
                <w:szCs w:val="17"/>
              </w:rPr>
              <w:t>gn</w:t>
            </w:r>
            <w:r w:rsidR="007212D0" w:rsidRPr="0071588C">
              <w:rPr>
                <w:rFonts w:asciiTheme="minorHAnsi" w:eastAsia="Times New Roman" w:hAnsiTheme="minorHAnsi"/>
                <w:iCs/>
                <w:color w:val="auto"/>
                <w:szCs w:val="17"/>
              </w:rPr>
              <w:t xml:space="preserve"> will be complete</w:t>
            </w:r>
            <w:r w:rsidR="00737834" w:rsidRPr="0071588C">
              <w:rPr>
                <w:rFonts w:asciiTheme="minorHAnsi" w:eastAsia="Times New Roman" w:hAnsiTheme="minorHAnsi"/>
                <w:iCs/>
                <w:color w:val="auto"/>
                <w:szCs w:val="17"/>
              </w:rPr>
              <w:t>d</w:t>
            </w:r>
            <w:r w:rsidR="007212D0" w:rsidRPr="0071588C">
              <w:rPr>
                <w:rFonts w:asciiTheme="minorHAnsi" w:eastAsia="Times New Roman" w:hAnsiTheme="minorHAnsi"/>
                <w:iCs/>
                <w:color w:val="auto"/>
                <w:szCs w:val="17"/>
              </w:rPr>
              <w:t xml:space="preserve"> in</w:t>
            </w:r>
            <w:r w:rsidR="007B0151" w:rsidRPr="0071588C">
              <w:rPr>
                <w:rFonts w:asciiTheme="minorHAnsi" w:eastAsia="Times New Roman" w:hAnsiTheme="minorHAnsi"/>
                <w:iCs/>
                <w:color w:val="auto"/>
                <w:szCs w:val="17"/>
              </w:rPr>
              <w:t xml:space="preserve"> late</w:t>
            </w:r>
            <w:r w:rsidR="007212D0" w:rsidRPr="0071588C">
              <w:rPr>
                <w:rFonts w:asciiTheme="minorHAnsi" w:eastAsia="Times New Roman" w:hAnsiTheme="minorHAnsi"/>
                <w:iCs/>
                <w:color w:val="auto"/>
                <w:szCs w:val="17"/>
              </w:rPr>
              <w:t xml:space="preserve"> 2016 </w:t>
            </w:r>
            <w:r w:rsidR="007B0151" w:rsidRPr="0071588C">
              <w:rPr>
                <w:rFonts w:asciiTheme="minorHAnsi" w:eastAsia="Times New Roman" w:hAnsiTheme="minorHAnsi"/>
                <w:iCs/>
                <w:color w:val="auto"/>
                <w:szCs w:val="17"/>
              </w:rPr>
              <w:t>with</w:t>
            </w:r>
            <w:r w:rsidR="00AD6E69">
              <w:rPr>
                <w:rFonts w:asciiTheme="minorHAnsi" w:eastAsia="Times New Roman" w:hAnsiTheme="minorHAnsi"/>
                <w:iCs/>
                <w:color w:val="auto"/>
                <w:szCs w:val="17"/>
              </w:rPr>
              <w:t xml:space="preserve"> planned</w:t>
            </w:r>
            <w:r w:rsidR="007B0151" w:rsidRPr="0071588C">
              <w:rPr>
                <w:rFonts w:asciiTheme="minorHAnsi" w:eastAsia="Times New Roman" w:hAnsiTheme="minorHAnsi"/>
                <w:iCs/>
                <w:color w:val="auto"/>
                <w:szCs w:val="17"/>
              </w:rPr>
              <w:t xml:space="preserve"> implementation </w:t>
            </w:r>
            <w:r w:rsidR="00737834" w:rsidRPr="0071588C">
              <w:rPr>
                <w:rFonts w:asciiTheme="minorHAnsi" w:eastAsia="Times New Roman" w:hAnsiTheme="minorHAnsi"/>
                <w:iCs/>
                <w:color w:val="auto"/>
                <w:szCs w:val="17"/>
              </w:rPr>
              <w:t xml:space="preserve">beginning </w:t>
            </w:r>
            <w:r w:rsidR="00DD033C" w:rsidRPr="0071588C">
              <w:rPr>
                <w:rFonts w:asciiTheme="minorHAnsi" w:eastAsia="Times New Roman" w:hAnsiTheme="minorHAnsi"/>
                <w:iCs/>
                <w:color w:val="auto"/>
                <w:szCs w:val="17"/>
              </w:rPr>
              <w:t>i</w:t>
            </w:r>
            <w:r w:rsidRPr="0071588C">
              <w:rPr>
                <w:rFonts w:asciiTheme="minorHAnsi" w:eastAsia="Times New Roman" w:hAnsiTheme="minorHAnsi"/>
                <w:iCs/>
                <w:color w:val="auto"/>
                <w:szCs w:val="17"/>
              </w:rPr>
              <w:t>n January 2017.  The new phase</w:t>
            </w:r>
            <w:r w:rsidR="007212D0" w:rsidRPr="0071588C">
              <w:rPr>
                <w:rFonts w:asciiTheme="minorHAnsi" w:eastAsia="Times New Roman" w:hAnsiTheme="minorHAnsi"/>
                <w:iCs/>
                <w:color w:val="auto"/>
                <w:szCs w:val="17"/>
              </w:rPr>
              <w:t xml:space="preserve"> will </w:t>
            </w:r>
            <w:r w:rsidRPr="0071588C">
              <w:rPr>
                <w:rFonts w:asciiTheme="minorHAnsi" w:eastAsia="Times New Roman" w:hAnsiTheme="minorHAnsi"/>
                <w:iCs/>
                <w:color w:val="auto"/>
                <w:szCs w:val="17"/>
              </w:rPr>
              <w:t xml:space="preserve">be a </w:t>
            </w:r>
            <w:r w:rsidR="00532CCD" w:rsidRPr="0071588C">
              <w:rPr>
                <w:rFonts w:asciiTheme="minorHAnsi" w:eastAsia="Times New Roman" w:hAnsiTheme="minorHAnsi"/>
                <w:iCs/>
                <w:color w:val="auto"/>
                <w:szCs w:val="17"/>
              </w:rPr>
              <w:t>two</w:t>
            </w:r>
            <w:r w:rsidRPr="0071588C">
              <w:rPr>
                <w:rFonts w:asciiTheme="minorHAnsi" w:eastAsia="Times New Roman" w:hAnsiTheme="minorHAnsi"/>
                <w:iCs/>
                <w:color w:val="auto"/>
                <w:szCs w:val="17"/>
              </w:rPr>
              <w:t xml:space="preserve"> year program with the option to extend for another </w:t>
            </w:r>
            <w:r w:rsidR="00D35518">
              <w:rPr>
                <w:rFonts w:asciiTheme="minorHAnsi" w:eastAsia="Times New Roman" w:hAnsiTheme="minorHAnsi"/>
                <w:iCs/>
                <w:color w:val="auto"/>
                <w:szCs w:val="17"/>
              </w:rPr>
              <w:t>two</w:t>
            </w:r>
            <w:r w:rsidRPr="0071588C">
              <w:rPr>
                <w:rFonts w:asciiTheme="minorHAnsi" w:eastAsia="Times New Roman" w:hAnsiTheme="minorHAnsi"/>
                <w:iCs/>
                <w:color w:val="auto"/>
                <w:szCs w:val="17"/>
              </w:rPr>
              <w:t xml:space="preserve"> years, proceeding only if key commitments for staffing and funding for capital works and operational costs are met.  Negotiations with </w:t>
            </w:r>
            <w:r w:rsidR="007212D0" w:rsidRPr="0071588C">
              <w:rPr>
                <w:rFonts w:asciiTheme="minorHAnsi" w:eastAsia="Times New Roman" w:hAnsiTheme="minorHAnsi"/>
                <w:iCs/>
                <w:color w:val="auto"/>
                <w:szCs w:val="17"/>
              </w:rPr>
              <w:t>the Government</w:t>
            </w:r>
            <w:r w:rsidR="00B64739">
              <w:rPr>
                <w:rFonts w:asciiTheme="minorHAnsi" w:eastAsia="Times New Roman" w:hAnsiTheme="minorHAnsi"/>
                <w:iCs/>
                <w:color w:val="auto"/>
                <w:szCs w:val="17"/>
              </w:rPr>
              <w:t xml:space="preserve"> of Timor-Leste</w:t>
            </w:r>
            <w:r w:rsidRPr="0071588C">
              <w:rPr>
                <w:rFonts w:asciiTheme="minorHAnsi" w:eastAsia="Times New Roman" w:hAnsiTheme="minorHAnsi"/>
                <w:iCs/>
                <w:color w:val="auto"/>
                <w:szCs w:val="17"/>
              </w:rPr>
              <w:t xml:space="preserve"> on a new Subsidiary Arrangement for the implementation of Phase II </w:t>
            </w:r>
            <w:r w:rsidR="00D35518">
              <w:rPr>
                <w:rFonts w:asciiTheme="minorHAnsi" w:eastAsia="Times New Roman" w:hAnsiTheme="minorHAnsi"/>
                <w:iCs/>
                <w:color w:val="auto"/>
                <w:szCs w:val="17"/>
              </w:rPr>
              <w:t>are planned for</w:t>
            </w:r>
            <w:r w:rsidRPr="0071588C">
              <w:rPr>
                <w:rFonts w:asciiTheme="minorHAnsi" w:eastAsia="Times New Roman" w:hAnsiTheme="minorHAnsi"/>
                <w:iCs/>
                <w:color w:val="auto"/>
                <w:szCs w:val="17"/>
              </w:rPr>
              <w:t xml:space="preserve"> August and September</w:t>
            </w:r>
            <w:r w:rsidR="00D35518">
              <w:rPr>
                <w:rFonts w:asciiTheme="minorHAnsi" w:eastAsia="Times New Roman" w:hAnsiTheme="minorHAnsi"/>
                <w:iCs/>
                <w:color w:val="auto"/>
                <w:szCs w:val="17"/>
              </w:rPr>
              <w:t xml:space="preserve"> 2016</w:t>
            </w:r>
            <w:r w:rsidRPr="0071588C">
              <w:rPr>
                <w:rFonts w:asciiTheme="minorHAnsi" w:eastAsia="Times New Roman" w:hAnsiTheme="minorHAnsi"/>
                <w:iCs/>
                <w:color w:val="auto"/>
                <w:szCs w:val="17"/>
              </w:rPr>
              <w:t xml:space="preserve">. The new Subsidiary Arrangement will explicitly outline </w:t>
            </w:r>
            <w:r w:rsidR="007212D0" w:rsidRPr="0071588C">
              <w:rPr>
                <w:rFonts w:asciiTheme="minorHAnsi" w:eastAsia="Times New Roman" w:hAnsiTheme="minorHAnsi"/>
                <w:iCs/>
                <w:color w:val="auto"/>
                <w:szCs w:val="17"/>
              </w:rPr>
              <w:t xml:space="preserve">the </w:t>
            </w:r>
            <w:r w:rsidR="00022CC6">
              <w:rPr>
                <w:rFonts w:asciiTheme="minorHAnsi" w:eastAsia="Times New Roman" w:hAnsiTheme="minorHAnsi"/>
                <w:iCs/>
                <w:color w:val="auto"/>
                <w:szCs w:val="17"/>
              </w:rPr>
              <w:t>g</w:t>
            </w:r>
            <w:r w:rsidR="007212D0" w:rsidRPr="0071588C">
              <w:rPr>
                <w:rFonts w:asciiTheme="minorHAnsi" w:eastAsia="Times New Roman" w:hAnsiTheme="minorHAnsi"/>
                <w:iCs/>
                <w:color w:val="auto"/>
                <w:szCs w:val="17"/>
              </w:rPr>
              <w:t xml:space="preserve">overnment’s </w:t>
            </w:r>
            <w:r w:rsidR="00022CC6">
              <w:rPr>
                <w:rFonts w:asciiTheme="minorHAnsi" w:eastAsia="Times New Roman" w:hAnsiTheme="minorHAnsi"/>
                <w:iCs/>
                <w:color w:val="auto"/>
                <w:szCs w:val="17"/>
              </w:rPr>
              <w:t>mutual obligations</w:t>
            </w:r>
            <w:r w:rsidRPr="0071588C">
              <w:rPr>
                <w:rFonts w:asciiTheme="minorHAnsi" w:eastAsia="Times New Roman" w:hAnsiTheme="minorHAnsi"/>
                <w:iCs/>
                <w:color w:val="auto"/>
                <w:szCs w:val="17"/>
              </w:rPr>
              <w:t xml:space="preserve"> </w:t>
            </w:r>
          </w:p>
        </w:tc>
      </w:tr>
      <w:tr w:rsidR="00733D43" w:rsidRPr="0010756F" w:rsidTr="006F02C8">
        <w:trPr>
          <w:cnfStyle w:val="000000010000" w:firstRow="0" w:lastRow="0" w:firstColumn="0" w:lastColumn="0" w:oddVBand="0" w:evenVBand="0" w:oddHBand="0" w:evenHBand="1" w:firstRowFirstColumn="0" w:firstRowLastColumn="0" w:lastRowFirstColumn="0" w:lastRowLastColumn="0"/>
        </w:trPr>
        <w:tc>
          <w:tcPr>
            <w:tcW w:w="6715" w:type="dxa"/>
          </w:tcPr>
          <w:p w:rsidR="00733D43" w:rsidRPr="0071588C" w:rsidRDefault="00733D43" w:rsidP="00E26D1D">
            <w:pPr>
              <w:pStyle w:val="ListBullet"/>
              <w:tabs>
                <w:tab w:val="clear" w:pos="284"/>
              </w:tabs>
              <w:spacing w:line="240" w:lineRule="auto"/>
              <w:rPr>
                <w:rFonts w:asciiTheme="minorHAnsi" w:hAnsiTheme="minorHAnsi"/>
                <w:b/>
                <w:iCs/>
                <w:sz w:val="17"/>
                <w:szCs w:val="17"/>
              </w:rPr>
            </w:pPr>
            <w:r w:rsidRPr="0071588C">
              <w:rPr>
                <w:rFonts w:asciiTheme="minorHAnsi" w:hAnsiTheme="minorHAnsi"/>
                <w:b/>
                <w:sz w:val="17"/>
                <w:szCs w:val="17"/>
              </w:rPr>
              <w:t xml:space="preserve">1.2 </w:t>
            </w:r>
            <w:r w:rsidRPr="0071588C">
              <w:rPr>
                <w:rFonts w:asciiTheme="minorHAnsi" w:hAnsiTheme="minorHAnsi"/>
                <w:b/>
                <w:iCs/>
                <w:sz w:val="17"/>
                <w:szCs w:val="17"/>
              </w:rPr>
              <w:t xml:space="preserve"> Increase productivity of major staple food crops through farmers using improved seed</w:t>
            </w:r>
          </w:p>
          <w:p w:rsidR="00733D43" w:rsidRPr="0071588C" w:rsidRDefault="00733D43" w:rsidP="00E26D1D">
            <w:pPr>
              <w:pStyle w:val="ListBullet"/>
              <w:tabs>
                <w:tab w:val="clear" w:pos="284"/>
              </w:tabs>
              <w:spacing w:line="240" w:lineRule="auto"/>
              <w:rPr>
                <w:rFonts w:asciiTheme="minorHAnsi" w:hAnsiTheme="minorHAnsi"/>
                <w:sz w:val="17"/>
                <w:szCs w:val="17"/>
              </w:rPr>
            </w:pPr>
            <w:r w:rsidRPr="0071588C">
              <w:rPr>
                <w:rFonts w:asciiTheme="minorHAnsi" w:hAnsiTheme="minorHAnsi"/>
                <w:sz w:val="17"/>
                <w:szCs w:val="17"/>
              </w:rPr>
              <w:t>DFAT will closely oversee the transition from Seeds of Life to TOMAK (and forthcoming ACIAR activities), to support the sustainability of SOL achievements in the Ministry of Agriculture and Fisheries and ensure TOMAK’s inception period draws heavily on SOL experience, analytical work and relationships.</w:t>
            </w:r>
          </w:p>
        </w:tc>
        <w:tc>
          <w:tcPr>
            <w:tcW w:w="1251" w:type="dxa"/>
            <w:shd w:val="clear" w:color="auto" w:fill="F7AA32"/>
          </w:tcPr>
          <w:p w:rsidR="00733D43" w:rsidRPr="0071588C" w:rsidRDefault="00733D43" w:rsidP="00E26D1D">
            <w:pPr>
              <w:keepLines/>
              <w:spacing w:before="40" w:after="40" w:line="240" w:lineRule="auto"/>
              <w:jc w:val="center"/>
              <w:rPr>
                <w:rFonts w:asciiTheme="minorHAnsi" w:eastAsia="Times New Roman" w:hAnsiTheme="minorHAnsi"/>
                <w:iCs/>
                <w:color w:val="auto"/>
                <w:szCs w:val="17"/>
                <w:highlight w:val="yellow"/>
              </w:rPr>
            </w:pPr>
          </w:p>
        </w:tc>
        <w:tc>
          <w:tcPr>
            <w:tcW w:w="6610" w:type="dxa"/>
          </w:tcPr>
          <w:p w:rsidR="00733D43" w:rsidRPr="0071588C" w:rsidRDefault="00733D43" w:rsidP="00E26D1D">
            <w:pPr>
              <w:pStyle w:val="CommentText"/>
              <w:rPr>
                <w:rFonts w:asciiTheme="minorHAnsi" w:eastAsia="Times New Roman" w:hAnsiTheme="minorHAnsi"/>
                <w:iCs/>
                <w:color w:val="auto"/>
                <w:sz w:val="17"/>
                <w:szCs w:val="17"/>
              </w:rPr>
            </w:pPr>
            <w:r w:rsidRPr="0071588C">
              <w:rPr>
                <w:rFonts w:asciiTheme="minorHAnsi" w:eastAsia="Times New Roman" w:hAnsiTheme="minorHAnsi"/>
                <w:iCs/>
                <w:color w:val="auto"/>
                <w:sz w:val="17"/>
                <w:szCs w:val="17"/>
              </w:rPr>
              <w:t>The transition process has taken place as planned with MAF gradually taking over key responsibilities to manage and fund the National Seed System (NSS - SOL’s legacy).  The program was officially handed over to MAF in</w:t>
            </w:r>
            <w:r w:rsidR="004E2014">
              <w:rPr>
                <w:rFonts w:asciiTheme="minorHAnsi" w:eastAsia="Times New Roman" w:hAnsiTheme="minorHAnsi"/>
                <w:iCs/>
                <w:color w:val="auto"/>
                <w:sz w:val="17"/>
                <w:szCs w:val="17"/>
              </w:rPr>
              <w:t xml:space="preserve"> April 2016,</w:t>
            </w:r>
            <w:r w:rsidRPr="0071588C">
              <w:rPr>
                <w:rFonts w:asciiTheme="minorHAnsi" w:eastAsia="Times New Roman" w:hAnsiTheme="minorHAnsi"/>
                <w:iCs/>
                <w:color w:val="auto"/>
                <w:sz w:val="17"/>
                <w:szCs w:val="17"/>
              </w:rPr>
              <w:t xml:space="preserve"> though the MAF have recently (5 July 2016) requested ongoing support from Australia to assist with the institutionalisation and sustainability of the system. </w:t>
            </w:r>
            <w:r w:rsidR="005E0A3F" w:rsidRPr="0071588C">
              <w:rPr>
                <w:rFonts w:asciiTheme="minorHAnsi" w:eastAsia="Times New Roman" w:hAnsiTheme="minorHAnsi"/>
                <w:iCs/>
                <w:color w:val="auto"/>
                <w:sz w:val="17"/>
                <w:szCs w:val="17"/>
              </w:rPr>
              <w:t>DFAT will consult with ACIAR on the issue of National Seed System sustainability prior to making any decisions on further support.</w:t>
            </w:r>
          </w:p>
          <w:p w:rsidR="00733D43" w:rsidRPr="0071588C" w:rsidRDefault="007212D0" w:rsidP="00E26D1D">
            <w:pPr>
              <w:pStyle w:val="CommentText"/>
              <w:rPr>
                <w:rFonts w:asciiTheme="minorHAnsi" w:eastAsia="Times New Roman" w:hAnsiTheme="minorHAnsi"/>
                <w:iCs/>
                <w:color w:val="auto"/>
                <w:sz w:val="17"/>
                <w:szCs w:val="17"/>
              </w:rPr>
            </w:pPr>
            <w:r w:rsidRPr="0071588C">
              <w:rPr>
                <w:rFonts w:asciiTheme="minorHAnsi" w:eastAsia="Times New Roman" w:hAnsiTheme="minorHAnsi"/>
                <w:iCs/>
                <w:color w:val="auto"/>
                <w:sz w:val="17"/>
                <w:szCs w:val="17"/>
              </w:rPr>
              <w:t>T</w:t>
            </w:r>
            <w:r w:rsidR="00733D43" w:rsidRPr="0071588C">
              <w:rPr>
                <w:rFonts w:asciiTheme="minorHAnsi" w:eastAsia="Times New Roman" w:hAnsiTheme="minorHAnsi"/>
                <w:iCs/>
                <w:color w:val="auto"/>
                <w:sz w:val="17"/>
                <w:szCs w:val="17"/>
              </w:rPr>
              <w:t>he Rural Development team, along with TOMAK and ACIAR, will need to monitor closely the progress and sustainability of the NSS. Australia will do this in its capacity as Development Partner Representative on the National Seed Council.</w:t>
            </w:r>
          </w:p>
          <w:p w:rsidR="00733D43" w:rsidRPr="0071588C" w:rsidRDefault="00733D43" w:rsidP="00E26D1D">
            <w:pPr>
              <w:pStyle w:val="CommentText"/>
              <w:rPr>
                <w:rFonts w:asciiTheme="minorHAnsi" w:eastAsia="Times New Roman" w:hAnsiTheme="minorHAnsi"/>
                <w:i/>
                <w:iCs/>
                <w:color w:val="auto"/>
                <w:sz w:val="17"/>
                <w:szCs w:val="17"/>
                <w:highlight w:val="yellow"/>
              </w:rPr>
            </w:pPr>
            <w:r w:rsidRPr="0071588C">
              <w:rPr>
                <w:rFonts w:asciiTheme="minorHAnsi" w:eastAsia="Times New Roman" w:hAnsiTheme="minorHAnsi"/>
                <w:iCs/>
                <w:color w:val="auto"/>
                <w:sz w:val="17"/>
                <w:szCs w:val="17"/>
              </w:rPr>
              <w:t>TOMAK’s inception phase began in June 2016, establishing its national office within the MAF compound (in the former-SOL office) with the approval of the Minister for Agriculture and Fisheries. TOMAK is co-located with ACIAR. TOMAK completed a series of thorough consultations with SOL and ACIAR, including intensive knowledge and relationship transfer with senior SOL staff. All relevant SOL assets have been transferred to TOMAK.</w:t>
            </w:r>
          </w:p>
        </w:tc>
      </w:tr>
      <w:tr w:rsidR="00086AF2" w:rsidRPr="0010756F" w:rsidTr="00263692">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0C59C9">
            <w:pPr>
              <w:pStyle w:val="ListBullet"/>
              <w:tabs>
                <w:tab w:val="clear" w:pos="284"/>
              </w:tabs>
              <w:spacing w:line="240" w:lineRule="auto"/>
              <w:rPr>
                <w:rFonts w:asciiTheme="minorHAnsi" w:hAnsiTheme="minorHAnsi"/>
                <w:b/>
                <w:sz w:val="17"/>
                <w:szCs w:val="17"/>
              </w:rPr>
            </w:pPr>
            <w:r w:rsidRPr="0071588C">
              <w:rPr>
                <w:rFonts w:asciiTheme="minorHAnsi" w:hAnsiTheme="minorHAnsi"/>
                <w:b/>
                <w:iCs/>
                <w:sz w:val="17"/>
                <w:szCs w:val="17"/>
              </w:rPr>
              <w:t>Objective 2: Enhancing Human Development</w:t>
            </w:r>
          </w:p>
        </w:tc>
        <w:tc>
          <w:tcPr>
            <w:tcW w:w="1251" w:type="dxa"/>
            <w:shd w:val="clear" w:color="auto" w:fill="auto"/>
          </w:tcPr>
          <w:p w:rsidR="00086AF2" w:rsidRPr="0071588C" w:rsidRDefault="00086AF2" w:rsidP="000C59C9">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086AF2" w:rsidP="000C59C9">
            <w:pPr>
              <w:keepLines/>
              <w:spacing w:before="40" w:after="40" w:line="240" w:lineRule="auto"/>
              <w:rPr>
                <w:rFonts w:asciiTheme="minorHAnsi" w:eastAsia="Times New Roman" w:hAnsiTheme="minorHAnsi"/>
                <w:iCs/>
                <w:color w:val="auto"/>
                <w:szCs w:val="17"/>
              </w:rPr>
            </w:pPr>
          </w:p>
        </w:tc>
      </w:tr>
      <w:tr w:rsidR="00DD69FF" w:rsidRPr="0010756F" w:rsidTr="00DD69FF">
        <w:trPr>
          <w:cnfStyle w:val="000000010000" w:firstRow="0" w:lastRow="0" w:firstColumn="0" w:lastColumn="0" w:oddVBand="0" w:evenVBand="0" w:oddHBand="0" w:evenHBand="1" w:firstRowFirstColumn="0" w:firstRowLastColumn="0" w:lastRowFirstColumn="0" w:lastRowLastColumn="0"/>
        </w:trPr>
        <w:tc>
          <w:tcPr>
            <w:tcW w:w="6715" w:type="dxa"/>
          </w:tcPr>
          <w:p w:rsidR="00DD69FF" w:rsidRPr="0071588C" w:rsidRDefault="00DD69FF" w:rsidP="000C59C9">
            <w:pPr>
              <w:pStyle w:val="ListBullet"/>
              <w:tabs>
                <w:tab w:val="clear" w:pos="284"/>
              </w:tabs>
              <w:spacing w:line="240" w:lineRule="auto"/>
              <w:rPr>
                <w:rFonts w:asciiTheme="minorHAnsi" w:hAnsiTheme="minorHAnsi"/>
                <w:b/>
                <w:iCs/>
                <w:sz w:val="17"/>
                <w:szCs w:val="17"/>
              </w:rPr>
            </w:pPr>
            <w:r w:rsidRPr="0071588C">
              <w:rPr>
                <w:rFonts w:asciiTheme="minorHAnsi" w:hAnsiTheme="minorHAnsi"/>
                <w:b/>
                <w:iCs/>
                <w:sz w:val="17"/>
                <w:szCs w:val="17"/>
              </w:rPr>
              <w:t>2.1 Increased access to and use of safe water and sanitation</w:t>
            </w:r>
          </w:p>
          <w:p w:rsidR="00DD69FF" w:rsidRPr="0071588C" w:rsidRDefault="00DD69FF" w:rsidP="000C59C9">
            <w:pPr>
              <w:pStyle w:val="ListBullet"/>
              <w:tabs>
                <w:tab w:val="clear" w:pos="284"/>
              </w:tabs>
              <w:spacing w:line="240" w:lineRule="auto"/>
              <w:rPr>
                <w:rFonts w:asciiTheme="minorHAnsi" w:hAnsiTheme="minorHAnsi"/>
                <w:b/>
                <w:sz w:val="17"/>
                <w:szCs w:val="17"/>
              </w:rPr>
            </w:pPr>
            <w:r w:rsidRPr="0071588C">
              <w:rPr>
                <w:rFonts w:asciiTheme="minorHAnsi" w:hAnsiTheme="minorHAnsi"/>
                <w:sz w:val="17"/>
                <w:szCs w:val="17"/>
              </w:rPr>
              <w:t xml:space="preserve">Australia will encourage the </w:t>
            </w:r>
            <w:r w:rsidR="00E36697">
              <w:rPr>
                <w:rFonts w:asciiTheme="minorHAnsi" w:hAnsiTheme="minorHAnsi"/>
                <w:sz w:val="17"/>
                <w:szCs w:val="17"/>
              </w:rPr>
              <w:t>MoH</w:t>
            </w:r>
            <w:r w:rsidRPr="0071588C">
              <w:rPr>
                <w:rFonts w:asciiTheme="minorHAnsi" w:hAnsiTheme="minorHAnsi"/>
                <w:sz w:val="17"/>
                <w:szCs w:val="17"/>
              </w:rPr>
              <w:t xml:space="preserve"> to commit budget and resources to support the scale up of sanitation and hygiene promotion activities.</w:t>
            </w:r>
          </w:p>
        </w:tc>
        <w:tc>
          <w:tcPr>
            <w:tcW w:w="1251" w:type="dxa"/>
            <w:shd w:val="clear" w:color="auto" w:fill="FF0000"/>
          </w:tcPr>
          <w:p w:rsidR="00DD69FF" w:rsidRPr="0071588C" w:rsidRDefault="00DD69FF" w:rsidP="000C59C9">
            <w:pPr>
              <w:keepLines/>
              <w:spacing w:before="40" w:after="40" w:line="240" w:lineRule="auto"/>
              <w:jc w:val="center"/>
              <w:rPr>
                <w:rFonts w:asciiTheme="minorHAnsi" w:eastAsia="Times New Roman" w:hAnsiTheme="minorHAnsi"/>
                <w:iCs/>
                <w:color w:val="auto"/>
                <w:szCs w:val="17"/>
                <w:highlight w:val="yellow"/>
              </w:rPr>
            </w:pPr>
          </w:p>
        </w:tc>
        <w:tc>
          <w:tcPr>
            <w:tcW w:w="6610" w:type="dxa"/>
          </w:tcPr>
          <w:p w:rsidR="00DD69FF" w:rsidRPr="0071588C" w:rsidRDefault="00DD69FF" w:rsidP="000C59C9">
            <w:pPr>
              <w:keepLines/>
              <w:spacing w:before="40" w:after="40" w:line="240" w:lineRule="auto"/>
              <w:rPr>
                <w:rFonts w:asciiTheme="minorHAnsi" w:eastAsia="Times New Roman" w:hAnsiTheme="minorHAnsi"/>
                <w:i/>
                <w:iCs/>
                <w:color w:val="auto"/>
                <w:szCs w:val="17"/>
                <w:highlight w:val="yellow"/>
              </w:rPr>
            </w:pPr>
            <w:r w:rsidRPr="0071588C">
              <w:rPr>
                <w:rFonts w:asciiTheme="minorHAnsi" w:eastAsia="Times New Roman" w:hAnsiTheme="minorHAnsi"/>
                <w:iCs/>
                <w:color w:val="auto"/>
                <w:szCs w:val="17"/>
              </w:rPr>
              <w:t xml:space="preserve">The Australian Embassy held senior-level strategic discussions with the </w:t>
            </w:r>
            <w:r w:rsidR="00E36697">
              <w:rPr>
                <w:rFonts w:asciiTheme="minorHAnsi" w:eastAsia="Times New Roman" w:hAnsiTheme="minorHAnsi"/>
                <w:iCs/>
                <w:color w:val="auto"/>
                <w:szCs w:val="17"/>
              </w:rPr>
              <w:t>MoH</w:t>
            </w:r>
            <w:r w:rsidRPr="0071588C">
              <w:rPr>
                <w:rFonts w:asciiTheme="minorHAnsi" w:eastAsia="Times New Roman" w:hAnsiTheme="minorHAnsi"/>
                <w:iCs/>
                <w:color w:val="auto"/>
                <w:szCs w:val="17"/>
              </w:rPr>
              <w:t xml:space="preserve"> in 2015 to advocate for sanitation financing. However, the Embassy’s ability to influence the upstream and strengthen downstream financial processes in the </w:t>
            </w:r>
            <w:r w:rsidR="00E36697">
              <w:rPr>
                <w:rFonts w:asciiTheme="minorHAnsi" w:eastAsia="Times New Roman" w:hAnsiTheme="minorHAnsi"/>
                <w:iCs/>
                <w:color w:val="auto"/>
                <w:szCs w:val="17"/>
              </w:rPr>
              <w:t>MoH</w:t>
            </w:r>
            <w:r w:rsidRPr="0071588C">
              <w:rPr>
                <w:rFonts w:asciiTheme="minorHAnsi" w:eastAsia="Times New Roman" w:hAnsiTheme="minorHAnsi"/>
                <w:iCs/>
                <w:color w:val="auto"/>
                <w:szCs w:val="17"/>
              </w:rPr>
              <w:t xml:space="preserve"> resulted in continuation of insufficient funding for sanitation and hygiene promotion.</w:t>
            </w: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0C59C9">
            <w:pPr>
              <w:pStyle w:val="ListBullet"/>
              <w:tabs>
                <w:tab w:val="clear" w:pos="284"/>
              </w:tabs>
              <w:spacing w:line="240" w:lineRule="auto"/>
              <w:rPr>
                <w:rFonts w:asciiTheme="minorHAnsi" w:hAnsiTheme="minorHAnsi"/>
                <w:b/>
                <w:iCs/>
                <w:sz w:val="17"/>
                <w:szCs w:val="17"/>
              </w:rPr>
            </w:pPr>
            <w:r w:rsidRPr="0071588C">
              <w:rPr>
                <w:rFonts w:asciiTheme="minorHAnsi" w:hAnsiTheme="minorHAnsi"/>
                <w:b/>
                <w:iCs/>
                <w:sz w:val="17"/>
                <w:szCs w:val="17"/>
              </w:rPr>
              <w:t>2.2 More children and youth attain improved learning outcomes and employability</w:t>
            </w:r>
          </w:p>
          <w:p w:rsidR="00086AF2" w:rsidRPr="0071588C" w:rsidRDefault="001113E8" w:rsidP="000C59C9">
            <w:pPr>
              <w:pStyle w:val="ListBullet"/>
              <w:tabs>
                <w:tab w:val="clear" w:pos="284"/>
              </w:tabs>
              <w:spacing w:line="240" w:lineRule="auto"/>
              <w:rPr>
                <w:rFonts w:asciiTheme="minorHAnsi" w:hAnsiTheme="minorHAnsi"/>
                <w:sz w:val="17"/>
                <w:szCs w:val="17"/>
              </w:rPr>
            </w:pPr>
            <w:r w:rsidRPr="0071588C">
              <w:rPr>
                <w:rFonts w:asciiTheme="minorHAnsi" w:hAnsiTheme="minorHAnsi"/>
                <w:sz w:val="17"/>
                <w:szCs w:val="17"/>
              </w:rPr>
              <w:t xml:space="preserve"> </w:t>
            </w:r>
            <w:r w:rsidR="00086AF2" w:rsidRPr="0071588C">
              <w:rPr>
                <w:rFonts w:asciiTheme="minorHAnsi" w:hAnsiTheme="minorHAnsi"/>
                <w:sz w:val="17"/>
                <w:szCs w:val="17"/>
              </w:rPr>
              <w:t>DFAT will finalise new basic education support with the Ministry of Education, working to the Ministry’s priorities and timetable within budget limitations.</w:t>
            </w:r>
          </w:p>
        </w:tc>
        <w:tc>
          <w:tcPr>
            <w:tcW w:w="1251" w:type="dxa"/>
            <w:shd w:val="clear" w:color="auto" w:fill="7FB64D" w:themeFill="accent3" w:themeFillShade="BF"/>
          </w:tcPr>
          <w:p w:rsidR="00086AF2" w:rsidRPr="0071588C" w:rsidRDefault="00086AF2" w:rsidP="000C59C9">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086AF2" w:rsidP="00C11319">
            <w:pPr>
              <w:keepLines/>
              <w:spacing w:before="40" w:after="40" w:line="240" w:lineRule="auto"/>
              <w:rPr>
                <w:rFonts w:asciiTheme="minorHAnsi" w:eastAsia="Times New Roman" w:hAnsiTheme="minorHAnsi"/>
                <w:iCs/>
                <w:color w:val="auto"/>
                <w:szCs w:val="17"/>
              </w:rPr>
            </w:pPr>
            <w:r w:rsidRPr="0071588C">
              <w:rPr>
                <w:rFonts w:asciiTheme="minorHAnsi" w:eastAsia="Times New Roman" w:hAnsiTheme="minorHAnsi"/>
                <w:iCs/>
                <w:color w:val="auto"/>
                <w:szCs w:val="17"/>
              </w:rPr>
              <w:t xml:space="preserve">DFAT and the Ministry of Education jointly designed a new Professional Learning and Mentoring Program </w:t>
            </w:r>
            <w:r w:rsidR="00963D17">
              <w:rPr>
                <w:rFonts w:asciiTheme="minorHAnsi" w:eastAsia="Times New Roman" w:hAnsiTheme="minorHAnsi"/>
                <w:iCs/>
                <w:color w:val="auto"/>
                <w:szCs w:val="17"/>
              </w:rPr>
              <w:t>to</w:t>
            </w:r>
            <w:r w:rsidRPr="0071588C">
              <w:rPr>
                <w:rFonts w:asciiTheme="minorHAnsi" w:eastAsia="Times New Roman" w:hAnsiTheme="minorHAnsi"/>
                <w:iCs/>
                <w:color w:val="auto"/>
                <w:szCs w:val="17"/>
              </w:rPr>
              <w:t xml:space="preserve"> support the implementation of the Ministry developed curriculum. Australia also supported this MoE priority by helping to deliver a cost effective distribution system, reaching 94</w:t>
            </w:r>
            <w:r w:rsidR="00C11319">
              <w:rPr>
                <w:rFonts w:asciiTheme="minorHAnsi" w:eastAsia="Times New Roman" w:hAnsiTheme="minorHAnsi"/>
                <w:iCs/>
                <w:color w:val="auto"/>
                <w:szCs w:val="17"/>
              </w:rPr>
              <w:t>%</w:t>
            </w:r>
            <w:r w:rsidRPr="0071588C">
              <w:rPr>
                <w:rFonts w:asciiTheme="minorHAnsi" w:eastAsia="Times New Roman" w:hAnsiTheme="minorHAnsi"/>
                <w:iCs/>
                <w:color w:val="auto"/>
                <w:szCs w:val="17"/>
              </w:rPr>
              <w:t xml:space="preserve"> of rural schools.</w:t>
            </w:r>
            <w:r w:rsidR="00CE6464" w:rsidRPr="0071588C">
              <w:rPr>
                <w:rFonts w:asciiTheme="minorHAnsi" w:hAnsiTheme="minorHAnsi"/>
                <w:color w:val="auto"/>
                <w:szCs w:val="17"/>
              </w:rPr>
              <w:t xml:space="preserve"> DFAT has undertaken regular budget analysis to inform frank discussions with the MoE and the</w:t>
            </w:r>
            <w:r w:rsidR="00CE6464" w:rsidRPr="0071588C">
              <w:rPr>
                <w:rFonts w:asciiTheme="minorHAnsi" w:eastAsia="Times New Roman" w:hAnsiTheme="minorHAnsi"/>
                <w:i/>
                <w:iCs/>
                <w:color w:val="auto"/>
                <w:szCs w:val="17"/>
              </w:rPr>
              <w:t xml:space="preserve"> </w:t>
            </w:r>
            <w:r w:rsidR="00CE6464" w:rsidRPr="0071588C">
              <w:rPr>
                <w:rFonts w:asciiTheme="minorHAnsi" w:eastAsia="Times New Roman" w:hAnsiTheme="minorHAnsi"/>
                <w:iCs/>
                <w:color w:val="auto"/>
                <w:szCs w:val="17"/>
              </w:rPr>
              <w:t xml:space="preserve">Secretariat of State for Professional Training and Employment Policy, </w:t>
            </w:r>
            <w:r w:rsidR="00CE6464" w:rsidRPr="0071588C">
              <w:rPr>
                <w:rFonts w:asciiTheme="minorHAnsi" w:hAnsiTheme="minorHAnsi"/>
                <w:color w:val="auto"/>
                <w:szCs w:val="17"/>
              </w:rPr>
              <w:t>and worked with the GoTL, through the Human Capital Development Fund, to help determine training allocations for 2016.</w:t>
            </w: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0C59C9">
            <w:pPr>
              <w:pStyle w:val="ListBullet"/>
              <w:tabs>
                <w:tab w:val="clear" w:pos="284"/>
              </w:tabs>
              <w:spacing w:line="240" w:lineRule="auto"/>
              <w:rPr>
                <w:rFonts w:asciiTheme="minorHAnsi" w:hAnsiTheme="minorHAnsi"/>
                <w:b/>
                <w:iCs/>
                <w:sz w:val="17"/>
                <w:szCs w:val="17"/>
              </w:rPr>
            </w:pPr>
            <w:r w:rsidRPr="0071588C">
              <w:rPr>
                <w:rFonts w:asciiTheme="minorHAnsi" w:hAnsiTheme="minorHAnsi"/>
                <w:b/>
                <w:iCs/>
                <w:sz w:val="17"/>
                <w:szCs w:val="17"/>
              </w:rPr>
              <w:t>2.3 Households, especially the most vulnerable, increasingly practice behaviours that are conducive to better maternal and child health and nutrition and use reproductive maternal, newborn and child health services</w:t>
            </w:r>
          </w:p>
          <w:p w:rsidR="00086AF2" w:rsidRPr="0071588C" w:rsidRDefault="00086AF2" w:rsidP="000C59C9">
            <w:pPr>
              <w:pStyle w:val="ListBullet"/>
              <w:tabs>
                <w:tab w:val="clear" w:pos="284"/>
              </w:tabs>
              <w:spacing w:line="240" w:lineRule="auto"/>
              <w:rPr>
                <w:rFonts w:asciiTheme="minorHAnsi" w:hAnsiTheme="minorHAnsi"/>
                <w:iCs/>
                <w:sz w:val="17"/>
                <w:szCs w:val="17"/>
              </w:rPr>
            </w:pPr>
            <w:r w:rsidRPr="0071588C">
              <w:rPr>
                <w:rFonts w:asciiTheme="minorHAnsi" w:hAnsiTheme="minorHAnsi"/>
                <w:sz w:val="17"/>
                <w:szCs w:val="17"/>
              </w:rPr>
              <w:t>By mid-2016, DFAT will transition all health program activities to a consolidated contractor, with the tender for the new contractor being advertised in late 2015.</w:t>
            </w:r>
          </w:p>
        </w:tc>
        <w:tc>
          <w:tcPr>
            <w:tcW w:w="1251" w:type="dxa"/>
            <w:shd w:val="clear" w:color="auto" w:fill="7FB64D" w:themeFill="accent3" w:themeFillShade="BF"/>
          </w:tcPr>
          <w:p w:rsidR="00086AF2" w:rsidRPr="0071588C" w:rsidRDefault="00086AF2" w:rsidP="000C59C9">
            <w:pPr>
              <w:keepLines/>
              <w:spacing w:before="40" w:after="40" w:line="240" w:lineRule="auto"/>
              <w:jc w:val="center"/>
              <w:rPr>
                <w:rFonts w:asciiTheme="minorHAnsi" w:eastAsia="Times New Roman" w:hAnsiTheme="minorHAnsi"/>
                <w:iCs/>
                <w:color w:val="auto"/>
                <w:szCs w:val="17"/>
              </w:rPr>
            </w:pPr>
          </w:p>
          <w:p w:rsidR="00086AF2" w:rsidRPr="0071588C" w:rsidRDefault="00086AF2" w:rsidP="000C59C9">
            <w:pPr>
              <w:keepLines/>
              <w:spacing w:before="40" w:after="40" w:line="240" w:lineRule="auto"/>
              <w:jc w:val="center"/>
              <w:rPr>
                <w:rFonts w:asciiTheme="minorHAnsi" w:eastAsia="Times New Roman" w:hAnsiTheme="minorHAnsi"/>
                <w:iCs/>
                <w:color w:val="auto"/>
                <w:szCs w:val="17"/>
              </w:rPr>
            </w:pPr>
          </w:p>
          <w:p w:rsidR="00086AF2" w:rsidRPr="0071588C" w:rsidRDefault="00086AF2" w:rsidP="000C59C9">
            <w:pPr>
              <w:keepLines/>
              <w:spacing w:before="40" w:after="40" w:line="240" w:lineRule="auto"/>
              <w:jc w:val="center"/>
              <w:rPr>
                <w:rFonts w:asciiTheme="minorHAnsi" w:eastAsia="Times New Roman" w:hAnsiTheme="minorHAnsi"/>
                <w:iCs/>
                <w:color w:val="auto"/>
                <w:szCs w:val="17"/>
              </w:rPr>
            </w:pPr>
          </w:p>
          <w:p w:rsidR="00086AF2" w:rsidRPr="0071588C" w:rsidRDefault="00086AF2" w:rsidP="000C59C9">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086AF2" w:rsidP="000C59C9">
            <w:pPr>
              <w:keepLines/>
              <w:spacing w:before="0" w:after="0" w:line="240" w:lineRule="auto"/>
              <w:rPr>
                <w:rFonts w:asciiTheme="minorHAnsi" w:eastAsia="Times New Roman" w:hAnsiTheme="minorHAnsi"/>
                <w:iCs/>
                <w:color w:val="auto"/>
                <w:szCs w:val="17"/>
              </w:rPr>
            </w:pPr>
            <w:r w:rsidRPr="0071588C">
              <w:rPr>
                <w:rFonts w:asciiTheme="minorHAnsi" w:eastAsia="Times New Roman" w:hAnsiTheme="minorHAnsi"/>
                <w:iCs/>
                <w:color w:val="auto"/>
                <w:szCs w:val="17"/>
              </w:rPr>
              <w:t xml:space="preserve">DFAT has tendered and awarded the Australia Timor-Leste Partnership for Human Development, consolidating investments in health, education, water, nutrition, gender equality, disability and social protection. </w:t>
            </w: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0C59C9">
            <w:pPr>
              <w:pStyle w:val="ListBullet"/>
              <w:tabs>
                <w:tab w:val="clear" w:pos="284"/>
              </w:tabs>
              <w:spacing w:line="240" w:lineRule="auto"/>
              <w:rPr>
                <w:rFonts w:asciiTheme="minorHAnsi" w:hAnsiTheme="minorHAnsi"/>
                <w:b/>
                <w:iCs/>
                <w:sz w:val="17"/>
                <w:szCs w:val="17"/>
              </w:rPr>
            </w:pPr>
            <w:r w:rsidRPr="0071588C">
              <w:rPr>
                <w:rFonts w:asciiTheme="minorHAnsi" w:hAnsiTheme="minorHAnsi"/>
                <w:b/>
                <w:iCs/>
                <w:sz w:val="17"/>
                <w:szCs w:val="17"/>
              </w:rPr>
              <w:t>2.4 Reduced violence against women and improved support and legal services for women and children affected by violence</w:t>
            </w:r>
          </w:p>
          <w:p w:rsidR="00086AF2" w:rsidRPr="0071588C" w:rsidRDefault="00086AF2" w:rsidP="000C59C9">
            <w:pPr>
              <w:pStyle w:val="ListBullet"/>
              <w:tabs>
                <w:tab w:val="clear" w:pos="284"/>
              </w:tabs>
              <w:spacing w:line="240" w:lineRule="auto"/>
              <w:rPr>
                <w:rFonts w:asciiTheme="minorHAnsi" w:hAnsiTheme="minorHAnsi"/>
                <w:iCs/>
                <w:sz w:val="17"/>
                <w:szCs w:val="17"/>
              </w:rPr>
            </w:pPr>
            <w:r w:rsidRPr="0071588C">
              <w:rPr>
                <w:rFonts w:asciiTheme="minorHAnsi" w:hAnsiTheme="minorHAnsi"/>
                <w:sz w:val="17"/>
                <w:szCs w:val="17"/>
              </w:rPr>
              <w:t>DFAT and TAF will use the data generated by the baseline survey to strengthen both DFAT’s and SEM’s advocacy for resources and better coordination for Ending Violence Against Women within the framework of the National Action Plan revisions before the end of 2015.</w:t>
            </w:r>
          </w:p>
        </w:tc>
        <w:tc>
          <w:tcPr>
            <w:tcW w:w="1251" w:type="dxa"/>
            <w:shd w:val="clear" w:color="auto" w:fill="7FB64D" w:themeFill="accent3" w:themeFillShade="BF"/>
          </w:tcPr>
          <w:p w:rsidR="00086AF2" w:rsidRPr="0071588C" w:rsidRDefault="00086AF2" w:rsidP="000C59C9">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2828FF" w:rsidP="002828FF">
            <w:pPr>
              <w:keepLines/>
              <w:spacing w:before="0" w:after="0" w:line="240" w:lineRule="auto"/>
              <w:rPr>
                <w:rFonts w:asciiTheme="minorHAnsi" w:eastAsia="Times New Roman" w:hAnsiTheme="minorHAnsi"/>
                <w:i/>
                <w:iCs/>
                <w:color w:val="auto"/>
                <w:szCs w:val="17"/>
              </w:rPr>
            </w:pPr>
            <w:r w:rsidRPr="0071588C">
              <w:rPr>
                <w:rFonts w:asciiTheme="minorHAnsi" w:eastAsia="Times New Roman" w:hAnsiTheme="minorHAnsi"/>
                <w:iCs/>
                <w:color w:val="auto"/>
                <w:szCs w:val="17"/>
              </w:rPr>
              <w:t>Nabilan, in partnership with the Ministry of Social Solidarity, launched the ‘Health and Life Experiences’ baseline survey in December</w:t>
            </w:r>
            <w:r w:rsidR="003840E1">
              <w:rPr>
                <w:rFonts w:asciiTheme="minorHAnsi" w:eastAsia="Times New Roman" w:hAnsiTheme="minorHAnsi"/>
                <w:iCs/>
                <w:color w:val="auto"/>
                <w:szCs w:val="17"/>
              </w:rPr>
              <w:t xml:space="preserve"> 2015 to members of Government,</w:t>
            </w:r>
            <w:r w:rsidRPr="0071588C">
              <w:rPr>
                <w:rFonts w:asciiTheme="minorHAnsi" w:eastAsia="Times New Roman" w:hAnsiTheme="minorHAnsi"/>
                <w:iCs/>
                <w:color w:val="auto"/>
                <w:szCs w:val="17"/>
              </w:rPr>
              <w:t xml:space="preserve"> civil society organisations and the international development community. The results have also been presented to other government stakeholders and to participants at the 2nd National Scientific Conference on Family Health in Dili and at the Timor-Leste Update at the Australian National University. Presentations have focused on how civil</w:t>
            </w:r>
            <w:r w:rsidR="000974D9">
              <w:rPr>
                <w:rFonts w:asciiTheme="minorHAnsi" w:eastAsia="Times New Roman" w:hAnsiTheme="minorHAnsi"/>
                <w:iCs/>
                <w:color w:val="auto"/>
                <w:szCs w:val="17"/>
              </w:rPr>
              <w:t xml:space="preserve"> society organisations and the g</w:t>
            </w:r>
            <w:r w:rsidRPr="0071588C">
              <w:rPr>
                <w:rFonts w:asciiTheme="minorHAnsi" w:eastAsia="Times New Roman" w:hAnsiTheme="minorHAnsi"/>
                <w:iCs/>
                <w:color w:val="auto"/>
                <w:szCs w:val="17"/>
              </w:rPr>
              <w:t>overnment can use the data to design prevention programming and to inform policy.</w:t>
            </w:r>
          </w:p>
        </w:tc>
      </w:tr>
      <w:tr w:rsidR="00D56E35"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D56E35" w:rsidRPr="0071588C" w:rsidRDefault="00D56E35" w:rsidP="003840E1">
            <w:pPr>
              <w:pStyle w:val="ListBullet"/>
              <w:tabs>
                <w:tab w:val="clear" w:pos="284"/>
              </w:tabs>
              <w:spacing w:line="240" w:lineRule="auto"/>
              <w:rPr>
                <w:rFonts w:asciiTheme="minorHAnsi" w:hAnsiTheme="minorHAnsi"/>
                <w:b/>
                <w:iCs/>
                <w:sz w:val="17"/>
                <w:szCs w:val="17"/>
              </w:rPr>
            </w:pPr>
            <w:r w:rsidRPr="0071588C">
              <w:rPr>
                <w:rFonts w:asciiTheme="minorHAnsi" w:hAnsiTheme="minorHAnsi"/>
                <w:b/>
                <w:iCs/>
                <w:sz w:val="17"/>
                <w:szCs w:val="17"/>
              </w:rPr>
              <w:t>2.5 Human and economic development enhanced by communities building small-scale infrastructure that meets their development needs</w:t>
            </w:r>
          </w:p>
          <w:p w:rsidR="00D56E35" w:rsidRPr="0071588C" w:rsidRDefault="00D56E35" w:rsidP="003840E1">
            <w:pPr>
              <w:pStyle w:val="ListBullet"/>
              <w:tabs>
                <w:tab w:val="clear" w:pos="284"/>
              </w:tabs>
              <w:spacing w:line="240" w:lineRule="auto"/>
              <w:rPr>
                <w:rFonts w:asciiTheme="minorHAnsi" w:hAnsiTheme="minorHAnsi"/>
                <w:iCs/>
                <w:sz w:val="17"/>
                <w:szCs w:val="17"/>
              </w:rPr>
            </w:pPr>
            <w:r w:rsidRPr="0071588C">
              <w:rPr>
                <w:rFonts w:asciiTheme="minorHAnsi" w:hAnsiTheme="minorHAnsi"/>
                <w:sz w:val="17"/>
                <w:szCs w:val="17"/>
              </w:rPr>
              <w:t>DFAT will support the PNDS Secretariat to secure sufficient budget in 2016 to deliver PNDS.</w:t>
            </w:r>
          </w:p>
        </w:tc>
        <w:tc>
          <w:tcPr>
            <w:tcW w:w="1251" w:type="dxa"/>
            <w:shd w:val="clear" w:color="auto" w:fill="7FB64D" w:themeFill="accent3" w:themeFillShade="BF"/>
          </w:tcPr>
          <w:p w:rsidR="00D56E35" w:rsidRPr="0071588C" w:rsidRDefault="00D56E35" w:rsidP="003840E1">
            <w:pPr>
              <w:keepLines/>
              <w:spacing w:before="40" w:after="40" w:line="240" w:lineRule="auto"/>
              <w:jc w:val="center"/>
              <w:rPr>
                <w:rFonts w:asciiTheme="minorHAnsi" w:eastAsia="Times New Roman" w:hAnsiTheme="minorHAnsi"/>
                <w:iCs/>
                <w:color w:val="FFFFFF" w:themeColor="background1"/>
                <w:szCs w:val="17"/>
              </w:rPr>
            </w:pPr>
          </w:p>
        </w:tc>
        <w:tc>
          <w:tcPr>
            <w:tcW w:w="6610" w:type="dxa"/>
          </w:tcPr>
          <w:p w:rsidR="00D56E35" w:rsidRPr="0071588C" w:rsidRDefault="00D56E35" w:rsidP="003840E1">
            <w:pPr>
              <w:keepLines/>
              <w:spacing w:before="40" w:after="40" w:line="240" w:lineRule="auto"/>
              <w:rPr>
                <w:rFonts w:asciiTheme="minorHAnsi" w:eastAsia="Times New Roman" w:hAnsiTheme="minorHAnsi"/>
                <w:iCs/>
                <w:color w:val="auto"/>
                <w:szCs w:val="17"/>
              </w:rPr>
            </w:pPr>
            <w:r w:rsidRPr="0071588C">
              <w:rPr>
                <w:rFonts w:asciiTheme="minorHAnsi" w:eastAsia="Times New Roman" w:hAnsiTheme="minorHAnsi"/>
                <w:iCs/>
                <w:color w:val="auto"/>
                <w:szCs w:val="17"/>
              </w:rPr>
              <w:t xml:space="preserve">In 2015, the PNDS Support assisted PNDS Secretariat to highlight the program’s achievements (such as 38,000 villagers participating in PNDS in 2015 and </w:t>
            </w:r>
            <w:r w:rsidR="004E2014">
              <w:rPr>
                <w:rFonts w:asciiTheme="minorHAnsi" w:eastAsia="Times New Roman" w:hAnsiTheme="minorHAnsi"/>
                <w:iCs/>
                <w:color w:val="auto"/>
                <w:szCs w:val="17"/>
              </w:rPr>
              <w:t>629</w:t>
            </w:r>
            <w:r w:rsidRPr="0071588C">
              <w:rPr>
                <w:rFonts w:asciiTheme="minorHAnsi" w:eastAsia="Times New Roman" w:hAnsiTheme="minorHAnsi"/>
                <w:iCs/>
                <w:color w:val="auto"/>
                <w:szCs w:val="17"/>
              </w:rPr>
              <w:t xml:space="preserve"> projects completed</w:t>
            </w:r>
            <w:r w:rsidR="0062579F">
              <w:rPr>
                <w:rFonts w:asciiTheme="minorHAnsi" w:eastAsia="Times New Roman" w:hAnsiTheme="minorHAnsi"/>
                <w:iCs/>
                <w:color w:val="auto"/>
                <w:szCs w:val="17"/>
              </w:rPr>
              <w:t xml:space="preserve"> by end </w:t>
            </w:r>
            <w:r w:rsidR="004E2014">
              <w:rPr>
                <w:rFonts w:asciiTheme="minorHAnsi" w:eastAsia="Times New Roman" w:hAnsiTheme="minorHAnsi"/>
                <w:iCs/>
                <w:color w:val="auto"/>
                <w:szCs w:val="17"/>
              </w:rPr>
              <w:t xml:space="preserve">of calendar year </w:t>
            </w:r>
            <w:r w:rsidR="0062579F">
              <w:rPr>
                <w:rFonts w:asciiTheme="minorHAnsi" w:eastAsia="Times New Roman" w:hAnsiTheme="minorHAnsi"/>
                <w:iCs/>
                <w:color w:val="auto"/>
                <w:szCs w:val="17"/>
              </w:rPr>
              <w:t>2015</w:t>
            </w:r>
            <w:r w:rsidRPr="0071588C">
              <w:rPr>
                <w:rFonts w:asciiTheme="minorHAnsi" w:eastAsia="Times New Roman" w:hAnsiTheme="minorHAnsi"/>
                <w:iCs/>
                <w:color w:val="auto"/>
                <w:szCs w:val="17"/>
              </w:rPr>
              <w:t>), helping the Secretariat to secure a sufficient budget for PNDS in 2016 (approximately USD12.2 million).</w:t>
            </w:r>
          </w:p>
          <w:p w:rsidR="00D56E35" w:rsidRPr="0071588C" w:rsidRDefault="00D56E35" w:rsidP="003840E1">
            <w:pPr>
              <w:keepLines/>
              <w:spacing w:before="40" w:after="40" w:line="240" w:lineRule="auto"/>
              <w:rPr>
                <w:rFonts w:asciiTheme="minorHAnsi" w:eastAsia="Times New Roman" w:hAnsiTheme="minorHAnsi"/>
                <w:i/>
                <w:iCs/>
                <w:color w:val="auto"/>
                <w:szCs w:val="17"/>
              </w:rPr>
            </w:pPr>
            <w:r w:rsidRPr="0071588C">
              <w:rPr>
                <w:rFonts w:asciiTheme="minorHAnsi" w:eastAsia="Times New Roman" w:hAnsiTheme="minorHAnsi"/>
                <w:iCs/>
                <w:color w:val="auto"/>
                <w:szCs w:val="17"/>
              </w:rPr>
              <w:t xml:space="preserve">Given political changes in early 2015, opportunities to develop a formal partnership </w:t>
            </w:r>
            <w:r w:rsidR="0071095A" w:rsidRPr="0071588C">
              <w:rPr>
                <w:rFonts w:asciiTheme="minorHAnsi" w:eastAsia="Times New Roman" w:hAnsiTheme="minorHAnsi"/>
                <w:iCs/>
                <w:color w:val="auto"/>
                <w:szCs w:val="17"/>
              </w:rPr>
              <w:t>agreement</w:t>
            </w:r>
            <w:r w:rsidRPr="0071588C">
              <w:rPr>
                <w:rFonts w:asciiTheme="minorHAnsi" w:eastAsia="Times New Roman" w:hAnsiTheme="minorHAnsi"/>
                <w:iCs/>
                <w:color w:val="auto"/>
                <w:szCs w:val="17"/>
              </w:rPr>
              <w:t xml:space="preserve"> or to renew the current subsidiary arrangement were not available. The current agreement remains active until June 2017</w:t>
            </w:r>
          </w:p>
        </w:tc>
      </w:tr>
      <w:tr w:rsidR="00086AF2" w:rsidRPr="0010756F" w:rsidTr="006F02C8">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3840E1">
            <w:pPr>
              <w:pStyle w:val="ListBullet"/>
              <w:tabs>
                <w:tab w:val="clear" w:pos="284"/>
              </w:tabs>
              <w:spacing w:line="240" w:lineRule="auto"/>
              <w:rPr>
                <w:rFonts w:asciiTheme="minorHAnsi" w:hAnsiTheme="minorHAnsi"/>
                <w:b/>
                <w:iCs/>
                <w:sz w:val="17"/>
                <w:szCs w:val="17"/>
              </w:rPr>
            </w:pPr>
            <w:r w:rsidRPr="0071588C">
              <w:rPr>
                <w:rFonts w:asciiTheme="minorHAnsi" w:hAnsiTheme="minorHAnsi"/>
                <w:b/>
                <w:iCs/>
                <w:sz w:val="17"/>
                <w:szCs w:val="17"/>
              </w:rPr>
              <w:t>Objective 3: Strengthening governance and institutions</w:t>
            </w:r>
          </w:p>
        </w:tc>
        <w:tc>
          <w:tcPr>
            <w:tcW w:w="1251" w:type="dxa"/>
            <w:shd w:val="clear" w:color="auto" w:fill="auto"/>
          </w:tcPr>
          <w:p w:rsidR="00086AF2" w:rsidRPr="0071588C" w:rsidRDefault="00086AF2" w:rsidP="003840E1">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086AF2" w:rsidP="003840E1">
            <w:pPr>
              <w:keepLines/>
              <w:spacing w:before="40" w:after="40" w:line="240" w:lineRule="auto"/>
              <w:rPr>
                <w:rFonts w:asciiTheme="minorHAnsi" w:eastAsia="Times New Roman" w:hAnsiTheme="minorHAnsi"/>
                <w:iCs/>
                <w:color w:val="auto"/>
                <w:szCs w:val="17"/>
              </w:rPr>
            </w:pP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3840E1">
            <w:pPr>
              <w:pStyle w:val="ListBullet"/>
              <w:tabs>
                <w:tab w:val="clear" w:pos="284"/>
              </w:tabs>
              <w:spacing w:line="240" w:lineRule="auto"/>
              <w:rPr>
                <w:rFonts w:asciiTheme="minorHAnsi" w:hAnsiTheme="minorHAnsi"/>
                <w:b/>
                <w:iCs/>
                <w:sz w:val="17"/>
                <w:szCs w:val="17"/>
              </w:rPr>
            </w:pPr>
            <w:r w:rsidRPr="0071588C">
              <w:rPr>
                <w:rFonts w:asciiTheme="minorHAnsi" w:hAnsiTheme="minorHAnsi"/>
                <w:b/>
                <w:iCs/>
                <w:sz w:val="17"/>
                <w:szCs w:val="17"/>
              </w:rPr>
              <w:t>3.1 Poverty reduction in Timor-Leste through improved economic development and delivery of services</w:t>
            </w:r>
          </w:p>
          <w:p w:rsidR="00086AF2" w:rsidRPr="0071588C" w:rsidRDefault="00086AF2" w:rsidP="003840E1">
            <w:pPr>
              <w:pStyle w:val="ListBullet"/>
              <w:spacing w:line="240" w:lineRule="auto"/>
              <w:rPr>
                <w:rFonts w:asciiTheme="minorHAnsi" w:hAnsiTheme="minorHAnsi"/>
                <w:sz w:val="17"/>
                <w:szCs w:val="17"/>
              </w:rPr>
            </w:pPr>
            <w:r w:rsidRPr="0071588C">
              <w:rPr>
                <w:rFonts w:asciiTheme="minorHAnsi" w:hAnsiTheme="minorHAnsi"/>
                <w:sz w:val="17"/>
                <w:szCs w:val="17"/>
              </w:rPr>
              <w:t xml:space="preserve">In 2015-16, DFAT will closely monitor the ambitious reform agenda and target support to areas where the </w:t>
            </w:r>
            <w:r w:rsidR="000502EE">
              <w:rPr>
                <w:rFonts w:asciiTheme="minorHAnsi" w:hAnsiTheme="minorHAnsi"/>
                <w:sz w:val="17"/>
                <w:szCs w:val="17"/>
              </w:rPr>
              <w:t xml:space="preserve">Government of Timor-Leste </w:t>
            </w:r>
            <w:r w:rsidRPr="0071588C">
              <w:rPr>
                <w:rFonts w:asciiTheme="minorHAnsi" w:hAnsiTheme="minorHAnsi"/>
                <w:sz w:val="17"/>
                <w:szCs w:val="17"/>
              </w:rPr>
              <w:t>is making progress.</w:t>
            </w:r>
            <w:r w:rsidRPr="0071588C">
              <w:rPr>
                <w:rFonts w:asciiTheme="minorHAnsi" w:hAnsiTheme="minorHAnsi"/>
                <w:b/>
                <w:bCs/>
                <w:sz w:val="17"/>
                <w:szCs w:val="17"/>
              </w:rPr>
              <w:t xml:space="preserve"> </w:t>
            </w:r>
            <w:r w:rsidRPr="0071588C">
              <w:rPr>
                <w:rFonts w:asciiTheme="minorHAnsi" w:hAnsiTheme="minorHAnsi"/>
                <w:bCs/>
                <w:sz w:val="17"/>
                <w:szCs w:val="17"/>
              </w:rPr>
              <w:t xml:space="preserve">We will continue to apply monitoring systems and </w:t>
            </w:r>
            <w:r w:rsidRPr="0071588C">
              <w:rPr>
                <w:rFonts w:asciiTheme="minorHAnsi" w:hAnsiTheme="minorHAnsi"/>
                <w:sz w:val="17"/>
                <w:szCs w:val="17"/>
              </w:rPr>
              <w:t xml:space="preserve">performance requirements for payments under the budget support mechanism to encourage more reform with the Ministry of Finance.  </w:t>
            </w:r>
          </w:p>
        </w:tc>
        <w:tc>
          <w:tcPr>
            <w:tcW w:w="1251" w:type="dxa"/>
            <w:shd w:val="clear" w:color="auto" w:fill="7FB64D" w:themeFill="accent3" w:themeFillShade="BF"/>
          </w:tcPr>
          <w:p w:rsidR="00086AF2" w:rsidRPr="0071588C" w:rsidRDefault="00086AF2" w:rsidP="003840E1">
            <w:pPr>
              <w:keepLines/>
              <w:spacing w:before="40" w:after="40" w:line="240" w:lineRule="auto"/>
              <w:jc w:val="center"/>
              <w:rPr>
                <w:rFonts w:asciiTheme="minorHAnsi" w:eastAsia="Times New Roman" w:hAnsiTheme="minorHAnsi"/>
                <w:iCs/>
                <w:color w:val="auto"/>
                <w:szCs w:val="17"/>
              </w:rPr>
            </w:pPr>
          </w:p>
        </w:tc>
        <w:tc>
          <w:tcPr>
            <w:tcW w:w="6610" w:type="dxa"/>
          </w:tcPr>
          <w:p w:rsidR="009C7CDF" w:rsidRPr="0071588C" w:rsidRDefault="009C7CDF" w:rsidP="003840E1">
            <w:pPr>
              <w:keepLines/>
              <w:spacing w:before="40" w:after="40" w:line="240" w:lineRule="auto"/>
              <w:rPr>
                <w:rFonts w:asciiTheme="minorHAnsi" w:eastAsia="Times New Roman" w:hAnsiTheme="minorHAnsi"/>
                <w:iCs/>
                <w:color w:val="auto"/>
                <w:szCs w:val="17"/>
              </w:rPr>
            </w:pPr>
            <w:r w:rsidRPr="0071588C">
              <w:rPr>
                <w:rFonts w:asciiTheme="minorHAnsi" w:eastAsia="Times New Roman" w:hAnsiTheme="minorHAnsi"/>
                <w:iCs/>
                <w:color w:val="auto"/>
                <w:szCs w:val="17"/>
              </w:rPr>
              <w:t>Australia continued to monitor GoTL’s ambitious reform agenda, and targeted support to areas where progress was being made. This included ending support where we were not having an impact (for example direct budget support to the Ministry of Finance)</w:t>
            </w:r>
            <w:r w:rsidR="00084DD2" w:rsidRPr="0071588C">
              <w:rPr>
                <w:rFonts w:asciiTheme="minorHAnsi" w:eastAsia="Times New Roman" w:hAnsiTheme="minorHAnsi"/>
                <w:iCs/>
                <w:color w:val="auto"/>
                <w:szCs w:val="17"/>
              </w:rPr>
              <w:t>.</w:t>
            </w:r>
          </w:p>
          <w:p w:rsidR="00086AF2" w:rsidRPr="0071588C" w:rsidRDefault="00086AF2" w:rsidP="003840E1">
            <w:pPr>
              <w:keepLines/>
              <w:spacing w:before="40" w:after="40" w:line="240" w:lineRule="auto"/>
              <w:rPr>
                <w:rFonts w:asciiTheme="minorHAnsi" w:eastAsia="Times New Roman" w:hAnsiTheme="minorHAnsi"/>
                <w:iCs/>
                <w:color w:val="auto"/>
                <w:szCs w:val="17"/>
              </w:rPr>
            </w:pPr>
          </w:p>
        </w:tc>
      </w:tr>
      <w:tr w:rsidR="00086AF2" w:rsidRPr="0010756F" w:rsidTr="000974D9">
        <w:trPr>
          <w:cnfStyle w:val="000000010000" w:firstRow="0" w:lastRow="0" w:firstColumn="0" w:lastColumn="0" w:oddVBand="0" w:evenVBand="0" w:oddHBand="0" w:evenHBand="1" w:firstRowFirstColumn="0" w:firstRowLastColumn="0" w:lastRowFirstColumn="0" w:lastRowLastColumn="0"/>
        </w:trPr>
        <w:tc>
          <w:tcPr>
            <w:tcW w:w="6715" w:type="dxa"/>
          </w:tcPr>
          <w:p w:rsidR="00086AF2" w:rsidRPr="0071588C" w:rsidRDefault="00086AF2" w:rsidP="003840E1">
            <w:pPr>
              <w:pStyle w:val="ListBullet"/>
              <w:tabs>
                <w:tab w:val="clear" w:pos="284"/>
              </w:tabs>
              <w:spacing w:line="240" w:lineRule="auto"/>
              <w:rPr>
                <w:rFonts w:asciiTheme="minorHAnsi" w:hAnsiTheme="minorHAnsi"/>
                <w:b/>
                <w:iCs/>
                <w:sz w:val="17"/>
                <w:szCs w:val="17"/>
              </w:rPr>
            </w:pPr>
            <w:r w:rsidRPr="0071588C">
              <w:rPr>
                <w:rFonts w:asciiTheme="minorHAnsi" w:hAnsiTheme="minorHAnsi"/>
                <w:b/>
                <w:iCs/>
                <w:sz w:val="17"/>
                <w:szCs w:val="17"/>
              </w:rPr>
              <w:t>3.2 Police service effective and accountable in supporting rule of law</w:t>
            </w:r>
          </w:p>
          <w:p w:rsidR="00086AF2" w:rsidRPr="0071588C" w:rsidRDefault="00086AF2" w:rsidP="003840E1">
            <w:pPr>
              <w:pStyle w:val="ListBullet"/>
              <w:tabs>
                <w:tab w:val="clear" w:pos="284"/>
              </w:tabs>
              <w:spacing w:line="240" w:lineRule="auto"/>
              <w:rPr>
                <w:rFonts w:asciiTheme="minorHAnsi" w:hAnsiTheme="minorHAnsi"/>
                <w:iCs/>
                <w:sz w:val="17"/>
                <w:szCs w:val="17"/>
              </w:rPr>
            </w:pPr>
            <w:r w:rsidRPr="0071588C">
              <w:rPr>
                <w:rFonts w:asciiTheme="minorHAnsi" w:hAnsiTheme="minorHAnsi"/>
                <w:sz w:val="17"/>
                <w:szCs w:val="17"/>
              </w:rPr>
              <w:t>In 2015, TLPDP and PNTL will establish a Project Coordination Board to provide direction, guidance and decision making to support the delivery of projects undertaken by TLPDP. This will ensure ownership of projects by the PNTL, mutual responsibility for agreed outputs and outcomes according to the project work plan, and sustainability of activities beyond the end of TLPDP support.</w:t>
            </w:r>
          </w:p>
        </w:tc>
        <w:tc>
          <w:tcPr>
            <w:tcW w:w="1251" w:type="dxa"/>
            <w:shd w:val="clear" w:color="auto" w:fill="7FB64D" w:themeFill="accent3" w:themeFillShade="BF"/>
          </w:tcPr>
          <w:p w:rsidR="00086AF2" w:rsidRPr="0071588C" w:rsidRDefault="00086AF2" w:rsidP="003840E1">
            <w:pPr>
              <w:keepLines/>
              <w:spacing w:before="40" w:after="40" w:line="240" w:lineRule="auto"/>
              <w:jc w:val="center"/>
              <w:rPr>
                <w:rFonts w:asciiTheme="minorHAnsi" w:eastAsia="Times New Roman" w:hAnsiTheme="minorHAnsi"/>
                <w:iCs/>
                <w:color w:val="auto"/>
                <w:szCs w:val="17"/>
              </w:rPr>
            </w:pPr>
          </w:p>
        </w:tc>
        <w:tc>
          <w:tcPr>
            <w:tcW w:w="6610" w:type="dxa"/>
          </w:tcPr>
          <w:p w:rsidR="00086AF2" w:rsidRPr="0071588C" w:rsidRDefault="00BE70EB" w:rsidP="003840E1">
            <w:pPr>
              <w:keepLines/>
              <w:spacing w:before="40" w:after="40" w:line="240" w:lineRule="auto"/>
              <w:rPr>
                <w:rFonts w:asciiTheme="minorHAnsi" w:eastAsia="Times New Roman" w:hAnsiTheme="minorHAnsi"/>
                <w:iCs/>
                <w:color w:val="auto"/>
                <w:szCs w:val="17"/>
              </w:rPr>
            </w:pPr>
            <w:r w:rsidRPr="0071588C">
              <w:rPr>
                <w:rFonts w:asciiTheme="minorHAnsi" w:eastAsia="Times New Roman" w:hAnsiTheme="minorHAnsi"/>
                <w:iCs/>
                <w:color w:val="auto"/>
                <w:szCs w:val="17"/>
              </w:rPr>
              <w:t xml:space="preserve">The Project Coordination Board was established in 2015 </w:t>
            </w:r>
            <w:r w:rsidR="00781422" w:rsidRPr="0071588C">
              <w:rPr>
                <w:rFonts w:asciiTheme="minorHAnsi" w:eastAsia="Times New Roman" w:hAnsiTheme="minorHAnsi"/>
                <w:iCs/>
                <w:color w:val="auto"/>
                <w:szCs w:val="17"/>
              </w:rPr>
              <w:t>and links project outcomes to the PNTL Strategic Plan 2014-</w:t>
            </w:r>
            <w:r w:rsidR="0020563B" w:rsidRPr="0071588C">
              <w:rPr>
                <w:rFonts w:asciiTheme="minorHAnsi" w:eastAsia="Times New Roman" w:hAnsiTheme="minorHAnsi"/>
                <w:iCs/>
                <w:color w:val="auto"/>
                <w:szCs w:val="17"/>
              </w:rPr>
              <w:t xml:space="preserve">2018 and maintains focus on the </w:t>
            </w:r>
            <w:r w:rsidR="00781422" w:rsidRPr="0071588C">
              <w:rPr>
                <w:rFonts w:asciiTheme="minorHAnsi" w:eastAsia="Times New Roman" w:hAnsiTheme="minorHAnsi"/>
                <w:iCs/>
                <w:color w:val="auto"/>
                <w:szCs w:val="17"/>
              </w:rPr>
              <w:t>main pillars of the program; governance, leadership and training, gender and specialist operational support</w:t>
            </w:r>
            <w:r w:rsidR="0020563B" w:rsidRPr="0071588C">
              <w:rPr>
                <w:rFonts w:asciiTheme="minorHAnsi" w:eastAsia="Times New Roman" w:hAnsiTheme="minorHAnsi"/>
                <w:iCs/>
                <w:color w:val="auto"/>
                <w:szCs w:val="17"/>
              </w:rPr>
              <w:t>.</w:t>
            </w:r>
          </w:p>
        </w:tc>
      </w:tr>
    </w:tbl>
    <w:p w:rsidR="00086AF2" w:rsidRPr="00A427C6" w:rsidRDefault="001113E8" w:rsidP="00086AF2">
      <w:pPr>
        <w:spacing w:before="20" w:after="20" w:line="180" w:lineRule="atLeast"/>
        <w:jc w:val="both"/>
        <w:rPr>
          <w:rFonts w:eastAsia="Times New Roman"/>
          <w:b/>
          <w:sz w:val="16"/>
          <w:szCs w:val="14"/>
        </w:rPr>
      </w:pPr>
      <w:r w:rsidRPr="00A427C6">
        <w:rPr>
          <w:rFonts w:eastAsia="Times New Roman"/>
          <w:b/>
          <w:sz w:val="16"/>
          <w:szCs w:val="14"/>
        </w:rPr>
        <w:t xml:space="preserve"> </w:t>
      </w:r>
      <w:r w:rsidR="00086AF2" w:rsidRPr="00A427C6">
        <w:rPr>
          <w:rFonts w:eastAsia="Times New Roman"/>
          <w:b/>
          <w:sz w:val="16"/>
          <w:szCs w:val="14"/>
        </w:rPr>
        <w:t xml:space="preserve">Note: </w:t>
      </w:r>
    </w:p>
    <w:p w:rsidR="00086AF2" w:rsidRPr="00A427C6" w:rsidRDefault="00086AF2" w:rsidP="00086AF2">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in addressing the issue </w:t>
      </w:r>
    </w:p>
    <w:p w:rsidR="00086AF2" w:rsidRPr="00A427C6" w:rsidRDefault="00086AF2" w:rsidP="00086AF2">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in addressing the issue, but the issue has not been resolved </w:t>
      </w:r>
    </w:p>
    <w:p w:rsidR="00060268" w:rsidRDefault="00086AF2" w:rsidP="007C1B99">
      <w:pPr>
        <w:spacing w:before="20" w:after="20" w:line="180" w:lineRule="atLeast"/>
        <w:jc w:val="both"/>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in addressing the issue has been significantly below expectations</w:t>
      </w:r>
    </w:p>
    <w:p w:rsidR="00A47DBD" w:rsidRDefault="00A47DBD">
      <w:pPr>
        <w:suppressAutoHyphens w:val="0"/>
        <w:spacing w:before="0" w:after="120" w:line="440" w:lineRule="atLeast"/>
        <w:rPr>
          <w:rFonts w:eastAsiaTheme="majorEastAsia" w:cstheme="majorBidi"/>
          <w:bCs/>
          <w:iCs/>
          <w:caps/>
          <w:spacing w:val="-10"/>
          <w:kern w:val="28"/>
          <w:sz w:val="38"/>
          <w:szCs w:val="24"/>
        </w:rPr>
      </w:pPr>
      <w:r>
        <w:br w:type="page"/>
      </w:r>
    </w:p>
    <w:p w:rsidR="00147F0A" w:rsidRPr="00400B0F" w:rsidRDefault="00147F0A" w:rsidP="00147F0A">
      <w:pPr>
        <w:pStyle w:val="Subtitle"/>
        <w:numPr>
          <w:ilvl w:val="0"/>
          <w:numId w:val="0"/>
        </w:numPr>
      </w:pPr>
      <w:r w:rsidRPr="00400B0F">
        <w:t>Annex B - Progress towards Performance Benchmarks in 2015-16</w:t>
      </w:r>
    </w:p>
    <w:tbl>
      <w:tblPr>
        <w:tblStyle w:val="APPR"/>
        <w:tblW w:w="5259" w:type="pct"/>
        <w:tblLook w:val="04A0" w:firstRow="1" w:lastRow="0" w:firstColumn="1" w:lastColumn="0" w:noHBand="0" w:noVBand="1"/>
        <w:tblCaption w:val="Progress towards performance benchmarks"/>
      </w:tblPr>
      <w:tblGrid>
        <w:gridCol w:w="3013"/>
        <w:gridCol w:w="2259"/>
        <w:gridCol w:w="1374"/>
        <w:gridCol w:w="8547"/>
      </w:tblGrid>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7F70B4" w:rsidRDefault="00147F0A" w:rsidP="0095295A">
            <w:pPr>
              <w:keepLines/>
              <w:spacing w:before="80" w:after="80" w:line="200" w:lineRule="atLeast"/>
              <w:rPr>
                <w:rFonts w:eastAsia="Times New Roman"/>
                <w:b w:val="0"/>
                <w:iCs/>
                <w:color w:val="000000" w:themeColor="text1"/>
                <w:szCs w:val="17"/>
              </w:rPr>
            </w:pPr>
            <w:r w:rsidRPr="007F70B4">
              <w:rPr>
                <w:rFonts w:eastAsia="Times New Roman"/>
                <w:b w:val="0"/>
                <w:iCs/>
                <w:color w:val="000000" w:themeColor="text1"/>
                <w:szCs w:val="17"/>
              </w:rPr>
              <w:t>Aid objective</w:t>
            </w:r>
          </w:p>
        </w:tc>
        <w:tc>
          <w:tcPr>
            <w:tcW w:w="741" w:type="pct"/>
          </w:tcPr>
          <w:p w:rsidR="00147F0A" w:rsidRPr="007F70B4" w:rsidRDefault="00147F0A" w:rsidP="0095295A">
            <w:pPr>
              <w:keepLines/>
              <w:spacing w:before="80" w:after="80" w:line="200" w:lineRule="atLeast"/>
              <w:rPr>
                <w:rFonts w:eastAsia="Times New Roman"/>
                <w:b w:val="0"/>
                <w:iCs/>
                <w:color w:val="000000" w:themeColor="text1"/>
                <w:szCs w:val="17"/>
              </w:rPr>
            </w:pPr>
            <w:r w:rsidRPr="007F70B4">
              <w:rPr>
                <w:rFonts w:eastAsia="Times New Roman"/>
                <w:b w:val="0"/>
                <w:iCs/>
                <w:color w:val="000000" w:themeColor="text1"/>
                <w:szCs w:val="17"/>
              </w:rPr>
              <w:t xml:space="preserve">2015-16 benchmark </w:t>
            </w:r>
          </w:p>
        </w:tc>
        <w:tc>
          <w:tcPr>
            <w:tcW w:w="447" w:type="pct"/>
          </w:tcPr>
          <w:p w:rsidR="00147F0A" w:rsidRPr="007F70B4" w:rsidRDefault="00147F0A" w:rsidP="0095295A">
            <w:pPr>
              <w:keepLines/>
              <w:spacing w:before="80" w:after="80" w:line="200" w:lineRule="atLeast"/>
              <w:rPr>
                <w:rFonts w:eastAsia="Times New Roman"/>
                <w:b w:val="0"/>
                <w:iCs/>
                <w:color w:val="000000" w:themeColor="text1"/>
                <w:szCs w:val="17"/>
              </w:rPr>
            </w:pPr>
            <w:r w:rsidRPr="007F70B4">
              <w:rPr>
                <w:rFonts w:eastAsia="Times New Roman"/>
                <w:b w:val="0"/>
                <w:iCs/>
                <w:color w:val="000000" w:themeColor="text1"/>
                <w:szCs w:val="17"/>
              </w:rPr>
              <w:t>Rating</w:t>
            </w:r>
          </w:p>
        </w:tc>
        <w:tc>
          <w:tcPr>
            <w:tcW w:w="2825" w:type="pct"/>
          </w:tcPr>
          <w:p w:rsidR="00147F0A" w:rsidRPr="007F70B4" w:rsidRDefault="00147F0A" w:rsidP="0095295A">
            <w:pPr>
              <w:keepLines/>
              <w:spacing w:before="80" w:after="80" w:line="200" w:lineRule="atLeast"/>
              <w:rPr>
                <w:rFonts w:eastAsia="Times New Roman"/>
                <w:b w:val="0"/>
                <w:iCs/>
                <w:color w:val="000000" w:themeColor="text1"/>
                <w:szCs w:val="17"/>
              </w:rPr>
            </w:pPr>
            <w:r w:rsidRPr="007F70B4">
              <w:rPr>
                <w:rFonts w:eastAsia="Times New Roman"/>
                <w:b w:val="0"/>
                <w:iCs/>
                <w:color w:val="000000" w:themeColor="text1"/>
                <w:szCs w:val="17"/>
              </w:rPr>
              <w:t>Progress in 2015-16</w:t>
            </w:r>
          </w:p>
        </w:tc>
      </w:tr>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95295A">
            <w:pPr>
              <w:keepLines/>
              <w:spacing w:before="40" w:after="40" w:line="200" w:lineRule="atLeast"/>
              <w:rPr>
                <w:rFonts w:asciiTheme="minorHAnsi" w:eastAsia="Times New Roman" w:hAnsiTheme="minorHAnsi"/>
                <w:iCs/>
                <w:color w:val="auto"/>
                <w:szCs w:val="17"/>
                <w:lang w:eastAsia="en-US"/>
              </w:rPr>
            </w:pPr>
            <w:r w:rsidRPr="00D8342B">
              <w:rPr>
                <w:rFonts w:asciiTheme="minorHAnsi" w:eastAsia="Times New Roman" w:hAnsiTheme="minorHAnsi"/>
                <w:iCs/>
                <w:color w:val="auto"/>
                <w:szCs w:val="17"/>
              </w:rPr>
              <w:t>Objective 1: Improving livelihoods</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447"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2825"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r>
      <w:tr w:rsidR="00147F0A" w:rsidRPr="007F70B4" w:rsidTr="002431AF">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 xml:space="preserve">1.1 300 km of additional rural roads are rehabilitated  </w:t>
            </w:r>
          </w:p>
        </w:tc>
        <w:tc>
          <w:tcPr>
            <w:tcW w:w="741"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25km</w:t>
            </w:r>
          </w:p>
        </w:tc>
        <w:tc>
          <w:tcPr>
            <w:tcW w:w="447" w:type="pct"/>
            <w:shd w:val="clear" w:color="auto" w:fill="7FB64D" w:themeFill="accent3" w:themeFillShade="BF"/>
          </w:tcPr>
          <w:p w:rsidR="00147F0A" w:rsidRPr="00D8342B" w:rsidRDefault="00147F0A" w:rsidP="00D04856">
            <w:pPr>
              <w:keepLines/>
              <w:spacing w:before="40" w:after="40" w:line="200" w:lineRule="atLeast"/>
              <w:jc w:val="center"/>
              <w:rPr>
                <w:rFonts w:asciiTheme="minorHAnsi" w:eastAsia="Times New Roman" w:hAnsiTheme="minorHAnsi"/>
                <w:b w:val="0"/>
                <w:iCs/>
                <w:color w:val="auto"/>
                <w:szCs w:val="17"/>
                <w:lang w:eastAsia="en-US"/>
              </w:rPr>
            </w:pPr>
          </w:p>
        </w:tc>
        <w:tc>
          <w:tcPr>
            <w:tcW w:w="2825" w:type="pct"/>
          </w:tcPr>
          <w:p w:rsidR="00147F0A" w:rsidRPr="00275C88" w:rsidRDefault="002431AF" w:rsidP="002431AF">
            <w:pPr>
              <w:keepLines/>
              <w:spacing w:before="40" w:after="40" w:line="200" w:lineRule="atLeast"/>
              <w:rPr>
                <w:rFonts w:asciiTheme="minorHAnsi" w:eastAsia="Times New Roman" w:hAnsiTheme="minorHAnsi"/>
                <w:b w:val="0"/>
                <w:iCs/>
                <w:color w:val="auto"/>
                <w:szCs w:val="17"/>
                <w:lang w:eastAsia="en-US"/>
              </w:rPr>
            </w:pPr>
            <w:r w:rsidRPr="00275C88">
              <w:rPr>
                <w:rFonts w:asciiTheme="minorHAnsi" w:eastAsia="Times New Roman" w:hAnsiTheme="minorHAnsi"/>
                <w:b w:val="0"/>
                <w:iCs/>
                <w:color w:val="auto"/>
                <w:szCs w:val="17"/>
              </w:rPr>
              <w:t>I</w:t>
            </w:r>
            <w:r w:rsidR="00147F0A" w:rsidRPr="00275C88">
              <w:rPr>
                <w:rFonts w:asciiTheme="minorHAnsi" w:eastAsia="Times New Roman" w:hAnsiTheme="minorHAnsi"/>
                <w:b w:val="0"/>
                <w:iCs/>
                <w:color w:val="auto"/>
                <w:szCs w:val="17"/>
              </w:rPr>
              <w:t>n 2015-16</w:t>
            </w:r>
            <w:r w:rsidRPr="00275C88">
              <w:rPr>
                <w:rFonts w:asciiTheme="minorHAnsi" w:eastAsia="Times New Roman" w:hAnsiTheme="minorHAnsi"/>
                <w:b w:val="0"/>
                <w:iCs/>
                <w:color w:val="auto"/>
                <w:szCs w:val="17"/>
              </w:rPr>
              <w:t xml:space="preserve">, 27.9km of road rehabilitation was completed and 376.1km of rural roads were maintained. </w:t>
            </w:r>
            <w:r w:rsidR="00147F0A" w:rsidRPr="00275C88">
              <w:rPr>
                <w:rFonts w:asciiTheme="minorHAnsi" w:eastAsia="Times New Roman" w:hAnsiTheme="minorHAnsi"/>
                <w:b w:val="0"/>
                <w:iCs/>
                <w:color w:val="auto"/>
                <w:szCs w:val="17"/>
              </w:rPr>
              <w:t>Australia will continue to support the MPWTC through a second phase of R4D with a strong focus on capacity development and institutional reform at the national and municipal levels, improved road works planning and management, and fostering greater collaboration among Government agencies and with sector partners.</w:t>
            </w:r>
          </w:p>
        </w:tc>
      </w:tr>
      <w:tr w:rsidR="00147F0A" w:rsidRPr="007F70B4" w:rsidTr="00D8342B">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1.2 40% of farming households in the targeted area will experience a significant increase in income</w:t>
            </w:r>
          </w:p>
        </w:tc>
        <w:tc>
          <w:tcPr>
            <w:tcW w:w="741"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 xml:space="preserve">10% of households </w:t>
            </w:r>
          </w:p>
        </w:tc>
        <w:tc>
          <w:tcPr>
            <w:tcW w:w="447" w:type="pct"/>
            <w:shd w:val="clear" w:color="auto" w:fill="auto"/>
          </w:tcPr>
          <w:p w:rsidR="00147F0A" w:rsidRPr="00690511" w:rsidRDefault="00295FDE" w:rsidP="00690511">
            <w:pPr>
              <w:keepLines/>
              <w:spacing w:before="40" w:after="40" w:line="200" w:lineRule="atLeast"/>
              <w:rPr>
                <w:rFonts w:asciiTheme="minorHAnsi" w:eastAsia="Times New Roman" w:hAnsiTheme="minorHAnsi"/>
                <w:b w:val="0"/>
                <w:iCs/>
                <w:color w:val="auto"/>
                <w:szCs w:val="17"/>
                <w:highlight w:val="yellow"/>
                <w:lang w:eastAsia="en-US"/>
              </w:rPr>
            </w:pPr>
            <w:r w:rsidRPr="00690511">
              <w:rPr>
                <w:rFonts w:asciiTheme="minorHAnsi" w:eastAsia="Times New Roman" w:hAnsiTheme="minorHAnsi"/>
                <w:b w:val="0"/>
                <w:iCs/>
                <w:color w:val="auto"/>
                <w:szCs w:val="17"/>
              </w:rPr>
              <w:t>n/a</w:t>
            </w:r>
          </w:p>
        </w:tc>
        <w:tc>
          <w:tcPr>
            <w:tcW w:w="2825" w:type="pct"/>
          </w:tcPr>
          <w:p w:rsidR="00147F0A" w:rsidRPr="00275C88" w:rsidRDefault="00147F0A" w:rsidP="00295FDE">
            <w:pPr>
              <w:pStyle w:val="TableTextEntries"/>
              <w:keepNext/>
              <w:rPr>
                <w:rFonts w:asciiTheme="minorHAnsi" w:hAnsiTheme="minorHAnsi" w:cstheme="minorBidi"/>
                <w:b w:val="0"/>
                <w:lang w:val="en-GB" w:eastAsia="en-US"/>
              </w:rPr>
            </w:pPr>
            <w:r w:rsidRPr="00275C88">
              <w:rPr>
                <w:rFonts w:asciiTheme="minorHAnsi" w:hAnsiTheme="minorHAnsi" w:cstheme="minorBidi"/>
                <w:b w:val="0"/>
                <w:lang w:val="en-GB"/>
              </w:rPr>
              <w:t>DFAT’s new agricultural program (TOMAK) will focus on improving economic and market opportunities for rural households to generate income</w:t>
            </w:r>
            <w:r w:rsidR="00295FDE" w:rsidRPr="00275C88">
              <w:rPr>
                <w:rFonts w:asciiTheme="minorHAnsi" w:hAnsiTheme="minorHAnsi" w:cstheme="minorBidi"/>
                <w:b w:val="0"/>
                <w:lang w:val="en-GB"/>
              </w:rPr>
              <w:t xml:space="preserve"> and this benchmarks relates to TOMAK’s work in the future. </w:t>
            </w:r>
            <w:r w:rsidRPr="00275C88">
              <w:rPr>
                <w:rFonts w:asciiTheme="minorHAnsi" w:hAnsiTheme="minorHAnsi" w:cstheme="minorBidi"/>
                <w:b w:val="0"/>
                <w:lang w:val="en-GB"/>
              </w:rPr>
              <w:t xml:space="preserve"> TOMAK commenced in June 2016 and is currently undertaking an inception and research phase to build program foundations that will enable it to make future progress against this benchmark. </w:t>
            </w:r>
          </w:p>
        </w:tc>
      </w:tr>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95295A">
            <w:pPr>
              <w:keepLines/>
              <w:spacing w:before="40" w:after="40" w:line="200" w:lineRule="atLeast"/>
              <w:rPr>
                <w:rFonts w:asciiTheme="minorHAnsi" w:eastAsia="Times New Roman" w:hAnsiTheme="minorHAnsi"/>
                <w:iCs/>
                <w:color w:val="auto"/>
                <w:szCs w:val="17"/>
                <w:lang w:eastAsia="en-US"/>
              </w:rPr>
            </w:pPr>
            <w:r w:rsidRPr="00D8342B">
              <w:rPr>
                <w:rFonts w:asciiTheme="minorHAnsi" w:eastAsia="Times New Roman" w:hAnsiTheme="minorHAnsi"/>
                <w:iCs/>
                <w:color w:val="auto"/>
                <w:szCs w:val="17"/>
              </w:rPr>
              <w:t>Objective 2: Enhancing human development</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447"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2825" w:type="pct"/>
          </w:tcPr>
          <w:p w:rsidR="00147F0A" w:rsidRPr="00275C88" w:rsidRDefault="00147F0A" w:rsidP="0095295A">
            <w:pPr>
              <w:pStyle w:val="TableTextEntries"/>
              <w:keepNext/>
              <w:rPr>
                <w:rFonts w:asciiTheme="minorHAnsi" w:hAnsiTheme="minorHAnsi" w:cstheme="minorBidi"/>
                <w:b w:val="0"/>
                <w:lang w:val="en-GB" w:eastAsia="en-US"/>
              </w:rPr>
            </w:pPr>
          </w:p>
        </w:tc>
      </w:tr>
      <w:tr w:rsidR="00147F0A" w:rsidRPr="007F70B4" w:rsidTr="000974D9">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 xml:space="preserve">2.1 </w:t>
            </w:r>
            <w:r w:rsidR="00A03D4E" w:rsidRPr="00D8342B">
              <w:rPr>
                <w:rFonts w:asciiTheme="minorHAnsi" w:eastAsia="Times New Roman" w:hAnsiTheme="minorHAnsi"/>
                <w:b w:val="0"/>
                <w:iCs/>
                <w:color w:val="auto"/>
                <w:szCs w:val="17"/>
              </w:rPr>
              <w:t>5</w:t>
            </w:r>
            <w:r w:rsidRPr="00D8342B">
              <w:rPr>
                <w:rFonts w:asciiTheme="minorHAnsi" w:eastAsia="Times New Roman" w:hAnsiTheme="minorHAnsi"/>
                <w:b w:val="0"/>
                <w:iCs/>
                <w:color w:val="auto"/>
                <w:szCs w:val="17"/>
              </w:rPr>
              <w:t>,</w:t>
            </w:r>
            <w:r w:rsidR="00A03D4E" w:rsidRPr="00D8342B">
              <w:rPr>
                <w:rFonts w:asciiTheme="minorHAnsi" w:eastAsia="Times New Roman" w:hAnsiTheme="minorHAnsi"/>
                <w:b w:val="0"/>
                <w:iCs/>
                <w:color w:val="auto"/>
                <w:szCs w:val="17"/>
              </w:rPr>
              <w:t>7</w:t>
            </w:r>
            <w:r w:rsidRPr="00D8342B">
              <w:rPr>
                <w:rFonts w:asciiTheme="minorHAnsi" w:eastAsia="Times New Roman" w:hAnsiTheme="minorHAnsi"/>
                <w:b w:val="0"/>
                <w:iCs/>
                <w:color w:val="auto"/>
                <w:szCs w:val="17"/>
              </w:rPr>
              <w:t>00 additional women and girls affected by violence are accessing legal, medical and social support services</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1,</w:t>
            </w:r>
            <w:r w:rsidR="00B04B75" w:rsidRPr="00D8342B">
              <w:rPr>
                <w:rFonts w:asciiTheme="minorHAnsi" w:eastAsia="Times New Roman" w:hAnsiTheme="minorHAnsi"/>
                <w:b w:val="0"/>
                <w:iCs/>
                <w:color w:val="auto"/>
                <w:szCs w:val="17"/>
              </w:rPr>
              <w:t>0</w:t>
            </w:r>
            <w:r w:rsidRPr="00D8342B">
              <w:rPr>
                <w:rFonts w:asciiTheme="minorHAnsi" w:eastAsia="Times New Roman" w:hAnsiTheme="minorHAnsi"/>
                <w:b w:val="0"/>
                <w:iCs/>
                <w:color w:val="auto"/>
                <w:szCs w:val="17"/>
              </w:rPr>
              <w:t>00 women and girls</w:t>
            </w:r>
          </w:p>
        </w:tc>
        <w:tc>
          <w:tcPr>
            <w:tcW w:w="447" w:type="pct"/>
            <w:shd w:val="clear" w:color="auto" w:fill="7FB64D" w:themeFill="accent3" w:themeFillShade="BF"/>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2825" w:type="pct"/>
          </w:tcPr>
          <w:p w:rsidR="00147F0A" w:rsidRPr="00275C88" w:rsidRDefault="00A33124" w:rsidP="00D8342B">
            <w:pPr>
              <w:pStyle w:val="TableTextEntries"/>
              <w:keepNext/>
              <w:rPr>
                <w:rFonts w:asciiTheme="minorHAnsi" w:hAnsiTheme="minorHAnsi" w:cstheme="minorBidi"/>
                <w:b w:val="0"/>
                <w:lang w:val="en-GB" w:eastAsia="en-US"/>
              </w:rPr>
            </w:pPr>
            <w:r w:rsidRPr="00275C88">
              <w:rPr>
                <w:rFonts w:asciiTheme="minorHAnsi" w:hAnsiTheme="minorHAnsi" w:cstheme="minorBidi"/>
                <w:b w:val="0"/>
                <w:lang w:val="en-GB"/>
              </w:rPr>
              <w:t>1</w:t>
            </w:r>
            <w:r w:rsidR="000974D9">
              <w:rPr>
                <w:rFonts w:asciiTheme="minorHAnsi" w:hAnsiTheme="minorHAnsi" w:cstheme="minorBidi"/>
                <w:b w:val="0"/>
                <w:lang w:val="en-GB"/>
              </w:rPr>
              <w:t>,</w:t>
            </w:r>
            <w:r w:rsidRPr="00275C88">
              <w:rPr>
                <w:rFonts w:asciiTheme="minorHAnsi" w:hAnsiTheme="minorHAnsi" w:cstheme="minorBidi"/>
                <w:b w:val="0"/>
                <w:lang w:val="en-GB"/>
              </w:rPr>
              <w:t>120 additional women and girls affected by violence accessed legal, medical and social support services</w:t>
            </w:r>
            <w:r w:rsidRPr="00275C88">
              <w:rPr>
                <w:rFonts w:asciiTheme="minorHAnsi" w:hAnsiTheme="minorHAnsi" w:cstheme="minorBidi"/>
                <w:lang w:val="en-GB"/>
              </w:rPr>
              <w:t xml:space="preserve">. </w:t>
            </w:r>
          </w:p>
        </w:tc>
      </w:tr>
      <w:tr w:rsidR="00147F0A" w:rsidRPr="007F70B4" w:rsidTr="000974D9">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2.2 80% of village infrastructure built by the National Program for Village Development is rated ‘good’ against technical standards and assessments</w:t>
            </w:r>
          </w:p>
        </w:tc>
        <w:tc>
          <w:tcPr>
            <w:tcW w:w="741" w:type="pct"/>
          </w:tcPr>
          <w:p w:rsidR="00147F0A" w:rsidRPr="00D8342B" w:rsidRDefault="00147F0A" w:rsidP="00D04856">
            <w:pPr>
              <w:pStyle w:val="TableTextEntries"/>
              <w:keepNext/>
              <w:rPr>
                <w:rFonts w:asciiTheme="minorHAnsi" w:hAnsiTheme="minorHAnsi" w:cstheme="minorBidi"/>
                <w:b w:val="0"/>
                <w:lang w:val="en-GB" w:eastAsia="en-US"/>
              </w:rPr>
            </w:pPr>
            <w:r w:rsidRPr="00D8342B">
              <w:rPr>
                <w:rFonts w:asciiTheme="minorHAnsi" w:hAnsiTheme="minorHAnsi" w:cstheme="minorBidi"/>
                <w:b w:val="0"/>
                <w:lang w:val="en-GB"/>
              </w:rPr>
              <w:t xml:space="preserve">70% </w:t>
            </w:r>
          </w:p>
        </w:tc>
        <w:tc>
          <w:tcPr>
            <w:tcW w:w="447" w:type="pct"/>
            <w:shd w:val="clear" w:color="auto" w:fill="7FB64D" w:themeFill="accent3" w:themeFillShade="BF"/>
          </w:tcPr>
          <w:p w:rsidR="00147F0A" w:rsidRPr="00D8342B" w:rsidRDefault="00147F0A" w:rsidP="00D04856">
            <w:pPr>
              <w:pStyle w:val="TableTextEntries"/>
              <w:keepNext/>
              <w:rPr>
                <w:rFonts w:asciiTheme="minorHAnsi" w:hAnsiTheme="minorHAnsi" w:cstheme="minorBidi"/>
                <w:b w:val="0"/>
                <w:lang w:val="en-GB" w:eastAsia="en-US"/>
              </w:rPr>
            </w:pPr>
          </w:p>
        </w:tc>
        <w:tc>
          <w:tcPr>
            <w:tcW w:w="2825" w:type="pct"/>
          </w:tcPr>
          <w:p w:rsidR="00147F0A" w:rsidRPr="00D8342B" w:rsidRDefault="00147F0A" w:rsidP="00D04856">
            <w:pPr>
              <w:pStyle w:val="TableTextEntries"/>
              <w:keepNext/>
              <w:rPr>
                <w:rFonts w:asciiTheme="minorHAnsi" w:hAnsiTheme="minorHAnsi" w:cstheme="minorBidi"/>
                <w:b w:val="0"/>
                <w:lang w:val="en-GB" w:eastAsia="en-US"/>
              </w:rPr>
            </w:pPr>
            <w:r w:rsidRPr="00D8342B">
              <w:rPr>
                <w:rFonts w:asciiTheme="minorHAnsi" w:hAnsiTheme="minorHAnsi" w:cstheme="minorBidi"/>
                <w:b w:val="0"/>
                <w:lang w:val="en-GB"/>
              </w:rPr>
              <w:t>An independent technical audit in May 2016 found that 84% of infrastructure audited was rated as good in their overall construction quality. The audit criteria included assessment of projects against PNDS and national construction standards.</w:t>
            </w:r>
          </w:p>
        </w:tc>
      </w:tr>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2.3 157,000 additional men and women with improved access to clean water or exposure to sanitation and hygiene behavioural change programs which Australia has funded or co-funded</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23,000 men and women</w:t>
            </w:r>
          </w:p>
        </w:tc>
        <w:tc>
          <w:tcPr>
            <w:tcW w:w="447" w:type="pct"/>
            <w:shd w:val="clear" w:color="auto" w:fill="F7AA32"/>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2825" w:type="pct"/>
          </w:tcPr>
          <w:p w:rsidR="00147F0A" w:rsidRPr="00D8342B" w:rsidRDefault="00147F0A" w:rsidP="0095295A">
            <w:pPr>
              <w:pStyle w:val="TableTextEntries"/>
              <w:keepNext/>
              <w:rPr>
                <w:rFonts w:asciiTheme="minorHAnsi" w:hAnsiTheme="minorHAnsi" w:cstheme="minorBidi"/>
                <w:b w:val="0"/>
                <w:lang w:val="en-GB" w:eastAsia="en-US"/>
              </w:rPr>
            </w:pPr>
            <w:r w:rsidRPr="00D8342B">
              <w:rPr>
                <w:rFonts w:asciiTheme="minorHAnsi" w:hAnsiTheme="minorHAnsi" w:cstheme="minorBidi"/>
                <w:b w:val="0"/>
                <w:lang w:val="en-GB"/>
              </w:rPr>
              <w:t>DFAT reached a total of 21,775 people in 2015-16. This includes 9,400 additional people with access to improved water supply systems and 12,375 people with exposure to sanitation and hygiene behavioural change programs. The target was only partially achieved due to budget reductions.</w:t>
            </w:r>
          </w:p>
        </w:tc>
      </w:tr>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95295A">
            <w:pPr>
              <w:keepLines/>
              <w:spacing w:before="40" w:after="40" w:line="200" w:lineRule="atLeast"/>
              <w:rPr>
                <w:rFonts w:asciiTheme="minorHAnsi" w:eastAsia="Times New Roman" w:hAnsiTheme="minorHAnsi"/>
                <w:iCs/>
                <w:color w:val="auto"/>
                <w:szCs w:val="17"/>
                <w:lang w:eastAsia="en-US"/>
              </w:rPr>
            </w:pPr>
            <w:r w:rsidRPr="00D8342B">
              <w:rPr>
                <w:rFonts w:asciiTheme="minorHAnsi" w:eastAsia="Times New Roman" w:hAnsiTheme="minorHAnsi"/>
                <w:iCs/>
                <w:color w:val="auto"/>
                <w:szCs w:val="17"/>
              </w:rPr>
              <w:t>Objective 3: Strengthening governance and institutions</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447"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2825" w:type="pct"/>
          </w:tcPr>
          <w:p w:rsidR="00147F0A" w:rsidRPr="00D8342B" w:rsidRDefault="00147F0A" w:rsidP="0095295A">
            <w:pPr>
              <w:pStyle w:val="TableTextEntries"/>
              <w:keepNext/>
              <w:rPr>
                <w:rFonts w:asciiTheme="minorHAnsi" w:hAnsiTheme="minorHAnsi" w:cstheme="minorBidi"/>
                <w:b w:val="0"/>
                <w:lang w:val="en-GB" w:eastAsia="en-US"/>
              </w:rPr>
            </w:pPr>
          </w:p>
        </w:tc>
      </w:tr>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3.1 80% of the work units of the MoF are rated as a ‘B’ or higher</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65%</w:t>
            </w:r>
          </w:p>
        </w:tc>
        <w:tc>
          <w:tcPr>
            <w:tcW w:w="447" w:type="pct"/>
            <w:shd w:val="clear" w:color="auto" w:fill="F7AA32"/>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2825" w:type="pct"/>
          </w:tcPr>
          <w:p w:rsidR="00147F0A" w:rsidRPr="00D8342B" w:rsidRDefault="00F6047B" w:rsidP="00D8342B">
            <w:pPr>
              <w:pStyle w:val="TableTextEntries"/>
              <w:keepNext/>
              <w:rPr>
                <w:rFonts w:asciiTheme="minorHAnsi" w:hAnsiTheme="minorHAnsi" w:cstheme="minorBidi"/>
                <w:b w:val="0"/>
                <w:lang w:val="en-GB" w:eastAsia="en-US"/>
              </w:rPr>
            </w:pPr>
            <w:r w:rsidRPr="00D8342B">
              <w:rPr>
                <w:rFonts w:asciiTheme="minorHAnsi" w:hAnsiTheme="minorHAnsi" w:cstheme="minorBidi"/>
                <w:b w:val="0"/>
                <w:lang w:val="en-GB"/>
              </w:rPr>
              <w:t>The methodology for assessing MoF performance was streamlined and improved in 2015-16. MoF demonstrated improvements in the way that its internal areas worked by meeting new targets, such as financial statement compliance and risk-based planning in the internal audit team. However, not all targets were met</w:t>
            </w:r>
            <w:r w:rsidR="00A1377F">
              <w:rPr>
                <w:rFonts w:asciiTheme="minorHAnsi" w:hAnsiTheme="minorHAnsi" w:cstheme="minorBidi"/>
                <w:b w:val="0"/>
                <w:lang w:val="en-GB"/>
              </w:rPr>
              <w:t xml:space="preserve">. </w:t>
            </w:r>
          </w:p>
        </w:tc>
      </w:tr>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3.2 Improvements in the rating of police in a small set (4) of specific questions in a yearly national Community Perception Survey</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Improvement on 1 or more measures</w:t>
            </w:r>
          </w:p>
        </w:tc>
        <w:tc>
          <w:tcPr>
            <w:tcW w:w="447" w:type="pct"/>
            <w:shd w:val="clear" w:color="auto" w:fill="F7AA32"/>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2825" w:type="pct"/>
          </w:tcPr>
          <w:p w:rsidR="00147F0A" w:rsidRPr="00D8342B" w:rsidRDefault="00D22EFF" w:rsidP="006F02C8">
            <w:pPr>
              <w:suppressAutoHyphens w:val="0"/>
              <w:autoSpaceDE w:val="0"/>
              <w:autoSpaceDN w:val="0"/>
              <w:adjustRightInd w:val="0"/>
              <w:spacing w:before="0" w:after="0" w:line="240" w:lineRule="auto"/>
              <w:rPr>
                <w:rFonts w:asciiTheme="minorHAnsi" w:hAnsiTheme="minorHAnsi"/>
                <w:b w:val="0"/>
                <w:color w:val="auto"/>
                <w:szCs w:val="17"/>
                <w:lang w:eastAsia="en-US"/>
              </w:rPr>
            </w:pPr>
            <w:r w:rsidRPr="00D8342B">
              <w:rPr>
                <w:rFonts w:asciiTheme="minorHAnsi" w:hAnsiTheme="minorHAnsi"/>
                <w:b w:val="0"/>
                <w:color w:val="auto"/>
                <w:szCs w:val="17"/>
              </w:rPr>
              <w:t>TLPDP co-financed the</w:t>
            </w:r>
            <w:r w:rsidR="00B91AEC" w:rsidRPr="00D8342B">
              <w:rPr>
                <w:rFonts w:asciiTheme="minorHAnsi" w:hAnsiTheme="minorHAnsi"/>
                <w:b w:val="0"/>
                <w:color w:val="auto"/>
                <w:szCs w:val="17"/>
              </w:rPr>
              <w:t xml:space="preserve"> third </w:t>
            </w:r>
            <w:r w:rsidRPr="00D8342B">
              <w:rPr>
                <w:rFonts w:asciiTheme="minorHAnsi" w:hAnsiTheme="minorHAnsi"/>
                <w:b w:val="0"/>
                <w:color w:val="auto"/>
                <w:szCs w:val="17"/>
              </w:rPr>
              <w:t>Community Police Perceptions Study, undertaken by The Asia Foundation</w:t>
            </w:r>
            <w:r w:rsidR="00B91AEC" w:rsidRPr="00D8342B">
              <w:rPr>
                <w:rFonts w:asciiTheme="minorHAnsi" w:hAnsiTheme="minorHAnsi"/>
                <w:b w:val="0"/>
                <w:color w:val="auto"/>
                <w:szCs w:val="17"/>
              </w:rPr>
              <w:t xml:space="preserve"> in 2015</w:t>
            </w:r>
            <w:r w:rsidRPr="00D8342B">
              <w:rPr>
                <w:rFonts w:asciiTheme="minorHAnsi" w:hAnsiTheme="minorHAnsi"/>
                <w:b w:val="0"/>
                <w:color w:val="auto"/>
                <w:szCs w:val="17"/>
              </w:rPr>
              <w:t>.</w:t>
            </w:r>
            <w:r w:rsidR="00B91AEC" w:rsidRPr="00D8342B">
              <w:rPr>
                <w:rFonts w:asciiTheme="minorHAnsi" w:hAnsiTheme="minorHAnsi"/>
                <w:b w:val="0"/>
                <w:color w:val="auto"/>
                <w:szCs w:val="17"/>
              </w:rPr>
              <w:t xml:space="preserve"> TLPDP’s f</w:t>
            </w:r>
            <w:r w:rsidR="00B510E3" w:rsidRPr="00D8342B">
              <w:rPr>
                <w:rFonts w:asciiTheme="minorHAnsi" w:hAnsiTheme="minorHAnsi"/>
                <w:b w:val="0"/>
                <w:color w:val="auto"/>
                <w:szCs w:val="17"/>
                <w:lang w:eastAsia="en-US"/>
              </w:rPr>
              <w:t xml:space="preserve">inancing enabled the Australian </w:t>
            </w:r>
            <w:r w:rsidR="00B91AEC" w:rsidRPr="00D8342B">
              <w:rPr>
                <w:rFonts w:asciiTheme="minorHAnsi" w:hAnsiTheme="minorHAnsi"/>
                <w:b w:val="0"/>
                <w:color w:val="auto"/>
                <w:szCs w:val="17"/>
              </w:rPr>
              <w:t xml:space="preserve">Federal Police to add five specific questions to the survey </w:t>
            </w:r>
            <w:r w:rsidR="00B510E3" w:rsidRPr="00D8342B">
              <w:rPr>
                <w:rFonts w:asciiTheme="minorHAnsi" w:hAnsiTheme="minorHAnsi"/>
                <w:b w:val="0"/>
                <w:color w:val="auto"/>
                <w:szCs w:val="17"/>
                <w:lang w:eastAsia="en-US"/>
              </w:rPr>
              <w:t>around trust, gender police presence and</w:t>
            </w:r>
            <w:r w:rsidR="000974D9">
              <w:rPr>
                <w:rFonts w:asciiTheme="minorHAnsi" w:hAnsiTheme="minorHAnsi"/>
                <w:b w:val="0"/>
                <w:color w:val="auto"/>
                <w:szCs w:val="17"/>
                <w:lang w:eastAsia="en-US"/>
              </w:rPr>
              <w:t xml:space="preserve"> community</w:t>
            </w:r>
            <w:r w:rsidR="00B510E3" w:rsidRPr="00D8342B">
              <w:rPr>
                <w:rFonts w:asciiTheme="minorHAnsi" w:hAnsiTheme="minorHAnsi"/>
                <w:b w:val="0"/>
                <w:color w:val="auto"/>
                <w:szCs w:val="17"/>
                <w:lang w:eastAsia="en-US"/>
              </w:rPr>
              <w:t xml:space="preserve"> involvement. </w:t>
            </w:r>
            <w:r w:rsidR="00B91AEC" w:rsidRPr="00D8342B">
              <w:rPr>
                <w:rFonts w:asciiTheme="minorHAnsi" w:hAnsiTheme="minorHAnsi"/>
                <w:b w:val="0"/>
                <w:color w:val="auto"/>
                <w:szCs w:val="17"/>
              </w:rPr>
              <w:t xml:space="preserve">As this was the first time TLPDP specific questions were asked, the program was unable to judge </w:t>
            </w:r>
            <w:r w:rsidR="00B510E3" w:rsidRPr="00D8342B">
              <w:rPr>
                <w:rFonts w:asciiTheme="minorHAnsi" w:hAnsiTheme="minorHAnsi"/>
                <w:b w:val="0"/>
                <w:color w:val="auto"/>
                <w:szCs w:val="17"/>
                <w:lang w:eastAsia="en-US"/>
              </w:rPr>
              <w:t xml:space="preserve">year-on-year </w:t>
            </w:r>
            <w:r w:rsidR="00B91AEC" w:rsidRPr="00D8342B">
              <w:rPr>
                <w:rFonts w:asciiTheme="minorHAnsi" w:hAnsiTheme="minorHAnsi"/>
                <w:b w:val="0"/>
                <w:color w:val="auto"/>
                <w:szCs w:val="17"/>
              </w:rPr>
              <w:t>improvements</w:t>
            </w:r>
            <w:r w:rsidR="006005A2" w:rsidRPr="00D8342B">
              <w:rPr>
                <w:rFonts w:asciiTheme="minorHAnsi" w:hAnsiTheme="minorHAnsi"/>
                <w:b w:val="0"/>
                <w:color w:val="auto"/>
                <w:szCs w:val="17"/>
                <w:lang w:eastAsia="en-US"/>
              </w:rPr>
              <w:t xml:space="preserve"> in the reporting period</w:t>
            </w:r>
            <w:r w:rsidR="00B91AEC" w:rsidRPr="00D8342B">
              <w:rPr>
                <w:rFonts w:asciiTheme="minorHAnsi" w:hAnsiTheme="minorHAnsi"/>
                <w:b w:val="0"/>
                <w:color w:val="auto"/>
                <w:szCs w:val="17"/>
              </w:rPr>
              <w:t xml:space="preserve">. However, overall the study </w:t>
            </w:r>
            <w:r w:rsidR="007A40F5" w:rsidRPr="00D8342B">
              <w:rPr>
                <w:rFonts w:asciiTheme="minorHAnsi" w:hAnsiTheme="minorHAnsi"/>
                <w:b w:val="0"/>
                <w:color w:val="auto"/>
                <w:szCs w:val="17"/>
                <w:lang w:eastAsia="en-US"/>
              </w:rPr>
              <w:t xml:space="preserve">showed improvements in community perceptions of safety. 51% of the public reported feeling somewhat or very concerned about their safety, a drop of 13% from 2013. The </w:t>
            </w:r>
            <w:r w:rsidR="007A40F5" w:rsidRPr="00D8342B">
              <w:rPr>
                <w:rFonts w:asciiTheme="minorHAnsi" w:eastAsia="Times New Roman" w:hAnsiTheme="minorHAnsi"/>
                <w:b w:val="0"/>
                <w:color w:val="auto"/>
                <w:szCs w:val="17"/>
                <w:lang w:eastAsia="en-US"/>
              </w:rPr>
              <w:t>general public’s perception that citizens and police were working together to address security problems in their comm</w:t>
            </w:r>
            <w:r w:rsidR="007A40F5" w:rsidRPr="00D8342B">
              <w:rPr>
                <w:rFonts w:asciiTheme="minorHAnsi" w:hAnsiTheme="minorHAnsi"/>
                <w:b w:val="0"/>
                <w:color w:val="auto"/>
                <w:szCs w:val="17"/>
                <w:lang w:eastAsia="en-US"/>
              </w:rPr>
              <w:t>unity increased markedly to 84%</w:t>
            </w:r>
            <w:r w:rsidR="007A40F5" w:rsidRPr="00D8342B">
              <w:rPr>
                <w:rFonts w:asciiTheme="minorHAnsi" w:eastAsia="Times New Roman" w:hAnsiTheme="minorHAnsi"/>
                <w:b w:val="0"/>
                <w:color w:val="auto"/>
                <w:szCs w:val="17"/>
                <w:lang w:eastAsia="en-US"/>
              </w:rPr>
              <w:t xml:space="preserve"> in 2015</w:t>
            </w:r>
            <w:r w:rsidR="007A40F5" w:rsidRPr="00D8342B">
              <w:rPr>
                <w:rFonts w:asciiTheme="minorHAnsi" w:hAnsiTheme="minorHAnsi"/>
                <w:b w:val="0"/>
                <w:color w:val="auto"/>
                <w:szCs w:val="17"/>
                <w:lang w:eastAsia="en-US"/>
              </w:rPr>
              <w:t xml:space="preserve"> from 50% in 2015.  </w:t>
            </w:r>
            <w:r w:rsidR="00766B05" w:rsidRPr="00D8342B">
              <w:rPr>
                <w:rFonts w:asciiTheme="minorHAnsi" w:hAnsiTheme="minorHAnsi"/>
                <w:b w:val="0"/>
                <w:color w:val="auto"/>
                <w:szCs w:val="17"/>
                <w:lang w:eastAsia="en-US"/>
              </w:rPr>
              <w:t>V</w:t>
            </w:r>
            <w:r w:rsidR="00766B05" w:rsidRPr="00D8342B">
              <w:rPr>
                <w:rFonts w:asciiTheme="minorHAnsi" w:eastAsia="Times New Roman" w:hAnsiTheme="minorHAnsi"/>
                <w:b w:val="0"/>
                <w:color w:val="auto"/>
                <w:szCs w:val="17"/>
                <w:lang w:eastAsia="en-US"/>
              </w:rPr>
              <w:t xml:space="preserve">ictims </w:t>
            </w:r>
            <w:r w:rsidR="006005A2" w:rsidRPr="00D8342B">
              <w:rPr>
                <w:rFonts w:asciiTheme="minorHAnsi" w:eastAsia="Times New Roman" w:hAnsiTheme="minorHAnsi"/>
                <w:b w:val="0"/>
                <w:color w:val="auto"/>
                <w:szCs w:val="17"/>
                <w:lang w:eastAsia="en-US"/>
              </w:rPr>
              <w:t xml:space="preserve">are also </w:t>
            </w:r>
            <w:r w:rsidR="00766B05" w:rsidRPr="00D8342B">
              <w:rPr>
                <w:rFonts w:asciiTheme="minorHAnsi" w:eastAsia="Times New Roman" w:hAnsiTheme="minorHAnsi"/>
                <w:b w:val="0"/>
                <w:color w:val="auto"/>
                <w:szCs w:val="17"/>
                <w:lang w:eastAsia="en-US"/>
              </w:rPr>
              <w:t>more likely today than they were in 2013 to seek PNTL assistance in the first instance</w:t>
            </w:r>
            <w:r w:rsidR="006005A2" w:rsidRPr="00D8342B">
              <w:rPr>
                <w:rFonts w:asciiTheme="minorHAnsi" w:eastAsia="Times New Roman" w:hAnsiTheme="minorHAnsi"/>
                <w:b w:val="0"/>
                <w:color w:val="auto"/>
                <w:szCs w:val="17"/>
                <w:lang w:eastAsia="en-US"/>
              </w:rPr>
              <w:t xml:space="preserve"> with 99% of the general public reporting that they trusted the police. </w:t>
            </w:r>
          </w:p>
        </w:tc>
      </w:tr>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95295A">
            <w:pPr>
              <w:keepLines/>
              <w:spacing w:before="40" w:after="40" w:line="200" w:lineRule="atLeast"/>
              <w:rPr>
                <w:rFonts w:asciiTheme="minorHAnsi" w:eastAsia="Times New Roman" w:hAnsiTheme="minorHAnsi"/>
                <w:iCs/>
                <w:color w:val="auto"/>
                <w:szCs w:val="17"/>
                <w:lang w:eastAsia="en-US"/>
              </w:rPr>
            </w:pPr>
            <w:r w:rsidRPr="00D8342B">
              <w:rPr>
                <w:rFonts w:asciiTheme="minorHAnsi" w:eastAsia="Times New Roman" w:hAnsiTheme="minorHAnsi"/>
                <w:iCs/>
                <w:color w:val="auto"/>
                <w:szCs w:val="17"/>
              </w:rPr>
              <w:t>Multi-sector performance benchmark</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447"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p>
        </w:tc>
        <w:tc>
          <w:tcPr>
            <w:tcW w:w="2825" w:type="pct"/>
          </w:tcPr>
          <w:p w:rsidR="00147F0A" w:rsidRPr="00D8342B" w:rsidRDefault="00147F0A" w:rsidP="0095295A">
            <w:pPr>
              <w:pStyle w:val="TableTextEntries"/>
              <w:keepNext/>
              <w:rPr>
                <w:rFonts w:asciiTheme="minorHAnsi" w:hAnsiTheme="minorHAnsi" w:cstheme="minorBidi"/>
                <w:b w:val="0"/>
                <w:lang w:val="en-GB" w:eastAsia="en-US"/>
              </w:rPr>
            </w:pPr>
          </w:p>
        </w:tc>
      </w:tr>
      <w:tr w:rsidR="00147F0A" w:rsidRPr="007F70B4" w:rsidTr="006F02C8">
        <w:trPr>
          <w:cnfStyle w:val="100000000000" w:firstRow="1" w:lastRow="0" w:firstColumn="0" w:lastColumn="0" w:oddVBand="0" w:evenVBand="0" w:oddHBand="0" w:evenHBand="0" w:firstRowFirstColumn="0" w:firstRowLastColumn="0" w:lastRowFirstColumn="0" w:lastRowLastColumn="0"/>
        </w:trPr>
        <w:tc>
          <w:tcPr>
            <w:tcW w:w="987" w:type="pct"/>
          </w:tcPr>
          <w:p w:rsidR="00147F0A" w:rsidRPr="00D8342B" w:rsidRDefault="00147F0A" w:rsidP="00D04856">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By 2018-19, the prevalence of stunting among children 0-23 months in target sites reduces by 10% of 2015-16 prevalence</w:t>
            </w:r>
          </w:p>
        </w:tc>
        <w:tc>
          <w:tcPr>
            <w:tcW w:w="741"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n/a</w:t>
            </w:r>
          </w:p>
        </w:tc>
        <w:tc>
          <w:tcPr>
            <w:tcW w:w="447" w:type="pct"/>
          </w:tcPr>
          <w:p w:rsidR="00147F0A" w:rsidRPr="00D8342B" w:rsidRDefault="00147F0A" w:rsidP="0095295A">
            <w:pPr>
              <w:keepLines/>
              <w:spacing w:before="40" w:after="40" w:line="200" w:lineRule="atLeast"/>
              <w:rPr>
                <w:rFonts w:asciiTheme="minorHAnsi" w:eastAsia="Times New Roman" w:hAnsiTheme="minorHAnsi"/>
                <w:b w:val="0"/>
                <w:iCs/>
                <w:color w:val="auto"/>
                <w:szCs w:val="17"/>
                <w:lang w:eastAsia="en-US"/>
              </w:rPr>
            </w:pPr>
            <w:r w:rsidRPr="00D8342B">
              <w:rPr>
                <w:rFonts w:asciiTheme="minorHAnsi" w:eastAsia="Times New Roman" w:hAnsiTheme="minorHAnsi"/>
                <w:b w:val="0"/>
                <w:iCs/>
                <w:color w:val="auto"/>
                <w:szCs w:val="17"/>
              </w:rPr>
              <w:t>n/a</w:t>
            </w:r>
          </w:p>
        </w:tc>
        <w:tc>
          <w:tcPr>
            <w:tcW w:w="2825" w:type="pct"/>
          </w:tcPr>
          <w:p w:rsidR="00147F0A" w:rsidRPr="00D8342B" w:rsidRDefault="00147F0A" w:rsidP="008866A8">
            <w:pPr>
              <w:pStyle w:val="TableTextEntries"/>
              <w:keepNext/>
              <w:rPr>
                <w:rFonts w:asciiTheme="minorHAnsi" w:hAnsiTheme="minorHAnsi" w:cstheme="minorBidi"/>
                <w:b w:val="0"/>
                <w:lang w:val="en-GB" w:eastAsia="en-US"/>
              </w:rPr>
            </w:pPr>
            <w:r w:rsidRPr="00D8342B">
              <w:rPr>
                <w:rFonts w:asciiTheme="minorHAnsi" w:hAnsiTheme="minorHAnsi" w:cstheme="minorBidi"/>
                <w:b w:val="0"/>
                <w:lang w:val="en-GB"/>
              </w:rPr>
              <w:t xml:space="preserve">In 2015-16 Australia, in partnership with the </w:t>
            </w:r>
            <w:r w:rsidR="000502EE" w:rsidRPr="00D8342B">
              <w:rPr>
                <w:rFonts w:asciiTheme="minorHAnsi" w:hAnsiTheme="minorHAnsi" w:cstheme="minorBidi"/>
                <w:b w:val="0"/>
                <w:lang w:val="en-GB"/>
              </w:rPr>
              <w:t xml:space="preserve">Government of Timor-Leste </w:t>
            </w:r>
            <w:r w:rsidRPr="00D8342B">
              <w:rPr>
                <w:rFonts w:asciiTheme="minorHAnsi" w:hAnsiTheme="minorHAnsi" w:cstheme="minorBidi"/>
                <w:b w:val="0"/>
                <w:lang w:val="en-GB"/>
              </w:rPr>
              <w:t>and non-government organi</w:t>
            </w:r>
            <w:r w:rsidR="00A1377F">
              <w:rPr>
                <w:rFonts w:asciiTheme="minorHAnsi" w:hAnsiTheme="minorHAnsi" w:cstheme="minorBidi"/>
                <w:b w:val="0"/>
                <w:lang w:val="en-GB"/>
              </w:rPr>
              <w:t>s</w:t>
            </w:r>
            <w:r w:rsidRPr="00D8342B">
              <w:rPr>
                <w:rFonts w:asciiTheme="minorHAnsi" w:hAnsiTheme="minorHAnsi" w:cstheme="minorBidi"/>
                <w:b w:val="0"/>
                <w:lang w:val="en-GB"/>
              </w:rPr>
              <w:t>ations (international and local), commenced an innovative nutrition program based on collective action across a range of implementing partners. Piloted in Manufahi,</w:t>
            </w:r>
            <w:r w:rsidR="005C7EF8" w:rsidRPr="00D8342B">
              <w:rPr>
                <w:rFonts w:asciiTheme="minorHAnsi" w:hAnsiTheme="minorHAnsi" w:cstheme="minorBidi"/>
                <w:b w:val="0"/>
                <w:lang w:val="en-GB" w:eastAsia="en-US"/>
              </w:rPr>
              <w:t xml:space="preserve"> </w:t>
            </w:r>
            <w:r w:rsidRPr="00D8342B">
              <w:rPr>
                <w:rFonts w:asciiTheme="minorHAnsi" w:hAnsiTheme="minorHAnsi" w:cstheme="minorBidi"/>
                <w:b w:val="0"/>
                <w:lang w:val="en-GB"/>
              </w:rPr>
              <w:t>the program will build evidence on what are the barriers to good nutrition practices, and test a range of technologies to determine the key behaviour changes and messages required to improve household nutrition. This approach recognises the need for multi-sector and collaborative action to address malnutrition. The program is currently undertaking formative research</w:t>
            </w:r>
            <w:r w:rsidR="00994D07" w:rsidRPr="00D8342B">
              <w:rPr>
                <w:rFonts w:asciiTheme="minorHAnsi" w:hAnsiTheme="minorHAnsi" w:cstheme="minorBidi"/>
                <w:b w:val="0"/>
                <w:lang w:val="en-GB"/>
              </w:rPr>
              <w:t xml:space="preserve"> and baselines</w:t>
            </w:r>
            <w:r w:rsidRPr="00D8342B">
              <w:rPr>
                <w:rFonts w:asciiTheme="minorHAnsi" w:hAnsiTheme="minorHAnsi" w:cstheme="minorBidi"/>
                <w:b w:val="0"/>
                <w:lang w:val="en-GB"/>
              </w:rPr>
              <w:t xml:space="preserve"> until November 2016 when partners will begin delivering coordinated behaviour change messages.</w:t>
            </w:r>
          </w:p>
        </w:tc>
      </w:tr>
    </w:tbl>
    <w:p w:rsidR="00147F0A" w:rsidRPr="00A427C6" w:rsidRDefault="00147F0A" w:rsidP="00147F0A">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147F0A" w:rsidRPr="00A427C6" w:rsidRDefault="00147F0A" w:rsidP="00147F0A">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and the performance benchmark was achieved </w:t>
      </w:r>
    </w:p>
    <w:p w:rsidR="00147F0A" w:rsidRPr="00A427C6" w:rsidRDefault="00147F0A" w:rsidP="00147F0A">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towards achieving the performance benchmark, but progress was less than anticipated. </w:t>
      </w:r>
    </w:p>
    <w:p w:rsidR="00400B0F" w:rsidRDefault="00147F0A" w:rsidP="007C1B99">
      <w:pPr>
        <w:spacing w:before="20" w:after="20" w:line="180" w:lineRule="atLeast"/>
        <w:jc w:val="both"/>
        <w:rPr>
          <w:rFonts w:ascii="Franklin Gothic Book" w:eastAsia="Times New Roman" w:hAnsi="Franklin Gothic Book"/>
          <w:sz w:val="21"/>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significantly below expectations</w:t>
      </w:r>
    </w:p>
    <w:p w:rsidR="00400B0F" w:rsidRDefault="00400B0F">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rsidR="00400B0F" w:rsidRPr="00784031" w:rsidRDefault="00400B0F" w:rsidP="00784031">
      <w:pPr>
        <w:pStyle w:val="Subtitle"/>
        <w:numPr>
          <w:ilvl w:val="0"/>
          <w:numId w:val="0"/>
        </w:numPr>
      </w:pPr>
      <w:r w:rsidRPr="00726B4E">
        <w:t>Annex C - Evaluation Planning</w:t>
      </w:r>
    </w:p>
    <w:p w:rsidR="00400B0F" w:rsidRPr="008C2F58" w:rsidRDefault="00400B0F" w:rsidP="008C2F58">
      <w:pPr>
        <w:rPr>
          <w:b/>
          <w:sz w:val="24"/>
        </w:rPr>
      </w:pPr>
      <w:r w:rsidRPr="008C2F58">
        <w:rPr>
          <w:b/>
          <w:sz w:val="24"/>
        </w:rPr>
        <w:t xml:space="preserve">List of evaluations completed in the reporting period </w:t>
      </w:r>
    </w:p>
    <w:tbl>
      <w:tblPr>
        <w:tblStyle w:val="APPR"/>
        <w:tblW w:w="14453" w:type="dxa"/>
        <w:tblLayout w:type="fixed"/>
        <w:tblLook w:val="04A0" w:firstRow="1" w:lastRow="0" w:firstColumn="1" w:lastColumn="0" w:noHBand="0" w:noVBand="1"/>
        <w:tblCaption w:val="List of evaluations completed in the reporting period"/>
      </w:tblPr>
      <w:tblGrid>
        <w:gridCol w:w="3106"/>
        <w:gridCol w:w="4685"/>
        <w:gridCol w:w="1425"/>
        <w:gridCol w:w="1981"/>
        <w:gridCol w:w="1699"/>
        <w:gridCol w:w="1557"/>
      </w:tblGrid>
      <w:tr w:rsidR="00400B0F"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 xml:space="preserve">Investment number and name </w:t>
            </w:r>
          </w:p>
          <w:p w:rsidR="00400B0F" w:rsidRPr="00A427C6" w:rsidRDefault="00400B0F" w:rsidP="006F27B1">
            <w:pPr>
              <w:keepLines/>
              <w:spacing w:line="200" w:lineRule="atLeast"/>
              <w:rPr>
                <w:rFonts w:asciiTheme="minorHAnsi" w:eastAsia="Times New Roman" w:hAnsiTheme="minorHAnsi"/>
                <w:b w:val="0"/>
                <w:iCs/>
                <w:szCs w:val="17"/>
                <w:lang w:eastAsia="en-US"/>
              </w:rPr>
            </w:pPr>
            <w:r w:rsidRPr="00A427C6">
              <w:rPr>
                <w:rFonts w:asciiTheme="minorHAnsi" w:eastAsia="Times New Roman" w:hAnsiTheme="minorHAnsi"/>
                <w:iCs/>
                <w:szCs w:val="17"/>
                <w:lang w:eastAsia="en-US"/>
              </w:rPr>
              <w:t xml:space="preserve">(if applicable) </w:t>
            </w:r>
          </w:p>
        </w:tc>
        <w:tc>
          <w:tcPr>
            <w:tcW w:w="4657"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Name of evaluation</w:t>
            </w:r>
          </w:p>
        </w:tc>
        <w:tc>
          <w:tcPr>
            <w:tcW w:w="1397"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completed</w:t>
            </w:r>
          </w:p>
        </w:tc>
        <w:tc>
          <w:tcPr>
            <w:tcW w:w="1953"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Evaluation report Uploaded into AidWorks</w:t>
            </w:r>
          </w:p>
        </w:tc>
        <w:tc>
          <w:tcPr>
            <w:tcW w:w="1671"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Management response uploaded into AidWorks</w:t>
            </w:r>
          </w:p>
        </w:tc>
        <w:tc>
          <w:tcPr>
            <w:tcW w:w="1515" w:type="dxa"/>
          </w:tcPr>
          <w:p w:rsidR="00400B0F" w:rsidRPr="00A427C6" w:rsidRDefault="00400B0F" w:rsidP="006F27B1">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Published on website</w:t>
            </w:r>
          </w:p>
        </w:tc>
      </w:tr>
      <w:tr w:rsidR="00411609"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11609" w:rsidRPr="00411609" w:rsidRDefault="00411609">
            <w:pPr>
              <w:keepLines/>
              <w:spacing w:before="40" w:after="40" w:line="200" w:lineRule="atLeast"/>
              <w:rPr>
                <w:rFonts w:ascii="Calibri" w:hAnsi="Calibri" w:cs="Times New Roman"/>
                <w:b w:val="0"/>
                <w:iCs/>
                <w:color w:val="auto"/>
                <w:szCs w:val="17"/>
                <w:lang w:eastAsia="en-US"/>
              </w:rPr>
            </w:pPr>
            <w:r w:rsidRPr="00411609">
              <w:rPr>
                <w:rFonts w:ascii="Calibri Light" w:hAnsi="Calibri Light"/>
                <w:b w:val="0"/>
                <w:iCs/>
                <w:color w:val="auto"/>
                <w:szCs w:val="17"/>
              </w:rPr>
              <w:t xml:space="preserve">INK217 – BESIK </w:t>
            </w:r>
          </w:p>
        </w:tc>
        <w:tc>
          <w:tcPr>
            <w:tcW w:w="4657" w:type="dxa"/>
          </w:tcPr>
          <w:p w:rsidR="00411609" w:rsidRPr="00411609" w:rsidRDefault="00411609">
            <w:pPr>
              <w:keepLines/>
              <w:spacing w:before="40" w:after="40" w:line="200" w:lineRule="atLeast"/>
              <w:rPr>
                <w:rFonts w:ascii="Calibri" w:hAnsi="Calibri" w:cs="Times New Roman"/>
                <w:b w:val="0"/>
                <w:iCs/>
                <w:color w:val="auto"/>
                <w:szCs w:val="17"/>
                <w:lang w:eastAsia="en-US"/>
              </w:rPr>
            </w:pPr>
            <w:r w:rsidRPr="00411609">
              <w:rPr>
                <w:rFonts w:ascii="Calibri Light" w:hAnsi="Calibri Light"/>
                <w:b w:val="0"/>
                <w:iCs/>
                <w:color w:val="auto"/>
                <w:szCs w:val="17"/>
              </w:rPr>
              <w:t xml:space="preserve">BESIK – Final Monitoring and Review Group </w:t>
            </w:r>
          </w:p>
        </w:tc>
        <w:tc>
          <w:tcPr>
            <w:tcW w:w="1397" w:type="dxa"/>
          </w:tcPr>
          <w:p w:rsidR="00411609" w:rsidRPr="00411609" w:rsidRDefault="00411609">
            <w:pPr>
              <w:keepLines/>
              <w:spacing w:before="40" w:after="40" w:line="200" w:lineRule="atLeast"/>
              <w:rPr>
                <w:rFonts w:ascii="Calibri" w:hAnsi="Calibri" w:cs="Times New Roman"/>
                <w:b w:val="0"/>
                <w:iCs/>
                <w:color w:val="auto"/>
                <w:szCs w:val="17"/>
                <w:lang w:eastAsia="en-US"/>
              </w:rPr>
            </w:pPr>
            <w:r w:rsidRPr="00411609">
              <w:rPr>
                <w:rFonts w:ascii="Calibri Light" w:hAnsi="Calibri Light"/>
                <w:b w:val="0"/>
                <w:iCs/>
                <w:color w:val="auto"/>
                <w:szCs w:val="17"/>
              </w:rPr>
              <w:t>June 2016</w:t>
            </w:r>
          </w:p>
        </w:tc>
        <w:tc>
          <w:tcPr>
            <w:tcW w:w="1953" w:type="dxa"/>
          </w:tcPr>
          <w:p w:rsidR="00411609" w:rsidRPr="00411609" w:rsidRDefault="00411609">
            <w:pPr>
              <w:keepLines/>
              <w:spacing w:before="40" w:after="40" w:line="200" w:lineRule="atLeast"/>
              <w:rPr>
                <w:rFonts w:ascii="Calibri" w:hAnsi="Calibri" w:cs="Times New Roman"/>
                <w:b w:val="0"/>
                <w:iCs/>
                <w:color w:val="auto"/>
                <w:szCs w:val="17"/>
                <w:lang w:eastAsia="en-US"/>
              </w:rPr>
            </w:pPr>
            <w:r w:rsidRPr="00411609">
              <w:rPr>
                <w:rFonts w:ascii="Calibri" w:hAnsi="Calibri"/>
                <w:b w:val="0"/>
                <w:iCs/>
                <w:color w:val="auto"/>
                <w:szCs w:val="17"/>
              </w:rPr>
              <w:t>July 2016</w:t>
            </w:r>
          </w:p>
        </w:tc>
        <w:tc>
          <w:tcPr>
            <w:tcW w:w="1671" w:type="dxa"/>
          </w:tcPr>
          <w:p w:rsidR="00411609" w:rsidRPr="00411609" w:rsidRDefault="00411609">
            <w:pPr>
              <w:keepLines/>
              <w:spacing w:before="40" w:after="40" w:line="200" w:lineRule="atLeast"/>
              <w:rPr>
                <w:rFonts w:ascii="Calibri" w:hAnsi="Calibri" w:cs="Times New Roman"/>
                <w:b w:val="0"/>
                <w:iCs/>
                <w:color w:val="auto"/>
                <w:szCs w:val="17"/>
                <w:lang w:eastAsia="en-US"/>
              </w:rPr>
            </w:pPr>
            <w:r w:rsidRPr="00411609">
              <w:rPr>
                <w:rFonts w:ascii="Calibri Light" w:hAnsi="Calibri Light"/>
                <w:b w:val="0"/>
                <w:iCs/>
                <w:color w:val="auto"/>
                <w:szCs w:val="17"/>
              </w:rPr>
              <w:t xml:space="preserve"> July 2016</w:t>
            </w:r>
          </w:p>
        </w:tc>
        <w:tc>
          <w:tcPr>
            <w:tcW w:w="1515" w:type="dxa"/>
          </w:tcPr>
          <w:p w:rsidR="00411609" w:rsidRPr="00411609" w:rsidRDefault="00411609">
            <w:pPr>
              <w:keepLines/>
              <w:spacing w:before="40" w:after="40" w:line="200" w:lineRule="atLeast"/>
              <w:rPr>
                <w:rFonts w:ascii="Calibri" w:hAnsi="Calibri" w:cs="Times New Roman"/>
                <w:b w:val="0"/>
                <w:iCs/>
                <w:color w:val="auto"/>
                <w:szCs w:val="17"/>
                <w:lang w:eastAsia="en-US"/>
              </w:rPr>
            </w:pPr>
            <w:r w:rsidRPr="00411609">
              <w:rPr>
                <w:rFonts w:ascii="Calibri Light" w:hAnsi="Calibri Light"/>
                <w:b w:val="0"/>
                <w:iCs/>
                <w:color w:val="auto"/>
                <w:szCs w:val="17"/>
              </w:rPr>
              <w:t>September 2016</w:t>
            </w:r>
          </w:p>
        </w:tc>
      </w:tr>
      <w:tr w:rsidR="00411609"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 xml:space="preserve">INL113 (INI998) – Market Development Facility </w:t>
            </w:r>
            <w:r>
              <w:rPr>
                <w:rFonts w:ascii="Calibri Light" w:hAnsi="Calibri Light"/>
                <w:b w:val="0"/>
                <w:iCs/>
                <w:color w:val="auto"/>
                <w:szCs w:val="17"/>
              </w:rPr>
              <w:t xml:space="preserve">(multi-country review) </w:t>
            </w:r>
          </w:p>
        </w:tc>
        <w:tc>
          <w:tcPr>
            <w:tcW w:w="4657"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 xml:space="preserve">Market Development Facility – Mid-Term Review </w:t>
            </w:r>
          </w:p>
        </w:tc>
        <w:tc>
          <w:tcPr>
            <w:tcW w:w="1397"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December 2015</w:t>
            </w:r>
          </w:p>
        </w:tc>
        <w:tc>
          <w:tcPr>
            <w:tcW w:w="1953"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August 2016</w:t>
            </w:r>
          </w:p>
        </w:tc>
        <w:tc>
          <w:tcPr>
            <w:tcW w:w="1671"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not yet</w:t>
            </w:r>
          </w:p>
        </w:tc>
        <w:tc>
          <w:tcPr>
            <w:tcW w:w="1515"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not yet</w:t>
            </w:r>
          </w:p>
        </w:tc>
      </w:tr>
      <w:tr w:rsidR="00411609"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INK784 - National Program for Village Development</w:t>
            </w:r>
          </w:p>
        </w:tc>
        <w:tc>
          <w:tcPr>
            <w:tcW w:w="4657" w:type="dxa"/>
          </w:tcPr>
          <w:p w:rsidR="00411609" w:rsidRPr="00411609" w:rsidRDefault="00411609">
            <w:pPr>
              <w:keepLines/>
              <w:spacing w:before="40" w:after="40" w:line="200" w:lineRule="atLeast"/>
              <w:rPr>
                <w:rFonts w:ascii="Calibri Light" w:hAnsi="Calibri Light"/>
                <w:b w:val="0"/>
                <w:iCs/>
                <w:color w:val="auto"/>
                <w:szCs w:val="17"/>
              </w:rPr>
            </w:pPr>
            <w:r w:rsidRPr="00411609">
              <w:rPr>
                <w:rFonts w:ascii="Calibri Light" w:hAnsi="Calibri Light"/>
                <w:b w:val="0"/>
                <w:iCs/>
                <w:color w:val="auto"/>
                <w:szCs w:val="17"/>
              </w:rPr>
              <w:t>National Program for Village Development Support Program</w:t>
            </w:r>
          </w:p>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 xml:space="preserve">(PNDS-SP)- Monitoring and Review Group Visit 3 (focussing on gender and social inclusion) </w:t>
            </w:r>
          </w:p>
        </w:tc>
        <w:tc>
          <w:tcPr>
            <w:tcW w:w="1397"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May 2016</w:t>
            </w:r>
          </w:p>
        </w:tc>
        <w:tc>
          <w:tcPr>
            <w:tcW w:w="1953"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August 2016</w:t>
            </w:r>
          </w:p>
        </w:tc>
        <w:tc>
          <w:tcPr>
            <w:tcW w:w="1671"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September 2016</w:t>
            </w:r>
          </w:p>
        </w:tc>
        <w:tc>
          <w:tcPr>
            <w:tcW w:w="1515" w:type="dxa"/>
          </w:tcPr>
          <w:p w:rsidR="00411609" w:rsidRPr="00411609" w:rsidRDefault="00411609">
            <w:pPr>
              <w:keepLines/>
              <w:spacing w:before="40" w:after="40" w:line="200" w:lineRule="atLeast"/>
              <w:rPr>
                <w:rFonts w:ascii="Calibri Light" w:hAnsi="Calibri Light" w:cs="Times New Roman"/>
                <w:b w:val="0"/>
                <w:iCs/>
                <w:color w:val="auto"/>
                <w:szCs w:val="17"/>
              </w:rPr>
            </w:pPr>
            <w:r w:rsidRPr="00411609">
              <w:rPr>
                <w:rFonts w:ascii="Calibri Light" w:hAnsi="Calibri Light"/>
                <w:b w:val="0"/>
                <w:iCs/>
                <w:color w:val="auto"/>
                <w:szCs w:val="17"/>
              </w:rPr>
              <w:t>September 2016</w:t>
            </w:r>
          </w:p>
        </w:tc>
      </w:tr>
    </w:tbl>
    <w:p w:rsidR="008C2F58" w:rsidRDefault="008C2F58" w:rsidP="008C2F58">
      <w:pPr>
        <w:rPr>
          <w:b/>
          <w:sz w:val="24"/>
        </w:rPr>
      </w:pPr>
    </w:p>
    <w:p w:rsidR="00400B0F" w:rsidRPr="008C2F58" w:rsidRDefault="00400B0F" w:rsidP="008C2F58">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Caption w:val="List of program prioritised evaluations planned for the next twelve months"/>
      </w:tblPr>
      <w:tblGrid>
        <w:gridCol w:w="2514"/>
        <w:gridCol w:w="2409"/>
        <w:gridCol w:w="2487"/>
        <w:gridCol w:w="2255"/>
        <w:gridCol w:w="2376"/>
        <w:gridCol w:w="2404"/>
      </w:tblGrid>
      <w:tr w:rsidR="00400B0F" w:rsidRPr="00C61187" w:rsidTr="006F27B1">
        <w:tc>
          <w:tcPr>
            <w:tcW w:w="2472" w:type="dxa"/>
          </w:tcPr>
          <w:p w:rsidR="00400B0F" w:rsidRPr="00D8342B" w:rsidRDefault="00400B0F" w:rsidP="006F27B1">
            <w:pPr>
              <w:keepLines/>
              <w:spacing w:before="80" w:after="80" w:line="200" w:lineRule="atLeast"/>
              <w:rPr>
                <w:rFonts w:asciiTheme="minorHAnsi" w:eastAsia="Times New Roman" w:hAnsiTheme="minorHAnsi"/>
                <w:b/>
                <w:iCs/>
                <w:color w:val="auto"/>
                <w:szCs w:val="17"/>
                <w:lang w:eastAsia="en-US"/>
              </w:rPr>
            </w:pPr>
            <w:r w:rsidRPr="00D8342B">
              <w:rPr>
                <w:rFonts w:asciiTheme="minorHAnsi" w:eastAsia="Times New Roman" w:hAnsiTheme="minorHAnsi"/>
                <w:b/>
                <w:iCs/>
                <w:color w:val="auto"/>
                <w:szCs w:val="17"/>
                <w:lang w:eastAsia="en-US"/>
              </w:rPr>
              <w:t>Evaluation title</w:t>
            </w:r>
          </w:p>
        </w:tc>
        <w:tc>
          <w:tcPr>
            <w:tcW w:w="2381" w:type="dxa"/>
          </w:tcPr>
          <w:p w:rsidR="00400B0F" w:rsidRPr="00D8342B" w:rsidRDefault="00400B0F" w:rsidP="006F27B1">
            <w:pPr>
              <w:keepLines/>
              <w:spacing w:before="80" w:after="80" w:line="200" w:lineRule="atLeast"/>
              <w:rPr>
                <w:rFonts w:asciiTheme="minorHAnsi" w:eastAsia="Times New Roman" w:hAnsiTheme="minorHAnsi"/>
                <w:b/>
                <w:iCs/>
                <w:color w:val="auto"/>
                <w:szCs w:val="17"/>
                <w:lang w:eastAsia="en-US"/>
              </w:rPr>
            </w:pPr>
            <w:r w:rsidRPr="00D8342B">
              <w:rPr>
                <w:rFonts w:asciiTheme="minorHAnsi" w:eastAsia="Times New Roman" w:hAnsiTheme="minorHAnsi"/>
                <w:b/>
                <w:iCs/>
                <w:color w:val="auto"/>
                <w:szCs w:val="17"/>
                <w:lang w:eastAsia="en-US"/>
              </w:rPr>
              <w:t xml:space="preserve">Investment number and name (if applicable) </w:t>
            </w:r>
          </w:p>
        </w:tc>
        <w:tc>
          <w:tcPr>
            <w:tcW w:w="2459" w:type="dxa"/>
          </w:tcPr>
          <w:p w:rsidR="00400B0F" w:rsidRPr="00D8342B" w:rsidRDefault="00400B0F" w:rsidP="006F27B1">
            <w:pPr>
              <w:keepLines/>
              <w:spacing w:before="80" w:after="80" w:line="200" w:lineRule="atLeast"/>
              <w:rPr>
                <w:rFonts w:asciiTheme="minorHAnsi" w:eastAsia="Times New Roman" w:hAnsiTheme="minorHAnsi"/>
                <w:b/>
                <w:iCs/>
                <w:color w:val="auto"/>
                <w:szCs w:val="17"/>
                <w:lang w:eastAsia="en-US"/>
              </w:rPr>
            </w:pPr>
            <w:r w:rsidRPr="00D8342B">
              <w:rPr>
                <w:rFonts w:asciiTheme="minorHAnsi" w:eastAsia="Times New Roman" w:hAnsiTheme="minorHAnsi"/>
                <w:b/>
                <w:iCs/>
                <w:color w:val="auto"/>
                <w:szCs w:val="17"/>
                <w:lang w:eastAsia="en-US"/>
              </w:rPr>
              <w:t>Date – planned commencement (month/year)</w:t>
            </w:r>
          </w:p>
        </w:tc>
        <w:tc>
          <w:tcPr>
            <w:tcW w:w="2227" w:type="dxa"/>
          </w:tcPr>
          <w:p w:rsidR="00400B0F" w:rsidRPr="00D8342B" w:rsidRDefault="00400B0F" w:rsidP="006F27B1">
            <w:pPr>
              <w:keepLines/>
              <w:spacing w:before="80" w:after="80" w:line="200" w:lineRule="atLeast"/>
              <w:rPr>
                <w:rFonts w:asciiTheme="minorHAnsi" w:eastAsia="Times New Roman" w:hAnsiTheme="minorHAnsi"/>
                <w:b/>
                <w:iCs/>
                <w:color w:val="auto"/>
                <w:szCs w:val="17"/>
                <w:lang w:eastAsia="en-US"/>
              </w:rPr>
            </w:pPr>
            <w:r w:rsidRPr="00D8342B">
              <w:rPr>
                <w:rFonts w:asciiTheme="minorHAnsi" w:eastAsia="Times New Roman" w:hAnsiTheme="minorHAnsi"/>
                <w:b/>
                <w:iCs/>
                <w:color w:val="auto"/>
                <w:szCs w:val="17"/>
                <w:lang w:eastAsia="en-US"/>
              </w:rPr>
              <w:t>Date – planned completion (month/year)</w:t>
            </w:r>
          </w:p>
        </w:tc>
        <w:tc>
          <w:tcPr>
            <w:tcW w:w="2348" w:type="dxa"/>
          </w:tcPr>
          <w:p w:rsidR="00400B0F" w:rsidRPr="00D8342B" w:rsidRDefault="00400B0F" w:rsidP="006F27B1">
            <w:pPr>
              <w:keepLines/>
              <w:spacing w:before="80" w:after="80" w:line="200" w:lineRule="atLeast"/>
              <w:rPr>
                <w:rFonts w:asciiTheme="minorHAnsi" w:eastAsia="Times New Roman" w:hAnsiTheme="minorHAnsi"/>
                <w:b/>
                <w:iCs/>
                <w:color w:val="auto"/>
                <w:szCs w:val="17"/>
                <w:lang w:eastAsia="en-US"/>
              </w:rPr>
            </w:pPr>
            <w:r w:rsidRPr="00D8342B">
              <w:rPr>
                <w:rFonts w:asciiTheme="minorHAnsi" w:eastAsia="Times New Roman" w:hAnsiTheme="minorHAnsi"/>
                <w:b/>
                <w:iCs/>
                <w:color w:val="auto"/>
                <w:szCs w:val="17"/>
                <w:lang w:eastAsia="en-US"/>
              </w:rPr>
              <w:t>Purpose of evaluation</w:t>
            </w:r>
          </w:p>
        </w:tc>
        <w:tc>
          <w:tcPr>
            <w:tcW w:w="2362" w:type="dxa"/>
          </w:tcPr>
          <w:p w:rsidR="00400B0F" w:rsidRPr="00D8342B" w:rsidRDefault="00400B0F" w:rsidP="006F27B1">
            <w:pPr>
              <w:keepLines/>
              <w:spacing w:before="80" w:after="80" w:line="200" w:lineRule="atLeast"/>
              <w:rPr>
                <w:rFonts w:asciiTheme="minorHAnsi" w:eastAsia="Times New Roman" w:hAnsiTheme="minorHAnsi"/>
                <w:b/>
                <w:iCs/>
                <w:color w:val="auto"/>
                <w:szCs w:val="17"/>
                <w:lang w:eastAsia="en-US"/>
              </w:rPr>
            </w:pPr>
            <w:r w:rsidRPr="00D8342B">
              <w:rPr>
                <w:rFonts w:asciiTheme="minorHAnsi" w:eastAsia="Times New Roman" w:hAnsiTheme="minorHAnsi"/>
                <w:b/>
                <w:iCs/>
                <w:color w:val="auto"/>
                <w:szCs w:val="17"/>
                <w:lang w:eastAsia="en-US"/>
              </w:rPr>
              <w:t>Evaluation type</w:t>
            </w:r>
          </w:p>
        </w:tc>
      </w:tr>
      <w:tr w:rsidR="003E11F8" w:rsidRPr="001B7052" w:rsidTr="006F27B1">
        <w:tc>
          <w:tcPr>
            <w:tcW w:w="2472" w:type="dxa"/>
          </w:tcPr>
          <w:p w:rsidR="003E11F8" w:rsidRPr="00D8342B" w:rsidRDefault="003E11F8" w:rsidP="00D8342B">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 xml:space="preserve">Teacher Quality </w:t>
            </w:r>
            <w:r w:rsidR="00583F9A">
              <w:rPr>
                <w:rFonts w:ascii="Calibri Light" w:hAnsi="Calibri Light"/>
                <w:iCs/>
                <w:color w:val="auto"/>
                <w:szCs w:val="17"/>
              </w:rPr>
              <w:t>Longitudinal A</w:t>
            </w:r>
            <w:r w:rsidRPr="00D8342B">
              <w:rPr>
                <w:rFonts w:ascii="Calibri Light" w:hAnsi="Calibri Light"/>
                <w:iCs/>
                <w:color w:val="auto"/>
                <w:szCs w:val="17"/>
              </w:rPr>
              <w:t>ssessment</w:t>
            </w:r>
            <w:r w:rsidR="00583F9A">
              <w:rPr>
                <w:rFonts w:ascii="Calibri Light" w:hAnsi="Calibri Light"/>
                <w:iCs/>
                <w:color w:val="auto"/>
                <w:szCs w:val="17"/>
              </w:rPr>
              <w:t xml:space="preserve"> </w:t>
            </w:r>
            <w:r w:rsidRPr="00D8342B">
              <w:rPr>
                <w:rFonts w:ascii="Calibri Light" w:hAnsi="Calibri Light"/>
                <w:iCs/>
                <w:color w:val="auto"/>
                <w:szCs w:val="17"/>
              </w:rPr>
              <w:t>(working with ODE)</w:t>
            </w:r>
          </w:p>
        </w:tc>
        <w:tc>
          <w:tcPr>
            <w:tcW w:w="2381" w:type="dxa"/>
          </w:tcPr>
          <w:p w:rsidR="003E11F8" w:rsidRPr="00D8342B" w:rsidRDefault="0034183E" w:rsidP="0034183E">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 xml:space="preserve">INL910 - </w:t>
            </w:r>
            <w:r w:rsidR="003E11F8" w:rsidRPr="00D8342B">
              <w:rPr>
                <w:rFonts w:ascii="Calibri Light" w:hAnsi="Calibri Light"/>
                <w:iCs/>
                <w:color w:val="auto"/>
                <w:szCs w:val="17"/>
              </w:rPr>
              <w:t>Timor-L</w:t>
            </w:r>
            <w:r w:rsidRPr="00D8342B">
              <w:rPr>
                <w:rFonts w:ascii="Calibri Light" w:hAnsi="Calibri Light"/>
                <w:iCs/>
                <w:color w:val="auto"/>
                <w:szCs w:val="17"/>
              </w:rPr>
              <w:t>este Human Development Program</w:t>
            </w:r>
          </w:p>
        </w:tc>
        <w:tc>
          <w:tcPr>
            <w:tcW w:w="2459" w:type="dxa"/>
          </w:tcPr>
          <w:p w:rsidR="003E11F8" w:rsidRPr="00D8342B" w:rsidRDefault="003E11F8">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October 2016</w:t>
            </w:r>
          </w:p>
        </w:tc>
        <w:tc>
          <w:tcPr>
            <w:tcW w:w="2227" w:type="dxa"/>
          </w:tcPr>
          <w:p w:rsidR="003E11F8" w:rsidRPr="00D8342B" w:rsidRDefault="003E11F8">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June 2019</w:t>
            </w:r>
          </w:p>
        </w:tc>
        <w:tc>
          <w:tcPr>
            <w:tcW w:w="2348" w:type="dxa"/>
          </w:tcPr>
          <w:p w:rsidR="003E11F8" w:rsidRPr="00D8342B" w:rsidRDefault="003E11F8">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Assess results</w:t>
            </w:r>
          </w:p>
        </w:tc>
        <w:tc>
          <w:tcPr>
            <w:tcW w:w="2362" w:type="dxa"/>
          </w:tcPr>
          <w:p w:rsidR="003E11F8" w:rsidRPr="00D8342B" w:rsidRDefault="003E11F8">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DFAT led, in partnership with TL Ministry of Education</w:t>
            </w:r>
          </w:p>
        </w:tc>
      </w:tr>
      <w:tr w:rsidR="00061F06" w:rsidRPr="00D5780C" w:rsidTr="006F27B1">
        <w:tc>
          <w:tcPr>
            <w:tcW w:w="2472" w:type="dxa"/>
          </w:tcPr>
          <w:p w:rsidR="00061F06" w:rsidRPr="00D8342B" w:rsidRDefault="00061F06">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TLPDP 2014-18- Mid Term Review</w:t>
            </w:r>
          </w:p>
        </w:tc>
        <w:tc>
          <w:tcPr>
            <w:tcW w:w="2381" w:type="dxa"/>
          </w:tcPr>
          <w:p w:rsidR="00061F06" w:rsidRPr="00D8342B" w:rsidRDefault="001C19AE">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 xml:space="preserve">Not applicable </w:t>
            </w:r>
          </w:p>
        </w:tc>
        <w:tc>
          <w:tcPr>
            <w:tcW w:w="2459" w:type="dxa"/>
          </w:tcPr>
          <w:p w:rsidR="00061F06" w:rsidRPr="00D8342B" w:rsidRDefault="00061F06" w:rsidP="0004008E">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November 2016</w:t>
            </w:r>
          </w:p>
        </w:tc>
        <w:tc>
          <w:tcPr>
            <w:tcW w:w="2227" w:type="dxa"/>
          </w:tcPr>
          <w:p w:rsidR="00061F06" w:rsidRPr="00D8342B" w:rsidRDefault="00061F06" w:rsidP="0004008E">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November 2016</w:t>
            </w:r>
          </w:p>
        </w:tc>
        <w:tc>
          <w:tcPr>
            <w:tcW w:w="2348" w:type="dxa"/>
          </w:tcPr>
          <w:p w:rsidR="00061F06" w:rsidRPr="00D8342B" w:rsidRDefault="00061F06">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To improve existing program and to verify program outcomes.</w:t>
            </w:r>
          </w:p>
        </w:tc>
        <w:tc>
          <w:tcPr>
            <w:tcW w:w="2362" w:type="dxa"/>
          </w:tcPr>
          <w:p w:rsidR="00061F06" w:rsidRPr="00D8342B" w:rsidRDefault="009D0336" w:rsidP="00637ADB">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 xml:space="preserve">AFP led, in partnership </w:t>
            </w:r>
            <w:r w:rsidR="00637ADB">
              <w:rPr>
                <w:rFonts w:ascii="Calibri Light" w:hAnsi="Calibri Light"/>
                <w:iCs/>
                <w:color w:val="auto"/>
                <w:szCs w:val="17"/>
              </w:rPr>
              <w:t>with</w:t>
            </w:r>
            <w:r w:rsidRPr="00D8342B">
              <w:rPr>
                <w:rFonts w:ascii="Calibri Light" w:hAnsi="Calibri Light"/>
                <w:iCs/>
                <w:color w:val="auto"/>
                <w:szCs w:val="17"/>
              </w:rPr>
              <w:t xml:space="preserve"> PDP</w:t>
            </w:r>
          </w:p>
        </w:tc>
      </w:tr>
      <w:tr w:rsidR="00BA00AC" w:rsidRPr="00D5780C" w:rsidTr="006F27B1">
        <w:tc>
          <w:tcPr>
            <w:tcW w:w="2472" w:type="dxa"/>
          </w:tcPr>
          <w:p w:rsidR="00BA00AC" w:rsidRPr="00D8342B" w:rsidRDefault="00BA00AC">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PNDS Support Program</w:t>
            </w:r>
            <w:r>
              <w:rPr>
                <w:rFonts w:ascii="Calibri Light" w:hAnsi="Calibri Light"/>
                <w:iCs/>
                <w:color w:val="auto"/>
                <w:szCs w:val="17"/>
              </w:rPr>
              <w:t xml:space="preserve"> Mid Term Review</w:t>
            </w:r>
          </w:p>
          <w:p w:rsidR="00BA00AC" w:rsidRPr="00D8342B" w:rsidRDefault="00BA00AC">
            <w:pPr>
              <w:keepLines/>
              <w:spacing w:before="40" w:after="40" w:line="200" w:lineRule="atLeast"/>
              <w:rPr>
                <w:rFonts w:ascii="Calibri Light" w:hAnsi="Calibri Light"/>
                <w:iCs/>
                <w:color w:val="auto"/>
                <w:szCs w:val="17"/>
              </w:rPr>
            </w:pPr>
          </w:p>
        </w:tc>
        <w:tc>
          <w:tcPr>
            <w:tcW w:w="2381" w:type="dxa"/>
          </w:tcPr>
          <w:p w:rsidR="00BA00AC" w:rsidRPr="00D8342B" w:rsidRDefault="00BA00AC">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IN784</w:t>
            </w:r>
            <w:r>
              <w:rPr>
                <w:rFonts w:ascii="Calibri Light" w:hAnsi="Calibri Light"/>
                <w:iCs/>
                <w:color w:val="auto"/>
                <w:szCs w:val="17"/>
              </w:rPr>
              <w:t xml:space="preserve"> </w:t>
            </w:r>
            <w:r w:rsidRPr="00D8342B">
              <w:rPr>
                <w:rFonts w:ascii="Calibri Light" w:hAnsi="Calibri Light"/>
                <w:iCs/>
                <w:color w:val="auto"/>
                <w:szCs w:val="17"/>
              </w:rPr>
              <w:t>- National Program for Village Development</w:t>
            </w:r>
          </w:p>
        </w:tc>
        <w:tc>
          <w:tcPr>
            <w:tcW w:w="2459" w:type="dxa"/>
          </w:tcPr>
          <w:p w:rsidR="00BA00AC" w:rsidRPr="00D8342B" w:rsidRDefault="00BA00AC">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November 2016</w:t>
            </w:r>
          </w:p>
        </w:tc>
        <w:tc>
          <w:tcPr>
            <w:tcW w:w="2227" w:type="dxa"/>
          </w:tcPr>
          <w:p w:rsidR="00BA00AC" w:rsidRPr="00D8342B" w:rsidRDefault="00BA00AC">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November 2016</w:t>
            </w:r>
          </w:p>
        </w:tc>
        <w:tc>
          <w:tcPr>
            <w:tcW w:w="2348" w:type="dxa"/>
          </w:tcPr>
          <w:p w:rsidR="00BA00AC" w:rsidRPr="00D8342B" w:rsidRDefault="00BA00AC">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To provide recommendations for second phase</w:t>
            </w:r>
          </w:p>
        </w:tc>
        <w:tc>
          <w:tcPr>
            <w:tcW w:w="2362" w:type="dxa"/>
          </w:tcPr>
          <w:p w:rsidR="00BA00AC" w:rsidRPr="00BA00AC" w:rsidRDefault="00BA00AC">
            <w:pPr>
              <w:keepLines/>
              <w:spacing w:before="40" w:after="40" w:line="200" w:lineRule="atLeast"/>
              <w:rPr>
                <w:rFonts w:ascii="Calibri Light" w:hAnsi="Calibri Light" w:cs="Times New Roman"/>
                <w:iCs/>
                <w:color w:val="auto"/>
                <w:szCs w:val="17"/>
              </w:rPr>
            </w:pPr>
            <w:r w:rsidRPr="00BA00AC">
              <w:rPr>
                <w:rFonts w:ascii="Calibri Light" w:hAnsi="Calibri Light"/>
                <w:iCs/>
                <w:color w:val="auto"/>
                <w:szCs w:val="17"/>
              </w:rPr>
              <w:t>DFAT led (by independent evaluation specialists)</w:t>
            </w:r>
          </w:p>
        </w:tc>
      </w:tr>
      <w:tr w:rsidR="00BA00AC" w:rsidRPr="00D5780C" w:rsidTr="006F27B1">
        <w:tc>
          <w:tcPr>
            <w:tcW w:w="2472" w:type="dxa"/>
          </w:tcPr>
          <w:p w:rsidR="00BA00AC" w:rsidRPr="00D8342B" w:rsidRDefault="00BA00AC" w:rsidP="001C19AE">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Governan</w:t>
            </w:r>
            <w:r>
              <w:rPr>
                <w:rFonts w:ascii="Calibri Light" w:hAnsi="Calibri Light"/>
                <w:iCs/>
                <w:color w:val="auto"/>
                <w:szCs w:val="17"/>
              </w:rPr>
              <w:t>c</w:t>
            </w:r>
            <w:r w:rsidRPr="00D8342B">
              <w:rPr>
                <w:rFonts w:ascii="Calibri Light" w:hAnsi="Calibri Light"/>
                <w:iCs/>
                <w:color w:val="auto"/>
                <w:szCs w:val="17"/>
              </w:rPr>
              <w:t>e for Development  Mid Term Review</w:t>
            </w:r>
          </w:p>
        </w:tc>
        <w:tc>
          <w:tcPr>
            <w:tcW w:w="2381" w:type="dxa"/>
          </w:tcPr>
          <w:p w:rsidR="00BA00AC" w:rsidRPr="00D8342B" w:rsidRDefault="00BA00AC" w:rsidP="00637ADB">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INL073</w:t>
            </w:r>
            <w:r>
              <w:rPr>
                <w:rFonts w:ascii="Calibri Light" w:hAnsi="Calibri Light"/>
                <w:iCs/>
                <w:color w:val="auto"/>
                <w:szCs w:val="17"/>
              </w:rPr>
              <w:t xml:space="preserve"> </w:t>
            </w:r>
            <w:r w:rsidRPr="00D8342B">
              <w:rPr>
                <w:rFonts w:ascii="Calibri Light" w:hAnsi="Calibri Light"/>
                <w:iCs/>
                <w:color w:val="auto"/>
                <w:szCs w:val="17"/>
              </w:rPr>
              <w:t xml:space="preserve">- </w:t>
            </w:r>
            <w:hyperlink r:id="rId20" w:history="1">
              <w:r w:rsidRPr="00D8342B">
                <w:rPr>
                  <w:rFonts w:ascii="Calibri Light" w:hAnsi="Calibri Light"/>
                  <w:iCs/>
                  <w:color w:val="auto"/>
                  <w:szCs w:val="17"/>
                </w:rPr>
                <w:t>Governance for Development Timor-Leste</w:t>
              </w:r>
            </w:hyperlink>
          </w:p>
        </w:tc>
        <w:tc>
          <w:tcPr>
            <w:tcW w:w="2459" w:type="dxa"/>
          </w:tcPr>
          <w:p w:rsidR="00BA00AC" w:rsidRPr="00D8342B" w:rsidRDefault="00BA00AC">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October 2016</w:t>
            </w:r>
          </w:p>
        </w:tc>
        <w:tc>
          <w:tcPr>
            <w:tcW w:w="2227" w:type="dxa"/>
          </w:tcPr>
          <w:p w:rsidR="00BA00AC" w:rsidRPr="00D8342B" w:rsidRDefault="00BA00AC">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October 2016</w:t>
            </w:r>
          </w:p>
        </w:tc>
        <w:tc>
          <w:tcPr>
            <w:tcW w:w="2348" w:type="dxa"/>
          </w:tcPr>
          <w:p w:rsidR="00BA00AC" w:rsidRPr="00D8342B" w:rsidRDefault="00BA00AC">
            <w:pPr>
              <w:keepLines/>
              <w:spacing w:before="40" w:after="40" w:line="200" w:lineRule="atLeast"/>
              <w:rPr>
                <w:rFonts w:ascii="Calibri Light" w:hAnsi="Calibri Light"/>
                <w:iCs/>
                <w:color w:val="auto"/>
                <w:szCs w:val="17"/>
              </w:rPr>
            </w:pPr>
            <w:r w:rsidRPr="00D8342B">
              <w:rPr>
                <w:rFonts w:ascii="Calibri Light" w:hAnsi="Calibri Light"/>
                <w:iCs/>
                <w:color w:val="auto"/>
                <w:szCs w:val="17"/>
              </w:rPr>
              <w:t>To improve existing program</w:t>
            </w:r>
            <w:r w:rsidR="00690511">
              <w:rPr>
                <w:rFonts w:ascii="Calibri Light" w:hAnsi="Calibri Light"/>
                <w:iCs/>
                <w:color w:val="auto"/>
                <w:szCs w:val="17"/>
              </w:rPr>
              <w:t>,</w:t>
            </w:r>
            <w:r w:rsidRPr="00D8342B">
              <w:rPr>
                <w:rFonts w:ascii="Calibri Light" w:hAnsi="Calibri Light"/>
                <w:iCs/>
                <w:color w:val="auto"/>
                <w:szCs w:val="17"/>
              </w:rPr>
              <w:t xml:space="preserve"> to verify program outcomes</w:t>
            </w:r>
            <w:r w:rsidR="00690511">
              <w:rPr>
                <w:rFonts w:ascii="Calibri Light" w:hAnsi="Calibri Light"/>
                <w:iCs/>
                <w:color w:val="auto"/>
                <w:szCs w:val="17"/>
              </w:rPr>
              <w:t xml:space="preserve"> and inform next phase</w:t>
            </w:r>
            <w:r w:rsidRPr="00D8342B">
              <w:rPr>
                <w:rFonts w:ascii="Calibri Light" w:hAnsi="Calibri Light"/>
                <w:iCs/>
                <w:color w:val="auto"/>
                <w:szCs w:val="17"/>
              </w:rPr>
              <w:t>.</w:t>
            </w:r>
          </w:p>
        </w:tc>
        <w:tc>
          <w:tcPr>
            <w:tcW w:w="2362" w:type="dxa"/>
          </w:tcPr>
          <w:p w:rsidR="00BA00AC" w:rsidRPr="00BA00AC" w:rsidRDefault="00BA00AC">
            <w:pPr>
              <w:keepLines/>
              <w:spacing w:before="40" w:after="40" w:line="200" w:lineRule="atLeast"/>
              <w:rPr>
                <w:rFonts w:ascii="Calibri Light" w:hAnsi="Calibri Light" w:cs="Times New Roman"/>
                <w:iCs/>
                <w:color w:val="auto"/>
                <w:szCs w:val="17"/>
              </w:rPr>
            </w:pPr>
            <w:r w:rsidRPr="00BA00AC">
              <w:rPr>
                <w:rFonts w:ascii="Calibri Light" w:hAnsi="Calibri Light"/>
                <w:iCs/>
                <w:color w:val="auto"/>
                <w:szCs w:val="17"/>
              </w:rPr>
              <w:t>DFAT led (by independent evaluation specialists)</w:t>
            </w:r>
          </w:p>
        </w:tc>
      </w:tr>
    </w:tbl>
    <w:p w:rsidR="00400B0F" w:rsidRPr="00C61187" w:rsidRDefault="00400B0F" w:rsidP="00400B0F">
      <w:pPr>
        <w:rPr>
          <w:b/>
        </w:rPr>
        <w:sectPr w:rsidR="00400B0F" w:rsidRPr="00C61187" w:rsidSect="008C2F58">
          <w:headerReference w:type="even" r:id="rId21"/>
          <w:headerReference w:type="default" r:id="rId22"/>
          <w:headerReference w:type="first" r:id="rId23"/>
          <w:footerReference w:type="first" r:id="rId24"/>
          <w:footnotePr>
            <w:numRestart w:val="eachPage"/>
          </w:footnotePr>
          <w:type w:val="continuous"/>
          <w:pgSz w:w="16838" w:h="11906" w:orient="landscape" w:code="9"/>
          <w:pgMar w:top="1272" w:right="1814" w:bottom="851" w:left="851" w:header="709" w:footer="230" w:gutter="0"/>
          <w:cols w:space="708"/>
          <w:titlePg/>
          <w:docGrid w:linePitch="360"/>
        </w:sectPr>
      </w:pPr>
    </w:p>
    <w:p w:rsidR="00425586" w:rsidRPr="00784031" w:rsidRDefault="00425586" w:rsidP="00425586">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t>Annex D - Aid Quality Check ratings</w:t>
      </w:r>
    </w:p>
    <w:p w:rsidR="00425586" w:rsidRPr="00784031" w:rsidRDefault="00425586" w:rsidP="00425586">
      <w:pPr>
        <w:keepNext/>
        <w:numPr>
          <w:ilvl w:val="2"/>
          <w:numId w:val="0"/>
        </w:numPr>
        <w:spacing w:before="240" w:after="120"/>
        <w:outlineLvl w:val="2"/>
        <w:rPr>
          <w:rFonts w:asciiTheme="majorHAnsi" w:eastAsiaTheme="majorEastAsia" w:hAnsiTheme="majorHAnsi" w:cstheme="majorBidi"/>
          <w:caps/>
          <w:sz w:val="38"/>
          <w:szCs w:val="26"/>
        </w:rPr>
      </w:pPr>
      <w:r w:rsidRPr="00237FD3">
        <w:rPr>
          <w:rFonts w:asciiTheme="majorHAnsi" w:eastAsiaTheme="majorEastAsia" w:hAnsiTheme="majorHAnsi" w:cstheme="majorBidi"/>
          <w:caps/>
          <w:sz w:val="38"/>
          <w:szCs w:val="26"/>
        </w:rPr>
        <w:t>AQC ratings</w:t>
      </w:r>
    </w:p>
    <w:p w:rsidR="00425586" w:rsidRPr="009D159A" w:rsidRDefault="00425586" w:rsidP="00425586">
      <w:r w:rsidRPr="00C61187">
        <w:t>AQC investment performance over the previous 12 months and where available last y</w:t>
      </w:r>
      <w:r>
        <w:t>ear’s AQC ratings are included.</w:t>
      </w:r>
    </w:p>
    <w:tbl>
      <w:tblPr>
        <w:tblW w:w="14784" w:type="dxa"/>
        <w:tblInd w:w="93" w:type="dxa"/>
        <w:tblLayout w:type="fixed"/>
        <w:tblLook w:val="04A0" w:firstRow="1" w:lastRow="0" w:firstColumn="1" w:lastColumn="0" w:noHBand="0" w:noVBand="1"/>
      </w:tblPr>
      <w:tblGrid>
        <w:gridCol w:w="3962"/>
        <w:gridCol w:w="1462"/>
        <w:gridCol w:w="1023"/>
        <w:gridCol w:w="1137"/>
        <w:gridCol w:w="1138"/>
        <w:gridCol w:w="1137"/>
        <w:gridCol w:w="1268"/>
        <w:gridCol w:w="1300"/>
        <w:gridCol w:w="1137"/>
        <w:gridCol w:w="1220"/>
      </w:tblGrid>
      <w:tr w:rsidR="00EB7136" w:rsidRPr="009D159A" w:rsidTr="00D8342B">
        <w:trPr>
          <w:cantSplit/>
          <w:trHeight w:val="556"/>
        </w:trPr>
        <w:tc>
          <w:tcPr>
            <w:tcW w:w="3962" w:type="dxa"/>
            <w:tcBorders>
              <w:bottom w:val="single" w:sz="4" w:space="0" w:color="auto"/>
            </w:tcBorders>
            <w:shd w:val="clear" w:color="000000" w:fill="F0F0F0"/>
            <w:vAlign w:val="center"/>
            <w:hideMark/>
          </w:tcPr>
          <w:p w:rsidR="00EB7136" w:rsidRPr="009D159A" w:rsidRDefault="00EB7136" w:rsidP="006151FE">
            <w:pPr>
              <w:keepLines/>
              <w:spacing w:before="80" w:after="80" w:line="200" w:lineRule="atLeast"/>
              <w:rPr>
                <w:rFonts w:ascii="Arial" w:eastAsia="Times New Roman" w:hAnsi="Arial" w:cs="Arial"/>
                <w:b/>
                <w:bCs/>
                <w:color w:val="25396E"/>
                <w:sz w:val="16"/>
                <w:szCs w:val="16"/>
                <w:lang w:val="en-AU" w:eastAsia="en-AU"/>
              </w:rPr>
            </w:pPr>
            <w:r w:rsidRPr="009D159A">
              <w:rPr>
                <w:rFonts w:eastAsia="Times New Roman"/>
                <w:b/>
                <w:iCs/>
                <w:sz w:val="17"/>
                <w:szCs w:val="17"/>
              </w:rPr>
              <w:t>Investment</w:t>
            </w:r>
          </w:p>
        </w:tc>
        <w:tc>
          <w:tcPr>
            <w:tcW w:w="1462" w:type="dxa"/>
            <w:tcBorders>
              <w:bottom w:val="single" w:sz="4" w:space="0" w:color="auto"/>
            </w:tcBorders>
            <w:shd w:val="clear" w:color="000000" w:fill="F0F0F0"/>
            <w:vAlign w:val="center"/>
            <w:hideMark/>
          </w:tcPr>
          <w:p w:rsidR="00EB7136" w:rsidRPr="009D159A" w:rsidRDefault="00EB7136" w:rsidP="001B7052">
            <w:pPr>
              <w:keepLines/>
              <w:spacing w:before="80" w:after="80" w:line="200" w:lineRule="atLeast"/>
              <w:rPr>
                <w:rFonts w:eastAsia="Times New Roman"/>
                <w:b/>
                <w:iCs/>
                <w:sz w:val="17"/>
                <w:szCs w:val="17"/>
              </w:rPr>
            </w:pPr>
            <w:r w:rsidRPr="009D159A">
              <w:rPr>
                <w:rFonts w:eastAsia="Times New Roman"/>
                <w:b/>
                <w:iCs/>
                <w:sz w:val="17"/>
                <w:szCs w:val="17"/>
              </w:rPr>
              <w:t>Approved budget</w:t>
            </w:r>
            <w:r>
              <w:rPr>
                <w:rFonts w:eastAsia="Times New Roman"/>
                <w:b/>
                <w:iCs/>
                <w:sz w:val="17"/>
                <w:szCs w:val="17"/>
              </w:rPr>
              <w:t xml:space="preserve">,, </w:t>
            </w:r>
            <w:r w:rsidRPr="009D159A">
              <w:rPr>
                <w:rFonts w:eastAsia="Times New Roman"/>
                <w:b/>
                <w:iCs/>
                <w:sz w:val="17"/>
                <w:szCs w:val="17"/>
              </w:rPr>
              <w:t>duration</w:t>
            </w:r>
          </w:p>
        </w:tc>
        <w:tc>
          <w:tcPr>
            <w:tcW w:w="1023" w:type="dxa"/>
            <w:tcBorders>
              <w:bottom w:val="single" w:sz="4" w:space="0" w:color="auto"/>
            </w:tcBorders>
            <w:shd w:val="clear" w:color="000000" w:fill="F0F0F0"/>
            <w:vAlign w:val="center"/>
            <w:hideMark/>
          </w:tcPr>
          <w:p w:rsidR="00EB7136" w:rsidRPr="009D159A" w:rsidRDefault="00EB7136" w:rsidP="001B7052">
            <w:pPr>
              <w:suppressAutoHyphens w:val="0"/>
              <w:spacing w:before="0" w:after="0" w:line="240" w:lineRule="auto"/>
              <w:rPr>
                <w:rFonts w:eastAsia="Times New Roman"/>
                <w:b/>
                <w:iCs/>
                <w:sz w:val="17"/>
                <w:szCs w:val="17"/>
              </w:rPr>
            </w:pPr>
            <w:r w:rsidRPr="009D159A">
              <w:rPr>
                <w:rFonts w:eastAsia="Times New Roman"/>
                <w:b/>
                <w:iCs/>
                <w:sz w:val="17"/>
                <w:szCs w:val="17"/>
              </w:rPr>
              <w:t>Year on Year</w:t>
            </w:r>
          </w:p>
        </w:tc>
        <w:tc>
          <w:tcPr>
            <w:tcW w:w="1137" w:type="dxa"/>
            <w:tcBorders>
              <w:bottom w:val="single" w:sz="4" w:space="0" w:color="auto"/>
            </w:tcBorders>
            <w:shd w:val="clear" w:color="000000" w:fill="F0F0F0"/>
            <w:vAlign w:val="center"/>
            <w:hideMark/>
          </w:tcPr>
          <w:p w:rsidR="00EB7136" w:rsidRPr="009D159A" w:rsidRDefault="00EB7136" w:rsidP="001B7052">
            <w:pPr>
              <w:keepLines/>
              <w:spacing w:before="80" w:after="80" w:line="200" w:lineRule="atLeast"/>
              <w:rPr>
                <w:rFonts w:eastAsia="Times New Roman"/>
                <w:b/>
                <w:iCs/>
                <w:sz w:val="17"/>
                <w:szCs w:val="17"/>
              </w:rPr>
            </w:pPr>
            <w:r w:rsidRPr="009D159A">
              <w:rPr>
                <w:rFonts w:eastAsia="Times New Roman"/>
                <w:b/>
                <w:iCs/>
                <w:sz w:val="17"/>
                <w:szCs w:val="17"/>
              </w:rPr>
              <w:t>Relevance</w:t>
            </w:r>
          </w:p>
        </w:tc>
        <w:tc>
          <w:tcPr>
            <w:tcW w:w="1138" w:type="dxa"/>
            <w:tcBorders>
              <w:bottom w:val="single" w:sz="4" w:space="0" w:color="auto"/>
            </w:tcBorders>
            <w:shd w:val="clear" w:color="000000" w:fill="F0F0F0"/>
            <w:vAlign w:val="center"/>
            <w:hideMark/>
          </w:tcPr>
          <w:p w:rsidR="00EB7136" w:rsidRPr="009D159A" w:rsidRDefault="00EB7136" w:rsidP="001B7052">
            <w:pPr>
              <w:keepLines/>
              <w:spacing w:before="80" w:after="80" w:line="200" w:lineRule="atLeast"/>
              <w:rPr>
                <w:rFonts w:eastAsia="Times New Roman"/>
                <w:b/>
                <w:iCs/>
                <w:sz w:val="17"/>
                <w:szCs w:val="17"/>
              </w:rPr>
            </w:pPr>
            <w:r w:rsidRPr="009D159A">
              <w:rPr>
                <w:rFonts w:eastAsia="Times New Roman"/>
                <w:b/>
                <w:iCs/>
                <w:sz w:val="17"/>
                <w:szCs w:val="17"/>
              </w:rPr>
              <w:t>Effectiveness</w:t>
            </w:r>
          </w:p>
        </w:tc>
        <w:tc>
          <w:tcPr>
            <w:tcW w:w="1137" w:type="dxa"/>
            <w:tcBorders>
              <w:bottom w:val="single" w:sz="4" w:space="0" w:color="auto"/>
            </w:tcBorders>
            <w:shd w:val="clear" w:color="000000" w:fill="F0F0F0"/>
            <w:vAlign w:val="center"/>
            <w:hideMark/>
          </w:tcPr>
          <w:p w:rsidR="00EB7136" w:rsidRPr="009D159A" w:rsidRDefault="00EB7136" w:rsidP="001B7052">
            <w:pPr>
              <w:keepLines/>
              <w:spacing w:before="80" w:after="80" w:line="200" w:lineRule="atLeast"/>
              <w:rPr>
                <w:rFonts w:eastAsia="Times New Roman"/>
                <w:b/>
                <w:iCs/>
                <w:sz w:val="17"/>
                <w:szCs w:val="17"/>
              </w:rPr>
            </w:pPr>
            <w:r w:rsidRPr="009D159A">
              <w:rPr>
                <w:rFonts w:eastAsia="Times New Roman"/>
                <w:b/>
                <w:iCs/>
                <w:sz w:val="17"/>
                <w:szCs w:val="17"/>
              </w:rPr>
              <w:t>Efficiency</w:t>
            </w:r>
          </w:p>
        </w:tc>
        <w:tc>
          <w:tcPr>
            <w:tcW w:w="1268" w:type="dxa"/>
            <w:tcBorders>
              <w:bottom w:val="single" w:sz="4" w:space="0" w:color="auto"/>
            </w:tcBorders>
            <w:shd w:val="clear" w:color="000000" w:fill="F0F0F0"/>
            <w:vAlign w:val="center"/>
            <w:hideMark/>
          </w:tcPr>
          <w:p w:rsidR="00EB7136" w:rsidRPr="009D159A" w:rsidRDefault="00EB7136" w:rsidP="001B7052">
            <w:pPr>
              <w:keepLines/>
              <w:spacing w:before="80" w:after="80" w:line="200" w:lineRule="atLeast"/>
              <w:rPr>
                <w:rFonts w:eastAsia="Times New Roman"/>
                <w:b/>
                <w:iCs/>
                <w:sz w:val="17"/>
                <w:szCs w:val="17"/>
              </w:rPr>
            </w:pPr>
            <w:r w:rsidRPr="009D159A">
              <w:rPr>
                <w:rFonts w:eastAsia="Times New Roman"/>
                <w:b/>
                <w:iCs/>
                <w:sz w:val="17"/>
                <w:szCs w:val="17"/>
              </w:rPr>
              <w:t>Monitoring and evaluation</w:t>
            </w:r>
          </w:p>
        </w:tc>
        <w:tc>
          <w:tcPr>
            <w:tcW w:w="1300" w:type="dxa"/>
            <w:tcBorders>
              <w:bottom w:val="single" w:sz="4" w:space="0" w:color="auto"/>
            </w:tcBorders>
            <w:shd w:val="clear" w:color="000000" w:fill="F0F0F0"/>
            <w:vAlign w:val="center"/>
            <w:hideMark/>
          </w:tcPr>
          <w:p w:rsidR="00EB7136" w:rsidRPr="009D159A" w:rsidRDefault="00EB7136" w:rsidP="001B7052">
            <w:pPr>
              <w:keepLines/>
              <w:spacing w:before="80" w:after="80" w:line="200" w:lineRule="atLeast"/>
              <w:rPr>
                <w:rFonts w:eastAsia="Times New Roman"/>
                <w:b/>
                <w:iCs/>
                <w:sz w:val="17"/>
                <w:szCs w:val="17"/>
              </w:rPr>
            </w:pPr>
            <w:r w:rsidRPr="009D159A">
              <w:rPr>
                <w:rFonts w:eastAsia="Times New Roman"/>
                <w:b/>
                <w:iCs/>
                <w:sz w:val="17"/>
                <w:szCs w:val="17"/>
              </w:rPr>
              <w:t>Sustainability</w:t>
            </w:r>
          </w:p>
        </w:tc>
        <w:tc>
          <w:tcPr>
            <w:tcW w:w="1137" w:type="dxa"/>
            <w:tcBorders>
              <w:bottom w:val="single" w:sz="4" w:space="0" w:color="auto"/>
            </w:tcBorders>
            <w:shd w:val="clear" w:color="000000" w:fill="F0F0F0"/>
            <w:vAlign w:val="center"/>
            <w:hideMark/>
          </w:tcPr>
          <w:p w:rsidR="00EB7136" w:rsidRPr="009D159A" w:rsidRDefault="00EB7136" w:rsidP="001B7052">
            <w:pPr>
              <w:keepLines/>
              <w:spacing w:before="80" w:after="80" w:line="200" w:lineRule="atLeast"/>
              <w:rPr>
                <w:rFonts w:eastAsia="Times New Roman"/>
                <w:b/>
                <w:iCs/>
                <w:sz w:val="17"/>
                <w:szCs w:val="17"/>
              </w:rPr>
            </w:pPr>
            <w:r w:rsidRPr="009D159A">
              <w:rPr>
                <w:rFonts w:eastAsia="Times New Roman"/>
                <w:b/>
                <w:iCs/>
                <w:sz w:val="17"/>
                <w:szCs w:val="17"/>
              </w:rPr>
              <w:t>Gender equality</w:t>
            </w:r>
          </w:p>
        </w:tc>
        <w:tc>
          <w:tcPr>
            <w:tcW w:w="1220" w:type="dxa"/>
            <w:tcBorders>
              <w:bottom w:val="single" w:sz="4" w:space="0" w:color="auto"/>
            </w:tcBorders>
            <w:shd w:val="clear" w:color="000000" w:fill="F0F0F0"/>
            <w:vAlign w:val="center"/>
            <w:hideMark/>
          </w:tcPr>
          <w:p w:rsidR="00EB7136" w:rsidRPr="009D159A" w:rsidRDefault="00EB7136" w:rsidP="001B7052">
            <w:pPr>
              <w:keepLines/>
              <w:spacing w:before="80" w:after="80" w:line="200" w:lineRule="atLeast"/>
              <w:rPr>
                <w:rFonts w:eastAsia="Times New Roman"/>
                <w:b/>
                <w:iCs/>
                <w:sz w:val="17"/>
                <w:szCs w:val="17"/>
              </w:rPr>
            </w:pPr>
            <w:r w:rsidRPr="009D159A">
              <w:rPr>
                <w:rFonts w:eastAsia="Times New Roman"/>
                <w:b/>
                <w:iCs/>
                <w:sz w:val="17"/>
                <w:szCs w:val="17"/>
              </w:rPr>
              <w:t>Risk management</w:t>
            </w:r>
          </w:p>
        </w:tc>
      </w:tr>
      <w:tr w:rsidR="00EB7136" w:rsidRPr="009D159A" w:rsidTr="00D8342B">
        <w:trPr>
          <w:trHeight w:val="286"/>
        </w:trPr>
        <w:tc>
          <w:tcPr>
            <w:tcW w:w="3962" w:type="dxa"/>
            <w:vMerge w:val="restart"/>
            <w:tcBorders>
              <w:top w:val="single" w:sz="4" w:space="0" w:color="auto"/>
              <w:left w:val="single" w:sz="4" w:space="0" w:color="auto"/>
            </w:tcBorders>
            <w:shd w:val="clear" w:color="auto" w:fill="auto"/>
            <w:vAlign w:val="center"/>
            <w:hideMark/>
          </w:tcPr>
          <w:p w:rsidR="00EB7136" w:rsidRPr="00EB7136" w:rsidRDefault="00EB7136" w:rsidP="00EB7136">
            <w:pPr>
              <w:keepLines/>
              <w:spacing w:before="40" w:after="40" w:line="200" w:lineRule="atLeast"/>
              <w:rPr>
                <w:rFonts w:eastAsia="Times New Roman"/>
                <w:iCs/>
                <w:color w:val="auto"/>
                <w:sz w:val="17"/>
                <w:szCs w:val="17"/>
              </w:rPr>
            </w:pPr>
            <w:r w:rsidRPr="00EB7136">
              <w:rPr>
                <w:rFonts w:eastAsia="Times New Roman"/>
                <w:iCs/>
                <w:color w:val="auto"/>
                <w:sz w:val="17"/>
                <w:szCs w:val="17"/>
              </w:rPr>
              <w:t>INK211</w:t>
            </w:r>
            <w:r>
              <w:rPr>
                <w:rFonts w:eastAsia="Times New Roman"/>
                <w:iCs/>
                <w:color w:val="auto"/>
                <w:sz w:val="17"/>
                <w:szCs w:val="17"/>
              </w:rPr>
              <w:t xml:space="preserve"> </w:t>
            </w:r>
            <w:r w:rsidRPr="00EB7136">
              <w:rPr>
                <w:rFonts w:eastAsia="Times New Roman"/>
                <w:iCs/>
                <w:color w:val="auto"/>
                <w:sz w:val="17"/>
                <w:szCs w:val="17"/>
              </w:rPr>
              <w:t>-</w:t>
            </w:r>
            <w:r>
              <w:rPr>
                <w:rFonts w:eastAsia="Times New Roman"/>
                <w:iCs/>
                <w:color w:val="auto"/>
                <w:sz w:val="17"/>
                <w:szCs w:val="17"/>
              </w:rPr>
              <w:t xml:space="preserve"> </w:t>
            </w:r>
            <w:r w:rsidRPr="00EB7136">
              <w:rPr>
                <w:rFonts w:eastAsia="Times New Roman"/>
                <w:iCs/>
                <w:color w:val="auto"/>
                <w:sz w:val="17"/>
                <w:szCs w:val="17"/>
              </w:rPr>
              <w:t>Roads for Development - R4D</w:t>
            </w:r>
          </w:p>
        </w:tc>
        <w:tc>
          <w:tcPr>
            <w:tcW w:w="1462" w:type="dxa"/>
            <w:vMerge w:val="restart"/>
            <w:tcBorders>
              <w:top w:val="single" w:sz="4" w:space="0" w:color="auto"/>
            </w:tcBorders>
            <w:shd w:val="clear" w:color="auto" w:fill="auto"/>
            <w:vAlign w:val="center"/>
            <w:hideMark/>
          </w:tcPr>
          <w:p w:rsidR="00EB7136" w:rsidRPr="00EB7136" w:rsidRDefault="00EB7136" w:rsidP="006151FE">
            <w:pPr>
              <w:autoSpaceDE w:val="0"/>
              <w:autoSpaceDN w:val="0"/>
              <w:adjustRightInd w:val="0"/>
              <w:jc w:val="center"/>
              <w:rPr>
                <w:rFonts w:cs="Franklin Gothic Book"/>
                <w:color w:val="auto"/>
                <w:sz w:val="17"/>
                <w:szCs w:val="17"/>
                <w:lang w:eastAsia="en-AU"/>
              </w:rPr>
            </w:pPr>
            <w:r w:rsidRPr="00EB7136">
              <w:rPr>
                <w:rFonts w:cs="Franklin Gothic Book"/>
                <w:color w:val="auto"/>
                <w:sz w:val="17"/>
                <w:szCs w:val="17"/>
                <w:lang w:eastAsia="en-AU"/>
              </w:rPr>
              <w:t>$53m, 2011-19</w:t>
            </w:r>
          </w:p>
        </w:tc>
        <w:tc>
          <w:tcPr>
            <w:tcW w:w="1023" w:type="dxa"/>
            <w:tcBorders>
              <w:top w:val="single" w:sz="4" w:space="0" w:color="auto"/>
            </w:tcBorders>
            <w:shd w:val="clear" w:color="auto" w:fill="auto"/>
            <w:vAlign w:val="center"/>
            <w:hideMark/>
          </w:tcPr>
          <w:p w:rsidR="00EB7136" w:rsidRPr="00EB7136" w:rsidRDefault="00EB7136" w:rsidP="00963B57">
            <w:pPr>
              <w:keepLines/>
              <w:spacing w:before="40" w:after="40" w:line="200" w:lineRule="atLeast"/>
              <w:jc w:val="center"/>
              <w:rPr>
                <w:rFonts w:eastAsia="Times New Roman"/>
                <w:iCs/>
                <w:color w:val="auto"/>
                <w:sz w:val="17"/>
                <w:szCs w:val="17"/>
              </w:rPr>
            </w:pPr>
            <w:r w:rsidRPr="00EB7136">
              <w:rPr>
                <w:rFonts w:eastAsia="Times New Roman"/>
                <w:iCs/>
                <w:color w:val="auto"/>
                <w:sz w:val="17"/>
                <w:szCs w:val="17"/>
              </w:rPr>
              <w:t>2016 AQC</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000000" w:fill="FFFF0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4</w:t>
            </w:r>
          </w:p>
        </w:tc>
        <w:tc>
          <w:tcPr>
            <w:tcW w:w="126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300" w:type="dxa"/>
            <w:tcBorders>
              <w:top w:val="single" w:sz="4" w:space="0" w:color="auto"/>
            </w:tcBorders>
            <w:shd w:val="clear" w:color="000000" w:fill="FFFF0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4</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220" w:type="dxa"/>
            <w:tcBorders>
              <w:top w:val="single" w:sz="4" w:space="0" w:color="auto"/>
              <w:right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r>
      <w:tr w:rsidR="00EB7136" w:rsidRPr="009D159A" w:rsidTr="00D8342B">
        <w:trPr>
          <w:trHeight w:val="256"/>
        </w:trPr>
        <w:tc>
          <w:tcPr>
            <w:tcW w:w="3962" w:type="dxa"/>
            <w:vMerge/>
            <w:tcBorders>
              <w:left w:val="single" w:sz="4" w:space="0" w:color="auto"/>
              <w:bottom w:val="single" w:sz="4" w:space="0" w:color="auto"/>
            </w:tcBorders>
            <w:vAlign w:val="center"/>
            <w:hideMark/>
          </w:tcPr>
          <w:p w:rsidR="00EB7136" w:rsidRPr="00EB7136" w:rsidRDefault="00EB7136" w:rsidP="00EB7136">
            <w:pPr>
              <w:keepLines/>
              <w:spacing w:before="40" w:after="40" w:line="200" w:lineRule="atLeast"/>
              <w:rPr>
                <w:rFonts w:eastAsia="Times New Roman"/>
                <w:iCs/>
                <w:color w:val="auto"/>
                <w:sz w:val="17"/>
                <w:szCs w:val="17"/>
              </w:rPr>
            </w:pPr>
          </w:p>
        </w:tc>
        <w:tc>
          <w:tcPr>
            <w:tcW w:w="1462" w:type="dxa"/>
            <w:vMerge/>
            <w:tcBorders>
              <w:bottom w:val="single" w:sz="4" w:space="0" w:color="auto"/>
            </w:tcBorders>
            <w:vAlign w:val="center"/>
            <w:hideMark/>
          </w:tcPr>
          <w:p w:rsidR="00EB7136" w:rsidRPr="00D8342B" w:rsidRDefault="00EB7136" w:rsidP="00963B57">
            <w:pPr>
              <w:autoSpaceDE w:val="0"/>
              <w:autoSpaceDN w:val="0"/>
              <w:adjustRightInd w:val="0"/>
              <w:jc w:val="center"/>
              <w:rPr>
                <w:rFonts w:cs="Franklin Gothic Book"/>
                <w:color w:val="auto"/>
                <w:sz w:val="17"/>
                <w:szCs w:val="17"/>
                <w:lang w:eastAsia="en-AU"/>
              </w:rPr>
            </w:pPr>
          </w:p>
        </w:tc>
        <w:tc>
          <w:tcPr>
            <w:tcW w:w="1023" w:type="dxa"/>
            <w:tcBorders>
              <w:bottom w:val="single" w:sz="4" w:space="0" w:color="auto"/>
            </w:tcBorders>
            <w:shd w:val="clear" w:color="auto" w:fill="auto"/>
            <w:vAlign w:val="center"/>
            <w:hideMark/>
          </w:tcPr>
          <w:p w:rsidR="00EB7136" w:rsidRPr="00D8342B" w:rsidRDefault="00EB7136" w:rsidP="00963B57">
            <w:pPr>
              <w:keepLines/>
              <w:spacing w:before="40" w:after="40" w:line="200" w:lineRule="atLeast"/>
              <w:jc w:val="center"/>
              <w:rPr>
                <w:rFonts w:eastAsia="Times New Roman"/>
                <w:iCs/>
                <w:color w:val="auto"/>
                <w:sz w:val="17"/>
                <w:szCs w:val="17"/>
              </w:rPr>
            </w:pPr>
            <w:r w:rsidRPr="00D8342B">
              <w:rPr>
                <w:rFonts w:eastAsia="Times New Roman"/>
                <w:iCs/>
                <w:color w:val="auto"/>
                <w:sz w:val="17"/>
                <w:szCs w:val="17"/>
              </w:rPr>
              <w:t>2015 AQC</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8"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268"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300"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220" w:type="dxa"/>
            <w:tcBorders>
              <w:bottom w:val="single" w:sz="4" w:space="0" w:color="auto"/>
              <w:right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r>
      <w:tr w:rsidR="00EB7136" w:rsidRPr="009D159A" w:rsidTr="00D8342B">
        <w:trPr>
          <w:trHeight w:val="274"/>
        </w:trPr>
        <w:tc>
          <w:tcPr>
            <w:tcW w:w="3962" w:type="dxa"/>
            <w:vMerge w:val="restart"/>
            <w:tcBorders>
              <w:top w:val="single" w:sz="4" w:space="0" w:color="auto"/>
              <w:left w:val="single" w:sz="4" w:space="0" w:color="auto"/>
            </w:tcBorders>
            <w:shd w:val="clear" w:color="auto" w:fill="auto"/>
            <w:vAlign w:val="center"/>
            <w:hideMark/>
          </w:tcPr>
          <w:p w:rsidR="00EB7136" w:rsidRPr="00EB7136" w:rsidRDefault="00EB7136" w:rsidP="00EB7136">
            <w:pPr>
              <w:keepLines/>
              <w:spacing w:before="40" w:after="40" w:line="200" w:lineRule="atLeast"/>
              <w:rPr>
                <w:rFonts w:eastAsia="Times New Roman"/>
                <w:iCs/>
                <w:color w:val="auto"/>
                <w:sz w:val="17"/>
                <w:szCs w:val="17"/>
              </w:rPr>
            </w:pPr>
            <w:r w:rsidRPr="00EB7136">
              <w:rPr>
                <w:rFonts w:eastAsia="Times New Roman"/>
                <w:iCs/>
                <w:color w:val="auto"/>
                <w:sz w:val="17"/>
                <w:szCs w:val="17"/>
              </w:rPr>
              <w:t>INK433</w:t>
            </w:r>
            <w:r>
              <w:rPr>
                <w:rFonts w:eastAsia="Times New Roman"/>
                <w:iCs/>
                <w:color w:val="auto"/>
                <w:sz w:val="17"/>
                <w:szCs w:val="17"/>
              </w:rPr>
              <w:t xml:space="preserve"> </w:t>
            </w:r>
            <w:r w:rsidRPr="00EB7136">
              <w:rPr>
                <w:rFonts w:eastAsia="Times New Roman"/>
                <w:iCs/>
                <w:color w:val="auto"/>
                <w:sz w:val="17"/>
                <w:szCs w:val="17"/>
              </w:rPr>
              <w:t>-</w:t>
            </w:r>
            <w:r>
              <w:rPr>
                <w:rFonts w:eastAsia="Times New Roman"/>
                <w:iCs/>
                <w:color w:val="auto"/>
                <w:sz w:val="17"/>
                <w:szCs w:val="17"/>
              </w:rPr>
              <w:t xml:space="preserve"> </w:t>
            </w:r>
            <w:r w:rsidRPr="00EB7136">
              <w:rPr>
                <w:rFonts w:eastAsia="Times New Roman"/>
                <w:iCs/>
                <w:color w:val="auto"/>
                <w:sz w:val="17"/>
                <w:szCs w:val="17"/>
              </w:rPr>
              <w:t>Health Program</w:t>
            </w:r>
          </w:p>
        </w:tc>
        <w:tc>
          <w:tcPr>
            <w:tcW w:w="1462" w:type="dxa"/>
            <w:vMerge w:val="restart"/>
            <w:tcBorders>
              <w:top w:val="single" w:sz="4" w:space="0" w:color="auto"/>
            </w:tcBorders>
            <w:shd w:val="clear" w:color="auto" w:fill="auto"/>
            <w:vAlign w:val="center"/>
            <w:hideMark/>
          </w:tcPr>
          <w:p w:rsidR="00EB7136" w:rsidRPr="00EB7136" w:rsidRDefault="00EB7136" w:rsidP="006151FE">
            <w:pPr>
              <w:autoSpaceDE w:val="0"/>
              <w:autoSpaceDN w:val="0"/>
              <w:adjustRightInd w:val="0"/>
              <w:jc w:val="center"/>
              <w:rPr>
                <w:rFonts w:cs="Franklin Gothic Book"/>
                <w:color w:val="auto"/>
                <w:sz w:val="17"/>
                <w:szCs w:val="17"/>
                <w:lang w:eastAsia="en-AU"/>
              </w:rPr>
            </w:pPr>
            <w:r w:rsidRPr="00EB7136">
              <w:rPr>
                <w:rFonts w:cs="Franklin Gothic Book"/>
                <w:color w:val="auto"/>
                <w:sz w:val="17"/>
                <w:szCs w:val="17"/>
                <w:lang w:eastAsia="en-AU"/>
              </w:rPr>
              <w:t>$28m, 2012-18</w:t>
            </w:r>
          </w:p>
        </w:tc>
        <w:tc>
          <w:tcPr>
            <w:tcW w:w="1023" w:type="dxa"/>
            <w:tcBorders>
              <w:top w:val="single" w:sz="4" w:space="0" w:color="auto"/>
            </w:tcBorders>
            <w:shd w:val="clear" w:color="auto" w:fill="auto"/>
            <w:vAlign w:val="center"/>
            <w:hideMark/>
          </w:tcPr>
          <w:p w:rsidR="00EB7136" w:rsidRPr="00EB7136" w:rsidRDefault="00EB7136" w:rsidP="00963B57">
            <w:pPr>
              <w:keepLines/>
              <w:spacing w:before="40" w:after="40" w:line="200" w:lineRule="atLeast"/>
              <w:jc w:val="center"/>
              <w:rPr>
                <w:rFonts w:eastAsia="Times New Roman"/>
                <w:iCs/>
                <w:color w:val="auto"/>
                <w:sz w:val="17"/>
                <w:szCs w:val="17"/>
              </w:rPr>
            </w:pPr>
            <w:r w:rsidRPr="00EB7136">
              <w:rPr>
                <w:rFonts w:eastAsia="Times New Roman"/>
                <w:iCs/>
                <w:color w:val="auto"/>
                <w:sz w:val="17"/>
                <w:szCs w:val="17"/>
              </w:rPr>
              <w:t>2016 AQC</w:t>
            </w:r>
          </w:p>
        </w:tc>
        <w:tc>
          <w:tcPr>
            <w:tcW w:w="1137" w:type="dxa"/>
            <w:tcBorders>
              <w:top w:val="single" w:sz="4" w:space="0" w:color="auto"/>
            </w:tcBorders>
            <w:shd w:val="clear" w:color="auto" w:fill="00B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6</w:t>
            </w:r>
          </w:p>
        </w:tc>
        <w:tc>
          <w:tcPr>
            <w:tcW w:w="113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26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300"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220" w:type="dxa"/>
            <w:tcBorders>
              <w:top w:val="single" w:sz="4" w:space="0" w:color="auto"/>
              <w:right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r>
      <w:tr w:rsidR="00EB7136" w:rsidRPr="009D159A" w:rsidTr="00D8342B">
        <w:trPr>
          <w:trHeight w:val="256"/>
        </w:trPr>
        <w:tc>
          <w:tcPr>
            <w:tcW w:w="3962" w:type="dxa"/>
            <w:vMerge/>
            <w:tcBorders>
              <w:left w:val="single" w:sz="4" w:space="0" w:color="auto"/>
              <w:bottom w:val="single" w:sz="4" w:space="0" w:color="auto"/>
            </w:tcBorders>
            <w:vAlign w:val="center"/>
            <w:hideMark/>
          </w:tcPr>
          <w:p w:rsidR="00EB7136" w:rsidRPr="00EB7136" w:rsidRDefault="00EB7136" w:rsidP="00EB7136">
            <w:pPr>
              <w:keepLines/>
              <w:spacing w:before="40" w:after="40" w:line="200" w:lineRule="atLeast"/>
              <w:rPr>
                <w:rFonts w:eastAsia="Times New Roman"/>
                <w:iCs/>
                <w:color w:val="auto"/>
                <w:sz w:val="17"/>
                <w:szCs w:val="17"/>
              </w:rPr>
            </w:pPr>
          </w:p>
        </w:tc>
        <w:tc>
          <w:tcPr>
            <w:tcW w:w="1462" w:type="dxa"/>
            <w:vMerge/>
            <w:tcBorders>
              <w:bottom w:val="single" w:sz="4" w:space="0" w:color="auto"/>
            </w:tcBorders>
            <w:vAlign w:val="center"/>
            <w:hideMark/>
          </w:tcPr>
          <w:p w:rsidR="00EB7136" w:rsidRPr="00D8342B" w:rsidRDefault="00EB7136" w:rsidP="00963B57">
            <w:pPr>
              <w:autoSpaceDE w:val="0"/>
              <w:autoSpaceDN w:val="0"/>
              <w:adjustRightInd w:val="0"/>
              <w:jc w:val="center"/>
              <w:rPr>
                <w:rFonts w:cs="Franklin Gothic Book"/>
                <w:color w:val="auto"/>
                <w:sz w:val="17"/>
                <w:szCs w:val="17"/>
                <w:lang w:eastAsia="en-AU"/>
              </w:rPr>
            </w:pPr>
          </w:p>
        </w:tc>
        <w:tc>
          <w:tcPr>
            <w:tcW w:w="1023" w:type="dxa"/>
            <w:tcBorders>
              <w:bottom w:val="single" w:sz="4" w:space="0" w:color="auto"/>
            </w:tcBorders>
            <w:shd w:val="clear" w:color="auto" w:fill="auto"/>
            <w:vAlign w:val="center"/>
            <w:hideMark/>
          </w:tcPr>
          <w:p w:rsidR="00EB7136" w:rsidRPr="00D8342B" w:rsidRDefault="00EB7136" w:rsidP="00963B57">
            <w:pPr>
              <w:keepLines/>
              <w:spacing w:before="40" w:after="40" w:line="200" w:lineRule="atLeast"/>
              <w:jc w:val="center"/>
              <w:rPr>
                <w:rFonts w:eastAsia="Times New Roman"/>
                <w:iCs/>
                <w:color w:val="auto"/>
                <w:sz w:val="17"/>
                <w:szCs w:val="17"/>
              </w:rPr>
            </w:pPr>
            <w:r w:rsidRPr="00D8342B">
              <w:rPr>
                <w:rFonts w:eastAsia="Times New Roman"/>
                <w:iCs/>
                <w:color w:val="auto"/>
                <w:sz w:val="17"/>
                <w:szCs w:val="17"/>
              </w:rPr>
              <w:t>2015 AQC</w:t>
            </w:r>
          </w:p>
        </w:tc>
        <w:tc>
          <w:tcPr>
            <w:tcW w:w="1137" w:type="dxa"/>
            <w:tcBorders>
              <w:bottom w:val="single" w:sz="4" w:space="0" w:color="auto"/>
            </w:tcBorders>
            <w:shd w:val="clear" w:color="auto" w:fill="00B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6</w:t>
            </w:r>
          </w:p>
        </w:tc>
        <w:tc>
          <w:tcPr>
            <w:tcW w:w="1138"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268"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300"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220" w:type="dxa"/>
            <w:tcBorders>
              <w:bottom w:val="single" w:sz="4" w:space="0" w:color="auto"/>
              <w:right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r>
      <w:tr w:rsidR="00EB7136" w:rsidRPr="009D159A" w:rsidTr="00D8342B">
        <w:trPr>
          <w:trHeight w:val="257"/>
        </w:trPr>
        <w:tc>
          <w:tcPr>
            <w:tcW w:w="3962" w:type="dxa"/>
            <w:vMerge w:val="restart"/>
            <w:tcBorders>
              <w:top w:val="single" w:sz="4" w:space="0" w:color="auto"/>
              <w:left w:val="single" w:sz="4" w:space="0" w:color="auto"/>
            </w:tcBorders>
            <w:shd w:val="clear" w:color="auto" w:fill="auto"/>
            <w:vAlign w:val="center"/>
            <w:hideMark/>
          </w:tcPr>
          <w:p w:rsidR="00EB7136" w:rsidRPr="00EB7136" w:rsidRDefault="00EB7136" w:rsidP="00EB7136">
            <w:pPr>
              <w:keepLines/>
              <w:spacing w:before="40" w:after="40" w:line="200" w:lineRule="atLeast"/>
              <w:rPr>
                <w:rFonts w:eastAsia="Times New Roman"/>
                <w:iCs/>
                <w:color w:val="auto"/>
                <w:sz w:val="17"/>
                <w:szCs w:val="17"/>
              </w:rPr>
            </w:pPr>
            <w:r w:rsidRPr="00EB7136">
              <w:rPr>
                <w:rFonts w:eastAsia="Times New Roman"/>
                <w:iCs/>
                <w:color w:val="auto"/>
                <w:sz w:val="17"/>
                <w:szCs w:val="17"/>
              </w:rPr>
              <w:t>INK585</w:t>
            </w:r>
            <w:r>
              <w:rPr>
                <w:rFonts w:eastAsia="Times New Roman"/>
                <w:iCs/>
                <w:color w:val="auto"/>
                <w:sz w:val="17"/>
                <w:szCs w:val="17"/>
              </w:rPr>
              <w:t xml:space="preserve"> </w:t>
            </w:r>
            <w:r w:rsidRPr="00EB7136">
              <w:rPr>
                <w:rFonts w:eastAsia="Times New Roman"/>
                <w:iCs/>
                <w:color w:val="auto"/>
                <w:sz w:val="17"/>
                <w:szCs w:val="17"/>
              </w:rPr>
              <w:t>-</w:t>
            </w:r>
            <w:r>
              <w:rPr>
                <w:rFonts w:eastAsia="Times New Roman"/>
                <w:iCs/>
                <w:color w:val="auto"/>
                <w:sz w:val="17"/>
                <w:szCs w:val="17"/>
              </w:rPr>
              <w:t xml:space="preserve"> </w:t>
            </w:r>
            <w:r w:rsidRPr="00EB7136">
              <w:rPr>
                <w:rFonts w:eastAsia="Times New Roman"/>
                <w:iCs/>
                <w:color w:val="auto"/>
                <w:sz w:val="17"/>
                <w:szCs w:val="17"/>
              </w:rPr>
              <w:t>Timor-Leste Education Program</w:t>
            </w:r>
          </w:p>
        </w:tc>
        <w:tc>
          <w:tcPr>
            <w:tcW w:w="1462" w:type="dxa"/>
            <w:vMerge w:val="restart"/>
            <w:tcBorders>
              <w:top w:val="single" w:sz="4" w:space="0" w:color="auto"/>
            </w:tcBorders>
            <w:shd w:val="clear" w:color="auto" w:fill="auto"/>
            <w:vAlign w:val="center"/>
            <w:hideMark/>
          </w:tcPr>
          <w:p w:rsidR="00EB7136" w:rsidRPr="00EB7136" w:rsidRDefault="00EB7136" w:rsidP="006151FE">
            <w:pPr>
              <w:autoSpaceDE w:val="0"/>
              <w:autoSpaceDN w:val="0"/>
              <w:adjustRightInd w:val="0"/>
              <w:jc w:val="center"/>
              <w:rPr>
                <w:rFonts w:cs="Franklin Gothic Book"/>
                <w:color w:val="auto"/>
                <w:sz w:val="17"/>
                <w:szCs w:val="17"/>
                <w:lang w:eastAsia="en-AU"/>
              </w:rPr>
            </w:pPr>
            <w:r w:rsidRPr="00EB7136">
              <w:rPr>
                <w:rFonts w:cs="Franklin Gothic Book"/>
                <w:color w:val="auto"/>
                <w:sz w:val="17"/>
                <w:szCs w:val="17"/>
                <w:lang w:eastAsia="en-AU"/>
              </w:rPr>
              <w:t>$22m, 2012-18</w:t>
            </w:r>
          </w:p>
        </w:tc>
        <w:tc>
          <w:tcPr>
            <w:tcW w:w="1023" w:type="dxa"/>
            <w:tcBorders>
              <w:top w:val="single" w:sz="4" w:space="0" w:color="auto"/>
            </w:tcBorders>
            <w:shd w:val="clear" w:color="auto" w:fill="auto"/>
            <w:vAlign w:val="center"/>
            <w:hideMark/>
          </w:tcPr>
          <w:p w:rsidR="00EB7136" w:rsidRPr="00EB7136" w:rsidRDefault="00EB7136" w:rsidP="00963B57">
            <w:pPr>
              <w:keepLines/>
              <w:spacing w:before="40" w:after="40" w:line="200" w:lineRule="atLeast"/>
              <w:jc w:val="center"/>
              <w:rPr>
                <w:rFonts w:eastAsia="Times New Roman"/>
                <w:iCs/>
                <w:color w:val="auto"/>
                <w:sz w:val="17"/>
                <w:szCs w:val="17"/>
              </w:rPr>
            </w:pPr>
            <w:r w:rsidRPr="00EB7136">
              <w:rPr>
                <w:rFonts w:eastAsia="Times New Roman"/>
                <w:iCs/>
                <w:color w:val="auto"/>
                <w:sz w:val="17"/>
                <w:szCs w:val="17"/>
              </w:rPr>
              <w:t>2016 AQC</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000000" w:fill="FFFF0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4</w:t>
            </w:r>
          </w:p>
        </w:tc>
        <w:tc>
          <w:tcPr>
            <w:tcW w:w="1268" w:type="dxa"/>
            <w:tcBorders>
              <w:top w:val="single" w:sz="4" w:space="0" w:color="auto"/>
            </w:tcBorders>
            <w:shd w:val="clear" w:color="000000" w:fill="FFFF0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4</w:t>
            </w:r>
          </w:p>
        </w:tc>
        <w:tc>
          <w:tcPr>
            <w:tcW w:w="1300"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220" w:type="dxa"/>
            <w:tcBorders>
              <w:top w:val="single" w:sz="4" w:space="0" w:color="auto"/>
              <w:right w:val="single" w:sz="4" w:space="0" w:color="auto"/>
            </w:tcBorders>
            <w:shd w:val="clear" w:color="000000" w:fill="FFFF0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4</w:t>
            </w:r>
          </w:p>
        </w:tc>
      </w:tr>
      <w:tr w:rsidR="00EB7136" w:rsidRPr="009D159A" w:rsidTr="00D8342B">
        <w:trPr>
          <w:trHeight w:val="256"/>
        </w:trPr>
        <w:tc>
          <w:tcPr>
            <w:tcW w:w="3962" w:type="dxa"/>
            <w:vMerge/>
            <w:tcBorders>
              <w:left w:val="single" w:sz="4" w:space="0" w:color="auto"/>
              <w:bottom w:val="single" w:sz="4" w:space="0" w:color="auto"/>
            </w:tcBorders>
            <w:vAlign w:val="center"/>
            <w:hideMark/>
          </w:tcPr>
          <w:p w:rsidR="00EB7136" w:rsidRPr="00EB7136" w:rsidRDefault="00EB7136" w:rsidP="00EB7136">
            <w:pPr>
              <w:keepLines/>
              <w:spacing w:before="40" w:after="40" w:line="200" w:lineRule="atLeast"/>
              <w:rPr>
                <w:rFonts w:eastAsia="Times New Roman"/>
                <w:iCs/>
                <w:color w:val="auto"/>
                <w:sz w:val="17"/>
                <w:szCs w:val="17"/>
              </w:rPr>
            </w:pPr>
          </w:p>
        </w:tc>
        <w:tc>
          <w:tcPr>
            <w:tcW w:w="1462" w:type="dxa"/>
            <w:vMerge/>
            <w:tcBorders>
              <w:bottom w:val="single" w:sz="4" w:space="0" w:color="auto"/>
            </w:tcBorders>
            <w:vAlign w:val="center"/>
            <w:hideMark/>
          </w:tcPr>
          <w:p w:rsidR="00EB7136" w:rsidRPr="00D8342B" w:rsidRDefault="00EB7136" w:rsidP="00963B57">
            <w:pPr>
              <w:autoSpaceDE w:val="0"/>
              <w:autoSpaceDN w:val="0"/>
              <w:adjustRightInd w:val="0"/>
              <w:jc w:val="center"/>
              <w:rPr>
                <w:rFonts w:cs="Franklin Gothic Book"/>
                <w:color w:val="auto"/>
                <w:sz w:val="17"/>
                <w:szCs w:val="17"/>
                <w:lang w:eastAsia="en-AU"/>
              </w:rPr>
            </w:pPr>
          </w:p>
        </w:tc>
        <w:tc>
          <w:tcPr>
            <w:tcW w:w="1023" w:type="dxa"/>
            <w:tcBorders>
              <w:bottom w:val="single" w:sz="4" w:space="0" w:color="auto"/>
            </w:tcBorders>
            <w:shd w:val="clear" w:color="auto" w:fill="auto"/>
            <w:vAlign w:val="center"/>
            <w:hideMark/>
          </w:tcPr>
          <w:p w:rsidR="00EB7136" w:rsidRPr="00D8342B" w:rsidRDefault="00EB7136" w:rsidP="00963B57">
            <w:pPr>
              <w:keepLines/>
              <w:spacing w:before="40" w:after="40" w:line="200" w:lineRule="atLeast"/>
              <w:jc w:val="center"/>
              <w:rPr>
                <w:rFonts w:eastAsia="Times New Roman"/>
                <w:iCs/>
                <w:color w:val="auto"/>
                <w:sz w:val="17"/>
                <w:szCs w:val="17"/>
              </w:rPr>
            </w:pPr>
            <w:r w:rsidRPr="00D8342B">
              <w:rPr>
                <w:rFonts w:eastAsia="Times New Roman"/>
                <w:iCs/>
                <w:color w:val="auto"/>
                <w:sz w:val="17"/>
                <w:szCs w:val="17"/>
              </w:rPr>
              <w:t>2015 AQC</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8" w:type="dxa"/>
            <w:tcBorders>
              <w:bottom w:val="single" w:sz="4" w:space="0" w:color="auto"/>
            </w:tcBorders>
            <w:shd w:val="clear" w:color="auto" w:fill="F7AA32"/>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3</w:t>
            </w:r>
          </w:p>
        </w:tc>
        <w:tc>
          <w:tcPr>
            <w:tcW w:w="1137"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268" w:type="dxa"/>
            <w:tcBorders>
              <w:bottom w:val="single" w:sz="4" w:space="0" w:color="auto"/>
            </w:tcBorders>
            <w:shd w:val="clear" w:color="auto" w:fill="F7AA32"/>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3</w:t>
            </w:r>
          </w:p>
        </w:tc>
        <w:tc>
          <w:tcPr>
            <w:tcW w:w="1300"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137"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220" w:type="dxa"/>
            <w:tcBorders>
              <w:bottom w:val="single" w:sz="4" w:space="0" w:color="auto"/>
              <w:right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r>
      <w:tr w:rsidR="00EB7136" w:rsidRPr="009D159A" w:rsidTr="00D8342B">
        <w:trPr>
          <w:trHeight w:val="243"/>
        </w:trPr>
        <w:tc>
          <w:tcPr>
            <w:tcW w:w="3962" w:type="dxa"/>
            <w:vMerge w:val="restart"/>
            <w:tcBorders>
              <w:top w:val="single" w:sz="4" w:space="0" w:color="auto"/>
              <w:left w:val="single" w:sz="4" w:space="0" w:color="auto"/>
            </w:tcBorders>
            <w:shd w:val="clear" w:color="auto" w:fill="auto"/>
            <w:vAlign w:val="center"/>
            <w:hideMark/>
          </w:tcPr>
          <w:p w:rsidR="00EB7136" w:rsidRPr="00EB7136" w:rsidRDefault="00EB7136" w:rsidP="00EB7136">
            <w:pPr>
              <w:keepLines/>
              <w:spacing w:before="40" w:after="40" w:line="200" w:lineRule="atLeast"/>
              <w:rPr>
                <w:rFonts w:eastAsia="Times New Roman"/>
                <w:iCs/>
                <w:color w:val="auto"/>
                <w:sz w:val="17"/>
                <w:szCs w:val="17"/>
              </w:rPr>
            </w:pPr>
            <w:r w:rsidRPr="00EB7136">
              <w:rPr>
                <w:rFonts w:eastAsia="Times New Roman"/>
                <w:iCs/>
                <w:color w:val="auto"/>
                <w:sz w:val="17"/>
                <w:szCs w:val="17"/>
              </w:rPr>
              <w:t>INK784</w:t>
            </w:r>
            <w:r>
              <w:rPr>
                <w:rFonts w:eastAsia="Times New Roman"/>
                <w:iCs/>
                <w:color w:val="auto"/>
                <w:sz w:val="17"/>
                <w:szCs w:val="17"/>
              </w:rPr>
              <w:t xml:space="preserve"> </w:t>
            </w:r>
            <w:r w:rsidRPr="00EB7136">
              <w:rPr>
                <w:rFonts w:eastAsia="Times New Roman"/>
                <w:iCs/>
                <w:color w:val="auto"/>
                <w:sz w:val="17"/>
                <w:szCs w:val="17"/>
              </w:rPr>
              <w:t>-</w:t>
            </w:r>
            <w:r>
              <w:rPr>
                <w:rFonts w:eastAsia="Times New Roman"/>
                <w:iCs/>
                <w:color w:val="auto"/>
                <w:sz w:val="17"/>
                <w:szCs w:val="17"/>
              </w:rPr>
              <w:t xml:space="preserve"> </w:t>
            </w:r>
            <w:r w:rsidRPr="00EB7136">
              <w:rPr>
                <w:rFonts w:eastAsia="Times New Roman"/>
                <w:iCs/>
                <w:color w:val="auto"/>
                <w:sz w:val="17"/>
                <w:szCs w:val="17"/>
              </w:rPr>
              <w:t>National Program for Village</w:t>
            </w:r>
            <w:r>
              <w:rPr>
                <w:rFonts w:eastAsia="Times New Roman"/>
                <w:iCs/>
                <w:color w:val="auto"/>
                <w:sz w:val="17"/>
                <w:szCs w:val="17"/>
              </w:rPr>
              <w:t xml:space="preserve"> </w:t>
            </w:r>
            <w:r w:rsidRPr="00EB7136">
              <w:rPr>
                <w:rFonts w:eastAsia="Times New Roman"/>
                <w:iCs/>
                <w:color w:val="auto"/>
                <w:sz w:val="17"/>
                <w:szCs w:val="17"/>
              </w:rPr>
              <w:t>Development</w:t>
            </w:r>
          </w:p>
        </w:tc>
        <w:tc>
          <w:tcPr>
            <w:tcW w:w="1462" w:type="dxa"/>
            <w:vMerge w:val="restart"/>
            <w:tcBorders>
              <w:top w:val="single" w:sz="4" w:space="0" w:color="auto"/>
            </w:tcBorders>
            <w:shd w:val="clear" w:color="auto" w:fill="auto"/>
            <w:vAlign w:val="center"/>
            <w:hideMark/>
          </w:tcPr>
          <w:p w:rsidR="00EB7136" w:rsidRPr="00EB7136" w:rsidRDefault="00EB7136" w:rsidP="006151FE">
            <w:pPr>
              <w:autoSpaceDE w:val="0"/>
              <w:autoSpaceDN w:val="0"/>
              <w:adjustRightInd w:val="0"/>
              <w:jc w:val="center"/>
              <w:rPr>
                <w:rFonts w:cs="Franklin Gothic Book"/>
                <w:color w:val="auto"/>
                <w:sz w:val="17"/>
                <w:szCs w:val="17"/>
                <w:lang w:eastAsia="en-AU"/>
              </w:rPr>
            </w:pPr>
            <w:r w:rsidRPr="00EB7136">
              <w:rPr>
                <w:rFonts w:cs="Franklin Gothic Book"/>
                <w:color w:val="auto"/>
                <w:sz w:val="17"/>
                <w:szCs w:val="17"/>
                <w:lang w:eastAsia="en-AU"/>
              </w:rPr>
              <w:t>$44m, 2012-18</w:t>
            </w:r>
          </w:p>
        </w:tc>
        <w:tc>
          <w:tcPr>
            <w:tcW w:w="1023" w:type="dxa"/>
            <w:tcBorders>
              <w:top w:val="single" w:sz="4" w:space="0" w:color="auto"/>
            </w:tcBorders>
            <w:shd w:val="clear" w:color="auto" w:fill="auto"/>
            <w:vAlign w:val="center"/>
            <w:hideMark/>
          </w:tcPr>
          <w:p w:rsidR="00EB7136" w:rsidRPr="00EB7136" w:rsidRDefault="00EB7136" w:rsidP="00963B57">
            <w:pPr>
              <w:keepLines/>
              <w:spacing w:before="40" w:after="40" w:line="200" w:lineRule="atLeast"/>
              <w:jc w:val="center"/>
              <w:rPr>
                <w:rFonts w:eastAsia="Times New Roman"/>
                <w:iCs/>
                <w:color w:val="auto"/>
                <w:sz w:val="17"/>
                <w:szCs w:val="17"/>
              </w:rPr>
            </w:pPr>
            <w:r w:rsidRPr="00EB7136">
              <w:rPr>
                <w:rFonts w:eastAsia="Times New Roman"/>
                <w:iCs/>
                <w:color w:val="auto"/>
                <w:sz w:val="17"/>
                <w:szCs w:val="17"/>
              </w:rPr>
              <w:t>2016 AQC</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26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300"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00B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6</w:t>
            </w:r>
          </w:p>
        </w:tc>
        <w:tc>
          <w:tcPr>
            <w:tcW w:w="1220" w:type="dxa"/>
            <w:tcBorders>
              <w:top w:val="single" w:sz="4" w:space="0" w:color="auto"/>
              <w:right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r>
      <w:tr w:rsidR="00EB7136" w:rsidRPr="009D159A" w:rsidTr="00D8342B">
        <w:trPr>
          <w:trHeight w:val="256"/>
        </w:trPr>
        <w:tc>
          <w:tcPr>
            <w:tcW w:w="3962" w:type="dxa"/>
            <w:vMerge/>
            <w:tcBorders>
              <w:left w:val="single" w:sz="4" w:space="0" w:color="auto"/>
              <w:bottom w:val="single" w:sz="4" w:space="0" w:color="auto"/>
            </w:tcBorders>
            <w:vAlign w:val="center"/>
            <w:hideMark/>
          </w:tcPr>
          <w:p w:rsidR="00EB7136" w:rsidRPr="00EB7136" w:rsidRDefault="00EB7136" w:rsidP="00EB7136">
            <w:pPr>
              <w:keepLines/>
              <w:spacing w:before="40" w:after="40" w:line="200" w:lineRule="atLeast"/>
              <w:rPr>
                <w:rFonts w:eastAsia="Times New Roman"/>
                <w:iCs/>
                <w:color w:val="auto"/>
                <w:sz w:val="17"/>
                <w:szCs w:val="17"/>
              </w:rPr>
            </w:pPr>
          </w:p>
        </w:tc>
        <w:tc>
          <w:tcPr>
            <w:tcW w:w="1462" w:type="dxa"/>
            <w:vMerge/>
            <w:tcBorders>
              <w:bottom w:val="single" w:sz="4" w:space="0" w:color="auto"/>
            </w:tcBorders>
            <w:vAlign w:val="center"/>
            <w:hideMark/>
          </w:tcPr>
          <w:p w:rsidR="00EB7136" w:rsidRPr="00D8342B" w:rsidRDefault="00EB7136" w:rsidP="00963B57">
            <w:pPr>
              <w:autoSpaceDE w:val="0"/>
              <w:autoSpaceDN w:val="0"/>
              <w:adjustRightInd w:val="0"/>
              <w:jc w:val="center"/>
              <w:rPr>
                <w:rFonts w:cs="Franklin Gothic Book"/>
                <w:color w:val="auto"/>
                <w:sz w:val="17"/>
                <w:szCs w:val="17"/>
                <w:lang w:eastAsia="en-AU"/>
              </w:rPr>
            </w:pPr>
          </w:p>
        </w:tc>
        <w:tc>
          <w:tcPr>
            <w:tcW w:w="1023" w:type="dxa"/>
            <w:tcBorders>
              <w:bottom w:val="single" w:sz="4" w:space="0" w:color="auto"/>
            </w:tcBorders>
            <w:shd w:val="clear" w:color="auto" w:fill="auto"/>
            <w:vAlign w:val="center"/>
            <w:hideMark/>
          </w:tcPr>
          <w:p w:rsidR="00EB7136" w:rsidRPr="00D8342B" w:rsidRDefault="00EB7136" w:rsidP="00963B57">
            <w:pPr>
              <w:keepLines/>
              <w:spacing w:before="40" w:after="40" w:line="200" w:lineRule="atLeast"/>
              <w:jc w:val="center"/>
              <w:rPr>
                <w:rFonts w:eastAsia="Times New Roman"/>
                <w:iCs/>
                <w:color w:val="auto"/>
                <w:sz w:val="17"/>
                <w:szCs w:val="17"/>
              </w:rPr>
            </w:pPr>
            <w:r w:rsidRPr="00D8342B">
              <w:rPr>
                <w:rFonts w:eastAsia="Times New Roman"/>
                <w:iCs/>
                <w:color w:val="auto"/>
                <w:sz w:val="17"/>
                <w:szCs w:val="17"/>
              </w:rPr>
              <w:t>2015 AQC</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8"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268"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300"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00B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6</w:t>
            </w:r>
          </w:p>
        </w:tc>
        <w:tc>
          <w:tcPr>
            <w:tcW w:w="1220" w:type="dxa"/>
            <w:tcBorders>
              <w:bottom w:val="single" w:sz="4" w:space="0" w:color="auto"/>
              <w:right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r>
      <w:tr w:rsidR="00EB7136" w:rsidRPr="009D159A" w:rsidTr="00D8342B">
        <w:trPr>
          <w:trHeight w:val="353"/>
        </w:trPr>
        <w:tc>
          <w:tcPr>
            <w:tcW w:w="3962" w:type="dxa"/>
            <w:vMerge w:val="restart"/>
            <w:tcBorders>
              <w:top w:val="single" w:sz="4" w:space="0" w:color="auto"/>
              <w:left w:val="single" w:sz="4" w:space="0" w:color="auto"/>
            </w:tcBorders>
            <w:shd w:val="clear" w:color="auto" w:fill="auto"/>
            <w:vAlign w:val="center"/>
            <w:hideMark/>
          </w:tcPr>
          <w:p w:rsidR="00EB7136" w:rsidRPr="00EB7136" w:rsidRDefault="00EB7136" w:rsidP="00EB7136">
            <w:pPr>
              <w:keepLines/>
              <w:spacing w:before="40" w:after="40" w:line="200" w:lineRule="atLeast"/>
              <w:rPr>
                <w:rFonts w:eastAsia="Times New Roman"/>
                <w:iCs/>
                <w:color w:val="auto"/>
                <w:sz w:val="17"/>
                <w:szCs w:val="17"/>
              </w:rPr>
            </w:pPr>
            <w:r w:rsidRPr="00EB7136">
              <w:rPr>
                <w:rFonts w:eastAsia="Times New Roman"/>
                <w:iCs/>
                <w:color w:val="auto"/>
                <w:sz w:val="17"/>
                <w:szCs w:val="17"/>
              </w:rPr>
              <w:t>INK815</w:t>
            </w:r>
            <w:r>
              <w:rPr>
                <w:rFonts w:eastAsia="Times New Roman"/>
                <w:iCs/>
                <w:color w:val="auto"/>
                <w:sz w:val="17"/>
                <w:szCs w:val="17"/>
              </w:rPr>
              <w:t xml:space="preserve"> </w:t>
            </w:r>
            <w:r w:rsidRPr="00EB7136">
              <w:rPr>
                <w:rFonts w:eastAsia="Times New Roman"/>
                <w:iCs/>
                <w:color w:val="auto"/>
                <w:sz w:val="17"/>
                <w:szCs w:val="17"/>
              </w:rPr>
              <w:t>-</w:t>
            </w:r>
            <w:r>
              <w:rPr>
                <w:rFonts w:eastAsia="Times New Roman"/>
                <w:iCs/>
                <w:color w:val="auto"/>
                <w:sz w:val="17"/>
                <w:szCs w:val="17"/>
              </w:rPr>
              <w:t xml:space="preserve"> </w:t>
            </w:r>
            <w:r w:rsidRPr="00EB7136">
              <w:rPr>
                <w:rFonts w:eastAsia="Times New Roman"/>
                <w:iCs/>
                <w:color w:val="auto"/>
                <w:sz w:val="17"/>
                <w:szCs w:val="17"/>
              </w:rPr>
              <w:t>Ending Violence Against Women in Timor-Leste</w:t>
            </w:r>
          </w:p>
        </w:tc>
        <w:tc>
          <w:tcPr>
            <w:tcW w:w="1462" w:type="dxa"/>
            <w:vMerge w:val="restart"/>
            <w:tcBorders>
              <w:top w:val="single" w:sz="4" w:space="0" w:color="auto"/>
            </w:tcBorders>
            <w:shd w:val="clear" w:color="auto" w:fill="auto"/>
            <w:vAlign w:val="center"/>
            <w:hideMark/>
          </w:tcPr>
          <w:p w:rsidR="00EB7136" w:rsidRPr="00EB7136" w:rsidRDefault="00EB7136" w:rsidP="006151FE">
            <w:pPr>
              <w:autoSpaceDE w:val="0"/>
              <w:autoSpaceDN w:val="0"/>
              <w:adjustRightInd w:val="0"/>
              <w:jc w:val="center"/>
              <w:rPr>
                <w:rFonts w:cs="Franklin Gothic Book"/>
                <w:color w:val="auto"/>
                <w:sz w:val="17"/>
                <w:szCs w:val="17"/>
                <w:lang w:eastAsia="en-AU"/>
              </w:rPr>
            </w:pPr>
            <w:r w:rsidRPr="00EB7136">
              <w:rPr>
                <w:rFonts w:cs="Franklin Gothic Book"/>
                <w:color w:val="auto"/>
                <w:sz w:val="17"/>
                <w:szCs w:val="17"/>
                <w:lang w:eastAsia="en-AU"/>
              </w:rPr>
              <w:t>$20m, 2012-18</w:t>
            </w:r>
          </w:p>
        </w:tc>
        <w:tc>
          <w:tcPr>
            <w:tcW w:w="1023" w:type="dxa"/>
            <w:tcBorders>
              <w:top w:val="single" w:sz="4" w:space="0" w:color="auto"/>
            </w:tcBorders>
            <w:shd w:val="clear" w:color="auto" w:fill="auto"/>
            <w:vAlign w:val="center"/>
            <w:hideMark/>
          </w:tcPr>
          <w:p w:rsidR="00EB7136" w:rsidRPr="00EB7136" w:rsidRDefault="00EB7136" w:rsidP="00963B57">
            <w:pPr>
              <w:keepLines/>
              <w:spacing w:before="40" w:after="40" w:line="200" w:lineRule="atLeast"/>
              <w:jc w:val="center"/>
              <w:rPr>
                <w:rFonts w:eastAsia="Times New Roman"/>
                <w:iCs/>
                <w:color w:val="auto"/>
                <w:sz w:val="17"/>
                <w:szCs w:val="17"/>
              </w:rPr>
            </w:pPr>
            <w:r w:rsidRPr="00EB7136">
              <w:rPr>
                <w:rFonts w:eastAsia="Times New Roman"/>
                <w:iCs/>
                <w:color w:val="auto"/>
                <w:sz w:val="17"/>
                <w:szCs w:val="17"/>
              </w:rPr>
              <w:t>2016 AQC</w:t>
            </w:r>
          </w:p>
        </w:tc>
        <w:tc>
          <w:tcPr>
            <w:tcW w:w="1137" w:type="dxa"/>
            <w:tcBorders>
              <w:top w:val="single" w:sz="4" w:space="0" w:color="auto"/>
            </w:tcBorders>
            <w:shd w:val="clear" w:color="auto" w:fill="00B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6</w:t>
            </w:r>
          </w:p>
        </w:tc>
        <w:tc>
          <w:tcPr>
            <w:tcW w:w="113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26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300" w:type="dxa"/>
            <w:tcBorders>
              <w:top w:val="single" w:sz="4" w:space="0" w:color="auto"/>
            </w:tcBorders>
            <w:shd w:val="clear" w:color="auto" w:fill="00B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6</w:t>
            </w:r>
          </w:p>
        </w:tc>
        <w:tc>
          <w:tcPr>
            <w:tcW w:w="1137" w:type="dxa"/>
            <w:tcBorders>
              <w:top w:val="single" w:sz="4" w:space="0" w:color="auto"/>
            </w:tcBorders>
            <w:shd w:val="clear" w:color="auto" w:fill="00B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6</w:t>
            </w:r>
          </w:p>
        </w:tc>
        <w:tc>
          <w:tcPr>
            <w:tcW w:w="1220" w:type="dxa"/>
            <w:tcBorders>
              <w:top w:val="single" w:sz="4" w:space="0" w:color="auto"/>
              <w:right w:val="single" w:sz="4" w:space="0" w:color="auto"/>
            </w:tcBorders>
            <w:shd w:val="clear" w:color="auto" w:fill="00B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6</w:t>
            </w:r>
          </w:p>
        </w:tc>
      </w:tr>
      <w:tr w:rsidR="00EB7136" w:rsidRPr="009D159A" w:rsidTr="00D8342B">
        <w:trPr>
          <w:trHeight w:val="256"/>
        </w:trPr>
        <w:tc>
          <w:tcPr>
            <w:tcW w:w="3962" w:type="dxa"/>
            <w:vMerge/>
            <w:tcBorders>
              <w:left w:val="single" w:sz="4" w:space="0" w:color="auto"/>
              <w:bottom w:val="single" w:sz="4" w:space="0" w:color="auto"/>
            </w:tcBorders>
            <w:vAlign w:val="center"/>
            <w:hideMark/>
          </w:tcPr>
          <w:p w:rsidR="00EB7136" w:rsidRPr="00EB7136" w:rsidRDefault="00EB7136" w:rsidP="00EB7136">
            <w:pPr>
              <w:keepLines/>
              <w:spacing w:before="40" w:after="40" w:line="200" w:lineRule="atLeast"/>
              <w:rPr>
                <w:rFonts w:eastAsia="Times New Roman"/>
                <w:iCs/>
                <w:color w:val="auto"/>
                <w:sz w:val="17"/>
                <w:szCs w:val="17"/>
              </w:rPr>
            </w:pPr>
          </w:p>
        </w:tc>
        <w:tc>
          <w:tcPr>
            <w:tcW w:w="1462" w:type="dxa"/>
            <w:vMerge/>
            <w:tcBorders>
              <w:bottom w:val="single" w:sz="4" w:space="0" w:color="auto"/>
            </w:tcBorders>
            <w:vAlign w:val="center"/>
            <w:hideMark/>
          </w:tcPr>
          <w:p w:rsidR="00EB7136" w:rsidRPr="00D8342B" w:rsidRDefault="00EB7136" w:rsidP="00963B57">
            <w:pPr>
              <w:autoSpaceDE w:val="0"/>
              <w:autoSpaceDN w:val="0"/>
              <w:adjustRightInd w:val="0"/>
              <w:jc w:val="center"/>
              <w:rPr>
                <w:rFonts w:cs="Franklin Gothic Book"/>
                <w:color w:val="auto"/>
                <w:sz w:val="17"/>
                <w:szCs w:val="17"/>
                <w:lang w:eastAsia="en-AU"/>
              </w:rPr>
            </w:pPr>
          </w:p>
        </w:tc>
        <w:tc>
          <w:tcPr>
            <w:tcW w:w="1023" w:type="dxa"/>
            <w:tcBorders>
              <w:bottom w:val="single" w:sz="4" w:space="0" w:color="auto"/>
            </w:tcBorders>
            <w:shd w:val="clear" w:color="auto" w:fill="auto"/>
            <w:vAlign w:val="center"/>
            <w:hideMark/>
          </w:tcPr>
          <w:p w:rsidR="00EB7136" w:rsidRPr="00D8342B" w:rsidRDefault="00EB7136" w:rsidP="00963B57">
            <w:pPr>
              <w:keepLines/>
              <w:spacing w:before="40" w:after="40" w:line="200" w:lineRule="atLeast"/>
              <w:jc w:val="center"/>
              <w:rPr>
                <w:rFonts w:eastAsia="Times New Roman"/>
                <w:iCs/>
                <w:color w:val="auto"/>
                <w:sz w:val="17"/>
                <w:szCs w:val="17"/>
              </w:rPr>
            </w:pPr>
            <w:r w:rsidRPr="00D8342B">
              <w:rPr>
                <w:rFonts w:eastAsia="Times New Roman"/>
                <w:iCs/>
                <w:color w:val="auto"/>
                <w:sz w:val="17"/>
                <w:szCs w:val="17"/>
              </w:rPr>
              <w:t>2015 AQC</w:t>
            </w:r>
          </w:p>
        </w:tc>
        <w:tc>
          <w:tcPr>
            <w:tcW w:w="1137" w:type="dxa"/>
            <w:tcBorders>
              <w:bottom w:val="single" w:sz="4" w:space="0" w:color="auto"/>
            </w:tcBorders>
            <w:shd w:val="clear" w:color="auto" w:fill="00B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6</w:t>
            </w:r>
          </w:p>
        </w:tc>
        <w:tc>
          <w:tcPr>
            <w:tcW w:w="1138"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137"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268"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300" w:type="dxa"/>
            <w:tcBorders>
              <w:bottom w:val="single" w:sz="4" w:space="0" w:color="auto"/>
            </w:tcBorders>
            <w:shd w:val="clear" w:color="auto" w:fill="00B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6</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220" w:type="dxa"/>
            <w:tcBorders>
              <w:bottom w:val="single" w:sz="4" w:space="0" w:color="auto"/>
              <w:right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r>
      <w:tr w:rsidR="00EB7136" w:rsidRPr="009D159A" w:rsidTr="00D8342B">
        <w:trPr>
          <w:trHeight w:val="368"/>
        </w:trPr>
        <w:tc>
          <w:tcPr>
            <w:tcW w:w="3962" w:type="dxa"/>
            <w:vMerge w:val="restart"/>
            <w:tcBorders>
              <w:top w:val="single" w:sz="4" w:space="0" w:color="auto"/>
              <w:left w:val="single" w:sz="4" w:space="0" w:color="auto"/>
            </w:tcBorders>
            <w:shd w:val="clear" w:color="auto" w:fill="auto"/>
            <w:vAlign w:val="center"/>
            <w:hideMark/>
          </w:tcPr>
          <w:p w:rsidR="00EB7136" w:rsidRPr="00EB7136" w:rsidRDefault="00EB7136" w:rsidP="00EB7136">
            <w:pPr>
              <w:keepLines/>
              <w:spacing w:before="40" w:after="40" w:line="200" w:lineRule="atLeast"/>
              <w:rPr>
                <w:rFonts w:eastAsia="Times New Roman"/>
                <w:iCs/>
                <w:color w:val="auto"/>
                <w:sz w:val="17"/>
                <w:szCs w:val="17"/>
              </w:rPr>
            </w:pPr>
            <w:r w:rsidRPr="00EB7136">
              <w:rPr>
                <w:rFonts w:eastAsia="Times New Roman"/>
                <w:iCs/>
                <w:color w:val="auto"/>
                <w:sz w:val="17"/>
                <w:szCs w:val="17"/>
              </w:rPr>
              <w:t>INL073</w:t>
            </w:r>
            <w:r>
              <w:rPr>
                <w:rFonts w:eastAsia="Times New Roman"/>
                <w:iCs/>
                <w:color w:val="auto"/>
                <w:sz w:val="17"/>
                <w:szCs w:val="17"/>
              </w:rPr>
              <w:t xml:space="preserve"> </w:t>
            </w:r>
            <w:r w:rsidRPr="00EB7136">
              <w:rPr>
                <w:rFonts w:eastAsia="Times New Roman"/>
                <w:iCs/>
                <w:color w:val="auto"/>
                <w:sz w:val="17"/>
                <w:szCs w:val="17"/>
              </w:rPr>
              <w:t>-</w:t>
            </w:r>
            <w:r>
              <w:rPr>
                <w:rFonts w:eastAsia="Times New Roman"/>
                <w:iCs/>
                <w:color w:val="auto"/>
                <w:sz w:val="17"/>
                <w:szCs w:val="17"/>
              </w:rPr>
              <w:t xml:space="preserve"> </w:t>
            </w:r>
            <w:r w:rsidRPr="00EB7136">
              <w:rPr>
                <w:rFonts w:eastAsia="Times New Roman"/>
                <w:iCs/>
                <w:color w:val="auto"/>
                <w:sz w:val="17"/>
                <w:szCs w:val="17"/>
              </w:rPr>
              <w:t>Governance for Development Timor-Leste</w:t>
            </w:r>
          </w:p>
        </w:tc>
        <w:tc>
          <w:tcPr>
            <w:tcW w:w="1462" w:type="dxa"/>
            <w:vMerge w:val="restart"/>
            <w:tcBorders>
              <w:top w:val="single" w:sz="4" w:space="0" w:color="auto"/>
            </w:tcBorders>
            <w:shd w:val="clear" w:color="auto" w:fill="auto"/>
            <w:vAlign w:val="center"/>
            <w:hideMark/>
          </w:tcPr>
          <w:p w:rsidR="00EB7136" w:rsidRPr="00EB7136" w:rsidRDefault="00EB7136" w:rsidP="006151FE">
            <w:pPr>
              <w:autoSpaceDE w:val="0"/>
              <w:autoSpaceDN w:val="0"/>
              <w:adjustRightInd w:val="0"/>
              <w:jc w:val="center"/>
              <w:rPr>
                <w:rFonts w:cs="Franklin Gothic Book"/>
                <w:color w:val="auto"/>
                <w:sz w:val="17"/>
                <w:szCs w:val="17"/>
                <w:lang w:eastAsia="en-AU"/>
              </w:rPr>
            </w:pPr>
            <w:r w:rsidRPr="00EB7136">
              <w:rPr>
                <w:rFonts w:cs="Franklin Gothic Book"/>
                <w:color w:val="auto"/>
                <w:sz w:val="17"/>
                <w:szCs w:val="17"/>
                <w:lang w:eastAsia="en-AU"/>
              </w:rPr>
              <w:t>$58m, 2013-18</w:t>
            </w:r>
          </w:p>
        </w:tc>
        <w:tc>
          <w:tcPr>
            <w:tcW w:w="1023" w:type="dxa"/>
            <w:tcBorders>
              <w:top w:val="single" w:sz="4" w:space="0" w:color="auto"/>
            </w:tcBorders>
            <w:shd w:val="clear" w:color="auto" w:fill="auto"/>
            <w:vAlign w:val="center"/>
            <w:hideMark/>
          </w:tcPr>
          <w:p w:rsidR="00EB7136" w:rsidRPr="00EB7136" w:rsidRDefault="00EB7136" w:rsidP="00963B57">
            <w:pPr>
              <w:keepLines/>
              <w:spacing w:before="40" w:after="40" w:line="200" w:lineRule="atLeast"/>
              <w:jc w:val="center"/>
              <w:rPr>
                <w:rFonts w:eastAsia="Times New Roman"/>
                <w:iCs/>
                <w:color w:val="auto"/>
                <w:sz w:val="17"/>
                <w:szCs w:val="17"/>
              </w:rPr>
            </w:pPr>
            <w:r w:rsidRPr="00EB7136">
              <w:rPr>
                <w:rFonts w:eastAsia="Times New Roman"/>
                <w:iCs/>
                <w:color w:val="auto"/>
                <w:sz w:val="17"/>
                <w:szCs w:val="17"/>
              </w:rPr>
              <w:t>2016 AQC</w:t>
            </w:r>
          </w:p>
        </w:tc>
        <w:tc>
          <w:tcPr>
            <w:tcW w:w="1137" w:type="dxa"/>
            <w:tcBorders>
              <w:top w:val="single" w:sz="4" w:space="0" w:color="auto"/>
            </w:tcBorders>
            <w:shd w:val="clear" w:color="auto" w:fill="00B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6</w:t>
            </w:r>
          </w:p>
        </w:tc>
        <w:tc>
          <w:tcPr>
            <w:tcW w:w="113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26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300"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000000" w:fill="FFFF0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4</w:t>
            </w:r>
          </w:p>
        </w:tc>
        <w:tc>
          <w:tcPr>
            <w:tcW w:w="1220" w:type="dxa"/>
            <w:tcBorders>
              <w:top w:val="single" w:sz="4" w:space="0" w:color="auto"/>
              <w:right w:val="single" w:sz="4" w:space="0" w:color="auto"/>
            </w:tcBorders>
            <w:shd w:val="clear" w:color="auto" w:fill="00B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6</w:t>
            </w:r>
          </w:p>
        </w:tc>
      </w:tr>
      <w:tr w:rsidR="00EB7136" w:rsidRPr="009D159A" w:rsidTr="00D8342B">
        <w:trPr>
          <w:trHeight w:val="368"/>
        </w:trPr>
        <w:tc>
          <w:tcPr>
            <w:tcW w:w="3962" w:type="dxa"/>
            <w:vMerge/>
            <w:tcBorders>
              <w:left w:val="single" w:sz="4" w:space="0" w:color="auto"/>
              <w:bottom w:val="single" w:sz="4" w:space="0" w:color="auto"/>
            </w:tcBorders>
            <w:shd w:val="clear" w:color="auto" w:fill="auto"/>
            <w:vAlign w:val="center"/>
          </w:tcPr>
          <w:p w:rsidR="00EB7136" w:rsidRPr="00EB7136" w:rsidRDefault="00EB7136" w:rsidP="00EB7136">
            <w:pPr>
              <w:keepLines/>
              <w:spacing w:before="40" w:after="40" w:line="200" w:lineRule="atLeast"/>
              <w:rPr>
                <w:rFonts w:eastAsia="Times New Roman"/>
                <w:iCs/>
                <w:color w:val="auto"/>
                <w:sz w:val="17"/>
                <w:szCs w:val="17"/>
              </w:rPr>
            </w:pPr>
          </w:p>
        </w:tc>
        <w:tc>
          <w:tcPr>
            <w:tcW w:w="1462" w:type="dxa"/>
            <w:vMerge/>
            <w:tcBorders>
              <w:bottom w:val="single" w:sz="4" w:space="0" w:color="auto"/>
            </w:tcBorders>
            <w:shd w:val="clear" w:color="auto" w:fill="auto"/>
            <w:vAlign w:val="center"/>
          </w:tcPr>
          <w:p w:rsidR="00EB7136" w:rsidRPr="00D8342B" w:rsidRDefault="00EB7136" w:rsidP="006151FE">
            <w:pPr>
              <w:autoSpaceDE w:val="0"/>
              <w:autoSpaceDN w:val="0"/>
              <w:adjustRightInd w:val="0"/>
              <w:jc w:val="center"/>
              <w:rPr>
                <w:rFonts w:cs="Franklin Gothic Book"/>
                <w:color w:val="auto"/>
                <w:sz w:val="17"/>
                <w:szCs w:val="17"/>
                <w:lang w:eastAsia="en-AU"/>
              </w:rPr>
            </w:pPr>
          </w:p>
        </w:tc>
        <w:tc>
          <w:tcPr>
            <w:tcW w:w="1023" w:type="dxa"/>
            <w:tcBorders>
              <w:bottom w:val="single" w:sz="4" w:space="0" w:color="auto"/>
            </w:tcBorders>
            <w:shd w:val="clear" w:color="auto" w:fill="auto"/>
            <w:vAlign w:val="center"/>
          </w:tcPr>
          <w:p w:rsidR="00EB7136" w:rsidRPr="00D8342B" w:rsidRDefault="00EB7136" w:rsidP="00963B57">
            <w:pPr>
              <w:keepLines/>
              <w:spacing w:before="40" w:after="40" w:line="200" w:lineRule="atLeast"/>
              <w:jc w:val="center"/>
              <w:rPr>
                <w:rFonts w:eastAsia="Times New Roman"/>
                <w:iCs/>
                <w:color w:val="auto"/>
                <w:sz w:val="17"/>
                <w:szCs w:val="17"/>
              </w:rPr>
            </w:pPr>
            <w:r w:rsidRPr="00D8342B">
              <w:rPr>
                <w:rFonts w:eastAsia="Times New Roman"/>
                <w:iCs/>
                <w:color w:val="auto"/>
                <w:sz w:val="17"/>
                <w:szCs w:val="17"/>
              </w:rPr>
              <w:t>2015 AQC</w:t>
            </w:r>
          </w:p>
        </w:tc>
        <w:tc>
          <w:tcPr>
            <w:tcW w:w="1137" w:type="dxa"/>
            <w:tcBorders>
              <w:bottom w:val="single" w:sz="4" w:space="0" w:color="auto"/>
            </w:tcBorders>
            <w:shd w:val="clear" w:color="auto" w:fill="00B050"/>
            <w:noWrap/>
            <w:vAlign w:val="center"/>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6</w:t>
            </w:r>
          </w:p>
        </w:tc>
        <w:tc>
          <w:tcPr>
            <w:tcW w:w="1138" w:type="dxa"/>
            <w:tcBorders>
              <w:bottom w:val="single" w:sz="4" w:space="0" w:color="auto"/>
            </w:tcBorders>
            <w:shd w:val="clear" w:color="auto" w:fill="92D050"/>
            <w:noWrap/>
            <w:vAlign w:val="center"/>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92D050"/>
            <w:noWrap/>
            <w:vAlign w:val="center"/>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268" w:type="dxa"/>
            <w:tcBorders>
              <w:bottom w:val="single" w:sz="4" w:space="0" w:color="auto"/>
            </w:tcBorders>
            <w:shd w:val="clear" w:color="auto" w:fill="FFFF00"/>
            <w:noWrap/>
            <w:vAlign w:val="center"/>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300" w:type="dxa"/>
            <w:tcBorders>
              <w:bottom w:val="single" w:sz="4" w:space="0" w:color="auto"/>
            </w:tcBorders>
            <w:shd w:val="clear" w:color="auto" w:fill="FFFF00"/>
            <w:noWrap/>
            <w:vAlign w:val="center"/>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137" w:type="dxa"/>
            <w:tcBorders>
              <w:bottom w:val="single" w:sz="4" w:space="0" w:color="auto"/>
            </w:tcBorders>
            <w:shd w:val="clear" w:color="000000" w:fill="FFFF00"/>
            <w:noWrap/>
            <w:vAlign w:val="center"/>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220" w:type="dxa"/>
            <w:tcBorders>
              <w:bottom w:val="single" w:sz="4" w:space="0" w:color="auto"/>
              <w:right w:val="single" w:sz="4" w:space="0" w:color="auto"/>
            </w:tcBorders>
            <w:shd w:val="clear" w:color="auto" w:fill="00B050"/>
            <w:noWrap/>
            <w:vAlign w:val="center"/>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6</w:t>
            </w:r>
          </w:p>
        </w:tc>
      </w:tr>
      <w:tr w:rsidR="00EB7136" w:rsidRPr="009D159A" w:rsidTr="00D8342B">
        <w:trPr>
          <w:trHeight w:val="256"/>
        </w:trPr>
        <w:tc>
          <w:tcPr>
            <w:tcW w:w="3962" w:type="dxa"/>
            <w:vMerge w:val="restart"/>
            <w:tcBorders>
              <w:top w:val="single" w:sz="4" w:space="0" w:color="auto"/>
              <w:left w:val="single" w:sz="4" w:space="0" w:color="auto"/>
            </w:tcBorders>
            <w:vAlign w:val="center"/>
          </w:tcPr>
          <w:p w:rsidR="00EB7136" w:rsidRPr="00EB7136" w:rsidRDefault="00EB7136" w:rsidP="00EB7136">
            <w:pPr>
              <w:keepLines/>
              <w:spacing w:before="40" w:after="40" w:line="200" w:lineRule="atLeast"/>
              <w:rPr>
                <w:rFonts w:eastAsia="Times New Roman"/>
                <w:iCs/>
                <w:color w:val="auto"/>
                <w:sz w:val="17"/>
                <w:szCs w:val="17"/>
              </w:rPr>
            </w:pPr>
            <w:r w:rsidRPr="00EB7136">
              <w:rPr>
                <w:rFonts w:eastAsia="Times New Roman"/>
                <w:iCs/>
                <w:color w:val="auto"/>
                <w:sz w:val="17"/>
                <w:szCs w:val="17"/>
              </w:rPr>
              <w:t>INL073</w:t>
            </w:r>
            <w:r>
              <w:rPr>
                <w:rFonts w:eastAsia="Times New Roman"/>
                <w:iCs/>
                <w:color w:val="auto"/>
                <w:sz w:val="17"/>
                <w:szCs w:val="17"/>
              </w:rPr>
              <w:t xml:space="preserve"> </w:t>
            </w:r>
            <w:r w:rsidRPr="00EB7136">
              <w:rPr>
                <w:rFonts w:eastAsia="Times New Roman"/>
                <w:iCs/>
                <w:color w:val="auto"/>
                <w:sz w:val="17"/>
                <w:szCs w:val="17"/>
              </w:rPr>
              <w:t>- Direct Budget Support to Ministry of Finance</w:t>
            </w:r>
          </w:p>
        </w:tc>
        <w:tc>
          <w:tcPr>
            <w:tcW w:w="1462" w:type="dxa"/>
            <w:vMerge w:val="restart"/>
            <w:tcBorders>
              <w:top w:val="single" w:sz="4" w:space="0" w:color="auto"/>
            </w:tcBorders>
            <w:vAlign w:val="center"/>
          </w:tcPr>
          <w:p w:rsidR="00EB7136" w:rsidRPr="00EB7136" w:rsidRDefault="00EB7136" w:rsidP="00743378">
            <w:pPr>
              <w:autoSpaceDE w:val="0"/>
              <w:autoSpaceDN w:val="0"/>
              <w:adjustRightInd w:val="0"/>
              <w:jc w:val="center"/>
              <w:rPr>
                <w:rFonts w:cs="Franklin Gothic Book"/>
                <w:color w:val="auto"/>
                <w:sz w:val="17"/>
                <w:szCs w:val="17"/>
                <w:lang w:eastAsia="en-AU"/>
              </w:rPr>
            </w:pPr>
            <w:r w:rsidRPr="00EB7136">
              <w:rPr>
                <w:rFonts w:cs="Franklin Gothic Book"/>
                <w:color w:val="auto"/>
                <w:sz w:val="17"/>
                <w:szCs w:val="17"/>
                <w:lang w:eastAsia="en-AU"/>
              </w:rPr>
              <w:t>$12m, 2014-18</w:t>
            </w:r>
          </w:p>
        </w:tc>
        <w:tc>
          <w:tcPr>
            <w:tcW w:w="1023" w:type="dxa"/>
            <w:tcBorders>
              <w:top w:val="single" w:sz="4" w:space="0" w:color="auto"/>
            </w:tcBorders>
            <w:shd w:val="clear" w:color="auto" w:fill="auto"/>
            <w:vAlign w:val="center"/>
          </w:tcPr>
          <w:p w:rsidR="00EB7136" w:rsidRPr="00EB7136" w:rsidDel="0041363F" w:rsidRDefault="00EB7136" w:rsidP="00963B57">
            <w:pPr>
              <w:keepLines/>
              <w:spacing w:before="40" w:after="40" w:line="200" w:lineRule="atLeast"/>
              <w:jc w:val="center"/>
              <w:rPr>
                <w:rFonts w:eastAsia="Times New Roman"/>
                <w:iCs/>
                <w:color w:val="auto"/>
                <w:sz w:val="17"/>
                <w:szCs w:val="17"/>
              </w:rPr>
            </w:pPr>
            <w:r w:rsidRPr="00EB7136">
              <w:rPr>
                <w:rFonts w:eastAsia="Times New Roman"/>
                <w:iCs/>
                <w:color w:val="auto"/>
                <w:sz w:val="17"/>
                <w:szCs w:val="17"/>
              </w:rPr>
              <w:t>2016 AQC</w:t>
            </w:r>
          </w:p>
        </w:tc>
        <w:tc>
          <w:tcPr>
            <w:tcW w:w="1137" w:type="dxa"/>
            <w:tcBorders>
              <w:top w:val="single" w:sz="4" w:space="0" w:color="auto"/>
            </w:tcBorders>
            <w:shd w:val="clear" w:color="auto" w:fill="00B050"/>
            <w:noWrap/>
            <w:vAlign w:val="center"/>
          </w:tcPr>
          <w:p w:rsidR="00EB7136" w:rsidRPr="00EB7136"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hAnsiTheme="majorHAnsi" w:cs="Arial"/>
                <w:bCs/>
                <w:color w:val="auto"/>
                <w:sz w:val="17"/>
                <w:szCs w:val="17"/>
              </w:rPr>
              <w:t>6</w:t>
            </w:r>
          </w:p>
        </w:tc>
        <w:tc>
          <w:tcPr>
            <w:tcW w:w="1138" w:type="dxa"/>
            <w:tcBorders>
              <w:top w:val="single" w:sz="4" w:space="0" w:color="auto"/>
            </w:tcBorders>
            <w:shd w:val="clear" w:color="auto" w:fill="FF0000"/>
            <w:noWrap/>
            <w:vAlign w:val="center"/>
          </w:tcPr>
          <w:p w:rsidR="00EB7136" w:rsidRPr="00EB7136"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hAnsiTheme="majorHAnsi" w:cs="Arial"/>
                <w:bCs/>
                <w:color w:val="auto"/>
                <w:sz w:val="17"/>
                <w:szCs w:val="17"/>
              </w:rPr>
              <w:t>2</w:t>
            </w:r>
          </w:p>
        </w:tc>
        <w:tc>
          <w:tcPr>
            <w:tcW w:w="1137" w:type="dxa"/>
            <w:tcBorders>
              <w:top w:val="single" w:sz="4" w:space="0" w:color="auto"/>
            </w:tcBorders>
            <w:shd w:val="clear" w:color="auto" w:fill="FF0000"/>
            <w:noWrap/>
            <w:vAlign w:val="center"/>
          </w:tcPr>
          <w:p w:rsidR="00EB7136" w:rsidRPr="00EB7136"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hAnsiTheme="majorHAnsi" w:cs="Arial"/>
                <w:bCs/>
                <w:color w:val="auto"/>
                <w:sz w:val="17"/>
                <w:szCs w:val="17"/>
              </w:rPr>
              <w:t>2</w:t>
            </w:r>
          </w:p>
        </w:tc>
        <w:tc>
          <w:tcPr>
            <w:tcW w:w="1268" w:type="dxa"/>
            <w:tcBorders>
              <w:top w:val="single" w:sz="4" w:space="0" w:color="auto"/>
            </w:tcBorders>
            <w:shd w:val="clear" w:color="auto" w:fill="FFFF00"/>
            <w:noWrap/>
            <w:vAlign w:val="center"/>
          </w:tcPr>
          <w:p w:rsidR="00EB7136" w:rsidRPr="00EB7136"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hAnsiTheme="majorHAnsi" w:cs="Arial"/>
                <w:bCs/>
                <w:color w:val="auto"/>
                <w:sz w:val="17"/>
                <w:szCs w:val="17"/>
              </w:rPr>
              <w:t>4</w:t>
            </w:r>
          </w:p>
        </w:tc>
        <w:tc>
          <w:tcPr>
            <w:tcW w:w="1300" w:type="dxa"/>
            <w:tcBorders>
              <w:top w:val="single" w:sz="4" w:space="0" w:color="auto"/>
            </w:tcBorders>
            <w:shd w:val="clear" w:color="auto" w:fill="92D050"/>
            <w:noWrap/>
            <w:vAlign w:val="center"/>
          </w:tcPr>
          <w:p w:rsidR="00EB7136" w:rsidRPr="00EB7136"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hAnsiTheme="majorHAnsi" w:cs="Arial"/>
                <w:bCs/>
                <w:color w:val="auto"/>
                <w:sz w:val="17"/>
                <w:szCs w:val="17"/>
              </w:rPr>
              <w:t>5</w:t>
            </w:r>
          </w:p>
        </w:tc>
        <w:tc>
          <w:tcPr>
            <w:tcW w:w="1137" w:type="dxa"/>
            <w:tcBorders>
              <w:top w:val="single" w:sz="4" w:space="0" w:color="auto"/>
            </w:tcBorders>
            <w:shd w:val="clear" w:color="auto" w:fill="FFC000"/>
            <w:noWrap/>
            <w:vAlign w:val="center"/>
          </w:tcPr>
          <w:p w:rsidR="00EB7136" w:rsidRPr="00EB7136"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hAnsiTheme="majorHAnsi" w:cs="Arial"/>
                <w:bCs/>
                <w:color w:val="auto"/>
                <w:sz w:val="17"/>
                <w:szCs w:val="17"/>
              </w:rPr>
              <w:t>3</w:t>
            </w:r>
          </w:p>
        </w:tc>
        <w:tc>
          <w:tcPr>
            <w:tcW w:w="1220" w:type="dxa"/>
            <w:tcBorders>
              <w:top w:val="single" w:sz="4" w:space="0" w:color="auto"/>
              <w:right w:val="single" w:sz="4" w:space="0" w:color="auto"/>
            </w:tcBorders>
            <w:shd w:val="clear" w:color="auto" w:fill="FFC000"/>
            <w:noWrap/>
            <w:vAlign w:val="center"/>
          </w:tcPr>
          <w:p w:rsidR="00EB7136" w:rsidRPr="00EB7136"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hAnsiTheme="majorHAnsi" w:cs="Arial"/>
                <w:bCs/>
                <w:color w:val="auto"/>
                <w:sz w:val="17"/>
                <w:szCs w:val="17"/>
              </w:rPr>
              <w:t>3</w:t>
            </w:r>
          </w:p>
        </w:tc>
      </w:tr>
      <w:tr w:rsidR="00EB7136" w:rsidRPr="009D159A" w:rsidTr="00D8342B">
        <w:trPr>
          <w:trHeight w:val="256"/>
        </w:trPr>
        <w:tc>
          <w:tcPr>
            <w:tcW w:w="3962" w:type="dxa"/>
            <w:vMerge/>
            <w:tcBorders>
              <w:left w:val="single" w:sz="4" w:space="0" w:color="auto"/>
              <w:bottom w:val="single" w:sz="4" w:space="0" w:color="auto"/>
            </w:tcBorders>
            <w:vAlign w:val="center"/>
          </w:tcPr>
          <w:p w:rsidR="00EB7136" w:rsidRPr="00EB7136" w:rsidRDefault="00EB7136" w:rsidP="00EB7136">
            <w:pPr>
              <w:keepLines/>
              <w:spacing w:before="40" w:after="40" w:line="200" w:lineRule="atLeast"/>
              <w:rPr>
                <w:rFonts w:eastAsia="Times New Roman"/>
                <w:iCs/>
                <w:color w:val="auto"/>
                <w:sz w:val="17"/>
                <w:szCs w:val="17"/>
              </w:rPr>
            </w:pPr>
          </w:p>
        </w:tc>
        <w:tc>
          <w:tcPr>
            <w:tcW w:w="1462" w:type="dxa"/>
            <w:vMerge/>
            <w:tcBorders>
              <w:bottom w:val="single" w:sz="4" w:space="0" w:color="auto"/>
            </w:tcBorders>
            <w:vAlign w:val="center"/>
          </w:tcPr>
          <w:p w:rsidR="00EB7136" w:rsidRPr="00D8342B" w:rsidRDefault="00EB7136" w:rsidP="00963B57">
            <w:pPr>
              <w:autoSpaceDE w:val="0"/>
              <w:autoSpaceDN w:val="0"/>
              <w:adjustRightInd w:val="0"/>
              <w:jc w:val="center"/>
              <w:rPr>
                <w:rFonts w:cs="Franklin Gothic Book"/>
                <w:color w:val="auto"/>
                <w:sz w:val="17"/>
                <w:szCs w:val="17"/>
                <w:lang w:eastAsia="en-AU"/>
              </w:rPr>
            </w:pPr>
          </w:p>
        </w:tc>
        <w:tc>
          <w:tcPr>
            <w:tcW w:w="1023" w:type="dxa"/>
            <w:tcBorders>
              <w:bottom w:val="single" w:sz="4" w:space="0" w:color="auto"/>
            </w:tcBorders>
            <w:shd w:val="clear" w:color="auto" w:fill="auto"/>
            <w:vAlign w:val="center"/>
          </w:tcPr>
          <w:p w:rsidR="00EB7136" w:rsidRPr="00D8342B" w:rsidDel="0041363F" w:rsidRDefault="00EB7136" w:rsidP="00963B57">
            <w:pPr>
              <w:keepLines/>
              <w:spacing w:before="40" w:after="40" w:line="200" w:lineRule="atLeast"/>
              <w:jc w:val="center"/>
              <w:rPr>
                <w:rFonts w:eastAsia="Times New Roman"/>
                <w:iCs/>
                <w:color w:val="auto"/>
                <w:sz w:val="17"/>
                <w:szCs w:val="17"/>
              </w:rPr>
            </w:pPr>
            <w:r w:rsidRPr="00D8342B">
              <w:rPr>
                <w:rFonts w:eastAsia="Times New Roman"/>
                <w:iCs/>
                <w:color w:val="auto"/>
                <w:sz w:val="17"/>
                <w:szCs w:val="17"/>
              </w:rPr>
              <w:t>2015 AQC</w:t>
            </w:r>
          </w:p>
        </w:tc>
        <w:tc>
          <w:tcPr>
            <w:tcW w:w="1137" w:type="dxa"/>
            <w:tcBorders>
              <w:bottom w:val="single" w:sz="4" w:space="0" w:color="auto"/>
            </w:tcBorders>
            <w:shd w:val="clear" w:color="auto" w:fill="00B050"/>
            <w:noWrap/>
            <w:vAlign w:val="center"/>
          </w:tcPr>
          <w:p w:rsidR="00EB7136" w:rsidRPr="00D8342B"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6</w:t>
            </w:r>
          </w:p>
        </w:tc>
        <w:tc>
          <w:tcPr>
            <w:tcW w:w="1138" w:type="dxa"/>
            <w:tcBorders>
              <w:bottom w:val="single" w:sz="4" w:space="0" w:color="auto"/>
            </w:tcBorders>
            <w:shd w:val="clear" w:color="auto" w:fill="92D050"/>
            <w:noWrap/>
            <w:vAlign w:val="center"/>
          </w:tcPr>
          <w:p w:rsidR="00EB7136" w:rsidRPr="00D8342B"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92D050"/>
            <w:noWrap/>
            <w:vAlign w:val="center"/>
          </w:tcPr>
          <w:p w:rsidR="00EB7136" w:rsidRPr="00D8342B"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268" w:type="dxa"/>
            <w:tcBorders>
              <w:bottom w:val="single" w:sz="4" w:space="0" w:color="auto"/>
            </w:tcBorders>
            <w:shd w:val="clear" w:color="auto" w:fill="92D050"/>
            <w:noWrap/>
            <w:vAlign w:val="center"/>
          </w:tcPr>
          <w:p w:rsidR="00EB7136" w:rsidRPr="00D8342B"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300" w:type="dxa"/>
            <w:tcBorders>
              <w:bottom w:val="single" w:sz="4" w:space="0" w:color="auto"/>
            </w:tcBorders>
            <w:shd w:val="clear" w:color="auto" w:fill="92D050"/>
            <w:noWrap/>
            <w:vAlign w:val="center"/>
          </w:tcPr>
          <w:p w:rsidR="00EB7136" w:rsidRPr="00D8342B"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FFFF00"/>
            <w:noWrap/>
            <w:vAlign w:val="center"/>
          </w:tcPr>
          <w:p w:rsidR="00EB7136" w:rsidRPr="00D8342B"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220" w:type="dxa"/>
            <w:tcBorders>
              <w:bottom w:val="single" w:sz="4" w:space="0" w:color="auto"/>
              <w:right w:val="single" w:sz="4" w:space="0" w:color="auto"/>
            </w:tcBorders>
            <w:shd w:val="clear" w:color="auto" w:fill="92D050"/>
            <w:noWrap/>
            <w:vAlign w:val="center"/>
          </w:tcPr>
          <w:p w:rsidR="00EB7136" w:rsidRPr="00D8342B" w:rsidDel="0041363F"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r>
      <w:tr w:rsidR="00EB7136" w:rsidRPr="009D159A" w:rsidTr="00D8342B">
        <w:trPr>
          <w:trHeight w:val="282"/>
        </w:trPr>
        <w:tc>
          <w:tcPr>
            <w:tcW w:w="3962" w:type="dxa"/>
            <w:vMerge w:val="restart"/>
            <w:tcBorders>
              <w:top w:val="single" w:sz="4" w:space="0" w:color="auto"/>
              <w:left w:val="single" w:sz="4" w:space="0" w:color="auto"/>
            </w:tcBorders>
            <w:shd w:val="clear" w:color="auto" w:fill="auto"/>
            <w:vAlign w:val="center"/>
            <w:hideMark/>
          </w:tcPr>
          <w:p w:rsidR="00EB7136" w:rsidRPr="00EB7136" w:rsidRDefault="00EB7136" w:rsidP="00EB7136">
            <w:pPr>
              <w:keepLines/>
              <w:spacing w:before="40" w:after="40" w:line="200" w:lineRule="atLeast"/>
              <w:rPr>
                <w:rFonts w:eastAsia="Times New Roman"/>
                <w:iCs/>
                <w:color w:val="auto"/>
                <w:sz w:val="17"/>
                <w:szCs w:val="17"/>
              </w:rPr>
            </w:pPr>
            <w:r w:rsidRPr="00EB7136">
              <w:rPr>
                <w:rFonts w:eastAsia="Times New Roman"/>
                <w:iCs/>
                <w:color w:val="auto"/>
                <w:sz w:val="17"/>
                <w:szCs w:val="17"/>
              </w:rPr>
              <w:t>INL092</w:t>
            </w:r>
            <w:r>
              <w:rPr>
                <w:rFonts w:eastAsia="Times New Roman"/>
                <w:iCs/>
                <w:color w:val="auto"/>
                <w:sz w:val="17"/>
                <w:szCs w:val="17"/>
              </w:rPr>
              <w:t xml:space="preserve"> </w:t>
            </w:r>
            <w:r w:rsidRPr="00EB7136">
              <w:rPr>
                <w:rFonts w:eastAsia="Times New Roman"/>
                <w:iCs/>
                <w:color w:val="auto"/>
                <w:sz w:val="17"/>
                <w:szCs w:val="17"/>
              </w:rPr>
              <w:t>-</w:t>
            </w:r>
            <w:r>
              <w:rPr>
                <w:rFonts w:eastAsia="Times New Roman"/>
                <w:iCs/>
                <w:color w:val="auto"/>
                <w:sz w:val="17"/>
                <w:szCs w:val="17"/>
              </w:rPr>
              <w:t xml:space="preserve"> </w:t>
            </w:r>
            <w:r w:rsidRPr="00EB7136">
              <w:rPr>
                <w:rFonts w:eastAsia="Times New Roman"/>
                <w:iCs/>
                <w:color w:val="auto"/>
                <w:sz w:val="17"/>
                <w:szCs w:val="17"/>
              </w:rPr>
              <w:t>Workforce Development Program</w:t>
            </w:r>
          </w:p>
        </w:tc>
        <w:tc>
          <w:tcPr>
            <w:tcW w:w="1462" w:type="dxa"/>
            <w:vMerge w:val="restart"/>
            <w:tcBorders>
              <w:top w:val="single" w:sz="4" w:space="0" w:color="auto"/>
            </w:tcBorders>
            <w:shd w:val="clear" w:color="auto" w:fill="auto"/>
            <w:vAlign w:val="center"/>
            <w:hideMark/>
          </w:tcPr>
          <w:p w:rsidR="00EB7136" w:rsidRPr="00EB7136" w:rsidRDefault="00EB7136" w:rsidP="006151FE">
            <w:pPr>
              <w:autoSpaceDE w:val="0"/>
              <w:autoSpaceDN w:val="0"/>
              <w:adjustRightInd w:val="0"/>
              <w:jc w:val="center"/>
              <w:rPr>
                <w:rFonts w:cs="Franklin Gothic Book"/>
                <w:color w:val="auto"/>
                <w:sz w:val="17"/>
                <w:szCs w:val="17"/>
                <w:lang w:eastAsia="en-AU"/>
              </w:rPr>
            </w:pPr>
            <w:r w:rsidRPr="00EB7136">
              <w:rPr>
                <w:rFonts w:cs="Franklin Gothic Book"/>
                <w:color w:val="auto"/>
                <w:sz w:val="17"/>
                <w:szCs w:val="17"/>
                <w:lang w:eastAsia="en-AU"/>
              </w:rPr>
              <w:t>$13m, 2014-19</w:t>
            </w:r>
          </w:p>
        </w:tc>
        <w:tc>
          <w:tcPr>
            <w:tcW w:w="1023" w:type="dxa"/>
            <w:tcBorders>
              <w:top w:val="single" w:sz="4" w:space="0" w:color="auto"/>
            </w:tcBorders>
            <w:shd w:val="clear" w:color="auto" w:fill="auto"/>
            <w:vAlign w:val="center"/>
            <w:hideMark/>
          </w:tcPr>
          <w:p w:rsidR="00EB7136" w:rsidRPr="00EB7136" w:rsidRDefault="00EB7136" w:rsidP="00963B57">
            <w:pPr>
              <w:keepLines/>
              <w:spacing w:before="40" w:after="40" w:line="200" w:lineRule="atLeast"/>
              <w:jc w:val="center"/>
              <w:rPr>
                <w:rFonts w:eastAsia="Times New Roman"/>
                <w:iCs/>
                <w:color w:val="auto"/>
                <w:sz w:val="17"/>
                <w:szCs w:val="17"/>
              </w:rPr>
            </w:pPr>
            <w:r w:rsidRPr="00EB7136">
              <w:rPr>
                <w:rFonts w:eastAsia="Times New Roman"/>
                <w:iCs/>
                <w:color w:val="auto"/>
                <w:sz w:val="17"/>
                <w:szCs w:val="17"/>
              </w:rPr>
              <w:t>2016 AQC</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268"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300" w:type="dxa"/>
            <w:tcBorders>
              <w:top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c>
          <w:tcPr>
            <w:tcW w:w="1137" w:type="dxa"/>
            <w:tcBorders>
              <w:top w:val="single" w:sz="4" w:space="0" w:color="auto"/>
            </w:tcBorders>
            <w:shd w:val="clear" w:color="auto" w:fill="FFFF0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4</w:t>
            </w:r>
          </w:p>
        </w:tc>
        <w:tc>
          <w:tcPr>
            <w:tcW w:w="1220" w:type="dxa"/>
            <w:tcBorders>
              <w:top w:val="single" w:sz="4" w:space="0" w:color="auto"/>
              <w:right w:val="single" w:sz="4" w:space="0" w:color="auto"/>
            </w:tcBorders>
            <w:shd w:val="clear" w:color="auto" w:fill="92D050"/>
            <w:noWrap/>
            <w:vAlign w:val="center"/>
            <w:hideMark/>
          </w:tcPr>
          <w:p w:rsidR="00EB7136" w:rsidRPr="00EB7136" w:rsidRDefault="00EB7136" w:rsidP="00963B57">
            <w:pPr>
              <w:keepLines/>
              <w:spacing w:before="40" w:after="40" w:line="200" w:lineRule="atLeast"/>
              <w:jc w:val="center"/>
              <w:rPr>
                <w:rFonts w:asciiTheme="majorHAnsi" w:eastAsia="Times New Roman" w:hAnsiTheme="majorHAnsi"/>
                <w:iCs/>
                <w:color w:val="auto"/>
                <w:sz w:val="17"/>
                <w:szCs w:val="17"/>
              </w:rPr>
            </w:pPr>
            <w:r w:rsidRPr="00EB7136">
              <w:rPr>
                <w:rFonts w:asciiTheme="majorHAnsi" w:eastAsia="Times New Roman" w:hAnsiTheme="majorHAnsi"/>
                <w:iCs/>
                <w:color w:val="auto"/>
                <w:sz w:val="17"/>
                <w:szCs w:val="17"/>
              </w:rPr>
              <w:t>5</w:t>
            </w:r>
          </w:p>
        </w:tc>
      </w:tr>
      <w:tr w:rsidR="00EB7136" w:rsidRPr="009D159A" w:rsidTr="00D8342B">
        <w:trPr>
          <w:trHeight w:val="256"/>
        </w:trPr>
        <w:tc>
          <w:tcPr>
            <w:tcW w:w="3962" w:type="dxa"/>
            <w:vMerge/>
            <w:tcBorders>
              <w:left w:val="single" w:sz="4" w:space="0" w:color="auto"/>
              <w:bottom w:val="single" w:sz="4" w:space="0" w:color="auto"/>
            </w:tcBorders>
            <w:vAlign w:val="center"/>
            <w:hideMark/>
          </w:tcPr>
          <w:p w:rsidR="00EB7136" w:rsidRPr="00EB7136" w:rsidRDefault="00EB7136" w:rsidP="00EB7136">
            <w:pPr>
              <w:keepLines/>
              <w:spacing w:before="40" w:after="40" w:line="200" w:lineRule="atLeast"/>
              <w:rPr>
                <w:rFonts w:eastAsia="Times New Roman"/>
                <w:iCs/>
                <w:color w:val="auto"/>
                <w:sz w:val="17"/>
                <w:szCs w:val="17"/>
              </w:rPr>
            </w:pPr>
          </w:p>
        </w:tc>
        <w:tc>
          <w:tcPr>
            <w:tcW w:w="1462" w:type="dxa"/>
            <w:vMerge/>
            <w:tcBorders>
              <w:bottom w:val="single" w:sz="4" w:space="0" w:color="auto"/>
            </w:tcBorders>
            <w:vAlign w:val="center"/>
            <w:hideMark/>
          </w:tcPr>
          <w:p w:rsidR="00EB7136" w:rsidRPr="00D8342B" w:rsidRDefault="00EB7136" w:rsidP="00963B57">
            <w:pPr>
              <w:autoSpaceDE w:val="0"/>
              <w:autoSpaceDN w:val="0"/>
              <w:adjustRightInd w:val="0"/>
              <w:jc w:val="center"/>
              <w:rPr>
                <w:rFonts w:cs="Franklin Gothic Book"/>
                <w:color w:val="auto"/>
                <w:sz w:val="17"/>
                <w:szCs w:val="17"/>
                <w:lang w:eastAsia="en-AU"/>
              </w:rPr>
            </w:pPr>
          </w:p>
        </w:tc>
        <w:tc>
          <w:tcPr>
            <w:tcW w:w="1023" w:type="dxa"/>
            <w:tcBorders>
              <w:bottom w:val="single" w:sz="4" w:space="0" w:color="auto"/>
            </w:tcBorders>
            <w:shd w:val="clear" w:color="auto" w:fill="auto"/>
            <w:vAlign w:val="center"/>
            <w:hideMark/>
          </w:tcPr>
          <w:p w:rsidR="00EB7136" w:rsidRPr="00D8342B" w:rsidRDefault="00EB7136" w:rsidP="00963B57">
            <w:pPr>
              <w:keepLines/>
              <w:spacing w:before="40" w:after="40" w:line="200" w:lineRule="atLeast"/>
              <w:jc w:val="center"/>
              <w:rPr>
                <w:rFonts w:eastAsia="Times New Roman"/>
                <w:iCs/>
                <w:color w:val="auto"/>
                <w:sz w:val="17"/>
                <w:szCs w:val="17"/>
              </w:rPr>
            </w:pPr>
            <w:r w:rsidRPr="00D8342B">
              <w:rPr>
                <w:rFonts w:eastAsia="Times New Roman"/>
                <w:iCs/>
                <w:color w:val="auto"/>
                <w:sz w:val="17"/>
                <w:szCs w:val="17"/>
              </w:rPr>
              <w:t>2015 AQC</w:t>
            </w:r>
          </w:p>
        </w:tc>
        <w:tc>
          <w:tcPr>
            <w:tcW w:w="1137"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138"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268"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300" w:type="dxa"/>
            <w:tcBorders>
              <w:bottom w:val="single" w:sz="4" w:space="0" w:color="auto"/>
            </w:tcBorders>
            <w:shd w:val="clear" w:color="auto" w:fill="FFFF0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4</w:t>
            </w:r>
          </w:p>
        </w:tc>
        <w:tc>
          <w:tcPr>
            <w:tcW w:w="1137" w:type="dxa"/>
            <w:tcBorders>
              <w:bottom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c>
          <w:tcPr>
            <w:tcW w:w="1220" w:type="dxa"/>
            <w:tcBorders>
              <w:bottom w:val="single" w:sz="4" w:space="0" w:color="auto"/>
              <w:right w:val="single" w:sz="4" w:space="0" w:color="auto"/>
            </w:tcBorders>
            <w:shd w:val="clear" w:color="auto" w:fill="92D050"/>
            <w:noWrap/>
            <w:vAlign w:val="center"/>
            <w:hideMark/>
          </w:tcPr>
          <w:p w:rsidR="00EB7136" w:rsidRPr="00D8342B" w:rsidRDefault="00EB7136" w:rsidP="00963B57">
            <w:pPr>
              <w:keepLines/>
              <w:spacing w:before="40" w:after="40" w:line="200" w:lineRule="atLeast"/>
              <w:jc w:val="center"/>
              <w:rPr>
                <w:rFonts w:asciiTheme="majorHAnsi" w:eastAsia="Times New Roman" w:hAnsiTheme="majorHAnsi"/>
                <w:iCs/>
                <w:color w:val="auto"/>
                <w:sz w:val="17"/>
                <w:szCs w:val="17"/>
              </w:rPr>
            </w:pPr>
            <w:r w:rsidRPr="00D8342B">
              <w:rPr>
                <w:rFonts w:asciiTheme="majorHAnsi" w:eastAsia="Times New Roman" w:hAnsiTheme="majorHAnsi"/>
                <w:iCs/>
                <w:color w:val="auto"/>
                <w:sz w:val="17"/>
                <w:szCs w:val="17"/>
              </w:rPr>
              <w:t>5</w:t>
            </w:r>
          </w:p>
        </w:tc>
      </w:tr>
    </w:tbl>
    <w:p w:rsidR="00EB7136" w:rsidRDefault="00EB7136" w:rsidP="0037339F">
      <w:pPr>
        <w:suppressAutoHyphens w:val="0"/>
        <w:spacing w:before="0" w:after="120" w:line="440" w:lineRule="atLeast"/>
        <w:rPr>
          <w:rFonts w:asciiTheme="majorHAnsi" w:eastAsiaTheme="majorEastAsia" w:hAnsiTheme="majorHAnsi" w:cstheme="majorBidi"/>
          <w:caps/>
          <w:sz w:val="38"/>
          <w:szCs w:val="26"/>
        </w:rPr>
      </w:pPr>
    </w:p>
    <w:p w:rsidR="009A0D1C" w:rsidRDefault="009A0D1C" w:rsidP="0037339F">
      <w:pPr>
        <w:suppressAutoHyphens w:val="0"/>
        <w:spacing w:before="0" w:after="120" w:line="440" w:lineRule="atLeast"/>
        <w:rPr>
          <w:rFonts w:asciiTheme="majorHAnsi" w:eastAsiaTheme="majorEastAsia" w:hAnsiTheme="majorHAnsi" w:cstheme="majorBidi"/>
          <w:caps/>
          <w:sz w:val="38"/>
          <w:szCs w:val="26"/>
        </w:rPr>
      </w:pPr>
    </w:p>
    <w:p w:rsidR="009A0D1C" w:rsidRDefault="009A0D1C" w:rsidP="0037339F">
      <w:pPr>
        <w:suppressAutoHyphens w:val="0"/>
        <w:spacing w:before="0" w:after="120" w:line="440" w:lineRule="atLeast"/>
        <w:rPr>
          <w:rFonts w:asciiTheme="majorHAnsi" w:eastAsiaTheme="majorEastAsia" w:hAnsiTheme="majorHAnsi" w:cstheme="majorBidi"/>
          <w:caps/>
          <w:sz w:val="38"/>
          <w:szCs w:val="26"/>
        </w:rPr>
      </w:pPr>
    </w:p>
    <w:p w:rsidR="00425586" w:rsidRPr="0037339F" w:rsidRDefault="00425586" w:rsidP="0037339F">
      <w:pPr>
        <w:suppressAutoHyphens w:val="0"/>
        <w:spacing w:before="0" w:after="120" w:line="440" w:lineRule="atLeast"/>
      </w:pPr>
      <w:r w:rsidRPr="00784031">
        <w:rPr>
          <w:rFonts w:asciiTheme="majorHAnsi" w:eastAsiaTheme="majorEastAsia" w:hAnsiTheme="majorHAnsi" w:cstheme="majorBidi"/>
          <w:caps/>
          <w:sz w:val="38"/>
          <w:szCs w:val="26"/>
        </w:rPr>
        <w:t>FAQC ratings</w:t>
      </w:r>
      <w:r w:rsidRPr="00C61187">
        <w:rPr>
          <w:rFonts w:ascii="Helvetica" w:eastAsia="Times New Roman" w:hAnsi="Helvetica" w:cs="Arial"/>
          <w:b/>
          <w:color w:val="124486"/>
          <w:kern w:val="28"/>
          <w:lang w:eastAsia="zh-CN"/>
        </w:rPr>
        <w:t xml:space="preserve"> </w:t>
      </w:r>
    </w:p>
    <w:p w:rsidR="00425586" w:rsidRPr="00C61187" w:rsidRDefault="00425586" w:rsidP="00425586">
      <w:r w:rsidRPr="00C61187">
        <w:t>Final AQCs assess performance over the lifetime of the investment (ratings are not compared to previous years).</w:t>
      </w:r>
    </w:p>
    <w:tbl>
      <w:tblPr>
        <w:tblStyle w:val="APPR"/>
        <w:tblW w:w="5077" w:type="pct"/>
        <w:tblLook w:val="0000" w:firstRow="0" w:lastRow="0" w:firstColumn="0" w:lastColumn="0" w:noHBand="0" w:noVBand="0"/>
        <w:tblCaption w:val="Final Aid Quality Check Ratings "/>
        <w:tblDescription w:val="Summary ratings across criteria "/>
      </w:tblPr>
      <w:tblGrid>
        <w:gridCol w:w="3326"/>
        <w:gridCol w:w="1504"/>
        <w:gridCol w:w="1249"/>
        <w:gridCol w:w="1246"/>
        <w:gridCol w:w="1249"/>
        <w:gridCol w:w="1246"/>
        <w:gridCol w:w="1384"/>
        <w:gridCol w:w="1249"/>
        <w:gridCol w:w="1252"/>
        <w:gridCol w:w="1254"/>
      </w:tblGrid>
      <w:tr w:rsidR="00B04B75" w:rsidRPr="00C61187" w:rsidTr="001B7052">
        <w:trPr>
          <w:cnfStyle w:val="000000010000" w:firstRow="0" w:lastRow="0" w:firstColumn="0" w:lastColumn="0" w:oddVBand="0" w:evenVBand="0" w:oddHBand="0" w:evenHBand="1" w:firstRowFirstColumn="0" w:firstRowLastColumn="0" w:lastRowFirstColumn="0" w:lastRowLastColumn="0"/>
          <w:trHeight w:val="648"/>
        </w:trPr>
        <w:tc>
          <w:tcPr>
            <w:tcW w:w="1097" w:type="pct"/>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700224" behindDoc="0" locked="0" layoutInCell="1" allowOverlap="1" wp14:anchorId="43AD43DC" wp14:editId="69112C5B">
                  <wp:simplePos x="0" y="0"/>
                  <wp:positionH relativeFrom="column">
                    <wp:posOffset>0</wp:posOffset>
                  </wp:positionH>
                  <wp:positionV relativeFrom="paragraph">
                    <wp:posOffset>0</wp:posOffset>
                  </wp:positionV>
                  <wp:extent cx="1857375" cy="228600"/>
                  <wp:effectExtent l="0" t="0" r="9525" b="0"/>
                  <wp:wrapNone/>
                  <wp:docPr id="15" name="Picture 15" hidden="1"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493" w:type="pct"/>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08" w:type="pct"/>
            <w:noWrap/>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Overall rating</w:t>
            </w:r>
          </w:p>
        </w:tc>
        <w:tc>
          <w:tcPr>
            <w:tcW w:w="407" w:type="pct"/>
            <w:noWrap/>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Relevance</w:t>
            </w:r>
          </w:p>
        </w:tc>
        <w:tc>
          <w:tcPr>
            <w:tcW w:w="408" w:type="pct"/>
            <w:noWrap/>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Effectiveness</w:t>
            </w:r>
          </w:p>
        </w:tc>
        <w:tc>
          <w:tcPr>
            <w:tcW w:w="407" w:type="pct"/>
            <w:noWrap/>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53" w:type="pct"/>
            <w:noWrap/>
          </w:tcPr>
          <w:p w:rsidR="00B04B75"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Monitoring and </w:t>
            </w:r>
          </w:p>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Evaluation</w:t>
            </w:r>
          </w:p>
        </w:tc>
        <w:tc>
          <w:tcPr>
            <w:tcW w:w="408" w:type="pct"/>
            <w:noWrap/>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Sustainability</w:t>
            </w:r>
          </w:p>
        </w:tc>
        <w:tc>
          <w:tcPr>
            <w:tcW w:w="409" w:type="pct"/>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Gender equality</w:t>
            </w:r>
          </w:p>
        </w:tc>
        <w:tc>
          <w:tcPr>
            <w:tcW w:w="405" w:type="pct"/>
          </w:tcPr>
          <w:p w:rsidR="00425586" w:rsidRPr="00A427C6" w:rsidRDefault="00425586" w:rsidP="00963B57">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Risks  and Safeguards</w:t>
            </w:r>
          </w:p>
        </w:tc>
      </w:tr>
      <w:tr w:rsidR="00B04B75" w:rsidRPr="00C61187" w:rsidTr="001B7052">
        <w:trPr>
          <w:cnfStyle w:val="000000010000" w:firstRow="0" w:lastRow="0" w:firstColumn="0" w:lastColumn="0" w:oddVBand="0" w:evenVBand="0" w:oddHBand="0" w:evenHBand="1" w:firstRowFirstColumn="0" w:firstRowLastColumn="0" w:lastRowFirstColumn="0" w:lastRowLastColumn="0"/>
          <w:trHeight w:val="294"/>
        </w:trPr>
        <w:tc>
          <w:tcPr>
            <w:tcW w:w="1097" w:type="pct"/>
          </w:tcPr>
          <w:p w:rsidR="00425586" w:rsidRPr="00EB7136" w:rsidRDefault="00425586" w:rsidP="00963B57">
            <w:pPr>
              <w:keepLines/>
              <w:spacing w:before="40" w:after="40" w:line="200" w:lineRule="atLeast"/>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ING104</w:t>
            </w:r>
            <w:r w:rsidR="00DB5635">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w:t>
            </w:r>
            <w:r w:rsidR="00DB5635">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Seeds of Life</w:t>
            </w:r>
          </w:p>
        </w:tc>
        <w:tc>
          <w:tcPr>
            <w:tcW w:w="493" w:type="pct"/>
          </w:tcPr>
          <w:p w:rsidR="00425586" w:rsidRPr="00EB7136" w:rsidRDefault="00425586" w:rsidP="006151FE">
            <w:pPr>
              <w:keepLines/>
              <w:spacing w:before="40" w:after="40" w:line="200" w:lineRule="atLeast"/>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$33</w:t>
            </w:r>
            <w:r w:rsidR="00B04B75" w:rsidRPr="00EB7136">
              <w:rPr>
                <w:rFonts w:asciiTheme="majorHAnsi" w:eastAsia="Times New Roman" w:hAnsiTheme="majorHAnsi"/>
                <w:iCs/>
                <w:color w:val="auto"/>
                <w:szCs w:val="17"/>
              </w:rPr>
              <w:t xml:space="preserve">m, </w:t>
            </w:r>
            <w:r w:rsidRPr="00EB7136">
              <w:rPr>
                <w:rFonts w:asciiTheme="majorHAnsi" w:eastAsia="Times New Roman" w:hAnsiTheme="majorHAnsi"/>
                <w:iCs/>
                <w:color w:val="auto"/>
                <w:szCs w:val="17"/>
              </w:rPr>
              <w:t>2005-16</w:t>
            </w:r>
          </w:p>
        </w:tc>
        <w:tc>
          <w:tcPr>
            <w:tcW w:w="408"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5</w:t>
            </w:r>
          </w:p>
        </w:tc>
        <w:tc>
          <w:tcPr>
            <w:tcW w:w="407"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5</w:t>
            </w:r>
          </w:p>
        </w:tc>
        <w:tc>
          <w:tcPr>
            <w:tcW w:w="408"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5</w:t>
            </w:r>
          </w:p>
        </w:tc>
        <w:tc>
          <w:tcPr>
            <w:tcW w:w="407"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5</w:t>
            </w:r>
          </w:p>
        </w:tc>
        <w:tc>
          <w:tcPr>
            <w:tcW w:w="453"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5</w:t>
            </w:r>
          </w:p>
        </w:tc>
        <w:tc>
          <w:tcPr>
            <w:tcW w:w="408" w:type="pct"/>
            <w:shd w:val="clear" w:color="auto" w:fill="FFFF00"/>
            <w:noWrap/>
          </w:tcPr>
          <w:p w:rsidR="00425586" w:rsidRPr="00EB7136" w:rsidRDefault="00B137AB" w:rsidP="00E61101">
            <w:pPr>
              <w:keepLines/>
              <w:spacing w:before="40" w:after="40" w:line="200" w:lineRule="atLeast"/>
              <w:jc w:val="center"/>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4</w:t>
            </w:r>
          </w:p>
        </w:tc>
        <w:tc>
          <w:tcPr>
            <w:tcW w:w="409" w:type="pct"/>
            <w:shd w:val="clear" w:color="auto" w:fill="FFFF00"/>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4</w:t>
            </w:r>
          </w:p>
        </w:tc>
        <w:tc>
          <w:tcPr>
            <w:tcW w:w="405" w:type="pct"/>
            <w:shd w:val="clear" w:color="auto" w:fill="92D050"/>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5</w:t>
            </w:r>
          </w:p>
        </w:tc>
      </w:tr>
      <w:tr w:rsidR="00B04B75" w:rsidRPr="00C61187" w:rsidTr="001B7052">
        <w:trPr>
          <w:cnfStyle w:val="000000010000" w:firstRow="0" w:lastRow="0" w:firstColumn="0" w:lastColumn="0" w:oddVBand="0" w:evenVBand="0" w:oddHBand="0" w:evenHBand="1" w:firstRowFirstColumn="0" w:firstRowLastColumn="0" w:lastRowFirstColumn="0" w:lastRowLastColumn="0"/>
          <w:trHeight w:val="294"/>
        </w:trPr>
        <w:tc>
          <w:tcPr>
            <w:tcW w:w="1097" w:type="pct"/>
          </w:tcPr>
          <w:p w:rsidR="00425586" w:rsidRPr="00EB7136" w:rsidRDefault="00425586" w:rsidP="00963B57">
            <w:pPr>
              <w:keepLines/>
              <w:spacing w:before="40" w:after="40" w:line="200" w:lineRule="atLeast"/>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INJ035</w:t>
            </w:r>
            <w:r w:rsidR="00DB5635">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w:t>
            </w:r>
            <w:r w:rsidR="00DB5635">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Family Planning and Reproductive Health Services</w:t>
            </w:r>
          </w:p>
        </w:tc>
        <w:tc>
          <w:tcPr>
            <w:tcW w:w="493" w:type="pct"/>
          </w:tcPr>
          <w:p w:rsidR="00425586" w:rsidRPr="00EB7136" w:rsidRDefault="00425586" w:rsidP="006151FE">
            <w:pPr>
              <w:autoSpaceDE w:val="0"/>
              <w:autoSpaceDN w:val="0"/>
              <w:adjustRightInd w:val="0"/>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$18m</w:t>
            </w:r>
            <w:r w:rsidR="00B04B75" w:rsidRPr="00EB7136">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2009-15</w:t>
            </w:r>
          </w:p>
        </w:tc>
        <w:tc>
          <w:tcPr>
            <w:tcW w:w="408"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7"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8"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7"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53"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8"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9" w:type="pct"/>
            <w:shd w:val="clear" w:color="auto" w:fill="92D050"/>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5" w:type="pct"/>
            <w:shd w:val="clear" w:color="auto" w:fill="92D050"/>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r>
      <w:tr w:rsidR="00B04B75" w:rsidRPr="00C61187" w:rsidTr="00B04B75">
        <w:trPr>
          <w:cnfStyle w:val="000000010000" w:firstRow="0" w:lastRow="0" w:firstColumn="0" w:lastColumn="0" w:oddVBand="0" w:evenVBand="0" w:oddHBand="0" w:evenHBand="1" w:firstRowFirstColumn="0" w:firstRowLastColumn="0" w:lastRowFirstColumn="0" w:lastRowLastColumn="0"/>
          <w:trHeight w:val="294"/>
        </w:trPr>
        <w:tc>
          <w:tcPr>
            <w:tcW w:w="1097" w:type="pct"/>
          </w:tcPr>
          <w:p w:rsidR="00425586" w:rsidRPr="00EB7136" w:rsidRDefault="00425586" w:rsidP="00963B57">
            <w:pPr>
              <w:keepLines/>
              <w:spacing w:before="40" w:after="40" w:line="200" w:lineRule="atLeast"/>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INK217</w:t>
            </w:r>
            <w:r w:rsidR="00DB5635">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w:t>
            </w:r>
            <w:r w:rsidR="00DB5635">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Rural Water Supply &amp; Sanitation Program - BESIK II</w:t>
            </w:r>
          </w:p>
        </w:tc>
        <w:tc>
          <w:tcPr>
            <w:tcW w:w="493" w:type="pct"/>
          </w:tcPr>
          <w:p w:rsidR="00425586" w:rsidRPr="00EB7136" w:rsidRDefault="00425586" w:rsidP="006151FE">
            <w:pPr>
              <w:autoSpaceDE w:val="0"/>
              <w:autoSpaceDN w:val="0"/>
              <w:adjustRightInd w:val="0"/>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$29m</w:t>
            </w:r>
            <w:r w:rsidR="00B04B75" w:rsidRPr="00EB7136">
              <w:rPr>
                <w:rFonts w:asciiTheme="majorHAnsi" w:eastAsia="Times New Roman" w:hAnsiTheme="majorHAnsi"/>
                <w:iCs/>
                <w:color w:val="auto"/>
                <w:szCs w:val="17"/>
              </w:rPr>
              <w:t>,</w:t>
            </w:r>
            <w:r w:rsidRPr="00EB7136">
              <w:rPr>
                <w:rFonts w:asciiTheme="majorHAnsi" w:eastAsia="Times New Roman" w:hAnsiTheme="majorHAnsi"/>
                <w:iCs/>
                <w:color w:val="auto"/>
                <w:szCs w:val="17"/>
              </w:rPr>
              <w:t>2011-16</w:t>
            </w:r>
          </w:p>
        </w:tc>
        <w:tc>
          <w:tcPr>
            <w:tcW w:w="408" w:type="pct"/>
            <w:shd w:val="clear" w:color="auto" w:fill="FFFF00"/>
            <w:noWrap/>
          </w:tcPr>
          <w:p w:rsidR="00425586" w:rsidRPr="00EB7136" w:rsidRDefault="00B04B75"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4</w:t>
            </w:r>
          </w:p>
        </w:tc>
        <w:tc>
          <w:tcPr>
            <w:tcW w:w="407"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8" w:type="pct"/>
            <w:shd w:val="clear" w:color="auto" w:fill="FFFF0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4</w:t>
            </w:r>
          </w:p>
        </w:tc>
        <w:tc>
          <w:tcPr>
            <w:tcW w:w="407"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53"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8" w:type="pct"/>
            <w:shd w:val="clear" w:color="auto" w:fill="FFFF0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4</w:t>
            </w:r>
          </w:p>
        </w:tc>
        <w:tc>
          <w:tcPr>
            <w:tcW w:w="409" w:type="pct"/>
            <w:shd w:val="clear" w:color="auto" w:fill="92D050"/>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5" w:type="pct"/>
            <w:shd w:val="clear" w:color="auto" w:fill="92D050"/>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r>
      <w:tr w:rsidR="00B04B75" w:rsidRPr="00C61187" w:rsidTr="001B7052">
        <w:trPr>
          <w:cnfStyle w:val="000000010000" w:firstRow="0" w:lastRow="0" w:firstColumn="0" w:lastColumn="0" w:oddVBand="0" w:evenVBand="0" w:oddHBand="0" w:evenHBand="1" w:firstRowFirstColumn="0" w:firstRowLastColumn="0" w:lastRowFirstColumn="0" w:lastRowLastColumn="0"/>
          <w:trHeight w:val="294"/>
        </w:trPr>
        <w:tc>
          <w:tcPr>
            <w:tcW w:w="1097" w:type="pct"/>
          </w:tcPr>
          <w:p w:rsidR="00425586" w:rsidRPr="00EB7136" w:rsidRDefault="00425586" w:rsidP="00963B57">
            <w:pPr>
              <w:keepLines/>
              <w:spacing w:before="40" w:after="40" w:line="200" w:lineRule="atLeast"/>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INK858</w:t>
            </w:r>
            <w:r w:rsidR="00DB5635">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w:t>
            </w:r>
            <w:r w:rsidR="00DB5635">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Procurement and Logistics Facility</w:t>
            </w:r>
          </w:p>
        </w:tc>
        <w:tc>
          <w:tcPr>
            <w:tcW w:w="493" w:type="pct"/>
          </w:tcPr>
          <w:p w:rsidR="00425586" w:rsidRPr="00EB7136" w:rsidRDefault="00425586" w:rsidP="006151FE">
            <w:pPr>
              <w:autoSpaceDE w:val="0"/>
              <w:autoSpaceDN w:val="0"/>
              <w:adjustRightInd w:val="0"/>
              <w:rPr>
                <w:rFonts w:asciiTheme="majorHAnsi" w:eastAsia="Times New Roman" w:hAnsiTheme="majorHAnsi"/>
                <w:iCs/>
                <w:color w:val="auto"/>
                <w:szCs w:val="17"/>
                <w:lang w:eastAsia="en-US"/>
              </w:rPr>
            </w:pPr>
            <w:r w:rsidRPr="00EB7136">
              <w:rPr>
                <w:rFonts w:asciiTheme="majorHAnsi" w:eastAsia="Times New Roman" w:hAnsiTheme="majorHAnsi"/>
                <w:iCs/>
                <w:color w:val="auto"/>
                <w:szCs w:val="17"/>
              </w:rPr>
              <w:t>$41m</w:t>
            </w:r>
            <w:r w:rsidR="00B04B75" w:rsidRPr="00EB7136">
              <w:rPr>
                <w:rFonts w:asciiTheme="majorHAnsi" w:eastAsia="Times New Roman" w:hAnsiTheme="majorHAnsi"/>
                <w:iCs/>
                <w:color w:val="auto"/>
                <w:szCs w:val="17"/>
              </w:rPr>
              <w:t xml:space="preserve">, </w:t>
            </w:r>
            <w:r w:rsidRPr="00EB7136">
              <w:rPr>
                <w:rFonts w:asciiTheme="majorHAnsi" w:eastAsia="Times New Roman" w:hAnsiTheme="majorHAnsi"/>
                <w:iCs/>
                <w:color w:val="auto"/>
                <w:szCs w:val="17"/>
              </w:rPr>
              <w:t>2013-16</w:t>
            </w:r>
          </w:p>
        </w:tc>
        <w:tc>
          <w:tcPr>
            <w:tcW w:w="408"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7"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8"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07"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5</w:t>
            </w:r>
          </w:p>
        </w:tc>
        <w:tc>
          <w:tcPr>
            <w:tcW w:w="453" w:type="pct"/>
            <w:shd w:val="clear" w:color="auto" w:fill="FFFF0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4</w:t>
            </w:r>
          </w:p>
        </w:tc>
        <w:tc>
          <w:tcPr>
            <w:tcW w:w="408" w:type="pct"/>
            <w:shd w:val="clear" w:color="auto" w:fill="92D050"/>
            <w:noWrap/>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6</w:t>
            </w:r>
          </w:p>
        </w:tc>
        <w:tc>
          <w:tcPr>
            <w:tcW w:w="409" w:type="pct"/>
            <w:shd w:val="clear" w:color="auto" w:fill="FFFF00"/>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4</w:t>
            </w:r>
          </w:p>
        </w:tc>
        <w:tc>
          <w:tcPr>
            <w:tcW w:w="405" w:type="pct"/>
            <w:shd w:val="clear" w:color="auto" w:fill="92D050"/>
          </w:tcPr>
          <w:p w:rsidR="00425586" w:rsidRPr="00EB7136" w:rsidRDefault="00425586" w:rsidP="00963B57">
            <w:pPr>
              <w:keepLines/>
              <w:spacing w:before="40" w:after="40" w:line="200" w:lineRule="atLeast"/>
              <w:jc w:val="center"/>
              <w:rPr>
                <w:rFonts w:asciiTheme="majorHAnsi" w:eastAsia="Times New Roman" w:hAnsiTheme="majorHAnsi"/>
                <w:iCs/>
                <w:color w:val="auto"/>
                <w:szCs w:val="17"/>
              </w:rPr>
            </w:pPr>
            <w:r w:rsidRPr="00EB7136">
              <w:rPr>
                <w:rFonts w:asciiTheme="majorHAnsi" w:eastAsia="Times New Roman" w:hAnsiTheme="majorHAnsi"/>
                <w:iCs/>
                <w:color w:val="auto"/>
                <w:szCs w:val="17"/>
              </w:rPr>
              <w:t>6</w:t>
            </w:r>
          </w:p>
        </w:tc>
      </w:tr>
    </w:tbl>
    <w:p w:rsidR="00425586" w:rsidRDefault="00425586" w:rsidP="00425586">
      <w:pPr>
        <w:spacing w:before="20" w:after="20" w:line="180" w:lineRule="atLeast"/>
        <w:jc w:val="both"/>
        <w:rPr>
          <w:rFonts w:ascii="Franklin Gothic Book" w:eastAsia="Times New Roman" w:hAnsi="Franklin Gothic Book"/>
          <w:b/>
          <w:sz w:val="14"/>
          <w:szCs w:val="14"/>
        </w:rPr>
      </w:pPr>
    </w:p>
    <w:p w:rsidR="00425586" w:rsidRPr="00A427C6" w:rsidRDefault="00425586" w:rsidP="00425586">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rsidR="00425586" w:rsidRPr="00A427C6" w:rsidRDefault="00425586" w:rsidP="00425586">
      <w:pPr>
        <w:spacing w:before="20" w:after="20" w:line="180" w:lineRule="atLeast"/>
        <w:jc w:val="both"/>
        <w:rPr>
          <w:rFonts w:eastAsia="Times New Roman"/>
          <w:b/>
          <w:sz w:val="16"/>
          <w:szCs w:val="14"/>
        </w:rPr>
      </w:pPr>
      <w:r w:rsidRPr="00A427C6">
        <w:rPr>
          <w:rFonts w:eastAsia="Times New Roman"/>
          <w:b/>
          <w:sz w:val="16"/>
          <w:szCs w:val="14"/>
        </w:rPr>
        <w:t>Satisfactory (4, 5 and 6)</w:t>
      </w:r>
    </w:p>
    <w:p w:rsidR="00425586" w:rsidRPr="00A427C6" w:rsidRDefault="00425586" w:rsidP="00425586">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rsidR="00425586" w:rsidRPr="00A427C6" w:rsidRDefault="00425586" w:rsidP="00425586">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rsidR="00425586" w:rsidRPr="00A427C6" w:rsidRDefault="00425586" w:rsidP="00425586">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rsidR="00425586" w:rsidRPr="00A427C6" w:rsidRDefault="00425586" w:rsidP="00425586">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rsidR="00425586" w:rsidRPr="00A427C6" w:rsidRDefault="00425586" w:rsidP="00425586">
      <w:pPr>
        <w:spacing w:before="20" w:after="20" w:line="180" w:lineRule="atLeast"/>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p>
    <w:p w:rsidR="004E0264" w:rsidRDefault="004E0264" w:rsidP="004E0264"/>
    <w:sectPr w:rsidR="004E0264" w:rsidSect="00784031">
      <w:headerReference w:type="default" r:id="rId25"/>
      <w:pgSz w:w="16838" w:h="11906" w:orient="landscape" w:code="9"/>
      <w:pgMar w:top="1134" w:right="1527" w:bottom="1134" w:left="851" w:header="1418" w:footer="267"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9A7" w:rsidRDefault="004E09A7" w:rsidP="00EF4574">
      <w:pPr>
        <w:spacing w:before="0" w:after="0" w:line="240" w:lineRule="auto"/>
      </w:pPr>
      <w:r>
        <w:separator/>
      </w:r>
    </w:p>
  </w:endnote>
  <w:endnote w:type="continuationSeparator" w:id="0">
    <w:p w:rsidR="004E09A7" w:rsidRDefault="004E09A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69" w:rsidRDefault="001E1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157751"/>
      <w:docPartObj>
        <w:docPartGallery w:val="Page Numbers (Bottom of Page)"/>
        <w:docPartUnique/>
      </w:docPartObj>
    </w:sdtPr>
    <w:sdtEndPr>
      <w:rPr>
        <w:noProof/>
      </w:rPr>
    </w:sdtEndPr>
    <w:sdtContent>
      <w:p w:rsidR="004E09A7" w:rsidRDefault="004E09A7">
        <w:pPr>
          <w:pStyle w:val="Footer"/>
        </w:pPr>
        <w:r>
          <w:fldChar w:fldCharType="begin"/>
        </w:r>
        <w:r>
          <w:instrText xml:space="preserve"> PAGE   \* MERGEFORMAT </w:instrText>
        </w:r>
        <w:r>
          <w:fldChar w:fldCharType="separate"/>
        </w:r>
        <w:r w:rsidR="001E1169">
          <w:rPr>
            <w:noProof/>
          </w:rPr>
          <w:t>2</w:t>
        </w:r>
        <w:r>
          <w:rPr>
            <w:noProof/>
          </w:rPr>
          <w:fldChar w:fldCharType="end"/>
        </w:r>
      </w:p>
    </w:sdtContent>
  </w:sdt>
  <w:p w:rsidR="004E09A7" w:rsidRDefault="004E0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69" w:rsidRDefault="001E11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A7" w:rsidRPr="00CD0E4B" w:rsidRDefault="004E09A7" w:rsidP="00784031">
    <w:pPr>
      <w:pStyle w:val="Footer"/>
    </w:pPr>
    <w:r w:rsidRPr="00CD0E4B">
      <w:rPr>
        <w:noProof/>
        <w:lang w:val="en-AU" w:eastAsia="en-AU"/>
      </w:rPr>
      <w:drawing>
        <wp:inline distT="0" distB="0" distL="0" distR="0" wp14:anchorId="5D0E9E46" wp14:editId="14DABA0D">
          <wp:extent cx="90000" cy="74520"/>
          <wp:effectExtent l="0" t="0" r="5715" b="1905"/>
          <wp:docPr id="21" name="Picture 21" title="Background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4E09A7" w:rsidRPr="00CD0E4B" w:rsidRDefault="004E09A7"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9A7" w:rsidRPr="008C5A0E" w:rsidRDefault="004E09A7" w:rsidP="001D663E">
      <w:pPr>
        <w:pStyle w:val="Footer"/>
        <w:pBdr>
          <w:top w:val="single" w:sz="4" w:space="1" w:color="495965" w:themeColor="text2"/>
        </w:pBdr>
      </w:pPr>
    </w:p>
  </w:footnote>
  <w:footnote w:type="continuationSeparator" w:id="0">
    <w:p w:rsidR="004E09A7" w:rsidRDefault="004E09A7" w:rsidP="00EF4574">
      <w:pPr>
        <w:spacing w:before="0" w:after="0" w:line="240" w:lineRule="auto"/>
      </w:pPr>
      <w:r>
        <w:continuationSeparator/>
      </w:r>
    </w:p>
  </w:footnote>
  <w:footnote w:id="1">
    <w:p w:rsidR="004E09A7" w:rsidRPr="00331D58" w:rsidRDefault="004E09A7" w:rsidP="00353B83">
      <w:pPr>
        <w:pStyle w:val="FootnoteText"/>
        <w:rPr>
          <w:lang w:val="en-AU"/>
        </w:rPr>
      </w:pPr>
      <w:r>
        <w:rPr>
          <w:rStyle w:val="FootnoteReference"/>
        </w:rPr>
        <w:footnoteRef/>
      </w:r>
      <w:r>
        <w:t xml:space="preserve"> </w:t>
      </w:r>
      <w:r>
        <w:rPr>
          <w:lang w:val="en-AU"/>
        </w:rPr>
        <w:t xml:space="preserve">2016, International Monetary Fund, </w:t>
      </w:r>
      <w:r w:rsidRPr="00D8342B">
        <w:rPr>
          <w:i/>
          <w:lang w:val="en-AU"/>
        </w:rPr>
        <w:t>Country Report No 16/183: 2016 Article IV Consultatio</w:t>
      </w:r>
      <w:r>
        <w:rPr>
          <w:i/>
          <w:lang w:val="en-AU"/>
        </w:rPr>
        <w:t xml:space="preserve">n </w:t>
      </w:r>
    </w:p>
  </w:footnote>
  <w:footnote w:id="2">
    <w:p w:rsidR="004E09A7" w:rsidRPr="000918D6" w:rsidRDefault="004E09A7" w:rsidP="00812DDA">
      <w:pPr>
        <w:pStyle w:val="FootnoteText"/>
        <w:rPr>
          <w:lang w:val="en-AU"/>
        </w:rPr>
      </w:pPr>
      <w:r>
        <w:rPr>
          <w:rStyle w:val="FootnoteReference"/>
        </w:rPr>
        <w:footnoteRef/>
      </w:r>
      <w:r>
        <w:t xml:space="preserve"> Timor-Leste Labour Force Survey, </w:t>
      </w:r>
      <w:r>
        <w:rPr>
          <w:lang w:val="en-AU"/>
        </w:rPr>
        <w:t xml:space="preserve">2013 </w:t>
      </w:r>
    </w:p>
  </w:footnote>
  <w:footnote w:id="3">
    <w:p w:rsidR="004E09A7" w:rsidRPr="003F3090" w:rsidRDefault="004E09A7" w:rsidP="007A2CBD">
      <w:pPr>
        <w:pStyle w:val="FootnoteText"/>
        <w:rPr>
          <w:lang w:val="en-AU"/>
        </w:rPr>
      </w:pPr>
      <w:r>
        <w:rPr>
          <w:rStyle w:val="FootnoteReference"/>
        </w:rPr>
        <w:footnoteRef/>
      </w:r>
      <w:r>
        <w:t xml:space="preserve"> </w:t>
      </w:r>
      <w:r>
        <w:rPr>
          <w:lang w:val="en-AU"/>
        </w:rPr>
        <w:t>Timor-Leste Food and Nutrition Survey, 2013</w:t>
      </w:r>
    </w:p>
  </w:footnote>
  <w:footnote w:id="4">
    <w:p w:rsidR="004E09A7" w:rsidRPr="008D5D7F" w:rsidRDefault="004E09A7" w:rsidP="007A2CBD">
      <w:pPr>
        <w:pStyle w:val="FootnoteText"/>
        <w:rPr>
          <w:lang w:val="en-AU"/>
        </w:rPr>
      </w:pPr>
      <w:r>
        <w:rPr>
          <w:rStyle w:val="FootnoteReference"/>
        </w:rPr>
        <w:footnoteRef/>
      </w:r>
      <w:r>
        <w:t xml:space="preserve"> </w:t>
      </w:r>
      <w:r>
        <w:rPr>
          <w:lang w:val="en-AU"/>
        </w:rPr>
        <w:t xml:space="preserve"> Timor-Leste Demographic Health Survey, 2010 and Timor-Leste Census, 2010 </w:t>
      </w:r>
    </w:p>
  </w:footnote>
  <w:footnote w:id="5">
    <w:p w:rsidR="004E09A7" w:rsidRPr="001D5C02" w:rsidRDefault="004E09A7" w:rsidP="007A2CBD">
      <w:pPr>
        <w:pStyle w:val="FootnoteText"/>
        <w:rPr>
          <w:lang w:val="en-AU"/>
        </w:rPr>
      </w:pPr>
      <w:r>
        <w:rPr>
          <w:rStyle w:val="FootnoteReference"/>
        </w:rPr>
        <w:footnoteRef/>
      </w:r>
      <w:r>
        <w:t xml:space="preserve"> Nabilan Health and Life Experiences Study, 2016</w:t>
      </w:r>
    </w:p>
  </w:footnote>
  <w:footnote w:id="6">
    <w:p w:rsidR="004E09A7" w:rsidRPr="0093407F" w:rsidRDefault="004E09A7" w:rsidP="007A2CBD">
      <w:pPr>
        <w:pStyle w:val="FootnoteText"/>
        <w:rPr>
          <w:lang w:val="en-AU"/>
        </w:rPr>
      </w:pPr>
      <w:r>
        <w:rPr>
          <w:rStyle w:val="FootnoteReference"/>
        </w:rPr>
        <w:footnoteRef/>
      </w:r>
      <w:r>
        <w:t xml:space="preserve"> </w:t>
      </w:r>
      <w:r w:rsidR="00081E65">
        <w:rPr>
          <w:lang w:val="en-AU"/>
        </w:rPr>
        <w:t xml:space="preserve">2015 HDI  Timor-Leste ranked 133 out of 188 compared to 129 out of 187 in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69" w:rsidRDefault="001E1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A7" w:rsidRPr="00333501" w:rsidRDefault="004E09A7" w:rsidP="008F56A8">
    <w:pPr>
      <w:pStyle w:val="Header"/>
      <w:jc w:val="left"/>
    </w:pPr>
    <w:r>
      <w:rPr>
        <w:noProof/>
        <w:lang w:val="en-AU" w:eastAsia="en-AU"/>
      </w:rPr>
      <w:drawing>
        <wp:anchor distT="0" distB="0" distL="114300" distR="114300" simplePos="0" relativeHeight="251681792" behindDoc="1" locked="1" layoutInCell="1" allowOverlap="1" wp14:anchorId="1FE3E3B6" wp14:editId="04A37F0F">
          <wp:simplePos x="0" y="0"/>
          <wp:positionH relativeFrom="page">
            <wp:posOffset>7620</wp:posOffset>
          </wp:positionH>
          <wp:positionV relativeFrom="page">
            <wp:posOffset>55880</wp:posOffset>
          </wp:positionV>
          <wp:extent cx="7545705" cy="10702290"/>
          <wp:effectExtent l="0" t="0" r="0" b="3810"/>
          <wp:wrapNone/>
          <wp:docPr id="44" name="Picture 44" title="Background Page 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69" w:rsidRDefault="001E11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A7" w:rsidRDefault="004E09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A7" w:rsidRPr="00333501" w:rsidRDefault="004E09A7" w:rsidP="008F56A8">
    <w:pPr>
      <w:pStyle w:val="Header"/>
      <w:jc w:val="left"/>
    </w:pPr>
    <w:r>
      <w:rPr>
        <w:noProof/>
        <w:lang w:val="en-AU" w:eastAsia="en-AU"/>
      </w:rPr>
      <w:drawing>
        <wp:anchor distT="0" distB="0" distL="114300" distR="114300" simplePos="0" relativeHeight="251697152" behindDoc="1" locked="1" layoutInCell="1" allowOverlap="1" wp14:anchorId="43D7A9A7" wp14:editId="439453F8">
          <wp:simplePos x="0" y="0"/>
          <wp:positionH relativeFrom="page">
            <wp:posOffset>160020</wp:posOffset>
          </wp:positionH>
          <wp:positionV relativeFrom="page">
            <wp:posOffset>160020</wp:posOffset>
          </wp:positionV>
          <wp:extent cx="10662285" cy="7545705"/>
          <wp:effectExtent l="0" t="0" r="5715" b="0"/>
          <wp:wrapNone/>
          <wp:docPr id="24" name="Picture 24"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A7" w:rsidRPr="003D352D" w:rsidRDefault="004E09A7" w:rsidP="003D352D">
    <w:pPr>
      <w:pStyle w:val="Header"/>
      <w:jc w:val="left"/>
    </w:pPr>
    <w:r>
      <w:rPr>
        <w:noProof/>
        <w:lang w:val="en-AU" w:eastAsia="en-AU"/>
      </w:rPr>
      <w:drawing>
        <wp:anchor distT="0" distB="0" distL="114300" distR="114300" simplePos="0" relativeHeight="251695104" behindDoc="1" locked="1" layoutInCell="1" allowOverlap="1" wp14:anchorId="2C6624F1" wp14:editId="65A3EED7">
          <wp:simplePos x="0" y="0"/>
          <wp:positionH relativeFrom="page">
            <wp:posOffset>7620</wp:posOffset>
          </wp:positionH>
          <wp:positionV relativeFrom="page">
            <wp:posOffset>7620</wp:posOffset>
          </wp:positionV>
          <wp:extent cx="10662285" cy="7545705"/>
          <wp:effectExtent l="0" t="0" r="5715" b="0"/>
          <wp:wrapNone/>
          <wp:docPr id="19" name="Picture 19"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A7" w:rsidRPr="00333501" w:rsidRDefault="004E09A7" w:rsidP="008F56A8">
    <w:pPr>
      <w:pStyle w:val="Header"/>
      <w:jc w:val="left"/>
    </w:pPr>
    <w:r>
      <w:rPr>
        <w:noProof/>
        <w:lang w:val="en-AU" w:eastAsia="en-AU"/>
      </w:rPr>
      <w:drawing>
        <wp:anchor distT="0" distB="0" distL="114300" distR="114300" simplePos="0" relativeHeight="251683840" behindDoc="1" locked="1" layoutInCell="1" allowOverlap="1" wp14:anchorId="36FB818B" wp14:editId="69A583B1">
          <wp:simplePos x="0" y="0"/>
          <wp:positionH relativeFrom="page">
            <wp:posOffset>7620</wp:posOffset>
          </wp:positionH>
          <wp:positionV relativeFrom="page">
            <wp:posOffset>57785</wp:posOffset>
          </wp:positionV>
          <wp:extent cx="10800000" cy="7560000"/>
          <wp:effectExtent l="0" t="0" r="1905" b="3175"/>
          <wp:wrapNone/>
          <wp:docPr id="23" name="Picture 23" title="Background water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4A5EA"/>
    <w:lvl w:ilvl="0">
      <w:start w:val="1"/>
      <w:numFmt w:val="decimal"/>
      <w:lvlText w:val="%1."/>
      <w:lvlJc w:val="left"/>
      <w:pPr>
        <w:tabs>
          <w:tab w:val="num" w:pos="1492"/>
        </w:tabs>
        <w:ind w:left="1492" w:hanging="360"/>
      </w:pPr>
    </w:lvl>
  </w:abstractNum>
  <w:abstractNum w:abstractNumId="1">
    <w:nsid w:val="FFFFFF7D"/>
    <w:multiLevelType w:val="singleLevel"/>
    <w:tmpl w:val="B3DEED16"/>
    <w:lvl w:ilvl="0">
      <w:start w:val="1"/>
      <w:numFmt w:val="decimal"/>
      <w:lvlText w:val="%1."/>
      <w:lvlJc w:val="left"/>
      <w:pPr>
        <w:tabs>
          <w:tab w:val="num" w:pos="1209"/>
        </w:tabs>
        <w:ind w:left="1209" w:hanging="360"/>
      </w:pPr>
    </w:lvl>
  </w:abstractNum>
  <w:abstractNum w:abstractNumId="2">
    <w:nsid w:val="FFFFFF7E"/>
    <w:multiLevelType w:val="singleLevel"/>
    <w:tmpl w:val="991E89AE"/>
    <w:lvl w:ilvl="0">
      <w:start w:val="1"/>
      <w:numFmt w:val="decimal"/>
      <w:lvlText w:val="%1."/>
      <w:lvlJc w:val="left"/>
      <w:pPr>
        <w:tabs>
          <w:tab w:val="num" w:pos="926"/>
        </w:tabs>
        <w:ind w:left="926" w:hanging="360"/>
      </w:pPr>
    </w:lvl>
  </w:abstractNum>
  <w:abstractNum w:abstractNumId="3">
    <w:nsid w:val="FFFFFF7F"/>
    <w:multiLevelType w:val="singleLevel"/>
    <w:tmpl w:val="1EC4BCD0"/>
    <w:lvl w:ilvl="0">
      <w:start w:val="1"/>
      <w:numFmt w:val="decimal"/>
      <w:lvlText w:val="%1."/>
      <w:lvlJc w:val="left"/>
      <w:pPr>
        <w:tabs>
          <w:tab w:val="num" w:pos="643"/>
        </w:tabs>
        <w:ind w:left="643" w:hanging="360"/>
      </w:pPr>
    </w:lvl>
  </w:abstractNum>
  <w:abstractNum w:abstractNumId="4">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EA9308"/>
    <w:lvl w:ilvl="0">
      <w:start w:val="1"/>
      <w:numFmt w:val="decimal"/>
      <w:lvlText w:val="%1."/>
      <w:lvlJc w:val="left"/>
      <w:pPr>
        <w:tabs>
          <w:tab w:val="num" w:pos="360"/>
        </w:tabs>
        <w:ind w:left="360" w:hanging="360"/>
      </w:pPr>
    </w:lvl>
  </w:abstractNum>
  <w:abstractNum w:abstractNumId="9">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6462BA"/>
    <w:multiLevelType w:val="hybridMultilevel"/>
    <w:tmpl w:val="D6AC2D7E"/>
    <w:lvl w:ilvl="0" w:tplc="2DC8AC70">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6956066"/>
    <w:multiLevelType w:val="hybridMultilevel"/>
    <w:tmpl w:val="ECE6B83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nsid w:val="2A4E2758"/>
    <w:multiLevelType w:val="hybridMultilevel"/>
    <w:tmpl w:val="E368A2D2"/>
    <w:lvl w:ilvl="0" w:tplc="DEA299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nsid w:val="59D51A85"/>
    <w:multiLevelType w:val="hybridMultilevel"/>
    <w:tmpl w:val="32AE8D50"/>
    <w:lvl w:ilvl="0" w:tplc="2DC8AC70">
      <w:numFmt w:val="bullet"/>
      <w:lvlText w:val="-"/>
      <w:lvlJc w:val="left"/>
      <w:pPr>
        <w:ind w:left="1440" w:hanging="360"/>
      </w:pPr>
      <w:rPr>
        <w:rFonts w:ascii="Calibri" w:eastAsia="Times New Roman" w:hAnsi="Calibri" w:cstheme="minorHAns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D3C1EA7"/>
    <w:multiLevelType w:val="multilevel"/>
    <w:tmpl w:val="43428892"/>
    <w:numStyleLink w:val="BulletsList"/>
  </w:abstractNum>
  <w:abstractNum w:abstractNumId="23">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nsid w:val="63F501C8"/>
    <w:multiLevelType w:val="hybridMultilevel"/>
    <w:tmpl w:val="EE643932"/>
    <w:lvl w:ilvl="0" w:tplc="62EC4F92">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08582E"/>
    <w:multiLevelType w:val="hybridMultilevel"/>
    <w:tmpl w:val="2D50A54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CD595D"/>
    <w:multiLevelType w:val="hybridMultilevel"/>
    <w:tmpl w:val="07F4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7A528B"/>
    <w:multiLevelType w:val="hybridMultilevel"/>
    <w:tmpl w:val="A39658C0"/>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6"/>
  </w:num>
  <w:num w:numId="23">
    <w:abstractNumId w:val="16"/>
  </w:num>
  <w:num w:numId="24">
    <w:abstractNumId w:val="22"/>
  </w:num>
  <w:num w:numId="25">
    <w:abstractNumId w:val="22"/>
  </w:num>
  <w:num w:numId="26">
    <w:abstractNumId w:val="22"/>
  </w:num>
  <w:num w:numId="27">
    <w:abstractNumId w:val="20"/>
  </w:num>
  <w:num w:numId="28">
    <w:abstractNumId w:val="10"/>
  </w:num>
  <w:num w:numId="29">
    <w:abstractNumId w:val="10"/>
  </w:num>
  <w:num w:numId="30">
    <w:abstractNumId w:val="10"/>
  </w:num>
  <w:num w:numId="31">
    <w:abstractNumId w:val="17"/>
  </w:num>
  <w:num w:numId="32">
    <w:abstractNumId w:val="19"/>
  </w:num>
  <w:num w:numId="33">
    <w:abstractNumId w:val="27"/>
  </w:num>
  <w:num w:numId="34">
    <w:abstractNumId w:val="18"/>
  </w:num>
  <w:num w:numId="35">
    <w:abstractNumId w:val="13"/>
  </w:num>
  <w:num w:numId="36">
    <w:abstractNumId w:val="28"/>
  </w:num>
  <w:num w:numId="37">
    <w:abstractNumId w:val="29"/>
  </w:num>
  <w:num w:numId="38">
    <w:abstractNumId w:val="12"/>
  </w:num>
  <w:num w:numId="39">
    <w:abstractNumId w:val="25"/>
  </w:num>
  <w:num w:numId="40">
    <w:abstractNumId w:val="14"/>
  </w:num>
  <w:num w:numId="41">
    <w:abstractNumId w:val="15"/>
  </w:num>
  <w:num w:numId="42">
    <w:abstractNumId w:val="21"/>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B2F"/>
    <w:rsid w:val="00001DA8"/>
    <w:rsid w:val="000020AD"/>
    <w:rsid w:val="0000359C"/>
    <w:rsid w:val="00003E0B"/>
    <w:rsid w:val="00004100"/>
    <w:rsid w:val="00007A93"/>
    <w:rsid w:val="00007E78"/>
    <w:rsid w:val="00010068"/>
    <w:rsid w:val="000104E5"/>
    <w:rsid w:val="00012CDC"/>
    <w:rsid w:val="0001438A"/>
    <w:rsid w:val="000152DA"/>
    <w:rsid w:val="00015316"/>
    <w:rsid w:val="00015BE8"/>
    <w:rsid w:val="00017F28"/>
    <w:rsid w:val="0002080A"/>
    <w:rsid w:val="00022240"/>
    <w:rsid w:val="00022CC6"/>
    <w:rsid w:val="0002327A"/>
    <w:rsid w:val="000240FF"/>
    <w:rsid w:val="000264E4"/>
    <w:rsid w:val="00026C15"/>
    <w:rsid w:val="00027076"/>
    <w:rsid w:val="0002782F"/>
    <w:rsid w:val="0003079C"/>
    <w:rsid w:val="000313CB"/>
    <w:rsid w:val="00031423"/>
    <w:rsid w:val="00031512"/>
    <w:rsid w:val="000320BC"/>
    <w:rsid w:val="0003423B"/>
    <w:rsid w:val="0003487F"/>
    <w:rsid w:val="00034D67"/>
    <w:rsid w:val="000355F0"/>
    <w:rsid w:val="00036C1C"/>
    <w:rsid w:val="0003780E"/>
    <w:rsid w:val="0004008E"/>
    <w:rsid w:val="000409E5"/>
    <w:rsid w:val="00040A7A"/>
    <w:rsid w:val="0004136D"/>
    <w:rsid w:val="000420AF"/>
    <w:rsid w:val="000426F9"/>
    <w:rsid w:val="00042A2B"/>
    <w:rsid w:val="00043833"/>
    <w:rsid w:val="0004413F"/>
    <w:rsid w:val="000444FC"/>
    <w:rsid w:val="00045BEE"/>
    <w:rsid w:val="00046294"/>
    <w:rsid w:val="00046923"/>
    <w:rsid w:val="00047FBC"/>
    <w:rsid w:val="000502CE"/>
    <w:rsid w:val="000502EE"/>
    <w:rsid w:val="00050C06"/>
    <w:rsid w:val="00053CCF"/>
    <w:rsid w:val="00054410"/>
    <w:rsid w:val="00054E4D"/>
    <w:rsid w:val="00060073"/>
    <w:rsid w:val="0006016F"/>
    <w:rsid w:val="00060268"/>
    <w:rsid w:val="00060376"/>
    <w:rsid w:val="0006053E"/>
    <w:rsid w:val="00060A32"/>
    <w:rsid w:val="00061F06"/>
    <w:rsid w:val="0006231E"/>
    <w:rsid w:val="00064A37"/>
    <w:rsid w:val="00066A64"/>
    <w:rsid w:val="00071D96"/>
    <w:rsid w:val="00074729"/>
    <w:rsid w:val="0007588A"/>
    <w:rsid w:val="00081E65"/>
    <w:rsid w:val="000843A3"/>
    <w:rsid w:val="00084483"/>
    <w:rsid w:val="0008495B"/>
    <w:rsid w:val="00084DD2"/>
    <w:rsid w:val="00085246"/>
    <w:rsid w:val="000860BE"/>
    <w:rsid w:val="000861AE"/>
    <w:rsid w:val="00086A46"/>
    <w:rsid w:val="00086AF2"/>
    <w:rsid w:val="0008740E"/>
    <w:rsid w:val="00090713"/>
    <w:rsid w:val="000918D6"/>
    <w:rsid w:val="00091A47"/>
    <w:rsid w:val="00093215"/>
    <w:rsid w:val="0009612F"/>
    <w:rsid w:val="000966CC"/>
    <w:rsid w:val="000974D9"/>
    <w:rsid w:val="000A0600"/>
    <w:rsid w:val="000A3F07"/>
    <w:rsid w:val="000A5260"/>
    <w:rsid w:val="000A564E"/>
    <w:rsid w:val="000A677C"/>
    <w:rsid w:val="000A69A8"/>
    <w:rsid w:val="000B090C"/>
    <w:rsid w:val="000B1300"/>
    <w:rsid w:val="000B23FB"/>
    <w:rsid w:val="000B27D8"/>
    <w:rsid w:val="000B3861"/>
    <w:rsid w:val="000B3B1B"/>
    <w:rsid w:val="000B71C5"/>
    <w:rsid w:val="000B77F5"/>
    <w:rsid w:val="000C17E0"/>
    <w:rsid w:val="000C59C9"/>
    <w:rsid w:val="000C73C8"/>
    <w:rsid w:val="000C75C1"/>
    <w:rsid w:val="000D5223"/>
    <w:rsid w:val="000D52B1"/>
    <w:rsid w:val="000D5343"/>
    <w:rsid w:val="000D5636"/>
    <w:rsid w:val="000D56C3"/>
    <w:rsid w:val="000D5FAA"/>
    <w:rsid w:val="000D66D6"/>
    <w:rsid w:val="000D76BE"/>
    <w:rsid w:val="000E16A5"/>
    <w:rsid w:val="000E314A"/>
    <w:rsid w:val="000E42E2"/>
    <w:rsid w:val="000E47F1"/>
    <w:rsid w:val="000E6E34"/>
    <w:rsid w:val="000E7F39"/>
    <w:rsid w:val="000F13EE"/>
    <w:rsid w:val="000F1BD4"/>
    <w:rsid w:val="000F203D"/>
    <w:rsid w:val="000F369E"/>
    <w:rsid w:val="000F6F89"/>
    <w:rsid w:val="000F7D9B"/>
    <w:rsid w:val="00103AF2"/>
    <w:rsid w:val="00104697"/>
    <w:rsid w:val="0010756F"/>
    <w:rsid w:val="001113E8"/>
    <w:rsid w:val="00112FA0"/>
    <w:rsid w:val="00113566"/>
    <w:rsid w:val="00114DD8"/>
    <w:rsid w:val="00116043"/>
    <w:rsid w:val="00117C84"/>
    <w:rsid w:val="00122597"/>
    <w:rsid w:val="0012351F"/>
    <w:rsid w:val="0012362A"/>
    <w:rsid w:val="00124BE0"/>
    <w:rsid w:val="00125E9B"/>
    <w:rsid w:val="00130AB0"/>
    <w:rsid w:val="001319D1"/>
    <w:rsid w:val="00131B21"/>
    <w:rsid w:val="001327B8"/>
    <w:rsid w:val="00133005"/>
    <w:rsid w:val="00134327"/>
    <w:rsid w:val="00134E54"/>
    <w:rsid w:val="00135E9D"/>
    <w:rsid w:val="00143CD0"/>
    <w:rsid w:val="00143E15"/>
    <w:rsid w:val="0014442C"/>
    <w:rsid w:val="00147F0A"/>
    <w:rsid w:val="0015008E"/>
    <w:rsid w:val="0015073E"/>
    <w:rsid w:val="001525F9"/>
    <w:rsid w:val="00153A88"/>
    <w:rsid w:val="001541EA"/>
    <w:rsid w:val="00156A6E"/>
    <w:rsid w:val="0016111A"/>
    <w:rsid w:val="00161B60"/>
    <w:rsid w:val="00163AEE"/>
    <w:rsid w:val="00164879"/>
    <w:rsid w:val="00164DBB"/>
    <w:rsid w:val="00164DFC"/>
    <w:rsid w:val="00165E5A"/>
    <w:rsid w:val="00165EF5"/>
    <w:rsid w:val="00167D98"/>
    <w:rsid w:val="00170E7E"/>
    <w:rsid w:val="00171866"/>
    <w:rsid w:val="00171946"/>
    <w:rsid w:val="001719F3"/>
    <w:rsid w:val="00172060"/>
    <w:rsid w:val="00173FE0"/>
    <w:rsid w:val="00175AED"/>
    <w:rsid w:val="0017649F"/>
    <w:rsid w:val="00176A90"/>
    <w:rsid w:val="00186D91"/>
    <w:rsid w:val="00187666"/>
    <w:rsid w:val="0019267F"/>
    <w:rsid w:val="001927B7"/>
    <w:rsid w:val="00192950"/>
    <w:rsid w:val="00193537"/>
    <w:rsid w:val="00195E87"/>
    <w:rsid w:val="001A15ED"/>
    <w:rsid w:val="001A1D82"/>
    <w:rsid w:val="001A2767"/>
    <w:rsid w:val="001A296B"/>
    <w:rsid w:val="001A29F8"/>
    <w:rsid w:val="001A3B36"/>
    <w:rsid w:val="001A3F71"/>
    <w:rsid w:val="001A4D7B"/>
    <w:rsid w:val="001A5E71"/>
    <w:rsid w:val="001B15E9"/>
    <w:rsid w:val="001B2110"/>
    <w:rsid w:val="001B43D2"/>
    <w:rsid w:val="001B4755"/>
    <w:rsid w:val="001B5743"/>
    <w:rsid w:val="001B647B"/>
    <w:rsid w:val="001B7052"/>
    <w:rsid w:val="001B7605"/>
    <w:rsid w:val="001C0F78"/>
    <w:rsid w:val="001C19AE"/>
    <w:rsid w:val="001C1A8F"/>
    <w:rsid w:val="001C31D7"/>
    <w:rsid w:val="001C3CF7"/>
    <w:rsid w:val="001C3E0D"/>
    <w:rsid w:val="001C4A3D"/>
    <w:rsid w:val="001C5CD7"/>
    <w:rsid w:val="001C6C12"/>
    <w:rsid w:val="001D13AB"/>
    <w:rsid w:val="001D217C"/>
    <w:rsid w:val="001D368D"/>
    <w:rsid w:val="001D5124"/>
    <w:rsid w:val="001D663E"/>
    <w:rsid w:val="001E08AD"/>
    <w:rsid w:val="001E1169"/>
    <w:rsid w:val="001E1DC0"/>
    <w:rsid w:val="001E5CD9"/>
    <w:rsid w:val="001F21B8"/>
    <w:rsid w:val="001F3642"/>
    <w:rsid w:val="001F61D7"/>
    <w:rsid w:val="001F7AAC"/>
    <w:rsid w:val="001F7B4E"/>
    <w:rsid w:val="00202513"/>
    <w:rsid w:val="002038C3"/>
    <w:rsid w:val="00204578"/>
    <w:rsid w:val="002047B6"/>
    <w:rsid w:val="0020563B"/>
    <w:rsid w:val="0020588C"/>
    <w:rsid w:val="00207470"/>
    <w:rsid w:val="00207515"/>
    <w:rsid w:val="002113D5"/>
    <w:rsid w:val="002140D4"/>
    <w:rsid w:val="002226AF"/>
    <w:rsid w:val="00223367"/>
    <w:rsid w:val="00226645"/>
    <w:rsid w:val="00226E9C"/>
    <w:rsid w:val="002275C7"/>
    <w:rsid w:val="00227B81"/>
    <w:rsid w:val="00231854"/>
    <w:rsid w:val="002341B9"/>
    <w:rsid w:val="00234423"/>
    <w:rsid w:val="00234877"/>
    <w:rsid w:val="00234AB7"/>
    <w:rsid w:val="00234F06"/>
    <w:rsid w:val="00236A53"/>
    <w:rsid w:val="00237FD3"/>
    <w:rsid w:val="00240071"/>
    <w:rsid w:val="00240C73"/>
    <w:rsid w:val="00240F0B"/>
    <w:rsid w:val="00241EFF"/>
    <w:rsid w:val="00242F86"/>
    <w:rsid w:val="002431AF"/>
    <w:rsid w:val="00247708"/>
    <w:rsid w:val="002526D2"/>
    <w:rsid w:val="0026075D"/>
    <w:rsid w:val="00260E4C"/>
    <w:rsid w:val="00262197"/>
    <w:rsid w:val="0026295D"/>
    <w:rsid w:val="00263000"/>
    <w:rsid w:val="002635EC"/>
    <w:rsid w:val="00263692"/>
    <w:rsid w:val="00263754"/>
    <w:rsid w:val="00263EEA"/>
    <w:rsid w:val="00264091"/>
    <w:rsid w:val="00265060"/>
    <w:rsid w:val="00265068"/>
    <w:rsid w:val="00265CD4"/>
    <w:rsid w:val="00267908"/>
    <w:rsid w:val="002719CB"/>
    <w:rsid w:val="00273EDA"/>
    <w:rsid w:val="00274CB6"/>
    <w:rsid w:val="00275C88"/>
    <w:rsid w:val="00275D71"/>
    <w:rsid w:val="00275DB7"/>
    <w:rsid w:val="0027603E"/>
    <w:rsid w:val="0027641F"/>
    <w:rsid w:val="002765DD"/>
    <w:rsid w:val="0027775C"/>
    <w:rsid w:val="002777FD"/>
    <w:rsid w:val="00280C40"/>
    <w:rsid w:val="00281534"/>
    <w:rsid w:val="00282812"/>
    <w:rsid w:val="002828FF"/>
    <w:rsid w:val="00282944"/>
    <w:rsid w:val="00284957"/>
    <w:rsid w:val="0028602A"/>
    <w:rsid w:val="00286630"/>
    <w:rsid w:val="00286B6F"/>
    <w:rsid w:val="00286D4D"/>
    <w:rsid w:val="00287586"/>
    <w:rsid w:val="00287B82"/>
    <w:rsid w:val="00287E8A"/>
    <w:rsid w:val="002900E8"/>
    <w:rsid w:val="00292970"/>
    <w:rsid w:val="00293C0B"/>
    <w:rsid w:val="00294FC5"/>
    <w:rsid w:val="00295FDE"/>
    <w:rsid w:val="002962A1"/>
    <w:rsid w:val="002974FE"/>
    <w:rsid w:val="002978B6"/>
    <w:rsid w:val="002A13AE"/>
    <w:rsid w:val="002A1708"/>
    <w:rsid w:val="002A1A1F"/>
    <w:rsid w:val="002A299B"/>
    <w:rsid w:val="002A51CA"/>
    <w:rsid w:val="002A7468"/>
    <w:rsid w:val="002B1E38"/>
    <w:rsid w:val="002B3E04"/>
    <w:rsid w:val="002B3E95"/>
    <w:rsid w:val="002B5E10"/>
    <w:rsid w:val="002C0A3E"/>
    <w:rsid w:val="002C11FC"/>
    <w:rsid w:val="002C3F76"/>
    <w:rsid w:val="002D02E9"/>
    <w:rsid w:val="002D06B3"/>
    <w:rsid w:val="002D486B"/>
    <w:rsid w:val="002D5FFE"/>
    <w:rsid w:val="002E10A4"/>
    <w:rsid w:val="002E2C64"/>
    <w:rsid w:val="002E31D5"/>
    <w:rsid w:val="002E3D60"/>
    <w:rsid w:val="002E79B0"/>
    <w:rsid w:val="002F0BA9"/>
    <w:rsid w:val="002F22EE"/>
    <w:rsid w:val="002F2673"/>
    <w:rsid w:val="002F39D7"/>
    <w:rsid w:val="002F6029"/>
    <w:rsid w:val="002F613D"/>
    <w:rsid w:val="002F69CB"/>
    <w:rsid w:val="002F7E7D"/>
    <w:rsid w:val="003002C0"/>
    <w:rsid w:val="00300412"/>
    <w:rsid w:val="00300AC7"/>
    <w:rsid w:val="00300E7A"/>
    <w:rsid w:val="00301144"/>
    <w:rsid w:val="0030220B"/>
    <w:rsid w:val="00302397"/>
    <w:rsid w:val="00303E5D"/>
    <w:rsid w:val="00304E6A"/>
    <w:rsid w:val="00306309"/>
    <w:rsid w:val="003063D0"/>
    <w:rsid w:val="00312E99"/>
    <w:rsid w:val="00313DA0"/>
    <w:rsid w:val="00313F64"/>
    <w:rsid w:val="003146F5"/>
    <w:rsid w:val="003148B7"/>
    <w:rsid w:val="00314B79"/>
    <w:rsid w:val="003156D5"/>
    <w:rsid w:val="003158C3"/>
    <w:rsid w:val="00315E7D"/>
    <w:rsid w:val="003165C0"/>
    <w:rsid w:val="00316E8C"/>
    <w:rsid w:val="00321EA7"/>
    <w:rsid w:val="00322363"/>
    <w:rsid w:val="0032332C"/>
    <w:rsid w:val="00325723"/>
    <w:rsid w:val="00325BB1"/>
    <w:rsid w:val="00325FB7"/>
    <w:rsid w:val="003262B5"/>
    <w:rsid w:val="003274CD"/>
    <w:rsid w:val="003300AE"/>
    <w:rsid w:val="003304EF"/>
    <w:rsid w:val="00330DB1"/>
    <w:rsid w:val="003319E8"/>
    <w:rsid w:val="00331D58"/>
    <w:rsid w:val="003328C2"/>
    <w:rsid w:val="00333501"/>
    <w:rsid w:val="00334A57"/>
    <w:rsid w:val="00335A7E"/>
    <w:rsid w:val="00336CF7"/>
    <w:rsid w:val="0034183E"/>
    <w:rsid w:val="00341E56"/>
    <w:rsid w:val="00342058"/>
    <w:rsid w:val="00342E57"/>
    <w:rsid w:val="0034484A"/>
    <w:rsid w:val="003457C4"/>
    <w:rsid w:val="00345C61"/>
    <w:rsid w:val="003476B6"/>
    <w:rsid w:val="00350234"/>
    <w:rsid w:val="0035119D"/>
    <w:rsid w:val="00351D26"/>
    <w:rsid w:val="00352240"/>
    <w:rsid w:val="00352EC9"/>
    <w:rsid w:val="003539C4"/>
    <w:rsid w:val="00353B83"/>
    <w:rsid w:val="00355341"/>
    <w:rsid w:val="00355EE1"/>
    <w:rsid w:val="00356712"/>
    <w:rsid w:val="003600CC"/>
    <w:rsid w:val="0036128D"/>
    <w:rsid w:val="0036257B"/>
    <w:rsid w:val="003630BD"/>
    <w:rsid w:val="0036344A"/>
    <w:rsid w:val="0036379A"/>
    <w:rsid w:val="00363D2F"/>
    <w:rsid w:val="003655CB"/>
    <w:rsid w:val="00365B5D"/>
    <w:rsid w:val="003662E3"/>
    <w:rsid w:val="00366B89"/>
    <w:rsid w:val="003678DA"/>
    <w:rsid w:val="003719C0"/>
    <w:rsid w:val="00371DA2"/>
    <w:rsid w:val="0037339F"/>
    <w:rsid w:val="0037449F"/>
    <w:rsid w:val="00380311"/>
    <w:rsid w:val="003823E8"/>
    <w:rsid w:val="00382664"/>
    <w:rsid w:val="00382BBF"/>
    <w:rsid w:val="00383EAF"/>
    <w:rsid w:val="003840E1"/>
    <w:rsid w:val="0038423B"/>
    <w:rsid w:val="00384F1A"/>
    <w:rsid w:val="00387E30"/>
    <w:rsid w:val="00391098"/>
    <w:rsid w:val="003918E2"/>
    <w:rsid w:val="00391F8E"/>
    <w:rsid w:val="00392B6D"/>
    <w:rsid w:val="00394898"/>
    <w:rsid w:val="00396475"/>
    <w:rsid w:val="00396C95"/>
    <w:rsid w:val="003A245E"/>
    <w:rsid w:val="003A3A53"/>
    <w:rsid w:val="003A43A6"/>
    <w:rsid w:val="003A53AE"/>
    <w:rsid w:val="003A5645"/>
    <w:rsid w:val="003B0793"/>
    <w:rsid w:val="003B143B"/>
    <w:rsid w:val="003B1A40"/>
    <w:rsid w:val="003B2623"/>
    <w:rsid w:val="003B384E"/>
    <w:rsid w:val="003B4F12"/>
    <w:rsid w:val="003C2673"/>
    <w:rsid w:val="003C4D15"/>
    <w:rsid w:val="003C5537"/>
    <w:rsid w:val="003C6BBD"/>
    <w:rsid w:val="003C77FF"/>
    <w:rsid w:val="003D21BB"/>
    <w:rsid w:val="003D352D"/>
    <w:rsid w:val="003D7B9F"/>
    <w:rsid w:val="003D7CB7"/>
    <w:rsid w:val="003D7D50"/>
    <w:rsid w:val="003E076E"/>
    <w:rsid w:val="003E11F8"/>
    <w:rsid w:val="003E2FC8"/>
    <w:rsid w:val="003E3B8D"/>
    <w:rsid w:val="003E5CD4"/>
    <w:rsid w:val="003E7077"/>
    <w:rsid w:val="003E760F"/>
    <w:rsid w:val="003E7876"/>
    <w:rsid w:val="003F1407"/>
    <w:rsid w:val="003F3090"/>
    <w:rsid w:val="003F7110"/>
    <w:rsid w:val="00400B0F"/>
    <w:rsid w:val="00401A8C"/>
    <w:rsid w:val="00402ACC"/>
    <w:rsid w:val="00403F38"/>
    <w:rsid w:val="00404119"/>
    <w:rsid w:val="00405DBF"/>
    <w:rsid w:val="00406B6F"/>
    <w:rsid w:val="00410A1E"/>
    <w:rsid w:val="00411609"/>
    <w:rsid w:val="004120AC"/>
    <w:rsid w:val="004120EC"/>
    <w:rsid w:val="0041363F"/>
    <w:rsid w:val="00413A96"/>
    <w:rsid w:val="00416530"/>
    <w:rsid w:val="00417E72"/>
    <w:rsid w:val="00417FA0"/>
    <w:rsid w:val="00421627"/>
    <w:rsid w:val="004219F3"/>
    <w:rsid w:val="00421BF3"/>
    <w:rsid w:val="00421DF8"/>
    <w:rsid w:val="004231CB"/>
    <w:rsid w:val="00423F31"/>
    <w:rsid w:val="0042409B"/>
    <w:rsid w:val="0042416C"/>
    <w:rsid w:val="004249B4"/>
    <w:rsid w:val="0042555E"/>
    <w:rsid w:val="00425586"/>
    <w:rsid w:val="004266C5"/>
    <w:rsid w:val="00431899"/>
    <w:rsid w:val="00431E81"/>
    <w:rsid w:val="00437981"/>
    <w:rsid w:val="00440E38"/>
    <w:rsid w:val="0044115F"/>
    <w:rsid w:val="00441E7B"/>
    <w:rsid w:val="00442408"/>
    <w:rsid w:val="0044355C"/>
    <w:rsid w:val="00443CDE"/>
    <w:rsid w:val="0044444A"/>
    <w:rsid w:val="00452A50"/>
    <w:rsid w:val="00455693"/>
    <w:rsid w:val="0045639E"/>
    <w:rsid w:val="00462146"/>
    <w:rsid w:val="00465038"/>
    <w:rsid w:val="00465417"/>
    <w:rsid w:val="004708D6"/>
    <w:rsid w:val="00471151"/>
    <w:rsid w:val="00471D42"/>
    <w:rsid w:val="00471E6F"/>
    <w:rsid w:val="00472A31"/>
    <w:rsid w:val="004733C3"/>
    <w:rsid w:val="00474917"/>
    <w:rsid w:val="00475F53"/>
    <w:rsid w:val="00482B70"/>
    <w:rsid w:val="00486804"/>
    <w:rsid w:val="00487699"/>
    <w:rsid w:val="004917FA"/>
    <w:rsid w:val="004922C8"/>
    <w:rsid w:val="004936D1"/>
    <w:rsid w:val="00494309"/>
    <w:rsid w:val="00494D9B"/>
    <w:rsid w:val="00494FEC"/>
    <w:rsid w:val="00496FDE"/>
    <w:rsid w:val="004977A1"/>
    <w:rsid w:val="004A00C8"/>
    <w:rsid w:val="004A021D"/>
    <w:rsid w:val="004A1035"/>
    <w:rsid w:val="004A36FC"/>
    <w:rsid w:val="004A3FE5"/>
    <w:rsid w:val="004A403B"/>
    <w:rsid w:val="004A56BE"/>
    <w:rsid w:val="004A5A1A"/>
    <w:rsid w:val="004A69AD"/>
    <w:rsid w:val="004A71FB"/>
    <w:rsid w:val="004B083E"/>
    <w:rsid w:val="004B27E0"/>
    <w:rsid w:val="004B3775"/>
    <w:rsid w:val="004B553C"/>
    <w:rsid w:val="004B6AD2"/>
    <w:rsid w:val="004C252F"/>
    <w:rsid w:val="004C30E3"/>
    <w:rsid w:val="004C3F43"/>
    <w:rsid w:val="004C43E5"/>
    <w:rsid w:val="004C5A11"/>
    <w:rsid w:val="004C5DFB"/>
    <w:rsid w:val="004C62F1"/>
    <w:rsid w:val="004C66FB"/>
    <w:rsid w:val="004C6C6A"/>
    <w:rsid w:val="004D0BA0"/>
    <w:rsid w:val="004E0264"/>
    <w:rsid w:val="004E058F"/>
    <w:rsid w:val="004E09A7"/>
    <w:rsid w:val="004E10F9"/>
    <w:rsid w:val="004E2014"/>
    <w:rsid w:val="004E29C4"/>
    <w:rsid w:val="004E2A96"/>
    <w:rsid w:val="004E3B87"/>
    <w:rsid w:val="004E44D0"/>
    <w:rsid w:val="004E59EF"/>
    <w:rsid w:val="004E7225"/>
    <w:rsid w:val="004E79A2"/>
    <w:rsid w:val="004F0852"/>
    <w:rsid w:val="004F21F4"/>
    <w:rsid w:val="004F2AE2"/>
    <w:rsid w:val="004F5C60"/>
    <w:rsid w:val="004F79CE"/>
    <w:rsid w:val="00501A72"/>
    <w:rsid w:val="00501F5E"/>
    <w:rsid w:val="00502774"/>
    <w:rsid w:val="00505B4F"/>
    <w:rsid w:val="00506BD8"/>
    <w:rsid w:val="00507892"/>
    <w:rsid w:val="00510652"/>
    <w:rsid w:val="00510921"/>
    <w:rsid w:val="00510AD3"/>
    <w:rsid w:val="005117D9"/>
    <w:rsid w:val="00512D1A"/>
    <w:rsid w:val="00513348"/>
    <w:rsid w:val="005146A1"/>
    <w:rsid w:val="00515125"/>
    <w:rsid w:val="00516988"/>
    <w:rsid w:val="00517234"/>
    <w:rsid w:val="005212D4"/>
    <w:rsid w:val="0052340B"/>
    <w:rsid w:val="0052518D"/>
    <w:rsid w:val="0052551D"/>
    <w:rsid w:val="005260CE"/>
    <w:rsid w:val="00526C9B"/>
    <w:rsid w:val="005304EE"/>
    <w:rsid w:val="00530E1C"/>
    <w:rsid w:val="0053118E"/>
    <w:rsid w:val="005316F1"/>
    <w:rsid w:val="005318D9"/>
    <w:rsid w:val="00532CCD"/>
    <w:rsid w:val="00533B5D"/>
    <w:rsid w:val="005343C4"/>
    <w:rsid w:val="005352A7"/>
    <w:rsid w:val="00536EF9"/>
    <w:rsid w:val="005406E0"/>
    <w:rsid w:val="005410E2"/>
    <w:rsid w:val="005421EC"/>
    <w:rsid w:val="00542ACC"/>
    <w:rsid w:val="00542C78"/>
    <w:rsid w:val="00546806"/>
    <w:rsid w:val="00546A30"/>
    <w:rsid w:val="00547527"/>
    <w:rsid w:val="005511BF"/>
    <w:rsid w:val="00551E12"/>
    <w:rsid w:val="00552435"/>
    <w:rsid w:val="00555F5E"/>
    <w:rsid w:val="005564AA"/>
    <w:rsid w:val="005611AA"/>
    <w:rsid w:val="005732F3"/>
    <w:rsid w:val="00573E22"/>
    <w:rsid w:val="005740AB"/>
    <w:rsid w:val="005746B2"/>
    <w:rsid w:val="0057498A"/>
    <w:rsid w:val="005777BD"/>
    <w:rsid w:val="00580FB9"/>
    <w:rsid w:val="0058334C"/>
    <w:rsid w:val="00583CC3"/>
    <w:rsid w:val="00583CED"/>
    <w:rsid w:val="00583F9A"/>
    <w:rsid w:val="005845EF"/>
    <w:rsid w:val="005867F6"/>
    <w:rsid w:val="00587789"/>
    <w:rsid w:val="0059146A"/>
    <w:rsid w:val="00591CCE"/>
    <w:rsid w:val="005925CD"/>
    <w:rsid w:val="00592C53"/>
    <w:rsid w:val="00593FA4"/>
    <w:rsid w:val="005A08B7"/>
    <w:rsid w:val="005A30A2"/>
    <w:rsid w:val="005A3E7B"/>
    <w:rsid w:val="005A537A"/>
    <w:rsid w:val="005A5A46"/>
    <w:rsid w:val="005A5A49"/>
    <w:rsid w:val="005A6AB9"/>
    <w:rsid w:val="005A6AD5"/>
    <w:rsid w:val="005A7E8A"/>
    <w:rsid w:val="005B3DE6"/>
    <w:rsid w:val="005B557A"/>
    <w:rsid w:val="005B5769"/>
    <w:rsid w:val="005B7B3E"/>
    <w:rsid w:val="005C0A6C"/>
    <w:rsid w:val="005C1E8A"/>
    <w:rsid w:val="005C50B3"/>
    <w:rsid w:val="005C7EF8"/>
    <w:rsid w:val="005D069C"/>
    <w:rsid w:val="005D2294"/>
    <w:rsid w:val="005D2EFA"/>
    <w:rsid w:val="005D3655"/>
    <w:rsid w:val="005D5F06"/>
    <w:rsid w:val="005D61C1"/>
    <w:rsid w:val="005D6D31"/>
    <w:rsid w:val="005D7F87"/>
    <w:rsid w:val="005E00B4"/>
    <w:rsid w:val="005E01FE"/>
    <w:rsid w:val="005E0A3F"/>
    <w:rsid w:val="005E0EF7"/>
    <w:rsid w:val="005E0F36"/>
    <w:rsid w:val="005E1F4E"/>
    <w:rsid w:val="005E337D"/>
    <w:rsid w:val="005E4883"/>
    <w:rsid w:val="005E4D9F"/>
    <w:rsid w:val="005E5C68"/>
    <w:rsid w:val="005E606B"/>
    <w:rsid w:val="005E612D"/>
    <w:rsid w:val="005F2310"/>
    <w:rsid w:val="005F3638"/>
    <w:rsid w:val="005F36B3"/>
    <w:rsid w:val="005F4560"/>
    <w:rsid w:val="005F752B"/>
    <w:rsid w:val="005F7F44"/>
    <w:rsid w:val="006005A2"/>
    <w:rsid w:val="006005CD"/>
    <w:rsid w:val="0060108D"/>
    <w:rsid w:val="00601B95"/>
    <w:rsid w:val="00604F51"/>
    <w:rsid w:val="00604F85"/>
    <w:rsid w:val="00613F23"/>
    <w:rsid w:val="00614ABD"/>
    <w:rsid w:val="00614F31"/>
    <w:rsid w:val="006151FE"/>
    <w:rsid w:val="00616034"/>
    <w:rsid w:val="00617182"/>
    <w:rsid w:val="0062033C"/>
    <w:rsid w:val="00620AC5"/>
    <w:rsid w:val="00620BB4"/>
    <w:rsid w:val="00621C2B"/>
    <w:rsid w:val="00623BA1"/>
    <w:rsid w:val="00624768"/>
    <w:rsid w:val="006248DB"/>
    <w:rsid w:val="0062565A"/>
    <w:rsid w:val="0062579F"/>
    <w:rsid w:val="0062630A"/>
    <w:rsid w:val="00626A3D"/>
    <w:rsid w:val="00627951"/>
    <w:rsid w:val="00633547"/>
    <w:rsid w:val="0063399A"/>
    <w:rsid w:val="006346BC"/>
    <w:rsid w:val="006346E7"/>
    <w:rsid w:val="00636620"/>
    <w:rsid w:val="00637134"/>
    <w:rsid w:val="00637621"/>
    <w:rsid w:val="00637ADB"/>
    <w:rsid w:val="00640500"/>
    <w:rsid w:val="00641753"/>
    <w:rsid w:val="00641CEE"/>
    <w:rsid w:val="00642014"/>
    <w:rsid w:val="00647512"/>
    <w:rsid w:val="00647AA8"/>
    <w:rsid w:val="00650234"/>
    <w:rsid w:val="00652CD3"/>
    <w:rsid w:val="006533A6"/>
    <w:rsid w:val="006547F5"/>
    <w:rsid w:val="00655502"/>
    <w:rsid w:val="00656307"/>
    <w:rsid w:val="006566E7"/>
    <w:rsid w:val="0065674D"/>
    <w:rsid w:val="00656C6A"/>
    <w:rsid w:val="0066036E"/>
    <w:rsid w:val="006620D3"/>
    <w:rsid w:val="00662B4C"/>
    <w:rsid w:val="00666249"/>
    <w:rsid w:val="0066652A"/>
    <w:rsid w:val="0067070A"/>
    <w:rsid w:val="00672EAF"/>
    <w:rsid w:val="00673C76"/>
    <w:rsid w:val="00675149"/>
    <w:rsid w:val="006771E5"/>
    <w:rsid w:val="00680522"/>
    <w:rsid w:val="00681472"/>
    <w:rsid w:val="00681F08"/>
    <w:rsid w:val="00682167"/>
    <w:rsid w:val="006837CD"/>
    <w:rsid w:val="00687A97"/>
    <w:rsid w:val="00687CA4"/>
    <w:rsid w:val="00690511"/>
    <w:rsid w:val="00690BB5"/>
    <w:rsid w:val="00692320"/>
    <w:rsid w:val="00693276"/>
    <w:rsid w:val="0069449B"/>
    <w:rsid w:val="00697210"/>
    <w:rsid w:val="006974E0"/>
    <w:rsid w:val="006A109A"/>
    <w:rsid w:val="006A1F06"/>
    <w:rsid w:val="006A23DB"/>
    <w:rsid w:val="006A2420"/>
    <w:rsid w:val="006A2D52"/>
    <w:rsid w:val="006A54A5"/>
    <w:rsid w:val="006A5694"/>
    <w:rsid w:val="006A6C93"/>
    <w:rsid w:val="006A7710"/>
    <w:rsid w:val="006A783D"/>
    <w:rsid w:val="006A7DDC"/>
    <w:rsid w:val="006B0F90"/>
    <w:rsid w:val="006B1525"/>
    <w:rsid w:val="006B41FF"/>
    <w:rsid w:val="006C004B"/>
    <w:rsid w:val="006C09B0"/>
    <w:rsid w:val="006C0F17"/>
    <w:rsid w:val="006C1D3E"/>
    <w:rsid w:val="006C2294"/>
    <w:rsid w:val="006C2FEE"/>
    <w:rsid w:val="006C42AF"/>
    <w:rsid w:val="006D131F"/>
    <w:rsid w:val="006D143B"/>
    <w:rsid w:val="006D1799"/>
    <w:rsid w:val="006D5949"/>
    <w:rsid w:val="006D5FBB"/>
    <w:rsid w:val="006D62DD"/>
    <w:rsid w:val="006E0458"/>
    <w:rsid w:val="006E2A98"/>
    <w:rsid w:val="006E2C90"/>
    <w:rsid w:val="006E3CD5"/>
    <w:rsid w:val="006E7220"/>
    <w:rsid w:val="006E7359"/>
    <w:rsid w:val="006E7ECD"/>
    <w:rsid w:val="006F02C8"/>
    <w:rsid w:val="006F12A9"/>
    <w:rsid w:val="006F27B1"/>
    <w:rsid w:val="006F2B17"/>
    <w:rsid w:val="006F51B1"/>
    <w:rsid w:val="006F51EA"/>
    <w:rsid w:val="006F75DB"/>
    <w:rsid w:val="006F7FF6"/>
    <w:rsid w:val="00701855"/>
    <w:rsid w:val="00703FE8"/>
    <w:rsid w:val="0070482F"/>
    <w:rsid w:val="00704A1E"/>
    <w:rsid w:val="00705944"/>
    <w:rsid w:val="00705B16"/>
    <w:rsid w:val="0071095A"/>
    <w:rsid w:val="00710E99"/>
    <w:rsid w:val="00711D8E"/>
    <w:rsid w:val="00712652"/>
    <w:rsid w:val="00712672"/>
    <w:rsid w:val="007131F1"/>
    <w:rsid w:val="0071588C"/>
    <w:rsid w:val="00717034"/>
    <w:rsid w:val="00717351"/>
    <w:rsid w:val="007176F1"/>
    <w:rsid w:val="0072058A"/>
    <w:rsid w:val="007212D0"/>
    <w:rsid w:val="0072410F"/>
    <w:rsid w:val="007246F2"/>
    <w:rsid w:val="00724EFB"/>
    <w:rsid w:val="007255FD"/>
    <w:rsid w:val="00726B4E"/>
    <w:rsid w:val="00731CA9"/>
    <w:rsid w:val="00733D43"/>
    <w:rsid w:val="00734E3F"/>
    <w:rsid w:val="00736985"/>
    <w:rsid w:val="007369B8"/>
    <w:rsid w:val="0073743F"/>
    <w:rsid w:val="007377FF"/>
    <w:rsid w:val="00737834"/>
    <w:rsid w:val="00740515"/>
    <w:rsid w:val="00740B58"/>
    <w:rsid w:val="00743378"/>
    <w:rsid w:val="00744263"/>
    <w:rsid w:val="00745DF5"/>
    <w:rsid w:val="00746C0B"/>
    <w:rsid w:val="0074795A"/>
    <w:rsid w:val="00747D53"/>
    <w:rsid w:val="007519D3"/>
    <w:rsid w:val="00751A8A"/>
    <w:rsid w:val="0075275E"/>
    <w:rsid w:val="00755438"/>
    <w:rsid w:val="007554E0"/>
    <w:rsid w:val="007570F0"/>
    <w:rsid w:val="00760BE2"/>
    <w:rsid w:val="007621CD"/>
    <w:rsid w:val="00762242"/>
    <w:rsid w:val="0076250F"/>
    <w:rsid w:val="0076611F"/>
    <w:rsid w:val="00766B05"/>
    <w:rsid w:val="007678FE"/>
    <w:rsid w:val="00770B83"/>
    <w:rsid w:val="00770EA3"/>
    <w:rsid w:val="00771B53"/>
    <w:rsid w:val="00772668"/>
    <w:rsid w:val="007749E5"/>
    <w:rsid w:val="00775E13"/>
    <w:rsid w:val="00776865"/>
    <w:rsid w:val="00776A7E"/>
    <w:rsid w:val="00781422"/>
    <w:rsid w:val="00784031"/>
    <w:rsid w:val="00784E21"/>
    <w:rsid w:val="00786871"/>
    <w:rsid w:val="007919A6"/>
    <w:rsid w:val="00791F29"/>
    <w:rsid w:val="00793B60"/>
    <w:rsid w:val="007950EE"/>
    <w:rsid w:val="0079578D"/>
    <w:rsid w:val="007A0796"/>
    <w:rsid w:val="007A0828"/>
    <w:rsid w:val="007A2CBD"/>
    <w:rsid w:val="007A3DD7"/>
    <w:rsid w:val="007A40F5"/>
    <w:rsid w:val="007A43AF"/>
    <w:rsid w:val="007A44C6"/>
    <w:rsid w:val="007A700C"/>
    <w:rsid w:val="007A7337"/>
    <w:rsid w:val="007A7702"/>
    <w:rsid w:val="007B0151"/>
    <w:rsid w:val="007B1B84"/>
    <w:rsid w:val="007B35CA"/>
    <w:rsid w:val="007B4236"/>
    <w:rsid w:val="007B4C2C"/>
    <w:rsid w:val="007B5205"/>
    <w:rsid w:val="007B6200"/>
    <w:rsid w:val="007B6C2F"/>
    <w:rsid w:val="007B6DF1"/>
    <w:rsid w:val="007C1B99"/>
    <w:rsid w:val="007C1E98"/>
    <w:rsid w:val="007C3918"/>
    <w:rsid w:val="007C3FFB"/>
    <w:rsid w:val="007C46DC"/>
    <w:rsid w:val="007C60B4"/>
    <w:rsid w:val="007C723B"/>
    <w:rsid w:val="007D0148"/>
    <w:rsid w:val="007D489C"/>
    <w:rsid w:val="007D4F83"/>
    <w:rsid w:val="007D7A09"/>
    <w:rsid w:val="007E06DA"/>
    <w:rsid w:val="007E14D1"/>
    <w:rsid w:val="007E1EFB"/>
    <w:rsid w:val="007E5EF2"/>
    <w:rsid w:val="007E65BE"/>
    <w:rsid w:val="007E748E"/>
    <w:rsid w:val="007F025D"/>
    <w:rsid w:val="007F03F6"/>
    <w:rsid w:val="007F041C"/>
    <w:rsid w:val="007F04CE"/>
    <w:rsid w:val="007F125F"/>
    <w:rsid w:val="007F3395"/>
    <w:rsid w:val="007F7142"/>
    <w:rsid w:val="0080069F"/>
    <w:rsid w:val="0080079A"/>
    <w:rsid w:val="00801B9F"/>
    <w:rsid w:val="00802191"/>
    <w:rsid w:val="008025FB"/>
    <w:rsid w:val="008042D3"/>
    <w:rsid w:val="008044DB"/>
    <w:rsid w:val="0080479A"/>
    <w:rsid w:val="008057FD"/>
    <w:rsid w:val="00807197"/>
    <w:rsid w:val="008079A5"/>
    <w:rsid w:val="00810636"/>
    <w:rsid w:val="00812DDA"/>
    <w:rsid w:val="0081575A"/>
    <w:rsid w:val="00816282"/>
    <w:rsid w:val="00817D89"/>
    <w:rsid w:val="008217DC"/>
    <w:rsid w:val="00823327"/>
    <w:rsid w:val="00824F77"/>
    <w:rsid w:val="00825FD0"/>
    <w:rsid w:val="008301AF"/>
    <w:rsid w:val="00830418"/>
    <w:rsid w:val="00830578"/>
    <w:rsid w:val="00831160"/>
    <w:rsid w:val="008314E6"/>
    <w:rsid w:val="00831E97"/>
    <w:rsid w:val="0083370A"/>
    <w:rsid w:val="008350AA"/>
    <w:rsid w:val="008358A1"/>
    <w:rsid w:val="00836175"/>
    <w:rsid w:val="00837AB0"/>
    <w:rsid w:val="00840A5E"/>
    <w:rsid w:val="00840AA2"/>
    <w:rsid w:val="00844408"/>
    <w:rsid w:val="008475F0"/>
    <w:rsid w:val="00847FF0"/>
    <w:rsid w:val="008516D8"/>
    <w:rsid w:val="00852B4A"/>
    <w:rsid w:val="00853057"/>
    <w:rsid w:val="008573D8"/>
    <w:rsid w:val="0086052D"/>
    <w:rsid w:val="00860E8F"/>
    <w:rsid w:val="008610C1"/>
    <w:rsid w:val="00863472"/>
    <w:rsid w:val="00864210"/>
    <w:rsid w:val="00864497"/>
    <w:rsid w:val="008649A6"/>
    <w:rsid w:val="00864B0C"/>
    <w:rsid w:val="00865023"/>
    <w:rsid w:val="00865113"/>
    <w:rsid w:val="0086525B"/>
    <w:rsid w:val="008656A5"/>
    <w:rsid w:val="008671D0"/>
    <w:rsid w:val="00867B50"/>
    <w:rsid w:val="00867CF6"/>
    <w:rsid w:val="008706EC"/>
    <w:rsid w:val="008729D5"/>
    <w:rsid w:val="00873B4A"/>
    <w:rsid w:val="008742DC"/>
    <w:rsid w:val="00875749"/>
    <w:rsid w:val="00876458"/>
    <w:rsid w:val="00877454"/>
    <w:rsid w:val="00877F78"/>
    <w:rsid w:val="00880AB6"/>
    <w:rsid w:val="00881363"/>
    <w:rsid w:val="0088520F"/>
    <w:rsid w:val="008865E0"/>
    <w:rsid w:val="008866A8"/>
    <w:rsid w:val="00886ED8"/>
    <w:rsid w:val="008875AC"/>
    <w:rsid w:val="008924B2"/>
    <w:rsid w:val="00893220"/>
    <w:rsid w:val="00894F15"/>
    <w:rsid w:val="008974BD"/>
    <w:rsid w:val="0089772F"/>
    <w:rsid w:val="008A27AE"/>
    <w:rsid w:val="008A27BD"/>
    <w:rsid w:val="008A3B36"/>
    <w:rsid w:val="008A407B"/>
    <w:rsid w:val="008A5AFE"/>
    <w:rsid w:val="008A797A"/>
    <w:rsid w:val="008B68D7"/>
    <w:rsid w:val="008C2F58"/>
    <w:rsid w:val="008C32AE"/>
    <w:rsid w:val="008C4B21"/>
    <w:rsid w:val="008C53FE"/>
    <w:rsid w:val="008C5A0E"/>
    <w:rsid w:val="008C6EBA"/>
    <w:rsid w:val="008C7806"/>
    <w:rsid w:val="008D107A"/>
    <w:rsid w:val="008D2DFA"/>
    <w:rsid w:val="008D36EE"/>
    <w:rsid w:val="008D39C1"/>
    <w:rsid w:val="008D4857"/>
    <w:rsid w:val="008D54D8"/>
    <w:rsid w:val="008D5697"/>
    <w:rsid w:val="008D5D7F"/>
    <w:rsid w:val="008D7A89"/>
    <w:rsid w:val="008D7E56"/>
    <w:rsid w:val="008E0068"/>
    <w:rsid w:val="008E20F3"/>
    <w:rsid w:val="008E292B"/>
    <w:rsid w:val="008E3777"/>
    <w:rsid w:val="008E3D3F"/>
    <w:rsid w:val="008E403D"/>
    <w:rsid w:val="008E6A88"/>
    <w:rsid w:val="008E71A9"/>
    <w:rsid w:val="008F052B"/>
    <w:rsid w:val="008F47EC"/>
    <w:rsid w:val="008F56A8"/>
    <w:rsid w:val="008F58A3"/>
    <w:rsid w:val="008F5C26"/>
    <w:rsid w:val="008F7D2F"/>
    <w:rsid w:val="00900972"/>
    <w:rsid w:val="00900B0B"/>
    <w:rsid w:val="00901AA5"/>
    <w:rsid w:val="0090289F"/>
    <w:rsid w:val="00904F78"/>
    <w:rsid w:val="00907B7C"/>
    <w:rsid w:val="00910BA7"/>
    <w:rsid w:val="009128EF"/>
    <w:rsid w:val="00912A48"/>
    <w:rsid w:val="00912E69"/>
    <w:rsid w:val="00913155"/>
    <w:rsid w:val="0091439F"/>
    <w:rsid w:val="00914672"/>
    <w:rsid w:val="00914C02"/>
    <w:rsid w:val="009151B9"/>
    <w:rsid w:val="009170F6"/>
    <w:rsid w:val="0092033C"/>
    <w:rsid w:val="009253A8"/>
    <w:rsid w:val="00926F3E"/>
    <w:rsid w:val="00930E8A"/>
    <w:rsid w:val="00932147"/>
    <w:rsid w:val="00932690"/>
    <w:rsid w:val="00932BC6"/>
    <w:rsid w:val="0093407F"/>
    <w:rsid w:val="00934A70"/>
    <w:rsid w:val="00935858"/>
    <w:rsid w:val="0093644F"/>
    <w:rsid w:val="00936531"/>
    <w:rsid w:val="00936D8A"/>
    <w:rsid w:val="0093707E"/>
    <w:rsid w:val="00937E03"/>
    <w:rsid w:val="009408A7"/>
    <w:rsid w:val="00940EB1"/>
    <w:rsid w:val="0094141C"/>
    <w:rsid w:val="0094238E"/>
    <w:rsid w:val="00943A75"/>
    <w:rsid w:val="00947BF5"/>
    <w:rsid w:val="0095025F"/>
    <w:rsid w:val="0095094B"/>
    <w:rsid w:val="0095295A"/>
    <w:rsid w:val="009533FE"/>
    <w:rsid w:val="009549E3"/>
    <w:rsid w:val="009550D2"/>
    <w:rsid w:val="009578AA"/>
    <w:rsid w:val="009618D2"/>
    <w:rsid w:val="009621D1"/>
    <w:rsid w:val="0096260A"/>
    <w:rsid w:val="0096333D"/>
    <w:rsid w:val="009633DB"/>
    <w:rsid w:val="00963B57"/>
    <w:rsid w:val="00963D17"/>
    <w:rsid w:val="00964791"/>
    <w:rsid w:val="0096628B"/>
    <w:rsid w:val="009664AD"/>
    <w:rsid w:val="009670CB"/>
    <w:rsid w:val="009678D9"/>
    <w:rsid w:val="0097009B"/>
    <w:rsid w:val="009725FA"/>
    <w:rsid w:val="00972733"/>
    <w:rsid w:val="0097388E"/>
    <w:rsid w:val="00974BE4"/>
    <w:rsid w:val="00975563"/>
    <w:rsid w:val="0097758D"/>
    <w:rsid w:val="0098132B"/>
    <w:rsid w:val="00981354"/>
    <w:rsid w:val="00981DC0"/>
    <w:rsid w:val="00983C54"/>
    <w:rsid w:val="009849EE"/>
    <w:rsid w:val="00985882"/>
    <w:rsid w:val="00986B22"/>
    <w:rsid w:val="00986B23"/>
    <w:rsid w:val="00986F38"/>
    <w:rsid w:val="009903F3"/>
    <w:rsid w:val="0099219E"/>
    <w:rsid w:val="00992C76"/>
    <w:rsid w:val="00992FFB"/>
    <w:rsid w:val="009931D9"/>
    <w:rsid w:val="00993FCF"/>
    <w:rsid w:val="00994471"/>
    <w:rsid w:val="00994D07"/>
    <w:rsid w:val="0099530B"/>
    <w:rsid w:val="00995B73"/>
    <w:rsid w:val="009A0D1C"/>
    <w:rsid w:val="009A275C"/>
    <w:rsid w:val="009A2CDB"/>
    <w:rsid w:val="009A2E9D"/>
    <w:rsid w:val="009A48C9"/>
    <w:rsid w:val="009A529B"/>
    <w:rsid w:val="009A68CE"/>
    <w:rsid w:val="009A6A7C"/>
    <w:rsid w:val="009A74FA"/>
    <w:rsid w:val="009B0F50"/>
    <w:rsid w:val="009B420A"/>
    <w:rsid w:val="009B4502"/>
    <w:rsid w:val="009B4A9D"/>
    <w:rsid w:val="009B4D3B"/>
    <w:rsid w:val="009B4D67"/>
    <w:rsid w:val="009B6E5A"/>
    <w:rsid w:val="009B72A9"/>
    <w:rsid w:val="009B7CE3"/>
    <w:rsid w:val="009C0B0C"/>
    <w:rsid w:val="009C1602"/>
    <w:rsid w:val="009C2172"/>
    <w:rsid w:val="009C2344"/>
    <w:rsid w:val="009C27F3"/>
    <w:rsid w:val="009C361D"/>
    <w:rsid w:val="009C5ED5"/>
    <w:rsid w:val="009C6343"/>
    <w:rsid w:val="009C6911"/>
    <w:rsid w:val="009C7CDF"/>
    <w:rsid w:val="009D0336"/>
    <w:rsid w:val="009D0EA0"/>
    <w:rsid w:val="009D21F4"/>
    <w:rsid w:val="009D25F9"/>
    <w:rsid w:val="009D2F08"/>
    <w:rsid w:val="009D53C0"/>
    <w:rsid w:val="009D5BED"/>
    <w:rsid w:val="009D6B23"/>
    <w:rsid w:val="009D7407"/>
    <w:rsid w:val="009E0562"/>
    <w:rsid w:val="009E0866"/>
    <w:rsid w:val="009E0DC7"/>
    <w:rsid w:val="009E3737"/>
    <w:rsid w:val="009E4FED"/>
    <w:rsid w:val="009E5B98"/>
    <w:rsid w:val="009E5DC1"/>
    <w:rsid w:val="009E777F"/>
    <w:rsid w:val="009F229A"/>
    <w:rsid w:val="009F2D6B"/>
    <w:rsid w:val="009F2E50"/>
    <w:rsid w:val="009F306D"/>
    <w:rsid w:val="009F3E38"/>
    <w:rsid w:val="009F4540"/>
    <w:rsid w:val="009F4B2D"/>
    <w:rsid w:val="009F5488"/>
    <w:rsid w:val="009F6423"/>
    <w:rsid w:val="009F64E4"/>
    <w:rsid w:val="009F7659"/>
    <w:rsid w:val="009F7E0A"/>
    <w:rsid w:val="00A00446"/>
    <w:rsid w:val="00A005F0"/>
    <w:rsid w:val="00A01C20"/>
    <w:rsid w:val="00A02F99"/>
    <w:rsid w:val="00A02FC7"/>
    <w:rsid w:val="00A03D4E"/>
    <w:rsid w:val="00A04171"/>
    <w:rsid w:val="00A070AB"/>
    <w:rsid w:val="00A1142A"/>
    <w:rsid w:val="00A11EA6"/>
    <w:rsid w:val="00A122F0"/>
    <w:rsid w:val="00A13485"/>
    <w:rsid w:val="00A1377F"/>
    <w:rsid w:val="00A13A04"/>
    <w:rsid w:val="00A14F7D"/>
    <w:rsid w:val="00A207A5"/>
    <w:rsid w:val="00A2142D"/>
    <w:rsid w:val="00A2321C"/>
    <w:rsid w:val="00A24A62"/>
    <w:rsid w:val="00A25AEA"/>
    <w:rsid w:val="00A268D5"/>
    <w:rsid w:val="00A26B6D"/>
    <w:rsid w:val="00A2756E"/>
    <w:rsid w:val="00A3101F"/>
    <w:rsid w:val="00A31047"/>
    <w:rsid w:val="00A31658"/>
    <w:rsid w:val="00A31C9F"/>
    <w:rsid w:val="00A33124"/>
    <w:rsid w:val="00A356A6"/>
    <w:rsid w:val="00A360D6"/>
    <w:rsid w:val="00A36564"/>
    <w:rsid w:val="00A37274"/>
    <w:rsid w:val="00A402F7"/>
    <w:rsid w:val="00A40F38"/>
    <w:rsid w:val="00A41367"/>
    <w:rsid w:val="00A4136A"/>
    <w:rsid w:val="00A4144F"/>
    <w:rsid w:val="00A427C6"/>
    <w:rsid w:val="00A4484D"/>
    <w:rsid w:val="00A44BBA"/>
    <w:rsid w:val="00A47DBD"/>
    <w:rsid w:val="00A52AF1"/>
    <w:rsid w:val="00A53067"/>
    <w:rsid w:val="00A5584F"/>
    <w:rsid w:val="00A55D10"/>
    <w:rsid w:val="00A56C06"/>
    <w:rsid w:val="00A56F14"/>
    <w:rsid w:val="00A60417"/>
    <w:rsid w:val="00A65483"/>
    <w:rsid w:val="00A65E51"/>
    <w:rsid w:val="00A65F03"/>
    <w:rsid w:val="00A6660E"/>
    <w:rsid w:val="00A666BA"/>
    <w:rsid w:val="00A674FC"/>
    <w:rsid w:val="00A67DBD"/>
    <w:rsid w:val="00A7512C"/>
    <w:rsid w:val="00A75883"/>
    <w:rsid w:val="00A76B09"/>
    <w:rsid w:val="00A7758C"/>
    <w:rsid w:val="00A776AD"/>
    <w:rsid w:val="00A7771A"/>
    <w:rsid w:val="00A80F95"/>
    <w:rsid w:val="00A812CC"/>
    <w:rsid w:val="00A8197B"/>
    <w:rsid w:val="00A85BB3"/>
    <w:rsid w:val="00A86733"/>
    <w:rsid w:val="00A874A8"/>
    <w:rsid w:val="00A908DC"/>
    <w:rsid w:val="00A913E4"/>
    <w:rsid w:val="00A917D3"/>
    <w:rsid w:val="00A91A7E"/>
    <w:rsid w:val="00A93014"/>
    <w:rsid w:val="00A936A5"/>
    <w:rsid w:val="00A94B30"/>
    <w:rsid w:val="00A95C0F"/>
    <w:rsid w:val="00A961F4"/>
    <w:rsid w:val="00A96A7A"/>
    <w:rsid w:val="00A97D3F"/>
    <w:rsid w:val="00AA18F3"/>
    <w:rsid w:val="00AA2711"/>
    <w:rsid w:val="00AA3DDE"/>
    <w:rsid w:val="00AA50BC"/>
    <w:rsid w:val="00AA7BE3"/>
    <w:rsid w:val="00AB0EE3"/>
    <w:rsid w:val="00AB2AB5"/>
    <w:rsid w:val="00AB3C90"/>
    <w:rsid w:val="00AB610C"/>
    <w:rsid w:val="00AB6FF8"/>
    <w:rsid w:val="00AB775E"/>
    <w:rsid w:val="00AB7ADA"/>
    <w:rsid w:val="00AC0235"/>
    <w:rsid w:val="00AC164A"/>
    <w:rsid w:val="00AC26E4"/>
    <w:rsid w:val="00AC2AB6"/>
    <w:rsid w:val="00AC70CE"/>
    <w:rsid w:val="00AD3953"/>
    <w:rsid w:val="00AD62B4"/>
    <w:rsid w:val="00AD6707"/>
    <w:rsid w:val="00AD6E69"/>
    <w:rsid w:val="00AE0720"/>
    <w:rsid w:val="00AE0E21"/>
    <w:rsid w:val="00AE1A76"/>
    <w:rsid w:val="00AE4156"/>
    <w:rsid w:val="00AE44DD"/>
    <w:rsid w:val="00AE485B"/>
    <w:rsid w:val="00AE7B8F"/>
    <w:rsid w:val="00AF1B85"/>
    <w:rsid w:val="00AF2050"/>
    <w:rsid w:val="00AF33C9"/>
    <w:rsid w:val="00AF3623"/>
    <w:rsid w:val="00AF6856"/>
    <w:rsid w:val="00AF7B5E"/>
    <w:rsid w:val="00B00210"/>
    <w:rsid w:val="00B00643"/>
    <w:rsid w:val="00B00C28"/>
    <w:rsid w:val="00B011C2"/>
    <w:rsid w:val="00B02025"/>
    <w:rsid w:val="00B039BF"/>
    <w:rsid w:val="00B03CA8"/>
    <w:rsid w:val="00B04B75"/>
    <w:rsid w:val="00B05682"/>
    <w:rsid w:val="00B058C6"/>
    <w:rsid w:val="00B05BF4"/>
    <w:rsid w:val="00B07C25"/>
    <w:rsid w:val="00B11CEF"/>
    <w:rsid w:val="00B137AB"/>
    <w:rsid w:val="00B2423A"/>
    <w:rsid w:val="00B308B5"/>
    <w:rsid w:val="00B331DC"/>
    <w:rsid w:val="00B34B29"/>
    <w:rsid w:val="00B35AD5"/>
    <w:rsid w:val="00B40C6D"/>
    <w:rsid w:val="00B41198"/>
    <w:rsid w:val="00B43455"/>
    <w:rsid w:val="00B43753"/>
    <w:rsid w:val="00B438D3"/>
    <w:rsid w:val="00B46B28"/>
    <w:rsid w:val="00B4745E"/>
    <w:rsid w:val="00B47992"/>
    <w:rsid w:val="00B510E3"/>
    <w:rsid w:val="00B516BD"/>
    <w:rsid w:val="00B52F58"/>
    <w:rsid w:val="00B53F67"/>
    <w:rsid w:val="00B54451"/>
    <w:rsid w:val="00B54704"/>
    <w:rsid w:val="00B547E4"/>
    <w:rsid w:val="00B5519C"/>
    <w:rsid w:val="00B55AD1"/>
    <w:rsid w:val="00B55E19"/>
    <w:rsid w:val="00B6182F"/>
    <w:rsid w:val="00B63200"/>
    <w:rsid w:val="00B64739"/>
    <w:rsid w:val="00B649D6"/>
    <w:rsid w:val="00B6636A"/>
    <w:rsid w:val="00B674A4"/>
    <w:rsid w:val="00B7141D"/>
    <w:rsid w:val="00B722CE"/>
    <w:rsid w:val="00B72A62"/>
    <w:rsid w:val="00B72B31"/>
    <w:rsid w:val="00B74C80"/>
    <w:rsid w:val="00B80C67"/>
    <w:rsid w:val="00B817B8"/>
    <w:rsid w:val="00B84675"/>
    <w:rsid w:val="00B85CB4"/>
    <w:rsid w:val="00B87CE0"/>
    <w:rsid w:val="00B87E82"/>
    <w:rsid w:val="00B91AEC"/>
    <w:rsid w:val="00B92C9F"/>
    <w:rsid w:val="00B92D84"/>
    <w:rsid w:val="00B949DD"/>
    <w:rsid w:val="00B94C26"/>
    <w:rsid w:val="00B95E0A"/>
    <w:rsid w:val="00BA00AC"/>
    <w:rsid w:val="00BA0247"/>
    <w:rsid w:val="00BA49C8"/>
    <w:rsid w:val="00BA4B6D"/>
    <w:rsid w:val="00BA510A"/>
    <w:rsid w:val="00BA5CC1"/>
    <w:rsid w:val="00BA6698"/>
    <w:rsid w:val="00BA71E9"/>
    <w:rsid w:val="00BB1A4D"/>
    <w:rsid w:val="00BB26C5"/>
    <w:rsid w:val="00BB5418"/>
    <w:rsid w:val="00BB7E63"/>
    <w:rsid w:val="00BC00BD"/>
    <w:rsid w:val="00BC09F0"/>
    <w:rsid w:val="00BC1F4C"/>
    <w:rsid w:val="00BC2A9A"/>
    <w:rsid w:val="00BC30E4"/>
    <w:rsid w:val="00BC382C"/>
    <w:rsid w:val="00BC5F9A"/>
    <w:rsid w:val="00BC76DD"/>
    <w:rsid w:val="00BD3711"/>
    <w:rsid w:val="00BD4909"/>
    <w:rsid w:val="00BD5C0C"/>
    <w:rsid w:val="00BD67C6"/>
    <w:rsid w:val="00BD6D53"/>
    <w:rsid w:val="00BD7998"/>
    <w:rsid w:val="00BE4D62"/>
    <w:rsid w:val="00BE58FB"/>
    <w:rsid w:val="00BE70EB"/>
    <w:rsid w:val="00BF41E9"/>
    <w:rsid w:val="00BF4DE6"/>
    <w:rsid w:val="00C00404"/>
    <w:rsid w:val="00C00ECD"/>
    <w:rsid w:val="00C01B93"/>
    <w:rsid w:val="00C02237"/>
    <w:rsid w:val="00C02F09"/>
    <w:rsid w:val="00C03B85"/>
    <w:rsid w:val="00C04579"/>
    <w:rsid w:val="00C04FC8"/>
    <w:rsid w:val="00C06486"/>
    <w:rsid w:val="00C06733"/>
    <w:rsid w:val="00C11319"/>
    <w:rsid w:val="00C1631B"/>
    <w:rsid w:val="00C17479"/>
    <w:rsid w:val="00C21512"/>
    <w:rsid w:val="00C220B4"/>
    <w:rsid w:val="00C2214F"/>
    <w:rsid w:val="00C230E1"/>
    <w:rsid w:val="00C2380E"/>
    <w:rsid w:val="00C24C3E"/>
    <w:rsid w:val="00C25DCB"/>
    <w:rsid w:val="00C262BB"/>
    <w:rsid w:val="00C27706"/>
    <w:rsid w:val="00C31488"/>
    <w:rsid w:val="00C3224D"/>
    <w:rsid w:val="00C34559"/>
    <w:rsid w:val="00C353D5"/>
    <w:rsid w:val="00C3579A"/>
    <w:rsid w:val="00C37106"/>
    <w:rsid w:val="00C404C6"/>
    <w:rsid w:val="00C4271C"/>
    <w:rsid w:val="00C42CDE"/>
    <w:rsid w:val="00C43E81"/>
    <w:rsid w:val="00C45AD0"/>
    <w:rsid w:val="00C45E2F"/>
    <w:rsid w:val="00C45E43"/>
    <w:rsid w:val="00C4649D"/>
    <w:rsid w:val="00C5182A"/>
    <w:rsid w:val="00C51A1A"/>
    <w:rsid w:val="00C5265A"/>
    <w:rsid w:val="00C533DE"/>
    <w:rsid w:val="00C5648E"/>
    <w:rsid w:val="00C60D70"/>
    <w:rsid w:val="00C6175F"/>
    <w:rsid w:val="00C6268F"/>
    <w:rsid w:val="00C63EE9"/>
    <w:rsid w:val="00C64558"/>
    <w:rsid w:val="00C6626C"/>
    <w:rsid w:val="00C66829"/>
    <w:rsid w:val="00C74A6B"/>
    <w:rsid w:val="00C75178"/>
    <w:rsid w:val="00C752D9"/>
    <w:rsid w:val="00C76085"/>
    <w:rsid w:val="00C763D6"/>
    <w:rsid w:val="00C77851"/>
    <w:rsid w:val="00C81533"/>
    <w:rsid w:val="00C86AC9"/>
    <w:rsid w:val="00C86EF7"/>
    <w:rsid w:val="00C902D5"/>
    <w:rsid w:val="00C91EDF"/>
    <w:rsid w:val="00C93702"/>
    <w:rsid w:val="00C94A5D"/>
    <w:rsid w:val="00C952A1"/>
    <w:rsid w:val="00C97D01"/>
    <w:rsid w:val="00CA086A"/>
    <w:rsid w:val="00CA1479"/>
    <w:rsid w:val="00CA1F1A"/>
    <w:rsid w:val="00CA294C"/>
    <w:rsid w:val="00CA2992"/>
    <w:rsid w:val="00CA29DD"/>
    <w:rsid w:val="00CA2CC6"/>
    <w:rsid w:val="00CA37B1"/>
    <w:rsid w:val="00CA4455"/>
    <w:rsid w:val="00CA4C58"/>
    <w:rsid w:val="00CA65C7"/>
    <w:rsid w:val="00CB0591"/>
    <w:rsid w:val="00CB05D2"/>
    <w:rsid w:val="00CB1959"/>
    <w:rsid w:val="00CB2300"/>
    <w:rsid w:val="00CB39DD"/>
    <w:rsid w:val="00CB6636"/>
    <w:rsid w:val="00CC4C00"/>
    <w:rsid w:val="00CC4D85"/>
    <w:rsid w:val="00CC5236"/>
    <w:rsid w:val="00CC6289"/>
    <w:rsid w:val="00CC6B36"/>
    <w:rsid w:val="00CD0E4B"/>
    <w:rsid w:val="00CD13BA"/>
    <w:rsid w:val="00CD1D58"/>
    <w:rsid w:val="00CD4BE2"/>
    <w:rsid w:val="00CD6FF8"/>
    <w:rsid w:val="00CD72D3"/>
    <w:rsid w:val="00CD7B29"/>
    <w:rsid w:val="00CE0155"/>
    <w:rsid w:val="00CE1261"/>
    <w:rsid w:val="00CE17A0"/>
    <w:rsid w:val="00CE41CF"/>
    <w:rsid w:val="00CE422B"/>
    <w:rsid w:val="00CE4C20"/>
    <w:rsid w:val="00CE5033"/>
    <w:rsid w:val="00CE52F7"/>
    <w:rsid w:val="00CE5387"/>
    <w:rsid w:val="00CE6464"/>
    <w:rsid w:val="00CE6BE8"/>
    <w:rsid w:val="00CE712C"/>
    <w:rsid w:val="00CE7460"/>
    <w:rsid w:val="00CE7492"/>
    <w:rsid w:val="00CF0359"/>
    <w:rsid w:val="00CF3FF0"/>
    <w:rsid w:val="00CF5658"/>
    <w:rsid w:val="00CF6247"/>
    <w:rsid w:val="00CF6F9F"/>
    <w:rsid w:val="00D004E4"/>
    <w:rsid w:val="00D00802"/>
    <w:rsid w:val="00D00988"/>
    <w:rsid w:val="00D02234"/>
    <w:rsid w:val="00D0296C"/>
    <w:rsid w:val="00D0460E"/>
    <w:rsid w:val="00D04856"/>
    <w:rsid w:val="00D048E9"/>
    <w:rsid w:val="00D0599F"/>
    <w:rsid w:val="00D05C45"/>
    <w:rsid w:val="00D078EE"/>
    <w:rsid w:val="00D143C8"/>
    <w:rsid w:val="00D146A2"/>
    <w:rsid w:val="00D148FE"/>
    <w:rsid w:val="00D15A00"/>
    <w:rsid w:val="00D15EC9"/>
    <w:rsid w:val="00D16954"/>
    <w:rsid w:val="00D16B0E"/>
    <w:rsid w:val="00D17188"/>
    <w:rsid w:val="00D178D0"/>
    <w:rsid w:val="00D17B14"/>
    <w:rsid w:val="00D21A15"/>
    <w:rsid w:val="00D22EFF"/>
    <w:rsid w:val="00D23C2F"/>
    <w:rsid w:val="00D24542"/>
    <w:rsid w:val="00D269AD"/>
    <w:rsid w:val="00D26C7C"/>
    <w:rsid w:val="00D26CE4"/>
    <w:rsid w:val="00D27416"/>
    <w:rsid w:val="00D3187B"/>
    <w:rsid w:val="00D31C60"/>
    <w:rsid w:val="00D339B2"/>
    <w:rsid w:val="00D33C9B"/>
    <w:rsid w:val="00D35518"/>
    <w:rsid w:val="00D3590A"/>
    <w:rsid w:val="00D3723A"/>
    <w:rsid w:val="00D3743C"/>
    <w:rsid w:val="00D41049"/>
    <w:rsid w:val="00D420BD"/>
    <w:rsid w:val="00D422E2"/>
    <w:rsid w:val="00D424FD"/>
    <w:rsid w:val="00D42650"/>
    <w:rsid w:val="00D44052"/>
    <w:rsid w:val="00D44484"/>
    <w:rsid w:val="00D447E7"/>
    <w:rsid w:val="00D4523D"/>
    <w:rsid w:val="00D46028"/>
    <w:rsid w:val="00D46530"/>
    <w:rsid w:val="00D46973"/>
    <w:rsid w:val="00D46B11"/>
    <w:rsid w:val="00D52D12"/>
    <w:rsid w:val="00D54700"/>
    <w:rsid w:val="00D56E35"/>
    <w:rsid w:val="00D5780C"/>
    <w:rsid w:val="00D60F72"/>
    <w:rsid w:val="00D63480"/>
    <w:rsid w:val="00D6377D"/>
    <w:rsid w:val="00D64BD1"/>
    <w:rsid w:val="00D65748"/>
    <w:rsid w:val="00D65DA0"/>
    <w:rsid w:val="00D67D10"/>
    <w:rsid w:val="00D72760"/>
    <w:rsid w:val="00D75221"/>
    <w:rsid w:val="00D76744"/>
    <w:rsid w:val="00D77CD6"/>
    <w:rsid w:val="00D81BC1"/>
    <w:rsid w:val="00D82049"/>
    <w:rsid w:val="00D8342B"/>
    <w:rsid w:val="00D84B3E"/>
    <w:rsid w:val="00D84D67"/>
    <w:rsid w:val="00D8539C"/>
    <w:rsid w:val="00D85984"/>
    <w:rsid w:val="00D8644A"/>
    <w:rsid w:val="00D90241"/>
    <w:rsid w:val="00D906A1"/>
    <w:rsid w:val="00D92947"/>
    <w:rsid w:val="00D934A9"/>
    <w:rsid w:val="00D9435A"/>
    <w:rsid w:val="00D948DF"/>
    <w:rsid w:val="00D95159"/>
    <w:rsid w:val="00D95270"/>
    <w:rsid w:val="00D96035"/>
    <w:rsid w:val="00D96950"/>
    <w:rsid w:val="00D97A63"/>
    <w:rsid w:val="00DA03B4"/>
    <w:rsid w:val="00DA2563"/>
    <w:rsid w:val="00DA342A"/>
    <w:rsid w:val="00DA4664"/>
    <w:rsid w:val="00DA6D2A"/>
    <w:rsid w:val="00DA6F63"/>
    <w:rsid w:val="00DB243E"/>
    <w:rsid w:val="00DB3740"/>
    <w:rsid w:val="00DB37CB"/>
    <w:rsid w:val="00DB4182"/>
    <w:rsid w:val="00DB5411"/>
    <w:rsid w:val="00DB5635"/>
    <w:rsid w:val="00DB6CDE"/>
    <w:rsid w:val="00DC007D"/>
    <w:rsid w:val="00DC5450"/>
    <w:rsid w:val="00DC5632"/>
    <w:rsid w:val="00DC567D"/>
    <w:rsid w:val="00DD033C"/>
    <w:rsid w:val="00DD0D0E"/>
    <w:rsid w:val="00DD1986"/>
    <w:rsid w:val="00DD29C8"/>
    <w:rsid w:val="00DD4072"/>
    <w:rsid w:val="00DD671E"/>
    <w:rsid w:val="00DD69FF"/>
    <w:rsid w:val="00DE084C"/>
    <w:rsid w:val="00DE0A6A"/>
    <w:rsid w:val="00DE12C6"/>
    <w:rsid w:val="00DE1CB5"/>
    <w:rsid w:val="00DE41AA"/>
    <w:rsid w:val="00DE5837"/>
    <w:rsid w:val="00DE6071"/>
    <w:rsid w:val="00DE6CB1"/>
    <w:rsid w:val="00DE7EF5"/>
    <w:rsid w:val="00DF02C4"/>
    <w:rsid w:val="00DF0B29"/>
    <w:rsid w:val="00DF5A4B"/>
    <w:rsid w:val="00DF7DC1"/>
    <w:rsid w:val="00E03A61"/>
    <w:rsid w:val="00E049FB"/>
    <w:rsid w:val="00E060E1"/>
    <w:rsid w:val="00E06A21"/>
    <w:rsid w:val="00E06AFE"/>
    <w:rsid w:val="00E06F1A"/>
    <w:rsid w:val="00E12022"/>
    <w:rsid w:val="00E131B7"/>
    <w:rsid w:val="00E14433"/>
    <w:rsid w:val="00E146C2"/>
    <w:rsid w:val="00E1484D"/>
    <w:rsid w:val="00E17E28"/>
    <w:rsid w:val="00E20452"/>
    <w:rsid w:val="00E21E71"/>
    <w:rsid w:val="00E26D1D"/>
    <w:rsid w:val="00E31BB4"/>
    <w:rsid w:val="00E3361F"/>
    <w:rsid w:val="00E33F45"/>
    <w:rsid w:val="00E34024"/>
    <w:rsid w:val="00E342F1"/>
    <w:rsid w:val="00E357B7"/>
    <w:rsid w:val="00E36697"/>
    <w:rsid w:val="00E37257"/>
    <w:rsid w:val="00E4587A"/>
    <w:rsid w:val="00E46640"/>
    <w:rsid w:val="00E46E38"/>
    <w:rsid w:val="00E515EA"/>
    <w:rsid w:val="00E52AB2"/>
    <w:rsid w:val="00E53800"/>
    <w:rsid w:val="00E53873"/>
    <w:rsid w:val="00E545B9"/>
    <w:rsid w:val="00E563D8"/>
    <w:rsid w:val="00E56971"/>
    <w:rsid w:val="00E6081F"/>
    <w:rsid w:val="00E61101"/>
    <w:rsid w:val="00E61494"/>
    <w:rsid w:val="00E61F2B"/>
    <w:rsid w:val="00E6285D"/>
    <w:rsid w:val="00E628B0"/>
    <w:rsid w:val="00E64B80"/>
    <w:rsid w:val="00E66033"/>
    <w:rsid w:val="00E673E3"/>
    <w:rsid w:val="00E67939"/>
    <w:rsid w:val="00E67F81"/>
    <w:rsid w:val="00E71BE4"/>
    <w:rsid w:val="00E725EF"/>
    <w:rsid w:val="00E73BFD"/>
    <w:rsid w:val="00E759F0"/>
    <w:rsid w:val="00E76794"/>
    <w:rsid w:val="00E803CE"/>
    <w:rsid w:val="00E803F0"/>
    <w:rsid w:val="00E806D4"/>
    <w:rsid w:val="00E81908"/>
    <w:rsid w:val="00E8339F"/>
    <w:rsid w:val="00E833FC"/>
    <w:rsid w:val="00E83731"/>
    <w:rsid w:val="00E84ACB"/>
    <w:rsid w:val="00E85EA7"/>
    <w:rsid w:val="00E86697"/>
    <w:rsid w:val="00E90E7F"/>
    <w:rsid w:val="00E929BE"/>
    <w:rsid w:val="00E93A88"/>
    <w:rsid w:val="00E94A9C"/>
    <w:rsid w:val="00E95401"/>
    <w:rsid w:val="00E956A2"/>
    <w:rsid w:val="00E95801"/>
    <w:rsid w:val="00EA0172"/>
    <w:rsid w:val="00EA04B2"/>
    <w:rsid w:val="00EA0EF4"/>
    <w:rsid w:val="00EA1400"/>
    <w:rsid w:val="00EA1907"/>
    <w:rsid w:val="00EA20F3"/>
    <w:rsid w:val="00EA3001"/>
    <w:rsid w:val="00EA3D1F"/>
    <w:rsid w:val="00EA613B"/>
    <w:rsid w:val="00EA6E02"/>
    <w:rsid w:val="00EA7461"/>
    <w:rsid w:val="00EA75C9"/>
    <w:rsid w:val="00EA7654"/>
    <w:rsid w:val="00EB246E"/>
    <w:rsid w:val="00EB3A59"/>
    <w:rsid w:val="00EB3B61"/>
    <w:rsid w:val="00EB475C"/>
    <w:rsid w:val="00EB4DE8"/>
    <w:rsid w:val="00EB4ED2"/>
    <w:rsid w:val="00EB6525"/>
    <w:rsid w:val="00EB66FE"/>
    <w:rsid w:val="00EB6BE7"/>
    <w:rsid w:val="00EB7024"/>
    <w:rsid w:val="00EB7136"/>
    <w:rsid w:val="00EB7467"/>
    <w:rsid w:val="00EC0220"/>
    <w:rsid w:val="00EC028C"/>
    <w:rsid w:val="00EC1690"/>
    <w:rsid w:val="00EC16A0"/>
    <w:rsid w:val="00EC3515"/>
    <w:rsid w:val="00EC6DD4"/>
    <w:rsid w:val="00EC6DFC"/>
    <w:rsid w:val="00EC6FD5"/>
    <w:rsid w:val="00ED0A04"/>
    <w:rsid w:val="00ED1641"/>
    <w:rsid w:val="00ED1F39"/>
    <w:rsid w:val="00ED2250"/>
    <w:rsid w:val="00ED2532"/>
    <w:rsid w:val="00ED2831"/>
    <w:rsid w:val="00ED30F7"/>
    <w:rsid w:val="00ED43D1"/>
    <w:rsid w:val="00ED4B3A"/>
    <w:rsid w:val="00ED4CD5"/>
    <w:rsid w:val="00ED5198"/>
    <w:rsid w:val="00ED68AE"/>
    <w:rsid w:val="00EE1741"/>
    <w:rsid w:val="00EE1AAE"/>
    <w:rsid w:val="00EE1C88"/>
    <w:rsid w:val="00EE33EF"/>
    <w:rsid w:val="00EE391B"/>
    <w:rsid w:val="00EE4308"/>
    <w:rsid w:val="00EE4E08"/>
    <w:rsid w:val="00EE4EE1"/>
    <w:rsid w:val="00EE5B01"/>
    <w:rsid w:val="00EE5E2A"/>
    <w:rsid w:val="00EF19E4"/>
    <w:rsid w:val="00EF2648"/>
    <w:rsid w:val="00EF28FF"/>
    <w:rsid w:val="00EF3295"/>
    <w:rsid w:val="00EF4574"/>
    <w:rsid w:val="00EF5496"/>
    <w:rsid w:val="00EF54DA"/>
    <w:rsid w:val="00EF6C38"/>
    <w:rsid w:val="00EF6F8C"/>
    <w:rsid w:val="00EF7F19"/>
    <w:rsid w:val="00F00EFC"/>
    <w:rsid w:val="00F03740"/>
    <w:rsid w:val="00F05C5A"/>
    <w:rsid w:val="00F064F9"/>
    <w:rsid w:val="00F1050F"/>
    <w:rsid w:val="00F1109F"/>
    <w:rsid w:val="00F12435"/>
    <w:rsid w:val="00F12573"/>
    <w:rsid w:val="00F12644"/>
    <w:rsid w:val="00F127A1"/>
    <w:rsid w:val="00F13B53"/>
    <w:rsid w:val="00F13C16"/>
    <w:rsid w:val="00F15476"/>
    <w:rsid w:val="00F15B96"/>
    <w:rsid w:val="00F1615A"/>
    <w:rsid w:val="00F17502"/>
    <w:rsid w:val="00F1784F"/>
    <w:rsid w:val="00F21CDA"/>
    <w:rsid w:val="00F239D8"/>
    <w:rsid w:val="00F24752"/>
    <w:rsid w:val="00F2640D"/>
    <w:rsid w:val="00F2684E"/>
    <w:rsid w:val="00F3081A"/>
    <w:rsid w:val="00F30875"/>
    <w:rsid w:val="00F30958"/>
    <w:rsid w:val="00F316CE"/>
    <w:rsid w:val="00F3644A"/>
    <w:rsid w:val="00F37F07"/>
    <w:rsid w:val="00F43F6F"/>
    <w:rsid w:val="00F442C6"/>
    <w:rsid w:val="00F45D6C"/>
    <w:rsid w:val="00F466ED"/>
    <w:rsid w:val="00F46989"/>
    <w:rsid w:val="00F50190"/>
    <w:rsid w:val="00F5118E"/>
    <w:rsid w:val="00F5404C"/>
    <w:rsid w:val="00F6047B"/>
    <w:rsid w:val="00F62CFC"/>
    <w:rsid w:val="00F63099"/>
    <w:rsid w:val="00F67CDB"/>
    <w:rsid w:val="00F70DB5"/>
    <w:rsid w:val="00F729EF"/>
    <w:rsid w:val="00F7333F"/>
    <w:rsid w:val="00F74BAC"/>
    <w:rsid w:val="00F75A5C"/>
    <w:rsid w:val="00F768F3"/>
    <w:rsid w:val="00F77CAE"/>
    <w:rsid w:val="00F81155"/>
    <w:rsid w:val="00F811BC"/>
    <w:rsid w:val="00F81B8A"/>
    <w:rsid w:val="00F82271"/>
    <w:rsid w:val="00F83428"/>
    <w:rsid w:val="00F870B9"/>
    <w:rsid w:val="00F90DA2"/>
    <w:rsid w:val="00F9318A"/>
    <w:rsid w:val="00F93573"/>
    <w:rsid w:val="00F94D73"/>
    <w:rsid w:val="00F94EC4"/>
    <w:rsid w:val="00F95C74"/>
    <w:rsid w:val="00F961EE"/>
    <w:rsid w:val="00F96BB9"/>
    <w:rsid w:val="00F970C4"/>
    <w:rsid w:val="00FA2863"/>
    <w:rsid w:val="00FA2C16"/>
    <w:rsid w:val="00FA3179"/>
    <w:rsid w:val="00FA3B78"/>
    <w:rsid w:val="00FA4A8C"/>
    <w:rsid w:val="00FA64D1"/>
    <w:rsid w:val="00FA6CE8"/>
    <w:rsid w:val="00FA7278"/>
    <w:rsid w:val="00FB521C"/>
    <w:rsid w:val="00FB66CC"/>
    <w:rsid w:val="00FB6FDA"/>
    <w:rsid w:val="00FB77AA"/>
    <w:rsid w:val="00FC01F5"/>
    <w:rsid w:val="00FC1508"/>
    <w:rsid w:val="00FC2944"/>
    <w:rsid w:val="00FC2C77"/>
    <w:rsid w:val="00FC4807"/>
    <w:rsid w:val="00FC48E8"/>
    <w:rsid w:val="00FC63D0"/>
    <w:rsid w:val="00FC6F12"/>
    <w:rsid w:val="00FC7A99"/>
    <w:rsid w:val="00FD036B"/>
    <w:rsid w:val="00FD523C"/>
    <w:rsid w:val="00FD633A"/>
    <w:rsid w:val="00FD791F"/>
    <w:rsid w:val="00FE1BDB"/>
    <w:rsid w:val="00FE2256"/>
    <w:rsid w:val="00FE254A"/>
    <w:rsid w:val="00FE3123"/>
    <w:rsid w:val="00FE4278"/>
    <w:rsid w:val="00FE4C12"/>
    <w:rsid w:val="00FE5012"/>
    <w:rsid w:val="00FE510A"/>
    <w:rsid w:val="00FE57D1"/>
    <w:rsid w:val="00FE6316"/>
    <w:rsid w:val="00FE6D51"/>
    <w:rsid w:val="00FF08D4"/>
    <w:rsid w:val="00FF09F3"/>
    <w:rsid w:val="00FF17B5"/>
    <w:rsid w:val="00FF324B"/>
    <w:rsid w:val="00FF4E5E"/>
    <w:rsid w:val="00FF513D"/>
    <w:rsid w:val="00FF5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5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uiPriority w:val="99"/>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37449F"/>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eastAsia="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customStyle="1" w:styleId="Default">
    <w:name w:val="Default"/>
    <w:rsid w:val="0097388E"/>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CommentText">
    <w:name w:val="annotation text"/>
    <w:basedOn w:val="Normal"/>
    <w:link w:val="CommentTextChar"/>
    <w:rsid w:val="00733D43"/>
    <w:pPr>
      <w:spacing w:line="240" w:lineRule="auto"/>
    </w:pPr>
    <w:rPr>
      <w:sz w:val="20"/>
      <w:szCs w:val="20"/>
    </w:rPr>
  </w:style>
  <w:style w:type="character" w:customStyle="1" w:styleId="CommentTextChar">
    <w:name w:val="Comment Text Char"/>
    <w:basedOn w:val="DefaultParagraphFont"/>
    <w:link w:val="CommentText"/>
    <w:rsid w:val="00733D43"/>
    <w:rPr>
      <w:color w:val="495965" w:themeColor="text2"/>
      <w:sz w:val="20"/>
      <w:szCs w:val="20"/>
      <w:lang w:val="en-GB"/>
    </w:rPr>
  </w:style>
  <w:style w:type="character" w:styleId="CommentReference">
    <w:name w:val="annotation reference"/>
    <w:basedOn w:val="DefaultParagraphFont"/>
    <w:rsid w:val="00147F0A"/>
    <w:rPr>
      <w:sz w:val="16"/>
      <w:szCs w:val="16"/>
    </w:rPr>
  </w:style>
  <w:style w:type="paragraph" w:styleId="CommentSubject">
    <w:name w:val="annotation subject"/>
    <w:basedOn w:val="CommentText"/>
    <w:next w:val="CommentText"/>
    <w:link w:val="CommentSubjectChar"/>
    <w:uiPriority w:val="99"/>
    <w:semiHidden/>
    <w:unhideWhenUsed/>
    <w:rsid w:val="00580FB9"/>
    <w:rPr>
      <w:b/>
      <w:bCs/>
    </w:rPr>
  </w:style>
  <w:style w:type="character" w:customStyle="1" w:styleId="CommentSubjectChar">
    <w:name w:val="Comment Subject Char"/>
    <w:basedOn w:val="CommentTextChar"/>
    <w:link w:val="CommentSubject"/>
    <w:uiPriority w:val="99"/>
    <w:semiHidden/>
    <w:rsid w:val="00580FB9"/>
    <w:rPr>
      <w:b/>
      <w:bCs/>
      <w:color w:val="495965" w:themeColor="text2"/>
      <w:sz w:val="20"/>
      <w:szCs w:val="20"/>
      <w:lang w:val="en-GB"/>
    </w:rPr>
  </w:style>
  <w:style w:type="paragraph" w:styleId="NoSpacing">
    <w:name w:val="No Spacing"/>
    <w:uiPriority w:val="1"/>
    <w:qFormat/>
    <w:rsid w:val="003F1407"/>
    <w:pPr>
      <w:spacing w:after="0" w:line="240" w:lineRule="auto"/>
    </w:pPr>
    <w:rPr>
      <w:rFonts w:ascii="Calibri" w:eastAsia="Times New Roman" w:hAnsi="Calibri" w:cs="Times New Roman"/>
      <w:lang w:val="en-US"/>
    </w:rPr>
  </w:style>
  <w:style w:type="paragraph" w:styleId="Revision">
    <w:name w:val="Revision"/>
    <w:hidden/>
    <w:uiPriority w:val="99"/>
    <w:semiHidden/>
    <w:rsid w:val="00E61101"/>
    <w:pPr>
      <w:spacing w:after="0" w:line="240" w:lineRule="auto"/>
    </w:pPr>
    <w:rPr>
      <w:color w:val="495965" w:themeColor="text2"/>
      <w:lang w:val="en-GB"/>
    </w:rPr>
  </w:style>
  <w:style w:type="paragraph" w:styleId="ListParagraph">
    <w:name w:val="List Paragraph"/>
    <w:basedOn w:val="Normal"/>
    <w:uiPriority w:val="34"/>
    <w:qFormat/>
    <w:rsid w:val="0041363F"/>
    <w:pPr>
      <w:ind w:left="720"/>
      <w:contextualSpacing/>
    </w:pPr>
  </w:style>
  <w:style w:type="paragraph" w:customStyle="1" w:styleId="DocName">
    <w:name w:val="DocName"/>
    <w:basedOn w:val="Normal"/>
    <w:link w:val="DocNameChar"/>
    <w:rsid w:val="00907B7C"/>
    <w:pPr>
      <w:suppressAutoHyphens w:val="0"/>
      <w:spacing w:before="60" w:line="240" w:lineRule="auto"/>
      <w:jc w:val="center"/>
    </w:pPr>
    <w:rPr>
      <w:rFonts w:ascii="Arial" w:eastAsia="Times New Roman" w:hAnsi="Arial" w:cs="Times New Roman"/>
      <w:b/>
      <w:bCs/>
      <w:color w:val="auto"/>
      <w:sz w:val="28"/>
      <w:szCs w:val="24"/>
      <w:lang w:val="en-AU"/>
    </w:rPr>
  </w:style>
  <w:style w:type="character" w:customStyle="1" w:styleId="DocNameChar">
    <w:name w:val="DocName Char"/>
    <w:link w:val="DocName"/>
    <w:rsid w:val="00907B7C"/>
    <w:rPr>
      <w:rFonts w:ascii="Arial" w:eastAsia="Times New Roman" w:hAnsi="Arial"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5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uiPriority w:val="99"/>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37449F"/>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eastAsia="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paragraph" w:customStyle="1" w:styleId="Default">
    <w:name w:val="Default"/>
    <w:rsid w:val="0097388E"/>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CommentText">
    <w:name w:val="annotation text"/>
    <w:basedOn w:val="Normal"/>
    <w:link w:val="CommentTextChar"/>
    <w:rsid w:val="00733D43"/>
    <w:pPr>
      <w:spacing w:line="240" w:lineRule="auto"/>
    </w:pPr>
    <w:rPr>
      <w:sz w:val="20"/>
      <w:szCs w:val="20"/>
    </w:rPr>
  </w:style>
  <w:style w:type="character" w:customStyle="1" w:styleId="CommentTextChar">
    <w:name w:val="Comment Text Char"/>
    <w:basedOn w:val="DefaultParagraphFont"/>
    <w:link w:val="CommentText"/>
    <w:rsid w:val="00733D43"/>
    <w:rPr>
      <w:color w:val="495965" w:themeColor="text2"/>
      <w:sz w:val="20"/>
      <w:szCs w:val="20"/>
      <w:lang w:val="en-GB"/>
    </w:rPr>
  </w:style>
  <w:style w:type="character" w:styleId="CommentReference">
    <w:name w:val="annotation reference"/>
    <w:basedOn w:val="DefaultParagraphFont"/>
    <w:rsid w:val="00147F0A"/>
    <w:rPr>
      <w:sz w:val="16"/>
      <w:szCs w:val="16"/>
    </w:rPr>
  </w:style>
  <w:style w:type="paragraph" w:styleId="CommentSubject">
    <w:name w:val="annotation subject"/>
    <w:basedOn w:val="CommentText"/>
    <w:next w:val="CommentText"/>
    <w:link w:val="CommentSubjectChar"/>
    <w:uiPriority w:val="99"/>
    <w:semiHidden/>
    <w:unhideWhenUsed/>
    <w:rsid w:val="00580FB9"/>
    <w:rPr>
      <w:b/>
      <w:bCs/>
    </w:rPr>
  </w:style>
  <w:style w:type="character" w:customStyle="1" w:styleId="CommentSubjectChar">
    <w:name w:val="Comment Subject Char"/>
    <w:basedOn w:val="CommentTextChar"/>
    <w:link w:val="CommentSubject"/>
    <w:uiPriority w:val="99"/>
    <w:semiHidden/>
    <w:rsid w:val="00580FB9"/>
    <w:rPr>
      <w:b/>
      <w:bCs/>
      <w:color w:val="495965" w:themeColor="text2"/>
      <w:sz w:val="20"/>
      <w:szCs w:val="20"/>
      <w:lang w:val="en-GB"/>
    </w:rPr>
  </w:style>
  <w:style w:type="paragraph" w:styleId="NoSpacing">
    <w:name w:val="No Spacing"/>
    <w:uiPriority w:val="1"/>
    <w:qFormat/>
    <w:rsid w:val="003F1407"/>
    <w:pPr>
      <w:spacing w:after="0" w:line="240" w:lineRule="auto"/>
    </w:pPr>
    <w:rPr>
      <w:rFonts w:ascii="Calibri" w:eastAsia="Times New Roman" w:hAnsi="Calibri" w:cs="Times New Roman"/>
      <w:lang w:val="en-US"/>
    </w:rPr>
  </w:style>
  <w:style w:type="paragraph" w:styleId="Revision">
    <w:name w:val="Revision"/>
    <w:hidden/>
    <w:uiPriority w:val="99"/>
    <w:semiHidden/>
    <w:rsid w:val="00E61101"/>
    <w:pPr>
      <w:spacing w:after="0" w:line="240" w:lineRule="auto"/>
    </w:pPr>
    <w:rPr>
      <w:color w:val="495965" w:themeColor="text2"/>
      <w:lang w:val="en-GB"/>
    </w:rPr>
  </w:style>
  <w:style w:type="paragraph" w:styleId="ListParagraph">
    <w:name w:val="List Paragraph"/>
    <w:basedOn w:val="Normal"/>
    <w:uiPriority w:val="34"/>
    <w:qFormat/>
    <w:rsid w:val="0041363F"/>
    <w:pPr>
      <w:ind w:left="720"/>
      <w:contextualSpacing/>
    </w:pPr>
  </w:style>
  <w:style w:type="paragraph" w:customStyle="1" w:styleId="DocName">
    <w:name w:val="DocName"/>
    <w:basedOn w:val="Normal"/>
    <w:link w:val="DocNameChar"/>
    <w:rsid w:val="00907B7C"/>
    <w:pPr>
      <w:suppressAutoHyphens w:val="0"/>
      <w:spacing w:before="60" w:line="240" w:lineRule="auto"/>
      <w:jc w:val="center"/>
    </w:pPr>
    <w:rPr>
      <w:rFonts w:ascii="Arial" w:eastAsia="Times New Roman" w:hAnsi="Arial" w:cs="Times New Roman"/>
      <w:b/>
      <w:bCs/>
      <w:color w:val="auto"/>
      <w:sz w:val="28"/>
      <w:szCs w:val="24"/>
      <w:lang w:val="en-AU"/>
    </w:rPr>
  </w:style>
  <w:style w:type="character" w:customStyle="1" w:styleId="DocNameChar">
    <w:name w:val="DocName Char"/>
    <w:link w:val="DocName"/>
    <w:rsid w:val="00907B7C"/>
    <w:rPr>
      <w:rFonts w:ascii="Arial" w:eastAsia="Times New Roman" w:hAnsi="Arial"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5447">
      <w:bodyDiv w:val="1"/>
      <w:marLeft w:val="0"/>
      <w:marRight w:val="0"/>
      <w:marTop w:val="0"/>
      <w:marBottom w:val="0"/>
      <w:divBdr>
        <w:top w:val="none" w:sz="0" w:space="0" w:color="auto"/>
        <w:left w:val="none" w:sz="0" w:space="0" w:color="auto"/>
        <w:bottom w:val="none" w:sz="0" w:space="0" w:color="auto"/>
        <w:right w:val="none" w:sz="0" w:space="0" w:color="auto"/>
      </w:divBdr>
    </w:div>
    <w:div w:id="456291143">
      <w:bodyDiv w:val="1"/>
      <w:marLeft w:val="0"/>
      <w:marRight w:val="0"/>
      <w:marTop w:val="0"/>
      <w:marBottom w:val="0"/>
      <w:divBdr>
        <w:top w:val="none" w:sz="0" w:space="0" w:color="auto"/>
        <w:left w:val="none" w:sz="0" w:space="0" w:color="auto"/>
        <w:bottom w:val="none" w:sz="0" w:space="0" w:color="auto"/>
        <w:right w:val="none" w:sz="0" w:space="0" w:color="auto"/>
      </w:divBdr>
    </w:div>
    <w:div w:id="528639632">
      <w:bodyDiv w:val="1"/>
      <w:marLeft w:val="0"/>
      <w:marRight w:val="0"/>
      <w:marTop w:val="0"/>
      <w:marBottom w:val="0"/>
      <w:divBdr>
        <w:top w:val="none" w:sz="0" w:space="0" w:color="auto"/>
        <w:left w:val="none" w:sz="0" w:space="0" w:color="auto"/>
        <w:bottom w:val="none" w:sz="0" w:space="0" w:color="auto"/>
        <w:right w:val="none" w:sz="0" w:space="0" w:color="auto"/>
      </w:divBdr>
    </w:div>
    <w:div w:id="542907596">
      <w:bodyDiv w:val="1"/>
      <w:marLeft w:val="0"/>
      <w:marRight w:val="0"/>
      <w:marTop w:val="0"/>
      <w:marBottom w:val="0"/>
      <w:divBdr>
        <w:top w:val="none" w:sz="0" w:space="0" w:color="auto"/>
        <w:left w:val="none" w:sz="0" w:space="0" w:color="auto"/>
        <w:bottom w:val="none" w:sz="0" w:space="0" w:color="auto"/>
        <w:right w:val="none" w:sz="0" w:space="0" w:color="auto"/>
      </w:divBdr>
    </w:div>
    <w:div w:id="677537518">
      <w:bodyDiv w:val="1"/>
      <w:marLeft w:val="0"/>
      <w:marRight w:val="0"/>
      <w:marTop w:val="0"/>
      <w:marBottom w:val="0"/>
      <w:divBdr>
        <w:top w:val="none" w:sz="0" w:space="0" w:color="auto"/>
        <w:left w:val="none" w:sz="0" w:space="0" w:color="auto"/>
        <w:bottom w:val="none" w:sz="0" w:space="0" w:color="auto"/>
        <w:right w:val="none" w:sz="0" w:space="0" w:color="auto"/>
      </w:divBdr>
    </w:div>
    <w:div w:id="783501019">
      <w:bodyDiv w:val="1"/>
      <w:marLeft w:val="0"/>
      <w:marRight w:val="0"/>
      <w:marTop w:val="0"/>
      <w:marBottom w:val="0"/>
      <w:divBdr>
        <w:top w:val="none" w:sz="0" w:space="0" w:color="auto"/>
        <w:left w:val="none" w:sz="0" w:space="0" w:color="auto"/>
        <w:bottom w:val="none" w:sz="0" w:space="0" w:color="auto"/>
        <w:right w:val="none" w:sz="0" w:space="0" w:color="auto"/>
      </w:divBdr>
    </w:div>
    <w:div w:id="840199821">
      <w:bodyDiv w:val="1"/>
      <w:marLeft w:val="0"/>
      <w:marRight w:val="0"/>
      <w:marTop w:val="0"/>
      <w:marBottom w:val="0"/>
      <w:divBdr>
        <w:top w:val="none" w:sz="0" w:space="0" w:color="auto"/>
        <w:left w:val="none" w:sz="0" w:space="0" w:color="auto"/>
        <w:bottom w:val="none" w:sz="0" w:space="0" w:color="auto"/>
        <w:right w:val="none" w:sz="0" w:space="0" w:color="auto"/>
      </w:divBdr>
    </w:div>
    <w:div w:id="995765559">
      <w:bodyDiv w:val="1"/>
      <w:marLeft w:val="0"/>
      <w:marRight w:val="0"/>
      <w:marTop w:val="0"/>
      <w:marBottom w:val="0"/>
      <w:divBdr>
        <w:top w:val="none" w:sz="0" w:space="0" w:color="auto"/>
        <w:left w:val="none" w:sz="0" w:space="0" w:color="auto"/>
        <w:bottom w:val="none" w:sz="0" w:space="0" w:color="auto"/>
        <w:right w:val="none" w:sz="0" w:space="0" w:color="auto"/>
      </w:divBdr>
    </w:div>
    <w:div w:id="1037006932">
      <w:bodyDiv w:val="1"/>
      <w:marLeft w:val="0"/>
      <w:marRight w:val="0"/>
      <w:marTop w:val="0"/>
      <w:marBottom w:val="0"/>
      <w:divBdr>
        <w:top w:val="none" w:sz="0" w:space="0" w:color="auto"/>
        <w:left w:val="none" w:sz="0" w:space="0" w:color="auto"/>
        <w:bottom w:val="none" w:sz="0" w:space="0" w:color="auto"/>
        <w:right w:val="none" w:sz="0" w:space="0" w:color="auto"/>
      </w:divBdr>
    </w:div>
    <w:div w:id="1295870391">
      <w:bodyDiv w:val="1"/>
      <w:marLeft w:val="0"/>
      <w:marRight w:val="0"/>
      <w:marTop w:val="0"/>
      <w:marBottom w:val="0"/>
      <w:divBdr>
        <w:top w:val="none" w:sz="0" w:space="0" w:color="auto"/>
        <w:left w:val="none" w:sz="0" w:space="0" w:color="auto"/>
        <w:bottom w:val="none" w:sz="0" w:space="0" w:color="auto"/>
        <w:right w:val="none" w:sz="0" w:space="0" w:color="auto"/>
      </w:divBdr>
    </w:div>
    <w:div w:id="1331252064">
      <w:bodyDiv w:val="1"/>
      <w:marLeft w:val="0"/>
      <w:marRight w:val="0"/>
      <w:marTop w:val="0"/>
      <w:marBottom w:val="0"/>
      <w:divBdr>
        <w:top w:val="none" w:sz="0" w:space="0" w:color="auto"/>
        <w:left w:val="none" w:sz="0" w:space="0" w:color="auto"/>
        <w:bottom w:val="none" w:sz="0" w:space="0" w:color="auto"/>
        <w:right w:val="none" w:sz="0" w:space="0" w:color="auto"/>
      </w:divBdr>
    </w:div>
    <w:div w:id="1388147149">
      <w:bodyDiv w:val="1"/>
      <w:marLeft w:val="0"/>
      <w:marRight w:val="0"/>
      <w:marTop w:val="0"/>
      <w:marBottom w:val="0"/>
      <w:divBdr>
        <w:top w:val="none" w:sz="0" w:space="0" w:color="auto"/>
        <w:left w:val="none" w:sz="0" w:space="0" w:color="auto"/>
        <w:bottom w:val="none" w:sz="0" w:space="0" w:color="auto"/>
        <w:right w:val="none" w:sz="0" w:space="0" w:color="auto"/>
      </w:divBdr>
    </w:div>
    <w:div w:id="1460421204">
      <w:bodyDiv w:val="1"/>
      <w:marLeft w:val="0"/>
      <w:marRight w:val="0"/>
      <w:marTop w:val="0"/>
      <w:marBottom w:val="0"/>
      <w:divBdr>
        <w:top w:val="none" w:sz="0" w:space="0" w:color="auto"/>
        <w:left w:val="none" w:sz="0" w:space="0" w:color="auto"/>
        <w:bottom w:val="none" w:sz="0" w:space="0" w:color="auto"/>
        <w:right w:val="none" w:sz="0" w:space="0" w:color="auto"/>
      </w:divBdr>
    </w:div>
    <w:div w:id="1781030602">
      <w:bodyDiv w:val="1"/>
      <w:marLeft w:val="0"/>
      <w:marRight w:val="0"/>
      <w:marTop w:val="0"/>
      <w:marBottom w:val="0"/>
      <w:divBdr>
        <w:top w:val="none" w:sz="0" w:space="0" w:color="auto"/>
        <w:left w:val="none" w:sz="0" w:space="0" w:color="auto"/>
        <w:bottom w:val="none" w:sz="0" w:space="0" w:color="auto"/>
        <w:right w:val="none" w:sz="0" w:space="0" w:color="auto"/>
      </w:divBdr>
    </w:div>
    <w:div w:id="21222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facebook.com/disabilitytimorles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facebook.com/Asosiasaun-Defisiensia-Timor-Leste-379953842196098/"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aidworks.titan.satin.lo/Investment/19617"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 Id="rId30" Type="http://schemas.openxmlformats.org/officeDocument/2006/relationships/customXml" Target="../customXml/item4.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65314-9137-49E3-995B-B0A5B52CDFC2}"/>
</file>

<file path=customXml/itemProps2.xml><?xml version="1.0" encoding="utf-8"?>
<ds:datastoreItem xmlns:ds="http://schemas.openxmlformats.org/officeDocument/2006/customXml" ds:itemID="{C1379152-1268-4785-9E08-3AD2F5734490}"/>
</file>

<file path=customXml/itemProps3.xml><?xml version="1.0" encoding="utf-8"?>
<ds:datastoreItem xmlns:ds="http://schemas.openxmlformats.org/officeDocument/2006/customXml" ds:itemID="{798FB356-FF6B-4902-8304-F451FA338599}"/>
</file>

<file path=customXml/itemProps4.xml><?xml version="1.0" encoding="utf-8"?>
<ds:datastoreItem xmlns:ds="http://schemas.openxmlformats.org/officeDocument/2006/customXml" ds:itemID="{3DF418B1-F7AB-4940-8DD1-9108020CF129}"/>
</file>

<file path=docProps/app.xml><?xml version="1.0" encoding="utf-8"?>
<Properties xmlns="http://schemas.openxmlformats.org/officeDocument/2006/extended-properties" xmlns:vt="http://schemas.openxmlformats.org/officeDocument/2006/docPropsVTypes">
  <Template>69A820C7</Template>
  <TotalTime>0</TotalTime>
  <Pages>28</Pages>
  <Words>13706</Words>
  <Characters>78125</Characters>
  <Application>Microsoft Office Word</Application>
  <DocSecurity>0</DocSecurity>
  <Lines>651</Lines>
  <Paragraphs>183</Paragraphs>
  <ScaleCrop>false</ScaleCrop>
  <Company/>
  <LinksUpToDate>false</LinksUpToDate>
  <CharactersWithSpaces>91648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2016-08-30T05:27:00Z</dcterms:created>
  <dcterms:modified xsi:type="dcterms:W3CDTF">2016-08-30T05:27:00Z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f60dfadc-d3e1-48c1-9c70-1cbcd0ff7661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1053600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